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5556" w14:textId="77777777" w:rsidR="00224C09" w:rsidRPr="00224C09" w:rsidRDefault="00224C09" w:rsidP="00224C09">
      <w:pPr>
        <w:spacing w:after="0" w:line="240" w:lineRule="auto"/>
        <w:jc w:val="center"/>
        <w:rPr>
          <w:rFonts w:ascii="Verdana" w:eastAsiaTheme="minorHAnsi" w:hAnsi="Verdana"/>
          <w:b/>
          <w:bCs/>
          <w:sz w:val="20"/>
          <w:szCs w:val="20"/>
          <w:lang w:eastAsia="en-US"/>
        </w:rPr>
      </w:pPr>
      <w:r w:rsidRPr="00224C09">
        <w:rPr>
          <w:rFonts w:ascii="Verdana" w:eastAsiaTheme="minorHAnsi" w:hAnsi="Verdana"/>
          <w:b/>
          <w:bCs/>
          <w:sz w:val="20"/>
          <w:szCs w:val="20"/>
          <w:lang w:eastAsia="en-US"/>
        </w:rPr>
        <w:t>VOTO DISIDENTE Y PARCIALMENTE DISIDENTE DE LA</w:t>
      </w:r>
    </w:p>
    <w:p w14:paraId="1DA7885B" w14:textId="77777777" w:rsidR="00224C09" w:rsidRPr="00224C09" w:rsidRDefault="00224C09" w:rsidP="00224C09">
      <w:pPr>
        <w:spacing w:after="0" w:line="240" w:lineRule="auto"/>
        <w:jc w:val="center"/>
        <w:rPr>
          <w:rFonts w:ascii="Verdana" w:eastAsiaTheme="minorHAnsi" w:hAnsi="Verdana"/>
          <w:b/>
          <w:bCs/>
          <w:sz w:val="20"/>
          <w:szCs w:val="20"/>
          <w:lang w:eastAsia="en-US"/>
        </w:rPr>
      </w:pPr>
    </w:p>
    <w:p w14:paraId="3F26C2CE" w14:textId="77777777" w:rsidR="00224C09" w:rsidRPr="00224C09" w:rsidRDefault="00224C09" w:rsidP="00224C09">
      <w:pPr>
        <w:spacing w:after="0" w:line="240" w:lineRule="auto"/>
        <w:jc w:val="center"/>
        <w:rPr>
          <w:rFonts w:ascii="Verdana" w:eastAsiaTheme="minorHAnsi" w:hAnsi="Verdana"/>
          <w:b/>
          <w:bCs/>
          <w:sz w:val="20"/>
          <w:szCs w:val="20"/>
          <w:lang w:eastAsia="en-US"/>
        </w:rPr>
      </w:pPr>
      <w:r w:rsidRPr="00224C09">
        <w:rPr>
          <w:rFonts w:ascii="Verdana" w:eastAsiaTheme="minorHAnsi" w:hAnsi="Verdana"/>
          <w:b/>
          <w:bCs/>
          <w:sz w:val="20"/>
          <w:szCs w:val="20"/>
          <w:lang w:eastAsia="en-US"/>
        </w:rPr>
        <w:t>JUEZA PATRICIA PÉREZ GOLDBERG</w:t>
      </w:r>
    </w:p>
    <w:p w14:paraId="4D0C3812" w14:textId="77777777" w:rsidR="00224C09" w:rsidRPr="00224C09" w:rsidRDefault="00224C09" w:rsidP="00224C09">
      <w:pPr>
        <w:spacing w:after="0" w:line="240" w:lineRule="auto"/>
        <w:ind w:right="-138"/>
        <w:jc w:val="both"/>
        <w:rPr>
          <w:rFonts w:ascii="Verdana" w:eastAsia="MS Mincho" w:hAnsi="Verdana" w:cs="Times New Roman"/>
          <w:kern w:val="0"/>
          <w:sz w:val="20"/>
          <w:szCs w:val="20"/>
          <w:lang w:val="es-CR" w:bidi="en-US"/>
          <w14:ligatures w14:val="none"/>
        </w:rPr>
      </w:pPr>
    </w:p>
    <w:p w14:paraId="68CFDF35" w14:textId="77777777" w:rsidR="00224C09" w:rsidRPr="00224C09" w:rsidRDefault="00224C09" w:rsidP="00224C09">
      <w:pPr>
        <w:spacing w:after="0" w:line="240" w:lineRule="auto"/>
        <w:ind w:right="-138"/>
        <w:jc w:val="center"/>
        <w:rPr>
          <w:rFonts w:ascii="Verdana" w:eastAsia="MS Mincho" w:hAnsi="Verdana" w:cs="Times New Roman"/>
          <w:b/>
          <w:kern w:val="0"/>
          <w:sz w:val="20"/>
          <w:szCs w:val="20"/>
          <w:lang w:val="es-CR" w:bidi="en-US"/>
          <w14:ligatures w14:val="none"/>
        </w:rPr>
      </w:pPr>
      <w:r w:rsidRPr="00224C09">
        <w:rPr>
          <w:rFonts w:ascii="Verdana" w:eastAsia="MS Mincho" w:hAnsi="Verdana" w:cs="Times New Roman"/>
          <w:b/>
          <w:kern w:val="0"/>
          <w:sz w:val="20"/>
          <w:szCs w:val="20"/>
          <w:lang w:val="es-CR" w:bidi="en-US"/>
          <w14:ligatures w14:val="none"/>
        </w:rPr>
        <w:t>CORTE INTERAMERICANA DE DERECHOS HUMANOS</w:t>
      </w:r>
    </w:p>
    <w:p w14:paraId="09B2D7D6" w14:textId="77777777" w:rsidR="00224C09" w:rsidRPr="00224C09" w:rsidRDefault="00224C09" w:rsidP="00224C09">
      <w:pPr>
        <w:spacing w:after="0" w:line="240" w:lineRule="auto"/>
        <w:rPr>
          <w:rFonts w:ascii="Verdana" w:eastAsiaTheme="minorHAnsi" w:hAnsi="Verdana"/>
          <w:sz w:val="20"/>
          <w:szCs w:val="20"/>
          <w:lang w:eastAsia="en-US"/>
        </w:rPr>
      </w:pPr>
    </w:p>
    <w:p w14:paraId="2D0EEF94" w14:textId="77777777" w:rsidR="00224C09" w:rsidRPr="00224C09" w:rsidRDefault="00224C09" w:rsidP="00224C09">
      <w:pPr>
        <w:autoSpaceDE w:val="0"/>
        <w:autoSpaceDN w:val="0"/>
        <w:adjustRightInd w:val="0"/>
        <w:spacing w:after="0" w:line="240" w:lineRule="auto"/>
        <w:jc w:val="center"/>
        <w:rPr>
          <w:rFonts w:ascii="Verdana" w:eastAsia="MS Mincho" w:hAnsi="Verdana"/>
          <w:b/>
          <w:bCs/>
          <w:sz w:val="20"/>
          <w:szCs w:val="20"/>
          <w:lang w:bidi="en-US"/>
        </w:rPr>
      </w:pPr>
      <w:r w:rsidRPr="00224C09">
        <w:rPr>
          <w:rFonts w:ascii="Verdana" w:eastAsia="MS Mincho" w:hAnsi="Verdana"/>
          <w:b/>
          <w:bCs/>
          <w:sz w:val="20"/>
          <w:szCs w:val="20"/>
          <w:lang w:bidi="en-US"/>
        </w:rPr>
        <w:t>CASO CAPRILES VS. VENEZUELA</w:t>
      </w:r>
    </w:p>
    <w:p w14:paraId="3109DB81" w14:textId="77777777" w:rsidR="00224C09" w:rsidRPr="00224C09" w:rsidRDefault="00224C09" w:rsidP="00224C09">
      <w:pPr>
        <w:autoSpaceDE w:val="0"/>
        <w:autoSpaceDN w:val="0"/>
        <w:adjustRightInd w:val="0"/>
        <w:spacing w:after="0" w:line="240" w:lineRule="auto"/>
        <w:jc w:val="center"/>
        <w:rPr>
          <w:rFonts w:ascii="Verdana" w:eastAsia="MS Mincho" w:hAnsi="Verdana"/>
          <w:b/>
          <w:sz w:val="20"/>
          <w:szCs w:val="20"/>
          <w:lang w:bidi="en-US"/>
        </w:rPr>
      </w:pPr>
    </w:p>
    <w:p w14:paraId="6236BC6D" w14:textId="77777777" w:rsidR="00224C09" w:rsidRPr="00224C09" w:rsidRDefault="00224C09" w:rsidP="00224C09">
      <w:pPr>
        <w:spacing w:after="0" w:line="240" w:lineRule="auto"/>
        <w:ind w:right="-138"/>
        <w:jc w:val="center"/>
        <w:rPr>
          <w:rFonts w:ascii="Verdana" w:eastAsia="MS Mincho" w:hAnsi="Verdana" w:cs="Times New Roman"/>
          <w:b/>
          <w:kern w:val="0"/>
          <w:sz w:val="20"/>
          <w:szCs w:val="20"/>
          <w:lang w:val="es-CR" w:bidi="en-US"/>
          <w14:ligatures w14:val="none"/>
        </w:rPr>
      </w:pPr>
      <w:r w:rsidRPr="00224C09">
        <w:rPr>
          <w:rFonts w:ascii="Verdana" w:eastAsia="MS Mincho" w:hAnsi="Verdana" w:cs="Times New Roman"/>
          <w:b/>
          <w:kern w:val="0"/>
          <w:sz w:val="20"/>
          <w:szCs w:val="20"/>
          <w:lang w:val="es-CR" w:bidi="en-US"/>
          <w14:ligatures w14:val="none"/>
        </w:rPr>
        <w:t>SENTENCIA DE 10 DE OCTUBRE DE 2024</w:t>
      </w:r>
    </w:p>
    <w:p w14:paraId="68E79642" w14:textId="77777777" w:rsidR="00224C09" w:rsidRPr="00224C09" w:rsidRDefault="00224C09" w:rsidP="00224C09">
      <w:pPr>
        <w:spacing w:after="0" w:line="240" w:lineRule="auto"/>
        <w:ind w:right="-138"/>
        <w:jc w:val="center"/>
        <w:rPr>
          <w:rFonts w:ascii="Verdana" w:eastAsia="MS Mincho" w:hAnsi="Verdana" w:cs="Times New Roman"/>
          <w:b/>
          <w:kern w:val="0"/>
          <w:sz w:val="20"/>
          <w:szCs w:val="20"/>
          <w:lang w:val="es-CR" w:bidi="en-US"/>
          <w14:ligatures w14:val="none"/>
        </w:rPr>
      </w:pPr>
    </w:p>
    <w:p w14:paraId="177C5B10" w14:textId="77777777" w:rsidR="00224C09" w:rsidRPr="00224C09" w:rsidRDefault="00224C09" w:rsidP="00224C09">
      <w:pPr>
        <w:spacing w:after="0" w:line="240" w:lineRule="auto"/>
        <w:ind w:right="-138"/>
        <w:jc w:val="center"/>
        <w:rPr>
          <w:rFonts w:ascii="Verdana" w:eastAsia="MS Mincho" w:hAnsi="Verdana" w:cs="Times New Roman"/>
          <w:b/>
          <w:i/>
          <w:kern w:val="0"/>
          <w:sz w:val="20"/>
          <w:szCs w:val="20"/>
          <w:lang w:val="es-CR" w:bidi="en-US"/>
          <w14:ligatures w14:val="none"/>
        </w:rPr>
      </w:pPr>
      <w:r w:rsidRPr="00224C09">
        <w:rPr>
          <w:rFonts w:ascii="Verdana" w:eastAsia="MS Mincho" w:hAnsi="Verdana" w:cs="Times New Roman"/>
          <w:b/>
          <w:i/>
          <w:kern w:val="0"/>
          <w:sz w:val="20"/>
          <w:szCs w:val="20"/>
          <w:lang w:val="es-CR" w:bidi="en-US"/>
          <w14:ligatures w14:val="none"/>
        </w:rPr>
        <w:t>(Excepción Preliminar, Fondo, Reparaciones y Costas)</w:t>
      </w:r>
    </w:p>
    <w:p w14:paraId="18BE3CAC" w14:textId="77777777" w:rsidR="00224C09" w:rsidRPr="00224C09" w:rsidRDefault="00224C09" w:rsidP="00224C09">
      <w:pPr>
        <w:spacing w:after="0" w:line="240" w:lineRule="auto"/>
        <w:jc w:val="center"/>
        <w:rPr>
          <w:rFonts w:ascii="Garamond" w:eastAsiaTheme="minorHAnsi" w:hAnsi="Garamond" w:cs="Arial"/>
          <w:b/>
          <w:bCs/>
          <w:u w:val="single"/>
          <w:lang w:val="es-CR" w:eastAsia="en-US"/>
        </w:rPr>
      </w:pPr>
    </w:p>
    <w:p w14:paraId="552A4D61" w14:textId="77777777" w:rsidR="00224C09" w:rsidRPr="00224C09" w:rsidRDefault="00224C09" w:rsidP="00224C09">
      <w:pPr>
        <w:spacing w:after="0" w:line="240" w:lineRule="auto"/>
        <w:contextualSpacing/>
        <w:jc w:val="both"/>
        <w:rPr>
          <w:rFonts w:ascii="Verdana" w:eastAsiaTheme="minorHAnsi" w:hAnsi="Verdana"/>
          <w:sz w:val="20"/>
          <w:szCs w:val="20"/>
          <w:lang w:eastAsia="en-US"/>
        </w:rPr>
      </w:pPr>
      <w:r w:rsidRPr="00224C09">
        <w:rPr>
          <w:rFonts w:ascii="Verdana" w:eastAsiaTheme="minorHAnsi" w:hAnsi="Verdana"/>
          <w:sz w:val="20"/>
          <w:szCs w:val="20"/>
          <w:lang w:eastAsia="en-US"/>
        </w:rPr>
        <w:t>Con el habitual respeto a la decisión mayoritaria de la Corte Interamericana de Derechos Humanos (en adelante, “la Corte” o el “Tribunal”), emito este voto</w:t>
      </w:r>
      <w:r w:rsidRPr="00224C09">
        <w:rPr>
          <w:rFonts w:ascii="Verdana" w:eastAsiaTheme="minorHAnsi" w:hAnsi="Verdana"/>
          <w:sz w:val="20"/>
          <w:szCs w:val="20"/>
          <w:vertAlign w:val="superscript"/>
          <w:lang w:eastAsia="en-US"/>
        </w:rPr>
        <w:footnoteReference w:id="1"/>
      </w:r>
      <w:r w:rsidRPr="00224C09">
        <w:rPr>
          <w:rFonts w:ascii="Verdana" w:eastAsiaTheme="minorHAnsi" w:hAnsi="Verdana"/>
          <w:sz w:val="20"/>
          <w:szCs w:val="20"/>
          <w:lang w:eastAsia="en-US"/>
        </w:rPr>
        <w:t xml:space="preserve"> con el propósito de expresar las razones por las que discrepo respecto de distintas cuestiones analizadas y resueltas en la </w:t>
      </w:r>
      <w:r w:rsidRPr="00224C09">
        <w:rPr>
          <w:rFonts w:ascii="Verdana" w:eastAsiaTheme="minorHAnsi" w:hAnsi="Verdana"/>
          <w:i/>
          <w:iCs/>
          <w:sz w:val="20"/>
          <w:szCs w:val="20"/>
          <w:lang w:eastAsia="en-US"/>
        </w:rPr>
        <w:t>Sentencia de Excepción Preliminar, Fondo, Reparaciones y Costas</w:t>
      </w:r>
      <w:r w:rsidRPr="00224C09">
        <w:rPr>
          <w:rFonts w:ascii="Verdana" w:eastAsiaTheme="minorHAnsi" w:hAnsi="Verdana"/>
          <w:sz w:val="20"/>
          <w:szCs w:val="20"/>
          <w:lang w:eastAsia="en-US"/>
        </w:rPr>
        <w:t xml:space="preserve"> dictada en el caso «Capriles vs. Venezuela».</w:t>
      </w:r>
    </w:p>
    <w:p w14:paraId="52E7533C" w14:textId="77777777" w:rsidR="00224C09" w:rsidRPr="00224C09" w:rsidRDefault="00224C09" w:rsidP="00224C09">
      <w:pPr>
        <w:widowControl w:val="0"/>
        <w:tabs>
          <w:tab w:val="left" w:pos="567"/>
        </w:tabs>
        <w:autoSpaceDE w:val="0"/>
        <w:autoSpaceDN w:val="0"/>
        <w:adjustRightInd w:val="0"/>
        <w:spacing w:after="0" w:line="240" w:lineRule="auto"/>
        <w:jc w:val="both"/>
        <w:rPr>
          <w:rFonts w:ascii="Verdana" w:eastAsia="MS Mincho" w:hAnsi="Verdana" w:cs="Times New Roman"/>
          <w:color w:val="000000"/>
          <w:kern w:val="0"/>
          <w:sz w:val="20"/>
          <w:szCs w:val="20"/>
          <w:lang w:val="es-ES_tradnl" w:eastAsia="en-US"/>
          <w14:ligatures w14:val="none"/>
        </w:rPr>
      </w:pPr>
    </w:p>
    <w:p w14:paraId="0F710C34" w14:textId="77777777" w:rsidR="00224C09" w:rsidRPr="00224C09" w:rsidRDefault="00224C09" w:rsidP="00224C09">
      <w:pPr>
        <w:spacing w:after="0" w:line="240" w:lineRule="auto"/>
        <w:contextualSpacing/>
        <w:jc w:val="both"/>
        <w:rPr>
          <w:rFonts w:ascii="Verdana" w:eastAsiaTheme="minorHAnsi" w:hAnsi="Verdana"/>
          <w:sz w:val="20"/>
          <w:szCs w:val="20"/>
          <w:lang w:eastAsia="en-US"/>
        </w:rPr>
      </w:pPr>
      <w:r w:rsidRPr="00224C09">
        <w:rPr>
          <w:rFonts w:ascii="Verdana" w:eastAsiaTheme="minorHAnsi" w:hAnsi="Verdana"/>
          <w:sz w:val="20"/>
          <w:szCs w:val="20"/>
          <w:lang w:eastAsia="en-US"/>
        </w:rPr>
        <w:t xml:space="preserve">En lo que sigue, indicaré las razones en las que se funda mi opinión. </w:t>
      </w:r>
    </w:p>
    <w:p w14:paraId="7EEDCD7A" w14:textId="77777777" w:rsidR="00224C09" w:rsidRPr="00224C09" w:rsidRDefault="00224C09" w:rsidP="00224C09">
      <w:pPr>
        <w:spacing w:after="0" w:line="240" w:lineRule="auto"/>
        <w:jc w:val="both"/>
        <w:rPr>
          <w:rFonts w:ascii="Garamond" w:eastAsiaTheme="minorHAnsi" w:hAnsi="Garamond" w:cs="Arial"/>
          <w:lang w:eastAsia="en-US"/>
        </w:rPr>
      </w:pPr>
    </w:p>
    <w:p w14:paraId="03F0B011" w14:textId="77777777" w:rsidR="00224C09" w:rsidRPr="00224C09" w:rsidRDefault="00224C09" w:rsidP="00224C09">
      <w:pPr>
        <w:numPr>
          <w:ilvl w:val="0"/>
          <w:numId w:val="1"/>
        </w:numPr>
        <w:spacing w:after="0" w:line="240" w:lineRule="auto"/>
        <w:contextualSpacing/>
        <w:jc w:val="both"/>
        <w:rPr>
          <w:rFonts w:ascii="Verdana" w:eastAsiaTheme="minorHAnsi" w:hAnsi="Verdana" w:cs="Arial"/>
          <w:b/>
          <w:bCs/>
          <w:sz w:val="20"/>
          <w:szCs w:val="20"/>
          <w:lang w:eastAsia="en-US"/>
        </w:rPr>
      </w:pPr>
      <w:r w:rsidRPr="00224C09">
        <w:rPr>
          <w:rFonts w:ascii="Verdana" w:eastAsiaTheme="minorHAnsi" w:hAnsi="Verdana" w:cs="Arial"/>
          <w:b/>
          <w:bCs/>
          <w:sz w:val="20"/>
          <w:szCs w:val="20"/>
          <w:lang w:eastAsia="en-US"/>
        </w:rPr>
        <w:t xml:space="preserve">Acerca del derecho a la libertad de expresión, y su relación con el Derecho penal </w:t>
      </w:r>
    </w:p>
    <w:p w14:paraId="439F417C" w14:textId="77777777" w:rsidR="00224C09" w:rsidRPr="00224C09" w:rsidRDefault="00224C09" w:rsidP="00224C09">
      <w:pPr>
        <w:spacing w:after="0" w:line="240" w:lineRule="auto"/>
        <w:jc w:val="both"/>
        <w:rPr>
          <w:rFonts w:ascii="Verdana" w:eastAsiaTheme="minorHAnsi" w:hAnsi="Verdana" w:cs="Arial"/>
          <w:b/>
          <w:bCs/>
          <w:sz w:val="20"/>
          <w:szCs w:val="20"/>
          <w:lang w:eastAsia="en-US"/>
        </w:rPr>
      </w:pPr>
    </w:p>
    <w:p w14:paraId="4FA00C8F" w14:textId="77777777"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 xml:space="preserve">En el caso objeto de este voto, la decisión mayoritaria de la Corte estableció la responsabilidad internacional del Estado de Venezuela por la violación de los derechos a las garantías judiciales, protección judicial, y libertad de pensamiento y expresión, contenidos en los artículos 8, 25 y 13 de la Convención Americana sobre Derechos Humanos, en relación con los artículos 1.1 y 23 del mismo instrumento, en perjuicio de Henrique Capriles </w:t>
      </w:r>
      <w:proofErr w:type="spellStart"/>
      <w:r w:rsidRPr="00224C09">
        <w:rPr>
          <w:rFonts w:ascii="Verdana" w:eastAsiaTheme="minorHAnsi" w:hAnsi="Verdana" w:cs="Arial"/>
          <w:sz w:val="20"/>
          <w:szCs w:val="20"/>
          <w:lang w:eastAsia="en-US"/>
        </w:rPr>
        <w:t>Radonski</w:t>
      </w:r>
      <w:proofErr w:type="spellEnd"/>
      <w:r w:rsidRPr="00224C09">
        <w:rPr>
          <w:rFonts w:eastAsiaTheme="minorHAnsi"/>
          <w:vertAlign w:val="superscript"/>
          <w:lang w:eastAsia="en-US"/>
        </w:rPr>
        <w:footnoteReference w:id="2"/>
      </w:r>
      <w:r w:rsidRPr="00224C09">
        <w:rPr>
          <w:rFonts w:ascii="Verdana" w:eastAsiaTheme="minorHAnsi" w:hAnsi="Verdana" w:cs="Arial"/>
          <w:sz w:val="20"/>
          <w:szCs w:val="20"/>
          <w:lang w:eastAsia="en-US"/>
        </w:rPr>
        <w:t>.</w:t>
      </w:r>
    </w:p>
    <w:p w14:paraId="4A0EB3F9" w14:textId="77777777" w:rsidR="00224C09" w:rsidRPr="00224C09" w:rsidRDefault="00224C09" w:rsidP="00224C09">
      <w:pPr>
        <w:spacing w:after="0" w:line="240" w:lineRule="auto"/>
        <w:ind w:left="720"/>
        <w:contextualSpacing/>
        <w:jc w:val="both"/>
        <w:rPr>
          <w:rFonts w:ascii="Verdana" w:eastAsiaTheme="minorHAnsi" w:hAnsi="Verdana" w:cs="Arial"/>
          <w:sz w:val="20"/>
          <w:szCs w:val="20"/>
          <w:lang w:eastAsia="en-US"/>
        </w:rPr>
      </w:pPr>
    </w:p>
    <w:p w14:paraId="311B321F" w14:textId="77777777"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olor w:val="000000"/>
          <w:sz w:val="20"/>
          <w:szCs w:val="20"/>
          <w:lang w:eastAsia="en-US"/>
        </w:rPr>
        <w:t>En tal contexto, disiento en cuanto a los estándares establecidos en relación con el artículo 13 de la Convención Americana sobre Derechos Humanos, que garantiza el derecho a la libertad de expresión. En mi criterio, no es acertado afirmar que los funcionarios públicos nunca puedan recurrir al Derecho penal para defender su honor cuando otra persona ejerce su libertad de expresión. Considero que la decisión mayoritaria establece un estándar demasiado restrictivo que no contempla situaciones en las que, en el marco de una sociedad democrática, los funcionarios pueden legítimamente requerir tutela penal ante ataques que afecten gravemente su honor y dignidad. Para sustentar esta posición, primero analizaré los argumentos invocados por la decisión mayoritaria y las limitaciones que, en mi opinión, resultan de su interpretación restrictiva del derecho a la protección del honor frente a expresiones que puedan exceder el ejercicio legítimo de la libertad de expresión.</w:t>
      </w:r>
    </w:p>
    <w:p w14:paraId="7B5EA0DB" w14:textId="77777777" w:rsidR="00224C09" w:rsidRPr="00224C09" w:rsidRDefault="00224C09" w:rsidP="00224C09">
      <w:pPr>
        <w:spacing w:after="0" w:line="240" w:lineRule="auto"/>
        <w:rPr>
          <w:rFonts w:ascii="Verdana" w:eastAsiaTheme="minorHAnsi" w:hAnsi="Verdana" w:cs="Arial"/>
          <w:sz w:val="20"/>
          <w:szCs w:val="20"/>
          <w:lang w:eastAsia="en-US"/>
        </w:rPr>
      </w:pPr>
    </w:p>
    <w:p w14:paraId="784DEA57" w14:textId="77777777"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 xml:space="preserve">La sentencia en cuestión comienza señalando que </w:t>
      </w:r>
      <w:r w:rsidRPr="00224C09">
        <w:rPr>
          <w:rFonts w:ascii="Verdana" w:eastAsia="Times New Roman" w:hAnsi="Verdana" w:cs="Times New Roman"/>
          <w:kern w:val="0"/>
          <w:sz w:val="20"/>
          <w:szCs w:val="20"/>
          <w:lang w:eastAsia="es-MX"/>
          <w14:ligatures w14:val="none"/>
        </w:rPr>
        <w:t xml:space="preserve">el derecho a la libertad de expresión, consagrado en el artículo 13 de la Convención, incluye tanto el derecho </w:t>
      </w:r>
      <w:r w:rsidRPr="00224C09">
        <w:rPr>
          <w:rFonts w:ascii="Verdana" w:eastAsia="Times New Roman" w:hAnsi="Verdana" w:cs="Times New Roman"/>
          <w:kern w:val="0"/>
          <w:sz w:val="20"/>
          <w:szCs w:val="20"/>
          <w:lang w:eastAsia="es-MX"/>
          <w14:ligatures w14:val="none"/>
        </w:rPr>
        <w:lastRenderedPageBreak/>
        <w:t>individual a expresarse libremente como la dimensión social de recibir y difundir información e ideas</w:t>
      </w:r>
      <w:r w:rsidRPr="00224C09">
        <w:rPr>
          <w:rFonts w:eastAsiaTheme="minorHAnsi"/>
          <w:vertAlign w:val="superscript"/>
          <w:lang w:eastAsia="en-US"/>
        </w:rPr>
        <w:footnoteReference w:id="3"/>
      </w:r>
      <w:r w:rsidRPr="00224C09">
        <w:rPr>
          <w:rFonts w:ascii="Verdana" w:eastAsia="Times New Roman" w:hAnsi="Verdana" w:cs="Times New Roman"/>
          <w:kern w:val="0"/>
          <w:sz w:val="20"/>
          <w:szCs w:val="20"/>
          <w:lang w:eastAsia="es-MX"/>
          <w14:ligatures w14:val="none"/>
        </w:rPr>
        <w:t>. Ambas dimensiones son de igual relevancia y deben ser protegidas simultáneamente para garantizar un ejercicio pleno de este derecho</w:t>
      </w:r>
      <w:r w:rsidRPr="00224C09">
        <w:rPr>
          <w:rFonts w:eastAsiaTheme="minorHAnsi"/>
          <w:vertAlign w:val="superscript"/>
          <w:lang w:eastAsia="en-US"/>
        </w:rPr>
        <w:footnoteReference w:id="4"/>
      </w:r>
      <w:r w:rsidRPr="00224C09">
        <w:rPr>
          <w:rFonts w:ascii="Verdana" w:eastAsia="Times New Roman" w:hAnsi="Verdana" w:cs="Times New Roman"/>
          <w:kern w:val="0"/>
          <w:sz w:val="20"/>
          <w:szCs w:val="20"/>
          <w:lang w:eastAsia="es-MX"/>
          <w14:ligatures w14:val="none"/>
        </w:rPr>
        <w:t xml:space="preserve">. Adicionalmente, </w:t>
      </w:r>
      <w:r w:rsidRPr="00224C09">
        <w:rPr>
          <w:rFonts w:ascii="Verdana" w:eastAsiaTheme="minorHAnsi" w:hAnsi="Verdana"/>
          <w:color w:val="000000"/>
          <w:sz w:val="20"/>
          <w:szCs w:val="20"/>
          <w:lang w:eastAsia="en-US"/>
        </w:rPr>
        <w:t>la Corte reconoce que la libertad de expresión no es un derecho absoluto</w:t>
      </w:r>
      <w:r w:rsidRPr="00224C09">
        <w:rPr>
          <w:rFonts w:eastAsiaTheme="minorHAnsi"/>
          <w:vertAlign w:val="superscript"/>
          <w:lang w:eastAsia="en-US"/>
        </w:rPr>
        <w:footnoteReference w:id="5"/>
      </w:r>
      <w:r w:rsidRPr="00224C09">
        <w:rPr>
          <w:rFonts w:ascii="Verdana" w:eastAsiaTheme="minorHAnsi" w:hAnsi="Verdana"/>
          <w:color w:val="000000"/>
          <w:sz w:val="20"/>
          <w:szCs w:val="20"/>
          <w:lang w:eastAsia="en-US"/>
        </w:rPr>
        <w:t xml:space="preserve">. Así, el artículo 13.2 de la Convención permite imponer responsabilidades ulteriores por el ejercicio abusivo de este derecho, </w:t>
      </w:r>
      <w:r w:rsidRPr="00224C09">
        <w:rPr>
          <w:rFonts w:ascii="Verdana" w:eastAsiaTheme="minorHAnsi" w:hAnsi="Verdana"/>
          <w:sz w:val="20"/>
          <w:szCs w:val="20"/>
          <w:lang w:eastAsia="en-US"/>
        </w:rPr>
        <w:t>inclusive para asegurar “el respeto a los derechos o la reputación de los demás”</w:t>
      </w:r>
      <w:r w:rsidRPr="00224C09">
        <w:rPr>
          <w:rFonts w:ascii="Verdana" w:eastAsiaTheme="minorHAnsi" w:hAnsi="Verdana"/>
          <w:color w:val="000000"/>
          <w:sz w:val="20"/>
          <w:szCs w:val="20"/>
          <w:lang w:eastAsia="en-US"/>
        </w:rPr>
        <w:t>, siempre que dichas restricciones sean excepcionales y no limiten este derecho más allá de lo necesario, evitando la censura previa directa o indirecta</w:t>
      </w:r>
      <w:r w:rsidRPr="00224C09">
        <w:rPr>
          <w:rFonts w:eastAsiaTheme="minorHAnsi"/>
          <w:vertAlign w:val="superscript"/>
          <w:lang w:eastAsia="en-US"/>
        </w:rPr>
        <w:footnoteReference w:id="6"/>
      </w:r>
      <w:r w:rsidRPr="00224C09">
        <w:rPr>
          <w:rFonts w:ascii="Verdana" w:eastAsiaTheme="minorHAnsi" w:hAnsi="Verdana"/>
          <w:color w:val="000000"/>
          <w:sz w:val="20"/>
          <w:szCs w:val="20"/>
          <w:lang w:eastAsia="en-US"/>
        </w:rPr>
        <w:t>. De esta manera, se indica que “la Corte ha establecido que se pueden imponer tales responsabilidades ulteriores, en tanto se pudiera haber afectado el derecho a la honra y la reputación”</w:t>
      </w:r>
      <w:r w:rsidRPr="00224C09">
        <w:rPr>
          <w:rFonts w:eastAsiaTheme="minorHAnsi"/>
          <w:vertAlign w:val="superscript"/>
          <w:lang w:eastAsia="en-US"/>
        </w:rPr>
        <w:footnoteReference w:id="7"/>
      </w:r>
      <w:r w:rsidRPr="00224C09">
        <w:rPr>
          <w:rFonts w:ascii="Verdana" w:eastAsiaTheme="minorHAnsi" w:hAnsi="Verdana"/>
          <w:color w:val="000000"/>
          <w:sz w:val="20"/>
          <w:szCs w:val="20"/>
          <w:lang w:eastAsia="en-US"/>
        </w:rPr>
        <w:t>.</w:t>
      </w:r>
    </w:p>
    <w:p w14:paraId="60240450" w14:textId="77777777" w:rsidR="00224C09" w:rsidRPr="00224C09" w:rsidRDefault="00224C09" w:rsidP="00224C09">
      <w:pPr>
        <w:spacing w:after="0" w:line="240" w:lineRule="auto"/>
        <w:ind w:left="720"/>
        <w:contextualSpacing/>
        <w:rPr>
          <w:rFonts w:ascii="Verdana" w:eastAsiaTheme="minorHAnsi" w:hAnsi="Verdana" w:cs="Arial"/>
          <w:sz w:val="20"/>
          <w:szCs w:val="20"/>
          <w:lang w:eastAsia="en-US"/>
        </w:rPr>
      </w:pPr>
    </w:p>
    <w:p w14:paraId="60C662E0" w14:textId="77777777"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Aunado a lo anterior, se indica que las restricciones a la libertad de expresión deben cumplir tres requisitos: a) estar previamente fijadas por ley, en sentido formal y material; b) responder a un objetivo permitido por la Convención Americana (“el respeto a los derechos a la reputación de los demás” o “la protección de la seguridad nacional, el orden público o la salud o la moral públicas”), y c) ser necesarias en una sociedad democrática (para lo cual deben cumplir con los requisitos de idoneidad, necesidad y proporcionalidad)</w:t>
      </w:r>
      <w:r w:rsidRPr="00224C09">
        <w:rPr>
          <w:rFonts w:eastAsiaTheme="minorHAnsi"/>
          <w:vertAlign w:val="superscript"/>
          <w:lang w:eastAsia="en-US"/>
        </w:rPr>
        <w:footnoteReference w:id="8"/>
      </w:r>
      <w:r w:rsidRPr="00224C09">
        <w:rPr>
          <w:rFonts w:ascii="Verdana" w:eastAsiaTheme="minorHAnsi" w:hAnsi="Verdana" w:cs="Arial"/>
          <w:sz w:val="20"/>
          <w:szCs w:val="20"/>
          <w:lang w:eastAsia="en-US"/>
        </w:rPr>
        <w:t>.</w:t>
      </w:r>
    </w:p>
    <w:p w14:paraId="35CC2835" w14:textId="77777777" w:rsidR="00224C09" w:rsidRPr="00224C09" w:rsidRDefault="00224C09" w:rsidP="00224C09">
      <w:pPr>
        <w:spacing w:after="0" w:line="240" w:lineRule="auto"/>
        <w:ind w:left="720"/>
        <w:contextualSpacing/>
        <w:rPr>
          <w:rFonts w:ascii="Verdana" w:eastAsiaTheme="minorHAnsi" w:hAnsi="Verdana" w:cs="Arial"/>
          <w:sz w:val="20"/>
          <w:szCs w:val="20"/>
          <w:lang w:eastAsia="en-US"/>
        </w:rPr>
      </w:pPr>
    </w:p>
    <w:p w14:paraId="742F4441" w14:textId="77777777"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De esta manera, la Corte establece que, en contextos judiciales, la libertad de expresión debe ejercerse sin afectar el funcionamiento adecuado de la administración de justicia o la reputación y el honor de los administradores de justicia</w:t>
      </w:r>
      <w:r w:rsidRPr="00224C09">
        <w:rPr>
          <w:rFonts w:eastAsiaTheme="minorHAnsi"/>
          <w:vertAlign w:val="superscript"/>
          <w:lang w:eastAsia="en-US"/>
        </w:rPr>
        <w:footnoteReference w:id="9"/>
      </w:r>
      <w:r w:rsidRPr="00224C09">
        <w:rPr>
          <w:rFonts w:ascii="Verdana" w:eastAsiaTheme="minorHAnsi" w:hAnsi="Verdana" w:cs="Arial"/>
          <w:sz w:val="20"/>
          <w:szCs w:val="20"/>
          <w:lang w:eastAsia="en-US"/>
        </w:rPr>
        <w:t>. Así, se indica que:</w:t>
      </w:r>
    </w:p>
    <w:p w14:paraId="545A6AFF" w14:textId="77777777" w:rsidR="00224C09" w:rsidRPr="00224C09" w:rsidRDefault="00224C09" w:rsidP="00224C09">
      <w:pPr>
        <w:spacing w:after="0" w:line="240" w:lineRule="auto"/>
        <w:ind w:left="720"/>
        <w:contextualSpacing/>
        <w:rPr>
          <w:rFonts w:ascii="Verdana" w:eastAsiaTheme="minorHAnsi" w:hAnsi="Verdana" w:cs="Arial"/>
          <w:sz w:val="20"/>
          <w:szCs w:val="20"/>
          <w:lang w:eastAsia="en-US"/>
        </w:rPr>
      </w:pPr>
    </w:p>
    <w:p w14:paraId="2BC79C5E" w14:textId="77777777" w:rsidR="00224C09" w:rsidRPr="00224C09" w:rsidRDefault="00224C09" w:rsidP="00224C09">
      <w:pPr>
        <w:spacing w:after="0" w:line="240" w:lineRule="auto"/>
        <w:ind w:left="1416"/>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“[L]as expresiones que tengan la capacidad de generar un desorden o disrupción suficiente como para imposibilitar o estorbar de manera continua el normal desenvolvimiento de la función jurisdiccional y, en particular, el desarrollo de un procedimiento judicial en trámite, o que afecten los derechos a la honra y la reputación de los miembros del poder judicial, son susceptibles de ser sancionadas, de conformidad con el artículo 13.2 de la Convención Americana. De tal modo, la Corte entiende que tales sanciones deben ser siempre necesarias para el avance del trámite judicial y no deben limitar el derecho a la libertad de expresión más allá de lo estrictamente necesario”</w:t>
      </w:r>
      <w:r w:rsidRPr="00224C09">
        <w:rPr>
          <w:rFonts w:eastAsiaTheme="minorHAnsi"/>
          <w:vertAlign w:val="superscript"/>
          <w:lang w:eastAsia="en-US"/>
        </w:rPr>
        <w:footnoteReference w:id="10"/>
      </w:r>
      <w:r w:rsidRPr="00224C09">
        <w:rPr>
          <w:rFonts w:ascii="Verdana" w:eastAsiaTheme="minorHAnsi" w:hAnsi="Verdana" w:cs="Arial"/>
          <w:sz w:val="20"/>
          <w:szCs w:val="20"/>
          <w:lang w:eastAsia="en-US"/>
        </w:rPr>
        <w:t>.</w:t>
      </w:r>
    </w:p>
    <w:p w14:paraId="23C692EC" w14:textId="77777777" w:rsidR="00224C09" w:rsidRPr="00224C09" w:rsidRDefault="00224C09" w:rsidP="00224C09">
      <w:pPr>
        <w:spacing w:after="0" w:line="240" w:lineRule="auto"/>
        <w:jc w:val="both"/>
        <w:rPr>
          <w:rFonts w:ascii="Verdana" w:eastAsiaTheme="minorHAnsi" w:hAnsi="Verdana" w:cs="Arial"/>
          <w:sz w:val="20"/>
          <w:szCs w:val="20"/>
          <w:lang w:eastAsia="en-US"/>
        </w:rPr>
      </w:pPr>
    </w:p>
    <w:p w14:paraId="13FF3A3C" w14:textId="77777777"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 xml:space="preserve">Pese a lo anterior, se señala que el derecho penal no es una vía adecuada para la defensa del honor de los funcionarios públicos en casos de libertad de expresión. De esta forma, siguiendo el estándar establecido en el caso </w:t>
      </w:r>
      <w:proofErr w:type="spellStart"/>
      <w:r w:rsidRPr="00224C09">
        <w:rPr>
          <w:rFonts w:ascii="Verdana" w:eastAsiaTheme="minorHAnsi" w:hAnsi="Verdana" w:cs="Arial"/>
          <w:i/>
          <w:iCs/>
          <w:sz w:val="20"/>
          <w:szCs w:val="20"/>
          <w:lang w:eastAsia="en-US"/>
        </w:rPr>
        <w:t>Baraona</w:t>
      </w:r>
      <w:proofErr w:type="spellEnd"/>
      <w:r w:rsidRPr="00224C09">
        <w:rPr>
          <w:rFonts w:ascii="Verdana" w:eastAsiaTheme="minorHAnsi" w:hAnsi="Verdana" w:cs="Arial"/>
          <w:i/>
          <w:iCs/>
          <w:sz w:val="20"/>
          <w:szCs w:val="20"/>
          <w:lang w:eastAsia="en-US"/>
        </w:rPr>
        <w:t xml:space="preserve"> Bray vs. Chile</w:t>
      </w:r>
      <w:r w:rsidRPr="00224C09">
        <w:rPr>
          <w:rFonts w:ascii="Verdana" w:eastAsiaTheme="minorHAnsi" w:hAnsi="Verdana" w:cs="Arial"/>
          <w:sz w:val="20"/>
          <w:szCs w:val="20"/>
          <w:lang w:eastAsia="en-US"/>
        </w:rPr>
        <w:t>, se sostiene que:</w:t>
      </w:r>
    </w:p>
    <w:p w14:paraId="4169C2C0" w14:textId="77777777" w:rsidR="00224C09" w:rsidRPr="00224C09" w:rsidRDefault="00224C09" w:rsidP="00224C09">
      <w:pPr>
        <w:spacing w:after="0" w:line="240" w:lineRule="auto"/>
        <w:ind w:left="720"/>
        <w:contextualSpacing/>
        <w:jc w:val="both"/>
        <w:rPr>
          <w:rFonts w:ascii="Verdana" w:eastAsiaTheme="minorHAnsi" w:hAnsi="Verdana" w:cs="Arial"/>
          <w:sz w:val="20"/>
          <w:szCs w:val="20"/>
          <w:lang w:eastAsia="en-US"/>
        </w:rPr>
      </w:pPr>
    </w:p>
    <w:p w14:paraId="11610703" w14:textId="77777777" w:rsidR="00224C09" w:rsidRPr="00224C09" w:rsidRDefault="00224C09" w:rsidP="00224C09">
      <w:pPr>
        <w:spacing w:after="0" w:line="240" w:lineRule="auto"/>
        <w:ind w:left="1416"/>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 xml:space="preserve">“[L]a respuesta penal es contraria a la Convención Americana cuando se trata de delitos contra el honor que implican ofensas e imputación de </w:t>
      </w:r>
      <w:r w:rsidRPr="00224C09">
        <w:rPr>
          <w:rFonts w:ascii="Verdana" w:eastAsiaTheme="minorHAnsi" w:hAnsi="Verdana" w:cs="Arial"/>
          <w:sz w:val="20"/>
          <w:szCs w:val="20"/>
          <w:lang w:eastAsia="en-US"/>
        </w:rPr>
        <w:lastRenderedPageBreak/>
        <w:t>hechos ofensivos. Así, la prohibición de la persecución criminal no debe basarse en la eventual calificación de interés público de las declaraciones que dieron lugar a la responsabilidad ulterior, sino en la condición de funcionario público o de autoridad pública de aquella persona cuyo honor ha sido supuestamente afectado. De esta forma, la Corte ha sostenido que se evitaría el efecto amedrentador (“</w:t>
      </w:r>
      <w:proofErr w:type="spellStart"/>
      <w:r w:rsidRPr="00224C09">
        <w:rPr>
          <w:rFonts w:ascii="Verdana" w:eastAsiaTheme="minorHAnsi" w:hAnsi="Verdana" w:cs="Arial"/>
          <w:sz w:val="20"/>
          <w:szCs w:val="20"/>
          <w:lang w:eastAsia="en-US"/>
        </w:rPr>
        <w:t>chilling</w:t>
      </w:r>
      <w:proofErr w:type="spellEnd"/>
      <w:r w:rsidRPr="00224C09">
        <w:rPr>
          <w:rFonts w:ascii="Verdana" w:eastAsiaTheme="minorHAnsi" w:hAnsi="Verdana" w:cs="Arial"/>
          <w:sz w:val="20"/>
          <w:szCs w:val="20"/>
          <w:lang w:eastAsia="en-US"/>
        </w:rPr>
        <w:t xml:space="preserve"> </w:t>
      </w:r>
      <w:proofErr w:type="spellStart"/>
      <w:r w:rsidRPr="00224C09">
        <w:rPr>
          <w:rFonts w:ascii="Verdana" w:eastAsiaTheme="minorHAnsi" w:hAnsi="Verdana" w:cs="Arial"/>
          <w:sz w:val="20"/>
          <w:szCs w:val="20"/>
          <w:lang w:eastAsia="en-US"/>
        </w:rPr>
        <w:t>effect</w:t>
      </w:r>
      <w:proofErr w:type="spellEnd"/>
      <w:r w:rsidRPr="00224C09">
        <w:rPr>
          <w:rFonts w:ascii="Verdana" w:eastAsiaTheme="minorHAnsi" w:hAnsi="Verdana" w:cs="Arial"/>
          <w:sz w:val="20"/>
          <w:szCs w:val="20"/>
          <w:lang w:eastAsia="en-US"/>
        </w:rPr>
        <w:t>”) causado por la iniciación de un proceso penal, así como sus repercusiones en el disfrute de la libertad de expresión, y el debilitamiento y empobrecimiento del debate sobre cuestiones de interés público. Con ello, se salvaguarda de forma efectiva el derecho a la libertad de expresión, ya que, al descartar de forma inmediata la posibilidad de iniciar un proceso penal, se evita el empleo de este medio para inhibir o desalentar las voces disidentes o las denuncias contra funcionarios públicos”</w:t>
      </w:r>
      <w:r w:rsidRPr="00224C09">
        <w:rPr>
          <w:rFonts w:eastAsiaTheme="minorHAnsi"/>
          <w:vertAlign w:val="superscript"/>
          <w:lang w:eastAsia="en-US"/>
        </w:rPr>
        <w:footnoteReference w:id="11"/>
      </w:r>
      <w:r w:rsidRPr="00224C09">
        <w:rPr>
          <w:rFonts w:ascii="Verdana" w:eastAsiaTheme="minorHAnsi" w:hAnsi="Verdana" w:cs="Arial"/>
          <w:sz w:val="20"/>
          <w:szCs w:val="20"/>
          <w:lang w:eastAsia="en-US"/>
        </w:rPr>
        <w:t>.</w:t>
      </w:r>
    </w:p>
    <w:p w14:paraId="5256A799" w14:textId="77777777" w:rsidR="00224C09" w:rsidRPr="00224C09" w:rsidRDefault="00224C09" w:rsidP="00224C09">
      <w:pPr>
        <w:spacing w:after="0" w:line="240" w:lineRule="auto"/>
        <w:jc w:val="both"/>
        <w:rPr>
          <w:rFonts w:ascii="Verdana" w:eastAsiaTheme="minorHAnsi" w:hAnsi="Verdana" w:cs="Arial"/>
          <w:sz w:val="20"/>
          <w:szCs w:val="20"/>
          <w:lang w:eastAsia="en-US"/>
        </w:rPr>
      </w:pPr>
    </w:p>
    <w:p w14:paraId="61688A8C" w14:textId="77777777"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Como consecuencia de ello, la Corte plantea que los Estados deben implementar mecanismos no penales para proteger el honor de los funcionarios públicos, como la rectificación, respuesta o compensación civil</w:t>
      </w:r>
      <w:r w:rsidRPr="00224C09">
        <w:rPr>
          <w:rFonts w:eastAsiaTheme="minorHAnsi"/>
          <w:vertAlign w:val="superscript"/>
          <w:lang w:eastAsia="en-US"/>
        </w:rPr>
        <w:footnoteReference w:id="12"/>
      </w:r>
      <w:r w:rsidRPr="00224C09">
        <w:rPr>
          <w:rFonts w:ascii="Verdana" w:eastAsiaTheme="minorHAnsi" w:hAnsi="Verdana" w:cs="Arial"/>
          <w:sz w:val="20"/>
          <w:szCs w:val="20"/>
          <w:lang w:eastAsia="en-US"/>
        </w:rPr>
        <w:t>. Estas medidas deben cumplir con el principio de proporcionalidad y evitar sanciones excesivas que puedan desincentivar la libertad de expresión, en particular en contextos de relevancia política o electoral</w:t>
      </w:r>
      <w:r w:rsidRPr="00224C09">
        <w:rPr>
          <w:rFonts w:eastAsiaTheme="minorHAnsi"/>
          <w:vertAlign w:val="superscript"/>
          <w:lang w:eastAsia="en-US"/>
        </w:rPr>
        <w:footnoteReference w:id="13"/>
      </w:r>
      <w:r w:rsidRPr="00224C09">
        <w:rPr>
          <w:rFonts w:ascii="Verdana" w:eastAsiaTheme="minorHAnsi" w:hAnsi="Verdana" w:cs="Arial"/>
          <w:sz w:val="20"/>
          <w:szCs w:val="20"/>
          <w:lang w:eastAsia="en-US"/>
        </w:rPr>
        <w:t>.</w:t>
      </w:r>
    </w:p>
    <w:p w14:paraId="02980144" w14:textId="77777777" w:rsidR="00224C09" w:rsidRPr="00224C09" w:rsidRDefault="00224C09" w:rsidP="00224C09">
      <w:pPr>
        <w:spacing w:after="0" w:line="240" w:lineRule="auto"/>
        <w:jc w:val="both"/>
        <w:rPr>
          <w:rFonts w:ascii="Verdana" w:eastAsiaTheme="minorHAnsi" w:hAnsi="Verdana" w:cs="Arial"/>
          <w:sz w:val="20"/>
          <w:szCs w:val="20"/>
          <w:lang w:eastAsia="en-US"/>
        </w:rPr>
      </w:pPr>
    </w:p>
    <w:p w14:paraId="1C755077" w14:textId="77777777"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Con base a estos estándares la Corte analiza el caso concreto. Así, el Tribunal aborda la relación entre el derecho de defensa y la libertad de expresión, especialmente en el contexto de la sanción impuesta a Henrique Capriles por expresar opiniones sobre la parcialidad de la Sala Constitucional del Tribunal Supremo de Justicia (TSJ) de Venezuela</w:t>
      </w:r>
      <w:r w:rsidRPr="00224C09">
        <w:rPr>
          <w:rFonts w:eastAsiaTheme="minorHAnsi"/>
          <w:vertAlign w:val="superscript"/>
          <w:lang w:eastAsia="en-US"/>
        </w:rPr>
        <w:footnoteReference w:id="14"/>
      </w:r>
      <w:r w:rsidRPr="00224C09">
        <w:rPr>
          <w:rFonts w:ascii="Verdana" w:eastAsiaTheme="minorHAnsi" w:hAnsi="Verdana" w:cs="Arial"/>
          <w:sz w:val="20"/>
          <w:szCs w:val="20"/>
          <w:lang w:eastAsia="en-US"/>
        </w:rPr>
        <w:t>. La Corte sostiene que, de acuerdo con el artículo 8 de la Convención Americana, el derecho a la defensa es un elemento fundamental del debido proceso, el cual se aplica tanto en procedimientos penales como en otros tipos de procesos judiciales</w:t>
      </w:r>
      <w:r w:rsidRPr="00224C09">
        <w:rPr>
          <w:rFonts w:eastAsiaTheme="minorHAnsi"/>
          <w:vertAlign w:val="superscript"/>
          <w:lang w:eastAsia="en-US"/>
        </w:rPr>
        <w:footnoteReference w:id="15"/>
      </w:r>
      <w:r w:rsidRPr="00224C09">
        <w:rPr>
          <w:rFonts w:ascii="Verdana" w:eastAsiaTheme="minorHAnsi" w:hAnsi="Verdana" w:cs="Arial"/>
          <w:sz w:val="20"/>
          <w:szCs w:val="20"/>
          <w:lang w:eastAsia="en-US"/>
        </w:rPr>
        <w:t>. Esto implica que las personas tienen el derecho de manifestarse y de recibir defensa técnica en los procedimientos que les afectan, derechos que deben ser respetados en un marco de garantías judiciales</w:t>
      </w:r>
      <w:r w:rsidRPr="00224C09">
        <w:rPr>
          <w:rFonts w:eastAsiaTheme="minorHAnsi"/>
          <w:vertAlign w:val="superscript"/>
          <w:lang w:eastAsia="en-US"/>
        </w:rPr>
        <w:footnoteReference w:id="16"/>
      </w:r>
      <w:r w:rsidRPr="00224C09">
        <w:rPr>
          <w:rFonts w:ascii="Verdana" w:eastAsiaTheme="minorHAnsi" w:hAnsi="Verdana" w:cs="Arial"/>
          <w:sz w:val="20"/>
          <w:szCs w:val="20"/>
          <w:lang w:eastAsia="en-US"/>
        </w:rPr>
        <w:t>.</w:t>
      </w:r>
    </w:p>
    <w:p w14:paraId="5B9CB900" w14:textId="77777777" w:rsidR="00224C09" w:rsidRPr="00224C09" w:rsidRDefault="00224C09" w:rsidP="00224C09">
      <w:pPr>
        <w:spacing w:after="0" w:line="240" w:lineRule="auto"/>
        <w:ind w:left="720"/>
        <w:contextualSpacing/>
        <w:rPr>
          <w:rFonts w:ascii="Verdana" w:eastAsiaTheme="minorHAnsi" w:hAnsi="Verdana" w:cs="Arial"/>
          <w:sz w:val="20"/>
          <w:szCs w:val="20"/>
          <w:lang w:eastAsia="en-US"/>
        </w:rPr>
      </w:pPr>
    </w:p>
    <w:p w14:paraId="267228B1" w14:textId="77777777"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El Tribunal observa que las expresiones del señor Capriles, en las que cuestionó la imparcialidad de la Sala Constitucional, forman parte legítima de su derecho a la defensa y su libertad de expresión. La Corte critica que la Sala Constitucional no justificara adecuadamente las razones para imponerle una multa por "irrespetar" la "majestad" del Poder Judicial</w:t>
      </w:r>
      <w:r w:rsidRPr="00224C09">
        <w:rPr>
          <w:rFonts w:eastAsiaTheme="minorHAnsi"/>
          <w:vertAlign w:val="superscript"/>
          <w:lang w:eastAsia="en-US"/>
        </w:rPr>
        <w:footnoteReference w:id="17"/>
      </w:r>
      <w:r w:rsidRPr="00224C09">
        <w:rPr>
          <w:rFonts w:ascii="Verdana" w:eastAsiaTheme="minorHAnsi" w:hAnsi="Verdana" w:cs="Arial"/>
          <w:sz w:val="20"/>
          <w:szCs w:val="20"/>
          <w:lang w:eastAsia="en-US"/>
        </w:rPr>
        <w:t>. Al no especificar cuáles fueron las expresiones que presuntamente ofendieron al Poder Judicial ni cómo estas afectaron el desarrollo ordenado del proceso, la Corte concluye que la sanción fue arbitraria y vulneró tanto el derecho de defensa como la libertad de expresión del señor Capriles</w:t>
      </w:r>
      <w:r w:rsidRPr="00224C09">
        <w:rPr>
          <w:rFonts w:eastAsiaTheme="minorHAnsi"/>
          <w:vertAlign w:val="superscript"/>
          <w:lang w:eastAsia="en-US"/>
        </w:rPr>
        <w:footnoteReference w:id="18"/>
      </w:r>
      <w:r w:rsidRPr="00224C09">
        <w:rPr>
          <w:rFonts w:ascii="Verdana" w:eastAsiaTheme="minorHAnsi" w:hAnsi="Verdana" w:cs="Arial"/>
          <w:sz w:val="20"/>
          <w:szCs w:val="20"/>
          <w:lang w:eastAsia="en-US"/>
        </w:rPr>
        <w:t>.</w:t>
      </w:r>
    </w:p>
    <w:p w14:paraId="048FD32A" w14:textId="77777777" w:rsidR="00224C09" w:rsidRPr="00224C09" w:rsidRDefault="00224C09" w:rsidP="00224C09">
      <w:pPr>
        <w:spacing w:after="0" w:line="240" w:lineRule="auto"/>
        <w:ind w:left="720"/>
        <w:contextualSpacing/>
        <w:rPr>
          <w:rFonts w:ascii="Verdana" w:eastAsiaTheme="minorHAnsi" w:hAnsi="Verdana" w:cs="Arial"/>
          <w:sz w:val="20"/>
          <w:szCs w:val="20"/>
          <w:lang w:eastAsia="en-US"/>
        </w:rPr>
      </w:pPr>
    </w:p>
    <w:p w14:paraId="1CA4A2F7" w14:textId="77777777"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lastRenderedPageBreak/>
        <w:t>Además, la Corte considera que la remisión del caso al Ministerio Público para una posible sanción penal fue una medida desproporcionada e incompatible con la Convención, ya que el derecho penal no debe utilizarse para proteger el honor de funcionarios públicos</w:t>
      </w:r>
      <w:r w:rsidRPr="00224C09">
        <w:rPr>
          <w:rFonts w:eastAsiaTheme="minorHAnsi"/>
          <w:vertAlign w:val="superscript"/>
          <w:lang w:eastAsia="en-US"/>
        </w:rPr>
        <w:footnoteReference w:id="19"/>
      </w:r>
      <w:r w:rsidRPr="00224C09">
        <w:rPr>
          <w:rFonts w:ascii="Verdana" w:eastAsiaTheme="minorHAnsi" w:hAnsi="Verdana" w:cs="Arial"/>
          <w:sz w:val="20"/>
          <w:szCs w:val="20"/>
          <w:lang w:eastAsia="en-US"/>
        </w:rPr>
        <w:t>. Este tipo de acción tendría un efecto amedrentador (“</w:t>
      </w:r>
      <w:proofErr w:type="spellStart"/>
      <w:r w:rsidRPr="00224C09">
        <w:rPr>
          <w:rFonts w:ascii="Verdana" w:eastAsiaTheme="minorHAnsi" w:hAnsi="Verdana" w:cs="Arial"/>
          <w:sz w:val="20"/>
          <w:szCs w:val="20"/>
          <w:lang w:eastAsia="en-US"/>
        </w:rPr>
        <w:t>chilling</w:t>
      </w:r>
      <w:proofErr w:type="spellEnd"/>
      <w:r w:rsidRPr="00224C09">
        <w:rPr>
          <w:rFonts w:ascii="Verdana" w:eastAsiaTheme="minorHAnsi" w:hAnsi="Verdana" w:cs="Arial"/>
          <w:sz w:val="20"/>
          <w:szCs w:val="20"/>
          <w:lang w:eastAsia="en-US"/>
        </w:rPr>
        <w:t xml:space="preserve"> </w:t>
      </w:r>
      <w:proofErr w:type="spellStart"/>
      <w:r w:rsidRPr="00224C09">
        <w:rPr>
          <w:rFonts w:ascii="Verdana" w:eastAsiaTheme="minorHAnsi" w:hAnsi="Verdana" w:cs="Arial"/>
          <w:sz w:val="20"/>
          <w:szCs w:val="20"/>
          <w:lang w:eastAsia="en-US"/>
        </w:rPr>
        <w:t>effect</w:t>
      </w:r>
      <w:proofErr w:type="spellEnd"/>
      <w:r w:rsidRPr="00224C09">
        <w:rPr>
          <w:rFonts w:ascii="Verdana" w:eastAsiaTheme="minorHAnsi" w:hAnsi="Verdana" w:cs="Arial"/>
          <w:sz w:val="20"/>
          <w:szCs w:val="20"/>
          <w:lang w:eastAsia="en-US"/>
        </w:rPr>
        <w:t>”) que inhibe la crítica y el debate público sobre asuntos de interés general, debilitando así la libertad de expresión. Por lo tanto, la Corte concluye que tanto la sanción económica como la posibilidad de una acción penal en este contexto representan violaciones a los derechos de defensa y libertad de expresión.</w:t>
      </w:r>
    </w:p>
    <w:p w14:paraId="730C93C0" w14:textId="77777777" w:rsidR="00224C09" w:rsidRPr="00224C09" w:rsidRDefault="00224C09" w:rsidP="00224C09">
      <w:pPr>
        <w:spacing w:after="0" w:line="240" w:lineRule="auto"/>
        <w:ind w:left="720"/>
        <w:contextualSpacing/>
        <w:rPr>
          <w:rFonts w:ascii="Verdana" w:eastAsiaTheme="minorHAnsi" w:hAnsi="Verdana" w:cs="Arial"/>
          <w:sz w:val="20"/>
          <w:szCs w:val="20"/>
          <w:lang w:eastAsia="en-US"/>
        </w:rPr>
      </w:pPr>
    </w:p>
    <w:p w14:paraId="448D2B87" w14:textId="77777777"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 xml:space="preserve">Como adelanté previamente, </w:t>
      </w:r>
      <w:r w:rsidRPr="00224C09">
        <w:rPr>
          <w:rFonts w:ascii="Verdana" w:eastAsiaTheme="minorHAnsi" w:hAnsi="Verdana"/>
          <w:color w:val="000000"/>
          <w:sz w:val="20"/>
          <w:szCs w:val="20"/>
          <w:lang w:eastAsia="en-US"/>
        </w:rPr>
        <w:t>la postura de la decisión mayoritaria sobre el alcance del derecho a la libertad de expresión, en relación con la protección del honor de los funcionarios públicos, establece un estándar demasiado restrictivo que no refleja adecuadamente las complejidades de nuestras sociedades. Al sostener que los funcionarios públicos no pueden acudir al derecho penal para defender su honor en respuesta a expresiones críticas, la decisión excluye casos en los que, efectivamente, el honor y la dignidad de un funcionario puedan ser gravemente lesionados por declaraciones que exceden el ámbito de la crítica legítima y pueden dañar su reputación sin justificación.</w:t>
      </w:r>
    </w:p>
    <w:p w14:paraId="76CBC0C4" w14:textId="77777777" w:rsidR="00224C09" w:rsidRPr="00224C09" w:rsidRDefault="00224C09" w:rsidP="00224C09">
      <w:pPr>
        <w:spacing w:after="0" w:line="240" w:lineRule="auto"/>
        <w:ind w:left="720"/>
        <w:contextualSpacing/>
        <w:rPr>
          <w:rFonts w:ascii="Verdana" w:eastAsiaTheme="minorHAnsi" w:hAnsi="Verdana" w:cs="Arial"/>
          <w:sz w:val="20"/>
          <w:szCs w:val="20"/>
          <w:lang w:eastAsia="en-US"/>
        </w:rPr>
      </w:pPr>
    </w:p>
    <w:p w14:paraId="01AF2089" w14:textId="77777777"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La posición adoptada por la Corte en esta decisión implica una despenalización total de aquellas conductas que, bajo la premisa de la libertad de expresión, afectan el derecho al honor de funcionarios públicos o personas involucradas en temas de interés público. Este modelo de respuesta estatal que la Corte promueve para los Estados de la región limita los mecanismos de prevención y protección de derechos convencionales. Como resultado, el derecho al honor de los funcionarios públicos queda en una posición de menor protección, a pesar de su reconocimiento como derecho convencionalmente protegido.</w:t>
      </w:r>
    </w:p>
    <w:p w14:paraId="367FC884" w14:textId="77777777" w:rsidR="00224C09" w:rsidRPr="00224C09" w:rsidRDefault="00224C09" w:rsidP="00224C09">
      <w:pPr>
        <w:spacing w:after="0" w:line="240" w:lineRule="auto"/>
        <w:ind w:left="720"/>
        <w:contextualSpacing/>
        <w:rPr>
          <w:rFonts w:ascii="Verdana" w:eastAsiaTheme="minorHAnsi" w:hAnsi="Verdana" w:cs="Arial"/>
          <w:sz w:val="20"/>
          <w:szCs w:val="20"/>
          <w:lang w:eastAsia="en-US"/>
        </w:rPr>
      </w:pPr>
    </w:p>
    <w:p w14:paraId="5F3C31E4" w14:textId="382E9472"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Así pues, tal como sostuv</w:t>
      </w:r>
      <w:r w:rsidR="00CD5A26">
        <w:rPr>
          <w:rFonts w:ascii="Verdana" w:eastAsiaTheme="minorHAnsi" w:hAnsi="Verdana" w:cs="Arial"/>
          <w:sz w:val="20"/>
          <w:szCs w:val="20"/>
          <w:lang w:eastAsia="en-US"/>
        </w:rPr>
        <w:t>ieron</w:t>
      </w:r>
      <w:r w:rsidRPr="00224C09">
        <w:rPr>
          <w:rFonts w:ascii="Verdana" w:eastAsiaTheme="minorHAnsi" w:hAnsi="Verdana" w:cs="Arial"/>
          <w:sz w:val="20"/>
          <w:szCs w:val="20"/>
          <w:lang w:eastAsia="en-US"/>
        </w:rPr>
        <w:t xml:space="preserve"> la jueza Hernández López y el juez Sierra Porto en el marco de su voto concurrente y parcialmente disidente del caso </w:t>
      </w:r>
      <w:proofErr w:type="spellStart"/>
      <w:r w:rsidRPr="00224C09">
        <w:rPr>
          <w:rFonts w:ascii="Verdana" w:eastAsiaTheme="minorHAnsi" w:hAnsi="Verdana" w:cs="Arial"/>
          <w:sz w:val="20"/>
          <w:szCs w:val="20"/>
          <w:lang w:eastAsia="en-US"/>
        </w:rPr>
        <w:t>Baraona</w:t>
      </w:r>
      <w:proofErr w:type="spellEnd"/>
      <w:r w:rsidRPr="00224C09">
        <w:rPr>
          <w:rFonts w:ascii="Verdana" w:eastAsiaTheme="minorHAnsi" w:hAnsi="Verdana" w:cs="Arial"/>
          <w:sz w:val="20"/>
          <w:szCs w:val="20"/>
          <w:lang w:eastAsia="en-US"/>
        </w:rPr>
        <w:t xml:space="preserve"> Bray vs. Chile:</w:t>
      </w:r>
    </w:p>
    <w:p w14:paraId="2352E2AE" w14:textId="77777777" w:rsidR="00224C09" w:rsidRPr="00224C09" w:rsidRDefault="00224C09" w:rsidP="00224C09">
      <w:pPr>
        <w:spacing w:after="0" w:line="240" w:lineRule="auto"/>
        <w:ind w:left="720"/>
        <w:contextualSpacing/>
        <w:rPr>
          <w:rFonts w:ascii="Verdana" w:eastAsiaTheme="minorHAnsi" w:hAnsi="Verdana" w:cs="Arial"/>
          <w:sz w:val="20"/>
          <w:szCs w:val="20"/>
          <w:lang w:eastAsia="en-US"/>
        </w:rPr>
      </w:pPr>
    </w:p>
    <w:p w14:paraId="3DCEE170" w14:textId="77777777" w:rsidR="00224C09" w:rsidRPr="00224C09" w:rsidRDefault="00224C09" w:rsidP="00224C09">
      <w:pPr>
        <w:spacing w:after="0" w:line="240" w:lineRule="auto"/>
        <w:ind w:left="1416"/>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“Esta postura, de despenalizar automáticamente toda controversia en que medie un funcionario público y un discurso de interés público, lejos de ampliar el margen de protección del derecho a la libertad de expresión, y fortalecer el debate público, agudiza la crisis de legitimidad de los sistemas democráticos de la región. Desproteger a los funcionarios públicos impidiendo que puedan exigir la protección de sus derechos y la prevención de acciones que los vulneren (especialmente en casos de evidente mala fe), debilita aún más la institucionalidad de los frágiles sistemas de nuestra región y es particularmente preocupante, por ejemplo, en el caso de los jueces por el rol que juegan en el Estado de derecho”</w:t>
      </w:r>
      <w:r w:rsidRPr="00224C09">
        <w:rPr>
          <w:rFonts w:eastAsiaTheme="minorHAnsi" w:cs="Arial"/>
          <w:vertAlign w:val="superscript"/>
          <w:lang w:eastAsia="en-US"/>
        </w:rPr>
        <w:footnoteReference w:id="20"/>
      </w:r>
      <w:r w:rsidRPr="00224C09">
        <w:rPr>
          <w:rFonts w:ascii="Verdana" w:eastAsiaTheme="minorHAnsi" w:hAnsi="Verdana" w:cs="Arial"/>
          <w:sz w:val="20"/>
          <w:szCs w:val="20"/>
          <w:lang w:eastAsia="en-US"/>
        </w:rPr>
        <w:t>.</w:t>
      </w:r>
    </w:p>
    <w:p w14:paraId="44AB5051" w14:textId="77777777" w:rsidR="00224C09" w:rsidRPr="00224C09" w:rsidRDefault="00224C09" w:rsidP="00224C09">
      <w:pPr>
        <w:spacing w:after="0" w:line="240" w:lineRule="auto"/>
        <w:ind w:left="1416"/>
        <w:contextualSpacing/>
        <w:jc w:val="both"/>
        <w:rPr>
          <w:rFonts w:ascii="Verdana" w:eastAsiaTheme="minorHAnsi" w:hAnsi="Verdana" w:cs="Arial"/>
          <w:sz w:val="20"/>
          <w:szCs w:val="20"/>
          <w:lang w:eastAsia="en-US"/>
        </w:rPr>
      </w:pPr>
    </w:p>
    <w:p w14:paraId="7B3509F7" w14:textId="7D8853FF"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 xml:space="preserve">La postura de la Corte al considerar que el ejercicio de la acción penal, en contextos relacionados con funcionarios públicos o asuntos de interés público, constituye en sí misma una amenaza a la libertad de expresión parece </w:t>
      </w:r>
      <w:r w:rsidRPr="00224C09">
        <w:rPr>
          <w:rFonts w:ascii="Verdana" w:eastAsiaTheme="minorHAnsi" w:hAnsi="Verdana" w:cs="Arial"/>
          <w:sz w:val="20"/>
          <w:szCs w:val="20"/>
          <w:lang w:eastAsia="en-US"/>
        </w:rPr>
        <w:lastRenderedPageBreak/>
        <w:t>desconectarse de la necesidad de balancear este derecho con otros principios igualmente relevantes en un Estado de Derecho. En una democracia, el derecho penal no tiene únicamente un efecto intimidante, sino también una función protectora para los derechos de los ciudadanos, quienes confían en que las autoridades judiciales act</w:t>
      </w:r>
      <w:r w:rsidR="00A579DB">
        <w:rPr>
          <w:rFonts w:ascii="Verdana" w:eastAsiaTheme="minorHAnsi" w:hAnsi="Verdana" w:cs="Arial"/>
          <w:sz w:val="20"/>
          <w:szCs w:val="20"/>
          <w:lang w:eastAsia="en-US"/>
        </w:rPr>
        <w:t>uarán</w:t>
      </w:r>
      <w:r w:rsidRPr="00224C09">
        <w:rPr>
          <w:rFonts w:ascii="Verdana" w:eastAsiaTheme="minorHAnsi" w:hAnsi="Verdana" w:cs="Arial"/>
          <w:sz w:val="20"/>
          <w:szCs w:val="20"/>
          <w:lang w:eastAsia="en-US"/>
        </w:rPr>
        <w:t xml:space="preserve"> para sancionar abusos y prevenir violaciones de derechos que revisten especial importancia, como los derechos personalísimos. El test de proporcionalidad, hasta ahora herramienta esencial para definir los límites legítimos de la libertad de expresión frente al uso del derecho penal, proporciona un equilibrio adecuado que permite tanto proteger este derecho como sancionar sus abusos en casos graves, como los discursos de odio o las incitaciones a la violencia, cuyo control es necesario para salvaguardar la cohesión social y los derechos de terceros.</w:t>
      </w:r>
    </w:p>
    <w:p w14:paraId="3CCC4111" w14:textId="77777777" w:rsidR="00224C09" w:rsidRPr="00224C09" w:rsidRDefault="00224C09" w:rsidP="00224C09">
      <w:pPr>
        <w:spacing w:after="0" w:line="240" w:lineRule="auto"/>
        <w:ind w:left="720"/>
        <w:contextualSpacing/>
        <w:jc w:val="both"/>
        <w:rPr>
          <w:rFonts w:ascii="Verdana" w:eastAsiaTheme="minorHAnsi" w:hAnsi="Verdana" w:cs="Arial"/>
          <w:sz w:val="20"/>
          <w:szCs w:val="20"/>
          <w:lang w:eastAsia="en-US"/>
        </w:rPr>
      </w:pPr>
    </w:p>
    <w:p w14:paraId="02E8F814" w14:textId="695E799F"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 xml:space="preserve">En esta línea, la completa exclusión del derecho penal en estos contextos podría provocar una reducción de la capacidad del Estado para proteger la dignidad y los derechos de las personas frente a manifestaciones de odio o ataques a la honra de funcionarios públicos, generando un impacto negativo en la confianza en las instituciones democráticas. En este sentido, si bien la libertad de expresión es una piedra angular de cualquier sistema democrático, su ejercicio abusivo debe ser sujeto de un control equilibrado para evitar que se convierta en una herramienta de desinformación y desprestigio malintencionado que dañe la institucionalidad democrática y el respeto por las autoridades. Por lo tanto, el uso de instrumentos como el test de proporcionalidad, el cual había sido usado por la Corte antes del caso </w:t>
      </w:r>
      <w:proofErr w:type="spellStart"/>
      <w:r w:rsidRPr="00224C09">
        <w:rPr>
          <w:rFonts w:ascii="Verdana" w:eastAsiaTheme="minorHAnsi" w:hAnsi="Verdana" w:cs="Arial"/>
          <w:sz w:val="20"/>
          <w:szCs w:val="20"/>
          <w:lang w:eastAsia="en-US"/>
        </w:rPr>
        <w:t>Baraona</w:t>
      </w:r>
      <w:proofErr w:type="spellEnd"/>
      <w:r w:rsidRPr="00224C09">
        <w:rPr>
          <w:rFonts w:ascii="Verdana" w:eastAsiaTheme="minorHAnsi" w:hAnsi="Verdana" w:cs="Arial"/>
          <w:sz w:val="20"/>
          <w:szCs w:val="20"/>
          <w:lang w:eastAsia="en-US"/>
        </w:rPr>
        <w:t xml:space="preserve"> Bray vs. Chile para resolver asuntos de este tipo, permit</w:t>
      </w:r>
      <w:r w:rsidR="003C07AB">
        <w:rPr>
          <w:rFonts w:ascii="Verdana" w:eastAsiaTheme="minorHAnsi" w:hAnsi="Verdana" w:cs="Arial"/>
          <w:sz w:val="20"/>
          <w:szCs w:val="20"/>
          <w:lang w:eastAsia="en-US"/>
        </w:rPr>
        <w:t>iría u</w:t>
      </w:r>
      <w:r w:rsidRPr="00224C09">
        <w:rPr>
          <w:rFonts w:ascii="Verdana" w:eastAsiaTheme="minorHAnsi" w:hAnsi="Verdana" w:cs="Arial"/>
          <w:sz w:val="20"/>
          <w:szCs w:val="20"/>
          <w:lang w:eastAsia="en-US"/>
        </w:rPr>
        <w:t>n abordaje flexible y adaptado al contexto, que reconozca los intereses en juego sin renunciar a los controles necesarios para evitar daños significativos a los derechos humanos y a la democracia.</w:t>
      </w:r>
    </w:p>
    <w:p w14:paraId="3E81D502" w14:textId="77777777" w:rsidR="00224C09" w:rsidRPr="00224C09" w:rsidRDefault="00224C09" w:rsidP="00224C09">
      <w:pPr>
        <w:spacing w:after="0" w:line="240" w:lineRule="auto"/>
        <w:ind w:left="720"/>
        <w:contextualSpacing/>
        <w:rPr>
          <w:rFonts w:ascii="Verdana" w:eastAsiaTheme="minorHAnsi" w:hAnsi="Verdana" w:cs="Arial"/>
          <w:sz w:val="20"/>
          <w:szCs w:val="20"/>
          <w:lang w:eastAsia="en-US"/>
        </w:rPr>
      </w:pPr>
    </w:p>
    <w:p w14:paraId="15D57AFC" w14:textId="1D5E73B4"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En definitiva, la interpretación mayoritaria se fundamenta en la idea de que, debido a la naturaleza pública de sus</w:t>
      </w:r>
      <w:r w:rsidR="009C79FB">
        <w:rPr>
          <w:rFonts w:ascii="Verdana" w:eastAsiaTheme="minorHAnsi" w:hAnsi="Verdana" w:cs="Arial"/>
          <w:sz w:val="20"/>
          <w:szCs w:val="20"/>
          <w:lang w:eastAsia="en-US"/>
        </w:rPr>
        <w:t xml:space="preserve"> labores</w:t>
      </w:r>
      <w:r w:rsidRPr="00224C09">
        <w:rPr>
          <w:rFonts w:ascii="Verdana" w:eastAsiaTheme="minorHAnsi" w:hAnsi="Verdana" w:cs="Arial"/>
          <w:sz w:val="20"/>
          <w:szCs w:val="20"/>
          <w:lang w:eastAsia="en-US"/>
        </w:rPr>
        <w:t>, los funcionarios deben estar sujetos a un mayor escrutinio y tolerar un nivel elevado de crítica. Sin embargo, considero que esta postura ignora situaciones en las que las expresiones pueden constituir ataques personales que trascienden el debate público y afectan gravemente su honor. En una sociedad democrática, la libertad de expresión debe equilibrarse con el derecho a la protección del honor, especialmente en aquellos casos en que la crítica deja de ser razonable y se convierte en una agresión. Por ello, sostengo que el recurso al derecho penal, en ciertas circunstancias y bajo estrictos estándares de proporcionalidad, podría ser una herramienta legítima para tutelar la dignidad de los funcionarios públicos.</w:t>
      </w:r>
      <w:r w:rsidR="00880DD8">
        <w:rPr>
          <w:rFonts w:ascii="Verdana" w:eastAsiaTheme="minorHAnsi" w:hAnsi="Verdana" w:cs="Arial"/>
          <w:sz w:val="20"/>
          <w:szCs w:val="20"/>
          <w:lang w:eastAsia="en-US"/>
        </w:rPr>
        <w:t xml:space="preserve"> En otros términos, la circunstancia de despeñarse como </w:t>
      </w:r>
      <w:r w:rsidR="00551928">
        <w:rPr>
          <w:rFonts w:ascii="Verdana" w:eastAsiaTheme="minorHAnsi" w:hAnsi="Verdana" w:cs="Arial"/>
          <w:sz w:val="20"/>
          <w:szCs w:val="20"/>
          <w:lang w:eastAsia="en-US"/>
        </w:rPr>
        <w:t>tales</w:t>
      </w:r>
      <w:r w:rsidR="008959A8">
        <w:rPr>
          <w:rFonts w:ascii="Verdana" w:eastAsiaTheme="minorHAnsi" w:hAnsi="Verdana" w:cs="Arial"/>
          <w:sz w:val="20"/>
          <w:szCs w:val="20"/>
          <w:lang w:eastAsia="en-US"/>
        </w:rPr>
        <w:t xml:space="preserve"> </w:t>
      </w:r>
      <w:r w:rsidR="00551928">
        <w:rPr>
          <w:rFonts w:ascii="Verdana" w:eastAsiaTheme="minorHAnsi" w:hAnsi="Verdana" w:cs="Arial"/>
          <w:sz w:val="20"/>
          <w:szCs w:val="20"/>
          <w:lang w:eastAsia="en-US"/>
        </w:rPr>
        <w:t xml:space="preserve">no puede redundar en su exclusión como titulares de los derechos que la Convención reconoce y protege. </w:t>
      </w:r>
    </w:p>
    <w:p w14:paraId="39DBC414" w14:textId="77777777" w:rsidR="00224C09" w:rsidRPr="00224C09" w:rsidRDefault="00224C09" w:rsidP="00224C09">
      <w:pPr>
        <w:spacing w:after="0" w:line="240" w:lineRule="auto"/>
        <w:jc w:val="both"/>
        <w:rPr>
          <w:rFonts w:ascii="Garamond" w:eastAsiaTheme="minorHAnsi" w:hAnsi="Garamond" w:cs="Arial"/>
          <w:lang w:eastAsia="en-US"/>
        </w:rPr>
      </w:pPr>
    </w:p>
    <w:p w14:paraId="3EFE0563" w14:textId="77777777" w:rsidR="00224C09" w:rsidRPr="00224C09" w:rsidRDefault="00224C09" w:rsidP="00224C09">
      <w:pPr>
        <w:numPr>
          <w:ilvl w:val="0"/>
          <w:numId w:val="1"/>
        </w:numPr>
        <w:spacing w:after="0" w:line="240" w:lineRule="auto"/>
        <w:contextualSpacing/>
        <w:jc w:val="both"/>
        <w:rPr>
          <w:rFonts w:ascii="Verdana" w:eastAsiaTheme="minorHAnsi" w:hAnsi="Verdana" w:cs="Arial"/>
          <w:b/>
          <w:bCs/>
          <w:sz w:val="20"/>
          <w:szCs w:val="20"/>
          <w:lang w:eastAsia="en-US"/>
        </w:rPr>
      </w:pPr>
      <w:r w:rsidRPr="00224C09">
        <w:rPr>
          <w:rFonts w:ascii="Verdana" w:eastAsiaTheme="minorHAnsi" w:hAnsi="Verdana" w:cs="Arial"/>
          <w:b/>
          <w:bCs/>
          <w:sz w:val="20"/>
          <w:szCs w:val="20"/>
          <w:lang w:eastAsia="en-US"/>
        </w:rPr>
        <w:t xml:space="preserve">La orden de adopción de disposiciones de derecho interno sin vulneración del artículo 2 de la Convención Americana sobre Derechos Humanos </w:t>
      </w:r>
    </w:p>
    <w:p w14:paraId="322183CD" w14:textId="77777777" w:rsidR="00224C09" w:rsidRPr="00224C09" w:rsidRDefault="00224C09" w:rsidP="00224C09">
      <w:pPr>
        <w:spacing w:after="0" w:line="240" w:lineRule="auto"/>
        <w:ind w:left="1080"/>
        <w:contextualSpacing/>
        <w:jc w:val="both"/>
        <w:rPr>
          <w:rFonts w:ascii="Verdana" w:eastAsiaTheme="minorHAnsi" w:hAnsi="Verdana" w:cs="Arial"/>
          <w:b/>
          <w:bCs/>
          <w:sz w:val="20"/>
          <w:szCs w:val="20"/>
          <w:lang w:eastAsia="en-US"/>
        </w:rPr>
      </w:pPr>
    </w:p>
    <w:p w14:paraId="4ACA2B56" w14:textId="77777777" w:rsidR="00224C09" w:rsidRPr="00224C09" w:rsidRDefault="00224C09" w:rsidP="00224C09">
      <w:pPr>
        <w:numPr>
          <w:ilvl w:val="0"/>
          <w:numId w:val="2"/>
        </w:numPr>
        <w:spacing w:before="140" w:after="0" w:line="240" w:lineRule="auto"/>
        <w:contextualSpacing/>
        <w:jc w:val="both"/>
        <w:rPr>
          <w:rFonts w:ascii="Verdana" w:eastAsia="MS Mincho" w:hAnsi="Verdana" w:cs="Times New Roman"/>
          <w:color w:val="000000"/>
          <w:kern w:val="0"/>
          <w:sz w:val="20"/>
          <w:szCs w:val="20"/>
          <w:lang w:val="es-ES_tradnl" w:eastAsia="en-US"/>
          <w14:ligatures w14:val="none"/>
        </w:rPr>
      </w:pPr>
      <w:r w:rsidRPr="00224C09">
        <w:rPr>
          <w:rFonts w:ascii="Verdana" w:eastAsia="MS Mincho" w:hAnsi="Verdana" w:cs="Times New Roman"/>
          <w:color w:val="000000"/>
          <w:kern w:val="0"/>
          <w:sz w:val="20"/>
          <w:szCs w:val="20"/>
          <w:lang w:val="es-ES_tradnl" w:eastAsia="en-US"/>
          <w14:ligatures w14:val="none"/>
        </w:rPr>
        <w:t>El artículo 2 de la Convención Americana dispone lo siguiente:</w:t>
      </w:r>
    </w:p>
    <w:p w14:paraId="48ED503E" w14:textId="77777777" w:rsidR="00224C09" w:rsidRPr="00224C09" w:rsidRDefault="00224C09" w:rsidP="00224C09">
      <w:pPr>
        <w:spacing w:before="140" w:after="0" w:line="240" w:lineRule="auto"/>
        <w:ind w:left="1416"/>
        <w:jc w:val="both"/>
        <w:rPr>
          <w:rFonts w:ascii="Verdana" w:eastAsia="MS Mincho" w:hAnsi="Verdana" w:cs="Times New Roman"/>
          <w:color w:val="000000"/>
          <w:kern w:val="0"/>
          <w:sz w:val="20"/>
          <w:szCs w:val="20"/>
          <w:lang w:val="es-ES_tradnl" w:eastAsia="en-US"/>
          <w14:ligatures w14:val="none"/>
        </w:rPr>
      </w:pPr>
      <w:r w:rsidRPr="00224C09">
        <w:rPr>
          <w:rFonts w:ascii="Verdana" w:eastAsia="MS Mincho" w:hAnsi="Verdana" w:cs="Times New Roman"/>
          <w:color w:val="000000"/>
          <w:kern w:val="0"/>
          <w:sz w:val="20"/>
          <w:szCs w:val="20"/>
          <w:lang w:val="es-ES_tradnl" w:eastAsia="en-US"/>
          <w14:ligatures w14:val="none"/>
        </w:rPr>
        <w:t xml:space="preserve">“Si el ejercicio de los derechos y libertades mencionados en el artículo 1 no estuviere ya garantizado por disposiciones legislativas o de otro carácter, los Estados Parte se comprometen a adoptar, con arreglo a sus procedimientos constitucionales y a las disposiciones de esta Convención, </w:t>
      </w:r>
      <w:r w:rsidRPr="00224C09">
        <w:rPr>
          <w:rFonts w:ascii="Verdana" w:eastAsia="MS Mincho" w:hAnsi="Verdana" w:cs="Times New Roman"/>
          <w:color w:val="000000"/>
          <w:kern w:val="0"/>
          <w:sz w:val="20"/>
          <w:szCs w:val="20"/>
          <w:lang w:val="es-ES_tradnl" w:eastAsia="en-US"/>
          <w14:ligatures w14:val="none"/>
        </w:rPr>
        <w:lastRenderedPageBreak/>
        <w:t>las medidas legislativas o de otro carácter que fueren necesarias para hacer efectivos tales derechos y libertades”.</w:t>
      </w:r>
    </w:p>
    <w:p w14:paraId="532C37BC" w14:textId="77777777" w:rsidR="00224C09" w:rsidRPr="00224C09" w:rsidRDefault="00224C09" w:rsidP="00224C09">
      <w:pPr>
        <w:numPr>
          <w:ilvl w:val="0"/>
          <w:numId w:val="2"/>
        </w:numPr>
        <w:spacing w:before="140" w:after="0" w:line="240" w:lineRule="auto"/>
        <w:jc w:val="both"/>
        <w:rPr>
          <w:rFonts w:ascii="Verdana" w:eastAsia="MS Mincho" w:hAnsi="Verdana" w:cs="Times New Roman"/>
          <w:color w:val="000000"/>
          <w:kern w:val="0"/>
          <w:sz w:val="20"/>
          <w:szCs w:val="20"/>
          <w:lang w:val="es-ES_tradnl" w:eastAsia="en-US"/>
          <w14:ligatures w14:val="none"/>
        </w:rPr>
      </w:pPr>
      <w:r w:rsidRPr="00224C09">
        <w:rPr>
          <w:rFonts w:ascii="Verdana" w:eastAsia="MS Mincho" w:hAnsi="Verdana" w:cs="Times New Roman"/>
          <w:color w:val="000000"/>
          <w:kern w:val="0"/>
          <w:sz w:val="20"/>
          <w:szCs w:val="20"/>
          <w:lang w:val="es-ES_tradnl" w:eastAsia="en-US"/>
          <w14:ligatures w14:val="none"/>
        </w:rPr>
        <w:t>Tal como ha señalado la jurisprudencia constante de este Tribunal, en el derecho de gentes, una norma consuetudinaria, caracterizada por su aceptación universal, prescribe que un Estado que ha ratificado un tratado de derechos humanos debe introducir en su derecho interno las modificaciones necesarias para asegurar el fiel cumplimiento de las obligaciones asumidas</w:t>
      </w:r>
      <w:r w:rsidRPr="00224C09">
        <w:rPr>
          <w:rFonts w:ascii="Verdana" w:eastAsia="MS Mincho" w:hAnsi="Verdana" w:cs="Times New Roman"/>
          <w:color w:val="000000"/>
          <w:kern w:val="0"/>
          <w:sz w:val="20"/>
          <w:szCs w:val="20"/>
          <w:vertAlign w:val="superscript"/>
          <w:lang w:val="es-ES_tradnl" w:eastAsia="en-US"/>
          <w14:ligatures w14:val="none"/>
        </w:rPr>
        <w:footnoteReference w:id="21"/>
      </w:r>
      <w:r w:rsidRPr="00224C09">
        <w:rPr>
          <w:rFonts w:ascii="Verdana" w:eastAsia="MS Mincho" w:hAnsi="Verdana" w:cs="Times New Roman"/>
          <w:color w:val="000000"/>
          <w:kern w:val="0"/>
          <w:sz w:val="20"/>
          <w:szCs w:val="20"/>
          <w:lang w:val="es-ES_tradnl" w:eastAsia="en-US"/>
          <w14:ligatures w14:val="none"/>
        </w:rPr>
        <w:t xml:space="preserve">. En tal contexto, la Convención Americana establece la obligación general de cada Estado Parte de adecuar su derecho interno a las disposiciones de dicha Convención, para garantizar los derechos en ella establecidos. Como lo ha señalado la Corte, este deber general del Estado Parte implica que las medidas de derecho interno han de ser efectivas (principio del </w:t>
      </w:r>
      <w:proofErr w:type="spellStart"/>
      <w:r w:rsidRPr="00224C09">
        <w:rPr>
          <w:rFonts w:ascii="Verdana" w:eastAsia="MS Mincho" w:hAnsi="Verdana" w:cs="Times New Roman"/>
          <w:i/>
          <w:iCs/>
          <w:color w:val="000000"/>
          <w:kern w:val="0"/>
          <w:sz w:val="20"/>
          <w:szCs w:val="20"/>
          <w:lang w:val="es-ES_tradnl" w:eastAsia="en-US"/>
          <w14:ligatures w14:val="none"/>
        </w:rPr>
        <w:t>effet</w:t>
      </w:r>
      <w:proofErr w:type="spellEnd"/>
      <w:r w:rsidRPr="00224C09">
        <w:rPr>
          <w:rFonts w:ascii="Verdana" w:eastAsia="MS Mincho" w:hAnsi="Verdana" w:cs="Times New Roman"/>
          <w:i/>
          <w:iCs/>
          <w:color w:val="000000"/>
          <w:kern w:val="0"/>
          <w:sz w:val="20"/>
          <w:szCs w:val="20"/>
          <w:lang w:val="es-ES_tradnl" w:eastAsia="en-US"/>
          <w14:ligatures w14:val="none"/>
        </w:rPr>
        <w:t xml:space="preserve"> </w:t>
      </w:r>
      <w:proofErr w:type="spellStart"/>
      <w:r w:rsidRPr="00224C09">
        <w:rPr>
          <w:rFonts w:ascii="Verdana" w:eastAsia="MS Mincho" w:hAnsi="Verdana" w:cs="Times New Roman"/>
          <w:i/>
          <w:iCs/>
          <w:color w:val="000000"/>
          <w:kern w:val="0"/>
          <w:sz w:val="20"/>
          <w:szCs w:val="20"/>
          <w:lang w:val="es-ES_tradnl" w:eastAsia="en-US"/>
          <w14:ligatures w14:val="none"/>
        </w:rPr>
        <w:t>utile</w:t>
      </w:r>
      <w:proofErr w:type="spellEnd"/>
      <w:r w:rsidRPr="00224C09">
        <w:rPr>
          <w:rFonts w:ascii="Verdana" w:eastAsia="MS Mincho" w:hAnsi="Verdana" w:cs="Times New Roman"/>
          <w:color w:val="000000"/>
          <w:kern w:val="0"/>
          <w:sz w:val="20"/>
          <w:szCs w:val="20"/>
          <w:lang w:val="es-ES_tradnl" w:eastAsia="en-US"/>
          <w14:ligatures w14:val="none"/>
        </w:rPr>
        <w:t>), lo que significa que el Estado ha de adoptar todas las medidas para que lo establecido en la Convención sea efectivamente cumplido en su ordenamiento jurídico interno, tal como lo requiere el artículo 2 de la Convención</w:t>
      </w:r>
      <w:r w:rsidRPr="00224C09">
        <w:rPr>
          <w:rFonts w:ascii="Verdana" w:eastAsia="MS Mincho" w:hAnsi="Verdana" w:cs="Times New Roman"/>
          <w:color w:val="000000"/>
          <w:kern w:val="0"/>
          <w:sz w:val="20"/>
          <w:szCs w:val="20"/>
          <w:vertAlign w:val="superscript"/>
          <w:lang w:val="es-ES_tradnl" w:eastAsia="en-US"/>
          <w14:ligatures w14:val="none"/>
        </w:rPr>
        <w:footnoteReference w:id="22"/>
      </w:r>
      <w:r w:rsidRPr="00224C09">
        <w:rPr>
          <w:rFonts w:ascii="Verdana" w:eastAsia="MS Mincho" w:hAnsi="Verdana" w:cs="Times New Roman"/>
          <w:color w:val="000000"/>
          <w:kern w:val="0"/>
          <w:sz w:val="20"/>
          <w:szCs w:val="20"/>
          <w:lang w:val="es-ES_tradnl" w:eastAsia="en-US"/>
          <w14:ligatures w14:val="none"/>
        </w:rPr>
        <w:t>.</w:t>
      </w:r>
    </w:p>
    <w:p w14:paraId="6262FFA3" w14:textId="77777777" w:rsidR="00224C09" w:rsidRPr="00224C09" w:rsidRDefault="00224C09" w:rsidP="00224C09">
      <w:pPr>
        <w:numPr>
          <w:ilvl w:val="0"/>
          <w:numId w:val="2"/>
        </w:numPr>
        <w:spacing w:before="140" w:after="0" w:line="240" w:lineRule="auto"/>
        <w:jc w:val="both"/>
        <w:rPr>
          <w:rFonts w:ascii="Verdana" w:eastAsia="MS Mincho" w:hAnsi="Verdana" w:cs="Times New Roman"/>
          <w:color w:val="000000"/>
          <w:kern w:val="0"/>
          <w:sz w:val="20"/>
          <w:szCs w:val="20"/>
          <w:lang w:val="es-ES_tradnl" w:eastAsia="en-US"/>
          <w14:ligatures w14:val="none"/>
        </w:rPr>
      </w:pPr>
      <w:r w:rsidRPr="00224C09">
        <w:rPr>
          <w:rFonts w:ascii="Verdana" w:eastAsia="MS Mincho" w:hAnsi="Verdana" w:cs="Times New Roman"/>
          <w:color w:val="000000"/>
          <w:kern w:val="0"/>
          <w:sz w:val="20"/>
          <w:szCs w:val="20"/>
          <w:lang w:val="es-ES_tradnl" w:eastAsia="en-US"/>
          <w14:ligatures w14:val="none"/>
        </w:rPr>
        <w:lastRenderedPageBreak/>
        <w:t>En este sentido, de conformidad con el artículo 2, los Estados Parte se encuentran en la obligación de adoptar, con arreglo a sus procedimientos constitucionales y a las disposiciones de la propia Convención, las medidas legislativas o de otro carácter que fueren necesarias para hacer efectivos los derechos y libertades protegidos por la misma Convención</w:t>
      </w:r>
      <w:r w:rsidRPr="00224C09">
        <w:rPr>
          <w:rFonts w:ascii="Verdana" w:eastAsia="MS Mincho" w:hAnsi="Verdana" w:cs="Times New Roman"/>
          <w:color w:val="000000"/>
          <w:kern w:val="0"/>
          <w:sz w:val="20"/>
          <w:szCs w:val="20"/>
          <w:vertAlign w:val="superscript"/>
          <w:lang w:val="es-ES_tradnl" w:eastAsia="en-US"/>
          <w14:ligatures w14:val="none"/>
        </w:rPr>
        <w:footnoteReference w:id="23"/>
      </w:r>
      <w:r w:rsidRPr="00224C09">
        <w:rPr>
          <w:rFonts w:ascii="Verdana" w:eastAsia="MS Mincho" w:hAnsi="Verdana" w:cs="Times New Roman"/>
          <w:color w:val="000000"/>
          <w:kern w:val="0"/>
          <w:sz w:val="20"/>
          <w:szCs w:val="20"/>
          <w:lang w:val="es-ES_tradnl" w:eastAsia="en-US"/>
          <w14:ligatures w14:val="none"/>
        </w:rPr>
        <w:t>.</w:t>
      </w:r>
    </w:p>
    <w:p w14:paraId="0AF5EFFA" w14:textId="77777777" w:rsidR="00224C09" w:rsidRPr="00224C09" w:rsidRDefault="00224C09" w:rsidP="00224C09">
      <w:pPr>
        <w:numPr>
          <w:ilvl w:val="0"/>
          <w:numId w:val="2"/>
        </w:numPr>
        <w:spacing w:before="140" w:after="0" w:line="240" w:lineRule="auto"/>
        <w:jc w:val="both"/>
        <w:rPr>
          <w:rFonts w:ascii="Verdana" w:eastAsia="MS Mincho" w:hAnsi="Verdana" w:cs="Times New Roman"/>
          <w:color w:val="000000"/>
          <w:kern w:val="0"/>
          <w:sz w:val="20"/>
          <w:szCs w:val="20"/>
          <w:lang w:val="es-ES_tradnl" w:eastAsia="en-US"/>
          <w14:ligatures w14:val="none"/>
        </w:rPr>
      </w:pPr>
      <w:r w:rsidRPr="00224C09">
        <w:rPr>
          <w:rFonts w:ascii="Verdana" w:eastAsia="MS Mincho" w:hAnsi="Verdana" w:cs="Times New Roman"/>
          <w:color w:val="000000"/>
          <w:kern w:val="0"/>
          <w:sz w:val="20"/>
          <w:szCs w:val="20"/>
          <w:lang w:val="es-ES_tradnl" w:eastAsia="en-US"/>
          <w14:ligatures w14:val="none"/>
        </w:rPr>
        <w:t>A este respecto, el artículo 2 de la Convención no define cuáles son las medidas pertinentes para la adecuación del derecho, obviamente por depender ello del carácter de la norma requerida y las circunstancias de la situación concreta</w:t>
      </w:r>
      <w:r w:rsidRPr="00224C09">
        <w:rPr>
          <w:rFonts w:ascii="Verdana" w:eastAsia="MS Mincho" w:hAnsi="Verdana" w:cs="Times New Roman"/>
          <w:color w:val="000000"/>
          <w:kern w:val="0"/>
          <w:sz w:val="20"/>
          <w:szCs w:val="20"/>
          <w:vertAlign w:val="superscript"/>
          <w:lang w:val="es-ES_tradnl" w:eastAsia="en-US"/>
          <w14:ligatures w14:val="none"/>
        </w:rPr>
        <w:footnoteReference w:id="24"/>
      </w:r>
      <w:r w:rsidRPr="00224C09">
        <w:rPr>
          <w:rFonts w:ascii="Verdana" w:eastAsia="MS Mincho" w:hAnsi="Verdana" w:cs="Times New Roman"/>
          <w:color w:val="000000"/>
          <w:kern w:val="0"/>
          <w:sz w:val="20"/>
          <w:szCs w:val="20"/>
          <w:lang w:val="es-ES_tradnl" w:eastAsia="en-US"/>
          <w14:ligatures w14:val="none"/>
        </w:rPr>
        <w:t xml:space="preserve">. Como consecuencia, el Tribunal ha interpretado que tal adecuación implica la adopción de medidas en dos vertientes, a saber: </w:t>
      </w:r>
    </w:p>
    <w:p w14:paraId="1804028B" w14:textId="77777777" w:rsidR="00224C09" w:rsidRPr="00224C09" w:rsidRDefault="00224C09" w:rsidP="00224C09">
      <w:pPr>
        <w:spacing w:before="140" w:after="0" w:line="240" w:lineRule="auto"/>
        <w:ind w:left="1416"/>
        <w:jc w:val="both"/>
        <w:rPr>
          <w:rFonts w:ascii="Verdana" w:eastAsia="MS Mincho" w:hAnsi="Verdana" w:cs="Times New Roman"/>
          <w:color w:val="000000"/>
          <w:kern w:val="0"/>
          <w:sz w:val="20"/>
          <w:szCs w:val="20"/>
          <w:lang w:val="es-ES_tradnl" w:eastAsia="en-US"/>
          <w14:ligatures w14:val="none"/>
        </w:rPr>
      </w:pPr>
      <w:r w:rsidRPr="00224C09">
        <w:rPr>
          <w:rFonts w:ascii="Verdana" w:eastAsia="MS Mincho" w:hAnsi="Verdana" w:cs="Times New Roman"/>
          <w:color w:val="000000"/>
          <w:kern w:val="0"/>
          <w:sz w:val="20"/>
          <w:szCs w:val="20"/>
          <w:lang w:val="es-ES_tradnl" w:eastAsia="en-US"/>
          <w14:ligatures w14:val="none"/>
        </w:rPr>
        <w:t xml:space="preserve">i) la supresión de las normas y prácticas de cualquier naturaleza que entrañen violación a las garantías previstas en la Convención o que desconozcan los derechos allí reconocidos u obstaculicen su ejercicio; y, </w:t>
      </w:r>
    </w:p>
    <w:p w14:paraId="6CE2553A" w14:textId="77777777" w:rsidR="00224C09" w:rsidRPr="00224C09" w:rsidRDefault="00224C09" w:rsidP="00224C09">
      <w:pPr>
        <w:spacing w:before="140" w:after="0" w:line="240" w:lineRule="auto"/>
        <w:ind w:left="1416"/>
        <w:jc w:val="both"/>
        <w:rPr>
          <w:rFonts w:ascii="Verdana" w:eastAsia="MS Mincho" w:hAnsi="Verdana" w:cs="Times New Roman"/>
          <w:color w:val="000000"/>
          <w:kern w:val="0"/>
          <w:sz w:val="20"/>
          <w:szCs w:val="20"/>
          <w:lang w:val="es-ES_tradnl" w:eastAsia="en-US"/>
          <w14:ligatures w14:val="none"/>
        </w:rPr>
      </w:pPr>
      <w:proofErr w:type="spellStart"/>
      <w:r w:rsidRPr="00224C09">
        <w:rPr>
          <w:rFonts w:ascii="Verdana" w:eastAsia="MS Mincho" w:hAnsi="Verdana" w:cs="Times New Roman"/>
          <w:color w:val="000000"/>
          <w:kern w:val="0"/>
          <w:sz w:val="20"/>
          <w:szCs w:val="20"/>
          <w:lang w:val="es-ES_tradnl" w:eastAsia="en-US"/>
          <w14:ligatures w14:val="none"/>
        </w:rPr>
        <w:t>ii</w:t>
      </w:r>
      <w:proofErr w:type="spellEnd"/>
      <w:r w:rsidRPr="00224C09">
        <w:rPr>
          <w:rFonts w:ascii="Verdana" w:eastAsia="MS Mincho" w:hAnsi="Verdana" w:cs="Times New Roman"/>
          <w:color w:val="000000"/>
          <w:kern w:val="0"/>
          <w:sz w:val="20"/>
          <w:szCs w:val="20"/>
          <w:lang w:val="es-ES_tradnl" w:eastAsia="en-US"/>
          <w14:ligatures w14:val="none"/>
        </w:rPr>
        <w:t>) la expedición de normas y el desarrollo de prácticas conducentes a la efectiva observancia de dichas garantías</w:t>
      </w:r>
      <w:r w:rsidRPr="00224C09">
        <w:rPr>
          <w:rFonts w:ascii="Verdana" w:eastAsia="MS Mincho" w:hAnsi="Verdana" w:cs="Times New Roman"/>
          <w:color w:val="000000"/>
          <w:kern w:val="0"/>
          <w:sz w:val="20"/>
          <w:szCs w:val="20"/>
          <w:vertAlign w:val="superscript"/>
          <w:lang w:val="es-ES_tradnl" w:eastAsia="en-US"/>
          <w14:ligatures w14:val="none"/>
        </w:rPr>
        <w:footnoteReference w:id="25"/>
      </w:r>
      <w:r w:rsidRPr="00224C09">
        <w:rPr>
          <w:rFonts w:ascii="Verdana" w:eastAsia="MS Mincho" w:hAnsi="Verdana" w:cs="Times New Roman"/>
          <w:color w:val="000000"/>
          <w:kern w:val="0"/>
          <w:sz w:val="20"/>
          <w:szCs w:val="20"/>
          <w:lang w:val="es-ES_tradnl" w:eastAsia="en-US"/>
          <w14:ligatures w14:val="none"/>
        </w:rPr>
        <w:t>.</w:t>
      </w:r>
    </w:p>
    <w:p w14:paraId="41EC7DE4" w14:textId="77777777"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lastRenderedPageBreak/>
        <w:t xml:space="preserve">Adicionalmente, </w:t>
      </w:r>
      <w:r w:rsidRPr="00224C09">
        <w:rPr>
          <w:rFonts w:ascii="Verdana" w:eastAsiaTheme="minorHAnsi" w:hAnsi="Verdana"/>
          <w:sz w:val="20"/>
          <w:szCs w:val="20"/>
          <w:lang w:eastAsia="en-US"/>
        </w:rPr>
        <w:t>se debe tener en cuenta que la Corte ha destacado la importancia de que la adecuación del derecho interno a la Convención Americana, conforme al artículo 2, se haga a la luz de la naturaleza misma de los derechos y libertades y de las circunstancias en las que se produce el ejercicio de adecuación, de modo que se asegure la recepción, el respeto y garantía de aquellos derechos y libertades</w:t>
      </w:r>
      <w:r w:rsidRPr="00224C09">
        <w:rPr>
          <w:rFonts w:ascii="Verdana" w:eastAsiaTheme="minorHAnsi" w:hAnsi="Verdana"/>
          <w:sz w:val="20"/>
          <w:szCs w:val="20"/>
          <w:vertAlign w:val="superscript"/>
          <w:lang w:eastAsia="en-US"/>
        </w:rPr>
        <w:footnoteReference w:id="26"/>
      </w:r>
      <w:r w:rsidRPr="00224C09">
        <w:rPr>
          <w:rFonts w:ascii="Verdana" w:eastAsiaTheme="minorHAnsi" w:hAnsi="Verdana"/>
          <w:sz w:val="20"/>
          <w:szCs w:val="20"/>
          <w:lang w:eastAsia="en-US"/>
        </w:rPr>
        <w:t>.</w:t>
      </w:r>
    </w:p>
    <w:p w14:paraId="28A67C5B" w14:textId="77777777" w:rsidR="00224C09" w:rsidRPr="00224C09" w:rsidRDefault="00224C09" w:rsidP="00224C09">
      <w:pPr>
        <w:spacing w:after="0" w:line="240" w:lineRule="auto"/>
        <w:ind w:left="720"/>
        <w:contextualSpacing/>
        <w:jc w:val="both"/>
        <w:rPr>
          <w:rFonts w:ascii="Verdana" w:eastAsiaTheme="minorHAnsi" w:hAnsi="Verdana" w:cs="Arial"/>
          <w:sz w:val="20"/>
          <w:szCs w:val="20"/>
          <w:lang w:eastAsia="en-US"/>
        </w:rPr>
      </w:pPr>
    </w:p>
    <w:p w14:paraId="15FD7173" w14:textId="77777777"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Pues bien, en el presente caso la postura mayoritaria, aunque no declaró la violación del artículo 2 de la Convención Americana, sí decidió ordenar medidas de reparación que sugieren indirectamente la necesidad de adoptar disposiciones en el derecho interno. Esto da la impresión de que el Estado habría incumplido con la obligación establecida en dicho artículo, que requiere la adopción de medidas legislativas o de otro tipo para garantizar los derechos protegidos por la Convención. Sin embargo, es importante señalar que, formalmente, no se determinó una vulneración específica del artículo 2, pese a que las medidas dictadas parecen abordar aspectos relacionados con esa obligación.</w:t>
      </w:r>
    </w:p>
    <w:p w14:paraId="36F5F9B5" w14:textId="77777777" w:rsidR="00224C09" w:rsidRPr="00224C09" w:rsidRDefault="00224C09" w:rsidP="00224C09">
      <w:pPr>
        <w:spacing w:after="0" w:line="240" w:lineRule="auto"/>
        <w:ind w:left="720"/>
        <w:contextualSpacing/>
        <w:rPr>
          <w:rFonts w:ascii="Verdana" w:eastAsiaTheme="minorHAnsi" w:hAnsi="Verdana" w:cs="Arial"/>
          <w:sz w:val="20"/>
          <w:szCs w:val="20"/>
          <w:lang w:eastAsia="en-US"/>
        </w:rPr>
      </w:pPr>
    </w:p>
    <w:p w14:paraId="15795FAF" w14:textId="77777777"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Las medidas en cuestión son las siguientes:</w:t>
      </w:r>
    </w:p>
    <w:p w14:paraId="6C5888A0" w14:textId="77777777" w:rsidR="00224C09" w:rsidRPr="00224C09" w:rsidRDefault="00224C09" w:rsidP="00224C09">
      <w:pPr>
        <w:spacing w:after="0" w:line="240" w:lineRule="auto"/>
        <w:jc w:val="both"/>
        <w:rPr>
          <w:rFonts w:ascii="Verdana" w:eastAsiaTheme="minorHAnsi" w:hAnsi="Verdana" w:cs="Arial"/>
          <w:sz w:val="20"/>
          <w:szCs w:val="20"/>
          <w:lang w:eastAsia="en-US"/>
        </w:rPr>
      </w:pPr>
    </w:p>
    <w:p w14:paraId="1B7E49FA" w14:textId="77777777" w:rsidR="00224C09" w:rsidRPr="00224C09" w:rsidRDefault="00224C09" w:rsidP="00224C09">
      <w:pPr>
        <w:numPr>
          <w:ilvl w:val="0"/>
          <w:numId w:val="4"/>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lastRenderedPageBreak/>
        <w:t>El Estado adoptará las medidas necesarias para garantizar la integridad de los procesos electorales</w:t>
      </w:r>
      <w:r w:rsidRPr="00224C09">
        <w:rPr>
          <w:rFonts w:ascii="Verdana" w:eastAsiaTheme="minorHAnsi" w:hAnsi="Verdana" w:cs="Times New Roman"/>
          <w:sz w:val="20"/>
          <w:szCs w:val="20"/>
          <w:vertAlign w:val="superscript"/>
          <w:lang w:eastAsia="en-US"/>
        </w:rPr>
        <w:footnoteReference w:id="27"/>
      </w:r>
      <w:r w:rsidRPr="00224C09">
        <w:rPr>
          <w:rFonts w:ascii="Verdana" w:eastAsiaTheme="minorHAnsi" w:hAnsi="Verdana" w:cs="Arial"/>
          <w:sz w:val="20"/>
          <w:szCs w:val="20"/>
          <w:lang w:eastAsia="en-US"/>
        </w:rPr>
        <w:t>.</w:t>
      </w:r>
    </w:p>
    <w:p w14:paraId="56E8CC38" w14:textId="77777777" w:rsidR="00224C09" w:rsidRPr="00224C09" w:rsidRDefault="00224C09" w:rsidP="00224C09">
      <w:pPr>
        <w:spacing w:after="0" w:line="240" w:lineRule="auto"/>
        <w:ind w:left="720"/>
        <w:contextualSpacing/>
        <w:jc w:val="both"/>
        <w:rPr>
          <w:rFonts w:ascii="Verdana" w:eastAsiaTheme="minorHAnsi" w:hAnsi="Verdana" w:cs="Arial"/>
          <w:sz w:val="20"/>
          <w:szCs w:val="20"/>
          <w:lang w:eastAsia="en-US"/>
        </w:rPr>
      </w:pPr>
    </w:p>
    <w:p w14:paraId="3BEF565D" w14:textId="77777777" w:rsidR="00224C09" w:rsidRPr="00224C09" w:rsidRDefault="00224C09" w:rsidP="00224C09">
      <w:pPr>
        <w:numPr>
          <w:ilvl w:val="0"/>
          <w:numId w:val="4"/>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El Estado implementará las medidas necesarias para garantizar la posibilidad de verificación de los resultados electorales</w:t>
      </w:r>
      <w:r w:rsidRPr="00224C09">
        <w:rPr>
          <w:rFonts w:ascii="Verdana" w:eastAsiaTheme="minorHAnsi" w:hAnsi="Verdana" w:cs="Times New Roman"/>
          <w:sz w:val="20"/>
          <w:szCs w:val="20"/>
          <w:vertAlign w:val="superscript"/>
          <w:lang w:eastAsia="en-US"/>
        </w:rPr>
        <w:footnoteReference w:id="28"/>
      </w:r>
      <w:r w:rsidRPr="00224C09">
        <w:rPr>
          <w:rFonts w:ascii="Verdana" w:eastAsiaTheme="minorHAnsi" w:hAnsi="Verdana" w:cs="Arial"/>
          <w:sz w:val="20"/>
          <w:szCs w:val="20"/>
          <w:lang w:eastAsia="en-US"/>
        </w:rPr>
        <w:t>.</w:t>
      </w:r>
    </w:p>
    <w:p w14:paraId="5660F65A" w14:textId="77777777" w:rsidR="00224C09" w:rsidRPr="00224C09" w:rsidRDefault="00224C09" w:rsidP="00224C09">
      <w:pPr>
        <w:spacing w:after="0" w:line="240" w:lineRule="auto"/>
        <w:ind w:left="720"/>
        <w:contextualSpacing/>
        <w:rPr>
          <w:rFonts w:ascii="Verdana" w:eastAsiaTheme="minorHAnsi" w:hAnsi="Verdana" w:cs="Arial"/>
          <w:sz w:val="20"/>
          <w:szCs w:val="20"/>
          <w:lang w:eastAsia="en-US"/>
        </w:rPr>
      </w:pPr>
    </w:p>
    <w:p w14:paraId="60D7BC2D" w14:textId="77777777" w:rsidR="00224C09" w:rsidRPr="00224C09" w:rsidRDefault="00224C09" w:rsidP="00224C09">
      <w:pPr>
        <w:numPr>
          <w:ilvl w:val="0"/>
          <w:numId w:val="4"/>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El Estado adoptará las acciones necesarias para facilitar el acceso libre y equitativo de los candidatos y las candidatas a los medios de comunicación, especialmente los medios públicos y de alcance nacional</w:t>
      </w:r>
      <w:r w:rsidRPr="00224C09">
        <w:rPr>
          <w:rFonts w:ascii="Verdana" w:eastAsiaTheme="minorHAnsi" w:hAnsi="Verdana" w:cs="Times New Roman"/>
          <w:sz w:val="20"/>
          <w:szCs w:val="20"/>
          <w:vertAlign w:val="superscript"/>
          <w:lang w:eastAsia="en-US"/>
        </w:rPr>
        <w:footnoteReference w:id="29"/>
      </w:r>
      <w:r w:rsidRPr="00224C09">
        <w:rPr>
          <w:rFonts w:ascii="Verdana" w:eastAsiaTheme="minorHAnsi" w:hAnsi="Verdana" w:cs="Arial"/>
          <w:sz w:val="20"/>
          <w:szCs w:val="20"/>
          <w:lang w:eastAsia="en-US"/>
        </w:rPr>
        <w:t>.</w:t>
      </w:r>
    </w:p>
    <w:p w14:paraId="4F5AF040" w14:textId="77777777" w:rsidR="00224C09" w:rsidRPr="00224C09" w:rsidRDefault="00224C09" w:rsidP="00224C09">
      <w:pPr>
        <w:spacing w:after="0" w:line="240" w:lineRule="auto"/>
        <w:ind w:left="720"/>
        <w:contextualSpacing/>
        <w:jc w:val="both"/>
        <w:rPr>
          <w:rFonts w:ascii="Verdana" w:eastAsiaTheme="minorHAnsi" w:hAnsi="Verdana" w:cs="Arial"/>
          <w:sz w:val="20"/>
          <w:szCs w:val="20"/>
          <w:lang w:eastAsia="en-US"/>
        </w:rPr>
      </w:pPr>
    </w:p>
    <w:p w14:paraId="6EBFA249" w14:textId="77777777" w:rsidR="00224C09" w:rsidRPr="00224C09" w:rsidRDefault="00224C09" w:rsidP="00224C09">
      <w:pPr>
        <w:numPr>
          <w:ilvl w:val="0"/>
          <w:numId w:val="4"/>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El Estado adoptará las medidas necesarias para garantizar que el Consejo Nacional Electoral, la Sala Constitucional y la Sala Electoral actúen con imparcialidad e independencia en el ejercicio de sus funciones</w:t>
      </w:r>
      <w:r w:rsidRPr="00224C09">
        <w:rPr>
          <w:rFonts w:ascii="Verdana" w:eastAsiaTheme="minorHAnsi" w:hAnsi="Verdana" w:cs="Times New Roman"/>
          <w:sz w:val="20"/>
          <w:szCs w:val="20"/>
          <w:vertAlign w:val="superscript"/>
          <w:lang w:eastAsia="en-US"/>
        </w:rPr>
        <w:footnoteReference w:id="30"/>
      </w:r>
      <w:r w:rsidRPr="00224C09">
        <w:rPr>
          <w:rFonts w:ascii="Verdana" w:eastAsiaTheme="minorHAnsi" w:hAnsi="Verdana" w:cs="Arial"/>
          <w:sz w:val="20"/>
          <w:szCs w:val="20"/>
          <w:lang w:eastAsia="en-US"/>
        </w:rPr>
        <w:t>.</w:t>
      </w:r>
    </w:p>
    <w:p w14:paraId="48C1BEF5" w14:textId="77777777" w:rsidR="00224C09" w:rsidRPr="00224C09" w:rsidRDefault="00224C09" w:rsidP="00224C09">
      <w:pPr>
        <w:spacing w:after="0" w:line="240" w:lineRule="auto"/>
        <w:jc w:val="both"/>
        <w:rPr>
          <w:rFonts w:ascii="Verdana" w:eastAsia="Times New Roman" w:hAnsi="Verdana" w:cs="Arial"/>
          <w:kern w:val="0"/>
          <w:sz w:val="20"/>
          <w:szCs w:val="20"/>
          <w:lang w:eastAsia="es-MX"/>
          <w14:ligatures w14:val="none"/>
        </w:rPr>
      </w:pPr>
    </w:p>
    <w:p w14:paraId="4BC7A12F" w14:textId="7828DCCD"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En tal contexto, la sentencia no proporciona una explicación clara de cómo se justifica la orden de medidas de reparación que, en principio, implicarían la necesidad de ajustes en el derecho interno del Estado, a pesar de que en el caso no se declaró la violación del artículo 2 de la Convención.</w:t>
      </w:r>
    </w:p>
    <w:p w14:paraId="447F5C4B" w14:textId="77777777" w:rsidR="00224C09" w:rsidRPr="00224C09" w:rsidRDefault="00224C09" w:rsidP="00224C09">
      <w:pPr>
        <w:spacing w:after="0" w:line="240" w:lineRule="auto"/>
        <w:ind w:left="720"/>
        <w:contextualSpacing/>
        <w:jc w:val="both"/>
        <w:rPr>
          <w:rFonts w:ascii="Verdana" w:eastAsiaTheme="minorHAnsi" w:hAnsi="Verdana" w:cs="Arial"/>
          <w:sz w:val="20"/>
          <w:szCs w:val="20"/>
          <w:lang w:eastAsia="en-US"/>
        </w:rPr>
      </w:pPr>
    </w:p>
    <w:p w14:paraId="65048961" w14:textId="0C3F6D71"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 xml:space="preserve">Ahora bien, de un estudio sustancial de la jurisprudencia de esta Corte, </w:t>
      </w:r>
      <w:r w:rsidR="00CE57CE" w:rsidRPr="00224C09">
        <w:rPr>
          <w:rFonts w:ascii="Verdana" w:eastAsiaTheme="minorHAnsi" w:hAnsi="Verdana" w:cs="Arial"/>
          <w:sz w:val="20"/>
          <w:szCs w:val="20"/>
          <w:lang w:eastAsia="en-US"/>
        </w:rPr>
        <w:t>que,</w:t>
      </w:r>
      <w:r w:rsidRPr="00224C09">
        <w:rPr>
          <w:rFonts w:ascii="Verdana" w:eastAsiaTheme="minorHAnsi" w:hAnsi="Verdana" w:cs="Arial"/>
          <w:sz w:val="20"/>
          <w:szCs w:val="20"/>
          <w:lang w:eastAsia="en-US"/>
        </w:rPr>
        <w:t xml:space="preserve"> a la fecha de </w:t>
      </w:r>
      <w:r w:rsidR="00CC316A">
        <w:rPr>
          <w:rFonts w:ascii="Verdana" w:eastAsiaTheme="minorHAnsi" w:hAnsi="Verdana" w:cs="Arial"/>
          <w:sz w:val="20"/>
          <w:szCs w:val="20"/>
          <w:lang w:eastAsia="en-US"/>
        </w:rPr>
        <w:t>adopción de la sentencia</w:t>
      </w:r>
      <w:r w:rsidRPr="00224C09">
        <w:rPr>
          <w:rFonts w:ascii="Verdana" w:eastAsiaTheme="minorHAnsi" w:hAnsi="Verdana" w:cs="Arial"/>
          <w:sz w:val="20"/>
          <w:szCs w:val="20"/>
          <w:lang w:eastAsia="en-US"/>
        </w:rPr>
        <w:t>, ha emitido un total de 381 sentencias, se observa que en 216 de esos casos no se declaró la violación del artículo 2 de la Convención Americana. Sin embargo, en 22 de estos 216 casos, el Tribunal ordenó la modificación del ordenamiento jurídico interno del Estado</w:t>
      </w:r>
      <w:r w:rsidRPr="00224C09">
        <w:rPr>
          <w:rFonts w:ascii="Verdana" w:eastAsiaTheme="minorHAnsi" w:hAnsi="Verdana" w:cs="Arial"/>
          <w:sz w:val="20"/>
          <w:szCs w:val="20"/>
          <w:vertAlign w:val="superscript"/>
          <w:lang w:eastAsia="en-US"/>
        </w:rPr>
        <w:footnoteReference w:id="31"/>
      </w:r>
      <w:r w:rsidRPr="00224C09">
        <w:rPr>
          <w:rFonts w:ascii="Verdana" w:eastAsiaTheme="minorHAnsi" w:hAnsi="Verdana" w:cs="Arial"/>
          <w:sz w:val="20"/>
          <w:szCs w:val="20"/>
          <w:lang w:eastAsia="en-US"/>
        </w:rPr>
        <w:t xml:space="preserve">, lo cual representa un 10,18% del total de casos en los que, a pesar de no haber una </w:t>
      </w:r>
      <w:r w:rsidRPr="00224C09">
        <w:rPr>
          <w:rFonts w:ascii="Verdana" w:eastAsiaTheme="minorHAnsi" w:hAnsi="Verdana" w:cs="Arial"/>
          <w:sz w:val="20"/>
          <w:szCs w:val="20"/>
          <w:lang w:eastAsia="en-US"/>
        </w:rPr>
        <w:lastRenderedPageBreak/>
        <w:t>declaración de violación de dicho artículo, se dispusieron medidas de carácter legislativo.</w:t>
      </w:r>
    </w:p>
    <w:p w14:paraId="7A1729CC" w14:textId="77777777" w:rsidR="00224C09" w:rsidRPr="00224C09" w:rsidRDefault="00224C09" w:rsidP="00224C09">
      <w:pPr>
        <w:spacing w:after="0" w:line="240" w:lineRule="auto"/>
        <w:ind w:left="720"/>
        <w:contextualSpacing/>
        <w:rPr>
          <w:rFonts w:ascii="Verdana" w:eastAsiaTheme="minorHAnsi" w:hAnsi="Verdana" w:cs="Arial"/>
          <w:sz w:val="20"/>
          <w:szCs w:val="20"/>
          <w:lang w:eastAsia="en-US"/>
        </w:rPr>
      </w:pPr>
    </w:p>
    <w:p w14:paraId="65AB75F6" w14:textId="77777777"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 xml:space="preserve">Teniendo en cuenta lo anterior, cabe preguntarse: </w:t>
      </w:r>
      <w:r w:rsidRPr="00224C09">
        <w:rPr>
          <w:rFonts w:ascii="Verdana" w:eastAsiaTheme="minorHAnsi" w:hAnsi="Verdana"/>
          <w:color w:val="000000"/>
          <w:sz w:val="20"/>
          <w:szCs w:val="20"/>
          <w:lang w:eastAsia="en-US"/>
        </w:rPr>
        <w:t>¿Qué lleva a la Corte Interamericana a emitir órdenes para que los Estados adopten disposiciones de derecho interno sin que se haya declarado una vulneración del artículo 2 de la Convención Americana? Para entender esta práctica, analicemos los cinco casos más recientes en los que la actual composición de la Corte ha decidido ordenar este tipo de medidas.</w:t>
      </w:r>
    </w:p>
    <w:p w14:paraId="7DD94C22" w14:textId="77777777" w:rsidR="00224C09" w:rsidRPr="00224C09" w:rsidRDefault="00224C09" w:rsidP="00224C09">
      <w:pPr>
        <w:spacing w:after="0" w:line="240" w:lineRule="auto"/>
        <w:ind w:left="720"/>
        <w:contextualSpacing/>
        <w:rPr>
          <w:rFonts w:ascii="Verdana" w:eastAsiaTheme="minorHAnsi" w:hAnsi="Verdana" w:cs="Arial"/>
          <w:sz w:val="20"/>
          <w:szCs w:val="20"/>
          <w:lang w:eastAsia="en-US"/>
        </w:rPr>
      </w:pPr>
    </w:p>
    <w:p w14:paraId="144AB887" w14:textId="77777777" w:rsidR="00224C09" w:rsidRPr="00224C09" w:rsidRDefault="00224C09" w:rsidP="00224C09">
      <w:pPr>
        <w:numPr>
          <w:ilvl w:val="0"/>
          <w:numId w:val="3"/>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olor w:val="000000"/>
          <w:sz w:val="20"/>
          <w:szCs w:val="20"/>
          <w:lang w:eastAsia="en-US"/>
        </w:rPr>
        <w:t>En el </w:t>
      </w:r>
      <w:r w:rsidRPr="00224C09">
        <w:rPr>
          <w:rFonts w:ascii="Verdana" w:eastAsiaTheme="minorHAnsi" w:hAnsi="Verdana"/>
          <w:b/>
          <w:bCs/>
          <w:i/>
          <w:iCs/>
          <w:color w:val="000000"/>
          <w:sz w:val="20"/>
          <w:szCs w:val="20"/>
          <w:lang w:eastAsia="en-US"/>
        </w:rPr>
        <w:t>Caso Sales Pimenta Vs. Brasil</w:t>
      </w:r>
      <w:r w:rsidRPr="00224C09">
        <w:rPr>
          <w:rFonts w:ascii="Verdana" w:eastAsiaTheme="minorHAnsi" w:hAnsi="Verdana"/>
          <w:color w:val="000000"/>
          <w:sz w:val="20"/>
          <w:szCs w:val="20"/>
          <w:lang w:eastAsia="en-US"/>
        </w:rPr>
        <w:t>, la Corte ordenó al Estado revisar y adecuar sus mecanismos del Programa de Protección a Defensores de Derechos Humanos, Comunicadores y Ambientalistas, subrayando la necesidad de que dichos mecanismos fueran efectivos y compatibles con los estándares internacionales</w:t>
      </w:r>
      <w:r w:rsidRPr="00224C09">
        <w:rPr>
          <w:rFonts w:ascii="Verdana" w:eastAsiaTheme="minorHAnsi" w:hAnsi="Verdana"/>
          <w:color w:val="000000"/>
          <w:sz w:val="20"/>
          <w:szCs w:val="20"/>
          <w:vertAlign w:val="superscript"/>
          <w:lang w:eastAsia="en-US"/>
        </w:rPr>
        <w:footnoteReference w:id="32"/>
      </w:r>
      <w:r w:rsidRPr="00224C09">
        <w:rPr>
          <w:rFonts w:ascii="Verdana" w:eastAsiaTheme="minorHAnsi" w:hAnsi="Verdana"/>
          <w:color w:val="000000"/>
          <w:sz w:val="20"/>
          <w:szCs w:val="20"/>
          <w:lang w:eastAsia="en-US"/>
        </w:rPr>
        <w:t xml:space="preserve">. </w:t>
      </w:r>
    </w:p>
    <w:p w14:paraId="1195D668" w14:textId="77777777" w:rsidR="00224C09" w:rsidRPr="00224C09" w:rsidRDefault="00224C09" w:rsidP="00224C09">
      <w:pPr>
        <w:spacing w:after="0" w:line="240" w:lineRule="auto"/>
        <w:ind w:left="1080"/>
        <w:contextualSpacing/>
        <w:jc w:val="both"/>
        <w:rPr>
          <w:rFonts w:ascii="Verdana" w:eastAsiaTheme="minorHAnsi" w:hAnsi="Verdana" w:cs="Arial"/>
          <w:sz w:val="20"/>
          <w:szCs w:val="20"/>
          <w:lang w:eastAsia="en-US"/>
        </w:rPr>
      </w:pPr>
    </w:p>
    <w:p w14:paraId="3C4F1292" w14:textId="77777777" w:rsidR="00224C09" w:rsidRPr="00224C09" w:rsidRDefault="00224C09" w:rsidP="00224C09">
      <w:pPr>
        <w:numPr>
          <w:ilvl w:val="0"/>
          <w:numId w:val="3"/>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olor w:val="000000"/>
          <w:sz w:val="20"/>
          <w:szCs w:val="20"/>
          <w:lang w:eastAsia="en-US"/>
        </w:rPr>
        <w:t>En el </w:t>
      </w:r>
      <w:r w:rsidRPr="00224C09">
        <w:rPr>
          <w:rFonts w:ascii="Verdana" w:eastAsiaTheme="minorHAnsi" w:hAnsi="Verdana"/>
          <w:b/>
          <w:bCs/>
          <w:i/>
          <w:iCs/>
          <w:color w:val="000000"/>
          <w:sz w:val="20"/>
          <w:szCs w:val="20"/>
          <w:lang w:eastAsia="en-US"/>
        </w:rPr>
        <w:t xml:space="preserve">Caso Leguizamón </w:t>
      </w:r>
      <w:proofErr w:type="spellStart"/>
      <w:r w:rsidRPr="00224C09">
        <w:rPr>
          <w:rFonts w:ascii="Verdana" w:eastAsiaTheme="minorHAnsi" w:hAnsi="Verdana"/>
          <w:b/>
          <w:bCs/>
          <w:i/>
          <w:iCs/>
          <w:color w:val="000000"/>
          <w:sz w:val="20"/>
          <w:szCs w:val="20"/>
          <w:lang w:eastAsia="en-US"/>
        </w:rPr>
        <w:t>Zaván</w:t>
      </w:r>
      <w:proofErr w:type="spellEnd"/>
      <w:r w:rsidRPr="00224C09">
        <w:rPr>
          <w:rFonts w:ascii="Verdana" w:eastAsiaTheme="minorHAnsi" w:hAnsi="Verdana"/>
          <w:b/>
          <w:bCs/>
          <w:i/>
          <w:iCs/>
          <w:color w:val="000000"/>
          <w:sz w:val="20"/>
          <w:szCs w:val="20"/>
          <w:lang w:eastAsia="en-US"/>
        </w:rPr>
        <w:t xml:space="preserve"> y otros Vs. Paraguay</w:t>
      </w:r>
      <w:r w:rsidRPr="00224C09">
        <w:rPr>
          <w:rFonts w:ascii="Verdana" w:eastAsiaTheme="minorHAnsi" w:hAnsi="Verdana"/>
          <w:color w:val="000000"/>
          <w:sz w:val="20"/>
          <w:szCs w:val="20"/>
          <w:lang w:eastAsia="en-US"/>
        </w:rPr>
        <w:t>, el Tribunal exigió que el Estado impulsara la aprobación del Proyecto de Ley sobre Libertad de Expresión y la Protección de Periodistas y Defensores de Derechos Humanos, subrayando la urgencia de dotar de un marco legal adecuado a quienes ejercen estas funciones de alto riesgo</w:t>
      </w:r>
      <w:r w:rsidRPr="00224C09">
        <w:rPr>
          <w:rFonts w:ascii="Verdana" w:eastAsiaTheme="minorHAnsi" w:hAnsi="Verdana"/>
          <w:color w:val="000000"/>
          <w:sz w:val="20"/>
          <w:szCs w:val="20"/>
          <w:vertAlign w:val="superscript"/>
          <w:lang w:eastAsia="en-US"/>
        </w:rPr>
        <w:footnoteReference w:id="33"/>
      </w:r>
      <w:r w:rsidRPr="00224C09">
        <w:rPr>
          <w:rFonts w:ascii="Verdana" w:eastAsiaTheme="minorHAnsi" w:hAnsi="Verdana"/>
          <w:color w:val="000000"/>
          <w:sz w:val="20"/>
          <w:szCs w:val="20"/>
          <w:lang w:eastAsia="en-US"/>
        </w:rPr>
        <w:t>.</w:t>
      </w:r>
    </w:p>
    <w:p w14:paraId="40884D1F" w14:textId="77777777" w:rsidR="00224C09" w:rsidRPr="00224C09" w:rsidRDefault="00224C09" w:rsidP="00224C09">
      <w:pPr>
        <w:spacing w:after="0" w:line="240" w:lineRule="auto"/>
        <w:jc w:val="both"/>
        <w:rPr>
          <w:rFonts w:ascii="Verdana" w:eastAsia="Times New Roman" w:hAnsi="Verdana" w:cs="Arial"/>
          <w:kern w:val="0"/>
          <w:sz w:val="20"/>
          <w:szCs w:val="20"/>
          <w:lang w:eastAsia="es-MX"/>
          <w14:ligatures w14:val="none"/>
        </w:rPr>
      </w:pPr>
    </w:p>
    <w:p w14:paraId="48036F2F" w14:textId="77777777" w:rsidR="00224C09" w:rsidRPr="00224C09" w:rsidRDefault="00224C09" w:rsidP="00224C09">
      <w:pPr>
        <w:numPr>
          <w:ilvl w:val="0"/>
          <w:numId w:val="3"/>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olor w:val="000000"/>
          <w:sz w:val="20"/>
          <w:szCs w:val="20"/>
          <w:lang w:eastAsia="en-US"/>
        </w:rPr>
        <w:t>En el </w:t>
      </w:r>
      <w:r w:rsidRPr="00224C09">
        <w:rPr>
          <w:rFonts w:ascii="Verdana" w:eastAsiaTheme="minorHAnsi" w:hAnsi="Verdana"/>
          <w:b/>
          <w:bCs/>
          <w:i/>
          <w:iCs/>
          <w:color w:val="000000"/>
          <w:sz w:val="20"/>
          <w:szCs w:val="20"/>
          <w:lang w:eastAsia="en-US"/>
        </w:rPr>
        <w:t>Caso Guzmán Medina y otros Vs. Colombia</w:t>
      </w:r>
      <w:r w:rsidRPr="00224C09">
        <w:rPr>
          <w:rFonts w:ascii="Verdana" w:eastAsiaTheme="minorHAnsi" w:hAnsi="Verdana"/>
          <w:color w:val="000000"/>
          <w:sz w:val="20"/>
          <w:szCs w:val="20"/>
          <w:lang w:eastAsia="en-US"/>
        </w:rPr>
        <w:t>, aunque no se declaró una violación directa del artículo 2, la Corte solicitó al Estado que, como una obligación de medio, presentara un proyecto de ley, destacando la importancia de avanzar en procesos legislativos ya esbozados</w:t>
      </w:r>
      <w:r w:rsidRPr="00224C09">
        <w:rPr>
          <w:rFonts w:ascii="Verdana" w:eastAsiaTheme="minorHAnsi" w:hAnsi="Verdana"/>
          <w:color w:val="000000"/>
          <w:sz w:val="20"/>
          <w:szCs w:val="20"/>
          <w:vertAlign w:val="superscript"/>
          <w:lang w:eastAsia="en-US"/>
        </w:rPr>
        <w:footnoteReference w:id="34"/>
      </w:r>
      <w:r w:rsidRPr="00224C09">
        <w:rPr>
          <w:rFonts w:ascii="Verdana" w:eastAsiaTheme="minorHAnsi" w:hAnsi="Verdana"/>
          <w:color w:val="000000"/>
          <w:sz w:val="20"/>
          <w:szCs w:val="20"/>
          <w:lang w:eastAsia="en-US"/>
        </w:rPr>
        <w:t xml:space="preserve">. </w:t>
      </w:r>
    </w:p>
    <w:p w14:paraId="46CD3E82" w14:textId="77777777" w:rsidR="00224C09" w:rsidRPr="00224C09" w:rsidRDefault="00224C09" w:rsidP="00224C09">
      <w:pPr>
        <w:spacing w:after="0" w:line="240" w:lineRule="auto"/>
        <w:jc w:val="both"/>
        <w:rPr>
          <w:rFonts w:ascii="Verdana" w:eastAsia="Times New Roman" w:hAnsi="Verdana" w:cs="Arial"/>
          <w:kern w:val="0"/>
          <w:sz w:val="20"/>
          <w:szCs w:val="20"/>
          <w:lang w:eastAsia="es-MX"/>
          <w14:ligatures w14:val="none"/>
        </w:rPr>
      </w:pPr>
    </w:p>
    <w:p w14:paraId="4AE3D24C" w14:textId="77777777" w:rsidR="00224C09" w:rsidRPr="00224C09" w:rsidRDefault="00224C09" w:rsidP="00224C09">
      <w:pPr>
        <w:numPr>
          <w:ilvl w:val="0"/>
          <w:numId w:val="3"/>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 xml:space="preserve">En el </w:t>
      </w:r>
      <w:r w:rsidRPr="00224C09">
        <w:rPr>
          <w:rFonts w:ascii="Verdana" w:eastAsiaTheme="minorHAnsi" w:hAnsi="Verdana" w:cs="Arial"/>
          <w:b/>
          <w:bCs/>
          <w:i/>
          <w:iCs/>
          <w:sz w:val="20"/>
          <w:szCs w:val="20"/>
          <w:lang w:eastAsia="en-US"/>
        </w:rPr>
        <w:t xml:space="preserve">Caso </w:t>
      </w:r>
      <w:proofErr w:type="spellStart"/>
      <w:r w:rsidRPr="00224C09">
        <w:rPr>
          <w:rFonts w:ascii="Verdana" w:eastAsiaTheme="minorHAnsi" w:hAnsi="Verdana" w:cs="Arial"/>
          <w:b/>
          <w:bCs/>
          <w:i/>
          <w:iCs/>
          <w:sz w:val="20"/>
          <w:szCs w:val="20"/>
          <w:lang w:eastAsia="en-US"/>
        </w:rPr>
        <w:t>Baptiste</w:t>
      </w:r>
      <w:proofErr w:type="spellEnd"/>
      <w:r w:rsidRPr="00224C09">
        <w:rPr>
          <w:rFonts w:ascii="Verdana" w:eastAsiaTheme="minorHAnsi" w:hAnsi="Verdana" w:cs="Arial"/>
          <w:b/>
          <w:bCs/>
          <w:i/>
          <w:iCs/>
          <w:sz w:val="20"/>
          <w:szCs w:val="20"/>
          <w:lang w:eastAsia="en-US"/>
        </w:rPr>
        <w:t xml:space="preserve"> y otros Vs. Haití</w:t>
      </w:r>
      <w:r w:rsidRPr="00224C09">
        <w:rPr>
          <w:rFonts w:ascii="Verdana" w:eastAsiaTheme="minorHAnsi" w:hAnsi="Verdana" w:cs="Arial"/>
          <w:sz w:val="20"/>
          <w:szCs w:val="20"/>
          <w:lang w:eastAsia="en-US"/>
        </w:rPr>
        <w:t>, se ordenó al Estado tomar las medidas normativas e institucionales para la creación de una Fiscalía especializada para investigar, y en su caso, incoar acciones penales contra las bandas de delincuencia organizada</w:t>
      </w:r>
      <w:r w:rsidRPr="00224C09">
        <w:rPr>
          <w:rFonts w:ascii="Verdana" w:eastAsiaTheme="minorHAnsi" w:hAnsi="Verdana" w:cs="Arial"/>
          <w:sz w:val="20"/>
          <w:szCs w:val="20"/>
          <w:vertAlign w:val="superscript"/>
          <w:lang w:eastAsia="en-US"/>
        </w:rPr>
        <w:footnoteReference w:id="35"/>
      </w:r>
      <w:r w:rsidRPr="00224C09">
        <w:rPr>
          <w:rFonts w:ascii="Verdana" w:eastAsiaTheme="minorHAnsi" w:hAnsi="Verdana" w:cs="Arial"/>
          <w:sz w:val="20"/>
          <w:szCs w:val="20"/>
          <w:lang w:eastAsia="en-US"/>
        </w:rPr>
        <w:t>.</w:t>
      </w:r>
    </w:p>
    <w:p w14:paraId="21079BFB" w14:textId="77777777" w:rsidR="00224C09" w:rsidRPr="00224C09" w:rsidRDefault="00224C09" w:rsidP="00224C09">
      <w:pPr>
        <w:spacing w:after="0" w:line="240" w:lineRule="auto"/>
        <w:jc w:val="both"/>
        <w:rPr>
          <w:rFonts w:ascii="Verdana" w:eastAsia="Times New Roman" w:hAnsi="Verdana" w:cs="Arial"/>
          <w:kern w:val="0"/>
          <w:sz w:val="20"/>
          <w:szCs w:val="20"/>
          <w:lang w:eastAsia="es-MX"/>
          <w14:ligatures w14:val="none"/>
        </w:rPr>
      </w:pPr>
    </w:p>
    <w:p w14:paraId="3BF7B504" w14:textId="77777777" w:rsidR="00224C09" w:rsidRPr="00224C09" w:rsidRDefault="00224C09" w:rsidP="00224C09">
      <w:pPr>
        <w:numPr>
          <w:ilvl w:val="0"/>
          <w:numId w:val="3"/>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olor w:val="000000"/>
          <w:sz w:val="20"/>
          <w:szCs w:val="20"/>
          <w:lang w:eastAsia="en-US"/>
        </w:rPr>
        <w:t>En el </w:t>
      </w:r>
      <w:r w:rsidRPr="00224C09">
        <w:rPr>
          <w:rFonts w:ascii="Verdana" w:eastAsiaTheme="minorHAnsi" w:hAnsi="Verdana"/>
          <w:b/>
          <w:bCs/>
          <w:i/>
          <w:iCs/>
          <w:color w:val="000000"/>
          <w:sz w:val="20"/>
          <w:szCs w:val="20"/>
          <w:lang w:eastAsia="en-US"/>
        </w:rPr>
        <w:t>Caso Cuéllar Sandoval y otros Vs. El Salvador</w:t>
      </w:r>
      <w:r w:rsidRPr="00224C09">
        <w:rPr>
          <w:rFonts w:ascii="Verdana" w:eastAsiaTheme="minorHAnsi" w:hAnsi="Verdana"/>
          <w:color w:val="000000"/>
          <w:sz w:val="20"/>
          <w:szCs w:val="20"/>
          <w:lang w:eastAsia="en-US"/>
        </w:rPr>
        <w:t>, el Tribunal instruyó al Estado a dictar un reglamento de la Ley del Banco de Datos de ADN y a adoptar medidas ejecutivas y legislativas que garantizasen la permanencia e independencia de ciertas comisiones clave, asegurando que estos mecanismos funcionaran adecuadamente</w:t>
      </w:r>
      <w:r w:rsidRPr="00224C09">
        <w:rPr>
          <w:rFonts w:ascii="Verdana" w:eastAsiaTheme="minorHAnsi" w:hAnsi="Verdana"/>
          <w:color w:val="000000"/>
          <w:sz w:val="20"/>
          <w:szCs w:val="20"/>
          <w:vertAlign w:val="superscript"/>
          <w:lang w:eastAsia="en-US"/>
        </w:rPr>
        <w:footnoteReference w:id="36"/>
      </w:r>
      <w:r w:rsidRPr="00224C09">
        <w:rPr>
          <w:rFonts w:ascii="Verdana" w:eastAsiaTheme="minorHAnsi" w:hAnsi="Verdana"/>
          <w:color w:val="000000"/>
          <w:sz w:val="20"/>
          <w:szCs w:val="20"/>
          <w:lang w:eastAsia="en-US"/>
        </w:rPr>
        <w:t>.</w:t>
      </w:r>
    </w:p>
    <w:p w14:paraId="28E82336" w14:textId="77777777" w:rsidR="00224C09" w:rsidRPr="00224C09" w:rsidRDefault="00224C09" w:rsidP="00224C09">
      <w:pPr>
        <w:spacing w:after="0" w:line="240" w:lineRule="auto"/>
        <w:jc w:val="both"/>
        <w:rPr>
          <w:rFonts w:ascii="Verdana" w:eastAsia="Times New Roman" w:hAnsi="Verdana" w:cs="Arial"/>
          <w:kern w:val="0"/>
          <w:sz w:val="20"/>
          <w:szCs w:val="20"/>
          <w:lang w:eastAsia="es-MX"/>
          <w14:ligatures w14:val="none"/>
        </w:rPr>
      </w:pPr>
    </w:p>
    <w:p w14:paraId="6C9B9067" w14:textId="77777777"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olor w:val="000000"/>
          <w:sz w:val="20"/>
          <w:szCs w:val="20"/>
          <w:lang w:eastAsia="en-US"/>
        </w:rPr>
        <w:t xml:space="preserve">En todos estos casos, un patrón común es que la Corte Interamericana ha emitido órdenes que refuerzan o aceleran compromisos ya existentes por parte del Estado. Esto suele ocurrir cuando las autoridades estatales han reconocido la necesidad de tomar medidas, pero han retrasado su implementación o no han desarrollado completamente las normativas necesarias. Así, el Tribunal actúa </w:t>
      </w:r>
      <w:r w:rsidRPr="00224C09">
        <w:rPr>
          <w:rFonts w:ascii="Verdana" w:eastAsiaTheme="minorHAnsi" w:hAnsi="Verdana"/>
          <w:color w:val="000000"/>
          <w:sz w:val="20"/>
          <w:szCs w:val="20"/>
          <w:lang w:eastAsia="en-US"/>
        </w:rPr>
        <w:lastRenderedPageBreak/>
        <w:t xml:space="preserve">como un catalizador, impulsando el cumplimiento efectivo de obligaciones ya asumidas. </w:t>
      </w:r>
    </w:p>
    <w:p w14:paraId="26FFABB1" w14:textId="77777777" w:rsidR="00224C09" w:rsidRPr="00224C09" w:rsidRDefault="00224C09" w:rsidP="00224C09">
      <w:pPr>
        <w:spacing w:after="0" w:line="240" w:lineRule="auto"/>
        <w:ind w:left="720"/>
        <w:contextualSpacing/>
        <w:jc w:val="both"/>
        <w:rPr>
          <w:rFonts w:ascii="Verdana" w:eastAsiaTheme="minorHAnsi" w:hAnsi="Verdana" w:cs="Arial"/>
          <w:sz w:val="20"/>
          <w:szCs w:val="20"/>
          <w:lang w:eastAsia="en-US"/>
        </w:rPr>
      </w:pPr>
    </w:p>
    <w:p w14:paraId="396A6AE9" w14:textId="77777777"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olor w:val="000000"/>
          <w:sz w:val="20"/>
          <w:szCs w:val="20"/>
          <w:lang w:eastAsia="en-US"/>
        </w:rPr>
        <w:t xml:space="preserve">Sin embargo, el </w:t>
      </w:r>
      <w:r w:rsidRPr="00224C09">
        <w:rPr>
          <w:rFonts w:ascii="Verdana" w:eastAsiaTheme="minorHAnsi" w:hAnsi="Verdana"/>
          <w:i/>
          <w:iCs/>
          <w:color w:val="000000"/>
          <w:sz w:val="20"/>
          <w:szCs w:val="20"/>
          <w:lang w:eastAsia="en-US"/>
        </w:rPr>
        <w:t xml:space="preserve">Caso </w:t>
      </w:r>
      <w:proofErr w:type="spellStart"/>
      <w:r w:rsidRPr="00224C09">
        <w:rPr>
          <w:rFonts w:ascii="Verdana" w:eastAsiaTheme="minorHAnsi" w:hAnsi="Verdana"/>
          <w:i/>
          <w:iCs/>
          <w:color w:val="000000"/>
          <w:sz w:val="20"/>
          <w:szCs w:val="20"/>
          <w:lang w:eastAsia="en-US"/>
        </w:rPr>
        <w:t>Baptiste</w:t>
      </w:r>
      <w:proofErr w:type="spellEnd"/>
      <w:r w:rsidRPr="00224C09">
        <w:rPr>
          <w:rFonts w:ascii="Verdana" w:eastAsiaTheme="minorHAnsi" w:hAnsi="Verdana"/>
          <w:i/>
          <w:iCs/>
          <w:color w:val="000000"/>
          <w:sz w:val="20"/>
          <w:szCs w:val="20"/>
          <w:lang w:eastAsia="en-US"/>
        </w:rPr>
        <w:t xml:space="preserve"> y otros Vs. Haití</w:t>
      </w:r>
      <w:r w:rsidRPr="00224C09">
        <w:rPr>
          <w:rFonts w:ascii="Verdana" w:eastAsiaTheme="minorHAnsi" w:hAnsi="Verdana"/>
          <w:color w:val="000000"/>
          <w:sz w:val="20"/>
          <w:szCs w:val="20"/>
          <w:lang w:eastAsia="en-US"/>
        </w:rPr>
        <w:t xml:space="preserve"> es particularmente relevante por las circunstancias complejas que enfrenta el país. Aunque la Corte no utilizó términos que denotaran explícitamente un colapso institucional, la orden emitida para la creación de una Fiscalía especializada para investigar y procesar a las bandas de delincuencia organizada responde a la necesidad de una intervención más estructurada ante una grave crisis de seguridad y capacidad estatal. De este modo, la falta de acción estatal obligó a la Corte a intervenir de manera más contundente, resaltando la urgencia y la necesidad de una respuesta específica y operativa, pese a que no se declaró la violación del artículo 2 de la Convención Americana.</w:t>
      </w:r>
    </w:p>
    <w:p w14:paraId="42943CAB" w14:textId="77777777" w:rsidR="00224C09" w:rsidRPr="00224C09" w:rsidRDefault="00224C09" w:rsidP="00224C09">
      <w:pPr>
        <w:spacing w:after="0" w:line="240" w:lineRule="auto"/>
        <w:ind w:left="720"/>
        <w:contextualSpacing/>
        <w:rPr>
          <w:rFonts w:ascii="Verdana" w:eastAsia="Times New Roman" w:hAnsi="Verdana" w:cs="Arial"/>
          <w:kern w:val="0"/>
          <w:sz w:val="20"/>
          <w:szCs w:val="20"/>
          <w:lang w:eastAsia="es-MX"/>
          <w14:ligatures w14:val="none"/>
        </w:rPr>
      </w:pPr>
    </w:p>
    <w:p w14:paraId="4BE845A9" w14:textId="77777777"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imes New Roman" w:hAnsi="Verdana" w:cs="Arial"/>
          <w:kern w:val="0"/>
          <w:sz w:val="20"/>
          <w:szCs w:val="20"/>
          <w:lang w:eastAsia="es-MX"/>
          <w14:ligatures w14:val="none"/>
        </w:rPr>
        <w:t xml:space="preserve">A pesar de las circunstancias excepcionales que se han presentado en otros casos, en el asunto concreto que es objeto de este voto no se dan los supuestos que justificarían que la Corte Interamericana ordene medidas de adopción de disposiciones de derecho interno sin haber declarado previamente la violación del artículo 2 de la Convención Americana. Las medidas propuestas, no están acompañadas de un contexto que evidencie un reconocimiento estatal vinculado a la adopción de ciertas medidas o a la necesidad de intervención estructurada del Sistema Interamericano que se ha observado en otros países. Así, la falta de justificación adecuada en el caso concreto evidencia un déficit de fundamentación de las medidas ordenadas, las que estas deberían estar respaldadas por una clara violación de los derechos establecidos en la Convención. </w:t>
      </w:r>
    </w:p>
    <w:p w14:paraId="28C5408F" w14:textId="77777777" w:rsidR="00224C09" w:rsidRPr="00224C09" w:rsidRDefault="00224C09" w:rsidP="00FF6BED">
      <w:pPr>
        <w:ind w:left="720"/>
        <w:contextualSpacing/>
        <w:rPr>
          <w:rFonts w:ascii="Verdana" w:eastAsiaTheme="minorHAnsi" w:hAnsi="Verdana" w:cs="Arial"/>
          <w:sz w:val="20"/>
          <w:szCs w:val="20"/>
          <w:lang w:eastAsia="en-US"/>
        </w:rPr>
      </w:pPr>
    </w:p>
    <w:p w14:paraId="324A7176" w14:textId="31F17F9B"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 xml:space="preserve">En consecuencia, </w:t>
      </w:r>
      <w:r w:rsidRPr="00224C09">
        <w:rPr>
          <w:rFonts w:ascii="Verdana" w:hAnsi="Verdana"/>
          <w:color w:val="000000"/>
          <w:sz w:val="20"/>
          <w:szCs w:val="20"/>
        </w:rPr>
        <w:t xml:space="preserve">si bien podría argumentarse que las medidas ordenadas por el Tribunal en el presente caso están dirigidas a garantizar aspectos ya previstos en la normativa interna y, por tanto, no implicarían necesariamente una vulneración del artículo 2 de la Convención, resulta problemático que dichas reparaciones </w:t>
      </w:r>
      <w:r w:rsidR="00B93727">
        <w:rPr>
          <w:rFonts w:ascii="Verdana" w:hAnsi="Verdana"/>
          <w:color w:val="000000"/>
          <w:sz w:val="20"/>
          <w:szCs w:val="20"/>
        </w:rPr>
        <w:t xml:space="preserve">se traduzcan en medidas </w:t>
      </w:r>
      <w:r w:rsidRPr="00224C09">
        <w:rPr>
          <w:rFonts w:ascii="Verdana" w:hAnsi="Verdana"/>
          <w:color w:val="000000"/>
          <w:sz w:val="20"/>
          <w:szCs w:val="20"/>
        </w:rPr>
        <w:t xml:space="preserve">que se asemejan a aquellas </w:t>
      </w:r>
      <w:r w:rsidR="003F582F">
        <w:rPr>
          <w:rFonts w:ascii="Verdana" w:hAnsi="Verdana"/>
          <w:color w:val="000000"/>
          <w:sz w:val="20"/>
          <w:szCs w:val="20"/>
        </w:rPr>
        <w:t xml:space="preserve">ordenadas </w:t>
      </w:r>
      <w:r w:rsidRPr="00224C09">
        <w:rPr>
          <w:rFonts w:ascii="Verdana" w:hAnsi="Verdana"/>
          <w:color w:val="000000"/>
          <w:sz w:val="20"/>
          <w:szCs w:val="20"/>
        </w:rPr>
        <w:t>cuando se verifica una omisión normativa incompatible con las obligaciones internacionales. Este enfoque parece desdibujar el límite entre el incumplimiento operativo y la obligación de adoptar disposiciones internas. Tal interpretación no solo genera confusión respecto a la correcta aplicación del artículo 2, sino que también corre el riesgo de debilitar el principio de subsidiariedad al prescribir medidas legislativas o normativas sin un fundamento claro en la falta de adecuación del derecho interno. De este modo, insistir en medidas de esta naturaleza en ausencia de una declaración expresa de vulneración al artículo 2 resulta contradictorio con la lógica reparadora y con el estándar jurisprudencial previamente consolidado por esta Corte.</w:t>
      </w:r>
    </w:p>
    <w:p w14:paraId="6CEF8897" w14:textId="77777777" w:rsidR="00224C09" w:rsidRPr="00224C09" w:rsidRDefault="00224C09" w:rsidP="00224C09">
      <w:pPr>
        <w:spacing w:after="0" w:line="240" w:lineRule="auto"/>
        <w:jc w:val="both"/>
        <w:rPr>
          <w:rFonts w:ascii="Garamond" w:eastAsiaTheme="minorHAnsi" w:hAnsi="Garamond" w:cs="Arial"/>
          <w:lang w:eastAsia="en-US"/>
        </w:rPr>
      </w:pPr>
    </w:p>
    <w:p w14:paraId="3C58090F" w14:textId="77777777" w:rsidR="00224C09" w:rsidRPr="00224C09" w:rsidRDefault="00224C09" w:rsidP="00224C09">
      <w:pPr>
        <w:numPr>
          <w:ilvl w:val="0"/>
          <w:numId w:val="1"/>
        </w:numPr>
        <w:spacing w:after="0" w:line="240" w:lineRule="auto"/>
        <w:contextualSpacing/>
        <w:jc w:val="both"/>
        <w:rPr>
          <w:rFonts w:ascii="Verdana" w:eastAsiaTheme="minorHAnsi" w:hAnsi="Verdana" w:cs="Arial"/>
          <w:b/>
          <w:bCs/>
          <w:sz w:val="20"/>
          <w:szCs w:val="20"/>
          <w:lang w:eastAsia="en-US"/>
        </w:rPr>
      </w:pPr>
      <w:r w:rsidRPr="00224C09">
        <w:rPr>
          <w:rFonts w:ascii="Verdana" w:eastAsiaTheme="minorHAnsi" w:hAnsi="Verdana" w:cs="Arial"/>
          <w:b/>
          <w:bCs/>
          <w:sz w:val="20"/>
          <w:szCs w:val="20"/>
          <w:lang w:eastAsia="en-US"/>
        </w:rPr>
        <w:t>Acerca de la decisión de comunicar la presente Sentencia al Secretario General de la Organización de los Estados Americanos</w:t>
      </w:r>
    </w:p>
    <w:p w14:paraId="18605633" w14:textId="77777777" w:rsidR="00224C09" w:rsidRPr="00224C09" w:rsidRDefault="00224C09" w:rsidP="00224C09">
      <w:pPr>
        <w:spacing w:after="0" w:line="240" w:lineRule="auto"/>
        <w:jc w:val="both"/>
        <w:rPr>
          <w:rFonts w:ascii="Garamond" w:eastAsiaTheme="minorHAnsi" w:hAnsi="Garamond" w:cs="Arial"/>
          <w:lang w:eastAsia="en-US"/>
        </w:rPr>
      </w:pPr>
    </w:p>
    <w:p w14:paraId="42D79C86" w14:textId="77777777"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En el marco de las reparaciones ordenadas en el presente caso, la decisión mayoritaria comienza señalando que, al momento de definir las medidas de reparación, “tomará en cuenta la crisis política, económica e institucional que vive Venezuela al momento de dictar esta Sentencia”</w:t>
      </w:r>
      <w:r w:rsidRPr="00224C09">
        <w:rPr>
          <w:rFonts w:eastAsiaTheme="minorHAnsi"/>
          <w:vertAlign w:val="superscript"/>
          <w:lang w:eastAsia="en-US"/>
        </w:rPr>
        <w:footnoteReference w:id="37"/>
      </w:r>
      <w:r w:rsidRPr="00224C09">
        <w:rPr>
          <w:rFonts w:ascii="Verdana" w:eastAsiaTheme="minorHAnsi" w:hAnsi="Verdana" w:cs="Arial"/>
          <w:sz w:val="20"/>
          <w:szCs w:val="20"/>
          <w:lang w:eastAsia="en-US"/>
        </w:rPr>
        <w:t xml:space="preserve">. Así, manifiesta que “tanto la Asamblea General, como el Consejo Permanente de la OEA, han mostrado </w:t>
      </w:r>
      <w:r w:rsidRPr="00224C09">
        <w:rPr>
          <w:rFonts w:ascii="Verdana" w:eastAsiaTheme="minorHAnsi" w:hAnsi="Verdana" w:cs="Arial"/>
          <w:sz w:val="20"/>
          <w:szCs w:val="20"/>
          <w:lang w:eastAsia="en-US"/>
        </w:rPr>
        <w:lastRenderedPageBreak/>
        <w:t>preocupación por la falta de garantías para el desarrollo de elecciones, justas, auténticas y libres entre los años 2018 y 2024 en Venezuela, considerando el tiempo que el PSUV lleva en el poder, la falta de imparcialidad e independencia de los órganos judiciales o de control electoral, la persecución de opositores políticos, entre otros”</w:t>
      </w:r>
      <w:r w:rsidRPr="00224C09">
        <w:rPr>
          <w:rFonts w:eastAsiaTheme="minorHAnsi"/>
          <w:vertAlign w:val="superscript"/>
          <w:lang w:eastAsia="en-US"/>
        </w:rPr>
        <w:footnoteReference w:id="38"/>
      </w:r>
      <w:r w:rsidRPr="00224C09">
        <w:rPr>
          <w:rFonts w:ascii="Verdana" w:eastAsiaTheme="minorHAnsi" w:hAnsi="Verdana" w:cs="Arial"/>
          <w:sz w:val="20"/>
          <w:szCs w:val="20"/>
          <w:lang w:eastAsia="en-US"/>
        </w:rPr>
        <w:t>.</w:t>
      </w:r>
    </w:p>
    <w:p w14:paraId="649C8AC8" w14:textId="77777777" w:rsidR="00224C09" w:rsidRPr="00224C09" w:rsidRDefault="00224C09" w:rsidP="00224C09">
      <w:pPr>
        <w:spacing w:after="0" w:line="240" w:lineRule="auto"/>
        <w:jc w:val="both"/>
        <w:rPr>
          <w:rFonts w:ascii="Verdana" w:eastAsiaTheme="minorHAnsi" w:hAnsi="Verdana" w:cs="Arial"/>
          <w:sz w:val="20"/>
          <w:szCs w:val="20"/>
          <w:lang w:eastAsia="en-US"/>
        </w:rPr>
      </w:pPr>
    </w:p>
    <w:p w14:paraId="64850D25" w14:textId="77777777"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Ante esta situación, el Tribunal señaló que:</w:t>
      </w:r>
    </w:p>
    <w:p w14:paraId="5F563342" w14:textId="77777777" w:rsidR="00224C09" w:rsidRPr="00224C09" w:rsidRDefault="00224C09" w:rsidP="00224C09">
      <w:pPr>
        <w:spacing w:after="0" w:line="240" w:lineRule="auto"/>
        <w:jc w:val="both"/>
        <w:rPr>
          <w:rFonts w:ascii="Verdana" w:eastAsiaTheme="minorHAnsi" w:hAnsi="Verdana" w:cs="Arial"/>
          <w:sz w:val="20"/>
          <w:szCs w:val="20"/>
          <w:lang w:eastAsia="en-US"/>
        </w:rPr>
      </w:pPr>
    </w:p>
    <w:p w14:paraId="08F95D9F" w14:textId="77777777" w:rsidR="00224C09" w:rsidRPr="00224C09" w:rsidRDefault="00224C09" w:rsidP="00224C09">
      <w:pPr>
        <w:spacing w:after="0" w:line="240" w:lineRule="auto"/>
        <w:ind w:left="1416" w:firstLine="4"/>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“Lo anterior justifica un llamado a la comunidad internacional y, en particular, a la OEA, y a los demás miembros del Sistema Interamericano, a coadyuvar y cooperar con el fin de garantizar el debido cumplimiento de la presente Sentencia. Esto se fundamenta en la noción de “garantía colectiva”, la cual se encuentra subyacente en todo el Sistema Interamericano, en especial cuando la Carta de la OEA hace referencia a la solidaridad y buena vecindad de los Estados en el continente americano. Además, este Tribunal ha resaltado que, de conformidad con el mecanismo de garantía colectiva, incumbe a todos los Estados del sistema interamericano cooperar entre sí de buena fe para cumplir con sus obligaciones internacionales, tanto regionales como universales. La garantía colectiva se traduce, pues, en una obligación general de protección que tienen tanto los Estados Partes de la Convención como los Estados Miembros de la OEA entre sí, para asegurar la efectividad de dichos instrumentos, que constituye una obligación erga omnes”</w:t>
      </w:r>
      <w:r w:rsidRPr="00224C09">
        <w:rPr>
          <w:rFonts w:eastAsiaTheme="minorHAnsi"/>
          <w:vertAlign w:val="superscript"/>
          <w:lang w:eastAsia="en-US"/>
        </w:rPr>
        <w:footnoteReference w:id="39"/>
      </w:r>
      <w:r w:rsidRPr="00224C09">
        <w:rPr>
          <w:rFonts w:ascii="Verdana" w:eastAsiaTheme="minorHAnsi" w:hAnsi="Verdana" w:cs="Arial"/>
          <w:sz w:val="20"/>
          <w:szCs w:val="20"/>
          <w:lang w:eastAsia="en-US"/>
        </w:rPr>
        <w:t>.</w:t>
      </w:r>
    </w:p>
    <w:p w14:paraId="61894CCA" w14:textId="77777777" w:rsidR="00224C09" w:rsidRPr="00224C09" w:rsidRDefault="00224C09" w:rsidP="00224C09">
      <w:pPr>
        <w:spacing w:after="0" w:line="240" w:lineRule="auto"/>
        <w:jc w:val="both"/>
        <w:rPr>
          <w:rFonts w:ascii="Verdana" w:eastAsiaTheme="minorHAnsi" w:hAnsi="Verdana" w:cs="Arial"/>
          <w:sz w:val="20"/>
          <w:szCs w:val="20"/>
          <w:lang w:eastAsia="en-US"/>
        </w:rPr>
      </w:pPr>
    </w:p>
    <w:p w14:paraId="6B53CBC7" w14:textId="77777777"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Por lo anterior, la decisión mayoritaria decidió que, mediante la Secretaría de la Corte, comunicará la presente Sentencia al Secretario General de la Organización de los Estados Americanos, para los efectos indicados precedentemente</w:t>
      </w:r>
      <w:r w:rsidRPr="00224C09">
        <w:rPr>
          <w:rFonts w:eastAsiaTheme="minorHAnsi"/>
          <w:vertAlign w:val="superscript"/>
          <w:lang w:eastAsia="en-US"/>
        </w:rPr>
        <w:footnoteReference w:id="40"/>
      </w:r>
      <w:r w:rsidRPr="00224C09">
        <w:rPr>
          <w:rFonts w:ascii="Verdana" w:eastAsiaTheme="minorHAnsi" w:hAnsi="Verdana" w:cs="Arial"/>
          <w:sz w:val="20"/>
          <w:szCs w:val="20"/>
          <w:lang w:eastAsia="en-US"/>
        </w:rPr>
        <w:t>.</w:t>
      </w:r>
    </w:p>
    <w:p w14:paraId="08BD8ECD" w14:textId="77777777" w:rsidR="00224C09" w:rsidRPr="00224C09" w:rsidRDefault="00224C09" w:rsidP="00224C09">
      <w:pPr>
        <w:spacing w:after="0" w:line="240" w:lineRule="auto"/>
        <w:ind w:left="720"/>
        <w:contextualSpacing/>
        <w:jc w:val="both"/>
        <w:rPr>
          <w:rFonts w:ascii="Verdana" w:eastAsiaTheme="minorHAnsi" w:hAnsi="Verdana" w:cs="Arial"/>
          <w:sz w:val="20"/>
          <w:szCs w:val="20"/>
          <w:lang w:eastAsia="en-US"/>
        </w:rPr>
      </w:pPr>
    </w:p>
    <w:p w14:paraId="6B1C0B89" w14:textId="77777777"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Al analizar este asunto, debemos remitirnos esencialmente al artículo 65 de la Convención Americana, el cual “institucionaliza una forma de diálogo entre la Corte y la Asamblea General de la OEA, que recibe los informes anuales de la Corte y sus posibles recomendaciones cuando un Estado no cumple con sus sentencias”</w:t>
      </w:r>
      <w:r w:rsidRPr="00224C09">
        <w:rPr>
          <w:rFonts w:eastAsiaTheme="minorHAnsi" w:cs="Arial"/>
          <w:vertAlign w:val="superscript"/>
          <w:lang w:eastAsia="en-US"/>
        </w:rPr>
        <w:footnoteReference w:id="41"/>
      </w:r>
      <w:r w:rsidRPr="00224C09">
        <w:rPr>
          <w:rFonts w:ascii="Verdana" w:eastAsiaTheme="minorHAnsi" w:hAnsi="Verdana" w:cs="Arial"/>
          <w:sz w:val="20"/>
          <w:szCs w:val="20"/>
          <w:lang w:eastAsia="en-US"/>
        </w:rPr>
        <w:t>.</w:t>
      </w:r>
    </w:p>
    <w:p w14:paraId="2DF38866" w14:textId="77777777" w:rsidR="00224C09" w:rsidRPr="00224C09" w:rsidRDefault="00224C09" w:rsidP="00224C09">
      <w:pPr>
        <w:spacing w:after="0" w:line="240" w:lineRule="auto"/>
        <w:ind w:left="720"/>
        <w:contextualSpacing/>
        <w:rPr>
          <w:rFonts w:ascii="Verdana" w:eastAsiaTheme="minorHAnsi" w:hAnsi="Verdana" w:cs="Arial"/>
          <w:sz w:val="20"/>
          <w:szCs w:val="20"/>
          <w:lang w:eastAsia="en-US"/>
        </w:rPr>
      </w:pPr>
    </w:p>
    <w:p w14:paraId="72C46DAB" w14:textId="77777777"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Así pues, dicho artículo establece un mecanismo específico para supervisar el cumplimiento de las decisiones judiciales de la Corte y, en última instancia, autoriza a la Corte a informar a la Asamblea General de la OEA sobre los casos en los que un Estado incumple con las sentencias emitidas. De esta manera, la referida disposición versa de la siguiente manera:</w:t>
      </w:r>
    </w:p>
    <w:p w14:paraId="74B0374C" w14:textId="77777777" w:rsidR="00224C09" w:rsidRPr="00224C09" w:rsidRDefault="00224C09" w:rsidP="00224C09">
      <w:pPr>
        <w:spacing w:after="0" w:line="240" w:lineRule="auto"/>
        <w:ind w:left="720"/>
        <w:contextualSpacing/>
        <w:rPr>
          <w:rFonts w:ascii="Verdana" w:eastAsiaTheme="minorHAnsi" w:hAnsi="Verdana" w:cs="Arial"/>
          <w:sz w:val="20"/>
          <w:szCs w:val="20"/>
          <w:lang w:eastAsia="en-US"/>
        </w:rPr>
      </w:pPr>
    </w:p>
    <w:p w14:paraId="27465A51" w14:textId="77777777" w:rsidR="00224C09" w:rsidRPr="00224C09" w:rsidRDefault="00224C09" w:rsidP="00224C09">
      <w:pPr>
        <w:spacing w:after="0" w:line="240" w:lineRule="auto"/>
        <w:ind w:left="1416"/>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“La Corte someterá a la consideración de la Asamblea General de la Organización en cada período ordinario de sesiones un informe sobre su labor en el año anterior.  De manera especial y con las recomendaciones pertinentes, señalará los casos en que un Estado no haya dado cumplimiento a sus fallos”.</w:t>
      </w:r>
    </w:p>
    <w:p w14:paraId="5103AB11" w14:textId="77777777" w:rsidR="00224C09" w:rsidRPr="00224C09" w:rsidRDefault="00224C09" w:rsidP="00224C09">
      <w:pPr>
        <w:spacing w:after="0" w:line="240" w:lineRule="auto"/>
        <w:jc w:val="both"/>
        <w:rPr>
          <w:rFonts w:ascii="Verdana" w:eastAsiaTheme="minorHAnsi" w:hAnsi="Verdana" w:cs="Arial"/>
          <w:sz w:val="20"/>
          <w:szCs w:val="20"/>
          <w:lang w:eastAsia="en-US"/>
        </w:rPr>
      </w:pPr>
    </w:p>
    <w:p w14:paraId="14C69C9F" w14:textId="77777777"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lastRenderedPageBreak/>
        <w:t>En este contexto, y sin restar importancia a la gravedad de la crisis política, económica e institucional que afecta actualmente a Venezuela, considero que la decisión de comunicar la Sentencia al Secretario General de la OEA basada en una suposición de incumplimiento carece de justificación. La garantía colectiva, que es la base de este tipo de comunicación, es un mecanismo que opera frente a un incumplimiento probado de una sentencia de la Corte, y no puede aplicarse en un caso donde aún no se ha verificado que el Estado haya fallado en su deber de cumplimiento. Invocar la garantía colectiva en estas condiciones erosiona su naturaleza y su función en el Sistema Interamericano, pues se parte de un incumplimiento aparente, en lugar de un incumplimiento real.</w:t>
      </w:r>
    </w:p>
    <w:p w14:paraId="22733364" w14:textId="77777777" w:rsidR="00224C09" w:rsidRPr="00224C09" w:rsidRDefault="00224C09" w:rsidP="00224C09">
      <w:pPr>
        <w:spacing w:after="0" w:line="240" w:lineRule="auto"/>
        <w:jc w:val="both"/>
        <w:rPr>
          <w:rFonts w:ascii="Verdana" w:eastAsiaTheme="minorHAnsi" w:hAnsi="Verdana" w:cs="Arial"/>
          <w:sz w:val="20"/>
          <w:szCs w:val="20"/>
          <w:lang w:eastAsia="en-US"/>
        </w:rPr>
      </w:pPr>
    </w:p>
    <w:p w14:paraId="38873C93" w14:textId="77777777"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 xml:space="preserve">Esta diferenciación entre incumplimiento real y aparente es esencial para preservar la legitimidad del artículo 65 como un instrumento de última instancia. El propósito de este artículo no es suponer el incumplimiento de un Estado sobre la base de su contexto político o social, sino actuar cuando se cuenta con pruebas concretas de que el Estado ha desatendido su deber de acatar las decisiones judiciales de la Corte. </w:t>
      </w:r>
    </w:p>
    <w:p w14:paraId="372BA48D" w14:textId="77777777" w:rsidR="00224C09" w:rsidRPr="00224C09" w:rsidRDefault="00224C09" w:rsidP="00224C09">
      <w:pPr>
        <w:spacing w:after="0" w:line="240" w:lineRule="auto"/>
        <w:ind w:left="720"/>
        <w:contextualSpacing/>
        <w:rPr>
          <w:rFonts w:ascii="Verdana" w:eastAsiaTheme="minorHAnsi" w:hAnsi="Verdana" w:cs="Arial"/>
          <w:sz w:val="20"/>
          <w:szCs w:val="20"/>
          <w:lang w:eastAsia="en-US"/>
        </w:rPr>
      </w:pPr>
    </w:p>
    <w:p w14:paraId="20548433" w14:textId="77777777"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En este sentido, tal como se ha señalado</w:t>
      </w:r>
      <w:r w:rsidRPr="00224C09">
        <w:rPr>
          <w:rFonts w:eastAsiaTheme="minorHAnsi" w:cs="Arial"/>
          <w:vertAlign w:val="superscript"/>
          <w:lang w:eastAsia="en-US"/>
        </w:rPr>
        <w:footnoteReference w:id="42"/>
      </w:r>
      <w:r w:rsidRPr="00224C09">
        <w:rPr>
          <w:rFonts w:ascii="Verdana" w:eastAsiaTheme="minorHAnsi" w:hAnsi="Verdana" w:cs="Arial"/>
          <w:sz w:val="20"/>
          <w:szCs w:val="20"/>
          <w:lang w:eastAsia="en-US"/>
        </w:rPr>
        <w:t>, el artículo 65 debe leerse en consonancia con otras disposiciones de la Convención, como el artículo 63(1), que regula las reparaciones, el artículo 68, que consagra el carácter vinculante de las sentencias, y el artículo 69, que regula la notificación y supervisión de cumplimiento. Al utilizar el artículo 65 para anticiparse a un incumplimiento sin prueba fehaciente, se desvirtúa su finalidad y se establece un precedente que podría permitir la intervención prematura en otros casos donde el cumplimiento también pudiera estar en duda, pero no haya sido verificado.</w:t>
      </w:r>
    </w:p>
    <w:p w14:paraId="65605D3C" w14:textId="77777777" w:rsidR="00224C09" w:rsidRPr="00224C09" w:rsidRDefault="00224C09" w:rsidP="00224C09">
      <w:pPr>
        <w:spacing w:after="0" w:line="240" w:lineRule="auto"/>
        <w:ind w:left="720"/>
        <w:contextualSpacing/>
        <w:rPr>
          <w:rFonts w:ascii="Verdana" w:eastAsiaTheme="minorHAnsi" w:hAnsi="Verdana" w:cs="Arial"/>
          <w:sz w:val="20"/>
          <w:szCs w:val="20"/>
          <w:lang w:eastAsia="en-US"/>
        </w:rPr>
      </w:pPr>
    </w:p>
    <w:p w14:paraId="3CE5B64A" w14:textId="77777777"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Por otra parte, el procedimiento de supervisión de cumplimiento que la Corte desarrolla se encuentra regulado en el artículo 69 de su Reglamento. Tal disposición señala lo siguiente:</w:t>
      </w:r>
    </w:p>
    <w:p w14:paraId="538F1983" w14:textId="77777777" w:rsidR="00224C09" w:rsidRPr="00224C09" w:rsidRDefault="00224C09" w:rsidP="00224C09">
      <w:pPr>
        <w:spacing w:after="0" w:line="240" w:lineRule="auto"/>
        <w:ind w:left="720"/>
        <w:contextualSpacing/>
        <w:rPr>
          <w:rFonts w:ascii="Verdana" w:eastAsiaTheme="minorHAnsi" w:hAnsi="Verdana" w:cs="Arial"/>
          <w:sz w:val="20"/>
          <w:szCs w:val="20"/>
          <w:lang w:eastAsia="en-US"/>
        </w:rPr>
      </w:pPr>
    </w:p>
    <w:p w14:paraId="33D28E42" w14:textId="77777777" w:rsidR="00224C09" w:rsidRPr="00224C09" w:rsidRDefault="00224C09" w:rsidP="00224C09">
      <w:pPr>
        <w:spacing w:after="0" w:line="240" w:lineRule="auto"/>
        <w:ind w:left="1416"/>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“Supervisión de cumplimiento de sentencias y otras decisiones del Tribunal.</w:t>
      </w:r>
    </w:p>
    <w:p w14:paraId="2FA84162" w14:textId="77777777" w:rsidR="00224C09" w:rsidRPr="00224C09" w:rsidRDefault="00224C09" w:rsidP="00224C09">
      <w:pPr>
        <w:spacing w:after="0" w:line="240" w:lineRule="auto"/>
        <w:ind w:left="1416"/>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1. La supervisión de las sentencias y demás decisiones de la Corte se realizará mediante la presentación de informes estatales y de las correspondientes observaciones a dichos informes por parte de las víctimas o sus representantes. La Comisión deberá presentar observaciones al informe del Estado y a las observaciones de las víctimas o sus representantes.</w:t>
      </w:r>
    </w:p>
    <w:p w14:paraId="64E12A69" w14:textId="77777777" w:rsidR="00224C09" w:rsidRPr="00224C09" w:rsidRDefault="00224C09" w:rsidP="00224C09">
      <w:pPr>
        <w:spacing w:after="0" w:line="240" w:lineRule="auto"/>
        <w:ind w:left="1416"/>
        <w:contextualSpacing/>
        <w:jc w:val="both"/>
        <w:rPr>
          <w:rFonts w:ascii="Verdana" w:eastAsiaTheme="minorHAnsi" w:hAnsi="Verdana" w:cs="Arial"/>
          <w:sz w:val="20"/>
          <w:szCs w:val="20"/>
          <w:lang w:eastAsia="en-US"/>
        </w:rPr>
      </w:pPr>
    </w:p>
    <w:p w14:paraId="2D24E7DF" w14:textId="77777777" w:rsidR="00224C09" w:rsidRPr="00224C09" w:rsidRDefault="00224C09" w:rsidP="00224C09">
      <w:pPr>
        <w:spacing w:after="0" w:line="240" w:lineRule="auto"/>
        <w:ind w:left="1416"/>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2. La Corte podrá requerir a otras fuentes de información datos relevantes sobre el caso, que permitan apreciar el cumplimiento. Para los mismos efectos podrá también requerir los peritajes e informes que considere oportunos.</w:t>
      </w:r>
    </w:p>
    <w:p w14:paraId="7BE014CC" w14:textId="77777777" w:rsidR="00224C09" w:rsidRPr="00224C09" w:rsidRDefault="00224C09" w:rsidP="00224C09">
      <w:pPr>
        <w:spacing w:after="0" w:line="240" w:lineRule="auto"/>
        <w:ind w:left="1416"/>
        <w:contextualSpacing/>
        <w:jc w:val="both"/>
        <w:rPr>
          <w:rFonts w:ascii="Verdana" w:eastAsiaTheme="minorHAnsi" w:hAnsi="Verdana" w:cs="Arial"/>
          <w:sz w:val="20"/>
          <w:szCs w:val="20"/>
          <w:lang w:eastAsia="en-US"/>
        </w:rPr>
      </w:pPr>
    </w:p>
    <w:p w14:paraId="5E8ADE8D" w14:textId="77777777" w:rsidR="00224C09" w:rsidRPr="00224C09" w:rsidRDefault="00224C09" w:rsidP="00224C09">
      <w:pPr>
        <w:spacing w:after="0" w:line="240" w:lineRule="auto"/>
        <w:ind w:left="1416"/>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3. Cuando lo considere pertinente, el Tribunal podrá convocar al Estado y a los representantes de las víctimas a una audiencia para supervisar el cumplimiento de sus decisiones, y en ésta escuchará el parecer de la Comisión.</w:t>
      </w:r>
    </w:p>
    <w:p w14:paraId="1088BE96" w14:textId="77777777" w:rsidR="00224C09" w:rsidRPr="00224C09" w:rsidRDefault="00224C09" w:rsidP="00224C09">
      <w:pPr>
        <w:spacing w:after="0" w:line="240" w:lineRule="auto"/>
        <w:ind w:left="1416"/>
        <w:contextualSpacing/>
        <w:jc w:val="both"/>
        <w:rPr>
          <w:rFonts w:ascii="Verdana" w:eastAsiaTheme="minorHAnsi" w:hAnsi="Verdana" w:cs="Arial"/>
          <w:sz w:val="20"/>
          <w:szCs w:val="20"/>
          <w:lang w:eastAsia="en-US"/>
        </w:rPr>
      </w:pPr>
    </w:p>
    <w:p w14:paraId="69044187" w14:textId="77777777" w:rsidR="00224C09" w:rsidRPr="00224C09" w:rsidRDefault="00224C09" w:rsidP="00224C09">
      <w:pPr>
        <w:spacing w:after="0" w:line="240" w:lineRule="auto"/>
        <w:ind w:left="1416"/>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lastRenderedPageBreak/>
        <w:t>4. Una vez que el Tribunal cuente con la información pertinente, determinará el estado del cumplimiento de lo resuelto y emitirá las resoluciones que estime pertinentes.</w:t>
      </w:r>
    </w:p>
    <w:p w14:paraId="6352CB5B" w14:textId="77777777" w:rsidR="00224C09" w:rsidRPr="00224C09" w:rsidRDefault="00224C09" w:rsidP="00224C09">
      <w:pPr>
        <w:spacing w:after="0" w:line="240" w:lineRule="auto"/>
        <w:ind w:left="1416"/>
        <w:contextualSpacing/>
        <w:jc w:val="both"/>
        <w:rPr>
          <w:rFonts w:ascii="Verdana" w:eastAsiaTheme="minorHAnsi" w:hAnsi="Verdana" w:cs="Arial"/>
          <w:sz w:val="20"/>
          <w:szCs w:val="20"/>
          <w:lang w:eastAsia="en-US"/>
        </w:rPr>
      </w:pPr>
    </w:p>
    <w:p w14:paraId="7A5050CD" w14:textId="77777777" w:rsidR="00224C09" w:rsidRPr="00224C09" w:rsidRDefault="00224C09" w:rsidP="00224C09">
      <w:pPr>
        <w:spacing w:after="0" w:line="240" w:lineRule="auto"/>
        <w:ind w:left="1416"/>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5. Estas disposiciones se aplican también para casos no sometidos por la Comisión”.</w:t>
      </w:r>
    </w:p>
    <w:p w14:paraId="7638B424" w14:textId="77777777" w:rsidR="00224C09" w:rsidRPr="00224C09" w:rsidRDefault="00224C09" w:rsidP="00224C09">
      <w:pPr>
        <w:spacing w:after="0" w:line="240" w:lineRule="auto"/>
        <w:ind w:left="720"/>
        <w:contextualSpacing/>
        <w:rPr>
          <w:rFonts w:ascii="Verdana" w:eastAsiaTheme="minorHAnsi" w:hAnsi="Verdana" w:cs="Arial"/>
          <w:sz w:val="20"/>
          <w:szCs w:val="20"/>
          <w:lang w:eastAsia="en-US"/>
        </w:rPr>
      </w:pPr>
    </w:p>
    <w:p w14:paraId="7863CA07" w14:textId="77777777"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Como puede apreciarse, este procedimiento mantiene una naturaleza eminentemente judicial, en el cual la Corte evalúa el grado de cumplimiento en función de los argumentos presentados por la Comisión Interamericana, los peticionarios y el propio Estado</w:t>
      </w:r>
      <w:r w:rsidRPr="00224C09">
        <w:rPr>
          <w:rFonts w:eastAsiaTheme="minorHAnsi" w:cs="Arial"/>
          <w:vertAlign w:val="superscript"/>
          <w:lang w:eastAsia="en-US"/>
        </w:rPr>
        <w:footnoteReference w:id="43"/>
      </w:r>
      <w:r w:rsidRPr="00224C09">
        <w:rPr>
          <w:rFonts w:ascii="Verdana" w:eastAsiaTheme="minorHAnsi" w:hAnsi="Verdana" w:cs="Arial"/>
          <w:sz w:val="20"/>
          <w:szCs w:val="20"/>
          <w:lang w:eastAsia="en-US"/>
        </w:rPr>
        <w:t>. En esta lógica judicial, la remisión de un caso a la Asamblea General es un recurso final y excepcional, y no un paso automático al cual se recurre de manera especulativa. Las órdenes emitidas en el marco de esta supervisión, como lo aclara el artículo 69, no son definitivas y están sujetas a revisión periódica, permitiendo a la Corte valorar si el Estado ha cumplido con las medidas ordenadas en cada etapa del proceso</w:t>
      </w:r>
      <w:r w:rsidRPr="00224C09">
        <w:rPr>
          <w:rFonts w:eastAsiaTheme="minorHAnsi" w:cs="Arial"/>
          <w:vertAlign w:val="superscript"/>
          <w:lang w:eastAsia="en-US"/>
        </w:rPr>
        <w:footnoteReference w:id="44"/>
      </w:r>
      <w:r w:rsidRPr="00224C09">
        <w:rPr>
          <w:rFonts w:ascii="Verdana" w:eastAsiaTheme="minorHAnsi" w:hAnsi="Verdana" w:cs="Arial"/>
          <w:sz w:val="20"/>
          <w:szCs w:val="20"/>
          <w:lang w:eastAsia="en-US"/>
        </w:rPr>
        <w:t>. Este enfoque cauteloso y evolutivo es fundamental para respetar la autonomía del Estado en su proceso de cumplimiento y garantizar un diálogo que facilite el respeto de sus obligaciones internacionales.</w:t>
      </w:r>
    </w:p>
    <w:p w14:paraId="274A5F9D" w14:textId="77777777" w:rsidR="00224C09" w:rsidRPr="00224C09" w:rsidRDefault="00224C09" w:rsidP="00224C09">
      <w:pPr>
        <w:spacing w:after="0" w:line="240" w:lineRule="auto"/>
        <w:ind w:left="720"/>
        <w:contextualSpacing/>
        <w:jc w:val="both"/>
        <w:rPr>
          <w:rFonts w:ascii="Verdana" w:eastAsiaTheme="minorHAnsi" w:hAnsi="Verdana" w:cs="Arial"/>
          <w:sz w:val="20"/>
          <w:szCs w:val="20"/>
          <w:lang w:eastAsia="en-US"/>
        </w:rPr>
      </w:pPr>
    </w:p>
    <w:p w14:paraId="6B42C141" w14:textId="77777777"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De igual modo, la segunda parte del artículo 65 es clara al señalar que “los casos en los que un Estado no haya dado cumplimiento a sus fallos” deben especificarse únicamente cuando el incumplimiento esté plenamente acreditado, al tiempo que permite a la Corte una discrecionalidad para decidir en qué casos comunicar o no a la Asamblea General</w:t>
      </w:r>
      <w:r w:rsidRPr="00224C09">
        <w:rPr>
          <w:rFonts w:eastAsiaTheme="minorHAnsi" w:cs="Arial"/>
          <w:vertAlign w:val="superscript"/>
          <w:lang w:eastAsia="en-US"/>
        </w:rPr>
        <w:footnoteReference w:id="45"/>
      </w:r>
      <w:r w:rsidRPr="00224C09">
        <w:rPr>
          <w:rFonts w:ascii="Verdana" w:eastAsiaTheme="minorHAnsi" w:hAnsi="Verdana" w:cs="Arial"/>
          <w:sz w:val="20"/>
          <w:szCs w:val="20"/>
          <w:lang w:eastAsia="en-US"/>
        </w:rPr>
        <w:t>. Incluso en situaciones de cumplimiento parcial, la Corte no siempre decide remitir el caso; limitándose a señalar en sus informes las situaciones de “incumplimiento del deber de presentar informes” por parte del Estado, como en los casos de República Dominicana y Guatemala en 2019</w:t>
      </w:r>
      <w:r w:rsidRPr="00224C09">
        <w:rPr>
          <w:rFonts w:eastAsiaTheme="minorHAnsi" w:cs="Arial"/>
          <w:vertAlign w:val="superscript"/>
          <w:lang w:eastAsia="en-US"/>
        </w:rPr>
        <w:footnoteReference w:id="46"/>
      </w:r>
      <w:r w:rsidRPr="00224C09">
        <w:rPr>
          <w:rFonts w:ascii="Verdana" w:eastAsiaTheme="minorHAnsi" w:hAnsi="Verdana" w:cs="Arial"/>
          <w:sz w:val="20"/>
          <w:szCs w:val="20"/>
          <w:lang w:eastAsia="en-US"/>
        </w:rPr>
        <w:t>. Así, el mecanismo de supervisión está diseñado para aplicarse de manera diferenciada según la gravedad y naturaleza del incumplimiento, lo cual demuestra que la mera suposición de un posible incumplimiento no debería ser motivo suficiente para activar la garantía colectiva.</w:t>
      </w:r>
    </w:p>
    <w:p w14:paraId="7AFCD5CB" w14:textId="77777777" w:rsidR="00224C09" w:rsidRPr="00224C09" w:rsidRDefault="00224C09" w:rsidP="00224C09">
      <w:pPr>
        <w:spacing w:after="0" w:line="240" w:lineRule="auto"/>
        <w:ind w:left="720"/>
        <w:contextualSpacing/>
        <w:rPr>
          <w:rFonts w:ascii="Verdana" w:eastAsiaTheme="minorHAnsi" w:hAnsi="Verdana" w:cs="Arial"/>
          <w:sz w:val="20"/>
          <w:szCs w:val="20"/>
          <w:lang w:eastAsia="en-US"/>
        </w:rPr>
      </w:pPr>
    </w:p>
    <w:p w14:paraId="50A2BE43" w14:textId="77777777" w:rsidR="00224C09" w:rsidRPr="00224C09" w:rsidRDefault="00224C09" w:rsidP="00224C09">
      <w:pPr>
        <w:numPr>
          <w:ilvl w:val="0"/>
          <w:numId w:val="2"/>
        </w:numPr>
        <w:spacing w:after="0" w:line="240" w:lineRule="auto"/>
        <w:contextualSpacing/>
        <w:jc w:val="both"/>
        <w:rPr>
          <w:rFonts w:ascii="Verdana" w:eastAsiaTheme="minorHAnsi" w:hAnsi="Verdana" w:cs="Arial"/>
          <w:sz w:val="20"/>
          <w:szCs w:val="20"/>
          <w:lang w:eastAsia="en-US"/>
        </w:rPr>
      </w:pPr>
      <w:r w:rsidRPr="00224C09">
        <w:rPr>
          <w:rFonts w:ascii="Verdana" w:eastAsiaTheme="minorHAnsi" w:hAnsi="Verdana" w:cs="Arial"/>
          <w:sz w:val="20"/>
          <w:szCs w:val="20"/>
          <w:lang w:eastAsia="en-US"/>
        </w:rPr>
        <w:t>En conclusión, estimo que en este caso no se han cumplido los requisitos necesarios para activar el mecanismo de garantía colectiva. La decisión de comunicar esta Sentencia al Secretario General de la OEA debería basarse en un incumplimiento previo comprobado, pues de otro modo se envía un mensaje erróneo sobre la aplicación de las medidas de supervisión y se debilita la función misma de la garantía colectiva en el Sistema Interamericano. La Corte debe, en cambio, permitir que el Estado demuestre su disposición a cumplir con las medidas ordenadas en esta Sentencia, supervisando su cumplimiento mediante las etapas regulares y el procedimiento judicial dispuesto en su propio Reglamento.</w:t>
      </w:r>
    </w:p>
    <w:p w14:paraId="0E69F160" w14:textId="77777777" w:rsidR="00224C09" w:rsidRDefault="00224C09" w:rsidP="00224C09">
      <w:pPr>
        <w:spacing w:after="0" w:line="240" w:lineRule="auto"/>
        <w:jc w:val="both"/>
        <w:rPr>
          <w:rFonts w:ascii="Verdana" w:eastAsiaTheme="minorHAnsi" w:hAnsi="Verdana" w:cs="Arial"/>
          <w:sz w:val="20"/>
          <w:szCs w:val="20"/>
          <w:lang w:eastAsia="en-US"/>
        </w:rPr>
      </w:pPr>
    </w:p>
    <w:p w14:paraId="6A1F8180" w14:textId="77777777" w:rsidR="00E511AF" w:rsidRDefault="00E511AF" w:rsidP="00224C09">
      <w:pPr>
        <w:spacing w:after="0" w:line="240" w:lineRule="auto"/>
        <w:jc w:val="both"/>
        <w:rPr>
          <w:rFonts w:ascii="Verdana" w:eastAsiaTheme="minorHAnsi" w:hAnsi="Verdana" w:cs="Arial"/>
          <w:sz w:val="20"/>
          <w:szCs w:val="20"/>
          <w:lang w:eastAsia="en-US"/>
        </w:rPr>
      </w:pPr>
    </w:p>
    <w:p w14:paraId="0EB7604F" w14:textId="7AD2D223" w:rsidR="00E511AF" w:rsidRDefault="00E511AF" w:rsidP="00224C09">
      <w:pPr>
        <w:spacing w:after="0" w:line="240" w:lineRule="auto"/>
        <w:jc w:val="both"/>
        <w:rPr>
          <w:rFonts w:ascii="Verdana" w:eastAsiaTheme="minorHAnsi" w:hAnsi="Verdana" w:cs="Arial"/>
          <w:sz w:val="20"/>
          <w:szCs w:val="20"/>
          <w:lang w:eastAsia="en-US"/>
        </w:rPr>
      </w:pPr>
    </w:p>
    <w:p w14:paraId="6820100A" w14:textId="0A77999E" w:rsidR="00C7733F" w:rsidRDefault="00C7733F" w:rsidP="00810D35">
      <w:pPr>
        <w:spacing w:after="0" w:line="240" w:lineRule="auto"/>
        <w:ind w:left="3540" w:firstLine="708"/>
        <w:rPr>
          <w:rFonts w:ascii="Verdana" w:eastAsiaTheme="minorHAnsi" w:hAnsi="Verdana" w:cs="Arial"/>
          <w:sz w:val="20"/>
          <w:szCs w:val="20"/>
          <w:lang w:eastAsia="en-US"/>
        </w:rPr>
      </w:pPr>
    </w:p>
    <w:p w14:paraId="2A00333E" w14:textId="62179C93" w:rsidR="00E511AF" w:rsidRPr="00810D35" w:rsidRDefault="00E511AF" w:rsidP="00810D35">
      <w:pPr>
        <w:spacing w:after="0" w:line="240" w:lineRule="auto"/>
        <w:ind w:left="3540" w:firstLine="708"/>
        <w:rPr>
          <w:rFonts w:ascii="Verdana" w:eastAsiaTheme="minorHAnsi" w:hAnsi="Verdana" w:cs="Arial"/>
          <w:sz w:val="20"/>
          <w:szCs w:val="20"/>
          <w:lang w:eastAsia="en-US"/>
        </w:rPr>
      </w:pPr>
      <w:r w:rsidRPr="00810D35">
        <w:rPr>
          <w:rFonts w:ascii="Verdana" w:eastAsiaTheme="minorHAnsi" w:hAnsi="Verdana" w:cs="Arial"/>
          <w:sz w:val="20"/>
          <w:szCs w:val="20"/>
          <w:lang w:eastAsia="en-US"/>
        </w:rPr>
        <w:t xml:space="preserve">Patricia Pérez Goldberg </w:t>
      </w:r>
    </w:p>
    <w:p w14:paraId="1772AAA8" w14:textId="3A436DD8" w:rsidR="00E511AF" w:rsidRDefault="00E511AF" w:rsidP="00810D35">
      <w:pPr>
        <w:spacing w:after="0" w:line="240" w:lineRule="auto"/>
        <w:ind w:left="4248" w:firstLine="708"/>
        <w:rPr>
          <w:rFonts w:ascii="Verdana" w:eastAsiaTheme="minorHAnsi" w:hAnsi="Verdana" w:cs="Arial"/>
          <w:sz w:val="20"/>
          <w:szCs w:val="20"/>
          <w:lang w:eastAsia="en-US"/>
        </w:rPr>
      </w:pPr>
      <w:r>
        <w:rPr>
          <w:rFonts w:ascii="Verdana" w:eastAsiaTheme="minorHAnsi" w:hAnsi="Verdana" w:cs="Arial"/>
          <w:sz w:val="20"/>
          <w:szCs w:val="20"/>
          <w:lang w:eastAsia="en-US"/>
        </w:rPr>
        <w:t xml:space="preserve">Jueza </w:t>
      </w:r>
    </w:p>
    <w:p w14:paraId="7F3947E3" w14:textId="3FBB35CF" w:rsidR="00F42687" w:rsidRDefault="00F42687" w:rsidP="00E511AF">
      <w:pPr>
        <w:spacing w:after="0" w:line="240" w:lineRule="auto"/>
        <w:ind w:left="2832" w:firstLine="708"/>
        <w:jc w:val="both"/>
        <w:rPr>
          <w:rFonts w:ascii="Verdana" w:eastAsiaTheme="minorHAnsi" w:hAnsi="Verdana" w:cs="Arial"/>
          <w:sz w:val="20"/>
          <w:szCs w:val="20"/>
          <w:lang w:eastAsia="en-US"/>
        </w:rPr>
      </w:pPr>
    </w:p>
    <w:p w14:paraId="3451AD5A" w14:textId="3EF8E469" w:rsidR="00810D35" w:rsidRDefault="00810D35" w:rsidP="00E511AF">
      <w:pPr>
        <w:spacing w:after="0" w:line="240" w:lineRule="auto"/>
        <w:ind w:left="2832" w:firstLine="708"/>
        <w:jc w:val="both"/>
        <w:rPr>
          <w:rFonts w:ascii="Verdana" w:eastAsiaTheme="minorHAnsi" w:hAnsi="Verdana" w:cs="Arial"/>
          <w:sz w:val="20"/>
          <w:szCs w:val="20"/>
          <w:lang w:eastAsia="en-US"/>
        </w:rPr>
      </w:pPr>
    </w:p>
    <w:p w14:paraId="0318E480" w14:textId="77777777" w:rsidR="00810D35" w:rsidRDefault="00810D35" w:rsidP="00E04862">
      <w:pPr>
        <w:spacing w:after="0" w:line="240" w:lineRule="auto"/>
        <w:jc w:val="both"/>
        <w:rPr>
          <w:rFonts w:ascii="Verdana" w:eastAsiaTheme="minorHAnsi" w:hAnsi="Verdana" w:cs="Arial"/>
          <w:sz w:val="20"/>
          <w:szCs w:val="20"/>
          <w:lang w:eastAsia="en-US"/>
        </w:rPr>
      </w:pPr>
    </w:p>
    <w:p w14:paraId="697886F9" w14:textId="77777777" w:rsidR="00E04862" w:rsidRDefault="00E04862" w:rsidP="00E04862">
      <w:pPr>
        <w:spacing w:after="0" w:line="240" w:lineRule="auto"/>
        <w:jc w:val="both"/>
        <w:rPr>
          <w:rFonts w:ascii="Verdana" w:eastAsiaTheme="minorHAnsi" w:hAnsi="Verdana" w:cs="Arial"/>
          <w:sz w:val="20"/>
          <w:szCs w:val="20"/>
          <w:lang w:eastAsia="en-US"/>
        </w:rPr>
      </w:pPr>
    </w:p>
    <w:p w14:paraId="381613FE" w14:textId="77777777" w:rsidR="00E04862" w:rsidRDefault="00E04862" w:rsidP="00E04862">
      <w:pPr>
        <w:spacing w:after="0" w:line="240" w:lineRule="auto"/>
        <w:jc w:val="both"/>
        <w:rPr>
          <w:rFonts w:ascii="Verdana" w:eastAsiaTheme="minorHAnsi" w:hAnsi="Verdana" w:cs="Arial"/>
          <w:sz w:val="20"/>
          <w:szCs w:val="20"/>
          <w:lang w:eastAsia="en-US"/>
        </w:rPr>
      </w:pPr>
    </w:p>
    <w:p w14:paraId="519B167E" w14:textId="69920324" w:rsidR="00224C09" w:rsidRPr="00810D35" w:rsidRDefault="00F42687" w:rsidP="00810D35">
      <w:pPr>
        <w:spacing w:after="0" w:line="240" w:lineRule="auto"/>
        <w:ind w:firstLine="708"/>
        <w:rPr>
          <w:rFonts w:ascii="Verdana" w:eastAsiaTheme="minorHAnsi" w:hAnsi="Verdana" w:cs="Arial"/>
          <w:sz w:val="20"/>
          <w:szCs w:val="20"/>
          <w:lang w:eastAsia="en-US"/>
        </w:rPr>
      </w:pPr>
      <w:r w:rsidRPr="00810D35">
        <w:rPr>
          <w:rFonts w:ascii="Verdana" w:eastAsiaTheme="minorHAnsi" w:hAnsi="Verdana" w:cs="Arial"/>
          <w:sz w:val="20"/>
          <w:szCs w:val="20"/>
          <w:lang w:eastAsia="en-US"/>
        </w:rPr>
        <w:t>Pablo Saavedra Alessandri</w:t>
      </w:r>
    </w:p>
    <w:p w14:paraId="16B41DF2" w14:textId="7FF341B7" w:rsidR="00F42687" w:rsidRPr="00224C09" w:rsidRDefault="00F42687" w:rsidP="00810D35">
      <w:pPr>
        <w:spacing w:after="0" w:line="240" w:lineRule="auto"/>
        <w:rPr>
          <w:rFonts w:ascii="Verdana" w:eastAsiaTheme="minorHAnsi" w:hAnsi="Verdana" w:cs="Arial"/>
          <w:sz w:val="20"/>
          <w:szCs w:val="20"/>
          <w:lang w:eastAsia="en-US"/>
        </w:rPr>
      </w:pPr>
      <w:r>
        <w:rPr>
          <w:rFonts w:ascii="Verdana" w:eastAsiaTheme="minorHAnsi" w:hAnsi="Verdana" w:cs="Arial"/>
          <w:sz w:val="20"/>
          <w:szCs w:val="20"/>
          <w:lang w:eastAsia="en-US"/>
        </w:rPr>
        <w:t xml:space="preserve">          </w:t>
      </w:r>
      <w:r w:rsidR="003B4FC7">
        <w:rPr>
          <w:rFonts w:ascii="Verdana" w:eastAsiaTheme="minorHAnsi" w:hAnsi="Verdana" w:cs="Arial"/>
          <w:sz w:val="20"/>
          <w:szCs w:val="20"/>
          <w:lang w:eastAsia="en-US"/>
        </w:rPr>
        <w:tab/>
      </w:r>
      <w:r w:rsidR="003B4FC7">
        <w:rPr>
          <w:rFonts w:ascii="Verdana" w:eastAsiaTheme="minorHAnsi" w:hAnsi="Verdana" w:cs="Arial"/>
          <w:sz w:val="20"/>
          <w:szCs w:val="20"/>
          <w:lang w:eastAsia="en-US"/>
        </w:rPr>
        <w:tab/>
      </w:r>
      <w:r>
        <w:rPr>
          <w:rFonts w:ascii="Verdana" w:eastAsiaTheme="minorHAnsi" w:hAnsi="Verdana" w:cs="Arial"/>
          <w:sz w:val="20"/>
          <w:szCs w:val="20"/>
          <w:lang w:eastAsia="en-US"/>
        </w:rPr>
        <w:t xml:space="preserve">Secretario </w:t>
      </w:r>
    </w:p>
    <w:p w14:paraId="45BAD1F7" w14:textId="77777777" w:rsidR="00224C09" w:rsidRPr="00224C09" w:rsidRDefault="00224C09" w:rsidP="00224C09">
      <w:pPr>
        <w:spacing w:after="0" w:line="240" w:lineRule="auto"/>
        <w:jc w:val="both"/>
        <w:rPr>
          <w:rFonts w:ascii="-webkit-standard" w:eastAsiaTheme="minorHAnsi" w:hAnsi="-webkit-standard"/>
          <w:color w:val="000000"/>
          <w:sz w:val="27"/>
          <w:szCs w:val="27"/>
          <w:lang w:eastAsia="en-US"/>
        </w:rPr>
      </w:pPr>
    </w:p>
    <w:p w14:paraId="2B15C3AD" w14:textId="77777777" w:rsidR="00224C09" w:rsidRPr="00224C09" w:rsidRDefault="00224C09" w:rsidP="00224C09">
      <w:pPr>
        <w:spacing w:after="0" w:line="240" w:lineRule="auto"/>
        <w:jc w:val="both"/>
        <w:rPr>
          <w:rFonts w:ascii="-webkit-standard" w:eastAsiaTheme="minorHAnsi" w:hAnsi="-webkit-standard"/>
          <w:color w:val="000000"/>
          <w:sz w:val="27"/>
          <w:szCs w:val="27"/>
          <w:lang w:eastAsia="en-US"/>
        </w:rPr>
      </w:pPr>
    </w:p>
    <w:p w14:paraId="7D00A09B" w14:textId="77777777" w:rsidR="00224C09" w:rsidRPr="00224C09" w:rsidRDefault="00224C09" w:rsidP="00224C09">
      <w:pPr>
        <w:spacing w:after="0" w:line="240" w:lineRule="auto"/>
        <w:jc w:val="both"/>
        <w:rPr>
          <w:rFonts w:ascii="Garamond" w:eastAsiaTheme="minorHAnsi" w:hAnsi="Garamond" w:cs="Arial"/>
          <w:lang w:eastAsia="en-US"/>
        </w:rPr>
      </w:pPr>
      <w:r w:rsidRPr="00224C09">
        <w:rPr>
          <w:rFonts w:ascii="Garamond" w:eastAsiaTheme="minorHAnsi" w:hAnsi="Garamond"/>
          <w:color w:val="000000"/>
          <w:lang w:eastAsia="en-US"/>
        </w:rPr>
        <w:t xml:space="preserve"> </w:t>
      </w:r>
    </w:p>
    <w:p w14:paraId="1C1E5591" w14:textId="77777777" w:rsidR="00224C09" w:rsidRPr="00224C09" w:rsidRDefault="00224C09" w:rsidP="00224C09"/>
    <w:p w14:paraId="36F76EEE" w14:textId="77777777" w:rsidR="00224C09" w:rsidRDefault="00224C09"/>
    <w:sectPr w:rsidR="00224C09" w:rsidSect="00862B3F">
      <w:footerReference w:type="default" r:id="rId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F9A9C" w14:textId="77777777" w:rsidR="002D6D26" w:rsidRDefault="002D6D26" w:rsidP="00224C09">
      <w:pPr>
        <w:spacing w:after="0" w:line="240" w:lineRule="auto"/>
      </w:pPr>
      <w:r>
        <w:separator/>
      </w:r>
    </w:p>
  </w:endnote>
  <w:endnote w:type="continuationSeparator" w:id="0">
    <w:p w14:paraId="29E37FEE" w14:textId="77777777" w:rsidR="002D6D26" w:rsidRDefault="002D6D26" w:rsidP="00224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webkit-standard">
    <w:altName w:val="Cambria"/>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654465"/>
      <w:docPartObj>
        <w:docPartGallery w:val="Page Numbers (Bottom of Page)"/>
        <w:docPartUnique/>
      </w:docPartObj>
    </w:sdtPr>
    <w:sdtContent>
      <w:p w14:paraId="490FA730" w14:textId="39C09E25" w:rsidR="00862B3F" w:rsidRDefault="00862B3F">
        <w:pPr>
          <w:pStyle w:val="Footer"/>
          <w:jc w:val="center"/>
        </w:pPr>
        <w:r w:rsidRPr="00862B3F">
          <w:rPr>
            <w:rFonts w:ascii="Calibri" w:hAnsi="Calibri" w:cs="Calibri"/>
            <w:sz w:val="22"/>
            <w:szCs w:val="22"/>
          </w:rPr>
          <w:fldChar w:fldCharType="begin"/>
        </w:r>
        <w:r w:rsidRPr="00862B3F">
          <w:rPr>
            <w:rFonts w:ascii="Calibri" w:hAnsi="Calibri" w:cs="Calibri"/>
            <w:sz w:val="22"/>
            <w:szCs w:val="22"/>
          </w:rPr>
          <w:instrText>PAGE   \* MERGEFORMAT</w:instrText>
        </w:r>
        <w:r w:rsidRPr="00862B3F">
          <w:rPr>
            <w:rFonts w:ascii="Calibri" w:hAnsi="Calibri" w:cs="Calibri"/>
            <w:sz w:val="22"/>
            <w:szCs w:val="22"/>
          </w:rPr>
          <w:fldChar w:fldCharType="separate"/>
        </w:r>
        <w:r w:rsidRPr="00862B3F">
          <w:rPr>
            <w:rFonts w:ascii="Calibri" w:hAnsi="Calibri" w:cs="Calibri"/>
            <w:sz w:val="22"/>
            <w:szCs w:val="22"/>
            <w:lang w:val="es-ES"/>
          </w:rPr>
          <w:t>2</w:t>
        </w:r>
        <w:r w:rsidRPr="00862B3F">
          <w:rPr>
            <w:rFonts w:ascii="Calibri" w:hAnsi="Calibri" w:cs="Calibri"/>
            <w:sz w:val="22"/>
            <w:szCs w:val="22"/>
          </w:rPr>
          <w:fldChar w:fldCharType="end"/>
        </w:r>
      </w:p>
    </w:sdtContent>
  </w:sdt>
  <w:p w14:paraId="0F3C667D" w14:textId="77777777" w:rsidR="00862B3F" w:rsidRDefault="00862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0527A" w14:textId="77777777" w:rsidR="002D6D26" w:rsidRDefault="002D6D26" w:rsidP="00224C09">
      <w:pPr>
        <w:spacing w:after="0" w:line="240" w:lineRule="auto"/>
      </w:pPr>
      <w:r>
        <w:separator/>
      </w:r>
    </w:p>
  </w:footnote>
  <w:footnote w:type="continuationSeparator" w:id="0">
    <w:p w14:paraId="2635B37D" w14:textId="77777777" w:rsidR="002D6D26" w:rsidRDefault="002D6D26" w:rsidP="00224C09">
      <w:pPr>
        <w:spacing w:after="0" w:line="240" w:lineRule="auto"/>
      </w:pPr>
      <w:r>
        <w:continuationSeparator/>
      </w:r>
    </w:p>
  </w:footnote>
  <w:footnote w:id="1">
    <w:p w14:paraId="733BB291" w14:textId="72D33295" w:rsidR="00224C09" w:rsidRPr="00963A75" w:rsidRDefault="00224C09" w:rsidP="00963A75">
      <w:pPr>
        <w:pStyle w:val="FootnoteText"/>
        <w:jc w:val="both"/>
        <w:rPr>
          <w:rFonts w:ascii="Verdana" w:hAnsi="Verdana"/>
          <w:sz w:val="16"/>
          <w:szCs w:val="16"/>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sz w:val="16"/>
          <w:szCs w:val="16"/>
          <w:lang w:val="es-ES"/>
        </w:rPr>
        <w:t>Artículo 65.2 del Reglamento de la Corte IDH: “Todo Juez que haya participado en el examen de un caso tiene derecho a unir a la sentencia su voto concurrente o disidente que deberá ser razonado. Estos votos deberán ser presentados dentro del plazo fijado por la Presidencia, de modo que puedan ser conocidos por los Jueces antes de la notificación de la sentencia. Dichos votos sólo podrán referirse a lo tratado en las sentencias”.</w:t>
      </w:r>
      <w:r w:rsidR="00655C86">
        <w:rPr>
          <w:rFonts w:ascii="Verdana" w:hAnsi="Verdana"/>
          <w:sz w:val="16"/>
          <w:szCs w:val="16"/>
          <w:lang w:val="es-ES"/>
        </w:rPr>
        <w:t xml:space="preserve"> Agradezco la</w:t>
      </w:r>
      <w:r w:rsidR="000A70AB">
        <w:rPr>
          <w:rFonts w:ascii="Verdana" w:hAnsi="Verdana"/>
          <w:sz w:val="16"/>
          <w:szCs w:val="16"/>
          <w:lang w:val="es-ES"/>
        </w:rPr>
        <w:t xml:space="preserve"> revisión</w:t>
      </w:r>
      <w:r w:rsidR="001C02A6">
        <w:rPr>
          <w:rFonts w:ascii="Verdana" w:hAnsi="Verdana"/>
          <w:sz w:val="16"/>
          <w:szCs w:val="16"/>
          <w:lang w:val="es-ES"/>
        </w:rPr>
        <w:t xml:space="preserve"> del presente voto por parte</w:t>
      </w:r>
      <w:r w:rsidR="000A70AB">
        <w:rPr>
          <w:rFonts w:ascii="Verdana" w:hAnsi="Verdana"/>
          <w:sz w:val="16"/>
          <w:szCs w:val="16"/>
          <w:lang w:val="es-ES"/>
        </w:rPr>
        <w:t xml:space="preserve"> de los Dres. </w:t>
      </w:r>
      <w:proofErr w:type="spellStart"/>
      <w:r w:rsidR="000A70AB">
        <w:rPr>
          <w:rFonts w:ascii="Verdana" w:hAnsi="Verdana"/>
          <w:sz w:val="16"/>
          <w:szCs w:val="16"/>
          <w:lang w:val="es-ES"/>
        </w:rPr>
        <w:t>Alexei</w:t>
      </w:r>
      <w:proofErr w:type="spellEnd"/>
      <w:r w:rsidR="000A70AB">
        <w:rPr>
          <w:rFonts w:ascii="Verdana" w:hAnsi="Verdana"/>
          <w:sz w:val="16"/>
          <w:szCs w:val="16"/>
          <w:lang w:val="es-ES"/>
        </w:rPr>
        <w:t xml:space="preserve"> Julio y Pablo González, como también la colaboración de Esteban </w:t>
      </w:r>
      <w:proofErr w:type="spellStart"/>
      <w:r w:rsidR="000A70AB">
        <w:rPr>
          <w:rFonts w:ascii="Verdana" w:hAnsi="Verdana"/>
          <w:sz w:val="16"/>
          <w:szCs w:val="16"/>
          <w:lang w:val="es-ES"/>
        </w:rPr>
        <w:t>Oyarzún</w:t>
      </w:r>
      <w:proofErr w:type="spellEnd"/>
      <w:r w:rsidR="000A70AB">
        <w:rPr>
          <w:rFonts w:ascii="Verdana" w:hAnsi="Verdana"/>
          <w:sz w:val="16"/>
          <w:szCs w:val="16"/>
          <w:lang w:val="es-ES"/>
        </w:rPr>
        <w:t xml:space="preserve">. </w:t>
      </w:r>
    </w:p>
  </w:footnote>
  <w:footnote w:id="2">
    <w:p w14:paraId="543E6BC5"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 xml:space="preserve">Cfr. </w:t>
      </w:r>
      <w:r w:rsidRPr="00963A75">
        <w:rPr>
          <w:rFonts w:ascii="Verdana" w:hAnsi="Verdana"/>
          <w:sz w:val="16"/>
          <w:szCs w:val="16"/>
          <w:lang w:val="es-ES_tradnl"/>
        </w:rPr>
        <w:t xml:space="preserve">Punto resolutivo 3. </w:t>
      </w:r>
    </w:p>
  </w:footnote>
  <w:footnote w:id="3">
    <w:p w14:paraId="79B95195"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 xml:space="preserve">Cfr. </w:t>
      </w:r>
      <w:r w:rsidRPr="00963A75">
        <w:rPr>
          <w:rFonts w:ascii="Verdana" w:hAnsi="Verdana"/>
          <w:sz w:val="16"/>
          <w:szCs w:val="16"/>
          <w:lang w:val="es-ES_tradnl"/>
        </w:rPr>
        <w:t xml:space="preserve">Párr. 157. </w:t>
      </w:r>
    </w:p>
  </w:footnote>
  <w:footnote w:id="4">
    <w:p w14:paraId="557BCC58"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 xml:space="preserve">Cfr. </w:t>
      </w:r>
      <w:r w:rsidRPr="00963A75">
        <w:rPr>
          <w:rFonts w:ascii="Verdana" w:hAnsi="Verdana"/>
          <w:sz w:val="16"/>
          <w:szCs w:val="16"/>
          <w:lang w:val="es-ES_tradnl"/>
        </w:rPr>
        <w:t xml:space="preserve">Párr. 157. </w:t>
      </w:r>
    </w:p>
  </w:footnote>
  <w:footnote w:id="5">
    <w:p w14:paraId="095B388B"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 xml:space="preserve">Cfr. </w:t>
      </w:r>
      <w:r w:rsidRPr="00963A75">
        <w:rPr>
          <w:rFonts w:ascii="Verdana" w:hAnsi="Verdana"/>
          <w:sz w:val="16"/>
          <w:szCs w:val="16"/>
          <w:lang w:val="es-ES_tradnl"/>
        </w:rPr>
        <w:t>Párr. 158.</w:t>
      </w:r>
    </w:p>
  </w:footnote>
  <w:footnote w:id="6">
    <w:p w14:paraId="0B94E78B"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 xml:space="preserve">Cfr. </w:t>
      </w:r>
      <w:r w:rsidRPr="00963A75">
        <w:rPr>
          <w:rFonts w:ascii="Verdana" w:hAnsi="Verdana"/>
          <w:sz w:val="16"/>
          <w:szCs w:val="16"/>
          <w:lang w:val="es-ES_tradnl"/>
        </w:rPr>
        <w:t>Párr. 158.</w:t>
      </w:r>
    </w:p>
  </w:footnote>
  <w:footnote w:id="7">
    <w:p w14:paraId="6A837811"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 xml:space="preserve">Cfr. </w:t>
      </w:r>
      <w:r w:rsidRPr="00963A75">
        <w:rPr>
          <w:rFonts w:ascii="Verdana" w:hAnsi="Verdana"/>
          <w:sz w:val="16"/>
          <w:szCs w:val="16"/>
          <w:lang w:val="es-ES_tradnl"/>
        </w:rPr>
        <w:t>Párr. 158.</w:t>
      </w:r>
    </w:p>
  </w:footnote>
  <w:footnote w:id="8">
    <w:p w14:paraId="50A20356"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 xml:space="preserve">Cfr. </w:t>
      </w:r>
      <w:r w:rsidRPr="00963A75">
        <w:rPr>
          <w:rFonts w:ascii="Verdana" w:hAnsi="Verdana"/>
          <w:sz w:val="16"/>
          <w:szCs w:val="16"/>
          <w:lang w:val="es-ES_tradnl"/>
        </w:rPr>
        <w:t>Párr. 159.</w:t>
      </w:r>
    </w:p>
  </w:footnote>
  <w:footnote w:id="9">
    <w:p w14:paraId="7266C7F1"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 xml:space="preserve">Cfr. </w:t>
      </w:r>
      <w:r w:rsidRPr="00963A75">
        <w:rPr>
          <w:rFonts w:ascii="Verdana" w:hAnsi="Verdana"/>
          <w:sz w:val="16"/>
          <w:szCs w:val="16"/>
          <w:lang w:val="es-ES_tradnl"/>
        </w:rPr>
        <w:t>Párr. 160.</w:t>
      </w:r>
    </w:p>
  </w:footnote>
  <w:footnote w:id="10">
    <w:p w14:paraId="6C115040"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 xml:space="preserve">Cfr. </w:t>
      </w:r>
      <w:r w:rsidRPr="00963A75">
        <w:rPr>
          <w:rFonts w:ascii="Verdana" w:hAnsi="Verdana"/>
          <w:sz w:val="16"/>
          <w:szCs w:val="16"/>
          <w:lang w:val="es-ES_tradnl"/>
        </w:rPr>
        <w:t>Párr. 160.</w:t>
      </w:r>
    </w:p>
  </w:footnote>
  <w:footnote w:id="11">
    <w:p w14:paraId="6F409012"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 xml:space="preserve">Cfr. </w:t>
      </w:r>
      <w:r w:rsidRPr="00963A75">
        <w:rPr>
          <w:rFonts w:ascii="Verdana" w:hAnsi="Verdana"/>
          <w:sz w:val="16"/>
          <w:szCs w:val="16"/>
          <w:lang w:val="es-ES_tradnl"/>
        </w:rPr>
        <w:t>Párr. 161.</w:t>
      </w:r>
    </w:p>
  </w:footnote>
  <w:footnote w:id="12">
    <w:p w14:paraId="1AE4073D"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 xml:space="preserve">Cfr. </w:t>
      </w:r>
      <w:r w:rsidRPr="00963A75">
        <w:rPr>
          <w:rFonts w:ascii="Verdana" w:hAnsi="Verdana"/>
          <w:sz w:val="16"/>
          <w:szCs w:val="16"/>
          <w:lang w:val="es-ES_tradnl"/>
        </w:rPr>
        <w:t>Párr. 162.</w:t>
      </w:r>
    </w:p>
  </w:footnote>
  <w:footnote w:id="13">
    <w:p w14:paraId="38F67D03"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 xml:space="preserve">Cfr. </w:t>
      </w:r>
      <w:r w:rsidRPr="00963A75">
        <w:rPr>
          <w:rFonts w:ascii="Verdana" w:hAnsi="Verdana"/>
          <w:sz w:val="16"/>
          <w:szCs w:val="16"/>
          <w:lang w:val="es-ES_tradnl"/>
        </w:rPr>
        <w:t>Párr. 162.</w:t>
      </w:r>
    </w:p>
  </w:footnote>
  <w:footnote w:id="14">
    <w:p w14:paraId="6326AB5D"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 xml:space="preserve">Cfr. </w:t>
      </w:r>
      <w:r w:rsidRPr="00963A75">
        <w:rPr>
          <w:rFonts w:ascii="Verdana" w:hAnsi="Verdana"/>
          <w:sz w:val="16"/>
          <w:szCs w:val="16"/>
          <w:lang w:val="es-ES_tradnl"/>
        </w:rPr>
        <w:t>Párr. 177.</w:t>
      </w:r>
    </w:p>
  </w:footnote>
  <w:footnote w:id="15">
    <w:p w14:paraId="5D88EF5E"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 xml:space="preserve">Cfr. </w:t>
      </w:r>
      <w:r w:rsidRPr="00963A75">
        <w:rPr>
          <w:rFonts w:ascii="Verdana" w:hAnsi="Verdana"/>
          <w:sz w:val="16"/>
          <w:szCs w:val="16"/>
          <w:lang w:val="es-ES_tradnl"/>
        </w:rPr>
        <w:t>Párr. 175.</w:t>
      </w:r>
    </w:p>
  </w:footnote>
  <w:footnote w:id="16">
    <w:p w14:paraId="6953C828"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 xml:space="preserve">Cfr. </w:t>
      </w:r>
      <w:r w:rsidRPr="00963A75">
        <w:rPr>
          <w:rFonts w:ascii="Verdana" w:hAnsi="Verdana"/>
          <w:sz w:val="16"/>
          <w:szCs w:val="16"/>
          <w:lang w:val="es-ES_tradnl"/>
        </w:rPr>
        <w:t>Párr. 175.</w:t>
      </w:r>
    </w:p>
  </w:footnote>
  <w:footnote w:id="17">
    <w:p w14:paraId="4E328CA8"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 xml:space="preserve">Cfr. </w:t>
      </w:r>
      <w:r w:rsidRPr="00963A75">
        <w:rPr>
          <w:rFonts w:ascii="Verdana" w:hAnsi="Verdana"/>
          <w:sz w:val="16"/>
          <w:szCs w:val="16"/>
          <w:lang w:val="es-ES_tradnl"/>
        </w:rPr>
        <w:t>Párr. 179.</w:t>
      </w:r>
    </w:p>
  </w:footnote>
  <w:footnote w:id="18">
    <w:p w14:paraId="044AF8FA"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 xml:space="preserve">Cfr. </w:t>
      </w:r>
      <w:r w:rsidRPr="00963A75">
        <w:rPr>
          <w:rFonts w:ascii="Verdana" w:hAnsi="Verdana"/>
          <w:sz w:val="16"/>
          <w:szCs w:val="16"/>
          <w:lang w:val="es-ES_tradnl"/>
        </w:rPr>
        <w:t>Párr. 183.</w:t>
      </w:r>
    </w:p>
  </w:footnote>
  <w:footnote w:id="19">
    <w:p w14:paraId="4B3E5088"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 xml:space="preserve">Cfr. </w:t>
      </w:r>
      <w:r w:rsidRPr="00963A75">
        <w:rPr>
          <w:rFonts w:ascii="Verdana" w:hAnsi="Verdana"/>
          <w:sz w:val="16"/>
          <w:szCs w:val="16"/>
          <w:lang w:val="es-ES_tradnl"/>
        </w:rPr>
        <w:t>Párr. 181.</w:t>
      </w:r>
    </w:p>
  </w:footnote>
  <w:footnote w:id="20">
    <w:p w14:paraId="30A456B6"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E04862">
        <w:rPr>
          <w:rFonts w:ascii="Verdana" w:hAnsi="Verdana"/>
          <w:sz w:val="16"/>
          <w:szCs w:val="16"/>
          <w:lang w:val="it-IT"/>
        </w:rPr>
        <w:t xml:space="preserve"> </w:t>
      </w:r>
      <w:r w:rsidRPr="00E04862">
        <w:rPr>
          <w:rFonts w:ascii="Verdana" w:hAnsi="Verdana"/>
          <w:i/>
          <w:iCs/>
          <w:sz w:val="16"/>
          <w:szCs w:val="16"/>
          <w:lang w:val="it-IT"/>
        </w:rPr>
        <w:t xml:space="preserve">Caso Baraona Bray Vs. Chile. </w:t>
      </w:r>
      <w:r w:rsidRPr="00963A75">
        <w:rPr>
          <w:rFonts w:ascii="Verdana" w:hAnsi="Verdana"/>
          <w:i/>
          <w:iCs/>
          <w:sz w:val="16"/>
          <w:szCs w:val="16"/>
        </w:rPr>
        <w:t>Excepciones Preliminares, Fondo, Reparaciones y Costas</w:t>
      </w:r>
      <w:r w:rsidRPr="00963A75">
        <w:rPr>
          <w:rFonts w:ascii="Verdana" w:hAnsi="Verdana"/>
          <w:sz w:val="16"/>
          <w:szCs w:val="16"/>
        </w:rPr>
        <w:t>. Sentencia de 24 de noviembre de 2022. Serie C No. 481. Voto concurrente y parcialmente disidente del Juez Humberto Antonio Sierra Porto y la Jueza Nancy Hernández López. Párr. 31.</w:t>
      </w:r>
    </w:p>
  </w:footnote>
  <w:footnote w:id="21">
    <w:p w14:paraId="2B9F4DC6"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 xml:space="preserve">Cfr. </w:t>
      </w:r>
      <w:r w:rsidRPr="00963A75">
        <w:rPr>
          <w:rFonts w:ascii="Verdana" w:hAnsi="Verdana"/>
          <w:i/>
          <w:iCs/>
          <w:sz w:val="16"/>
          <w:szCs w:val="16"/>
        </w:rPr>
        <w:t>Caso "La Última Tentación de Cristo" (Olmedo Bustos y otros) Vs. Chile. Fondo, Reparaciones y Costas</w:t>
      </w:r>
      <w:r w:rsidRPr="00963A75">
        <w:rPr>
          <w:rFonts w:ascii="Verdana" w:hAnsi="Verdana"/>
          <w:sz w:val="16"/>
          <w:szCs w:val="16"/>
        </w:rPr>
        <w:t xml:space="preserve">. Sentencia de 5 de febrero de 2001. Serie C No. 73, párr. 87; </w:t>
      </w:r>
      <w:r w:rsidRPr="00963A75">
        <w:rPr>
          <w:rFonts w:ascii="Verdana" w:hAnsi="Verdana"/>
          <w:i/>
          <w:iCs/>
          <w:sz w:val="16"/>
          <w:szCs w:val="16"/>
        </w:rPr>
        <w:t>Caso Barrios Altos Vs. Perú. Interpretación de la Sentencia de Fondo</w:t>
      </w:r>
      <w:r w:rsidRPr="00963A75">
        <w:rPr>
          <w:rFonts w:ascii="Verdana" w:hAnsi="Verdana"/>
          <w:sz w:val="16"/>
          <w:szCs w:val="16"/>
        </w:rPr>
        <w:t xml:space="preserve">. Sentencia de 3 de septiembre de 2001. Serie C No. 83, párr. 17; </w:t>
      </w:r>
      <w:r w:rsidRPr="00963A75">
        <w:rPr>
          <w:rFonts w:ascii="Verdana" w:hAnsi="Verdana"/>
          <w:i/>
          <w:iCs/>
          <w:sz w:val="16"/>
          <w:szCs w:val="16"/>
        </w:rPr>
        <w:t xml:space="preserve">Caso Trujillo </w:t>
      </w:r>
      <w:proofErr w:type="spellStart"/>
      <w:r w:rsidRPr="00963A75">
        <w:rPr>
          <w:rFonts w:ascii="Verdana" w:hAnsi="Verdana"/>
          <w:i/>
          <w:iCs/>
          <w:sz w:val="16"/>
          <w:szCs w:val="16"/>
        </w:rPr>
        <w:t>Oroza</w:t>
      </w:r>
      <w:proofErr w:type="spellEnd"/>
      <w:r w:rsidRPr="00963A75">
        <w:rPr>
          <w:rFonts w:ascii="Verdana" w:hAnsi="Verdana"/>
          <w:i/>
          <w:iCs/>
          <w:sz w:val="16"/>
          <w:szCs w:val="16"/>
        </w:rPr>
        <w:t xml:space="preserve"> Vs. Bolivia. Reparaciones y Costas</w:t>
      </w:r>
      <w:r w:rsidRPr="00963A75">
        <w:rPr>
          <w:rFonts w:ascii="Verdana" w:hAnsi="Verdana"/>
          <w:sz w:val="16"/>
          <w:szCs w:val="16"/>
        </w:rPr>
        <w:t xml:space="preserve">. Sentencia de 27 de febrero de 2002. Serie C No. 92, párr. 96; </w:t>
      </w:r>
      <w:r w:rsidRPr="00963A75">
        <w:rPr>
          <w:rFonts w:ascii="Verdana" w:hAnsi="Verdana"/>
          <w:i/>
          <w:iCs/>
          <w:sz w:val="16"/>
          <w:szCs w:val="16"/>
        </w:rPr>
        <w:t xml:space="preserve">Caso Hilaire, </w:t>
      </w:r>
      <w:proofErr w:type="spellStart"/>
      <w:r w:rsidRPr="00963A75">
        <w:rPr>
          <w:rFonts w:ascii="Verdana" w:hAnsi="Verdana"/>
          <w:i/>
          <w:iCs/>
          <w:sz w:val="16"/>
          <w:szCs w:val="16"/>
        </w:rPr>
        <w:t>Constantine</w:t>
      </w:r>
      <w:proofErr w:type="spellEnd"/>
      <w:r w:rsidRPr="00963A75">
        <w:rPr>
          <w:rFonts w:ascii="Verdana" w:hAnsi="Verdana"/>
          <w:i/>
          <w:iCs/>
          <w:sz w:val="16"/>
          <w:szCs w:val="16"/>
        </w:rPr>
        <w:t xml:space="preserve"> y </w:t>
      </w:r>
      <w:proofErr w:type="spellStart"/>
      <w:r w:rsidRPr="00963A75">
        <w:rPr>
          <w:rFonts w:ascii="Verdana" w:hAnsi="Verdana"/>
          <w:i/>
          <w:iCs/>
          <w:sz w:val="16"/>
          <w:szCs w:val="16"/>
        </w:rPr>
        <w:t>Benjamin</w:t>
      </w:r>
      <w:proofErr w:type="spellEnd"/>
      <w:r w:rsidRPr="00963A75">
        <w:rPr>
          <w:rFonts w:ascii="Verdana" w:hAnsi="Verdana"/>
          <w:i/>
          <w:iCs/>
          <w:sz w:val="16"/>
          <w:szCs w:val="16"/>
        </w:rPr>
        <w:t xml:space="preserve"> y otros Vs. Trinidad y Tobago. Fondo, Reparaciones y Costas</w:t>
      </w:r>
      <w:r w:rsidRPr="00963A75">
        <w:rPr>
          <w:rFonts w:ascii="Verdana" w:hAnsi="Verdana"/>
          <w:sz w:val="16"/>
          <w:szCs w:val="16"/>
        </w:rPr>
        <w:t xml:space="preserve">. Sentencia de 21 de junio de 2002. Serie C No. 94, párr. 213; </w:t>
      </w:r>
      <w:r w:rsidRPr="00963A75">
        <w:rPr>
          <w:rFonts w:ascii="Verdana" w:hAnsi="Verdana"/>
          <w:i/>
          <w:iCs/>
          <w:sz w:val="16"/>
          <w:szCs w:val="16"/>
        </w:rPr>
        <w:t>Caso Cantos Vs. Argentina. Fondo, Reparaciones y Costas</w:t>
      </w:r>
      <w:r w:rsidRPr="00963A75">
        <w:rPr>
          <w:rFonts w:ascii="Verdana" w:hAnsi="Verdana"/>
          <w:sz w:val="16"/>
          <w:szCs w:val="16"/>
        </w:rPr>
        <w:t xml:space="preserve">. Sentencia de 28 de noviembre de 2002. Serie C No. 97, párr. 59; </w:t>
      </w:r>
      <w:r w:rsidRPr="00963A75">
        <w:rPr>
          <w:rFonts w:ascii="Verdana" w:hAnsi="Verdana"/>
          <w:i/>
          <w:iCs/>
          <w:sz w:val="16"/>
          <w:szCs w:val="16"/>
        </w:rPr>
        <w:t>Caso "Cinco Pensionistas" Vs. Perú. Fondo, Reparaciones y Costas.</w:t>
      </w:r>
      <w:r w:rsidRPr="00963A75">
        <w:rPr>
          <w:rFonts w:ascii="Verdana" w:hAnsi="Verdana"/>
          <w:sz w:val="16"/>
          <w:szCs w:val="16"/>
        </w:rPr>
        <w:t xml:space="preserve"> Sentencia de 28 de febrero de 2003. Serie C No. 98, párr. 164; </w:t>
      </w:r>
      <w:r w:rsidRPr="00963A75">
        <w:rPr>
          <w:rFonts w:ascii="Verdana" w:hAnsi="Verdana"/>
          <w:i/>
          <w:iCs/>
          <w:sz w:val="16"/>
          <w:szCs w:val="16"/>
        </w:rPr>
        <w:t>Caso Bulacio Vs. Argentina. Fondo, Reparaciones y Costas</w:t>
      </w:r>
      <w:r w:rsidRPr="00963A75">
        <w:rPr>
          <w:rFonts w:ascii="Verdana" w:hAnsi="Verdana"/>
          <w:sz w:val="16"/>
          <w:szCs w:val="16"/>
        </w:rPr>
        <w:t xml:space="preserve">. Sentencia de 18 de septiembre de 2003. Serie C No. 100, párr. 140; </w:t>
      </w:r>
      <w:r w:rsidRPr="00963A75">
        <w:rPr>
          <w:rFonts w:ascii="Verdana" w:hAnsi="Verdana"/>
          <w:i/>
          <w:iCs/>
          <w:sz w:val="16"/>
          <w:szCs w:val="16"/>
        </w:rPr>
        <w:t>Caso Lori Berenson Mejía Vs. Perú. Fondo, Reparaciones y Costas</w:t>
      </w:r>
      <w:r w:rsidRPr="00963A75">
        <w:rPr>
          <w:rFonts w:ascii="Verdana" w:hAnsi="Verdana"/>
          <w:sz w:val="16"/>
          <w:szCs w:val="16"/>
        </w:rPr>
        <w:t xml:space="preserve">. Sentencia de 25 de noviembre de 2004. Serie C No. 119, párr. 220; </w:t>
      </w:r>
      <w:r w:rsidRPr="00963A75">
        <w:rPr>
          <w:rFonts w:ascii="Verdana" w:hAnsi="Verdana"/>
          <w:i/>
          <w:iCs/>
          <w:sz w:val="16"/>
          <w:szCs w:val="16"/>
        </w:rPr>
        <w:t>Caso La Cantuta Vs. Perú. Fondo, Reparaciones y Costas</w:t>
      </w:r>
      <w:r w:rsidRPr="00963A75">
        <w:rPr>
          <w:rFonts w:ascii="Verdana" w:hAnsi="Verdana"/>
          <w:sz w:val="16"/>
          <w:szCs w:val="16"/>
        </w:rPr>
        <w:t xml:space="preserve">. Sentencia de 29 de noviembre de 2006. Serie C No. 162, párr. 170; </w:t>
      </w:r>
      <w:r w:rsidRPr="00963A75">
        <w:rPr>
          <w:rFonts w:ascii="Verdana" w:hAnsi="Verdana"/>
          <w:i/>
          <w:iCs/>
          <w:sz w:val="16"/>
          <w:szCs w:val="16"/>
        </w:rPr>
        <w:t>Caso Radilla Pacheco Vs. México. Excepciones Preliminares, Fondo, Reparaciones y Costas</w:t>
      </w:r>
      <w:r w:rsidRPr="00963A75">
        <w:rPr>
          <w:rFonts w:ascii="Verdana" w:hAnsi="Verdana"/>
          <w:sz w:val="16"/>
          <w:szCs w:val="16"/>
        </w:rPr>
        <w:t>. Sentencia de 23 de noviembre de 2009. Serie C No. 209, párr. 288.</w:t>
      </w:r>
    </w:p>
  </w:footnote>
  <w:footnote w:id="22">
    <w:p w14:paraId="19776D9D" w14:textId="77777777" w:rsidR="00224C09" w:rsidRPr="00963A75" w:rsidRDefault="00224C09" w:rsidP="00963A75">
      <w:pPr>
        <w:pStyle w:val="FootnoteText"/>
        <w:jc w:val="both"/>
        <w:rPr>
          <w:rFonts w:ascii="Verdana" w:hAnsi="Verdana"/>
          <w:sz w:val="16"/>
          <w:szCs w:val="16"/>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Cfr.</w:t>
      </w:r>
      <w:r w:rsidRPr="00963A75">
        <w:rPr>
          <w:rFonts w:ascii="Verdana" w:hAnsi="Verdana"/>
          <w:sz w:val="16"/>
          <w:szCs w:val="16"/>
          <w:lang w:val="es-ES_tradnl"/>
        </w:rPr>
        <w:t xml:space="preserve"> </w:t>
      </w:r>
      <w:r w:rsidRPr="00963A75">
        <w:rPr>
          <w:rFonts w:ascii="Verdana" w:hAnsi="Verdana"/>
          <w:i/>
          <w:iCs/>
          <w:sz w:val="16"/>
          <w:szCs w:val="16"/>
          <w:lang w:val="es-ES_tradnl"/>
        </w:rPr>
        <w:t>Caso "La Última Tentación de Cristo" (Olmedo Bustos y otros) Vs. Chile. Fondo, Reparaciones y Costas</w:t>
      </w:r>
      <w:r w:rsidRPr="00963A75">
        <w:rPr>
          <w:rFonts w:ascii="Verdana" w:hAnsi="Verdana"/>
          <w:sz w:val="16"/>
          <w:szCs w:val="16"/>
          <w:lang w:val="es-ES_tradnl"/>
        </w:rPr>
        <w:t xml:space="preserve">. Sentencia de 5 de febrero de 2001. Serie C No. 73, </w:t>
      </w:r>
      <w:proofErr w:type="spellStart"/>
      <w:r w:rsidRPr="00963A75">
        <w:rPr>
          <w:rFonts w:ascii="Verdana" w:hAnsi="Verdana"/>
          <w:sz w:val="16"/>
          <w:szCs w:val="16"/>
          <w:lang w:val="es-ES_tradnl"/>
        </w:rPr>
        <w:t>párrs</w:t>
      </w:r>
      <w:proofErr w:type="spellEnd"/>
      <w:r w:rsidRPr="00963A75">
        <w:rPr>
          <w:rFonts w:ascii="Verdana" w:hAnsi="Verdana"/>
          <w:sz w:val="16"/>
          <w:szCs w:val="16"/>
          <w:lang w:val="es-ES_tradnl"/>
        </w:rPr>
        <w:t xml:space="preserve">. 85-87; </w:t>
      </w:r>
      <w:r w:rsidRPr="00963A75">
        <w:rPr>
          <w:rFonts w:ascii="Verdana" w:hAnsi="Verdana"/>
          <w:i/>
          <w:iCs/>
          <w:sz w:val="16"/>
          <w:szCs w:val="16"/>
          <w:lang w:val="es-ES_tradnl"/>
        </w:rPr>
        <w:t>Caso Durand y Ugarte Vs. Perú</w:t>
      </w:r>
      <w:r w:rsidRPr="00963A75">
        <w:rPr>
          <w:rFonts w:ascii="Verdana" w:hAnsi="Verdana"/>
          <w:sz w:val="16"/>
          <w:szCs w:val="16"/>
          <w:lang w:val="es-ES_tradnl"/>
        </w:rPr>
        <w:t xml:space="preserve">. </w:t>
      </w:r>
      <w:r w:rsidRPr="00963A75">
        <w:rPr>
          <w:rFonts w:ascii="Verdana" w:hAnsi="Verdana"/>
          <w:i/>
          <w:iCs/>
          <w:sz w:val="16"/>
          <w:szCs w:val="16"/>
          <w:lang w:val="es-ES_tradnl"/>
        </w:rPr>
        <w:t>Fondo</w:t>
      </w:r>
      <w:r w:rsidRPr="00963A75">
        <w:rPr>
          <w:rFonts w:ascii="Verdana" w:hAnsi="Verdana"/>
          <w:sz w:val="16"/>
          <w:szCs w:val="16"/>
          <w:lang w:val="es-ES_tradnl"/>
        </w:rPr>
        <w:t xml:space="preserve">. Sentencia de 16 de agosto de 2000. Serie C No. 68, párr. 137; </w:t>
      </w:r>
      <w:r w:rsidRPr="00963A75">
        <w:rPr>
          <w:rFonts w:ascii="Verdana" w:hAnsi="Verdana"/>
          <w:i/>
          <w:iCs/>
          <w:sz w:val="16"/>
          <w:szCs w:val="16"/>
          <w:lang w:val="es-ES_tradnl"/>
        </w:rPr>
        <w:t xml:space="preserve">Caso Trujillo </w:t>
      </w:r>
      <w:proofErr w:type="spellStart"/>
      <w:r w:rsidRPr="00963A75">
        <w:rPr>
          <w:rFonts w:ascii="Verdana" w:hAnsi="Verdana"/>
          <w:i/>
          <w:iCs/>
          <w:sz w:val="16"/>
          <w:szCs w:val="16"/>
          <w:lang w:val="es-ES_tradnl"/>
        </w:rPr>
        <w:t>Oroza</w:t>
      </w:r>
      <w:proofErr w:type="spellEnd"/>
      <w:r w:rsidRPr="00963A75">
        <w:rPr>
          <w:rFonts w:ascii="Verdana" w:hAnsi="Verdana"/>
          <w:i/>
          <w:iCs/>
          <w:sz w:val="16"/>
          <w:szCs w:val="16"/>
          <w:lang w:val="es-ES_tradnl"/>
        </w:rPr>
        <w:t xml:space="preserve"> Vs. Bolivia. Reparaciones y Costas</w:t>
      </w:r>
      <w:r w:rsidRPr="00963A75">
        <w:rPr>
          <w:rFonts w:ascii="Verdana" w:hAnsi="Verdana"/>
          <w:sz w:val="16"/>
          <w:szCs w:val="16"/>
          <w:lang w:val="es-ES_tradnl"/>
        </w:rPr>
        <w:t xml:space="preserve">. Sentencia de 27 de febrero de 2002. Serie C No. 92, párr. 96; </w:t>
      </w:r>
      <w:r w:rsidRPr="00963A75">
        <w:rPr>
          <w:rFonts w:ascii="Verdana" w:hAnsi="Verdana"/>
          <w:i/>
          <w:iCs/>
          <w:sz w:val="16"/>
          <w:szCs w:val="16"/>
          <w:lang w:val="es-ES_tradnl"/>
        </w:rPr>
        <w:t xml:space="preserve">Caso Hilaire, </w:t>
      </w:r>
      <w:proofErr w:type="spellStart"/>
      <w:r w:rsidRPr="00963A75">
        <w:rPr>
          <w:rFonts w:ascii="Verdana" w:hAnsi="Verdana"/>
          <w:i/>
          <w:iCs/>
          <w:sz w:val="16"/>
          <w:szCs w:val="16"/>
          <w:lang w:val="es-ES_tradnl"/>
        </w:rPr>
        <w:t>Constantine</w:t>
      </w:r>
      <w:proofErr w:type="spellEnd"/>
      <w:r w:rsidRPr="00963A75">
        <w:rPr>
          <w:rFonts w:ascii="Verdana" w:hAnsi="Verdana"/>
          <w:i/>
          <w:iCs/>
          <w:sz w:val="16"/>
          <w:szCs w:val="16"/>
          <w:lang w:val="es-ES_tradnl"/>
        </w:rPr>
        <w:t xml:space="preserve"> y </w:t>
      </w:r>
      <w:proofErr w:type="spellStart"/>
      <w:r w:rsidRPr="00963A75">
        <w:rPr>
          <w:rFonts w:ascii="Verdana" w:hAnsi="Verdana"/>
          <w:i/>
          <w:iCs/>
          <w:sz w:val="16"/>
          <w:szCs w:val="16"/>
          <w:lang w:val="es-ES_tradnl"/>
        </w:rPr>
        <w:t>Benjamin</w:t>
      </w:r>
      <w:proofErr w:type="spellEnd"/>
      <w:r w:rsidRPr="00963A75">
        <w:rPr>
          <w:rFonts w:ascii="Verdana" w:hAnsi="Verdana"/>
          <w:i/>
          <w:iCs/>
          <w:sz w:val="16"/>
          <w:szCs w:val="16"/>
          <w:lang w:val="es-ES_tradnl"/>
        </w:rPr>
        <w:t xml:space="preserve"> y otros Vs. Trinidad y Tobago. Fondo, Reparaciones y Costas</w:t>
      </w:r>
      <w:r w:rsidRPr="00963A75">
        <w:rPr>
          <w:rFonts w:ascii="Verdana" w:hAnsi="Verdana"/>
          <w:sz w:val="16"/>
          <w:szCs w:val="16"/>
          <w:lang w:val="es-ES_tradnl"/>
        </w:rPr>
        <w:t xml:space="preserve">. Sentencia de 21 de junio de 2002. Serie C No. 94, párr. 112; </w:t>
      </w:r>
      <w:r w:rsidRPr="00963A75">
        <w:rPr>
          <w:rFonts w:ascii="Verdana" w:hAnsi="Verdana"/>
          <w:i/>
          <w:iCs/>
          <w:sz w:val="16"/>
          <w:szCs w:val="16"/>
          <w:lang w:val="es-ES_tradnl"/>
        </w:rPr>
        <w:t>Caso "Cinco Pensionistas" Vs. Perú. Fondo, Reparaciones y Costas</w:t>
      </w:r>
      <w:r w:rsidRPr="00963A75">
        <w:rPr>
          <w:rFonts w:ascii="Verdana" w:hAnsi="Verdana"/>
          <w:sz w:val="16"/>
          <w:szCs w:val="16"/>
          <w:lang w:val="es-ES_tradnl"/>
        </w:rPr>
        <w:t xml:space="preserve">. Sentencia de 28 de febrero de 2003. Serie C No. 98, párr. 164; </w:t>
      </w:r>
      <w:r w:rsidRPr="00963A75">
        <w:rPr>
          <w:rFonts w:ascii="Verdana" w:hAnsi="Verdana"/>
          <w:i/>
          <w:iCs/>
          <w:sz w:val="16"/>
          <w:szCs w:val="16"/>
        </w:rPr>
        <w:t>Caso Bulacio Vs. Argentina. Fondo, Reparaciones y Costas</w:t>
      </w:r>
      <w:r w:rsidRPr="00963A75">
        <w:rPr>
          <w:rFonts w:ascii="Verdana" w:hAnsi="Verdana"/>
          <w:sz w:val="16"/>
          <w:szCs w:val="16"/>
        </w:rPr>
        <w:t xml:space="preserve">. Sentencia de 18 de septiembre de 2003. Serie C No. 100, párr. 140; </w:t>
      </w:r>
      <w:r w:rsidRPr="00963A75">
        <w:rPr>
          <w:rFonts w:ascii="Verdana" w:hAnsi="Verdana"/>
          <w:i/>
          <w:iCs/>
          <w:sz w:val="16"/>
          <w:szCs w:val="16"/>
        </w:rPr>
        <w:t>Caso Lori Berenson Mejía Vs. Perú. Fondo, Reparaciones y Costas</w:t>
      </w:r>
      <w:r w:rsidRPr="00963A75">
        <w:rPr>
          <w:rFonts w:ascii="Verdana" w:hAnsi="Verdana"/>
          <w:sz w:val="16"/>
          <w:szCs w:val="16"/>
        </w:rPr>
        <w:t xml:space="preserve">. Sentencia de 25 de noviembre de 2004. Serie C No. 119, párr. 220; </w:t>
      </w:r>
      <w:r w:rsidRPr="00963A75">
        <w:rPr>
          <w:rFonts w:ascii="Verdana" w:hAnsi="Verdana"/>
          <w:i/>
          <w:iCs/>
          <w:sz w:val="16"/>
          <w:szCs w:val="16"/>
        </w:rPr>
        <w:t xml:space="preserve">Caso </w:t>
      </w:r>
      <w:proofErr w:type="spellStart"/>
      <w:r w:rsidRPr="00963A75">
        <w:rPr>
          <w:rFonts w:ascii="Verdana" w:hAnsi="Verdana"/>
          <w:i/>
          <w:iCs/>
          <w:sz w:val="16"/>
          <w:szCs w:val="16"/>
        </w:rPr>
        <w:t>Yatama</w:t>
      </w:r>
      <w:proofErr w:type="spellEnd"/>
      <w:r w:rsidRPr="00963A75">
        <w:rPr>
          <w:rFonts w:ascii="Verdana" w:hAnsi="Verdana"/>
          <w:i/>
          <w:iCs/>
          <w:sz w:val="16"/>
          <w:szCs w:val="16"/>
        </w:rPr>
        <w:t xml:space="preserve"> Vs. Nicaragua. Excepciones Preliminares, Fondo, Reparaciones y Costas</w:t>
      </w:r>
      <w:r w:rsidRPr="00963A75">
        <w:rPr>
          <w:rFonts w:ascii="Verdana" w:hAnsi="Verdana"/>
          <w:sz w:val="16"/>
          <w:szCs w:val="16"/>
        </w:rPr>
        <w:t xml:space="preserve">. Sentencia de 23 de junio de 2005. Serie C No. 127, párr. 170; </w:t>
      </w:r>
      <w:r w:rsidRPr="00963A75">
        <w:rPr>
          <w:rFonts w:ascii="Verdana" w:hAnsi="Verdana"/>
          <w:i/>
          <w:iCs/>
          <w:sz w:val="16"/>
          <w:szCs w:val="16"/>
        </w:rPr>
        <w:t>Caso Gómez Palomino Vs. Perú. Fondo, Reparaciones y Costas</w:t>
      </w:r>
      <w:r w:rsidRPr="00963A75">
        <w:rPr>
          <w:rFonts w:ascii="Verdana" w:hAnsi="Verdana"/>
          <w:sz w:val="16"/>
          <w:szCs w:val="16"/>
        </w:rPr>
        <w:t xml:space="preserve">. Sentencia de 22 de noviembre de 2005. Serie C No. 136, párr. 91; </w:t>
      </w:r>
      <w:r w:rsidRPr="00963A75">
        <w:rPr>
          <w:rFonts w:ascii="Verdana" w:hAnsi="Verdana"/>
          <w:i/>
          <w:iCs/>
          <w:sz w:val="16"/>
          <w:szCs w:val="16"/>
        </w:rPr>
        <w:t>Caso La Cantuta Vs. Perú. Fondo, Reparaciones y Costas</w:t>
      </w:r>
      <w:r w:rsidRPr="00963A75">
        <w:rPr>
          <w:rFonts w:ascii="Verdana" w:hAnsi="Verdana"/>
          <w:sz w:val="16"/>
          <w:szCs w:val="16"/>
        </w:rPr>
        <w:t xml:space="preserve">. Sentencia de 29 de noviembre de 2006. Serie C No. 162, párr. 170; </w:t>
      </w:r>
      <w:r w:rsidRPr="00963A75">
        <w:rPr>
          <w:rFonts w:ascii="Verdana" w:hAnsi="Verdana"/>
          <w:i/>
          <w:iCs/>
          <w:sz w:val="16"/>
          <w:szCs w:val="16"/>
        </w:rPr>
        <w:t>Caso Heliodoro Portugal Vs. Panamá. Excepciones Preliminares, Fondo, Reparaciones y Costas</w:t>
      </w:r>
      <w:r w:rsidRPr="00963A75">
        <w:rPr>
          <w:rFonts w:ascii="Verdana" w:hAnsi="Verdana"/>
          <w:sz w:val="16"/>
          <w:szCs w:val="16"/>
        </w:rPr>
        <w:t xml:space="preserve">. Sentencia de 12 de agosto de 2008. Serie C No. 186, párr. 179; </w:t>
      </w:r>
      <w:r w:rsidRPr="00963A75">
        <w:rPr>
          <w:rFonts w:ascii="Verdana" w:hAnsi="Verdana"/>
          <w:i/>
          <w:iCs/>
          <w:sz w:val="16"/>
          <w:szCs w:val="16"/>
        </w:rPr>
        <w:t>Caso Radilla Pacheco Vs. México. Excepciones Preliminares, Fondo, Reparaciones y Costas</w:t>
      </w:r>
      <w:r w:rsidRPr="00963A75">
        <w:rPr>
          <w:rFonts w:ascii="Verdana" w:hAnsi="Verdana"/>
          <w:sz w:val="16"/>
          <w:szCs w:val="16"/>
        </w:rPr>
        <w:t xml:space="preserve">. Sentencia de 23 de noviembre de 2009. Serie C No. 209, párr. 288; </w:t>
      </w:r>
      <w:r w:rsidRPr="00963A75">
        <w:rPr>
          <w:rFonts w:ascii="Verdana" w:hAnsi="Verdana"/>
          <w:i/>
          <w:iCs/>
          <w:sz w:val="16"/>
          <w:szCs w:val="16"/>
        </w:rPr>
        <w:t>Caso Cabrera García y Montiel Flores Vs. México. Excepción Preliminar, Fondo, Reparaciones y Costas</w:t>
      </w:r>
      <w:r w:rsidRPr="00963A75">
        <w:rPr>
          <w:rFonts w:ascii="Verdana" w:hAnsi="Verdana"/>
          <w:sz w:val="16"/>
          <w:szCs w:val="16"/>
        </w:rPr>
        <w:t xml:space="preserve">. Sentencia de 26 de noviembre de 2010. Serie C No. 220, párr. 206; </w:t>
      </w:r>
      <w:r w:rsidRPr="00963A75">
        <w:rPr>
          <w:rFonts w:ascii="Verdana" w:hAnsi="Verdana"/>
          <w:i/>
          <w:iCs/>
          <w:sz w:val="16"/>
          <w:szCs w:val="16"/>
        </w:rPr>
        <w:t xml:space="preserve">Caso </w:t>
      </w:r>
      <w:proofErr w:type="spellStart"/>
      <w:r w:rsidRPr="00963A75">
        <w:rPr>
          <w:rFonts w:ascii="Verdana" w:hAnsi="Verdana"/>
          <w:i/>
          <w:iCs/>
          <w:sz w:val="16"/>
          <w:szCs w:val="16"/>
        </w:rPr>
        <w:t>Nadege</w:t>
      </w:r>
      <w:proofErr w:type="spellEnd"/>
      <w:r w:rsidRPr="00963A75">
        <w:rPr>
          <w:rFonts w:ascii="Verdana" w:hAnsi="Verdana"/>
          <w:i/>
          <w:iCs/>
          <w:sz w:val="16"/>
          <w:szCs w:val="16"/>
        </w:rPr>
        <w:t xml:space="preserve"> </w:t>
      </w:r>
      <w:proofErr w:type="spellStart"/>
      <w:r w:rsidRPr="00963A75">
        <w:rPr>
          <w:rFonts w:ascii="Verdana" w:hAnsi="Verdana"/>
          <w:i/>
          <w:iCs/>
          <w:sz w:val="16"/>
          <w:szCs w:val="16"/>
        </w:rPr>
        <w:t>Dorzema</w:t>
      </w:r>
      <w:proofErr w:type="spellEnd"/>
      <w:r w:rsidRPr="00963A75">
        <w:rPr>
          <w:rFonts w:ascii="Verdana" w:hAnsi="Verdana"/>
          <w:i/>
          <w:iCs/>
          <w:sz w:val="16"/>
          <w:szCs w:val="16"/>
        </w:rPr>
        <w:t xml:space="preserve"> y otros Vs. República Dominicana. Fondo, Reparaciones y Costas</w:t>
      </w:r>
      <w:r w:rsidRPr="00963A75">
        <w:rPr>
          <w:rFonts w:ascii="Verdana" w:hAnsi="Verdana"/>
          <w:sz w:val="16"/>
          <w:szCs w:val="16"/>
        </w:rPr>
        <w:t xml:space="preserve">. Sentencia de 24 de octubre de 2012. Serie C No. 251, párr. 216; </w:t>
      </w:r>
      <w:r w:rsidRPr="00963A75">
        <w:rPr>
          <w:rFonts w:ascii="Verdana" w:hAnsi="Verdana"/>
          <w:i/>
          <w:iCs/>
          <w:sz w:val="16"/>
          <w:szCs w:val="16"/>
        </w:rPr>
        <w:t>Caso de Personas dominicanas y haitianas expulsadas Vs. República Dominicana. Excepciones Preliminares, Fondo, Reparaciones y Costas</w:t>
      </w:r>
      <w:r w:rsidRPr="00963A75">
        <w:rPr>
          <w:rFonts w:ascii="Verdana" w:hAnsi="Verdana"/>
          <w:sz w:val="16"/>
          <w:szCs w:val="16"/>
        </w:rPr>
        <w:t xml:space="preserve">. Sentencia de 28 de agosto de 2014. Serie C No. 282, párr. 271; </w:t>
      </w:r>
      <w:r w:rsidRPr="00963A75">
        <w:rPr>
          <w:rFonts w:ascii="Verdana" w:hAnsi="Verdana"/>
          <w:i/>
          <w:iCs/>
          <w:sz w:val="16"/>
          <w:szCs w:val="16"/>
        </w:rPr>
        <w:t xml:space="preserve">Caso López </w:t>
      </w:r>
      <w:proofErr w:type="spellStart"/>
      <w:r w:rsidRPr="00963A75">
        <w:rPr>
          <w:rFonts w:ascii="Verdana" w:hAnsi="Verdana"/>
          <w:i/>
          <w:iCs/>
          <w:sz w:val="16"/>
          <w:szCs w:val="16"/>
        </w:rPr>
        <w:t>Lone</w:t>
      </w:r>
      <w:proofErr w:type="spellEnd"/>
      <w:r w:rsidRPr="00963A75">
        <w:rPr>
          <w:rFonts w:ascii="Verdana" w:hAnsi="Verdana"/>
          <w:i/>
          <w:iCs/>
          <w:sz w:val="16"/>
          <w:szCs w:val="16"/>
        </w:rPr>
        <w:t xml:space="preserve"> y otros Vs. Honduras. Excepción Preliminar, Fondo, Reparaciones y Costas</w:t>
      </w:r>
      <w:r w:rsidRPr="00963A75">
        <w:rPr>
          <w:rFonts w:ascii="Verdana" w:hAnsi="Verdana"/>
          <w:sz w:val="16"/>
          <w:szCs w:val="16"/>
        </w:rPr>
        <w:t xml:space="preserve">. Sentencia de 5 de octubre de 2015. Serie C No. 302, párr. 214; </w:t>
      </w:r>
      <w:r w:rsidRPr="00963A75">
        <w:rPr>
          <w:rFonts w:ascii="Verdana" w:hAnsi="Verdana"/>
          <w:i/>
          <w:iCs/>
          <w:sz w:val="16"/>
          <w:szCs w:val="16"/>
        </w:rPr>
        <w:t>Caso Tenorio Roca y otros Vs. Perú. Excepciones Preliminares, Fondo, Reparaciones y Costas</w:t>
      </w:r>
      <w:r w:rsidRPr="00963A75">
        <w:rPr>
          <w:rFonts w:ascii="Verdana" w:hAnsi="Verdana"/>
          <w:sz w:val="16"/>
          <w:szCs w:val="16"/>
        </w:rPr>
        <w:t xml:space="preserve">. Sentencia de 22 de junio de 2016. Serie C No. 314, párr. 225; </w:t>
      </w:r>
      <w:r w:rsidRPr="00963A75">
        <w:rPr>
          <w:rFonts w:ascii="Verdana" w:hAnsi="Verdana"/>
          <w:i/>
          <w:iCs/>
          <w:sz w:val="16"/>
          <w:szCs w:val="16"/>
        </w:rPr>
        <w:t>Caso Vereda La Esperanza Vs. Colombia. Excepciones Preliminares, Fondo, Reparaciones y Costas</w:t>
      </w:r>
      <w:r w:rsidRPr="00963A75">
        <w:rPr>
          <w:rFonts w:ascii="Verdana" w:hAnsi="Verdana"/>
          <w:sz w:val="16"/>
          <w:szCs w:val="16"/>
        </w:rPr>
        <w:t xml:space="preserve">. Sentencia de 31 de agosto de 2017. Serie C No. 341, párr. 84; </w:t>
      </w:r>
      <w:r w:rsidRPr="00963A75">
        <w:rPr>
          <w:rFonts w:ascii="Verdana" w:hAnsi="Verdana"/>
          <w:i/>
          <w:iCs/>
          <w:sz w:val="16"/>
          <w:szCs w:val="16"/>
        </w:rPr>
        <w:t>Caso Familia Julien Grisonas Vs. Argentina. Excepciones Preliminares, Fondo, Reparaciones y Costas</w:t>
      </w:r>
      <w:r w:rsidRPr="00963A75">
        <w:rPr>
          <w:rFonts w:ascii="Verdana" w:hAnsi="Verdana"/>
          <w:sz w:val="16"/>
          <w:szCs w:val="16"/>
        </w:rPr>
        <w:t xml:space="preserve">. Sentencia de 23 de septiembre de 2021. Serie C No. 437, párr. 196; </w:t>
      </w:r>
      <w:r w:rsidRPr="00963A75">
        <w:rPr>
          <w:rFonts w:ascii="Verdana" w:hAnsi="Verdana"/>
          <w:i/>
          <w:iCs/>
          <w:sz w:val="16"/>
          <w:szCs w:val="16"/>
        </w:rPr>
        <w:t>Caso Flores Bedregal y otras Vs. Bolivia. Excepciones Preliminares, Fondo, Reparaciones y Costas</w:t>
      </w:r>
      <w:r w:rsidRPr="00963A75">
        <w:rPr>
          <w:rFonts w:ascii="Verdana" w:hAnsi="Verdana"/>
          <w:sz w:val="16"/>
          <w:szCs w:val="16"/>
        </w:rPr>
        <w:t xml:space="preserve">. Sentencia de 17 de octubre de 2022. Serie C No. 467, párr. 112; </w:t>
      </w:r>
      <w:r w:rsidRPr="00963A75">
        <w:rPr>
          <w:rFonts w:ascii="Verdana" w:hAnsi="Verdana"/>
          <w:i/>
          <w:iCs/>
          <w:sz w:val="16"/>
          <w:szCs w:val="16"/>
        </w:rPr>
        <w:t xml:space="preserve">Caso </w:t>
      </w:r>
      <w:proofErr w:type="spellStart"/>
      <w:r w:rsidRPr="00963A75">
        <w:rPr>
          <w:rFonts w:ascii="Verdana" w:hAnsi="Verdana"/>
          <w:i/>
          <w:iCs/>
          <w:sz w:val="16"/>
          <w:szCs w:val="16"/>
        </w:rPr>
        <w:t>Tzompaxtle</w:t>
      </w:r>
      <w:proofErr w:type="spellEnd"/>
      <w:r w:rsidRPr="00963A75">
        <w:rPr>
          <w:rFonts w:ascii="Verdana" w:hAnsi="Verdana"/>
          <w:i/>
          <w:iCs/>
          <w:sz w:val="16"/>
          <w:szCs w:val="16"/>
        </w:rPr>
        <w:t xml:space="preserve"> </w:t>
      </w:r>
      <w:proofErr w:type="spellStart"/>
      <w:r w:rsidRPr="00963A75">
        <w:rPr>
          <w:rFonts w:ascii="Verdana" w:hAnsi="Verdana"/>
          <w:i/>
          <w:iCs/>
          <w:sz w:val="16"/>
          <w:szCs w:val="16"/>
        </w:rPr>
        <w:t>Tecpile</w:t>
      </w:r>
      <w:proofErr w:type="spellEnd"/>
      <w:r w:rsidRPr="00963A75">
        <w:rPr>
          <w:rFonts w:ascii="Verdana" w:hAnsi="Verdana"/>
          <w:i/>
          <w:iCs/>
          <w:sz w:val="16"/>
          <w:szCs w:val="16"/>
        </w:rPr>
        <w:t xml:space="preserve"> y otros Vs. México. Excepción Preliminar, Fondo, Reparaciones y Costas</w:t>
      </w:r>
      <w:r w:rsidRPr="00963A75">
        <w:rPr>
          <w:rFonts w:ascii="Verdana" w:hAnsi="Verdana"/>
          <w:sz w:val="16"/>
          <w:szCs w:val="16"/>
        </w:rPr>
        <w:t xml:space="preserve">. Sentencia de 7 de noviembre de 2022. Serie C No. 470, párr. 117; </w:t>
      </w:r>
      <w:r w:rsidRPr="00963A75">
        <w:rPr>
          <w:rFonts w:ascii="Verdana" w:hAnsi="Verdana"/>
          <w:i/>
          <w:iCs/>
          <w:sz w:val="16"/>
          <w:szCs w:val="16"/>
        </w:rPr>
        <w:t>Caso Dial y otro Vs. Trinidad y Tobago. Fondo y Reparaciones</w:t>
      </w:r>
      <w:r w:rsidRPr="00963A75">
        <w:rPr>
          <w:rFonts w:ascii="Verdana" w:hAnsi="Verdana"/>
          <w:sz w:val="16"/>
          <w:szCs w:val="16"/>
        </w:rPr>
        <w:t>. Sentencia de 21 de noviembre de 2022. Serie C No. 476, párr. 49.</w:t>
      </w:r>
    </w:p>
  </w:footnote>
  <w:footnote w:id="23">
    <w:p w14:paraId="15B4DADB"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Cfr.</w:t>
      </w:r>
      <w:r w:rsidRPr="00963A75">
        <w:rPr>
          <w:rFonts w:ascii="Verdana" w:hAnsi="Verdana"/>
          <w:sz w:val="16"/>
          <w:szCs w:val="16"/>
          <w:lang w:val="es-ES_tradnl"/>
        </w:rPr>
        <w:t xml:space="preserve"> </w:t>
      </w:r>
      <w:r w:rsidRPr="00963A75">
        <w:rPr>
          <w:rFonts w:ascii="Verdana" w:hAnsi="Verdana"/>
          <w:i/>
          <w:iCs/>
          <w:sz w:val="16"/>
          <w:szCs w:val="16"/>
          <w:lang w:val="es-ES_tradnl"/>
        </w:rPr>
        <w:t>Caso Bulacio Vs. Argentina. Fondo, Reparaciones y Costas</w:t>
      </w:r>
      <w:r w:rsidRPr="00963A75">
        <w:rPr>
          <w:rFonts w:ascii="Verdana" w:hAnsi="Verdana"/>
          <w:sz w:val="16"/>
          <w:szCs w:val="16"/>
          <w:lang w:val="es-ES_tradnl"/>
        </w:rPr>
        <w:t>. Sentencia de 18 de septiembre de 2003. Serie C No. 100, párr. 141.</w:t>
      </w:r>
    </w:p>
  </w:footnote>
  <w:footnote w:id="24">
    <w:p w14:paraId="563CCD96"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E04862">
        <w:rPr>
          <w:rFonts w:ascii="Verdana" w:hAnsi="Verdana"/>
          <w:sz w:val="16"/>
          <w:szCs w:val="16"/>
          <w:lang w:val="it-IT"/>
        </w:rPr>
        <w:t xml:space="preserve"> </w:t>
      </w:r>
      <w:r w:rsidRPr="00E04862">
        <w:rPr>
          <w:rFonts w:ascii="Verdana" w:hAnsi="Verdana"/>
          <w:i/>
          <w:iCs/>
          <w:sz w:val="16"/>
          <w:szCs w:val="16"/>
          <w:lang w:val="it-IT"/>
        </w:rPr>
        <w:t>Cfr.</w:t>
      </w:r>
      <w:r w:rsidRPr="00E04862">
        <w:rPr>
          <w:rFonts w:ascii="Verdana" w:hAnsi="Verdana"/>
          <w:sz w:val="16"/>
          <w:szCs w:val="16"/>
          <w:lang w:val="it-IT"/>
        </w:rPr>
        <w:t xml:space="preserve"> </w:t>
      </w:r>
      <w:r w:rsidRPr="00E04862">
        <w:rPr>
          <w:rFonts w:ascii="Verdana" w:hAnsi="Verdana"/>
          <w:i/>
          <w:iCs/>
          <w:sz w:val="16"/>
          <w:szCs w:val="16"/>
          <w:lang w:val="it-IT"/>
        </w:rPr>
        <w:t xml:space="preserve">Caso La Cantuta Vs. </w:t>
      </w:r>
      <w:r w:rsidRPr="00963A75">
        <w:rPr>
          <w:rFonts w:ascii="Verdana" w:hAnsi="Verdana"/>
          <w:i/>
          <w:iCs/>
          <w:sz w:val="16"/>
          <w:szCs w:val="16"/>
        </w:rPr>
        <w:t>Perú. Fondo, Reparaciones y Costas</w:t>
      </w:r>
      <w:r w:rsidRPr="00963A75">
        <w:rPr>
          <w:rFonts w:ascii="Verdana" w:hAnsi="Verdana"/>
          <w:sz w:val="16"/>
          <w:szCs w:val="16"/>
        </w:rPr>
        <w:t xml:space="preserve">. Sentencia de 29 de noviembre de 2006. Serie C No. 162, párr. 172; </w:t>
      </w:r>
      <w:r w:rsidRPr="00963A75">
        <w:rPr>
          <w:rFonts w:ascii="Verdana" w:hAnsi="Verdana"/>
          <w:i/>
          <w:iCs/>
          <w:sz w:val="16"/>
          <w:szCs w:val="16"/>
        </w:rPr>
        <w:t>Caso Zambrano Vélez y otros Vs. Ecuador. Fondo, Reparaciones y Costas</w:t>
      </w:r>
      <w:r w:rsidRPr="00963A75">
        <w:rPr>
          <w:rFonts w:ascii="Verdana" w:hAnsi="Verdana"/>
          <w:sz w:val="16"/>
          <w:szCs w:val="16"/>
        </w:rPr>
        <w:t xml:space="preserve">. Sentencia de 4 de julio de 2007. Serie C No. 166, párr. 57; </w:t>
      </w:r>
      <w:r w:rsidRPr="00963A75">
        <w:rPr>
          <w:rFonts w:ascii="Verdana" w:hAnsi="Verdana"/>
          <w:i/>
          <w:iCs/>
          <w:sz w:val="16"/>
          <w:szCs w:val="16"/>
        </w:rPr>
        <w:t>Caso San Miguel Sosa y otras Vs. Venezuela. Fondo, Reparaciones y Costas</w:t>
      </w:r>
      <w:r w:rsidRPr="00963A75">
        <w:rPr>
          <w:rFonts w:ascii="Verdana" w:hAnsi="Verdana"/>
          <w:sz w:val="16"/>
          <w:szCs w:val="16"/>
        </w:rPr>
        <w:t xml:space="preserve">. Sentencia de 8 de febrero de 2018. Serie C No. 348, párr. 166; </w:t>
      </w:r>
      <w:r w:rsidRPr="00963A75">
        <w:rPr>
          <w:rFonts w:ascii="Verdana" w:hAnsi="Verdana"/>
          <w:i/>
          <w:iCs/>
          <w:sz w:val="16"/>
          <w:szCs w:val="16"/>
        </w:rPr>
        <w:t>Caso Isaza Uribe y otros Vs. Colombia. Fondo, Reparaciones y Costas</w:t>
      </w:r>
      <w:r w:rsidRPr="00963A75">
        <w:rPr>
          <w:rFonts w:ascii="Verdana" w:hAnsi="Verdana"/>
          <w:sz w:val="16"/>
          <w:szCs w:val="16"/>
        </w:rPr>
        <w:t>. Sentencia de 20 de noviembre de 2018. Serie C No. 363, párr. 144.</w:t>
      </w:r>
    </w:p>
  </w:footnote>
  <w:footnote w:id="25">
    <w:p w14:paraId="75A7DF03"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 xml:space="preserve">Cfr. Caso Castillo </w:t>
      </w:r>
      <w:proofErr w:type="spellStart"/>
      <w:r w:rsidRPr="00963A75">
        <w:rPr>
          <w:rFonts w:ascii="Verdana" w:hAnsi="Verdana"/>
          <w:i/>
          <w:iCs/>
          <w:sz w:val="16"/>
          <w:szCs w:val="16"/>
          <w:lang w:val="es-ES_tradnl"/>
        </w:rPr>
        <w:t>Petruzzi</w:t>
      </w:r>
      <w:proofErr w:type="spellEnd"/>
      <w:r w:rsidRPr="00963A75">
        <w:rPr>
          <w:rFonts w:ascii="Verdana" w:hAnsi="Verdana"/>
          <w:i/>
          <w:iCs/>
          <w:sz w:val="16"/>
          <w:szCs w:val="16"/>
          <w:lang w:val="es-ES_tradnl"/>
        </w:rPr>
        <w:t xml:space="preserve"> y otros Vs. Perú. Fondo, Reparaciones y Costas. </w:t>
      </w:r>
      <w:r w:rsidRPr="00963A75">
        <w:rPr>
          <w:rFonts w:ascii="Verdana" w:hAnsi="Verdana"/>
          <w:sz w:val="16"/>
          <w:szCs w:val="16"/>
          <w:lang w:val="es-ES_tradnl"/>
        </w:rPr>
        <w:t>Sentencia de 30 de mayo de 1999. Serie C No. 52, párr. 207;</w:t>
      </w:r>
      <w:r w:rsidRPr="00963A75">
        <w:rPr>
          <w:rFonts w:ascii="Verdana" w:hAnsi="Verdana"/>
          <w:sz w:val="16"/>
          <w:szCs w:val="16"/>
        </w:rPr>
        <w:t xml:space="preserve"> </w:t>
      </w:r>
      <w:r w:rsidRPr="00963A75">
        <w:rPr>
          <w:rFonts w:ascii="Verdana" w:hAnsi="Verdana"/>
          <w:i/>
          <w:iCs/>
          <w:sz w:val="16"/>
          <w:szCs w:val="16"/>
          <w:lang w:val="es-ES_tradnl"/>
        </w:rPr>
        <w:t>Caso Durand y Ugarte Vs. Perú. Fondo</w:t>
      </w:r>
      <w:r w:rsidRPr="00963A75">
        <w:rPr>
          <w:rFonts w:ascii="Verdana" w:hAnsi="Verdana"/>
          <w:sz w:val="16"/>
          <w:szCs w:val="16"/>
          <w:lang w:val="es-ES_tradnl"/>
        </w:rPr>
        <w:t xml:space="preserve">. Sentencia de 16 de agosto de 2000. Serie C No. 68, párr. 137; </w:t>
      </w:r>
      <w:r w:rsidRPr="00963A75">
        <w:rPr>
          <w:rFonts w:ascii="Verdana" w:hAnsi="Verdana"/>
          <w:i/>
          <w:iCs/>
          <w:sz w:val="16"/>
          <w:szCs w:val="16"/>
          <w:lang w:val="es-ES_tradnl"/>
        </w:rPr>
        <w:t>Caso Cantoral Benavides Vs. Perú. Fondo</w:t>
      </w:r>
      <w:r w:rsidRPr="00963A75">
        <w:rPr>
          <w:rFonts w:ascii="Verdana" w:hAnsi="Verdana"/>
          <w:sz w:val="16"/>
          <w:szCs w:val="16"/>
          <w:lang w:val="es-ES_tradnl"/>
        </w:rPr>
        <w:t xml:space="preserve">. Sentencia de 18 de agosto de 2000. Serie C No. 69, párr. 178; </w:t>
      </w:r>
      <w:r w:rsidRPr="00963A75">
        <w:rPr>
          <w:rFonts w:ascii="Verdana" w:hAnsi="Verdana"/>
          <w:i/>
          <w:iCs/>
          <w:sz w:val="16"/>
          <w:szCs w:val="16"/>
          <w:lang w:val="es-ES_tradnl"/>
        </w:rPr>
        <w:t>Caso Baena Ricardo y otros Vs. Panamá. Fondo, Reparaciones y Costas</w:t>
      </w:r>
      <w:r w:rsidRPr="00963A75">
        <w:rPr>
          <w:rFonts w:ascii="Verdana" w:hAnsi="Verdana"/>
          <w:sz w:val="16"/>
          <w:szCs w:val="16"/>
          <w:lang w:val="es-ES_tradnl"/>
        </w:rPr>
        <w:t xml:space="preserve">. Sentencia de 2 de febrero de 2001. Serie C No. 72, párr. 180; </w:t>
      </w:r>
      <w:r w:rsidRPr="00963A75">
        <w:rPr>
          <w:rFonts w:ascii="Verdana" w:hAnsi="Verdana"/>
          <w:i/>
          <w:iCs/>
          <w:sz w:val="16"/>
          <w:szCs w:val="16"/>
          <w:lang w:val="es-ES_tradnl"/>
        </w:rPr>
        <w:t xml:space="preserve">Caso de la Comunidad </w:t>
      </w:r>
      <w:proofErr w:type="spellStart"/>
      <w:r w:rsidRPr="00963A75">
        <w:rPr>
          <w:rFonts w:ascii="Verdana" w:hAnsi="Verdana"/>
          <w:i/>
          <w:iCs/>
          <w:sz w:val="16"/>
          <w:szCs w:val="16"/>
          <w:lang w:val="es-ES_tradnl"/>
        </w:rPr>
        <w:t>Mayagna</w:t>
      </w:r>
      <w:proofErr w:type="spellEnd"/>
      <w:r w:rsidRPr="00963A75">
        <w:rPr>
          <w:rFonts w:ascii="Verdana" w:hAnsi="Verdana"/>
          <w:i/>
          <w:iCs/>
          <w:sz w:val="16"/>
          <w:szCs w:val="16"/>
          <w:lang w:val="es-ES_tradnl"/>
        </w:rPr>
        <w:t xml:space="preserve"> (Sumo) </w:t>
      </w:r>
      <w:proofErr w:type="spellStart"/>
      <w:r w:rsidRPr="00963A75">
        <w:rPr>
          <w:rFonts w:ascii="Verdana" w:hAnsi="Verdana"/>
          <w:i/>
          <w:iCs/>
          <w:sz w:val="16"/>
          <w:szCs w:val="16"/>
          <w:lang w:val="es-ES_tradnl"/>
        </w:rPr>
        <w:t>Awas</w:t>
      </w:r>
      <w:proofErr w:type="spellEnd"/>
      <w:r w:rsidRPr="00963A75">
        <w:rPr>
          <w:rFonts w:ascii="Verdana" w:hAnsi="Verdana"/>
          <w:i/>
          <w:iCs/>
          <w:sz w:val="16"/>
          <w:szCs w:val="16"/>
          <w:lang w:val="es-ES_tradnl"/>
        </w:rPr>
        <w:t xml:space="preserve"> </w:t>
      </w:r>
      <w:proofErr w:type="spellStart"/>
      <w:r w:rsidRPr="00963A75">
        <w:rPr>
          <w:rFonts w:ascii="Verdana" w:hAnsi="Verdana"/>
          <w:i/>
          <w:iCs/>
          <w:sz w:val="16"/>
          <w:szCs w:val="16"/>
          <w:lang w:val="es-ES_tradnl"/>
        </w:rPr>
        <w:t>Tingni</w:t>
      </w:r>
      <w:proofErr w:type="spellEnd"/>
      <w:r w:rsidRPr="00963A75">
        <w:rPr>
          <w:rFonts w:ascii="Verdana" w:hAnsi="Verdana"/>
          <w:i/>
          <w:iCs/>
          <w:sz w:val="16"/>
          <w:szCs w:val="16"/>
          <w:lang w:val="es-ES_tradnl"/>
        </w:rPr>
        <w:t xml:space="preserve"> Vs. Nicaragua. Fondo, Reparaciones y Costas</w:t>
      </w:r>
      <w:r w:rsidRPr="00963A75">
        <w:rPr>
          <w:rFonts w:ascii="Verdana" w:hAnsi="Verdana"/>
          <w:sz w:val="16"/>
          <w:szCs w:val="16"/>
          <w:lang w:val="es-ES_tradnl"/>
        </w:rPr>
        <w:t xml:space="preserve">. Sentencia de 31 de agosto de 2001. Serie C No. 79, párr. 136; </w:t>
      </w:r>
      <w:r w:rsidRPr="00963A75">
        <w:rPr>
          <w:rFonts w:ascii="Verdana" w:hAnsi="Verdana"/>
          <w:i/>
          <w:iCs/>
          <w:sz w:val="16"/>
          <w:szCs w:val="16"/>
          <w:lang w:val="es-ES_tradnl"/>
        </w:rPr>
        <w:t>Caso "Cinco Pensionistas" Vs. Perú. Fondo, Reparaciones y Costas</w:t>
      </w:r>
      <w:r w:rsidRPr="00963A75">
        <w:rPr>
          <w:rFonts w:ascii="Verdana" w:hAnsi="Verdana"/>
          <w:sz w:val="16"/>
          <w:szCs w:val="16"/>
          <w:lang w:val="es-ES_tradnl"/>
        </w:rPr>
        <w:t xml:space="preserve">. Sentencia de 28 de febrero de 2003. Serie C No. 98, párr. 165; </w:t>
      </w:r>
      <w:r w:rsidRPr="00963A75">
        <w:rPr>
          <w:rFonts w:ascii="Verdana" w:hAnsi="Verdana"/>
          <w:i/>
          <w:iCs/>
          <w:sz w:val="16"/>
          <w:szCs w:val="16"/>
          <w:lang w:val="es-ES_tradnl"/>
        </w:rPr>
        <w:t>Caso Bulacio Vs. Argentina. Fondo, Reparaciones y Costas</w:t>
      </w:r>
      <w:r w:rsidRPr="00963A75">
        <w:rPr>
          <w:rFonts w:ascii="Verdana" w:hAnsi="Verdana"/>
          <w:sz w:val="16"/>
          <w:szCs w:val="16"/>
          <w:lang w:val="es-ES_tradnl"/>
        </w:rPr>
        <w:t xml:space="preserve">. Sentencia de 18 de septiembre de 2003. Serie C No. 100, párr. 143; </w:t>
      </w:r>
      <w:r w:rsidRPr="00963A75">
        <w:rPr>
          <w:rFonts w:ascii="Verdana" w:hAnsi="Verdana"/>
          <w:i/>
          <w:iCs/>
          <w:sz w:val="16"/>
          <w:szCs w:val="16"/>
          <w:lang w:val="es-ES_tradnl"/>
        </w:rPr>
        <w:t>Caso Lori Berenson Mejía Vs. Perú. Fondo, Reparaciones y Costas</w:t>
      </w:r>
      <w:r w:rsidRPr="00963A75">
        <w:rPr>
          <w:rFonts w:ascii="Verdana" w:hAnsi="Verdana"/>
          <w:sz w:val="16"/>
          <w:szCs w:val="16"/>
          <w:lang w:val="es-ES_tradnl"/>
        </w:rPr>
        <w:t xml:space="preserve">. Sentencia de 25 de noviembre de 2004. Serie C No. 119, párr. 219; </w:t>
      </w:r>
      <w:r w:rsidRPr="00963A75">
        <w:rPr>
          <w:rFonts w:ascii="Verdana" w:hAnsi="Verdana"/>
          <w:i/>
          <w:iCs/>
          <w:sz w:val="16"/>
          <w:szCs w:val="16"/>
          <w:lang w:val="es-ES_tradnl"/>
        </w:rPr>
        <w:t xml:space="preserve">Caso </w:t>
      </w:r>
      <w:proofErr w:type="spellStart"/>
      <w:r w:rsidRPr="00963A75">
        <w:rPr>
          <w:rFonts w:ascii="Verdana" w:hAnsi="Verdana"/>
          <w:i/>
          <w:iCs/>
          <w:sz w:val="16"/>
          <w:szCs w:val="16"/>
          <w:lang w:val="es-ES_tradnl"/>
        </w:rPr>
        <w:t>Yatama</w:t>
      </w:r>
      <w:proofErr w:type="spellEnd"/>
      <w:r w:rsidRPr="00963A75">
        <w:rPr>
          <w:rFonts w:ascii="Verdana" w:hAnsi="Verdana"/>
          <w:i/>
          <w:iCs/>
          <w:sz w:val="16"/>
          <w:szCs w:val="16"/>
          <w:lang w:val="es-ES_tradnl"/>
        </w:rPr>
        <w:t xml:space="preserve"> Vs. Nicaragua. Excepciones Preliminares, Fondo, Reparaciones y Costas</w:t>
      </w:r>
      <w:r w:rsidRPr="00963A75">
        <w:rPr>
          <w:rFonts w:ascii="Verdana" w:hAnsi="Verdana"/>
          <w:sz w:val="16"/>
          <w:szCs w:val="16"/>
          <w:lang w:val="es-ES_tradnl"/>
        </w:rPr>
        <w:t xml:space="preserve">. Sentencia de 23 de junio de 2005. Serie C No. 127, párr. 189; </w:t>
      </w:r>
      <w:r w:rsidRPr="00963A75">
        <w:rPr>
          <w:rFonts w:ascii="Verdana" w:hAnsi="Verdana"/>
          <w:i/>
          <w:iCs/>
          <w:sz w:val="16"/>
          <w:szCs w:val="16"/>
          <w:lang w:val="es-ES_tradnl"/>
        </w:rPr>
        <w:t>Caso de la "Masacre de Mapiripán" Vs. Colombia</w:t>
      </w:r>
      <w:r w:rsidRPr="00963A75">
        <w:rPr>
          <w:rFonts w:ascii="Verdana" w:hAnsi="Verdana"/>
          <w:sz w:val="16"/>
          <w:szCs w:val="16"/>
          <w:lang w:val="es-ES_tradnl"/>
        </w:rPr>
        <w:t xml:space="preserve">. Sentencia de 15 de septiembre de 2005. Serie C No. 134, párr. 109; </w:t>
      </w:r>
      <w:r w:rsidRPr="00963A75">
        <w:rPr>
          <w:rFonts w:ascii="Verdana" w:hAnsi="Verdana"/>
          <w:i/>
          <w:iCs/>
          <w:sz w:val="16"/>
          <w:szCs w:val="16"/>
          <w:lang w:val="es-ES_tradnl"/>
        </w:rPr>
        <w:t xml:space="preserve">Caso </w:t>
      </w:r>
      <w:proofErr w:type="spellStart"/>
      <w:r w:rsidRPr="00963A75">
        <w:rPr>
          <w:rFonts w:ascii="Verdana" w:hAnsi="Verdana"/>
          <w:i/>
          <w:iCs/>
          <w:sz w:val="16"/>
          <w:szCs w:val="16"/>
          <w:lang w:val="es-ES_tradnl"/>
        </w:rPr>
        <w:t>Ximenes</w:t>
      </w:r>
      <w:proofErr w:type="spellEnd"/>
      <w:r w:rsidRPr="00963A75">
        <w:rPr>
          <w:rFonts w:ascii="Verdana" w:hAnsi="Verdana"/>
          <w:i/>
          <w:iCs/>
          <w:sz w:val="16"/>
          <w:szCs w:val="16"/>
          <w:lang w:val="es-ES_tradnl"/>
        </w:rPr>
        <w:t xml:space="preserve"> </w:t>
      </w:r>
      <w:proofErr w:type="spellStart"/>
      <w:r w:rsidRPr="00963A75">
        <w:rPr>
          <w:rFonts w:ascii="Verdana" w:hAnsi="Verdana"/>
          <w:i/>
          <w:iCs/>
          <w:sz w:val="16"/>
          <w:szCs w:val="16"/>
          <w:lang w:val="es-ES_tradnl"/>
        </w:rPr>
        <w:t>Lopes</w:t>
      </w:r>
      <w:proofErr w:type="spellEnd"/>
      <w:r w:rsidRPr="00963A75">
        <w:rPr>
          <w:rFonts w:ascii="Verdana" w:hAnsi="Verdana"/>
          <w:i/>
          <w:iCs/>
          <w:sz w:val="16"/>
          <w:szCs w:val="16"/>
          <w:lang w:val="es-ES_tradnl"/>
        </w:rPr>
        <w:t xml:space="preserve"> Vs. Brasil</w:t>
      </w:r>
      <w:r w:rsidRPr="00963A75">
        <w:rPr>
          <w:rFonts w:ascii="Verdana" w:hAnsi="Verdana"/>
          <w:sz w:val="16"/>
          <w:szCs w:val="16"/>
          <w:lang w:val="es-ES_tradnl"/>
        </w:rPr>
        <w:t xml:space="preserve">. Sentencia de 4 de julio de 2006. Serie C No. 149, párr. 83; </w:t>
      </w:r>
      <w:r w:rsidRPr="00963A75">
        <w:rPr>
          <w:rFonts w:ascii="Verdana" w:hAnsi="Verdana"/>
          <w:i/>
          <w:iCs/>
          <w:sz w:val="16"/>
          <w:szCs w:val="16"/>
          <w:lang w:val="es-ES_tradnl"/>
        </w:rPr>
        <w:t>Caso Claude Reyes y otros Vs. Chile. Fondo, Reparaciones y Costas.</w:t>
      </w:r>
      <w:r w:rsidRPr="00963A75">
        <w:rPr>
          <w:rFonts w:ascii="Verdana" w:hAnsi="Verdana"/>
          <w:sz w:val="16"/>
          <w:szCs w:val="16"/>
          <w:lang w:val="es-ES_tradnl"/>
        </w:rPr>
        <w:t xml:space="preserve"> Sentencia de 19 de septiembre de 2006. Serie C No. 151, párr. 64; </w:t>
      </w:r>
      <w:r w:rsidRPr="00963A75">
        <w:rPr>
          <w:rFonts w:ascii="Verdana" w:hAnsi="Verdana"/>
          <w:i/>
          <w:iCs/>
          <w:sz w:val="16"/>
          <w:szCs w:val="16"/>
          <w:lang w:val="es-ES_tradnl"/>
        </w:rPr>
        <w:t>Caso Almonacid Arellano y otros Vs. Chile. Excepciones Preliminares, Fondo, Reparaciones y Costas</w:t>
      </w:r>
      <w:r w:rsidRPr="00963A75">
        <w:rPr>
          <w:rFonts w:ascii="Verdana" w:hAnsi="Verdana"/>
          <w:sz w:val="16"/>
          <w:szCs w:val="16"/>
          <w:lang w:val="es-ES_tradnl"/>
        </w:rPr>
        <w:t xml:space="preserve">. Sentencia de 26 de septiembre de 2006. Serie C No. 154, párr. 118; </w:t>
      </w:r>
      <w:r w:rsidRPr="00963A75">
        <w:rPr>
          <w:rFonts w:ascii="Verdana" w:hAnsi="Verdana"/>
          <w:i/>
          <w:iCs/>
          <w:sz w:val="16"/>
          <w:szCs w:val="16"/>
          <w:lang w:val="es-ES_tradnl"/>
        </w:rPr>
        <w:t>Caso La Cantuta Vs. Perú. Fondo, Reparaciones y Costas</w:t>
      </w:r>
      <w:r w:rsidRPr="00963A75">
        <w:rPr>
          <w:rFonts w:ascii="Verdana" w:hAnsi="Verdana"/>
          <w:sz w:val="16"/>
          <w:szCs w:val="16"/>
          <w:lang w:val="es-ES_tradnl"/>
        </w:rPr>
        <w:t xml:space="preserve">. Sentencia de 29 de noviembre de 2006. Serie C No. 162, párr. 172; </w:t>
      </w:r>
      <w:r w:rsidRPr="00963A75">
        <w:rPr>
          <w:rFonts w:ascii="Verdana" w:hAnsi="Verdana"/>
          <w:i/>
          <w:iCs/>
          <w:sz w:val="16"/>
          <w:szCs w:val="16"/>
          <w:lang w:val="es-ES_tradnl"/>
        </w:rPr>
        <w:t>Caso Zambrano Vélez y otros Vs. Ecuador. Fondo, Reparaciones y Costas</w:t>
      </w:r>
      <w:r w:rsidRPr="00963A75">
        <w:rPr>
          <w:rFonts w:ascii="Verdana" w:hAnsi="Verdana"/>
          <w:sz w:val="16"/>
          <w:szCs w:val="16"/>
          <w:lang w:val="es-ES_tradnl"/>
        </w:rPr>
        <w:t xml:space="preserve">. Sentencia de 4 de julio de 2007. Serie C No. 166, párr. 57; </w:t>
      </w:r>
      <w:r w:rsidRPr="00963A75">
        <w:rPr>
          <w:rFonts w:ascii="Verdana" w:hAnsi="Verdana"/>
          <w:i/>
          <w:iCs/>
          <w:sz w:val="16"/>
          <w:szCs w:val="16"/>
          <w:lang w:val="es-ES_tradnl"/>
        </w:rPr>
        <w:t>Caso Salvador Chiriboga Vs. Ecuador. Excepción Preliminar y Fondo</w:t>
      </w:r>
      <w:r w:rsidRPr="00963A75">
        <w:rPr>
          <w:rFonts w:ascii="Verdana" w:hAnsi="Verdana"/>
          <w:sz w:val="16"/>
          <w:szCs w:val="16"/>
          <w:lang w:val="es-ES_tradnl"/>
        </w:rPr>
        <w:t xml:space="preserve">. Sentencia de 6 de mayo de 2008. Serie C No. 179, párr. 122; </w:t>
      </w:r>
      <w:r w:rsidRPr="00963A75">
        <w:rPr>
          <w:rFonts w:ascii="Verdana" w:hAnsi="Verdana"/>
          <w:i/>
          <w:iCs/>
          <w:sz w:val="16"/>
          <w:szCs w:val="16"/>
          <w:lang w:val="es-ES_tradnl"/>
        </w:rPr>
        <w:t>Caso Heliodoro Portugal Vs. Panamá. Excepciones Preliminares, Fondo, Reparaciones y Costas</w:t>
      </w:r>
      <w:r w:rsidRPr="00963A75">
        <w:rPr>
          <w:rFonts w:ascii="Verdana" w:hAnsi="Verdana"/>
          <w:sz w:val="16"/>
          <w:szCs w:val="16"/>
          <w:lang w:val="es-ES_tradnl"/>
        </w:rPr>
        <w:t xml:space="preserve">. Sentencia de 12 de agosto de 2008. Serie C No. 186, párr. 180; </w:t>
      </w:r>
      <w:r w:rsidRPr="00963A75">
        <w:rPr>
          <w:rFonts w:ascii="Verdana" w:hAnsi="Verdana"/>
          <w:i/>
          <w:iCs/>
          <w:sz w:val="16"/>
          <w:szCs w:val="16"/>
          <w:lang w:val="es-ES_tradnl"/>
        </w:rPr>
        <w:t>Caso Barreto Leiva Vs. Venezuela. Fondo, Reparaciones y Costas</w:t>
      </w:r>
      <w:r w:rsidRPr="00963A75">
        <w:rPr>
          <w:rFonts w:ascii="Verdana" w:hAnsi="Verdana"/>
          <w:sz w:val="16"/>
          <w:szCs w:val="16"/>
          <w:lang w:val="es-ES_tradnl"/>
        </w:rPr>
        <w:t xml:space="preserve">. Sentencia de 17 de noviembre de 2009. Serie C No. 206, párr. 107; </w:t>
      </w:r>
      <w:r w:rsidRPr="00963A75">
        <w:rPr>
          <w:rFonts w:ascii="Verdana" w:hAnsi="Verdana"/>
          <w:i/>
          <w:iCs/>
          <w:sz w:val="16"/>
          <w:szCs w:val="16"/>
          <w:lang w:val="es-ES_tradnl"/>
        </w:rPr>
        <w:t>Caso de la Masacre de Las Dos Erres Vs. Guatemala. Excepción Preliminar, Fondo, Reparaciones y Costas.</w:t>
      </w:r>
      <w:r w:rsidRPr="00963A75">
        <w:rPr>
          <w:rFonts w:ascii="Verdana" w:hAnsi="Verdana"/>
          <w:sz w:val="16"/>
          <w:szCs w:val="16"/>
          <w:lang w:val="es-ES_tradnl"/>
        </w:rPr>
        <w:t xml:space="preserve"> Sentencia de 24 de noviembre de 2009. Serie C No. 211, párr. 122; </w:t>
      </w:r>
      <w:r w:rsidRPr="00963A75">
        <w:rPr>
          <w:rFonts w:ascii="Verdana" w:hAnsi="Verdana"/>
          <w:i/>
          <w:iCs/>
          <w:sz w:val="16"/>
          <w:szCs w:val="16"/>
          <w:lang w:val="es-ES_tradnl"/>
        </w:rPr>
        <w:t xml:space="preserve">Caso </w:t>
      </w:r>
      <w:proofErr w:type="spellStart"/>
      <w:r w:rsidRPr="00963A75">
        <w:rPr>
          <w:rFonts w:ascii="Verdana" w:hAnsi="Verdana"/>
          <w:i/>
          <w:iCs/>
          <w:sz w:val="16"/>
          <w:szCs w:val="16"/>
          <w:lang w:val="es-ES_tradnl"/>
        </w:rPr>
        <w:t>Chitay</w:t>
      </w:r>
      <w:proofErr w:type="spellEnd"/>
      <w:r w:rsidRPr="00963A75">
        <w:rPr>
          <w:rFonts w:ascii="Verdana" w:hAnsi="Verdana"/>
          <w:i/>
          <w:iCs/>
          <w:sz w:val="16"/>
          <w:szCs w:val="16"/>
          <w:lang w:val="es-ES_tradnl"/>
        </w:rPr>
        <w:t xml:space="preserve"> </w:t>
      </w:r>
      <w:proofErr w:type="spellStart"/>
      <w:r w:rsidRPr="00963A75">
        <w:rPr>
          <w:rFonts w:ascii="Verdana" w:hAnsi="Verdana"/>
          <w:i/>
          <w:iCs/>
          <w:sz w:val="16"/>
          <w:szCs w:val="16"/>
          <w:lang w:val="es-ES_tradnl"/>
        </w:rPr>
        <w:t>Nech</w:t>
      </w:r>
      <w:proofErr w:type="spellEnd"/>
      <w:r w:rsidRPr="00963A75">
        <w:rPr>
          <w:rFonts w:ascii="Verdana" w:hAnsi="Verdana"/>
          <w:i/>
          <w:iCs/>
          <w:sz w:val="16"/>
          <w:szCs w:val="16"/>
          <w:lang w:val="es-ES_tradnl"/>
        </w:rPr>
        <w:t xml:space="preserve"> y otros Vs. Guatemala. Excepciones Preliminares, Fondo, Reparaciones y Costas.</w:t>
      </w:r>
      <w:r w:rsidRPr="00963A75">
        <w:rPr>
          <w:rFonts w:ascii="Verdana" w:hAnsi="Verdana"/>
          <w:sz w:val="16"/>
          <w:szCs w:val="16"/>
          <w:lang w:val="es-ES_tradnl"/>
        </w:rPr>
        <w:t xml:space="preserve"> Sentencia de 25 de mayo de 2010. Serie C No. 212, párr. 213; </w:t>
      </w:r>
      <w:r w:rsidRPr="00963A75">
        <w:rPr>
          <w:rFonts w:ascii="Verdana" w:hAnsi="Verdana"/>
          <w:i/>
          <w:iCs/>
          <w:sz w:val="16"/>
          <w:szCs w:val="16"/>
          <w:lang w:val="es-ES_tradnl"/>
        </w:rPr>
        <w:t>Caso Vélez Loor Vs. Panamá. Excepciones Preliminares, Fondo, Reparaciones y Costas</w:t>
      </w:r>
      <w:r w:rsidRPr="00963A75">
        <w:rPr>
          <w:rFonts w:ascii="Verdana" w:hAnsi="Verdana"/>
          <w:sz w:val="16"/>
          <w:szCs w:val="16"/>
          <w:lang w:val="es-ES_tradnl"/>
        </w:rPr>
        <w:t xml:space="preserve">. Sentencia de 23 de noviembre de 2010. Serie C No. 218, párr. 194; </w:t>
      </w:r>
      <w:r w:rsidRPr="00963A75">
        <w:rPr>
          <w:rFonts w:ascii="Verdana" w:hAnsi="Verdana"/>
          <w:i/>
          <w:iCs/>
          <w:sz w:val="16"/>
          <w:szCs w:val="16"/>
          <w:lang w:val="es-ES_tradnl"/>
        </w:rPr>
        <w:t xml:space="preserve">Caso </w:t>
      </w:r>
      <w:proofErr w:type="spellStart"/>
      <w:r w:rsidRPr="00963A75">
        <w:rPr>
          <w:rFonts w:ascii="Verdana" w:hAnsi="Verdana"/>
          <w:i/>
          <w:iCs/>
          <w:sz w:val="16"/>
          <w:szCs w:val="16"/>
          <w:lang w:val="es-ES_tradnl"/>
        </w:rPr>
        <w:t>Fontevecchia</w:t>
      </w:r>
      <w:proofErr w:type="spellEnd"/>
      <w:r w:rsidRPr="00963A75">
        <w:rPr>
          <w:rFonts w:ascii="Verdana" w:hAnsi="Verdana"/>
          <w:i/>
          <w:iCs/>
          <w:sz w:val="16"/>
          <w:szCs w:val="16"/>
          <w:lang w:val="es-ES_tradnl"/>
        </w:rPr>
        <w:t xml:space="preserve"> y </w:t>
      </w:r>
      <w:proofErr w:type="spellStart"/>
      <w:r w:rsidRPr="00963A75">
        <w:rPr>
          <w:rFonts w:ascii="Verdana" w:hAnsi="Verdana"/>
          <w:i/>
          <w:iCs/>
          <w:sz w:val="16"/>
          <w:szCs w:val="16"/>
          <w:lang w:val="es-ES_tradnl"/>
        </w:rPr>
        <w:t>D`Amico</w:t>
      </w:r>
      <w:proofErr w:type="spellEnd"/>
      <w:r w:rsidRPr="00963A75">
        <w:rPr>
          <w:rFonts w:ascii="Verdana" w:hAnsi="Verdana"/>
          <w:i/>
          <w:iCs/>
          <w:sz w:val="16"/>
          <w:szCs w:val="16"/>
          <w:lang w:val="es-ES_tradnl"/>
        </w:rPr>
        <w:t xml:space="preserve"> Vs. Argentina. Fondo, Reparaciones y Costas</w:t>
      </w:r>
      <w:r w:rsidRPr="00963A75">
        <w:rPr>
          <w:rFonts w:ascii="Verdana" w:hAnsi="Verdana"/>
          <w:sz w:val="16"/>
          <w:szCs w:val="16"/>
          <w:lang w:val="es-ES_tradnl"/>
        </w:rPr>
        <w:t>. Sentencia de 29 de noviembre de 2011. Serie C No. 238, párr. 85;</w:t>
      </w:r>
      <w:r w:rsidRPr="00963A75">
        <w:rPr>
          <w:rFonts w:ascii="Verdana" w:hAnsi="Verdana"/>
          <w:sz w:val="16"/>
          <w:szCs w:val="16"/>
        </w:rPr>
        <w:t xml:space="preserve"> </w:t>
      </w:r>
      <w:r w:rsidRPr="00963A75">
        <w:rPr>
          <w:rFonts w:ascii="Verdana" w:hAnsi="Verdana"/>
          <w:i/>
          <w:iCs/>
          <w:sz w:val="16"/>
          <w:szCs w:val="16"/>
          <w:lang w:val="es-ES_tradnl"/>
        </w:rPr>
        <w:t>Caso González Medina y familiares Vs. República Dominicana. Excepciones Preliminares, Fondo, Reparaciones y Costas</w:t>
      </w:r>
      <w:r w:rsidRPr="00963A75">
        <w:rPr>
          <w:rFonts w:ascii="Verdana" w:hAnsi="Verdana"/>
          <w:sz w:val="16"/>
          <w:szCs w:val="16"/>
          <w:lang w:val="es-ES_tradnl"/>
        </w:rPr>
        <w:t xml:space="preserve">. Sentencia de 27 de febrero de 2012. Serie C No. 240, párr. 243; </w:t>
      </w:r>
      <w:r w:rsidRPr="00963A75">
        <w:rPr>
          <w:rFonts w:ascii="Verdana" w:hAnsi="Verdana"/>
          <w:i/>
          <w:iCs/>
          <w:sz w:val="16"/>
          <w:szCs w:val="16"/>
          <w:lang w:val="es-ES_tradnl"/>
        </w:rPr>
        <w:t xml:space="preserve">Caso </w:t>
      </w:r>
      <w:proofErr w:type="spellStart"/>
      <w:r w:rsidRPr="00963A75">
        <w:rPr>
          <w:rFonts w:ascii="Verdana" w:hAnsi="Verdana"/>
          <w:i/>
          <w:iCs/>
          <w:sz w:val="16"/>
          <w:szCs w:val="16"/>
          <w:lang w:val="es-ES_tradnl"/>
        </w:rPr>
        <w:t>Fornerón</w:t>
      </w:r>
      <w:proofErr w:type="spellEnd"/>
      <w:r w:rsidRPr="00963A75">
        <w:rPr>
          <w:rFonts w:ascii="Verdana" w:hAnsi="Verdana"/>
          <w:i/>
          <w:iCs/>
          <w:sz w:val="16"/>
          <w:szCs w:val="16"/>
          <w:lang w:val="es-ES_tradnl"/>
        </w:rPr>
        <w:t xml:space="preserve"> e hija Vs. Argentina. Fondo, Reparaciones y Costas</w:t>
      </w:r>
      <w:r w:rsidRPr="00963A75">
        <w:rPr>
          <w:rFonts w:ascii="Verdana" w:hAnsi="Verdana"/>
          <w:sz w:val="16"/>
          <w:szCs w:val="16"/>
          <w:lang w:val="es-ES_tradnl"/>
        </w:rPr>
        <w:t xml:space="preserve">. Sentencia de 27 de abril de 2012. Serie C No. 242, párr. 131; </w:t>
      </w:r>
      <w:r w:rsidRPr="00963A75">
        <w:rPr>
          <w:rFonts w:ascii="Verdana" w:hAnsi="Verdana"/>
          <w:i/>
          <w:iCs/>
          <w:sz w:val="16"/>
          <w:szCs w:val="16"/>
          <w:lang w:val="es-ES_tradnl"/>
        </w:rPr>
        <w:t>Caso Pacheco Teruel y otros Vs. Honduras. Fondo, Reparaciones y Costas.</w:t>
      </w:r>
      <w:r w:rsidRPr="00963A75">
        <w:rPr>
          <w:rFonts w:ascii="Verdana" w:hAnsi="Verdana"/>
          <w:sz w:val="16"/>
          <w:szCs w:val="16"/>
          <w:lang w:val="es-ES_tradnl"/>
        </w:rPr>
        <w:t xml:space="preserve"> Sentencia de 27 de abril de 2012. Serie C No. 241, párr. 104; </w:t>
      </w:r>
      <w:r w:rsidRPr="00963A75">
        <w:rPr>
          <w:rFonts w:ascii="Verdana" w:hAnsi="Verdana"/>
          <w:i/>
          <w:iCs/>
          <w:sz w:val="16"/>
          <w:szCs w:val="16"/>
          <w:lang w:val="es-ES_tradnl"/>
        </w:rPr>
        <w:t xml:space="preserve">Caso </w:t>
      </w:r>
      <w:proofErr w:type="spellStart"/>
      <w:r w:rsidRPr="00963A75">
        <w:rPr>
          <w:rFonts w:ascii="Verdana" w:hAnsi="Verdana"/>
          <w:i/>
          <w:iCs/>
          <w:sz w:val="16"/>
          <w:szCs w:val="16"/>
          <w:lang w:val="es-ES_tradnl"/>
        </w:rPr>
        <w:t>Nadege</w:t>
      </w:r>
      <w:proofErr w:type="spellEnd"/>
      <w:r w:rsidRPr="00963A75">
        <w:rPr>
          <w:rFonts w:ascii="Verdana" w:hAnsi="Verdana"/>
          <w:i/>
          <w:iCs/>
          <w:sz w:val="16"/>
          <w:szCs w:val="16"/>
          <w:lang w:val="es-ES_tradnl"/>
        </w:rPr>
        <w:t xml:space="preserve"> </w:t>
      </w:r>
      <w:proofErr w:type="spellStart"/>
      <w:r w:rsidRPr="00963A75">
        <w:rPr>
          <w:rFonts w:ascii="Verdana" w:hAnsi="Verdana"/>
          <w:i/>
          <w:iCs/>
          <w:sz w:val="16"/>
          <w:szCs w:val="16"/>
          <w:lang w:val="es-ES_tradnl"/>
        </w:rPr>
        <w:t>Dorzema</w:t>
      </w:r>
      <w:proofErr w:type="spellEnd"/>
      <w:r w:rsidRPr="00963A75">
        <w:rPr>
          <w:rFonts w:ascii="Verdana" w:hAnsi="Verdana"/>
          <w:i/>
          <w:iCs/>
          <w:sz w:val="16"/>
          <w:szCs w:val="16"/>
          <w:lang w:val="es-ES_tradnl"/>
        </w:rPr>
        <w:t xml:space="preserve"> y otros Vs. República Dominicana. Fondo, Reparaciones y Costas</w:t>
      </w:r>
      <w:r w:rsidRPr="00963A75">
        <w:rPr>
          <w:rFonts w:ascii="Verdana" w:hAnsi="Verdana"/>
          <w:sz w:val="16"/>
          <w:szCs w:val="16"/>
          <w:lang w:val="es-ES_tradnl"/>
        </w:rPr>
        <w:t xml:space="preserve">. Sentencia de 24 de octubre de 2012. Serie C No. 251, párr. 207; </w:t>
      </w:r>
      <w:r w:rsidRPr="00963A75">
        <w:rPr>
          <w:rFonts w:ascii="Verdana" w:hAnsi="Verdana"/>
          <w:i/>
          <w:iCs/>
          <w:sz w:val="16"/>
          <w:szCs w:val="16"/>
          <w:lang w:val="es-ES_tradnl"/>
        </w:rPr>
        <w:t>Caso Mendoza y otros Vs. Argentina. Excepciones Preliminares, Fondo y Reparaciones</w:t>
      </w:r>
      <w:r w:rsidRPr="00963A75">
        <w:rPr>
          <w:rFonts w:ascii="Verdana" w:hAnsi="Verdana"/>
          <w:sz w:val="16"/>
          <w:szCs w:val="16"/>
          <w:lang w:val="es-ES_tradnl"/>
        </w:rPr>
        <w:t xml:space="preserve">. Sentencia de 14 de mayo de 2013. Serie C No. 260, párr. 293; </w:t>
      </w:r>
      <w:r w:rsidRPr="00963A75">
        <w:rPr>
          <w:rFonts w:ascii="Verdana" w:hAnsi="Verdana"/>
          <w:i/>
          <w:iCs/>
          <w:sz w:val="16"/>
          <w:szCs w:val="16"/>
          <w:lang w:val="es-ES_tradnl"/>
        </w:rPr>
        <w:t>Caso J. Vs. Perú. Excepción Preliminar, Fondo, Reparaciones y Costas</w:t>
      </w:r>
      <w:r w:rsidRPr="00963A75">
        <w:rPr>
          <w:rFonts w:ascii="Verdana" w:hAnsi="Verdana"/>
          <w:sz w:val="16"/>
          <w:szCs w:val="16"/>
          <w:lang w:val="es-ES_tradnl"/>
        </w:rPr>
        <w:t xml:space="preserve">. Sentencia de 27 de noviembre de 2013. Serie C No. 275, párr. 164; </w:t>
      </w:r>
      <w:r w:rsidRPr="00963A75">
        <w:rPr>
          <w:rFonts w:ascii="Verdana" w:hAnsi="Verdana"/>
          <w:i/>
          <w:iCs/>
          <w:sz w:val="16"/>
          <w:szCs w:val="16"/>
          <w:lang w:val="es-ES_tradnl"/>
        </w:rPr>
        <w:t xml:space="preserve">Caso </w:t>
      </w:r>
      <w:proofErr w:type="spellStart"/>
      <w:r w:rsidRPr="00963A75">
        <w:rPr>
          <w:rFonts w:ascii="Verdana" w:hAnsi="Verdana"/>
          <w:i/>
          <w:iCs/>
          <w:sz w:val="16"/>
          <w:szCs w:val="16"/>
          <w:lang w:val="es-ES_tradnl"/>
        </w:rPr>
        <w:t>Norín</w:t>
      </w:r>
      <w:proofErr w:type="spellEnd"/>
      <w:r w:rsidRPr="00963A75">
        <w:rPr>
          <w:rFonts w:ascii="Verdana" w:hAnsi="Verdana"/>
          <w:i/>
          <w:iCs/>
          <w:sz w:val="16"/>
          <w:szCs w:val="16"/>
          <w:lang w:val="es-ES_tradnl"/>
        </w:rPr>
        <w:t xml:space="preserve"> </w:t>
      </w:r>
      <w:proofErr w:type="spellStart"/>
      <w:r w:rsidRPr="00963A75">
        <w:rPr>
          <w:rFonts w:ascii="Verdana" w:hAnsi="Verdana"/>
          <w:i/>
          <w:iCs/>
          <w:sz w:val="16"/>
          <w:szCs w:val="16"/>
          <w:lang w:val="es-ES_tradnl"/>
        </w:rPr>
        <w:t>Catrimán</w:t>
      </w:r>
      <w:proofErr w:type="spellEnd"/>
      <w:r w:rsidRPr="00963A75">
        <w:rPr>
          <w:rFonts w:ascii="Verdana" w:hAnsi="Verdana"/>
          <w:i/>
          <w:iCs/>
          <w:sz w:val="16"/>
          <w:szCs w:val="16"/>
          <w:lang w:val="es-ES_tradnl"/>
        </w:rPr>
        <w:t xml:space="preserve"> y otros (Dirigentes, Miembros y Activista del Pueblo Indígena Mapuche) Vs. Chile. Fondo, Reparaciones y Costas</w:t>
      </w:r>
      <w:r w:rsidRPr="00963A75">
        <w:rPr>
          <w:rFonts w:ascii="Verdana" w:hAnsi="Verdana"/>
          <w:sz w:val="16"/>
          <w:szCs w:val="16"/>
          <w:lang w:val="es-ES_tradnl"/>
        </w:rPr>
        <w:t xml:space="preserve">. Sentencia de 29 de mayo de 2014. Serie C No. 279, párr. 175; </w:t>
      </w:r>
      <w:r w:rsidRPr="00963A75">
        <w:rPr>
          <w:rFonts w:ascii="Verdana" w:hAnsi="Verdana"/>
          <w:i/>
          <w:iCs/>
          <w:sz w:val="16"/>
          <w:szCs w:val="16"/>
          <w:lang w:val="es-ES_tradnl"/>
        </w:rPr>
        <w:t>Caso Hermanos Landaeta Mejías y otros Vs. Venezuela. Excepciones Preliminares, Fondo, Reparaciones y Costas</w:t>
      </w:r>
      <w:r w:rsidRPr="00963A75">
        <w:rPr>
          <w:rFonts w:ascii="Verdana" w:hAnsi="Verdana"/>
          <w:sz w:val="16"/>
          <w:szCs w:val="16"/>
          <w:lang w:val="es-ES_tradnl"/>
        </w:rPr>
        <w:t xml:space="preserve">. Sentencia de 27 de agosto de 2014. Serie C No. 281, párr. 127; </w:t>
      </w:r>
      <w:r w:rsidRPr="00963A75">
        <w:rPr>
          <w:rFonts w:ascii="Verdana" w:hAnsi="Verdana"/>
          <w:i/>
          <w:iCs/>
          <w:sz w:val="16"/>
          <w:szCs w:val="16"/>
          <w:lang w:val="es-ES_tradnl"/>
        </w:rPr>
        <w:t>Caso de Personas dominicanas y haitianas expulsadas Vs. República Dominicana. Excepciones Preliminares, Fondo, Reparaciones y Costas</w:t>
      </w:r>
      <w:r w:rsidRPr="00963A75">
        <w:rPr>
          <w:rFonts w:ascii="Verdana" w:hAnsi="Verdana"/>
          <w:sz w:val="16"/>
          <w:szCs w:val="16"/>
          <w:lang w:val="es-ES_tradnl"/>
        </w:rPr>
        <w:t xml:space="preserve">. Sentencia de 28 de agosto de 2014. Serie C No. 282, párr. 270; </w:t>
      </w:r>
      <w:r w:rsidRPr="00963A75">
        <w:rPr>
          <w:rFonts w:ascii="Verdana" w:hAnsi="Verdana"/>
          <w:i/>
          <w:iCs/>
          <w:sz w:val="16"/>
          <w:szCs w:val="16"/>
          <w:lang w:val="es-ES_tradnl"/>
        </w:rPr>
        <w:t>Caso Maldonado Vargas y otros Vs. Chile. Fondo, Reparaciones y Costas</w:t>
      </w:r>
      <w:r w:rsidRPr="00963A75">
        <w:rPr>
          <w:rFonts w:ascii="Verdana" w:hAnsi="Verdana"/>
          <w:sz w:val="16"/>
          <w:szCs w:val="16"/>
          <w:lang w:val="es-ES_tradnl"/>
        </w:rPr>
        <w:t xml:space="preserve">. Sentencia de 2 de septiembre de 2015. Serie C No. 300, párr. 124; </w:t>
      </w:r>
      <w:r w:rsidRPr="00963A75">
        <w:rPr>
          <w:rFonts w:ascii="Verdana" w:hAnsi="Verdana"/>
          <w:i/>
          <w:iCs/>
          <w:sz w:val="16"/>
          <w:szCs w:val="16"/>
          <w:lang w:val="es-ES_tradnl"/>
        </w:rPr>
        <w:t xml:space="preserve">Caso López </w:t>
      </w:r>
      <w:proofErr w:type="spellStart"/>
      <w:r w:rsidRPr="00963A75">
        <w:rPr>
          <w:rFonts w:ascii="Verdana" w:hAnsi="Verdana"/>
          <w:i/>
          <w:iCs/>
          <w:sz w:val="16"/>
          <w:szCs w:val="16"/>
          <w:lang w:val="es-ES_tradnl"/>
        </w:rPr>
        <w:t>Lone</w:t>
      </w:r>
      <w:proofErr w:type="spellEnd"/>
      <w:r w:rsidRPr="00963A75">
        <w:rPr>
          <w:rFonts w:ascii="Verdana" w:hAnsi="Verdana"/>
          <w:i/>
          <w:iCs/>
          <w:sz w:val="16"/>
          <w:szCs w:val="16"/>
          <w:lang w:val="es-ES_tradnl"/>
        </w:rPr>
        <w:t xml:space="preserve"> y otros Vs. Honduras. Excepción Preliminar, Fondo, Reparaciones y Costas</w:t>
      </w:r>
      <w:r w:rsidRPr="00963A75">
        <w:rPr>
          <w:rFonts w:ascii="Verdana" w:hAnsi="Verdana"/>
          <w:sz w:val="16"/>
          <w:szCs w:val="16"/>
          <w:lang w:val="es-ES_tradnl"/>
        </w:rPr>
        <w:t xml:space="preserve">. Sentencia de 5 de octubre de 2015. Serie C No. 302, párr. 213; </w:t>
      </w:r>
      <w:r w:rsidRPr="00963A75">
        <w:rPr>
          <w:rFonts w:ascii="Verdana" w:hAnsi="Verdana"/>
          <w:i/>
          <w:iCs/>
          <w:sz w:val="16"/>
          <w:szCs w:val="16"/>
          <w:lang w:val="es-ES_tradnl"/>
        </w:rPr>
        <w:t>Caso Comunidad Garífuna de Punta Piedra y sus miembros Vs. Honduras. Excepciones Preliminares, Fondo, Reparaciones y Costas</w:t>
      </w:r>
      <w:r w:rsidRPr="00963A75">
        <w:rPr>
          <w:rFonts w:ascii="Verdana" w:hAnsi="Verdana"/>
          <w:sz w:val="16"/>
          <w:szCs w:val="16"/>
          <w:lang w:val="es-ES_tradnl"/>
        </w:rPr>
        <w:t xml:space="preserve">. Sentencia de 8 de octubre de 2015. Serie C No. 304, párr. 206; </w:t>
      </w:r>
      <w:r w:rsidRPr="00963A75">
        <w:rPr>
          <w:rFonts w:ascii="Verdana" w:hAnsi="Verdana"/>
          <w:i/>
          <w:iCs/>
          <w:sz w:val="16"/>
          <w:szCs w:val="16"/>
          <w:lang w:val="es-ES_tradnl"/>
        </w:rPr>
        <w:t>Caso Chinchilla Sandoval y otros Vs. Guatemala. Excepción Preliminar, Fondo, Reparaciones y Costas</w:t>
      </w:r>
      <w:r w:rsidRPr="00963A75">
        <w:rPr>
          <w:rFonts w:ascii="Verdana" w:hAnsi="Verdana"/>
          <w:sz w:val="16"/>
          <w:szCs w:val="16"/>
          <w:lang w:val="es-ES_tradnl"/>
        </w:rPr>
        <w:t xml:space="preserve">. Sentencia de 29 de febrero de 2016. Serie C No. 312, párr. 254; </w:t>
      </w:r>
      <w:r w:rsidRPr="00963A75">
        <w:rPr>
          <w:rFonts w:ascii="Verdana" w:hAnsi="Verdana"/>
          <w:i/>
          <w:iCs/>
          <w:sz w:val="16"/>
          <w:szCs w:val="16"/>
          <w:lang w:val="es-ES_tradnl"/>
        </w:rPr>
        <w:t>Caso Trabajadores de la Hacienda Brasil Verde Vs. Brasil. Excepciones Preliminares, Fondo, Reparaciones y Costas</w:t>
      </w:r>
      <w:r w:rsidRPr="00963A75">
        <w:rPr>
          <w:rFonts w:ascii="Verdana" w:hAnsi="Verdana"/>
          <w:sz w:val="16"/>
          <w:szCs w:val="16"/>
          <w:lang w:val="es-ES_tradnl"/>
        </w:rPr>
        <w:t xml:space="preserve">. Sentencia de 20 de octubre de 2016. Serie C No. 318, párr. 410; </w:t>
      </w:r>
      <w:r w:rsidRPr="00963A75">
        <w:rPr>
          <w:rFonts w:ascii="Verdana" w:hAnsi="Verdana"/>
          <w:i/>
          <w:iCs/>
          <w:sz w:val="16"/>
          <w:szCs w:val="16"/>
          <w:lang w:val="es-ES_tradnl"/>
        </w:rPr>
        <w:t>Caso Yarce y otras Vs. Colombia. Excepción Preliminar, Fondo, Reparaciones y Costas</w:t>
      </w:r>
      <w:r w:rsidRPr="00963A75">
        <w:rPr>
          <w:rFonts w:ascii="Verdana" w:hAnsi="Verdana"/>
          <w:sz w:val="16"/>
          <w:szCs w:val="16"/>
          <w:lang w:val="es-ES_tradnl"/>
        </w:rPr>
        <w:t xml:space="preserve">. Sentencia de 22 de noviembre de 2016. Serie C No. 325, párr. 84; </w:t>
      </w:r>
      <w:r w:rsidRPr="00963A75">
        <w:rPr>
          <w:rFonts w:ascii="Verdana" w:hAnsi="Verdana"/>
          <w:i/>
          <w:iCs/>
          <w:sz w:val="16"/>
          <w:szCs w:val="16"/>
          <w:lang w:val="es-ES_tradnl"/>
        </w:rPr>
        <w:t>Caso Vereda La Esperanza Vs. Colombia. Excepciones Preliminares, Fondo, Reparaciones y Costas</w:t>
      </w:r>
      <w:r w:rsidRPr="00963A75">
        <w:rPr>
          <w:rFonts w:ascii="Verdana" w:hAnsi="Verdana"/>
          <w:sz w:val="16"/>
          <w:szCs w:val="16"/>
          <w:lang w:val="es-ES_tradnl"/>
        </w:rPr>
        <w:t xml:space="preserve">. Sentencia de 31 de agosto de 2017. Serie C No. 341, párr. 84; </w:t>
      </w:r>
      <w:r w:rsidRPr="00963A75">
        <w:rPr>
          <w:rFonts w:ascii="Verdana" w:hAnsi="Verdana"/>
          <w:i/>
          <w:iCs/>
          <w:sz w:val="16"/>
          <w:szCs w:val="16"/>
          <w:lang w:val="es-ES_tradnl"/>
        </w:rPr>
        <w:t xml:space="preserve">Caso </w:t>
      </w:r>
      <w:proofErr w:type="spellStart"/>
      <w:r w:rsidRPr="00963A75">
        <w:rPr>
          <w:rFonts w:ascii="Verdana" w:hAnsi="Verdana"/>
          <w:i/>
          <w:iCs/>
          <w:sz w:val="16"/>
          <w:szCs w:val="16"/>
          <w:lang w:val="es-ES_tradnl"/>
        </w:rPr>
        <w:t>Amrhein</w:t>
      </w:r>
      <w:proofErr w:type="spellEnd"/>
      <w:r w:rsidRPr="00963A75">
        <w:rPr>
          <w:rFonts w:ascii="Verdana" w:hAnsi="Verdana"/>
          <w:i/>
          <w:iCs/>
          <w:sz w:val="16"/>
          <w:szCs w:val="16"/>
          <w:lang w:val="es-ES_tradnl"/>
        </w:rPr>
        <w:t xml:space="preserve"> y otros Vs. Costa Rica. Excepciones Preliminares, Fondo, Reparaciones y Costas</w:t>
      </w:r>
      <w:r w:rsidRPr="00963A75">
        <w:rPr>
          <w:rFonts w:ascii="Verdana" w:hAnsi="Verdana"/>
          <w:sz w:val="16"/>
          <w:szCs w:val="16"/>
          <w:lang w:val="es-ES_tradnl"/>
        </w:rPr>
        <w:t xml:space="preserve">. Sentencia de 25 de abril de 2018. Serie C No. 354, párr. 259; </w:t>
      </w:r>
      <w:r w:rsidRPr="00963A75">
        <w:rPr>
          <w:rFonts w:ascii="Verdana" w:hAnsi="Verdana"/>
          <w:i/>
          <w:iCs/>
          <w:sz w:val="16"/>
          <w:szCs w:val="16"/>
          <w:lang w:val="es-ES_tradnl"/>
        </w:rPr>
        <w:t xml:space="preserve">Caso Colindres </w:t>
      </w:r>
      <w:proofErr w:type="spellStart"/>
      <w:r w:rsidRPr="00963A75">
        <w:rPr>
          <w:rFonts w:ascii="Verdana" w:hAnsi="Verdana"/>
          <w:i/>
          <w:iCs/>
          <w:sz w:val="16"/>
          <w:szCs w:val="16"/>
          <w:lang w:val="es-ES_tradnl"/>
        </w:rPr>
        <w:t>Schonenberg</w:t>
      </w:r>
      <w:proofErr w:type="spellEnd"/>
      <w:r w:rsidRPr="00963A75">
        <w:rPr>
          <w:rFonts w:ascii="Verdana" w:hAnsi="Verdana"/>
          <w:i/>
          <w:iCs/>
          <w:sz w:val="16"/>
          <w:szCs w:val="16"/>
          <w:lang w:val="es-ES_tradnl"/>
        </w:rPr>
        <w:t xml:space="preserve"> Vs. El Salvador. Fondo, Reparaciones y Costas</w:t>
      </w:r>
      <w:r w:rsidRPr="00963A75">
        <w:rPr>
          <w:rFonts w:ascii="Verdana" w:hAnsi="Verdana"/>
          <w:sz w:val="16"/>
          <w:szCs w:val="16"/>
          <w:lang w:val="es-ES_tradnl"/>
        </w:rPr>
        <w:t xml:space="preserve">. Sentencia de 4 de febrero de 2019. Serie C No. 373, párr. 96; </w:t>
      </w:r>
      <w:r w:rsidRPr="00963A75">
        <w:rPr>
          <w:rFonts w:ascii="Verdana" w:hAnsi="Verdana"/>
          <w:i/>
          <w:iCs/>
          <w:sz w:val="16"/>
          <w:szCs w:val="16"/>
          <w:lang w:val="es-ES_tradnl"/>
        </w:rPr>
        <w:t>Caso Asociación Nacional de Cesantes y Jubilados de la Superintendencia Nacional de Administración Tributaria (ANCEJUB-SUNAT) Vs. Perú. Excepciones Preliminares, Fondo, Reparaciones y Costas</w:t>
      </w:r>
      <w:r w:rsidRPr="00963A75">
        <w:rPr>
          <w:rFonts w:ascii="Verdana" w:hAnsi="Verdana"/>
          <w:sz w:val="16"/>
          <w:szCs w:val="16"/>
          <w:lang w:val="es-ES_tradnl"/>
        </w:rPr>
        <w:t xml:space="preserve">. Sentencia de 21 de noviembre de 2019. Serie C No. 394, párr. 200; </w:t>
      </w:r>
      <w:r w:rsidRPr="00963A75">
        <w:rPr>
          <w:rFonts w:ascii="Verdana" w:hAnsi="Verdana"/>
          <w:i/>
          <w:iCs/>
          <w:sz w:val="16"/>
          <w:szCs w:val="16"/>
          <w:lang w:val="es-ES_tradnl"/>
        </w:rPr>
        <w:t>Caso Petro Urrego Vs. Colombia. Excepciones Preliminares, Fondo, Reparaciones y Costas</w:t>
      </w:r>
      <w:r w:rsidRPr="00963A75">
        <w:rPr>
          <w:rFonts w:ascii="Verdana" w:hAnsi="Verdana"/>
          <w:sz w:val="16"/>
          <w:szCs w:val="16"/>
          <w:lang w:val="es-ES_tradnl"/>
        </w:rPr>
        <w:t xml:space="preserve">. Sentencia de 8 de julio de 2020. Serie C No. 406, párr. 111; </w:t>
      </w:r>
      <w:r w:rsidRPr="00963A75">
        <w:rPr>
          <w:rFonts w:ascii="Verdana" w:hAnsi="Verdana"/>
          <w:i/>
          <w:iCs/>
          <w:sz w:val="16"/>
          <w:szCs w:val="16"/>
          <w:lang w:val="es-ES_tradnl"/>
        </w:rPr>
        <w:t xml:space="preserve">Caso Fernández Prieto y </w:t>
      </w:r>
      <w:proofErr w:type="spellStart"/>
      <w:r w:rsidRPr="00963A75">
        <w:rPr>
          <w:rFonts w:ascii="Verdana" w:hAnsi="Verdana"/>
          <w:i/>
          <w:iCs/>
          <w:sz w:val="16"/>
          <w:szCs w:val="16"/>
          <w:lang w:val="es-ES_tradnl"/>
        </w:rPr>
        <w:t>Tumbeiro</w:t>
      </w:r>
      <w:proofErr w:type="spellEnd"/>
      <w:r w:rsidRPr="00963A75">
        <w:rPr>
          <w:rFonts w:ascii="Verdana" w:hAnsi="Verdana"/>
          <w:i/>
          <w:iCs/>
          <w:sz w:val="16"/>
          <w:szCs w:val="16"/>
          <w:lang w:val="es-ES_tradnl"/>
        </w:rPr>
        <w:t xml:space="preserve"> Vs. Argentina. Fondo y Reparaciones</w:t>
      </w:r>
      <w:r w:rsidRPr="00963A75">
        <w:rPr>
          <w:rFonts w:ascii="Verdana" w:hAnsi="Verdana"/>
          <w:sz w:val="16"/>
          <w:szCs w:val="16"/>
          <w:lang w:val="es-ES_tradnl"/>
        </w:rPr>
        <w:t xml:space="preserve">. Sentencia de 1 de septiembre de 2020. Serie C No. 411, párr. 99; </w:t>
      </w:r>
      <w:r w:rsidRPr="00963A75">
        <w:rPr>
          <w:rFonts w:ascii="Verdana" w:hAnsi="Verdana"/>
          <w:i/>
          <w:iCs/>
          <w:sz w:val="16"/>
          <w:szCs w:val="16"/>
          <w:lang w:val="es-ES_tradnl"/>
        </w:rPr>
        <w:t>Caso Martínez Esquivia Vs. Colombia. Excepciones preliminares, Fondo y Reparaciones</w:t>
      </w:r>
      <w:r w:rsidRPr="00963A75">
        <w:rPr>
          <w:rFonts w:ascii="Verdana" w:hAnsi="Verdana"/>
          <w:sz w:val="16"/>
          <w:szCs w:val="16"/>
          <w:lang w:val="es-ES_tradnl"/>
        </w:rPr>
        <w:t xml:space="preserve">. Sentencia de 6 de octubre de 2020. Serie C No. 412, párr. 118; </w:t>
      </w:r>
      <w:r w:rsidRPr="00963A75">
        <w:rPr>
          <w:rFonts w:ascii="Verdana" w:hAnsi="Verdana"/>
          <w:i/>
          <w:iCs/>
          <w:sz w:val="16"/>
          <w:szCs w:val="16"/>
          <w:lang w:val="es-ES_tradnl"/>
        </w:rPr>
        <w:t>Caso Casa Nina Vs. Perú. Excepciones Preliminares, Fondo, Reparaciones y Costas</w:t>
      </w:r>
      <w:r w:rsidRPr="00963A75">
        <w:rPr>
          <w:rFonts w:ascii="Verdana" w:hAnsi="Verdana"/>
          <w:sz w:val="16"/>
          <w:szCs w:val="16"/>
          <w:lang w:val="es-ES_tradnl"/>
        </w:rPr>
        <w:t xml:space="preserve">. Sentencia de 24 de noviembre de 2020. Serie C No. 419, párr. 100; </w:t>
      </w:r>
      <w:r w:rsidRPr="00963A75">
        <w:rPr>
          <w:rFonts w:ascii="Verdana" w:hAnsi="Verdana"/>
          <w:i/>
          <w:iCs/>
          <w:sz w:val="16"/>
          <w:szCs w:val="16"/>
          <w:lang w:val="es-ES_tradnl"/>
        </w:rPr>
        <w:t xml:space="preserve">Caso </w:t>
      </w:r>
      <w:proofErr w:type="spellStart"/>
      <w:r w:rsidRPr="00963A75">
        <w:rPr>
          <w:rFonts w:ascii="Verdana" w:hAnsi="Verdana"/>
          <w:i/>
          <w:iCs/>
          <w:sz w:val="16"/>
          <w:szCs w:val="16"/>
          <w:lang w:val="es-ES_tradnl"/>
        </w:rPr>
        <w:t>Guachalá</w:t>
      </w:r>
      <w:proofErr w:type="spellEnd"/>
      <w:r w:rsidRPr="00963A75">
        <w:rPr>
          <w:rFonts w:ascii="Verdana" w:hAnsi="Verdana"/>
          <w:i/>
          <w:iCs/>
          <w:sz w:val="16"/>
          <w:szCs w:val="16"/>
          <w:lang w:val="es-ES_tradnl"/>
        </w:rPr>
        <w:t xml:space="preserve"> Chimbo y otros Vs. Ecuador. Fondo, Reparaciones y Costas</w:t>
      </w:r>
      <w:r w:rsidRPr="00963A75">
        <w:rPr>
          <w:rFonts w:ascii="Verdana" w:hAnsi="Verdana"/>
          <w:sz w:val="16"/>
          <w:szCs w:val="16"/>
          <w:lang w:val="es-ES_tradnl"/>
        </w:rPr>
        <w:t>. Sentencia de 26 de marzo de 2021. Serie C No. 423, párr. 137;</w:t>
      </w:r>
      <w:r w:rsidRPr="00963A75">
        <w:rPr>
          <w:rFonts w:ascii="Verdana" w:hAnsi="Verdana"/>
          <w:sz w:val="16"/>
          <w:szCs w:val="16"/>
        </w:rPr>
        <w:t xml:space="preserve"> </w:t>
      </w:r>
      <w:r w:rsidRPr="00963A75">
        <w:rPr>
          <w:rFonts w:ascii="Verdana" w:hAnsi="Verdana"/>
          <w:i/>
          <w:iCs/>
          <w:sz w:val="16"/>
          <w:szCs w:val="16"/>
          <w:lang w:val="es-ES_tradnl"/>
        </w:rPr>
        <w:t xml:space="preserve">Caso de los Buzos </w:t>
      </w:r>
      <w:proofErr w:type="spellStart"/>
      <w:r w:rsidRPr="00963A75">
        <w:rPr>
          <w:rFonts w:ascii="Verdana" w:hAnsi="Verdana"/>
          <w:i/>
          <w:iCs/>
          <w:sz w:val="16"/>
          <w:szCs w:val="16"/>
          <w:lang w:val="es-ES_tradnl"/>
        </w:rPr>
        <w:t>Miskitos</w:t>
      </w:r>
      <w:proofErr w:type="spellEnd"/>
      <w:r w:rsidRPr="00963A75">
        <w:rPr>
          <w:rFonts w:ascii="Verdana" w:hAnsi="Verdana"/>
          <w:i/>
          <w:iCs/>
          <w:sz w:val="16"/>
          <w:szCs w:val="16"/>
          <w:lang w:val="es-ES_tradnl"/>
        </w:rPr>
        <w:t xml:space="preserve"> (</w:t>
      </w:r>
      <w:proofErr w:type="spellStart"/>
      <w:r w:rsidRPr="00963A75">
        <w:rPr>
          <w:rFonts w:ascii="Verdana" w:hAnsi="Verdana"/>
          <w:i/>
          <w:iCs/>
          <w:sz w:val="16"/>
          <w:szCs w:val="16"/>
          <w:lang w:val="es-ES_tradnl"/>
        </w:rPr>
        <w:t>Lemoth</w:t>
      </w:r>
      <w:proofErr w:type="spellEnd"/>
      <w:r w:rsidRPr="00963A75">
        <w:rPr>
          <w:rFonts w:ascii="Verdana" w:hAnsi="Verdana"/>
          <w:i/>
          <w:iCs/>
          <w:sz w:val="16"/>
          <w:szCs w:val="16"/>
          <w:lang w:val="es-ES_tradnl"/>
        </w:rPr>
        <w:t xml:space="preserve"> Morris y otros) Vs. Honduras</w:t>
      </w:r>
      <w:r w:rsidRPr="00963A75">
        <w:rPr>
          <w:rFonts w:ascii="Verdana" w:hAnsi="Verdana"/>
          <w:sz w:val="16"/>
          <w:szCs w:val="16"/>
          <w:lang w:val="es-ES_tradnl"/>
        </w:rPr>
        <w:t xml:space="preserve">. Sentencia de 31 de agosto de 2021. Serie C No. 432, párr. 45; </w:t>
      </w:r>
      <w:r w:rsidRPr="00963A75">
        <w:rPr>
          <w:rFonts w:ascii="Verdana" w:hAnsi="Verdana"/>
          <w:i/>
          <w:iCs/>
          <w:sz w:val="16"/>
          <w:szCs w:val="16"/>
          <w:lang w:val="es-ES_tradnl"/>
        </w:rPr>
        <w:t>Caso González y otros Vs. Venezuela. Fondo y Reparaciones</w:t>
      </w:r>
      <w:r w:rsidRPr="00963A75">
        <w:rPr>
          <w:rFonts w:ascii="Verdana" w:hAnsi="Verdana"/>
          <w:sz w:val="16"/>
          <w:szCs w:val="16"/>
          <w:lang w:val="es-ES_tradnl"/>
        </w:rPr>
        <w:t xml:space="preserve">. Sentencia de 20 de septiembre de 2021. Serie C No. 436, párr. 103; </w:t>
      </w:r>
      <w:r w:rsidRPr="00963A75">
        <w:rPr>
          <w:rFonts w:ascii="Verdana" w:hAnsi="Verdana"/>
          <w:i/>
          <w:iCs/>
          <w:sz w:val="16"/>
          <w:szCs w:val="16"/>
          <w:lang w:val="es-ES_tradnl"/>
        </w:rPr>
        <w:t>Caso Familia Julien Grisonas Vs. Argentina. Excepciones Preliminares, Fondo, Reparaciones y Costas</w:t>
      </w:r>
      <w:r w:rsidRPr="00963A75">
        <w:rPr>
          <w:rFonts w:ascii="Verdana" w:hAnsi="Verdana"/>
          <w:sz w:val="16"/>
          <w:szCs w:val="16"/>
          <w:lang w:val="es-ES_tradnl"/>
        </w:rPr>
        <w:t xml:space="preserve">. Sentencia de 23 de septiembre de 2021. Serie C No. 437, párr. 236; </w:t>
      </w:r>
      <w:r w:rsidRPr="00963A75">
        <w:rPr>
          <w:rFonts w:ascii="Verdana" w:hAnsi="Verdana"/>
          <w:i/>
          <w:iCs/>
          <w:sz w:val="16"/>
          <w:szCs w:val="16"/>
          <w:lang w:val="es-ES_tradnl"/>
        </w:rPr>
        <w:t>Caso Profesores de Chañaral y otras municipalidades Vs. Chile. Excepción preliminar, Fondo, Reparaciones y Costas</w:t>
      </w:r>
      <w:r w:rsidRPr="00963A75">
        <w:rPr>
          <w:rFonts w:ascii="Verdana" w:hAnsi="Verdana"/>
          <w:sz w:val="16"/>
          <w:szCs w:val="16"/>
          <w:lang w:val="es-ES_tradnl"/>
        </w:rPr>
        <w:t xml:space="preserve">. Sentencia de 10 de noviembre de 2021. Serie C No. 443, párr. 185; </w:t>
      </w:r>
      <w:r w:rsidRPr="00963A75">
        <w:rPr>
          <w:rFonts w:ascii="Verdana" w:hAnsi="Verdana"/>
          <w:i/>
          <w:iCs/>
          <w:sz w:val="16"/>
          <w:szCs w:val="16"/>
          <w:lang w:val="es-ES_tradnl"/>
        </w:rPr>
        <w:t>Caso Federación Nacional de Trabajadores Marítimos y Portuarios (FEMAPOR) Vs. Perú. Excepciones Preliminares, Fondo y Reparaciones.</w:t>
      </w:r>
      <w:r w:rsidRPr="00963A75">
        <w:rPr>
          <w:rFonts w:ascii="Verdana" w:hAnsi="Verdana"/>
          <w:sz w:val="16"/>
          <w:szCs w:val="16"/>
          <w:lang w:val="es-ES_tradnl"/>
        </w:rPr>
        <w:t xml:space="preserve"> Sentencia de 1 de febrero de 2022. Serie C No. 448, párr. 99; </w:t>
      </w:r>
      <w:r w:rsidRPr="00963A75">
        <w:rPr>
          <w:rFonts w:ascii="Verdana" w:hAnsi="Verdana"/>
          <w:i/>
          <w:iCs/>
          <w:sz w:val="16"/>
          <w:szCs w:val="16"/>
          <w:lang w:val="es-ES_tradnl"/>
        </w:rPr>
        <w:t xml:space="preserve">Caso </w:t>
      </w:r>
      <w:proofErr w:type="spellStart"/>
      <w:r w:rsidRPr="00963A75">
        <w:rPr>
          <w:rFonts w:ascii="Verdana" w:hAnsi="Verdana"/>
          <w:i/>
          <w:iCs/>
          <w:sz w:val="16"/>
          <w:szCs w:val="16"/>
          <w:lang w:val="es-ES_tradnl"/>
        </w:rPr>
        <w:t>Tzompaxtle</w:t>
      </w:r>
      <w:proofErr w:type="spellEnd"/>
      <w:r w:rsidRPr="00963A75">
        <w:rPr>
          <w:rFonts w:ascii="Verdana" w:hAnsi="Verdana"/>
          <w:i/>
          <w:iCs/>
          <w:sz w:val="16"/>
          <w:szCs w:val="16"/>
          <w:lang w:val="es-ES_tradnl"/>
        </w:rPr>
        <w:t xml:space="preserve"> </w:t>
      </w:r>
      <w:proofErr w:type="spellStart"/>
      <w:r w:rsidRPr="00963A75">
        <w:rPr>
          <w:rFonts w:ascii="Verdana" w:hAnsi="Verdana"/>
          <w:i/>
          <w:iCs/>
          <w:sz w:val="16"/>
          <w:szCs w:val="16"/>
          <w:lang w:val="es-ES_tradnl"/>
        </w:rPr>
        <w:t>Tecpile</w:t>
      </w:r>
      <w:proofErr w:type="spellEnd"/>
      <w:r w:rsidRPr="00963A75">
        <w:rPr>
          <w:rFonts w:ascii="Verdana" w:hAnsi="Verdana"/>
          <w:i/>
          <w:iCs/>
          <w:sz w:val="16"/>
          <w:szCs w:val="16"/>
          <w:lang w:val="es-ES_tradnl"/>
        </w:rPr>
        <w:t xml:space="preserve"> y otros Vs. México. Excepción Preliminar, Fondo, Reparaciones y Costas</w:t>
      </w:r>
      <w:r w:rsidRPr="00963A75">
        <w:rPr>
          <w:rFonts w:ascii="Verdana" w:hAnsi="Verdana"/>
          <w:sz w:val="16"/>
          <w:szCs w:val="16"/>
          <w:lang w:val="es-ES_tradnl"/>
        </w:rPr>
        <w:t xml:space="preserve">. Sentencia de 7 de noviembre de 2022. Serie C No. 470, párr. 116; </w:t>
      </w:r>
      <w:r w:rsidRPr="00963A75">
        <w:rPr>
          <w:rFonts w:ascii="Verdana" w:hAnsi="Verdana"/>
          <w:i/>
          <w:iCs/>
          <w:sz w:val="16"/>
          <w:szCs w:val="16"/>
          <w:lang w:val="es-ES_tradnl"/>
        </w:rPr>
        <w:t>Caso García Rodríguez y otro Vs. México. Excepciones Preliminares, Fondo, Reparaciones y Costas</w:t>
      </w:r>
      <w:r w:rsidRPr="00963A75">
        <w:rPr>
          <w:rFonts w:ascii="Verdana" w:hAnsi="Verdana"/>
          <w:sz w:val="16"/>
          <w:szCs w:val="16"/>
          <w:lang w:val="es-ES_tradnl"/>
        </w:rPr>
        <w:t>. Sentencia de 25 de enero de 2023. Serie C No. 482, párr. 143.</w:t>
      </w:r>
    </w:p>
  </w:footnote>
  <w:footnote w:id="26">
    <w:p w14:paraId="44236908"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Cfr.</w:t>
      </w:r>
      <w:r w:rsidRPr="00963A75">
        <w:rPr>
          <w:rFonts w:ascii="Verdana" w:hAnsi="Verdana"/>
          <w:sz w:val="16"/>
          <w:szCs w:val="16"/>
          <w:lang w:val="es-ES_tradnl"/>
        </w:rPr>
        <w:t xml:space="preserve"> </w:t>
      </w:r>
      <w:r w:rsidRPr="00963A75">
        <w:rPr>
          <w:rFonts w:ascii="Verdana" w:hAnsi="Verdana"/>
          <w:i/>
          <w:iCs/>
          <w:sz w:val="16"/>
          <w:szCs w:val="16"/>
          <w:lang w:val="es-ES_tradnl"/>
        </w:rPr>
        <w:t>Caso Albán Cornejo y otros Vs. Ecuador. Fondo, Reparaciones y Costas</w:t>
      </w:r>
      <w:r w:rsidRPr="00963A75">
        <w:rPr>
          <w:rFonts w:ascii="Verdana" w:hAnsi="Verdana"/>
          <w:sz w:val="16"/>
          <w:szCs w:val="16"/>
          <w:lang w:val="es-ES_tradnl"/>
        </w:rPr>
        <w:t>. Sentencia de 22 de noviembre de 2007. Serie C No. 171, párr. 134.</w:t>
      </w:r>
    </w:p>
  </w:footnote>
  <w:footnote w:id="27">
    <w:p w14:paraId="1D8123D0"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 xml:space="preserve">Cfr. </w:t>
      </w:r>
      <w:r w:rsidRPr="00963A75">
        <w:rPr>
          <w:rFonts w:ascii="Verdana" w:hAnsi="Verdana"/>
          <w:sz w:val="16"/>
          <w:szCs w:val="16"/>
          <w:lang w:val="es-ES_tradnl"/>
        </w:rPr>
        <w:t>Punto resolutivo 7.</w:t>
      </w:r>
    </w:p>
  </w:footnote>
  <w:footnote w:id="28">
    <w:p w14:paraId="7E47961C"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 xml:space="preserve">Cfr. </w:t>
      </w:r>
      <w:r w:rsidRPr="00963A75">
        <w:rPr>
          <w:rFonts w:ascii="Verdana" w:hAnsi="Verdana"/>
          <w:sz w:val="16"/>
          <w:szCs w:val="16"/>
          <w:lang w:val="es-ES_tradnl"/>
        </w:rPr>
        <w:t>Punto resolutivo 8.</w:t>
      </w:r>
    </w:p>
  </w:footnote>
  <w:footnote w:id="29">
    <w:p w14:paraId="1B56AF2E"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 xml:space="preserve">Cfr. </w:t>
      </w:r>
      <w:r w:rsidRPr="00963A75">
        <w:rPr>
          <w:rFonts w:ascii="Verdana" w:hAnsi="Verdana"/>
          <w:sz w:val="16"/>
          <w:szCs w:val="16"/>
          <w:lang w:val="es-ES_tradnl"/>
        </w:rPr>
        <w:t>Punto resolutivo 9.</w:t>
      </w:r>
    </w:p>
  </w:footnote>
  <w:footnote w:id="30">
    <w:p w14:paraId="678B26B0"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 xml:space="preserve">Cfr. </w:t>
      </w:r>
      <w:r w:rsidRPr="00963A75">
        <w:rPr>
          <w:rFonts w:ascii="Verdana" w:hAnsi="Verdana"/>
          <w:sz w:val="16"/>
          <w:szCs w:val="16"/>
          <w:lang w:val="es-ES_tradnl"/>
        </w:rPr>
        <w:t>Punto resolutivo 10.</w:t>
      </w:r>
    </w:p>
  </w:footnote>
  <w:footnote w:id="31">
    <w:p w14:paraId="605829DE"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Cfr.</w:t>
      </w:r>
      <w:r w:rsidRPr="00963A75">
        <w:rPr>
          <w:rFonts w:ascii="Verdana" w:hAnsi="Verdana"/>
          <w:sz w:val="16"/>
          <w:szCs w:val="16"/>
        </w:rPr>
        <w:t xml:space="preserve"> </w:t>
      </w:r>
      <w:r w:rsidRPr="00963A75">
        <w:rPr>
          <w:rFonts w:ascii="Verdana" w:hAnsi="Verdana"/>
          <w:i/>
          <w:iCs/>
          <w:sz w:val="16"/>
          <w:szCs w:val="16"/>
          <w:lang w:val="es-ES_tradnl"/>
        </w:rPr>
        <w:t xml:space="preserve">Caso Loayza Tamayo Vs. Perú. Reparaciones y Costas. </w:t>
      </w:r>
      <w:r w:rsidRPr="00963A75">
        <w:rPr>
          <w:rFonts w:ascii="Verdana" w:hAnsi="Verdana"/>
          <w:sz w:val="16"/>
          <w:szCs w:val="16"/>
          <w:lang w:val="es-ES_tradnl"/>
        </w:rPr>
        <w:t xml:space="preserve">Sentencia de 27 de noviembre de 1998. Serie C No. 42. Párr. 164; </w:t>
      </w:r>
      <w:r w:rsidRPr="00963A75">
        <w:rPr>
          <w:rFonts w:ascii="Verdana" w:hAnsi="Verdana"/>
          <w:i/>
          <w:iCs/>
          <w:sz w:val="16"/>
          <w:szCs w:val="16"/>
          <w:lang w:val="es-ES_tradnl"/>
        </w:rPr>
        <w:t>Caso Castillo Páez Vs. Perú. Reparaciones y Costas</w:t>
      </w:r>
      <w:r w:rsidRPr="00963A75">
        <w:rPr>
          <w:rFonts w:ascii="Verdana" w:hAnsi="Verdana"/>
          <w:sz w:val="16"/>
          <w:szCs w:val="16"/>
          <w:lang w:val="es-ES_tradnl"/>
        </w:rPr>
        <w:t xml:space="preserve">. Sentencia de 27 de noviembre de 1998. Serie C No. 43. Punto resolutivo 2; </w:t>
      </w:r>
      <w:r w:rsidRPr="00963A75">
        <w:rPr>
          <w:rFonts w:ascii="Verdana" w:hAnsi="Verdana"/>
          <w:i/>
          <w:iCs/>
          <w:sz w:val="16"/>
          <w:szCs w:val="16"/>
          <w:lang w:val="es-ES_tradnl"/>
        </w:rPr>
        <w:t>Caso Blake Vs. Guatemala. Reparaciones y Costas</w:t>
      </w:r>
      <w:r w:rsidRPr="00963A75">
        <w:rPr>
          <w:rFonts w:ascii="Verdana" w:hAnsi="Verdana"/>
          <w:sz w:val="16"/>
          <w:szCs w:val="16"/>
          <w:lang w:val="es-ES_tradnl"/>
        </w:rPr>
        <w:t xml:space="preserve">. Sentencia de 22 de enero de 1999. Serie C No. 48. Párr. 65; </w:t>
      </w:r>
      <w:r w:rsidRPr="00963A75">
        <w:rPr>
          <w:rFonts w:ascii="Verdana" w:hAnsi="Verdana"/>
          <w:i/>
          <w:iCs/>
          <w:sz w:val="16"/>
          <w:szCs w:val="16"/>
          <w:lang w:val="es-ES_tradnl"/>
        </w:rPr>
        <w:t>Caso de la "Panel Blanca" (Paniagua Morales y otros) Vs. Guatemala. Reparaciones y Costas</w:t>
      </w:r>
      <w:r w:rsidRPr="00963A75">
        <w:rPr>
          <w:rFonts w:ascii="Verdana" w:hAnsi="Verdana"/>
          <w:sz w:val="16"/>
          <w:szCs w:val="16"/>
          <w:lang w:val="es-ES_tradnl"/>
        </w:rPr>
        <w:t xml:space="preserve">. Sentencia de 25 de mayo de 2001. Serie C No. 76. Párr. 203; </w:t>
      </w:r>
      <w:r w:rsidRPr="00963A75">
        <w:rPr>
          <w:rFonts w:ascii="Verdana" w:hAnsi="Verdana"/>
          <w:i/>
          <w:iCs/>
          <w:sz w:val="16"/>
          <w:szCs w:val="16"/>
          <w:lang w:val="es-ES_tradnl"/>
        </w:rPr>
        <w:t>Caso de los “Niños de la Calle” (Villagrán Morales y otros) Vs. Guatemala. Reparaciones y Costas</w:t>
      </w:r>
      <w:r w:rsidRPr="00963A75">
        <w:rPr>
          <w:rFonts w:ascii="Verdana" w:hAnsi="Verdana"/>
          <w:sz w:val="16"/>
          <w:szCs w:val="16"/>
          <w:lang w:val="es-ES_tradnl"/>
        </w:rPr>
        <w:t xml:space="preserve">. Sentencia de 26 de mayo de 2001. Serie C No. 77. Párr. 98; </w:t>
      </w:r>
      <w:r w:rsidRPr="00963A75">
        <w:rPr>
          <w:rFonts w:ascii="Verdana" w:hAnsi="Verdana"/>
          <w:i/>
          <w:iCs/>
          <w:sz w:val="16"/>
          <w:szCs w:val="16"/>
          <w:lang w:val="es-ES_tradnl"/>
        </w:rPr>
        <w:t xml:space="preserve">Caso Trujillo </w:t>
      </w:r>
      <w:proofErr w:type="spellStart"/>
      <w:r w:rsidRPr="00963A75">
        <w:rPr>
          <w:rFonts w:ascii="Verdana" w:hAnsi="Verdana"/>
          <w:i/>
          <w:iCs/>
          <w:sz w:val="16"/>
          <w:szCs w:val="16"/>
          <w:lang w:val="es-ES_tradnl"/>
        </w:rPr>
        <w:t>Oroza</w:t>
      </w:r>
      <w:proofErr w:type="spellEnd"/>
      <w:r w:rsidRPr="00963A75">
        <w:rPr>
          <w:rFonts w:ascii="Verdana" w:hAnsi="Verdana"/>
          <w:i/>
          <w:iCs/>
          <w:sz w:val="16"/>
          <w:szCs w:val="16"/>
          <w:lang w:val="es-ES_tradnl"/>
        </w:rPr>
        <w:t xml:space="preserve"> Vs. Bolivia. Reparaciones y Costas</w:t>
      </w:r>
      <w:r w:rsidRPr="00963A75">
        <w:rPr>
          <w:rFonts w:ascii="Verdana" w:hAnsi="Verdana"/>
          <w:sz w:val="16"/>
          <w:szCs w:val="16"/>
          <w:lang w:val="es-ES_tradnl"/>
        </w:rPr>
        <w:t xml:space="preserve">. Sentencia de 27 de febrero de 2002. Serie C No. 92. Párr. 96; </w:t>
      </w:r>
      <w:r w:rsidRPr="00963A75">
        <w:rPr>
          <w:rFonts w:ascii="Verdana" w:hAnsi="Verdana"/>
          <w:i/>
          <w:iCs/>
          <w:sz w:val="16"/>
          <w:szCs w:val="16"/>
          <w:lang w:val="es-ES_tradnl"/>
        </w:rPr>
        <w:t>Caso Bámaca Velásquez Vs. Guatemala. Reparaciones y Costas</w:t>
      </w:r>
      <w:r w:rsidRPr="00963A75">
        <w:rPr>
          <w:rFonts w:ascii="Verdana" w:hAnsi="Verdana"/>
          <w:sz w:val="16"/>
          <w:szCs w:val="16"/>
          <w:lang w:val="es-ES_tradnl"/>
        </w:rPr>
        <w:t xml:space="preserve">. Sentencia de 22 de febrero de 2002. Serie C No. 91. Párr. 85; </w:t>
      </w:r>
      <w:r w:rsidRPr="00963A75">
        <w:rPr>
          <w:rFonts w:ascii="Verdana" w:hAnsi="Verdana"/>
          <w:i/>
          <w:iCs/>
          <w:sz w:val="16"/>
          <w:szCs w:val="16"/>
          <w:lang w:val="es-ES_tradnl"/>
        </w:rPr>
        <w:t xml:space="preserve">Caso de la Comunidad </w:t>
      </w:r>
      <w:proofErr w:type="spellStart"/>
      <w:r w:rsidRPr="00963A75">
        <w:rPr>
          <w:rFonts w:ascii="Verdana" w:hAnsi="Verdana"/>
          <w:i/>
          <w:iCs/>
          <w:sz w:val="16"/>
          <w:szCs w:val="16"/>
          <w:lang w:val="es-ES_tradnl"/>
        </w:rPr>
        <w:t>Moiwana</w:t>
      </w:r>
      <w:proofErr w:type="spellEnd"/>
      <w:r w:rsidRPr="00963A75">
        <w:rPr>
          <w:rFonts w:ascii="Verdana" w:hAnsi="Verdana"/>
          <w:i/>
          <w:iCs/>
          <w:sz w:val="16"/>
          <w:szCs w:val="16"/>
          <w:lang w:val="es-ES_tradnl"/>
        </w:rPr>
        <w:t xml:space="preserve"> Vs. Surinam. Excepciones Preliminares, Fondo, Reparaciones y Costas</w:t>
      </w:r>
      <w:r w:rsidRPr="00963A75">
        <w:rPr>
          <w:rFonts w:ascii="Verdana" w:hAnsi="Verdana"/>
          <w:sz w:val="16"/>
          <w:szCs w:val="16"/>
          <w:lang w:val="es-ES_tradnl"/>
        </w:rPr>
        <w:t xml:space="preserve">. Sentencia de 15 de junio de 2005. Serie C No. 124. Párr. 209; </w:t>
      </w:r>
      <w:r w:rsidRPr="00963A75">
        <w:rPr>
          <w:rFonts w:ascii="Verdana" w:hAnsi="Verdana"/>
          <w:i/>
          <w:iCs/>
          <w:sz w:val="16"/>
          <w:szCs w:val="16"/>
          <w:lang w:val="es-ES_tradnl"/>
        </w:rPr>
        <w:t xml:space="preserve">Caso de las niñas </w:t>
      </w:r>
      <w:proofErr w:type="spellStart"/>
      <w:r w:rsidRPr="00963A75">
        <w:rPr>
          <w:rFonts w:ascii="Verdana" w:hAnsi="Verdana"/>
          <w:i/>
          <w:iCs/>
          <w:sz w:val="16"/>
          <w:szCs w:val="16"/>
          <w:lang w:val="es-ES_tradnl"/>
        </w:rPr>
        <w:t>Yean</w:t>
      </w:r>
      <w:proofErr w:type="spellEnd"/>
      <w:r w:rsidRPr="00963A75">
        <w:rPr>
          <w:rFonts w:ascii="Verdana" w:hAnsi="Verdana"/>
          <w:i/>
          <w:iCs/>
          <w:sz w:val="16"/>
          <w:szCs w:val="16"/>
          <w:lang w:val="es-ES_tradnl"/>
        </w:rPr>
        <w:t xml:space="preserve"> y </w:t>
      </w:r>
      <w:proofErr w:type="spellStart"/>
      <w:r w:rsidRPr="00963A75">
        <w:rPr>
          <w:rFonts w:ascii="Verdana" w:hAnsi="Verdana"/>
          <w:i/>
          <w:iCs/>
          <w:sz w:val="16"/>
          <w:szCs w:val="16"/>
          <w:lang w:val="es-ES_tradnl"/>
        </w:rPr>
        <w:t>Bosico</w:t>
      </w:r>
      <w:proofErr w:type="spellEnd"/>
      <w:r w:rsidRPr="00963A75">
        <w:rPr>
          <w:rFonts w:ascii="Verdana" w:hAnsi="Verdana"/>
          <w:i/>
          <w:iCs/>
          <w:sz w:val="16"/>
          <w:szCs w:val="16"/>
          <w:lang w:val="es-ES_tradnl"/>
        </w:rPr>
        <w:t xml:space="preserve"> Vs. República Dominicana</w:t>
      </w:r>
      <w:r w:rsidRPr="00963A75">
        <w:rPr>
          <w:rFonts w:ascii="Verdana" w:hAnsi="Verdana"/>
          <w:sz w:val="16"/>
          <w:szCs w:val="16"/>
          <w:lang w:val="es-ES_tradnl"/>
        </w:rPr>
        <w:t xml:space="preserve">. Sentencia de 8 de septiembre de 2005. Serie C No. 130. Párr. 239; </w:t>
      </w:r>
      <w:r w:rsidRPr="00963A75">
        <w:rPr>
          <w:rFonts w:ascii="Verdana" w:hAnsi="Verdana"/>
          <w:i/>
          <w:iCs/>
          <w:sz w:val="16"/>
          <w:szCs w:val="16"/>
          <w:lang w:val="es-ES_tradnl"/>
        </w:rPr>
        <w:t xml:space="preserve">Caso </w:t>
      </w:r>
      <w:proofErr w:type="spellStart"/>
      <w:r w:rsidRPr="00963A75">
        <w:rPr>
          <w:rFonts w:ascii="Verdana" w:hAnsi="Verdana"/>
          <w:i/>
          <w:iCs/>
          <w:sz w:val="16"/>
          <w:szCs w:val="16"/>
          <w:lang w:val="es-ES_tradnl"/>
        </w:rPr>
        <w:t>Goiburú</w:t>
      </w:r>
      <w:proofErr w:type="spellEnd"/>
      <w:r w:rsidRPr="00963A75">
        <w:rPr>
          <w:rFonts w:ascii="Verdana" w:hAnsi="Verdana"/>
          <w:i/>
          <w:iCs/>
          <w:sz w:val="16"/>
          <w:szCs w:val="16"/>
          <w:lang w:val="es-ES_tradnl"/>
        </w:rPr>
        <w:t xml:space="preserve"> y otros Vs. Paraguay. Fondo, Reparaciones y Costas</w:t>
      </w:r>
      <w:r w:rsidRPr="00963A75">
        <w:rPr>
          <w:rFonts w:ascii="Verdana" w:hAnsi="Verdana"/>
          <w:sz w:val="16"/>
          <w:szCs w:val="16"/>
          <w:lang w:val="es-ES_tradnl"/>
        </w:rPr>
        <w:t xml:space="preserve">. Sentencia de 22 de septiembre de 2006. Serie C No. 153. Párr. 179; </w:t>
      </w:r>
      <w:r w:rsidRPr="00963A75">
        <w:rPr>
          <w:rFonts w:ascii="Verdana" w:hAnsi="Verdana"/>
          <w:i/>
          <w:iCs/>
          <w:sz w:val="16"/>
          <w:szCs w:val="16"/>
          <w:lang w:val="es-ES_tradnl"/>
        </w:rPr>
        <w:t>Caso Vargas Areco Vs. Paraguay</w:t>
      </w:r>
      <w:r w:rsidRPr="00963A75">
        <w:rPr>
          <w:rFonts w:ascii="Verdana" w:hAnsi="Verdana"/>
          <w:sz w:val="16"/>
          <w:szCs w:val="16"/>
          <w:lang w:val="es-ES_tradnl"/>
        </w:rPr>
        <w:t xml:space="preserve">. Sentencia de 26 de septiembre de 2006. Serie C No. 155. Punto resolutivo 14; </w:t>
      </w:r>
      <w:r w:rsidRPr="00963A75">
        <w:rPr>
          <w:rFonts w:ascii="Verdana" w:hAnsi="Verdana"/>
          <w:i/>
          <w:iCs/>
          <w:sz w:val="16"/>
          <w:szCs w:val="16"/>
          <w:lang w:val="es-ES_tradnl"/>
        </w:rPr>
        <w:t xml:space="preserve">Caso Yvon </w:t>
      </w:r>
      <w:proofErr w:type="spellStart"/>
      <w:r w:rsidRPr="00963A75">
        <w:rPr>
          <w:rFonts w:ascii="Verdana" w:hAnsi="Verdana"/>
          <w:i/>
          <w:iCs/>
          <w:sz w:val="16"/>
          <w:szCs w:val="16"/>
          <w:lang w:val="es-ES_tradnl"/>
        </w:rPr>
        <w:t>Neptune</w:t>
      </w:r>
      <w:proofErr w:type="spellEnd"/>
      <w:r w:rsidRPr="00963A75">
        <w:rPr>
          <w:rFonts w:ascii="Verdana" w:hAnsi="Verdana"/>
          <w:i/>
          <w:iCs/>
          <w:sz w:val="16"/>
          <w:szCs w:val="16"/>
          <w:lang w:val="es-ES_tradnl"/>
        </w:rPr>
        <w:t xml:space="preserve"> Vs. Haití. Fondo, Reparaciones y Costas</w:t>
      </w:r>
      <w:r w:rsidRPr="00963A75">
        <w:rPr>
          <w:rFonts w:ascii="Verdana" w:hAnsi="Verdana"/>
          <w:sz w:val="16"/>
          <w:szCs w:val="16"/>
          <w:lang w:val="es-ES_tradnl"/>
        </w:rPr>
        <w:t xml:space="preserve">. Sentencia de 6 de mayo de 2008. Serie C No. 180. Punto resolutivo 7 y 9; </w:t>
      </w:r>
      <w:r w:rsidRPr="00963A75">
        <w:rPr>
          <w:rFonts w:ascii="Verdana" w:hAnsi="Verdana"/>
          <w:i/>
          <w:iCs/>
          <w:sz w:val="16"/>
          <w:szCs w:val="16"/>
          <w:lang w:val="es-ES_tradnl"/>
        </w:rPr>
        <w:t>Caso Heliodoro Portugal Vs. Panamá. Excepciones Preliminares, Fondo, Reparaciones y Costas.</w:t>
      </w:r>
      <w:r w:rsidRPr="00963A75">
        <w:rPr>
          <w:rFonts w:ascii="Verdana" w:hAnsi="Verdana"/>
          <w:sz w:val="16"/>
          <w:szCs w:val="16"/>
          <w:lang w:val="es-ES_tradnl"/>
        </w:rPr>
        <w:t xml:space="preserve"> Sentencia de 12 de agosto de 2008. Serie C No. 186. Párr. 259; </w:t>
      </w:r>
      <w:r w:rsidRPr="00963A75">
        <w:rPr>
          <w:rFonts w:ascii="Verdana" w:hAnsi="Verdana"/>
          <w:i/>
          <w:iCs/>
          <w:sz w:val="16"/>
          <w:szCs w:val="16"/>
          <w:lang w:val="es-ES_tradnl"/>
        </w:rPr>
        <w:t>Caso Tristán Donoso Vs. Panamá. Excepción Preliminar, Fondo, Reparaciones y Costas</w:t>
      </w:r>
      <w:r w:rsidRPr="00963A75">
        <w:rPr>
          <w:rFonts w:ascii="Verdana" w:hAnsi="Verdana"/>
          <w:sz w:val="16"/>
          <w:szCs w:val="16"/>
          <w:lang w:val="es-ES_tradnl"/>
        </w:rPr>
        <w:t xml:space="preserve">. Sentencia de 27 de enero de 2009. Serie C No. 193. Párr. 193-195; </w:t>
      </w:r>
      <w:r w:rsidRPr="00963A75">
        <w:rPr>
          <w:rFonts w:ascii="Verdana" w:hAnsi="Verdana"/>
          <w:i/>
          <w:iCs/>
          <w:sz w:val="16"/>
          <w:szCs w:val="16"/>
          <w:lang w:val="es-ES_tradnl"/>
        </w:rPr>
        <w:t>Caso Artavia Murillo y otros (Fecundación in Vitro) Vs. Costa Rica. Excepciones Preliminares, Fondo, Reparaciones y Costas</w:t>
      </w:r>
      <w:r w:rsidRPr="00963A75">
        <w:rPr>
          <w:rFonts w:ascii="Verdana" w:hAnsi="Verdana"/>
          <w:sz w:val="16"/>
          <w:szCs w:val="16"/>
          <w:lang w:val="es-ES_tradnl"/>
        </w:rPr>
        <w:t xml:space="preserve">. Sentencia de 28 de noviembre de 2012. Serie C No. 257. Párr. 335-338; </w:t>
      </w:r>
      <w:r w:rsidRPr="00963A75">
        <w:rPr>
          <w:rFonts w:ascii="Verdana" w:hAnsi="Verdana"/>
          <w:i/>
          <w:iCs/>
          <w:sz w:val="16"/>
          <w:szCs w:val="16"/>
          <w:lang w:val="es-ES_tradnl"/>
        </w:rPr>
        <w:t>Caso Vicky Hernández y otras Vs. Honduras. Fondo, Reparaciones y Costas</w:t>
      </w:r>
      <w:r w:rsidRPr="00963A75">
        <w:rPr>
          <w:rFonts w:ascii="Verdana" w:hAnsi="Verdana"/>
          <w:sz w:val="16"/>
          <w:szCs w:val="16"/>
          <w:lang w:val="es-ES_tradnl"/>
        </w:rPr>
        <w:t xml:space="preserve">. Sentencia de 26 de marzo de 2021. Serie C No. 422. Párr. 173, 173 y 176; </w:t>
      </w:r>
      <w:r w:rsidRPr="00963A75">
        <w:rPr>
          <w:rFonts w:ascii="Verdana" w:hAnsi="Verdana"/>
          <w:i/>
          <w:iCs/>
          <w:sz w:val="16"/>
          <w:szCs w:val="16"/>
          <w:lang w:val="es-ES_tradnl"/>
        </w:rPr>
        <w:t>Caso Digna Ochoa y familiares Vs. México. Excepciones Preliminares, Fondo, Reparaciones y Costas</w:t>
      </w:r>
      <w:r w:rsidRPr="00963A75">
        <w:rPr>
          <w:rFonts w:ascii="Verdana" w:hAnsi="Verdana"/>
          <w:sz w:val="16"/>
          <w:szCs w:val="16"/>
          <w:lang w:val="es-ES_tradnl"/>
        </w:rPr>
        <w:t xml:space="preserve">. Sentencia de 25 de noviembre de 2021. Serie C No. 447. Párr. 176; </w:t>
      </w:r>
      <w:r w:rsidRPr="00963A75">
        <w:rPr>
          <w:rFonts w:ascii="Verdana" w:hAnsi="Verdana"/>
          <w:i/>
          <w:iCs/>
          <w:sz w:val="16"/>
          <w:szCs w:val="16"/>
          <w:lang w:val="es-ES_tradnl"/>
        </w:rPr>
        <w:t>Caso Sales Pimenta Vs. Brasil. Excepciones Preliminares, Fondo, Reparaciones y Costas</w:t>
      </w:r>
      <w:r w:rsidRPr="00963A75">
        <w:rPr>
          <w:rFonts w:ascii="Verdana" w:hAnsi="Verdana"/>
          <w:sz w:val="16"/>
          <w:szCs w:val="16"/>
          <w:lang w:val="es-ES_tradnl"/>
        </w:rPr>
        <w:t xml:space="preserve">. Sentencia de 30 de junio de 2022. Serie C No. 454. Párr. 177; </w:t>
      </w:r>
      <w:r w:rsidRPr="00963A75">
        <w:rPr>
          <w:rFonts w:ascii="Verdana" w:hAnsi="Verdana"/>
          <w:i/>
          <w:iCs/>
          <w:sz w:val="16"/>
          <w:szCs w:val="16"/>
          <w:lang w:val="es-ES_tradnl"/>
        </w:rPr>
        <w:t xml:space="preserve">Caso Leguizamón </w:t>
      </w:r>
      <w:proofErr w:type="spellStart"/>
      <w:r w:rsidRPr="00963A75">
        <w:rPr>
          <w:rFonts w:ascii="Verdana" w:hAnsi="Verdana"/>
          <w:i/>
          <w:iCs/>
          <w:sz w:val="16"/>
          <w:szCs w:val="16"/>
          <w:lang w:val="es-ES_tradnl"/>
        </w:rPr>
        <w:t>Zaván</w:t>
      </w:r>
      <w:proofErr w:type="spellEnd"/>
      <w:r w:rsidRPr="00963A75">
        <w:rPr>
          <w:rFonts w:ascii="Verdana" w:hAnsi="Verdana"/>
          <w:i/>
          <w:iCs/>
          <w:sz w:val="16"/>
          <w:szCs w:val="16"/>
          <w:lang w:val="es-ES_tradnl"/>
        </w:rPr>
        <w:t xml:space="preserve"> y otros Vs. Paraguay. Fondo, Reparaciones y Costas</w:t>
      </w:r>
      <w:r w:rsidRPr="00963A75">
        <w:rPr>
          <w:rFonts w:ascii="Verdana" w:hAnsi="Verdana"/>
          <w:sz w:val="16"/>
          <w:szCs w:val="16"/>
          <w:lang w:val="es-ES_tradnl"/>
        </w:rPr>
        <w:t xml:space="preserve">. Sentencia de 15 de noviembre de 2022. Serie C No. 473. Párr. 123; </w:t>
      </w:r>
      <w:r w:rsidRPr="00963A75">
        <w:rPr>
          <w:rFonts w:ascii="Verdana" w:hAnsi="Verdana"/>
          <w:i/>
          <w:iCs/>
          <w:sz w:val="16"/>
          <w:szCs w:val="16"/>
          <w:lang w:val="es-ES_tradnl"/>
        </w:rPr>
        <w:t>Caso Guzmán Medina y otros Vs. Colombia. Fondo, Reparaciones y Costas</w:t>
      </w:r>
      <w:r w:rsidRPr="00963A75">
        <w:rPr>
          <w:rFonts w:ascii="Verdana" w:hAnsi="Verdana"/>
          <w:sz w:val="16"/>
          <w:szCs w:val="16"/>
          <w:lang w:val="es-ES_tradnl"/>
        </w:rPr>
        <w:t xml:space="preserve">. Sentencia de 23 de agosto de 2023. Serie C No. 495. Párr. 141; </w:t>
      </w:r>
      <w:r w:rsidRPr="00963A75">
        <w:rPr>
          <w:rFonts w:ascii="Verdana" w:hAnsi="Verdana"/>
          <w:i/>
          <w:iCs/>
          <w:sz w:val="16"/>
          <w:szCs w:val="16"/>
          <w:lang w:val="es-ES_tradnl"/>
        </w:rPr>
        <w:t xml:space="preserve">Caso </w:t>
      </w:r>
      <w:proofErr w:type="spellStart"/>
      <w:r w:rsidRPr="00963A75">
        <w:rPr>
          <w:rFonts w:ascii="Verdana" w:hAnsi="Verdana"/>
          <w:i/>
          <w:iCs/>
          <w:sz w:val="16"/>
          <w:szCs w:val="16"/>
          <w:lang w:val="es-ES_tradnl"/>
        </w:rPr>
        <w:t>Baptiste</w:t>
      </w:r>
      <w:proofErr w:type="spellEnd"/>
      <w:r w:rsidRPr="00963A75">
        <w:rPr>
          <w:rFonts w:ascii="Verdana" w:hAnsi="Verdana"/>
          <w:i/>
          <w:iCs/>
          <w:sz w:val="16"/>
          <w:szCs w:val="16"/>
          <w:lang w:val="es-ES_tradnl"/>
        </w:rPr>
        <w:t xml:space="preserve"> y otros Vs. Haití. Fondo y Reparaciones</w:t>
      </w:r>
      <w:r w:rsidRPr="00963A75">
        <w:rPr>
          <w:rFonts w:ascii="Verdana" w:hAnsi="Verdana"/>
          <w:sz w:val="16"/>
          <w:szCs w:val="16"/>
          <w:lang w:val="es-ES_tradnl"/>
        </w:rPr>
        <w:t xml:space="preserve">. Sentencia de 1 de septiembre de 2023. Serie C No. 503. Párr. 113; </w:t>
      </w:r>
      <w:r w:rsidRPr="00963A75">
        <w:rPr>
          <w:rFonts w:ascii="Verdana" w:hAnsi="Verdana"/>
          <w:i/>
          <w:iCs/>
          <w:sz w:val="16"/>
          <w:szCs w:val="16"/>
          <w:lang w:val="es-ES_tradnl"/>
        </w:rPr>
        <w:t>Caso Cuéllar Sandoval y otros Vs. El Salvador. Fondo, Reparaciones y Costas</w:t>
      </w:r>
      <w:r w:rsidRPr="00963A75">
        <w:rPr>
          <w:rFonts w:ascii="Verdana" w:hAnsi="Verdana"/>
          <w:sz w:val="16"/>
          <w:szCs w:val="16"/>
          <w:lang w:val="es-ES_tradnl"/>
        </w:rPr>
        <w:t>. Sentencia de 18 de marzo de 2024. Serie C No. 521. Párr. 154 y 160.</w:t>
      </w:r>
    </w:p>
  </w:footnote>
  <w:footnote w:id="32">
    <w:p w14:paraId="314B141F"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FF6BED">
        <w:rPr>
          <w:rFonts w:ascii="Verdana" w:hAnsi="Verdana"/>
          <w:sz w:val="16"/>
          <w:szCs w:val="16"/>
          <w:lang w:val="pt-BR"/>
        </w:rPr>
        <w:t xml:space="preserve"> </w:t>
      </w:r>
      <w:r w:rsidRPr="00FF6BED">
        <w:rPr>
          <w:rFonts w:ascii="Verdana" w:hAnsi="Verdana"/>
          <w:i/>
          <w:iCs/>
          <w:sz w:val="16"/>
          <w:szCs w:val="16"/>
          <w:lang w:val="pt-BR"/>
        </w:rPr>
        <w:t xml:space="preserve">Caso Sales Pimenta Vs. Brasil. </w:t>
      </w:r>
      <w:r w:rsidRPr="00963A75">
        <w:rPr>
          <w:rFonts w:ascii="Verdana" w:hAnsi="Verdana"/>
          <w:i/>
          <w:iCs/>
          <w:sz w:val="16"/>
          <w:szCs w:val="16"/>
          <w:lang w:val="es-ES_tradnl"/>
        </w:rPr>
        <w:t>Excepciones Preliminares, Fondo, Reparaciones y Costas</w:t>
      </w:r>
      <w:r w:rsidRPr="00963A75">
        <w:rPr>
          <w:rFonts w:ascii="Verdana" w:hAnsi="Verdana"/>
          <w:sz w:val="16"/>
          <w:szCs w:val="16"/>
          <w:lang w:val="es-ES_tradnl"/>
        </w:rPr>
        <w:t>. Sentencia de 30 de junio de 2022. Serie C No. 454. Párr. 177.</w:t>
      </w:r>
    </w:p>
  </w:footnote>
  <w:footnote w:id="33">
    <w:p w14:paraId="284FC760"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 xml:space="preserve">Caso Leguizamón </w:t>
      </w:r>
      <w:proofErr w:type="spellStart"/>
      <w:r w:rsidRPr="00963A75">
        <w:rPr>
          <w:rFonts w:ascii="Verdana" w:hAnsi="Verdana"/>
          <w:i/>
          <w:iCs/>
          <w:sz w:val="16"/>
          <w:szCs w:val="16"/>
          <w:lang w:val="es-ES_tradnl"/>
        </w:rPr>
        <w:t>Zaván</w:t>
      </w:r>
      <w:proofErr w:type="spellEnd"/>
      <w:r w:rsidRPr="00963A75">
        <w:rPr>
          <w:rFonts w:ascii="Verdana" w:hAnsi="Verdana"/>
          <w:i/>
          <w:iCs/>
          <w:sz w:val="16"/>
          <w:szCs w:val="16"/>
          <w:lang w:val="es-ES_tradnl"/>
        </w:rPr>
        <w:t xml:space="preserve"> y otros Vs. Paraguay. Fondo, Reparaciones y Costas</w:t>
      </w:r>
      <w:r w:rsidRPr="00963A75">
        <w:rPr>
          <w:rFonts w:ascii="Verdana" w:hAnsi="Verdana"/>
          <w:sz w:val="16"/>
          <w:szCs w:val="16"/>
          <w:lang w:val="es-ES_tradnl"/>
        </w:rPr>
        <w:t>. Sentencia de 15 de noviembre de 2022. Serie C No. 473. Párr. 123.</w:t>
      </w:r>
    </w:p>
  </w:footnote>
  <w:footnote w:id="34">
    <w:p w14:paraId="17A066C0"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Caso Guzmán Medina y otros Vs. Colombia. Fondo, Reparaciones y Costas</w:t>
      </w:r>
      <w:r w:rsidRPr="00963A75">
        <w:rPr>
          <w:rFonts w:ascii="Verdana" w:hAnsi="Verdana"/>
          <w:sz w:val="16"/>
          <w:szCs w:val="16"/>
          <w:lang w:val="es-ES_tradnl"/>
        </w:rPr>
        <w:t>. Sentencia de 23 de agosto de 2023. Serie C No. 495. Párr. 141.</w:t>
      </w:r>
    </w:p>
  </w:footnote>
  <w:footnote w:id="35">
    <w:p w14:paraId="7F92820D"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 xml:space="preserve">Caso </w:t>
      </w:r>
      <w:proofErr w:type="spellStart"/>
      <w:r w:rsidRPr="00963A75">
        <w:rPr>
          <w:rFonts w:ascii="Verdana" w:hAnsi="Verdana"/>
          <w:i/>
          <w:iCs/>
          <w:sz w:val="16"/>
          <w:szCs w:val="16"/>
          <w:lang w:val="es-ES_tradnl"/>
        </w:rPr>
        <w:t>Baptiste</w:t>
      </w:r>
      <w:proofErr w:type="spellEnd"/>
      <w:r w:rsidRPr="00963A75">
        <w:rPr>
          <w:rFonts w:ascii="Verdana" w:hAnsi="Verdana"/>
          <w:i/>
          <w:iCs/>
          <w:sz w:val="16"/>
          <w:szCs w:val="16"/>
          <w:lang w:val="es-ES_tradnl"/>
        </w:rPr>
        <w:t xml:space="preserve"> y otros Vs. Haití. Fondo y Reparaciones</w:t>
      </w:r>
      <w:r w:rsidRPr="00963A75">
        <w:rPr>
          <w:rFonts w:ascii="Verdana" w:hAnsi="Verdana"/>
          <w:sz w:val="16"/>
          <w:szCs w:val="16"/>
          <w:lang w:val="es-ES_tradnl"/>
        </w:rPr>
        <w:t>. Sentencia de 1 de septiembre de 2023. Serie C No. 503. Párr. 113.</w:t>
      </w:r>
    </w:p>
  </w:footnote>
  <w:footnote w:id="36">
    <w:p w14:paraId="329436AB"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Caso Cuéllar Sandoval y otros Vs. El Salvador. Fondo, Reparaciones y Costas</w:t>
      </w:r>
      <w:r w:rsidRPr="00963A75">
        <w:rPr>
          <w:rFonts w:ascii="Verdana" w:hAnsi="Verdana"/>
          <w:sz w:val="16"/>
          <w:szCs w:val="16"/>
          <w:lang w:val="es-ES_tradnl"/>
        </w:rPr>
        <w:t>. Sentencia de 18 de marzo de 2024. Serie C No. 521. Párr. 154 y 160.</w:t>
      </w:r>
    </w:p>
  </w:footnote>
  <w:footnote w:id="37">
    <w:p w14:paraId="7B020107"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 xml:space="preserve">Cfr. </w:t>
      </w:r>
      <w:r w:rsidRPr="00963A75">
        <w:rPr>
          <w:rFonts w:ascii="Verdana" w:hAnsi="Verdana"/>
          <w:sz w:val="16"/>
          <w:szCs w:val="16"/>
          <w:lang w:val="es-ES_tradnl"/>
        </w:rPr>
        <w:t>Párr. 191.</w:t>
      </w:r>
    </w:p>
  </w:footnote>
  <w:footnote w:id="38">
    <w:p w14:paraId="16EE719E"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 xml:space="preserve">Cfr. </w:t>
      </w:r>
      <w:r w:rsidRPr="00963A75">
        <w:rPr>
          <w:rFonts w:ascii="Verdana" w:hAnsi="Verdana"/>
          <w:sz w:val="16"/>
          <w:szCs w:val="16"/>
          <w:lang w:val="es-ES_tradnl"/>
        </w:rPr>
        <w:t>Párr. 192.</w:t>
      </w:r>
    </w:p>
  </w:footnote>
  <w:footnote w:id="39">
    <w:p w14:paraId="5489687A"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 xml:space="preserve">Cfr. </w:t>
      </w:r>
      <w:r w:rsidRPr="00963A75">
        <w:rPr>
          <w:rFonts w:ascii="Verdana" w:hAnsi="Verdana"/>
          <w:sz w:val="16"/>
          <w:szCs w:val="16"/>
          <w:lang w:val="es-ES_tradnl"/>
        </w:rPr>
        <w:t>Párr. 193.</w:t>
      </w:r>
    </w:p>
  </w:footnote>
  <w:footnote w:id="40">
    <w:p w14:paraId="367A055C"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rPr>
        <w:t xml:space="preserve"> </w:t>
      </w:r>
      <w:r w:rsidRPr="00963A75">
        <w:rPr>
          <w:rFonts w:ascii="Verdana" w:hAnsi="Verdana"/>
          <w:i/>
          <w:iCs/>
          <w:sz w:val="16"/>
          <w:szCs w:val="16"/>
          <w:lang w:val="es-ES_tradnl"/>
        </w:rPr>
        <w:t xml:space="preserve">Cfr. </w:t>
      </w:r>
      <w:r w:rsidRPr="00963A75">
        <w:rPr>
          <w:rFonts w:ascii="Verdana" w:hAnsi="Verdana"/>
          <w:sz w:val="16"/>
          <w:szCs w:val="16"/>
          <w:lang w:val="es-ES_tradnl"/>
        </w:rPr>
        <w:t>Punto resolutivo 13.</w:t>
      </w:r>
    </w:p>
  </w:footnote>
  <w:footnote w:id="41">
    <w:p w14:paraId="022C69A0" w14:textId="77777777" w:rsidR="00224C09" w:rsidRPr="00963A75" w:rsidRDefault="00224C09" w:rsidP="00963A75">
      <w:pPr>
        <w:pStyle w:val="FootnoteText"/>
        <w:jc w:val="both"/>
        <w:rPr>
          <w:rFonts w:ascii="Verdana" w:hAnsi="Verdana"/>
          <w:sz w:val="16"/>
          <w:szCs w:val="16"/>
          <w:lang w:val="en-US"/>
        </w:rPr>
      </w:pPr>
      <w:r w:rsidRPr="00963A75">
        <w:rPr>
          <w:rStyle w:val="FootnoteReference"/>
          <w:rFonts w:ascii="Verdana" w:hAnsi="Verdana"/>
          <w:sz w:val="16"/>
          <w:szCs w:val="16"/>
        </w:rPr>
        <w:footnoteRef/>
      </w:r>
      <w:r w:rsidRPr="00963A75">
        <w:rPr>
          <w:rFonts w:ascii="Verdana" w:hAnsi="Verdana"/>
          <w:sz w:val="16"/>
          <w:szCs w:val="16"/>
        </w:rPr>
        <w:t xml:space="preserve"> </w:t>
      </w:r>
      <w:proofErr w:type="spellStart"/>
      <w:r w:rsidRPr="00963A75">
        <w:rPr>
          <w:rFonts w:ascii="Verdana" w:hAnsi="Verdana"/>
          <w:sz w:val="16"/>
          <w:szCs w:val="16"/>
        </w:rPr>
        <w:t>Hennebel</w:t>
      </w:r>
      <w:proofErr w:type="spellEnd"/>
      <w:r w:rsidRPr="00963A75">
        <w:rPr>
          <w:rFonts w:ascii="Verdana" w:hAnsi="Verdana"/>
          <w:sz w:val="16"/>
          <w:szCs w:val="16"/>
        </w:rPr>
        <w:t xml:space="preserve">, L. y </w:t>
      </w:r>
      <w:proofErr w:type="spellStart"/>
      <w:r w:rsidRPr="00963A75">
        <w:rPr>
          <w:rFonts w:ascii="Verdana" w:hAnsi="Verdana"/>
          <w:sz w:val="16"/>
          <w:szCs w:val="16"/>
        </w:rPr>
        <w:t>Tigroudja</w:t>
      </w:r>
      <w:proofErr w:type="spellEnd"/>
      <w:r w:rsidRPr="00963A75">
        <w:rPr>
          <w:rFonts w:ascii="Verdana" w:hAnsi="Verdana"/>
          <w:sz w:val="16"/>
          <w:szCs w:val="16"/>
        </w:rPr>
        <w:t xml:space="preserve">, H. (2022). </w:t>
      </w:r>
      <w:r w:rsidRPr="00963A75">
        <w:rPr>
          <w:rFonts w:ascii="Verdana" w:hAnsi="Verdana"/>
          <w:sz w:val="16"/>
          <w:szCs w:val="16"/>
          <w:lang w:val="en-US"/>
        </w:rPr>
        <w:t xml:space="preserve">The American Convention on Human Rights: A Commentary. </w:t>
      </w:r>
      <w:r w:rsidRPr="00963A75">
        <w:rPr>
          <w:rFonts w:ascii="Verdana" w:hAnsi="Verdana"/>
          <w:i/>
          <w:iCs/>
          <w:sz w:val="16"/>
          <w:szCs w:val="16"/>
          <w:lang w:val="en-US"/>
        </w:rPr>
        <w:t>Oxford University Press</w:t>
      </w:r>
      <w:r w:rsidRPr="00963A75">
        <w:rPr>
          <w:rFonts w:ascii="Verdana" w:hAnsi="Verdana"/>
          <w:sz w:val="16"/>
          <w:szCs w:val="16"/>
          <w:lang w:val="en-US"/>
        </w:rPr>
        <w:t>: 1370.</w:t>
      </w:r>
    </w:p>
  </w:footnote>
  <w:footnote w:id="42">
    <w:p w14:paraId="7CDCD25F" w14:textId="77777777" w:rsidR="00224C09" w:rsidRPr="00963A75" w:rsidRDefault="00224C09" w:rsidP="00963A75">
      <w:pPr>
        <w:pStyle w:val="FootnoteText"/>
        <w:jc w:val="both"/>
        <w:rPr>
          <w:rFonts w:ascii="Verdana" w:hAnsi="Verdana"/>
          <w:sz w:val="16"/>
          <w:szCs w:val="16"/>
          <w:lang w:val="en-US"/>
        </w:rPr>
      </w:pPr>
      <w:r w:rsidRPr="00963A75">
        <w:rPr>
          <w:rStyle w:val="FootnoteReference"/>
          <w:rFonts w:ascii="Verdana" w:hAnsi="Verdana"/>
          <w:sz w:val="16"/>
          <w:szCs w:val="16"/>
        </w:rPr>
        <w:footnoteRef/>
      </w:r>
      <w:r w:rsidRPr="00994D1C">
        <w:rPr>
          <w:rFonts w:ascii="Verdana" w:hAnsi="Verdana"/>
          <w:sz w:val="16"/>
          <w:szCs w:val="16"/>
          <w:lang w:val="en-US"/>
        </w:rPr>
        <w:t xml:space="preserve"> </w:t>
      </w:r>
      <w:proofErr w:type="spellStart"/>
      <w:r w:rsidRPr="00994D1C">
        <w:rPr>
          <w:rFonts w:ascii="Verdana" w:hAnsi="Verdana"/>
          <w:sz w:val="16"/>
          <w:szCs w:val="16"/>
          <w:lang w:val="en-US"/>
        </w:rPr>
        <w:t>Hennebel</w:t>
      </w:r>
      <w:proofErr w:type="spellEnd"/>
      <w:r w:rsidRPr="00994D1C">
        <w:rPr>
          <w:rFonts w:ascii="Verdana" w:hAnsi="Verdana"/>
          <w:sz w:val="16"/>
          <w:szCs w:val="16"/>
          <w:lang w:val="en-US"/>
        </w:rPr>
        <w:t xml:space="preserve">, L. y </w:t>
      </w:r>
      <w:proofErr w:type="spellStart"/>
      <w:r w:rsidRPr="00994D1C">
        <w:rPr>
          <w:rFonts w:ascii="Verdana" w:hAnsi="Verdana"/>
          <w:sz w:val="16"/>
          <w:szCs w:val="16"/>
          <w:lang w:val="en-US"/>
        </w:rPr>
        <w:t>Tigroudja</w:t>
      </w:r>
      <w:proofErr w:type="spellEnd"/>
      <w:r w:rsidRPr="00994D1C">
        <w:rPr>
          <w:rFonts w:ascii="Verdana" w:hAnsi="Verdana"/>
          <w:sz w:val="16"/>
          <w:szCs w:val="16"/>
          <w:lang w:val="en-US"/>
        </w:rPr>
        <w:t xml:space="preserve">, H. (2022). </w:t>
      </w:r>
      <w:r w:rsidRPr="00963A75">
        <w:rPr>
          <w:rFonts w:ascii="Verdana" w:hAnsi="Verdana"/>
          <w:sz w:val="16"/>
          <w:szCs w:val="16"/>
          <w:lang w:val="en-US"/>
        </w:rPr>
        <w:t xml:space="preserve">The American Convention on Human Rights: A Commentary. </w:t>
      </w:r>
      <w:r w:rsidRPr="00963A75">
        <w:rPr>
          <w:rFonts w:ascii="Verdana" w:hAnsi="Verdana"/>
          <w:i/>
          <w:iCs/>
          <w:sz w:val="16"/>
          <w:szCs w:val="16"/>
          <w:lang w:val="en-US"/>
        </w:rPr>
        <w:t>Oxford University Press</w:t>
      </w:r>
      <w:r w:rsidRPr="00963A75">
        <w:rPr>
          <w:rFonts w:ascii="Verdana" w:hAnsi="Verdana"/>
          <w:sz w:val="16"/>
          <w:szCs w:val="16"/>
          <w:lang w:val="en-US"/>
        </w:rPr>
        <w:t>: 1371-1372.</w:t>
      </w:r>
    </w:p>
  </w:footnote>
  <w:footnote w:id="43">
    <w:p w14:paraId="3E7F9002" w14:textId="77777777" w:rsidR="00224C09" w:rsidRPr="00963A75" w:rsidRDefault="00224C09" w:rsidP="00963A75">
      <w:pPr>
        <w:pStyle w:val="FootnoteText"/>
        <w:jc w:val="both"/>
        <w:rPr>
          <w:rFonts w:ascii="Verdana" w:hAnsi="Verdana"/>
          <w:sz w:val="16"/>
          <w:szCs w:val="16"/>
          <w:lang w:val="en-US"/>
        </w:rPr>
      </w:pPr>
      <w:r w:rsidRPr="00963A75">
        <w:rPr>
          <w:rStyle w:val="FootnoteReference"/>
          <w:rFonts w:ascii="Verdana" w:hAnsi="Verdana"/>
          <w:sz w:val="16"/>
          <w:szCs w:val="16"/>
        </w:rPr>
        <w:footnoteRef/>
      </w:r>
      <w:r w:rsidRPr="00963A75">
        <w:rPr>
          <w:rFonts w:ascii="Verdana" w:hAnsi="Verdana"/>
          <w:sz w:val="16"/>
          <w:szCs w:val="16"/>
          <w:lang w:val="en-US"/>
        </w:rPr>
        <w:t xml:space="preserve"> </w:t>
      </w:r>
      <w:proofErr w:type="spellStart"/>
      <w:r w:rsidRPr="00963A75">
        <w:rPr>
          <w:rFonts w:ascii="Verdana" w:hAnsi="Verdana"/>
          <w:sz w:val="16"/>
          <w:szCs w:val="16"/>
          <w:lang w:val="en-US"/>
        </w:rPr>
        <w:t>Hennebel</w:t>
      </w:r>
      <w:proofErr w:type="spellEnd"/>
      <w:r w:rsidRPr="00963A75">
        <w:rPr>
          <w:rFonts w:ascii="Verdana" w:hAnsi="Verdana"/>
          <w:sz w:val="16"/>
          <w:szCs w:val="16"/>
          <w:lang w:val="en-US"/>
        </w:rPr>
        <w:t xml:space="preserve">, L. y </w:t>
      </w:r>
      <w:proofErr w:type="spellStart"/>
      <w:r w:rsidRPr="00963A75">
        <w:rPr>
          <w:rFonts w:ascii="Verdana" w:hAnsi="Verdana"/>
          <w:sz w:val="16"/>
          <w:szCs w:val="16"/>
          <w:lang w:val="en-US"/>
        </w:rPr>
        <w:t>Tigroudja</w:t>
      </w:r>
      <w:proofErr w:type="spellEnd"/>
      <w:r w:rsidRPr="00963A75">
        <w:rPr>
          <w:rFonts w:ascii="Verdana" w:hAnsi="Verdana"/>
          <w:sz w:val="16"/>
          <w:szCs w:val="16"/>
          <w:lang w:val="en-US"/>
        </w:rPr>
        <w:t xml:space="preserve">, H. (2022). The American Convention on Human Rights: A Commentary. </w:t>
      </w:r>
      <w:r w:rsidRPr="00963A75">
        <w:rPr>
          <w:rFonts w:ascii="Verdana" w:hAnsi="Verdana"/>
          <w:i/>
          <w:iCs/>
          <w:sz w:val="16"/>
          <w:szCs w:val="16"/>
          <w:lang w:val="en-US"/>
        </w:rPr>
        <w:t>Oxford University Press</w:t>
      </w:r>
      <w:r w:rsidRPr="00963A75">
        <w:rPr>
          <w:rFonts w:ascii="Verdana" w:hAnsi="Verdana"/>
          <w:sz w:val="16"/>
          <w:szCs w:val="16"/>
          <w:lang w:val="en-US"/>
        </w:rPr>
        <w:t>: 1372.</w:t>
      </w:r>
    </w:p>
  </w:footnote>
  <w:footnote w:id="44">
    <w:p w14:paraId="3EC4731F" w14:textId="77777777" w:rsidR="00224C09" w:rsidRPr="00963A75" w:rsidRDefault="00224C09" w:rsidP="00963A75">
      <w:pPr>
        <w:pStyle w:val="FootnoteText"/>
        <w:jc w:val="both"/>
        <w:rPr>
          <w:rFonts w:ascii="Verdana" w:hAnsi="Verdana"/>
          <w:sz w:val="16"/>
          <w:szCs w:val="16"/>
          <w:lang w:val="en-US"/>
        </w:rPr>
      </w:pPr>
      <w:r w:rsidRPr="00963A75">
        <w:rPr>
          <w:rStyle w:val="FootnoteReference"/>
          <w:rFonts w:ascii="Verdana" w:hAnsi="Verdana"/>
          <w:sz w:val="16"/>
          <w:szCs w:val="16"/>
        </w:rPr>
        <w:footnoteRef/>
      </w:r>
      <w:r w:rsidRPr="00963A75">
        <w:rPr>
          <w:rFonts w:ascii="Verdana" w:hAnsi="Verdana"/>
          <w:sz w:val="16"/>
          <w:szCs w:val="16"/>
          <w:lang w:val="en-US"/>
        </w:rPr>
        <w:t xml:space="preserve"> </w:t>
      </w:r>
      <w:proofErr w:type="spellStart"/>
      <w:r w:rsidRPr="00963A75">
        <w:rPr>
          <w:rFonts w:ascii="Verdana" w:hAnsi="Verdana"/>
          <w:sz w:val="16"/>
          <w:szCs w:val="16"/>
          <w:lang w:val="en-US"/>
        </w:rPr>
        <w:t>Hennebel</w:t>
      </w:r>
      <w:proofErr w:type="spellEnd"/>
      <w:r w:rsidRPr="00963A75">
        <w:rPr>
          <w:rFonts w:ascii="Verdana" w:hAnsi="Verdana"/>
          <w:sz w:val="16"/>
          <w:szCs w:val="16"/>
          <w:lang w:val="en-US"/>
        </w:rPr>
        <w:t xml:space="preserve">, L. y </w:t>
      </w:r>
      <w:proofErr w:type="spellStart"/>
      <w:r w:rsidRPr="00963A75">
        <w:rPr>
          <w:rFonts w:ascii="Verdana" w:hAnsi="Verdana"/>
          <w:sz w:val="16"/>
          <w:szCs w:val="16"/>
          <w:lang w:val="en-US"/>
        </w:rPr>
        <w:t>Tigroudja</w:t>
      </w:r>
      <w:proofErr w:type="spellEnd"/>
      <w:r w:rsidRPr="00963A75">
        <w:rPr>
          <w:rFonts w:ascii="Verdana" w:hAnsi="Verdana"/>
          <w:sz w:val="16"/>
          <w:szCs w:val="16"/>
          <w:lang w:val="en-US"/>
        </w:rPr>
        <w:t xml:space="preserve">, H. (2022). The American Convention on Human Rights: A Commentary. </w:t>
      </w:r>
      <w:r w:rsidRPr="00963A75">
        <w:rPr>
          <w:rFonts w:ascii="Verdana" w:hAnsi="Verdana"/>
          <w:i/>
          <w:iCs/>
          <w:sz w:val="16"/>
          <w:szCs w:val="16"/>
          <w:lang w:val="en-US"/>
        </w:rPr>
        <w:t>Oxford University Press</w:t>
      </w:r>
      <w:r w:rsidRPr="00963A75">
        <w:rPr>
          <w:rFonts w:ascii="Verdana" w:hAnsi="Verdana"/>
          <w:sz w:val="16"/>
          <w:szCs w:val="16"/>
          <w:lang w:val="en-US"/>
        </w:rPr>
        <w:t>: 1372.</w:t>
      </w:r>
    </w:p>
  </w:footnote>
  <w:footnote w:id="45">
    <w:p w14:paraId="1181304D" w14:textId="77777777" w:rsidR="00224C09" w:rsidRPr="00963A75" w:rsidRDefault="00224C09" w:rsidP="00963A75">
      <w:pPr>
        <w:pStyle w:val="FootnoteText"/>
        <w:jc w:val="both"/>
        <w:rPr>
          <w:rFonts w:ascii="Verdana" w:hAnsi="Verdana"/>
          <w:sz w:val="16"/>
          <w:szCs w:val="16"/>
          <w:lang w:val="en-US"/>
        </w:rPr>
      </w:pPr>
      <w:r w:rsidRPr="00963A75">
        <w:rPr>
          <w:rStyle w:val="FootnoteReference"/>
          <w:rFonts w:ascii="Verdana" w:hAnsi="Verdana"/>
          <w:sz w:val="16"/>
          <w:szCs w:val="16"/>
        </w:rPr>
        <w:footnoteRef/>
      </w:r>
      <w:r w:rsidRPr="00963A75">
        <w:rPr>
          <w:rFonts w:ascii="Verdana" w:hAnsi="Verdana"/>
          <w:sz w:val="16"/>
          <w:szCs w:val="16"/>
          <w:lang w:val="en-US"/>
        </w:rPr>
        <w:t xml:space="preserve"> </w:t>
      </w:r>
      <w:proofErr w:type="spellStart"/>
      <w:r w:rsidRPr="00963A75">
        <w:rPr>
          <w:rFonts w:ascii="Verdana" w:hAnsi="Verdana"/>
          <w:sz w:val="16"/>
          <w:szCs w:val="16"/>
          <w:lang w:val="en-US"/>
        </w:rPr>
        <w:t>Hennebel</w:t>
      </w:r>
      <w:proofErr w:type="spellEnd"/>
      <w:r w:rsidRPr="00963A75">
        <w:rPr>
          <w:rFonts w:ascii="Verdana" w:hAnsi="Verdana"/>
          <w:sz w:val="16"/>
          <w:szCs w:val="16"/>
          <w:lang w:val="en-US"/>
        </w:rPr>
        <w:t xml:space="preserve">, L. y </w:t>
      </w:r>
      <w:proofErr w:type="spellStart"/>
      <w:r w:rsidRPr="00963A75">
        <w:rPr>
          <w:rFonts w:ascii="Verdana" w:hAnsi="Verdana"/>
          <w:sz w:val="16"/>
          <w:szCs w:val="16"/>
          <w:lang w:val="en-US"/>
        </w:rPr>
        <w:t>Tigroudja</w:t>
      </w:r>
      <w:proofErr w:type="spellEnd"/>
      <w:r w:rsidRPr="00963A75">
        <w:rPr>
          <w:rFonts w:ascii="Verdana" w:hAnsi="Verdana"/>
          <w:sz w:val="16"/>
          <w:szCs w:val="16"/>
          <w:lang w:val="en-US"/>
        </w:rPr>
        <w:t xml:space="preserve">, H. (2022). The American Convention on Human Rights: A Commentary. </w:t>
      </w:r>
      <w:r w:rsidRPr="00963A75">
        <w:rPr>
          <w:rFonts w:ascii="Verdana" w:hAnsi="Verdana"/>
          <w:i/>
          <w:iCs/>
          <w:sz w:val="16"/>
          <w:szCs w:val="16"/>
          <w:lang w:val="en-US"/>
        </w:rPr>
        <w:t>Oxford University Press</w:t>
      </w:r>
      <w:r w:rsidRPr="00963A75">
        <w:rPr>
          <w:rFonts w:ascii="Verdana" w:hAnsi="Verdana"/>
          <w:sz w:val="16"/>
          <w:szCs w:val="16"/>
          <w:lang w:val="en-US"/>
        </w:rPr>
        <w:t>: 1375.</w:t>
      </w:r>
    </w:p>
  </w:footnote>
  <w:footnote w:id="46">
    <w:p w14:paraId="2426AAC1" w14:textId="77777777" w:rsidR="00224C09" w:rsidRPr="00963A75" w:rsidRDefault="00224C09" w:rsidP="00963A75">
      <w:pPr>
        <w:pStyle w:val="FootnoteText"/>
        <w:jc w:val="both"/>
        <w:rPr>
          <w:rFonts w:ascii="Verdana" w:hAnsi="Verdana"/>
          <w:sz w:val="16"/>
          <w:szCs w:val="16"/>
          <w:lang w:val="es-ES_tradnl"/>
        </w:rPr>
      </w:pPr>
      <w:r w:rsidRPr="00963A75">
        <w:rPr>
          <w:rStyle w:val="FootnoteReference"/>
          <w:rFonts w:ascii="Verdana" w:hAnsi="Verdana"/>
          <w:sz w:val="16"/>
          <w:szCs w:val="16"/>
        </w:rPr>
        <w:footnoteRef/>
      </w:r>
      <w:r w:rsidRPr="00963A75">
        <w:rPr>
          <w:rFonts w:ascii="Verdana" w:hAnsi="Verdana"/>
          <w:sz w:val="16"/>
          <w:szCs w:val="16"/>
          <w:lang w:val="en-US"/>
        </w:rPr>
        <w:t xml:space="preserve"> </w:t>
      </w:r>
      <w:proofErr w:type="spellStart"/>
      <w:r w:rsidRPr="00963A75">
        <w:rPr>
          <w:rFonts w:ascii="Verdana" w:hAnsi="Verdana"/>
          <w:sz w:val="16"/>
          <w:szCs w:val="16"/>
          <w:lang w:val="en-US"/>
        </w:rPr>
        <w:t>Hennebel</w:t>
      </w:r>
      <w:proofErr w:type="spellEnd"/>
      <w:r w:rsidRPr="00963A75">
        <w:rPr>
          <w:rFonts w:ascii="Verdana" w:hAnsi="Verdana"/>
          <w:sz w:val="16"/>
          <w:szCs w:val="16"/>
          <w:lang w:val="en-US"/>
        </w:rPr>
        <w:t xml:space="preserve">, L. y </w:t>
      </w:r>
      <w:proofErr w:type="spellStart"/>
      <w:r w:rsidRPr="00963A75">
        <w:rPr>
          <w:rFonts w:ascii="Verdana" w:hAnsi="Verdana"/>
          <w:sz w:val="16"/>
          <w:szCs w:val="16"/>
          <w:lang w:val="en-US"/>
        </w:rPr>
        <w:t>Tigroudja</w:t>
      </w:r>
      <w:proofErr w:type="spellEnd"/>
      <w:r w:rsidRPr="00963A75">
        <w:rPr>
          <w:rFonts w:ascii="Verdana" w:hAnsi="Verdana"/>
          <w:sz w:val="16"/>
          <w:szCs w:val="16"/>
          <w:lang w:val="en-US"/>
        </w:rPr>
        <w:t xml:space="preserve">, H. (2022). The American Convention on Human Rights: A Commentary. </w:t>
      </w:r>
      <w:r w:rsidRPr="00963A75">
        <w:rPr>
          <w:rFonts w:ascii="Verdana" w:hAnsi="Verdana"/>
          <w:i/>
          <w:iCs/>
          <w:sz w:val="16"/>
          <w:szCs w:val="16"/>
          <w:lang w:val="en-US"/>
        </w:rPr>
        <w:t>Oxford University Press</w:t>
      </w:r>
      <w:r w:rsidRPr="00963A75">
        <w:rPr>
          <w:rFonts w:ascii="Verdana" w:hAnsi="Verdana"/>
          <w:sz w:val="16"/>
          <w:szCs w:val="16"/>
          <w:lang w:val="en-US"/>
        </w:rPr>
        <w:t>: 1375.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F0CD7"/>
    <w:multiLevelType w:val="hybridMultilevel"/>
    <w:tmpl w:val="EF4010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8B8308D"/>
    <w:multiLevelType w:val="hybridMultilevel"/>
    <w:tmpl w:val="A7C6076A"/>
    <w:lvl w:ilvl="0" w:tplc="B8926ED0">
      <w:start w:val="7"/>
      <w:numFmt w:val="bullet"/>
      <w:lvlText w:val=""/>
      <w:lvlJc w:val="left"/>
      <w:pPr>
        <w:ind w:left="720" w:hanging="360"/>
      </w:pPr>
      <w:rPr>
        <w:rFonts w:ascii="Symbol" w:eastAsiaTheme="minorHAnsi" w:hAnsi="Symbol" w:cs="Aria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D030E58"/>
    <w:multiLevelType w:val="hybridMultilevel"/>
    <w:tmpl w:val="BA469D92"/>
    <w:lvl w:ilvl="0" w:tplc="6C8A58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A612744"/>
    <w:multiLevelType w:val="hybridMultilevel"/>
    <w:tmpl w:val="CE1E0E1E"/>
    <w:lvl w:ilvl="0" w:tplc="A5CC144A">
      <w:start w:val="31"/>
      <w:numFmt w:val="bullet"/>
      <w:lvlText w:val=""/>
      <w:lvlJc w:val="left"/>
      <w:pPr>
        <w:ind w:left="1080" w:hanging="360"/>
      </w:pPr>
      <w:rPr>
        <w:rFonts w:ascii="Symbol" w:eastAsiaTheme="minorHAnsi" w:hAnsi="Symbol" w:cs="Arial" w:hint="default"/>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190849497">
    <w:abstractNumId w:val="2"/>
  </w:num>
  <w:num w:numId="2" w16cid:durableId="1194542107">
    <w:abstractNumId w:val="0"/>
  </w:num>
  <w:num w:numId="3" w16cid:durableId="1721854148">
    <w:abstractNumId w:val="3"/>
  </w:num>
  <w:num w:numId="4" w16cid:durableId="1289316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C09"/>
    <w:rsid w:val="000A70AB"/>
    <w:rsid w:val="00185CF4"/>
    <w:rsid w:val="001C02A6"/>
    <w:rsid w:val="00224C09"/>
    <w:rsid w:val="002D6D26"/>
    <w:rsid w:val="003719BF"/>
    <w:rsid w:val="003B4FC7"/>
    <w:rsid w:val="003C07AB"/>
    <w:rsid w:val="003F582F"/>
    <w:rsid w:val="004669D1"/>
    <w:rsid w:val="004A092D"/>
    <w:rsid w:val="00551928"/>
    <w:rsid w:val="00655C86"/>
    <w:rsid w:val="00747A41"/>
    <w:rsid w:val="00810D35"/>
    <w:rsid w:val="00862B3F"/>
    <w:rsid w:val="00880DD8"/>
    <w:rsid w:val="008959A8"/>
    <w:rsid w:val="009B426E"/>
    <w:rsid w:val="009C79FB"/>
    <w:rsid w:val="00A07639"/>
    <w:rsid w:val="00A579DB"/>
    <w:rsid w:val="00A87CD8"/>
    <w:rsid w:val="00AF3682"/>
    <w:rsid w:val="00B6610E"/>
    <w:rsid w:val="00B93727"/>
    <w:rsid w:val="00C54A55"/>
    <w:rsid w:val="00C7733F"/>
    <w:rsid w:val="00CC316A"/>
    <w:rsid w:val="00CD5A26"/>
    <w:rsid w:val="00CE57CE"/>
    <w:rsid w:val="00D17F0F"/>
    <w:rsid w:val="00DD32E6"/>
    <w:rsid w:val="00E04862"/>
    <w:rsid w:val="00E110CA"/>
    <w:rsid w:val="00E4568F"/>
    <w:rsid w:val="00E511AF"/>
    <w:rsid w:val="00F42687"/>
    <w:rsid w:val="00FF6BE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42FD4"/>
  <w15:chartTrackingRefBased/>
  <w15:docId w15:val="{AC7AA703-6C79-3148-B9EA-87242346D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C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C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C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C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C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C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C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C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C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C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C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C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C09"/>
    <w:rPr>
      <w:rFonts w:eastAsiaTheme="majorEastAsia" w:cstheme="majorBidi"/>
      <w:color w:val="272727" w:themeColor="text1" w:themeTint="D8"/>
    </w:rPr>
  </w:style>
  <w:style w:type="paragraph" w:styleId="Title">
    <w:name w:val="Title"/>
    <w:basedOn w:val="Normal"/>
    <w:next w:val="Normal"/>
    <w:link w:val="TitleChar"/>
    <w:uiPriority w:val="10"/>
    <w:qFormat/>
    <w:rsid w:val="00224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C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C09"/>
    <w:pPr>
      <w:spacing w:before="160"/>
      <w:jc w:val="center"/>
    </w:pPr>
    <w:rPr>
      <w:i/>
      <w:iCs/>
      <w:color w:val="404040" w:themeColor="text1" w:themeTint="BF"/>
    </w:rPr>
  </w:style>
  <w:style w:type="character" w:customStyle="1" w:styleId="QuoteChar">
    <w:name w:val="Quote Char"/>
    <w:basedOn w:val="DefaultParagraphFont"/>
    <w:link w:val="Quote"/>
    <w:uiPriority w:val="29"/>
    <w:rsid w:val="00224C09"/>
    <w:rPr>
      <w:i/>
      <w:iCs/>
      <w:color w:val="404040" w:themeColor="text1" w:themeTint="BF"/>
    </w:rPr>
  </w:style>
  <w:style w:type="paragraph" w:styleId="ListParagraph">
    <w:name w:val="List Paragraph"/>
    <w:aliases w:val="List Paragraph1,Colorful List - Accent 11,Párrafo de lista1,List Paragraph2,Lista vistosa - Énfasis 11,Subtle Emphasis1,Footnote1,Parrafos,List Paragraph11"/>
    <w:basedOn w:val="Normal"/>
    <w:link w:val="ListParagraphChar"/>
    <w:uiPriority w:val="34"/>
    <w:qFormat/>
    <w:rsid w:val="00224C09"/>
    <w:pPr>
      <w:ind w:left="720"/>
      <w:contextualSpacing/>
    </w:pPr>
  </w:style>
  <w:style w:type="character" w:styleId="IntenseEmphasis">
    <w:name w:val="Intense Emphasis"/>
    <w:basedOn w:val="DefaultParagraphFont"/>
    <w:uiPriority w:val="21"/>
    <w:qFormat/>
    <w:rsid w:val="00224C09"/>
    <w:rPr>
      <w:i/>
      <w:iCs/>
      <w:color w:val="0F4761" w:themeColor="accent1" w:themeShade="BF"/>
    </w:rPr>
  </w:style>
  <w:style w:type="paragraph" w:styleId="IntenseQuote">
    <w:name w:val="Intense Quote"/>
    <w:basedOn w:val="Normal"/>
    <w:next w:val="Normal"/>
    <w:link w:val="IntenseQuoteChar"/>
    <w:uiPriority w:val="30"/>
    <w:qFormat/>
    <w:rsid w:val="00224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C09"/>
    <w:rPr>
      <w:i/>
      <w:iCs/>
      <w:color w:val="0F4761" w:themeColor="accent1" w:themeShade="BF"/>
    </w:rPr>
  </w:style>
  <w:style w:type="character" w:styleId="IntenseReference">
    <w:name w:val="Intense Reference"/>
    <w:basedOn w:val="DefaultParagraphFont"/>
    <w:uiPriority w:val="32"/>
    <w:qFormat/>
    <w:rsid w:val="00224C09"/>
    <w:rPr>
      <w:b/>
      <w:bCs/>
      <w:smallCaps/>
      <w:color w:val="0F4761" w:themeColor="accent1" w:themeShade="BF"/>
      <w:spacing w:val="5"/>
    </w:rPr>
  </w:style>
  <w:style w:type="paragraph" w:styleId="FootnoteText">
    <w:name w:val="footnote text"/>
    <w:aliases w:val="Footnote Text Char Char Char Char Char,Footnote Text Char Char Char Char,Footnote reference,FA Fu,Footnote Text Char Char Char,Footnote Text Cha,FA Fußnotentext,FA Fuﬂnotentext,Footnote Text Char Char,FA Fu?notente,Ca,C,ft,FA Fu?notentext"/>
    <w:basedOn w:val="Normal"/>
    <w:link w:val="FootnoteTextChar"/>
    <w:unhideWhenUsed/>
    <w:qFormat/>
    <w:rsid w:val="00224C09"/>
    <w:pPr>
      <w:spacing w:after="0" w:line="240" w:lineRule="auto"/>
    </w:pPr>
    <w:rPr>
      <w:rFonts w:eastAsiaTheme="minorHAnsi"/>
      <w:kern w:val="0"/>
      <w:sz w:val="20"/>
      <w:szCs w:val="20"/>
      <w:lang w:eastAsia="en-US"/>
      <w14:ligatures w14:val="none"/>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C Char"/>
    <w:basedOn w:val="DefaultParagraphFont"/>
    <w:link w:val="FootnoteText"/>
    <w:qFormat/>
    <w:rsid w:val="00224C09"/>
    <w:rPr>
      <w:rFonts w:eastAsiaTheme="minorHAnsi"/>
      <w:kern w:val="0"/>
      <w:sz w:val="20"/>
      <w:szCs w:val="20"/>
      <w:lang w:eastAsia="en-US"/>
      <w14:ligatures w14:val="none"/>
    </w:rPr>
  </w:style>
  <w:style w:type="character" w:styleId="FootnoteReference">
    <w:name w:val="footnote reference"/>
    <w:aliases w:val="Footnotes refss,Texto de nota al pie,Appel note de bas de page,Footnote number,referencia nota al pie,BVI fnr,f,Ref. de nota al pie.,Footnote symbol,Footnote,4_G,16 Point,Superscript 6 Point,Texto nota al pie,Ref,de nota al pie,norma"/>
    <w:basedOn w:val="DefaultParagraphFont"/>
    <w:link w:val="FootnotesrefssChar1Char"/>
    <w:uiPriority w:val="99"/>
    <w:unhideWhenUsed/>
    <w:qFormat/>
    <w:rsid w:val="00224C09"/>
    <w:rPr>
      <w:vertAlign w:val="superscript"/>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link w:val="FootnoteReference"/>
    <w:uiPriority w:val="99"/>
    <w:qFormat/>
    <w:rsid w:val="00224C09"/>
    <w:pPr>
      <w:spacing w:line="240" w:lineRule="exact"/>
      <w:jc w:val="both"/>
    </w:pPr>
    <w:rPr>
      <w:vertAlign w:val="superscript"/>
    </w:rPr>
  </w:style>
  <w:style w:type="character" w:customStyle="1" w:styleId="ListParagraphChar">
    <w:name w:val="List Paragraph Char"/>
    <w:aliases w:val="List Paragraph1 Char,Colorful List - Accent 11 Char,Párrafo de lista1 Char,List Paragraph2 Char,Lista vistosa - Énfasis 11 Char,Subtle Emphasis1 Char,Footnote1 Char,Parrafos Char,List Paragraph11 Char"/>
    <w:basedOn w:val="DefaultParagraphFont"/>
    <w:link w:val="ListParagraph"/>
    <w:uiPriority w:val="34"/>
    <w:locked/>
    <w:rsid w:val="00224C09"/>
  </w:style>
  <w:style w:type="character" w:styleId="CommentReference">
    <w:name w:val="annotation reference"/>
    <w:basedOn w:val="DefaultParagraphFont"/>
    <w:uiPriority w:val="99"/>
    <w:semiHidden/>
    <w:unhideWhenUsed/>
    <w:rsid w:val="00224C09"/>
    <w:rPr>
      <w:sz w:val="16"/>
      <w:szCs w:val="16"/>
    </w:rPr>
  </w:style>
  <w:style w:type="paragraph" w:styleId="CommentText">
    <w:name w:val="annotation text"/>
    <w:basedOn w:val="Normal"/>
    <w:link w:val="CommentTextChar"/>
    <w:uiPriority w:val="99"/>
    <w:unhideWhenUsed/>
    <w:rsid w:val="00224C09"/>
    <w:pPr>
      <w:spacing w:line="240" w:lineRule="auto"/>
    </w:pPr>
    <w:rPr>
      <w:sz w:val="20"/>
      <w:szCs w:val="20"/>
    </w:rPr>
  </w:style>
  <w:style w:type="character" w:customStyle="1" w:styleId="CommentTextChar">
    <w:name w:val="Comment Text Char"/>
    <w:basedOn w:val="DefaultParagraphFont"/>
    <w:link w:val="CommentText"/>
    <w:uiPriority w:val="99"/>
    <w:rsid w:val="00224C09"/>
    <w:rPr>
      <w:sz w:val="20"/>
      <w:szCs w:val="20"/>
    </w:rPr>
  </w:style>
  <w:style w:type="paragraph" w:styleId="Header">
    <w:name w:val="header"/>
    <w:basedOn w:val="Normal"/>
    <w:link w:val="HeaderChar"/>
    <w:uiPriority w:val="99"/>
    <w:unhideWhenUsed/>
    <w:rsid w:val="00862B3F"/>
    <w:pPr>
      <w:tabs>
        <w:tab w:val="center" w:pos="4252"/>
        <w:tab w:val="right" w:pos="8504"/>
      </w:tabs>
      <w:spacing w:after="0" w:line="240" w:lineRule="auto"/>
    </w:pPr>
  </w:style>
  <w:style w:type="character" w:customStyle="1" w:styleId="HeaderChar">
    <w:name w:val="Header Char"/>
    <w:basedOn w:val="DefaultParagraphFont"/>
    <w:link w:val="Header"/>
    <w:uiPriority w:val="99"/>
    <w:rsid w:val="00862B3F"/>
  </w:style>
  <w:style w:type="paragraph" w:styleId="Footer">
    <w:name w:val="footer"/>
    <w:basedOn w:val="Normal"/>
    <w:link w:val="FooterChar"/>
    <w:uiPriority w:val="99"/>
    <w:unhideWhenUsed/>
    <w:rsid w:val="00862B3F"/>
    <w:pPr>
      <w:tabs>
        <w:tab w:val="center" w:pos="4252"/>
        <w:tab w:val="right" w:pos="8504"/>
      </w:tabs>
      <w:spacing w:after="0" w:line="240" w:lineRule="auto"/>
    </w:pPr>
  </w:style>
  <w:style w:type="character" w:customStyle="1" w:styleId="FooterChar">
    <w:name w:val="Footer Char"/>
    <w:basedOn w:val="DefaultParagraphFont"/>
    <w:link w:val="Footer"/>
    <w:uiPriority w:val="99"/>
    <w:rsid w:val="00862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5241</Words>
  <Characters>27989</Characters>
  <Application>Microsoft Office Word</Application>
  <DocSecurity>0</DocSecurity>
  <Lines>559</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 IDH</dc:creator>
  <cp:keywords/>
  <dc:description/>
  <cp:lastModifiedBy>L.F L.F</cp:lastModifiedBy>
  <cp:revision>2</cp:revision>
  <cp:lastPrinted>2024-12-02T18:00:00Z</cp:lastPrinted>
  <dcterms:created xsi:type="dcterms:W3CDTF">2026-01-12T23:47:00Z</dcterms:created>
  <dcterms:modified xsi:type="dcterms:W3CDTF">2026-01-12T23:47:00Z</dcterms:modified>
</cp:coreProperties>
</file>