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10D5" w14:textId="77777777" w:rsidR="00807B85" w:rsidRPr="0072538F" w:rsidRDefault="00807B85" w:rsidP="00752A55">
      <w:pPr>
        <w:spacing w:line="240" w:lineRule="auto"/>
        <w:jc w:val="both"/>
        <w:rPr>
          <w:rFonts w:ascii="Verdana" w:hAnsi="Verdana"/>
          <w:b/>
          <w:bCs/>
          <w:sz w:val="20"/>
          <w:szCs w:val="20"/>
          <w:lang w:val="es-ES"/>
        </w:rPr>
      </w:pPr>
    </w:p>
    <w:p w14:paraId="3F80F291" w14:textId="77777777" w:rsidR="00B20612" w:rsidRDefault="00A87266" w:rsidP="00752A55">
      <w:pPr>
        <w:spacing w:line="240" w:lineRule="auto"/>
        <w:jc w:val="center"/>
        <w:rPr>
          <w:rFonts w:ascii="Verdana" w:hAnsi="Verdana"/>
          <w:b/>
          <w:bCs/>
          <w:sz w:val="20"/>
          <w:szCs w:val="20"/>
          <w:lang w:val="es-ES"/>
        </w:rPr>
      </w:pPr>
      <w:r w:rsidRPr="00752A55">
        <w:rPr>
          <w:rFonts w:ascii="Verdana" w:hAnsi="Verdana"/>
          <w:b/>
          <w:bCs/>
          <w:sz w:val="20"/>
          <w:szCs w:val="20"/>
          <w:lang w:val="es-ES"/>
        </w:rPr>
        <w:t xml:space="preserve">VOTO CONCURRENTE </w:t>
      </w:r>
      <w:r w:rsidR="00B20612">
        <w:rPr>
          <w:rFonts w:ascii="Verdana" w:hAnsi="Verdana"/>
          <w:b/>
          <w:bCs/>
          <w:sz w:val="20"/>
          <w:szCs w:val="20"/>
          <w:lang w:val="es-ES"/>
        </w:rPr>
        <w:t xml:space="preserve">MOTIVADO </w:t>
      </w:r>
    </w:p>
    <w:p w14:paraId="5EA05F0B" w14:textId="48D21BCA" w:rsidR="007F767D" w:rsidRPr="00752A55" w:rsidRDefault="00A87266" w:rsidP="00752A55">
      <w:pPr>
        <w:spacing w:line="240" w:lineRule="auto"/>
        <w:jc w:val="center"/>
        <w:rPr>
          <w:rFonts w:ascii="Verdana" w:hAnsi="Verdana"/>
          <w:b/>
          <w:bCs/>
          <w:sz w:val="20"/>
          <w:szCs w:val="20"/>
          <w:lang w:val="es-ES"/>
        </w:rPr>
      </w:pPr>
      <w:r w:rsidRPr="00752A55">
        <w:rPr>
          <w:rFonts w:ascii="Verdana" w:hAnsi="Verdana"/>
          <w:b/>
          <w:bCs/>
          <w:sz w:val="20"/>
          <w:szCs w:val="20"/>
          <w:lang w:val="es-ES"/>
        </w:rPr>
        <w:t>DE LA JUEZA NÁNCY HERNÁNDEZ LÓPEZ</w:t>
      </w:r>
    </w:p>
    <w:p w14:paraId="49543914" w14:textId="77777777" w:rsidR="00B20612" w:rsidRDefault="00B20612" w:rsidP="00752A55">
      <w:pPr>
        <w:spacing w:line="240" w:lineRule="auto"/>
        <w:jc w:val="center"/>
        <w:rPr>
          <w:rFonts w:ascii="Verdana" w:hAnsi="Verdana"/>
          <w:b/>
          <w:bCs/>
          <w:sz w:val="20"/>
          <w:szCs w:val="20"/>
          <w:lang w:val="es-ES"/>
        </w:rPr>
      </w:pPr>
    </w:p>
    <w:p w14:paraId="1457FB4D" w14:textId="154D64F3" w:rsidR="00B20612" w:rsidRPr="00635B4E" w:rsidRDefault="00B20612" w:rsidP="00752A55">
      <w:pPr>
        <w:spacing w:line="240" w:lineRule="auto"/>
        <w:jc w:val="center"/>
        <w:rPr>
          <w:rFonts w:ascii="Verdana" w:hAnsi="Verdana"/>
          <w:b/>
          <w:bCs/>
          <w:sz w:val="20"/>
          <w:szCs w:val="20"/>
          <w:lang w:val="es-ES"/>
        </w:rPr>
      </w:pPr>
      <w:r w:rsidRPr="00635B4E">
        <w:rPr>
          <w:rFonts w:ascii="Verdana" w:hAnsi="Verdana"/>
          <w:b/>
          <w:bCs/>
          <w:sz w:val="20"/>
          <w:szCs w:val="20"/>
          <w:lang w:val="es-ES"/>
        </w:rPr>
        <w:t xml:space="preserve">CORTE INTERAMERICANA DE DERECHOS HUMANOS </w:t>
      </w:r>
    </w:p>
    <w:p w14:paraId="4181ACC8" w14:textId="77777777" w:rsidR="00B20612" w:rsidRPr="00635B4E" w:rsidRDefault="00B20612" w:rsidP="00752A55">
      <w:pPr>
        <w:spacing w:line="240" w:lineRule="auto"/>
        <w:jc w:val="center"/>
        <w:rPr>
          <w:rFonts w:ascii="Verdana" w:hAnsi="Verdana"/>
          <w:b/>
          <w:bCs/>
          <w:sz w:val="20"/>
          <w:szCs w:val="20"/>
          <w:lang w:val="es-ES"/>
        </w:rPr>
      </w:pPr>
    </w:p>
    <w:p w14:paraId="365BC6F6" w14:textId="3F1E9C1E" w:rsidR="007F767D" w:rsidRPr="00B20612" w:rsidRDefault="007F767D" w:rsidP="00752A55">
      <w:pPr>
        <w:spacing w:line="240" w:lineRule="auto"/>
        <w:jc w:val="center"/>
        <w:rPr>
          <w:rFonts w:ascii="Verdana" w:hAnsi="Verdana"/>
          <w:b/>
          <w:bCs/>
          <w:i/>
          <w:iCs/>
          <w:sz w:val="20"/>
          <w:szCs w:val="20"/>
          <w:lang w:val="es-ES"/>
        </w:rPr>
      </w:pPr>
      <w:r w:rsidRPr="00635B4E">
        <w:rPr>
          <w:rFonts w:ascii="Verdana" w:hAnsi="Verdana"/>
          <w:b/>
          <w:bCs/>
          <w:i/>
          <w:iCs/>
          <w:sz w:val="20"/>
          <w:szCs w:val="20"/>
          <w:lang w:val="es-ES"/>
        </w:rPr>
        <w:t xml:space="preserve">CASO CAPRILES VS. </w:t>
      </w:r>
      <w:r w:rsidRPr="00B20612">
        <w:rPr>
          <w:rFonts w:ascii="Verdana" w:hAnsi="Verdana"/>
          <w:b/>
          <w:bCs/>
          <w:i/>
          <w:iCs/>
          <w:sz w:val="20"/>
          <w:szCs w:val="20"/>
          <w:lang w:val="es-ES"/>
        </w:rPr>
        <w:t>VENEZUELA</w:t>
      </w:r>
    </w:p>
    <w:p w14:paraId="2B335332" w14:textId="6E546DE7" w:rsidR="007F767D" w:rsidRPr="00752A55" w:rsidRDefault="007F767D" w:rsidP="00752A55">
      <w:pPr>
        <w:spacing w:line="240" w:lineRule="auto"/>
        <w:jc w:val="center"/>
        <w:rPr>
          <w:rFonts w:ascii="Verdana" w:hAnsi="Verdana"/>
          <w:b/>
          <w:bCs/>
          <w:sz w:val="20"/>
          <w:szCs w:val="20"/>
          <w:lang w:val="es-ES"/>
        </w:rPr>
      </w:pPr>
      <w:r w:rsidRPr="00752A55">
        <w:rPr>
          <w:rFonts w:ascii="Verdana" w:hAnsi="Verdana"/>
          <w:b/>
          <w:bCs/>
          <w:sz w:val="20"/>
          <w:szCs w:val="20"/>
          <w:lang w:val="es-ES"/>
        </w:rPr>
        <w:t>SENTENCIA DE 10 DE OCTUBRE DE 2024</w:t>
      </w:r>
    </w:p>
    <w:p w14:paraId="313130C3" w14:textId="71B39F1F" w:rsidR="007F767D" w:rsidRPr="00752A55" w:rsidRDefault="007F767D" w:rsidP="00752A55">
      <w:pPr>
        <w:spacing w:line="240" w:lineRule="auto"/>
        <w:jc w:val="center"/>
        <w:rPr>
          <w:rFonts w:ascii="Verdana" w:hAnsi="Verdana"/>
          <w:b/>
          <w:bCs/>
          <w:sz w:val="20"/>
          <w:szCs w:val="20"/>
          <w:lang w:val="es-ES"/>
        </w:rPr>
      </w:pPr>
      <w:r w:rsidRPr="00752A55">
        <w:rPr>
          <w:rFonts w:ascii="Verdana" w:hAnsi="Verdana"/>
          <w:b/>
          <w:bCs/>
          <w:sz w:val="20"/>
          <w:szCs w:val="20"/>
          <w:lang w:val="es-ES"/>
        </w:rPr>
        <w:t>(</w:t>
      </w:r>
      <w:r w:rsidRPr="00752A55">
        <w:rPr>
          <w:rFonts w:ascii="Verdana" w:hAnsi="Verdana"/>
          <w:b/>
          <w:bCs/>
          <w:i/>
          <w:iCs/>
          <w:sz w:val="20"/>
          <w:szCs w:val="20"/>
          <w:lang w:val="es-ES"/>
        </w:rPr>
        <w:t>Excepción Preliminar, Fondo, Reparaciones y Costas</w:t>
      </w:r>
      <w:r w:rsidRPr="00752A55">
        <w:rPr>
          <w:rFonts w:ascii="Verdana" w:hAnsi="Verdana"/>
          <w:b/>
          <w:bCs/>
          <w:sz w:val="20"/>
          <w:szCs w:val="20"/>
          <w:lang w:val="es-ES"/>
        </w:rPr>
        <w:t>)</w:t>
      </w:r>
    </w:p>
    <w:p w14:paraId="2B35A69A" w14:textId="77777777" w:rsidR="00950406" w:rsidRPr="00752A55" w:rsidRDefault="00950406" w:rsidP="00770C1F">
      <w:pPr>
        <w:pStyle w:val="ListParagraph"/>
        <w:numPr>
          <w:ilvl w:val="0"/>
          <w:numId w:val="0"/>
        </w:numPr>
        <w:spacing w:after="0" w:line="240" w:lineRule="auto"/>
        <w:jc w:val="both"/>
        <w:rPr>
          <w:color w:val="auto"/>
          <w:szCs w:val="20"/>
        </w:rPr>
      </w:pPr>
    </w:p>
    <w:p w14:paraId="2C30A0EE" w14:textId="77777777" w:rsidR="00950406" w:rsidRPr="00790C1F" w:rsidRDefault="00950406" w:rsidP="00770C1F">
      <w:pPr>
        <w:pStyle w:val="ListParagraph"/>
        <w:numPr>
          <w:ilvl w:val="0"/>
          <w:numId w:val="0"/>
        </w:numPr>
        <w:spacing w:after="0" w:line="240" w:lineRule="auto"/>
        <w:jc w:val="both"/>
        <w:rPr>
          <w:szCs w:val="20"/>
          <w:lang w:val="es-CR"/>
        </w:rPr>
      </w:pPr>
    </w:p>
    <w:p w14:paraId="19433666" w14:textId="3CE60F0C" w:rsidR="00B20612" w:rsidRPr="00B20612" w:rsidRDefault="00B20612" w:rsidP="00770C1F">
      <w:pPr>
        <w:pStyle w:val="ListParagraph"/>
        <w:numPr>
          <w:ilvl w:val="0"/>
          <w:numId w:val="10"/>
        </w:numPr>
        <w:spacing w:after="0" w:line="240" w:lineRule="auto"/>
        <w:ind w:left="0" w:firstLine="0"/>
        <w:jc w:val="both"/>
      </w:pPr>
      <w:r w:rsidRPr="00B20612">
        <w:rPr>
          <w:kern w:val="0"/>
          <w14:ligatures w14:val="none"/>
        </w:rPr>
        <w:t>Emito este voto</w:t>
      </w:r>
      <w:r>
        <w:rPr>
          <w:vertAlign w:val="superscript"/>
        </w:rPr>
        <w:footnoteReference w:id="1"/>
      </w:r>
      <w:r w:rsidRPr="00B20612">
        <w:rPr>
          <w:kern w:val="0"/>
          <w14:ligatures w14:val="none"/>
        </w:rPr>
        <w:t xml:space="preserve"> con el propósito de </w:t>
      </w:r>
      <w:r>
        <w:rPr>
          <w:kern w:val="0"/>
          <w14:ligatures w14:val="none"/>
        </w:rPr>
        <w:t xml:space="preserve">abordar un aspecto puntal relativo a la responsabilidad internacional del Estado de Venezuela (en adelante, “Venezuela” o el “Estado”) en el presente caso por la violación de los derechos a la libertad de pensamiento y expresión de </w:t>
      </w:r>
      <w:r w:rsidRPr="00D8191D">
        <w:t xml:space="preserve">Henrique Capriles </w:t>
      </w:r>
      <w:proofErr w:type="spellStart"/>
      <w:r w:rsidRPr="00D8191D">
        <w:t>Radonski</w:t>
      </w:r>
      <w:proofErr w:type="spellEnd"/>
      <w:r>
        <w:t xml:space="preserve">, reconocidos en el artículo </w:t>
      </w:r>
      <w:r w:rsidRPr="0072538F">
        <w:rPr>
          <w:color w:val="auto"/>
          <w:szCs w:val="20"/>
        </w:rPr>
        <w:t>13 de la Convención Americana sobre Derechos Humanos (en adelante “la Convención”, “la Convención Americana” o “el Tratado”), en relación con las obligaciones de respetar y garantizar los derechos que establece el artículo 1.1. del mismo instrumento internacional</w:t>
      </w:r>
      <w:r>
        <w:rPr>
          <w:color w:val="auto"/>
          <w:szCs w:val="20"/>
        </w:rPr>
        <w:t xml:space="preserve">. </w:t>
      </w:r>
    </w:p>
    <w:p w14:paraId="770D27B4" w14:textId="77777777" w:rsidR="00B20612" w:rsidRPr="00D8191D" w:rsidRDefault="00B20612" w:rsidP="00770C1F">
      <w:pPr>
        <w:pStyle w:val="ListParagraph"/>
        <w:numPr>
          <w:ilvl w:val="0"/>
          <w:numId w:val="0"/>
        </w:numPr>
        <w:spacing w:after="0" w:line="240" w:lineRule="auto"/>
        <w:ind w:left="567"/>
        <w:jc w:val="both"/>
      </w:pPr>
    </w:p>
    <w:p w14:paraId="476F2080" w14:textId="77777777" w:rsidR="00DE64CA" w:rsidRDefault="00E96BE3" w:rsidP="00770C1F">
      <w:pPr>
        <w:pStyle w:val="ListParagraph"/>
        <w:numPr>
          <w:ilvl w:val="0"/>
          <w:numId w:val="10"/>
        </w:numPr>
        <w:spacing w:after="0" w:line="240" w:lineRule="auto"/>
        <w:ind w:left="0" w:firstLine="0"/>
        <w:jc w:val="both"/>
      </w:pPr>
      <w:r w:rsidRPr="00D8191D">
        <w:t>En el presente caso, queda claramente establecido que el señor Capriles fu</w:t>
      </w:r>
      <w:r w:rsidRPr="00DE64CA">
        <w:t xml:space="preserve">e objeto de un acto arbitrario al imponérsele una multa </w:t>
      </w:r>
      <w:r w:rsidR="00DE64CA" w:rsidRPr="00DE64CA">
        <w:t xml:space="preserve">administrativa </w:t>
      </w:r>
      <w:r w:rsidRPr="00DE64CA">
        <w:t xml:space="preserve">por </w:t>
      </w:r>
      <w:r w:rsidR="00DE64CA">
        <w:t>presuntas</w:t>
      </w:r>
      <w:r w:rsidRPr="00DE64CA">
        <w:t xml:space="preserve"> ofensas </w:t>
      </w:r>
      <w:r w:rsidR="00DE64CA">
        <w:t>dirigidas a</w:t>
      </w:r>
      <w:r w:rsidRPr="00DE64CA">
        <w:t xml:space="preserve"> las autoridades judiciales</w:t>
      </w:r>
      <w:r w:rsidR="00DE64CA" w:rsidRPr="00DE64CA">
        <w:t xml:space="preserve"> en su escrito de demanda</w:t>
      </w:r>
      <w:r w:rsidRPr="00DE64CA">
        <w:t xml:space="preserve">. Por el contrario, las expresiones cuestionadas fueron emitidas en el </w:t>
      </w:r>
      <w:r w:rsidR="00DE64CA">
        <w:t xml:space="preserve">marco del </w:t>
      </w:r>
      <w:r w:rsidRPr="00DE64CA">
        <w:t>legítimo ejercicio de su derecho de defensa en el marco de un proceso contencioso</w:t>
      </w:r>
      <w:r w:rsidR="00DE64CA" w:rsidRPr="00DE64CA">
        <w:t xml:space="preserve"> electoral</w:t>
      </w:r>
      <w:r w:rsidRPr="00D8191D">
        <w:t>. Además, la sanción impuesta careció de la debida motivación, lo que refuerza su carácter arbitrario.</w:t>
      </w:r>
    </w:p>
    <w:p w14:paraId="0D3E9EFA" w14:textId="77777777" w:rsidR="00DE64CA" w:rsidRDefault="00DE64CA" w:rsidP="00770C1F">
      <w:pPr>
        <w:pStyle w:val="ListParagraph"/>
        <w:numPr>
          <w:ilvl w:val="0"/>
          <w:numId w:val="0"/>
        </w:numPr>
        <w:spacing w:after="0" w:line="240" w:lineRule="auto"/>
        <w:ind w:left="1440"/>
      </w:pPr>
    </w:p>
    <w:p w14:paraId="26C183B8" w14:textId="77777777" w:rsidR="00D56AF5" w:rsidRPr="00D56AF5" w:rsidRDefault="00D56AF5" w:rsidP="00770C1F">
      <w:pPr>
        <w:pStyle w:val="ListParagraph"/>
        <w:numPr>
          <w:ilvl w:val="0"/>
          <w:numId w:val="10"/>
        </w:numPr>
        <w:spacing w:after="0" w:line="240" w:lineRule="auto"/>
        <w:ind w:left="0" w:firstLine="0"/>
        <w:jc w:val="both"/>
      </w:pPr>
      <w:r w:rsidRPr="00752A55">
        <w:rPr>
          <w:color w:val="auto"/>
          <w:szCs w:val="20"/>
        </w:rPr>
        <w:t>C</w:t>
      </w:r>
      <w:r w:rsidRPr="00752A55">
        <w:rPr>
          <w:rFonts w:cstheme="minorHAnsi"/>
          <w:color w:val="auto"/>
          <w:szCs w:val="20"/>
        </w:rPr>
        <w:t>omo bien se indica en la Sentencia, (i) las expresiones vertidas en el marco de un procedimiento judicial, como parte del ejercicio del derecho a la libertad de expresión, no pueden actuar o manifestarse de un modo que impida el funcionamiento regular de la administración de justicia o cuando esto implique una vulneración al honor o la reputación de los administradores de justicia</w:t>
      </w:r>
      <w:r w:rsidRPr="00752A55">
        <w:rPr>
          <w:rStyle w:val="FootnoteReference"/>
          <w:rFonts w:cstheme="minorHAnsi"/>
          <w:color w:val="auto"/>
          <w:szCs w:val="20"/>
        </w:rPr>
        <w:footnoteReference w:id="2"/>
      </w:r>
      <w:r w:rsidRPr="00752A55">
        <w:rPr>
          <w:rFonts w:cstheme="minorHAnsi"/>
          <w:color w:val="auto"/>
          <w:szCs w:val="20"/>
        </w:rPr>
        <w:t>; (</w:t>
      </w:r>
      <w:proofErr w:type="spellStart"/>
      <w:r w:rsidRPr="00752A55">
        <w:rPr>
          <w:rFonts w:cstheme="minorHAnsi"/>
          <w:color w:val="auto"/>
          <w:szCs w:val="20"/>
        </w:rPr>
        <w:t>ii</w:t>
      </w:r>
      <w:proofErr w:type="spellEnd"/>
      <w:r w:rsidRPr="00752A55">
        <w:rPr>
          <w:rFonts w:cstheme="minorHAnsi"/>
          <w:color w:val="auto"/>
          <w:szCs w:val="20"/>
        </w:rPr>
        <w:t>) los Estados deben crear mecanismos  alternativos a la vía penal para que los funcionarios públicos obtenga una rectificación o respuesta o la reparación civil cuando su honor o buen nombre ha sido lesionado</w:t>
      </w:r>
      <w:r w:rsidRPr="00752A55">
        <w:rPr>
          <w:rStyle w:val="FootnoteReference"/>
          <w:rFonts w:cstheme="minorHAnsi"/>
          <w:color w:val="auto"/>
          <w:szCs w:val="20"/>
        </w:rPr>
        <w:footnoteReference w:id="3"/>
      </w:r>
      <w:r w:rsidRPr="00752A55">
        <w:rPr>
          <w:rFonts w:cstheme="minorHAnsi"/>
          <w:color w:val="auto"/>
          <w:szCs w:val="20"/>
        </w:rPr>
        <w:t>; y (</w:t>
      </w:r>
      <w:proofErr w:type="spellStart"/>
      <w:r w:rsidRPr="00752A55">
        <w:rPr>
          <w:rFonts w:cstheme="minorHAnsi"/>
          <w:color w:val="auto"/>
          <w:szCs w:val="20"/>
        </w:rPr>
        <w:t>iii</w:t>
      </w:r>
      <w:proofErr w:type="spellEnd"/>
      <w:r w:rsidRPr="00752A55">
        <w:rPr>
          <w:rFonts w:cstheme="minorHAnsi"/>
          <w:color w:val="auto"/>
          <w:szCs w:val="20"/>
        </w:rPr>
        <w:t>) ante la falta de criterios normativos que orienten la conducta del juzgador, la motivación del fallo sancionador permite dar claridad a los tipos disciplinarios abiertos e indeterminados, razón por la que resulta necesario examinar la motivación de la decisión mediante la cual se impone una sanción</w:t>
      </w:r>
      <w:r w:rsidRPr="00752A55">
        <w:rPr>
          <w:rStyle w:val="FootnoteReference"/>
          <w:rFonts w:cstheme="minorHAnsi"/>
          <w:color w:val="auto"/>
          <w:szCs w:val="20"/>
        </w:rPr>
        <w:footnoteReference w:id="4"/>
      </w:r>
      <w:r w:rsidRPr="00752A55">
        <w:rPr>
          <w:rFonts w:cstheme="minorHAnsi"/>
          <w:color w:val="auto"/>
          <w:szCs w:val="20"/>
        </w:rPr>
        <w:t>.</w:t>
      </w:r>
    </w:p>
    <w:p w14:paraId="68E6FA77" w14:textId="77777777" w:rsidR="00D56AF5" w:rsidRDefault="00D56AF5" w:rsidP="00770C1F">
      <w:pPr>
        <w:pStyle w:val="ListParagraph"/>
        <w:numPr>
          <w:ilvl w:val="0"/>
          <w:numId w:val="0"/>
        </w:numPr>
        <w:spacing w:after="0" w:line="240" w:lineRule="auto"/>
        <w:ind w:left="1440"/>
      </w:pPr>
    </w:p>
    <w:p w14:paraId="70C673DF" w14:textId="1CA85B96" w:rsidR="004313ED" w:rsidRPr="00D8191D" w:rsidRDefault="00E96BE3" w:rsidP="00770C1F">
      <w:pPr>
        <w:pStyle w:val="ListParagraph"/>
        <w:numPr>
          <w:ilvl w:val="0"/>
          <w:numId w:val="10"/>
        </w:numPr>
        <w:spacing w:after="0" w:line="240" w:lineRule="auto"/>
        <w:ind w:left="0" w:firstLine="0"/>
        <w:jc w:val="both"/>
      </w:pPr>
      <w:r w:rsidRPr="00D8191D">
        <w:lastRenderedPageBreak/>
        <w:t xml:space="preserve">Respecto al segundo punto, relacionado con la obligación de los Estados de crear mecanismos alternativos a la vía penal para casos que involucren el honor de funcionarios públicos, </w:t>
      </w:r>
      <w:r w:rsidR="007141F1">
        <w:t>se señala</w:t>
      </w:r>
      <w:r w:rsidR="004313ED">
        <w:t xml:space="preserve"> que </w:t>
      </w:r>
      <w:r w:rsidR="004313ED" w:rsidRPr="00D8191D">
        <w:t>el simple envío del expediente al Ministerio Público para evaluar la posibilidad de sancionar penalmente al señor Capriles no es convencionalmente procedente</w:t>
      </w:r>
      <w:r w:rsidR="00D56AF5">
        <w:t>, advirtiendo lo siguiente</w:t>
      </w:r>
      <w:r w:rsidR="004313ED">
        <w:t>:</w:t>
      </w:r>
    </w:p>
    <w:p w14:paraId="13C9E25E" w14:textId="2EC02CBF" w:rsidR="004313ED" w:rsidRPr="002F4E5C" w:rsidRDefault="004313ED" w:rsidP="00770C1F">
      <w:pPr>
        <w:spacing w:after="0" w:line="240" w:lineRule="auto"/>
        <w:jc w:val="both"/>
        <w:rPr>
          <w:rFonts w:ascii="Verdana" w:hAnsi="Verdana"/>
          <w:i/>
          <w:iCs/>
          <w:sz w:val="20"/>
          <w:szCs w:val="20"/>
        </w:rPr>
      </w:pPr>
      <w:r w:rsidRPr="002F4E5C">
        <w:rPr>
          <w:rFonts w:ascii="Verdana" w:hAnsi="Verdana"/>
          <w:sz w:val="20"/>
          <w:szCs w:val="20"/>
        </w:rPr>
        <w:t>"</w:t>
      </w:r>
      <w:r w:rsidR="00D56AF5" w:rsidRPr="00D56AF5">
        <w:rPr>
          <w:rFonts w:ascii="Verdana" w:hAnsi="Verdana"/>
          <w:i/>
          <w:iCs/>
          <w:sz w:val="20"/>
          <w:szCs w:val="20"/>
        </w:rPr>
        <w:t xml:space="preserve">181. </w:t>
      </w:r>
      <w:r w:rsidRPr="00D56AF5">
        <w:rPr>
          <w:rFonts w:ascii="Verdana" w:hAnsi="Verdana"/>
          <w:i/>
          <w:iCs/>
          <w:sz w:val="20"/>
          <w:szCs w:val="20"/>
        </w:rPr>
        <w:t xml:space="preserve">Por otra parte, la Corte advierte que la Sala Constitucional remitió el expediente al Ministerio Público para que se evaluara la posibilidad de sancionar penalmente a la presunta víctima por supuestamente haberse manifestado contra el Poder Judicial de manera agraviante en el recurso contencioso electoral presentado el 2 de mayo de 2013. </w:t>
      </w:r>
      <w:r w:rsidRPr="00D56AF5">
        <w:rPr>
          <w:rFonts w:ascii="Verdana" w:hAnsi="Verdana"/>
          <w:i/>
          <w:iCs/>
          <w:sz w:val="20"/>
          <w:szCs w:val="20"/>
          <w:u w:val="single"/>
        </w:rPr>
        <w:t>En relación con ello, la Corte estima pertinente recordar que, en el caso de expresiones referidas a conductas de funcionarios públicos en el ejercicio de sus funciones, la respuesta punitiva del Estado mediante el derecho penal no es convencionalmente procedente para proteger el honor del funcionario. De esta forma, se evita el efecto amedrentador ('</w:t>
      </w:r>
      <w:proofErr w:type="spellStart"/>
      <w:r w:rsidRPr="00D56AF5">
        <w:rPr>
          <w:rFonts w:ascii="Verdana" w:hAnsi="Verdana"/>
          <w:i/>
          <w:iCs/>
          <w:sz w:val="20"/>
          <w:szCs w:val="20"/>
          <w:u w:val="single"/>
        </w:rPr>
        <w:t>chilling</w:t>
      </w:r>
      <w:proofErr w:type="spellEnd"/>
      <w:r w:rsidRPr="00D56AF5">
        <w:rPr>
          <w:rFonts w:ascii="Verdana" w:hAnsi="Verdana"/>
          <w:i/>
          <w:iCs/>
          <w:sz w:val="20"/>
          <w:szCs w:val="20"/>
          <w:u w:val="single"/>
        </w:rPr>
        <w:t xml:space="preserve"> </w:t>
      </w:r>
      <w:proofErr w:type="spellStart"/>
      <w:r w:rsidRPr="00D56AF5">
        <w:rPr>
          <w:rFonts w:ascii="Verdana" w:hAnsi="Verdana"/>
          <w:i/>
          <w:iCs/>
          <w:sz w:val="20"/>
          <w:szCs w:val="20"/>
          <w:u w:val="single"/>
        </w:rPr>
        <w:t>effect</w:t>
      </w:r>
      <w:proofErr w:type="spellEnd"/>
      <w:r w:rsidRPr="00D56AF5">
        <w:rPr>
          <w:rFonts w:ascii="Verdana" w:hAnsi="Verdana"/>
          <w:i/>
          <w:iCs/>
          <w:sz w:val="20"/>
          <w:szCs w:val="20"/>
          <w:u w:val="single"/>
        </w:rPr>
        <w:t>') causado por la iniciación de un proceso penal, así como sus repercusiones en el disfrute de la libertad de expresión, y el debilitamiento y empobrecimiento del debate sobre cuestiones de interés público</w:t>
      </w:r>
      <w:r w:rsidR="002F4E5C">
        <w:rPr>
          <w:rFonts w:ascii="Verdana" w:hAnsi="Verdana"/>
          <w:i/>
          <w:iCs/>
          <w:sz w:val="20"/>
          <w:szCs w:val="20"/>
        </w:rPr>
        <w:t>.</w:t>
      </w:r>
      <w:r w:rsidRPr="002F4E5C">
        <w:rPr>
          <w:rFonts w:ascii="Verdana" w:hAnsi="Verdana"/>
          <w:sz w:val="20"/>
          <w:szCs w:val="20"/>
        </w:rPr>
        <w:t>"</w:t>
      </w:r>
      <w:r w:rsidR="002F4E5C">
        <w:rPr>
          <w:rFonts w:ascii="Verdana" w:hAnsi="Verdana"/>
          <w:i/>
          <w:iCs/>
          <w:sz w:val="20"/>
          <w:szCs w:val="20"/>
        </w:rPr>
        <w:t xml:space="preserve"> </w:t>
      </w:r>
      <w:r w:rsidRPr="00D56AF5">
        <w:rPr>
          <w:rFonts w:ascii="Verdana" w:hAnsi="Verdana"/>
          <w:sz w:val="20"/>
          <w:szCs w:val="20"/>
        </w:rPr>
        <w:t>(</w:t>
      </w:r>
      <w:r w:rsidR="00D56AF5" w:rsidRPr="00D56AF5">
        <w:rPr>
          <w:rFonts w:ascii="Verdana" w:hAnsi="Verdana"/>
          <w:sz w:val="20"/>
          <w:szCs w:val="20"/>
        </w:rPr>
        <w:t>el subrayado es propio</w:t>
      </w:r>
      <w:r w:rsidRPr="00D56AF5">
        <w:rPr>
          <w:rFonts w:ascii="Verdana" w:hAnsi="Verdana"/>
          <w:sz w:val="20"/>
          <w:szCs w:val="20"/>
        </w:rPr>
        <w:t>)</w:t>
      </w:r>
    </w:p>
    <w:p w14:paraId="149297CC" w14:textId="5154F9F7" w:rsidR="007141F1" w:rsidRDefault="007141F1" w:rsidP="00770C1F">
      <w:pPr>
        <w:pStyle w:val="ListParagraph"/>
        <w:numPr>
          <w:ilvl w:val="0"/>
          <w:numId w:val="10"/>
        </w:numPr>
        <w:spacing w:after="0" w:line="240" w:lineRule="auto"/>
        <w:ind w:left="0" w:firstLine="0"/>
        <w:jc w:val="both"/>
        <w:rPr>
          <w:szCs w:val="20"/>
        </w:rPr>
      </w:pPr>
      <w:r w:rsidRPr="002F4E5C">
        <w:rPr>
          <w:szCs w:val="20"/>
        </w:rPr>
        <w:t>E</w:t>
      </w:r>
      <w:r w:rsidR="00E96BE3" w:rsidRPr="002F4E5C">
        <w:rPr>
          <w:szCs w:val="20"/>
        </w:rPr>
        <w:t>sta tes</w:t>
      </w:r>
      <w:r w:rsidR="00086443" w:rsidRPr="002F4E5C">
        <w:rPr>
          <w:szCs w:val="20"/>
        </w:rPr>
        <w:t>is</w:t>
      </w:r>
      <w:r w:rsidR="00E96BE3" w:rsidRPr="002F4E5C">
        <w:rPr>
          <w:szCs w:val="20"/>
        </w:rPr>
        <w:t xml:space="preserve"> descarta automáticamente la vía penal en casos de expresiones referidas a conductas de funcionarios públicos en el ejercicio de sus funciones, </w:t>
      </w:r>
      <w:r w:rsidR="00086443" w:rsidRPr="002F4E5C">
        <w:rPr>
          <w:szCs w:val="20"/>
        </w:rPr>
        <w:t>y sobre este tem</w:t>
      </w:r>
      <w:r w:rsidR="00E82D24" w:rsidRPr="002F4E5C">
        <w:rPr>
          <w:szCs w:val="20"/>
        </w:rPr>
        <w:t>a</w:t>
      </w:r>
      <w:r w:rsidR="00E96BE3" w:rsidRPr="002F4E5C">
        <w:rPr>
          <w:szCs w:val="20"/>
        </w:rPr>
        <w:t xml:space="preserve"> me he separado de la mayoría con anterioridad</w:t>
      </w:r>
      <w:r w:rsidR="00086443" w:rsidRPr="002F4E5C">
        <w:rPr>
          <w:szCs w:val="20"/>
        </w:rPr>
        <w:t xml:space="preserve"> en el</w:t>
      </w:r>
      <w:r w:rsidR="00086443" w:rsidRPr="002F4E5C">
        <w:rPr>
          <w:b/>
          <w:bCs/>
          <w:szCs w:val="20"/>
        </w:rPr>
        <w:t xml:space="preserve"> caso </w:t>
      </w:r>
      <w:proofErr w:type="spellStart"/>
      <w:r w:rsidR="00086443" w:rsidRPr="002F4E5C">
        <w:rPr>
          <w:b/>
          <w:bCs/>
          <w:szCs w:val="20"/>
        </w:rPr>
        <w:t>Baraona</w:t>
      </w:r>
      <w:proofErr w:type="spellEnd"/>
      <w:r w:rsidR="00086443" w:rsidRPr="002F4E5C">
        <w:rPr>
          <w:b/>
          <w:bCs/>
          <w:szCs w:val="20"/>
        </w:rPr>
        <w:t xml:space="preserve"> Bray vs. Chile</w:t>
      </w:r>
      <w:r w:rsidR="00086443" w:rsidRPr="002F4E5C">
        <w:rPr>
          <w:rStyle w:val="FootnoteReference"/>
          <w:szCs w:val="20"/>
        </w:rPr>
        <w:footnoteReference w:id="5"/>
      </w:r>
      <w:r w:rsidR="00E82D24" w:rsidRPr="002F4E5C">
        <w:rPr>
          <w:szCs w:val="20"/>
        </w:rPr>
        <w:t>.</w:t>
      </w:r>
    </w:p>
    <w:p w14:paraId="1AA9DA15" w14:textId="77777777" w:rsidR="002F4E5C" w:rsidRPr="002F4E5C" w:rsidRDefault="002F4E5C" w:rsidP="00770C1F">
      <w:pPr>
        <w:pStyle w:val="ListParagraph"/>
        <w:numPr>
          <w:ilvl w:val="0"/>
          <w:numId w:val="0"/>
        </w:numPr>
        <w:spacing w:after="0" w:line="240" w:lineRule="auto"/>
        <w:jc w:val="both"/>
        <w:rPr>
          <w:szCs w:val="20"/>
        </w:rPr>
      </w:pPr>
    </w:p>
    <w:p w14:paraId="464FBF27" w14:textId="3A352D72" w:rsidR="00E96BE3" w:rsidRPr="00083D40" w:rsidRDefault="00E82D24" w:rsidP="00770C1F">
      <w:pPr>
        <w:pStyle w:val="ListParagraph"/>
        <w:numPr>
          <w:ilvl w:val="0"/>
          <w:numId w:val="10"/>
        </w:numPr>
        <w:spacing w:after="0" w:line="240" w:lineRule="auto"/>
        <w:ind w:left="0" w:firstLine="0"/>
        <w:jc w:val="both"/>
        <w:rPr>
          <w:szCs w:val="20"/>
        </w:rPr>
      </w:pPr>
      <w:r w:rsidRPr="002F4E5C">
        <w:rPr>
          <w:szCs w:val="20"/>
        </w:rPr>
        <w:t>D</w:t>
      </w:r>
      <w:r w:rsidR="00E96BE3" w:rsidRPr="002F4E5C">
        <w:rPr>
          <w:szCs w:val="20"/>
        </w:rPr>
        <w:t>e acuerdo con el criterio expresado en dicha disidencia</w:t>
      </w:r>
      <w:r w:rsidRPr="002F4E5C">
        <w:rPr>
          <w:szCs w:val="20"/>
        </w:rPr>
        <w:t>, a la cual remito</w:t>
      </w:r>
      <w:r w:rsidR="00E96BE3" w:rsidRPr="002F4E5C">
        <w:rPr>
          <w:szCs w:val="20"/>
        </w:rPr>
        <w:t>, considero que el análisis de la tensión entre la libertad de expresión y el derecho al honor de los funcionarios públicos debe realizarse caso por caso.</w:t>
      </w:r>
      <w:r w:rsidR="00083D40">
        <w:rPr>
          <w:szCs w:val="20"/>
        </w:rPr>
        <w:t xml:space="preserve"> </w:t>
      </w:r>
      <w:r w:rsidRPr="00083D40">
        <w:rPr>
          <w:szCs w:val="20"/>
        </w:rPr>
        <w:t>Precisamente en el</w:t>
      </w:r>
      <w:r w:rsidR="00E96BE3" w:rsidRPr="00083D40">
        <w:rPr>
          <w:szCs w:val="20"/>
        </w:rPr>
        <w:t xml:space="preserve"> presente asunto, se llevó a cabo este análisis, lo cual permitió concluir que no correspondía la imposición de una sanción penal por las expresiones incluidas en el marco del recurso </w:t>
      </w:r>
      <w:r w:rsidR="00083D40">
        <w:rPr>
          <w:szCs w:val="20"/>
        </w:rPr>
        <w:t>interpuesto por el señor Capriles en el marco del proceso contencioso electoral</w:t>
      </w:r>
      <w:r w:rsidR="001E76C7" w:rsidRPr="00083D40">
        <w:rPr>
          <w:szCs w:val="20"/>
        </w:rPr>
        <w:t xml:space="preserve">, dada la naturaleza de las </w:t>
      </w:r>
      <w:r w:rsidR="00083D40">
        <w:rPr>
          <w:szCs w:val="20"/>
        </w:rPr>
        <w:t>expresiones</w:t>
      </w:r>
      <w:r w:rsidR="001E76C7" w:rsidRPr="00083D40">
        <w:rPr>
          <w:szCs w:val="20"/>
        </w:rPr>
        <w:t xml:space="preserve"> y la evidente falta de motivación en la imposición de la sanción, </w:t>
      </w:r>
      <w:r w:rsidR="004A233D" w:rsidRPr="00083D40">
        <w:rPr>
          <w:szCs w:val="20"/>
        </w:rPr>
        <w:t xml:space="preserve">razón por la cual he concurrido con lo expresado en la </w:t>
      </w:r>
      <w:r w:rsidR="00083D40">
        <w:rPr>
          <w:szCs w:val="20"/>
        </w:rPr>
        <w:t>S</w:t>
      </w:r>
      <w:r w:rsidR="004A233D" w:rsidRPr="00083D40">
        <w:rPr>
          <w:szCs w:val="20"/>
        </w:rPr>
        <w:t>entencia.</w:t>
      </w:r>
    </w:p>
    <w:p w14:paraId="7C651FCB" w14:textId="77777777" w:rsidR="00E96BE3" w:rsidRDefault="00E96BE3" w:rsidP="00770C1F">
      <w:pPr>
        <w:spacing w:after="0" w:line="240" w:lineRule="auto"/>
        <w:jc w:val="both"/>
      </w:pPr>
    </w:p>
    <w:p w14:paraId="491CA582" w14:textId="77777777" w:rsidR="00635B4E" w:rsidRPr="00D8191D" w:rsidRDefault="00635B4E" w:rsidP="00770C1F">
      <w:pPr>
        <w:spacing w:after="0" w:line="240" w:lineRule="auto"/>
        <w:jc w:val="both"/>
      </w:pPr>
    </w:p>
    <w:p w14:paraId="1F3A4D6D" w14:textId="71B5F8DB" w:rsidR="00635B4E" w:rsidRPr="00635B4E" w:rsidRDefault="00635B4E" w:rsidP="00770C1F">
      <w:pPr>
        <w:spacing w:after="0" w:line="240" w:lineRule="auto"/>
        <w:rPr>
          <w:rFonts w:ascii="Verdana" w:eastAsia="Verdana" w:hAnsi="Verdana" w:cs="Verdana"/>
          <w:color w:val="000000"/>
          <w:sz w:val="20"/>
          <w:szCs w:val="20"/>
          <w:lang w:val="es-ES"/>
        </w:rPr>
      </w:pPr>
      <w:r w:rsidRPr="00635B4E">
        <w:rPr>
          <w:rFonts w:ascii="Verdana" w:eastAsia="Verdana" w:hAnsi="Verdana" w:cs="Verdana"/>
          <w:color w:val="000000"/>
          <w:sz w:val="20"/>
          <w:szCs w:val="20"/>
          <w:lang w:val="es-ES"/>
        </w:rPr>
        <w:t xml:space="preserve">            </w:t>
      </w:r>
      <w:r w:rsidRPr="00635B4E">
        <w:rPr>
          <w:rFonts w:ascii="Verdana" w:eastAsia="Verdana" w:hAnsi="Verdana" w:cs="Verdana"/>
          <w:color w:val="000000"/>
          <w:sz w:val="20"/>
          <w:szCs w:val="20"/>
          <w:lang w:val="es-ES"/>
        </w:rPr>
        <w:tab/>
      </w:r>
      <w:r w:rsidRPr="00635B4E">
        <w:rPr>
          <w:rFonts w:ascii="Verdana" w:eastAsia="Verdana" w:hAnsi="Verdana" w:cs="Verdana"/>
          <w:color w:val="000000"/>
          <w:sz w:val="20"/>
          <w:szCs w:val="20"/>
          <w:lang w:val="es-ES"/>
        </w:rPr>
        <w:tab/>
      </w:r>
      <w:r w:rsidRPr="00635B4E">
        <w:rPr>
          <w:rFonts w:ascii="Verdana" w:eastAsia="Verdana" w:hAnsi="Verdana" w:cs="Verdana"/>
          <w:color w:val="000000"/>
          <w:sz w:val="20"/>
          <w:szCs w:val="20"/>
          <w:lang w:val="es-ES"/>
        </w:rPr>
        <w:tab/>
      </w:r>
      <w:r w:rsidRPr="00635B4E">
        <w:rPr>
          <w:rFonts w:ascii="Verdana" w:eastAsia="Verdana" w:hAnsi="Verdana" w:cs="Verdana"/>
          <w:color w:val="000000"/>
          <w:sz w:val="20"/>
          <w:szCs w:val="20"/>
          <w:lang w:val="es-ES"/>
        </w:rPr>
        <w:tab/>
      </w:r>
      <w:r w:rsidRPr="00635B4E">
        <w:rPr>
          <w:rFonts w:ascii="Verdana" w:eastAsia="Verdana" w:hAnsi="Verdana" w:cs="Verdana"/>
          <w:color w:val="000000"/>
          <w:sz w:val="20"/>
          <w:szCs w:val="20"/>
          <w:lang w:val="es-ES"/>
        </w:rPr>
        <w:tab/>
      </w:r>
      <w:r w:rsidRPr="00635B4E">
        <w:rPr>
          <w:rFonts w:ascii="Verdana" w:eastAsia="Verdana" w:hAnsi="Verdana" w:cs="Verdana"/>
          <w:color w:val="000000"/>
          <w:sz w:val="20"/>
          <w:szCs w:val="20"/>
          <w:lang w:val="es-ES"/>
        </w:rPr>
        <w:tab/>
      </w:r>
      <w:r w:rsidRPr="00635B4E">
        <w:rPr>
          <w:rFonts w:ascii="Verdana" w:eastAsia="Verdana" w:hAnsi="Verdana" w:cs="Verdana"/>
          <w:color w:val="000000"/>
          <w:sz w:val="20"/>
          <w:szCs w:val="20"/>
          <w:lang w:val="es-ES"/>
        </w:rPr>
        <w:tab/>
        <w:t>Nan</w:t>
      </w:r>
      <w:r>
        <w:rPr>
          <w:rFonts w:ascii="Verdana" w:eastAsia="Verdana" w:hAnsi="Verdana" w:cs="Verdana"/>
          <w:color w:val="000000"/>
          <w:sz w:val="20"/>
          <w:szCs w:val="20"/>
          <w:lang w:val="es-ES"/>
        </w:rPr>
        <w:t>cy Hernández</w:t>
      </w:r>
    </w:p>
    <w:p w14:paraId="1AB91E79" w14:textId="2413871E" w:rsidR="00635B4E" w:rsidRPr="00635B4E" w:rsidRDefault="00635B4E" w:rsidP="00770C1F">
      <w:pPr>
        <w:spacing w:after="0" w:line="240" w:lineRule="auto"/>
        <w:rPr>
          <w:rFonts w:ascii="Verdana" w:hAnsi="Verdana"/>
          <w:sz w:val="20"/>
          <w:szCs w:val="20"/>
          <w:lang w:val="es-ES"/>
        </w:rPr>
      </w:pPr>
      <w:r w:rsidRPr="00635B4E">
        <w:rPr>
          <w:rFonts w:ascii="Verdana" w:hAnsi="Verdana"/>
          <w:sz w:val="20"/>
          <w:szCs w:val="20"/>
          <w:lang w:val="es-ES"/>
        </w:rPr>
        <w:tab/>
        <w:t xml:space="preserve">   </w:t>
      </w:r>
      <w:r w:rsidRPr="00635B4E">
        <w:rPr>
          <w:rFonts w:ascii="Verdana" w:hAnsi="Verdana"/>
          <w:sz w:val="20"/>
          <w:szCs w:val="20"/>
          <w:lang w:val="es-ES"/>
        </w:rPr>
        <w:tab/>
      </w:r>
      <w:r w:rsidRPr="00635B4E">
        <w:rPr>
          <w:rFonts w:ascii="Verdana" w:hAnsi="Verdana"/>
          <w:sz w:val="20"/>
          <w:szCs w:val="20"/>
          <w:lang w:val="es-ES"/>
        </w:rPr>
        <w:tab/>
      </w:r>
      <w:r w:rsidRPr="00635B4E">
        <w:rPr>
          <w:rFonts w:ascii="Verdana" w:hAnsi="Verdana"/>
          <w:sz w:val="20"/>
          <w:szCs w:val="20"/>
          <w:lang w:val="es-ES"/>
        </w:rPr>
        <w:tab/>
      </w:r>
      <w:r w:rsidRPr="00635B4E">
        <w:rPr>
          <w:rFonts w:ascii="Verdana" w:hAnsi="Verdana"/>
          <w:sz w:val="20"/>
          <w:szCs w:val="20"/>
          <w:lang w:val="es-ES"/>
        </w:rPr>
        <w:tab/>
      </w:r>
      <w:r w:rsidRPr="00635B4E">
        <w:rPr>
          <w:rFonts w:ascii="Verdana" w:hAnsi="Verdana"/>
          <w:sz w:val="20"/>
          <w:szCs w:val="20"/>
          <w:lang w:val="es-ES"/>
        </w:rPr>
        <w:tab/>
      </w:r>
      <w:r w:rsidRPr="00635B4E">
        <w:rPr>
          <w:rFonts w:ascii="Verdana" w:hAnsi="Verdana"/>
          <w:sz w:val="20"/>
          <w:szCs w:val="20"/>
          <w:lang w:val="es-ES"/>
        </w:rPr>
        <w:tab/>
      </w:r>
      <w:r w:rsidRPr="00635B4E">
        <w:rPr>
          <w:rFonts w:ascii="Verdana" w:hAnsi="Verdana"/>
          <w:sz w:val="20"/>
          <w:szCs w:val="20"/>
          <w:lang w:val="es-ES"/>
        </w:rPr>
        <w:tab/>
      </w:r>
      <w:r>
        <w:rPr>
          <w:rFonts w:ascii="Verdana" w:hAnsi="Verdana"/>
          <w:sz w:val="20"/>
          <w:szCs w:val="20"/>
          <w:lang w:val="es-ES"/>
        </w:rPr>
        <w:t xml:space="preserve">    Presidenta</w:t>
      </w:r>
    </w:p>
    <w:p w14:paraId="150AF95B" w14:textId="77777777" w:rsidR="00635B4E" w:rsidRPr="00635B4E" w:rsidRDefault="00635B4E" w:rsidP="00770C1F">
      <w:pPr>
        <w:spacing w:after="0" w:line="240" w:lineRule="auto"/>
        <w:rPr>
          <w:rFonts w:ascii="Verdana" w:hAnsi="Verdana"/>
          <w:sz w:val="20"/>
          <w:szCs w:val="20"/>
          <w:lang w:val="es-ES"/>
        </w:rPr>
      </w:pPr>
    </w:p>
    <w:p w14:paraId="45337E0F" w14:textId="77777777" w:rsidR="00635B4E" w:rsidRPr="00635B4E" w:rsidRDefault="00635B4E" w:rsidP="00770C1F">
      <w:pPr>
        <w:spacing w:after="0" w:line="240" w:lineRule="auto"/>
        <w:rPr>
          <w:rFonts w:ascii="Verdana" w:hAnsi="Verdana"/>
          <w:sz w:val="20"/>
          <w:szCs w:val="20"/>
          <w:lang w:val="es-ES"/>
        </w:rPr>
      </w:pPr>
    </w:p>
    <w:p w14:paraId="6377E222" w14:textId="77777777" w:rsidR="00635B4E" w:rsidRPr="00635B4E" w:rsidRDefault="00635B4E" w:rsidP="00770C1F">
      <w:pPr>
        <w:spacing w:after="0" w:line="240" w:lineRule="auto"/>
        <w:ind w:firstLine="708"/>
        <w:rPr>
          <w:rFonts w:ascii="Verdana" w:eastAsia="Verdana" w:hAnsi="Verdana" w:cs="Verdana"/>
          <w:sz w:val="20"/>
          <w:szCs w:val="20"/>
          <w:lang w:val="es-ES"/>
        </w:rPr>
      </w:pPr>
      <w:r w:rsidRPr="00635B4E">
        <w:rPr>
          <w:rFonts w:ascii="Verdana" w:eastAsia="Verdana" w:hAnsi="Verdana" w:cs="Verdana"/>
          <w:sz w:val="20"/>
          <w:szCs w:val="20"/>
          <w:lang w:val="es-ES"/>
        </w:rPr>
        <w:t>Pablo Saavedra Alessandri</w:t>
      </w:r>
    </w:p>
    <w:p w14:paraId="4EC36005" w14:textId="0B7F34AA" w:rsidR="005D5C7B" w:rsidRPr="00635B4E" w:rsidRDefault="00635B4E" w:rsidP="00770C1F">
      <w:pPr>
        <w:spacing w:after="0" w:line="240" w:lineRule="auto"/>
        <w:ind w:firstLine="708"/>
        <w:rPr>
          <w:rFonts w:ascii="Verdana" w:eastAsia="Verdana" w:hAnsi="Verdana" w:cs="Verdana"/>
          <w:sz w:val="20"/>
          <w:szCs w:val="20"/>
          <w:lang w:val="es-ES"/>
        </w:rPr>
      </w:pPr>
      <w:r w:rsidRPr="00635B4E">
        <w:rPr>
          <w:rFonts w:ascii="Verdana" w:eastAsia="Verdana" w:hAnsi="Verdana" w:cs="Verdana"/>
          <w:sz w:val="20"/>
          <w:szCs w:val="20"/>
          <w:lang w:val="es-ES"/>
        </w:rPr>
        <w:tab/>
        <w:t>Secretario</w:t>
      </w:r>
    </w:p>
    <w:sectPr w:rsidR="005D5C7B" w:rsidRPr="00635B4E" w:rsidSect="00667D9C">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D169" w14:textId="77777777" w:rsidR="00A81167" w:rsidRDefault="00A81167" w:rsidP="0060785C">
      <w:pPr>
        <w:spacing w:after="0" w:line="240" w:lineRule="auto"/>
      </w:pPr>
      <w:r>
        <w:separator/>
      </w:r>
    </w:p>
  </w:endnote>
  <w:endnote w:type="continuationSeparator" w:id="0">
    <w:p w14:paraId="21A4F572" w14:textId="77777777" w:rsidR="00A81167" w:rsidRDefault="00A81167" w:rsidP="00607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4E58" w14:textId="77777777" w:rsidR="00667D9C" w:rsidRDefault="00667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8150"/>
      <w:docPartObj>
        <w:docPartGallery w:val="Page Numbers (Bottom of Page)"/>
        <w:docPartUnique/>
      </w:docPartObj>
    </w:sdtPr>
    <w:sdtContent>
      <w:p w14:paraId="62487A59" w14:textId="5ED601E6" w:rsidR="00667D9C" w:rsidRDefault="00667D9C">
        <w:pPr>
          <w:pStyle w:val="Footer"/>
          <w:jc w:val="center"/>
        </w:pPr>
        <w:r w:rsidRPr="00B846EA">
          <w:rPr>
            <w:rFonts w:ascii="Calibri" w:hAnsi="Calibri" w:cs="Calibri"/>
            <w:sz w:val="22"/>
            <w:szCs w:val="22"/>
          </w:rPr>
          <w:fldChar w:fldCharType="begin"/>
        </w:r>
        <w:r w:rsidRPr="00B846EA">
          <w:rPr>
            <w:rFonts w:ascii="Calibri" w:hAnsi="Calibri" w:cs="Calibri"/>
            <w:sz w:val="22"/>
            <w:szCs w:val="22"/>
          </w:rPr>
          <w:instrText>PAGE   \* MERGEFORMAT</w:instrText>
        </w:r>
        <w:r w:rsidRPr="00B846EA">
          <w:rPr>
            <w:rFonts w:ascii="Calibri" w:hAnsi="Calibri" w:cs="Calibri"/>
            <w:sz w:val="22"/>
            <w:szCs w:val="22"/>
          </w:rPr>
          <w:fldChar w:fldCharType="separate"/>
        </w:r>
        <w:r w:rsidRPr="00B846EA">
          <w:rPr>
            <w:rFonts w:ascii="Calibri" w:hAnsi="Calibri" w:cs="Calibri"/>
            <w:sz w:val="22"/>
            <w:szCs w:val="22"/>
            <w:lang w:val="es-ES"/>
          </w:rPr>
          <w:t>2</w:t>
        </w:r>
        <w:r w:rsidRPr="00B846EA">
          <w:rPr>
            <w:rFonts w:ascii="Calibri" w:hAnsi="Calibri" w:cs="Calibri"/>
            <w:sz w:val="22"/>
            <w:szCs w:val="22"/>
          </w:rPr>
          <w:fldChar w:fldCharType="end"/>
        </w:r>
      </w:p>
    </w:sdtContent>
  </w:sdt>
  <w:p w14:paraId="2379F01E" w14:textId="77777777" w:rsidR="00667D9C" w:rsidRDefault="00667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B7CE" w14:textId="77777777" w:rsidR="00667D9C" w:rsidRDefault="00667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4911" w14:textId="77777777" w:rsidR="00A81167" w:rsidRDefault="00A81167" w:rsidP="0060785C">
      <w:pPr>
        <w:spacing w:after="0" w:line="240" w:lineRule="auto"/>
      </w:pPr>
      <w:r>
        <w:separator/>
      </w:r>
    </w:p>
  </w:footnote>
  <w:footnote w:type="continuationSeparator" w:id="0">
    <w:p w14:paraId="761C498C" w14:textId="77777777" w:rsidR="00A81167" w:rsidRDefault="00A81167" w:rsidP="0060785C">
      <w:pPr>
        <w:spacing w:after="0" w:line="240" w:lineRule="auto"/>
      </w:pPr>
      <w:r>
        <w:continuationSeparator/>
      </w:r>
    </w:p>
  </w:footnote>
  <w:footnote w:id="1">
    <w:p w14:paraId="0D8C9926" w14:textId="277661CE" w:rsidR="00B20612" w:rsidRPr="00770C1F" w:rsidRDefault="00B20612" w:rsidP="00950E1A">
      <w:pPr>
        <w:pStyle w:val="FootnoteText"/>
        <w:jc w:val="both"/>
        <w:rPr>
          <w:rFonts w:ascii="Verdana" w:hAnsi="Verdana"/>
          <w:kern w:val="0"/>
          <w:sz w:val="16"/>
          <w:szCs w:val="16"/>
          <w:lang w:val="es-ES"/>
          <w14:ligatures w14:val="none"/>
        </w:rPr>
      </w:pPr>
      <w:r w:rsidRPr="00770C1F">
        <w:rPr>
          <w:rStyle w:val="FootnoteReference"/>
          <w:rFonts w:ascii="Verdana" w:hAnsi="Verdana"/>
          <w:sz w:val="16"/>
          <w:szCs w:val="16"/>
        </w:rPr>
        <w:footnoteRef/>
      </w:r>
      <w:r w:rsidRPr="00770C1F">
        <w:rPr>
          <w:rFonts w:ascii="Verdana" w:hAnsi="Verdana"/>
          <w:sz w:val="16"/>
          <w:szCs w:val="16"/>
        </w:rPr>
        <w:t xml:space="preserve"> </w:t>
      </w:r>
      <w:r w:rsidRPr="00770C1F">
        <w:rPr>
          <w:rFonts w:ascii="Verdana" w:hAnsi="Verdana"/>
          <w:sz w:val="16"/>
          <w:szCs w:val="16"/>
          <w:lang w:val="es-ES"/>
        </w:rPr>
        <w:t>Artículo 65.2 del Reglamento de la Corte IDH: “Todo Juez que haya participado en el examen de un caso tiene derecho a unir a la sentencia su voto concurrente o disidente que deberá ser razonado. Estos votos deberán ser presentados dentro del plazo fijado por la Presidencia, de modo que puedan ser conocidos por los Jueces antes de la notificación de la sentencia. Dichos votos sólo podrán referirse a lo tratado en las sentencias”.</w:t>
      </w:r>
    </w:p>
  </w:footnote>
  <w:footnote w:id="2">
    <w:p w14:paraId="0CDB7141" w14:textId="7FD4F2DF" w:rsidR="00D56AF5" w:rsidRPr="00770C1F" w:rsidRDefault="00D56AF5" w:rsidP="00950E1A">
      <w:pPr>
        <w:pStyle w:val="FootnoteText"/>
        <w:jc w:val="both"/>
        <w:rPr>
          <w:rFonts w:ascii="Verdana" w:hAnsi="Verdana"/>
          <w:sz w:val="16"/>
          <w:szCs w:val="16"/>
        </w:rPr>
      </w:pPr>
      <w:r w:rsidRPr="00770C1F">
        <w:rPr>
          <w:rStyle w:val="FootnoteReference"/>
          <w:rFonts w:ascii="Verdana" w:hAnsi="Verdana"/>
          <w:sz w:val="16"/>
          <w:szCs w:val="16"/>
        </w:rPr>
        <w:footnoteRef/>
      </w:r>
      <w:r w:rsidRPr="00770C1F">
        <w:rPr>
          <w:rFonts w:ascii="Verdana" w:hAnsi="Verdana"/>
          <w:sz w:val="16"/>
          <w:szCs w:val="16"/>
        </w:rPr>
        <w:t xml:space="preserve"> </w:t>
      </w:r>
      <w:r w:rsidRPr="00770C1F">
        <w:rPr>
          <w:rFonts w:ascii="Verdana" w:hAnsi="Verdana"/>
          <w:i/>
          <w:iCs/>
          <w:sz w:val="16"/>
          <w:szCs w:val="16"/>
        </w:rPr>
        <w:t>Cfr.</w:t>
      </w:r>
      <w:r w:rsidRPr="00770C1F">
        <w:rPr>
          <w:rFonts w:ascii="Verdana" w:hAnsi="Verdana"/>
          <w:sz w:val="16"/>
          <w:szCs w:val="16"/>
        </w:rPr>
        <w:t xml:space="preserve"> </w:t>
      </w:r>
      <w:r w:rsidRPr="00770C1F">
        <w:rPr>
          <w:rFonts w:ascii="Verdana" w:hAnsi="Verdana"/>
          <w:i/>
          <w:iCs/>
          <w:sz w:val="16"/>
          <w:szCs w:val="16"/>
        </w:rPr>
        <w:t>Caso Capriles Vs. Venezuela, Excepción Preliminar, Fondo, Reparaciones y Costas.</w:t>
      </w:r>
      <w:r w:rsidRPr="00770C1F">
        <w:rPr>
          <w:rFonts w:ascii="Verdana" w:hAnsi="Verdana"/>
          <w:sz w:val="16"/>
          <w:szCs w:val="16"/>
        </w:rPr>
        <w:t xml:space="preserve"> Sentencia de 10 de octubre de 2024. Serie C No. 541, párr. 161.</w:t>
      </w:r>
    </w:p>
  </w:footnote>
  <w:footnote w:id="3">
    <w:p w14:paraId="327395FC" w14:textId="29676D32" w:rsidR="00D56AF5" w:rsidRPr="00770C1F" w:rsidRDefault="00D56AF5" w:rsidP="00950E1A">
      <w:pPr>
        <w:pStyle w:val="FootnoteText"/>
        <w:jc w:val="both"/>
        <w:rPr>
          <w:rFonts w:ascii="Verdana" w:hAnsi="Verdana"/>
          <w:sz w:val="16"/>
          <w:szCs w:val="16"/>
        </w:rPr>
      </w:pPr>
      <w:r w:rsidRPr="00770C1F">
        <w:rPr>
          <w:rStyle w:val="FootnoteReference"/>
          <w:rFonts w:ascii="Verdana" w:hAnsi="Verdana"/>
          <w:sz w:val="16"/>
          <w:szCs w:val="16"/>
        </w:rPr>
        <w:footnoteRef/>
      </w:r>
      <w:r w:rsidRPr="00770C1F">
        <w:rPr>
          <w:rFonts w:ascii="Verdana" w:hAnsi="Verdana"/>
          <w:sz w:val="16"/>
          <w:szCs w:val="16"/>
        </w:rPr>
        <w:t xml:space="preserve"> </w:t>
      </w:r>
      <w:r w:rsidRPr="00770C1F">
        <w:rPr>
          <w:rFonts w:ascii="Verdana" w:hAnsi="Verdana"/>
          <w:i/>
          <w:iCs/>
          <w:sz w:val="16"/>
          <w:szCs w:val="16"/>
        </w:rPr>
        <w:t>Cfr.</w:t>
      </w:r>
      <w:r w:rsidRPr="00770C1F">
        <w:rPr>
          <w:rFonts w:ascii="Verdana" w:hAnsi="Verdana"/>
          <w:sz w:val="16"/>
          <w:szCs w:val="16"/>
        </w:rPr>
        <w:t xml:space="preserve"> </w:t>
      </w:r>
      <w:r w:rsidRPr="00770C1F">
        <w:rPr>
          <w:rFonts w:ascii="Verdana" w:hAnsi="Verdana"/>
          <w:i/>
          <w:iCs/>
          <w:sz w:val="16"/>
          <w:szCs w:val="16"/>
        </w:rPr>
        <w:t>Caso Capriles Vs. Venezuela, supra</w:t>
      </w:r>
      <w:r w:rsidRPr="00770C1F">
        <w:rPr>
          <w:rFonts w:ascii="Verdana" w:hAnsi="Verdana"/>
          <w:sz w:val="16"/>
          <w:szCs w:val="16"/>
        </w:rPr>
        <w:t>, párr. 163.</w:t>
      </w:r>
    </w:p>
  </w:footnote>
  <w:footnote w:id="4">
    <w:p w14:paraId="18BF397B" w14:textId="59D3B22E" w:rsidR="00D56AF5" w:rsidRPr="00770C1F" w:rsidRDefault="00D56AF5" w:rsidP="00950E1A">
      <w:pPr>
        <w:pStyle w:val="FootnoteText"/>
        <w:jc w:val="both"/>
        <w:rPr>
          <w:rFonts w:ascii="Verdana" w:hAnsi="Verdana"/>
          <w:sz w:val="16"/>
          <w:szCs w:val="16"/>
        </w:rPr>
      </w:pPr>
      <w:r w:rsidRPr="00770C1F">
        <w:rPr>
          <w:rStyle w:val="FootnoteReference"/>
          <w:rFonts w:ascii="Verdana" w:hAnsi="Verdana"/>
          <w:sz w:val="16"/>
          <w:szCs w:val="16"/>
        </w:rPr>
        <w:footnoteRef/>
      </w:r>
      <w:r w:rsidRPr="00770C1F">
        <w:rPr>
          <w:rFonts w:ascii="Verdana" w:hAnsi="Verdana"/>
          <w:sz w:val="16"/>
          <w:szCs w:val="16"/>
        </w:rPr>
        <w:t xml:space="preserve"> </w:t>
      </w:r>
      <w:r w:rsidRPr="00770C1F">
        <w:rPr>
          <w:rFonts w:ascii="Verdana" w:hAnsi="Verdana"/>
          <w:i/>
          <w:iCs/>
          <w:sz w:val="16"/>
          <w:szCs w:val="16"/>
        </w:rPr>
        <w:t>Cfr. Caso Capriles Vs. Venezuela, supra</w:t>
      </w:r>
      <w:r w:rsidRPr="00770C1F">
        <w:rPr>
          <w:rFonts w:ascii="Verdana" w:hAnsi="Verdana"/>
          <w:sz w:val="16"/>
          <w:szCs w:val="16"/>
        </w:rPr>
        <w:t>, párr. 165.</w:t>
      </w:r>
    </w:p>
  </w:footnote>
  <w:footnote w:id="5">
    <w:p w14:paraId="1C13100E" w14:textId="6476FFF5" w:rsidR="00086443" w:rsidRPr="00770C1F" w:rsidRDefault="00086443" w:rsidP="00950E1A">
      <w:pPr>
        <w:pStyle w:val="FootnoteText"/>
        <w:jc w:val="both"/>
        <w:rPr>
          <w:rFonts w:ascii="Verdana" w:hAnsi="Verdana"/>
          <w:sz w:val="16"/>
          <w:szCs w:val="16"/>
        </w:rPr>
      </w:pPr>
      <w:r w:rsidRPr="00770C1F">
        <w:rPr>
          <w:rStyle w:val="FootnoteReference"/>
          <w:rFonts w:ascii="Verdana" w:hAnsi="Verdana"/>
          <w:sz w:val="16"/>
          <w:szCs w:val="16"/>
        </w:rPr>
        <w:footnoteRef/>
      </w:r>
      <w:r w:rsidRPr="00770C1F">
        <w:rPr>
          <w:rFonts w:ascii="Verdana" w:hAnsi="Verdana"/>
          <w:sz w:val="16"/>
          <w:szCs w:val="16"/>
        </w:rPr>
        <w:t xml:space="preserve"> </w:t>
      </w:r>
      <w:r w:rsidR="00083D40" w:rsidRPr="00770C1F">
        <w:rPr>
          <w:rFonts w:ascii="Verdana" w:hAnsi="Verdana"/>
          <w:i/>
          <w:iCs/>
          <w:sz w:val="16"/>
          <w:szCs w:val="16"/>
        </w:rPr>
        <w:t xml:space="preserve">Cfr. </w:t>
      </w:r>
      <w:r w:rsidR="00083D40" w:rsidRPr="00770C1F">
        <w:rPr>
          <w:rFonts w:ascii="Verdana" w:hAnsi="Verdana"/>
          <w:i/>
          <w:iCs/>
          <w:sz w:val="16"/>
          <w:szCs w:val="16"/>
          <w:lang w:val="es-ES"/>
        </w:rPr>
        <w:t xml:space="preserve">Caso Baraona Bray Vs. Chile, Excepciones Preliminares, Fondo, Reparaciones y Costas. </w:t>
      </w:r>
      <w:r w:rsidR="00083D40" w:rsidRPr="00770C1F">
        <w:rPr>
          <w:rFonts w:ascii="Verdana" w:hAnsi="Verdana"/>
          <w:sz w:val="16"/>
          <w:szCs w:val="16"/>
          <w:lang w:val="es-ES"/>
        </w:rPr>
        <w:t>Sentencia de 24 de noviembre de 2022. Serie C No. 481</w:t>
      </w:r>
      <w:r w:rsidR="00083D40" w:rsidRPr="00770C1F">
        <w:rPr>
          <w:rFonts w:ascii="Verdana" w:hAnsi="Verdana"/>
          <w:i/>
          <w:iCs/>
          <w:sz w:val="16"/>
          <w:szCs w:val="16"/>
          <w:lang w:val="es-ES"/>
        </w:rPr>
        <w:t xml:space="preserve">, </w:t>
      </w:r>
      <w:r w:rsidR="00083D40" w:rsidRPr="00770C1F">
        <w:rPr>
          <w:rFonts w:ascii="Verdana" w:hAnsi="Verdana"/>
          <w:sz w:val="16"/>
          <w:szCs w:val="16"/>
          <w:lang w:val="es-ES"/>
        </w:rPr>
        <w:t>Voto concurrente y parcialmente disidente junto al Juez Humberto A. Sierra Porto</w:t>
      </w:r>
      <w:r w:rsidR="00D823D7" w:rsidRPr="00770C1F">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B925" w14:textId="77777777" w:rsidR="00667D9C" w:rsidRDefault="00667D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ACDE" w14:textId="77777777" w:rsidR="00667D9C" w:rsidRDefault="00667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FC4" w14:textId="77777777" w:rsidR="00667D9C" w:rsidRDefault="00667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45FB"/>
    <w:multiLevelType w:val="hybridMultilevel"/>
    <w:tmpl w:val="8EF86174"/>
    <w:lvl w:ilvl="0" w:tplc="1EAE7DA4">
      <w:start w:val="1"/>
      <w:numFmt w:val="decimal"/>
      <w:lvlText w:val="%1."/>
      <w:lvlJc w:val="left"/>
      <w:pPr>
        <w:ind w:left="720" w:hanging="360"/>
      </w:pPr>
      <w:rPr>
        <w:rFonts w:ascii="Verdana" w:hAnsi="Verdana" w:hint="default"/>
        <w:sz w:val="20"/>
        <w:szCs w:val="20"/>
        <w:lang w:val="es-CR"/>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4EBD5D3D"/>
    <w:multiLevelType w:val="hybridMultilevel"/>
    <w:tmpl w:val="03DA04CA"/>
    <w:lvl w:ilvl="0" w:tplc="F55A12E0">
      <w:start w:val="1"/>
      <w:numFmt w:val="decimal"/>
      <w:lvlText w:val="%1."/>
      <w:lvlJc w:val="left"/>
      <w:pPr>
        <w:ind w:left="5322" w:hanging="360"/>
      </w:pPr>
      <w:rPr>
        <w:rFonts w:ascii="Verdana" w:hAnsi="Verdana" w:hint="default"/>
        <w:b w:val="0"/>
        <w:i w:val="0"/>
        <w:iCs w:val="0"/>
        <w:strike w:val="0"/>
        <w:color w:val="000000" w:themeColor="text1"/>
        <w:sz w:val="20"/>
        <w:szCs w:val="2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FBD3BF7"/>
    <w:multiLevelType w:val="hybridMultilevel"/>
    <w:tmpl w:val="F7AAE7B0"/>
    <w:lvl w:ilvl="0" w:tplc="D574505E">
      <w:start w:val="1"/>
      <w:numFmt w:val="decimal"/>
      <w:pStyle w:val="ListParagraph"/>
      <w:lvlText w:val="%1."/>
      <w:lvlJc w:val="left"/>
      <w:pPr>
        <w:ind w:left="1440" w:hanging="360"/>
      </w:pPr>
      <w:rPr>
        <w:color w:val="auto"/>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532B6A1D"/>
    <w:multiLevelType w:val="multilevel"/>
    <w:tmpl w:val="48C2BBE8"/>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B11DC2"/>
    <w:multiLevelType w:val="hybridMultilevel"/>
    <w:tmpl w:val="918C5428"/>
    <w:lvl w:ilvl="0" w:tplc="1DAA84F2">
      <w:start w:val="1"/>
      <w:numFmt w:val="decimal"/>
      <w:lvlText w:val="%1."/>
      <w:lvlJc w:val="left"/>
      <w:pPr>
        <w:ind w:left="454" w:firstLine="5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423FED"/>
    <w:multiLevelType w:val="hybridMultilevel"/>
    <w:tmpl w:val="7AF8E79C"/>
    <w:lvl w:ilvl="0" w:tplc="CB3EA3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D6064A1"/>
    <w:multiLevelType w:val="hybridMultilevel"/>
    <w:tmpl w:val="97309E48"/>
    <w:lvl w:ilvl="0" w:tplc="CD861E10">
      <w:start w:val="1"/>
      <w:numFmt w:val="upperRoman"/>
      <w:lvlText w:val="%1."/>
      <w:lvlJc w:val="left"/>
      <w:pPr>
        <w:ind w:left="1428" w:hanging="720"/>
      </w:pPr>
      <w:rPr>
        <w:rFonts w:hint="default"/>
        <w:b/>
        <w:bCs/>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15:restartNumberingAfterBreak="0">
    <w:nsid w:val="697C0704"/>
    <w:multiLevelType w:val="hybridMultilevel"/>
    <w:tmpl w:val="C37C24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532982"/>
    <w:multiLevelType w:val="hybridMultilevel"/>
    <w:tmpl w:val="E2C2EB9A"/>
    <w:lvl w:ilvl="0" w:tplc="EA22DA94">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16cid:durableId="228615847">
    <w:abstractNumId w:val="2"/>
  </w:num>
  <w:num w:numId="2" w16cid:durableId="1528253737">
    <w:abstractNumId w:val="4"/>
  </w:num>
  <w:num w:numId="3" w16cid:durableId="882794530">
    <w:abstractNumId w:val="2"/>
    <w:lvlOverride w:ilvl="0">
      <w:startOverride w:val="1"/>
    </w:lvlOverride>
  </w:num>
  <w:num w:numId="4" w16cid:durableId="883785111">
    <w:abstractNumId w:val="6"/>
  </w:num>
  <w:num w:numId="5" w16cid:durableId="869880668">
    <w:abstractNumId w:val="1"/>
  </w:num>
  <w:num w:numId="6" w16cid:durableId="2052917847">
    <w:abstractNumId w:val="7"/>
  </w:num>
  <w:num w:numId="7" w16cid:durableId="1775201433">
    <w:abstractNumId w:val="5"/>
  </w:num>
  <w:num w:numId="8" w16cid:durableId="38478689">
    <w:abstractNumId w:val="8"/>
  </w:num>
  <w:num w:numId="9" w16cid:durableId="336225483">
    <w:abstractNumId w:val="3"/>
  </w:num>
  <w:num w:numId="10" w16cid:durableId="1276861971">
    <w:abstractNumId w:val="0"/>
  </w:num>
  <w:num w:numId="11" w16cid:durableId="1057053116">
    <w:abstractNumId w:val="2"/>
  </w:num>
  <w:num w:numId="12" w16cid:durableId="333607148">
    <w:abstractNumId w:val="2"/>
  </w:num>
  <w:num w:numId="13" w16cid:durableId="1551110292">
    <w:abstractNumId w:val="2"/>
  </w:num>
  <w:num w:numId="14" w16cid:durableId="1681740003">
    <w:abstractNumId w:val="2"/>
  </w:num>
  <w:num w:numId="15" w16cid:durableId="1306934879">
    <w:abstractNumId w:val="2"/>
  </w:num>
  <w:num w:numId="16" w16cid:durableId="651325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58"/>
    <w:rsid w:val="00004EF0"/>
    <w:rsid w:val="000068E3"/>
    <w:rsid w:val="00012945"/>
    <w:rsid w:val="0001556D"/>
    <w:rsid w:val="000302E6"/>
    <w:rsid w:val="00035955"/>
    <w:rsid w:val="00050EC4"/>
    <w:rsid w:val="00072C51"/>
    <w:rsid w:val="00073931"/>
    <w:rsid w:val="00083188"/>
    <w:rsid w:val="00083D40"/>
    <w:rsid w:val="00086443"/>
    <w:rsid w:val="00092F6A"/>
    <w:rsid w:val="000A5B7C"/>
    <w:rsid w:val="000B4E89"/>
    <w:rsid w:val="000C0312"/>
    <w:rsid w:val="000C1031"/>
    <w:rsid w:val="000E0DD4"/>
    <w:rsid w:val="000E4D03"/>
    <w:rsid w:val="000E7AF2"/>
    <w:rsid w:val="000F2309"/>
    <w:rsid w:val="000F657F"/>
    <w:rsid w:val="00103A6B"/>
    <w:rsid w:val="001063D7"/>
    <w:rsid w:val="001163E6"/>
    <w:rsid w:val="00122B9D"/>
    <w:rsid w:val="001265F1"/>
    <w:rsid w:val="00132058"/>
    <w:rsid w:val="00133C72"/>
    <w:rsid w:val="00145DC7"/>
    <w:rsid w:val="00157D7B"/>
    <w:rsid w:val="00172879"/>
    <w:rsid w:val="0017321D"/>
    <w:rsid w:val="0019304D"/>
    <w:rsid w:val="001A56D1"/>
    <w:rsid w:val="001A6C4A"/>
    <w:rsid w:val="001B5AE7"/>
    <w:rsid w:val="001B63EA"/>
    <w:rsid w:val="001C17C0"/>
    <w:rsid w:val="001D362E"/>
    <w:rsid w:val="001D37C9"/>
    <w:rsid w:val="001E76C7"/>
    <w:rsid w:val="00200E68"/>
    <w:rsid w:val="002010BB"/>
    <w:rsid w:val="00233E67"/>
    <w:rsid w:val="00237B0D"/>
    <w:rsid w:val="002477F7"/>
    <w:rsid w:val="002720F6"/>
    <w:rsid w:val="002727EE"/>
    <w:rsid w:val="00272DD2"/>
    <w:rsid w:val="002D08FE"/>
    <w:rsid w:val="002D40CB"/>
    <w:rsid w:val="002D5BC5"/>
    <w:rsid w:val="002F3B99"/>
    <w:rsid w:val="002F3D2E"/>
    <w:rsid w:val="002F4E5C"/>
    <w:rsid w:val="002F630C"/>
    <w:rsid w:val="00300176"/>
    <w:rsid w:val="00306DF1"/>
    <w:rsid w:val="00312118"/>
    <w:rsid w:val="003317AB"/>
    <w:rsid w:val="00333D2F"/>
    <w:rsid w:val="00341103"/>
    <w:rsid w:val="00342823"/>
    <w:rsid w:val="00345A5C"/>
    <w:rsid w:val="00367377"/>
    <w:rsid w:val="00371A37"/>
    <w:rsid w:val="00371C58"/>
    <w:rsid w:val="003A5B12"/>
    <w:rsid w:val="003B093F"/>
    <w:rsid w:val="003B0B8D"/>
    <w:rsid w:val="003B6B8B"/>
    <w:rsid w:val="003B7F31"/>
    <w:rsid w:val="003C7783"/>
    <w:rsid w:val="003D2A2B"/>
    <w:rsid w:val="003E2652"/>
    <w:rsid w:val="0040346F"/>
    <w:rsid w:val="00403843"/>
    <w:rsid w:val="00403869"/>
    <w:rsid w:val="004160A1"/>
    <w:rsid w:val="004224AB"/>
    <w:rsid w:val="004248CE"/>
    <w:rsid w:val="0043036C"/>
    <w:rsid w:val="004313ED"/>
    <w:rsid w:val="0044531E"/>
    <w:rsid w:val="0045359F"/>
    <w:rsid w:val="004638F5"/>
    <w:rsid w:val="004A045B"/>
    <w:rsid w:val="004A092D"/>
    <w:rsid w:val="004A233D"/>
    <w:rsid w:val="004A6118"/>
    <w:rsid w:val="004B64FE"/>
    <w:rsid w:val="004B69E8"/>
    <w:rsid w:val="004B7100"/>
    <w:rsid w:val="004B7415"/>
    <w:rsid w:val="004D255D"/>
    <w:rsid w:val="0050420A"/>
    <w:rsid w:val="00507A57"/>
    <w:rsid w:val="00507E55"/>
    <w:rsid w:val="00512714"/>
    <w:rsid w:val="00515BD8"/>
    <w:rsid w:val="00525BB8"/>
    <w:rsid w:val="005509BD"/>
    <w:rsid w:val="005615D5"/>
    <w:rsid w:val="0056561C"/>
    <w:rsid w:val="005851F9"/>
    <w:rsid w:val="005859B9"/>
    <w:rsid w:val="005B5AEA"/>
    <w:rsid w:val="005C118A"/>
    <w:rsid w:val="005D4305"/>
    <w:rsid w:val="005D551B"/>
    <w:rsid w:val="005D5C48"/>
    <w:rsid w:val="005D5C7B"/>
    <w:rsid w:val="005F6FF8"/>
    <w:rsid w:val="0060785C"/>
    <w:rsid w:val="00620458"/>
    <w:rsid w:val="00621A0D"/>
    <w:rsid w:val="006325C2"/>
    <w:rsid w:val="00634207"/>
    <w:rsid w:val="00635B4E"/>
    <w:rsid w:val="00637108"/>
    <w:rsid w:val="00654BA9"/>
    <w:rsid w:val="00667D9C"/>
    <w:rsid w:val="00687667"/>
    <w:rsid w:val="00692CA5"/>
    <w:rsid w:val="00697895"/>
    <w:rsid w:val="006A43AA"/>
    <w:rsid w:val="006B40E5"/>
    <w:rsid w:val="006C3B06"/>
    <w:rsid w:val="006C43A1"/>
    <w:rsid w:val="006C7EEA"/>
    <w:rsid w:val="006D5DC4"/>
    <w:rsid w:val="006E49DC"/>
    <w:rsid w:val="006F005A"/>
    <w:rsid w:val="006F3207"/>
    <w:rsid w:val="00711522"/>
    <w:rsid w:val="00712BDC"/>
    <w:rsid w:val="007141F1"/>
    <w:rsid w:val="0072538F"/>
    <w:rsid w:val="00752A55"/>
    <w:rsid w:val="0076472D"/>
    <w:rsid w:val="00770C1F"/>
    <w:rsid w:val="00771640"/>
    <w:rsid w:val="007736D1"/>
    <w:rsid w:val="00777FA3"/>
    <w:rsid w:val="00790C1F"/>
    <w:rsid w:val="007B60D6"/>
    <w:rsid w:val="007C2884"/>
    <w:rsid w:val="007C33E8"/>
    <w:rsid w:val="007C6753"/>
    <w:rsid w:val="007D6245"/>
    <w:rsid w:val="007E1384"/>
    <w:rsid w:val="007F767D"/>
    <w:rsid w:val="00807B85"/>
    <w:rsid w:val="0082626C"/>
    <w:rsid w:val="00826839"/>
    <w:rsid w:val="00840EEA"/>
    <w:rsid w:val="00844D7C"/>
    <w:rsid w:val="00856C76"/>
    <w:rsid w:val="00860F61"/>
    <w:rsid w:val="008636D7"/>
    <w:rsid w:val="00875204"/>
    <w:rsid w:val="00875FAB"/>
    <w:rsid w:val="00885CAC"/>
    <w:rsid w:val="00887FFE"/>
    <w:rsid w:val="008912FE"/>
    <w:rsid w:val="008A1132"/>
    <w:rsid w:val="008C32D1"/>
    <w:rsid w:val="008C3E66"/>
    <w:rsid w:val="008D617E"/>
    <w:rsid w:val="00906E5A"/>
    <w:rsid w:val="00914D2F"/>
    <w:rsid w:val="00914FBF"/>
    <w:rsid w:val="00941906"/>
    <w:rsid w:val="0094670F"/>
    <w:rsid w:val="00950406"/>
    <w:rsid w:val="00950E1A"/>
    <w:rsid w:val="009635EF"/>
    <w:rsid w:val="009724BB"/>
    <w:rsid w:val="00976C6F"/>
    <w:rsid w:val="009828BD"/>
    <w:rsid w:val="0098360A"/>
    <w:rsid w:val="009861FB"/>
    <w:rsid w:val="009C2742"/>
    <w:rsid w:val="009C54FC"/>
    <w:rsid w:val="009C67BD"/>
    <w:rsid w:val="009E5F27"/>
    <w:rsid w:val="00A04A89"/>
    <w:rsid w:val="00A057CD"/>
    <w:rsid w:val="00A20F1F"/>
    <w:rsid w:val="00A25660"/>
    <w:rsid w:val="00A31948"/>
    <w:rsid w:val="00A32995"/>
    <w:rsid w:val="00A3479E"/>
    <w:rsid w:val="00A37AC7"/>
    <w:rsid w:val="00A46869"/>
    <w:rsid w:val="00A501E5"/>
    <w:rsid w:val="00A64041"/>
    <w:rsid w:val="00A81167"/>
    <w:rsid w:val="00A87266"/>
    <w:rsid w:val="00A91EA0"/>
    <w:rsid w:val="00A96DAE"/>
    <w:rsid w:val="00AA2048"/>
    <w:rsid w:val="00AA2952"/>
    <w:rsid w:val="00AA2BB4"/>
    <w:rsid w:val="00AB409E"/>
    <w:rsid w:val="00AC61D4"/>
    <w:rsid w:val="00AD7E8D"/>
    <w:rsid w:val="00AE01D7"/>
    <w:rsid w:val="00AE5409"/>
    <w:rsid w:val="00AF176C"/>
    <w:rsid w:val="00AF2167"/>
    <w:rsid w:val="00B02F8A"/>
    <w:rsid w:val="00B03823"/>
    <w:rsid w:val="00B06F5A"/>
    <w:rsid w:val="00B1166F"/>
    <w:rsid w:val="00B14054"/>
    <w:rsid w:val="00B20612"/>
    <w:rsid w:val="00B214A4"/>
    <w:rsid w:val="00B247FB"/>
    <w:rsid w:val="00B253D8"/>
    <w:rsid w:val="00B27264"/>
    <w:rsid w:val="00B34F8F"/>
    <w:rsid w:val="00B42969"/>
    <w:rsid w:val="00B44664"/>
    <w:rsid w:val="00B53D0D"/>
    <w:rsid w:val="00B565EE"/>
    <w:rsid w:val="00B57B01"/>
    <w:rsid w:val="00B81C11"/>
    <w:rsid w:val="00B837BE"/>
    <w:rsid w:val="00B84262"/>
    <w:rsid w:val="00B846EA"/>
    <w:rsid w:val="00B84A9A"/>
    <w:rsid w:val="00B922EB"/>
    <w:rsid w:val="00BA2CE6"/>
    <w:rsid w:val="00BB0CD1"/>
    <w:rsid w:val="00BC14E5"/>
    <w:rsid w:val="00BC34EC"/>
    <w:rsid w:val="00BE1E0E"/>
    <w:rsid w:val="00C045CC"/>
    <w:rsid w:val="00C045F2"/>
    <w:rsid w:val="00C04FD2"/>
    <w:rsid w:val="00C0644A"/>
    <w:rsid w:val="00C07738"/>
    <w:rsid w:val="00C117E4"/>
    <w:rsid w:val="00C11C0E"/>
    <w:rsid w:val="00C14B3E"/>
    <w:rsid w:val="00C312E6"/>
    <w:rsid w:val="00C461A6"/>
    <w:rsid w:val="00C50A0D"/>
    <w:rsid w:val="00C57D85"/>
    <w:rsid w:val="00C616EF"/>
    <w:rsid w:val="00C668B7"/>
    <w:rsid w:val="00C70217"/>
    <w:rsid w:val="00CA076A"/>
    <w:rsid w:val="00CB44A4"/>
    <w:rsid w:val="00CB4CCC"/>
    <w:rsid w:val="00CD03E6"/>
    <w:rsid w:val="00CD7FCD"/>
    <w:rsid w:val="00CE3409"/>
    <w:rsid w:val="00CF4CAE"/>
    <w:rsid w:val="00CF6F61"/>
    <w:rsid w:val="00D03ACD"/>
    <w:rsid w:val="00D13D93"/>
    <w:rsid w:val="00D21600"/>
    <w:rsid w:val="00D2295A"/>
    <w:rsid w:val="00D35C4B"/>
    <w:rsid w:val="00D461B2"/>
    <w:rsid w:val="00D56AF5"/>
    <w:rsid w:val="00D64403"/>
    <w:rsid w:val="00D823D7"/>
    <w:rsid w:val="00DC395B"/>
    <w:rsid w:val="00DD366D"/>
    <w:rsid w:val="00DE64CA"/>
    <w:rsid w:val="00DF431B"/>
    <w:rsid w:val="00E05F27"/>
    <w:rsid w:val="00E06333"/>
    <w:rsid w:val="00E1060B"/>
    <w:rsid w:val="00E110CA"/>
    <w:rsid w:val="00E141F1"/>
    <w:rsid w:val="00E304D0"/>
    <w:rsid w:val="00E42F6E"/>
    <w:rsid w:val="00E53BE9"/>
    <w:rsid w:val="00E54562"/>
    <w:rsid w:val="00E55387"/>
    <w:rsid w:val="00E5551B"/>
    <w:rsid w:val="00E55DFE"/>
    <w:rsid w:val="00E57A5E"/>
    <w:rsid w:val="00E6131B"/>
    <w:rsid w:val="00E82D24"/>
    <w:rsid w:val="00E833CE"/>
    <w:rsid w:val="00E96BE3"/>
    <w:rsid w:val="00E97B23"/>
    <w:rsid w:val="00EA4F08"/>
    <w:rsid w:val="00EB193F"/>
    <w:rsid w:val="00EC2800"/>
    <w:rsid w:val="00ED55F5"/>
    <w:rsid w:val="00EE0F6D"/>
    <w:rsid w:val="00EF150F"/>
    <w:rsid w:val="00F04F38"/>
    <w:rsid w:val="00F05EDB"/>
    <w:rsid w:val="00F07F33"/>
    <w:rsid w:val="00F163B6"/>
    <w:rsid w:val="00F2024F"/>
    <w:rsid w:val="00F22645"/>
    <w:rsid w:val="00F54254"/>
    <w:rsid w:val="00F56EB3"/>
    <w:rsid w:val="00F57C30"/>
    <w:rsid w:val="00F72EDD"/>
    <w:rsid w:val="00F74772"/>
    <w:rsid w:val="00F91B77"/>
    <w:rsid w:val="00FA3054"/>
    <w:rsid w:val="00FD3E97"/>
    <w:rsid w:val="00FD50B4"/>
    <w:rsid w:val="00FE5832"/>
    <w:rsid w:val="00FF5573"/>
    <w:rsid w:val="00FF78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EDBC"/>
  <w15:chartTrackingRefBased/>
  <w15:docId w15:val="{1A6BE355-703A-4349-80FC-A6CD9D93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B7C"/>
  </w:style>
  <w:style w:type="paragraph" w:styleId="Heading1">
    <w:name w:val="heading 1"/>
    <w:basedOn w:val="Normal"/>
    <w:next w:val="Normal"/>
    <w:link w:val="Heading1Char"/>
    <w:uiPriority w:val="9"/>
    <w:qFormat/>
    <w:rsid w:val="00620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305"/>
    <w:pPr>
      <w:tabs>
        <w:tab w:val="left" w:pos="851"/>
      </w:tabs>
      <w:spacing w:before="240"/>
      <w:ind w:firstLine="708"/>
      <w:jc w:val="both"/>
      <w:outlineLvl w:val="1"/>
    </w:pPr>
    <w:rPr>
      <w:rFonts w:ascii="Verdana" w:hAnsi="Verdana"/>
      <w:b/>
      <w:bCs/>
      <w:sz w:val="20"/>
      <w:szCs w:val="16"/>
    </w:rPr>
  </w:style>
  <w:style w:type="paragraph" w:styleId="Heading3">
    <w:name w:val="heading 3"/>
    <w:basedOn w:val="Normal"/>
    <w:next w:val="Normal"/>
    <w:link w:val="Heading3Char"/>
    <w:uiPriority w:val="9"/>
    <w:semiHidden/>
    <w:unhideWhenUsed/>
    <w:qFormat/>
    <w:rsid w:val="00620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305"/>
    <w:rPr>
      <w:rFonts w:ascii="Verdana" w:hAnsi="Verdana"/>
      <w:b/>
      <w:bCs/>
      <w:sz w:val="20"/>
      <w:szCs w:val="16"/>
    </w:rPr>
  </w:style>
  <w:style w:type="character" w:customStyle="1" w:styleId="Heading3Char">
    <w:name w:val="Heading 3 Char"/>
    <w:basedOn w:val="DefaultParagraphFont"/>
    <w:link w:val="Heading3"/>
    <w:uiPriority w:val="9"/>
    <w:semiHidden/>
    <w:rsid w:val="00620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58"/>
    <w:rPr>
      <w:rFonts w:eastAsiaTheme="majorEastAsia" w:cstheme="majorBidi"/>
      <w:color w:val="272727" w:themeColor="text1" w:themeTint="D8"/>
    </w:rPr>
  </w:style>
  <w:style w:type="paragraph" w:styleId="Title">
    <w:name w:val="Title"/>
    <w:basedOn w:val="Normal"/>
    <w:next w:val="Normal"/>
    <w:link w:val="TitleChar"/>
    <w:uiPriority w:val="10"/>
    <w:qFormat/>
    <w:rsid w:val="00620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58"/>
    <w:pPr>
      <w:spacing w:before="160"/>
      <w:jc w:val="center"/>
    </w:pPr>
    <w:rPr>
      <w:i/>
      <w:iCs/>
      <w:color w:val="404040" w:themeColor="text1" w:themeTint="BF"/>
    </w:rPr>
  </w:style>
  <w:style w:type="character" w:customStyle="1" w:styleId="QuoteChar">
    <w:name w:val="Quote Char"/>
    <w:basedOn w:val="DefaultParagraphFont"/>
    <w:link w:val="Quote"/>
    <w:uiPriority w:val="29"/>
    <w:rsid w:val="00620458"/>
    <w:rPr>
      <w:i/>
      <w:iCs/>
      <w:color w:val="404040" w:themeColor="text1" w:themeTint="BF"/>
    </w:rPr>
  </w:style>
  <w:style w:type="paragraph" w:styleId="ListParagraph">
    <w:name w:val="List Paragraph"/>
    <w:aliases w:val="List Paragraph1,Colorful List - Accent 11,Párrafo de lista1,List Paragraph2,Lista vistosa - Énfasis 11,Subtle Emphasis1,Footnote1,List Paragraph11,Parrafos,Cuadrícula clara - Énfasis 31,Lista clara - Énfasis 51"/>
    <w:basedOn w:val="Normal"/>
    <w:link w:val="ListParagraphChar"/>
    <w:uiPriority w:val="1"/>
    <w:qFormat/>
    <w:rsid w:val="00B14054"/>
    <w:pPr>
      <w:numPr>
        <w:numId w:val="1"/>
      </w:numPr>
      <w:contextualSpacing/>
    </w:pPr>
    <w:rPr>
      <w:rFonts w:ascii="Verdana" w:hAnsi="Verdana"/>
      <w:color w:val="000000" w:themeColor="text1"/>
      <w:sz w:val="20"/>
      <w:lang w:val="es-ES"/>
    </w:rPr>
  </w:style>
  <w:style w:type="character" w:styleId="IntenseEmphasis">
    <w:name w:val="Intense Emphasis"/>
    <w:basedOn w:val="DefaultParagraphFont"/>
    <w:uiPriority w:val="21"/>
    <w:qFormat/>
    <w:rsid w:val="00620458"/>
    <w:rPr>
      <w:i/>
      <w:iCs/>
      <w:color w:val="0F4761" w:themeColor="accent1" w:themeShade="BF"/>
    </w:rPr>
  </w:style>
  <w:style w:type="paragraph" w:styleId="IntenseQuote">
    <w:name w:val="Intense Quote"/>
    <w:basedOn w:val="Normal"/>
    <w:next w:val="Normal"/>
    <w:link w:val="IntenseQuoteChar"/>
    <w:uiPriority w:val="30"/>
    <w:qFormat/>
    <w:rsid w:val="00620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458"/>
    <w:rPr>
      <w:i/>
      <w:iCs/>
      <w:color w:val="0F4761" w:themeColor="accent1" w:themeShade="BF"/>
    </w:rPr>
  </w:style>
  <w:style w:type="character" w:styleId="IntenseReference">
    <w:name w:val="Intense Reference"/>
    <w:basedOn w:val="DefaultParagraphFont"/>
    <w:uiPriority w:val="32"/>
    <w:qFormat/>
    <w:rsid w:val="00620458"/>
    <w:rPr>
      <w:b/>
      <w:bCs/>
      <w:smallCaps/>
      <w:color w:val="0F4761" w:themeColor="accent1" w:themeShade="BF"/>
      <w:spacing w:val="5"/>
    </w:rPr>
  </w:style>
  <w:style w:type="character" w:customStyle="1" w:styleId="ListParagraphChar">
    <w:name w:val="List Paragraph Char"/>
    <w:aliases w:val="List Paragraph1 Char,Colorful List - Accent 11 Char,Párrafo de lista1 Char,List Paragraph2 Char,Lista vistosa - Énfasis 11 Char,Subtle Emphasis1 Char,Footnote1 Char,List Paragraph11 Char,Parrafos Char,Lista clara - Énfasis 51 Char"/>
    <w:basedOn w:val="DefaultParagraphFont"/>
    <w:link w:val="ListParagraph"/>
    <w:uiPriority w:val="99"/>
    <w:locked/>
    <w:rsid w:val="0060785C"/>
    <w:rPr>
      <w:rFonts w:ascii="Verdana" w:hAnsi="Verdana"/>
      <w:color w:val="000000" w:themeColor="text1"/>
      <w:sz w:val="20"/>
      <w:lang w:val="es-ES"/>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C,ft"/>
    <w:basedOn w:val="Normal"/>
    <w:link w:val="FootnoteTextChar"/>
    <w:uiPriority w:val="99"/>
    <w:unhideWhenUsed/>
    <w:qFormat/>
    <w:rsid w:val="0060785C"/>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uiPriority w:val="99"/>
    <w:qFormat/>
    <w:rsid w:val="0060785C"/>
    <w:rPr>
      <w:sz w:val="20"/>
      <w:szCs w:val="20"/>
    </w:rPr>
  </w:style>
  <w:style w:type="character" w:styleId="FootnoteReference">
    <w:name w:val="footnote reference"/>
    <w:aliases w:val="Footnotes refss,Texto de nota al pie,Appel note de bas de page,Footnote number,referencia nota al pie,BVI fnr,f,Ref. de nota al pie.,Footnote symbol,Footnote,4_G,16 Point,Superscript 6 Point,Texto nota al pie,Ref,de nota al pie,norma"/>
    <w:basedOn w:val="DefaultParagraphFont"/>
    <w:link w:val="FootnotesrefssChar1Char"/>
    <w:uiPriority w:val="99"/>
    <w:unhideWhenUsed/>
    <w:qFormat/>
    <w:rsid w:val="0060785C"/>
    <w:rPr>
      <w:vertAlign w:val="superscript"/>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uiPriority w:val="99"/>
    <w:qFormat/>
    <w:rsid w:val="0060785C"/>
    <w:pPr>
      <w:spacing w:line="240" w:lineRule="exact"/>
    </w:pPr>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807B85"/>
    <w:pPr>
      <w:spacing w:after="0" w:line="240" w:lineRule="auto"/>
      <w:jc w:val="both"/>
    </w:pPr>
    <w:rPr>
      <w:sz w:val="22"/>
      <w:szCs w:val="22"/>
      <w:vertAlign w:val="superscript"/>
    </w:rPr>
  </w:style>
  <w:style w:type="paragraph" w:styleId="NormalWeb">
    <w:name w:val="Normal (Web)"/>
    <w:basedOn w:val="Normal"/>
    <w:uiPriority w:val="99"/>
    <w:semiHidden/>
    <w:unhideWhenUsed/>
    <w:rsid w:val="008C32D1"/>
    <w:rPr>
      <w:rFonts w:ascii="Times New Roman" w:hAnsi="Times New Roman" w:cs="Times New Roman"/>
    </w:rPr>
  </w:style>
  <w:style w:type="character" w:styleId="Strong">
    <w:name w:val="Strong"/>
    <w:basedOn w:val="DefaultParagraphFont"/>
    <w:uiPriority w:val="22"/>
    <w:qFormat/>
    <w:rsid w:val="00507E55"/>
    <w:rPr>
      <w:b/>
      <w:bCs/>
    </w:rPr>
  </w:style>
  <w:style w:type="character" w:styleId="Hyperlink">
    <w:name w:val="Hyperlink"/>
    <w:basedOn w:val="DefaultParagraphFont"/>
    <w:uiPriority w:val="99"/>
    <w:unhideWhenUsed/>
    <w:rsid w:val="00CB44A4"/>
    <w:rPr>
      <w:color w:val="467886" w:themeColor="hyperlink"/>
      <w:u w:val="single"/>
    </w:rPr>
  </w:style>
  <w:style w:type="character" w:styleId="UnresolvedMention">
    <w:name w:val="Unresolved Mention"/>
    <w:basedOn w:val="DefaultParagraphFont"/>
    <w:uiPriority w:val="99"/>
    <w:semiHidden/>
    <w:unhideWhenUsed/>
    <w:rsid w:val="00CB44A4"/>
    <w:rPr>
      <w:color w:val="605E5C"/>
      <w:shd w:val="clear" w:color="auto" w:fill="E1DFDD"/>
    </w:rPr>
  </w:style>
  <w:style w:type="paragraph" w:styleId="Revision">
    <w:name w:val="Revision"/>
    <w:hidden/>
    <w:uiPriority w:val="99"/>
    <w:semiHidden/>
    <w:rsid w:val="00ED55F5"/>
    <w:pPr>
      <w:spacing w:after="0" w:line="240" w:lineRule="auto"/>
    </w:pPr>
  </w:style>
  <w:style w:type="paragraph" w:styleId="Header">
    <w:name w:val="header"/>
    <w:basedOn w:val="Normal"/>
    <w:link w:val="HeaderChar"/>
    <w:uiPriority w:val="99"/>
    <w:unhideWhenUsed/>
    <w:rsid w:val="00667D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7D9C"/>
  </w:style>
  <w:style w:type="paragraph" w:styleId="Footer">
    <w:name w:val="footer"/>
    <w:basedOn w:val="Normal"/>
    <w:link w:val="FooterChar"/>
    <w:uiPriority w:val="99"/>
    <w:unhideWhenUsed/>
    <w:rsid w:val="00667D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7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92760">
      <w:bodyDiv w:val="1"/>
      <w:marLeft w:val="0"/>
      <w:marRight w:val="0"/>
      <w:marTop w:val="0"/>
      <w:marBottom w:val="0"/>
      <w:divBdr>
        <w:top w:val="none" w:sz="0" w:space="0" w:color="auto"/>
        <w:left w:val="none" w:sz="0" w:space="0" w:color="auto"/>
        <w:bottom w:val="none" w:sz="0" w:space="0" w:color="auto"/>
        <w:right w:val="none" w:sz="0" w:space="0" w:color="auto"/>
      </w:divBdr>
    </w:div>
    <w:div w:id="204564207">
      <w:bodyDiv w:val="1"/>
      <w:marLeft w:val="0"/>
      <w:marRight w:val="0"/>
      <w:marTop w:val="0"/>
      <w:marBottom w:val="0"/>
      <w:divBdr>
        <w:top w:val="none" w:sz="0" w:space="0" w:color="auto"/>
        <w:left w:val="none" w:sz="0" w:space="0" w:color="auto"/>
        <w:bottom w:val="none" w:sz="0" w:space="0" w:color="auto"/>
        <w:right w:val="none" w:sz="0" w:space="0" w:color="auto"/>
      </w:divBdr>
      <w:divsChild>
        <w:div w:id="1163550110">
          <w:marLeft w:val="0"/>
          <w:marRight w:val="0"/>
          <w:marTop w:val="0"/>
          <w:marBottom w:val="0"/>
          <w:divBdr>
            <w:top w:val="none" w:sz="0" w:space="0" w:color="auto"/>
            <w:left w:val="none" w:sz="0" w:space="0" w:color="auto"/>
            <w:bottom w:val="none" w:sz="0" w:space="0" w:color="auto"/>
            <w:right w:val="none" w:sz="0" w:space="0" w:color="auto"/>
          </w:divBdr>
          <w:divsChild>
            <w:div w:id="1973753566">
              <w:marLeft w:val="0"/>
              <w:marRight w:val="0"/>
              <w:marTop w:val="0"/>
              <w:marBottom w:val="0"/>
              <w:divBdr>
                <w:top w:val="none" w:sz="0" w:space="0" w:color="auto"/>
                <w:left w:val="none" w:sz="0" w:space="0" w:color="auto"/>
                <w:bottom w:val="none" w:sz="0" w:space="0" w:color="auto"/>
                <w:right w:val="none" w:sz="0" w:space="0" w:color="auto"/>
              </w:divBdr>
              <w:divsChild>
                <w:div w:id="748815240">
                  <w:marLeft w:val="0"/>
                  <w:marRight w:val="0"/>
                  <w:marTop w:val="0"/>
                  <w:marBottom w:val="0"/>
                  <w:divBdr>
                    <w:top w:val="none" w:sz="0" w:space="0" w:color="auto"/>
                    <w:left w:val="none" w:sz="0" w:space="0" w:color="auto"/>
                    <w:bottom w:val="none" w:sz="0" w:space="0" w:color="auto"/>
                    <w:right w:val="none" w:sz="0" w:space="0" w:color="auto"/>
                  </w:divBdr>
                  <w:divsChild>
                    <w:div w:id="84687614">
                      <w:marLeft w:val="0"/>
                      <w:marRight w:val="0"/>
                      <w:marTop w:val="0"/>
                      <w:marBottom w:val="0"/>
                      <w:divBdr>
                        <w:top w:val="none" w:sz="0" w:space="0" w:color="auto"/>
                        <w:left w:val="none" w:sz="0" w:space="0" w:color="auto"/>
                        <w:bottom w:val="none" w:sz="0" w:space="0" w:color="auto"/>
                        <w:right w:val="none" w:sz="0" w:space="0" w:color="auto"/>
                      </w:divBdr>
                      <w:divsChild>
                        <w:div w:id="1055197718">
                          <w:marLeft w:val="0"/>
                          <w:marRight w:val="0"/>
                          <w:marTop w:val="0"/>
                          <w:marBottom w:val="0"/>
                          <w:divBdr>
                            <w:top w:val="none" w:sz="0" w:space="0" w:color="auto"/>
                            <w:left w:val="none" w:sz="0" w:space="0" w:color="auto"/>
                            <w:bottom w:val="none" w:sz="0" w:space="0" w:color="auto"/>
                            <w:right w:val="none" w:sz="0" w:space="0" w:color="auto"/>
                          </w:divBdr>
                          <w:divsChild>
                            <w:div w:id="2035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832078">
      <w:bodyDiv w:val="1"/>
      <w:marLeft w:val="0"/>
      <w:marRight w:val="0"/>
      <w:marTop w:val="0"/>
      <w:marBottom w:val="0"/>
      <w:divBdr>
        <w:top w:val="none" w:sz="0" w:space="0" w:color="auto"/>
        <w:left w:val="none" w:sz="0" w:space="0" w:color="auto"/>
        <w:bottom w:val="none" w:sz="0" w:space="0" w:color="auto"/>
        <w:right w:val="none" w:sz="0" w:space="0" w:color="auto"/>
      </w:divBdr>
    </w:div>
    <w:div w:id="394861004">
      <w:bodyDiv w:val="1"/>
      <w:marLeft w:val="0"/>
      <w:marRight w:val="0"/>
      <w:marTop w:val="0"/>
      <w:marBottom w:val="0"/>
      <w:divBdr>
        <w:top w:val="none" w:sz="0" w:space="0" w:color="auto"/>
        <w:left w:val="none" w:sz="0" w:space="0" w:color="auto"/>
        <w:bottom w:val="none" w:sz="0" w:space="0" w:color="auto"/>
        <w:right w:val="none" w:sz="0" w:space="0" w:color="auto"/>
      </w:divBdr>
    </w:div>
    <w:div w:id="749155029">
      <w:bodyDiv w:val="1"/>
      <w:marLeft w:val="0"/>
      <w:marRight w:val="0"/>
      <w:marTop w:val="0"/>
      <w:marBottom w:val="0"/>
      <w:divBdr>
        <w:top w:val="none" w:sz="0" w:space="0" w:color="auto"/>
        <w:left w:val="none" w:sz="0" w:space="0" w:color="auto"/>
        <w:bottom w:val="none" w:sz="0" w:space="0" w:color="auto"/>
        <w:right w:val="none" w:sz="0" w:space="0" w:color="auto"/>
      </w:divBdr>
    </w:div>
    <w:div w:id="811603651">
      <w:bodyDiv w:val="1"/>
      <w:marLeft w:val="0"/>
      <w:marRight w:val="0"/>
      <w:marTop w:val="0"/>
      <w:marBottom w:val="0"/>
      <w:divBdr>
        <w:top w:val="none" w:sz="0" w:space="0" w:color="auto"/>
        <w:left w:val="none" w:sz="0" w:space="0" w:color="auto"/>
        <w:bottom w:val="none" w:sz="0" w:space="0" w:color="auto"/>
        <w:right w:val="none" w:sz="0" w:space="0" w:color="auto"/>
      </w:divBdr>
    </w:div>
    <w:div w:id="1141188185">
      <w:bodyDiv w:val="1"/>
      <w:marLeft w:val="0"/>
      <w:marRight w:val="0"/>
      <w:marTop w:val="0"/>
      <w:marBottom w:val="0"/>
      <w:divBdr>
        <w:top w:val="none" w:sz="0" w:space="0" w:color="auto"/>
        <w:left w:val="none" w:sz="0" w:space="0" w:color="auto"/>
        <w:bottom w:val="none" w:sz="0" w:space="0" w:color="auto"/>
        <w:right w:val="none" w:sz="0" w:space="0" w:color="auto"/>
      </w:divBdr>
    </w:div>
    <w:div w:id="1260605221">
      <w:bodyDiv w:val="1"/>
      <w:marLeft w:val="0"/>
      <w:marRight w:val="0"/>
      <w:marTop w:val="0"/>
      <w:marBottom w:val="0"/>
      <w:divBdr>
        <w:top w:val="none" w:sz="0" w:space="0" w:color="auto"/>
        <w:left w:val="none" w:sz="0" w:space="0" w:color="auto"/>
        <w:bottom w:val="none" w:sz="0" w:space="0" w:color="auto"/>
        <w:right w:val="none" w:sz="0" w:space="0" w:color="auto"/>
      </w:divBdr>
    </w:div>
    <w:div w:id="1466509848">
      <w:bodyDiv w:val="1"/>
      <w:marLeft w:val="0"/>
      <w:marRight w:val="0"/>
      <w:marTop w:val="0"/>
      <w:marBottom w:val="0"/>
      <w:divBdr>
        <w:top w:val="none" w:sz="0" w:space="0" w:color="auto"/>
        <w:left w:val="none" w:sz="0" w:space="0" w:color="auto"/>
        <w:bottom w:val="none" w:sz="0" w:space="0" w:color="auto"/>
        <w:right w:val="none" w:sz="0" w:space="0" w:color="auto"/>
      </w:divBdr>
      <w:divsChild>
        <w:div w:id="1978550">
          <w:marLeft w:val="0"/>
          <w:marRight w:val="0"/>
          <w:marTop w:val="0"/>
          <w:marBottom w:val="0"/>
          <w:divBdr>
            <w:top w:val="none" w:sz="0" w:space="0" w:color="auto"/>
            <w:left w:val="none" w:sz="0" w:space="0" w:color="auto"/>
            <w:bottom w:val="none" w:sz="0" w:space="0" w:color="auto"/>
            <w:right w:val="none" w:sz="0" w:space="0" w:color="auto"/>
          </w:divBdr>
          <w:divsChild>
            <w:div w:id="1577744946">
              <w:marLeft w:val="0"/>
              <w:marRight w:val="0"/>
              <w:marTop w:val="0"/>
              <w:marBottom w:val="0"/>
              <w:divBdr>
                <w:top w:val="none" w:sz="0" w:space="0" w:color="auto"/>
                <w:left w:val="none" w:sz="0" w:space="0" w:color="auto"/>
                <w:bottom w:val="none" w:sz="0" w:space="0" w:color="auto"/>
                <w:right w:val="none" w:sz="0" w:space="0" w:color="auto"/>
              </w:divBdr>
              <w:divsChild>
                <w:div w:id="205874592">
                  <w:marLeft w:val="0"/>
                  <w:marRight w:val="0"/>
                  <w:marTop w:val="0"/>
                  <w:marBottom w:val="0"/>
                  <w:divBdr>
                    <w:top w:val="none" w:sz="0" w:space="0" w:color="auto"/>
                    <w:left w:val="none" w:sz="0" w:space="0" w:color="auto"/>
                    <w:bottom w:val="none" w:sz="0" w:space="0" w:color="auto"/>
                    <w:right w:val="none" w:sz="0" w:space="0" w:color="auto"/>
                  </w:divBdr>
                  <w:divsChild>
                    <w:div w:id="1554586619">
                      <w:marLeft w:val="0"/>
                      <w:marRight w:val="0"/>
                      <w:marTop w:val="0"/>
                      <w:marBottom w:val="0"/>
                      <w:divBdr>
                        <w:top w:val="none" w:sz="0" w:space="0" w:color="auto"/>
                        <w:left w:val="none" w:sz="0" w:space="0" w:color="auto"/>
                        <w:bottom w:val="none" w:sz="0" w:space="0" w:color="auto"/>
                        <w:right w:val="none" w:sz="0" w:space="0" w:color="auto"/>
                      </w:divBdr>
                      <w:divsChild>
                        <w:div w:id="444891060">
                          <w:marLeft w:val="0"/>
                          <w:marRight w:val="0"/>
                          <w:marTop w:val="0"/>
                          <w:marBottom w:val="0"/>
                          <w:divBdr>
                            <w:top w:val="none" w:sz="0" w:space="0" w:color="auto"/>
                            <w:left w:val="none" w:sz="0" w:space="0" w:color="auto"/>
                            <w:bottom w:val="none" w:sz="0" w:space="0" w:color="auto"/>
                            <w:right w:val="none" w:sz="0" w:space="0" w:color="auto"/>
                          </w:divBdr>
                          <w:divsChild>
                            <w:div w:id="18205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8855">
      <w:bodyDiv w:val="1"/>
      <w:marLeft w:val="0"/>
      <w:marRight w:val="0"/>
      <w:marTop w:val="0"/>
      <w:marBottom w:val="0"/>
      <w:divBdr>
        <w:top w:val="none" w:sz="0" w:space="0" w:color="auto"/>
        <w:left w:val="none" w:sz="0" w:space="0" w:color="auto"/>
        <w:bottom w:val="none" w:sz="0" w:space="0" w:color="auto"/>
        <w:right w:val="none" w:sz="0" w:space="0" w:color="auto"/>
      </w:divBdr>
    </w:div>
    <w:div w:id="1833909844">
      <w:bodyDiv w:val="1"/>
      <w:marLeft w:val="0"/>
      <w:marRight w:val="0"/>
      <w:marTop w:val="0"/>
      <w:marBottom w:val="0"/>
      <w:divBdr>
        <w:top w:val="none" w:sz="0" w:space="0" w:color="auto"/>
        <w:left w:val="none" w:sz="0" w:space="0" w:color="auto"/>
        <w:bottom w:val="none" w:sz="0" w:space="0" w:color="auto"/>
        <w:right w:val="none" w:sz="0" w:space="0" w:color="auto"/>
      </w:divBdr>
    </w:div>
    <w:div w:id="1935937289">
      <w:bodyDiv w:val="1"/>
      <w:marLeft w:val="0"/>
      <w:marRight w:val="0"/>
      <w:marTop w:val="0"/>
      <w:marBottom w:val="0"/>
      <w:divBdr>
        <w:top w:val="none" w:sz="0" w:space="0" w:color="auto"/>
        <w:left w:val="none" w:sz="0" w:space="0" w:color="auto"/>
        <w:bottom w:val="none" w:sz="0" w:space="0" w:color="auto"/>
        <w:right w:val="none" w:sz="0" w:space="0" w:color="auto"/>
      </w:divBdr>
    </w:div>
    <w:div w:id="207612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ed8ee5-181e-4e45-bf04-de22f04497b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B0D516EAA38D84ABDE3078F622D9F3E" ma:contentTypeVersion="14" ma:contentTypeDescription="Crear nuevo documento." ma:contentTypeScope="" ma:versionID="8b297cd6300ef05d9bace5c38ee03f4a">
  <xsd:schema xmlns:xsd="http://www.w3.org/2001/XMLSchema" xmlns:xs="http://www.w3.org/2001/XMLSchema" xmlns:p="http://schemas.microsoft.com/office/2006/metadata/properties" xmlns:ns3="a8ed8ee5-181e-4e45-bf04-de22f04497be" xmlns:ns4="45eae46d-dd86-4c9a-bd6e-f34c93e255d3" targetNamespace="http://schemas.microsoft.com/office/2006/metadata/properties" ma:root="true" ma:fieldsID="e3d8f0e9179943fd3cca7e6d516f1a84" ns3:_="" ns4:_="">
    <xsd:import namespace="a8ed8ee5-181e-4e45-bf04-de22f04497be"/>
    <xsd:import namespace="45eae46d-dd86-4c9a-bd6e-f34c93e255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d8ee5-181e-4e45-bf04-de22f04497b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eae46d-dd86-4c9a-bd6e-f34c93e255d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BF025-55B3-47E2-9BD8-56348F04EC7A}">
  <ds:schemaRefs>
    <ds:schemaRef ds:uri="http://schemas.microsoft.com/office/2006/metadata/properties"/>
    <ds:schemaRef ds:uri="http://schemas.microsoft.com/office/infopath/2007/PartnerControls"/>
    <ds:schemaRef ds:uri="a8ed8ee5-181e-4e45-bf04-de22f04497be"/>
  </ds:schemaRefs>
</ds:datastoreItem>
</file>

<file path=customXml/itemProps2.xml><?xml version="1.0" encoding="utf-8"?>
<ds:datastoreItem xmlns:ds="http://schemas.openxmlformats.org/officeDocument/2006/customXml" ds:itemID="{F806F21B-7FF0-422C-84F9-BBB6BF6143C5}">
  <ds:schemaRefs>
    <ds:schemaRef ds:uri="http://schemas.openxmlformats.org/officeDocument/2006/bibliography"/>
  </ds:schemaRefs>
</ds:datastoreItem>
</file>

<file path=customXml/itemProps3.xml><?xml version="1.0" encoding="utf-8"?>
<ds:datastoreItem xmlns:ds="http://schemas.openxmlformats.org/officeDocument/2006/customXml" ds:itemID="{D712288B-7E2A-4C7F-9794-F4C83C63E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d8ee5-181e-4e45-bf04-de22f04497be"/>
    <ds:schemaRef ds:uri="45eae46d-dd86-4c9a-bd6e-f34c93e25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EF470-46DA-48C7-A65A-B998A1828D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3879</Characters>
  <Application>Microsoft Office Word</Application>
  <DocSecurity>0</DocSecurity>
  <Lines>77</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L.F L.F</cp:lastModifiedBy>
  <cp:revision>2</cp:revision>
  <cp:lastPrinted>2024-12-02T18:35:00Z</cp:lastPrinted>
  <dcterms:created xsi:type="dcterms:W3CDTF">2026-01-12T23:40:00Z</dcterms:created>
  <dcterms:modified xsi:type="dcterms:W3CDTF">2026-01-12T23:40:00Z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0x0101007B0D516EAA38D84ABDE3078F622D9F3E</vt:lpwstr>
  </property>
</Properties>
</file>