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DD75A" w14:textId="02093D19" w:rsidR="00F03BB8" w:rsidRPr="00A1016B" w:rsidRDefault="00F03BB8" w:rsidP="00F03BB8">
      <w:pPr>
        <w:tabs>
          <w:tab w:val="left" w:pos="709"/>
        </w:tabs>
        <w:spacing w:before="120" w:after="120" w:line="276" w:lineRule="auto"/>
        <w:jc w:val="center"/>
        <w:rPr>
          <w:rFonts w:ascii="Verdana" w:hAnsi="Verdana"/>
          <w:b/>
          <w:sz w:val="20"/>
          <w:szCs w:val="20"/>
        </w:rPr>
      </w:pPr>
      <w:r w:rsidRPr="00A1016B">
        <w:rPr>
          <w:rFonts w:ascii="Verdana" w:hAnsi="Verdana"/>
          <w:b/>
          <w:sz w:val="20"/>
          <w:szCs w:val="20"/>
        </w:rPr>
        <w:t xml:space="preserve">VOTO CONCURRENTE DEL </w:t>
      </w:r>
    </w:p>
    <w:p w14:paraId="3DCB7B5A" w14:textId="37799364" w:rsidR="00F03BB8" w:rsidRPr="00A1016B" w:rsidRDefault="00F03BB8" w:rsidP="00F03BB8">
      <w:pPr>
        <w:tabs>
          <w:tab w:val="left" w:pos="709"/>
        </w:tabs>
        <w:spacing w:before="120" w:after="120" w:line="276" w:lineRule="auto"/>
        <w:jc w:val="center"/>
        <w:rPr>
          <w:rFonts w:ascii="Verdana" w:hAnsi="Verdana"/>
          <w:b/>
          <w:sz w:val="20"/>
          <w:szCs w:val="20"/>
        </w:rPr>
      </w:pPr>
      <w:r w:rsidRPr="00A1016B">
        <w:rPr>
          <w:rFonts w:ascii="Verdana" w:hAnsi="Verdana"/>
          <w:b/>
          <w:sz w:val="20"/>
          <w:szCs w:val="20"/>
        </w:rPr>
        <w:t xml:space="preserve">JUEZ HUMBERTO ANTONIO SIERRA PORTO </w:t>
      </w:r>
    </w:p>
    <w:p w14:paraId="4247F580" w14:textId="77777777" w:rsidR="00F03BB8" w:rsidRPr="00A1016B" w:rsidRDefault="00F03BB8" w:rsidP="00F03BB8">
      <w:pPr>
        <w:tabs>
          <w:tab w:val="left" w:pos="709"/>
        </w:tabs>
        <w:spacing w:before="120" w:after="120" w:line="276" w:lineRule="auto"/>
        <w:jc w:val="center"/>
        <w:rPr>
          <w:rFonts w:ascii="Verdana" w:hAnsi="Verdana"/>
          <w:b/>
          <w:sz w:val="20"/>
          <w:szCs w:val="20"/>
        </w:rPr>
      </w:pPr>
    </w:p>
    <w:p w14:paraId="5DA2061E" w14:textId="77777777" w:rsidR="00F03BB8" w:rsidRPr="00A1016B" w:rsidRDefault="00F03BB8" w:rsidP="00F03BB8">
      <w:pPr>
        <w:spacing w:before="120" w:after="120" w:line="276" w:lineRule="auto"/>
        <w:jc w:val="center"/>
        <w:rPr>
          <w:rFonts w:ascii="Verdana" w:eastAsia="MS Mincho" w:hAnsi="Verdana" w:cs="Times New Roman"/>
          <w:b/>
          <w:sz w:val="20"/>
          <w:szCs w:val="20"/>
          <w:lang w:eastAsia="es-CR"/>
        </w:rPr>
      </w:pPr>
      <w:r w:rsidRPr="00A1016B">
        <w:rPr>
          <w:rFonts w:ascii="Verdana" w:eastAsia="MS Mincho" w:hAnsi="Verdana" w:cs="Times New Roman"/>
          <w:b/>
          <w:sz w:val="20"/>
          <w:szCs w:val="20"/>
          <w:lang w:eastAsia="es-CR"/>
        </w:rPr>
        <w:t>CORTE INTERAMERICANA DE DERECHOS HUMANOS</w:t>
      </w:r>
      <w:r w:rsidRPr="00A1016B">
        <w:rPr>
          <w:rFonts w:ascii="Verdana" w:eastAsia="MS Mincho" w:hAnsi="Verdana" w:cs="Times New Roman"/>
          <w:b/>
          <w:sz w:val="20"/>
          <w:szCs w:val="20"/>
          <w:lang w:eastAsia="es-CR"/>
        </w:rPr>
        <w:tab/>
      </w:r>
    </w:p>
    <w:p w14:paraId="2BD185D7" w14:textId="77777777" w:rsidR="00F03BB8" w:rsidRPr="00A1016B" w:rsidRDefault="00F03BB8" w:rsidP="00F03BB8">
      <w:pPr>
        <w:tabs>
          <w:tab w:val="left" w:pos="709"/>
        </w:tabs>
        <w:spacing w:before="120" w:after="120" w:line="276" w:lineRule="auto"/>
        <w:jc w:val="center"/>
        <w:rPr>
          <w:rFonts w:ascii="Verdana" w:hAnsi="Verdana"/>
          <w:b/>
          <w:sz w:val="20"/>
          <w:szCs w:val="20"/>
        </w:rPr>
      </w:pPr>
    </w:p>
    <w:p w14:paraId="0B471D6A" w14:textId="77777777" w:rsidR="001E16C7" w:rsidRPr="00A1016B" w:rsidRDefault="001E16C7" w:rsidP="001E16C7">
      <w:pPr>
        <w:spacing w:before="120" w:after="120" w:line="276" w:lineRule="auto"/>
        <w:jc w:val="center"/>
        <w:rPr>
          <w:rFonts w:ascii="Verdana" w:hAnsi="Verdana"/>
          <w:b/>
          <w:bCs/>
          <w:sz w:val="20"/>
          <w:szCs w:val="20"/>
        </w:rPr>
      </w:pPr>
      <w:r w:rsidRPr="00A1016B">
        <w:rPr>
          <w:rFonts w:ascii="Verdana" w:hAnsi="Verdana"/>
          <w:b/>
          <w:bCs/>
          <w:sz w:val="20"/>
          <w:szCs w:val="20"/>
        </w:rPr>
        <w:t>CASO CAPRILES VS. VENEZUELA</w:t>
      </w:r>
    </w:p>
    <w:p w14:paraId="42402FC5" w14:textId="77777777" w:rsidR="001E16C7" w:rsidRPr="00A1016B" w:rsidRDefault="001E16C7" w:rsidP="001E16C7">
      <w:pPr>
        <w:spacing w:before="120" w:after="120" w:line="276" w:lineRule="auto"/>
        <w:jc w:val="center"/>
        <w:rPr>
          <w:rFonts w:ascii="Verdana" w:hAnsi="Verdana"/>
          <w:b/>
          <w:sz w:val="20"/>
          <w:szCs w:val="20"/>
        </w:rPr>
      </w:pPr>
    </w:p>
    <w:p w14:paraId="33755E40" w14:textId="77777777" w:rsidR="001E16C7" w:rsidRPr="00A1016B" w:rsidRDefault="001E16C7" w:rsidP="001E16C7">
      <w:pPr>
        <w:spacing w:before="120" w:after="120" w:line="276" w:lineRule="auto"/>
        <w:jc w:val="center"/>
        <w:rPr>
          <w:rFonts w:ascii="Verdana" w:hAnsi="Verdana"/>
          <w:b/>
          <w:sz w:val="20"/>
          <w:szCs w:val="20"/>
        </w:rPr>
      </w:pPr>
      <w:r w:rsidRPr="00A1016B">
        <w:rPr>
          <w:rFonts w:ascii="Verdana" w:hAnsi="Verdana"/>
          <w:b/>
          <w:sz w:val="20"/>
          <w:szCs w:val="20"/>
        </w:rPr>
        <w:t>SENTENCIA DE 10 DE OCTUBRE DE 2024</w:t>
      </w:r>
    </w:p>
    <w:p w14:paraId="38AD943E" w14:textId="77777777" w:rsidR="001E16C7" w:rsidRPr="00A1016B" w:rsidRDefault="001E16C7" w:rsidP="001E16C7">
      <w:pPr>
        <w:spacing w:before="120" w:after="120" w:line="276" w:lineRule="auto"/>
        <w:jc w:val="center"/>
        <w:rPr>
          <w:rFonts w:ascii="Verdana" w:hAnsi="Verdana"/>
          <w:b/>
          <w:i/>
          <w:sz w:val="20"/>
          <w:szCs w:val="20"/>
        </w:rPr>
      </w:pPr>
      <w:r w:rsidRPr="00A1016B">
        <w:rPr>
          <w:rFonts w:ascii="Verdana" w:hAnsi="Verdana"/>
          <w:b/>
          <w:i/>
          <w:sz w:val="20"/>
          <w:szCs w:val="20"/>
        </w:rPr>
        <w:t>(Excepción Preliminar, Fondo, Reparaciones y Costas)</w:t>
      </w:r>
    </w:p>
    <w:p w14:paraId="07FABEDA" w14:textId="77777777" w:rsidR="00F03BB8" w:rsidRPr="00A1016B" w:rsidRDefault="00F03BB8" w:rsidP="00D730B9">
      <w:pPr>
        <w:spacing w:after="0" w:line="240" w:lineRule="auto"/>
        <w:jc w:val="center"/>
        <w:rPr>
          <w:rFonts w:ascii="Verdana" w:eastAsia="Times New Roman" w:hAnsi="Verdana" w:cs="Times New Roman"/>
          <w:b/>
          <w:bCs/>
          <w:i/>
          <w:iCs/>
          <w:sz w:val="20"/>
          <w:szCs w:val="20"/>
          <w:lang w:eastAsia="es-ES_tradnl"/>
        </w:rPr>
      </w:pPr>
    </w:p>
    <w:p w14:paraId="59B216B0" w14:textId="5CAEBAAB" w:rsidR="003D3AAA" w:rsidRPr="00D730B9" w:rsidRDefault="00F03BB8" w:rsidP="00D730B9">
      <w:pPr>
        <w:pStyle w:val="ListParagraph"/>
        <w:numPr>
          <w:ilvl w:val="0"/>
          <w:numId w:val="1"/>
        </w:numPr>
        <w:autoSpaceDE w:val="0"/>
        <w:autoSpaceDN w:val="0"/>
        <w:adjustRightInd w:val="0"/>
        <w:spacing w:after="0" w:line="240" w:lineRule="auto"/>
        <w:ind w:left="0" w:firstLine="0"/>
        <w:contextualSpacing w:val="0"/>
        <w:jc w:val="both"/>
        <w:rPr>
          <w:rFonts w:ascii="Verdana" w:hAnsi="Verdana"/>
          <w:iCs/>
          <w:sz w:val="20"/>
          <w:szCs w:val="20"/>
        </w:rPr>
      </w:pPr>
      <w:r w:rsidRPr="00A1016B">
        <w:rPr>
          <w:rFonts w:ascii="Verdana" w:hAnsi="Verdana" w:cs="Times New Roman"/>
          <w:sz w:val="20"/>
          <w:szCs w:val="20"/>
        </w:rPr>
        <w:t>Con</w:t>
      </w:r>
      <w:r w:rsidRPr="00A1016B">
        <w:rPr>
          <w:rFonts w:ascii="Verdana" w:hAnsi="Verdana"/>
          <w:sz w:val="20"/>
          <w:szCs w:val="20"/>
        </w:rPr>
        <w:t xml:space="preserve"> el acostumbrado respeto por las decisiones de la Corte Interamericana de Derechos Humanos (en adelante “la Corte” o “el Tribunal”), el presente voto tiene por objeto presentar </w:t>
      </w:r>
      <w:r w:rsidR="004649BB" w:rsidRPr="00A1016B">
        <w:rPr>
          <w:rFonts w:ascii="Verdana" w:hAnsi="Verdana"/>
          <w:sz w:val="20"/>
          <w:szCs w:val="20"/>
        </w:rPr>
        <w:t xml:space="preserve">mi </w:t>
      </w:r>
      <w:r w:rsidRPr="00A1016B">
        <w:rPr>
          <w:rFonts w:ascii="Verdana" w:hAnsi="Verdana"/>
          <w:sz w:val="20"/>
          <w:szCs w:val="20"/>
        </w:rPr>
        <w:t xml:space="preserve">divergencia con las razones utilizadas para establecer la responsabilidad internacional del Estado de </w:t>
      </w:r>
      <w:r w:rsidR="000D4CDD" w:rsidRPr="00A1016B">
        <w:rPr>
          <w:rFonts w:ascii="Verdana" w:hAnsi="Verdana"/>
          <w:sz w:val="20"/>
          <w:szCs w:val="20"/>
        </w:rPr>
        <w:t>Venezuela</w:t>
      </w:r>
      <w:r w:rsidRPr="00A1016B">
        <w:rPr>
          <w:rFonts w:ascii="Verdana" w:hAnsi="Verdana"/>
          <w:sz w:val="20"/>
          <w:szCs w:val="20"/>
        </w:rPr>
        <w:t xml:space="preserve"> (en adelante “el Estado” o “</w:t>
      </w:r>
      <w:r w:rsidR="000D4CDD" w:rsidRPr="00A1016B">
        <w:rPr>
          <w:rFonts w:ascii="Verdana" w:hAnsi="Verdana"/>
          <w:sz w:val="20"/>
          <w:szCs w:val="20"/>
        </w:rPr>
        <w:t>Venezuela</w:t>
      </w:r>
      <w:r w:rsidRPr="00A1016B">
        <w:rPr>
          <w:rFonts w:ascii="Verdana" w:hAnsi="Verdana"/>
          <w:sz w:val="20"/>
          <w:szCs w:val="20"/>
        </w:rPr>
        <w:t xml:space="preserve">”) por la violación del derecho a la libertad de expresión del señor </w:t>
      </w:r>
      <w:r w:rsidR="004649BB" w:rsidRPr="00A1016B">
        <w:rPr>
          <w:rFonts w:ascii="Verdana" w:hAnsi="Verdana"/>
          <w:sz w:val="20"/>
          <w:szCs w:val="20"/>
        </w:rPr>
        <w:t xml:space="preserve">Henrique Capriles </w:t>
      </w:r>
      <w:proofErr w:type="spellStart"/>
      <w:r w:rsidR="004649BB" w:rsidRPr="00A1016B">
        <w:rPr>
          <w:rFonts w:ascii="Verdana" w:hAnsi="Verdana"/>
          <w:sz w:val="20"/>
          <w:szCs w:val="20"/>
        </w:rPr>
        <w:t>R</w:t>
      </w:r>
      <w:r w:rsidR="00D730B9">
        <w:rPr>
          <w:rFonts w:ascii="Verdana" w:hAnsi="Verdana"/>
          <w:sz w:val="20"/>
          <w:szCs w:val="20"/>
        </w:rPr>
        <w:t>a</w:t>
      </w:r>
      <w:r w:rsidR="004649BB" w:rsidRPr="00A1016B">
        <w:rPr>
          <w:rFonts w:ascii="Verdana" w:hAnsi="Verdana"/>
          <w:sz w:val="20"/>
          <w:szCs w:val="20"/>
        </w:rPr>
        <w:t>donski</w:t>
      </w:r>
      <w:proofErr w:type="spellEnd"/>
      <w:r w:rsidRPr="00A1016B">
        <w:rPr>
          <w:rFonts w:ascii="Verdana" w:hAnsi="Verdana"/>
          <w:sz w:val="20"/>
          <w:szCs w:val="20"/>
        </w:rPr>
        <w:t xml:space="preserve">. Si bien, </w:t>
      </w:r>
      <w:r w:rsidR="004649BB" w:rsidRPr="00A1016B">
        <w:rPr>
          <w:rFonts w:ascii="Verdana" w:hAnsi="Verdana"/>
          <w:sz w:val="20"/>
          <w:szCs w:val="20"/>
        </w:rPr>
        <w:t>comparto</w:t>
      </w:r>
      <w:r w:rsidRPr="00A1016B">
        <w:rPr>
          <w:rFonts w:ascii="Verdana" w:hAnsi="Verdana"/>
          <w:sz w:val="20"/>
          <w:szCs w:val="20"/>
        </w:rPr>
        <w:t xml:space="preserve"> plenamente el contenido del punto resolutivo tercero,</w:t>
      </w:r>
      <w:r w:rsidR="00FC6DD5" w:rsidRPr="00A1016B">
        <w:rPr>
          <w:rFonts w:ascii="Verdana" w:hAnsi="Verdana"/>
          <w:sz w:val="20"/>
          <w:szCs w:val="20"/>
        </w:rPr>
        <w:t xml:space="preserve"> </w:t>
      </w:r>
      <w:r w:rsidR="00457589" w:rsidRPr="00A1016B">
        <w:rPr>
          <w:rFonts w:ascii="Verdana" w:hAnsi="Verdana"/>
          <w:sz w:val="20"/>
          <w:szCs w:val="20"/>
        </w:rPr>
        <w:t>debo</w:t>
      </w:r>
      <w:r w:rsidRPr="00A1016B">
        <w:rPr>
          <w:rFonts w:ascii="Verdana" w:hAnsi="Verdana"/>
          <w:sz w:val="20"/>
          <w:szCs w:val="20"/>
        </w:rPr>
        <w:t xml:space="preserve"> manifestar desacuerdo con </w:t>
      </w:r>
      <w:r w:rsidR="00457589" w:rsidRPr="00A1016B">
        <w:rPr>
          <w:rFonts w:ascii="Verdana" w:hAnsi="Verdana"/>
          <w:sz w:val="20"/>
          <w:szCs w:val="20"/>
        </w:rPr>
        <w:t xml:space="preserve">la reiteración del </w:t>
      </w:r>
      <w:r w:rsidR="00936A07" w:rsidRPr="00A1016B">
        <w:rPr>
          <w:rFonts w:ascii="Verdana" w:hAnsi="Verdana"/>
          <w:sz w:val="20"/>
          <w:szCs w:val="20"/>
        </w:rPr>
        <w:t xml:space="preserve">criterio </w:t>
      </w:r>
      <w:r w:rsidR="000A0AF7" w:rsidRPr="00A1016B">
        <w:rPr>
          <w:rFonts w:ascii="Verdana" w:hAnsi="Verdana"/>
          <w:sz w:val="20"/>
          <w:szCs w:val="20"/>
        </w:rPr>
        <w:t xml:space="preserve">según </w:t>
      </w:r>
      <w:r w:rsidR="007407EC" w:rsidRPr="00A1016B">
        <w:rPr>
          <w:rFonts w:ascii="Verdana" w:hAnsi="Verdana"/>
          <w:sz w:val="20"/>
          <w:szCs w:val="20"/>
        </w:rPr>
        <w:t>el</w:t>
      </w:r>
      <w:r w:rsidR="000A0AF7" w:rsidRPr="00A1016B">
        <w:rPr>
          <w:rFonts w:ascii="Verdana" w:hAnsi="Verdana"/>
          <w:sz w:val="20"/>
          <w:szCs w:val="20"/>
        </w:rPr>
        <w:t xml:space="preserve"> cual</w:t>
      </w:r>
      <w:r w:rsidR="002F1420" w:rsidRPr="00A1016B">
        <w:rPr>
          <w:rFonts w:ascii="Verdana" w:hAnsi="Verdana"/>
          <w:sz w:val="20"/>
          <w:szCs w:val="20"/>
        </w:rPr>
        <w:t xml:space="preserve">, el artículo 13 de la Convención Americana </w:t>
      </w:r>
      <w:r w:rsidR="00C93E26" w:rsidRPr="00A1016B">
        <w:rPr>
          <w:rFonts w:ascii="Verdana" w:hAnsi="Verdana"/>
          <w:sz w:val="20"/>
          <w:szCs w:val="20"/>
        </w:rPr>
        <w:t xml:space="preserve">de Derechos Humanos (en adelante “Convención” o “CADH”) </w:t>
      </w:r>
      <w:r w:rsidR="002F1420" w:rsidRPr="00A1016B">
        <w:rPr>
          <w:rFonts w:ascii="Verdana" w:hAnsi="Verdana"/>
          <w:sz w:val="20"/>
          <w:szCs w:val="20"/>
        </w:rPr>
        <w:t>consagra una</w:t>
      </w:r>
      <w:r w:rsidR="002E62A1" w:rsidRPr="00A1016B">
        <w:rPr>
          <w:rFonts w:ascii="Verdana" w:hAnsi="Verdana"/>
          <w:sz w:val="20"/>
          <w:szCs w:val="20"/>
        </w:rPr>
        <w:t xml:space="preserve"> prohibición absoluta de</w:t>
      </w:r>
      <w:r w:rsidR="002F1420" w:rsidRPr="00A1016B">
        <w:rPr>
          <w:rFonts w:ascii="Verdana" w:hAnsi="Verdana"/>
          <w:sz w:val="20"/>
          <w:szCs w:val="20"/>
        </w:rPr>
        <w:t xml:space="preserve"> usar el</w:t>
      </w:r>
      <w:r w:rsidR="002E62A1" w:rsidRPr="00A1016B">
        <w:rPr>
          <w:rFonts w:ascii="Verdana" w:hAnsi="Verdana"/>
          <w:sz w:val="20"/>
          <w:szCs w:val="20"/>
        </w:rPr>
        <w:t xml:space="preserve"> derecho penal para proteger el honor de funcionarios públicos</w:t>
      </w:r>
      <w:r w:rsidR="00CF33BF" w:rsidRPr="00A1016B">
        <w:rPr>
          <w:rStyle w:val="FootnoteReference"/>
          <w:rFonts w:ascii="Verdana" w:hAnsi="Verdana"/>
          <w:sz w:val="20"/>
          <w:szCs w:val="20"/>
        </w:rPr>
        <w:footnoteReference w:id="1"/>
      </w:r>
      <w:r w:rsidR="002E62A1" w:rsidRPr="00A1016B">
        <w:rPr>
          <w:rFonts w:ascii="Verdana" w:hAnsi="Verdana"/>
          <w:sz w:val="20"/>
          <w:szCs w:val="20"/>
        </w:rPr>
        <w:t>.</w:t>
      </w:r>
    </w:p>
    <w:p w14:paraId="4373BE10" w14:textId="77777777" w:rsidR="00D730B9" w:rsidRPr="00A1016B" w:rsidRDefault="00D730B9" w:rsidP="00D730B9">
      <w:pPr>
        <w:pStyle w:val="ListParagraph"/>
        <w:autoSpaceDE w:val="0"/>
        <w:autoSpaceDN w:val="0"/>
        <w:adjustRightInd w:val="0"/>
        <w:spacing w:after="0" w:line="240" w:lineRule="auto"/>
        <w:ind w:left="0"/>
        <w:contextualSpacing w:val="0"/>
        <w:jc w:val="both"/>
        <w:rPr>
          <w:rFonts w:ascii="Verdana" w:hAnsi="Verdana"/>
          <w:iCs/>
          <w:sz w:val="20"/>
          <w:szCs w:val="20"/>
        </w:rPr>
      </w:pPr>
    </w:p>
    <w:p w14:paraId="159610BE" w14:textId="5E61F17F" w:rsidR="0045249D" w:rsidRDefault="006278FF" w:rsidP="00D730B9">
      <w:pPr>
        <w:pStyle w:val="ListParagraph"/>
        <w:numPr>
          <w:ilvl w:val="0"/>
          <w:numId w:val="1"/>
        </w:numPr>
        <w:autoSpaceDE w:val="0"/>
        <w:autoSpaceDN w:val="0"/>
        <w:adjustRightInd w:val="0"/>
        <w:spacing w:after="0" w:line="240" w:lineRule="auto"/>
        <w:ind w:left="0" w:firstLine="0"/>
        <w:contextualSpacing w:val="0"/>
        <w:jc w:val="both"/>
        <w:rPr>
          <w:rFonts w:ascii="Verdana" w:hAnsi="Verdana"/>
          <w:sz w:val="20"/>
          <w:szCs w:val="20"/>
        </w:rPr>
      </w:pPr>
      <w:r w:rsidRPr="00A1016B">
        <w:rPr>
          <w:rFonts w:ascii="Verdana" w:hAnsi="Verdana"/>
          <w:sz w:val="20"/>
          <w:szCs w:val="20"/>
        </w:rPr>
        <w:t>En el presente caso, el Tribunal Supremo de Justicia</w:t>
      </w:r>
      <w:r w:rsidR="00C93E26" w:rsidRPr="00A1016B">
        <w:rPr>
          <w:rFonts w:ascii="Verdana" w:hAnsi="Verdana"/>
          <w:sz w:val="20"/>
          <w:szCs w:val="20"/>
        </w:rPr>
        <w:t xml:space="preserve"> (en adelante “TSJ”)</w:t>
      </w:r>
      <w:r w:rsidRPr="00A1016B">
        <w:rPr>
          <w:rFonts w:ascii="Verdana" w:hAnsi="Verdana"/>
          <w:sz w:val="20"/>
          <w:szCs w:val="20"/>
        </w:rPr>
        <w:t xml:space="preserve"> le impuso una sanción administrativa al señor Capriles por “faltar a la majestad” en el marco del proceso de nulidad electoral y remitió el expediente al Ministerio Público </w:t>
      </w:r>
      <w:r w:rsidR="004F5413" w:rsidRPr="00A1016B">
        <w:rPr>
          <w:rFonts w:ascii="Verdana" w:hAnsi="Verdana"/>
          <w:sz w:val="20"/>
          <w:szCs w:val="20"/>
        </w:rPr>
        <w:t>para la eventual apertura de un proceso penal</w:t>
      </w:r>
      <w:r w:rsidR="00306CC8" w:rsidRPr="00A1016B">
        <w:rPr>
          <w:rFonts w:ascii="Verdana" w:hAnsi="Verdana"/>
          <w:sz w:val="20"/>
          <w:szCs w:val="20"/>
        </w:rPr>
        <w:t xml:space="preserve"> (párrafo 181)</w:t>
      </w:r>
      <w:r w:rsidR="001802D7" w:rsidRPr="00A1016B">
        <w:rPr>
          <w:rFonts w:ascii="Verdana" w:hAnsi="Verdana"/>
          <w:sz w:val="20"/>
          <w:szCs w:val="20"/>
        </w:rPr>
        <w:t xml:space="preserve">. </w:t>
      </w:r>
      <w:r w:rsidRPr="00A1016B">
        <w:rPr>
          <w:rFonts w:ascii="Verdana" w:hAnsi="Verdana"/>
          <w:sz w:val="20"/>
          <w:szCs w:val="20"/>
        </w:rPr>
        <w:t xml:space="preserve">La Corte consideró que dicha sanción administrativa, fue arbitraria ya que no existió ninguna motivación por parte del Tribunal interno, que pudiera ser valorada a la luz del principio de proporcionalidad (párrafo 183). Comparto esta posición, especialmente tomando en cuenta el contexto de deterioro institucional en el que se dieron los hechos, lo que creo que fue un error, fue declarar la responsabilidad de Venezuela por la </w:t>
      </w:r>
      <w:r w:rsidR="004F5413" w:rsidRPr="00A1016B">
        <w:rPr>
          <w:rFonts w:ascii="Verdana" w:hAnsi="Verdana"/>
          <w:sz w:val="20"/>
          <w:szCs w:val="20"/>
        </w:rPr>
        <w:t xml:space="preserve">mera </w:t>
      </w:r>
      <w:r w:rsidRPr="00A1016B">
        <w:rPr>
          <w:rFonts w:ascii="Verdana" w:hAnsi="Verdana"/>
          <w:sz w:val="20"/>
          <w:szCs w:val="20"/>
        </w:rPr>
        <w:t>remisión del expediente al Ministerio Público</w:t>
      </w:r>
      <w:r w:rsidR="006D06A5" w:rsidRPr="00A1016B">
        <w:rPr>
          <w:rFonts w:ascii="Verdana" w:hAnsi="Verdana"/>
          <w:sz w:val="20"/>
          <w:szCs w:val="20"/>
        </w:rPr>
        <w:t>, con base en el criterio jurisprudencial sobre prohibición absoluta de usar el derecho penal para proteger el honor de funcionarios públicos</w:t>
      </w:r>
      <w:r w:rsidRPr="00A1016B">
        <w:rPr>
          <w:rFonts w:ascii="Verdana" w:hAnsi="Verdana"/>
          <w:sz w:val="20"/>
          <w:szCs w:val="20"/>
        </w:rPr>
        <w:t xml:space="preserve">. </w:t>
      </w:r>
      <w:r w:rsidR="001802D7" w:rsidRPr="00A1016B">
        <w:rPr>
          <w:rFonts w:ascii="Verdana" w:hAnsi="Verdana"/>
          <w:sz w:val="20"/>
          <w:szCs w:val="20"/>
        </w:rPr>
        <w:t>Como explicaré a continuación, considero que dicha posición es muestra de una mala práctica en relación con el uso del precedente, que no se encuentra bien fundamentada jurídicamente y que es inconveniente a los efectos del presente caso.</w:t>
      </w:r>
    </w:p>
    <w:p w14:paraId="0236A124" w14:textId="77777777" w:rsidR="00D730B9" w:rsidRPr="00A1016B" w:rsidRDefault="00D730B9" w:rsidP="00D730B9">
      <w:pPr>
        <w:pStyle w:val="ListParagraph"/>
        <w:autoSpaceDE w:val="0"/>
        <w:autoSpaceDN w:val="0"/>
        <w:adjustRightInd w:val="0"/>
        <w:spacing w:after="0" w:line="240" w:lineRule="auto"/>
        <w:ind w:left="0"/>
        <w:contextualSpacing w:val="0"/>
        <w:jc w:val="both"/>
        <w:rPr>
          <w:rFonts w:ascii="Verdana" w:hAnsi="Verdana"/>
          <w:sz w:val="20"/>
          <w:szCs w:val="20"/>
        </w:rPr>
      </w:pPr>
    </w:p>
    <w:p w14:paraId="60804C5A" w14:textId="67A9EE6F" w:rsidR="0005210C" w:rsidRPr="00A1016B" w:rsidRDefault="0005210C" w:rsidP="00D730B9">
      <w:pPr>
        <w:pStyle w:val="ListParagraph"/>
        <w:numPr>
          <w:ilvl w:val="1"/>
          <w:numId w:val="5"/>
        </w:numPr>
        <w:autoSpaceDE w:val="0"/>
        <w:autoSpaceDN w:val="0"/>
        <w:adjustRightInd w:val="0"/>
        <w:spacing w:after="0" w:line="240" w:lineRule="auto"/>
        <w:jc w:val="both"/>
        <w:rPr>
          <w:rFonts w:ascii="Verdana" w:hAnsi="Verdana"/>
          <w:b/>
          <w:bCs/>
          <w:sz w:val="20"/>
          <w:szCs w:val="20"/>
        </w:rPr>
      </w:pPr>
      <w:r w:rsidRPr="00A1016B">
        <w:rPr>
          <w:rFonts w:ascii="Verdana" w:hAnsi="Verdana"/>
          <w:b/>
          <w:bCs/>
          <w:sz w:val="20"/>
          <w:szCs w:val="20"/>
        </w:rPr>
        <w:t xml:space="preserve">Sobre el uso del precedente </w:t>
      </w:r>
    </w:p>
    <w:p w14:paraId="3387570F" w14:textId="77777777" w:rsidR="0045661E" w:rsidRPr="00A1016B" w:rsidRDefault="0045661E" w:rsidP="00D730B9">
      <w:pPr>
        <w:pStyle w:val="ListParagraph"/>
        <w:autoSpaceDE w:val="0"/>
        <w:autoSpaceDN w:val="0"/>
        <w:adjustRightInd w:val="0"/>
        <w:spacing w:after="0" w:line="240" w:lineRule="auto"/>
        <w:ind w:left="1440"/>
        <w:jc w:val="both"/>
        <w:rPr>
          <w:rFonts w:ascii="Verdana" w:hAnsi="Verdana"/>
          <w:b/>
          <w:bCs/>
          <w:sz w:val="20"/>
          <w:szCs w:val="20"/>
        </w:rPr>
      </w:pPr>
    </w:p>
    <w:p w14:paraId="710D90C8" w14:textId="5A1F8611" w:rsidR="00873792" w:rsidRPr="00D730B9" w:rsidRDefault="00E7684C" w:rsidP="00D730B9">
      <w:pPr>
        <w:pStyle w:val="ListParagraph"/>
        <w:numPr>
          <w:ilvl w:val="0"/>
          <w:numId w:val="1"/>
        </w:numPr>
        <w:autoSpaceDE w:val="0"/>
        <w:autoSpaceDN w:val="0"/>
        <w:adjustRightInd w:val="0"/>
        <w:spacing w:after="0" w:line="240" w:lineRule="auto"/>
        <w:ind w:left="0" w:firstLine="0"/>
        <w:contextualSpacing w:val="0"/>
        <w:jc w:val="both"/>
        <w:rPr>
          <w:rFonts w:ascii="Verdana" w:hAnsi="Verdana"/>
          <w:iCs/>
          <w:sz w:val="20"/>
          <w:szCs w:val="20"/>
        </w:rPr>
      </w:pPr>
      <w:r w:rsidRPr="00A1016B">
        <w:rPr>
          <w:rFonts w:ascii="Verdana" w:hAnsi="Verdana" w:cs="Times New Roman"/>
          <w:sz w:val="20"/>
          <w:szCs w:val="20"/>
        </w:rPr>
        <w:lastRenderedPageBreak/>
        <w:t>E</w:t>
      </w:r>
      <w:r w:rsidR="00A4153C" w:rsidRPr="00A1016B">
        <w:rPr>
          <w:rFonts w:ascii="Verdana" w:hAnsi="Verdana" w:cs="Times New Roman"/>
          <w:sz w:val="20"/>
          <w:szCs w:val="20"/>
          <w:lang w:val="es-ES"/>
        </w:rPr>
        <w:t xml:space="preserve">n lo </w:t>
      </w:r>
      <w:r w:rsidR="00DC5C00" w:rsidRPr="00A1016B">
        <w:rPr>
          <w:rFonts w:ascii="Verdana" w:hAnsi="Verdana" w:cs="Times New Roman"/>
          <w:sz w:val="20"/>
          <w:szCs w:val="20"/>
          <w:lang w:val="es-ES"/>
        </w:rPr>
        <w:t>referente</w:t>
      </w:r>
      <w:r w:rsidR="00A4153C" w:rsidRPr="00A1016B">
        <w:rPr>
          <w:rFonts w:ascii="Verdana" w:hAnsi="Verdana" w:cs="Times New Roman"/>
          <w:sz w:val="20"/>
          <w:szCs w:val="20"/>
          <w:lang w:val="es-ES"/>
        </w:rPr>
        <w:t xml:space="preserve"> a</w:t>
      </w:r>
      <w:r w:rsidR="00DC5C00" w:rsidRPr="00A1016B">
        <w:rPr>
          <w:rFonts w:ascii="Verdana" w:hAnsi="Verdana" w:cs="Times New Roman"/>
          <w:sz w:val="20"/>
          <w:szCs w:val="20"/>
          <w:lang w:val="es-ES"/>
        </w:rPr>
        <w:t xml:space="preserve"> la imposición de</w:t>
      </w:r>
      <w:r w:rsidR="00A4153C" w:rsidRPr="00A1016B">
        <w:rPr>
          <w:rFonts w:ascii="Verdana" w:hAnsi="Verdana" w:cs="Times New Roman"/>
          <w:sz w:val="20"/>
          <w:szCs w:val="20"/>
          <w:lang w:val="es-ES"/>
        </w:rPr>
        <w:t xml:space="preserve"> sanciones penales </w:t>
      </w:r>
      <w:r w:rsidR="00AE6143" w:rsidRPr="00A1016B">
        <w:rPr>
          <w:rFonts w:ascii="Verdana" w:hAnsi="Verdana" w:cs="Times New Roman"/>
          <w:sz w:val="20"/>
          <w:szCs w:val="20"/>
          <w:lang w:val="es-ES"/>
        </w:rPr>
        <w:t xml:space="preserve">como responsabilidades ulteriores </w:t>
      </w:r>
      <w:r w:rsidR="002E7731" w:rsidRPr="00A1016B">
        <w:rPr>
          <w:rFonts w:ascii="Verdana" w:hAnsi="Verdana" w:cs="Times New Roman"/>
          <w:sz w:val="20"/>
          <w:szCs w:val="20"/>
          <w:lang w:val="es-ES"/>
        </w:rPr>
        <w:t>por</w:t>
      </w:r>
      <w:r w:rsidR="00A4153C" w:rsidRPr="00A1016B">
        <w:rPr>
          <w:rFonts w:ascii="Verdana" w:hAnsi="Verdana" w:cs="Times New Roman"/>
          <w:sz w:val="20"/>
          <w:szCs w:val="20"/>
          <w:lang w:val="es-ES"/>
        </w:rPr>
        <w:t xml:space="preserve"> </w:t>
      </w:r>
      <w:r w:rsidR="00521DC6" w:rsidRPr="00A1016B">
        <w:rPr>
          <w:rFonts w:ascii="Verdana" w:hAnsi="Verdana" w:cs="Times New Roman"/>
          <w:sz w:val="20"/>
          <w:szCs w:val="20"/>
          <w:lang w:val="es-ES"/>
        </w:rPr>
        <w:t>afecta</w:t>
      </w:r>
      <w:r w:rsidR="002E7731" w:rsidRPr="00A1016B">
        <w:rPr>
          <w:rFonts w:ascii="Verdana" w:hAnsi="Verdana" w:cs="Times New Roman"/>
          <w:sz w:val="20"/>
          <w:szCs w:val="20"/>
          <w:lang w:val="es-ES"/>
        </w:rPr>
        <w:t>ciones</w:t>
      </w:r>
      <w:r w:rsidR="00521DC6" w:rsidRPr="00A1016B">
        <w:rPr>
          <w:rFonts w:ascii="Verdana" w:hAnsi="Verdana" w:cs="Times New Roman"/>
          <w:sz w:val="20"/>
          <w:szCs w:val="20"/>
          <w:lang w:val="es-ES"/>
        </w:rPr>
        <w:t xml:space="preserve"> </w:t>
      </w:r>
      <w:r w:rsidR="002E7731" w:rsidRPr="00A1016B">
        <w:rPr>
          <w:rFonts w:ascii="Verdana" w:hAnsi="Verdana" w:cs="Times New Roman"/>
          <w:sz w:val="20"/>
          <w:szCs w:val="20"/>
          <w:lang w:val="es-ES"/>
        </w:rPr>
        <w:t>a</w:t>
      </w:r>
      <w:r w:rsidR="00521DC6" w:rsidRPr="00A1016B">
        <w:rPr>
          <w:rFonts w:ascii="Verdana" w:hAnsi="Verdana" w:cs="Times New Roman"/>
          <w:sz w:val="20"/>
          <w:szCs w:val="20"/>
          <w:lang w:val="es-ES"/>
        </w:rPr>
        <w:t xml:space="preserve">l honor de funcionarios públicos, la posición de la Corte ha </w:t>
      </w:r>
      <w:r w:rsidR="002E7731" w:rsidRPr="00A1016B">
        <w:rPr>
          <w:rFonts w:ascii="Verdana" w:hAnsi="Verdana" w:cs="Times New Roman"/>
          <w:sz w:val="20"/>
          <w:szCs w:val="20"/>
          <w:lang w:val="es-ES"/>
        </w:rPr>
        <w:t>sido contradictoria</w:t>
      </w:r>
      <w:r w:rsidR="00521DC6" w:rsidRPr="00A1016B">
        <w:rPr>
          <w:rFonts w:ascii="Verdana" w:hAnsi="Verdana" w:cs="Times New Roman"/>
          <w:sz w:val="20"/>
          <w:szCs w:val="20"/>
          <w:lang w:val="es-ES"/>
        </w:rPr>
        <w:t xml:space="preserve">. </w:t>
      </w:r>
      <w:r w:rsidR="00A80850" w:rsidRPr="00A1016B">
        <w:rPr>
          <w:rFonts w:ascii="Verdana" w:hAnsi="Verdana" w:cs="Times New Roman"/>
          <w:sz w:val="20"/>
          <w:szCs w:val="20"/>
          <w:lang w:val="es-ES"/>
        </w:rPr>
        <w:t>Como explicaré a continuación,</w:t>
      </w:r>
      <w:r w:rsidR="00012B84" w:rsidRPr="00A1016B">
        <w:rPr>
          <w:rFonts w:ascii="Verdana" w:hAnsi="Verdana" w:cs="Times New Roman"/>
          <w:sz w:val="20"/>
          <w:szCs w:val="20"/>
          <w:lang w:val="es-ES"/>
        </w:rPr>
        <w:t xml:space="preserve"> la interpretación </w:t>
      </w:r>
      <w:r w:rsidR="008C35A0" w:rsidRPr="00A1016B">
        <w:rPr>
          <w:rFonts w:ascii="Verdana" w:hAnsi="Verdana" w:cs="Times New Roman"/>
          <w:sz w:val="20"/>
          <w:szCs w:val="20"/>
          <w:lang w:val="es-ES"/>
        </w:rPr>
        <w:t>que ha hecho la Corte frente a</w:t>
      </w:r>
      <w:r w:rsidR="00012B84" w:rsidRPr="00A1016B">
        <w:rPr>
          <w:rFonts w:ascii="Verdana" w:hAnsi="Verdana" w:cs="Times New Roman"/>
          <w:sz w:val="20"/>
          <w:szCs w:val="20"/>
          <w:lang w:val="es-ES"/>
        </w:rPr>
        <w:t xml:space="preserve">l alcance y contenido del artículo 13 de </w:t>
      </w:r>
      <w:r w:rsidR="008C35A0" w:rsidRPr="00A1016B">
        <w:rPr>
          <w:rFonts w:ascii="Verdana" w:hAnsi="Verdana" w:cs="Times New Roman"/>
          <w:sz w:val="20"/>
          <w:szCs w:val="20"/>
          <w:lang w:val="es-ES"/>
        </w:rPr>
        <w:t>l</w:t>
      </w:r>
      <w:r w:rsidR="00012B84" w:rsidRPr="00A1016B">
        <w:rPr>
          <w:rFonts w:ascii="Verdana" w:hAnsi="Verdana" w:cs="Times New Roman"/>
          <w:sz w:val="20"/>
          <w:szCs w:val="20"/>
          <w:lang w:val="es-ES"/>
        </w:rPr>
        <w:t>a Convención</w:t>
      </w:r>
      <w:r w:rsidR="008C35A0" w:rsidRPr="00A1016B">
        <w:rPr>
          <w:rFonts w:ascii="Verdana" w:hAnsi="Verdana" w:cs="Times New Roman"/>
          <w:sz w:val="20"/>
          <w:szCs w:val="20"/>
          <w:lang w:val="es-ES"/>
        </w:rPr>
        <w:t xml:space="preserve"> en esta materia</w:t>
      </w:r>
      <w:r w:rsidR="006564F0" w:rsidRPr="00A1016B">
        <w:rPr>
          <w:rFonts w:ascii="Verdana" w:hAnsi="Verdana" w:cs="Times New Roman"/>
          <w:sz w:val="20"/>
          <w:szCs w:val="20"/>
          <w:lang w:val="es-ES"/>
        </w:rPr>
        <w:t xml:space="preserve"> ha cambiado en dos oportunidades, sin que el Tribunal haya explicado las razones de tal </w:t>
      </w:r>
      <w:r w:rsidR="00873792" w:rsidRPr="00A1016B">
        <w:rPr>
          <w:rFonts w:ascii="Verdana" w:hAnsi="Verdana" w:cs="Times New Roman"/>
          <w:sz w:val="20"/>
          <w:szCs w:val="20"/>
          <w:lang w:val="es-ES"/>
        </w:rPr>
        <w:t xml:space="preserve">modificación. </w:t>
      </w:r>
    </w:p>
    <w:p w14:paraId="4F87EB76" w14:textId="77777777" w:rsidR="00D730B9" w:rsidRPr="00A1016B" w:rsidRDefault="00D730B9" w:rsidP="00D730B9">
      <w:pPr>
        <w:pStyle w:val="ListParagraph"/>
        <w:autoSpaceDE w:val="0"/>
        <w:autoSpaceDN w:val="0"/>
        <w:adjustRightInd w:val="0"/>
        <w:spacing w:after="0" w:line="240" w:lineRule="auto"/>
        <w:ind w:left="0"/>
        <w:contextualSpacing w:val="0"/>
        <w:jc w:val="both"/>
        <w:rPr>
          <w:rFonts w:ascii="Verdana" w:hAnsi="Verdana"/>
          <w:iCs/>
          <w:sz w:val="20"/>
          <w:szCs w:val="20"/>
        </w:rPr>
      </w:pPr>
    </w:p>
    <w:p w14:paraId="164394DC" w14:textId="46E8E616" w:rsidR="00807D19" w:rsidRPr="00D730B9" w:rsidRDefault="00873792" w:rsidP="00D730B9">
      <w:pPr>
        <w:pStyle w:val="ListParagraph"/>
        <w:numPr>
          <w:ilvl w:val="0"/>
          <w:numId w:val="1"/>
        </w:numPr>
        <w:autoSpaceDE w:val="0"/>
        <w:autoSpaceDN w:val="0"/>
        <w:adjustRightInd w:val="0"/>
        <w:spacing w:after="0" w:line="240" w:lineRule="auto"/>
        <w:ind w:left="0" w:firstLine="0"/>
        <w:contextualSpacing w:val="0"/>
        <w:jc w:val="both"/>
        <w:rPr>
          <w:rFonts w:ascii="Verdana" w:hAnsi="Verdana"/>
          <w:iCs/>
          <w:sz w:val="20"/>
          <w:szCs w:val="20"/>
        </w:rPr>
      </w:pPr>
      <w:r w:rsidRPr="00A1016B">
        <w:rPr>
          <w:rFonts w:ascii="Verdana" w:hAnsi="Verdana" w:cs="Times New Roman"/>
          <w:sz w:val="20"/>
          <w:szCs w:val="20"/>
          <w:lang w:val="es-ES"/>
        </w:rPr>
        <w:t>En efecto,</w:t>
      </w:r>
      <w:r w:rsidR="00A80850" w:rsidRPr="00A1016B">
        <w:rPr>
          <w:rFonts w:ascii="Verdana" w:hAnsi="Verdana" w:cs="Times New Roman"/>
          <w:sz w:val="20"/>
          <w:szCs w:val="20"/>
          <w:lang w:val="es-ES"/>
        </w:rPr>
        <w:t xml:space="preserve"> e</w:t>
      </w:r>
      <w:r w:rsidR="00D116B2" w:rsidRPr="00A1016B">
        <w:rPr>
          <w:rFonts w:ascii="Verdana" w:hAnsi="Verdana" w:cs="Times New Roman"/>
          <w:sz w:val="20"/>
          <w:szCs w:val="20"/>
          <w:lang w:val="es-ES"/>
        </w:rPr>
        <w:t>ntre los años 2005 y 2017</w:t>
      </w:r>
      <w:r w:rsidR="00521DC6" w:rsidRPr="00A1016B">
        <w:rPr>
          <w:rFonts w:ascii="Verdana" w:hAnsi="Verdana" w:cs="Times New Roman"/>
          <w:sz w:val="20"/>
          <w:szCs w:val="20"/>
          <w:lang w:val="es-ES"/>
        </w:rPr>
        <w:t xml:space="preserve"> </w:t>
      </w:r>
      <w:r w:rsidR="000868DF" w:rsidRPr="00A1016B">
        <w:rPr>
          <w:rFonts w:ascii="Verdana" w:hAnsi="Verdana" w:cs="Times New Roman"/>
          <w:sz w:val="20"/>
          <w:szCs w:val="20"/>
          <w:lang w:val="es-ES"/>
        </w:rPr>
        <w:t xml:space="preserve">los casos sobre estas materias </w:t>
      </w:r>
      <w:r w:rsidR="00805531" w:rsidRPr="00A1016B">
        <w:rPr>
          <w:rFonts w:ascii="Verdana" w:hAnsi="Verdana" w:cs="Times New Roman"/>
          <w:sz w:val="20"/>
          <w:szCs w:val="20"/>
          <w:lang w:val="es-ES"/>
        </w:rPr>
        <w:t xml:space="preserve">fueron fallados </w:t>
      </w:r>
      <w:r w:rsidR="000868DF" w:rsidRPr="00A1016B">
        <w:rPr>
          <w:rFonts w:ascii="Verdana" w:hAnsi="Verdana" w:cs="Times New Roman"/>
          <w:sz w:val="20"/>
          <w:szCs w:val="20"/>
          <w:lang w:val="es-ES"/>
        </w:rPr>
        <w:t>a la luz del principio de proporcionalidad</w:t>
      </w:r>
      <w:r w:rsidR="0044651B" w:rsidRPr="00A1016B">
        <w:rPr>
          <w:rStyle w:val="FootnoteReference"/>
          <w:rFonts w:ascii="Verdana" w:hAnsi="Verdana" w:cs="Times New Roman"/>
          <w:sz w:val="20"/>
          <w:szCs w:val="20"/>
          <w:lang w:val="es-ES"/>
        </w:rPr>
        <w:footnoteReference w:id="2"/>
      </w:r>
      <w:r w:rsidR="0044651B" w:rsidRPr="00A1016B">
        <w:rPr>
          <w:rFonts w:ascii="Verdana" w:hAnsi="Verdana" w:cs="Times New Roman"/>
          <w:sz w:val="20"/>
          <w:szCs w:val="20"/>
          <w:lang w:val="es-ES"/>
        </w:rPr>
        <w:t xml:space="preserve">. </w:t>
      </w:r>
      <w:r w:rsidR="000868DF" w:rsidRPr="00A1016B">
        <w:rPr>
          <w:rFonts w:ascii="Verdana" w:hAnsi="Verdana" w:cs="Times New Roman"/>
          <w:sz w:val="20"/>
          <w:szCs w:val="20"/>
          <w:lang w:val="es-ES"/>
        </w:rPr>
        <w:t>En tales oportunidades, l</w:t>
      </w:r>
      <w:r w:rsidR="00807D19" w:rsidRPr="00A1016B">
        <w:rPr>
          <w:rFonts w:ascii="Verdana" w:hAnsi="Verdana" w:cs="Times New Roman"/>
          <w:sz w:val="20"/>
          <w:szCs w:val="20"/>
          <w:lang w:val="es-ES"/>
        </w:rPr>
        <w:t xml:space="preserve">a Corte </w:t>
      </w:r>
      <w:r w:rsidR="00D51301" w:rsidRPr="00A1016B">
        <w:rPr>
          <w:rFonts w:ascii="Verdana" w:hAnsi="Verdana" w:cs="Times New Roman"/>
          <w:sz w:val="20"/>
          <w:szCs w:val="20"/>
          <w:lang w:val="es-ES"/>
        </w:rPr>
        <w:t>analizó</w:t>
      </w:r>
      <w:r w:rsidR="00807D19" w:rsidRPr="00A1016B">
        <w:rPr>
          <w:rFonts w:ascii="Verdana" w:hAnsi="Verdana" w:cs="Times New Roman"/>
          <w:sz w:val="20"/>
          <w:szCs w:val="20"/>
          <w:lang w:val="es-ES"/>
        </w:rPr>
        <w:t xml:space="preserve"> </w:t>
      </w:r>
      <w:r w:rsidR="0044651B" w:rsidRPr="00A1016B">
        <w:rPr>
          <w:rFonts w:ascii="Verdana" w:hAnsi="Verdana" w:cs="Times New Roman"/>
          <w:sz w:val="20"/>
          <w:szCs w:val="20"/>
          <w:lang w:val="es-ES"/>
        </w:rPr>
        <w:t>la figura desde dos perspectivas, po</w:t>
      </w:r>
      <w:r w:rsidR="00807D19" w:rsidRPr="00A1016B">
        <w:rPr>
          <w:rFonts w:ascii="Verdana" w:hAnsi="Verdana" w:cs="Times New Roman"/>
          <w:sz w:val="20"/>
          <w:szCs w:val="20"/>
          <w:lang w:val="es-ES"/>
        </w:rPr>
        <w:t>r una parte, en relación con el principio de legalidad, por la generalidad</w:t>
      </w:r>
      <w:r w:rsidR="00D51301" w:rsidRPr="00A1016B">
        <w:rPr>
          <w:rFonts w:ascii="Verdana" w:hAnsi="Verdana" w:cs="Times New Roman"/>
          <w:sz w:val="20"/>
          <w:szCs w:val="20"/>
          <w:lang w:val="es-ES"/>
        </w:rPr>
        <w:t xml:space="preserve"> </w:t>
      </w:r>
      <w:r w:rsidR="00807D19" w:rsidRPr="00A1016B">
        <w:rPr>
          <w:rFonts w:ascii="Verdana" w:hAnsi="Verdana" w:cs="Times New Roman"/>
          <w:sz w:val="20"/>
          <w:szCs w:val="20"/>
          <w:lang w:val="es-ES"/>
        </w:rPr>
        <w:t xml:space="preserve">y falta de claridad de las conductas que podrían generar responsabilidad penal. De otra parte, </w:t>
      </w:r>
      <w:r w:rsidR="00F45B62" w:rsidRPr="00A1016B">
        <w:rPr>
          <w:rFonts w:ascii="Verdana" w:hAnsi="Verdana" w:cs="Times New Roman"/>
          <w:sz w:val="20"/>
          <w:szCs w:val="20"/>
          <w:lang w:val="es-ES"/>
        </w:rPr>
        <w:t xml:space="preserve">frente a </w:t>
      </w:r>
      <w:r w:rsidR="00807D19" w:rsidRPr="00A1016B">
        <w:rPr>
          <w:rFonts w:ascii="Verdana" w:hAnsi="Verdana" w:cs="Times New Roman"/>
          <w:sz w:val="20"/>
          <w:szCs w:val="20"/>
          <w:lang w:val="es-ES"/>
        </w:rPr>
        <w:t xml:space="preserve">los criterios que </w:t>
      </w:r>
      <w:r w:rsidR="00226506" w:rsidRPr="00A1016B">
        <w:rPr>
          <w:rFonts w:ascii="Verdana" w:hAnsi="Verdana" w:cs="Times New Roman"/>
          <w:sz w:val="20"/>
          <w:szCs w:val="20"/>
          <w:lang w:val="es-ES"/>
        </w:rPr>
        <w:t>utilizaron los jueces</w:t>
      </w:r>
      <w:r w:rsidR="00807D19" w:rsidRPr="00A1016B">
        <w:rPr>
          <w:rFonts w:ascii="Verdana" w:hAnsi="Verdana" w:cs="Times New Roman"/>
          <w:sz w:val="20"/>
          <w:szCs w:val="20"/>
          <w:lang w:val="es-ES"/>
        </w:rPr>
        <w:t xml:space="preserve"> establecer la procedencia </w:t>
      </w:r>
      <w:r w:rsidR="00DC4DEB" w:rsidRPr="00A1016B">
        <w:rPr>
          <w:rFonts w:ascii="Verdana" w:hAnsi="Verdana" w:cs="Times New Roman"/>
          <w:sz w:val="20"/>
          <w:szCs w:val="20"/>
          <w:lang w:val="es-ES"/>
        </w:rPr>
        <w:t>de medida</w:t>
      </w:r>
      <w:r w:rsidR="00226506" w:rsidRPr="00A1016B">
        <w:rPr>
          <w:rFonts w:ascii="Verdana" w:hAnsi="Verdana" w:cs="Times New Roman"/>
          <w:sz w:val="20"/>
          <w:szCs w:val="20"/>
          <w:lang w:val="es-ES"/>
        </w:rPr>
        <w:t>s</w:t>
      </w:r>
      <w:r w:rsidR="00DC4DEB" w:rsidRPr="00A1016B">
        <w:rPr>
          <w:rFonts w:ascii="Verdana" w:hAnsi="Verdana" w:cs="Times New Roman"/>
          <w:sz w:val="20"/>
          <w:szCs w:val="20"/>
          <w:lang w:val="es-ES"/>
        </w:rPr>
        <w:t xml:space="preserve"> sancionatoria</w:t>
      </w:r>
      <w:r w:rsidR="00226506" w:rsidRPr="00A1016B">
        <w:rPr>
          <w:rFonts w:ascii="Verdana" w:hAnsi="Verdana" w:cs="Times New Roman"/>
          <w:sz w:val="20"/>
          <w:szCs w:val="20"/>
          <w:lang w:val="es-ES"/>
        </w:rPr>
        <w:t>s</w:t>
      </w:r>
      <w:r w:rsidR="008C2386" w:rsidRPr="00A1016B">
        <w:rPr>
          <w:rFonts w:ascii="Verdana" w:hAnsi="Verdana" w:cs="Times New Roman"/>
          <w:sz w:val="20"/>
          <w:szCs w:val="20"/>
          <w:lang w:val="es-ES"/>
        </w:rPr>
        <w:t>, así como los errores en la aplicación del juicio de proporcionalidad</w:t>
      </w:r>
      <w:r w:rsidR="00807D19" w:rsidRPr="00A1016B">
        <w:rPr>
          <w:rFonts w:ascii="Verdana" w:hAnsi="Verdana" w:cs="Times New Roman"/>
          <w:sz w:val="20"/>
          <w:szCs w:val="20"/>
          <w:lang w:val="es-ES"/>
        </w:rPr>
        <w:t xml:space="preserve">. </w:t>
      </w:r>
      <w:r w:rsidR="006F24BF" w:rsidRPr="00A1016B">
        <w:rPr>
          <w:rFonts w:ascii="Verdana" w:hAnsi="Verdana" w:cs="Times New Roman"/>
          <w:sz w:val="20"/>
          <w:szCs w:val="20"/>
          <w:lang w:val="es-ES"/>
        </w:rPr>
        <w:t>En ambos casos, la flexibilidad o rigidez de la Corte al admitir las medidas sancionatorias dependió</w:t>
      </w:r>
      <w:r w:rsidR="00807D19" w:rsidRPr="00A1016B">
        <w:rPr>
          <w:rFonts w:ascii="Verdana" w:hAnsi="Verdana" w:cs="Times New Roman"/>
          <w:sz w:val="20"/>
          <w:szCs w:val="20"/>
          <w:lang w:val="es-ES"/>
        </w:rPr>
        <w:t xml:space="preserve"> del contenido de la información, opinión o expresión</w:t>
      </w:r>
      <w:r w:rsidR="00896773" w:rsidRPr="00A1016B">
        <w:rPr>
          <w:rFonts w:ascii="Verdana" w:hAnsi="Verdana" w:cs="Times New Roman"/>
          <w:sz w:val="20"/>
          <w:szCs w:val="20"/>
          <w:lang w:val="es-ES"/>
        </w:rPr>
        <w:t xml:space="preserve"> y del carácter de funcionario público del sujeto pasivo de la conducta</w:t>
      </w:r>
      <w:r w:rsidR="00807D19" w:rsidRPr="00A1016B">
        <w:rPr>
          <w:rFonts w:ascii="Verdana" w:hAnsi="Verdana" w:cs="Times New Roman"/>
          <w:sz w:val="20"/>
          <w:szCs w:val="20"/>
          <w:lang w:val="es-ES"/>
        </w:rPr>
        <w:t>. En este sentido</w:t>
      </w:r>
      <w:r w:rsidR="006F24BF" w:rsidRPr="00A1016B">
        <w:rPr>
          <w:rFonts w:ascii="Verdana" w:hAnsi="Verdana" w:cs="Times New Roman"/>
          <w:sz w:val="20"/>
          <w:szCs w:val="20"/>
          <w:lang w:val="es-ES"/>
        </w:rPr>
        <w:t>,</w:t>
      </w:r>
      <w:r w:rsidR="00807D19" w:rsidRPr="00A1016B">
        <w:rPr>
          <w:rFonts w:ascii="Verdana" w:hAnsi="Verdana" w:cs="Times New Roman"/>
          <w:sz w:val="20"/>
          <w:szCs w:val="20"/>
          <w:lang w:val="es-ES"/>
        </w:rPr>
        <w:t xml:space="preserve"> ante información o temas de interés público, </w:t>
      </w:r>
      <w:r w:rsidR="006F69CB" w:rsidRPr="00A1016B">
        <w:rPr>
          <w:rFonts w:ascii="Verdana" w:hAnsi="Verdana" w:cs="Times New Roman"/>
          <w:sz w:val="20"/>
          <w:szCs w:val="20"/>
          <w:lang w:val="es-ES"/>
        </w:rPr>
        <w:t xml:space="preserve">el Tribunal consideraba que </w:t>
      </w:r>
      <w:r w:rsidR="00807D19" w:rsidRPr="00A1016B">
        <w:rPr>
          <w:rFonts w:ascii="Verdana" w:hAnsi="Verdana" w:cs="Times New Roman"/>
          <w:sz w:val="20"/>
          <w:szCs w:val="20"/>
          <w:lang w:val="es-ES"/>
        </w:rPr>
        <w:t>deb</w:t>
      </w:r>
      <w:r w:rsidR="006F69CB" w:rsidRPr="00A1016B">
        <w:rPr>
          <w:rFonts w:ascii="Verdana" w:hAnsi="Verdana" w:cs="Times New Roman"/>
          <w:sz w:val="20"/>
          <w:szCs w:val="20"/>
          <w:lang w:val="es-ES"/>
        </w:rPr>
        <w:t>ía</w:t>
      </w:r>
      <w:r w:rsidR="00807D19" w:rsidRPr="00A1016B">
        <w:rPr>
          <w:rFonts w:ascii="Verdana" w:hAnsi="Verdana" w:cs="Times New Roman"/>
          <w:sz w:val="20"/>
          <w:szCs w:val="20"/>
          <w:lang w:val="es-ES"/>
        </w:rPr>
        <w:t xml:space="preserve"> prevalecer el derecho del periodista o ciudadano en tanto tiene un peso mayor en la dimensión objetiva de la libertad de expresión</w:t>
      </w:r>
      <w:r w:rsidR="004E736D" w:rsidRPr="00A1016B">
        <w:rPr>
          <w:rFonts w:ascii="Verdana" w:hAnsi="Verdana" w:cs="Times New Roman"/>
          <w:sz w:val="20"/>
          <w:szCs w:val="20"/>
          <w:lang w:val="es-ES"/>
        </w:rPr>
        <w:t xml:space="preserve">, pues es necesaria para </w:t>
      </w:r>
      <w:r w:rsidR="00807D19" w:rsidRPr="00A1016B">
        <w:rPr>
          <w:rFonts w:ascii="Verdana" w:hAnsi="Verdana" w:cs="Times New Roman"/>
          <w:sz w:val="20"/>
          <w:szCs w:val="20"/>
          <w:lang w:val="es-ES"/>
        </w:rPr>
        <w:t xml:space="preserve">preservar el pluralismo, la tolerancia, la dinámica discursiva del sistema democrático. </w:t>
      </w:r>
      <w:r w:rsidR="00896773" w:rsidRPr="00A1016B">
        <w:rPr>
          <w:rFonts w:ascii="Verdana" w:hAnsi="Verdana" w:cs="Times New Roman"/>
          <w:sz w:val="20"/>
          <w:szCs w:val="20"/>
          <w:lang w:val="es-ES"/>
        </w:rPr>
        <w:t xml:space="preserve">Adicionalmente, </w:t>
      </w:r>
      <w:r w:rsidR="00FB75C2" w:rsidRPr="00A1016B">
        <w:rPr>
          <w:rFonts w:ascii="Verdana" w:hAnsi="Verdana" w:cs="Times New Roman"/>
          <w:sz w:val="20"/>
          <w:szCs w:val="20"/>
          <w:lang w:val="es-ES"/>
        </w:rPr>
        <w:t xml:space="preserve">el Tribunal sostenía que </w:t>
      </w:r>
      <w:r w:rsidR="00896773" w:rsidRPr="00A1016B">
        <w:rPr>
          <w:rFonts w:ascii="Verdana" w:hAnsi="Verdana" w:cs="Times New Roman"/>
          <w:sz w:val="20"/>
          <w:szCs w:val="20"/>
          <w:lang w:val="es-ES"/>
        </w:rPr>
        <w:t>l</w:t>
      </w:r>
      <w:r w:rsidR="00807D19" w:rsidRPr="00A1016B">
        <w:rPr>
          <w:rFonts w:ascii="Verdana" w:hAnsi="Verdana" w:cs="Times New Roman"/>
          <w:sz w:val="20"/>
          <w:szCs w:val="20"/>
          <w:lang w:val="es-ES"/>
        </w:rPr>
        <w:t xml:space="preserve">a condición de servidor público genera la necesidad de tener una mayor tolerancia cuando se dirigen improperios, opiniones ofensivas o en general conductas que cuestionan su honorabilidad o buen nombre. </w:t>
      </w:r>
    </w:p>
    <w:p w14:paraId="1BED88B1" w14:textId="77777777" w:rsidR="00D730B9" w:rsidRPr="00A1016B" w:rsidRDefault="00D730B9" w:rsidP="00D730B9">
      <w:pPr>
        <w:pStyle w:val="ListParagraph"/>
        <w:autoSpaceDE w:val="0"/>
        <w:autoSpaceDN w:val="0"/>
        <w:adjustRightInd w:val="0"/>
        <w:spacing w:after="0" w:line="240" w:lineRule="auto"/>
        <w:ind w:left="0"/>
        <w:contextualSpacing w:val="0"/>
        <w:jc w:val="both"/>
        <w:rPr>
          <w:rFonts w:ascii="Verdana" w:hAnsi="Verdana"/>
          <w:iCs/>
          <w:sz w:val="20"/>
          <w:szCs w:val="20"/>
        </w:rPr>
      </w:pPr>
    </w:p>
    <w:p w14:paraId="2F6F9CC0" w14:textId="313748FC" w:rsidR="00F03BB8" w:rsidRPr="00D730B9" w:rsidRDefault="00FB75C2" w:rsidP="00D730B9">
      <w:pPr>
        <w:pStyle w:val="ListParagraph"/>
        <w:numPr>
          <w:ilvl w:val="0"/>
          <w:numId w:val="1"/>
        </w:numPr>
        <w:autoSpaceDE w:val="0"/>
        <w:autoSpaceDN w:val="0"/>
        <w:adjustRightInd w:val="0"/>
        <w:spacing w:after="0" w:line="240" w:lineRule="auto"/>
        <w:ind w:left="0" w:firstLine="0"/>
        <w:contextualSpacing w:val="0"/>
        <w:jc w:val="both"/>
        <w:rPr>
          <w:rFonts w:ascii="Verdana" w:hAnsi="Verdana"/>
          <w:iCs/>
          <w:sz w:val="20"/>
          <w:szCs w:val="20"/>
        </w:rPr>
      </w:pPr>
      <w:r w:rsidRPr="00A1016B">
        <w:rPr>
          <w:rFonts w:ascii="Verdana" w:hAnsi="Verdana" w:cs="Times New Roman"/>
          <w:sz w:val="20"/>
          <w:szCs w:val="20"/>
          <w:lang w:val="es-ES"/>
        </w:rPr>
        <w:t xml:space="preserve">No obstante, desde </w:t>
      </w:r>
      <w:r w:rsidR="00CF484B" w:rsidRPr="00A1016B">
        <w:rPr>
          <w:rFonts w:ascii="Verdana" w:hAnsi="Verdana" w:cs="Times New Roman"/>
          <w:sz w:val="20"/>
          <w:szCs w:val="20"/>
          <w:lang w:val="es-ES"/>
        </w:rPr>
        <w:t>el año 2019 el Tribunal pareció considerar que esta protección a la libertad de expresión a la luz del juicio de proporcionalidad era insuficiente</w:t>
      </w:r>
      <w:r w:rsidR="000744F2" w:rsidRPr="00A1016B">
        <w:rPr>
          <w:rFonts w:ascii="Verdana" w:hAnsi="Verdana" w:cs="Times New Roman"/>
          <w:sz w:val="20"/>
          <w:szCs w:val="20"/>
          <w:lang w:val="es-ES"/>
        </w:rPr>
        <w:t xml:space="preserve">. Así en los casos </w:t>
      </w:r>
      <w:r w:rsidR="00EB0B6E" w:rsidRPr="00D730B9">
        <w:rPr>
          <w:rFonts w:ascii="Verdana" w:hAnsi="Verdana"/>
          <w:i/>
          <w:iCs/>
          <w:sz w:val="20"/>
          <w:szCs w:val="20"/>
        </w:rPr>
        <w:t>Álvarez Ramos Vs. Venezuela</w:t>
      </w:r>
      <w:r w:rsidR="00436FF5" w:rsidRPr="00A1016B">
        <w:rPr>
          <w:rFonts w:ascii="Verdana" w:hAnsi="Verdana"/>
          <w:sz w:val="20"/>
          <w:szCs w:val="20"/>
        </w:rPr>
        <w:t xml:space="preserve"> (2019)</w:t>
      </w:r>
      <w:r w:rsidR="00EB0B6E" w:rsidRPr="00A1016B">
        <w:rPr>
          <w:rStyle w:val="FootnoteReference"/>
          <w:rFonts w:ascii="Verdana" w:hAnsi="Verdana"/>
          <w:sz w:val="20"/>
          <w:szCs w:val="20"/>
        </w:rPr>
        <w:footnoteReference w:id="3"/>
      </w:r>
      <w:r w:rsidR="00F31E90" w:rsidRPr="00A1016B">
        <w:rPr>
          <w:rFonts w:ascii="Verdana" w:hAnsi="Verdana"/>
          <w:sz w:val="20"/>
          <w:szCs w:val="20"/>
        </w:rPr>
        <w:t xml:space="preserve"> </w:t>
      </w:r>
      <w:r w:rsidR="00D824DA" w:rsidRPr="00A1016B">
        <w:rPr>
          <w:rFonts w:ascii="Verdana" w:hAnsi="Verdana"/>
          <w:sz w:val="20"/>
          <w:szCs w:val="20"/>
        </w:rPr>
        <w:t>y</w:t>
      </w:r>
      <w:r w:rsidR="00F31E90" w:rsidRPr="00A1016B">
        <w:rPr>
          <w:rFonts w:ascii="Verdana" w:hAnsi="Verdana"/>
          <w:sz w:val="20"/>
          <w:szCs w:val="20"/>
        </w:rPr>
        <w:t xml:space="preserve"> </w:t>
      </w:r>
      <w:r w:rsidR="00EB0B6E" w:rsidRPr="00D730B9">
        <w:rPr>
          <w:rFonts w:ascii="Verdana" w:hAnsi="Verdana"/>
          <w:i/>
          <w:iCs/>
          <w:sz w:val="20"/>
          <w:szCs w:val="20"/>
        </w:rPr>
        <w:t>Palacio Urrutia y otros Vs. Ecuador</w:t>
      </w:r>
      <w:r w:rsidR="00436FF5" w:rsidRPr="00A1016B">
        <w:rPr>
          <w:rFonts w:ascii="Verdana" w:hAnsi="Verdana"/>
          <w:sz w:val="20"/>
          <w:szCs w:val="20"/>
        </w:rPr>
        <w:t xml:space="preserve"> (2021)</w:t>
      </w:r>
      <w:r w:rsidR="00F03BB8" w:rsidRPr="00A1016B">
        <w:rPr>
          <w:rStyle w:val="FootnoteReference"/>
          <w:rFonts w:ascii="Verdana" w:hAnsi="Verdana"/>
          <w:sz w:val="20"/>
          <w:szCs w:val="20"/>
        </w:rPr>
        <w:footnoteReference w:id="4"/>
      </w:r>
      <w:r w:rsidR="000A5793" w:rsidRPr="00A1016B">
        <w:rPr>
          <w:rFonts w:ascii="Verdana" w:hAnsi="Verdana"/>
          <w:sz w:val="20"/>
          <w:szCs w:val="20"/>
        </w:rPr>
        <w:t xml:space="preserve"> </w:t>
      </w:r>
      <w:r w:rsidR="000744F2" w:rsidRPr="00A1016B">
        <w:rPr>
          <w:rFonts w:ascii="Verdana" w:hAnsi="Verdana"/>
          <w:sz w:val="20"/>
          <w:szCs w:val="20"/>
        </w:rPr>
        <w:t xml:space="preserve">la Corte </w:t>
      </w:r>
      <w:r w:rsidR="00F03BB8" w:rsidRPr="00A1016B">
        <w:rPr>
          <w:rFonts w:ascii="Verdana" w:hAnsi="Verdana"/>
          <w:sz w:val="20"/>
          <w:szCs w:val="20"/>
        </w:rPr>
        <w:t>concluyó que</w:t>
      </w:r>
      <w:r w:rsidR="00BA2530" w:rsidRPr="00A1016B">
        <w:rPr>
          <w:rFonts w:ascii="Verdana" w:hAnsi="Verdana"/>
          <w:sz w:val="20"/>
          <w:szCs w:val="20"/>
        </w:rPr>
        <w:t>, ante discursos de interés general posiblemente ofensivos,</w:t>
      </w:r>
      <w:r w:rsidR="00F03BB8" w:rsidRPr="00A1016B">
        <w:rPr>
          <w:rFonts w:ascii="Verdana" w:hAnsi="Verdana"/>
          <w:sz w:val="20"/>
          <w:szCs w:val="20"/>
        </w:rPr>
        <w:t xml:space="preserve"> la sanción penal resultaba en sí mism</w:t>
      </w:r>
      <w:r w:rsidR="00EB0B6E" w:rsidRPr="00A1016B">
        <w:rPr>
          <w:rFonts w:ascii="Verdana" w:hAnsi="Verdana"/>
          <w:sz w:val="20"/>
          <w:szCs w:val="20"/>
        </w:rPr>
        <w:t>a</w:t>
      </w:r>
      <w:r w:rsidR="00F03BB8" w:rsidRPr="00A1016B">
        <w:rPr>
          <w:rFonts w:ascii="Verdana" w:hAnsi="Verdana"/>
          <w:sz w:val="20"/>
          <w:szCs w:val="20"/>
        </w:rPr>
        <w:t xml:space="preserve"> contrari</w:t>
      </w:r>
      <w:r w:rsidR="00BA2530" w:rsidRPr="00A1016B">
        <w:rPr>
          <w:rFonts w:ascii="Verdana" w:hAnsi="Verdana"/>
          <w:sz w:val="20"/>
          <w:szCs w:val="20"/>
        </w:rPr>
        <w:t>a</w:t>
      </w:r>
      <w:r w:rsidR="00F03BB8" w:rsidRPr="00A1016B">
        <w:rPr>
          <w:rFonts w:ascii="Verdana" w:hAnsi="Verdana"/>
          <w:sz w:val="20"/>
          <w:szCs w:val="20"/>
        </w:rPr>
        <w:t xml:space="preserve"> a la Convención, dado el efecto amedrentador de medidas de dicha naturaleza. Concretamente señaló, </w:t>
      </w:r>
    </w:p>
    <w:p w14:paraId="126E2B6D" w14:textId="77777777" w:rsidR="00D730B9" w:rsidRPr="00A1016B" w:rsidRDefault="00D730B9" w:rsidP="00D730B9">
      <w:pPr>
        <w:pStyle w:val="ListParagraph"/>
        <w:autoSpaceDE w:val="0"/>
        <w:autoSpaceDN w:val="0"/>
        <w:adjustRightInd w:val="0"/>
        <w:spacing w:after="0" w:line="240" w:lineRule="auto"/>
        <w:ind w:left="0"/>
        <w:contextualSpacing w:val="0"/>
        <w:jc w:val="both"/>
        <w:rPr>
          <w:rFonts w:ascii="Verdana" w:hAnsi="Verdana"/>
          <w:iCs/>
          <w:sz w:val="20"/>
          <w:szCs w:val="20"/>
        </w:rPr>
      </w:pPr>
    </w:p>
    <w:p w14:paraId="67DD351C" w14:textId="77777777" w:rsidR="00F03BB8" w:rsidRDefault="00F03BB8" w:rsidP="00D730B9">
      <w:pPr>
        <w:pStyle w:val="ListParagraph"/>
        <w:autoSpaceDE w:val="0"/>
        <w:autoSpaceDN w:val="0"/>
        <w:adjustRightInd w:val="0"/>
        <w:spacing w:after="0" w:line="240" w:lineRule="auto"/>
        <w:ind w:left="567" w:right="567"/>
        <w:contextualSpacing w:val="0"/>
        <w:jc w:val="both"/>
        <w:rPr>
          <w:rFonts w:ascii="Verdana" w:hAnsi="Verdana"/>
          <w:sz w:val="18"/>
          <w:szCs w:val="18"/>
        </w:rPr>
      </w:pPr>
      <w:r w:rsidRPr="00A1016B">
        <w:rPr>
          <w:rFonts w:ascii="Verdana" w:hAnsi="Verdana"/>
          <w:sz w:val="18"/>
          <w:szCs w:val="18"/>
        </w:rPr>
        <w:t>En efecto, el uso de la ley penal para interponer responsabilidades ulteriores por declaraciones en los medios de comunicación social sobre temas de interés público produciría directa o indirectamente, un amedrentamiento que, en definitiva, limitaría la libertad de expresión e impediría someter al escrutinio público conductas que infrinjan el ordenamiento jurídico, como, por ejemplo, hechos de corrupción y abusos de autoridad entre otros, etc. En definitiva, lo anterior debilitaría el control público sobre los poderes del Estado, con notorios perjuicios al pluralismo democrático. En otros términos, la protección de la honra por medio de la ley penal que puede resultar legítima en otros casos no resulta conforme a la Convención en la hipótesis previamente descrita.</w:t>
      </w:r>
    </w:p>
    <w:p w14:paraId="157CDA65" w14:textId="77777777" w:rsidR="00D730B9" w:rsidRPr="00A1016B" w:rsidRDefault="00D730B9" w:rsidP="00D730B9">
      <w:pPr>
        <w:pStyle w:val="ListParagraph"/>
        <w:autoSpaceDE w:val="0"/>
        <w:autoSpaceDN w:val="0"/>
        <w:adjustRightInd w:val="0"/>
        <w:spacing w:after="0" w:line="240" w:lineRule="auto"/>
        <w:ind w:left="567" w:right="567"/>
        <w:contextualSpacing w:val="0"/>
        <w:jc w:val="both"/>
        <w:rPr>
          <w:rFonts w:ascii="Verdana" w:hAnsi="Verdana"/>
          <w:sz w:val="18"/>
          <w:szCs w:val="18"/>
        </w:rPr>
      </w:pPr>
    </w:p>
    <w:p w14:paraId="2C4B5854" w14:textId="77777777" w:rsidR="00F03BB8" w:rsidRDefault="00F03BB8" w:rsidP="00D730B9">
      <w:pPr>
        <w:pStyle w:val="ListParagraph"/>
        <w:autoSpaceDE w:val="0"/>
        <w:autoSpaceDN w:val="0"/>
        <w:adjustRightInd w:val="0"/>
        <w:spacing w:after="0" w:line="240" w:lineRule="auto"/>
        <w:ind w:left="567" w:right="567"/>
        <w:contextualSpacing w:val="0"/>
        <w:jc w:val="both"/>
        <w:rPr>
          <w:rFonts w:ascii="Verdana" w:hAnsi="Verdana"/>
          <w:sz w:val="18"/>
          <w:szCs w:val="18"/>
        </w:rPr>
      </w:pPr>
      <w:r w:rsidRPr="00A1016B">
        <w:rPr>
          <w:rFonts w:ascii="Verdana" w:hAnsi="Verdana"/>
          <w:sz w:val="18"/>
          <w:szCs w:val="18"/>
        </w:rPr>
        <w:t>Esto no significa que, en el supuesto antes señalado, es decir respecto de un discurso protegido por su interés público, como son los referidos a conductas de funcionarios públicos en el ejercicio de sus funciones, el honor de los funcionarios públicos o de las personas públicas no deba ser jurídicamente protegido. Eventualmente la conducta periodística podría generar responsabilidad en otro ámbito jurídico, como el civil, o la rectificación o disculpas públicas, por ejemplo, en casos de eventuales abusos o excesos de mala fe</w:t>
      </w:r>
      <w:r w:rsidRPr="00A1016B">
        <w:rPr>
          <w:rFonts w:ascii="Verdana" w:hAnsi="Verdana"/>
          <w:sz w:val="18"/>
          <w:szCs w:val="18"/>
          <w:vertAlign w:val="superscript"/>
        </w:rPr>
        <w:t xml:space="preserve"> </w:t>
      </w:r>
      <w:r w:rsidRPr="00A1016B">
        <w:rPr>
          <w:rFonts w:ascii="Verdana" w:hAnsi="Verdana"/>
          <w:sz w:val="18"/>
          <w:szCs w:val="18"/>
          <w:vertAlign w:val="superscript"/>
        </w:rPr>
        <w:footnoteReference w:id="5"/>
      </w:r>
      <w:r w:rsidRPr="00A1016B">
        <w:rPr>
          <w:rFonts w:ascii="Verdana" w:hAnsi="Verdana"/>
          <w:sz w:val="18"/>
          <w:szCs w:val="18"/>
        </w:rPr>
        <w:t>.</w:t>
      </w:r>
    </w:p>
    <w:p w14:paraId="4B684334" w14:textId="77777777" w:rsidR="00D730B9" w:rsidRPr="00D730B9" w:rsidRDefault="00D730B9" w:rsidP="00D730B9">
      <w:pPr>
        <w:autoSpaceDE w:val="0"/>
        <w:autoSpaceDN w:val="0"/>
        <w:adjustRightInd w:val="0"/>
        <w:spacing w:after="0" w:line="240" w:lineRule="auto"/>
        <w:ind w:right="567"/>
        <w:jc w:val="both"/>
        <w:rPr>
          <w:rFonts w:ascii="Verdana" w:hAnsi="Verdana"/>
          <w:sz w:val="18"/>
          <w:szCs w:val="18"/>
        </w:rPr>
      </w:pPr>
    </w:p>
    <w:p w14:paraId="0A663956" w14:textId="04403659" w:rsidR="00436FF5" w:rsidRPr="00D730B9" w:rsidRDefault="00F31E90" w:rsidP="00D730B9">
      <w:pPr>
        <w:pStyle w:val="ListParagraph"/>
        <w:numPr>
          <w:ilvl w:val="0"/>
          <w:numId w:val="1"/>
        </w:numPr>
        <w:autoSpaceDE w:val="0"/>
        <w:autoSpaceDN w:val="0"/>
        <w:adjustRightInd w:val="0"/>
        <w:spacing w:after="0" w:line="240" w:lineRule="auto"/>
        <w:ind w:left="0" w:firstLine="0"/>
        <w:contextualSpacing w:val="0"/>
        <w:jc w:val="both"/>
        <w:rPr>
          <w:rFonts w:ascii="Verdana" w:hAnsi="Verdana"/>
          <w:iCs/>
          <w:sz w:val="20"/>
          <w:szCs w:val="20"/>
        </w:rPr>
      </w:pPr>
      <w:r w:rsidRPr="00A1016B">
        <w:rPr>
          <w:rFonts w:ascii="Verdana" w:hAnsi="Verdana"/>
          <w:iCs/>
          <w:sz w:val="20"/>
          <w:szCs w:val="20"/>
        </w:rPr>
        <w:t xml:space="preserve">Posteriormente, en el </w:t>
      </w:r>
      <w:r w:rsidRPr="00A1016B">
        <w:rPr>
          <w:rFonts w:ascii="Verdana" w:hAnsi="Verdana"/>
          <w:sz w:val="20"/>
          <w:szCs w:val="20"/>
        </w:rPr>
        <w:t xml:space="preserve">caso </w:t>
      </w:r>
      <w:r w:rsidR="00971AB2" w:rsidRPr="00D730B9">
        <w:rPr>
          <w:rFonts w:ascii="Verdana" w:hAnsi="Verdana"/>
          <w:i/>
          <w:iCs/>
          <w:sz w:val="20"/>
          <w:szCs w:val="20"/>
        </w:rPr>
        <w:t xml:space="preserve">Moya Chacón </w:t>
      </w:r>
      <w:r w:rsidR="00211DDA" w:rsidRPr="00D730B9">
        <w:rPr>
          <w:rFonts w:ascii="Verdana" w:hAnsi="Verdana"/>
          <w:i/>
          <w:iCs/>
          <w:sz w:val="20"/>
          <w:szCs w:val="20"/>
        </w:rPr>
        <w:t>V</w:t>
      </w:r>
      <w:r w:rsidR="00971AB2" w:rsidRPr="00D730B9">
        <w:rPr>
          <w:rFonts w:ascii="Verdana" w:hAnsi="Verdana"/>
          <w:i/>
          <w:iCs/>
          <w:sz w:val="20"/>
          <w:szCs w:val="20"/>
        </w:rPr>
        <w:t>s. Costa Rica</w:t>
      </w:r>
      <w:r w:rsidR="00436FF5" w:rsidRPr="00D730B9">
        <w:rPr>
          <w:rFonts w:ascii="Verdana" w:hAnsi="Verdana"/>
          <w:i/>
          <w:iCs/>
          <w:sz w:val="20"/>
          <w:szCs w:val="20"/>
        </w:rPr>
        <w:t xml:space="preserve"> </w:t>
      </w:r>
      <w:r w:rsidR="00436FF5" w:rsidRPr="00A1016B">
        <w:rPr>
          <w:rFonts w:ascii="Verdana" w:hAnsi="Verdana"/>
          <w:sz w:val="20"/>
          <w:szCs w:val="20"/>
        </w:rPr>
        <w:t>(2022)</w:t>
      </w:r>
      <w:r w:rsidR="00D86A8F" w:rsidRPr="00A1016B">
        <w:rPr>
          <w:rStyle w:val="FootnoteReference"/>
          <w:rFonts w:ascii="Verdana" w:hAnsi="Verdana"/>
          <w:sz w:val="20"/>
          <w:szCs w:val="20"/>
        </w:rPr>
        <w:footnoteReference w:id="6"/>
      </w:r>
      <w:r w:rsidR="00971AB2" w:rsidRPr="00A1016B">
        <w:rPr>
          <w:rFonts w:ascii="Verdana" w:hAnsi="Verdana"/>
          <w:sz w:val="20"/>
          <w:szCs w:val="20"/>
        </w:rPr>
        <w:t xml:space="preserve">, </w:t>
      </w:r>
      <w:r w:rsidR="00FE3170" w:rsidRPr="00A1016B">
        <w:rPr>
          <w:rFonts w:ascii="Verdana" w:hAnsi="Verdana"/>
          <w:sz w:val="20"/>
          <w:szCs w:val="20"/>
        </w:rPr>
        <w:t xml:space="preserve">la Corte retomó su posición original </w:t>
      </w:r>
      <w:r w:rsidR="002D6CA2" w:rsidRPr="00A1016B">
        <w:rPr>
          <w:rFonts w:ascii="Verdana" w:hAnsi="Verdana"/>
          <w:sz w:val="20"/>
          <w:szCs w:val="20"/>
        </w:rPr>
        <w:t xml:space="preserve">relacionada con el uso del juicio de proporcionalidad para evaluar la procedencia de sanciones penales como responsabilidades ulteriores, en los eventos en los que presuntamente se afecta el honor de funcionarios públicos. </w:t>
      </w:r>
    </w:p>
    <w:p w14:paraId="1911FADD" w14:textId="77777777" w:rsidR="00D730B9" w:rsidRPr="00A1016B" w:rsidRDefault="00D730B9" w:rsidP="00D730B9">
      <w:pPr>
        <w:pStyle w:val="ListParagraph"/>
        <w:autoSpaceDE w:val="0"/>
        <w:autoSpaceDN w:val="0"/>
        <w:adjustRightInd w:val="0"/>
        <w:spacing w:after="0" w:line="240" w:lineRule="auto"/>
        <w:ind w:left="0"/>
        <w:contextualSpacing w:val="0"/>
        <w:jc w:val="both"/>
        <w:rPr>
          <w:rFonts w:ascii="Verdana" w:hAnsi="Verdana"/>
          <w:iCs/>
          <w:sz w:val="20"/>
          <w:szCs w:val="20"/>
        </w:rPr>
      </w:pPr>
    </w:p>
    <w:p w14:paraId="54EFF1D2" w14:textId="48FED2AE" w:rsidR="00F31E90" w:rsidRPr="00D730B9" w:rsidRDefault="0020269C" w:rsidP="00D730B9">
      <w:pPr>
        <w:pStyle w:val="ListParagraph"/>
        <w:numPr>
          <w:ilvl w:val="0"/>
          <w:numId w:val="1"/>
        </w:numPr>
        <w:autoSpaceDE w:val="0"/>
        <w:autoSpaceDN w:val="0"/>
        <w:adjustRightInd w:val="0"/>
        <w:spacing w:after="0" w:line="240" w:lineRule="auto"/>
        <w:ind w:left="0" w:firstLine="0"/>
        <w:contextualSpacing w:val="0"/>
        <w:jc w:val="both"/>
        <w:rPr>
          <w:rFonts w:ascii="Verdana" w:hAnsi="Verdana"/>
          <w:iCs/>
          <w:sz w:val="20"/>
          <w:szCs w:val="20"/>
        </w:rPr>
      </w:pPr>
      <w:r w:rsidRPr="00A1016B">
        <w:rPr>
          <w:rFonts w:ascii="Verdana" w:hAnsi="Verdana"/>
          <w:sz w:val="20"/>
          <w:szCs w:val="20"/>
        </w:rPr>
        <w:t xml:space="preserve">No obstante, en el caso </w:t>
      </w:r>
      <w:proofErr w:type="spellStart"/>
      <w:r w:rsidR="00F31E90" w:rsidRPr="00D730B9">
        <w:rPr>
          <w:rFonts w:ascii="Verdana" w:hAnsi="Verdana"/>
          <w:i/>
          <w:iCs/>
          <w:sz w:val="20"/>
          <w:szCs w:val="20"/>
        </w:rPr>
        <w:t>Baraona</w:t>
      </w:r>
      <w:proofErr w:type="spellEnd"/>
      <w:r w:rsidR="00F31E90" w:rsidRPr="00D730B9">
        <w:rPr>
          <w:rFonts w:ascii="Verdana" w:hAnsi="Verdana"/>
          <w:i/>
          <w:iCs/>
          <w:sz w:val="20"/>
          <w:szCs w:val="20"/>
        </w:rPr>
        <w:t xml:space="preserve"> Bray </w:t>
      </w:r>
      <w:r w:rsidR="00DE33C9" w:rsidRPr="00D730B9">
        <w:rPr>
          <w:rFonts w:ascii="Verdana" w:hAnsi="Verdana"/>
          <w:i/>
          <w:iCs/>
          <w:sz w:val="20"/>
          <w:szCs w:val="20"/>
        </w:rPr>
        <w:t>Vs</w:t>
      </w:r>
      <w:r w:rsidR="00F31E90" w:rsidRPr="00D730B9">
        <w:rPr>
          <w:rFonts w:ascii="Verdana" w:hAnsi="Verdana"/>
          <w:i/>
          <w:iCs/>
          <w:sz w:val="20"/>
          <w:szCs w:val="20"/>
        </w:rPr>
        <w:t>. Chile</w:t>
      </w:r>
      <w:r w:rsidR="00436FF5" w:rsidRPr="00A1016B">
        <w:rPr>
          <w:rFonts w:ascii="Verdana" w:hAnsi="Verdana"/>
          <w:sz w:val="20"/>
          <w:szCs w:val="20"/>
        </w:rPr>
        <w:t xml:space="preserve"> (2022)</w:t>
      </w:r>
      <w:r w:rsidR="00F31E90" w:rsidRPr="00A1016B">
        <w:rPr>
          <w:rStyle w:val="FootnoteReference"/>
          <w:rFonts w:ascii="Verdana" w:hAnsi="Verdana"/>
          <w:sz w:val="20"/>
          <w:szCs w:val="20"/>
        </w:rPr>
        <w:footnoteReference w:id="7"/>
      </w:r>
      <w:r w:rsidR="00F31E90" w:rsidRPr="00A1016B">
        <w:rPr>
          <w:rFonts w:ascii="Verdana" w:hAnsi="Verdana"/>
          <w:sz w:val="20"/>
          <w:szCs w:val="20"/>
        </w:rPr>
        <w:t xml:space="preserve">, la Corte </w:t>
      </w:r>
      <w:r w:rsidRPr="00A1016B">
        <w:rPr>
          <w:rFonts w:ascii="Verdana" w:hAnsi="Verdana"/>
          <w:sz w:val="20"/>
          <w:szCs w:val="20"/>
        </w:rPr>
        <w:t>reiteró la postura</w:t>
      </w:r>
      <w:r w:rsidR="00005BAD" w:rsidRPr="00A1016B">
        <w:rPr>
          <w:rFonts w:ascii="Verdana" w:hAnsi="Verdana"/>
          <w:sz w:val="20"/>
          <w:szCs w:val="20"/>
        </w:rPr>
        <w:t xml:space="preserve"> de </w:t>
      </w:r>
      <w:r w:rsidR="00005BAD" w:rsidRPr="00A1016B">
        <w:rPr>
          <w:rFonts w:ascii="Verdana" w:hAnsi="Verdana"/>
          <w:i/>
          <w:iCs/>
          <w:sz w:val="20"/>
          <w:szCs w:val="20"/>
        </w:rPr>
        <w:t>Álvarez Ramos</w:t>
      </w:r>
      <w:r w:rsidR="00005BAD" w:rsidRPr="00A1016B">
        <w:rPr>
          <w:rFonts w:ascii="Verdana" w:hAnsi="Verdana"/>
          <w:sz w:val="20"/>
          <w:szCs w:val="20"/>
        </w:rPr>
        <w:t xml:space="preserve"> y </w:t>
      </w:r>
      <w:r w:rsidR="00005BAD" w:rsidRPr="00A1016B">
        <w:rPr>
          <w:rFonts w:ascii="Verdana" w:hAnsi="Verdana"/>
          <w:i/>
          <w:iCs/>
          <w:sz w:val="20"/>
          <w:szCs w:val="20"/>
        </w:rPr>
        <w:t>Palacio Urrutia</w:t>
      </w:r>
      <w:r w:rsidR="00005BAD" w:rsidRPr="00A1016B">
        <w:rPr>
          <w:rFonts w:ascii="Verdana" w:hAnsi="Verdana"/>
          <w:sz w:val="20"/>
          <w:szCs w:val="20"/>
        </w:rPr>
        <w:t>,</w:t>
      </w:r>
      <w:r w:rsidRPr="00A1016B">
        <w:rPr>
          <w:rFonts w:ascii="Verdana" w:hAnsi="Verdana"/>
          <w:sz w:val="20"/>
          <w:szCs w:val="20"/>
        </w:rPr>
        <w:t xml:space="preserve"> según la cual la Convención exige la </w:t>
      </w:r>
      <w:r w:rsidRPr="00A1016B">
        <w:rPr>
          <w:rFonts w:ascii="Verdana" w:hAnsi="Verdana"/>
          <w:iCs/>
          <w:sz w:val="20"/>
          <w:szCs w:val="20"/>
        </w:rPr>
        <w:t xml:space="preserve">despenalización absoluta de las conductas de “injuria” y “calumnia” frente a temas relacionados con funcionarios públicos, </w:t>
      </w:r>
      <w:r w:rsidR="00C4168B" w:rsidRPr="00A1016B">
        <w:rPr>
          <w:rFonts w:ascii="Verdana" w:hAnsi="Verdana"/>
          <w:iCs/>
          <w:sz w:val="20"/>
          <w:szCs w:val="20"/>
        </w:rPr>
        <w:t>e incluso fue más allá al señalar que</w:t>
      </w:r>
      <w:r w:rsidRPr="00A1016B">
        <w:rPr>
          <w:rFonts w:ascii="Verdana" w:hAnsi="Verdana"/>
          <w:iCs/>
          <w:sz w:val="20"/>
          <w:szCs w:val="20"/>
        </w:rPr>
        <w:t xml:space="preserve"> </w:t>
      </w:r>
      <w:r w:rsidR="00F31E90" w:rsidRPr="00A1016B">
        <w:rPr>
          <w:rFonts w:ascii="Verdana" w:hAnsi="Verdana"/>
          <w:sz w:val="20"/>
          <w:szCs w:val="20"/>
        </w:rPr>
        <w:t>no era necesario demostrar que el discurso era de interés general, sino que bastaba con que se refi</w:t>
      </w:r>
      <w:r w:rsidR="007102DF" w:rsidRPr="00A1016B">
        <w:rPr>
          <w:rFonts w:ascii="Verdana" w:hAnsi="Verdana"/>
          <w:sz w:val="20"/>
          <w:szCs w:val="20"/>
        </w:rPr>
        <w:t xml:space="preserve">riera a un funcionario público en el ejercicio de sus funciones. </w:t>
      </w:r>
      <w:r w:rsidR="00D938DD" w:rsidRPr="00A1016B">
        <w:rPr>
          <w:rFonts w:ascii="Verdana" w:hAnsi="Verdana"/>
          <w:sz w:val="20"/>
          <w:szCs w:val="20"/>
        </w:rPr>
        <w:t xml:space="preserve">Esta postura fue reiterada en el presente caso. </w:t>
      </w:r>
    </w:p>
    <w:p w14:paraId="4666D4C4" w14:textId="77777777" w:rsidR="00D730B9" w:rsidRPr="00A1016B" w:rsidRDefault="00D730B9" w:rsidP="00D730B9">
      <w:pPr>
        <w:pStyle w:val="ListParagraph"/>
        <w:autoSpaceDE w:val="0"/>
        <w:autoSpaceDN w:val="0"/>
        <w:adjustRightInd w:val="0"/>
        <w:spacing w:after="0" w:line="240" w:lineRule="auto"/>
        <w:ind w:left="0"/>
        <w:contextualSpacing w:val="0"/>
        <w:jc w:val="both"/>
        <w:rPr>
          <w:rFonts w:ascii="Verdana" w:hAnsi="Verdana"/>
          <w:iCs/>
          <w:sz w:val="20"/>
          <w:szCs w:val="20"/>
        </w:rPr>
      </w:pPr>
    </w:p>
    <w:p w14:paraId="33E65A83" w14:textId="6CF004F5" w:rsidR="00026E97" w:rsidRPr="00D730B9" w:rsidRDefault="009B6C07" w:rsidP="00D730B9">
      <w:pPr>
        <w:pStyle w:val="ListParagraph"/>
        <w:numPr>
          <w:ilvl w:val="0"/>
          <w:numId w:val="1"/>
        </w:numPr>
        <w:autoSpaceDE w:val="0"/>
        <w:autoSpaceDN w:val="0"/>
        <w:adjustRightInd w:val="0"/>
        <w:spacing w:after="0" w:line="240" w:lineRule="auto"/>
        <w:ind w:left="0" w:firstLine="0"/>
        <w:contextualSpacing w:val="0"/>
        <w:jc w:val="both"/>
        <w:rPr>
          <w:rFonts w:ascii="Verdana" w:hAnsi="Verdana"/>
          <w:iCs/>
          <w:sz w:val="20"/>
          <w:szCs w:val="20"/>
        </w:rPr>
      </w:pPr>
      <w:r w:rsidRPr="00A1016B">
        <w:rPr>
          <w:rFonts w:ascii="Verdana" w:hAnsi="Verdana"/>
          <w:sz w:val="20"/>
          <w:szCs w:val="20"/>
        </w:rPr>
        <w:t xml:space="preserve">En </w:t>
      </w:r>
      <w:r w:rsidR="00A05BC4" w:rsidRPr="00A1016B">
        <w:rPr>
          <w:rFonts w:ascii="Verdana" w:hAnsi="Verdana"/>
          <w:sz w:val="20"/>
          <w:szCs w:val="20"/>
        </w:rPr>
        <w:t>los</w:t>
      </w:r>
      <w:r w:rsidRPr="00A1016B">
        <w:rPr>
          <w:rFonts w:ascii="Verdana" w:hAnsi="Verdana"/>
          <w:sz w:val="20"/>
          <w:szCs w:val="20"/>
        </w:rPr>
        <w:t xml:space="preserve"> votos de los casos </w:t>
      </w:r>
      <w:r w:rsidRPr="00A1016B">
        <w:rPr>
          <w:rFonts w:ascii="Verdana" w:hAnsi="Verdana"/>
          <w:i/>
          <w:iCs/>
          <w:sz w:val="20"/>
          <w:szCs w:val="20"/>
        </w:rPr>
        <w:t xml:space="preserve">Palacio Urrutia y </w:t>
      </w:r>
      <w:proofErr w:type="spellStart"/>
      <w:r w:rsidRPr="00A1016B">
        <w:rPr>
          <w:rFonts w:ascii="Verdana" w:hAnsi="Verdana"/>
          <w:i/>
          <w:iCs/>
          <w:sz w:val="20"/>
          <w:szCs w:val="20"/>
        </w:rPr>
        <w:t>Baraona</w:t>
      </w:r>
      <w:proofErr w:type="spellEnd"/>
      <w:r w:rsidRPr="00A1016B">
        <w:rPr>
          <w:rFonts w:ascii="Verdana" w:hAnsi="Verdana"/>
          <w:i/>
          <w:iCs/>
          <w:sz w:val="20"/>
          <w:szCs w:val="20"/>
        </w:rPr>
        <w:t xml:space="preserve"> Bray</w:t>
      </w:r>
      <w:r w:rsidRPr="00A1016B">
        <w:rPr>
          <w:rFonts w:ascii="Verdana" w:hAnsi="Verdana"/>
          <w:sz w:val="20"/>
          <w:szCs w:val="20"/>
        </w:rPr>
        <w:t>, h</w:t>
      </w:r>
      <w:r w:rsidR="00D938DD" w:rsidRPr="00A1016B">
        <w:rPr>
          <w:rFonts w:ascii="Verdana" w:hAnsi="Verdana"/>
          <w:sz w:val="20"/>
          <w:szCs w:val="20"/>
        </w:rPr>
        <w:t xml:space="preserve">abía señalado que </w:t>
      </w:r>
      <w:r w:rsidR="00A05BC4" w:rsidRPr="00A1016B">
        <w:rPr>
          <w:rFonts w:ascii="Verdana" w:hAnsi="Verdana"/>
          <w:sz w:val="20"/>
          <w:szCs w:val="20"/>
        </w:rPr>
        <w:t xml:space="preserve">la posición de la Corte estuvo fundada en </w:t>
      </w:r>
      <w:r w:rsidR="00D938DD" w:rsidRPr="00A1016B">
        <w:rPr>
          <w:rFonts w:ascii="Verdana" w:hAnsi="Verdana"/>
          <w:sz w:val="20"/>
          <w:szCs w:val="20"/>
        </w:rPr>
        <w:t xml:space="preserve">una </w:t>
      </w:r>
      <w:r w:rsidR="00A05BC4" w:rsidRPr="00A1016B">
        <w:rPr>
          <w:rFonts w:ascii="Verdana" w:hAnsi="Verdana"/>
          <w:sz w:val="20"/>
          <w:szCs w:val="20"/>
        </w:rPr>
        <w:t>errada</w:t>
      </w:r>
      <w:r w:rsidR="00D938DD" w:rsidRPr="00A1016B">
        <w:rPr>
          <w:rFonts w:ascii="Verdana" w:hAnsi="Verdana"/>
          <w:sz w:val="20"/>
          <w:szCs w:val="20"/>
        </w:rPr>
        <w:t xml:space="preserve"> </w:t>
      </w:r>
      <w:r w:rsidR="00A05BC4" w:rsidRPr="00A1016B">
        <w:rPr>
          <w:rFonts w:ascii="Verdana" w:hAnsi="Verdana"/>
          <w:sz w:val="20"/>
          <w:szCs w:val="20"/>
        </w:rPr>
        <w:t>lectura</w:t>
      </w:r>
      <w:r w:rsidR="00D938DD" w:rsidRPr="00A1016B">
        <w:rPr>
          <w:rFonts w:ascii="Verdana" w:hAnsi="Verdana"/>
          <w:sz w:val="20"/>
          <w:szCs w:val="20"/>
        </w:rPr>
        <w:t xml:space="preserve"> del caso </w:t>
      </w:r>
      <w:r w:rsidR="00D938DD" w:rsidRPr="00D730B9">
        <w:rPr>
          <w:rFonts w:ascii="Verdana" w:hAnsi="Verdana"/>
          <w:i/>
          <w:iCs/>
          <w:sz w:val="20"/>
          <w:szCs w:val="20"/>
        </w:rPr>
        <w:t>Alvares Ramos</w:t>
      </w:r>
      <w:r w:rsidR="0097783D" w:rsidRPr="00A1016B">
        <w:rPr>
          <w:rFonts w:ascii="Verdana" w:hAnsi="Verdana"/>
          <w:sz w:val="20"/>
          <w:szCs w:val="20"/>
        </w:rPr>
        <w:t>,</w:t>
      </w:r>
      <w:r w:rsidR="00510044" w:rsidRPr="00A1016B">
        <w:rPr>
          <w:rFonts w:ascii="Verdana" w:hAnsi="Verdana"/>
          <w:sz w:val="20"/>
          <w:szCs w:val="20"/>
        </w:rPr>
        <w:t xml:space="preserve"> en relación con la </w:t>
      </w:r>
      <w:proofErr w:type="spellStart"/>
      <w:r w:rsidR="00510044" w:rsidRPr="00A1016B">
        <w:rPr>
          <w:rFonts w:ascii="Verdana" w:hAnsi="Verdana"/>
          <w:sz w:val="20"/>
          <w:szCs w:val="20"/>
        </w:rPr>
        <w:t>inconvencionalidad</w:t>
      </w:r>
      <w:proofErr w:type="spellEnd"/>
      <w:r w:rsidR="00510044" w:rsidRPr="00A1016B">
        <w:rPr>
          <w:rFonts w:ascii="Verdana" w:hAnsi="Verdana"/>
          <w:sz w:val="20"/>
          <w:szCs w:val="20"/>
        </w:rPr>
        <w:t xml:space="preserve"> de la sanción penal </w:t>
      </w:r>
      <w:r w:rsidR="00EC1CFB" w:rsidRPr="00A1016B">
        <w:rPr>
          <w:rFonts w:ascii="Verdana" w:hAnsi="Verdana"/>
          <w:sz w:val="20"/>
          <w:szCs w:val="20"/>
        </w:rPr>
        <w:t>como responsabilidad</w:t>
      </w:r>
      <w:r w:rsidR="00E20B06" w:rsidRPr="00A1016B">
        <w:rPr>
          <w:rFonts w:ascii="Verdana" w:hAnsi="Verdana"/>
          <w:sz w:val="20"/>
          <w:szCs w:val="20"/>
        </w:rPr>
        <w:t xml:space="preserve"> ulterior</w:t>
      </w:r>
      <w:r w:rsidR="0097783D" w:rsidRPr="00A1016B">
        <w:rPr>
          <w:rStyle w:val="FootnoteReference"/>
          <w:rFonts w:ascii="Verdana" w:hAnsi="Verdana"/>
          <w:sz w:val="20"/>
          <w:szCs w:val="20"/>
        </w:rPr>
        <w:footnoteReference w:id="8"/>
      </w:r>
      <w:r w:rsidR="0097783D" w:rsidRPr="00A1016B">
        <w:rPr>
          <w:rFonts w:ascii="Verdana" w:hAnsi="Verdana"/>
          <w:sz w:val="20"/>
          <w:szCs w:val="20"/>
        </w:rPr>
        <w:t>. N</w:t>
      </w:r>
      <w:r w:rsidR="000B7BB5" w:rsidRPr="00A1016B">
        <w:rPr>
          <w:rFonts w:ascii="Verdana" w:hAnsi="Verdana"/>
          <w:sz w:val="20"/>
          <w:szCs w:val="20"/>
        </w:rPr>
        <w:t xml:space="preserve">o obstante, ante </w:t>
      </w:r>
      <w:r w:rsidR="003978D3" w:rsidRPr="00A1016B">
        <w:rPr>
          <w:rFonts w:ascii="Verdana" w:hAnsi="Verdana"/>
          <w:sz w:val="20"/>
          <w:szCs w:val="20"/>
        </w:rPr>
        <w:t xml:space="preserve">la reiteración del criterio del caso </w:t>
      </w:r>
      <w:proofErr w:type="spellStart"/>
      <w:r w:rsidR="003978D3" w:rsidRPr="00A1016B">
        <w:rPr>
          <w:rFonts w:ascii="Verdana" w:hAnsi="Verdana"/>
          <w:i/>
          <w:iCs/>
          <w:sz w:val="20"/>
          <w:szCs w:val="20"/>
        </w:rPr>
        <w:t>Baraona</w:t>
      </w:r>
      <w:proofErr w:type="spellEnd"/>
      <w:r w:rsidR="003978D3" w:rsidRPr="00A1016B">
        <w:rPr>
          <w:rFonts w:ascii="Verdana" w:hAnsi="Verdana"/>
          <w:i/>
          <w:iCs/>
          <w:sz w:val="20"/>
          <w:szCs w:val="20"/>
        </w:rPr>
        <w:t xml:space="preserve"> Bray </w:t>
      </w:r>
      <w:r w:rsidR="003978D3" w:rsidRPr="00A1016B">
        <w:rPr>
          <w:rFonts w:ascii="Verdana" w:hAnsi="Verdana"/>
          <w:sz w:val="20"/>
          <w:szCs w:val="20"/>
        </w:rPr>
        <w:t xml:space="preserve">en este caso, </w:t>
      </w:r>
      <w:r w:rsidR="003A463C" w:rsidRPr="00A1016B">
        <w:rPr>
          <w:rFonts w:ascii="Verdana" w:hAnsi="Verdana"/>
          <w:sz w:val="20"/>
          <w:szCs w:val="20"/>
        </w:rPr>
        <w:t xml:space="preserve">debo advertir las deficiencias en el proceso de </w:t>
      </w:r>
      <w:r w:rsidR="007C1EFC" w:rsidRPr="00A1016B">
        <w:rPr>
          <w:rFonts w:ascii="Verdana" w:hAnsi="Verdana"/>
          <w:sz w:val="20"/>
          <w:szCs w:val="20"/>
        </w:rPr>
        <w:t>creación</w:t>
      </w:r>
      <w:r w:rsidR="003A463C" w:rsidRPr="00A1016B">
        <w:rPr>
          <w:rFonts w:ascii="Verdana" w:hAnsi="Verdana"/>
          <w:sz w:val="20"/>
          <w:szCs w:val="20"/>
        </w:rPr>
        <w:t xml:space="preserve"> de esta regla jurisprudencial</w:t>
      </w:r>
      <w:r w:rsidR="007C1EFC" w:rsidRPr="00A1016B">
        <w:rPr>
          <w:rFonts w:ascii="Verdana" w:hAnsi="Verdana"/>
          <w:sz w:val="20"/>
          <w:szCs w:val="20"/>
        </w:rPr>
        <w:t xml:space="preserve">. Creo que </w:t>
      </w:r>
      <w:r w:rsidR="007C1EFC" w:rsidRPr="00A1016B">
        <w:rPr>
          <w:rFonts w:ascii="Verdana" w:hAnsi="Verdana"/>
          <w:sz w:val="20"/>
          <w:szCs w:val="20"/>
        </w:rPr>
        <w:lastRenderedPageBreak/>
        <w:t xml:space="preserve">de no mejorarse los esfuerzos argumentativos que hace la Corte en casos de cambio de precedente, </w:t>
      </w:r>
      <w:r w:rsidR="005E5D0A" w:rsidRPr="00A1016B">
        <w:rPr>
          <w:rFonts w:ascii="Verdana" w:hAnsi="Verdana"/>
          <w:sz w:val="20"/>
          <w:szCs w:val="20"/>
        </w:rPr>
        <w:t>puede</w:t>
      </w:r>
      <w:r w:rsidR="00B45B4E" w:rsidRPr="00A1016B">
        <w:rPr>
          <w:rFonts w:ascii="Verdana" w:hAnsi="Verdana"/>
          <w:sz w:val="20"/>
          <w:szCs w:val="20"/>
        </w:rPr>
        <w:t xml:space="preserve"> haber </w:t>
      </w:r>
      <w:r w:rsidR="005E5D0A" w:rsidRPr="00A1016B">
        <w:rPr>
          <w:rFonts w:ascii="Verdana" w:hAnsi="Verdana"/>
          <w:sz w:val="20"/>
          <w:szCs w:val="20"/>
        </w:rPr>
        <w:t xml:space="preserve">serias implicaciones en </w:t>
      </w:r>
      <w:r w:rsidR="00B45B4E" w:rsidRPr="00A1016B">
        <w:rPr>
          <w:rFonts w:ascii="Verdana" w:hAnsi="Verdana"/>
          <w:sz w:val="20"/>
          <w:szCs w:val="20"/>
        </w:rPr>
        <w:t>la estabilidad d</w:t>
      </w:r>
      <w:r w:rsidR="005E74A4" w:rsidRPr="00A1016B">
        <w:rPr>
          <w:rFonts w:ascii="Verdana" w:hAnsi="Verdana"/>
          <w:sz w:val="20"/>
          <w:szCs w:val="20"/>
        </w:rPr>
        <w:t xml:space="preserve">el </w:t>
      </w:r>
      <w:r w:rsidR="00633362" w:rsidRPr="00A1016B">
        <w:rPr>
          <w:rFonts w:ascii="Verdana" w:hAnsi="Verdana"/>
          <w:sz w:val="20"/>
          <w:szCs w:val="20"/>
        </w:rPr>
        <w:t xml:space="preserve">Sistema Jurídico amparado en la Convención Americana, </w:t>
      </w:r>
      <w:r w:rsidR="005E5D0A" w:rsidRPr="00A1016B">
        <w:rPr>
          <w:rFonts w:ascii="Verdana" w:hAnsi="Verdana"/>
          <w:sz w:val="20"/>
          <w:szCs w:val="20"/>
        </w:rPr>
        <w:t xml:space="preserve">sobre todo de cara a los cambios de composición </w:t>
      </w:r>
      <w:r w:rsidR="00291E2A" w:rsidRPr="00A1016B">
        <w:rPr>
          <w:rFonts w:ascii="Verdana" w:hAnsi="Verdana"/>
          <w:sz w:val="20"/>
          <w:szCs w:val="20"/>
        </w:rPr>
        <w:t>que enfrenta</w:t>
      </w:r>
      <w:r w:rsidR="00633362" w:rsidRPr="00A1016B">
        <w:rPr>
          <w:rFonts w:ascii="Verdana" w:hAnsi="Verdana"/>
          <w:sz w:val="20"/>
          <w:szCs w:val="20"/>
        </w:rPr>
        <w:t>rá el Tribunal</w:t>
      </w:r>
      <w:r w:rsidR="00291E2A" w:rsidRPr="00A1016B">
        <w:rPr>
          <w:rFonts w:ascii="Verdana" w:hAnsi="Verdana"/>
          <w:sz w:val="20"/>
          <w:szCs w:val="20"/>
        </w:rPr>
        <w:t xml:space="preserve"> en los </w:t>
      </w:r>
      <w:r w:rsidR="00633362" w:rsidRPr="00A1016B">
        <w:rPr>
          <w:rFonts w:ascii="Verdana" w:hAnsi="Verdana"/>
          <w:sz w:val="20"/>
          <w:szCs w:val="20"/>
        </w:rPr>
        <w:t xml:space="preserve">próximos </w:t>
      </w:r>
      <w:r w:rsidR="00291E2A" w:rsidRPr="00A1016B">
        <w:rPr>
          <w:rFonts w:ascii="Verdana" w:hAnsi="Verdana"/>
          <w:sz w:val="20"/>
          <w:szCs w:val="20"/>
        </w:rPr>
        <w:t xml:space="preserve">años. </w:t>
      </w:r>
    </w:p>
    <w:p w14:paraId="19AB09FE" w14:textId="77777777" w:rsidR="00D730B9" w:rsidRPr="00A1016B" w:rsidRDefault="00D730B9" w:rsidP="00D730B9">
      <w:pPr>
        <w:pStyle w:val="ListParagraph"/>
        <w:autoSpaceDE w:val="0"/>
        <w:autoSpaceDN w:val="0"/>
        <w:adjustRightInd w:val="0"/>
        <w:spacing w:after="0" w:line="240" w:lineRule="auto"/>
        <w:ind w:left="0"/>
        <w:contextualSpacing w:val="0"/>
        <w:jc w:val="both"/>
        <w:rPr>
          <w:rFonts w:ascii="Verdana" w:hAnsi="Verdana"/>
          <w:iCs/>
          <w:sz w:val="20"/>
          <w:szCs w:val="20"/>
        </w:rPr>
      </w:pPr>
    </w:p>
    <w:p w14:paraId="4E421680" w14:textId="24FFD738" w:rsidR="00E43010" w:rsidRDefault="00F06840" w:rsidP="00D730B9">
      <w:pPr>
        <w:pStyle w:val="ListParagraph"/>
        <w:numPr>
          <w:ilvl w:val="0"/>
          <w:numId w:val="1"/>
        </w:numPr>
        <w:autoSpaceDE w:val="0"/>
        <w:autoSpaceDN w:val="0"/>
        <w:adjustRightInd w:val="0"/>
        <w:spacing w:after="0" w:line="240" w:lineRule="auto"/>
        <w:ind w:left="0" w:firstLine="0"/>
        <w:contextualSpacing w:val="0"/>
        <w:jc w:val="both"/>
        <w:rPr>
          <w:rFonts w:ascii="Verdana" w:hAnsi="Verdana" w:cs="Times New Roman"/>
          <w:sz w:val="20"/>
          <w:szCs w:val="20"/>
          <w:lang w:val="es-ES"/>
        </w:rPr>
      </w:pPr>
      <w:r w:rsidRPr="00A1016B">
        <w:rPr>
          <w:rFonts w:ascii="Verdana" w:hAnsi="Verdana" w:cs="Times New Roman"/>
          <w:sz w:val="20"/>
          <w:szCs w:val="20"/>
          <w:lang w:val="es-ES"/>
        </w:rPr>
        <w:t>La Convención Americana no tiene una disposición que regule el catálogo de fuentes aplicables por parte de la Corte en el ejercicio de su función contenciosa</w:t>
      </w:r>
      <w:r w:rsidR="00C2139E" w:rsidRPr="00A1016B">
        <w:rPr>
          <w:rFonts w:ascii="Verdana" w:hAnsi="Verdana" w:cs="Times New Roman"/>
          <w:sz w:val="20"/>
          <w:szCs w:val="20"/>
          <w:lang w:val="es-ES"/>
        </w:rPr>
        <w:t xml:space="preserve">, </w:t>
      </w:r>
      <w:r w:rsidR="00302336" w:rsidRPr="00A1016B">
        <w:rPr>
          <w:rFonts w:ascii="Verdana" w:hAnsi="Verdana" w:cs="Times New Roman"/>
          <w:sz w:val="20"/>
          <w:szCs w:val="20"/>
          <w:lang w:val="es-ES"/>
        </w:rPr>
        <w:t xml:space="preserve">solo </w:t>
      </w:r>
      <w:r w:rsidR="00C2139E" w:rsidRPr="00A1016B">
        <w:rPr>
          <w:rFonts w:ascii="Verdana" w:hAnsi="Verdana" w:cs="Times New Roman"/>
          <w:sz w:val="20"/>
          <w:szCs w:val="20"/>
          <w:lang w:val="es-ES"/>
        </w:rPr>
        <w:t>consagra algunas reglas de interpretación en su artículo 29</w:t>
      </w:r>
      <w:r w:rsidR="006E236A" w:rsidRPr="00A1016B">
        <w:rPr>
          <w:rFonts w:ascii="Verdana" w:hAnsi="Verdana" w:cs="Times New Roman"/>
          <w:sz w:val="20"/>
          <w:szCs w:val="20"/>
          <w:lang w:val="es-ES"/>
        </w:rPr>
        <w:t xml:space="preserve">. </w:t>
      </w:r>
      <w:r w:rsidR="00C2139E" w:rsidRPr="00A1016B">
        <w:rPr>
          <w:rFonts w:ascii="Verdana" w:hAnsi="Verdana" w:cs="Times New Roman"/>
          <w:sz w:val="20"/>
          <w:szCs w:val="20"/>
          <w:lang w:val="es-ES"/>
        </w:rPr>
        <w:t xml:space="preserve">Por esto, </w:t>
      </w:r>
      <w:r w:rsidR="00F656D9" w:rsidRPr="00A1016B">
        <w:rPr>
          <w:rFonts w:ascii="Verdana" w:hAnsi="Verdana" w:cs="Times New Roman"/>
          <w:sz w:val="20"/>
          <w:szCs w:val="20"/>
          <w:lang w:val="es-ES"/>
        </w:rPr>
        <w:t>se han tenido como guía</w:t>
      </w:r>
      <w:r w:rsidR="0096218C" w:rsidRPr="00A1016B">
        <w:rPr>
          <w:rFonts w:ascii="Verdana" w:hAnsi="Verdana" w:cs="Times New Roman"/>
          <w:sz w:val="20"/>
          <w:szCs w:val="20"/>
          <w:lang w:val="es-ES"/>
        </w:rPr>
        <w:t xml:space="preserve"> adicional</w:t>
      </w:r>
      <w:r w:rsidR="00F656D9" w:rsidRPr="00A1016B">
        <w:rPr>
          <w:rFonts w:ascii="Verdana" w:hAnsi="Verdana" w:cs="Times New Roman"/>
          <w:sz w:val="20"/>
          <w:szCs w:val="20"/>
          <w:lang w:val="es-ES"/>
        </w:rPr>
        <w:t xml:space="preserve"> las reglas del artículo 31 del Estatuto de la Corte Internacional de Justicia </w:t>
      </w:r>
      <w:r w:rsidR="006E236A" w:rsidRPr="00A1016B">
        <w:rPr>
          <w:rFonts w:ascii="Verdana" w:hAnsi="Verdana" w:cs="Times New Roman"/>
          <w:sz w:val="20"/>
          <w:szCs w:val="20"/>
          <w:lang w:val="es-ES"/>
        </w:rPr>
        <w:t>y los criterios de interpretación de la Convención de Viena sobre el Derecho de los Tratados</w:t>
      </w:r>
      <w:r w:rsidR="00847D69" w:rsidRPr="00A1016B">
        <w:rPr>
          <w:rFonts w:ascii="Verdana" w:hAnsi="Verdana" w:cs="Times New Roman"/>
          <w:sz w:val="20"/>
          <w:szCs w:val="20"/>
          <w:lang w:val="es-ES"/>
        </w:rPr>
        <w:t xml:space="preserve">, </w:t>
      </w:r>
      <w:r w:rsidR="00765ABA" w:rsidRPr="00A1016B">
        <w:rPr>
          <w:rFonts w:ascii="Verdana" w:hAnsi="Verdana" w:cs="Times New Roman"/>
          <w:sz w:val="20"/>
          <w:szCs w:val="20"/>
          <w:lang w:val="es-ES"/>
        </w:rPr>
        <w:t>que</w:t>
      </w:r>
      <w:r w:rsidR="00644255" w:rsidRPr="00A1016B">
        <w:rPr>
          <w:rFonts w:ascii="Verdana" w:hAnsi="Verdana" w:cs="Times New Roman"/>
          <w:sz w:val="20"/>
          <w:szCs w:val="20"/>
          <w:lang w:val="es-ES"/>
        </w:rPr>
        <w:t xml:space="preserve">, entre otros, </w:t>
      </w:r>
      <w:r w:rsidR="00765ABA" w:rsidRPr="00A1016B">
        <w:rPr>
          <w:rFonts w:ascii="Verdana" w:hAnsi="Verdana" w:cs="Times New Roman"/>
          <w:sz w:val="20"/>
          <w:szCs w:val="20"/>
          <w:lang w:val="es-ES"/>
        </w:rPr>
        <w:t xml:space="preserve">han contribuido al </w:t>
      </w:r>
      <w:r w:rsidR="0096218C" w:rsidRPr="00A1016B">
        <w:rPr>
          <w:rFonts w:ascii="Verdana" w:hAnsi="Verdana" w:cs="Times New Roman"/>
          <w:sz w:val="20"/>
          <w:szCs w:val="20"/>
          <w:lang w:val="es-ES"/>
        </w:rPr>
        <w:t>desarroll</w:t>
      </w:r>
      <w:r w:rsidR="00765ABA" w:rsidRPr="00A1016B">
        <w:rPr>
          <w:rFonts w:ascii="Verdana" w:hAnsi="Verdana" w:cs="Times New Roman"/>
          <w:sz w:val="20"/>
          <w:szCs w:val="20"/>
          <w:lang w:val="es-ES"/>
        </w:rPr>
        <w:t>o</w:t>
      </w:r>
      <w:r w:rsidR="0096218C" w:rsidRPr="00A1016B">
        <w:rPr>
          <w:rFonts w:ascii="Verdana" w:hAnsi="Verdana" w:cs="Times New Roman"/>
          <w:sz w:val="20"/>
          <w:szCs w:val="20"/>
          <w:lang w:val="es-ES"/>
        </w:rPr>
        <w:t xml:space="preserve"> </w:t>
      </w:r>
      <w:r w:rsidR="00765ABA" w:rsidRPr="00A1016B">
        <w:rPr>
          <w:rFonts w:ascii="Verdana" w:hAnsi="Verdana" w:cs="Times New Roman"/>
          <w:sz w:val="20"/>
          <w:szCs w:val="20"/>
          <w:lang w:val="es-ES"/>
        </w:rPr>
        <w:t>d</w:t>
      </w:r>
      <w:r w:rsidR="0096218C" w:rsidRPr="00A1016B">
        <w:rPr>
          <w:rFonts w:ascii="Verdana" w:hAnsi="Verdana" w:cs="Times New Roman"/>
          <w:sz w:val="20"/>
          <w:szCs w:val="20"/>
          <w:lang w:val="es-ES"/>
        </w:rPr>
        <w:t xml:space="preserve">el concepto de </w:t>
      </w:r>
      <w:r w:rsidR="0096218C" w:rsidRPr="00A1016B">
        <w:rPr>
          <w:rFonts w:ascii="Verdana" w:hAnsi="Verdana" w:cs="Times New Roman"/>
          <w:i/>
          <w:iCs/>
          <w:sz w:val="20"/>
          <w:szCs w:val="20"/>
          <w:lang w:val="es-ES"/>
        </w:rPr>
        <w:t>corpus iuris</w:t>
      </w:r>
      <w:r w:rsidR="0096218C" w:rsidRPr="00A1016B">
        <w:rPr>
          <w:rFonts w:ascii="Verdana" w:hAnsi="Verdana" w:cs="Times New Roman"/>
          <w:sz w:val="20"/>
          <w:szCs w:val="20"/>
          <w:lang w:val="es-ES"/>
        </w:rPr>
        <w:t xml:space="preserve"> interamericano</w:t>
      </w:r>
      <w:r w:rsidR="00765ABA" w:rsidRPr="00A1016B">
        <w:rPr>
          <w:rStyle w:val="FootnoteReference"/>
          <w:rFonts w:ascii="Verdana" w:hAnsi="Verdana" w:cs="Times New Roman"/>
          <w:sz w:val="20"/>
          <w:szCs w:val="20"/>
          <w:lang w:val="es-ES"/>
        </w:rPr>
        <w:footnoteReference w:id="9"/>
      </w:r>
      <w:r w:rsidR="0096218C" w:rsidRPr="00A1016B">
        <w:rPr>
          <w:rFonts w:ascii="Verdana" w:hAnsi="Verdana" w:cs="Times New Roman"/>
          <w:sz w:val="20"/>
          <w:szCs w:val="20"/>
          <w:lang w:val="es-ES"/>
        </w:rPr>
        <w:t>.</w:t>
      </w:r>
      <w:r w:rsidR="006E236A" w:rsidRPr="00A1016B">
        <w:rPr>
          <w:rFonts w:ascii="Verdana" w:hAnsi="Verdana" w:cs="Times New Roman"/>
          <w:sz w:val="20"/>
          <w:szCs w:val="20"/>
          <w:lang w:val="es-ES"/>
        </w:rPr>
        <w:t xml:space="preserve"> </w:t>
      </w:r>
      <w:r w:rsidR="00C2139E" w:rsidRPr="00A1016B">
        <w:rPr>
          <w:rFonts w:ascii="Verdana" w:hAnsi="Verdana" w:cs="Times New Roman"/>
          <w:sz w:val="20"/>
          <w:szCs w:val="20"/>
          <w:lang w:val="es-ES"/>
        </w:rPr>
        <w:t>Además</w:t>
      </w:r>
      <w:r w:rsidR="0096218C" w:rsidRPr="00A1016B">
        <w:rPr>
          <w:rFonts w:ascii="Verdana" w:hAnsi="Verdana" w:cs="Times New Roman"/>
          <w:sz w:val="20"/>
          <w:szCs w:val="20"/>
          <w:lang w:val="es-ES"/>
        </w:rPr>
        <w:t>,</w:t>
      </w:r>
      <w:r w:rsidR="00C2139E" w:rsidRPr="00A1016B">
        <w:rPr>
          <w:rFonts w:ascii="Verdana" w:hAnsi="Verdana" w:cs="Times New Roman"/>
          <w:sz w:val="20"/>
          <w:szCs w:val="20"/>
          <w:lang w:val="es-ES"/>
        </w:rPr>
        <w:t xml:space="preserve"> en la práctica, </w:t>
      </w:r>
      <w:r w:rsidR="002B3FB6" w:rsidRPr="00A1016B">
        <w:rPr>
          <w:rFonts w:ascii="Verdana" w:hAnsi="Verdana" w:cs="Times New Roman"/>
          <w:sz w:val="20"/>
          <w:szCs w:val="20"/>
          <w:lang w:val="es-ES"/>
        </w:rPr>
        <w:t xml:space="preserve">el Tribunal suele reiterar la postura que ha asumido en casos previos, </w:t>
      </w:r>
      <w:r w:rsidR="0096090A" w:rsidRPr="00A1016B">
        <w:rPr>
          <w:rFonts w:ascii="Verdana" w:hAnsi="Verdana" w:cs="Times New Roman"/>
          <w:sz w:val="20"/>
          <w:szCs w:val="20"/>
          <w:lang w:val="es-ES"/>
        </w:rPr>
        <w:t xml:space="preserve">y </w:t>
      </w:r>
      <w:r w:rsidR="00644255" w:rsidRPr="00A1016B">
        <w:rPr>
          <w:rFonts w:ascii="Verdana" w:hAnsi="Verdana" w:cs="Times New Roman"/>
          <w:sz w:val="20"/>
          <w:szCs w:val="20"/>
          <w:lang w:val="es-ES"/>
        </w:rPr>
        <w:t>desarrollar</w:t>
      </w:r>
      <w:r w:rsidR="0096090A" w:rsidRPr="00A1016B">
        <w:rPr>
          <w:rFonts w:ascii="Verdana" w:hAnsi="Verdana" w:cs="Times New Roman"/>
          <w:sz w:val="20"/>
          <w:szCs w:val="20"/>
          <w:lang w:val="es-ES"/>
        </w:rPr>
        <w:t xml:space="preserve"> </w:t>
      </w:r>
      <w:r w:rsidR="000F04D9" w:rsidRPr="00A1016B">
        <w:rPr>
          <w:rFonts w:ascii="Verdana" w:hAnsi="Verdana" w:cs="Times New Roman"/>
          <w:sz w:val="20"/>
          <w:szCs w:val="20"/>
          <w:lang w:val="es-ES"/>
        </w:rPr>
        <w:t>estándares</w:t>
      </w:r>
      <w:r w:rsidR="0096090A" w:rsidRPr="00A1016B">
        <w:rPr>
          <w:rFonts w:ascii="Verdana" w:hAnsi="Verdana" w:cs="Times New Roman"/>
          <w:sz w:val="20"/>
          <w:szCs w:val="20"/>
          <w:lang w:val="es-ES"/>
        </w:rPr>
        <w:t xml:space="preserve"> sobre el alcance y contenido de los derechos contenidos en la Convención. Este ejercicio que </w:t>
      </w:r>
      <w:r w:rsidR="00E7684C" w:rsidRPr="00A1016B">
        <w:rPr>
          <w:rFonts w:ascii="Verdana" w:hAnsi="Verdana" w:cs="Times New Roman"/>
          <w:sz w:val="20"/>
          <w:szCs w:val="20"/>
          <w:lang w:val="es-ES"/>
        </w:rPr>
        <w:t xml:space="preserve">hace </w:t>
      </w:r>
      <w:r w:rsidR="0096090A" w:rsidRPr="00A1016B">
        <w:rPr>
          <w:rFonts w:ascii="Verdana" w:hAnsi="Verdana" w:cs="Times New Roman"/>
          <w:sz w:val="20"/>
          <w:szCs w:val="20"/>
          <w:lang w:val="es-ES"/>
        </w:rPr>
        <w:t xml:space="preserve">como interprete autorizado de la Convención, es crucial para </w:t>
      </w:r>
      <w:r w:rsidR="00E5071D" w:rsidRPr="00A1016B">
        <w:rPr>
          <w:rFonts w:ascii="Verdana" w:hAnsi="Verdana" w:cs="Times New Roman"/>
          <w:sz w:val="20"/>
          <w:szCs w:val="20"/>
          <w:lang w:val="es-ES"/>
        </w:rPr>
        <w:t xml:space="preserve">el adecuado cumplimiento de su función como Tribunal de Derechos Humanos y debe ser adelantado con rigurosidad. Esto implica, que exista un </w:t>
      </w:r>
      <w:r w:rsidR="00583AF1" w:rsidRPr="00A1016B">
        <w:rPr>
          <w:rFonts w:ascii="Verdana" w:hAnsi="Verdana" w:cs="Times New Roman"/>
          <w:sz w:val="20"/>
          <w:szCs w:val="20"/>
          <w:lang w:val="es-ES"/>
        </w:rPr>
        <w:t>juicioso</w:t>
      </w:r>
      <w:r w:rsidR="00E5071D" w:rsidRPr="00A1016B">
        <w:rPr>
          <w:rFonts w:ascii="Verdana" w:hAnsi="Verdana" w:cs="Times New Roman"/>
          <w:sz w:val="20"/>
          <w:szCs w:val="20"/>
          <w:lang w:val="es-ES"/>
        </w:rPr>
        <w:t xml:space="preserve"> ejercicio de interpretación, </w:t>
      </w:r>
      <w:r w:rsidR="00707188" w:rsidRPr="00A1016B">
        <w:rPr>
          <w:rFonts w:ascii="Verdana" w:hAnsi="Verdana" w:cs="Times New Roman"/>
          <w:sz w:val="20"/>
          <w:szCs w:val="20"/>
          <w:lang w:val="es-ES"/>
        </w:rPr>
        <w:t xml:space="preserve">que haya </w:t>
      </w:r>
      <w:r w:rsidR="00E5071D" w:rsidRPr="00A1016B">
        <w:rPr>
          <w:rFonts w:ascii="Verdana" w:hAnsi="Verdana" w:cs="Times New Roman"/>
          <w:sz w:val="20"/>
          <w:szCs w:val="20"/>
          <w:lang w:val="es-ES"/>
        </w:rPr>
        <w:t>consistencia en</w:t>
      </w:r>
      <w:r w:rsidR="00707188" w:rsidRPr="00A1016B">
        <w:rPr>
          <w:rFonts w:ascii="Verdana" w:hAnsi="Verdana" w:cs="Times New Roman"/>
          <w:sz w:val="20"/>
          <w:szCs w:val="20"/>
          <w:lang w:val="es-ES"/>
        </w:rPr>
        <w:t xml:space="preserve"> la aplicación de dicha interpretación en</w:t>
      </w:r>
      <w:r w:rsidR="00E5071D" w:rsidRPr="00A1016B">
        <w:rPr>
          <w:rFonts w:ascii="Verdana" w:hAnsi="Verdana" w:cs="Times New Roman"/>
          <w:sz w:val="20"/>
          <w:szCs w:val="20"/>
          <w:lang w:val="es-ES"/>
        </w:rPr>
        <w:t xml:space="preserve"> el tiempo y </w:t>
      </w:r>
      <w:r w:rsidR="00707188" w:rsidRPr="00A1016B">
        <w:rPr>
          <w:rFonts w:ascii="Verdana" w:hAnsi="Verdana" w:cs="Times New Roman"/>
          <w:sz w:val="20"/>
          <w:szCs w:val="20"/>
          <w:lang w:val="es-ES"/>
        </w:rPr>
        <w:t xml:space="preserve">que en los eventos en que sea necesario cambiarla, exista una expresa y </w:t>
      </w:r>
      <w:r w:rsidR="00E5071D" w:rsidRPr="00A1016B">
        <w:rPr>
          <w:rFonts w:ascii="Verdana" w:hAnsi="Verdana" w:cs="Times New Roman"/>
          <w:sz w:val="20"/>
          <w:szCs w:val="20"/>
          <w:lang w:val="es-ES"/>
        </w:rPr>
        <w:t xml:space="preserve">adecuada motivación. </w:t>
      </w:r>
    </w:p>
    <w:p w14:paraId="4ADBC665" w14:textId="77777777" w:rsidR="00D730B9" w:rsidRPr="00A1016B" w:rsidRDefault="00D730B9" w:rsidP="00D730B9">
      <w:pPr>
        <w:pStyle w:val="ListParagraph"/>
        <w:autoSpaceDE w:val="0"/>
        <w:autoSpaceDN w:val="0"/>
        <w:adjustRightInd w:val="0"/>
        <w:spacing w:after="0" w:line="240" w:lineRule="auto"/>
        <w:ind w:left="0"/>
        <w:contextualSpacing w:val="0"/>
        <w:jc w:val="both"/>
        <w:rPr>
          <w:rFonts w:ascii="Verdana" w:hAnsi="Verdana" w:cs="Times New Roman"/>
          <w:sz w:val="20"/>
          <w:szCs w:val="20"/>
          <w:lang w:val="es-ES"/>
        </w:rPr>
      </w:pPr>
    </w:p>
    <w:p w14:paraId="6C40AD4F" w14:textId="6C56E5E2" w:rsidR="00707188" w:rsidRDefault="00707188" w:rsidP="00D730B9">
      <w:pPr>
        <w:pStyle w:val="ListParagraph"/>
        <w:numPr>
          <w:ilvl w:val="0"/>
          <w:numId w:val="1"/>
        </w:numPr>
        <w:autoSpaceDE w:val="0"/>
        <w:autoSpaceDN w:val="0"/>
        <w:adjustRightInd w:val="0"/>
        <w:spacing w:after="0" w:line="240" w:lineRule="auto"/>
        <w:ind w:left="0" w:firstLine="0"/>
        <w:contextualSpacing w:val="0"/>
        <w:jc w:val="both"/>
        <w:rPr>
          <w:rFonts w:ascii="Verdana" w:hAnsi="Verdana" w:cs="Times New Roman"/>
          <w:sz w:val="20"/>
          <w:szCs w:val="20"/>
          <w:lang w:val="es-ES"/>
        </w:rPr>
      </w:pPr>
      <w:r w:rsidRPr="00A1016B">
        <w:rPr>
          <w:rFonts w:ascii="Verdana" w:hAnsi="Verdana" w:cs="Times New Roman"/>
          <w:sz w:val="20"/>
          <w:szCs w:val="20"/>
          <w:lang w:val="es-ES"/>
        </w:rPr>
        <w:t xml:space="preserve">En relación con la interpretación del artículo 13 de la CADH y la prohibición del uso del derecho penal para la imposición de responsabilidades ulteriores, esto no ocurrió. </w:t>
      </w:r>
      <w:r w:rsidR="00DB7827" w:rsidRPr="00A1016B">
        <w:rPr>
          <w:rFonts w:ascii="Verdana" w:hAnsi="Verdana" w:cs="Times New Roman"/>
          <w:sz w:val="20"/>
          <w:szCs w:val="20"/>
          <w:lang w:val="es-ES"/>
        </w:rPr>
        <w:t>La Corte en un plazo de alrededor de cinco años ha variado su postura en tres oportunidades</w:t>
      </w:r>
      <w:r w:rsidR="009A6DAA" w:rsidRPr="00A1016B">
        <w:rPr>
          <w:rFonts w:ascii="Verdana" w:hAnsi="Verdana" w:cs="Times New Roman"/>
          <w:sz w:val="20"/>
          <w:szCs w:val="20"/>
          <w:lang w:val="es-ES"/>
        </w:rPr>
        <w:t>. El inconveniente no es solo que, como lo he explicado la postura que hoy asume la mayoría es cuestionable jurídicamente, sino que este cambio se ha hecho sin ser alertado y sin explicar las razones que lo fundamentan. Todo esto en perjuicio de</w:t>
      </w:r>
      <w:r w:rsidR="00CF243F" w:rsidRPr="00A1016B">
        <w:rPr>
          <w:rFonts w:ascii="Verdana" w:hAnsi="Verdana" w:cs="Times New Roman"/>
          <w:sz w:val="20"/>
          <w:szCs w:val="20"/>
          <w:lang w:val="es-ES"/>
        </w:rPr>
        <w:t xml:space="preserve"> la estabilidad de las normas con base en las cuales se ejerce la competencia de la Corte, </w:t>
      </w:r>
      <w:r w:rsidR="00B0298E" w:rsidRPr="00A1016B">
        <w:rPr>
          <w:rFonts w:ascii="Verdana" w:hAnsi="Verdana" w:cs="Times New Roman"/>
          <w:sz w:val="20"/>
          <w:szCs w:val="20"/>
          <w:lang w:val="es-ES"/>
        </w:rPr>
        <w:t>y sentando un antecedente negativo para la práctica del Tribunal en relación con los cambios en su jurisprudencia.</w:t>
      </w:r>
    </w:p>
    <w:p w14:paraId="7FA3746E" w14:textId="77777777" w:rsidR="00D730B9" w:rsidRPr="00A1016B" w:rsidRDefault="00D730B9" w:rsidP="00D730B9">
      <w:pPr>
        <w:pStyle w:val="ListParagraph"/>
        <w:autoSpaceDE w:val="0"/>
        <w:autoSpaceDN w:val="0"/>
        <w:adjustRightInd w:val="0"/>
        <w:spacing w:after="0" w:line="240" w:lineRule="auto"/>
        <w:ind w:left="0"/>
        <w:contextualSpacing w:val="0"/>
        <w:jc w:val="both"/>
        <w:rPr>
          <w:rFonts w:ascii="Verdana" w:hAnsi="Verdana" w:cs="Times New Roman"/>
          <w:sz w:val="20"/>
          <w:szCs w:val="20"/>
          <w:lang w:val="es-ES"/>
        </w:rPr>
      </w:pPr>
    </w:p>
    <w:p w14:paraId="4CDF7383" w14:textId="2711AF2E" w:rsidR="00F67187" w:rsidRDefault="00234BC3" w:rsidP="00D730B9">
      <w:pPr>
        <w:pStyle w:val="ListParagraph"/>
        <w:numPr>
          <w:ilvl w:val="0"/>
          <w:numId w:val="1"/>
        </w:numPr>
        <w:autoSpaceDE w:val="0"/>
        <w:autoSpaceDN w:val="0"/>
        <w:adjustRightInd w:val="0"/>
        <w:spacing w:after="0" w:line="240" w:lineRule="auto"/>
        <w:ind w:left="0" w:firstLine="0"/>
        <w:contextualSpacing w:val="0"/>
        <w:jc w:val="both"/>
        <w:rPr>
          <w:rFonts w:ascii="Verdana" w:hAnsi="Verdana" w:cs="Times New Roman"/>
          <w:sz w:val="20"/>
          <w:szCs w:val="20"/>
          <w:lang w:val="es-ES"/>
        </w:rPr>
      </w:pPr>
      <w:r w:rsidRPr="00A1016B">
        <w:rPr>
          <w:rFonts w:ascii="Verdana" w:hAnsi="Verdana" w:cs="Times New Roman"/>
          <w:sz w:val="20"/>
          <w:szCs w:val="20"/>
          <w:lang w:val="es-ES"/>
        </w:rPr>
        <w:t xml:space="preserve">Además, </w:t>
      </w:r>
      <w:r w:rsidR="00E7684C" w:rsidRPr="00A1016B">
        <w:rPr>
          <w:rFonts w:ascii="Verdana" w:hAnsi="Verdana" w:cs="Times New Roman"/>
          <w:sz w:val="20"/>
          <w:szCs w:val="20"/>
          <w:lang w:val="es-ES"/>
        </w:rPr>
        <w:t xml:space="preserve">esta </w:t>
      </w:r>
      <w:r w:rsidR="00F67187" w:rsidRPr="00A1016B">
        <w:rPr>
          <w:rFonts w:ascii="Verdana" w:hAnsi="Verdana" w:cs="Times New Roman"/>
          <w:sz w:val="20"/>
          <w:szCs w:val="20"/>
          <w:lang w:val="es-ES"/>
        </w:rPr>
        <w:t>lógica de actuación representa otras dificultades</w:t>
      </w:r>
      <w:r w:rsidR="009D31AC" w:rsidRPr="00A1016B">
        <w:rPr>
          <w:rFonts w:ascii="Verdana" w:hAnsi="Verdana" w:cs="Times New Roman"/>
          <w:sz w:val="20"/>
          <w:szCs w:val="20"/>
          <w:lang w:val="es-ES"/>
        </w:rPr>
        <w:t xml:space="preserve"> en el proceso internacional y en la aplicación del control de convencionalidad</w:t>
      </w:r>
      <w:r w:rsidR="0029130D" w:rsidRPr="00A1016B">
        <w:rPr>
          <w:rStyle w:val="FootnoteReference"/>
          <w:rFonts w:ascii="Verdana" w:hAnsi="Verdana" w:cs="Times New Roman"/>
          <w:sz w:val="20"/>
          <w:szCs w:val="20"/>
          <w:lang w:val="es-ES"/>
        </w:rPr>
        <w:footnoteReference w:id="10"/>
      </w:r>
      <w:r w:rsidR="00F67187" w:rsidRPr="00A1016B">
        <w:rPr>
          <w:rFonts w:ascii="Verdana" w:hAnsi="Verdana" w:cs="Times New Roman"/>
          <w:sz w:val="20"/>
          <w:szCs w:val="20"/>
          <w:lang w:val="es-ES"/>
        </w:rPr>
        <w:t xml:space="preserve">. Por una parte, </w:t>
      </w:r>
      <w:r w:rsidR="00310A9E" w:rsidRPr="00A1016B">
        <w:rPr>
          <w:rFonts w:ascii="Verdana" w:hAnsi="Verdana" w:cs="Times New Roman"/>
          <w:sz w:val="20"/>
          <w:szCs w:val="20"/>
          <w:lang w:val="es-ES"/>
        </w:rPr>
        <w:t>para</w:t>
      </w:r>
      <w:r w:rsidR="00F67187" w:rsidRPr="00A1016B">
        <w:rPr>
          <w:rFonts w:ascii="Verdana" w:hAnsi="Verdana" w:cs="Times New Roman"/>
          <w:sz w:val="20"/>
          <w:szCs w:val="20"/>
          <w:lang w:val="es-ES"/>
        </w:rPr>
        <w:t xml:space="preserve"> </w:t>
      </w:r>
      <w:r w:rsidR="00310A9E" w:rsidRPr="00A1016B">
        <w:rPr>
          <w:rFonts w:ascii="Verdana" w:hAnsi="Verdana" w:cs="Times New Roman"/>
          <w:sz w:val="20"/>
          <w:szCs w:val="20"/>
          <w:lang w:val="es-ES"/>
        </w:rPr>
        <w:t xml:space="preserve">elaborar </w:t>
      </w:r>
      <w:r w:rsidR="00A268A0" w:rsidRPr="00A1016B">
        <w:rPr>
          <w:rFonts w:ascii="Verdana" w:hAnsi="Verdana" w:cs="Times New Roman"/>
          <w:sz w:val="20"/>
          <w:szCs w:val="20"/>
          <w:lang w:val="es-ES"/>
        </w:rPr>
        <w:t>los</w:t>
      </w:r>
      <w:r w:rsidR="00310A9E" w:rsidRPr="00A1016B">
        <w:rPr>
          <w:rFonts w:ascii="Verdana" w:hAnsi="Verdana" w:cs="Times New Roman"/>
          <w:sz w:val="20"/>
          <w:szCs w:val="20"/>
          <w:lang w:val="es-ES"/>
        </w:rPr>
        <w:t xml:space="preserve"> argumentos y estrategias de defensa </w:t>
      </w:r>
      <w:r w:rsidR="00A268A0" w:rsidRPr="00A1016B">
        <w:rPr>
          <w:rFonts w:ascii="Verdana" w:hAnsi="Verdana" w:cs="Times New Roman"/>
          <w:sz w:val="20"/>
          <w:szCs w:val="20"/>
          <w:lang w:val="es-ES"/>
        </w:rPr>
        <w:t xml:space="preserve">en el marco del proceso internacional </w:t>
      </w:r>
      <w:r w:rsidR="001746D6" w:rsidRPr="00A1016B">
        <w:rPr>
          <w:rFonts w:ascii="Verdana" w:hAnsi="Verdana" w:cs="Times New Roman"/>
          <w:sz w:val="20"/>
          <w:szCs w:val="20"/>
          <w:lang w:val="es-ES"/>
        </w:rPr>
        <w:t xml:space="preserve">las partes necesitan cierto grado de certeza en relación con </w:t>
      </w:r>
      <w:r w:rsidR="00F67187" w:rsidRPr="00A1016B">
        <w:rPr>
          <w:rFonts w:ascii="Verdana" w:hAnsi="Verdana" w:cs="Times New Roman"/>
          <w:sz w:val="20"/>
          <w:szCs w:val="20"/>
          <w:lang w:val="es-ES"/>
        </w:rPr>
        <w:t xml:space="preserve">la jurisprudencia de la Corte. Por otra, la Corte </w:t>
      </w:r>
      <w:r w:rsidR="001746D6" w:rsidRPr="00A1016B">
        <w:rPr>
          <w:rFonts w:ascii="Verdana" w:hAnsi="Verdana" w:cs="Times New Roman"/>
          <w:sz w:val="20"/>
          <w:szCs w:val="20"/>
          <w:lang w:val="es-ES"/>
        </w:rPr>
        <w:t>debe</w:t>
      </w:r>
      <w:r w:rsidR="00F67187" w:rsidRPr="00A1016B">
        <w:rPr>
          <w:rFonts w:ascii="Verdana" w:hAnsi="Verdana" w:cs="Times New Roman"/>
          <w:sz w:val="20"/>
          <w:szCs w:val="20"/>
          <w:lang w:val="es-ES"/>
        </w:rPr>
        <w:t xml:space="preserve"> ofrece</w:t>
      </w:r>
      <w:r w:rsidR="001746D6" w:rsidRPr="00A1016B">
        <w:rPr>
          <w:rFonts w:ascii="Verdana" w:hAnsi="Verdana" w:cs="Times New Roman"/>
          <w:sz w:val="20"/>
          <w:szCs w:val="20"/>
          <w:lang w:val="es-ES"/>
        </w:rPr>
        <w:t>r</w:t>
      </w:r>
      <w:r w:rsidR="00F67187" w:rsidRPr="00A1016B">
        <w:rPr>
          <w:rFonts w:ascii="Verdana" w:hAnsi="Verdana" w:cs="Times New Roman"/>
          <w:sz w:val="20"/>
          <w:szCs w:val="20"/>
          <w:lang w:val="es-ES"/>
        </w:rPr>
        <w:t xml:space="preserve"> claridad sobre los estándares que deben ser </w:t>
      </w:r>
      <w:r w:rsidR="0029130D" w:rsidRPr="00A1016B">
        <w:rPr>
          <w:rFonts w:ascii="Verdana" w:hAnsi="Verdana" w:cs="Times New Roman"/>
          <w:sz w:val="20"/>
          <w:szCs w:val="20"/>
          <w:lang w:val="es-ES"/>
        </w:rPr>
        <w:t>aplicados</w:t>
      </w:r>
      <w:r w:rsidR="00F67187" w:rsidRPr="00A1016B">
        <w:rPr>
          <w:rFonts w:ascii="Verdana" w:hAnsi="Verdana" w:cs="Times New Roman"/>
          <w:sz w:val="20"/>
          <w:szCs w:val="20"/>
          <w:lang w:val="es-ES"/>
        </w:rPr>
        <w:t xml:space="preserve"> por los Estados</w:t>
      </w:r>
      <w:r w:rsidR="0029130D" w:rsidRPr="00A1016B">
        <w:rPr>
          <w:rFonts w:ascii="Verdana" w:hAnsi="Verdana" w:cs="Times New Roman"/>
          <w:sz w:val="20"/>
          <w:szCs w:val="20"/>
          <w:lang w:val="es-ES"/>
        </w:rPr>
        <w:t xml:space="preserve"> al nivel interno</w:t>
      </w:r>
      <w:r w:rsidR="00F67187" w:rsidRPr="00A1016B">
        <w:rPr>
          <w:rFonts w:ascii="Verdana" w:hAnsi="Verdana" w:cs="Times New Roman"/>
          <w:sz w:val="20"/>
          <w:szCs w:val="20"/>
          <w:lang w:val="es-ES"/>
        </w:rPr>
        <w:t>. La exigencia de que todas las autoridades apliquen la Convención Americana siguiendo los criterios de la Corte Interamericana</w:t>
      </w:r>
      <w:r w:rsidR="001216D3" w:rsidRPr="00A1016B">
        <w:rPr>
          <w:rStyle w:val="FootnoteReference"/>
          <w:rFonts w:ascii="Verdana" w:hAnsi="Verdana" w:cs="Times New Roman"/>
          <w:sz w:val="20"/>
          <w:szCs w:val="20"/>
          <w:lang w:val="es-ES"/>
        </w:rPr>
        <w:footnoteReference w:id="11"/>
      </w:r>
      <w:r w:rsidR="00F67187" w:rsidRPr="00A1016B">
        <w:rPr>
          <w:rFonts w:ascii="Verdana" w:hAnsi="Verdana" w:cs="Times New Roman"/>
          <w:sz w:val="20"/>
          <w:szCs w:val="20"/>
          <w:lang w:val="es-ES"/>
        </w:rPr>
        <w:t xml:space="preserve">, obliga </w:t>
      </w:r>
      <w:r w:rsidR="001216D3" w:rsidRPr="00A1016B">
        <w:rPr>
          <w:rFonts w:ascii="Verdana" w:hAnsi="Verdana" w:cs="Times New Roman"/>
          <w:sz w:val="20"/>
          <w:szCs w:val="20"/>
          <w:lang w:val="es-ES"/>
        </w:rPr>
        <w:t>al</w:t>
      </w:r>
      <w:r w:rsidR="00F67187" w:rsidRPr="00A1016B">
        <w:rPr>
          <w:rFonts w:ascii="Verdana" w:hAnsi="Verdana" w:cs="Times New Roman"/>
          <w:sz w:val="20"/>
          <w:szCs w:val="20"/>
          <w:lang w:val="es-ES"/>
        </w:rPr>
        <w:t xml:space="preserve"> Tribunal </w:t>
      </w:r>
      <w:r w:rsidR="001216D3" w:rsidRPr="00A1016B">
        <w:rPr>
          <w:rFonts w:ascii="Verdana" w:hAnsi="Verdana" w:cs="Times New Roman"/>
          <w:sz w:val="20"/>
          <w:szCs w:val="20"/>
          <w:lang w:val="es-ES"/>
        </w:rPr>
        <w:t>a tener c</w:t>
      </w:r>
      <w:r w:rsidR="00F67187" w:rsidRPr="00A1016B">
        <w:rPr>
          <w:rFonts w:ascii="Verdana" w:hAnsi="Verdana" w:cs="Times New Roman"/>
          <w:sz w:val="20"/>
          <w:szCs w:val="20"/>
          <w:lang w:val="es-ES"/>
        </w:rPr>
        <w:t>ons</w:t>
      </w:r>
      <w:r w:rsidR="001216D3" w:rsidRPr="00A1016B">
        <w:rPr>
          <w:rFonts w:ascii="Verdana" w:hAnsi="Verdana" w:cs="Times New Roman"/>
          <w:sz w:val="20"/>
          <w:szCs w:val="20"/>
          <w:lang w:val="es-ES"/>
        </w:rPr>
        <w:t xml:space="preserve">istencia </w:t>
      </w:r>
      <w:r w:rsidR="00F67187" w:rsidRPr="00A1016B">
        <w:rPr>
          <w:rFonts w:ascii="Verdana" w:hAnsi="Verdana" w:cs="Times New Roman"/>
          <w:sz w:val="20"/>
          <w:szCs w:val="20"/>
          <w:lang w:val="es-ES"/>
        </w:rPr>
        <w:t xml:space="preserve">argumentativa en las decisiones que emite. </w:t>
      </w:r>
    </w:p>
    <w:p w14:paraId="67121F53" w14:textId="77777777" w:rsidR="00D730B9" w:rsidRPr="00D730B9" w:rsidRDefault="00D730B9" w:rsidP="00D730B9">
      <w:pPr>
        <w:pStyle w:val="ListParagraph"/>
        <w:rPr>
          <w:rFonts w:ascii="Verdana" w:hAnsi="Verdana" w:cs="Times New Roman"/>
          <w:sz w:val="20"/>
          <w:szCs w:val="20"/>
          <w:lang w:val="es-ES"/>
        </w:rPr>
      </w:pPr>
    </w:p>
    <w:p w14:paraId="7616E312" w14:textId="77777777" w:rsidR="00D730B9" w:rsidRPr="00A1016B" w:rsidRDefault="00D730B9" w:rsidP="00D730B9">
      <w:pPr>
        <w:pStyle w:val="ListParagraph"/>
        <w:autoSpaceDE w:val="0"/>
        <w:autoSpaceDN w:val="0"/>
        <w:adjustRightInd w:val="0"/>
        <w:spacing w:after="0" w:line="240" w:lineRule="auto"/>
        <w:ind w:left="0"/>
        <w:contextualSpacing w:val="0"/>
        <w:jc w:val="both"/>
        <w:rPr>
          <w:rFonts w:ascii="Verdana" w:hAnsi="Verdana" w:cs="Times New Roman"/>
          <w:sz w:val="20"/>
          <w:szCs w:val="20"/>
          <w:lang w:val="es-ES"/>
        </w:rPr>
      </w:pPr>
    </w:p>
    <w:p w14:paraId="6BFE1000" w14:textId="6C8E1C77" w:rsidR="00841D28" w:rsidRPr="00A1016B" w:rsidRDefault="00841D28" w:rsidP="00D730B9">
      <w:pPr>
        <w:pStyle w:val="ListParagraph"/>
        <w:numPr>
          <w:ilvl w:val="1"/>
          <w:numId w:val="5"/>
        </w:numPr>
        <w:autoSpaceDE w:val="0"/>
        <w:autoSpaceDN w:val="0"/>
        <w:adjustRightInd w:val="0"/>
        <w:spacing w:after="0" w:line="240" w:lineRule="auto"/>
        <w:jc w:val="both"/>
        <w:rPr>
          <w:rFonts w:ascii="Verdana" w:hAnsi="Verdana" w:cs="Times New Roman"/>
          <w:b/>
          <w:bCs/>
          <w:sz w:val="20"/>
          <w:szCs w:val="20"/>
          <w:lang w:val="es-ES"/>
        </w:rPr>
      </w:pPr>
      <w:r w:rsidRPr="00A1016B">
        <w:rPr>
          <w:rFonts w:ascii="Verdana" w:hAnsi="Verdana" w:cs="Times New Roman"/>
          <w:b/>
          <w:bCs/>
          <w:sz w:val="20"/>
          <w:szCs w:val="20"/>
          <w:lang w:val="es-ES"/>
        </w:rPr>
        <w:t xml:space="preserve">Sobre la inconveniencia del cambio jurisprudencial y su aplicación al caso concreto </w:t>
      </w:r>
    </w:p>
    <w:p w14:paraId="149EB731" w14:textId="77777777" w:rsidR="00434BE4" w:rsidRPr="00A1016B" w:rsidRDefault="00434BE4" w:rsidP="00D730B9">
      <w:pPr>
        <w:pStyle w:val="ListParagraph"/>
        <w:autoSpaceDE w:val="0"/>
        <w:autoSpaceDN w:val="0"/>
        <w:adjustRightInd w:val="0"/>
        <w:spacing w:after="0" w:line="240" w:lineRule="auto"/>
        <w:ind w:left="1440"/>
        <w:jc w:val="both"/>
        <w:rPr>
          <w:rFonts w:ascii="Verdana" w:hAnsi="Verdana" w:cs="Times New Roman"/>
          <w:b/>
          <w:bCs/>
          <w:sz w:val="20"/>
          <w:szCs w:val="20"/>
          <w:lang w:val="es-ES"/>
        </w:rPr>
      </w:pPr>
    </w:p>
    <w:p w14:paraId="53FB4F52" w14:textId="5E524EC2" w:rsidR="009D20F8" w:rsidRPr="00D730B9" w:rsidRDefault="00E23E75" w:rsidP="00D730B9">
      <w:pPr>
        <w:pStyle w:val="ListParagraph"/>
        <w:numPr>
          <w:ilvl w:val="0"/>
          <w:numId w:val="1"/>
        </w:numPr>
        <w:autoSpaceDE w:val="0"/>
        <w:autoSpaceDN w:val="0"/>
        <w:adjustRightInd w:val="0"/>
        <w:spacing w:after="0" w:line="240" w:lineRule="auto"/>
        <w:ind w:left="0" w:firstLine="0"/>
        <w:contextualSpacing w:val="0"/>
        <w:jc w:val="both"/>
        <w:rPr>
          <w:rFonts w:ascii="Verdana" w:hAnsi="Verdana" w:cs="Times New Roman"/>
          <w:sz w:val="20"/>
          <w:szCs w:val="20"/>
          <w:lang w:val="es-ES"/>
        </w:rPr>
      </w:pPr>
      <w:r w:rsidRPr="00A1016B">
        <w:rPr>
          <w:rFonts w:ascii="Verdana" w:hAnsi="Verdana"/>
          <w:sz w:val="20"/>
          <w:szCs w:val="20"/>
        </w:rPr>
        <w:t xml:space="preserve">Como fue señalado en la sentencia, en el marco del proceso de nulidad electoral el </w:t>
      </w:r>
      <w:r w:rsidR="00EE05B5" w:rsidRPr="00A1016B">
        <w:rPr>
          <w:rFonts w:ascii="Verdana" w:hAnsi="Verdana"/>
          <w:sz w:val="20"/>
          <w:szCs w:val="20"/>
        </w:rPr>
        <w:t>TSJ</w:t>
      </w:r>
      <w:r w:rsidRPr="00A1016B">
        <w:rPr>
          <w:rFonts w:ascii="Verdana" w:hAnsi="Verdana"/>
          <w:sz w:val="20"/>
          <w:szCs w:val="20"/>
        </w:rPr>
        <w:t xml:space="preserve"> le impuso una sanción administrativa al señor Capriles por “faltar a la majestad”</w:t>
      </w:r>
      <w:r w:rsidR="00EE05B5" w:rsidRPr="00A1016B">
        <w:rPr>
          <w:rFonts w:ascii="Verdana" w:hAnsi="Verdana"/>
          <w:sz w:val="20"/>
          <w:szCs w:val="20"/>
        </w:rPr>
        <w:t xml:space="preserve"> del poder judicial</w:t>
      </w:r>
      <w:r w:rsidR="00884574" w:rsidRPr="00A1016B">
        <w:rPr>
          <w:rFonts w:ascii="Verdana" w:hAnsi="Verdana"/>
          <w:sz w:val="20"/>
          <w:szCs w:val="20"/>
        </w:rPr>
        <w:t>. El fundamento de la sanción</w:t>
      </w:r>
      <w:r w:rsidR="00B464C1" w:rsidRPr="00A1016B">
        <w:rPr>
          <w:rFonts w:ascii="Verdana" w:hAnsi="Verdana"/>
          <w:sz w:val="20"/>
          <w:szCs w:val="20"/>
        </w:rPr>
        <w:t xml:space="preserve"> no es </w:t>
      </w:r>
      <w:r w:rsidR="00B6276F" w:rsidRPr="00A1016B">
        <w:rPr>
          <w:rFonts w:ascii="Verdana" w:hAnsi="Verdana"/>
          <w:sz w:val="20"/>
          <w:szCs w:val="20"/>
        </w:rPr>
        <w:t>claro</w:t>
      </w:r>
      <w:r w:rsidR="00B464C1" w:rsidRPr="00A1016B">
        <w:rPr>
          <w:rFonts w:ascii="Verdana" w:hAnsi="Verdana"/>
          <w:sz w:val="20"/>
          <w:szCs w:val="20"/>
        </w:rPr>
        <w:t>, por la falta de motivación de la decisión, pero en principio</w:t>
      </w:r>
      <w:r w:rsidR="00884574" w:rsidRPr="00A1016B">
        <w:rPr>
          <w:rFonts w:ascii="Verdana" w:hAnsi="Verdana"/>
          <w:sz w:val="20"/>
          <w:szCs w:val="20"/>
        </w:rPr>
        <w:t xml:space="preserve"> fueron alegatos </w:t>
      </w:r>
      <w:r w:rsidR="00AB45CC" w:rsidRPr="00A1016B">
        <w:rPr>
          <w:rFonts w:ascii="Verdana" w:hAnsi="Verdana"/>
          <w:sz w:val="20"/>
          <w:szCs w:val="20"/>
        </w:rPr>
        <w:t>“</w:t>
      </w:r>
      <w:r w:rsidR="00B464C1" w:rsidRPr="00A1016B">
        <w:rPr>
          <w:rFonts w:ascii="Verdana" w:hAnsi="Verdana"/>
          <w:sz w:val="20"/>
          <w:szCs w:val="20"/>
        </w:rPr>
        <w:t>deshonrosos</w:t>
      </w:r>
      <w:r w:rsidR="00AB45CC" w:rsidRPr="00A1016B">
        <w:rPr>
          <w:rFonts w:ascii="Verdana" w:hAnsi="Verdana"/>
          <w:sz w:val="20"/>
          <w:szCs w:val="20"/>
        </w:rPr>
        <w:t>”</w:t>
      </w:r>
      <w:r w:rsidR="00B464C1" w:rsidRPr="00A1016B">
        <w:rPr>
          <w:rFonts w:ascii="Verdana" w:hAnsi="Verdana"/>
          <w:sz w:val="20"/>
          <w:szCs w:val="20"/>
        </w:rPr>
        <w:t xml:space="preserve"> </w:t>
      </w:r>
      <w:r w:rsidR="00EE05B5" w:rsidRPr="00A1016B">
        <w:rPr>
          <w:rFonts w:ascii="Verdana" w:hAnsi="Verdana"/>
          <w:sz w:val="20"/>
          <w:szCs w:val="20"/>
        </w:rPr>
        <w:t xml:space="preserve">sobre los magistrados del TSJ </w:t>
      </w:r>
      <w:r w:rsidR="00C47C46" w:rsidRPr="00A1016B">
        <w:rPr>
          <w:rFonts w:ascii="Verdana" w:hAnsi="Verdana"/>
          <w:sz w:val="20"/>
          <w:szCs w:val="20"/>
        </w:rPr>
        <w:t xml:space="preserve">contenidos en </w:t>
      </w:r>
      <w:r w:rsidR="00B464C1" w:rsidRPr="00A1016B">
        <w:rPr>
          <w:rFonts w:ascii="Verdana" w:hAnsi="Verdana"/>
          <w:sz w:val="20"/>
          <w:szCs w:val="20"/>
        </w:rPr>
        <w:t xml:space="preserve">el recurso contencioso administrativo impuesto en contra del acto que declaró </w:t>
      </w:r>
      <w:r w:rsidR="00B6276F" w:rsidRPr="00A1016B">
        <w:rPr>
          <w:rFonts w:ascii="Verdana" w:hAnsi="Verdana"/>
          <w:sz w:val="20"/>
          <w:szCs w:val="20"/>
        </w:rPr>
        <w:t>el resultado electoral</w:t>
      </w:r>
      <w:r w:rsidR="00AB45CC" w:rsidRPr="00A1016B">
        <w:rPr>
          <w:rFonts w:ascii="Verdana" w:hAnsi="Verdana"/>
          <w:sz w:val="20"/>
          <w:szCs w:val="20"/>
        </w:rPr>
        <w:t xml:space="preserve"> (párrafo</w:t>
      </w:r>
      <w:r w:rsidR="00306CC8" w:rsidRPr="00A1016B">
        <w:rPr>
          <w:rFonts w:ascii="Verdana" w:hAnsi="Verdana"/>
          <w:sz w:val="20"/>
          <w:szCs w:val="20"/>
        </w:rPr>
        <w:t xml:space="preserve"> 181</w:t>
      </w:r>
      <w:r w:rsidR="00AB45CC" w:rsidRPr="00A1016B">
        <w:rPr>
          <w:rFonts w:ascii="Verdana" w:hAnsi="Verdana"/>
          <w:sz w:val="20"/>
          <w:szCs w:val="20"/>
        </w:rPr>
        <w:t>)</w:t>
      </w:r>
      <w:r w:rsidR="00B464C1" w:rsidRPr="00A1016B">
        <w:rPr>
          <w:rFonts w:ascii="Verdana" w:hAnsi="Verdana"/>
          <w:sz w:val="20"/>
          <w:szCs w:val="20"/>
        </w:rPr>
        <w:t>.</w:t>
      </w:r>
      <w:r w:rsidR="00B6276F" w:rsidRPr="00A1016B">
        <w:rPr>
          <w:rFonts w:ascii="Verdana" w:hAnsi="Verdana"/>
          <w:sz w:val="20"/>
          <w:szCs w:val="20"/>
        </w:rPr>
        <w:t xml:space="preserve"> Por estos mismos hechos, </w:t>
      </w:r>
      <w:r w:rsidR="00C47C46" w:rsidRPr="00A1016B">
        <w:rPr>
          <w:rFonts w:ascii="Verdana" w:hAnsi="Verdana"/>
          <w:sz w:val="20"/>
          <w:szCs w:val="20"/>
        </w:rPr>
        <w:t xml:space="preserve">además, </w:t>
      </w:r>
      <w:r w:rsidR="00B6276F" w:rsidRPr="00A1016B">
        <w:rPr>
          <w:rFonts w:ascii="Verdana" w:hAnsi="Verdana"/>
          <w:sz w:val="20"/>
          <w:szCs w:val="20"/>
        </w:rPr>
        <w:t xml:space="preserve">el </w:t>
      </w:r>
      <w:r w:rsidR="00C93E26" w:rsidRPr="00A1016B">
        <w:rPr>
          <w:rFonts w:ascii="Verdana" w:hAnsi="Verdana"/>
          <w:sz w:val="20"/>
          <w:szCs w:val="20"/>
        </w:rPr>
        <w:t>TSJ</w:t>
      </w:r>
      <w:r w:rsidR="00B6276F" w:rsidRPr="00A1016B">
        <w:rPr>
          <w:rFonts w:ascii="Verdana" w:hAnsi="Verdana"/>
          <w:sz w:val="20"/>
          <w:szCs w:val="20"/>
        </w:rPr>
        <w:t xml:space="preserve"> </w:t>
      </w:r>
      <w:r w:rsidRPr="00A1016B">
        <w:rPr>
          <w:rFonts w:ascii="Verdana" w:hAnsi="Verdana"/>
          <w:sz w:val="20"/>
          <w:szCs w:val="20"/>
        </w:rPr>
        <w:t xml:space="preserve">remitió el expediente al Ministerio Público para la eventual apertura de un proceso penal. </w:t>
      </w:r>
      <w:r w:rsidR="00C47C46" w:rsidRPr="00A1016B">
        <w:rPr>
          <w:rFonts w:ascii="Verdana" w:hAnsi="Verdana"/>
          <w:sz w:val="20"/>
          <w:szCs w:val="20"/>
        </w:rPr>
        <w:t xml:space="preserve">La Corte consideró que la mera remisión del expediente implicaba un desconocimiento de la libertad de expresión debido al efecto amedrentador </w:t>
      </w:r>
      <w:r w:rsidR="00C426AF" w:rsidRPr="00A1016B">
        <w:rPr>
          <w:rFonts w:ascii="Verdana" w:hAnsi="Verdana"/>
          <w:sz w:val="20"/>
          <w:szCs w:val="20"/>
        </w:rPr>
        <w:t>de una posible apertura de un proceso penal</w:t>
      </w:r>
      <w:r w:rsidR="003107E9" w:rsidRPr="00A1016B">
        <w:rPr>
          <w:rFonts w:ascii="Verdana" w:hAnsi="Verdana"/>
          <w:sz w:val="20"/>
          <w:szCs w:val="20"/>
        </w:rPr>
        <w:t xml:space="preserve"> (párrafo</w:t>
      </w:r>
      <w:r w:rsidR="00407099" w:rsidRPr="00A1016B">
        <w:rPr>
          <w:rFonts w:ascii="Verdana" w:hAnsi="Verdana"/>
          <w:sz w:val="20"/>
          <w:szCs w:val="20"/>
        </w:rPr>
        <w:t xml:space="preserve"> 183</w:t>
      </w:r>
      <w:r w:rsidR="003107E9" w:rsidRPr="00A1016B">
        <w:rPr>
          <w:rFonts w:ascii="Verdana" w:hAnsi="Verdana"/>
          <w:sz w:val="20"/>
          <w:szCs w:val="20"/>
        </w:rPr>
        <w:t>)</w:t>
      </w:r>
      <w:r w:rsidR="00C426AF" w:rsidRPr="00A1016B">
        <w:rPr>
          <w:rFonts w:ascii="Verdana" w:hAnsi="Verdana"/>
          <w:sz w:val="20"/>
          <w:szCs w:val="20"/>
        </w:rPr>
        <w:t xml:space="preserve">. No puedo dejar de advertir, que en este caso a diferencia de otros que ha conocido la Corte sobre hechos similares, no se contaba con </w:t>
      </w:r>
      <w:r w:rsidR="009D20F8" w:rsidRPr="00A1016B">
        <w:rPr>
          <w:rFonts w:ascii="Verdana" w:hAnsi="Verdana"/>
          <w:sz w:val="20"/>
          <w:szCs w:val="20"/>
        </w:rPr>
        <w:t xml:space="preserve">elementos para saber si se abrió un procedimiento penal en contra del señor Capriles, ni </w:t>
      </w:r>
      <w:r w:rsidR="00C426AF" w:rsidRPr="00A1016B">
        <w:rPr>
          <w:rFonts w:ascii="Verdana" w:hAnsi="Verdana"/>
          <w:sz w:val="20"/>
          <w:szCs w:val="20"/>
        </w:rPr>
        <w:t>sobre</w:t>
      </w:r>
      <w:r w:rsidR="009D20F8" w:rsidRPr="00A1016B">
        <w:rPr>
          <w:rFonts w:ascii="Verdana" w:hAnsi="Verdana"/>
          <w:sz w:val="20"/>
          <w:szCs w:val="20"/>
        </w:rPr>
        <w:t xml:space="preserve"> </w:t>
      </w:r>
      <w:r w:rsidR="00C426AF" w:rsidRPr="00A1016B">
        <w:rPr>
          <w:rFonts w:ascii="Verdana" w:hAnsi="Verdana"/>
          <w:sz w:val="20"/>
          <w:szCs w:val="20"/>
        </w:rPr>
        <w:t>e</w:t>
      </w:r>
      <w:r w:rsidR="009D20F8" w:rsidRPr="00A1016B">
        <w:rPr>
          <w:rFonts w:ascii="Verdana" w:hAnsi="Verdana"/>
          <w:sz w:val="20"/>
          <w:szCs w:val="20"/>
        </w:rPr>
        <w:t xml:space="preserve">l tipo penal </w:t>
      </w:r>
      <w:r w:rsidR="00C426AF" w:rsidRPr="00A1016B">
        <w:rPr>
          <w:rFonts w:ascii="Verdana" w:hAnsi="Verdana"/>
          <w:sz w:val="20"/>
          <w:szCs w:val="20"/>
        </w:rPr>
        <w:t>por el que podría haber sido procesado</w:t>
      </w:r>
      <w:r w:rsidR="003107E9" w:rsidRPr="00A1016B">
        <w:rPr>
          <w:rFonts w:ascii="Verdana" w:hAnsi="Verdana"/>
          <w:sz w:val="20"/>
          <w:szCs w:val="20"/>
        </w:rPr>
        <w:t xml:space="preserve"> (párrafo 184)</w:t>
      </w:r>
      <w:r w:rsidR="009D20F8" w:rsidRPr="00A1016B">
        <w:rPr>
          <w:rFonts w:ascii="Verdana" w:hAnsi="Verdana"/>
          <w:sz w:val="20"/>
          <w:szCs w:val="20"/>
        </w:rPr>
        <w:t xml:space="preserve">. </w:t>
      </w:r>
      <w:r w:rsidR="00F24A58" w:rsidRPr="00A1016B">
        <w:rPr>
          <w:rFonts w:ascii="Verdana" w:hAnsi="Verdana"/>
          <w:sz w:val="20"/>
          <w:szCs w:val="20"/>
        </w:rPr>
        <w:t xml:space="preserve">En este sentido, estimo que la Corte no contaba con elementos para evaluar el efecto amedrentador del uso del derecho penal en el caso y que la reiteración el estándar, solo profundiza </w:t>
      </w:r>
      <w:r w:rsidR="00EE05B5" w:rsidRPr="00A1016B">
        <w:rPr>
          <w:rFonts w:ascii="Verdana" w:hAnsi="Verdana"/>
          <w:sz w:val="20"/>
          <w:szCs w:val="20"/>
        </w:rPr>
        <w:t>los efectos negativos que tiene la prohibición absoluta del uso del derecho penal.</w:t>
      </w:r>
    </w:p>
    <w:p w14:paraId="3942D00F" w14:textId="77777777" w:rsidR="00D730B9" w:rsidRPr="00A1016B" w:rsidRDefault="00D730B9" w:rsidP="00D730B9">
      <w:pPr>
        <w:pStyle w:val="ListParagraph"/>
        <w:autoSpaceDE w:val="0"/>
        <w:autoSpaceDN w:val="0"/>
        <w:adjustRightInd w:val="0"/>
        <w:spacing w:after="0" w:line="240" w:lineRule="auto"/>
        <w:ind w:left="0"/>
        <w:contextualSpacing w:val="0"/>
        <w:jc w:val="both"/>
        <w:rPr>
          <w:rFonts w:ascii="Verdana" w:hAnsi="Verdana" w:cs="Times New Roman"/>
          <w:sz w:val="20"/>
          <w:szCs w:val="20"/>
          <w:lang w:val="es-ES"/>
        </w:rPr>
      </w:pPr>
    </w:p>
    <w:p w14:paraId="76C7EDCD" w14:textId="4297C8B3" w:rsidR="00F03BB8" w:rsidRDefault="00F03BB8" w:rsidP="00D730B9">
      <w:pPr>
        <w:pStyle w:val="ListParagraph"/>
        <w:numPr>
          <w:ilvl w:val="0"/>
          <w:numId w:val="1"/>
        </w:numPr>
        <w:autoSpaceDE w:val="0"/>
        <w:autoSpaceDN w:val="0"/>
        <w:adjustRightInd w:val="0"/>
        <w:spacing w:after="0" w:line="240" w:lineRule="auto"/>
        <w:ind w:left="0" w:firstLine="0"/>
        <w:contextualSpacing w:val="0"/>
        <w:jc w:val="both"/>
        <w:rPr>
          <w:rFonts w:ascii="Verdana" w:hAnsi="Verdana" w:cs="Times New Roman"/>
          <w:sz w:val="20"/>
          <w:szCs w:val="20"/>
          <w:lang w:val="es-ES"/>
        </w:rPr>
      </w:pPr>
      <w:r w:rsidRPr="00A1016B">
        <w:rPr>
          <w:rFonts w:ascii="Verdana" w:hAnsi="Verdana" w:cs="Times New Roman"/>
          <w:sz w:val="20"/>
          <w:szCs w:val="20"/>
          <w:lang w:val="es-ES"/>
        </w:rPr>
        <w:t xml:space="preserve">Como </w:t>
      </w:r>
      <w:r w:rsidR="00841D28" w:rsidRPr="00A1016B">
        <w:rPr>
          <w:rFonts w:ascii="Verdana" w:hAnsi="Verdana" w:cs="Times New Roman"/>
          <w:sz w:val="20"/>
          <w:szCs w:val="20"/>
          <w:lang w:val="es-ES"/>
        </w:rPr>
        <w:t xml:space="preserve">lo </w:t>
      </w:r>
      <w:r w:rsidRPr="00A1016B">
        <w:rPr>
          <w:rFonts w:ascii="Verdana" w:hAnsi="Verdana" w:cs="Times New Roman"/>
          <w:sz w:val="20"/>
          <w:szCs w:val="20"/>
          <w:lang w:val="es-ES"/>
        </w:rPr>
        <w:t xml:space="preserve">había advertido en su oportunidad, </w:t>
      </w:r>
      <w:r w:rsidR="000E4D70" w:rsidRPr="00A1016B">
        <w:rPr>
          <w:rFonts w:ascii="Verdana" w:hAnsi="Verdana" w:cs="Times New Roman"/>
          <w:sz w:val="20"/>
          <w:szCs w:val="20"/>
          <w:lang w:val="es-ES"/>
        </w:rPr>
        <w:t>la postura</w:t>
      </w:r>
      <w:r w:rsidRPr="00A1016B">
        <w:rPr>
          <w:rFonts w:ascii="Verdana" w:hAnsi="Verdana" w:cs="Times New Roman"/>
          <w:sz w:val="20"/>
          <w:szCs w:val="20"/>
          <w:lang w:val="es-ES"/>
        </w:rPr>
        <w:t xml:space="preserve"> jurisprudencial </w:t>
      </w:r>
      <w:r w:rsidR="000E4D70" w:rsidRPr="00A1016B">
        <w:rPr>
          <w:rFonts w:ascii="Verdana" w:hAnsi="Verdana" w:cs="Times New Roman"/>
          <w:sz w:val="20"/>
          <w:szCs w:val="20"/>
          <w:lang w:val="es-ES"/>
        </w:rPr>
        <w:t xml:space="preserve">que prohíbe el uso del derecho penal para proteger el honor de funcionarios públicos </w:t>
      </w:r>
      <w:r w:rsidRPr="00A1016B">
        <w:rPr>
          <w:rFonts w:ascii="Verdana" w:hAnsi="Verdana" w:cs="Times New Roman"/>
          <w:sz w:val="20"/>
          <w:szCs w:val="20"/>
          <w:lang w:val="es-ES"/>
        </w:rPr>
        <w:t>resulta profundamente problemátic</w:t>
      </w:r>
      <w:r w:rsidR="00E42752" w:rsidRPr="00A1016B">
        <w:rPr>
          <w:rFonts w:ascii="Verdana" w:hAnsi="Verdana" w:cs="Times New Roman"/>
          <w:sz w:val="20"/>
          <w:szCs w:val="20"/>
          <w:lang w:val="es-ES"/>
        </w:rPr>
        <w:t>a</w:t>
      </w:r>
      <w:r w:rsidR="001216D3" w:rsidRPr="00A1016B">
        <w:rPr>
          <w:rStyle w:val="FootnoteReference"/>
          <w:rFonts w:ascii="Verdana" w:hAnsi="Verdana" w:cs="Times New Roman"/>
          <w:sz w:val="20"/>
          <w:szCs w:val="20"/>
          <w:lang w:val="es-ES"/>
        </w:rPr>
        <w:footnoteReference w:id="12"/>
      </w:r>
      <w:r w:rsidR="00765153" w:rsidRPr="00A1016B">
        <w:rPr>
          <w:rFonts w:ascii="Verdana" w:hAnsi="Verdana" w:cs="Times New Roman"/>
          <w:sz w:val="20"/>
          <w:szCs w:val="20"/>
          <w:lang w:val="es-ES"/>
        </w:rPr>
        <w:t xml:space="preserve">. </w:t>
      </w:r>
      <w:r w:rsidR="000E4D70" w:rsidRPr="00A1016B">
        <w:rPr>
          <w:rFonts w:ascii="Verdana" w:hAnsi="Verdana" w:cs="Times New Roman"/>
          <w:sz w:val="20"/>
          <w:szCs w:val="20"/>
          <w:lang w:val="es-ES"/>
        </w:rPr>
        <w:t xml:space="preserve">Esta </w:t>
      </w:r>
      <w:r w:rsidR="00E42752" w:rsidRPr="00A1016B">
        <w:rPr>
          <w:rFonts w:ascii="Verdana" w:hAnsi="Verdana" w:cs="Times New Roman"/>
          <w:sz w:val="20"/>
          <w:szCs w:val="20"/>
          <w:lang w:val="es-ES"/>
        </w:rPr>
        <w:t>posición</w:t>
      </w:r>
      <w:r w:rsidR="00765153" w:rsidRPr="00A1016B">
        <w:rPr>
          <w:rFonts w:ascii="Verdana" w:hAnsi="Verdana" w:cs="Times New Roman"/>
          <w:sz w:val="20"/>
          <w:szCs w:val="20"/>
          <w:lang w:val="es-ES"/>
        </w:rPr>
        <w:t xml:space="preserve"> </w:t>
      </w:r>
      <w:r w:rsidRPr="00A1016B">
        <w:rPr>
          <w:rFonts w:ascii="Verdana" w:hAnsi="Verdana" w:cs="Times New Roman"/>
          <w:sz w:val="20"/>
          <w:szCs w:val="20"/>
          <w:lang w:val="es-ES"/>
        </w:rPr>
        <w:t xml:space="preserve">ignora el </w:t>
      </w:r>
      <w:r w:rsidR="00E42752" w:rsidRPr="00A1016B">
        <w:rPr>
          <w:rFonts w:ascii="Verdana" w:hAnsi="Verdana" w:cs="Times New Roman"/>
          <w:sz w:val="20"/>
          <w:szCs w:val="20"/>
          <w:lang w:val="es-ES"/>
        </w:rPr>
        <w:t>texto</w:t>
      </w:r>
      <w:r w:rsidRPr="00A1016B">
        <w:rPr>
          <w:rFonts w:ascii="Verdana" w:hAnsi="Verdana" w:cs="Times New Roman"/>
          <w:sz w:val="20"/>
          <w:szCs w:val="20"/>
          <w:lang w:val="es-ES"/>
        </w:rPr>
        <w:t xml:space="preserve"> del artículo 13, que únicamente prohíbe la censura previa, y deja a un lado la interpretación sistemática de la Convención, que exige brindar el mayor grado de protección posible frente a todos los derechos convencionales, dentro de los cuales se encuentra el derecho a la honra. Concretamente había dicho que, </w:t>
      </w:r>
    </w:p>
    <w:p w14:paraId="277FFFD9" w14:textId="77777777" w:rsidR="00D730B9" w:rsidRPr="00A1016B" w:rsidRDefault="00D730B9" w:rsidP="00D730B9">
      <w:pPr>
        <w:pStyle w:val="ListParagraph"/>
        <w:autoSpaceDE w:val="0"/>
        <w:autoSpaceDN w:val="0"/>
        <w:adjustRightInd w:val="0"/>
        <w:spacing w:after="0" w:line="240" w:lineRule="auto"/>
        <w:ind w:left="0"/>
        <w:contextualSpacing w:val="0"/>
        <w:jc w:val="both"/>
        <w:rPr>
          <w:rFonts w:ascii="Verdana" w:hAnsi="Verdana" w:cs="Times New Roman"/>
          <w:sz w:val="20"/>
          <w:szCs w:val="20"/>
          <w:lang w:val="es-ES"/>
        </w:rPr>
      </w:pPr>
    </w:p>
    <w:p w14:paraId="6EFACE00" w14:textId="77777777" w:rsidR="00F03BB8" w:rsidRDefault="00F03BB8" w:rsidP="00D730B9">
      <w:pPr>
        <w:spacing w:after="0" w:line="240" w:lineRule="auto"/>
        <w:ind w:left="567" w:right="567"/>
        <w:jc w:val="both"/>
        <w:rPr>
          <w:rFonts w:ascii="Verdana" w:hAnsi="Verdana" w:cs="Times New Roman"/>
          <w:sz w:val="18"/>
          <w:szCs w:val="18"/>
        </w:rPr>
      </w:pPr>
      <w:r w:rsidRPr="00A1016B">
        <w:rPr>
          <w:rFonts w:ascii="Verdana" w:hAnsi="Verdana" w:cs="Times New Roman"/>
          <w:sz w:val="18"/>
          <w:szCs w:val="18"/>
        </w:rPr>
        <w:t>Los precedentes de la Corte previo al caso Álvarez Ramos han sido consistentes respecto a que la tipificación del delito de injurias y calumnias debe cumplir con el principio de legalidad y de intervención mínima y de ultima ratio del derecho penal. Además, que se debe analizar con especial cautela el uso del derecho penal para la protección de otros derechos, tomando en consideración el dolo de quien emitió las opiniones, las características del daño que se produjo, y el grado de protección a determinadas expresiones (por ejemplo, aquellas de interés público que involucran los actos de autoridades) para así calificar si el uso del derecho penal es legítimo. Estas condiciones son analizadas al momento de evaluar la necesidad de la medida y cuando se califica la proporcionalidad de la sanción. También se ha reconocido que la carga de la prueba la tiene quien formuló la decisión. De esta forma, la Corte ha podido dar una mayor protección a los discursos de opinión, que tienen un interés público, y que se refieren a las autoridades, sin establecer una regla absoluta que prohíba la imposición de dichas sanciones</w:t>
      </w:r>
      <w:r w:rsidRPr="00A1016B">
        <w:rPr>
          <w:rStyle w:val="FootnoteReference"/>
          <w:rFonts w:ascii="Verdana" w:hAnsi="Verdana" w:cs="Times New Roman"/>
          <w:sz w:val="18"/>
          <w:szCs w:val="18"/>
        </w:rPr>
        <w:footnoteReference w:id="13"/>
      </w:r>
      <w:r w:rsidRPr="00A1016B">
        <w:rPr>
          <w:rFonts w:ascii="Verdana" w:hAnsi="Verdana" w:cs="Times New Roman"/>
          <w:sz w:val="18"/>
          <w:szCs w:val="18"/>
        </w:rPr>
        <w:t>.</w:t>
      </w:r>
    </w:p>
    <w:p w14:paraId="5DB0960E" w14:textId="77777777" w:rsidR="00D730B9" w:rsidRPr="00A1016B" w:rsidRDefault="00D730B9" w:rsidP="00D730B9">
      <w:pPr>
        <w:spacing w:after="0" w:line="240" w:lineRule="auto"/>
        <w:ind w:right="567"/>
        <w:jc w:val="both"/>
        <w:rPr>
          <w:rFonts w:ascii="Verdana" w:hAnsi="Verdana" w:cs="Times New Roman"/>
          <w:sz w:val="18"/>
          <w:szCs w:val="18"/>
        </w:rPr>
      </w:pPr>
    </w:p>
    <w:p w14:paraId="1B2E580D" w14:textId="77777777" w:rsidR="00E14747" w:rsidRPr="00D730B9" w:rsidRDefault="008A13B6" w:rsidP="00D730B9">
      <w:pPr>
        <w:pStyle w:val="ListParagraph"/>
        <w:numPr>
          <w:ilvl w:val="0"/>
          <w:numId w:val="1"/>
        </w:numPr>
        <w:autoSpaceDE w:val="0"/>
        <w:autoSpaceDN w:val="0"/>
        <w:adjustRightInd w:val="0"/>
        <w:spacing w:after="0" w:line="240" w:lineRule="auto"/>
        <w:ind w:left="0" w:firstLine="0"/>
        <w:contextualSpacing w:val="0"/>
        <w:jc w:val="both"/>
        <w:rPr>
          <w:rFonts w:ascii="Verdana" w:hAnsi="Verdana"/>
          <w:sz w:val="20"/>
          <w:szCs w:val="20"/>
        </w:rPr>
      </w:pPr>
      <w:r w:rsidRPr="00A1016B">
        <w:rPr>
          <w:rFonts w:ascii="Verdana" w:hAnsi="Verdana" w:cs="Times New Roman"/>
          <w:sz w:val="20"/>
          <w:szCs w:val="20"/>
          <w:lang w:val="es-ES"/>
        </w:rPr>
        <w:t>D</w:t>
      </w:r>
      <w:r w:rsidR="00F03BB8" w:rsidRPr="00A1016B">
        <w:rPr>
          <w:rFonts w:ascii="Verdana" w:hAnsi="Verdana" w:cs="Times New Roman"/>
          <w:sz w:val="20"/>
          <w:szCs w:val="20"/>
          <w:lang w:val="es-ES"/>
        </w:rPr>
        <w:t xml:space="preserve">espenalizar automáticamente </w:t>
      </w:r>
      <w:r w:rsidR="007D74E3" w:rsidRPr="00A1016B">
        <w:rPr>
          <w:rFonts w:ascii="Verdana" w:hAnsi="Verdana" w:cs="Times New Roman"/>
          <w:sz w:val="20"/>
          <w:szCs w:val="20"/>
          <w:lang w:val="es-ES"/>
        </w:rPr>
        <w:t>cualquier manifestación deshonrosa de</w:t>
      </w:r>
      <w:r w:rsidR="00F03BB8" w:rsidRPr="00A1016B">
        <w:rPr>
          <w:rFonts w:ascii="Verdana" w:hAnsi="Verdana" w:cs="Times New Roman"/>
          <w:sz w:val="20"/>
          <w:szCs w:val="20"/>
          <w:lang w:val="es-ES"/>
        </w:rPr>
        <w:t xml:space="preserve"> un funcionario público, lejos de ampliar el margen de protección del derecho a la libertad de expresión, y fortalecer el debate público, agudiza la crisis de legitimidad de los </w:t>
      </w:r>
      <w:r w:rsidR="00F03BB8" w:rsidRPr="00A1016B">
        <w:rPr>
          <w:rFonts w:ascii="Verdana" w:hAnsi="Verdana" w:cs="Times New Roman"/>
          <w:sz w:val="20"/>
          <w:szCs w:val="20"/>
          <w:lang w:val="es-ES"/>
        </w:rPr>
        <w:lastRenderedPageBreak/>
        <w:t>sistemas democráticos de la región</w:t>
      </w:r>
      <w:r w:rsidR="00367760" w:rsidRPr="00A1016B">
        <w:rPr>
          <w:rFonts w:ascii="Verdana" w:hAnsi="Verdana" w:cs="Times New Roman"/>
          <w:sz w:val="20"/>
          <w:szCs w:val="20"/>
          <w:lang w:val="es-ES"/>
        </w:rPr>
        <w:t>.</w:t>
      </w:r>
      <w:r w:rsidR="00F03BB8" w:rsidRPr="00A1016B">
        <w:rPr>
          <w:rFonts w:ascii="Verdana" w:hAnsi="Verdana" w:cs="Times New Roman"/>
          <w:sz w:val="20"/>
          <w:szCs w:val="20"/>
          <w:lang w:val="es-ES"/>
        </w:rPr>
        <w:t xml:space="preserve"> Desproteger a los funcionarios públicos impidiendo que puedan exigir la protección de sus derechos y la prevención de acciones que los vulneren (especialmente en casos de evidente mala fe), debilita aún más la institucionalidad de los frágiles sistemas de nuestra región y es particularmente preocupante</w:t>
      </w:r>
      <w:r w:rsidR="007D74E3" w:rsidRPr="00A1016B">
        <w:rPr>
          <w:rFonts w:ascii="Verdana" w:hAnsi="Verdana" w:cs="Times New Roman"/>
          <w:sz w:val="20"/>
          <w:szCs w:val="20"/>
          <w:lang w:val="es-ES"/>
        </w:rPr>
        <w:t xml:space="preserve"> </w:t>
      </w:r>
      <w:r w:rsidR="00F03BB8" w:rsidRPr="00A1016B">
        <w:rPr>
          <w:rFonts w:ascii="Verdana" w:hAnsi="Verdana" w:cs="Times New Roman"/>
          <w:sz w:val="20"/>
          <w:szCs w:val="20"/>
          <w:lang w:val="es-ES"/>
        </w:rPr>
        <w:t>en el caso de los jueces</w:t>
      </w:r>
      <w:r w:rsidR="007D74E3" w:rsidRPr="00A1016B">
        <w:rPr>
          <w:rFonts w:ascii="Verdana" w:hAnsi="Verdana" w:cs="Times New Roman"/>
          <w:sz w:val="20"/>
          <w:szCs w:val="20"/>
          <w:lang w:val="es-ES"/>
        </w:rPr>
        <w:t>,</w:t>
      </w:r>
      <w:r w:rsidR="00F03BB8" w:rsidRPr="00A1016B">
        <w:rPr>
          <w:rFonts w:ascii="Verdana" w:hAnsi="Verdana" w:cs="Times New Roman"/>
          <w:sz w:val="20"/>
          <w:szCs w:val="20"/>
          <w:lang w:val="es-ES"/>
        </w:rPr>
        <w:t xml:space="preserve"> por el rol que juegan en el Estado de derecho</w:t>
      </w:r>
      <w:r w:rsidR="00367760" w:rsidRPr="00A1016B">
        <w:rPr>
          <w:rStyle w:val="FootnoteReference"/>
          <w:rFonts w:ascii="Verdana" w:hAnsi="Verdana" w:cs="Times New Roman"/>
          <w:sz w:val="20"/>
          <w:szCs w:val="20"/>
          <w:lang w:val="es-ES"/>
        </w:rPr>
        <w:footnoteReference w:id="14"/>
      </w:r>
      <w:r w:rsidR="00367760" w:rsidRPr="00A1016B">
        <w:rPr>
          <w:rFonts w:ascii="Verdana" w:hAnsi="Verdana" w:cs="Times New Roman"/>
          <w:sz w:val="20"/>
          <w:szCs w:val="20"/>
          <w:lang w:val="es-ES"/>
        </w:rPr>
        <w:t>.</w:t>
      </w:r>
      <w:r w:rsidR="00E14747" w:rsidRPr="00A1016B">
        <w:rPr>
          <w:rFonts w:ascii="Verdana" w:hAnsi="Verdana" w:cs="Times New Roman"/>
          <w:sz w:val="20"/>
          <w:szCs w:val="20"/>
          <w:lang w:val="es-ES"/>
        </w:rPr>
        <w:t xml:space="preserve"> </w:t>
      </w:r>
      <w:r w:rsidR="00F03BB8" w:rsidRPr="00A1016B">
        <w:rPr>
          <w:rFonts w:ascii="Verdana" w:hAnsi="Verdana" w:cs="Times New Roman"/>
          <w:sz w:val="20"/>
          <w:szCs w:val="20"/>
          <w:lang w:val="es-ES"/>
        </w:rPr>
        <w:t>En un Estado de Derecho y en un sistema democrático, donde se ha resaltado la importancia que tiene el ejercicio de la libertad de expresión, las conductas abusivas, deben ser controlados por la Administración de Justicia</w:t>
      </w:r>
      <w:r w:rsidR="009913BA" w:rsidRPr="00A1016B">
        <w:rPr>
          <w:rStyle w:val="FootnoteReference"/>
          <w:rFonts w:ascii="Verdana" w:hAnsi="Verdana" w:cs="Times New Roman"/>
          <w:sz w:val="20"/>
          <w:szCs w:val="20"/>
          <w:lang w:val="es-ES"/>
        </w:rPr>
        <w:footnoteReference w:id="15"/>
      </w:r>
      <w:r w:rsidR="00F03BB8" w:rsidRPr="00A1016B">
        <w:rPr>
          <w:rFonts w:ascii="Verdana" w:hAnsi="Verdana" w:cs="Times New Roman"/>
          <w:sz w:val="20"/>
          <w:szCs w:val="20"/>
          <w:lang w:val="es-ES"/>
        </w:rPr>
        <w:t xml:space="preserve">. </w:t>
      </w:r>
    </w:p>
    <w:p w14:paraId="7F97C9A5" w14:textId="77777777" w:rsidR="00D730B9" w:rsidRPr="00A1016B" w:rsidRDefault="00D730B9" w:rsidP="00D730B9">
      <w:pPr>
        <w:pStyle w:val="ListParagraph"/>
        <w:autoSpaceDE w:val="0"/>
        <w:autoSpaceDN w:val="0"/>
        <w:adjustRightInd w:val="0"/>
        <w:spacing w:after="0" w:line="240" w:lineRule="auto"/>
        <w:ind w:left="0"/>
        <w:contextualSpacing w:val="0"/>
        <w:jc w:val="both"/>
        <w:rPr>
          <w:rFonts w:ascii="Verdana" w:hAnsi="Verdana"/>
          <w:sz w:val="20"/>
          <w:szCs w:val="20"/>
        </w:rPr>
      </w:pPr>
    </w:p>
    <w:p w14:paraId="2185DF0B" w14:textId="35CEB597" w:rsidR="00F03BB8" w:rsidRDefault="00F03BB8" w:rsidP="00D730B9">
      <w:pPr>
        <w:pStyle w:val="ListParagraph"/>
        <w:numPr>
          <w:ilvl w:val="0"/>
          <w:numId w:val="1"/>
        </w:numPr>
        <w:autoSpaceDE w:val="0"/>
        <w:autoSpaceDN w:val="0"/>
        <w:adjustRightInd w:val="0"/>
        <w:spacing w:after="0" w:line="240" w:lineRule="auto"/>
        <w:ind w:left="0" w:firstLine="0"/>
        <w:contextualSpacing w:val="0"/>
        <w:jc w:val="both"/>
        <w:rPr>
          <w:rFonts w:ascii="Verdana" w:hAnsi="Verdana"/>
          <w:sz w:val="20"/>
          <w:szCs w:val="20"/>
        </w:rPr>
      </w:pPr>
      <w:r w:rsidRPr="00A1016B">
        <w:rPr>
          <w:rFonts w:ascii="Verdana" w:hAnsi="Verdana" w:cs="Times New Roman"/>
          <w:sz w:val="20"/>
          <w:szCs w:val="20"/>
          <w:lang w:val="es-ES"/>
        </w:rPr>
        <w:t xml:space="preserve">Por </w:t>
      </w:r>
      <w:r w:rsidR="00E14747" w:rsidRPr="00A1016B">
        <w:rPr>
          <w:rFonts w:ascii="Verdana" w:hAnsi="Verdana" w:cs="Times New Roman"/>
          <w:sz w:val="20"/>
          <w:szCs w:val="20"/>
          <w:lang w:val="es-ES"/>
        </w:rPr>
        <w:t>lo anterior,</w:t>
      </w:r>
      <w:r w:rsidRPr="00A1016B">
        <w:rPr>
          <w:rFonts w:ascii="Verdana" w:hAnsi="Verdana" w:cs="Times New Roman"/>
          <w:sz w:val="20"/>
          <w:szCs w:val="20"/>
          <w:lang w:val="es-ES"/>
        </w:rPr>
        <w:t xml:space="preserve"> resulta problemático </w:t>
      </w:r>
      <w:r w:rsidR="00E14747" w:rsidRPr="00A1016B">
        <w:rPr>
          <w:rFonts w:ascii="Verdana" w:hAnsi="Verdana" w:cs="Times New Roman"/>
          <w:sz w:val="20"/>
          <w:szCs w:val="20"/>
          <w:lang w:val="es-ES"/>
        </w:rPr>
        <w:t>que,</w:t>
      </w:r>
      <w:r w:rsidRPr="00A1016B">
        <w:rPr>
          <w:rFonts w:ascii="Verdana" w:hAnsi="Verdana" w:cs="Times New Roman"/>
          <w:sz w:val="20"/>
          <w:szCs w:val="20"/>
          <w:lang w:val="es-ES"/>
        </w:rPr>
        <w:t xml:space="preserve"> en esta sentencia, </w:t>
      </w:r>
      <w:r w:rsidR="00E530C5" w:rsidRPr="00A1016B">
        <w:rPr>
          <w:rFonts w:ascii="Verdana" w:hAnsi="Verdana" w:cs="Times New Roman"/>
          <w:sz w:val="20"/>
          <w:szCs w:val="20"/>
          <w:lang w:val="es-ES"/>
        </w:rPr>
        <w:t>en un estándar general desligado de los hechos del caso</w:t>
      </w:r>
      <w:r w:rsidR="00CB2532" w:rsidRPr="00A1016B">
        <w:rPr>
          <w:rFonts w:ascii="Verdana" w:hAnsi="Verdana" w:cs="Times New Roman"/>
          <w:sz w:val="20"/>
          <w:szCs w:val="20"/>
          <w:lang w:val="es-ES"/>
        </w:rPr>
        <w:t xml:space="preserve"> e irrelevante para resolver el fondo de la controversia </w:t>
      </w:r>
      <w:r w:rsidR="00695111" w:rsidRPr="00A1016B">
        <w:rPr>
          <w:rFonts w:ascii="Verdana" w:hAnsi="Verdana" w:cs="Times New Roman"/>
          <w:sz w:val="20"/>
          <w:szCs w:val="20"/>
          <w:lang w:val="es-ES"/>
        </w:rPr>
        <w:t>jurídica</w:t>
      </w:r>
      <w:r w:rsidR="00E530C5" w:rsidRPr="00A1016B">
        <w:rPr>
          <w:rFonts w:ascii="Verdana" w:hAnsi="Verdana" w:cs="Times New Roman"/>
          <w:sz w:val="20"/>
          <w:szCs w:val="20"/>
          <w:lang w:val="es-ES"/>
        </w:rPr>
        <w:t xml:space="preserve">, </w:t>
      </w:r>
      <w:r w:rsidRPr="00A1016B">
        <w:rPr>
          <w:rFonts w:ascii="Verdana" w:hAnsi="Verdana" w:cs="Times New Roman"/>
          <w:sz w:val="20"/>
          <w:szCs w:val="20"/>
          <w:lang w:val="es-ES"/>
        </w:rPr>
        <w:t xml:space="preserve">la Corte </w:t>
      </w:r>
      <w:r w:rsidR="009913BA" w:rsidRPr="00A1016B">
        <w:rPr>
          <w:rFonts w:ascii="Verdana" w:hAnsi="Verdana" w:cs="Times New Roman"/>
          <w:sz w:val="20"/>
          <w:szCs w:val="20"/>
          <w:lang w:val="es-ES"/>
        </w:rPr>
        <w:t xml:space="preserve">reitere </w:t>
      </w:r>
      <w:r w:rsidRPr="00A1016B">
        <w:rPr>
          <w:rFonts w:ascii="Verdana" w:hAnsi="Verdana" w:cs="Times New Roman"/>
          <w:sz w:val="20"/>
          <w:szCs w:val="20"/>
          <w:lang w:val="es-ES"/>
        </w:rPr>
        <w:t xml:space="preserve">una visión represora de la administración de justicia y desconozca que la acción penal </w:t>
      </w:r>
      <w:r w:rsidR="007D74E3" w:rsidRPr="00A1016B">
        <w:rPr>
          <w:rFonts w:ascii="Verdana" w:hAnsi="Verdana" w:cs="Times New Roman"/>
          <w:sz w:val="20"/>
          <w:szCs w:val="20"/>
          <w:lang w:val="es-ES"/>
        </w:rPr>
        <w:t>puede tener</w:t>
      </w:r>
      <w:r w:rsidRPr="00A1016B">
        <w:rPr>
          <w:rFonts w:ascii="Verdana" w:hAnsi="Verdana" w:cs="Times New Roman"/>
          <w:sz w:val="20"/>
          <w:szCs w:val="20"/>
          <w:lang w:val="es-ES"/>
        </w:rPr>
        <w:t xml:space="preserve"> como propósito prevenir y sancionar las violaciones de derechos convencionales</w:t>
      </w:r>
      <w:r w:rsidR="007D74E3" w:rsidRPr="00A1016B">
        <w:rPr>
          <w:rFonts w:ascii="Verdana" w:hAnsi="Verdana" w:cs="Times New Roman"/>
          <w:sz w:val="20"/>
          <w:szCs w:val="20"/>
          <w:lang w:val="es-ES"/>
        </w:rPr>
        <w:t>.</w:t>
      </w:r>
      <w:r w:rsidR="00695111" w:rsidRPr="00A1016B">
        <w:rPr>
          <w:rFonts w:ascii="Verdana" w:hAnsi="Verdana" w:cs="Times New Roman"/>
          <w:sz w:val="20"/>
          <w:szCs w:val="20"/>
          <w:lang w:val="es-ES"/>
        </w:rPr>
        <w:t xml:space="preserve"> </w:t>
      </w:r>
      <w:r w:rsidR="00695111" w:rsidRPr="00A1016B">
        <w:rPr>
          <w:rFonts w:ascii="Verdana" w:hAnsi="Verdana"/>
          <w:sz w:val="20"/>
          <w:szCs w:val="20"/>
        </w:rPr>
        <w:t>C</w:t>
      </w:r>
      <w:r w:rsidR="00353FF5" w:rsidRPr="00A1016B">
        <w:rPr>
          <w:rFonts w:ascii="Verdana" w:hAnsi="Verdana"/>
          <w:sz w:val="20"/>
          <w:szCs w:val="20"/>
        </w:rPr>
        <w:t>reo que</w:t>
      </w:r>
      <w:r w:rsidRPr="00A1016B">
        <w:rPr>
          <w:rFonts w:ascii="Verdana" w:hAnsi="Verdana"/>
          <w:sz w:val="20"/>
          <w:szCs w:val="20"/>
        </w:rPr>
        <w:t xml:space="preserve"> no es de recibo el argumento según el cual el efecto disuasivo del derecho penal, que según considera la Corte </w:t>
      </w:r>
      <w:r w:rsidR="003107E9" w:rsidRPr="00A1016B">
        <w:rPr>
          <w:rFonts w:ascii="Verdana" w:hAnsi="Verdana"/>
          <w:sz w:val="20"/>
          <w:szCs w:val="20"/>
        </w:rPr>
        <w:t xml:space="preserve">en este caso </w:t>
      </w:r>
      <w:r w:rsidRPr="00A1016B">
        <w:rPr>
          <w:rFonts w:ascii="Verdana" w:hAnsi="Verdana"/>
          <w:sz w:val="20"/>
          <w:szCs w:val="20"/>
        </w:rPr>
        <w:t xml:space="preserve">se genera con </w:t>
      </w:r>
      <w:r w:rsidR="003107E9" w:rsidRPr="00A1016B">
        <w:rPr>
          <w:rFonts w:ascii="Verdana" w:hAnsi="Verdana"/>
          <w:sz w:val="20"/>
          <w:szCs w:val="20"/>
        </w:rPr>
        <w:t>la</w:t>
      </w:r>
      <w:r w:rsidRPr="00A1016B">
        <w:rPr>
          <w:rFonts w:ascii="Verdana" w:hAnsi="Verdana"/>
          <w:sz w:val="20"/>
          <w:szCs w:val="20"/>
        </w:rPr>
        <w:t xml:space="preserve"> mer</w:t>
      </w:r>
      <w:r w:rsidR="003107E9" w:rsidRPr="00A1016B">
        <w:rPr>
          <w:rFonts w:ascii="Verdana" w:hAnsi="Verdana"/>
          <w:sz w:val="20"/>
          <w:szCs w:val="20"/>
        </w:rPr>
        <w:t>a</w:t>
      </w:r>
      <w:r w:rsidRPr="00A1016B">
        <w:rPr>
          <w:rFonts w:ascii="Verdana" w:hAnsi="Verdana"/>
          <w:sz w:val="20"/>
          <w:szCs w:val="20"/>
        </w:rPr>
        <w:t xml:space="preserve"> </w:t>
      </w:r>
      <w:r w:rsidR="003107E9" w:rsidRPr="00A1016B">
        <w:rPr>
          <w:rFonts w:ascii="Verdana" w:hAnsi="Verdana"/>
          <w:sz w:val="20"/>
          <w:szCs w:val="20"/>
        </w:rPr>
        <w:t xml:space="preserve">eventualidad </w:t>
      </w:r>
      <w:r w:rsidR="00675CAF" w:rsidRPr="00A1016B">
        <w:rPr>
          <w:rFonts w:ascii="Verdana" w:hAnsi="Verdana"/>
          <w:sz w:val="20"/>
          <w:szCs w:val="20"/>
        </w:rPr>
        <w:t>de</w:t>
      </w:r>
      <w:r w:rsidRPr="00A1016B">
        <w:rPr>
          <w:rFonts w:ascii="Verdana" w:hAnsi="Verdana"/>
          <w:sz w:val="20"/>
          <w:szCs w:val="20"/>
        </w:rPr>
        <w:t xml:space="preserve"> la acción penal, sea en sí mismo contrario a la Convención. Por el contrario, es protegido por esta cuando se ejerce de manera legítima y bajo los límites establecidos por la propia CADH. En este sentido, si bien es cierto que en materia de libertad de expresión hay un especial ámbito de protección y que la imposición de responsabilidades ulteriores debe cumplir criterios específicos con el fin de no generar un efecto amedrentador, eso no significa que el ejercicio abusivo de este derecho no deba ser sancionado y prevenido. </w:t>
      </w:r>
      <w:r w:rsidR="00F632B8" w:rsidRPr="00A1016B">
        <w:rPr>
          <w:rFonts w:ascii="Verdana" w:hAnsi="Verdana"/>
          <w:sz w:val="20"/>
          <w:szCs w:val="20"/>
        </w:rPr>
        <w:t>Por el contrario, el ejercicio abusivo de la libertad de expresión</w:t>
      </w:r>
      <w:r w:rsidR="003107E9" w:rsidRPr="00A1016B">
        <w:rPr>
          <w:rFonts w:ascii="Verdana" w:hAnsi="Verdana"/>
          <w:sz w:val="20"/>
          <w:szCs w:val="20"/>
        </w:rPr>
        <w:t xml:space="preserve"> </w:t>
      </w:r>
      <w:r w:rsidR="00F632B8" w:rsidRPr="00A1016B">
        <w:rPr>
          <w:rFonts w:ascii="Verdana" w:hAnsi="Verdana"/>
          <w:sz w:val="20"/>
          <w:szCs w:val="20"/>
        </w:rPr>
        <w:t xml:space="preserve">debe ser desincentivado. </w:t>
      </w:r>
    </w:p>
    <w:p w14:paraId="472B3239" w14:textId="77777777" w:rsidR="00D730B9" w:rsidRPr="00A1016B" w:rsidRDefault="00D730B9" w:rsidP="00D730B9">
      <w:pPr>
        <w:pStyle w:val="ListParagraph"/>
        <w:autoSpaceDE w:val="0"/>
        <w:autoSpaceDN w:val="0"/>
        <w:adjustRightInd w:val="0"/>
        <w:spacing w:after="0" w:line="240" w:lineRule="auto"/>
        <w:ind w:left="0"/>
        <w:contextualSpacing w:val="0"/>
        <w:jc w:val="both"/>
        <w:rPr>
          <w:rFonts w:ascii="Verdana" w:hAnsi="Verdana"/>
          <w:sz w:val="20"/>
          <w:szCs w:val="20"/>
        </w:rPr>
      </w:pPr>
    </w:p>
    <w:p w14:paraId="3AD7CDAE" w14:textId="5F327E0F" w:rsidR="001F1212" w:rsidRDefault="001F1212" w:rsidP="00D730B9">
      <w:pPr>
        <w:pStyle w:val="ListParagraph"/>
        <w:numPr>
          <w:ilvl w:val="0"/>
          <w:numId w:val="1"/>
        </w:numPr>
        <w:autoSpaceDE w:val="0"/>
        <w:autoSpaceDN w:val="0"/>
        <w:adjustRightInd w:val="0"/>
        <w:spacing w:after="0" w:line="240" w:lineRule="auto"/>
        <w:ind w:left="0" w:firstLine="0"/>
        <w:contextualSpacing w:val="0"/>
        <w:jc w:val="both"/>
        <w:rPr>
          <w:rFonts w:ascii="Verdana" w:hAnsi="Verdana" w:cs="Times New Roman"/>
          <w:sz w:val="20"/>
          <w:szCs w:val="20"/>
          <w:lang w:val="es-ES"/>
        </w:rPr>
      </w:pPr>
      <w:r w:rsidRPr="00A1016B">
        <w:rPr>
          <w:rFonts w:ascii="Verdana" w:hAnsi="Verdana"/>
          <w:sz w:val="20"/>
          <w:szCs w:val="20"/>
          <w:lang w:val="es-MX"/>
        </w:rPr>
        <w:t xml:space="preserve">Además de lo anterior, como se había indicado en el voto del caso </w:t>
      </w:r>
      <w:r w:rsidRPr="00D730B9">
        <w:rPr>
          <w:rFonts w:ascii="Verdana" w:hAnsi="Verdana"/>
          <w:i/>
          <w:iCs/>
          <w:sz w:val="20"/>
          <w:szCs w:val="20"/>
          <w:lang w:val="es-MX"/>
        </w:rPr>
        <w:t xml:space="preserve">Baraona Bray </w:t>
      </w:r>
      <w:r w:rsidR="00DE33C9" w:rsidRPr="00D730B9">
        <w:rPr>
          <w:rFonts w:ascii="Verdana" w:hAnsi="Verdana"/>
          <w:i/>
          <w:iCs/>
          <w:sz w:val="20"/>
          <w:szCs w:val="20"/>
          <w:lang w:val="es-MX"/>
        </w:rPr>
        <w:t>Vs</w:t>
      </w:r>
      <w:r w:rsidRPr="00D730B9">
        <w:rPr>
          <w:rFonts w:ascii="Verdana" w:hAnsi="Verdana"/>
          <w:i/>
          <w:iCs/>
          <w:sz w:val="20"/>
          <w:szCs w:val="20"/>
          <w:lang w:val="es-MX"/>
        </w:rPr>
        <w:t>. Chile</w:t>
      </w:r>
      <w:r w:rsidRPr="00A1016B">
        <w:rPr>
          <w:rStyle w:val="FootnoteReference"/>
          <w:rFonts w:ascii="Verdana" w:hAnsi="Verdana"/>
          <w:sz w:val="20"/>
          <w:szCs w:val="20"/>
          <w:lang w:val="es-MX"/>
        </w:rPr>
        <w:footnoteReference w:id="16"/>
      </w:r>
      <w:r w:rsidRPr="00A1016B">
        <w:rPr>
          <w:rFonts w:ascii="Verdana" w:hAnsi="Verdana"/>
          <w:sz w:val="20"/>
          <w:szCs w:val="20"/>
          <w:lang w:val="es-MX"/>
        </w:rPr>
        <w:t xml:space="preserve">, </w:t>
      </w:r>
      <w:r w:rsidRPr="00A1016B">
        <w:rPr>
          <w:rFonts w:ascii="Verdana" w:hAnsi="Verdana"/>
          <w:sz w:val="20"/>
          <w:szCs w:val="20"/>
        </w:rPr>
        <w:t xml:space="preserve">esta deslegitimación general del sistema penal para </w:t>
      </w:r>
      <w:r w:rsidRPr="00A1016B">
        <w:rPr>
          <w:rFonts w:ascii="Verdana" w:hAnsi="Verdana" w:cs="Times New Roman"/>
          <w:sz w:val="20"/>
          <w:szCs w:val="20"/>
          <w:lang w:val="es-ES"/>
        </w:rPr>
        <w:t>la</w:t>
      </w:r>
      <w:r w:rsidRPr="00A1016B">
        <w:rPr>
          <w:rFonts w:ascii="Verdana" w:hAnsi="Verdana"/>
          <w:sz w:val="20"/>
          <w:szCs w:val="20"/>
        </w:rPr>
        <w:t xml:space="preserve"> fijación de responsabilidades ulteriores recogidas por el artículo 13.2 de la Convención, tiene una amplia incidencia en todos los Estados miembros del Sistema Interamericano de Derechos Humanos. Y en este caso, nuevamente no se dice nada sobre los </w:t>
      </w:r>
      <w:r w:rsidR="00310ADE" w:rsidRPr="00A1016B">
        <w:rPr>
          <w:rFonts w:ascii="Verdana" w:hAnsi="Verdana"/>
          <w:sz w:val="20"/>
          <w:szCs w:val="20"/>
        </w:rPr>
        <w:t>mecanismos para conciliar los dos derechos, como</w:t>
      </w:r>
      <w:r w:rsidRPr="00A1016B">
        <w:rPr>
          <w:rFonts w:ascii="Verdana" w:hAnsi="Verdana" w:cs="Times New Roman"/>
          <w:sz w:val="20"/>
          <w:szCs w:val="20"/>
          <w:lang w:val="es-ES"/>
        </w:rPr>
        <w:t xml:space="preserve"> podría ser la decisión de la Corte Constitucional Colombiana</w:t>
      </w:r>
      <w:r w:rsidRPr="00A1016B">
        <w:rPr>
          <w:rStyle w:val="FootnoteReference"/>
          <w:rFonts w:ascii="Verdana" w:hAnsi="Verdana" w:cs="Times New Roman"/>
          <w:sz w:val="20"/>
          <w:szCs w:val="20"/>
          <w:lang w:val="es-ES"/>
        </w:rPr>
        <w:footnoteReference w:id="17"/>
      </w:r>
      <w:r w:rsidRPr="00A1016B">
        <w:rPr>
          <w:rFonts w:ascii="Verdana" w:hAnsi="Verdana" w:cs="Times New Roman"/>
          <w:sz w:val="20"/>
          <w:szCs w:val="20"/>
          <w:lang w:val="es-ES"/>
        </w:rPr>
        <w:t>, sobre carga de la prueba</w:t>
      </w:r>
      <w:r w:rsidR="00310ADE" w:rsidRPr="00A1016B">
        <w:rPr>
          <w:rFonts w:ascii="Verdana" w:hAnsi="Verdana" w:cs="Times New Roman"/>
          <w:sz w:val="20"/>
          <w:szCs w:val="20"/>
          <w:lang w:val="es-ES"/>
        </w:rPr>
        <w:t>;</w:t>
      </w:r>
      <w:r w:rsidRPr="00A1016B">
        <w:rPr>
          <w:rFonts w:ascii="Verdana" w:hAnsi="Verdana" w:cs="Times New Roman"/>
          <w:sz w:val="20"/>
          <w:szCs w:val="20"/>
          <w:lang w:val="es-ES"/>
        </w:rPr>
        <w:t xml:space="preserve"> o bien la posibilidad de introducir una fase de admisibilidad en sede penal para este tipo de delitos, con el fin de descartar demandas sin mérito que sólo buscan amedrentar -como en efecto las hay-.</w:t>
      </w:r>
    </w:p>
    <w:p w14:paraId="39B4D4DA" w14:textId="77777777" w:rsidR="00D730B9" w:rsidRPr="00A1016B" w:rsidRDefault="00D730B9" w:rsidP="00D730B9">
      <w:pPr>
        <w:pStyle w:val="ListParagraph"/>
        <w:autoSpaceDE w:val="0"/>
        <w:autoSpaceDN w:val="0"/>
        <w:adjustRightInd w:val="0"/>
        <w:spacing w:after="0" w:line="240" w:lineRule="auto"/>
        <w:ind w:left="0"/>
        <w:contextualSpacing w:val="0"/>
        <w:jc w:val="both"/>
        <w:rPr>
          <w:rFonts w:ascii="Verdana" w:hAnsi="Verdana" w:cs="Times New Roman"/>
          <w:sz w:val="20"/>
          <w:szCs w:val="20"/>
          <w:lang w:val="es-ES"/>
        </w:rPr>
      </w:pPr>
    </w:p>
    <w:p w14:paraId="51A84521" w14:textId="3C30C88B" w:rsidR="00F03BB8" w:rsidRPr="00D730B9" w:rsidRDefault="00D016BA" w:rsidP="00D730B9">
      <w:pPr>
        <w:pStyle w:val="ListParagraph"/>
        <w:numPr>
          <w:ilvl w:val="0"/>
          <w:numId w:val="1"/>
        </w:numPr>
        <w:autoSpaceDE w:val="0"/>
        <w:autoSpaceDN w:val="0"/>
        <w:adjustRightInd w:val="0"/>
        <w:spacing w:after="0" w:line="240" w:lineRule="auto"/>
        <w:ind w:left="0" w:firstLine="0"/>
        <w:contextualSpacing w:val="0"/>
        <w:jc w:val="both"/>
        <w:rPr>
          <w:rFonts w:ascii="Verdana" w:hAnsi="Verdana"/>
          <w:sz w:val="20"/>
          <w:szCs w:val="20"/>
        </w:rPr>
      </w:pPr>
      <w:r w:rsidRPr="00A1016B">
        <w:rPr>
          <w:rFonts w:ascii="Verdana" w:hAnsi="Verdana" w:cs="Times New Roman"/>
          <w:sz w:val="20"/>
          <w:szCs w:val="20"/>
          <w:lang w:val="es-ES"/>
        </w:rPr>
        <w:t>Dicho esto</w:t>
      </w:r>
      <w:r w:rsidR="002E4957" w:rsidRPr="00A1016B">
        <w:rPr>
          <w:rFonts w:ascii="Verdana" w:hAnsi="Verdana" w:cs="Times New Roman"/>
          <w:sz w:val="20"/>
          <w:szCs w:val="20"/>
          <w:lang w:val="es-ES"/>
        </w:rPr>
        <w:t xml:space="preserve">, </w:t>
      </w:r>
      <w:r w:rsidR="009327D0" w:rsidRPr="00A1016B">
        <w:rPr>
          <w:rFonts w:ascii="Verdana" w:hAnsi="Verdana" w:cs="Times New Roman"/>
          <w:sz w:val="20"/>
          <w:szCs w:val="20"/>
          <w:lang w:val="es-ES"/>
        </w:rPr>
        <w:t xml:space="preserve">antes de </w:t>
      </w:r>
      <w:r w:rsidR="00675CAF" w:rsidRPr="00A1016B">
        <w:rPr>
          <w:rFonts w:ascii="Verdana" w:hAnsi="Verdana" w:cs="Times New Roman"/>
          <w:sz w:val="20"/>
          <w:szCs w:val="20"/>
          <w:lang w:val="es-ES"/>
        </w:rPr>
        <w:t>finalizar</w:t>
      </w:r>
      <w:r w:rsidR="009327D0" w:rsidRPr="00A1016B">
        <w:rPr>
          <w:rFonts w:ascii="Verdana" w:hAnsi="Verdana" w:cs="Times New Roman"/>
          <w:sz w:val="20"/>
          <w:szCs w:val="20"/>
          <w:lang w:val="es-ES"/>
        </w:rPr>
        <w:t xml:space="preserve">, </w:t>
      </w:r>
      <w:r w:rsidR="005F79A8" w:rsidRPr="00A1016B">
        <w:rPr>
          <w:rFonts w:ascii="Verdana" w:hAnsi="Verdana" w:cs="Times New Roman"/>
          <w:sz w:val="20"/>
          <w:szCs w:val="20"/>
          <w:lang w:val="es-ES"/>
        </w:rPr>
        <w:t xml:space="preserve">debo llamar la atención sobre </w:t>
      </w:r>
      <w:r w:rsidR="002E4957" w:rsidRPr="00A1016B">
        <w:rPr>
          <w:rFonts w:ascii="Verdana" w:hAnsi="Verdana" w:cs="Times New Roman"/>
          <w:sz w:val="20"/>
          <w:szCs w:val="20"/>
          <w:lang w:val="es-ES"/>
        </w:rPr>
        <w:t>el alcance de este criterio jurisprudencia</w:t>
      </w:r>
      <w:r w:rsidR="005F79A8" w:rsidRPr="00A1016B">
        <w:rPr>
          <w:rFonts w:ascii="Verdana" w:hAnsi="Verdana" w:cs="Times New Roman"/>
          <w:sz w:val="20"/>
          <w:szCs w:val="20"/>
          <w:lang w:val="es-ES"/>
        </w:rPr>
        <w:t>l</w:t>
      </w:r>
      <w:r w:rsidR="002E4957" w:rsidRPr="00A1016B">
        <w:rPr>
          <w:rFonts w:ascii="Verdana" w:hAnsi="Verdana" w:cs="Times New Roman"/>
          <w:sz w:val="20"/>
          <w:szCs w:val="20"/>
          <w:lang w:val="es-ES"/>
        </w:rPr>
        <w:t>. La regla que hasta ahora ha fijado la Corte</w:t>
      </w:r>
      <w:r w:rsidR="005F79A8" w:rsidRPr="00A1016B">
        <w:rPr>
          <w:rFonts w:ascii="Verdana" w:hAnsi="Verdana" w:cs="Times New Roman"/>
          <w:sz w:val="20"/>
          <w:szCs w:val="20"/>
          <w:lang w:val="es-ES"/>
        </w:rPr>
        <w:t xml:space="preserve"> sobre la prohibición del uso del derecho penal para proteger el honor de funcionarios públicos,</w:t>
      </w:r>
      <w:r w:rsidR="002E4957" w:rsidRPr="00A1016B">
        <w:rPr>
          <w:rFonts w:ascii="Verdana" w:hAnsi="Verdana" w:cs="Times New Roman"/>
          <w:sz w:val="20"/>
          <w:szCs w:val="20"/>
          <w:lang w:val="es-ES"/>
        </w:rPr>
        <w:t xml:space="preserve"> </w:t>
      </w:r>
      <w:r w:rsidR="005F79A8" w:rsidRPr="00A1016B">
        <w:rPr>
          <w:rFonts w:ascii="Verdana" w:hAnsi="Verdana" w:cs="Times New Roman"/>
          <w:sz w:val="20"/>
          <w:szCs w:val="20"/>
          <w:lang w:val="es-ES"/>
        </w:rPr>
        <w:t>no se extiende a</w:t>
      </w:r>
      <w:r w:rsidR="002E4957" w:rsidRPr="00A1016B">
        <w:rPr>
          <w:rFonts w:ascii="Verdana" w:hAnsi="Verdana" w:cs="Times New Roman"/>
          <w:sz w:val="20"/>
          <w:szCs w:val="20"/>
          <w:lang w:val="es-ES"/>
        </w:rPr>
        <w:t xml:space="preserve"> otros derechos convencionales </w:t>
      </w:r>
      <w:r w:rsidR="00F80221" w:rsidRPr="00A1016B">
        <w:rPr>
          <w:rFonts w:ascii="Verdana" w:hAnsi="Verdana" w:cs="Times New Roman"/>
          <w:sz w:val="20"/>
          <w:szCs w:val="20"/>
          <w:lang w:val="es-ES"/>
        </w:rPr>
        <w:t>como el</w:t>
      </w:r>
      <w:r w:rsidR="002621BB" w:rsidRPr="00A1016B">
        <w:rPr>
          <w:rFonts w:ascii="Verdana" w:hAnsi="Verdana" w:cs="Times New Roman"/>
          <w:sz w:val="20"/>
          <w:szCs w:val="20"/>
          <w:lang w:val="es-ES"/>
        </w:rPr>
        <w:t xml:space="preserve"> derecho a la </w:t>
      </w:r>
      <w:r w:rsidR="00315E43" w:rsidRPr="00A1016B">
        <w:rPr>
          <w:rFonts w:ascii="Verdana" w:hAnsi="Verdana" w:cs="Times New Roman"/>
          <w:sz w:val="20"/>
          <w:szCs w:val="20"/>
          <w:lang w:val="es-ES"/>
        </w:rPr>
        <w:t>integridad</w:t>
      </w:r>
      <w:r w:rsidR="002621BB" w:rsidRPr="00A1016B">
        <w:rPr>
          <w:rFonts w:ascii="Verdana" w:hAnsi="Verdana" w:cs="Times New Roman"/>
          <w:sz w:val="20"/>
          <w:szCs w:val="20"/>
          <w:lang w:val="es-ES"/>
        </w:rPr>
        <w:t xml:space="preserve">, a la vida privada o la prohibición de discriminación. En estos eventos no es </w:t>
      </w:r>
      <w:r w:rsidR="004A3D24" w:rsidRPr="00A1016B">
        <w:rPr>
          <w:rFonts w:ascii="Verdana" w:hAnsi="Verdana" w:cs="Times New Roman"/>
          <w:sz w:val="20"/>
          <w:szCs w:val="20"/>
          <w:lang w:val="es-ES"/>
        </w:rPr>
        <w:t>válido</w:t>
      </w:r>
      <w:r w:rsidR="002621BB" w:rsidRPr="00A1016B">
        <w:rPr>
          <w:rFonts w:ascii="Verdana" w:hAnsi="Verdana" w:cs="Times New Roman"/>
          <w:sz w:val="20"/>
          <w:szCs w:val="20"/>
          <w:lang w:val="es-ES"/>
        </w:rPr>
        <w:t xml:space="preserve">, ni aun bajo la postura jurisprudencial del caso </w:t>
      </w:r>
      <w:proofErr w:type="spellStart"/>
      <w:r w:rsidR="002621BB" w:rsidRPr="00D730B9">
        <w:rPr>
          <w:rFonts w:ascii="Verdana" w:hAnsi="Verdana" w:cs="Times New Roman"/>
          <w:i/>
          <w:iCs/>
          <w:sz w:val="20"/>
          <w:szCs w:val="20"/>
          <w:lang w:val="es-ES"/>
        </w:rPr>
        <w:t>Baraona</w:t>
      </w:r>
      <w:proofErr w:type="spellEnd"/>
      <w:r w:rsidR="002621BB" w:rsidRPr="00D730B9">
        <w:rPr>
          <w:rFonts w:ascii="Verdana" w:hAnsi="Verdana" w:cs="Times New Roman"/>
          <w:i/>
          <w:iCs/>
          <w:sz w:val="20"/>
          <w:szCs w:val="20"/>
          <w:lang w:val="es-ES"/>
        </w:rPr>
        <w:t xml:space="preserve"> Bray </w:t>
      </w:r>
      <w:r w:rsidR="00DE33C9" w:rsidRPr="00D730B9">
        <w:rPr>
          <w:rFonts w:ascii="Verdana" w:hAnsi="Verdana" w:cs="Times New Roman"/>
          <w:i/>
          <w:iCs/>
          <w:sz w:val="20"/>
          <w:szCs w:val="20"/>
          <w:lang w:val="es-ES"/>
        </w:rPr>
        <w:t>Vs</w:t>
      </w:r>
      <w:r w:rsidR="002621BB" w:rsidRPr="00D730B9">
        <w:rPr>
          <w:rFonts w:ascii="Verdana" w:hAnsi="Verdana" w:cs="Times New Roman"/>
          <w:i/>
          <w:iCs/>
          <w:sz w:val="20"/>
          <w:szCs w:val="20"/>
          <w:lang w:val="es-ES"/>
        </w:rPr>
        <w:t>. Chile</w:t>
      </w:r>
      <w:r w:rsidR="00F03BB8" w:rsidRPr="00A1016B">
        <w:rPr>
          <w:rFonts w:ascii="Verdana" w:hAnsi="Verdana" w:cs="Times New Roman"/>
          <w:sz w:val="20"/>
          <w:szCs w:val="20"/>
          <w:lang w:val="es-ES"/>
        </w:rPr>
        <w:t xml:space="preserve">, excluir del control judicial los abusos a la libertad de expresión. </w:t>
      </w:r>
      <w:r w:rsidR="00F80221" w:rsidRPr="00A1016B">
        <w:rPr>
          <w:rFonts w:ascii="Verdana" w:hAnsi="Verdana" w:cs="Times New Roman"/>
          <w:sz w:val="20"/>
          <w:szCs w:val="20"/>
          <w:lang w:val="es-ES"/>
        </w:rPr>
        <w:t xml:space="preserve">Manifestaciones </w:t>
      </w:r>
      <w:r w:rsidR="00C72250" w:rsidRPr="00A1016B">
        <w:rPr>
          <w:rFonts w:ascii="Verdana" w:hAnsi="Verdana" w:cs="Times New Roman"/>
          <w:sz w:val="20"/>
          <w:szCs w:val="20"/>
          <w:lang w:val="es-ES"/>
        </w:rPr>
        <w:t>que impliquen</w:t>
      </w:r>
      <w:r w:rsidR="00952145" w:rsidRPr="00A1016B">
        <w:rPr>
          <w:rFonts w:ascii="Verdana" w:hAnsi="Verdana" w:cs="Times New Roman"/>
          <w:sz w:val="20"/>
          <w:szCs w:val="20"/>
          <w:lang w:val="es-ES"/>
        </w:rPr>
        <w:t xml:space="preserve"> incitación a la violencia</w:t>
      </w:r>
      <w:r w:rsidR="00D534A1" w:rsidRPr="00A1016B">
        <w:rPr>
          <w:rFonts w:ascii="Verdana" w:hAnsi="Verdana" w:cs="Times New Roman"/>
          <w:sz w:val="20"/>
          <w:szCs w:val="20"/>
          <w:lang w:val="es-ES"/>
        </w:rPr>
        <w:t>, actos de discriminación</w:t>
      </w:r>
      <w:r w:rsidR="00C72250" w:rsidRPr="00A1016B">
        <w:rPr>
          <w:rFonts w:ascii="Verdana" w:hAnsi="Verdana" w:cs="Times New Roman"/>
          <w:sz w:val="20"/>
          <w:szCs w:val="20"/>
          <w:lang w:val="es-ES"/>
        </w:rPr>
        <w:t xml:space="preserve"> o discursos de odio</w:t>
      </w:r>
      <w:r w:rsidR="00F80221" w:rsidRPr="00A1016B">
        <w:rPr>
          <w:rFonts w:ascii="Verdana" w:hAnsi="Verdana" w:cs="Times New Roman"/>
          <w:sz w:val="20"/>
          <w:szCs w:val="20"/>
          <w:lang w:val="es-ES"/>
        </w:rPr>
        <w:t>, aun en el ámbito de la libertad de expresión,</w:t>
      </w:r>
      <w:r w:rsidR="00C72250" w:rsidRPr="00A1016B">
        <w:rPr>
          <w:rFonts w:ascii="Verdana" w:hAnsi="Verdana" w:cs="Times New Roman"/>
          <w:sz w:val="20"/>
          <w:szCs w:val="20"/>
          <w:lang w:val="es-ES"/>
        </w:rPr>
        <w:t xml:space="preserve"> deben ser sancionados.</w:t>
      </w:r>
      <w:r w:rsidR="00F80221" w:rsidRPr="00A1016B">
        <w:rPr>
          <w:rFonts w:ascii="Verdana" w:hAnsi="Verdana" w:cs="Times New Roman"/>
          <w:sz w:val="20"/>
          <w:szCs w:val="20"/>
          <w:lang w:val="es-ES"/>
        </w:rPr>
        <w:t xml:space="preserve"> </w:t>
      </w:r>
      <w:r w:rsidR="00F03BB8" w:rsidRPr="00A1016B">
        <w:rPr>
          <w:rFonts w:ascii="Verdana" w:hAnsi="Verdana" w:cs="Times New Roman"/>
          <w:sz w:val="20"/>
          <w:szCs w:val="20"/>
          <w:lang w:val="es-ES"/>
        </w:rPr>
        <w:t xml:space="preserve">En este sentido, se debe tomar en cuenta que la </w:t>
      </w:r>
      <w:r w:rsidR="00F03BB8" w:rsidRPr="00A1016B">
        <w:rPr>
          <w:rFonts w:ascii="Verdana" w:hAnsi="Verdana" w:cs="Times New Roman"/>
          <w:sz w:val="20"/>
          <w:szCs w:val="20"/>
        </w:rPr>
        <w:t xml:space="preserve">Convención para la Prevención y la Sanción del Delito de Genocidio, artículo III y la Convención </w:t>
      </w:r>
      <w:r w:rsidR="00F03BB8" w:rsidRPr="00A1016B">
        <w:rPr>
          <w:rFonts w:ascii="Verdana" w:hAnsi="Verdana" w:cs="Times New Roman"/>
          <w:sz w:val="20"/>
          <w:szCs w:val="20"/>
        </w:rPr>
        <w:lastRenderedPageBreak/>
        <w:t>Internacional sobre la Eliminación de todas las Formas de Discriminación Racial, artículo 4</w:t>
      </w:r>
      <w:r w:rsidR="00F03BB8" w:rsidRPr="00A1016B">
        <w:rPr>
          <w:rFonts w:ascii="Verdana" w:hAnsi="Verdana" w:cs="Times New Roman"/>
          <w:sz w:val="20"/>
          <w:szCs w:val="20"/>
          <w:lang w:val="es-ES"/>
        </w:rPr>
        <w:t>, señalan como obligaciones de los Estados la sanción de las conductas de instigación al genocidio, la superioridad o en el odio racial y toda incitación a la discriminación racial</w:t>
      </w:r>
      <w:r w:rsidR="00F03BB8" w:rsidRPr="00A1016B">
        <w:rPr>
          <w:rStyle w:val="FootnoteReference"/>
          <w:rFonts w:ascii="Verdana" w:hAnsi="Verdana" w:cs="Times New Roman"/>
          <w:sz w:val="20"/>
          <w:szCs w:val="20"/>
          <w:lang w:val="es-ES"/>
        </w:rPr>
        <w:footnoteReference w:id="18"/>
      </w:r>
      <w:r w:rsidR="00F03BB8" w:rsidRPr="00A1016B">
        <w:rPr>
          <w:rFonts w:ascii="Verdana" w:hAnsi="Verdana" w:cs="Times New Roman"/>
          <w:sz w:val="20"/>
          <w:szCs w:val="20"/>
          <w:lang w:val="es-ES"/>
        </w:rPr>
        <w:t xml:space="preserve">. </w:t>
      </w:r>
    </w:p>
    <w:p w14:paraId="5EAA99AD" w14:textId="77777777" w:rsidR="00D730B9" w:rsidRPr="00A1016B" w:rsidRDefault="00D730B9" w:rsidP="00D730B9">
      <w:pPr>
        <w:pStyle w:val="ListParagraph"/>
        <w:autoSpaceDE w:val="0"/>
        <w:autoSpaceDN w:val="0"/>
        <w:adjustRightInd w:val="0"/>
        <w:spacing w:after="0" w:line="240" w:lineRule="auto"/>
        <w:ind w:left="0"/>
        <w:contextualSpacing w:val="0"/>
        <w:jc w:val="both"/>
        <w:rPr>
          <w:rFonts w:ascii="Verdana" w:hAnsi="Verdana"/>
          <w:sz w:val="20"/>
          <w:szCs w:val="20"/>
        </w:rPr>
      </w:pPr>
    </w:p>
    <w:p w14:paraId="0218C486" w14:textId="6B5AD1F8" w:rsidR="00700324" w:rsidRDefault="0045661E" w:rsidP="00D730B9">
      <w:pPr>
        <w:pStyle w:val="ListParagraph"/>
        <w:numPr>
          <w:ilvl w:val="0"/>
          <w:numId w:val="1"/>
        </w:numPr>
        <w:autoSpaceDE w:val="0"/>
        <w:autoSpaceDN w:val="0"/>
        <w:adjustRightInd w:val="0"/>
        <w:spacing w:after="0" w:line="240" w:lineRule="auto"/>
        <w:ind w:left="0" w:firstLine="0"/>
        <w:contextualSpacing w:val="0"/>
        <w:jc w:val="both"/>
        <w:rPr>
          <w:rFonts w:ascii="Verdana" w:hAnsi="Verdana"/>
          <w:sz w:val="20"/>
          <w:szCs w:val="20"/>
        </w:rPr>
      </w:pPr>
      <w:r w:rsidRPr="00A1016B">
        <w:rPr>
          <w:rFonts w:ascii="Verdana" w:hAnsi="Verdana"/>
          <w:sz w:val="20"/>
          <w:szCs w:val="20"/>
        </w:rPr>
        <w:t xml:space="preserve">En conclusión, </w:t>
      </w:r>
      <w:r w:rsidR="002C0DA5" w:rsidRPr="00A1016B">
        <w:rPr>
          <w:rFonts w:ascii="Verdana" w:hAnsi="Verdana"/>
          <w:sz w:val="20"/>
          <w:szCs w:val="20"/>
        </w:rPr>
        <w:t>considero que en el caso se vulneraron los derechos a la libertad de expresión</w:t>
      </w:r>
      <w:r w:rsidR="00D01251" w:rsidRPr="00A1016B">
        <w:rPr>
          <w:rFonts w:ascii="Verdana" w:hAnsi="Verdana"/>
          <w:sz w:val="20"/>
          <w:szCs w:val="20"/>
        </w:rPr>
        <w:t xml:space="preserve"> y a las garantías judiciales toda vez que </w:t>
      </w:r>
      <w:r w:rsidRPr="00A1016B">
        <w:rPr>
          <w:rFonts w:ascii="Verdana" w:hAnsi="Verdana"/>
          <w:sz w:val="20"/>
          <w:szCs w:val="20"/>
        </w:rPr>
        <w:t xml:space="preserve">al señor Capriles se le impuso una sanción administrativa </w:t>
      </w:r>
      <w:r w:rsidR="00514775" w:rsidRPr="00A1016B">
        <w:rPr>
          <w:rFonts w:ascii="Verdana" w:hAnsi="Verdana"/>
          <w:sz w:val="20"/>
          <w:szCs w:val="20"/>
        </w:rPr>
        <w:t>sin</w:t>
      </w:r>
      <w:r w:rsidRPr="00A1016B">
        <w:rPr>
          <w:rFonts w:ascii="Verdana" w:hAnsi="Verdana"/>
          <w:sz w:val="20"/>
          <w:szCs w:val="20"/>
        </w:rPr>
        <w:t xml:space="preserve"> ninguna motivación por parte del Tribunal interno, que pudiera ser valorada a la luz del principio de proporcionalidad.</w:t>
      </w:r>
      <w:r w:rsidR="00514775" w:rsidRPr="00A1016B">
        <w:rPr>
          <w:rFonts w:ascii="Verdana" w:hAnsi="Verdana"/>
          <w:sz w:val="20"/>
          <w:szCs w:val="20"/>
        </w:rPr>
        <w:t xml:space="preserve"> Lo que no comparto es que, la remisión del expediente al Ministerio Público para la eventual apertura de un proceso </w:t>
      </w:r>
      <w:r w:rsidR="00675CAF" w:rsidRPr="00A1016B">
        <w:rPr>
          <w:rFonts w:ascii="Verdana" w:hAnsi="Verdana"/>
          <w:sz w:val="20"/>
          <w:szCs w:val="20"/>
        </w:rPr>
        <w:t>penal</w:t>
      </w:r>
      <w:r w:rsidR="00514775" w:rsidRPr="00A1016B">
        <w:rPr>
          <w:rFonts w:ascii="Verdana" w:hAnsi="Verdana"/>
          <w:sz w:val="20"/>
          <w:szCs w:val="20"/>
        </w:rPr>
        <w:t xml:space="preserve"> también hubiere derivado en una vulneración de los citados derechos</w:t>
      </w:r>
      <w:r w:rsidR="003107E9" w:rsidRPr="00A1016B">
        <w:rPr>
          <w:rFonts w:ascii="Verdana" w:hAnsi="Verdana"/>
          <w:sz w:val="20"/>
          <w:szCs w:val="20"/>
        </w:rPr>
        <w:t xml:space="preserve">, dada la falta de elementos para evaluar los hechos del caso, y la falta de fundamentación de la postura jurisprudencial de prohibición absoluta del uso del derecho penal para proteger el honor de funcionarios públicos. </w:t>
      </w:r>
    </w:p>
    <w:p w14:paraId="7E2AD238" w14:textId="77777777" w:rsidR="00D730B9" w:rsidRDefault="00D730B9" w:rsidP="00D730B9">
      <w:pPr>
        <w:autoSpaceDE w:val="0"/>
        <w:autoSpaceDN w:val="0"/>
        <w:adjustRightInd w:val="0"/>
        <w:spacing w:after="0" w:line="240" w:lineRule="auto"/>
        <w:jc w:val="both"/>
        <w:rPr>
          <w:rFonts w:ascii="Verdana" w:hAnsi="Verdana"/>
          <w:sz w:val="20"/>
          <w:szCs w:val="20"/>
        </w:rPr>
      </w:pPr>
    </w:p>
    <w:p w14:paraId="13532CA0" w14:textId="77777777" w:rsidR="00D730B9" w:rsidRDefault="00D730B9" w:rsidP="00D730B9">
      <w:pPr>
        <w:autoSpaceDE w:val="0"/>
        <w:autoSpaceDN w:val="0"/>
        <w:adjustRightInd w:val="0"/>
        <w:spacing w:after="0" w:line="240" w:lineRule="auto"/>
        <w:jc w:val="both"/>
        <w:rPr>
          <w:rFonts w:ascii="Verdana" w:hAnsi="Verdana"/>
          <w:sz w:val="20"/>
          <w:szCs w:val="20"/>
        </w:rPr>
      </w:pPr>
    </w:p>
    <w:p w14:paraId="543E4477" w14:textId="77777777" w:rsidR="00D730B9" w:rsidRDefault="00D730B9" w:rsidP="00D730B9">
      <w:pPr>
        <w:autoSpaceDE w:val="0"/>
        <w:autoSpaceDN w:val="0"/>
        <w:adjustRightInd w:val="0"/>
        <w:spacing w:after="0" w:line="240" w:lineRule="auto"/>
        <w:jc w:val="both"/>
        <w:rPr>
          <w:rFonts w:ascii="Verdana" w:hAnsi="Verdana"/>
          <w:sz w:val="20"/>
          <w:szCs w:val="20"/>
        </w:rPr>
      </w:pPr>
    </w:p>
    <w:p w14:paraId="426A7FC9" w14:textId="77777777" w:rsidR="00D730B9" w:rsidRPr="00D1173C" w:rsidRDefault="00D730B9" w:rsidP="00D730B9">
      <w:pPr>
        <w:rPr>
          <w:rFonts w:ascii="Verdana" w:hAnsi="Verdana"/>
          <w:sz w:val="20"/>
          <w:szCs w:val="20"/>
          <w:lang w:val="es-ES"/>
        </w:rPr>
      </w:pPr>
    </w:p>
    <w:p w14:paraId="0AB52A06" w14:textId="4BC7205D" w:rsidR="00D730B9" w:rsidRPr="00D1173C" w:rsidRDefault="00D730B9" w:rsidP="00D730B9">
      <w:pPr>
        <w:spacing w:after="0" w:line="240" w:lineRule="auto"/>
        <w:rPr>
          <w:rFonts w:ascii="Verdana" w:eastAsia="Verdana" w:hAnsi="Verdana" w:cs="Verdana"/>
          <w:color w:val="000000"/>
          <w:sz w:val="20"/>
          <w:szCs w:val="20"/>
        </w:rPr>
      </w:pPr>
      <w:r w:rsidRPr="00D1173C">
        <w:rPr>
          <w:rFonts w:ascii="Verdana" w:eastAsia="Verdana" w:hAnsi="Verdana" w:cs="Verdana"/>
          <w:color w:val="000000"/>
          <w:sz w:val="20"/>
          <w:szCs w:val="20"/>
          <w:lang w:val="es-ES"/>
        </w:rPr>
        <w:tab/>
      </w:r>
      <w:r w:rsidRPr="00D1173C">
        <w:rPr>
          <w:rFonts w:ascii="Verdana" w:eastAsia="Verdana" w:hAnsi="Verdana" w:cs="Verdana"/>
          <w:color w:val="000000"/>
          <w:sz w:val="20"/>
          <w:szCs w:val="20"/>
          <w:lang w:val="es-ES"/>
        </w:rPr>
        <w:tab/>
      </w:r>
      <w:r w:rsidRPr="00D1173C">
        <w:rPr>
          <w:rFonts w:ascii="Verdana" w:eastAsia="Verdana" w:hAnsi="Verdana" w:cs="Verdana"/>
          <w:color w:val="000000"/>
          <w:sz w:val="20"/>
          <w:szCs w:val="20"/>
          <w:lang w:val="es-ES"/>
        </w:rPr>
        <w:tab/>
      </w:r>
      <w:r w:rsidRPr="00D1173C">
        <w:rPr>
          <w:rFonts w:ascii="Verdana" w:eastAsia="Verdana" w:hAnsi="Verdana" w:cs="Verdana"/>
          <w:color w:val="000000"/>
          <w:sz w:val="20"/>
          <w:szCs w:val="20"/>
          <w:lang w:val="es-ES"/>
        </w:rPr>
        <w:tab/>
      </w:r>
      <w:r w:rsidRPr="00D1173C">
        <w:rPr>
          <w:rFonts w:ascii="Verdana" w:eastAsia="Verdana" w:hAnsi="Verdana" w:cs="Verdana"/>
          <w:color w:val="000000"/>
          <w:sz w:val="20"/>
          <w:szCs w:val="20"/>
          <w:lang w:val="es-ES"/>
        </w:rPr>
        <w:tab/>
      </w:r>
      <w:r w:rsidRPr="00D1173C">
        <w:rPr>
          <w:rFonts w:ascii="Verdana" w:eastAsia="Verdana" w:hAnsi="Verdana" w:cs="Verdana"/>
          <w:color w:val="000000"/>
          <w:sz w:val="20"/>
          <w:szCs w:val="20"/>
          <w:lang w:val="es-ES"/>
        </w:rPr>
        <w:tab/>
      </w:r>
      <w:r w:rsidRPr="00D1173C">
        <w:rPr>
          <w:rFonts w:ascii="Verdana" w:eastAsia="Verdana" w:hAnsi="Verdana" w:cs="Verdana"/>
          <w:color w:val="000000"/>
          <w:sz w:val="20"/>
          <w:szCs w:val="20"/>
          <w:lang w:val="es-ES"/>
        </w:rPr>
        <w:tab/>
      </w:r>
      <w:r w:rsidRPr="00D1173C">
        <w:rPr>
          <w:rFonts w:ascii="Verdana" w:eastAsia="Verdana" w:hAnsi="Verdana" w:cs="Verdana"/>
          <w:color w:val="000000"/>
          <w:sz w:val="20"/>
          <w:szCs w:val="20"/>
          <w:lang w:val="es-ES"/>
        </w:rPr>
        <w:tab/>
      </w:r>
      <w:r w:rsidR="00D1173C">
        <w:rPr>
          <w:rFonts w:ascii="Verdana" w:eastAsia="Verdana" w:hAnsi="Verdana" w:cs="Verdana"/>
          <w:color w:val="000000"/>
          <w:sz w:val="20"/>
          <w:szCs w:val="20"/>
        </w:rPr>
        <w:t>Humberto A. Sierra Porto</w:t>
      </w:r>
    </w:p>
    <w:p w14:paraId="6319E026" w14:textId="73DBBD22" w:rsidR="00D730B9" w:rsidRPr="00D1173C" w:rsidRDefault="00D730B9" w:rsidP="00D730B9">
      <w:pPr>
        <w:spacing w:after="0" w:line="240" w:lineRule="auto"/>
        <w:rPr>
          <w:rFonts w:ascii="Verdana" w:hAnsi="Verdana"/>
          <w:sz w:val="20"/>
          <w:szCs w:val="20"/>
        </w:rPr>
      </w:pPr>
      <w:r w:rsidRPr="00D1173C">
        <w:rPr>
          <w:rFonts w:ascii="Verdana" w:hAnsi="Verdana"/>
          <w:sz w:val="20"/>
          <w:szCs w:val="20"/>
        </w:rPr>
        <w:tab/>
      </w:r>
      <w:r w:rsidRPr="00D1173C">
        <w:rPr>
          <w:rFonts w:ascii="Verdana" w:hAnsi="Verdana"/>
          <w:sz w:val="20"/>
          <w:szCs w:val="20"/>
        </w:rPr>
        <w:tab/>
      </w:r>
      <w:r w:rsidRPr="00D1173C">
        <w:rPr>
          <w:rFonts w:ascii="Verdana" w:hAnsi="Verdana"/>
          <w:sz w:val="20"/>
          <w:szCs w:val="20"/>
        </w:rPr>
        <w:tab/>
      </w:r>
      <w:r w:rsidRPr="00D1173C">
        <w:rPr>
          <w:rFonts w:ascii="Verdana" w:hAnsi="Verdana"/>
          <w:sz w:val="20"/>
          <w:szCs w:val="20"/>
        </w:rPr>
        <w:tab/>
      </w:r>
      <w:r w:rsidRPr="00D1173C">
        <w:rPr>
          <w:rFonts w:ascii="Verdana" w:hAnsi="Verdana"/>
          <w:sz w:val="20"/>
          <w:szCs w:val="20"/>
        </w:rPr>
        <w:tab/>
      </w:r>
      <w:r w:rsidRPr="00D1173C">
        <w:rPr>
          <w:rFonts w:ascii="Verdana" w:hAnsi="Verdana"/>
          <w:sz w:val="20"/>
          <w:szCs w:val="20"/>
        </w:rPr>
        <w:tab/>
      </w:r>
      <w:r w:rsidRPr="00D1173C">
        <w:rPr>
          <w:rFonts w:ascii="Verdana" w:hAnsi="Verdana"/>
          <w:sz w:val="20"/>
          <w:szCs w:val="20"/>
        </w:rPr>
        <w:tab/>
      </w:r>
      <w:r w:rsidRPr="00D1173C">
        <w:rPr>
          <w:rFonts w:ascii="Verdana" w:hAnsi="Verdana"/>
          <w:sz w:val="20"/>
          <w:szCs w:val="20"/>
        </w:rPr>
        <w:tab/>
      </w:r>
      <w:r w:rsidR="00D1173C">
        <w:rPr>
          <w:rFonts w:ascii="Verdana" w:hAnsi="Verdana"/>
          <w:sz w:val="20"/>
          <w:szCs w:val="20"/>
        </w:rPr>
        <w:tab/>
        <w:t xml:space="preserve">    </w:t>
      </w:r>
      <w:r w:rsidRPr="00D1173C">
        <w:rPr>
          <w:rFonts w:ascii="Verdana" w:hAnsi="Verdana"/>
          <w:sz w:val="20"/>
          <w:szCs w:val="20"/>
        </w:rPr>
        <w:t xml:space="preserve">Juez </w:t>
      </w:r>
    </w:p>
    <w:p w14:paraId="72B905F1" w14:textId="048BCC75" w:rsidR="00D730B9" w:rsidRPr="00D1173C" w:rsidRDefault="00D730B9" w:rsidP="00D730B9">
      <w:pPr>
        <w:spacing w:after="0" w:line="240" w:lineRule="auto"/>
        <w:rPr>
          <w:rFonts w:ascii="Verdana" w:hAnsi="Verdana"/>
          <w:sz w:val="20"/>
          <w:szCs w:val="20"/>
        </w:rPr>
      </w:pPr>
    </w:p>
    <w:p w14:paraId="3F25DD38" w14:textId="77777777" w:rsidR="00D730B9" w:rsidRPr="00D1173C" w:rsidRDefault="00D730B9" w:rsidP="00D730B9">
      <w:pPr>
        <w:spacing w:after="0" w:line="240" w:lineRule="auto"/>
        <w:rPr>
          <w:rFonts w:ascii="Verdana" w:hAnsi="Verdana"/>
          <w:sz w:val="20"/>
          <w:szCs w:val="20"/>
        </w:rPr>
      </w:pPr>
    </w:p>
    <w:p w14:paraId="2AA49220" w14:textId="77777777" w:rsidR="00D730B9" w:rsidRPr="00D1173C" w:rsidRDefault="00D730B9" w:rsidP="00D730B9">
      <w:pPr>
        <w:spacing w:after="0" w:line="240" w:lineRule="auto"/>
        <w:rPr>
          <w:rFonts w:ascii="Verdana" w:hAnsi="Verdana"/>
          <w:sz w:val="20"/>
          <w:szCs w:val="20"/>
        </w:rPr>
      </w:pPr>
    </w:p>
    <w:p w14:paraId="068694DE" w14:textId="77777777" w:rsidR="00D730B9" w:rsidRPr="00D1173C" w:rsidRDefault="00D730B9" w:rsidP="00D730B9">
      <w:pPr>
        <w:spacing w:after="0" w:line="240" w:lineRule="auto"/>
        <w:rPr>
          <w:rFonts w:ascii="Verdana" w:hAnsi="Verdana"/>
          <w:sz w:val="20"/>
          <w:szCs w:val="20"/>
        </w:rPr>
      </w:pPr>
    </w:p>
    <w:p w14:paraId="7409C7CF" w14:textId="77777777" w:rsidR="00D730B9" w:rsidRPr="00D1173C" w:rsidRDefault="00D730B9" w:rsidP="00D730B9">
      <w:pPr>
        <w:spacing w:after="0" w:line="240" w:lineRule="auto"/>
        <w:ind w:firstLine="708"/>
        <w:rPr>
          <w:rFonts w:ascii="Verdana" w:eastAsia="Verdana" w:hAnsi="Verdana" w:cs="Verdana"/>
          <w:sz w:val="20"/>
          <w:szCs w:val="20"/>
        </w:rPr>
      </w:pPr>
      <w:r w:rsidRPr="00D1173C">
        <w:rPr>
          <w:rFonts w:ascii="Verdana" w:eastAsia="Verdana" w:hAnsi="Verdana" w:cs="Verdana"/>
          <w:sz w:val="20"/>
          <w:szCs w:val="20"/>
        </w:rPr>
        <w:t>Pablo Saavedra Alessandri</w:t>
      </w:r>
    </w:p>
    <w:p w14:paraId="3643551F" w14:textId="77777777" w:rsidR="00D730B9" w:rsidRPr="00D1173C" w:rsidRDefault="00D730B9" w:rsidP="00D730B9">
      <w:pPr>
        <w:spacing w:after="0" w:line="240" w:lineRule="auto"/>
        <w:ind w:firstLine="708"/>
        <w:rPr>
          <w:rFonts w:ascii="Verdana" w:eastAsia="Verdana" w:hAnsi="Verdana" w:cs="Verdana"/>
          <w:sz w:val="20"/>
          <w:szCs w:val="20"/>
        </w:rPr>
      </w:pPr>
      <w:r w:rsidRPr="00D1173C">
        <w:rPr>
          <w:rFonts w:ascii="Verdana" w:eastAsia="Verdana" w:hAnsi="Verdana" w:cs="Verdana"/>
          <w:sz w:val="20"/>
          <w:szCs w:val="20"/>
        </w:rPr>
        <w:tab/>
        <w:t>Secretario</w:t>
      </w:r>
    </w:p>
    <w:p w14:paraId="436630CA" w14:textId="77777777" w:rsidR="00D730B9" w:rsidRPr="00D1173C" w:rsidRDefault="00D730B9" w:rsidP="00D730B9">
      <w:pPr>
        <w:autoSpaceDE w:val="0"/>
        <w:autoSpaceDN w:val="0"/>
        <w:adjustRightInd w:val="0"/>
        <w:spacing w:after="0" w:line="240" w:lineRule="auto"/>
        <w:jc w:val="both"/>
        <w:rPr>
          <w:rFonts w:ascii="Verdana" w:hAnsi="Verdana"/>
          <w:sz w:val="20"/>
          <w:szCs w:val="20"/>
        </w:rPr>
      </w:pPr>
    </w:p>
    <w:sectPr w:rsidR="00D730B9" w:rsidRPr="00D1173C" w:rsidSect="0088603B">
      <w:footerReference w:type="default" r:id="rId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DE020" w14:textId="77777777" w:rsidR="00CA1B33" w:rsidRDefault="00CA1B33" w:rsidP="00F03BB8">
      <w:pPr>
        <w:spacing w:after="0" w:line="240" w:lineRule="auto"/>
      </w:pPr>
      <w:r>
        <w:separator/>
      </w:r>
    </w:p>
  </w:endnote>
  <w:endnote w:type="continuationSeparator" w:id="0">
    <w:p w14:paraId="3ECC4850" w14:textId="77777777" w:rsidR="00CA1B33" w:rsidRDefault="00CA1B33" w:rsidP="00F03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229485"/>
      <w:docPartObj>
        <w:docPartGallery w:val="Page Numbers (Bottom of Page)"/>
        <w:docPartUnique/>
      </w:docPartObj>
    </w:sdtPr>
    <w:sdtContent>
      <w:p w14:paraId="7429B541" w14:textId="79CBF7D9" w:rsidR="0088603B" w:rsidRDefault="0088603B">
        <w:pPr>
          <w:pStyle w:val="Footer"/>
          <w:jc w:val="center"/>
        </w:pPr>
        <w:r w:rsidRPr="0088603B">
          <w:rPr>
            <w:rFonts w:ascii="Calibri" w:hAnsi="Calibri" w:cs="Calibri"/>
            <w:sz w:val="22"/>
            <w:szCs w:val="22"/>
          </w:rPr>
          <w:fldChar w:fldCharType="begin"/>
        </w:r>
        <w:r w:rsidRPr="0088603B">
          <w:rPr>
            <w:rFonts w:ascii="Calibri" w:hAnsi="Calibri" w:cs="Calibri"/>
            <w:sz w:val="22"/>
            <w:szCs w:val="22"/>
          </w:rPr>
          <w:instrText>PAGE   \* MERGEFORMAT</w:instrText>
        </w:r>
        <w:r w:rsidRPr="0088603B">
          <w:rPr>
            <w:rFonts w:ascii="Calibri" w:hAnsi="Calibri" w:cs="Calibri"/>
            <w:sz w:val="22"/>
            <w:szCs w:val="22"/>
          </w:rPr>
          <w:fldChar w:fldCharType="separate"/>
        </w:r>
        <w:r w:rsidRPr="0088603B">
          <w:rPr>
            <w:rFonts w:ascii="Calibri" w:hAnsi="Calibri" w:cs="Calibri"/>
            <w:sz w:val="22"/>
            <w:szCs w:val="22"/>
            <w:lang w:val="es-ES"/>
          </w:rPr>
          <w:t>2</w:t>
        </w:r>
        <w:r w:rsidRPr="0088603B">
          <w:rPr>
            <w:rFonts w:ascii="Calibri" w:hAnsi="Calibri" w:cs="Calibri"/>
            <w:sz w:val="22"/>
            <w:szCs w:val="22"/>
          </w:rPr>
          <w:fldChar w:fldCharType="end"/>
        </w:r>
      </w:p>
    </w:sdtContent>
  </w:sdt>
  <w:p w14:paraId="01B5AFCE" w14:textId="77777777" w:rsidR="0088603B" w:rsidRDefault="00886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7680F" w14:textId="77777777" w:rsidR="00CA1B33" w:rsidRDefault="00CA1B33" w:rsidP="00F03BB8">
      <w:pPr>
        <w:spacing w:after="0" w:line="240" w:lineRule="auto"/>
      </w:pPr>
      <w:r>
        <w:separator/>
      </w:r>
    </w:p>
  </w:footnote>
  <w:footnote w:type="continuationSeparator" w:id="0">
    <w:p w14:paraId="6A1959CD" w14:textId="77777777" w:rsidR="00CA1B33" w:rsidRDefault="00CA1B33" w:rsidP="00F03BB8">
      <w:pPr>
        <w:spacing w:after="0" w:line="240" w:lineRule="auto"/>
      </w:pPr>
      <w:r>
        <w:continuationSeparator/>
      </w:r>
    </w:p>
  </w:footnote>
  <w:footnote w:id="1">
    <w:p w14:paraId="0FCDD18F" w14:textId="394FD29B" w:rsidR="00CF33BF" w:rsidRPr="003107E9" w:rsidRDefault="00CF33BF" w:rsidP="003107E9">
      <w:pPr>
        <w:pStyle w:val="FootnoteText"/>
        <w:jc w:val="both"/>
        <w:rPr>
          <w:rFonts w:ascii="Verdana" w:hAnsi="Verdana"/>
          <w:sz w:val="16"/>
          <w:szCs w:val="16"/>
          <w:lang w:val="es-ES"/>
        </w:rPr>
      </w:pPr>
      <w:r w:rsidRPr="003107E9">
        <w:rPr>
          <w:rStyle w:val="FootnoteReference"/>
          <w:rFonts w:ascii="Verdana" w:hAnsi="Verdana"/>
          <w:sz w:val="16"/>
          <w:szCs w:val="16"/>
        </w:rPr>
        <w:footnoteRef/>
      </w:r>
      <w:r w:rsidRPr="003107E9">
        <w:rPr>
          <w:rFonts w:ascii="Verdana" w:hAnsi="Verdana"/>
          <w:sz w:val="16"/>
          <w:szCs w:val="16"/>
          <w:lang w:val="es-CR"/>
        </w:rPr>
        <w:t xml:space="preserve"> </w:t>
      </w:r>
      <w:r w:rsidR="007634E3" w:rsidRPr="003107E9">
        <w:rPr>
          <w:rFonts w:ascii="Verdana" w:hAnsi="Verdana"/>
          <w:sz w:val="16"/>
          <w:szCs w:val="16"/>
          <w:lang w:val="es-CR"/>
        </w:rPr>
        <w:tab/>
      </w:r>
      <w:r w:rsidR="007634E3" w:rsidRPr="003107E9">
        <w:rPr>
          <w:rFonts w:ascii="Verdana" w:hAnsi="Verdana"/>
          <w:i/>
          <w:iCs/>
          <w:sz w:val="16"/>
          <w:szCs w:val="16"/>
          <w:lang w:val="es-CR"/>
        </w:rPr>
        <w:t>Cfr</w:t>
      </w:r>
      <w:r w:rsidR="007634E3" w:rsidRPr="003107E9">
        <w:rPr>
          <w:rFonts w:ascii="Verdana" w:hAnsi="Verdana"/>
          <w:sz w:val="16"/>
          <w:szCs w:val="16"/>
          <w:lang w:val="es-CR"/>
        </w:rPr>
        <w:t>.</w:t>
      </w:r>
      <w:r w:rsidR="00D53C30" w:rsidRPr="003107E9">
        <w:rPr>
          <w:rFonts w:ascii="Verdana" w:hAnsi="Verdana"/>
          <w:sz w:val="16"/>
          <w:szCs w:val="16"/>
        </w:rPr>
        <w:t xml:space="preserve"> </w:t>
      </w:r>
      <w:r w:rsidR="00D53C30" w:rsidRPr="00D730B9">
        <w:rPr>
          <w:rFonts w:ascii="Verdana" w:hAnsi="Verdana" w:cstheme="minorHAnsi"/>
          <w:i/>
          <w:iCs/>
          <w:sz w:val="16"/>
          <w:szCs w:val="16"/>
        </w:rPr>
        <w:t>Caso Álvarez Ramos Vs. Venezuela. Excepción Preliminar, Fondo, Reparaciones y Costas.</w:t>
      </w:r>
      <w:r w:rsidR="00D53C30" w:rsidRPr="003107E9">
        <w:rPr>
          <w:rFonts w:ascii="Verdana" w:hAnsi="Verdana" w:cstheme="minorHAnsi"/>
          <w:sz w:val="16"/>
          <w:szCs w:val="16"/>
        </w:rPr>
        <w:t xml:space="preserve"> Sentencia de 30 de agosto de 2019. Serie C No. 380, </w:t>
      </w:r>
      <w:r w:rsidR="00D53C30" w:rsidRPr="003107E9">
        <w:rPr>
          <w:rFonts w:ascii="Verdana" w:hAnsi="Verdana"/>
          <w:sz w:val="16"/>
          <w:szCs w:val="16"/>
          <w:lang w:val="es-ES_tradnl"/>
        </w:rPr>
        <w:t>Voto concurrente del Juez Humberto Antonio Sierra Porto</w:t>
      </w:r>
      <w:r w:rsidR="00D53C30" w:rsidRPr="003107E9">
        <w:rPr>
          <w:rFonts w:ascii="Verdana" w:hAnsi="Verdana"/>
          <w:sz w:val="16"/>
          <w:szCs w:val="16"/>
          <w:lang w:val="es-ES"/>
        </w:rPr>
        <w:t xml:space="preserve">; </w:t>
      </w:r>
      <w:r w:rsidR="00D53C30" w:rsidRPr="00D730B9">
        <w:rPr>
          <w:rFonts w:ascii="Verdana" w:hAnsi="Verdana"/>
          <w:i/>
          <w:iCs/>
          <w:sz w:val="16"/>
          <w:szCs w:val="16"/>
          <w:lang w:val="es-ES_tradnl"/>
        </w:rPr>
        <w:t xml:space="preserve">Caso Palacio Urrutia y otros Vs. Ecuador. Fondo, Reparaciones y Costas. </w:t>
      </w:r>
      <w:r w:rsidR="00D53C30" w:rsidRPr="003107E9">
        <w:rPr>
          <w:rFonts w:ascii="Verdana" w:hAnsi="Verdana"/>
          <w:sz w:val="16"/>
          <w:szCs w:val="16"/>
          <w:lang w:val="es-ES_tradnl"/>
        </w:rPr>
        <w:t xml:space="preserve">Sentencia de 24 de noviembre de 2021. Serie C No. 446. Voto concurrente del Juez Humberto Antonio Sierra Porto; </w:t>
      </w:r>
      <w:r w:rsidR="0045249D" w:rsidRPr="00D730B9">
        <w:rPr>
          <w:rFonts w:ascii="Verdana" w:hAnsi="Verdana"/>
          <w:i/>
          <w:iCs/>
          <w:sz w:val="16"/>
          <w:szCs w:val="16"/>
          <w:lang w:val="es-CR"/>
        </w:rPr>
        <w:t>Caso Moya Chacón y otro Vs. Costa Rica. Excepciones Preliminares, Fondo, Reparaciones y Costas</w:t>
      </w:r>
      <w:r w:rsidR="0045249D" w:rsidRPr="003107E9">
        <w:rPr>
          <w:rFonts w:ascii="Verdana" w:hAnsi="Verdana"/>
          <w:sz w:val="16"/>
          <w:szCs w:val="16"/>
          <w:lang w:val="es-CR"/>
        </w:rPr>
        <w:t>. Sentencia de 23 de mayo de 2022. Serie C No. 451</w:t>
      </w:r>
      <w:r w:rsidR="0048571C">
        <w:rPr>
          <w:rFonts w:ascii="Verdana" w:hAnsi="Verdana"/>
          <w:sz w:val="16"/>
          <w:szCs w:val="16"/>
          <w:lang w:val="es-ES_tradnl"/>
        </w:rPr>
        <w:t xml:space="preserve">, </w:t>
      </w:r>
      <w:r w:rsidR="0045249D" w:rsidRPr="003107E9">
        <w:rPr>
          <w:rFonts w:ascii="Verdana" w:hAnsi="Verdana"/>
          <w:sz w:val="16"/>
          <w:szCs w:val="16"/>
          <w:lang w:val="es-ES_tradnl"/>
        </w:rPr>
        <w:t>Voto concurrente del Juez Humberto Antonio Sierra Porto</w:t>
      </w:r>
      <w:r w:rsidR="0045249D" w:rsidRPr="003107E9">
        <w:rPr>
          <w:rFonts w:ascii="Verdana" w:hAnsi="Verdana"/>
          <w:sz w:val="16"/>
          <w:szCs w:val="16"/>
          <w:lang w:val="es-CR"/>
        </w:rPr>
        <w:t xml:space="preserve">; </w:t>
      </w:r>
      <w:r w:rsidR="007634E3" w:rsidRPr="00D730B9">
        <w:rPr>
          <w:rFonts w:ascii="Verdana" w:hAnsi="Verdana"/>
          <w:i/>
          <w:iCs/>
          <w:sz w:val="16"/>
          <w:szCs w:val="16"/>
          <w:lang w:val="es-CR"/>
        </w:rPr>
        <w:t xml:space="preserve">Caso </w:t>
      </w:r>
      <w:proofErr w:type="spellStart"/>
      <w:r w:rsidR="007634E3" w:rsidRPr="00D730B9">
        <w:rPr>
          <w:rFonts w:ascii="Verdana" w:hAnsi="Verdana"/>
          <w:i/>
          <w:iCs/>
          <w:sz w:val="16"/>
          <w:szCs w:val="16"/>
          <w:lang w:val="es-CR"/>
        </w:rPr>
        <w:t>Baraona</w:t>
      </w:r>
      <w:proofErr w:type="spellEnd"/>
      <w:r w:rsidR="007634E3" w:rsidRPr="00D730B9">
        <w:rPr>
          <w:rFonts w:ascii="Verdana" w:hAnsi="Verdana"/>
          <w:i/>
          <w:iCs/>
          <w:sz w:val="16"/>
          <w:szCs w:val="16"/>
          <w:lang w:val="es-CR"/>
        </w:rPr>
        <w:t xml:space="preserve"> Bray Vs. Chile. Excepciones Preliminares, Fondo, Reparaciones y Costas.</w:t>
      </w:r>
      <w:r w:rsidR="007634E3" w:rsidRPr="003107E9">
        <w:rPr>
          <w:rFonts w:ascii="Verdana" w:hAnsi="Verdana"/>
          <w:sz w:val="16"/>
          <w:szCs w:val="16"/>
          <w:lang w:val="es-CR"/>
        </w:rPr>
        <w:t xml:space="preserve"> Sentencia de 24 de noviembre de 2022. Serie C No. 481. Voto </w:t>
      </w:r>
      <w:r w:rsidR="0045249D" w:rsidRPr="003107E9">
        <w:rPr>
          <w:rFonts w:ascii="Verdana" w:hAnsi="Verdana"/>
          <w:sz w:val="16"/>
          <w:szCs w:val="16"/>
          <w:lang w:val="es-CR"/>
        </w:rPr>
        <w:t>concurrente</w:t>
      </w:r>
      <w:r w:rsidR="00773328">
        <w:rPr>
          <w:rFonts w:ascii="Verdana" w:hAnsi="Verdana"/>
          <w:sz w:val="16"/>
          <w:szCs w:val="16"/>
          <w:lang w:val="es-CR"/>
        </w:rPr>
        <w:t xml:space="preserve"> y parcialmente disidente</w:t>
      </w:r>
      <w:r w:rsidR="007634E3" w:rsidRPr="003107E9">
        <w:rPr>
          <w:rFonts w:ascii="Verdana" w:hAnsi="Verdana"/>
          <w:sz w:val="16"/>
          <w:szCs w:val="16"/>
          <w:lang w:val="es-CR"/>
        </w:rPr>
        <w:t xml:space="preserve"> de</w:t>
      </w:r>
      <w:r w:rsidR="0048571C">
        <w:rPr>
          <w:rFonts w:ascii="Verdana" w:hAnsi="Verdana"/>
          <w:sz w:val="16"/>
          <w:szCs w:val="16"/>
          <w:lang w:val="es-CR"/>
        </w:rPr>
        <w:t>l</w:t>
      </w:r>
      <w:r w:rsidR="007634E3" w:rsidRPr="003107E9">
        <w:rPr>
          <w:rFonts w:ascii="Verdana" w:hAnsi="Verdana"/>
          <w:sz w:val="16"/>
          <w:szCs w:val="16"/>
          <w:lang w:val="es-CR"/>
        </w:rPr>
        <w:t xml:space="preserve"> Juez Humberto Antonio Sierra Porto</w:t>
      </w:r>
      <w:r w:rsidR="0048571C">
        <w:rPr>
          <w:rFonts w:ascii="Verdana" w:hAnsi="Verdana"/>
          <w:sz w:val="16"/>
          <w:szCs w:val="16"/>
          <w:lang w:val="es-CR"/>
        </w:rPr>
        <w:t xml:space="preserve"> y la </w:t>
      </w:r>
      <w:r w:rsidR="0048571C" w:rsidRPr="003107E9">
        <w:rPr>
          <w:rFonts w:ascii="Verdana" w:hAnsi="Verdana"/>
          <w:sz w:val="16"/>
          <w:szCs w:val="16"/>
          <w:lang w:val="es-CR"/>
        </w:rPr>
        <w:t>Jueza Nancy Hernández López</w:t>
      </w:r>
      <w:r w:rsidR="007634E3" w:rsidRPr="003107E9">
        <w:rPr>
          <w:rFonts w:ascii="Verdana" w:hAnsi="Verdana"/>
          <w:sz w:val="16"/>
          <w:szCs w:val="16"/>
          <w:lang w:val="es-CR"/>
        </w:rPr>
        <w:t>.</w:t>
      </w:r>
    </w:p>
  </w:footnote>
  <w:footnote w:id="2">
    <w:p w14:paraId="5830614C" w14:textId="0D98C107" w:rsidR="0044651B" w:rsidRPr="003107E9" w:rsidRDefault="0044651B" w:rsidP="003107E9">
      <w:pPr>
        <w:pStyle w:val="FootnoteText"/>
        <w:jc w:val="both"/>
        <w:rPr>
          <w:rFonts w:ascii="Verdana" w:hAnsi="Verdana"/>
          <w:sz w:val="16"/>
          <w:szCs w:val="16"/>
          <w:lang w:val="es-CR"/>
        </w:rPr>
      </w:pPr>
      <w:r w:rsidRPr="003107E9">
        <w:rPr>
          <w:rStyle w:val="FootnoteReference"/>
          <w:rFonts w:ascii="Verdana" w:hAnsi="Verdana"/>
          <w:sz w:val="16"/>
          <w:szCs w:val="16"/>
        </w:rPr>
        <w:footnoteRef/>
      </w:r>
      <w:r w:rsidRPr="003107E9">
        <w:rPr>
          <w:rFonts w:ascii="Verdana" w:hAnsi="Verdana"/>
          <w:sz w:val="16"/>
          <w:szCs w:val="16"/>
          <w:lang w:val="pt-BR"/>
        </w:rPr>
        <w:t xml:space="preserve"> </w:t>
      </w:r>
      <w:r w:rsidR="00771143" w:rsidRPr="003107E9">
        <w:rPr>
          <w:rFonts w:ascii="Verdana" w:hAnsi="Verdana"/>
          <w:sz w:val="16"/>
          <w:szCs w:val="16"/>
          <w:lang w:val="pt-BR"/>
        </w:rPr>
        <w:tab/>
      </w:r>
      <w:r w:rsidR="00771143" w:rsidRPr="00D730B9">
        <w:rPr>
          <w:rFonts w:ascii="Verdana" w:hAnsi="Verdana"/>
          <w:i/>
          <w:iCs/>
          <w:sz w:val="16"/>
          <w:szCs w:val="16"/>
          <w:lang w:val="pt-BR"/>
        </w:rPr>
        <w:t xml:space="preserve">Cfr. </w:t>
      </w:r>
      <w:r w:rsidR="00A85DF8" w:rsidRPr="00D730B9">
        <w:rPr>
          <w:rFonts w:ascii="Verdana" w:hAnsi="Verdana"/>
          <w:i/>
          <w:iCs/>
          <w:sz w:val="16"/>
          <w:szCs w:val="16"/>
          <w:lang w:val="pt-BR"/>
        </w:rPr>
        <w:t xml:space="preserve">Caso </w:t>
      </w:r>
      <w:proofErr w:type="spellStart"/>
      <w:r w:rsidR="00A85DF8" w:rsidRPr="00D730B9">
        <w:rPr>
          <w:rFonts w:ascii="Verdana" w:hAnsi="Verdana"/>
          <w:i/>
          <w:iCs/>
          <w:sz w:val="16"/>
          <w:szCs w:val="16"/>
          <w:lang w:val="pt-BR"/>
        </w:rPr>
        <w:t>Palamara</w:t>
      </w:r>
      <w:proofErr w:type="spellEnd"/>
      <w:r w:rsidR="00A85DF8" w:rsidRPr="00D730B9">
        <w:rPr>
          <w:rFonts w:ascii="Verdana" w:hAnsi="Verdana"/>
          <w:i/>
          <w:iCs/>
          <w:sz w:val="16"/>
          <w:szCs w:val="16"/>
          <w:lang w:val="pt-BR"/>
        </w:rPr>
        <w:t xml:space="preserve"> </w:t>
      </w:r>
      <w:proofErr w:type="spellStart"/>
      <w:r w:rsidR="00A85DF8" w:rsidRPr="00D730B9">
        <w:rPr>
          <w:rFonts w:ascii="Verdana" w:hAnsi="Verdana"/>
          <w:i/>
          <w:iCs/>
          <w:sz w:val="16"/>
          <w:szCs w:val="16"/>
          <w:lang w:val="pt-BR"/>
        </w:rPr>
        <w:t>Iribarne</w:t>
      </w:r>
      <w:proofErr w:type="spellEnd"/>
      <w:r w:rsidR="00A85DF8" w:rsidRPr="00D730B9">
        <w:rPr>
          <w:rFonts w:ascii="Verdana" w:hAnsi="Verdana"/>
          <w:i/>
          <w:iCs/>
          <w:sz w:val="16"/>
          <w:szCs w:val="16"/>
          <w:lang w:val="pt-BR"/>
        </w:rPr>
        <w:t xml:space="preserve"> Vs. </w:t>
      </w:r>
      <w:r w:rsidR="00A85DF8" w:rsidRPr="00D730B9">
        <w:rPr>
          <w:rFonts w:ascii="Verdana" w:hAnsi="Verdana"/>
          <w:i/>
          <w:iCs/>
          <w:sz w:val="16"/>
          <w:szCs w:val="16"/>
          <w:lang w:val="es-CR"/>
        </w:rPr>
        <w:t>Chile. Fondo, Reparaciones y Costas.</w:t>
      </w:r>
      <w:r w:rsidR="00A85DF8" w:rsidRPr="003107E9">
        <w:rPr>
          <w:rFonts w:ascii="Verdana" w:hAnsi="Verdana"/>
          <w:sz w:val="16"/>
          <w:szCs w:val="16"/>
          <w:lang w:val="es-CR"/>
        </w:rPr>
        <w:t xml:space="preserve"> Sentencia de 22 de noviembre de 2005. Serie C No. 135; </w:t>
      </w:r>
      <w:r w:rsidR="00A3688A" w:rsidRPr="003F2769">
        <w:rPr>
          <w:rFonts w:ascii="Verdana" w:hAnsi="Verdana"/>
          <w:i/>
          <w:iCs/>
          <w:sz w:val="16"/>
          <w:szCs w:val="16"/>
          <w:lang w:val="es-CR"/>
        </w:rPr>
        <w:t xml:space="preserve">Caso </w:t>
      </w:r>
      <w:proofErr w:type="spellStart"/>
      <w:r w:rsidR="00A3688A" w:rsidRPr="003F2769">
        <w:rPr>
          <w:rFonts w:ascii="Verdana" w:hAnsi="Verdana"/>
          <w:i/>
          <w:iCs/>
          <w:sz w:val="16"/>
          <w:szCs w:val="16"/>
          <w:lang w:val="es-CR"/>
        </w:rPr>
        <w:t>Kimel</w:t>
      </w:r>
      <w:proofErr w:type="spellEnd"/>
      <w:r w:rsidR="00A3688A" w:rsidRPr="003F2769">
        <w:rPr>
          <w:rFonts w:ascii="Verdana" w:hAnsi="Verdana"/>
          <w:i/>
          <w:iCs/>
          <w:sz w:val="16"/>
          <w:szCs w:val="16"/>
          <w:lang w:val="es-CR"/>
        </w:rPr>
        <w:t xml:space="preserve"> Vs. Argentina. Fondo, Reparaciones y Costas</w:t>
      </w:r>
      <w:r w:rsidR="00A3688A" w:rsidRPr="003107E9">
        <w:rPr>
          <w:rFonts w:ascii="Verdana" w:hAnsi="Verdana"/>
          <w:sz w:val="16"/>
          <w:szCs w:val="16"/>
          <w:lang w:val="es-CR"/>
        </w:rPr>
        <w:t xml:space="preserve">. Sentencia de 2 de mayo de 2008. Serie C No. 177; </w:t>
      </w:r>
      <w:r w:rsidR="009F5D90" w:rsidRPr="009F5D90">
        <w:rPr>
          <w:rFonts w:ascii="Verdana" w:hAnsi="Verdana"/>
          <w:i/>
          <w:iCs/>
          <w:sz w:val="16"/>
          <w:szCs w:val="16"/>
          <w:lang w:val="es-CR"/>
        </w:rPr>
        <w:t>Caso Valle Jaramillo y otros Vs. Colombia. Fondo, Reparaciones y Costas</w:t>
      </w:r>
      <w:r w:rsidR="009F5D90" w:rsidRPr="009F5D90">
        <w:rPr>
          <w:rFonts w:ascii="Verdana" w:hAnsi="Verdana"/>
          <w:sz w:val="16"/>
          <w:szCs w:val="16"/>
          <w:lang w:val="es-CR"/>
        </w:rPr>
        <w:t>. Sentencia de 27 de noviembre de 2008. Serie C No. 192</w:t>
      </w:r>
      <w:r w:rsidR="00B235B3" w:rsidRPr="003107E9">
        <w:rPr>
          <w:rFonts w:ascii="Verdana" w:hAnsi="Verdana"/>
          <w:sz w:val="16"/>
          <w:szCs w:val="16"/>
          <w:lang w:val="es-CR"/>
        </w:rPr>
        <w:t xml:space="preserve">; </w:t>
      </w:r>
      <w:r w:rsidR="00E63DC4" w:rsidRPr="003F2769">
        <w:rPr>
          <w:rFonts w:ascii="Verdana" w:hAnsi="Verdana"/>
          <w:i/>
          <w:iCs/>
          <w:sz w:val="16"/>
          <w:szCs w:val="16"/>
          <w:lang w:val="es-CR"/>
        </w:rPr>
        <w:t>Caso Tristán Donoso Vs. Panamá. Excepción Preliminar, Fondo, Reparaciones y Costas.</w:t>
      </w:r>
      <w:r w:rsidR="00E63DC4" w:rsidRPr="003107E9">
        <w:rPr>
          <w:rFonts w:ascii="Verdana" w:hAnsi="Verdana"/>
          <w:sz w:val="16"/>
          <w:szCs w:val="16"/>
          <w:lang w:val="es-CR"/>
        </w:rPr>
        <w:t xml:space="preserve"> Sentencia de 27 de enero de 2009. Serie C No. 193; </w:t>
      </w:r>
      <w:r w:rsidR="00E63DC4" w:rsidRPr="003F2769">
        <w:rPr>
          <w:rFonts w:ascii="Verdana" w:hAnsi="Verdana"/>
          <w:i/>
          <w:iCs/>
          <w:sz w:val="16"/>
          <w:szCs w:val="16"/>
          <w:lang w:val="es-CR"/>
        </w:rPr>
        <w:t xml:space="preserve">Caso </w:t>
      </w:r>
      <w:proofErr w:type="spellStart"/>
      <w:r w:rsidR="00E63DC4" w:rsidRPr="003F2769">
        <w:rPr>
          <w:rFonts w:ascii="Verdana" w:hAnsi="Verdana"/>
          <w:i/>
          <w:iCs/>
          <w:sz w:val="16"/>
          <w:szCs w:val="16"/>
          <w:lang w:val="es-CR"/>
        </w:rPr>
        <w:t>Fontevecchia</w:t>
      </w:r>
      <w:proofErr w:type="spellEnd"/>
      <w:r w:rsidR="00E63DC4" w:rsidRPr="003F2769">
        <w:rPr>
          <w:rFonts w:ascii="Verdana" w:hAnsi="Verdana"/>
          <w:i/>
          <w:iCs/>
          <w:sz w:val="16"/>
          <w:szCs w:val="16"/>
          <w:lang w:val="es-CR"/>
        </w:rPr>
        <w:t xml:space="preserve"> y </w:t>
      </w:r>
      <w:proofErr w:type="spellStart"/>
      <w:r w:rsidR="00E63DC4" w:rsidRPr="003F2769">
        <w:rPr>
          <w:rFonts w:ascii="Verdana" w:hAnsi="Verdana"/>
          <w:i/>
          <w:iCs/>
          <w:sz w:val="16"/>
          <w:szCs w:val="16"/>
          <w:lang w:val="es-CR"/>
        </w:rPr>
        <w:t>D`Amico</w:t>
      </w:r>
      <w:proofErr w:type="spellEnd"/>
      <w:r w:rsidR="00E63DC4" w:rsidRPr="003F2769">
        <w:rPr>
          <w:rFonts w:ascii="Verdana" w:hAnsi="Verdana"/>
          <w:i/>
          <w:iCs/>
          <w:sz w:val="16"/>
          <w:szCs w:val="16"/>
          <w:lang w:val="es-CR"/>
        </w:rPr>
        <w:t xml:space="preserve"> Vs. Argentina. Fondo, Reparaciones y Costas.</w:t>
      </w:r>
      <w:r w:rsidR="00E63DC4" w:rsidRPr="003107E9">
        <w:rPr>
          <w:rFonts w:ascii="Verdana" w:hAnsi="Verdana"/>
          <w:sz w:val="16"/>
          <w:szCs w:val="16"/>
          <w:lang w:val="es-CR"/>
        </w:rPr>
        <w:t xml:space="preserve"> Sentencia de 29 de noviembre de 2011. Serie C No. 238;</w:t>
      </w:r>
      <w:r w:rsidRPr="003107E9">
        <w:rPr>
          <w:rFonts w:ascii="Verdana" w:hAnsi="Verdana"/>
          <w:sz w:val="16"/>
          <w:szCs w:val="16"/>
        </w:rPr>
        <w:t xml:space="preserve"> </w:t>
      </w:r>
      <w:r w:rsidR="00D93066" w:rsidRPr="003F2769">
        <w:rPr>
          <w:rFonts w:ascii="Verdana" w:hAnsi="Verdana"/>
          <w:i/>
          <w:iCs/>
          <w:sz w:val="16"/>
          <w:szCs w:val="16"/>
          <w:lang w:val="es-CR"/>
        </w:rPr>
        <w:t xml:space="preserve">Caso </w:t>
      </w:r>
      <w:proofErr w:type="spellStart"/>
      <w:r w:rsidR="00D93066" w:rsidRPr="003F2769">
        <w:rPr>
          <w:rFonts w:ascii="Verdana" w:hAnsi="Verdana"/>
          <w:i/>
          <w:iCs/>
          <w:sz w:val="16"/>
          <w:szCs w:val="16"/>
          <w:lang w:val="es-CR"/>
        </w:rPr>
        <w:t>Mémoli</w:t>
      </w:r>
      <w:proofErr w:type="spellEnd"/>
      <w:r w:rsidR="00D93066" w:rsidRPr="003F2769">
        <w:rPr>
          <w:rFonts w:ascii="Verdana" w:hAnsi="Verdana"/>
          <w:i/>
          <w:iCs/>
          <w:sz w:val="16"/>
          <w:szCs w:val="16"/>
          <w:lang w:val="es-CR"/>
        </w:rPr>
        <w:t xml:space="preserve"> Vs. Argentina. Excepciones Preliminares, Fondo, Reparaciones y Costas.</w:t>
      </w:r>
      <w:r w:rsidR="00D93066" w:rsidRPr="003107E9">
        <w:rPr>
          <w:rFonts w:ascii="Verdana" w:hAnsi="Verdana"/>
          <w:sz w:val="16"/>
          <w:szCs w:val="16"/>
          <w:lang w:val="es-CR"/>
        </w:rPr>
        <w:t xml:space="preserve"> Sentencia de 22 de agosto de 2013. Serie C No. 265, </w:t>
      </w:r>
      <w:r w:rsidRPr="003107E9">
        <w:rPr>
          <w:rFonts w:ascii="Verdana" w:hAnsi="Verdana"/>
          <w:sz w:val="16"/>
          <w:szCs w:val="16"/>
        </w:rPr>
        <w:t>y</w:t>
      </w:r>
      <w:r w:rsidR="009F5D90">
        <w:rPr>
          <w:rFonts w:ascii="Verdana" w:hAnsi="Verdana"/>
          <w:i/>
          <w:iCs/>
          <w:sz w:val="16"/>
          <w:szCs w:val="16"/>
          <w:lang w:val="es-CR"/>
        </w:rPr>
        <w:t xml:space="preserve"> </w:t>
      </w:r>
      <w:r w:rsidR="009F5D90" w:rsidRPr="009F5D90">
        <w:rPr>
          <w:rFonts w:ascii="Verdana" w:hAnsi="Verdana"/>
          <w:i/>
          <w:iCs/>
          <w:sz w:val="16"/>
          <w:szCs w:val="16"/>
          <w:lang w:val="es-CR"/>
        </w:rPr>
        <w:t xml:space="preserve">Caso Lagos del Campo Vs. Perú. Excepciones Preliminares, Fondo, Reparaciones y Costas. </w:t>
      </w:r>
      <w:r w:rsidR="009F5D90" w:rsidRPr="009F5D90">
        <w:rPr>
          <w:rFonts w:ascii="Verdana" w:hAnsi="Verdana"/>
          <w:sz w:val="16"/>
          <w:szCs w:val="16"/>
          <w:lang w:val="es-CR"/>
        </w:rPr>
        <w:t>Sentencia de 31 de agosto de 2017. Serie C No. 340.</w:t>
      </w:r>
    </w:p>
  </w:footnote>
  <w:footnote w:id="3">
    <w:p w14:paraId="603C4405" w14:textId="145A921C" w:rsidR="00EB0B6E" w:rsidRPr="003107E9" w:rsidRDefault="00EB0B6E" w:rsidP="003107E9">
      <w:pPr>
        <w:pStyle w:val="FootnoteText"/>
        <w:jc w:val="both"/>
        <w:rPr>
          <w:rFonts w:ascii="Verdana" w:hAnsi="Verdana"/>
          <w:sz w:val="16"/>
          <w:szCs w:val="16"/>
          <w:lang w:val="es-ES"/>
        </w:rPr>
      </w:pPr>
      <w:r w:rsidRPr="003107E9">
        <w:rPr>
          <w:rStyle w:val="FootnoteReference"/>
          <w:rFonts w:ascii="Verdana" w:hAnsi="Verdana"/>
          <w:sz w:val="16"/>
          <w:szCs w:val="16"/>
        </w:rPr>
        <w:footnoteRef/>
      </w:r>
      <w:r w:rsidR="007102DF" w:rsidRPr="003107E9">
        <w:rPr>
          <w:rFonts w:ascii="Verdana" w:hAnsi="Verdana" w:cstheme="minorHAnsi"/>
          <w:sz w:val="16"/>
          <w:szCs w:val="16"/>
        </w:rPr>
        <w:t xml:space="preserve"> </w:t>
      </w:r>
      <w:r w:rsidR="00771143" w:rsidRPr="003107E9">
        <w:rPr>
          <w:rFonts w:ascii="Verdana" w:hAnsi="Verdana" w:cstheme="minorHAnsi"/>
          <w:sz w:val="16"/>
          <w:szCs w:val="16"/>
        </w:rPr>
        <w:tab/>
      </w:r>
      <w:r w:rsidR="000813E5" w:rsidRPr="003107E9">
        <w:rPr>
          <w:rFonts w:ascii="Verdana" w:hAnsi="Verdana" w:cstheme="minorHAnsi"/>
          <w:sz w:val="16"/>
          <w:szCs w:val="16"/>
        </w:rPr>
        <w:t xml:space="preserve">En el caso se declaró la responsabilidad internacional del Estado por la violación del artículo 13.2 en relación con el artículo 1.1 de la Convención; fundada en la condena penal impuesta al señor Tulio Álvarez Ramos por la comisión del delito de difamación agravada continuada en contra de un exdiputado. La Corte, cambiando su postura expresada en decisiones anteriores, sostuvo que en casos en los cuales la información u opinión se refiera a funcionarios públicos en ejercicio de sus funciones “la respuesta punitiva del Estado mediante el derecho penal no es convencionalmente procedente para proteger el honor del funcionario. </w:t>
      </w:r>
      <w:r w:rsidR="000813E5" w:rsidRPr="003107E9">
        <w:rPr>
          <w:rFonts w:ascii="Verdana" w:hAnsi="Verdana" w:cstheme="minorHAnsi"/>
          <w:sz w:val="16"/>
          <w:szCs w:val="16"/>
        </w:rPr>
        <w:t xml:space="preserve">En efecto, el uso de la ley penal por difundir noticias de esta naturaleza, produciría directa o indirectamente, un amedrentamiento que, en definitiva, limitaría la libertad de expresión e impediría someter al escrutinio público conductas que infrinjan el ordenamiento jurídico, como, por ejemplo, hechos de corrupción, abusos de autoridad, </w:t>
      </w:r>
      <w:proofErr w:type="spellStart"/>
      <w:r w:rsidR="000813E5" w:rsidRPr="003107E9">
        <w:rPr>
          <w:rFonts w:ascii="Verdana" w:hAnsi="Verdana" w:cstheme="minorHAnsi"/>
          <w:sz w:val="16"/>
          <w:szCs w:val="16"/>
        </w:rPr>
        <w:t>etc</w:t>
      </w:r>
      <w:proofErr w:type="spellEnd"/>
      <w:r w:rsidR="000813E5" w:rsidRPr="003107E9">
        <w:rPr>
          <w:rFonts w:ascii="Verdana" w:hAnsi="Verdana" w:cstheme="minorHAnsi"/>
          <w:sz w:val="16"/>
          <w:szCs w:val="16"/>
        </w:rPr>
        <w:t>”.</w:t>
      </w:r>
      <w:bookmarkStart w:id="0" w:name="_Hlk182482788"/>
      <w:r w:rsidR="002B5A45">
        <w:rPr>
          <w:rFonts w:ascii="Verdana" w:hAnsi="Verdana" w:cstheme="minorHAnsi"/>
          <w:sz w:val="16"/>
          <w:szCs w:val="16"/>
        </w:rPr>
        <w:t xml:space="preserve"> </w:t>
      </w:r>
      <w:r w:rsidR="002B5A45" w:rsidRPr="002B5A45">
        <w:rPr>
          <w:rFonts w:ascii="Verdana" w:hAnsi="Verdana" w:cstheme="minorHAnsi"/>
          <w:i/>
          <w:iCs/>
          <w:sz w:val="16"/>
          <w:szCs w:val="16"/>
        </w:rPr>
        <w:t>Cfr</w:t>
      </w:r>
      <w:r w:rsidR="002B5A45">
        <w:rPr>
          <w:rFonts w:ascii="Verdana" w:hAnsi="Verdana" w:cstheme="minorHAnsi"/>
          <w:sz w:val="16"/>
          <w:szCs w:val="16"/>
        </w:rPr>
        <w:t>.</w:t>
      </w:r>
      <w:r w:rsidR="000813E5" w:rsidRPr="003107E9">
        <w:rPr>
          <w:rFonts w:ascii="Verdana" w:hAnsi="Verdana" w:cstheme="minorHAnsi"/>
          <w:sz w:val="16"/>
          <w:szCs w:val="16"/>
        </w:rPr>
        <w:t xml:space="preserve"> Caso Álvarez Ramos Vs. Venezuela</w:t>
      </w:r>
      <w:bookmarkEnd w:id="0"/>
      <w:r w:rsidR="000813E5" w:rsidRPr="003107E9">
        <w:rPr>
          <w:rFonts w:ascii="Verdana" w:hAnsi="Verdana" w:cstheme="minorHAnsi"/>
          <w:sz w:val="16"/>
          <w:szCs w:val="16"/>
        </w:rPr>
        <w:t>. Excepción Preliminar, Fondo, Reparaciones y Costas. Sentencia de 30 de agosto de 2019. Serie C No. 380, párr. 121</w:t>
      </w:r>
    </w:p>
  </w:footnote>
  <w:footnote w:id="4">
    <w:p w14:paraId="67A35313" w14:textId="4E45660D" w:rsidR="00F03BB8" w:rsidRPr="003107E9" w:rsidRDefault="00F03BB8" w:rsidP="003107E9">
      <w:pPr>
        <w:pStyle w:val="FootnoteText"/>
        <w:jc w:val="both"/>
        <w:rPr>
          <w:rFonts w:ascii="Verdana" w:hAnsi="Verdana" w:cstheme="minorHAnsi"/>
          <w:sz w:val="16"/>
          <w:szCs w:val="16"/>
          <w:lang w:val="es-ES_tradnl"/>
        </w:rPr>
      </w:pPr>
      <w:r w:rsidRPr="003107E9">
        <w:rPr>
          <w:rStyle w:val="FootnoteReference"/>
          <w:rFonts w:ascii="Verdana" w:hAnsi="Verdana" w:cstheme="minorHAnsi"/>
          <w:sz w:val="16"/>
          <w:szCs w:val="16"/>
        </w:rPr>
        <w:footnoteRef/>
      </w:r>
      <w:r w:rsidRPr="003107E9">
        <w:rPr>
          <w:rFonts w:ascii="Verdana" w:hAnsi="Verdana" w:cstheme="minorHAnsi"/>
          <w:sz w:val="16"/>
          <w:szCs w:val="16"/>
        </w:rPr>
        <w:t xml:space="preserve"> </w:t>
      </w:r>
      <w:r w:rsidR="00771143" w:rsidRPr="003107E9">
        <w:rPr>
          <w:rFonts w:ascii="Verdana" w:hAnsi="Verdana" w:cstheme="minorHAnsi"/>
          <w:sz w:val="16"/>
          <w:szCs w:val="16"/>
        </w:rPr>
        <w:tab/>
      </w:r>
      <w:r w:rsidR="007102DF" w:rsidRPr="003107E9">
        <w:rPr>
          <w:rFonts w:ascii="Verdana" w:hAnsi="Verdana" w:cstheme="minorHAnsi"/>
          <w:sz w:val="16"/>
          <w:szCs w:val="16"/>
        </w:rPr>
        <w:t xml:space="preserve">En declaró la responsabilidad del Estado por una serie de violaciones al debido proceso ocurridas en el marco de un proceso penal que derivó en la condena del periodista Emilio Palacio Urrutia y de los directivos del diario El Universo, por la publicación de un artículo de opinión sobre la crisis política de septiembre de 2010. </w:t>
      </w:r>
      <w:r w:rsidR="007102DF" w:rsidRPr="003107E9">
        <w:rPr>
          <w:rFonts w:ascii="Verdana" w:hAnsi="Verdana" w:cs="Times New Roman"/>
          <w:sz w:val="16"/>
          <w:szCs w:val="16"/>
        </w:rPr>
        <w:t>No sobra decir que, en este caso, Ecuador había reconocido responsabilidad por la violación del artículo 13 de la Convención, y como consecuencia la reiteración de la posición jurisprudencial se hizo sin considerar los contrargumentos que hubiere podido esgrimir el Estado.</w:t>
      </w:r>
      <w:r w:rsidR="007102DF" w:rsidRPr="003107E9">
        <w:rPr>
          <w:rFonts w:ascii="Verdana" w:hAnsi="Verdana" w:cstheme="minorHAnsi"/>
          <w:sz w:val="16"/>
          <w:szCs w:val="16"/>
        </w:rPr>
        <w:t xml:space="preserve"> </w:t>
      </w:r>
      <w:r w:rsidRPr="003107E9">
        <w:rPr>
          <w:rFonts w:ascii="Verdana" w:hAnsi="Verdana" w:cstheme="minorHAnsi"/>
          <w:i/>
          <w:iCs/>
          <w:sz w:val="16"/>
          <w:szCs w:val="16"/>
        </w:rPr>
        <w:t>Cfr.</w:t>
      </w:r>
      <w:r w:rsidRPr="003107E9">
        <w:rPr>
          <w:rFonts w:ascii="Verdana" w:hAnsi="Verdana" w:cstheme="minorHAnsi"/>
          <w:sz w:val="16"/>
          <w:szCs w:val="16"/>
        </w:rPr>
        <w:t xml:space="preserve"> </w:t>
      </w:r>
      <w:r w:rsidRPr="003F2769">
        <w:rPr>
          <w:rFonts w:ascii="Verdana" w:hAnsi="Verdana" w:cstheme="minorHAnsi"/>
          <w:i/>
          <w:iCs/>
          <w:sz w:val="16"/>
          <w:szCs w:val="16"/>
        </w:rPr>
        <w:t>Caso Palacio Urrutia y otros Vs. Ecuador. Fondo, Reparaciones y Costas.</w:t>
      </w:r>
      <w:r w:rsidRPr="003107E9">
        <w:rPr>
          <w:rFonts w:ascii="Verdana" w:hAnsi="Verdana" w:cstheme="minorHAnsi"/>
          <w:sz w:val="16"/>
          <w:szCs w:val="16"/>
        </w:rPr>
        <w:t xml:space="preserve"> Sentencia de 24 de noviembre de 2021. Serie C No. 446</w:t>
      </w:r>
      <w:r w:rsidR="00FB2E1B" w:rsidRPr="003107E9">
        <w:rPr>
          <w:rFonts w:ascii="Verdana" w:hAnsi="Verdana" w:cstheme="minorHAnsi"/>
          <w:sz w:val="16"/>
          <w:szCs w:val="16"/>
        </w:rPr>
        <w:t xml:space="preserve">. </w:t>
      </w:r>
    </w:p>
  </w:footnote>
  <w:footnote w:id="5">
    <w:p w14:paraId="7FB6F9BB" w14:textId="16DE227B" w:rsidR="00F03BB8" w:rsidRPr="003107E9" w:rsidRDefault="00F03BB8" w:rsidP="003107E9">
      <w:pPr>
        <w:pStyle w:val="FootnoteText"/>
        <w:jc w:val="both"/>
        <w:rPr>
          <w:rFonts w:ascii="Verdana" w:hAnsi="Verdana" w:cstheme="minorHAnsi"/>
          <w:sz w:val="16"/>
          <w:szCs w:val="16"/>
          <w:lang w:val="es-CR"/>
        </w:rPr>
      </w:pPr>
      <w:r w:rsidRPr="003107E9">
        <w:rPr>
          <w:rStyle w:val="FootnoteReference"/>
          <w:rFonts w:ascii="Verdana" w:hAnsi="Verdana" w:cstheme="minorHAnsi"/>
          <w:sz w:val="16"/>
          <w:szCs w:val="16"/>
        </w:rPr>
        <w:footnoteRef/>
      </w:r>
      <w:r w:rsidRPr="003107E9">
        <w:rPr>
          <w:rFonts w:ascii="Verdana" w:hAnsi="Verdana" w:cstheme="minorHAnsi"/>
          <w:i/>
          <w:iCs/>
          <w:sz w:val="16"/>
          <w:szCs w:val="16"/>
          <w:lang w:val="es-CR"/>
        </w:rPr>
        <w:t xml:space="preserve"> </w:t>
      </w:r>
      <w:r w:rsidR="00D94564" w:rsidRPr="003107E9">
        <w:rPr>
          <w:rFonts w:ascii="Verdana" w:hAnsi="Verdana" w:cstheme="minorHAnsi"/>
          <w:i/>
          <w:iCs/>
          <w:sz w:val="16"/>
          <w:szCs w:val="16"/>
          <w:lang w:val="es-CR"/>
        </w:rPr>
        <w:tab/>
      </w:r>
      <w:r w:rsidRPr="003F2769">
        <w:rPr>
          <w:rFonts w:ascii="Verdana" w:hAnsi="Verdana" w:cstheme="minorHAnsi"/>
          <w:i/>
          <w:iCs/>
          <w:sz w:val="16"/>
          <w:szCs w:val="16"/>
        </w:rPr>
        <w:t>Caso Palacio Urrutia y otros Vs. Ecuador. Fondo, Reparaciones y Costas.</w:t>
      </w:r>
      <w:r w:rsidRPr="003107E9">
        <w:rPr>
          <w:rFonts w:ascii="Verdana" w:hAnsi="Verdana" w:cstheme="minorHAnsi"/>
          <w:sz w:val="16"/>
          <w:szCs w:val="16"/>
        </w:rPr>
        <w:t xml:space="preserve"> Sentencia de 24 de noviembre de 2021. Serie C No. 446. Párr. 118. En el mismo sentido </w:t>
      </w:r>
      <w:r w:rsidRPr="003F2769">
        <w:rPr>
          <w:rFonts w:ascii="Verdana" w:hAnsi="Verdana" w:cstheme="minorHAnsi"/>
          <w:i/>
          <w:iCs/>
          <w:sz w:val="16"/>
          <w:szCs w:val="16"/>
        </w:rPr>
        <w:t>Caso Álvarez Ramos Vs. Venezuela. Excepción Preliminar, Fondo, Reparaciones y Costas.</w:t>
      </w:r>
      <w:r w:rsidRPr="003107E9">
        <w:rPr>
          <w:rFonts w:ascii="Verdana" w:hAnsi="Verdana" w:cstheme="minorHAnsi"/>
          <w:sz w:val="16"/>
          <w:szCs w:val="16"/>
        </w:rPr>
        <w:t xml:space="preserve"> Sentencia de 30 de agosto de 2019. Serie C No. 380. </w:t>
      </w:r>
      <w:proofErr w:type="spellStart"/>
      <w:r w:rsidRPr="003107E9">
        <w:rPr>
          <w:rFonts w:ascii="Verdana" w:hAnsi="Verdana" w:cstheme="minorHAnsi"/>
          <w:sz w:val="16"/>
          <w:szCs w:val="16"/>
        </w:rPr>
        <w:t>Párrs</w:t>
      </w:r>
      <w:proofErr w:type="spellEnd"/>
      <w:r w:rsidRPr="003107E9">
        <w:rPr>
          <w:rFonts w:ascii="Verdana" w:hAnsi="Verdana" w:cstheme="minorHAnsi"/>
          <w:sz w:val="16"/>
          <w:szCs w:val="16"/>
        </w:rPr>
        <w:t>. 118, 122 y 124.</w:t>
      </w:r>
    </w:p>
  </w:footnote>
  <w:footnote w:id="6">
    <w:p w14:paraId="673BFA0D" w14:textId="62DD9795" w:rsidR="00D86A8F" w:rsidRPr="003107E9" w:rsidRDefault="00D86A8F" w:rsidP="003107E9">
      <w:pPr>
        <w:pStyle w:val="FootnoteText"/>
        <w:jc w:val="both"/>
        <w:rPr>
          <w:rFonts w:ascii="Verdana" w:hAnsi="Verdana"/>
          <w:sz w:val="16"/>
          <w:szCs w:val="16"/>
          <w:lang w:val="es-ES"/>
        </w:rPr>
      </w:pPr>
      <w:r w:rsidRPr="003107E9">
        <w:rPr>
          <w:rStyle w:val="FootnoteReference"/>
          <w:rFonts w:ascii="Verdana" w:hAnsi="Verdana"/>
          <w:sz w:val="16"/>
          <w:szCs w:val="16"/>
        </w:rPr>
        <w:footnoteRef/>
      </w:r>
      <w:r w:rsidRPr="003107E9">
        <w:rPr>
          <w:rFonts w:ascii="Verdana" w:hAnsi="Verdana"/>
          <w:sz w:val="16"/>
          <w:szCs w:val="16"/>
        </w:rPr>
        <w:t xml:space="preserve"> </w:t>
      </w:r>
      <w:r w:rsidR="00D94564" w:rsidRPr="003107E9">
        <w:rPr>
          <w:rFonts w:ascii="Verdana" w:hAnsi="Verdana"/>
          <w:sz w:val="16"/>
          <w:szCs w:val="16"/>
        </w:rPr>
        <w:tab/>
      </w:r>
      <w:r w:rsidR="00C16B2B" w:rsidRPr="003107E9">
        <w:rPr>
          <w:rFonts w:ascii="Verdana" w:hAnsi="Verdana"/>
          <w:sz w:val="16"/>
          <w:szCs w:val="16"/>
        </w:rPr>
        <w:t xml:space="preserve">La Corte </w:t>
      </w:r>
      <w:r w:rsidR="00B63908" w:rsidRPr="003107E9">
        <w:rPr>
          <w:rFonts w:ascii="Verdana" w:hAnsi="Verdana"/>
          <w:sz w:val="16"/>
          <w:szCs w:val="16"/>
        </w:rPr>
        <w:t xml:space="preserve">declaró la responsabilidad del Estado al considerar que la sanción civil impuesta a los señores Moya Chacón y Parrales Chaves, por realizar una publicación periodística con </w:t>
      </w:r>
      <w:r w:rsidR="00B63908" w:rsidRPr="003107E9">
        <w:rPr>
          <w:rFonts w:ascii="Verdana" w:hAnsi="Verdana" w:cs="Times New Roman"/>
          <w:sz w:val="16"/>
          <w:szCs w:val="16"/>
          <w:lang w:val="es-CR"/>
        </w:rPr>
        <w:t>información</w:t>
      </w:r>
      <w:r w:rsidR="00B63908" w:rsidRPr="003107E9">
        <w:rPr>
          <w:rFonts w:ascii="Verdana" w:hAnsi="Verdana"/>
          <w:sz w:val="16"/>
          <w:szCs w:val="16"/>
        </w:rPr>
        <w:t xml:space="preserve"> que resultó ser imprecisa, en la que se comunicaba la existencia de una investigación penal contra un policía por presunto contrabando en la zona fronteriza, no fue necesaria ni proporcional al fin legítimo perseguido de proteger la honra de este último y, por tanto, contravino los artículos 13.1 y 13.2 de la Convención Americana. </w:t>
      </w:r>
      <w:r w:rsidR="00B63908" w:rsidRPr="003F2769">
        <w:rPr>
          <w:rFonts w:ascii="Verdana" w:hAnsi="Verdana"/>
          <w:i/>
          <w:iCs/>
          <w:sz w:val="16"/>
          <w:szCs w:val="16"/>
        </w:rPr>
        <w:t xml:space="preserve">Cfr. </w:t>
      </w:r>
      <w:r w:rsidR="00B63908" w:rsidRPr="003F2769">
        <w:rPr>
          <w:rFonts w:ascii="Verdana" w:hAnsi="Verdana"/>
          <w:i/>
          <w:iCs/>
          <w:sz w:val="16"/>
          <w:szCs w:val="16"/>
          <w:lang w:val="es-CR"/>
        </w:rPr>
        <w:t>Caso Moya Chacón y otro Vs. Costa Rica. Excepciones Preliminares, Fondo, Reparaciones y Costas.</w:t>
      </w:r>
      <w:r w:rsidR="00B63908" w:rsidRPr="003107E9">
        <w:rPr>
          <w:rFonts w:ascii="Verdana" w:hAnsi="Verdana"/>
          <w:sz w:val="16"/>
          <w:szCs w:val="16"/>
          <w:lang w:val="es-CR"/>
        </w:rPr>
        <w:t xml:space="preserve"> Sentencia de 23 de mayo de 2022. Serie C No. 451.</w:t>
      </w:r>
    </w:p>
  </w:footnote>
  <w:footnote w:id="7">
    <w:p w14:paraId="33D28673" w14:textId="31E4DE66" w:rsidR="00F31E90" w:rsidRPr="003107E9" w:rsidRDefault="00F31E90" w:rsidP="003107E9">
      <w:pPr>
        <w:pStyle w:val="FootnoteText"/>
        <w:jc w:val="both"/>
        <w:rPr>
          <w:rFonts w:ascii="Verdana" w:hAnsi="Verdana"/>
          <w:sz w:val="16"/>
          <w:szCs w:val="16"/>
          <w:lang w:val="es-ES"/>
        </w:rPr>
      </w:pPr>
      <w:r w:rsidRPr="003107E9">
        <w:rPr>
          <w:rStyle w:val="FootnoteReference"/>
          <w:rFonts w:ascii="Verdana" w:hAnsi="Verdana"/>
          <w:sz w:val="16"/>
          <w:szCs w:val="16"/>
        </w:rPr>
        <w:footnoteRef/>
      </w:r>
      <w:r w:rsidR="00E138A4" w:rsidRPr="003107E9">
        <w:rPr>
          <w:rFonts w:ascii="Verdana" w:hAnsi="Verdana"/>
          <w:sz w:val="16"/>
          <w:szCs w:val="16"/>
        </w:rPr>
        <w:t xml:space="preserve"> </w:t>
      </w:r>
      <w:r w:rsidRPr="003107E9">
        <w:rPr>
          <w:rFonts w:ascii="Verdana" w:hAnsi="Verdana"/>
          <w:sz w:val="16"/>
          <w:szCs w:val="16"/>
        </w:rPr>
        <w:t xml:space="preserve"> </w:t>
      </w:r>
      <w:r w:rsidR="00F57C6B" w:rsidRPr="003107E9">
        <w:rPr>
          <w:rFonts w:ascii="Verdana" w:hAnsi="Verdana"/>
          <w:sz w:val="16"/>
          <w:szCs w:val="16"/>
        </w:rPr>
        <w:tab/>
      </w:r>
      <w:r w:rsidR="00C16B2B" w:rsidRPr="003107E9">
        <w:rPr>
          <w:rFonts w:ascii="Verdana" w:hAnsi="Verdana"/>
          <w:sz w:val="16"/>
          <w:szCs w:val="16"/>
        </w:rPr>
        <w:t xml:space="preserve">La Corte declaró que la sanción penal impuesta al señor </w:t>
      </w:r>
      <w:proofErr w:type="spellStart"/>
      <w:r w:rsidR="00C16B2B" w:rsidRPr="003107E9">
        <w:rPr>
          <w:rFonts w:ascii="Verdana" w:hAnsi="Verdana"/>
          <w:sz w:val="16"/>
          <w:szCs w:val="16"/>
        </w:rPr>
        <w:t>Baraona</w:t>
      </w:r>
      <w:proofErr w:type="spellEnd"/>
      <w:r w:rsidR="00C16B2B" w:rsidRPr="003107E9">
        <w:rPr>
          <w:rFonts w:ascii="Verdana" w:hAnsi="Verdana"/>
          <w:sz w:val="16"/>
          <w:szCs w:val="16"/>
        </w:rPr>
        <w:t xml:space="preserve"> Bray por sus declaraciones sobre las supuestas presiones políticas ejercidas por el senador SP con el objetivo de evitar la suspensión de actividades de tala ilegal, en sí misma resultó contraria a la Convención Americana sobre Derechos Humanos (en adelante “CADH” o “Convención”), por tratarse de un discurso de interés público (protección ambiental), dirigido a un funcionario público (senador). </w:t>
      </w:r>
      <w:r w:rsidR="00E138A4" w:rsidRPr="003F2769">
        <w:rPr>
          <w:rFonts w:ascii="Verdana" w:hAnsi="Verdana"/>
          <w:i/>
          <w:iCs/>
          <w:sz w:val="16"/>
          <w:szCs w:val="16"/>
          <w:lang w:val="es-CR"/>
        </w:rPr>
        <w:t xml:space="preserve">Caso </w:t>
      </w:r>
      <w:proofErr w:type="spellStart"/>
      <w:r w:rsidR="00E138A4" w:rsidRPr="003F2769">
        <w:rPr>
          <w:rFonts w:ascii="Verdana" w:hAnsi="Verdana"/>
          <w:i/>
          <w:iCs/>
          <w:sz w:val="16"/>
          <w:szCs w:val="16"/>
          <w:lang w:val="es-CR"/>
        </w:rPr>
        <w:t>Baraona</w:t>
      </w:r>
      <w:proofErr w:type="spellEnd"/>
      <w:r w:rsidR="00E138A4" w:rsidRPr="003F2769">
        <w:rPr>
          <w:rFonts w:ascii="Verdana" w:hAnsi="Verdana"/>
          <w:i/>
          <w:iCs/>
          <w:sz w:val="16"/>
          <w:szCs w:val="16"/>
          <w:lang w:val="es-CR"/>
        </w:rPr>
        <w:t xml:space="preserve"> Bray Vs. Chile. Excepciones Preliminares, Fondo, Reparaciones y Costas.</w:t>
      </w:r>
      <w:r w:rsidR="00E138A4" w:rsidRPr="003107E9">
        <w:rPr>
          <w:rFonts w:ascii="Verdana" w:hAnsi="Verdana"/>
          <w:sz w:val="16"/>
          <w:szCs w:val="16"/>
          <w:lang w:val="es-CR"/>
        </w:rPr>
        <w:t xml:space="preserve"> Sentencia de 24 de noviembre de 2022. Serie C No. 481.</w:t>
      </w:r>
    </w:p>
  </w:footnote>
  <w:footnote w:id="8">
    <w:p w14:paraId="114C7D93" w14:textId="24299E4E" w:rsidR="0097783D" w:rsidRPr="003107E9" w:rsidRDefault="0097783D" w:rsidP="003107E9">
      <w:pPr>
        <w:pStyle w:val="FootnoteText"/>
        <w:jc w:val="both"/>
        <w:rPr>
          <w:rFonts w:ascii="Verdana" w:hAnsi="Verdana"/>
          <w:sz w:val="16"/>
          <w:szCs w:val="16"/>
        </w:rPr>
      </w:pPr>
      <w:r w:rsidRPr="003107E9">
        <w:rPr>
          <w:rStyle w:val="FootnoteReference"/>
          <w:rFonts w:ascii="Verdana" w:hAnsi="Verdana"/>
          <w:sz w:val="16"/>
          <w:szCs w:val="16"/>
        </w:rPr>
        <w:footnoteRef/>
      </w:r>
      <w:r w:rsidRPr="003107E9">
        <w:rPr>
          <w:rFonts w:ascii="Verdana" w:hAnsi="Verdana"/>
          <w:sz w:val="16"/>
          <w:szCs w:val="16"/>
        </w:rPr>
        <w:t xml:space="preserve"> </w:t>
      </w:r>
      <w:r w:rsidR="00A83F82" w:rsidRPr="003107E9">
        <w:rPr>
          <w:rFonts w:ascii="Verdana" w:hAnsi="Verdana"/>
          <w:sz w:val="16"/>
          <w:szCs w:val="16"/>
        </w:rPr>
        <w:tab/>
      </w:r>
      <w:r w:rsidR="00A83F82" w:rsidRPr="003107E9">
        <w:rPr>
          <w:rFonts w:ascii="Verdana" w:hAnsi="Verdana"/>
          <w:i/>
          <w:iCs/>
          <w:sz w:val="16"/>
          <w:szCs w:val="16"/>
        </w:rPr>
        <w:t>Cfr</w:t>
      </w:r>
      <w:r w:rsidR="00A83F82" w:rsidRPr="003107E9">
        <w:rPr>
          <w:rFonts w:ascii="Verdana" w:hAnsi="Verdana"/>
          <w:sz w:val="16"/>
          <w:szCs w:val="16"/>
        </w:rPr>
        <w:t xml:space="preserve">. </w:t>
      </w:r>
      <w:r w:rsidR="00B42062" w:rsidRPr="003F2769">
        <w:rPr>
          <w:rFonts w:ascii="Verdana" w:hAnsi="Verdana"/>
          <w:i/>
          <w:iCs/>
          <w:sz w:val="16"/>
          <w:szCs w:val="16"/>
          <w:lang w:val="es-CR"/>
        </w:rPr>
        <w:t xml:space="preserve">Caso </w:t>
      </w:r>
      <w:proofErr w:type="spellStart"/>
      <w:r w:rsidR="00B42062" w:rsidRPr="003F2769">
        <w:rPr>
          <w:rFonts w:ascii="Verdana" w:hAnsi="Verdana"/>
          <w:i/>
          <w:iCs/>
          <w:sz w:val="16"/>
          <w:szCs w:val="16"/>
          <w:lang w:val="es-CR"/>
        </w:rPr>
        <w:t>Baraona</w:t>
      </w:r>
      <w:proofErr w:type="spellEnd"/>
      <w:r w:rsidR="00B42062" w:rsidRPr="003F2769">
        <w:rPr>
          <w:rFonts w:ascii="Verdana" w:hAnsi="Verdana"/>
          <w:i/>
          <w:iCs/>
          <w:sz w:val="16"/>
          <w:szCs w:val="16"/>
          <w:lang w:val="es-CR"/>
        </w:rPr>
        <w:t xml:space="preserve"> Bray Vs. Chile. Excepciones Preliminares, Fondo, Reparaciones y Costas. </w:t>
      </w:r>
      <w:r w:rsidR="00B42062" w:rsidRPr="003107E9">
        <w:rPr>
          <w:rFonts w:ascii="Verdana" w:hAnsi="Verdana"/>
          <w:sz w:val="16"/>
          <w:szCs w:val="16"/>
          <w:lang w:val="es-CR"/>
        </w:rPr>
        <w:t xml:space="preserve">Sentencia de 24 de noviembre de 2022. Serie C No. 481. </w:t>
      </w:r>
      <w:r w:rsidR="0048571C" w:rsidRPr="003107E9">
        <w:rPr>
          <w:rFonts w:ascii="Verdana" w:hAnsi="Verdana"/>
          <w:sz w:val="16"/>
          <w:szCs w:val="16"/>
          <w:lang w:val="es-CR"/>
        </w:rPr>
        <w:t>Voto concurrente</w:t>
      </w:r>
      <w:r w:rsidR="00773328">
        <w:rPr>
          <w:rFonts w:ascii="Verdana" w:hAnsi="Verdana"/>
          <w:sz w:val="16"/>
          <w:szCs w:val="16"/>
          <w:lang w:val="es-CR"/>
        </w:rPr>
        <w:t xml:space="preserve"> y parcialmente disidente</w:t>
      </w:r>
      <w:r w:rsidR="0048571C" w:rsidRPr="003107E9">
        <w:rPr>
          <w:rFonts w:ascii="Verdana" w:hAnsi="Verdana"/>
          <w:sz w:val="16"/>
          <w:szCs w:val="16"/>
          <w:lang w:val="es-CR"/>
        </w:rPr>
        <w:t xml:space="preserve"> de</w:t>
      </w:r>
      <w:r w:rsidR="0048571C">
        <w:rPr>
          <w:rFonts w:ascii="Verdana" w:hAnsi="Verdana"/>
          <w:sz w:val="16"/>
          <w:szCs w:val="16"/>
          <w:lang w:val="es-CR"/>
        </w:rPr>
        <w:t>l</w:t>
      </w:r>
      <w:r w:rsidR="0048571C" w:rsidRPr="003107E9">
        <w:rPr>
          <w:rFonts w:ascii="Verdana" w:hAnsi="Verdana"/>
          <w:sz w:val="16"/>
          <w:szCs w:val="16"/>
          <w:lang w:val="es-CR"/>
        </w:rPr>
        <w:t xml:space="preserve"> Juez Humberto Antonio Sierra Porto</w:t>
      </w:r>
      <w:r w:rsidR="0048571C">
        <w:rPr>
          <w:rFonts w:ascii="Verdana" w:hAnsi="Verdana"/>
          <w:sz w:val="16"/>
          <w:szCs w:val="16"/>
          <w:lang w:val="es-CR"/>
        </w:rPr>
        <w:t xml:space="preserve"> y la </w:t>
      </w:r>
      <w:r w:rsidR="0048571C" w:rsidRPr="003107E9">
        <w:rPr>
          <w:rFonts w:ascii="Verdana" w:hAnsi="Verdana"/>
          <w:sz w:val="16"/>
          <w:szCs w:val="16"/>
          <w:lang w:val="es-CR"/>
        </w:rPr>
        <w:t>Jueza Nancy Hernández López</w:t>
      </w:r>
      <w:r w:rsidR="00A83F82" w:rsidRPr="003107E9">
        <w:rPr>
          <w:rFonts w:ascii="Verdana" w:hAnsi="Verdana"/>
          <w:sz w:val="16"/>
          <w:szCs w:val="16"/>
          <w:lang w:val="es-CR"/>
        </w:rPr>
        <w:t xml:space="preserve">. </w:t>
      </w:r>
    </w:p>
  </w:footnote>
  <w:footnote w:id="9">
    <w:p w14:paraId="73B1D29D" w14:textId="52CE0A2C" w:rsidR="00765ABA" w:rsidRPr="003107E9" w:rsidRDefault="00765ABA" w:rsidP="003107E9">
      <w:pPr>
        <w:pStyle w:val="FootnoteText"/>
        <w:jc w:val="both"/>
        <w:rPr>
          <w:rFonts w:ascii="Verdana" w:hAnsi="Verdana"/>
          <w:sz w:val="16"/>
          <w:szCs w:val="16"/>
          <w:lang w:val="es-CR"/>
        </w:rPr>
      </w:pPr>
      <w:r w:rsidRPr="003107E9">
        <w:rPr>
          <w:rStyle w:val="FootnoteReference"/>
          <w:rFonts w:ascii="Verdana" w:hAnsi="Verdana"/>
          <w:sz w:val="16"/>
          <w:szCs w:val="16"/>
        </w:rPr>
        <w:footnoteRef/>
      </w:r>
      <w:r w:rsidRPr="003107E9">
        <w:rPr>
          <w:rFonts w:ascii="Verdana" w:hAnsi="Verdana"/>
          <w:sz w:val="16"/>
          <w:szCs w:val="16"/>
        </w:rPr>
        <w:t xml:space="preserve"> </w:t>
      </w:r>
      <w:r w:rsidR="00413533" w:rsidRPr="003107E9">
        <w:rPr>
          <w:rFonts w:ascii="Verdana" w:hAnsi="Verdana"/>
          <w:sz w:val="16"/>
          <w:szCs w:val="16"/>
        </w:rPr>
        <w:tab/>
      </w:r>
      <w:r w:rsidR="00413533" w:rsidRPr="003107E9">
        <w:rPr>
          <w:rFonts w:ascii="Verdana" w:hAnsi="Verdana"/>
          <w:i/>
          <w:iCs/>
          <w:sz w:val="16"/>
          <w:szCs w:val="16"/>
        </w:rPr>
        <w:t>Cfr</w:t>
      </w:r>
      <w:r w:rsidR="00413533" w:rsidRPr="003107E9">
        <w:rPr>
          <w:rFonts w:ascii="Verdana" w:hAnsi="Verdana"/>
          <w:sz w:val="16"/>
          <w:szCs w:val="16"/>
        </w:rPr>
        <w:t xml:space="preserve">. </w:t>
      </w:r>
      <w:r w:rsidR="00330633" w:rsidRPr="003F2769">
        <w:rPr>
          <w:rFonts w:ascii="Verdana" w:hAnsi="Verdana"/>
          <w:i/>
          <w:iCs/>
          <w:sz w:val="16"/>
          <w:szCs w:val="16"/>
          <w:lang w:val="es-CR"/>
        </w:rPr>
        <w:t>Caso Extrabajadores del Organismo Judicial Vs. Guatemala. Excepciones Preliminares, Fondo y Reparaciones.</w:t>
      </w:r>
      <w:r w:rsidR="00330633" w:rsidRPr="003107E9">
        <w:rPr>
          <w:rFonts w:ascii="Verdana" w:hAnsi="Verdana"/>
          <w:sz w:val="16"/>
          <w:szCs w:val="16"/>
          <w:lang w:val="es-CR"/>
        </w:rPr>
        <w:t xml:space="preserve"> Sentencia de 17 de noviembre de 2021. Serie C No. 445. Párr. 103. </w:t>
      </w:r>
    </w:p>
  </w:footnote>
  <w:footnote w:id="10">
    <w:p w14:paraId="456841E9" w14:textId="680EA072" w:rsidR="0029130D" w:rsidRPr="003107E9" w:rsidRDefault="0029130D" w:rsidP="003107E9">
      <w:pPr>
        <w:pStyle w:val="FootnoteText"/>
        <w:jc w:val="both"/>
        <w:rPr>
          <w:rFonts w:ascii="Verdana" w:hAnsi="Verdana"/>
          <w:sz w:val="16"/>
          <w:szCs w:val="16"/>
        </w:rPr>
      </w:pPr>
      <w:r w:rsidRPr="003107E9">
        <w:rPr>
          <w:rStyle w:val="FootnoteReference"/>
          <w:rFonts w:ascii="Verdana" w:hAnsi="Verdana"/>
          <w:sz w:val="16"/>
          <w:szCs w:val="16"/>
        </w:rPr>
        <w:footnoteRef/>
      </w:r>
      <w:r w:rsidRPr="003107E9">
        <w:rPr>
          <w:rFonts w:ascii="Verdana" w:hAnsi="Verdana"/>
          <w:sz w:val="16"/>
          <w:szCs w:val="16"/>
        </w:rPr>
        <w:t xml:space="preserve"> </w:t>
      </w:r>
      <w:r w:rsidR="004C0827" w:rsidRPr="003107E9">
        <w:rPr>
          <w:rFonts w:ascii="Verdana" w:hAnsi="Verdana"/>
          <w:sz w:val="16"/>
          <w:szCs w:val="16"/>
        </w:rPr>
        <w:tab/>
      </w:r>
      <w:r w:rsidR="004C0827" w:rsidRPr="003107E9">
        <w:rPr>
          <w:rFonts w:ascii="Verdana" w:hAnsi="Verdana"/>
          <w:i/>
          <w:iCs/>
          <w:sz w:val="16"/>
          <w:szCs w:val="16"/>
        </w:rPr>
        <w:t>Cfr</w:t>
      </w:r>
      <w:r w:rsidR="004C0827" w:rsidRPr="003107E9">
        <w:rPr>
          <w:rFonts w:ascii="Verdana" w:hAnsi="Verdana"/>
          <w:sz w:val="16"/>
          <w:szCs w:val="16"/>
        </w:rPr>
        <w:t xml:space="preserve">. </w:t>
      </w:r>
      <w:r w:rsidR="004C0827" w:rsidRPr="003F2769">
        <w:rPr>
          <w:rFonts w:ascii="Verdana" w:hAnsi="Verdana"/>
          <w:i/>
          <w:iCs/>
          <w:sz w:val="16"/>
          <w:szCs w:val="16"/>
          <w:lang w:val="es-CR"/>
        </w:rPr>
        <w:t xml:space="preserve">Caso </w:t>
      </w:r>
      <w:proofErr w:type="spellStart"/>
      <w:r w:rsidR="004C0827" w:rsidRPr="003F2769">
        <w:rPr>
          <w:rFonts w:ascii="Verdana" w:hAnsi="Verdana"/>
          <w:i/>
          <w:iCs/>
          <w:sz w:val="16"/>
          <w:szCs w:val="16"/>
          <w:lang w:val="es-CR"/>
        </w:rPr>
        <w:t>Baraona</w:t>
      </w:r>
      <w:proofErr w:type="spellEnd"/>
      <w:r w:rsidR="004C0827" w:rsidRPr="003F2769">
        <w:rPr>
          <w:rFonts w:ascii="Verdana" w:hAnsi="Verdana"/>
          <w:i/>
          <w:iCs/>
          <w:sz w:val="16"/>
          <w:szCs w:val="16"/>
          <w:lang w:val="es-CR"/>
        </w:rPr>
        <w:t xml:space="preserve"> Bray Vs. Chile. Excepciones Preliminares, Fondo, Reparaciones y Costas.</w:t>
      </w:r>
      <w:r w:rsidR="004C0827" w:rsidRPr="003107E9">
        <w:rPr>
          <w:rFonts w:ascii="Verdana" w:hAnsi="Verdana"/>
          <w:sz w:val="16"/>
          <w:szCs w:val="16"/>
          <w:lang w:val="es-CR"/>
        </w:rPr>
        <w:t xml:space="preserve"> Sentencia de 24 de noviembre de 2022. Serie C No. 481. </w:t>
      </w:r>
      <w:r w:rsidR="0048571C" w:rsidRPr="003107E9">
        <w:rPr>
          <w:rFonts w:ascii="Verdana" w:hAnsi="Verdana"/>
          <w:sz w:val="16"/>
          <w:szCs w:val="16"/>
          <w:lang w:val="es-CR"/>
        </w:rPr>
        <w:t xml:space="preserve">Voto concurrente </w:t>
      </w:r>
      <w:r w:rsidR="00773328">
        <w:rPr>
          <w:rFonts w:ascii="Verdana" w:hAnsi="Verdana"/>
          <w:sz w:val="16"/>
          <w:szCs w:val="16"/>
          <w:lang w:val="es-CR"/>
        </w:rPr>
        <w:t>y parcialmente disidente</w:t>
      </w:r>
      <w:r w:rsidR="00773328" w:rsidRPr="003107E9">
        <w:rPr>
          <w:rFonts w:ascii="Verdana" w:hAnsi="Verdana"/>
          <w:sz w:val="16"/>
          <w:szCs w:val="16"/>
          <w:lang w:val="es-CR"/>
        </w:rPr>
        <w:t xml:space="preserve"> </w:t>
      </w:r>
      <w:r w:rsidR="0048571C" w:rsidRPr="003107E9">
        <w:rPr>
          <w:rFonts w:ascii="Verdana" w:hAnsi="Verdana"/>
          <w:sz w:val="16"/>
          <w:szCs w:val="16"/>
          <w:lang w:val="es-CR"/>
        </w:rPr>
        <w:t>de</w:t>
      </w:r>
      <w:r w:rsidR="0048571C">
        <w:rPr>
          <w:rFonts w:ascii="Verdana" w:hAnsi="Verdana"/>
          <w:sz w:val="16"/>
          <w:szCs w:val="16"/>
          <w:lang w:val="es-CR"/>
        </w:rPr>
        <w:t>l</w:t>
      </w:r>
      <w:r w:rsidR="0048571C" w:rsidRPr="003107E9">
        <w:rPr>
          <w:rFonts w:ascii="Verdana" w:hAnsi="Verdana"/>
          <w:sz w:val="16"/>
          <w:szCs w:val="16"/>
          <w:lang w:val="es-CR"/>
        </w:rPr>
        <w:t xml:space="preserve"> Juez Humberto Antonio Sierra Porto</w:t>
      </w:r>
      <w:r w:rsidR="0048571C">
        <w:rPr>
          <w:rFonts w:ascii="Verdana" w:hAnsi="Verdana"/>
          <w:sz w:val="16"/>
          <w:szCs w:val="16"/>
          <w:lang w:val="es-CR"/>
        </w:rPr>
        <w:t xml:space="preserve"> y la </w:t>
      </w:r>
      <w:r w:rsidR="0048571C" w:rsidRPr="003107E9">
        <w:rPr>
          <w:rFonts w:ascii="Verdana" w:hAnsi="Verdana"/>
          <w:sz w:val="16"/>
          <w:szCs w:val="16"/>
          <w:lang w:val="es-CR"/>
        </w:rPr>
        <w:t>Jueza Nancy Hernández López</w:t>
      </w:r>
      <w:r w:rsidR="004C0827" w:rsidRPr="003107E9">
        <w:rPr>
          <w:rFonts w:ascii="Verdana" w:hAnsi="Verdana"/>
          <w:sz w:val="16"/>
          <w:szCs w:val="16"/>
          <w:lang w:val="es-CR"/>
        </w:rPr>
        <w:t>.</w:t>
      </w:r>
    </w:p>
  </w:footnote>
  <w:footnote w:id="11">
    <w:p w14:paraId="6C7A4D0D" w14:textId="23F0CDAC" w:rsidR="001216D3" w:rsidRPr="003107E9" w:rsidRDefault="001216D3" w:rsidP="003107E9">
      <w:pPr>
        <w:pStyle w:val="FootnoteText"/>
        <w:jc w:val="both"/>
        <w:rPr>
          <w:rFonts w:ascii="Verdana" w:hAnsi="Verdana"/>
          <w:sz w:val="16"/>
          <w:szCs w:val="16"/>
        </w:rPr>
      </w:pPr>
      <w:r w:rsidRPr="003107E9">
        <w:rPr>
          <w:rStyle w:val="FootnoteReference"/>
          <w:rFonts w:ascii="Verdana" w:hAnsi="Verdana"/>
          <w:sz w:val="16"/>
          <w:szCs w:val="16"/>
        </w:rPr>
        <w:footnoteRef/>
      </w:r>
      <w:r w:rsidRPr="003107E9">
        <w:rPr>
          <w:rFonts w:ascii="Verdana" w:hAnsi="Verdana"/>
          <w:sz w:val="16"/>
          <w:szCs w:val="16"/>
        </w:rPr>
        <w:t xml:space="preserve"> </w:t>
      </w:r>
      <w:r w:rsidR="00983411" w:rsidRPr="003107E9">
        <w:rPr>
          <w:rFonts w:ascii="Verdana" w:hAnsi="Verdana"/>
          <w:sz w:val="16"/>
          <w:szCs w:val="16"/>
        </w:rPr>
        <w:tab/>
        <w:t xml:space="preserve">La Corte ha sostenido “En todo caso, este Tribunal recuerda su jurisprudencia constante que refiere que cuando un Estado ha ratificado un tratado internacional como la Convención Americana, todos sus órganos y autoridades están sometidos a aquel, lo cual les obliga a velar por que los efectos de las disposiciones de la Convención no se vean mermados por la aplicación de normas contrarias a su objeto y fin, lo que exige tomar en cuenta no solamente el tratado, sino también la interpretación que de este ha hecho la Corte Interamericana, intérprete última de la Convención Americana. Por consiguiente, todas las autoridades internas están en la obligación de ejercer ex </w:t>
      </w:r>
      <w:proofErr w:type="spellStart"/>
      <w:r w:rsidR="00983411" w:rsidRPr="003107E9">
        <w:rPr>
          <w:rFonts w:ascii="Verdana" w:hAnsi="Verdana"/>
          <w:sz w:val="16"/>
          <w:szCs w:val="16"/>
        </w:rPr>
        <w:t>officio</w:t>
      </w:r>
      <w:proofErr w:type="spellEnd"/>
      <w:r w:rsidR="00983411" w:rsidRPr="003107E9">
        <w:rPr>
          <w:rFonts w:ascii="Verdana" w:hAnsi="Verdana"/>
          <w:sz w:val="16"/>
          <w:szCs w:val="16"/>
        </w:rPr>
        <w:t xml:space="preserve"> un control de convencionalidad entre las normas internas y la Convención, evidentemente en el marco de sus respectivas competencias y de las regulaciones procesales correspondientes, y en esta tarea, deben tener en cuenta no solamente el tratado, sino </w:t>
      </w:r>
      <w:r w:rsidR="00983411" w:rsidRPr="00310ADE">
        <w:rPr>
          <w:rFonts w:ascii="Verdana" w:hAnsi="Verdana"/>
          <w:sz w:val="16"/>
          <w:szCs w:val="16"/>
        </w:rPr>
        <w:t>también la interpretación que del mismo ha hecho esta Corte, intérprete última de la Convención Americana”.</w:t>
      </w:r>
      <w:r w:rsidR="004146CD" w:rsidRPr="00310ADE">
        <w:rPr>
          <w:rFonts w:ascii="Verdana" w:hAnsi="Verdana"/>
          <w:sz w:val="16"/>
          <w:szCs w:val="16"/>
        </w:rPr>
        <w:t xml:space="preserve"> </w:t>
      </w:r>
      <w:r w:rsidR="004146CD" w:rsidRPr="003F2769">
        <w:rPr>
          <w:rFonts w:ascii="Verdana" w:hAnsi="Verdana"/>
          <w:i/>
          <w:iCs/>
          <w:sz w:val="16"/>
          <w:szCs w:val="16"/>
        </w:rPr>
        <w:t>Caso Almonacid Arellano y otros Vs. Chile. Excepciones Preliminares, Fondo, Reparaciones y Costas.</w:t>
      </w:r>
      <w:r w:rsidR="004146CD" w:rsidRPr="003107E9">
        <w:rPr>
          <w:rFonts w:ascii="Verdana" w:hAnsi="Verdana"/>
          <w:sz w:val="16"/>
          <w:szCs w:val="16"/>
        </w:rPr>
        <w:t xml:space="preserve"> Sentencia de 26 de septiembre de 2006. Serie C No. 154, párr. 124 y </w:t>
      </w:r>
      <w:r w:rsidR="00434BE4" w:rsidRPr="003F2769">
        <w:rPr>
          <w:rFonts w:ascii="Verdana" w:hAnsi="Verdana"/>
          <w:i/>
          <w:iCs/>
          <w:sz w:val="16"/>
          <w:szCs w:val="16"/>
          <w:lang w:val="es-CR"/>
        </w:rPr>
        <w:t>Caso Pérez Lucas y otros Vs. Guatemala. Fondo, Reparaciones y Costas.</w:t>
      </w:r>
      <w:r w:rsidR="00434BE4" w:rsidRPr="003107E9">
        <w:rPr>
          <w:rFonts w:ascii="Verdana" w:hAnsi="Verdana"/>
          <w:sz w:val="16"/>
          <w:szCs w:val="16"/>
          <w:lang w:val="es-CR"/>
        </w:rPr>
        <w:t xml:space="preserve"> Sentencia de 4 de septiembre de 2024. Serie C No. 536, párr. 238. </w:t>
      </w:r>
      <w:r w:rsidR="00983411" w:rsidRPr="003107E9">
        <w:rPr>
          <w:rFonts w:ascii="Verdana" w:hAnsi="Verdana"/>
          <w:sz w:val="16"/>
          <w:szCs w:val="16"/>
          <w:highlight w:val="green"/>
        </w:rPr>
        <w:t xml:space="preserve"> </w:t>
      </w:r>
    </w:p>
  </w:footnote>
  <w:footnote w:id="12">
    <w:p w14:paraId="162117DF" w14:textId="03A60194" w:rsidR="001216D3" w:rsidRPr="003107E9" w:rsidRDefault="001216D3" w:rsidP="003107E9">
      <w:pPr>
        <w:pStyle w:val="FootnoteText"/>
        <w:jc w:val="both"/>
        <w:rPr>
          <w:rFonts w:ascii="Verdana" w:hAnsi="Verdana"/>
          <w:sz w:val="16"/>
          <w:szCs w:val="16"/>
        </w:rPr>
      </w:pPr>
      <w:r w:rsidRPr="003107E9">
        <w:rPr>
          <w:rStyle w:val="FootnoteReference"/>
          <w:rFonts w:ascii="Verdana" w:hAnsi="Verdana"/>
          <w:sz w:val="16"/>
          <w:szCs w:val="16"/>
        </w:rPr>
        <w:footnoteRef/>
      </w:r>
      <w:r w:rsidRPr="003107E9">
        <w:rPr>
          <w:rFonts w:ascii="Verdana" w:hAnsi="Verdana"/>
          <w:sz w:val="16"/>
          <w:szCs w:val="16"/>
        </w:rPr>
        <w:t xml:space="preserve"> </w:t>
      </w:r>
      <w:r w:rsidR="005340AD" w:rsidRPr="003107E9">
        <w:rPr>
          <w:rFonts w:ascii="Verdana" w:hAnsi="Verdana"/>
          <w:sz w:val="16"/>
          <w:szCs w:val="16"/>
        </w:rPr>
        <w:tab/>
      </w:r>
      <w:r w:rsidR="005340AD" w:rsidRPr="00306CC8">
        <w:rPr>
          <w:rFonts w:ascii="Verdana" w:hAnsi="Verdana"/>
          <w:i/>
          <w:iCs/>
          <w:sz w:val="16"/>
          <w:szCs w:val="16"/>
        </w:rPr>
        <w:t>Cfr</w:t>
      </w:r>
      <w:r w:rsidR="005340AD" w:rsidRPr="003107E9">
        <w:rPr>
          <w:rFonts w:ascii="Verdana" w:hAnsi="Verdana"/>
          <w:sz w:val="16"/>
          <w:szCs w:val="16"/>
        </w:rPr>
        <w:t xml:space="preserve">. </w:t>
      </w:r>
      <w:r w:rsidR="005340AD" w:rsidRPr="003F2769">
        <w:rPr>
          <w:rFonts w:ascii="Verdana" w:hAnsi="Verdana"/>
          <w:i/>
          <w:iCs/>
          <w:sz w:val="16"/>
          <w:szCs w:val="16"/>
          <w:lang w:val="es-ES_tradnl"/>
        </w:rPr>
        <w:t>Caso Palacio Urrutia y otros Vs. Ecuador. Fondo, Reparaciones y Costas.</w:t>
      </w:r>
      <w:r w:rsidR="005340AD" w:rsidRPr="003107E9">
        <w:rPr>
          <w:rFonts w:ascii="Verdana" w:hAnsi="Verdana"/>
          <w:sz w:val="16"/>
          <w:szCs w:val="16"/>
          <w:lang w:val="es-ES_tradnl"/>
        </w:rPr>
        <w:t xml:space="preserve"> Sentencia de 24 de noviembre de 2021. Serie C No. 446. Voto concurrente del Juez Humberto Antonio Sierra Porto. Párr. 11.</w:t>
      </w:r>
    </w:p>
  </w:footnote>
  <w:footnote w:id="13">
    <w:p w14:paraId="02CF4773" w14:textId="3D298B6D" w:rsidR="00F03BB8" w:rsidRPr="003107E9" w:rsidRDefault="00F03BB8" w:rsidP="003107E9">
      <w:pPr>
        <w:pStyle w:val="FootnoteText"/>
        <w:jc w:val="both"/>
        <w:rPr>
          <w:rFonts w:ascii="Verdana" w:hAnsi="Verdana"/>
          <w:sz w:val="16"/>
          <w:szCs w:val="16"/>
          <w:lang w:val="es-ES_tradnl"/>
        </w:rPr>
      </w:pPr>
      <w:r w:rsidRPr="003107E9">
        <w:rPr>
          <w:rStyle w:val="FootnoteReference"/>
          <w:rFonts w:ascii="Verdana" w:hAnsi="Verdana"/>
          <w:sz w:val="16"/>
          <w:szCs w:val="16"/>
        </w:rPr>
        <w:footnoteRef/>
      </w:r>
      <w:r w:rsidRPr="003107E9">
        <w:rPr>
          <w:rFonts w:ascii="Verdana" w:hAnsi="Verdana"/>
          <w:sz w:val="16"/>
          <w:szCs w:val="16"/>
          <w:lang w:val="es-ES_tradnl"/>
        </w:rPr>
        <w:t xml:space="preserve"> </w:t>
      </w:r>
      <w:r w:rsidR="00564E06" w:rsidRPr="003107E9">
        <w:rPr>
          <w:rFonts w:ascii="Verdana" w:hAnsi="Verdana"/>
          <w:sz w:val="16"/>
          <w:szCs w:val="16"/>
          <w:lang w:val="es-ES_tradnl"/>
        </w:rPr>
        <w:tab/>
      </w:r>
      <w:r w:rsidRPr="003F2769">
        <w:rPr>
          <w:rFonts w:ascii="Verdana" w:hAnsi="Verdana"/>
          <w:i/>
          <w:iCs/>
          <w:sz w:val="16"/>
          <w:szCs w:val="16"/>
          <w:lang w:val="es-ES_tradnl"/>
        </w:rPr>
        <w:t xml:space="preserve">Caso Palacio Urrutia y otros Vs. Ecuador. Fondo, Reparaciones y Costas. </w:t>
      </w:r>
      <w:r w:rsidRPr="003107E9">
        <w:rPr>
          <w:rFonts w:ascii="Verdana" w:hAnsi="Verdana"/>
          <w:sz w:val="16"/>
          <w:szCs w:val="16"/>
          <w:lang w:val="es-ES_tradnl"/>
        </w:rPr>
        <w:t>Sentencia de 24 de noviembre de 2021. Serie C No. 446.</w:t>
      </w:r>
      <w:r w:rsidR="00564E06" w:rsidRPr="003107E9">
        <w:rPr>
          <w:rFonts w:ascii="Verdana" w:hAnsi="Verdana"/>
          <w:sz w:val="16"/>
          <w:szCs w:val="16"/>
          <w:lang w:val="es-ES_tradnl"/>
        </w:rPr>
        <w:t xml:space="preserve"> Voto concurrente del Juez Humberto Antonio Sierra Porto. Párr. 12.</w:t>
      </w:r>
    </w:p>
  </w:footnote>
  <w:footnote w:id="14">
    <w:p w14:paraId="1D5C53EF" w14:textId="09F7D075" w:rsidR="00367760" w:rsidRPr="003107E9" w:rsidRDefault="00367760" w:rsidP="003107E9">
      <w:pPr>
        <w:pStyle w:val="FootnoteText"/>
        <w:jc w:val="both"/>
        <w:rPr>
          <w:rFonts w:ascii="Verdana" w:hAnsi="Verdana"/>
          <w:sz w:val="16"/>
          <w:szCs w:val="16"/>
        </w:rPr>
      </w:pPr>
      <w:r w:rsidRPr="003107E9">
        <w:rPr>
          <w:rStyle w:val="FootnoteReference"/>
          <w:rFonts w:ascii="Verdana" w:hAnsi="Verdana"/>
          <w:sz w:val="16"/>
          <w:szCs w:val="16"/>
        </w:rPr>
        <w:footnoteRef/>
      </w:r>
      <w:r w:rsidRPr="003107E9">
        <w:rPr>
          <w:rFonts w:ascii="Verdana" w:hAnsi="Verdana"/>
          <w:sz w:val="16"/>
          <w:szCs w:val="16"/>
        </w:rPr>
        <w:t xml:space="preserve"> </w:t>
      </w:r>
      <w:r w:rsidRPr="003107E9">
        <w:rPr>
          <w:rFonts w:ascii="Verdana" w:hAnsi="Verdana"/>
          <w:sz w:val="16"/>
          <w:szCs w:val="16"/>
        </w:rPr>
        <w:tab/>
      </w:r>
      <w:r w:rsidRPr="003107E9">
        <w:rPr>
          <w:rFonts w:ascii="Verdana" w:hAnsi="Verdana"/>
          <w:i/>
          <w:iCs/>
          <w:sz w:val="16"/>
          <w:szCs w:val="16"/>
        </w:rPr>
        <w:t>Cfr</w:t>
      </w:r>
      <w:r w:rsidRPr="003107E9">
        <w:rPr>
          <w:rFonts w:ascii="Verdana" w:hAnsi="Verdana"/>
          <w:sz w:val="16"/>
          <w:szCs w:val="16"/>
        </w:rPr>
        <w:t xml:space="preserve">. </w:t>
      </w:r>
      <w:r w:rsidRPr="003F2769">
        <w:rPr>
          <w:rFonts w:ascii="Verdana" w:hAnsi="Verdana"/>
          <w:i/>
          <w:iCs/>
          <w:sz w:val="16"/>
          <w:szCs w:val="16"/>
          <w:lang w:val="es-CR"/>
        </w:rPr>
        <w:t xml:space="preserve">Caso </w:t>
      </w:r>
      <w:proofErr w:type="spellStart"/>
      <w:r w:rsidRPr="003F2769">
        <w:rPr>
          <w:rFonts w:ascii="Verdana" w:hAnsi="Verdana"/>
          <w:i/>
          <w:iCs/>
          <w:sz w:val="16"/>
          <w:szCs w:val="16"/>
          <w:lang w:val="es-CR"/>
        </w:rPr>
        <w:t>Baraona</w:t>
      </w:r>
      <w:proofErr w:type="spellEnd"/>
      <w:r w:rsidRPr="003F2769">
        <w:rPr>
          <w:rFonts w:ascii="Verdana" w:hAnsi="Verdana"/>
          <w:i/>
          <w:iCs/>
          <w:sz w:val="16"/>
          <w:szCs w:val="16"/>
          <w:lang w:val="es-CR"/>
        </w:rPr>
        <w:t xml:space="preserve"> Bray Vs. Chile. Excepciones Preliminares, Fondo, Reparaciones y Costas.</w:t>
      </w:r>
      <w:r w:rsidRPr="003107E9">
        <w:rPr>
          <w:rFonts w:ascii="Verdana" w:hAnsi="Verdana"/>
          <w:sz w:val="16"/>
          <w:szCs w:val="16"/>
          <w:lang w:val="es-CR"/>
        </w:rPr>
        <w:t xml:space="preserve"> Sentencia de 24 de noviembre de 2022. Serie C No. 481. </w:t>
      </w:r>
      <w:r w:rsidR="0048571C" w:rsidRPr="003107E9">
        <w:rPr>
          <w:rFonts w:ascii="Verdana" w:hAnsi="Verdana"/>
          <w:sz w:val="16"/>
          <w:szCs w:val="16"/>
          <w:lang w:val="es-CR"/>
        </w:rPr>
        <w:t xml:space="preserve">Voto concurrente </w:t>
      </w:r>
      <w:r w:rsidR="00773328">
        <w:rPr>
          <w:rFonts w:ascii="Verdana" w:hAnsi="Verdana"/>
          <w:sz w:val="16"/>
          <w:szCs w:val="16"/>
          <w:lang w:val="es-CR"/>
        </w:rPr>
        <w:t>y parcialmente disidente</w:t>
      </w:r>
      <w:r w:rsidR="00773328" w:rsidRPr="003107E9">
        <w:rPr>
          <w:rFonts w:ascii="Verdana" w:hAnsi="Verdana"/>
          <w:sz w:val="16"/>
          <w:szCs w:val="16"/>
          <w:lang w:val="es-CR"/>
        </w:rPr>
        <w:t xml:space="preserve"> </w:t>
      </w:r>
      <w:r w:rsidR="0048571C" w:rsidRPr="003107E9">
        <w:rPr>
          <w:rFonts w:ascii="Verdana" w:hAnsi="Verdana"/>
          <w:sz w:val="16"/>
          <w:szCs w:val="16"/>
          <w:lang w:val="es-CR"/>
        </w:rPr>
        <w:t>de</w:t>
      </w:r>
      <w:r w:rsidR="0048571C">
        <w:rPr>
          <w:rFonts w:ascii="Verdana" w:hAnsi="Verdana"/>
          <w:sz w:val="16"/>
          <w:szCs w:val="16"/>
          <w:lang w:val="es-CR"/>
        </w:rPr>
        <w:t>l</w:t>
      </w:r>
      <w:r w:rsidR="0048571C" w:rsidRPr="003107E9">
        <w:rPr>
          <w:rFonts w:ascii="Verdana" w:hAnsi="Verdana"/>
          <w:sz w:val="16"/>
          <w:szCs w:val="16"/>
          <w:lang w:val="es-CR"/>
        </w:rPr>
        <w:t xml:space="preserve"> Juez Humberto Antonio Sierra Porto</w:t>
      </w:r>
      <w:r w:rsidR="0048571C">
        <w:rPr>
          <w:rFonts w:ascii="Verdana" w:hAnsi="Verdana"/>
          <w:sz w:val="16"/>
          <w:szCs w:val="16"/>
          <w:lang w:val="es-CR"/>
        </w:rPr>
        <w:t xml:space="preserve"> y la </w:t>
      </w:r>
      <w:r w:rsidR="0048571C" w:rsidRPr="003107E9">
        <w:rPr>
          <w:rFonts w:ascii="Verdana" w:hAnsi="Verdana"/>
          <w:sz w:val="16"/>
          <w:szCs w:val="16"/>
          <w:lang w:val="es-CR"/>
        </w:rPr>
        <w:t>Jueza Nancy Hernández López</w:t>
      </w:r>
      <w:r w:rsidRPr="003107E9">
        <w:rPr>
          <w:rFonts w:ascii="Verdana" w:hAnsi="Verdana"/>
          <w:sz w:val="16"/>
          <w:szCs w:val="16"/>
          <w:lang w:val="es-CR"/>
        </w:rPr>
        <w:t xml:space="preserve">. Párr. 31. </w:t>
      </w:r>
    </w:p>
  </w:footnote>
  <w:footnote w:id="15">
    <w:p w14:paraId="18A446D9" w14:textId="77777777" w:rsidR="009913BA" w:rsidRPr="003107E9" w:rsidRDefault="009913BA" w:rsidP="003107E9">
      <w:pPr>
        <w:pStyle w:val="FootnoteText"/>
        <w:jc w:val="both"/>
        <w:rPr>
          <w:rFonts w:ascii="Verdana" w:hAnsi="Verdana"/>
          <w:sz w:val="16"/>
          <w:szCs w:val="16"/>
          <w:lang w:val="es-ES_tradnl"/>
        </w:rPr>
      </w:pPr>
      <w:r w:rsidRPr="003107E9">
        <w:rPr>
          <w:rStyle w:val="FootnoteReference"/>
          <w:rFonts w:ascii="Verdana" w:hAnsi="Verdana"/>
          <w:sz w:val="16"/>
          <w:szCs w:val="16"/>
        </w:rPr>
        <w:footnoteRef/>
      </w:r>
      <w:r w:rsidRPr="003107E9">
        <w:rPr>
          <w:rFonts w:ascii="Verdana" w:hAnsi="Verdana"/>
          <w:sz w:val="16"/>
          <w:szCs w:val="16"/>
        </w:rPr>
        <w:t xml:space="preserve"> </w:t>
      </w:r>
      <w:r w:rsidRPr="003107E9">
        <w:rPr>
          <w:rFonts w:ascii="Verdana" w:hAnsi="Verdana"/>
          <w:sz w:val="16"/>
          <w:szCs w:val="16"/>
        </w:rPr>
        <w:tab/>
      </w:r>
      <w:r w:rsidRPr="003107E9">
        <w:rPr>
          <w:rFonts w:ascii="Verdana" w:hAnsi="Verdana"/>
          <w:i/>
          <w:iCs/>
          <w:sz w:val="16"/>
          <w:szCs w:val="16"/>
        </w:rPr>
        <w:t>Cfr</w:t>
      </w:r>
      <w:r w:rsidRPr="003107E9">
        <w:rPr>
          <w:rFonts w:ascii="Verdana" w:hAnsi="Verdana"/>
          <w:sz w:val="16"/>
          <w:szCs w:val="16"/>
        </w:rPr>
        <w:t xml:space="preserve">. </w:t>
      </w:r>
      <w:r w:rsidRPr="003F2769">
        <w:rPr>
          <w:rFonts w:ascii="Verdana" w:hAnsi="Verdana"/>
          <w:i/>
          <w:iCs/>
          <w:sz w:val="16"/>
          <w:szCs w:val="16"/>
        </w:rPr>
        <w:t>Caso Velásquez Rodríguez Vs. Honduras. Fondo.</w:t>
      </w:r>
      <w:r w:rsidRPr="003107E9">
        <w:rPr>
          <w:rFonts w:ascii="Verdana" w:hAnsi="Verdana"/>
          <w:sz w:val="16"/>
          <w:szCs w:val="16"/>
        </w:rPr>
        <w:t xml:space="preserve"> Sentencia de 29 de julio de 1988. Serie C No. 04. Párr. 166. </w:t>
      </w:r>
    </w:p>
  </w:footnote>
  <w:footnote w:id="16">
    <w:p w14:paraId="03FA4FE0" w14:textId="43A0C1AE" w:rsidR="001F1212" w:rsidRPr="00C93E26" w:rsidRDefault="001F1212" w:rsidP="003107E9">
      <w:pPr>
        <w:pStyle w:val="FootnoteText"/>
        <w:jc w:val="both"/>
        <w:rPr>
          <w:rFonts w:ascii="Verdana" w:hAnsi="Verdana"/>
          <w:sz w:val="16"/>
          <w:szCs w:val="16"/>
          <w:lang w:val="es-ES"/>
        </w:rPr>
      </w:pPr>
      <w:r w:rsidRPr="00C93E26">
        <w:rPr>
          <w:rStyle w:val="FootnoteReference"/>
          <w:rFonts w:ascii="Verdana" w:hAnsi="Verdana"/>
          <w:sz w:val="16"/>
          <w:szCs w:val="16"/>
        </w:rPr>
        <w:footnoteRef/>
      </w:r>
      <w:r w:rsidRPr="00C93E26">
        <w:rPr>
          <w:rFonts w:ascii="Verdana" w:hAnsi="Verdana"/>
          <w:sz w:val="16"/>
          <w:szCs w:val="16"/>
        </w:rPr>
        <w:t xml:space="preserve"> </w:t>
      </w:r>
      <w:r w:rsidR="008B1FCC" w:rsidRPr="00C93E26">
        <w:rPr>
          <w:rFonts w:ascii="Verdana" w:hAnsi="Verdana"/>
          <w:sz w:val="16"/>
          <w:szCs w:val="16"/>
          <w:lang w:val="es-ES"/>
        </w:rPr>
        <w:tab/>
      </w:r>
      <w:r w:rsidR="008B1FCC" w:rsidRPr="00C93E26">
        <w:rPr>
          <w:rFonts w:ascii="Verdana" w:hAnsi="Verdana"/>
          <w:i/>
          <w:iCs/>
          <w:sz w:val="16"/>
          <w:szCs w:val="16"/>
        </w:rPr>
        <w:t>Cfr</w:t>
      </w:r>
      <w:r w:rsidR="008B1FCC" w:rsidRPr="00C93E26">
        <w:rPr>
          <w:rFonts w:ascii="Verdana" w:hAnsi="Verdana"/>
          <w:sz w:val="16"/>
          <w:szCs w:val="16"/>
        </w:rPr>
        <w:t xml:space="preserve">. </w:t>
      </w:r>
      <w:r w:rsidR="008B1FCC" w:rsidRPr="003F2769">
        <w:rPr>
          <w:rFonts w:ascii="Verdana" w:hAnsi="Verdana"/>
          <w:i/>
          <w:iCs/>
          <w:sz w:val="16"/>
          <w:szCs w:val="16"/>
          <w:lang w:val="es-CR"/>
        </w:rPr>
        <w:t xml:space="preserve">Caso </w:t>
      </w:r>
      <w:proofErr w:type="spellStart"/>
      <w:r w:rsidR="008B1FCC" w:rsidRPr="003F2769">
        <w:rPr>
          <w:rFonts w:ascii="Verdana" w:hAnsi="Verdana"/>
          <w:i/>
          <w:iCs/>
          <w:sz w:val="16"/>
          <w:szCs w:val="16"/>
          <w:lang w:val="es-CR"/>
        </w:rPr>
        <w:t>Baraona</w:t>
      </w:r>
      <w:proofErr w:type="spellEnd"/>
      <w:r w:rsidR="008B1FCC" w:rsidRPr="003F2769">
        <w:rPr>
          <w:rFonts w:ascii="Verdana" w:hAnsi="Verdana"/>
          <w:i/>
          <w:iCs/>
          <w:sz w:val="16"/>
          <w:szCs w:val="16"/>
          <w:lang w:val="es-CR"/>
        </w:rPr>
        <w:t xml:space="preserve"> Bray Vs. Chile. Excepciones Preliminares, Fondo, Reparaciones y Costas.</w:t>
      </w:r>
      <w:r w:rsidR="008B1FCC" w:rsidRPr="00C93E26">
        <w:rPr>
          <w:rFonts w:ascii="Verdana" w:hAnsi="Verdana"/>
          <w:sz w:val="16"/>
          <w:szCs w:val="16"/>
          <w:lang w:val="es-CR"/>
        </w:rPr>
        <w:t xml:space="preserve"> Sentencia de 24 de noviembre de 2022. Serie C No. 481. </w:t>
      </w:r>
      <w:r w:rsidR="0048571C" w:rsidRPr="003107E9">
        <w:rPr>
          <w:rFonts w:ascii="Verdana" w:hAnsi="Verdana"/>
          <w:sz w:val="16"/>
          <w:szCs w:val="16"/>
          <w:lang w:val="es-CR"/>
        </w:rPr>
        <w:t xml:space="preserve">Voto concurrente </w:t>
      </w:r>
      <w:r w:rsidR="00773328">
        <w:rPr>
          <w:rFonts w:ascii="Verdana" w:hAnsi="Verdana"/>
          <w:sz w:val="16"/>
          <w:szCs w:val="16"/>
          <w:lang w:val="es-CR"/>
        </w:rPr>
        <w:t>y parcialmente disidente</w:t>
      </w:r>
      <w:r w:rsidR="00773328" w:rsidRPr="003107E9">
        <w:rPr>
          <w:rFonts w:ascii="Verdana" w:hAnsi="Verdana"/>
          <w:sz w:val="16"/>
          <w:szCs w:val="16"/>
          <w:lang w:val="es-CR"/>
        </w:rPr>
        <w:t xml:space="preserve"> </w:t>
      </w:r>
      <w:r w:rsidR="0048571C" w:rsidRPr="003107E9">
        <w:rPr>
          <w:rFonts w:ascii="Verdana" w:hAnsi="Verdana"/>
          <w:sz w:val="16"/>
          <w:szCs w:val="16"/>
          <w:lang w:val="es-CR"/>
        </w:rPr>
        <w:t>de</w:t>
      </w:r>
      <w:r w:rsidR="0048571C">
        <w:rPr>
          <w:rFonts w:ascii="Verdana" w:hAnsi="Verdana"/>
          <w:sz w:val="16"/>
          <w:szCs w:val="16"/>
          <w:lang w:val="es-CR"/>
        </w:rPr>
        <w:t>l</w:t>
      </w:r>
      <w:r w:rsidR="0048571C" w:rsidRPr="003107E9">
        <w:rPr>
          <w:rFonts w:ascii="Verdana" w:hAnsi="Verdana"/>
          <w:sz w:val="16"/>
          <w:szCs w:val="16"/>
          <w:lang w:val="es-CR"/>
        </w:rPr>
        <w:t xml:space="preserve"> Juez Humberto Antonio Sierra Porto</w:t>
      </w:r>
      <w:r w:rsidR="0048571C">
        <w:rPr>
          <w:rFonts w:ascii="Verdana" w:hAnsi="Verdana"/>
          <w:sz w:val="16"/>
          <w:szCs w:val="16"/>
          <w:lang w:val="es-CR"/>
        </w:rPr>
        <w:t xml:space="preserve"> y la </w:t>
      </w:r>
      <w:r w:rsidR="0048571C" w:rsidRPr="003107E9">
        <w:rPr>
          <w:rFonts w:ascii="Verdana" w:hAnsi="Verdana"/>
          <w:sz w:val="16"/>
          <w:szCs w:val="16"/>
          <w:lang w:val="es-CR"/>
        </w:rPr>
        <w:t>Jueza Nancy Hernández López</w:t>
      </w:r>
      <w:r w:rsidR="008B1FCC" w:rsidRPr="00C93E26">
        <w:rPr>
          <w:rFonts w:ascii="Verdana" w:hAnsi="Verdana"/>
          <w:sz w:val="16"/>
          <w:szCs w:val="16"/>
          <w:lang w:val="es-CR"/>
        </w:rPr>
        <w:t>. Párr. 3</w:t>
      </w:r>
      <w:r w:rsidR="00C93E26" w:rsidRPr="00C93E26">
        <w:rPr>
          <w:rFonts w:ascii="Verdana" w:hAnsi="Verdana"/>
          <w:sz w:val="16"/>
          <w:szCs w:val="16"/>
          <w:lang w:val="es-CR"/>
        </w:rPr>
        <w:t>9</w:t>
      </w:r>
      <w:r w:rsidR="008B1FCC" w:rsidRPr="00C93E26">
        <w:rPr>
          <w:rFonts w:ascii="Verdana" w:hAnsi="Verdana"/>
          <w:sz w:val="16"/>
          <w:szCs w:val="16"/>
          <w:lang w:val="es-CR"/>
        </w:rPr>
        <w:t xml:space="preserve">. </w:t>
      </w:r>
      <w:r w:rsidRPr="00C93E26">
        <w:rPr>
          <w:rFonts w:ascii="Verdana" w:hAnsi="Verdana"/>
          <w:sz w:val="16"/>
          <w:szCs w:val="16"/>
          <w:lang w:val="es-ES"/>
        </w:rPr>
        <w:t xml:space="preserve"> </w:t>
      </w:r>
    </w:p>
  </w:footnote>
  <w:footnote w:id="17">
    <w:p w14:paraId="34D6F8AD" w14:textId="0A74F03F" w:rsidR="001F1212" w:rsidRPr="00C93E26" w:rsidRDefault="001F1212" w:rsidP="003107E9">
      <w:pPr>
        <w:pStyle w:val="FootnoteText"/>
        <w:jc w:val="both"/>
        <w:rPr>
          <w:rFonts w:ascii="Verdana" w:hAnsi="Verdana" w:cstheme="minorHAnsi"/>
          <w:sz w:val="16"/>
          <w:szCs w:val="16"/>
        </w:rPr>
      </w:pPr>
      <w:r w:rsidRPr="00C93E26">
        <w:rPr>
          <w:rStyle w:val="FootnoteReference"/>
          <w:rFonts w:ascii="Verdana" w:hAnsi="Verdana" w:cstheme="minorHAnsi"/>
          <w:sz w:val="16"/>
          <w:szCs w:val="16"/>
        </w:rPr>
        <w:footnoteRef/>
      </w:r>
      <w:r w:rsidRPr="00C93E26">
        <w:rPr>
          <w:rFonts w:ascii="Verdana" w:hAnsi="Verdana" w:cstheme="minorHAnsi"/>
          <w:sz w:val="16"/>
          <w:szCs w:val="16"/>
        </w:rPr>
        <w:t xml:space="preserve"> </w:t>
      </w:r>
      <w:r w:rsidR="008B1FCC" w:rsidRPr="00C93E26">
        <w:rPr>
          <w:rFonts w:ascii="Verdana" w:hAnsi="Verdana" w:cstheme="minorHAnsi"/>
          <w:sz w:val="16"/>
          <w:szCs w:val="16"/>
        </w:rPr>
        <w:tab/>
      </w:r>
      <w:r w:rsidRPr="00C93E26">
        <w:rPr>
          <w:rFonts w:ascii="Verdana" w:hAnsi="Verdana" w:cstheme="minorHAnsi"/>
          <w:i/>
          <w:iCs/>
          <w:sz w:val="16"/>
          <w:szCs w:val="16"/>
        </w:rPr>
        <w:t>Cfr.</w:t>
      </w:r>
      <w:r w:rsidRPr="00C93E26">
        <w:rPr>
          <w:rFonts w:ascii="Verdana" w:hAnsi="Verdana" w:cstheme="minorHAnsi"/>
          <w:sz w:val="16"/>
          <w:szCs w:val="16"/>
        </w:rPr>
        <w:t xml:space="preserve"> Corte Constitucional de Colombia. Sentencia C-135/21. MP Gloria Stella Ortiz Delgado. Expediente D-13891.</w:t>
      </w:r>
    </w:p>
  </w:footnote>
  <w:footnote w:id="18">
    <w:p w14:paraId="141AE2BE" w14:textId="43315C01" w:rsidR="00F03BB8" w:rsidRPr="003107E9" w:rsidRDefault="00F03BB8" w:rsidP="003107E9">
      <w:pPr>
        <w:pStyle w:val="FootnoteText"/>
        <w:jc w:val="both"/>
        <w:rPr>
          <w:rFonts w:ascii="Verdana" w:hAnsi="Verdana"/>
          <w:sz w:val="16"/>
          <w:szCs w:val="16"/>
          <w:lang w:val="es-CR"/>
        </w:rPr>
      </w:pPr>
      <w:r w:rsidRPr="00C93E26">
        <w:rPr>
          <w:rStyle w:val="FootnoteReference"/>
          <w:rFonts w:ascii="Verdana" w:hAnsi="Verdana"/>
          <w:sz w:val="16"/>
          <w:szCs w:val="16"/>
        </w:rPr>
        <w:footnoteRef/>
      </w:r>
      <w:r w:rsidRPr="00C93E26">
        <w:rPr>
          <w:rFonts w:ascii="Verdana" w:hAnsi="Verdana"/>
          <w:sz w:val="16"/>
          <w:szCs w:val="16"/>
          <w:lang w:val="es-CR"/>
        </w:rPr>
        <w:t xml:space="preserve"> </w:t>
      </w:r>
      <w:r w:rsidR="008B1FCC" w:rsidRPr="00C93E26">
        <w:rPr>
          <w:rFonts w:ascii="Verdana" w:hAnsi="Verdana"/>
          <w:sz w:val="16"/>
          <w:szCs w:val="16"/>
          <w:lang w:val="es-CR"/>
        </w:rPr>
        <w:tab/>
      </w:r>
      <w:r w:rsidR="008B1FCC" w:rsidRPr="00C93E26">
        <w:rPr>
          <w:rFonts w:ascii="Verdana" w:hAnsi="Verdana"/>
          <w:i/>
          <w:iCs/>
          <w:sz w:val="16"/>
          <w:szCs w:val="16"/>
          <w:lang w:val="es-CR"/>
        </w:rPr>
        <w:t>Cfr</w:t>
      </w:r>
      <w:r w:rsidR="008B1FCC" w:rsidRPr="00C93E26">
        <w:rPr>
          <w:rFonts w:ascii="Verdana" w:hAnsi="Verdana"/>
          <w:sz w:val="16"/>
          <w:szCs w:val="16"/>
          <w:lang w:val="es-CR"/>
        </w:rPr>
        <w:t xml:space="preserve">. </w:t>
      </w:r>
      <w:r w:rsidRPr="00C93E26">
        <w:rPr>
          <w:rFonts w:ascii="Verdana" w:hAnsi="Verdana"/>
          <w:sz w:val="16"/>
          <w:szCs w:val="16"/>
          <w:lang w:val="es-CR"/>
        </w:rPr>
        <w:t>Informe Anual. Alto Comisionado de Naciones Unidas para los Derechos Humanos. A/HRC</w:t>
      </w:r>
      <w:r w:rsidRPr="003107E9">
        <w:rPr>
          <w:rFonts w:ascii="Verdana" w:hAnsi="Verdana"/>
          <w:sz w:val="16"/>
          <w:szCs w:val="16"/>
          <w:lang w:val="es-CR"/>
        </w:rPr>
        <w:t>/22/17/Add.4</w:t>
      </w:r>
      <w:r w:rsidRPr="003107E9" w:rsidDel="003F4A27">
        <w:rPr>
          <w:rFonts w:ascii="Verdana" w:hAnsi="Verdana"/>
          <w:sz w:val="16"/>
          <w:szCs w:val="16"/>
          <w:lang w:val="es-C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5E98"/>
    <w:multiLevelType w:val="hybridMultilevel"/>
    <w:tmpl w:val="F04AE020"/>
    <w:lvl w:ilvl="0" w:tplc="02189AA0">
      <w:start w:val="1"/>
      <w:numFmt w:val="decimal"/>
      <w:lvlText w:val="%1."/>
      <w:lvlJc w:val="left"/>
      <w:pPr>
        <w:ind w:left="360" w:hanging="360"/>
      </w:pPr>
      <w:rPr>
        <w:rFonts w:cs="Times New Roman" w:hint="default"/>
        <w:b w:val="0"/>
        <w:bCs w:val="0"/>
      </w:rPr>
    </w:lvl>
    <w:lvl w:ilvl="1" w:tplc="EF00639C">
      <w:start w:val="1"/>
      <w:numFmt w:val="upperLetter"/>
      <w:lvlText w:val="%2."/>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329C44BA"/>
    <w:multiLevelType w:val="hybridMultilevel"/>
    <w:tmpl w:val="16925798"/>
    <w:lvl w:ilvl="0" w:tplc="7046C884">
      <w:numFmt w:val="bullet"/>
      <w:lvlText w:val="-"/>
      <w:lvlJc w:val="left"/>
      <w:pPr>
        <w:ind w:left="720" w:hanging="360"/>
      </w:pPr>
      <w:rPr>
        <w:rFonts w:ascii="Verdana" w:eastAsiaTheme="minorHAnsi" w:hAnsi="Verdana"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466022C4"/>
    <w:multiLevelType w:val="hybridMultilevel"/>
    <w:tmpl w:val="1010A4F6"/>
    <w:lvl w:ilvl="0" w:tplc="F1A27DA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C5938AC"/>
    <w:multiLevelType w:val="hybridMultilevel"/>
    <w:tmpl w:val="DF405C92"/>
    <w:lvl w:ilvl="0" w:tplc="74FED4B6">
      <w:numFmt w:val="bullet"/>
      <w:lvlText w:val="-"/>
      <w:lvlJc w:val="left"/>
      <w:pPr>
        <w:ind w:left="720" w:hanging="360"/>
      </w:pPr>
      <w:rPr>
        <w:rFonts w:ascii="Verdana" w:eastAsiaTheme="minorHAnsi" w:hAnsi="Verdana"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6E661A01"/>
    <w:multiLevelType w:val="hybridMultilevel"/>
    <w:tmpl w:val="7B7CCC00"/>
    <w:lvl w:ilvl="0" w:tplc="140A0015">
      <w:start w:val="1"/>
      <w:numFmt w:val="upperLetter"/>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096095943">
    <w:abstractNumId w:val="0"/>
  </w:num>
  <w:num w:numId="2" w16cid:durableId="1829712281">
    <w:abstractNumId w:val="2"/>
  </w:num>
  <w:num w:numId="3" w16cid:durableId="1537041082">
    <w:abstractNumId w:val="1"/>
  </w:num>
  <w:num w:numId="4" w16cid:durableId="397283683">
    <w:abstractNumId w:val="3"/>
  </w:num>
  <w:num w:numId="5" w16cid:durableId="1294755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BB8"/>
    <w:rsid w:val="00005BAD"/>
    <w:rsid w:val="00012B84"/>
    <w:rsid w:val="00026E97"/>
    <w:rsid w:val="00030F72"/>
    <w:rsid w:val="00036FF1"/>
    <w:rsid w:val="00043F0F"/>
    <w:rsid w:val="0005210C"/>
    <w:rsid w:val="00062D38"/>
    <w:rsid w:val="0006729C"/>
    <w:rsid w:val="00070DA0"/>
    <w:rsid w:val="000744F2"/>
    <w:rsid w:val="000813E5"/>
    <w:rsid w:val="000834B3"/>
    <w:rsid w:val="00084011"/>
    <w:rsid w:val="000868DF"/>
    <w:rsid w:val="000A0AF7"/>
    <w:rsid w:val="000A5793"/>
    <w:rsid w:val="000B7BB5"/>
    <w:rsid w:val="000D4CDD"/>
    <w:rsid w:val="000E4D70"/>
    <w:rsid w:val="000F04D9"/>
    <w:rsid w:val="000F0ABA"/>
    <w:rsid w:val="001045B8"/>
    <w:rsid w:val="0011035F"/>
    <w:rsid w:val="0011717C"/>
    <w:rsid w:val="001216D3"/>
    <w:rsid w:val="001504D0"/>
    <w:rsid w:val="001529DC"/>
    <w:rsid w:val="001746D6"/>
    <w:rsid w:val="001802D7"/>
    <w:rsid w:val="001D1937"/>
    <w:rsid w:val="001E16C7"/>
    <w:rsid w:val="001F1212"/>
    <w:rsid w:val="001F60BD"/>
    <w:rsid w:val="0020269C"/>
    <w:rsid w:val="00211DDA"/>
    <w:rsid w:val="00226506"/>
    <w:rsid w:val="002268C5"/>
    <w:rsid w:val="00227D83"/>
    <w:rsid w:val="00234BC3"/>
    <w:rsid w:val="002433C1"/>
    <w:rsid w:val="00255067"/>
    <w:rsid w:val="00256D5D"/>
    <w:rsid w:val="002621BB"/>
    <w:rsid w:val="00273169"/>
    <w:rsid w:val="0029130D"/>
    <w:rsid w:val="00291E2A"/>
    <w:rsid w:val="002A63A5"/>
    <w:rsid w:val="002B3FB6"/>
    <w:rsid w:val="002B5A45"/>
    <w:rsid w:val="002C0DA5"/>
    <w:rsid w:val="002C4F9A"/>
    <w:rsid w:val="002D6CA2"/>
    <w:rsid w:val="002E112D"/>
    <w:rsid w:val="002E4957"/>
    <w:rsid w:val="002E62A1"/>
    <w:rsid w:val="002E7731"/>
    <w:rsid w:val="002F1420"/>
    <w:rsid w:val="00302336"/>
    <w:rsid w:val="00306CC8"/>
    <w:rsid w:val="003107E9"/>
    <w:rsid w:val="00310A9E"/>
    <w:rsid w:val="00310ADE"/>
    <w:rsid w:val="00315E43"/>
    <w:rsid w:val="00321BBB"/>
    <w:rsid w:val="00330633"/>
    <w:rsid w:val="00353FF5"/>
    <w:rsid w:val="00361775"/>
    <w:rsid w:val="00367760"/>
    <w:rsid w:val="003978D3"/>
    <w:rsid w:val="003A463C"/>
    <w:rsid w:val="003B5618"/>
    <w:rsid w:val="003D3777"/>
    <w:rsid w:val="003D3AAA"/>
    <w:rsid w:val="003D5C03"/>
    <w:rsid w:val="003F2769"/>
    <w:rsid w:val="004057E4"/>
    <w:rsid w:val="004068FC"/>
    <w:rsid w:val="00407099"/>
    <w:rsid w:val="00413533"/>
    <w:rsid w:val="004146CD"/>
    <w:rsid w:val="00434BE4"/>
    <w:rsid w:val="00436FF5"/>
    <w:rsid w:val="0044651B"/>
    <w:rsid w:val="0045249D"/>
    <w:rsid w:val="0045661E"/>
    <w:rsid w:val="00457589"/>
    <w:rsid w:val="004649BB"/>
    <w:rsid w:val="004727C2"/>
    <w:rsid w:val="0048571C"/>
    <w:rsid w:val="004A3D24"/>
    <w:rsid w:val="004B51D2"/>
    <w:rsid w:val="004C0827"/>
    <w:rsid w:val="004E736D"/>
    <w:rsid w:val="004F5413"/>
    <w:rsid w:val="004F76C4"/>
    <w:rsid w:val="00510044"/>
    <w:rsid w:val="00514775"/>
    <w:rsid w:val="00521DC6"/>
    <w:rsid w:val="00523CAC"/>
    <w:rsid w:val="005268CF"/>
    <w:rsid w:val="005340AD"/>
    <w:rsid w:val="00540008"/>
    <w:rsid w:val="005515E1"/>
    <w:rsid w:val="00564E06"/>
    <w:rsid w:val="00577B60"/>
    <w:rsid w:val="00583AF1"/>
    <w:rsid w:val="00590B04"/>
    <w:rsid w:val="005B6D29"/>
    <w:rsid w:val="005C150E"/>
    <w:rsid w:val="005C42FA"/>
    <w:rsid w:val="005E5D0A"/>
    <w:rsid w:val="005E6933"/>
    <w:rsid w:val="005E74A4"/>
    <w:rsid w:val="005F79A8"/>
    <w:rsid w:val="005F7F72"/>
    <w:rsid w:val="006278FF"/>
    <w:rsid w:val="00633362"/>
    <w:rsid w:val="00644255"/>
    <w:rsid w:val="00655452"/>
    <w:rsid w:val="006564F0"/>
    <w:rsid w:val="006731B4"/>
    <w:rsid w:val="0067585D"/>
    <w:rsid w:val="00675CAF"/>
    <w:rsid w:val="00695111"/>
    <w:rsid w:val="006C23F7"/>
    <w:rsid w:val="006D06A5"/>
    <w:rsid w:val="006E236A"/>
    <w:rsid w:val="006E572F"/>
    <w:rsid w:val="006E6E9A"/>
    <w:rsid w:val="006F24BF"/>
    <w:rsid w:val="006F69CB"/>
    <w:rsid w:val="00700324"/>
    <w:rsid w:val="00707188"/>
    <w:rsid w:val="007102DF"/>
    <w:rsid w:val="00715853"/>
    <w:rsid w:val="00725C64"/>
    <w:rsid w:val="00726524"/>
    <w:rsid w:val="007407EC"/>
    <w:rsid w:val="007634E3"/>
    <w:rsid w:val="00765153"/>
    <w:rsid w:val="00765ABA"/>
    <w:rsid w:val="00767946"/>
    <w:rsid w:val="00771143"/>
    <w:rsid w:val="00773328"/>
    <w:rsid w:val="007956E8"/>
    <w:rsid w:val="007A486D"/>
    <w:rsid w:val="007A67E4"/>
    <w:rsid w:val="007A74A2"/>
    <w:rsid w:val="007C1EFC"/>
    <w:rsid w:val="007D4ACF"/>
    <w:rsid w:val="007D74E3"/>
    <w:rsid w:val="007F462F"/>
    <w:rsid w:val="008007FF"/>
    <w:rsid w:val="00801530"/>
    <w:rsid w:val="00805531"/>
    <w:rsid w:val="00807D19"/>
    <w:rsid w:val="00816485"/>
    <w:rsid w:val="00827D47"/>
    <w:rsid w:val="00836BDA"/>
    <w:rsid w:val="00841D28"/>
    <w:rsid w:val="00847D69"/>
    <w:rsid w:val="00865EAE"/>
    <w:rsid w:val="00873792"/>
    <w:rsid w:val="00884574"/>
    <w:rsid w:val="0088603B"/>
    <w:rsid w:val="00886E6B"/>
    <w:rsid w:val="0088779E"/>
    <w:rsid w:val="00896773"/>
    <w:rsid w:val="008A13B6"/>
    <w:rsid w:val="008B1FCC"/>
    <w:rsid w:val="008C2386"/>
    <w:rsid w:val="008C35A0"/>
    <w:rsid w:val="008E57D0"/>
    <w:rsid w:val="00903CF6"/>
    <w:rsid w:val="00907618"/>
    <w:rsid w:val="009162D8"/>
    <w:rsid w:val="009262C8"/>
    <w:rsid w:val="009327D0"/>
    <w:rsid w:val="00936A07"/>
    <w:rsid w:val="00940D50"/>
    <w:rsid w:val="00952145"/>
    <w:rsid w:val="0096090A"/>
    <w:rsid w:val="0096218C"/>
    <w:rsid w:val="00971AB2"/>
    <w:rsid w:val="0097783D"/>
    <w:rsid w:val="00983411"/>
    <w:rsid w:val="009835B0"/>
    <w:rsid w:val="009913BA"/>
    <w:rsid w:val="009A6DAA"/>
    <w:rsid w:val="009B6C07"/>
    <w:rsid w:val="009D20F8"/>
    <w:rsid w:val="009D31AC"/>
    <w:rsid w:val="009E39B4"/>
    <w:rsid w:val="009E6DF2"/>
    <w:rsid w:val="009F5D90"/>
    <w:rsid w:val="00A05BC4"/>
    <w:rsid w:val="00A1016B"/>
    <w:rsid w:val="00A144FB"/>
    <w:rsid w:val="00A268A0"/>
    <w:rsid w:val="00A3078A"/>
    <w:rsid w:val="00A3688A"/>
    <w:rsid w:val="00A4153C"/>
    <w:rsid w:val="00A52D1F"/>
    <w:rsid w:val="00A7184C"/>
    <w:rsid w:val="00A80850"/>
    <w:rsid w:val="00A83F82"/>
    <w:rsid w:val="00A85DF8"/>
    <w:rsid w:val="00A9234F"/>
    <w:rsid w:val="00AA3F83"/>
    <w:rsid w:val="00AB45CC"/>
    <w:rsid w:val="00AD4A26"/>
    <w:rsid w:val="00AE6143"/>
    <w:rsid w:val="00AF4FA0"/>
    <w:rsid w:val="00B0298E"/>
    <w:rsid w:val="00B21999"/>
    <w:rsid w:val="00B235B3"/>
    <w:rsid w:val="00B42062"/>
    <w:rsid w:val="00B43A24"/>
    <w:rsid w:val="00B45B4E"/>
    <w:rsid w:val="00B464C1"/>
    <w:rsid w:val="00B6276F"/>
    <w:rsid w:val="00B63908"/>
    <w:rsid w:val="00B74330"/>
    <w:rsid w:val="00BA2530"/>
    <w:rsid w:val="00BB3212"/>
    <w:rsid w:val="00BC2FD0"/>
    <w:rsid w:val="00BD0D30"/>
    <w:rsid w:val="00BF7823"/>
    <w:rsid w:val="00C11EE1"/>
    <w:rsid w:val="00C122E8"/>
    <w:rsid w:val="00C16B2B"/>
    <w:rsid w:val="00C2139E"/>
    <w:rsid w:val="00C4168B"/>
    <w:rsid w:val="00C426AF"/>
    <w:rsid w:val="00C47C46"/>
    <w:rsid w:val="00C6114E"/>
    <w:rsid w:val="00C65DFA"/>
    <w:rsid w:val="00C712B0"/>
    <w:rsid w:val="00C72250"/>
    <w:rsid w:val="00C83416"/>
    <w:rsid w:val="00C93E26"/>
    <w:rsid w:val="00CA1B33"/>
    <w:rsid w:val="00CA3DCB"/>
    <w:rsid w:val="00CB2532"/>
    <w:rsid w:val="00CB3DEA"/>
    <w:rsid w:val="00CD18B2"/>
    <w:rsid w:val="00CE3D79"/>
    <w:rsid w:val="00CF243F"/>
    <w:rsid w:val="00CF33BF"/>
    <w:rsid w:val="00CF484B"/>
    <w:rsid w:val="00D00651"/>
    <w:rsid w:val="00D01251"/>
    <w:rsid w:val="00D016BA"/>
    <w:rsid w:val="00D116B2"/>
    <w:rsid w:val="00D1173C"/>
    <w:rsid w:val="00D1567E"/>
    <w:rsid w:val="00D425FF"/>
    <w:rsid w:val="00D51301"/>
    <w:rsid w:val="00D534A1"/>
    <w:rsid w:val="00D53C30"/>
    <w:rsid w:val="00D730B9"/>
    <w:rsid w:val="00D75705"/>
    <w:rsid w:val="00D824DA"/>
    <w:rsid w:val="00D86A8F"/>
    <w:rsid w:val="00D903E4"/>
    <w:rsid w:val="00D90C37"/>
    <w:rsid w:val="00D93066"/>
    <w:rsid w:val="00D938DD"/>
    <w:rsid w:val="00D94564"/>
    <w:rsid w:val="00DB44A9"/>
    <w:rsid w:val="00DB7827"/>
    <w:rsid w:val="00DC4DEB"/>
    <w:rsid w:val="00DC5C00"/>
    <w:rsid w:val="00DD454F"/>
    <w:rsid w:val="00DE33C9"/>
    <w:rsid w:val="00DF66FE"/>
    <w:rsid w:val="00DF7899"/>
    <w:rsid w:val="00E03C7F"/>
    <w:rsid w:val="00E110CA"/>
    <w:rsid w:val="00E138A4"/>
    <w:rsid w:val="00E14747"/>
    <w:rsid w:val="00E20B06"/>
    <w:rsid w:val="00E23E75"/>
    <w:rsid w:val="00E347A8"/>
    <w:rsid w:val="00E36B31"/>
    <w:rsid w:val="00E42752"/>
    <w:rsid w:val="00E43010"/>
    <w:rsid w:val="00E5071D"/>
    <w:rsid w:val="00E530C5"/>
    <w:rsid w:val="00E63DC4"/>
    <w:rsid w:val="00E65125"/>
    <w:rsid w:val="00E73700"/>
    <w:rsid w:val="00E761D7"/>
    <w:rsid w:val="00E76669"/>
    <w:rsid w:val="00E7684C"/>
    <w:rsid w:val="00E85D1D"/>
    <w:rsid w:val="00E902E6"/>
    <w:rsid w:val="00EB0B6E"/>
    <w:rsid w:val="00EB4C34"/>
    <w:rsid w:val="00EC1CFB"/>
    <w:rsid w:val="00EE05B5"/>
    <w:rsid w:val="00EF27E8"/>
    <w:rsid w:val="00EF4AEA"/>
    <w:rsid w:val="00F03B6B"/>
    <w:rsid w:val="00F03BB8"/>
    <w:rsid w:val="00F06840"/>
    <w:rsid w:val="00F14DE6"/>
    <w:rsid w:val="00F22738"/>
    <w:rsid w:val="00F24A58"/>
    <w:rsid w:val="00F2614A"/>
    <w:rsid w:val="00F31E90"/>
    <w:rsid w:val="00F45B62"/>
    <w:rsid w:val="00F57C6B"/>
    <w:rsid w:val="00F632B8"/>
    <w:rsid w:val="00F656D9"/>
    <w:rsid w:val="00F67187"/>
    <w:rsid w:val="00F80221"/>
    <w:rsid w:val="00F87130"/>
    <w:rsid w:val="00F93FA0"/>
    <w:rsid w:val="00FB1A7F"/>
    <w:rsid w:val="00FB28B4"/>
    <w:rsid w:val="00FB2E1B"/>
    <w:rsid w:val="00FB73B4"/>
    <w:rsid w:val="00FB75C2"/>
    <w:rsid w:val="00FC1727"/>
    <w:rsid w:val="00FC6DD5"/>
    <w:rsid w:val="00FE0160"/>
    <w:rsid w:val="00FE317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9BA6"/>
  <w15:chartTrackingRefBased/>
  <w15:docId w15:val="{DABDB664-481E-4409-A93C-FB9217DD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3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B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B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B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B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B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B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B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B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3B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B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B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B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BB8"/>
    <w:rPr>
      <w:rFonts w:eastAsiaTheme="majorEastAsia" w:cstheme="majorBidi"/>
      <w:color w:val="272727" w:themeColor="text1" w:themeTint="D8"/>
    </w:rPr>
  </w:style>
  <w:style w:type="paragraph" w:styleId="Title">
    <w:name w:val="Title"/>
    <w:basedOn w:val="Normal"/>
    <w:next w:val="Normal"/>
    <w:link w:val="TitleChar"/>
    <w:uiPriority w:val="10"/>
    <w:qFormat/>
    <w:rsid w:val="00F03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B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BB8"/>
    <w:pPr>
      <w:spacing w:before="160"/>
      <w:jc w:val="center"/>
    </w:pPr>
    <w:rPr>
      <w:i/>
      <w:iCs/>
      <w:color w:val="404040" w:themeColor="text1" w:themeTint="BF"/>
    </w:rPr>
  </w:style>
  <w:style w:type="character" w:customStyle="1" w:styleId="QuoteChar">
    <w:name w:val="Quote Char"/>
    <w:basedOn w:val="DefaultParagraphFont"/>
    <w:link w:val="Quote"/>
    <w:uiPriority w:val="29"/>
    <w:rsid w:val="00F03BB8"/>
    <w:rPr>
      <w:i/>
      <w:iCs/>
      <w:color w:val="404040" w:themeColor="text1" w:themeTint="BF"/>
    </w:rPr>
  </w:style>
  <w:style w:type="paragraph" w:styleId="ListParagraph">
    <w:name w:val="List Paragraph"/>
    <w:aliases w:val="Colorful List - Accent 11,Lista vistosa - Énfasis 11,Footnote,List Paragraph1,Párrafo de lista1,List Paragraph2,Subtle Emphasis1,Footnote1,List Paragraph11,Parrafos"/>
    <w:basedOn w:val="Normal"/>
    <w:link w:val="ListParagraphChar"/>
    <w:qFormat/>
    <w:rsid w:val="00F03BB8"/>
    <w:pPr>
      <w:ind w:left="720"/>
      <w:contextualSpacing/>
    </w:pPr>
  </w:style>
  <w:style w:type="character" w:styleId="IntenseEmphasis">
    <w:name w:val="Intense Emphasis"/>
    <w:basedOn w:val="DefaultParagraphFont"/>
    <w:uiPriority w:val="21"/>
    <w:qFormat/>
    <w:rsid w:val="00F03BB8"/>
    <w:rPr>
      <w:i/>
      <w:iCs/>
      <w:color w:val="0F4761" w:themeColor="accent1" w:themeShade="BF"/>
    </w:rPr>
  </w:style>
  <w:style w:type="paragraph" w:styleId="IntenseQuote">
    <w:name w:val="Intense Quote"/>
    <w:basedOn w:val="Normal"/>
    <w:next w:val="Normal"/>
    <w:link w:val="IntenseQuoteChar"/>
    <w:uiPriority w:val="30"/>
    <w:qFormat/>
    <w:rsid w:val="00F03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BB8"/>
    <w:rPr>
      <w:i/>
      <w:iCs/>
      <w:color w:val="0F4761" w:themeColor="accent1" w:themeShade="BF"/>
    </w:rPr>
  </w:style>
  <w:style w:type="character" w:styleId="IntenseReference">
    <w:name w:val="Intense Reference"/>
    <w:basedOn w:val="DefaultParagraphFont"/>
    <w:uiPriority w:val="32"/>
    <w:qFormat/>
    <w:rsid w:val="00F03BB8"/>
    <w:rPr>
      <w:b/>
      <w:bCs/>
      <w:smallCaps/>
      <w:color w:val="0F4761" w:themeColor="accent1" w:themeShade="BF"/>
      <w:spacing w:val="5"/>
    </w:rPr>
  </w:style>
  <w:style w:type="paragraph" w:styleId="FootnoteText">
    <w:name w:val="footnote text"/>
    <w:aliases w:val="FA Fu,Footnote Text Char Char Char Char Char,Footnote Text Char Char Char Char,Footnote reference,Footnote Text Char Char Char,FA Fu Car,FA Fu Car Car,Footnote Text Cha,FA Fußnotentext,FA Fuﬂnotentext,FA Fu?notentext,Ca,FA Fu?notente,C,ft"/>
    <w:basedOn w:val="Normal"/>
    <w:link w:val="FootnoteTextChar"/>
    <w:unhideWhenUsed/>
    <w:qFormat/>
    <w:rsid w:val="00F03BB8"/>
    <w:pPr>
      <w:spacing w:after="0" w:line="240" w:lineRule="auto"/>
    </w:pPr>
    <w:rPr>
      <w:kern w:val="0"/>
      <w:sz w:val="20"/>
      <w:szCs w:val="20"/>
      <w:lang w:val="es-CO"/>
      <w14:ligatures w14:val="none"/>
    </w:rPr>
  </w:style>
  <w:style w:type="character" w:customStyle="1" w:styleId="FootnoteTextChar">
    <w:name w:val="Footnote Text Char"/>
    <w:aliases w:val="FA Fu Char,Footnote Text Char Char Char Char Char Char,Footnote Text Char Char Char Char Char1,Footnote reference Char,Footnote Text Char Char Char Char1,FA Fu Car Char,FA Fu Car Car Char,Footnote Text Cha Char,FA Fußnotentext Char"/>
    <w:basedOn w:val="DefaultParagraphFont"/>
    <w:link w:val="FootnoteText"/>
    <w:qFormat/>
    <w:rsid w:val="00F03BB8"/>
    <w:rPr>
      <w:kern w:val="0"/>
      <w:sz w:val="20"/>
      <w:szCs w:val="20"/>
      <w:lang w:val="es-CO"/>
      <w14:ligatures w14:val="none"/>
    </w:rPr>
  </w:style>
  <w:style w:type="character" w:styleId="FootnoteReference">
    <w:name w:val="footnote reference"/>
    <w:aliases w:val="Texto de nota al pie,Appel note de bas de page,Footnotes refss,Footnote number,referencia nota al pie,BVI fnr,f,4_G,16 Point,Superscript 6 Point,Footnote Reference Char3,Footnote Reference Char1 Char,Footnote Reference Char Char Char"/>
    <w:basedOn w:val="DefaultParagraphFont"/>
    <w:link w:val="4GChar"/>
    <w:uiPriority w:val="99"/>
    <w:unhideWhenUsed/>
    <w:qFormat/>
    <w:rsid w:val="00F03BB8"/>
    <w:rPr>
      <w:vertAlign w:val="superscript"/>
    </w:rPr>
  </w:style>
  <w:style w:type="character" w:customStyle="1" w:styleId="ListParagraphChar">
    <w:name w:val="List Paragraph Char"/>
    <w:aliases w:val="Colorful List - Accent 11 Char,Lista vistosa - Énfasis 11 Char,Footnote Char,List Paragraph1 Char,Párrafo de lista1 Char,List Paragraph2 Char,Subtle Emphasis1 Char,Footnote1 Char,List Paragraph11 Char,Parrafos Char"/>
    <w:basedOn w:val="DefaultParagraphFont"/>
    <w:link w:val="ListParagraph"/>
    <w:locked/>
    <w:rsid w:val="00F03BB8"/>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qFormat/>
    <w:rsid w:val="00F03BB8"/>
    <w:pPr>
      <w:spacing w:after="0" w:line="240" w:lineRule="auto"/>
      <w:jc w:val="both"/>
    </w:pPr>
    <w:rPr>
      <w:vertAlign w:val="superscript"/>
    </w:rPr>
  </w:style>
  <w:style w:type="paragraph" w:styleId="Header">
    <w:name w:val="header"/>
    <w:basedOn w:val="Normal"/>
    <w:link w:val="HeaderChar"/>
    <w:uiPriority w:val="99"/>
    <w:unhideWhenUsed/>
    <w:rsid w:val="0088603B"/>
    <w:pPr>
      <w:tabs>
        <w:tab w:val="center" w:pos="4252"/>
        <w:tab w:val="right" w:pos="8504"/>
      </w:tabs>
      <w:spacing w:after="0" w:line="240" w:lineRule="auto"/>
    </w:pPr>
  </w:style>
  <w:style w:type="character" w:customStyle="1" w:styleId="HeaderChar">
    <w:name w:val="Header Char"/>
    <w:basedOn w:val="DefaultParagraphFont"/>
    <w:link w:val="Header"/>
    <w:uiPriority w:val="99"/>
    <w:rsid w:val="0088603B"/>
  </w:style>
  <w:style w:type="paragraph" w:styleId="Footer">
    <w:name w:val="footer"/>
    <w:basedOn w:val="Normal"/>
    <w:link w:val="FooterChar"/>
    <w:uiPriority w:val="99"/>
    <w:unhideWhenUsed/>
    <w:rsid w:val="0088603B"/>
    <w:pPr>
      <w:tabs>
        <w:tab w:val="center" w:pos="4252"/>
        <w:tab w:val="right" w:pos="8504"/>
      </w:tabs>
      <w:spacing w:after="0" w:line="240" w:lineRule="auto"/>
    </w:pPr>
  </w:style>
  <w:style w:type="character" w:customStyle="1" w:styleId="FooterChar">
    <w:name w:val="Footer Char"/>
    <w:basedOn w:val="DefaultParagraphFont"/>
    <w:link w:val="Footer"/>
    <w:uiPriority w:val="99"/>
    <w:rsid w:val="00886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63648">
      <w:bodyDiv w:val="1"/>
      <w:marLeft w:val="0"/>
      <w:marRight w:val="0"/>
      <w:marTop w:val="0"/>
      <w:marBottom w:val="0"/>
      <w:divBdr>
        <w:top w:val="none" w:sz="0" w:space="0" w:color="auto"/>
        <w:left w:val="none" w:sz="0" w:space="0" w:color="auto"/>
        <w:bottom w:val="none" w:sz="0" w:space="0" w:color="auto"/>
        <w:right w:val="none" w:sz="0" w:space="0" w:color="auto"/>
      </w:divBdr>
    </w:div>
    <w:div w:id="325788101">
      <w:bodyDiv w:val="1"/>
      <w:marLeft w:val="0"/>
      <w:marRight w:val="0"/>
      <w:marTop w:val="0"/>
      <w:marBottom w:val="0"/>
      <w:divBdr>
        <w:top w:val="none" w:sz="0" w:space="0" w:color="auto"/>
        <w:left w:val="none" w:sz="0" w:space="0" w:color="auto"/>
        <w:bottom w:val="none" w:sz="0" w:space="0" w:color="auto"/>
        <w:right w:val="none" w:sz="0" w:space="0" w:color="auto"/>
      </w:divBdr>
    </w:div>
    <w:div w:id="1500733174">
      <w:bodyDiv w:val="1"/>
      <w:marLeft w:val="0"/>
      <w:marRight w:val="0"/>
      <w:marTop w:val="0"/>
      <w:marBottom w:val="0"/>
      <w:divBdr>
        <w:top w:val="none" w:sz="0" w:space="0" w:color="auto"/>
        <w:left w:val="none" w:sz="0" w:space="0" w:color="auto"/>
        <w:bottom w:val="none" w:sz="0" w:space="0" w:color="auto"/>
        <w:right w:val="none" w:sz="0" w:space="0" w:color="auto"/>
      </w:divBdr>
    </w:div>
    <w:div w:id="1565409267">
      <w:bodyDiv w:val="1"/>
      <w:marLeft w:val="0"/>
      <w:marRight w:val="0"/>
      <w:marTop w:val="0"/>
      <w:marBottom w:val="0"/>
      <w:divBdr>
        <w:top w:val="none" w:sz="0" w:space="0" w:color="auto"/>
        <w:left w:val="none" w:sz="0" w:space="0" w:color="auto"/>
        <w:bottom w:val="none" w:sz="0" w:space="0" w:color="auto"/>
        <w:right w:val="none" w:sz="0" w:space="0" w:color="auto"/>
      </w:divBdr>
    </w:div>
    <w:div w:id="1757433008">
      <w:bodyDiv w:val="1"/>
      <w:marLeft w:val="0"/>
      <w:marRight w:val="0"/>
      <w:marTop w:val="0"/>
      <w:marBottom w:val="0"/>
      <w:divBdr>
        <w:top w:val="none" w:sz="0" w:space="0" w:color="auto"/>
        <w:left w:val="none" w:sz="0" w:space="0" w:color="auto"/>
        <w:bottom w:val="none" w:sz="0" w:space="0" w:color="auto"/>
        <w:right w:val="none" w:sz="0" w:space="0" w:color="auto"/>
      </w:divBdr>
    </w:div>
    <w:div w:id="1951352077">
      <w:bodyDiv w:val="1"/>
      <w:marLeft w:val="0"/>
      <w:marRight w:val="0"/>
      <w:marTop w:val="0"/>
      <w:marBottom w:val="0"/>
      <w:divBdr>
        <w:top w:val="none" w:sz="0" w:space="0" w:color="auto"/>
        <w:left w:val="none" w:sz="0" w:space="0" w:color="auto"/>
        <w:bottom w:val="none" w:sz="0" w:space="0" w:color="auto"/>
        <w:right w:val="none" w:sz="0" w:space="0" w:color="auto"/>
      </w:divBdr>
    </w:div>
    <w:div w:id="1984113290">
      <w:bodyDiv w:val="1"/>
      <w:marLeft w:val="0"/>
      <w:marRight w:val="0"/>
      <w:marTop w:val="0"/>
      <w:marBottom w:val="0"/>
      <w:divBdr>
        <w:top w:val="none" w:sz="0" w:space="0" w:color="auto"/>
        <w:left w:val="none" w:sz="0" w:space="0" w:color="auto"/>
        <w:bottom w:val="none" w:sz="0" w:space="0" w:color="auto"/>
        <w:right w:val="none" w:sz="0" w:space="0" w:color="auto"/>
      </w:divBdr>
    </w:div>
    <w:div w:id="213374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12615-0D8B-433E-B970-FF8178C01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2857</Words>
  <Characters>15001</Characters>
  <Application>Microsoft Office Word</Application>
  <DocSecurity>0</DocSecurity>
  <Lines>263</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 IDH</dc:creator>
  <cp:keywords/>
  <dc:description/>
  <cp:lastModifiedBy>L.F L.F</cp:lastModifiedBy>
  <cp:revision>2</cp:revision>
  <cp:lastPrinted>2024-12-02T18:33:00Z</cp:lastPrinted>
  <dcterms:created xsi:type="dcterms:W3CDTF">2026-01-12T23:43:00Z</dcterms:created>
  <dcterms:modified xsi:type="dcterms:W3CDTF">2026-01-12T23:43:00Z</dcterms:modified>
</cp:coreProperties>
</file>