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AB27" w14:textId="2CC940B3" w:rsidR="00DF5533" w:rsidRPr="001017CB" w:rsidRDefault="00DF5533" w:rsidP="00DF5533">
      <w:pPr>
        <w:spacing w:after="0" w:line="360" w:lineRule="auto"/>
        <w:jc w:val="center"/>
        <w:rPr>
          <w:rFonts w:ascii="Verdana" w:hAnsi="Verdana"/>
          <w:b/>
          <w:sz w:val="20"/>
          <w:szCs w:val="20"/>
          <w:lang w:val="es-ES"/>
        </w:rPr>
      </w:pPr>
      <w:r w:rsidRPr="001017CB">
        <w:rPr>
          <w:rFonts w:ascii="Verdana" w:hAnsi="Verdana"/>
          <w:b/>
          <w:sz w:val="20"/>
          <w:szCs w:val="20"/>
          <w:lang w:val="es-ES"/>
        </w:rPr>
        <w:t xml:space="preserve">VOTO </w:t>
      </w:r>
      <w:r w:rsidR="00D10BDA">
        <w:rPr>
          <w:rFonts w:ascii="Verdana" w:hAnsi="Verdana"/>
          <w:b/>
          <w:sz w:val="20"/>
          <w:szCs w:val="20"/>
          <w:lang w:val="es-ES"/>
        </w:rPr>
        <w:t>CONCURRENTE</w:t>
      </w:r>
      <w:r w:rsidRPr="001017CB">
        <w:rPr>
          <w:rFonts w:ascii="Verdana" w:hAnsi="Verdana"/>
          <w:b/>
          <w:sz w:val="20"/>
          <w:szCs w:val="20"/>
          <w:lang w:val="es-ES"/>
        </w:rPr>
        <w:t xml:space="preserve"> DEL JUEZ</w:t>
      </w:r>
    </w:p>
    <w:p w14:paraId="62B5606E" w14:textId="39AEC599" w:rsidR="00871D7D" w:rsidRPr="001017CB" w:rsidRDefault="00DF5533" w:rsidP="00520C2E">
      <w:pPr>
        <w:spacing w:after="120" w:line="240" w:lineRule="auto"/>
        <w:jc w:val="center"/>
        <w:rPr>
          <w:rFonts w:ascii="Verdana" w:hAnsi="Verdana"/>
          <w:b/>
          <w:sz w:val="20"/>
          <w:szCs w:val="20"/>
          <w:lang w:val="es-ES"/>
        </w:rPr>
      </w:pPr>
      <w:r w:rsidRPr="001017CB">
        <w:rPr>
          <w:rFonts w:ascii="Verdana" w:hAnsi="Verdana"/>
          <w:b/>
          <w:sz w:val="20"/>
          <w:szCs w:val="20"/>
          <w:lang w:val="es-ES"/>
        </w:rPr>
        <w:t>EDUARDO FERRER MAC-GREGOR POISOT</w:t>
      </w:r>
    </w:p>
    <w:p w14:paraId="717B9A42" w14:textId="77777777" w:rsidR="00520C2E" w:rsidRPr="009F512A" w:rsidRDefault="00520C2E" w:rsidP="00520C2E">
      <w:pPr>
        <w:pStyle w:val="ListParagraph"/>
        <w:tabs>
          <w:tab w:val="left" w:pos="1843"/>
        </w:tabs>
        <w:autoSpaceDE w:val="0"/>
        <w:autoSpaceDN w:val="0"/>
        <w:adjustRightInd w:val="0"/>
        <w:spacing w:after="120" w:line="240" w:lineRule="auto"/>
        <w:ind w:left="0"/>
        <w:jc w:val="center"/>
        <w:rPr>
          <w:rFonts w:ascii="Verdana" w:hAnsi="Verdana"/>
          <w:color w:val="000000" w:themeColor="text1"/>
          <w:sz w:val="20"/>
          <w:szCs w:val="20"/>
          <w:u w:val="single"/>
          <w:lang w:val="es-ES"/>
        </w:rPr>
      </w:pPr>
    </w:p>
    <w:p w14:paraId="5A00FFAA" w14:textId="622646EB" w:rsidR="00DF5533" w:rsidRPr="00520C2E" w:rsidRDefault="00DF5533" w:rsidP="00520C2E">
      <w:pPr>
        <w:pStyle w:val="ListParagraph"/>
        <w:tabs>
          <w:tab w:val="left" w:pos="1843"/>
        </w:tabs>
        <w:autoSpaceDE w:val="0"/>
        <w:autoSpaceDN w:val="0"/>
        <w:adjustRightInd w:val="0"/>
        <w:spacing w:after="120" w:line="240" w:lineRule="auto"/>
        <w:ind w:left="0"/>
        <w:jc w:val="center"/>
        <w:rPr>
          <w:rFonts w:ascii="Verdana" w:eastAsia="MS Mincho" w:hAnsi="Verdana"/>
          <w:b/>
          <w:i/>
          <w:iCs/>
          <w:sz w:val="20"/>
          <w:szCs w:val="20"/>
          <w:u w:val="single"/>
          <w:lang w:val="es-CR" w:eastAsia="es-CR"/>
        </w:rPr>
      </w:pPr>
      <w:r w:rsidRPr="007E1845">
        <w:rPr>
          <w:rFonts w:ascii="Verdana" w:hAnsi="Verdana"/>
          <w:b/>
          <w:bCs/>
          <w:i/>
          <w:iCs/>
          <w:color w:val="000000" w:themeColor="text1"/>
          <w:sz w:val="20"/>
          <w:szCs w:val="20"/>
          <w:u w:val="single"/>
          <w:lang w:val="es-ES"/>
        </w:rPr>
        <w:t xml:space="preserve">CASO </w:t>
      </w:r>
      <w:r>
        <w:rPr>
          <w:rFonts w:ascii="Verdana" w:hAnsi="Verdana"/>
          <w:b/>
          <w:bCs/>
          <w:i/>
          <w:iCs/>
          <w:color w:val="000000" w:themeColor="text1"/>
          <w:sz w:val="20"/>
          <w:szCs w:val="20"/>
          <w:u w:val="single"/>
          <w:lang w:val="es-ES"/>
        </w:rPr>
        <w:t>CAPRILES VS. VENEZUELA</w:t>
      </w:r>
    </w:p>
    <w:p w14:paraId="6813FEE3" w14:textId="77777777" w:rsidR="00520C2E" w:rsidRPr="009F512A" w:rsidRDefault="00520C2E" w:rsidP="00520C2E">
      <w:pPr>
        <w:spacing w:after="120" w:line="240" w:lineRule="auto"/>
        <w:jc w:val="center"/>
        <w:rPr>
          <w:rFonts w:ascii="Verdana" w:hAnsi="Verdana"/>
          <w:bCs/>
          <w:iCs/>
          <w:sz w:val="18"/>
          <w:szCs w:val="18"/>
        </w:rPr>
      </w:pPr>
    </w:p>
    <w:p w14:paraId="735CFF96" w14:textId="44EA3585" w:rsidR="00DF5533" w:rsidRPr="007E1845" w:rsidRDefault="00DF5533" w:rsidP="00520C2E">
      <w:pPr>
        <w:spacing w:after="120" w:line="240" w:lineRule="auto"/>
        <w:jc w:val="center"/>
        <w:rPr>
          <w:rFonts w:ascii="Verdana" w:hAnsi="Verdana"/>
          <w:b/>
          <w:i/>
          <w:sz w:val="18"/>
          <w:szCs w:val="18"/>
        </w:rPr>
      </w:pPr>
      <w:r>
        <w:rPr>
          <w:rFonts w:ascii="Verdana" w:hAnsi="Verdana"/>
          <w:b/>
          <w:i/>
          <w:sz w:val="18"/>
          <w:szCs w:val="18"/>
        </w:rPr>
        <w:t>SENTENCIA DE 10</w:t>
      </w:r>
      <w:r w:rsidRPr="007E1845">
        <w:rPr>
          <w:rFonts w:ascii="Verdana" w:hAnsi="Verdana"/>
          <w:b/>
          <w:i/>
          <w:sz w:val="18"/>
          <w:szCs w:val="18"/>
        </w:rPr>
        <w:t xml:space="preserve"> DE </w:t>
      </w:r>
      <w:r>
        <w:rPr>
          <w:rFonts w:ascii="Verdana" w:hAnsi="Verdana"/>
          <w:b/>
          <w:i/>
          <w:sz w:val="18"/>
          <w:szCs w:val="18"/>
        </w:rPr>
        <w:t>OCTUBRE DE 2024</w:t>
      </w:r>
    </w:p>
    <w:p w14:paraId="51C60DBC" w14:textId="27E942C5" w:rsidR="00DF5533" w:rsidRPr="007E1845" w:rsidRDefault="00DF5533" w:rsidP="00DF5533">
      <w:pPr>
        <w:spacing w:after="0" w:line="240" w:lineRule="auto"/>
        <w:jc w:val="center"/>
        <w:rPr>
          <w:rFonts w:ascii="Verdana" w:hAnsi="Verdana"/>
          <w:b/>
          <w:i/>
          <w:sz w:val="18"/>
          <w:szCs w:val="18"/>
        </w:rPr>
      </w:pPr>
      <w:r w:rsidRPr="007E1845">
        <w:rPr>
          <w:rFonts w:ascii="Verdana" w:hAnsi="Verdana"/>
          <w:b/>
          <w:i/>
          <w:sz w:val="18"/>
          <w:szCs w:val="18"/>
        </w:rPr>
        <w:t>(</w:t>
      </w:r>
      <w:r>
        <w:rPr>
          <w:rFonts w:ascii="Verdana" w:hAnsi="Verdana"/>
          <w:b/>
          <w:i/>
          <w:sz w:val="18"/>
          <w:szCs w:val="18"/>
        </w:rPr>
        <w:t xml:space="preserve">Excepción Preliminar, </w:t>
      </w:r>
      <w:r w:rsidRPr="007E1845">
        <w:rPr>
          <w:rFonts w:ascii="Verdana" w:hAnsi="Verdana"/>
          <w:b/>
          <w:i/>
          <w:sz w:val="18"/>
          <w:szCs w:val="18"/>
        </w:rPr>
        <w:t>Fondo, Reparaciones y Costas)</w:t>
      </w:r>
    </w:p>
    <w:p w14:paraId="3609C308" w14:textId="30FDD710" w:rsidR="00DF5533" w:rsidRPr="009F512A" w:rsidRDefault="00DF5533" w:rsidP="00DF5533">
      <w:pPr>
        <w:spacing w:after="0" w:line="240" w:lineRule="auto"/>
        <w:jc w:val="center"/>
        <w:rPr>
          <w:rFonts w:ascii="Verdana" w:eastAsia="Times New Roman" w:hAnsi="Verdana" w:cs="Calibri"/>
          <w:color w:val="000000" w:themeColor="text1"/>
          <w:sz w:val="20"/>
          <w:szCs w:val="20"/>
          <w:lang w:val="es-ES" w:eastAsia="es-MX"/>
        </w:rPr>
      </w:pPr>
    </w:p>
    <w:p w14:paraId="153056AF" w14:textId="77777777" w:rsidR="00267B70" w:rsidRPr="009F512A" w:rsidRDefault="00267B70" w:rsidP="00DF5533">
      <w:pPr>
        <w:spacing w:after="0" w:line="240" w:lineRule="auto"/>
        <w:jc w:val="center"/>
        <w:rPr>
          <w:rFonts w:ascii="Verdana" w:eastAsia="Times New Roman" w:hAnsi="Verdana" w:cs="Calibri"/>
          <w:color w:val="000000" w:themeColor="text1"/>
          <w:sz w:val="20"/>
          <w:szCs w:val="20"/>
          <w:lang w:val="es-ES" w:eastAsia="es-MX"/>
        </w:rPr>
      </w:pPr>
    </w:p>
    <w:p w14:paraId="10E8C365" w14:textId="2F9D9C6B" w:rsidR="00871D7D" w:rsidRDefault="00DF5533" w:rsidP="003268DC">
      <w:pPr>
        <w:spacing w:after="0" w:line="240" w:lineRule="auto"/>
        <w:jc w:val="center"/>
        <w:rPr>
          <w:rFonts w:ascii="Verdana" w:hAnsi="Verdana"/>
          <w:color w:val="000000" w:themeColor="text1"/>
          <w:sz w:val="20"/>
          <w:szCs w:val="20"/>
          <w:lang w:val="es-ES"/>
        </w:rPr>
      </w:pPr>
      <w:r w:rsidRPr="00132C22">
        <w:rPr>
          <w:rFonts w:ascii="Verdana" w:hAnsi="Verdana"/>
          <w:color w:val="000000" w:themeColor="text1"/>
          <w:sz w:val="20"/>
          <w:szCs w:val="20"/>
          <w:lang w:val="es-ES"/>
        </w:rPr>
        <w:t>INTRODUCCIÓN</w:t>
      </w:r>
      <w:r w:rsidR="009478AB">
        <w:rPr>
          <w:rFonts w:ascii="Verdana" w:hAnsi="Verdana"/>
          <w:color w:val="000000" w:themeColor="text1"/>
          <w:sz w:val="20"/>
          <w:szCs w:val="20"/>
          <w:lang w:val="es-ES"/>
        </w:rPr>
        <w:t>:</w:t>
      </w:r>
    </w:p>
    <w:p w14:paraId="4C8678FB" w14:textId="77777777" w:rsidR="003268DC" w:rsidRDefault="003268DC" w:rsidP="003268DC">
      <w:pPr>
        <w:spacing w:after="0" w:line="240" w:lineRule="auto"/>
        <w:jc w:val="center"/>
        <w:rPr>
          <w:rFonts w:ascii="Verdana" w:hAnsi="Verdana"/>
          <w:color w:val="000000" w:themeColor="text1"/>
          <w:sz w:val="20"/>
          <w:szCs w:val="20"/>
          <w:lang w:val="es-ES"/>
        </w:rPr>
      </w:pPr>
    </w:p>
    <w:p w14:paraId="029C88F2" w14:textId="10A6441F" w:rsidR="009478AB" w:rsidRDefault="00840107" w:rsidP="00840107">
      <w:pPr>
        <w:spacing w:after="0" w:line="240" w:lineRule="auto"/>
        <w:jc w:val="center"/>
        <w:rPr>
          <w:rFonts w:ascii="Verdana" w:hAnsi="Verdana"/>
          <w:color w:val="000000" w:themeColor="text1"/>
          <w:sz w:val="20"/>
          <w:szCs w:val="20"/>
          <w:lang w:val="es-ES"/>
        </w:rPr>
      </w:pPr>
      <w:r>
        <w:rPr>
          <w:rFonts w:ascii="Verdana" w:hAnsi="Verdana"/>
          <w:color w:val="000000" w:themeColor="text1"/>
          <w:sz w:val="20"/>
          <w:szCs w:val="20"/>
          <w:lang w:val="es-ES"/>
        </w:rPr>
        <w:t xml:space="preserve">LA </w:t>
      </w:r>
      <w:r w:rsidR="009478AB">
        <w:rPr>
          <w:rFonts w:ascii="Verdana" w:hAnsi="Verdana"/>
          <w:color w:val="000000" w:themeColor="text1"/>
          <w:sz w:val="20"/>
          <w:szCs w:val="20"/>
          <w:lang w:val="es-ES"/>
        </w:rPr>
        <w:t xml:space="preserve">INTEGRIDAD ELECTORAL </w:t>
      </w:r>
      <w:r>
        <w:rPr>
          <w:rFonts w:ascii="Verdana" w:hAnsi="Verdana"/>
          <w:color w:val="000000" w:themeColor="text1"/>
          <w:sz w:val="20"/>
          <w:szCs w:val="20"/>
          <w:lang w:val="es-ES"/>
        </w:rPr>
        <w:t xml:space="preserve">Y </w:t>
      </w:r>
      <w:r w:rsidR="007F27A8">
        <w:rPr>
          <w:rFonts w:ascii="Verdana" w:hAnsi="Verdana"/>
          <w:color w:val="000000" w:themeColor="text1"/>
          <w:sz w:val="20"/>
          <w:szCs w:val="20"/>
          <w:lang w:val="es-ES"/>
        </w:rPr>
        <w:t xml:space="preserve">EL </w:t>
      </w:r>
      <w:r w:rsidR="009478AB">
        <w:rPr>
          <w:rFonts w:ascii="Verdana" w:hAnsi="Verdana"/>
          <w:color w:val="000000" w:themeColor="text1"/>
          <w:sz w:val="20"/>
          <w:szCs w:val="20"/>
          <w:lang w:val="es-ES"/>
        </w:rPr>
        <w:t>DERECHO A LA DEMOCRACIA</w:t>
      </w:r>
    </w:p>
    <w:p w14:paraId="1433D974" w14:textId="77777777" w:rsidR="00D17E6B" w:rsidRPr="00D17E6B" w:rsidRDefault="00D17E6B" w:rsidP="00D17E6B">
      <w:pPr>
        <w:spacing w:after="0" w:line="240" w:lineRule="auto"/>
        <w:jc w:val="center"/>
        <w:rPr>
          <w:rFonts w:ascii="Verdana" w:hAnsi="Verdana"/>
          <w:color w:val="000000" w:themeColor="text1"/>
          <w:sz w:val="20"/>
          <w:szCs w:val="20"/>
          <w:lang w:val="es-ES"/>
        </w:rPr>
      </w:pPr>
    </w:p>
    <w:p w14:paraId="27DE6E94" w14:textId="2FE2E5A3" w:rsidR="007F27A8" w:rsidRPr="00CB2B32" w:rsidRDefault="008D3AA5" w:rsidP="00CB2B32">
      <w:pPr>
        <w:pStyle w:val="ListParagraph"/>
        <w:numPr>
          <w:ilvl w:val="0"/>
          <w:numId w:val="1"/>
        </w:numPr>
        <w:spacing w:line="240" w:lineRule="auto"/>
        <w:ind w:left="0" w:firstLine="0"/>
        <w:jc w:val="both"/>
        <w:rPr>
          <w:rFonts w:ascii="Verdana" w:hAnsi="Verdana"/>
          <w:color w:val="000000" w:themeColor="text1"/>
          <w:sz w:val="20"/>
          <w:szCs w:val="20"/>
          <w:lang w:val="es-ES"/>
        </w:rPr>
      </w:pPr>
      <w:r w:rsidRPr="00590665">
        <w:rPr>
          <w:rFonts w:ascii="Verdana" w:hAnsi="Verdana"/>
          <w:color w:val="000000" w:themeColor="text1"/>
          <w:sz w:val="20"/>
          <w:szCs w:val="20"/>
          <w:lang w:val="es-ES"/>
        </w:rPr>
        <w:t xml:space="preserve">La celebración de elecciones periódicas, libres, justas y basadas en el sufragio universal y secreto es uno de los elementos esenciales de la </w:t>
      </w:r>
      <w:r w:rsidRPr="0070642A">
        <w:rPr>
          <w:rFonts w:ascii="Verdana" w:hAnsi="Verdana"/>
          <w:i/>
          <w:iCs/>
          <w:color w:val="000000" w:themeColor="text1"/>
          <w:sz w:val="20"/>
          <w:szCs w:val="20"/>
          <w:lang w:val="es-ES"/>
        </w:rPr>
        <w:t>democracia representativa</w:t>
      </w:r>
      <w:r w:rsidR="00D17E6B">
        <w:rPr>
          <w:rFonts w:ascii="Verdana" w:hAnsi="Verdana"/>
          <w:color w:val="000000" w:themeColor="text1"/>
          <w:sz w:val="20"/>
          <w:szCs w:val="20"/>
          <w:lang w:val="es-ES"/>
        </w:rPr>
        <w:t>.</w:t>
      </w:r>
      <w:r w:rsidRPr="00590665">
        <w:rPr>
          <w:rFonts w:ascii="Verdana" w:hAnsi="Verdana"/>
          <w:color w:val="000000" w:themeColor="text1"/>
          <w:sz w:val="20"/>
          <w:szCs w:val="20"/>
          <w:lang w:val="es-ES"/>
        </w:rPr>
        <w:t xml:space="preserve"> </w:t>
      </w:r>
      <w:r w:rsidR="00D17E6B">
        <w:rPr>
          <w:rFonts w:ascii="Verdana" w:hAnsi="Verdana"/>
          <w:color w:val="000000" w:themeColor="text1"/>
          <w:sz w:val="20"/>
          <w:szCs w:val="20"/>
          <w:lang w:val="es-ES"/>
        </w:rPr>
        <w:t xml:space="preserve">Constituye el </w:t>
      </w:r>
      <w:r w:rsidRPr="00590665">
        <w:rPr>
          <w:rFonts w:ascii="Verdana" w:hAnsi="Verdana"/>
          <w:color w:val="000000" w:themeColor="text1"/>
          <w:sz w:val="20"/>
          <w:szCs w:val="20"/>
          <w:lang w:val="es-ES"/>
        </w:rPr>
        <w:t>mecanismo por excelencia para dilucidar la voluntad popular y dar efecto a la soberanía del pueblo. Es, por un lado, un proceso que permite el acceso a los cargos públicos y, por otro, un mecanismo de rendición de cuentas</w:t>
      </w:r>
      <w:r w:rsidR="00D17E6B">
        <w:rPr>
          <w:rFonts w:ascii="Verdana" w:hAnsi="Verdana"/>
          <w:color w:val="000000" w:themeColor="text1"/>
          <w:sz w:val="20"/>
          <w:szCs w:val="20"/>
          <w:lang w:val="es-ES"/>
        </w:rPr>
        <w:t>,</w:t>
      </w:r>
      <w:r w:rsidRPr="00590665">
        <w:rPr>
          <w:rFonts w:ascii="Verdana" w:hAnsi="Verdana"/>
          <w:color w:val="000000" w:themeColor="text1"/>
          <w:sz w:val="20"/>
          <w:szCs w:val="20"/>
          <w:lang w:val="es-ES"/>
        </w:rPr>
        <w:t xml:space="preserve"> que permite a la ciudadanía elegir la dirección en la cual se encaminará su país, reeligiendo al partido </w:t>
      </w:r>
      <w:r w:rsidR="00141590">
        <w:rPr>
          <w:rFonts w:ascii="Verdana" w:hAnsi="Verdana"/>
          <w:color w:val="000000" w:themeColor="text1"/>
          <w:sz w:val="20"/>
          <w:szCs w:val="20"/>
          <w:lang w:val="es-ES"/>
        </w:rPr>
        <w:t xml:space="preserve">o candidato </w:t>
      </w:r>
      <w:r w:rsidRPr="00590665">
        <w:rPr>
          <w:rFonts w:ascii="Verdana" w:hAnsi="Verdana"/>
          <w:color w:val="000000" w:themeColor="text1"/>
          <w:sz w:val="20"/>
          <w:szCs w:val="20"/>
          <w:lang w:val="es-ES"/>
        </w:rPr>
        <w:t xml:space="preserve">oficialista si apoyan el existente proyecto político o reemplazándolo en el supuesto inverso. </w:t>
      </w:r>
      <w:r w:rsidRPr="00CB2B32">
        <w:rPr>
          <w:rFonts w:ascii="Verdana" w:hAnsi="Verdana"/>
          <w:color w:val="000000" w:themeColor="text1"/>
          <w:sz w:val="20"/>
          <w:szCs w:val="20"/>
          <w:lang w:val="es-ES"/>
        </w:rPr>
        <w:t xml:space="preserve">Sin elecciones </w:t>
      </w:r>
      <w:r w:rsidR="00D17E6B" w:rsidRPr="00CB2B32">
        <w:rPr>
          <w:rFonts w:ascii="Verdana" w:hAnsi="Verdana"/>
          <w:color w:val="000000" w:themeColor="text1"/>
          <w:sz w:val="20"/>
          <w:szCs w:val="20"/>
          <w:lang w:val="es-ES"/>
        </w:rPr>
        <w:t xml:space="preserve">no </w:t>
      </w:r>
      <w:r w:rsidRPr="00CB2B32">
        <w:rPr>
          <w:rFonts w:ascii="Verdana" w:hAnsi="Verdana"/>
          <w:color w:val="000000" w:themeColor="text1"/>
          <w:sz w:val="20"/>
          <w:szCs w:val="20"/>
          <w:lang w:val="es-ES"/>
        </w:rPr>
        <w:t>se puede hablar de democracia</w:t>
      </w:r>
      <w:r w:rsidR="003268DC">
        <w:rPr>
          <w:rFonts w:ascii="Verdana" w:hAnsi="Verdana"/>
          <w:color w:val="000000" w:themeColor="text1"/>
          <w:sz w:val="20"/>
          <w:szCs w:val="20"/>
          <w:lang w:val="es-ES"/>
        </w:rPr>
        <w:t>,</w:t>
      </w:r>
      <w:r w:rsidRPr="00CB2B32">
        <w:rPr>
          <w:rFonts w:ascii="Verdana" w:hAnsi="Verdana"/>
          <w:color w:val="000000" w:themeColor="text1"/>
          <w:sz w:val="20"/>
          <w:szCs w:val="20"/>
          <w:lang w:val="es-ES"/>
        </w:rPr>
        <w:t xml:space="preserve"> pero aun cuando existan, como lo indica la presente sentencia, las mismas deben estar sujetas a </w:t>
      </w:r>
      <w:r w:rsidRPr="00CB2B32">
        <w:rPr>
          <w:rFonts w:ascii="Verdana" w:hAnsi="Verdana"/>
          <w:i/>
          <w:iCs/>
          <w:color w:val="000000" w:themeColor="text1"/>
          <w:sz w:val="20"/>
          <w:szCs w:val="20"/>
          <w:lang w:val="es-ES"/>
        </w:rPr>
        <w:t>garantías mínimas</w:t>
      </w:r>
      <w:r w:rsidRPr="00CB2B32">
        <w:rPr>
          <w:rFonts w:ascii="Verdana" w:hAnsi="Verdana"/>
          <w:color w:val="000000" w:themeColor="text1"/>
          <w:sz w:val="20"/>
          <w:szCs w:val="20"/>
          <w:lang w:val="es-ES"/>
        </w:rPr>
        <w:t xml:space="preserve"> para asegurar la </w:t>
      </w:r>
      <w:r w:rsidRPr="00CB2B32">
        <w:rPr>
          <w:rFonts w:ascii="Verdana" w:hAnsi="Verdana"/>
          <w:i/>
          <w:iCs/>
          <w:color w:val="000000" w:themeColor="text1"/>
          <w:sz w:val="20"/>
          <w:szCs w:val="20"/>
          <w:lang w:val="es-ES"/>
        </w:rPr>
        <w:t>integridad de la contienda electoral</w:t>
      </w:r>
      <w:r w:rsidRPr="00CB2B32">
        <w:rPr>
          <w:rFonts w:ascii="Verdana" w:hAnsi="Verdana"/>
          <w:color w:val="000000" w:themeColor="text1"/>
          <w:sz w:val="20"/>
          <w:szCs w:val="20"/>
          <w:lang w:val="es-ES"/>
        </w:rPr>
        <w:t xml:space="preserve"> y la vigencia del sistema de </w:t>
      </w:r>
      <w:r w:rsidR="00267B70" w:rsidRPr="00CB2B32">
        <w:rPr>
          <w:rFonts w:ascii="Verdana" w:hAnsi="Verdana"/>
          <w:color w:val="000000" w:themeColor="text1"/>
          <w:sz w:val="20"/>
          <w:szCs w:val="20"/>
          <w:lang w:val="es-ES"/>
        </w:rPr>
        <w:t xml:space="preserve">la </w:t>
      </w:r>
      <w:r w:rsidRPr="00CB2B32">
        <w:rPr>
          <w:rFonts w:ascii="Verdana" w:hAnsi="Verdana"/>
          <w:color w:val="000000" w:themeColor="text1"/>
          <w:sz w:val="20"/>
          <w:szCs w:val="20"/>
          <w:lang w:val="es-ES"/>
        </w:rPr>
        <w:t xml:space="preserve">democracia representativa. </w:t>
      </w:r>
    </w:p>
    <w:p w14:paraId="5B653876" w14:textId="4B0E0F95" w:rsidR="00CB2B32" w:rsidRDefault="00ED375C" w:rsidP="007F27A8">
      <w:pPr>
        <w:spacing w:after="120" w:line="240" w:lineRule="auto"/>
        <w:jc w:val="both"/>
        <w:rPr>
          <w:rFonts w:ascii="Verdana" w:hAnsi="Verdana" w:cs="Arial"/>
          <w:bCs/>
          <w:sz w:val="20"/>
          <w:szCs w:val="20"/>
          <w:lang w:val="es-ES"/>
        </w:rPr>
      </w:pPr>
      <w:r>
        <w:rPr>
          <w:rFonts w:ascii="Verdana" w:hAnsi="Verdana" w:cs="Arial"/>
          <w:bCs/>
          <w:sz w:val="20"/>
          <w:szCs w:val="20"/>
          <w:lang w:val="es-ES"/>
        </w:rPr>
        <w:t>2</w:t>
      </w:r>
      <w:r w:rsidR="007F27A8" w:rsidRPr="007F27A8">
        <w:rPr>
          <w:rFonts w:ascii="Verdana" w:hAnsi="Verdana" w:cs="Arial"/>
          <w:bCs/>
          <w:sz w:val="20"/>
          <w:szCs w:val="20"/>
          <w:lang w:val="es-ES"/>
        </w:rPr>
        <w:t xml:space="preserve">. </w:t>
      </w:r>
      <w:r w:rsidR="007F27A8">
        <w:rPr>
          <w:rFonts w:ascii="Verdana" w:hAnsi="Verdana" w:cs="Arial"/>
          <w:bCs/>
          <w:sz w:val="20"/>
          <w:szCs w:val="20"/>
          <w:lang w:val="es-ES"/>
        </w:rPr>
        <w:tab/>
      </w:r>
      <w:r w:rsidR="00D17E6B" w:rsidRPr="007F27A8">
        <w:rPr>
          <w:rFonts w:ascii="Verdana" w:hAnsi="Verdana" w:cs="Arial"/>
          <w:bCs/>
          <w:i/>
          <w:iCs/>
          <w:sz w:val="20"/>
          <w:szCs w:val="20"/>
          <w:lang w:val="es-ES"/>
        </w:rPr>
        <w:t xml:space="preserve">El Caso Capriles Vs. Venezuela </w:t>
      </w:r>
      <w:r w:rsidR="00D17E6B" w:rsidRPr="007F27A8">
        <w:rPr>
          <w:rFonts w:ascii="Verdana" w:hAnsi="Verdana" w:cs="Arial"/>
          <w:bCs/>
          <w:sz w:val="20"/>
          <w:szCs w:val="20"/>
          <w:lang w:val="es-ES"/>
        </w:rPr>
        <w:t>constituye la primera ocasión en el que la Corte Interamericana de Derechos Humanos (en adelante “la Corte IDH” o “el Tribunal Interamericano”) aborda “el derecho a ser elegido”</w:t>
      </w:r>
      <w:r w:rsidR="000C1B48">
        <w:rPr>
          <w:rFonts w:ascii="Verdana" w:hAnsi="Verdana" w:cs="Arial"/>
          <w:bCs/>
          <w:sz w:val="20"/>
          <w:szCs w:val="20"/>
          <w:lang w:val="es-ES"/>
        </w:rPr>
        <w:t xml:space="preserve"> (vertiente pasiva del </w:t>
      </w:r>
      <w:r w:rsidR="003268DC">
        <w:rPr>
          <w:rFonts w:ascii="Verdana" w:hAnsi="Verdana" w:cs="Arial"/>
          <w:bCs/>
          <w:sz w:val="20"/>
          <w:szCs w:val="20"/>
          <w:lang w:val="es-ES"/>
        </w:rPr>
        <w:t xml:space="preserve">derecho al </w:t>
      </w:r>
      <w:r w:rsidR="000C1B48">
        <w:rPr>
          <w:rFonts w:ascii="Verdana" w:hAnsi="Verdana" w:cs="Arial"/>
          <w:bCs/>
          <w:sz w:val="20"/>
          <w:szCs w:val="20"/>
          <w:lang w:val="es-ES"/>
        </w:rPr>
        <w:t xml:space="preserve">sufragio) </w:t>
      </w:r>
      <w:r w:rsidR="00D17E6B" w:rsidRPr="007F27A8">
        <w:rPr>
          <w:rFonts w:ascii="Verdana" w:hAnsi="Verdana" w:cs="Arial"/>
          <w:bCs/>
          <w:sz w:val="20"/>
          <w:szCs w:val="20"/>
          <w:lang w:val="es-ES"/>
        </w:rPr>
        <w:t>de un candidato presidencial frente a un contexto de deterioro de la institucionalidad democrática</w:t>
      </w:r>
      <w:r w:rsidR="007F27A8" w:rsidRPr="007F27A8">
        <w:rPr>
          <w:rFonts w:ascii="Verdana" w:hAnsi="Verdana" w:cs="Arial"/>
          <w:bCs/>
          <w:sz w:val="20"/>
          <w:szCs w:val="20"/>
          <w:lang w:val="es-ES"/>
        </w:rPr>
        <w:t xml:space="preserve"> y un </w:t>
      </w:r>
      <w:r w:rsidR="00520C2E">
        <w:rPr>
          <w:rFonts w:ascii="Verdana" w:hAnsi="Verdana" w:cs="Arial"/>
          <w:bCs/>
          <w:sz w:val="20"/>
          <w:szCs w:val="20"/>
          <w:lang w:val="es-ES"/>
        </w:rPr>
        <w:t>“</w:t>
      </w:r>
      <w:r w:rsidR="007F27A8" w:rsidRPr="007F27A8">
        <w:rPr>
          <w:rFonts w:ascii="Verdana" w:hAnsi="Verdana" w:cs="Arial"/>
          <w:bCs/>
          <w:sz w:val="20"/>
          <w:szCs w:val="20"/>
          <w:lang w:val="es-ES"/>
        </w:rPr>
        <w:t xml:space="preserve">abandono de los principios del Estado de </w:t>
      </w:r>
      <w:r w:rsidR="000E241D">
        <w:rPr>
          <w:rFonts w:ascii="Verdana" w:hAnsi="Verdana" w:cs="Arial"/>
          <w:bCs/>
          <w:sz w:val="20"/>
          <w:szCs w:val="20"/>
          <w:lang w:val="es-ES"/>
        </w:rPr>
        <w:t>d</w:t>
      </w:r>
      <w:r w:rsidR="007F27A8" w:rsidRPr="007F27A8">
        <w:rPr>
          <w:rFonts w:ascii="Verdana" w:hAnsi="Verdana" w:cs="Arial"/>
          <w:bCs/>
          <w:sz w:val="20"/>
          <w:szCs w:val="20"/>
          <w:lang w:val="es-ES"/>
        </w:rPr>
        <w:t>erecho</w:t>
      </w:r>
      <w:r w:rsidR="00520C2E">
        <w:rPr>
          <w:rFonts w:ascii="Verdana" w:hAnsi="Verdana" w:cs="Arial"/>
          <w:bCs/>
          <w:sz w:val="20"/>
          <w:szCs w:val="20"/>
          <w:lang w:val="es-ES"/>
        </w:rPr>
        <w:t>”</w:t>
      </w:r>
      <w:r w:rsidR="003268DC">
        <w:rPr>
          <w:rFonts w:ascii="Verdana" w:hAnsi="Verdana" w:cs="Arial"/>
          <w:bCs/>
          <w:sz w:val="20"/>
          <w:szCs w:val="20"/>
          <w:lang w:val="es-ES"/>
        </w:rPr>
        <w:t>.</w:t>
      </w:r>
    </w:p>
    <w:p w14:paraId="604140F5" w14:textId="095F2F7B" w:rsidR="00D17E6B" w:rsidRPr="007F27A8" w:rsidRDefault="00ED375C" w:rsidP="007F27A8">
      <w:pPr>
        <w:spacing w:after="120" w:line="240" w:lineRule="auto"/>
        <w:jc w:val="both"/>
        <w:rPr>
          <w:rFonts w:ascii="Verdana" w:hAnsi="Verdana" w:cs="Arial"/>
          <w:bCs/>
          <w:sz w:val="20"/>
          <w:szCs w:val="20"/>
          <w:lang w:val="es-ES"/>
        </w:rPr>
      </w:pPr>
      <w:r>
        <w:rPr>
          <w:rFonts w:ascii="Verdana" w:hAnsi="Verdana" w:cs="Arial"/>
          <w:bCs/>
          <w:sz w:val="20"/>
          <w:szCs w:val="20"/>
          <w:lang w:val="es-ES"/>
        </w:rPr>
        <w:t>3</w:t>
      </w:r>
      <w:r w:rsidR="00CB2B32">
        <w:rPr>
          <w:rFonts w:ascii="Verdana" w:hAnsi="Verdana" w:cs="Arial"/>
          <w:bCs/>
          <w:sz w:val="20"/>
          <w:szCs w:val="20"/>
          <w:lang w:val="es-ES"/>
        </w:rPr>
        <w:t xml:space="preserve">. </w:t>
      </w:r>
      <w:r w:rsidR="00CB2B32">
        <w:rPr>
          <w:rFonts w:ascii="Verdana" w:hAnsi="Verdana" w:cs="Arial"/>
          <w:bCs/>
          <w:sz w:val="20"/>
          <w:szCs w:val="20"/>
          <w:lang w:val="es-ES"/>
        </w:rPr>
        <w:tab/>
      </w:r>
      <w:r w:rsidR="00D17E6B" w:rsidRPr="007F27A8">
        <w:rPr>
          <w:rFonts w:ascii="Verdana" w:hAnsi="Verdana" w:cs="Arial"/>
          <w:bCs/>
          <w:sz w:val="20"/>
          <w:szCs w:val="20"/>
          <w:lang w:val="es-ES"/>
        </w:rPr>
        <w:t>Además, constituye el primer caso en donde se considera que los artículos 23 y 24 de la Convención Americana sobre Derechos Humanos (“la Convención Americana” o “el Pacto de San José”</w:t>
      </w:r>
      <w:r w:rsidR="006A4CC0" w:rsidRPr="007F27A8">
        <w:rPr>
          <w:rFonts w:ascii="Verdana" w:hAnsi="Verdana" w:cs="Arial"/>
          <w:bCs/>
          <w:sz w:val="20"/>
          <w:szCs w:val="20"/>
          <w:lang w:val="es-ES"/>
        </w:rPr>
        <w:t>)</w:t>
      </w:r>
      <w:r w:rsidR="00D17E6B" w:rsidRPr="007F27A8">
        <w:rPr>
          <w:rFonts w:ascii="Verdana" w:hAnsi="Verdana" w:cs="Arial"/>
          <w:bCs/>
          <w:sz w:val="20"/>
          <w:szCs w:val="20"/>
          <w:lang w:val="es-ES"/>
        </w:rPr>
        <w:t>, protege</w:t>
      </w:r>
      <w:r w:rsidR="00C25259">
        <w:rPr>
          <w:rFonts w:ascii="Verdana" w:hAnsi="Verdana" w:cs="Arial"/>
          <w:bCs/>
          <w:sz w:val="20"/>
          <w:szCs w:val="20"/>
          <w:lang w:val="es-ES"/>
        </w:rPr>
        <w:t>n</w:t>
      </w:r>
      <w:r w:rsidR="00D17E6B" w:rsidRPr="007F27A8">
        <w:rPr>
          <w:rFonts w:ascii="Verdana" w:hAnsi="Verdana" w:cs="Arial"/>
          <w:bCs/>
          <w:sz w:val="20"/>
          <w:szCs w:val="20"/>
          <w:lang w:val="es-ES"/>
        </w:rPr>
        <w:t xml:space="preserve"> la “equidad en la contienda”. También es el primer precedente en donde se considera que, para garantizar </w:t>
      </w:r>
      <w:r w:rsidR="00F638A7">
        <w:rPr>
          <w:rFonts w:ascii="Verdana" w:hAnsi="Verdana" w:cs="Arial"/>
          <w:bCs/>
          <w:sz w:val="20"/>
          <w:szCs w:val="20"/>
          <w:lang w:val="es-ES"/>
        </w:rPr>
        <w:t xml:space="preserve">el derecho y la oportunidad de ser elegido, y </w:t>
      </w:r>
      <w:r w:rsidR="00D17E6B" w:rsidRPr="007F27A8">
        <w:rPr>
          <w:rFonts w:ascii="Verdana" w:hAnsi="Verdana" w:cs="Arial"/>
          <w:bCs/>
          <w:sz w:val="20"/>
          <w:szCs w:val="20"/>
          <w:lang w:val="es-ES"/>
        </w:rPr>
        <w:t>la equidad en la contiend</w:t>
      </w:r>
      <w:r w:rsidR="00DC2DBE">
        <w:rPr>
          <w:rFonts w:ascii="Verdana" w:hAnsi="Verdana" w:cs="Arial"/>
          <w:bCs/>
          <w:sz w:val="20"/>
          <w:szCs w:val="20"/>
          <w:lang w:val="es-ES"/>
        </w:rPr>
        <w:t>a</w:t>
      </w:r>
      <w:r w:rsidR="00D17E6B" w:rsidRPr="007F27A8">
        <w:rPr>
          <w:rFonts w:ascii="Verdana" w:hAnsi="Verdana" w:cs="Arial"/>
          <w:bCs/>
          <w:sz w:val="20"/>
          <w:szCs w:val="20"/>
          <w:lang w:val="es-ES"/>
        </w:rPr>
        <w:t xml:space="preserve"> entre personas que aspiran a un cargo público mediante elecciones, es necesario que los Estados observen “el principio de integridad electoral”</w:t>
      </w:r>
      <w:r w:rsidR="009478AB" w:rsidRPr="007F27A8">
        <w:rPr>
          <w:rFonts w:ascii="Verdana" w:hAnsi="Verdana" w:cs="Arial"/>
          <w:bCs/>
          <w:sz w:val="20"/>
          <w:szCs w:val="20"/>
          <w:lang w:val="es-ES"/>
        </w:rPr>
        <w:t xml:space="preserve">, para </w:t>
      </w:r>
      <w:r w:rsidR="00FE5E55">
        <w:rPr>
          <w:rFonts w:ascii="Verdana" w:hAnsi="Verdana" w:cs="Arial"/>
          <w:bCs/>
          <w:sz w:val="20"/>
          <w:szCs w:val="20"/>
          <w:lang w:val="es-ES"/>
        </w:rPr>
        <w:t>el</w:t>
      </w:r>
      <w:r w:rsidR="009478AB" w:rsidRPr="007F27A8">
        <w:rPr>
          <w:rFonts w:ascii="Verdana" w:hAnsi="Verdana" w:cs="Arial"/>
          <w:bCs/>
          <w:sz w:val="20"/>
          <w:szCs w:val="20"/>
          <w:lang w:val="es-ES"/>
        </w:rPr>
        <w:t xml:space="preserve"> cual se establecen unas </w:t>
      </w:r>
      <w:r w:rsidR="009478AB" w:rsidRPr="007F27A8">
        <w:rPr>
          <w:rFonts w:ascii="Verdana" w:hAnsi="Verdana" w:cs="Arial"/>
          <w:bCs/>
          <w:i/>
          <w:iCs/>
          <w:sz w:val="20"/>
          <w:szCs w:val="20"/>
          <w:lang w:val="es-ES"/>
        </w:rPr>
        <w:t xml:space="preserve">garantías mínimas </w:t>
      </w:r>
      <w:r w:rsidR="009478AB" w:rsidRPr="007F27A8">
        <w:rPr>
          <w:rFonts w:ascii="Verdana" w:hAnsi="Verdana" w:cs="Arial"/>
          <w:bCs/>
          <w:sz w:val="20"/>
          <w:szCs w:val="20"/>
          <w:lang w:val="es-ES"/>
        </w:rPr>
        <w:t>necesarias para garantizarlo.</w:t>
      </w:r>
      <w:r w:rsidR="00D17E6B" w:rsidRPr="007F27A8">
        <w:rPr>
          <w:rFonts w:ascii="Verdana" w:hAnsi="Verdana" w:cs="Arial"/>
          <w:bCs/>
          <w:sz w:val="20"/>
          <w:szCs w:val="20"/>
          <w:lang w:val="es-ES"/>
        </w:rPr>
        <w:t xml:space="preserve"> Todo lo cual, a nuestro entender, repercute en el </w:t>
      </w:r>
      <w:r w:rsidR="00D17E6B" w:rsidRPr="007F27A8">
        <w:rPr>
          <w:rFonts w:ascii="Verdana" w:hAnsi="Verdana" w:cs="Arial"/>
          <w:bCs/>
          <w:i/>
          <w:iCs/>
          <w:sz w:val="20"/>
          <w:szCs w:val="20"/>
          <w:lang w:val="es-ES"/>
        </w:rPr>
        <w:t>derecho a la democracia</w:t>
      </w:r>
      <w:r w:rsidR="00D17E6B" w:rsidRPr="007F27A8">
        <w:rPr>
          <w:rFonts w:ascii="Verdana" w:hAnsi="Verdana" w:cs="Arial"/>
          <w:bCs/>
          <w:sz w:val="20"/>
          <w:szCs w:val="20"/>
          <w:lang w:val="es-ES"/>
        </w:rPr>
        <w:t>,</w:t>
      </w:r>
      <w:r w:rsidR="009478AB" w:rsidRPr="007F27A8">
        <w:rPr>
          <w:rFonts w:ascii="Verdana" w:hAnsi="Verdana" w:cs="Arial"/>
          <w:bCs/>
          <w:sz w:val="20"/>
          <w:szCs w:val="20"/>
          <w:lang w:val="es-ES"/>
        </w:rPr>
        <w:t xml:space="preserve"> especialmente en su dimensión colectiva</w:t>
      </w:r>
      <w:r w:rsidR="00D17E6B" w:rsidRPr="007F27A8">
        <w:rPr>
          <w:rFonts w:ascii="Verdana" w:hAnsi="Verdana" w:cs="Arial"/>
          <w:bCs/>
          <w:sz w:val="20"/>
          <w:szCs w:val="20"/>
          <w:lang w:val="es-ES"/>
        </w:rPr>
        <w:t>.</w:t>
      </w:r>
    </w:p>
    <w:p w14:paraId="23D7FB43" w14:textId="1E28C9A7" w:rsidR="00E6614C" w:rsidRDefault="00ED375C" w:rsidP="00E6614C">
      <w:pPr>
        <w:spacing w:after="120" w:line="240" w:lineRule="auto"/>
        <w:jc w:val="both"/>
        <w:rPr>
          <w:rFonts w:ascii="Verdana" w:hAnsi="Verdana"/>
          <w:color w:val="000000" w:themeColor="text1"/>
          <w:sz w:val="20"/>
          <w:szCs w:val="20"/>
          <w:lang w:val="es-ES"/>
        </w:rPr>
      </w:pPr>
      <w:r>
        <w:rPr>
          <w:rFonts w:ascii="Verdana" w:hAnsi="Verdana" w:cs="Arial"/>
          <w:sz w:val="20"/>
          <w:szCs w:val="20"/>
          <w:lang w:val="es-ES"/>
        </w:rPr>
        <w:t>4</w:t>
      </w:r>
      <w:r w:rsidR="007F27A8">
        <w:rPr>
          <w:rFonts w:ascii="Verdana" w:hAnsi="Verdana" w:cs="Arial"/>
          <w:sz w:val="20"/>
          <w:szCs w:val="20"/>
          <w:lang w:val="es-ES"/>
        </w:rPr>
        <w:t xml:space="preserve">. </w:t>
      </w:r>
      <w:r w:rsidR="007F27A8">
        <w:rPr>
          <w:rFonts w:ascii="Verdana" w:hAnsi="Verdana" w:cs="Arial"/>
          <w:sz w:val="20"/>
          <w:szCs w:val="20"/>
          <w:lang w:val="es-ES"/>
        </w:rPr>
        <w:tab/>
      </w:r>
      <w:r w:rsidR="00D17E6B" w:rsidRPr="00D17E6B">
        <w:rPr>
          <w:rFonts w:ascii="Verdana" w:hAnsi="Verdana" w:cs="Arial"/>
          <w:sz w:val="20"/>
          <w:szCs w:val="20"/>
          <w:lang w:val="es-ES"/>
        </w:rPr>
        <w:t xml:space="preserve">El caso se relaciona con la responsabilidad internacional del Estado </w:t>
      </w:r>
      <w:r w:rsidR="00D17E6B" w:rsidRPr="00D17E6B">
        <w:rPr>
          <w:rFonts w:ascii="Verdana" w:hAnsi="Verdana" w:cs="Arial"/>
          <w:color w:val="000000" w:themeColor="text1"/>
          <w:sz w:val="20"/>
          <w:szCs w:val="20"/>
          <w:lang w:val="es-ES"/>
        </w:rPr>
        <w:t xml:space="preserve">por </w:t>
      </w:r>
      <w:r w:rsidR="00D17E6B" w:rsidRPr="00D17E6B">
        <w:rPr>
          <w:rFonts w:ascii="Verdana" w:hAnsi="Verdana"/>
          <w:color w:val="000000" w:themeColor="text1"/>
          <w:sz w:val="20"/>
          <w:szCs w:val="20"/>
          <w:lang w:val="es-ES"/>
        </w:rPr>
        <w:t>las violaciones de los derechos políticos, igualdad ante la ley, la libertad de expresión, el principio de legalidad y las garantías y protección</w:t>
      </w:r>
      <w:r w:rsidR="00D17E6B">
        <w:rPr>
          <w:rFonts w:ascii="Verdana" w:hAnsi="Verdana"/>
          <w:color w:val="000000" w:themeColor="text1"/>
          <w:sz w:val="20"/>
          <w:szCs w:val="20"/>
          <w:lang w:val="es-ES"/>
        </w:rPr>
        <w:t xml:space="preserve"> </w:t>
      </w:r>
      <w:r w:rsidR="00D17E6B" w:rsidRPr="00D17E6B">
        <w:rPr>
          <w:rFonts w:ascii="Verdana" w:hAnsi="Verdana"/>
          <w:color w:val="000000" w:themeColor="text1"/>
          <w:sz w:val="20"/>
          <w:szCs w:val="20"/>
          <w:lang w:val="es-ES"/>
        </w:rPr>
        <w:t>judiciales</w:t>
      </w:r>
      <w:r w:rsidR="00D17E6B">
        <w:rPr>
          <w:rFonts w:ascii="Verdana" w:hAnsi="Verdana"/>
          <w:color w:val="000000" w:themeColor="text1"/>
          <w:sz w:val="20"/>
          <w:szCs w:val="20"/>
          <w:lang w:val="es-ES"/>
        </w:rPr>
        <w:t>,</w:t>
      </w:r>
      <w:r w:rsidR="00D17E6B" w:rsidRPr="00D17E6B">
        <w:rPr>
          <w:rFonts w:ascii="Verdana" w:hAnsi="Verdana"/>
          <w:color w:val="000000" w:themeColor="text1"/>
          <w:sz w:val="20"/>
          <w:szCs w:val="20"/>
          <w:lang w:val="es-ES"/>
        </w:rPr>
        <w:t xml:space="preserve"> en perjuicio de Henrique Capriles Radonski, en el marco de su participación política como candidato presidencial en las elecciones del 14 de abril de 2013. En particular, se concluyó que se vulneró </w:t>
      </w:r>
      <w:r w:rsidR="00D17E6B" w:rsidRPr="002743B1">
        <w:rPr>
          <w:rFonts w:ascii="Verdana" w:hAnsi="Verdana"/>
          <w:color w:val="000000" w:themeColor="text1"/>
          <w:sz w:val="20"/>
          <w:szCs w:val="20"/>
          <w:lang w:val="es-ES"/>
        </w:rPr>
        <w:t xml:space="preserve">el derecho </w:t>
      </w:r>
      <w:r w:rsidR="00F638A7" w:rsidRPr="002743B1">
        <w:rPr>
          <w:rFonts w:ascii="Verdana" w:hAnsi="Verdana"/>
          <w:color w:val="000000" w:themeColor="text1"/>
          <w:sz w:val="20"/>
          <w:szCs w:val="20"/>
          <w:lang w:val="es-ES"/>
        </w:rPr>
        <w:t>y oportunidad de acceder a la función pública mediante una elección auténtica que reflejara la libre elección de los electores,</w:t>
      </w:r>
      <w:r w:rsidR="00F638A7">
        <w:rPr>
          <w:rFonts w:ascii="Verdana" w:hAnsi="Verdana"/>
          <w:color w:val="000000" w:themeColor="text1"/>
          <w:sz w:val="20"/>
          <w:szCs w:val="20"/>
          <w:lang w:val="es-ES"/>
        </w:rPr>
        <w:t xml:space="preserve"> </w:t>
      </w:r>
      <w:r w:rsidR="00D17E6B" w:rsidRPr="00D17E6B">
        <w:rPr>
          <w:rFonts w:ascii="Verdana" w:hAnsi="Verdana"/>
          <w:color w:val="000000" w:themeColor="text1"/>
          <w:sz w:val="20"/>
          <w:szCs w:val="20"/>
          <w:lang w:val="es-ES"/>
        </w:rPr>
        <w:t>de participar en condiciones generales de igualdad en las elecciones presidenciales (equidad en la contienda), que no contó con recursos judiciales efectivos para la protección de sus derechos políticos, y que se violó su libertad de expresión como resultado de la imposición de una multa como resultado de expresiones vertidas por el señor Capriles durante el proceso judicial.</w:t>
      </w:r>
    </w:p>
    <w:p w14:paraId="55492353" w14:textId="0A194E79" w:rsidR="00913875" w:rsidRDefault="00ED375C" w:rsidP="00913875">
      <w:pPr>
        <w:pStyle w:val="ListParagraph"/>
        <w:spacing w:before="120" w:after="120" w:line="240" w:lineRule="auto"/>
        <w:ind w:left="0"/>
        <w:jc w:val="both"/>
        <w:rPr>
          <w:rFonts w:ascii="Verdana" w:hAnsi="Verdana" w:cs="Arial"/>
          <w:color w:val="000000" w:themeColor="text1"/>
          <w:sz w:val="20"/>
          <w:szCs w:val="20"/>
          <w:lang w:val="es-ES"/>
        </w:rPr>
      </w:pPr>
      <w:r>
        <w:rPr>
          <w:rFonts w:ascii="Verdana" w:hAnsi="Verdana"/>
          <w:color w:val="000000" w:themeColor="text1"/>
          <w:sz w:val="20"/>
          <w:szCs w:val="20"/>
          <w:lang w:val="es-ES"/>
        </w:rPr>
        <w:lastRenderedPageBreak/>
        <w:t>5</w:t>
      </w:r>
      <w:r w:rsidR="00E6614C">
        <w:rPr>
          <w:rFonts w:ascii="Verdana" w:hAnsi="Verdana"/>
          <w:color w:val="000000" w:themeColor="text1"/>
          <w:sz w:val="20"/>
          <w:szCs w:val="20"/>
          <w:lang w:val="es-ES"/>
        </w:rPr>
        <w:t xml:space="preserve">. </w:t>
      </w:r>
      <w:r w:rsidR="00E6614C">
        <w:rPr>
          <w:rFonts w:ascii="Verdana" w:hAnsi="Verdana"/>
          <w:color w:val="000000" w:themeColor="text1"/>
          <w:sz w:val="20"/>
          <w:szCs w:val="20"/>
          <w:lang w:val="es-ES"/>
        </w:rPr>
        <w:tab/>
        <w:t xml:space="preserve">Concurro con la </w:t>
      </w:r>
      <w:r w:rsidR="009478AB">
        <w:rPr>
          <w:rFonts w:ascii="Verdana" w:hAnsi="Verdana"/>
          <w:color w:val="000000" w:themeColor="text1"/>
          <w:sz w:val="20"/>
          <w:szCs w:val="20"/>
          <w:lang w:val="es-ES"/>
        </w:rPr>
        <w:t xml:space="preserve">presente </w:t>
      </w:r>
      <w:r w:rsidR="00E6614C">
        <w:rPr>
          <w:rFonts w:ascii="Verdana" w:hAnsi="Verdana"/>
          <w:color w:val="000000" w:themeColor="text1"/>
          <w:sz w:val="20"/>
          <w:szCs w:val="20"/>
          <w:lang w:val="es-ES"/>
        </w:rPr>
        <w:t xml:space="preserve">sentencia. Estimo </w:t>
      </w:r>
      <w:r w:rsidR="009478AB">
        <w:rPr>
          <w:rFonts w:ascii="Verdana" w:hAnsi="Verdana"/>
          <w:color w:val="000000" w:themeColor="text1"/>
          <w:sz w:val="20"/>
          <w:szCs w:val="20"/>
          <w:lang w:val="es-ES"/>
        </w:rPr>
        <w:t>oportuno</w:t>
      </w:r>
      <w:r w:rsidR="00904514">
        <w:rPr>
          <w:rFonts w:ascii="Verdana" w:hAnsi="Verdana"/>
          <w:color w:val="000000" w:themeColor="text1"/>
          <w:sz w:val="20"/>
          <w:szCs w:val="20"/>
          <w:lang w:val="es-ES"/>
        </w:rPr>
        <w:t>, sin embargo,</w:t>
      </w:r>
      <w:r w:rsidR="009478AB">
        <w:rPr>
          <w:rFonts w:ascii="Verdana" w:hAnsi="Verdana"/>
          <w:color w:val="000000" w:themeColor="text1"/>
          <w:sz w:val="20"/>
          <w:szCs w:val="20"/>
          <w:lang w:val="es-ES"/>
        </w:rPr>
        <w:t xml:space="preserve"> </w:t>
      </w:r>
      <w:r w:rsidR="00E6614C">
        <w:rPr>
          <w:rFonts w:ascii="Verdana" w:hAnsi="Verdana"/>
          <w:color w:val="000000" w:themeColor="text1"/>
          <w:sz w:val="20"/>
          <w:szCs w:val="20"/>
          <w:lang w:val="es-ES"/>
        </w:rPr>
        <w:t xml:space="preserve">acompañar a la </w:t>
      </w:r>
      <w:r w:rsidR="009478AB">
        <w:rPr>
          <w:rFonts w:ascii="Verdana" w:hAnsi="Verdana"/>
          <w:color w:val="000000" w:themeColor="text1"/>
          <w:sz w:val="20"/>
          <w:szCs w:val="20"/>
          <w:lang w:val="es-ES"/>
        </w:rPr>
        <w:t>misma</w:t>
      </w:r>
      <w:r w:rsidR="00E6614C">
        <w:rPr>
          <w:rFonts w:ascii="Verdana" w:hAnsi="Verdana"/>
          <w:color w:val="000000" w:themeColor="text1"/>
          <w:sz w:val="20"/>
          <w:szCs w:val="20"/>
          <w:lang w:val="es-ES"/>
        </w:rPr>
        <w:t xml:space="preserve"> el presente voto individual</w:t>
      </w:r>
      <w:r w:rsidR="00E6614C" w:rsidRPr="00D92A79">
        <w:rPr>
          <w:rFonts w:ascii="Verdana" w:hAnsi="Verdana"/>
          <w:color w:val="000000" w:themeColor="text1"/>
          <w:sz w:val="20"/>
          <w:szCs w:val="20"/>
          <w:lang w:val="es-ES"/>
        </w:rPr>
        <w:t xml:space="preserve">, en términos del artículo </w:t>
      </w:r>
      <w:r w:rsidR="00E6614C" w:rsidRPr="00D92A79">
        <w:rPr>
          <w:rFonts w:ascii="Verdana" w:hAnsi="Verdana"/>
          <w:color w:val="000000" w:themeColor="text1"/>
          <w:sz w:val="20"/>
          <w:szCs w:val="20"/>
          <w:lang w:val="es-ES_tradnl"/>
        </w:rPr>
        <w:t>66.2 de la Convención Americana</w:t>
      </w:r>
      <w:r w:rsidR="00E6614C" w:rsidRPr="00590665">
        <w:rPr>
          <w:rStyle w:val="FootnoteReference"/>
          <w:rFonts w:ascii="Verdana" w:hAnsi="Verdana"/>
          <w:color w:val="000000" w:themeColor="text1"/>
          <w:sz w:val="20"/>
          <w:szCs w:val="20"/>
          <w:lang w:val="es-ES_tradnl"/>
        </w:rPr>
        <w:footnoteReference w:id="1"/>
      </w:r>
      <w:r w:rsidR="00E6614C" w:rsidRPr="00D92A79">
        <w:rPr>
          <w:rFonts w:ascii="Verdana" w:hAnsi="Verdana"/>
          <w:color w:val="000000" w:themeColor="text1"/>
          <w:sz w:val="20"/>
          <w:szCs w:val="20"/>
          <w:lang w:val="es-ES_tradnl"/>
        </w:rPr>
        <w:t xml:space="preserve">, para destacar la importancia </w:t>
      </w:r>
      <w:r w:rsidR="00E6614C">
        <w:rPr>
          <w:rFonts w:ascii="Verdana" w:hAnsi="Verdana"/>
          <w:color w:val="000000" w:themeColor="text1"/>
          <w:sz w:val="20"/>
          <w:szCs w:val="20"/>
          <w:lang w:val="es-ES_tradnl"/>
        </w:rPr>
        <w:t>de diversos aspectos relevantes</w:t>
      </w:r>
      <w:r w:rsidR="009478AB">
        <w:rPr>
          <w:rFonts w:ascii="Verdana" w:hAnsi="Verdana"/>
          <w:color w:val="000000" w:themeColor="text1"/>
          <w:sz w:val="20"/>
          <w:szCs w:val="20"/>
          <w:lang w:val="es-ES_tradnl"/>
        </w:rPr>
        <w:t xml:space="preserve"> que repercuten en</w:t>
      </w:r>
      <w:r w:rsidR="00E6614C" w:rsidRPr="00D92A79">
        <w:rPr>
          <w:rFonts w:ascii="Verdana" w:hAnsi="Verdana"/>
          <w:color w:val="000000" w:themeColor="text1"/>
          <w:sz w:val="20"/>
          <w:szCs w:val="20"/>
          <w:lang w:val="es-ES_tradnl"/>
        </w:rPr>
        <w:t xml:space="preserve"> el orden público interamericano. </w:t>
      </w:r>
      <w:r w:rsidR="009478AB">
        <w:rPr>
          <w:rFonts w:ascii="Verdana" w:hAnsi="Verdana" w:cs="Arial"/>
          <w:color w:val="000000" w:themeColor="text1"/>
          <w:sz w:val="20"/>
          <w:szCs w:val="20"/>
          <w:lang w:val="es-ES_tradnl"/>
        </w:rPr>
        <w:t>Primero</w:t>
      </w:r>
      <w:r w:rsidR="00E6614C" w:rsidRPr="004D0C53">
        <w:rPr>
          <w:rFonts w:ascii="Verdana" w:hAnsi="Verdana" w:cs="Arial"/>
          <w:color w:val="000000" w:themeColor="text1"/>
          <w:sz w:val="20"/>
          <w:szCs w:val="20"/>
          <w:lang w:val="es-ES"/>
        </w:rPr>
        <w:t xml:space="preserve">, la </w:t>
      </w:r>
      <w:r w:rsidR="00E6614C">
        <w:rPr>
          <w:rFonts w:ascii="Verdana" w:hAnsi="Verdana" w:cs="Arial"/>
          <w:color w:val="000000" w:themeColor="text1"/>
          <w:sz w:val="20"/>
          <w:szCs w:val="20"/>
          <w:lang w:val="es-ES"/>
        </w:rPr>
        <w:t>“</w:t>
      </w:r>
      <w:r w:rsidR="00E6614C" w:rsidRPr="005F4837">
        <w:rPr>
          <w:rFonts w:ascii="Verdana" w:hAnsi="Verdana" w:cs="Arial"/>
          <w:color w:val="000000" w:themeColor="text1"/>
          <w:sz w:val="20"/>
          <w:szCs w:val="20"/>
          <w:lang w:val="es-ES"/>
        </w:rPr>
        <w:t xml:space="preserve">prueba contextual” </w:t>
      </w:r>
      <w:r w:rsidR="00913875" w:rsidRPr="005F4837">
        <w:rPr>
          <w:rFonts w:ascii="Verdana" w:hAnsi="Verdana" w:cs="Arial"/>
          <w:color w:val="000000" w:themeColor="text1"/>
          <w:sz w:val="20"/>
          <w:szCs w:val="20"/>
          <w:lang w:val="es-ES"/>
        </w:rPr>
        <w:t>en la jurisprudencia interamericana y su importancia en el presente caso</w:t>
      </w:r>
      <w:r w:rsidR="00E6614C" w:rsidRPr="005F4837">
        <w:rPr>
          <w:rFonts w:ascii="Verdana" w:hAnsi="Verdana" w:cs="Arial"/>
          <w:color w:val="000000" w:themeColor="text1"/>
          <w:sz w:val="20"/>
          <w:szCs w:val="20"/>
          <w:lang w:val="es-ES"/>
        </w:rPr>
        <w:t xml:space="preserve"> (</w:t>
      </w:r>
      <w:r w:rsidR="00E6614C" w:rsidRPr="005F4837">
        <w:rPr>
          <w:rFonts w:ascii="Verdana" w:hAnsi="Verdana" w:cs="Arial"/>
          <w:i/>
          <w:iCs/>
          <w:color w:val="000000" w:themeColor="text1"/>
          <w:sz w:val="20"/>
          <w:szCs w:val="20"/>
          <w:u w:val="single"/>
          <w:lang w:val="es-ES"/>
        </w:rPr>
        <w:t xml:space="preserve">párrs. </w:t>
      </w:r>
      <w:r w:rsidR="00C86E53">
        <w:rPr>
          <w:rFonts w:ascii="Verdana" w:hAnsi="Verdana" w:cs="Arial"/>
          <w:i/>
          <w:iCs/>
          <w:color w:val="000000" w:themeColor="text1"/>
          <w:sz w:val="20"/>
          <w:szCs w:val="20"/>
          <w:u w:val="single"/>
          <w:lang w:val="es-ES"/>
        </w:rPr>
        <w:t>6</w:t>
      </w:r>
      <w:r w:rsidR="00913875" w:rsidRPr="005F4837">
        <w:rPr>
          <w:rFonts w:ascii="Verdana" w:hAnsi="Verdana" w:cs="Arial"/>
          <w:i/>
          <w:iCs/>
          <w:color w:val="000000" w:themeColor="text1"/>
          <w:sz w:val="20"/>
          <w:szCs w:val="20"/>
          <w:u w:val="single"/>
          <w:lang w:val="es-ES"/>
        </w:rPr>
        <w:t>-</w:t>
      </w:r>
      <w:r w:rsidR="001C53EF" w:rsidRPr="005F4837">
        <w:rPr>
          <w:rFonts w:ascii="Verdana" w:hAnsi="Verdana" w:cs="Arial"/>
          <w:i/>
          <w:iCs/>
          <w:color w:val="000000" w:themeColor="text1"/>
          <w:sz w:val="20"/>
          <w:szCs w:val="20"/>
          <w:u w:val="single"/>
          <w:lang w:val="es-ES"/>
        </w:rPr>
        <w:t>3</w:t>
      </w:r>
      <w:r w:rsidR="00C86E53">
        <w:rPr>
          <w:rFonts w:ascii="Verdana" w:hAnsi="Verdana" w:cs="Arial"/>
          <w:i/>
          <w:iCs/>
          <w:color w:val="000000" w:themeColor="text1"/>
          <w:sz w:val="20"/>
          <w:szCs w:val="20"/>
          <w:u w:val="single"/>
          <w:lang w:val="es-ES"/>
        </w:rPr>
        <w:t>7</w:t>
      </w:r>
      <w:r w:rsidR="00E6614C" w:rsidRPr="005F4837">
        <w:rPr>
          <w:rFonts w:ascii="Verdana" w:hAnsi="Verdana" w:cs="Arial"/>
          <w:color w:val="000000" w:themeColor="text1"/>
          <w:sz w:val="20"/>
          <w:szCs w:val="20"/>
          <w:lang w:val="es-ES"/>
        </w:rPr>
        <w:t>).</w:t>
      </w:r>
      <w:r w:rsidR="009478AB" w:rsidRPr="005F4837">
        <w:rPr>
          <w:rFonts w:ascii="Verdana" w:hAnsi="Verdana" w:cs="Arial"/>
          <w:color w:val="000000" w:themeColor="text1"/>
          <w:sz w:val="20"/>
          <w:szCs w:val="20"/>
          <w:lang w:val="es-ES"/>
        </w:rPr>
        <w:t xml:space="preserve"> Segundo</w:t>
      </w:r>
      <w:r w:rsidR="00E6614C" w:rsidRPr="005F4837">
        <w:rPr>
          <w:rFonts w:ascii="Verdana" w:hAnsi="Verdana" w:cs="Arial"/>
          <w:color w:val="000000" w:themeColor="text1"/>
          <w:sz w:val="20"/>
          <w:szCs w:val="20"/>
          <w:lang w:val="es-ES"/>
        </w:rPr>
        <w:t xml:space="preserve">, </w:t>
      </w:r>
      <w:r w:rsidR="0057620B">
        <w:rPr>
          <w:rFonts w:ascii="Verdana" w:hAnsi="Verdana" w:cs="Arial"/>
          <w:color w:val="000000" w:themeColor="text1"/>
          <w:sz w:val="20"/>
          <w:szCs w:val="20"/>
          <w:lang w:val="es-ES"/>
        </w:rPr>
        <w:t>el derecho a ser votado</w:t>
      </w:r>
      <w:r w:rsidR="00E6614C" w:rsidRPr="005F4837">
        <w:rPr>
          <w:rFonts w:ascii="Verdana" w:hAnsi="Verdana" w:cs="Arial"/>
          <w:color w:val="000000" w:themeColor="text1"/>
          <w:sz w:val="20"/>
          <w:szCs w:val="20"/>
          <w:lang w:val="es-ES"/>
        </w:rPr>
        <w:t xml:space="preserve"> en los diferentes sistemas internacionales de protección de derechos humanos</w:t>
      </w:r>
      <w:r w:rsidR="001C53EF" w:rsidRPr="005F4837">
        <w:rPr>
          <w:rFonts w:ascii="Verdana" w:hAnsi="Verdana" w:cs="Arial"/>
          <w:color w:val="000000" w:themeColor="text1"/>
          <w:sz w:val="20"/>
          <w:szCs w:val="20"/>
          <w:lang w:val="es-ES"/>
        </w:rPr>
        <w:t xml:space="preserve"> (</w:t>
      </w:r>
      <w:r w:rsidR="001C53EF" w:rsidRPr="005F4837">
        <w:rPr>
          <w:rFonts w:ascii="Verdana" w:hAnsi="Verdana" w:cs="Arial"/>
          <w:i/>
          <w:iCs/>
          <w:color w:val="000000" w:themeColor="text1"/>
          <w:sz w:val="20"/>
          <w:szCs w:val="20"/>
          <w:u w:val="single"/>
          <w:lang w:val="es-ES"/>
        </w:rPr>
        <w:t>párrs. 3</w:t>
      </w:r>
      <w:r w:rsidR="00C86E53">
        <w:rPr>
          <w:rFonts w:ascii="Verdana" w:hAnsi="Verdana" w:cs="Arial"/>
          <w:i/>
          <w:iCs/>
          <w:color w:val="000000" w:themeColor="text1"/>
          <w:sz w:val="20"/>
          <w:szCs w:val="20"/>
          <w:u w:val="single"/>
          <w:lang w:val="es-ES"/>
        </w:rPr>
        <w:t>8</w:t>
      </w:r>
      <w:r w:rsidR="001C53EF" w:rsidRPr="005F4837">
        <w:rPr>
          <w:rFonts w:ascii="Verdana" w:hAnsi="Verdana" w:cs="Arial"/>
          <w:i/>
          <w:iCs/>
          <w:color w:val="000000" w:themeColor="text1"/>
          <w:sz w:val="20"/>
          <w:szCs w:val="20"/>
          <w:u w:val="single"/>
          <w:lang w:val="es-ES"/>
        </w:rPr>
        <w:t>-</w:t>
      </w:r>
      <w:r w:rsidR="00C86E53">
        <w:rPr>
          <w:rFonts w:ascii="Verdana" w:hAnsi="Verdana" w:cs="Arial"/>
          <w:i/>
          <w:iCs/>
          <w:color w:val="000000" w:themeColor="text1"/>
          <w:sz w:val="20"/>
          <w:szCs w:val="20"/>
          <w:u w:val="single"/>
          <w:lang w:val="es-ES"/>
        </w:rPr>
        <w:t>71</w:t>
      </w:r>
      <w:r w:rsidR="001C53EF" w:rsidRPr="005F4837">
        <w:rPr>
          <w:rFonts w:ascii="Verdana" w:hAnsi="Verdana" w:cs="Arial"/>
          <w:color w:val="000000" w:themeColor="text1"/>
          <w:sz w:val="20"/>
          <w:szCs w:val="20"/>
          <w:lang w:val="es-ES"/>
        </w:rPr>
        <w:t>). Tercero,</w:t>
      </w:r>
      <w:r w:rsidR="00094765">
        <w:rPr>
          <w:rFonts w:ascii="Verdana" w:hAnsi="Verdana" w:cs="Arial"/>
          <w:color w:val="000000" w:themeColor="text1"/>
          <w:sz w:val="20"/>
          <w:szCs w:val="20"/>
          <w:lang w:val="es-ES"/>
        </w:rPr>
        <w:t xml:space="preserve"> </w:t>
      </w:r>
      <w:r w:rsidR="005F4837" w:rsidRPr="005F4837">
        <w:rPr>
          <w:rFonts w:ascii="Verdana" w:hAnsi="Verdana" w:cs="Arial"/>
          <w:color w:val="000000" w:themeColor="text1"/>
          <w:sz w:val="20"/>
          <w:szCs w:val="20"/>
          <w:lang w:val="es-ES"/>
        </w:rPr>
        <w:t>el</w:t>
      </w:r>
      <w:r w:rsidR="005F4837">
        <w:rPr>
          <w:rFonts w:ascii="Verdana" w:hAnsi="Verdana" w:cs="Arial"/>
          <w:color w:val="000000" w:themeColor="text1"/>
          <w:sz w:val="20"/>
          <w:szCs w:val="20"/>
          <w:lang w:val="es-ES"/>
        </w:rPr>
        <w:t xml:space="preserve"> </w:t>
      </w:r>
      <w:r w:rsidR="005F4837" w:rsidRPr="005F4837">
        <w:rPr>
          <w:rFonts w:ascii="Verdana" w:hAnsi="Verdana" w:cs="Arial"/>
          <w:color w:val="000000" w:themeColor="text1"/>
          <w:sz w:val="20"/>
          <w:szCs w:val="20"/>
          <w:lang w:val="es-ES"/>
        </w:rPr>
        <w:t>”derecho</w:t>
      </w:r>
      <w:r w:rsidR="00E6614C" w:rsidRPr="005F4837">
        <w:rPr>
          <w:rFonts w:ascii="Verdana" w:hAnsi="Verdana" w:cs="Arial"/>
          <w:color w:val="000000" w:themeColor="text1"/>
          <w:sz w:val="20"/>
          <w:szCs w:val="20"/>
          <w:lang w:val="es-ES"/>
        </w:rPr>
        <w:t xml:space="preserve"> a ser elegido”, la “equidad en la contienda” y </w:t>
      </w:r>
      <w:r w:rsidR="000146A3" w:rsidRPr="005F4837">
        <w:rPr>
          <w:rFonts w:ascii="Verdana" w:hAnsi="Verdana" w:cs="Arial"/>
          <w:color w:val="000000" w:themeColor="text1"/>
          <w:sz w:val="20"/>
          <w:szCs w:val="20"/>
          <w:lang w:val="es-ES"/>
        </w:rPr>
        <w:t>las garantías mínimas de la</w:t>
      </w:r>
      <w:r w:rsidR="00E6614C" w:rsidRPr="005F4837">
        <w:rPr>
          <w:rFonts w:ascii="Verdana" w:hAnsi="Verdana" w:cs="Arial"/>
          <w:color w:val="000000" w:themeColor="text1"/>
          <w:sz w:val="20"/>
          <w:szCs w:val="20"/>
          <w:lang w:val="es-ES"/>
        </w:rPr>
        <w:t xml:space="preserve"> “integridad electoral” (</w:t>
      </w:r>
      <w:r w:rsidR="00E6614C" w:rsidRPr="005F4837">
        <w:rPr>
          <w:rFonts w:ascii="Verdana" w:hAnsi="Verdana" w:cs="Arial"/>
          <w:i/>
          <w:iCs/>
          <w:color w:val="000000" w:themeColor="text1"/>
          <w:sz w:val="20"/>
          <w:szCs w:val="20"/>
          <w:u w:val="single"/>
          <w:lang w:val="es-ES"/>
        </w:rPr>
        <w:t xml:space="preserve">párrs. </w:t>
      </w:r>
      <w:r w:rsidR="00C86E53">
        <w:rPr>
          <w:rFonts w:ascii="Verdana" w:hAnsi="Verdana" w:cs="Arial"/>
          <w:i/>
          <w:iCs/>
          <w:color w:val="000000" w:themeColor="text1"/>
          <w:sz w:val="20"/>
          <w:szCs w:val="20"/>
          <w:u w:val="single"/>
          <w:lang w:val="es-ES"/>
        </w:rPr>
        <w:t>72</w:t>
      </w:r>
      <w:r w:rsidR="001C53EF" w:rsidRPr="005F4837">
        <w:rPr>
          <w:rFonts w:ascii="Verdana" w:hAnsi="Verdana" w:cs="Arial"/>
          <w:i/>
          <w:iCs/>
          <w:color w:val="000000" w:themeColor="text1"/>
          <w:sz w:val="20"/>
          <w:szCs w:val="20"/>
          <w:u w:val="single"/>
          <w:lang w:val="es-ES"/>
        </w:rPr>
        <w:t>-</w:t>
      </w:r>
      <w:r w:rsidR="005F4837" w:rsidRPr="005F4837">
        <w:rPr>
          <w:rFonts w:ascii="Verdana" w:hAnsi="Verdana" w:cs="Arial"/>
          <w:i/>
          <w:iCs/>
          <w:color w:val="000000" w:themeColor="text1"/>
          <w:sz w:val="20"/>
          <w:szCs w:val="20"/>
          <w:u w:val="single"/>
          <w:lang w:val="es-ES"/>
        </w:rPr>
        <w:t>82</w:t>
      </w:r>
      <w:r w:rsidR="00E6614C" w:rsidRPr="005F4837">
        <w:rPr>
          <w:rFonts w:ascii="Verdana" w:hAnsi="Verdana" w:cs="Arial"/>
          <w:color w:val="000000" w:themeColor="text1"/>
          <w:sz w:val="20"/>
          <w:szCs w:val="20"/>
          <w:lang w:val="es-ES"/>
        </w:rPr>
        <w:t xml:space="preserve">). </w:t>
      </w:r>
      <w:r w:rsidR="001C53EF" w:rsidRPr="005F4837">
        <w:rPr>
          <w:rFonts w:ascii="Verdana" w:hAnsi="Verdana" w:cs="Arial"/>
          <w:color w:val="000000" w:themeColor="text1"/>
          <w:sz w:val="20"/>
          <w:szCs w:val="20"/>
          <w:lang w:val="es-ES"/>
        </w:rPr>
        <w:t>Cuarto</w:t>
      </w:r>
      <w:r w:rsidR="00E6614C" w:rsidRPr="005F4837">
        <w:rPr>
          <w:rFonts w:ascii="Verdana" w:hAnsi="Verdana" w:cs="Arial"/>
          <w:color w:val="000000" w:themeColor="text1"/>
          <w:sz w:val="20"/>
          <w:szCs w:val="20"/>
          <w:lang w:val="es-ES"/>
        </w:rPr>
        <w:t xml:space="preserve">, </w:t>
      </w:r>
      <w:r w:rsidR="00B12360">
        <w:rPr>
          <w:rFonts w:ascii="Verdana" w:hAnsi="Verdana" w:cs="Arial"/>
          <w:color w:val="000000" w:themeColor="text1"/>
          <w:sz w:val="20"/>
          <w:szCs w:val="20"/>
          <w:lang w:val="es-ES"/>
        </w:rPr>
        <w:t>el</w:t>
      </w:r>
      <w:r w:rsidR="00E6614C" w:rsidRPr="005F4837">
        <w:rPr>
          <w:rFonts w:ascii="Verdana" w:hAnsi="Verdana" w:cs="Arial"/>
          <w:color w:val="000000" w:themeColor="text1"/>
          <w:sz w:val="20"/>
          <w:szCs w:val="20"/>
          <w:lang w:val="es-ES"/>
        </w:rPr>
        <w:t xml:space="preserve"> </w:t>
      </w:r>
      <w:r w:rsidR="00E6614C" w:rsidRPr="005F4837">
        <w:rPr>
          <w:rFonts w:ascii="Verdana" w:hAnsi="Verdana" w:cs="Arial"/>
          <w:i/>
          <w:iCs/>
          <w:color w:val="000000" w:themeColor="text1"/>
          <w:sz w:val="20"/>
          <w:szCs w:val="20"/>
          <w:lang w:val="es-ES"/>
        </w:rPr>
        <w:t>derecho a la democracia</w:t>
      </w:r>
      <w:r w:rsidR="007F27A8" w:rsidRPr="005F4837">
        <w:rPr>
          <w:rFonts w:ascii="Verdana" w:hAnsi="Verdana" w:cs="Arial"/>
          <w:color w:val="000000" w:themeColor="text1"/>
          <w:sz w:val="20"/>
          <w:szCs w:val="20"/>
          <w:lang w:val="es-ES"/>
        </w:rPr>
        <w:t xml:space="preserve">, </w:t>
      </w:r>
      <w:r w:rsidR="00CB2B32" w:rsidRPr="005F4837">
        <w:rPr>
          <w:rFonts w:ascii="Verdana" w:hAnsi="Verdana" w:cs="Arial"/>
          <w:color w:val="000000" w:themeColor="text1"/>
          <w:sz w:val="20"/>
          <w:szCs w:val="20"/>
          <w:lang w:val="es-ES"/>
        </w:rPr>
        <w:t xml:space="preserve">destacando </w:t>
      </w:r>
      <w:r w:rsidR="00005BC4" w:rsidRPr="005F4837">
        <w:rPr>
          <w:rFonts w:ascii="Verdana" w:hAnsi="Verdana" w:cs="Arial"/>
          <w:color w:val="000000" w:themeColor="text1"/>
          <w:sz w:val="20"/>
          <w:szCs w:val="20"/>
          <w:lang w:val="es-ES"/>
        </w:rPr>
        <w:t xml:space="preserve">su dimensión </w:t>
      </w:r>
      <w:r w:rsidR="00005BC4" w:rsidRPr="008762CD">
        <w:rPr>
          <w:rFonts w:ascii="Verdana" w:hAnsi="Verdana" w:cs="Arial"/>
          <w:color w:val="000000" w:themeColor="text1"/>
          <w:sz w:val="20"/>
          <w:szCs w:val="20"/>
          <w:lang w:val="es-ES"/>
        </w:rPr>
        <w:t>colectiva</w:t>
      </w:r>
      <w:r w:rsidR="00CB2B32" w:rsidRPr="008762CD">
        <w:rPr>
          <w:rFonts w:ascii="Verdana" w:hAnsi="Verdana" w:cs="Arial"/>
          <w:color w:val="000000" w:themeColor="text1"/>
          <w:sz w:val="20"/>
          <w:szCs w:val="20"/>
          <w:lang w:val="es-ES"/>
        </w:rPr>
        <w:t xml:space="preserve"> </w:t>
      </w:r>
      <w:r w:rsidR="00E6614C" w:rsidRPr="008762CD">
        <w:rPr>
          <w:rFonts w:ascii="Verdana" w:hAnsi="Verdana" w:cs="Arial"/>
          <w:color w:val="000000" w:themeColor="text1"/>
          <w:sz w:val="20"/>
          <w:szCs w:val="20"/>
          <w:lang w:val="es-ES"/>
        </w:rPr>
        <w:t>(</w:t>
      </w:r>
      <w:r w:rsidR="00E6614C" w:rsidRPr="008762CD">
        <w:rPr>
          <w:rFonts w:ascii="Verdana" w:hAnsi="Verdana" w:cs="Arial"/>
          <w:i/>
          <w:iCs/>
          <w:color w:val="000000" w:themeColor="text1"/>
          <w:sz w:val="20"/>
          <w:szCs w:val="20"/>
          <w:u w:val="single"/>
          <w:lang w:val="es-ES"/>
        </w:rPr>
        <w:t xml:space="preserve">párrs. </w:t>
      </w:r>
      <w:r w:rsidR="008762CD" w:rsidRPr="008762CD">
        <w:rPr>
          <w:rFonts w:ascii="Verdana" w:hAnsi="Verdana" w:cs="Arial"/>
          <w:i/>
          <w:iCs/>
          <w:color w:val="000000" w:themeColor="text1"/>
          <w:sz w:val="20"/>
          <w:szCs w:val="20"/>
          <w:u w:val="single"/>
          <w:lang w:val="es-ES"/>
        </w:rPr>
        <w:t>83</w:t>
      </w:r>
      <w:r w:rsidR="00E6614C" w:rsidRPr="008762CD">
        <w:rPr>
          <w:rFonts w:ascii="Verdana" w:hAnsi="Verdana" w:cs="Arial"/>
          <w:i/>
          <w:iCs/>
          <w:color w:val="000000" w:themeColor="text1"/>
          <w:sz w:val="20"/>
          <w:szCs w:val="20"/>
          <w:u w:val="single"/>
          <w:lang w:val="es-ES"/>
        </w:rPr>
        <w:t>-</w:t>
      </w:r>
      <w:r w:rsidR="008762CD" w:rsidRPr="008762CD">
        <w:rPr>
          <w:rFonts w:ascii="Verdana" w:hAnsi="Verdana" w:cs="Arial"/>
          <w:i/>
          <w:iCs/>
          <w:color w:val="000000" w:themeColor="text1"/>
          <w:sz w:val="20"/>
          <w:szCs w:val="20"/>
          <w:u w:val="single"/>
          <w:lang w:val="es-ES"/>
        </w:rPr>
        <w:t>108</w:t>
      </w:r>
      <w:r w:rsidR="00E6614C" w:rsidRPr="008762CD">
        <w:rPr>
          <w:rFonts w:ascii="Verdana" w:hAnsi="Verdana" w:cs="Arial"/>
          <w:color w:val="000000" w:themeColor="text1"/>
          <w:sz w:val="20"/>
          <w:szCs w:val="20"/>
          <w:lang w:val="es-ES"/>
        </w:rPr>
        <w:t>).</w:t>
      </w:r>
      <w:r w:rsidR="00E6614C" w:rsidRPr="005F4837">
        <w:rPr>
          <w:rFonts w:ascii="Verdana" w:hAnsi="Verdana" w:cs="Arial"/>
          <w:color w:val="000000" w:themeColor="text1"/>
          <w:sz w:val="20"/>
          <w:szCs w:val="20"/>
          <w:lang w:val="es-ES"/>
        </w:rPr>
        <w:t xml:space="preserve"> </w:t>
      </w:r>
      <w:r w:rsidR="001C53EF" w:rsidRPr="005F4837">
        <w:rPr>
          <w:rFonts w:ascii="Verdana" w:hAnsi="Verdana" w:cs="Arial"/>
          <w:color w:val="000000" w:themeColor="text1"/>
          <w:sz w:val="20"/>
          <w:szCs w:val="20"/>
          <w:lang w:val="es-ES"/>
        </w:rPr>
        <w:t>Quint</w:t>
      </w:r>
      <w:r w:rsidR="005455CE" w:rsidRPr="005F4837">
        <w:rPr>
          <w:rFonts w:ascii="Verdana" w:hAnsi="Verdana" w:cs="Arial"/>
          <w:color w:val="000000" w:themeColor="text1"/>
          <w:sz w:val="20"/>
          <w:szCs w:val="20"/>
          <w:lang w:val="es-ES"/>
        </w:rPr>
        <w:t>o</w:t>
      </w:r>
      <w:r w:rsidR="006A4CC0" w:rsidRPr="005F4837">
        <w:rPr>
          <w:rFonts w:ascii="Verdana" w:hAnsi="Verdana" w:cs="Arial"/>
          <w:color w:val="000000" w:themeColor="text1"/>
          <w:sz w:val="20"/>
          <w:szCs w:val="20"/>
          <w:lang w:val="es-ES"/>
        </w:rPr>
        <w:t xml:space="preserve">, </w:t>
      </w:r>
      <w:r w:rsidR="00C8635A">
        <w:rPr>
          <w:rFonts w:ascii="Verdana" w:hAnsi="Verdana" w:cs="Arial"/>
          <w:color w:val="000000" w:themeColor="text1"/>
          <w:sz w:val="20"/>
          <w:szCs w:val="20"/>
          <w:lang w:val="es-ES"/>
        </w:rPr>
        <w:t xml:space="preserve">consideraciones </w:t>
      </w:r>
      <w:r w:rsidR="00E6614C" w:rsidRPr="005F4837">
        <w:rPr>
          <w:rFonts w:ascii="Verdana" w:hAnsi="Verdana" w:cs="Arial"/>
          <w:color w:val="000000" w:themeColor="text1"/>
          <w:sz w:val="20"/>
          <w:szCs w:val="20"/>
          <w:lang w:val="es-ES"/>
        </w:rPr>
        <w:t>general</w:t>
      </w:r>
      <w:r w:rsidR="001C53EF" w:rsidRPr="005F4837">
        <w:rPr>
          <w:rFonts w:ascii="Verdana" w:hAnsi="Verdana" w:cs="Arial"/>
          <w:color w:val="000000" w:themeColor="text1"/>
          <w:sz w:val="20"/>
          <w:szCs w:val="20"/>
          <w:lang w:val="es-ES"/>
        </w:rPr>
        <w:t>es</w:t>
      </w:r>
      <w:r w:rsidR="00E6614C" w:rsidRPr="005F4837">
        <w:rPr>
          <w:rFonts w:ascii="Verdana" w:hAnsi="Verdana" w:cs="Arial"/>
          <w:color w:val="000000" w:themeColor="text1"/>
          <w:sz w:val="20"/>
          <w:szCs w:val="20"/>
          <w:lang w:val="es-ES"/>
        </w:rPr>
        <w:t xml:space="preserve"> </w:t>
      </w:r>
      <w:r w:rsidR="00E6614C" w:rsidRPr="00025E1F">
        <w:rPr>
          <w:rFonts w:ascii="Verdana" w:hAnsi="Verdana" w:cs="Arial"/>
          <w:color w:val="000000" w:themeColor="text1"/>
          <w:sz w:val="20"/>
          <w:szCs w:val="20"/>
          <w:lang w:val="es-ES"/>
        </w:rPr>
        <w:t>(</w:t>
      </w:r>
      <w:r w:rsidR="00E6614C" w:rsidRPr="00025E1F">
        <w:rPr>
          <w:rFonts w:ascii="Verdana" w:hAnsi="Verdana" w:cs="Arial"/>
          <w:i/>
          <w:iCs/>
          <w:color w:val="000000" w:themeColor="text1"/>
          <w:sz w:val="20"/>
          <w:szCs w:val="20"/>
          <w:lang w:val="es-ES"/>
        </w:rPr>
        <w:t xml:space="preserve">párrs. </w:t>
      </w:r>
      <w:r w:rsidR="00D5711A" w:rsidRPr="00025E1F">
        <w:rPr>
          <w:rFonts w:ascii="Verdana" w:hAnsi="Verdana" w:cs="Arial"/>
          <w:i/>
          <w:iCs/>
          <w:color w:val="000000" w:themeColor="text1"/>
          <w:sz w:val="20"/>
          <w:szCs w:val="20"/>
          <w:lang w:val="es-ES"/>
        </w:rPr>
        <w:t>109</w:t>
      </w:r>
      <w:r w:rsidR="00E6614C" w:rsidRPr="00025E1F">
        <w:rPr>
          <w:rFonts w:ascii="Verdana" w:hAnsi="Verdana" w:cs="Arial"/>
          <w:i/>
          <w:iCs/>
          <w:color w:val="000000" w:themeColor="text1"/>
          <w:sz w:val="20"/>
          <w:szCs w:val="20"/>
          <w:lang w:val="es-ES"/>
        </w:rPr>
        <w:t>-</w:t>
      </w:r>
      <w:r w:rsidR="00025E1F" w:rsidRPr="00025E1F">
        <w:rPr>
          <w:rFonts w:ascii="Verdana" w:hAnsi="Verdana" w:cs="Arial"/>
          <w:i/>
          <w:iCs/>
          <w:color w:val="000000" w:themeColor="text1"/>
          <w:sz w:val="20"/>
          <w:szCs w:val="20"/>
          <w:lang w:val="es-ES"/>
        </w:rPr>
        <w:t>11</w:t>
      </w:r>
      <w:r w:rsidR="00A61FA1">
        <w:rPr>
          <w:rFonts w:ascii="Verdana" w:hAnsi="Verdana" w:cs="Arial"/>
          <w:i/>
          <w:iCs/>
          <w:color w:val="000000" w:themeColor="text1"/>
          <w:sz w:val="20"/>
          <w:szCs w:val="20"/>
          <w:lang w:val="es-ES"/>
        </w:rPr>
        <w:t>9</w:t>
      </w:r>
      <w:r w:rsidR="00E6614C" w:rsidRPr="00025E1F">
        <w:rPr>
          <w:rFonts w:ascii="Verdana" w:hAnsi="Verdana" w:cs="Arial"/>
          <w:color w:val="000000" w:themeColor="text1"/>
          <w:sz w:val="20"/>
          <w:szCs w:val="20"/>
          <w:lang w:val="es-ES"/>
        </w:rPr>
        <w:t>).</w:t>
      </w:r>
    </w:p>
    <w:p w14:paraId="6312769E" w14:textId="77777777" w:rsidR="00913875" w:rsidRPr="00913875" w:rsidRDefault="00913875" w:rsidP="00913875">
      <w:pPr>
        <w:pStyle w:val="ListParagraph"/>
        <w:spacing w:before="120" w:after="120" w:line="240" w:lineRule="auto"/>
        <w:ind w:left="0"/>
        <w:jc w:val="both"/>
        <w:rPr>
          <w:rFonts w:ascii="Verdana" w:hAnsi="Verdana" w:cs="Arial"/>
          <w:bCs/>
          <w:color w:val="000000" w:themeColor="text1"/>
          <w:spacing w:val="-5"/>
          <w:sz w:val="20"/>
          <w:szCs w:val="20"/>
          <w:shd w:val="clear" w:color="auto" w:fill="FFFFFF"/>
          <w:lang w:val="es-ES"/>
        </w:rPr>
      </w:pPr>
    </w:p>
    <w:p w14:paraId="53E5DC2B" w14:textId="67455B81" w:rsidR="00913875" w:rsidRDefault="00913875" w:rsidP="00913875">
      <w:pPr>
        <w:widowControl w:val="0"/>
        <w:autoSpaceDE w:val="0"/>
        <w:autoSpaceDN w:val="0"/>
        <w:spacing w:after="120" w:line="240" w:lineRule="auto"/>
        <w:jc w:val="center"/>
        <w:rPr>
          <w:rFonts w:ascii="Verdana" w:hAnsi="Verdana" w:cs="Arial"/>
          <w:color w:val="000000" w:themeColor="text1"/>
          <w:sz w:val="20"/>
          <w:szCs w:val="20"/>
          <w:shd w:val="clear" w:color="auto" w:fill="FFFFFF"/>
          <w:lang w:val="es-ES"/>
        </w:rPr>
      </w:pPr>
      <w:r w:rsidRPr="00913875">
        <w:rPr>
          <w:rFonts w:ascii="Verdana" w:hAnsi="Verdana" w:cs="Arial"/>
          <w:color w:val="000000" w:themeColor="text1"/>
          <w:sz w:val="20"/>
          <w:szCs w:val="20"/>
          <w:shd w:val="clear" w:color="auto" w:fill="FFFFFF"/>
          <w:lang w:val="es-ES"/>
        </w:rPr>
        <w:t xml:space="preserve">I. LA </w:t>
      </w:r>
      <w:r w:rsidR="000A32B9">
        <w:rPr>
          <w:rFonts w:ascii="Verdana" w:hAnsi="Verdana" w:cs="Arial"/>
          <w:color w:val="000000" w:themeColor="text1"/>
          <w:sz w:val="20"/>
          <w:szCs w:val="20"/>
          <w:shd w:val="clear" w:color="auto" w:fill="FFFFFF"/>
          <w:lang w:val="es-ES"/>
        </w:rPr>
        <w:t>“</w:t>
      </w:r>
      <w:r w:rsidRPr="00913875">
        <w:rPr>
          <w:rFonts w:ascii="Verdana" w:hAnsi="Verdana" w:cs="Arial"/>
          <w:color w:val="000000" w:themeColor="text1"/>
          <w:sz w:val="20"/>
          <w:szCs w:val="20"/>
          <w:shd w:val="clear" w:color="auto" w:fill="FFFFFF"/>
          <w:lang w:val="es-ES"/>
        </w:rPr>
        <w:t>PRUEBA CONTEXTUAL</w:t>
      </w:r>
      <w:r w:rsidR="000A32B9">
        <w:rPr>
          <w:rFonts w:ascii="Verdana" w:hAnsi="Verdana" w:cs="Arial"/>
          <w:color w:val="000000" w:themeColor="text1"/>
          <w:sz w:val="20"/>
          <w:szCs w:val="20"/>
          <w:shd w:val="clear" w:color="auto" w:fill="FFFFFF"/>
          <w:lang w:val="es-ES"/>
        </w:rPr>
        <w:t>”</w:t>
      </w:r>
      <w:r w:rsidRPr="00913875">
        <w:rPr>
          <w:rFonts w:ascii="Verdana" w:hAnsi="Verdana" w:cs="Arial"/>
          <w:color w:val="000000" w:themeColor="text1"/>
          <w:sz w:val="20"/>
          <w:szCs w:val="20"/>
          <w:shd w:val="clear" w:color="auto" w:fill="FFFFFF"/>
          <w:lang w:val="es-ES"/>
        </w:rPr>
        <w:t xml:space="preserve"> EN LA JURISPRUDENCIA INTERAMERICANA</w:t>
      </w:r>
    </w:p>
    <w:p w14:paraId="33F4BEFF" w14:textId="0284C08D" w:rsidR="00913875" w:rsidRPr="00913875" w:rsidRDefault="00913875" w:rsidP="00913875">
      <w:pPr>
        <w:widowControl w:val="0"/>
        <w:autoSpaceDE w:val="0"/>
        <w:autoSpaceDN w:val="0"/>
        <w:spacing w:after="120" w:line="240" w:lineRule="auto"/>
        <w:jc w:val="center"/>
        <w:rPr>
          <w:rFonts w:ascii="Verdana" w:hAnsi="Verdana" w:cs="Arial"/>
          <w:color w:val="000000" w:themeColor="text1"/>
          <w:sz w:val="20"/>
          <w:szCs w:val="20"/>
          <w:shd w:val="clear" w:color="auto" w:fill="FFFFFF"/>
          <w:lang w:val="es-ES"/>
        </w:rPr>
      </w:pPr>
      <w:r w:rsidRPr="00913875">
        <w:rPr>
          <w:rFonts w:ascii="Verdana" w:hAnsi="Verdana" w:cs="Arial"/>
          <w:color w:val="000000" w:themeColor="text1"/>
          <w:sz w:val="20"/>
          <w:szCs w:val="20"/>
          <w:shd w:val="clear" w:color="auto" w:fill="FFFFFF"/>
          <w:lang w:val="es-ES"/>
        </w:rPr>
        <w:t xml:space="preserve"> Y SU IMPORTANCIA EN ESTE CASO</w:t>
      </w:r>
    </w:p>
    <w:p w14:paraId="4B44FCFB" w14:textId="47EDA2A0" w:rsidR="00913875" w:rsidRPr="00913875" w:rsidRDefault="00913875" w:rsidP="00913875">
      <w:pPr>
        <w:widowControl w:val="0"/>
        <w:autoSpaceDE w:val="0"/>
        <w:autoSpaceDN w:val="0"/>
        <w:rPr>
          <w:rFonts w:ascii="Verdana" w:hAnsi="Verdana" w:cs="Arial"/>
          <w:i/>
          <w:iCs/>
          <w:color w:val="000000" w:themeColor="text1"/>
          <w:sz w:val="20"/>
          <w:szCs w:val="20"/>
          <w:u w:val="single"/>
          <w:shd w:val="clear" w:color="auto" w:fill="FFFFFF"/>
          <w:lang w:val="es-ES"/>
        </w:rPr>
      </w:pPr>
      <w:r w:rsidRPr="004D0C53">
        <w:rPr>
          <w:rFonts w:ascii="Verdana" w:hAnsi="Verdana" w:cs="Arial"/>
          <w:i/>
          <w:iCs/>
          <w:color w:val="000000" w:themeColor="text1"/>
          <w:sz w:val="20"/>
          <w:szCs w:val="20"/>
          <w:u w:val="single"/>
          <w:shd w:val="clear" w:color="auto" w:fill="FFFFFF"/>
          <w:lang w:val="es-ES"/>
        </w:rPr>
        <w:t>1. La prueba contextual: una aproximación teórica</w:t>
      </w:r>
    </w:p>
    <w:p w14:paraId="2F62B310" w14:textId="2F961DD6" w:rsidR="00913875" w:rsidRDefault="00ED375C" w:rsidP="00913875">
      <w:pPr>
        <w:spacing w:after="0" w:line="240" w:lineRule="auto"/>
        <w:jc w:val="both"/>
        <w:rPr>
          <w:rFonts w:ascii="Verdana" w:hAnsi="Verdana" w:cs="Arial"/>
          <w:sz w:val="20"/>
          <w:szCs w:val="20"/>
          <w:lang w:val="es-ES"/>
        </w:rPr>
      </w:pPr>
      <w:r>
        <w:rPr>
          <w:rFonts w:ascii="Verdana" w:hAnsi="Verdana" w:cs="Arial"/>
          <w:sz w:val="20"/>
          <w:szCs w:val="20"/>
          <w:lang w:val="es-ES"/>
        </w:rPr>
        <w:t>6</w:t>
      </w:r>
      <w:r w:rsidR="00913875" w:rsidRPr="00913875">
        <w:rPr>
          <w:rFonts w:ascii="Verdana" w:hAnsi="Verdana" w:cs="Arial"/>
          <w:sz w:val="20"/>
          <w:szCs w:val="20"/>
          <w:lang w:val="es-ES"/>
        </w:rPr>
        <w:t xml:space="preserve">. </w:t>
      </w:r>
      <w:r w:rsidR="00913875" w:rsidRPr="00913875">
        <w:rPr>
          <w:rFonts w:ascii="Verdana" w:hAnsi="Verdana" w:cs="Arial"/>
          <w:sz w:val="20"/>
          <w:szCs w:val="20"/>
          <w:lang w:val="es-ES"/>
        </w:rPr>
        <w:tab/>
        <w:t>La prueba contextual ha tenido poco</w:t>
      </w:r>
      <w:r w:rsidR="003268DC">
        <w:rPr>
          <w:rFonts w:ascii="Verdana" w:hAnsi="Verdana" w:cs="Arial"/>
          <w:sz w:val="20"/>
          <w:szCs w:val="20"/>
          <w:lang w:val="es-ES"/>
        </w:rPr>
        <w:t xml:space="preserve"> </w:t>
      </w:r>
      <w:r w:rsidR="00913875" w:rsidRPr="00913875">
        <w:rPr>
          <w:rFonts w:ascii="Verdana" w:hAnsi="Verdana" w:cs="Arial"/>
          <w:sz w:val="20"/>
          <w:szCs w:val="20"/>
          <w:lang w:val="es-ES"/>
        </w:rPr>
        <w:t>tratamiento en la literatura jurídica nacional e internacional. De hecho, la búsqueda de fuentes doctrinarias ha estado centrada en los casos de graves violaciones a derechos humanos –en específico</w:t>
      </w:r>
      <w:r w:rsidR="00FE5E55">
        <w:rPr>
          <w:rFonts w:ascii="Verdana" w:hAnsi="Verdana" w:cs="Arial"/>
          <w:sz w:val="20"/>
          <w:szCs w:val="20"/>
          <w:lang w:val="es-ES"/>
        </w:rPr>
        <w:t>, situaciones</w:t>
      </w:r>
      <w:r w:rsidR="00913875" w:rsidRPr="00913875">
        <w:rPr>
          <w:rFonts w:ascii="Verdana" w:hAnsi="Verdana" w:cs="Arial"/>
          <w:sz w:val="20"/>
          <w:szCs w:val="20"/>
          <w:lang w:val="es-ES"/>
        </w:rPr>
        <w:t xml:space="preserve"> de violaciones sistemáticas y generalizadas en contextos de ausencia del Estado de </w:t>
      </w:r>
      <w:r w:rsidR="000E241D">
        <w:rPr>
          <w:rFonts w:ascii="Verdana" w:hAnsi="Verdana" w:cs="Arial"/>
          <w:sz w:val="20"/>
          <w:szCs w:val="20"/>
          <w:lang w:val="es-ES"/>
        </w:rPr>
        <w:t>d</w:t>
      </w:r>
      <w:r w:rsidR="00913875" w:rsidRPr="00913875">
        <w:rPr>
          <w:rFonts w:ascii="Verdana" w:hAnsi="Verdana" w:cs="Arial"/>
          <w:sz w:val="20"/>
          <w:szCs w:val="20"/>
          <w:lang w:val="es-ES"/>
        </w:rPr>
        <w:t xml:space="preserve">erecho–. No es de extrañar, entonces, que no se haya profundizado en el estudio de la prueba contextual como un medio probatorio que las y los jueces pueden utilizar en la incorporación de sus decisiones cuando no existe prueba directa para probar todos y cada uno de los hechos que se alegan como violaciones a derechos humanos. </w:t>
      </w:r>
    </w:p>
    <w:p w14:paraId="50706034" w14:textId="77777777" w:rsidR="00913875" w:rsidRDefault="00913875" w:rsidP="00913875">
      <w:pPr>
        <w:spacing w:after="0" w:line="240" w:lineRule="auto"/>
        <w:jc w:val="both"/>
        <w:rPr>
          <w:rFonts w:ascii="Verdana" w:hAnsi="Verdana" w:cs="Arial"/>
          <w:sz w:val="20"/>
          <w:szCs w:val="20"/>
          <w:lang w:val="es-ES"/>
        </w:rPr>
      </w:pPr>
    </w:p>
    <w:p w14:paraId="79AF9CB4" w14:textId="146CCDDF" w:rsidR="00913875" w:rsidRDefault="00ED375C" w:rsidP="00913875">
      <w:pPr>
        <w:spacing w:after="0" w:line="240" w:lineRule="auto"/>
        <w:jc w:val="both"/>
        <w:rPr>
          <w:rFonts w:ascii="Verdana" w:hAnsi="Verdana" w:cs="Arial"/>
          <w:sz w:val="20"/>
          <w:szCs w:val="20"/>
          <w:lang w:val="es-ES"/>
        </w:rPr>
      </w:pPr>
      <w:r>
        <w:rPr>
          <w:rFonts w:ascii="Verdana" w:hAnsi="Verdana" w:cs="Arial"/>
          <w:sz w:val="20"/>
          <w:szCs w:val="20"/>
          <w:lang w:val="es-ES"/>
        </w:rPr>
        <w:t>7</w:t>
      </w:r>
      <w:r w:rsidR="00913875">
        <w:rPr>
          <w:rFonts w:ascii="Verdana" w:hAnsi="Verdana" w:cs="Arial"/>
          <w:sz w:val="20"/>
          <w:szCs w:val="20"/>
          <w:lang w:val="es-ES"/>
        </w:rPr>
        <w:t xml:space="preserve">. </w:t>
      </w:r>
      <w:r w:rsidR="00913875">
        <w:rPr>
          <w:rFonts w:ascii="Verdana" w:hAnsi="Verdana" w:cs="Arial"/>
          <w:sz w:val="20"/>
          <w:szCs w:val="20"/>
          <w:lang w:val="es-ES"/>
        </w:rPr>
        <w:tab/>
      </w:r>
      <w:r w:rsidR="00913875" w:rsidRPr="004D0C53">
        <w:rPr>
          <w:rFonts w:ascii="Verdana" w:hAnsi="Verdana" w:cs="Arial"/>
          <w:sz w:val="20"/>
          <w:szCs w:val="20"/>
          <w:lang w:val="es-ES"/>
        </w:rPr>
        <w:t>En este sentido, a la fecha no existe una definición en el derecho nacional o en el derecho internacional sobre qué es la prueba contextual o en qué supuestos se utiliza. Sin embargo, no debe perderse de vista que la nomenclatura “contexto” no es lo mismo que “prueba contextual”</w:t>
      </w:r>
      <w:r w:rsidR="003268DC">
        <w:rPr>
          <w:rFonts w:ascii="Verdana" w:hAnsi="Verdana" w:cs="Arial"/>
          <w:sz w:val="20"/>
          <w:szCs w:val="20"/>
          <w:lang w:val="es-ES"/>
        </w:rPr>
        <w:t>. E</w:t>
      </w:r>
      <w:r w:rsidR="00913875" w:rsidRPr="004D0C53">
        <w:rPr>
          <w:rFonts w:ascii="Verdana" w:hAnsi="Verdana" w:cs="Arial"/>
          <w:sz w:val="20"/>
          <w:szCs w:val="20"/>
          <w:lang w:val="es-ES"/>
        </w:rPr>
        <w:t xml:space="preserve">l primero desarrolla la idea de “momento” o las circunstancias </w:t>
      </w:r>
      <w:r w:rsidR="003268DC">
        <w:rPr>
          <w:rFonts w:ascii="Verdana" w:hAnsi="Verdana" w:cs="Arial"/>
          <w:sz w:val="20"/>
          <w:szCs w:val="20"/>
          <w:lang w:val="es-ES"/>
        </w:rPr>
        <w:t>—</w:t>
      </w:r>
      <w:r w:rsidR="00913875" w:rsidRPr="004D0C53">
        <w:rPr>
          <w:rFonts w:ascii="Verdana" w:hAnsi="Verdana" w:cs="Arial"/>
          <w:sz w:val="20"/>
          <w:szCs w:val="20"/>
          <w:lang w:val="es-ES"/>
        </w:rPr>
        <w:t>de modo, tiempo y lugar</w:t>
      </w:r>
      <w:r w:rsidR="003268DC">
        <w:rPr>
          <w:rFonts w:ascii="Verdana" w:hAnsi="Verdana" w:cs="Arial"/>
          <w:sz w:val="20"/>
          <w:szCs w:val="20"/>
          <w:lang w:val="es-ES"/>
        </w:rPr>
        <w:t xml:space="preserve">— </w:t>
      </w:r>
      <w:r w:rsidR="00913875" w:rsidRPr="004D0C53">
        <w:rPr>
          <w:rFonts w:ascii="Verdana" w:hAnsi="Verdana" w:cs="Arial"/>
          <w:sz w:val="20"/>
          <w:szCs w:val="20"/>
          <w:lang w:val="es-ES"/>
        </w:rPr>
        <w:t>en el que se actualizan los hechos</w:t>
      </w:r>
      <w:r w:rsidR="003268DC">
        <w:rPr>
          <w:rFonts w:ascii="Verdana" w:hAnsi="Verdana" w:cs="Arial"/>
          <w:sz w:val="20"/>
          <w:szCs w:val="20"/>
          <w:lang w:val="es-ES"/>
        </w:rPr>
        <w:t>,</w:t>
      </w:r>
      <w:r w:rsidR="00913875" w:rsidRPr="004D0C53">
        <w:rPr>
          <w:rFonts w:ascii="Verdana" w:hAnsi="Verdana" w:cs="Arial"/>
          <w:sz w:val="20"/>
          <w:szCs w:val="20"/>
          <w:lang w:val="es-ES"/>
        </w:rPr>
        <w:t xml:space="preserve"> lo que</w:t>
      </w:r>
      <w:r w:rsidR="00FE5E55">
        <w:rPr>
          <w:rFonts w:ascii="Verdana" w:hAnsi="Verdana" w:cs="Arial"/>
          <w:sz w:val="20"/>
          <w:szCs w:val="20"/>
          <w:lang w:val="es-ES"/>
        </w:rPr>
        <w:t xml:space="preserve">, traducido a términos probatorios, </w:t>
      </w:r>
      <w:r w:rsidR="00913875" w:rsidRPr="004D0C53">
        <w:rPr>
          <w:rFonts w:ascii="Verdana" w:hAnsi="Verdana" w:cs="Arial"/>
          <w:sz w:val="20"/>
          <w:szCs w:val="20"/>
          <w:lang w:val="es-ES"/>
        </w:rPr>
        <w:t xml:space="preserve">se conoce </w:t>
      </w:r>
      <w:r w:rsidR="003268DC">
        <w:rPr>
          <w:rFonts w:ascii="Verdana" w:hAnsi="Verdana" w:cs="Arial"/>
          <w:sz w:val="20"/>
          <w:szCs w:val="20"/>
          <w:lang w:val="es-ES"/>
        </w:rPr>
        <w:t xml:space="preserve">como </w:t>
      </w:r>
      <w:r w:rsidR="00913875" w:rsidRPr="004D0C53">
        <w:rPr>
          <w:rFonts w:ascii="Verdana" w:hAnsi="Verdana" w:cs="Arial"/>
          <w:sz w:val="20"/>
          <w:szCs w:val="20"/>
          <w:lang w:val="es-ES"/>
        </w:rPr>
        <w:t xml:space="preserve">prueba circunstancial. </w:t>
      </w:r>
    </w:p>
    <w:p w14:paraId="296DCE47" w14:textId="77777777" w:rsidR="00913875" w:rsidRPr="00913875" w:rsidRDefault="00913875" w:rsidP="00913875">
      <w:pPr>
        <w:spacing w:after="0" w:line="240" w:lineRule="auto"/>
        <w:jc w:val="both"/>
        <w:rPr>
          <w:rFonts w:ascii="Verdana" w:hAnsi="Verdana" w:cs="Arial"/>
          <w:sz w:val="20"/>
          <w:szCs w:val="20"/>
          <w:lang w:val="es-ES"/>
        </w:rPr>
      </w:pPr>
    </w:p>
    <w:p w14:paraId="611BADFC" w14:textId="01D7EF8E" w:rsidR="00913875" w:rsidRPr="00913875" w:rsidRDefault="00ED375C" w:rsidP="00913875">
      <w:pPr>
        <w:spacing w:after="0" w:line="240" w:lineRule="auto"/>
        <w:jc w:val="both"/>
        <w:rPr>
          <w:rFonts w:ascii="Verdana" w:hAnsi="Verdana" w:cs="Arial"/>
          <w:sz w:val="20"/>
          <w:szCs w:val="20"/>
          <w:lang w:val="es-ES"/>
        </w:rPr>
      </w:pPr>
      <w:r>
        <w:rPr>
          <w:rFonts w:ascii="Verdana" w:hAnsi="Verdana" w:cs="Arial"/>
          <w:sz w:val="20"/>
          <w:szCs w:val="20"/>
          <w:lang w:val="es-ES"/>
        </w:rPr>
        <w:t>8</w:t>
      </w:r>
      <w:r w:rsidR="00913875" w:rsidRPr="00913875">
        <w:rPr>
          <w:rFonts w:ascii="Verdana" w:hAnsi="Verdana" w:cs="Arial"/>
          <w:sz w:val="20"/>
          <w:szCs w:val="20"/>
          <w:lang w:val="es-ES"/>
        </w:rPr>
        <w:t xml:space="preserve">. </w:t>
      </w:r>
      <w:r w:rsidR="00913875" w:rsidRPr="00913875">
        <w:rPr>
          <w:rFonts w:ascii="Verdana" w:hAnsi="Verdana" w:cs="Arial"/>
          <w:sz w:val="20"/>
          <w:szCs w:val="20"/>
          <w:lang w:val="es-ES"/>
        </w:rPr>
        <w:tab/>
        <w:t xml:space="preserve">El contexto, como prueba, es una herramienta que también se utiliza en la investigación y juzgamiento de violaciones a derechos humanos, pero </w:t>
      </w:r>
      <w:r w:rsidR="00055AC4">
        <w:rPr>
          <w:rFonts w:ascii="Verdana" w:hAnsi="Verdana" w:cs="Arial"/>
          <w:sz w:val="20"/>
          <w:szCs w:val="20"/>
          <w:lang w:val="es-ES"/>
        </w:rPr>
        <w:t xml:space="preserve">en donde </w:t>
      </w:r>
      <w:r w:rsidR="00913875" w:rsidRPr="00913875">
        <w:rPr>
          <w:rFonts w:ascii="Verdana" w:hAnsi="Verdana" w:cs="Arial"/>
          <w:sz w:val="20"/>
          <w:szCs w:val="20"/>
          <w:lang w:val="es-ES"/>
        </w:rPr>
        <w:t xml:space="preserve">se deben tener en cuenta aspectos de orden geográfico, político, económico, histórico, social y cultural. Dichos aspectos deben dialogar entre sí buscando factores que conecten causas y consecuencias que inciden en la concreción de violaciones a derechos humanos. Es un relato dentro de un marco temporal que evidencia dinámicas sociales, en particular dinámicas de violencia o de déficit de atención </w:t>
      </w:r>
      <w:r w:rsidR="00FE5E55">
        <w:rPr>
          <w:rFonts w:ascii="Verdana" w:hAnsi="Verdana" w:cs="Arial"/>
          <w:sz w:val="20"/>
          <w:szCs w:val="20"/>
          <w:lang w:val="es-ES"/>
        </w:rPr>
        <w:t xml:space="preserve">a </w:t>
      </w:r>
      <w:r w:rsidR="00913875" w:rsidRPr="00913875">
        <w:rPr>
          <w:rFonts w:ascii="Verdana" w:hAnsi="Verdana" w:cs="Arial"/>
          <w:sz w:val="20"/>
          <w:szCs w:val="20"/>
          <w:lang w:val="es-ES"/>
        </w:rPr>
        <w:t>derechos que son producidas por grupos o estructuras que pueden estar, o no, vinculados con el Estado. La prueba contextual es situacional, es decir, que necesariamente debe tener un marco temporal delimitado y demarcado y un territorio o campo geográfico específico para llevarlo a cabo</w:t>
      </w:r>
      <w:r w:rsidR="00913875" w:rsidRPr="004D0C53">
        <w:rPr>
          <w:rStyle w:val="FootnoteReference"/>
          <w:rFonts w:ascii="Verdana" w:hAnsi="Verdana" w:cs="Arial"/>
          <w:sz w:val="20"/>
          <w:szCs w:val="20"/>
          <w:lang w:val="es-ES"/>
        </w:rPr>
        <w:footnoteReference w:id="2"/>
      </w:r>
      <w:r w:rsidR="00913875" w:rsidRPr="00913875">
        <w:rPr>
          <w:rFonts w:ascii="Verdana" w:hAnsi="Verdana" w:cs="Arial"/>
          <w:sz w:val="20"/>
          <w:szCs w:val="20"/>
          <w:lang w:val="es-ES"/>
        </w:rPr>
        <w:t>, de lo contrario será una simple narración de hechos.</w:t>
      </w:r>
      <w:r w:rsidR="00452683">
        <w:rPr>
          <w:rFonts w:ascii="Verdana" w:hAnsi="Verdana" w:cs="Arial"/>
          <w:sz w:val="20"/>
          <w:szCs w:val="20"/>
          <w:lang w:val="es-ES"/>
        </w:rPr>
        <w:t xml:space="preserve"> </w:t>
      </w:r>
      <w:r w:rsidR="00913875" w:rsidRPr="00913875">
        <w:rPr>
          <w:rFonts w:ascii="Verdana" w:hAnsi="Verdana" w:cs="Arial"/>
          <w:sz w:val="20"/>
          <w:szCs w:val="20"/>
          <w:lang w:val="es-ES"/>
        </w:rPr>
        <w:t xml:space="preserve"> </w:t>
      </w:r>
    </w:p>
    <w:p w14:paraId="7DEE7B7A" w14:textId="77777777" w:rsidR="00913875" w:rsidRPr="004D0C53" w:rsidRDefault="00913875" w:rsidP="00913875">
      <w:pPr>
        <w:pStyle w:val="ListParagraph"/>
        <w:rPr>
          <w:rFonts w:ascii="Verdana" w:hAnsi="Verdana" w:cs="Arial"/>
          <w:sz w:val="20"/>
          <w:szCs w:val="20"/>
          <w:lang w:val="es-ES"/>
        </w:rPr>
      </w:pPr>
    </w:p>
    <w:p w14:paraId="4103FCD8" w14:textId="2D7E4CBC" w:rsidR="00913875" w:rsidRPr="004D0C53" w:rsidRDefault="00C86E53"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lastRenderedPageBreak/>
        <w:t>9</w:t>
      </w:r>
      <w:r w:rsidR="00913875">
        <w:rPr>
          <w:rFonts w:ascii="Verdana" w:hAnsi="Verdana" w:cs="Arial"/>
          <w:sz w:val="20"/>
          <w:szCs w:val="20"/>
          <w:lang w:val="es-ES"/>
        </w:rPr>
        <w:t xml:space="preserve">. </w:t>
      </w:r>
      <w:r w:rsidR="00913875">
        <w:rPr>
          <w:rFonts w:ascii="Verdana" w:hAnsi="Verdana" w:cs="Arial"/>
          <w:sz w:val="20"/>
          <w:szCs w:val="20"/>
          <w:lang w:val="es-ES"/>
        </w:rPr>
        <w:tab/>
      </w:r>
      <w:r w:rsidR="00913875" w:rsidRPr="004D0C53">
        <w:rPr>
          <w:rFonts w:ascii="Verdana" w:hAnsi="Verdana" w:cs="Arial"/>
          <w:sz w:val="20"/>
          <w:szCs w:val="20"/>
          <w:lang w:val="es-ES"/>
        </w:rPr>
        <w:t>La prueba contextual, al igual que la prueba circunstancial (también conocida como prueba indiciaria o presuntiva), se posiciona como medio indirecto de prueba</w:t>
      </w:r>
      <w:r w:rsidR="00055AC4">
        <w:rPr>
          <w:rFonts w:ascii="Verdana" w:hAnsi="Verdana" w:cs="Arial"/>
          <w:sz w:val="20"/>
          <w:szCs w:val="20"/>
          <w:lang w:val="es-ES"/>
        </w:rPr>
        <w:t>;</w:t>
      </w:r>
      <w:r w:rsidR="00913875" w:rsidRPr="004D0C53">
        <w:rPr>
          <w:rFonts w:ascii="Verdana" w:hAnsi="Verdana" w:cs="Arial"/>
          <w:sz w:val="20"/>
          <w:szCs w:val="20"/>
          <w:lang w:val="es-ES"/>
        </w:rPr>
        <w:t xml:space="preserve"> la prueba contextual se complementa con la prueba circunstancial, pero no son sinónimos</w:t>
      </w:r>
      <w:r w:rsidR="00913875" w:rsidRPr="004D0C53">
        <w:rPr>
          <w:rStyle w:val="FootnoteReference"/>
          <w:rFonts w:ascii="Verdana" w:hAnsi="Verdana" w:cs="Arial"/>
          <w:sz w:val="20"/>
          <w:szCs w:val="20"/>
          <w:lang w:val="es-ES"/>
        </w:rPr>
        <w:footnoteReference w:id="3"/>
      </w:r>
      <w:r w:rsidR="00913875" w:rsidRPr="004D0C53">
        <w:rPr>
          <w:rFonts w:ascii="Verdana" w:hAnsi="Verdana" w:cs="Arial"/>
          <w:sz w:val="20"/>
          <w:szCs w:val="20"/>
          <w:lang w:val="es-ES"/>
        </w:rPr>
        <w:t>.</w:t>
      </w:r>
    </w:p>
    <w:p w14:paraId="5107B852" w14:textId="77777777" w:rsidR="00913875" w:rsidRPr="004D0C53" w:rsidRDefault="00913875" w:rsidP="00913875">
      <w:pPr>
        <w:pStyle w:val="ListParagraph"/>
        <w:rPr>
          <w:rFonts w:ascii="Verdana" w:hAnsi="Verdana" w:cs="Arial"/>
          <w:sz w:val="20"/>
          <w:szCs w:val="20"/>
          <w:lang w:val="es-ES"/>
        </w:rPr>
      </w:pPr>
    </w:p>
    <w:p w14:paraId="3036F111" w14:textId="550DAE83" w:rsidR="00913875" w:rsidRPr="004D0C53" w:rsidRDefault="0003172C"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1</w:t>
      </w:r>
      <w:r w:rsidR="00C86E53">
        <w:rPr>
          <w:rFonts w:ascii="Verdana" w:hAnsi="Verdana" w:cs="Arial"/>
          <w:sz w:val="20"/>
          <w:szCs w:val="20"/>
          <w:lang w:val="es-ES"/>
        </w:rPr>
        <w:t>0</w:t>
      </w:r>
      <w:r w:rsidR="00913875">
        <w:rPr>
          <w:rFonts w:ascii="Verdana" w:hAnsi="Verdana" w:cs="Arial"/>
          <w:sz w:val="20"/>
          <w:szCs w:val="20"/>
          <w:lang w:val="es-ES"/>
        </w:rPr>
        <w:t xml:space="preserve">. </w:t>
      </w:r>
      <w:r w:rsidR="00913875">
        <w:rPr>
          <w:rFonts w:ascii="Verdana" w:hAnsi="Verdana" w:cs="Arial"/>
          <w:sz w:val="20"/>
          <w:szCs w:val="20"/>
          <w:lang w:val="es-ES"/>
        </w:rPr>
        <w:tab/>
      </w:r>
      <w:r w:rsidR="00913875" w:rsidRPr="004D0C53">
        <w:rPr>
          <w:rFonts w:ascii="Verdana" w:hAnsi="Verdana" w:cs="Arial"/>
          <w:sz w:val="20"/>
          <w:szCs w:val="20"/>
          <w:lang w:val="es-ES"/>
        </w:rPr>
        <w:t xml:space="preserve">Los términos prueba contextual, patrón y </w:t>
      </w:r>
      <w:r w:rsidR="00913875" w:rsidRPr="004D0C53">
        <w:rPr>
          <w:rFonts w:ascii="Verdana" w:hAnsi="Verdana" w:cs="Arial"/>
          <w:i/>
          <w:iCs/>
          <w:sz w:val="20"/>
          <w:szCs w:val="20"/>
          <w:lang w:val="es-ES"/>
        </w:rPr>
        <w:t>modos operandi</w:t>
      </w:r>
      <w:r w:rsidR="00913875" w:rsidRPr="004D0C53">
        <w:rPr>
          <w:rFonts w:ascii="Verdana" w:hAnsi="Verdana" w:cs="Arial"/>
          <w:sz w:val="20"/>
          <w:szCs w:val="20"/>
          <w:lang w:val="es-ES"/>
        </w:rPr>
        <w:t xml:space="preserve"> no son conceptos excluyentes</w:t>
      </w:r>
      <w:r w:rsidR="00055AC4">
        <w:rPr>
          <w:rFonts w:ascii="Verdana" w:hAnsi="Verdana" w:cs="Arial"/>
          <w:sz w:val="20"/>
          <w:szCs w:val="20"/>
          <w:lang w:val="es-ES"/>
        </w:rPr>
        <w:t>,</w:t>
      </w:r>
      <w:r w:rsidR="00913875" w:rsidRPr="004D0C53">
        <w:rPr>
          <w:rFonts w:ascii="Verdana" w:hAnsi="Verdana" w:cs="Arial"/>
          <w:sz w:val="20"/>
          <w:szCs w:val="20"/>
          <w:lang w:val="es-ES"/>
        </w:rPr>
        <w:t xml:space="preserve"> ya </w:t>
      </w:r>
      <w:r w:rsidR="00871D7D">
        <w:rPr>
          <w:rFonts w:ascii="Verdana" w:hAnsi="Verdana" w:cs="Arial"/>
          <w:sz w:val="20"/>
          <w:szCs w:val="20"/>
          <w:lang w:val="es-ES"/>
        </w:rPr>
        <w:t xml:space="preserve">que </w:t>
      </w:r>
      <w:r w:rsidR="00913875" w:rsidRPr="004D0C53">
        <w:rPr>
          <w:rFonts w:ascii="Verdana" w:hAnsi="Verdana" w:cs="Arial"/>
          <w:sz w:val="20"/>
          <w:szCs w:val="20"/>
          <w:lang w:val="es-ES"/>
        </w:rPr>
        <w:t>son conceptos que están entrelazados</w:t>
      </w:r>
      <w:r w:rsidR="00913875" w:rsidRPr="004D0C53">
        <w:rPr>
          <w:rStyle w:val="FootnoteReference"/>
          <w:rFonts w:ascii="Verdana" w:hAnsi="Verdana" w:cs="Arial"/>
          <w:sz w:val="20"/>
          <w:szCs w:val="20"/>
          <w:lang w:val="es-ES"/>
        </w:rPr>
        <w:footnoteReference w:id="4"/>
      </w:r>
      <w:r w:rsidR="00913875" w:rsidRPr="004D0C53">
        <w:rPr>
          <w:rFonts w:ascii="Verdana" w:hAnsi="Verdana" w:cs="Arial"/>
          <w:sz w:val="20"/>
          <w:szCs w:val="20"/>
          <w:lang w:val="es-ES"/>
        </w:rPr>
        <w:t xml:space="preserve">.  El </w:t>
      </w:r>
      <w:r w:rsidR="00913875" w:rsidRPr="004D0C53">
        <w:rPr>
          <w:rFonts w:ascii="Verdana" w:hAnsi="Verdana" w:cs="Arial"/>
          <w:i/>
          <w:iCs/>
          <w:sz w:val="20"/>
          <w:szCs w:val="20"/>
          <w:lang w:val="es-ES"/>
        </w:rPr>
        <w:t xml:space="preserve">modus operandi </w:t>
      </w:r>
      <w:r w:rsidR="00913875" w:rsidRPr="004D0C53">
        <w:rPr>
          <w:rFonts w:ascii="Verdana" w:hAnsi="Verdana" w:cs="Arial"/>
          <w:sz w:val="20"/>
          <w:szCs w:val="20"/>
          <w:lang w:val="es-ES"/>
        </w:rPr>
        <w:t>se ha definido como la forma en la que se llevan a cabo las diferentes violaciones a derechos humanos. Describe cómo se organizan las acciones</w:t>
      </w:r>
      <w:r w:rsidR="00FE5E55">
        <w:rPr>
          <w:rFonts w:ascii="Verdana" w:hAnsi="Verdana" w:cs="Arial"/>
          <w:sz w:val="20"/>
          <w:szCs w:val="20"/>
          <w:lang w:val="es-ES"/>
        </w:rPr>
        <w:t>:</w:t>
      </w:r>
      <w:r w:rsidR="00913875" w:rsidRPr="004D0C53">
        <w:rPr>
          <w:rFonts w:ascii="Verdana" w:hAnsi="Verdana" w:cs="Arial"/>
          <w:sz w:val="20"/>
          <w:szCs w:val="20"/>
          <w:lang w:val="es-ES"/>
        </w:rPr>
        <w:t xml:space="preserve"> cuáles son los pasos secuenciales que generalmente aplican en la comisión de una misma violación de derechos humanos. También describe las relaciones de causa y efecto de una cadena de violaciones. Por otro lado, </w:t>
      </w:r>
      <w:r w:rsidR="00913875" w:rsidRPr="004D0C53">
        <w:rPr>
          <w:rFonts w:ascii="Verdana" w:hAnsi="Verdana" w:cs="Arial"/>
          <w:i/>
          <w:iCs/>
          <w:sz w:val="20"/>
          <w:szCs w:val="20"/>
          <w:lang w:val="es-ES"/>
        </w:rPr>
        <w:t>un patrón</w:t>
      </w:r>
      <w:r w:rsidR="00913875" w:rsidRPr="004D0C53">
        <w:rPr>
          <w:rFonts w:ascii="Verdana" w:hAnsi="Verdana" w:cs="Arial"/>
          <w:sz w:val="20"/>
          <w:szCs w:val="20"/>
          <w:lang w:val="es-ES"/>
        </w:rPr>
        <w:t xml:space="preserve"> es un conjunto de diferentes </w:t>
      </w:r>
      <w:r w:rsidR="00913875" w:rsidRPr="00055AC4">
        <w:rPr>
          <w:rFonts w:ascii="Verdana" w:hAnsi="Verdana" w:cs="Arial"/>
          <w:i/>
          <w:iCs/>
          <w:sz w:val="20"/>
          <w:szCs w:val="20"/>
          <w:lang w:val="es-ES"/>
        </w:rPr>
        <w:t>modus operandi</w:t>
      </w:r>
      <w:r w:rsidR="00913875" w:rsidRPr="004D0C53">
        <w:rPr>
          <w:rFonts w:ascii="Verdana" w:hAnsi="Verdana" w:cs="Arial"/>
          <w:sz w:val="20"/>
          <w:szCs w:val="20"/>
          <w:lang w:val="es-ES"/>
        </w:rPr>
        <w:t xml:space="preserve"> desarrollados en un territorio o en un periodo de tiempo específico, a través </w:t>
      </w:r>
      <w:r w:rsidR="00DC2DBE" w:rsidRPr="004D0C53">
        <w:rPr>
          <w:rFonts w:ascii="Verdana" w:hAnsi="Verdana" w:cs="Arial"/>
          <w:sz w:val="20"/>
          <w:szCs w:val="20"/>
          <w:lang w:val="es-ES"/>
        </w:rPr>
        <w:t>de</w:t>
      </w:r>
      <w:r w:rsidR="00913875" w:rsidRPr="004D0C53">
        <w:rPr>
          <w:rFonts w:ascii="Verdana" w:hAnsi="Verdana" w:cs="Arial"/>
          <w:sz w:val="20"/>
          <w:szCs w:val="20"/>
          <w:lang w:val="es-ES"/>
        </w:rPr>
        <w:t xml:space="preserve"> la cual se pueden extraer conclusiones respecto a diversos niveles de mando o actuación de agentes particulares o estatales</w:t>
      </w:r>
      <w:r w:rsidR="00913875" w:rsidRPr="004D0C53">
        <w:rPr>
          <w:rStyle w:val="FootnoteReference"/>
          <w:rFonts w:ascii="Verdana" w:hAnsi="Verdana" w:cs="Arial"/>
          <w:sz w:val="20"/>
          <w:szCs w:val="20"/>
          <w:lang w:val="es-ES"/>
        </w:rPr>
        <w:footnoteReference w:id="5"/>
      </w:r>
      <w:r w:rsidR="00913875" w:rsidRPr="004D0C53">
        <w:rPr>
          <w:rFonts w:ascii="Verdana" w:hAnsi="Verdana" w:cs="Arial"/>
          <w:sz w:val="20"/>
          <w:szCs w:val="20"/>
          <w:lang w:val="es-ES"/>
        </w:rPr>
        <w:t xml:space="preserve">. </w:t>
      </w:r>
    </w:p>
    <w:p w14:paraId="46CAD365" w14:textId="77777777" w:rsidR="00913875" w:rsidRPr="004D0C53" w:rsidRDefault="00913875" w:rsidP="00913875">
      <w:pPr>
        <w:pStyle w:val="ListParagraph"/>
        <w:rPr>
          <w:rFonts w:ascii="Verdana" w:hAnsi="Verdana" w:cs="Arial"/>
          <w:sz w:val="20"/>
          <w:szCs w:val="20"/>
          <w:lang w:val="es-ES"/>
        </w:rPr>
      </w:pPr>
    </w:p>
    <w:p w14:paraId="6E1CA8B3" w14:textId="1EB1398E" w:rsidR="00913875" w:rsidRPr="004D0C53" w:rsidRDefault="00913875"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1</w:t>
      </w:r>
      <w:r w:rsidR="00C86E53">
        <w:rPr>
          <w:rFonts w:ascii="Verdana" w:hAnsi="Verdana" w:cs="Arial"/>
          <w:sz w:val="20"/>
          <w:szCs w:val="20"/>
          <w:lang w:val="es-ES"/>
        </w:rPr>
        <w:t>1</w:t>
      </w:r>
      <w:r>
        <w:rPr>
          <w:rFonts w:ascii="Verdana" w:hAnsi="Verdana" w:cs="Arial"/>
          <w:sz w:val="20"/>
          <w:szCs w:val="20"/>
          <w:lang w:val="es-ES"/>
        </w:rPr>
        <w:t xml:space="preserve">. </w:t>
      </w:r>
      <w:r>
        <w:rPr>
          <w:rFonts w:ascii="Verdana" w:hAnsi="Verdana" w:cs="Arial"/>
          <w:sz w:val="20"/>
          <w:szCs w:val="20"/>
          <w:lang w:val="es-ES"/>
        </w:rPr>
        <w:tab/>
      </w:r>
      <w:r w:rsidRPr="004D0C53">
        <w:rPr>
          <w:rFonts w:ascii="Verdana" w:hAnsi="Verdana" w:cs="Arial"/>
          <w:sz w:val="20"/>
          <w:szCs w:val="20"/>
          <w:lang w:val="es-ES"/>
        </w:rPr>
        <w:t xml:space="preserve">En suma, estamos ante un contexto cuando se pueden desprender los siguientes elementos:  1. </w:t>
      </w:r>
      <w:r w:rsidR="00902A1F">
        <w:rPr>
          <w:rFonts w:ascii="Verdana" w:hAnsi="Verdana" w:cs="Arial"/>
          <w:sz w:val="20"/>
          <w:szCs w:val="20"/>
          <w:lang w:val="es-ES"/>
        </w:rPr>
        <w:t>e</w:t>
      </w:r>
      <w:r w:rsidRPr="004D0C53">
        <w:rPr>
          <w:rFonts w:ascii="Verdana" w:hAnsi="Verdana" w:cs="Arial"/>
          <w:sz w:val="20"/>
          <w:szCs w:val="20"/>
          <w:lang w:val="es-ES"/>
        </w:rPr>
        <w:t>s un marco de referencia para la investigación y juzgamiento de violaciones a derechos humanos; 2.</w:t>
      </w:r>
      <w:r w:rsidR="00055AC4">
        <w:rPr>
          <w:rFonts w:ascii="Verdana" w:hAnsi="Verdana" w:cs="Arial"/>
          <w:sz w:val="20"/>
          <w:szCs w:val="20"/>
          <w:lang w:val="es-ES"/>
        </w:rPr>
        <w:t xml:space="preserve"> </w:t>
      </w:r>
      <w:r w:rsidR="00902A1F">
        <w:rPr>
          <w:rFonts w:ascii="Verdana" w:hAnsi="Verdana" w:cs="Arial"/>
          <w:sz w:val="20"/>
          <w:szCs w:val="20"/>
          <w:lang w:val="es-ES"/>
        </w:rPr>
        <w:t>i</w:t>
      </w:r>
      <w:r w:rsidRPr="004D0C53">
        <w:rPr>
          <w:rFonts w:ascii="Verdana" w:hAnsi="Verdana" w:cs="Arial"/>
          <w:sz w:val="20"/>
          <w:szCs w:val="20"/>
          <w:lang w:val="es-ES"/>
        </w:rPr>
        <w:t xml:space="preserve">ncluye aspectos geográficos, políticos, económicos, históricos, sociales, culturales relevantes; 3. </w:t>
      </w:r>
      <w:r w:rsidR="00902A1F">
        <w:rPr>
          <w:rFonts w:ascii="Verdana" w:hAnsi="Verdana" w:cs="Arial"/>
          <w:sz w:val="20"/>
          <w:szCs w:val="20"/>
          <w:lang w:val="es-ES"/>
        </w:rPr>
        <w:t>e</w:t>
      </w:r>
      <w:r w:rsidRPr="004D0C53">
        <w:rPr>
          <w:rFonts w:ascii="Verdana" w:hAnsi="Verdana" w:cs="Arial"/>
          <w:sz w:val="20"/>
          <w:szCs w:val="20"/>
          <w:lang w:val="es-ES"/>
        </w:rPr>
        <w:t>s situacional: se refiere a un espacio específico geográfico determinado y a un periodo de tiempo determinado, aunque esto no significa que est</w:t>
      </w:r>
      <w:r w:rsidR="00055AC4">
        <w:rPr>
          <w:rFonts w:ascii="Verdana" w:hAnsi="Verdana" w:cs="Arial"/>
          <w:sz w:val="20"/>
          <w:szCs w:val="20"/>
          <w:lang w:val="es-ES"/>
        </w:rPr>
        <w:t>é</w:t>
      </w:r>
      <w:r w:rsidRPr="004D0C53">
        <w:rPr>
          <w:rFonts w:ascii="Verdana" w:hAnsi="Verdana" w:cs="Arial"/>
          <w:sz w:val="20"/>
          <w:szCs w:val="20"/>
          <w:lang w:val="es-ES"/>
        </w:rPr>
        <w:t xml:space="preserve"> aislado y 4. </w:t>
      </w:r>
      <w:r w:rsidR="00902A1F">
        <w:rPr>
          <w:rFonts w:ascii="Verdana" w:hAnsi="Verdana" w:cs="Arial"/>
          <w:sz w:val="20"/>
          <w:szCs w:val="20"/>
          <w:lang w:val="es-ES"/>
        </w:rPr>
        <w:t>c</w:t>
      </w:r>
      <w:r w:rsidRPr="004D0C53">
        <w:rPr>
          <w:rFonts w:ascii="Verdana" w:hAnsi="Verdana" w:cs="Arial"/>
          <w:sz w:val="20"/>
          <w:szCs w:val="20"/>
          <w:lang w:val="es-ES"/>
        </w:rPr>
        <w:t>uando describe patrones de violaciones a derechos humanos</w:t>
      </w:r>
      <w:r w:rsidRPr="004D0C53">
        <w:rPr>
          <w:rStyle w:val="FootnoteReference"/>
          <w:rFonts w:ascii="Verdana" w:hAnsi="Verdana" w:cs="Arial"/>
          <w:sz w:val="20"/>
          <w:szCs w:val="20"/>
          <w:lang w:val="es-ES"/>
        </w:rPr>
        <w:footnoteReference w:id="6"/>
      </w:r>
      <w:r w:rsidRPr="004D0C53">
        <w:rPr>
          <w:rFonts w:ascii="Verdana" w:hAnsi="Verdana" w:cs="Arial"/>
          <w:sz w:val="20"/>
          <w:szCs w:val="20"/>
          <w:lang w:val="es-ES"/>
        </w:rPr>
        <w:t xml:space="preserve">. </w:t>
      </w:r>
    </w:p>
    <w:p w14:paraId="5C80C127" w14:textId="77777777" w:rsidR="00913875" w:rsidRPr="004D0C53" w:rsidRDefault="00913875" w:rsidP="00913875">
      <w:pPr>
        <w:pStyle w:val="ListParagraph"/>
        <w:rPr>
          <w:rFonts w:ascii="Verdana" w:hAnsi="Verdana" w:cs="Arial"/>
          <w:sz w:val="20"/>
          <w:szCs w:val="20"/>
          <w:lang w:val="es-ES"/>
        </w:rPr>
      </w:pPr>
    </w:p>
    <w:p w14:paraId="527EE52F" w14:textId="23E2EBFC" w:rsidR="00913875" w:rsidRPr="004D0C53" w:rsidRDefault="00913875"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1</w:t>
      </w:r>
      <w:r w:rsidR="00C86E53">
        <w:rPr>
          <w:rFonts w:ascii="Verdana" w:hAnsi="Verdana" w:cs="Arial"/>
          <w:sz w:val="20"/>
          <w:szCs w:val="20"/>
          <w:lang w:val="es-ES"/>
        </w:rPr>
        <w:t>2</w:t>
      </w:r>
      <w:r>
        <w:rPr>
          <w:rFonts w:ascii="Verdana" w:hAnsi="Verdana" w:cs="Arial"/>
          <w:sz w:val="20"/>
          <w:szCs w:val="20"/>
          <w:lang w:val="es-ES"/>
        </w:rPr>
        <w:t xml:space="preserve">. </w:t>
      </w:r>
      <w:r>
        <w:rPr>
          <w:rFonts w:ascii="Verdana" w:hAnsi="Verdana" w:cs="Arial"/>
          <w:sz w:val="20"/>
          <w:szCs w:val="20"/>
          <w:lang w:val="es-ES"/>
        </w:rPr>
        <w:tab/>
      </w:r>
      <w:r w:rsidRPr="004D0C53">
        <w:rPr>
          <w:rFonts w:ascii="Verdana" w:hAnsi="Verdana" w:cs="Arial"/>
          <w:sz w:val="20"/>
          <w:szCs w:val="20"/>
          <w:lang w:val="es-ES"/>
        </w:rPr>
        <w:t>Se debe tener en consideración que la prueba contextual no demuestra por sí misma violaciones a derechos humanos, es una prueba más dentro de un conjunto de pruebas que deben ser valoradas para acreditar posibles infracciones a obligaciones y deberes del Estado</w:t>
      </w:r>
      <w:r w:rsidRPr="004D0C53">
        <w:rPr>
          <w:rStyle w:val="FootnoteReference"/>
          <w:rFonts w:ascii="Verdana" w:hAnsi="Verdana" w:cs="Arial"/>
          <w:sz w:val="20"/>
          <w:szCs w:val="20"/>
          <w:lang w:val="es-ES"/>
        </w:rPr>
        <w:footnoteReference w:id="7"/>
      </w:r>
      <w:r w:rsidRPr="004D0C53">
        <w:rPr>
          <w:rFonts w:ascii="Verdana" w:hAnsi="Verdana" w:cs="Arial"/>
          <w:sz w:val="20"/>
          <w:szCs w:val="20"/>
          <w:lang w:val="es-ES"/>
        </w:rPr>
        <w:t xml:space="preserve">, </w:t>
      </w:r>
      <w:r w:rsidRPr="004D0C53">
        <w:rPr>
          <w:rFonts w:ascii="Verdana" w:hAnsi="Verdana" w:cs="Arial"/>
          <w:i/>
          <w:iCs/>
          <w:sz w:val="20"/>
          <w:szCs w:val="20"/>
          <w:u w:val="single"/>
          <w:lang w:val="es-ES"/>
        </w:rPr>
        <w:t>pero sí constituye un medio de prueba altamente razonable al momento de subsumir hechos en macro fenómenos sociales</w:t>
      </w:r>
      <w:r w:rsidRPr="004D0C53">
        <w:rPr>
          <w:rFonts w:ascii="Verdana" w:hAnsi="Verdana" w:cs="Arial"/>
          <w:sz w:val="20"/>
          <w:szCs w:val="20"/>
          <w:lang w:val="es-ES"/>
        </w:rPr>
        <w:t xml:space="preserve">. </w:t>
      </w:r>
    </w:p>
    <w:p w14:paraId="692B2B1E" w14:textId="77777777" w:rsidR="00913875" w:rsidRPr="004D0C53" w:rsidRDefault="00913875" w:rsidP="00913875">
      <w:pPr>
        <w:pStyle w:val="ListParagraph"/>
        <w:rPr>
          <w:rFonts w:ascii="Verdana" w:hAnsi="Verdana" w:cs="Arial"/>
          <w:sz w:val="20"/>
          <w:szCs w:val="20"/>
          <w:lang w:val="es-ES"/>
        </w:rPr>
      </w:pPr>
    </w:p>
    <w:p w14:paraId="3821FF15" w14:textId="1B06CAE5" w:rsidR="00913875" w:rsidRPr="004D0C53" w:rsidRDefault="00913875"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1</w:t>
      </w:r>
      <w:r w:rsidR="00C86E53">
        <w:rPr>
          <w:rFonts w:ascii="Verdana" w:hAnsi="Verdana" w:cs="Arial"/>
          <w:sz w:val="20"/>
          <w:szCs w:val="20"/>
          <w:lang w:val="es-ES"/>
        </w:rPr>
        <w:t>3</w:t>
      </w:r>
      <w:r>
        <w:rPr>
          <w:rFonts w:ascii="Verdana" w:hAnsi="Verdana" w:cs="Arial"/>
          <w:sz w:val="20"/>
          <w:szCs w:val="20"/>
          <w:lang w:val="es-ES"/>
        </w:rPr>
        <w:t xml:space="preserve">. </w:t>
      </w:r>
      <w:r>
        <w:rPr>
          <w:rFonts w:ascii="Verdana" w:hAnsi="Verdana" w:cs="Arial"/>
          <w:sz w:val="20"/>
          <w:szCs w:val="20"/>
          <w:lang w:val="es-ES"/>
        </w:rPr>
        <w:tab/>
      </w:r>
      <w:r w:rsidRPr="004D0C53">
        <w:rPr>
          <w:rFonts w:ascii="Verdana" w:hAnsi="Verdana" w:cs="Arial"/>
          <w:sz w:val="20"/>
          <w:szCs w:val="20"/>
          <w:lang w:val="es-ES"/>
        </w:rPr>
        <w:t>La prueba contextual debe abordar, por lo menos, los siguientes elementos en su descripción: i) la conducta de los individuos que participan en la posible violación de derechos humanos, ya sean particulares o autoridades</w:t>
      </w:r>
      <w:r w:rsidR="00DC2DBE">
        <w:rPr>
          <w:rFonts w:ascii="Verdana" w:hAnsi="Verdana" w:cs="Arial"/>
          <w:sz w:val="20"/>
          <w:szCs w:val="20"/>
          <w:lang w:val="es-ES"/>
        </w:rPr>
        <w:t>,</w:t>
      </w:r>
      <w:r w:rsidRPr="004D0C53">
        <w:rPr>
          <w:rFonts w:ascii="Verdana" w:hAnsi="Verdana" w:cs="Arial"/>
          <w:sz w:val="20"/>
          <w:szCs w:val="20"/>
          <w:lang w:val="es-ES"/>
        </w:rPr>
        <w:t xml:space="preserve"> </w:t>
      </w:r>
      <w:r w:rsidR="00DC2DBE">
        <w:rPr>
          <w:rFonts w:ascii="Verdana" w:hAnsi="Verdana" w:cs="Arial"/>
          <w:sz w:val="20"/>
          <w:szCs w:val="20"/>
          <w:lang w:val="es-ES"/>
        </w:rPr>
        <w:t>i</w:t>
      </w:r>
      <w:r w:rsidRPr="004D0C53">
        <w:rPr>
          <w:rFonts w:ascii="Verdana" w:hAnsi="Verdana" w:cs="Arial"/>
          <w:sz w:val="20"/>
          <w:szCs w:val="20"/>
          <w:lang w:val="es-ES"/>
        </w:rPr>
        <w:t>nclusive evaluar el actuar de persona</w:t>
      </w:r>
      <w:r w:rsidR="00DC2DBE">
        <w:rPr>
          <w:rFonts w:ascii="Verdana" w:hAnsi="Verdana" w:cs="Arial"/>
          <w:sz w:val="20"/>
          <w:szCs w:val="20"/>
          <w:lang w:val="es-ES"/>
        </w:rPr>
        <w:t>s</w:t>
      </w:r>
      <w:r w:rsidRPr="004D0C53">
        <w:rPr>
          <w:rFonts w:ascii="Verdana" w:hAnsi="Verdana" w:cs="Arial"/>
          <w:sz w:val="20"/>
          <w:szCs w:val="20"/>
          <w:lang w:val="es-ES"/>
        </w:rPr>
        <w:t xml:space="preserve"> particulares ejerciendo funciones de autoridad; ii) el actuar de las agencias estatales frente a la posible comisión de violaciones a derechos humanos (omisión, acción, tolerancia, etc</w:t>
      </w:r>
      <w:r w:rsidR="00DC2DBE">
        <w:rPr>
          <w:rFonts w:ascii="Verdana" w:hAnsi="Verdana" w:cs="Arial"/>
          <w:sz w:val="20"/>
          <w:szCs w:val="20"/>
          <w:lang w:val="es-ES"/>
        </w:rPr>
        <w:t>.</w:t>
      </w:r>
      <w:r w:rsidRPr="004D0C53">
        <w:rPr>
          <w:rFonts w:ascii="Verdana" w:hAnsi="Verdana" w:cs="Arial"/>
          <w:sz w:val="20"/>
          <w:szCs w:val="20"/>
          <w:lang w:val="es-ES"/>
        </w:rPr>
        <w:t>); iii) las normas que se encuentran vigentes o que se encontraban vigentes al momento de los hechos; iv) la descripción de las circunstancias políticas, sociales, geográficas, económicas o demográficas de una determinada región</w:t>
      </w:r>
      <w:r w:rsidR="00CB2E30">
        <w:rPr>
          <w:rFonts w:ascii="Verdana" w:hAnsi="Verdana" w:cs="Arial"/>
          <w:sz w:val="20"/>
          <w:szCs w:val="20"/>
          <w:lang w:val="es-ES"/>
        </w:rPr>
        <w:t xml:space="preserve">, </w:t>
      </w:r>
      <w:r w:rsidRPr="004D0C53">
        <w:rPr>
          <w:rFonts w:ascii="Verdana" w:hAnsi="Verdana" w:cs="Arial"/>
          <w:sz w:val="20"/>
          <w:szCs w:val="20"/>
          <w:lang w:val="es-ES"/>
        </w:rPr>
        <w:t xml:space="preserve">y v) el perfil de las personas que son </w:t>
      </w:r>
      <w:r w:rsidR="00FE5E55">
        <w:rPr>
          <w:rFonts w:ascii="Verdana" w:hAnsi="Verdana" w:cs="Arial"/>
          <w:sz w:val="20"/>
          <w:szCs w:val="20"/>
          <w:lang w:val="es-ES"/>
        </w:rPr>
        <w:t>parte d</w:t>
      </w:r>
      <w:r w:rsidRPr="004D0C53">
        <w:rPr>
          <w:rFonts w:ascii="Verdana" w:hAnsi="Verdana" w:cs="Arial"/>
          <w:sz w:val="20"/>
          <w:szCs w:val="20"/>
          <w:lang w:val="es-ES"/>
        </w:rPr>
        <w:t xml:space="preserve">el grupo en el cual presuntamente se afectan sus derechos humanos (ocupación, edad, </w:t>
      </w:r>
      <w:r w:rsidRPr="004D0C53">
        <w:rPr>
          <w:rFonts w:ascii="Verdana" w:hAnsi="Verdana" w:cs="Arial"/>
          <w:sz w:val="20"/>
          <w:szCs w:val="20"/>
          <w:lang w:val="es-ES"/>
        </w:rPr>
        <w:lastRenderedPageBreak/>
        <w:t>residencia, género, etc.)</w:t>
      </w:r>
      <w:r w:rsidRPr="004D0C53">
        <w:rPr>
          <w:rStyle w:val="FootnoteReference"/>
          <w:rFonts w:ascii="Verdana" w:hAnsi="Verdana" w:cs="Arial"/>
          <w:sz w:val="20"/>
          <w:szCs w:val="20"/>
          <w:lang w:val="es-ES"/>
        </w:rPr>
        <w:footnoteReference w:id="8"/>
      </w:r>
      <w:r w:rsidRPr="004D0C53">
        <w:rPr>
          <w:rFonts w:ascii="Verdana" w:hAnsi="Verdana" w:cs="Arial"/>
          <w:sz w:val="20"/>
          <w:szCs w:val="20"/>
          <w:lang w:val="es-ES"/>
        </w:rPr>
        <w:t xml:space="preserve">. Se debe </w:t>
      </w:r>
      <w:r w:rsidR="00055AC4">
        <w:rPr>
          <w:rFonts w:ascii="Verdana" w:hAnsi="Verdana" w:cs="Arial"/>
          <w:sz w:val="20"/>
          <w:szCs w:val="20"/>
          <w:lang w:val="es-ES"/>
        </w:rPr>
        <w:t xml:space="preserve">precisar </w:t>
      </w:r>
      <w:r w:rsidRPr="004D0C53">
        <w:rPr>
          <w:rFonts w:ascii="Verdana" w:hAnsi="Verdana" w:cs="Arial"/>
          <w:sz w:val="20"/>
          <w:szCs w:val="20"/>
          <w:lang w:val="es-ES"/>
        </w:rPr>
        <w:t>que estos elementos constituyen mínimos al momento de abordar la prueba contextual, no es un listado taxativo sino enunciativo.</w:t>
      </w:r>
    </w:p>
    <w:p w14:paraId="0B4392A9" w14:textId="77777777" w:rsidR="00913875" w:rsidRPr="004D0C53" w:rsidRDefault="00913875" w:rsidP="00913875">
      <w:pPr>
        <w:pStyle w:val="ListParagraph"/>
        <w:jc w:val="both"/>
        <w:rPr>
          <w:rFonts w:ascii="Verdana" w:hAnsi="Verdana" w:cs="Arial"/>
          <w:sz w:val="20"/>
          <w:szCs w:val="20"/>
          <w:lang w:val="es-ES"/>
        </w:rPr>
      </w:pPr>
    </w:p>
    <w:p w14:paraId="3A5E228E" w14:textId="77777777" w:rsidR="00913875" w:rsidRPr="004D0C53" w:rsidRDefault="00913875" w:rsidP="00913875">
      <w:pPr>
        <w:pStyle w:val="ListParagraph"/>
        <w:ind w:left="0"/>
        <w:jc w:val="both"/>
        <w:rPr>
          <w:rFonts w:ascii="Verdana" w:hAnsi="Verdana" w:cs="Arial"/>
          <w:i/>
          <w:iCs/>
          <w:sz w:val="20"/>
          <w:szCs w:val="20"/>
          <w:u w:val="single"/>
          <w:lang w:val="es-ES"/>
        </w:rPr>
      </w:pPr>
      <w:r w:rsidRPr="004D0C53">
        <w:rPr>
          <w:rFonts w:ascii="Verdana" w:hAnsi="Verdana" w:cs="Arial"/>
          <w:i/>
          <w:iCs/>
          <w:sz w:val="20"/>
          <w:szCs w:val="20"/>
          <w:u w:val="single"/>
          <w:lang w:val="es-ES"/>
        </w:rPr>
        <w:t>2. La prueba de contexto en el marco de la jurisprudencia de la Corte Interamericana de Derechos Humanos</w:t>
      </w:r>
    </w:p>
    <w:p w14:paraId="48606E2A" w14:textId="77777777" w:rsidR="00913875" w:rsidRPr="004D0C53" w:rsidRDefault="00913875" w:rsidP="00913875">
      <w:pPr>
        <w:pStyle w:val="ListParagraph"/>
        <w:jc w:val="both"/>
        <w:rPr>
          <w:rFonts w:ascii="Verdana" w:hAnsi="Verdana" w:cs="Arial"/>
          <w:sz w:val="20"/>
          <w:szCs w:val="20"/>
          <w:lang w:val="es-ES"/>
        </w:rPr>
      </w:pPr>
    </w:p>
    <w:p w14:paraId="5D58B7CF" w14:textId="40499B57" w:rsidR="00913875" w:rsidRDefault="00913875" w:rsidP="00C25259">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1</w:t>
      </w:r>
      <w:r w:rsidR="00C86E53">
        <w:rPr>
          <w:rFonts w:ascii="Verdana" w:hAnsi="Verdana" w:cs="Arial"/>
          <w:sz w:val="20"/>
          <w:szCs w:val="20"/>
          <w:lang w:val="es-ES"/>
        </w:rPr>
        <w:t>4</w:t>
      </w:r>
      <w:r>
        <w:rPr>
          <w:rFonts w:ascii="Verdana" w:hAnsi="Verdana" w:cs="Arial"/>
          <w:sz w:val="20"/>
          <w:szCs w:val="20"/>
          <w:lang w:val="es-ES"/>
        </w:rPr>
        <w:t xml:space="preserve">. </w:t>
      </w:r>
      <w:r>
        <w:rPr>
          <w:rFonts w:ascii="Verdana" w:hAnsi="Verdana" w:cs="Arial"/>
          <w:sz w:val="20"/>
          <w:szCs w:val="20"/>
          <w:lang w:val="es-ES"/>
        </w:rPr>
        <w:tab/>
      </w:r>
      <w:r w:rsidRPr="004D0C53">
        <w:rPr>
          <w:rFonts w:ascii="Verdana" w:hAnsi="Verdana" w:cs="Arial"/>
          <w:sz w:val="20"/>
          <w:szCs w:val="20"/>
          <w:lang w:val="es-ES"/>
        </w:rPr>
        <w:t>El uso del contexto</w:t>
      </w:r>
      <w:r w:rsidR="00C25259">
        <w:rPr>
          <w:rFonts w:ascii="Verdana" w:hAnsi="Verdana" w:cs="Arial"/>
          <w:sz w:val="20"/>
          <w:szCs w:val="20"/>
          <w:lang w:val="es-ES"/>
        </w:rPr>
        <w:t>,</w:t>
      </w:r>
      <w:r w:rsidRPr="004D0C53">
        <w:rPr>
          <w:rFonts w:ascii="Verdana" w:hAnsi="Verdana" w:cs="Arial"/>
          <w:sz w:val="20"/>
          <w:szCs w:val="20"/>
          <w:lang w:val="es-ES"/>
        </w:rPr>
        <w:t xml:space="preserve"> como prueba</w:t>
      </w:r>
      <w:r w:rsidR="00C25259">
        <w:rPr>
          <w:rFonts w:ascii="Verdana" w:hAnsi="Verdana" w:cs="Arial"/>
          <w:sz w:val="20"/>
          <w:szCs w:val="20"/>
          <w:lang w:val="es-ES"/>
        </w:rPr>
        <w:t>,</w:t>
      </w:r>
      <w:r w:rsidRPr="004D0C53">
        <w:rPr>
          <w:rFonts w:ascii="Verdana" w:hAnsi="Verdana" w:cs="Arial"/>
          <w:sz w:val="20"/>
          <w:szCs w:val="20"/>
          <w:lang w:val="es-ES"/>
        </w:rPr>
        <w:t xml:space="preserve"> tiene su fundamento en el propio texto del Estatuto de la Corte Penal Internacional (Estatuto de Roma), así como en el documento denominado “Elementos de los Crímenes” emitido por la Corte Penal Internacional en el año 2002</w:t>
      </w:r>
      <w:r w:rsidRPr="004D0C53">
        <w:rPr>
          <w:rStyle w:val="FootnoteReference"/>
          <w:rFonts w:ascii="Verdana" w:hAnsi="Verdana" w:cs="Arial"/>
          <w:sz w:val="20"/>
          <w:szCs w:val="20"/>
          <w:lang w:val="es-ES"/>
        </w:rPr>
        <w:footnoteReference w:id="9"/>
      </w:r>
      <w:r w:rsidRPr="004D0C53">
        <w:rPr>
          <w:rFonts w:ascii="Verdana" w:hAnsi="Verdana" w:cs="Arial"/>
          <w:sz w:val="20"/>
          <w:szCs w:val="20"/>
          <w:lang w:val="es-ES"/>
        </w:rPr>
        <w:t>.  El contexto o contextos en el marco del derecho penal internacional deben acreditarse necesariamente porque “los elementos contextuales” son prerrequisitos que deben ser configurados para que los tribunales ejerzan su competencia sobre un caso determinado. Por tanto, el contexto es un elemento fundamental de los crímenes internacionales que la diferencia de los delitos de orden común</w:t>
      </w:r>
      <w:r w:rsidRPr="004D0C53">
        <w:rPr>
          <w:rStyle w:val="FootnoteReference"/>
          <w:rFonts w:ascii="Verdana" w:hAnsi="Verdana" w:cs="Arial"/>
          <w:sz w:val="20"/>
          <w:szCs w:val="20"/>
          <w:lang w:val="es-ES"/>
        </w:rPr>
        <w:footnoteReference w:id="10"/>
      </w:r>
      <w:r w:rsidRPr="004D0C53">
        <w:rPr>
          <w:rFonts w:ascii="Verdana" w:hAnsi="Verdana" w:cs="Arial"/>
          <w:sz w:val="20"/>
          <w:szCs w:val="20"/>
          <w:lang w:val="es-ES"/>
        </w:rPr>
        <w:t xml:space="preserve">. </w:t>
      </w:r>
    </w:p>
    <w:p w14:paraId="6925D72D" w14:textId="77777777" w:rsidR="00C25259" w:rsidRPr="004D0C53" w:rsidRDefault="00C25259" w:rsidP="00C25259">
      <w:pPr>
        <w:pStyle w:val="ListParagraph"/>
        <w:spacing w:after="0" w:line="240" w:lineRule="auto"/>
        <w:ind w:left="0"/>
        <w:jc w:val="both"/>
        <w:rPr>
          <w:rFonts w:ascii="Verdana" w:hAnsi="Verdana" w:cs="Arial"/>
          <w:sz w:val="20"/>
          <w:szCs w:val="20"/>
          <w:lang w:val="es-ES"/>
        </w:rPr>
      </w:pPr>
    </w:p>
    <w:p w14:paraId="2F9058D7" w14:textId="6E3E05F8" w:rsidR="00913875" w:rsidRPr="004D0C53" w:rsidRDefault="00913875"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1</w:t>
      </w:r>
      <w:r w:rsidR="00C86E53">
        <w:rPr>
          <w:rFonts w:ascii="Verdana" w:hAnsi="Verdana" w:cs="Arial"/>
          <w:sz w:val="20"/>
          <w:szCs w:val="20"/>
          <w:lang w:val="es-ES"/>
        </w:rPr>
        <w:t>5</w:t>
      </w:r>
      <w:r>
        <w:rPr>
          <w:rFonts w:ascii="Verdana" w:hAnsi="Verdana" w:cs="Arial"/>
          <w:sz w:val="20"/>
          <w:szCs w:val="20"/>
          <w:lang w:val="es-ES"/>
        </w:rPr>
        <w:t xml:space="preserve">. </w:t>
      </w:r>
      <w:r>
        <w:rPr>
          <w:rFonts w:ascii="Verdana" w:hAnsi="Verdana" w:cs="Arial"/>
          <w:sz w:val="20"/>
          <w:szCs w:val="20"/>
          <w:lang w:val="es-ES"/>
        </w:rPr>
        <w:tab/>
      </w:r>
      <w:r w:rsidRPr="004D0C53">
        <w:rPr>
          <w:rFonts w:ascii="Verdana" w:hAnsi="Verdana" w:cs="Arial"/>
          <w:sz w:val="20"/>
          <w:szCs w:val="20"/>
          <w:lang w:val="es-ES"/>
        </w:rPr>
        <w:t>En el marco del derecho penal internacional no se ha</w:t>
      </w:r>
      <w:r w:rsidR="00FE5E55">
        <w:rPr>
          <w:rFonts w:ascii="Verdana" w:hAnsi="Verdana" w:cs="Arial"/>
          <w:sz w:val="20"/>
          <w:szCs w:val="20"/>
          <w:lang w:val="es-ES"/>
        </w:rPr>
        <w:t xml:space="preserve"> emitido un</w:t>
      </w:r>
      <w:r w:rsidRPr="004D0C53">
        <w:rPr>
          <w:rFonts w:ascii="Verdana" w:hAnsi="Verdana" w:cs="Arial"/>
          <w:sz w:val="20"/>
          <w:szCs w:val="20"/>
          <w:lang w:val="es-ES"/>
        </w:rPr>
        <w:t xml:space="preserve"> pronunciado sobre lo que debe entenderse como prueba contextual. Sin embargo, la Corte Penal Internacional en diversos fallos ha precisado que el contexto “sería toda aquella situación o aquel entorno en el que deben ocurrir los elementos objetivos y subjetivos, en su caso, de cada crimen”</w:t>
      </w:r>
      <w:r w:rsidRPr="004D0C53">
        <w:rPr>
          <w:rStyle w:val="FootnoteReference"/>
          <w:rFonts w:ascii="Verdana" w:hAnsi="Verdana" w:cs="Arial"/>
          <w:sz w:val="20"/>
          <w:szCs w:val="20"/>
          <w:lang w:val="es-ES"/>
        </w:rPr>
        <w:footnoteReference w:id="11"/>
      </w:r>
      <w:r w:rsidRPr="004D0C53">
        <w:rPr>
          <w:rFonts w:ascii="Verdana" w:hAnsi="Verdana" w:cs="Arial"/>
          <w:sz w:val="20"/>
          <w:szCs w:val="20"/>
          <w:lang w:val="es-ES"/>
        </w:rPr>
        <w:t>. Por su parte, los tribunales penales especiales (como el de la Ex Yugoslavia y Ruanda) han precisado que el contexto “se refiere a todos aquellos elementos que son indispensables para probar los crímenes internacionales previstos en los estatutos”</w:t>
      </w:r>
      <w:r w:rsidRPr="004D0C53">
        <w:rPr>
          <w:rStyle w:val="FootnoteReference"/>
          <w:rFonts w:ascii="Verdana" w:hAnsi="Verdana" w:cs="Arial"/>
          <w:sz w:val="20"/>
          <w:szCs w:val="20"/>
          <w:lang w:val="es-ES"/>
        </w:rPr>
        <w:footnoteReference w:id="12"/>
      </w:r>
      <w:r w:rsidRPr="004D0C53">
        <w:rPr>
          <w:rFonts w:ascii="Verdana" w:hAnsi="Verdana" w:cs="Arial"/>
          <w:sz w:val="20"/>
          <w:szCs w:val="20"/>
          <w:lang w:val="es-ES"/>
        </w:rPr>
        <w:t xml:space="preserve">.  </w:t>
      </w:r>
    </w:p>
    <w:p w14:paraId="4FAD0560" w14:textId="77777777" w:rsidR="00913875" w:rsidRPr="004D0C53" w:rsidRDefault="00913875" w:rsidP="00913875">
      <w:pPr>
        <w:pStyle w:val="ListParagraph"/>
        <w:rPr>
          <w:rFonts w:ascii="Verdana" w:hAnsi="Verdana" w:cs="Arial"/>
          <w:sz w:val="20"/>
          <w:szCs w:val="20"/>
          <w:lang w:val="es-ES"/>
        </w:rPr>
      </w:pPr>
    </w:p>
    <w:p w14:paraId="3BB4027A" w14:textId="0FCEEA6B" w:rsidR="00913875" w:rsidRPr="004D0C53" w:rsidRDefault="00913875"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1</w:t>
      </w:r>
      <w:r w:rsidR="00C86E53">
        <w:rPr>
          <w:rFonts w:ascii="Verdana" w:hAnsi="Verdana" w:cs="Arial"/>
          <w:sz w:val="20"/>
          <w:szCs w:val="20"/>
          <w:lang w:val="es-ES"/>
        </w:rPr>
        <w:t>6</w:t>
      </w:r>
      <w:r>
        <w:rPr>
          <w:rFonts w:ascii="Verdana" w:hAnsi="Verdana" w:cs="Arial"/>
          <w:sz w:val="20"/>
          <w:szCs w:val="20"/>
          <w:lang w:val="es-ES"/>
        </w:rPr>
        <w:t xml:space="preserve">. </w:t>
      </w:r>
      <w:r>
        <w:rPr>
          <w:rFonts w:ascii="Verdana" w:hAnsi="Verdana" w:cs="Arial"/>
          <w:sz w:val="20"/>
          <w:szCs w:val="20"/>
          <w:lang w:val="es-ES"/>
        </w:rPr>
        <w:tab/>
      </w:r>
      <w:r w:rsidRPr="004D0C53">
        <w:rPr>
          <w:rFonts w:ascii="Verdana" w:hAnsi="Verdana" w:cs="Arial"/>
          <w:sz w:val="20"/>
          <w:szCs w:val="20"/>
          <w:lang w:val="es-ES"/>
        </w:rPr>
        <w:t xml:space="preserve">La finalidad de la </w:t>
      </w:r>
      <w:r w:rsidRPr="00055AC4">
        <w:rPr>
          <w:rFonts w:ascii="Verdana" w:hAnsi="Verdana" w:cs="Arial"/>
          <w:i/>
          <w:iCs/>
          <w:sz w:val="20"/>
          <w:szCs w:val="20"/>
          <w:lang w:val="es-ES"/>
        </w:rPr>
        <w:t>prueba contextual</w:t>
      </w:r>
      <w:r w:rsidRPr="004D0C53">
        <w:rPr>
          <w:rFonts w:ascii="Verdana" w:hAnsi="Verdana" w:cs="Arial"/>
          <w:sz w:val="20"/>
          <w:szCs w:val="20"/>
          <w:lang w:val="es-ES"/>
        </w:rPr>
        <w:t xml:space="preserve"> en el marco del derecho penal internacional obedece a que por ella se debe lograr acreditar la generalidad y la sistematicidad de los crímenes de guerra o de los crímenes de lesa humanidad, </w:t>
      </w:r>
      <w:r w:rsidR="0088610F">
        <w:rPr>
          <w:rFonts w:ascii="Verdana" w:hAnsi="Verdana" w:cs="Arial"/>
          <w:sz w:val="20"/>
          <w:szCs w:val="20"/>
          <w:lang w:val="es-ES"/>
        </w:rPr>
        <w:t xml:space="preserve">ya que </w:t>
      </w:r>
      <w:r w:rsidRPr="004D0C53">
        <w:rPr>
          <w:rFonts w:ascii="Verdana" w:hAnsi="Verdana" w:cs="Arial"/>
          <w:sz w:val="20"/>
          <w:szCs w:val="20"/>
          <w:lang w:val="es-ES"/>
        </w:rPr>
        <w:t>sin esos elementos no se puede arribar a que se esté en presencia de delitos de índole penal internacional</w:t>
      </w:r>
      <w:r w:rsidRPr="004D0C53">
        <w:rPr>
          <w:rStyle w:val="FootnoteReference"/>
          <w:rFonts w:ascii="Verdana" w:hAnsi="Verdana" w:cs="Arial"/>
          <w:sz w:val="20"/>
          <w:szCs w:val="20"/>
          <w:lang w:val="es-ES"/>
        </w:rPr>
        <w:footnoteReference w:id="13"/>
      </w:r>
      <w:r w:rsidRPr="004D0C53">
        <w:rPr>
          <w:rFonts w:ascii="Verdana" w:hAnsi="Verdana" w:cs="Arial"/>
          <w:sz w:val="20"/>
          <w:szCs w:val="20"/>
          <w:lang w:val="es-ES"/>
        </w:rPr>
        <w:t xml:space="preserve">. </w:t>
      </w:r>
    </w:p>
    <w:p w14:paraId="03CFCA8E" w14:textId="77777777" w:rsidR="00913875" w:rsidRPr="004D0C53" w:rsidRDefault="00913875" w:rsidP="00913875">
      <w:pPr>
        <w:pStyle w:val="ListParagraph"/>
        <w:rPr>
          <w:rFonts w:ascii="Verdana" w:hAnsi="Verdana" w:cs="Arial"/>
          <w:sz w:val="20"/>
          <w:szCs w:val="20"/>
          <w:lang w:val="es-ES"/>
        </w:rPr>
      </w:pPr>
    </w:p>
    <w:p w14:paraId="559A60F5" w14:textId="2436D516" w:rsidR="00913875" w:rsidRPr="004D0C53" w:rsidRDefault="00913875"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1</w:t>
      </w:r>
      <w:r w:rsidR="00C86E53">
        <w:rPr>
          <w:rFonts w:ascii="Verdana" w:hAnsi="Verdana" w:cs="Arial"/>
          <w:sz w:val="20"/>
          <w:szCs w:val="20"/>
          <w:lang w:val="es-ES"/>
        </w:rPr>
        <w:t>7</w:t>
      </w:r>
      <w:r>
        <w:rPr>
          <w:rFonts w:ascii="Verdana" w:hAnsi="Verdana" w:cs="Arial"/>
          <w:sz w:val="20"/>
          <w:szCs w:val="20"/>
          <w:lang w:val="es-ES"/>
        </w:rPr>
        <w:t xml:space="preserve">. </w:t>
      </w:r>
      <w:r>
        <w:rPr>
          <w:rFonts w:ascii="Verdana" w:hAnsi="Verdana" w:cs="Arial"/>
          <w:sz w:val="20"/>
          <w:szCs w:val="20"/>
          <w:lang w:val="es-ES"/>
        </w:rPr>
        <w:tab/>
      </w:r>
      <w:r w:rsidRPr="004D0C53">
        <w:rPr>
          <w:rFonts w:ascii="Verdana" w:hAnsi="Verdana" w:cs="Arial"/>
          <w:sz w:val="20"/>
          <w:szCs w:val="20"/>
          <w:lang w:val="es-ES"/>
        </w:rPr>
        <w:t xml:space="preserve">Aunque ha sido en el marco del </w:t>
      </w:r>
      <w:r w:rsidR="00902A1F">
        <w:rPr>
          <w:rFonts w:ascii="Verdana" w:hAnsi="Verdana" w:cs="Arial"/>
          <w:sz w:val="20"/>
          <w:szCs w:val="20"/>
          <w:lang w:val="es-ES"/>
        </w:rPr>
        <w:t>d</w:t>
      </w:r>
      <w:r w:rsidRPr="004D0C53">
        <w:rPr>
          <w:rFonts w:ascii="Verdana" w:hAnsi="Verdana" w:cs="Arial"/>
          <w:sz w:val="20"/>
          <w:szCs w:val="20"/>
          <w:lang w:val="es-ES"/>
        </w:rPr>
        <w:t xml:space="preserve">erecho </w:t>
      </w:r>
      <w:r w:rsidR="00CA18F7">
        <w:rPr>
          <w:rFonts w:ascii="Verdana" w:hAnsi="Verdana" w:cs="Arial"/>
          <w:sz w:val="20"/>
          <w:szCs w:val="20"/>
          <w:lang w:val="es-ES"/>
        </w:rPr>
        <w:t>p</w:t>
      </w:r>
      <w:r w:rsidRPr="004D0C53">
        <w:rPr>
          <w:rFonts w:ascii="Verdana" w:hAnsi="Verdana" w:cs="Arial"/>
          <w:sz w:val="20"/>
          <w:szCs w:val="20"/>
          <w:lang w:val="es-ES"/>
        </w:rPr>
        <w:t xml:space="preserve">enal </w:t>
      </w:r>
      <w:r w:rsidR="00CA18F7">
        <w:rPr>
          <w:rFonts w:ascii="Verdana" w:hAnsi="Verdana" w:cs="Arial"/>
          <w:sz w:val="20"/>
          <w:szCs w:val="20"/>
          <w:lang w:val="es-ES"/>
        </w:rPr>
        <w:t>i</w:t>
      </w:r>
      <w:r w:rsidRPr="004D0C53">
        <w:rPr>
          <w:rFonts w:ascii="Verdana" w:hAnsi="Verdana" w:cs="Arial"/>
          <w:sz w:val="20"/>
          <w:szCs w:val="20"/>
          <w:lang w:val="es-ES"/>
        </w:rPr>
        <w:t xml:space="preserve">nternacional donde se ha desarrollado las aproximaciones conceptuales sobre el “contexto”, </w:t>
      </w:r>
      <w:r w:rsidR="00055AC4" w:rsidRPr="004D0C53">
        <w:rPr>
          <w:rFonts w:ascii="Verdana" w:hAnsi="Verdana" w:cs="Arial"/>
          <w:sz w:val="20"/>
          <w:szCs w:val="20"/>
          <w:lang w:val="es-ES"/>
        </w:rPr>
        <w:t xml:space="preserve">es </w:t>
      </w:r>
      <w:r w:rsidR="00055AC4">
        <w:rPr>
          <w:rFonts w:ascii="Verdana" w:hAnsi="Verdana" w:cs="Arial"/>
          <w:sz w:val="20"/>
          <w:szCs w:val="20"/>
          <w:lang w:val="es-ES"/>
        </w:rPr>
        <w:t xml:space="preserve">en </w:t>
      </w:r>
      <w:r w:rsidR="00055AC4" w:rsidRPr="004D0C53">
        <w:rPr>
          <w:rFonts w:ascii="Verdana" w:hAnsi="Verdana" w:cs="Arial"/>
          <w:sz w:val="20"/>
          <w:szCs w:val="20"/>
          <w:lang w:val="es-ES"/>
        </w:rPr>
        <w:t>el Sistema Interamericano de Derechos Humanos</w:t>
      </w:r>
      <w:r w:rsidR="00055AC4">
        <w:rPr>
          <w:rFonts w:ascii="Verdana" w:hAnsi="Verdana" w:cs="Arial"/>
          <w:sz w:val="20"/>
          <w:szCs w:val="20"/>
          <w:lang w:val="es-ES"/>
        </w:rPr>
        <w:t xml:space="preserve"> </w:t>
      </w:r>
      <w:r w:rsidR="00C25259">
        <w:rPr>
          <w:rFonts w:ascii="Verdana" w:hAnsi="Verdana" w:cs="Arial"/>
          <w:sz w:val="20"/>
          <w:szCs w:val="20"/>
          <w:lang w:val="es-ES"/>
        </w:rPr>
        <w:t>en donde se</w:t>
      </w:r>
      <w:r w:rsidRPr="004D0C53">
        <w:rPr>
          <w:rFonts w:ascii="Verdana" w:hAnsi="Verdana" w:cs="Arial"/>
          <w:sz w:val="20"/>
          <w:szCs w:val="20"/>
          <w:lang w:val="es-ES"/>
        </w:rPr>
        <w:t xml:space="preserve"> ha tenido un mayor desarrollo sobre la aplicación de la </w:t>
      </w:r>
      <w:r w:rsidRPr="00055AC4">
        <w:rPr>
          <w:rFonts w:ascii="Verdana" w:hAnsi="Verdana" w:cs="Arial"/>
          <w:i/>
          <w:iCs/>
          <w:sz w:val="20"/>
          <w:szCs w:val="20"/>
          <w:lang w:val="es-ES"/>
        </w:rPr>
        <w:t>prueba contextual</w:t>
      </w:r>
      <w:r w:rsidR="00055AC4">
        <w:rPr>
          <w:rFonts w:ascii="Verdana" w:hAnsi="Verdana" w:cs="Arial"/>
          <w:sz w:val="20"/>
          <w:szCs w:val="20"/>
          <w:lang w:val="es-ES"/>
        </w:rPr>
        <w:t>.</w:t>
      </w:r>
      <w:r w:rsidRPr="004D0C53">
        <w:rPr>
          <w:rFonts w:ascii="Verdana" w:hAnsi="Verdana" w:cs="Arial"/>
          <w:sz w:val="20"/>
          <w:szCs w:val="20"/>
          <w:lang w:val="es-ES"/>
        </w:rPr>
        <w:t xml:space="preserve"> Como preámbulo</w:t>
      </w:r>
      <w:r w:rsidR="00CA18F7">
        <w:rPr>
          <w:rFonts w:ascii="Verdana" w:hAnsi="Verdana" w:cs="Arial"/>
          <w:sz w:val="20"/>
          <w:szCs w:val="20"/>
          <w:lang w:val="es-ES"/>
        </w:rPr>
        <w:t>,</w:t>
      </w:r>
      <w:r w:rsidRPr="004D0C53">
        <w:rPr>
          <w:rFonts w:ascii="Verdana" w:hAnsi="Verdana" w:cs="Arial"/>
          <w:sz w:val="20"/>
          <w:szCs w:val="20"/>
          <w:lang w:val="es-ES"/>
        </w:rPr>
        <w:t xml:space="preserve"> deben hacer</w:t>
      </w:r>
      <w:r w:rsidR="00C25259">
        <w:rPr>
          <w:rFonts w:ascii="Verdana" w:hAnsi="Verdana" w:cs="Arial"/>
          <w:sz w:val="20"/>
          <w:szCs w:val="20"/>
          <w:lang w:val="es-ES"/>
        </w:rPr>
        <w:t>se</w:t>
      </w:r>
      <w:r w:rsidRPr="004D0C53">
        <w:rPr>
          <w:rFonts w:ascii="Verdana" w:hAnsi="Verdana" w:cs="Arial"/>
          <w:sz w:val="20"/>
          <w:szCs w:val="20"/>
          <w:lang w:val="es-ES"/>
        </w:rPr>
        <w:t xml:space="preserve"> algunas precisiones frente al derecho penal internacional y a los tribunales penales internacionales. </w:t>
      </w:r>
    </w:p>
    <w:p w14:paraId="1E8679C3" w14:textId="77777777" w:rsidR="00913875" w:rsidRPr="004D0C53" w:rsidRDefault="00913875" w:rsidP="00913875">
      <w:pPr>
        <w:pStyle w:val="ListParagraph"/>
        <w:rPr>
          <w:rFonts w:ascii="Verdana" w:hAnsi="Verdana" w:cs="Arial"/>
          <w:sz w:val="20"/>
          <w:szCs w:val="20"/>
          <w:lang w:val="es-ES"/>
        </w:rPr>
      </w:pPr>
    </w:p>
    <w:p w14:paraId="1B2AB49F" w14:textId="15555D1E" w:rsidR="009653F4" w:rsidRDefault="00913875"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1</w:t>
      </w:r>
      <w:r w:rsidR="00C86E53">
        <w:rPr>
          <w:rFonts w:ascii="Verdana" w:hAnsi="Verdana" w:cs="Arial"/>
          <w:sz w:val="20"/>
          <w:szCs w:val="20"/>
          <w:lang w:val="es-ES"/>
        </w:rPr>
        <w:t>8</w:t>
      </w:r>
      <w:r>
        <w:rPr>
          <w:rFonts w:ascii="Verdana" w:hAnsi="Verdana" w:cs="Arial"/>
          <w:sz w:val="20"/>
          <w:szCs w:val="20"/>
          <w:lang w:val="es-ES"/>
        </w:rPr>
        <w:t xml:space="preserve">. </w:t>
      </w:r>
      <w:r>
        <w:rPr>
          <w:rFonts w:ascii="Verdana" w:hAnsi="Verdana" w:cs="Arial"/>
          <w:sz w:val="20"/>
          <w:szCs w:val="20"/>
          <w:lang w:val="es-ES"/>
        </w:rPr>
        <w:tab/>
      </w:r>
      <w:r w:rsidRPr="004D0C53">
        <w:rPr>
          <w:rFonts w:ascii="Verdana" w:hAnsi="Verdana" w:cs="Arial"/>
          <w:sz w:val="20"/>
          <w:szCs w:val="20"/>
          <w:lang w:val="es-ES"/>
        </w:rPr>
        <w:t xml:space="preserve">En primer lugar, se debe partir </w:t>
      </w:r>
      <w:r w:rsidR="0088610F">
        <w:rPr>
          <w:rFonts w:ascii="Verdana" w:hAnsi="Verdana" w:cs="Arial"/>
          <w:sz w:val="20"/>
          <w:szCs w:val="20"/>
          <w:lang w:val="es-ES"/>
        </w:rPr>
        <w:t xml:space="preserve">de </w:t>
      </w:r>
      <w:r w:rsidRPr="004D0C53">
        <w:rPr>
          <w:rFonts w:ascii="Verdana" w:hAnsi="Verdana" w:cs="Arial"/>
          <w:sz w:val="20"/>
          <w:szCs w:val="20"/>
          <w:lang w:val="es-ES"/>
        </w:rPr>
        <w:t xml:space="preserve">que el derecho internacional de los derechos humanos y los órganos que se enmarcan en él buscan únicamente determinar la responsabilidad internacional de los Estados frente a las violaciones a derechos humanos y no así la responsabilidad penal individual de las personas. </w:t>
      </w:r>
      <w:r w:rsidR="00055AC4">
        <w:rPr>
          <w:rFonts w:ascii="Verdana" w:hAnsi="Verdana" w:cs="Arial"/>
          <w:sz w:val="20"/>
          <w:szCs w:val="20"/>
          <w:lang w:val="es-ES"/>
        </w:rPr>
        <w:t>Tal y como lo destacó la Corte IDH desde su primera sentencia en un caso contencioso</w:t>
      </w:r>
      <w:r w:rsidR="009653F4">
        <w:rPr>
          <w:rStyle w:val="FootnoteReference"/>
          <w:rFonts w:ascii="Verdana" w:hAnsi="Verdana" w:cs="Arial"/>
          <w:sz w:val="20"/>
          <w:szCs w:val="20"/>
          <w:lang w:val="es-ES"/>
        </w:rPr>
        <w:footnoteReference w:id="14"/>
      </w:r>
      <w:r w:rsidR="009653F4">
        <w:rPr>
          <w:rFonts w:ascii="Verdana" w:hAnsi="Verdana" w:cs="Arial"/>
          <w:sz w:val="20"/>
          <w:szCs w:val="20"/>
          <w:lang w:val="es-ES"/>
        </w:rPr>
        <w:t>:</w:t>
      </w:r>
    </w:p>
    <w:p w14:paraId="06E2136E" w14:textId="77777777" w:rsidR="002743B1" w:rsidRDefault="002743B1" w:rsidP="00913875">
      <w:pPr>
        <w:pStyle w:val="ListParagraph"/>
        <w:spacing w:after="0" w:line="240" w:lineRule="auto"/>
        <w:ind w:left="0"/>
        <w:jc w:val="both"/>
        <w:rPr>
          <w:rFonts w:ascii="Verdana" w:hAnsi="Verdana" w:cs="Arial"/>
          <w:sz w:val="20"/>
          <w:szCs w:val="20"/>
          <w:lang w:val="es-ES"/>
        </w:rPr>
      </w:pPr>
    </w:p>
    <w:p w14:paraId="0D6B36D5" w14:textId="207FE8A1" w:rsidR="009653F4" w:rsidRPr="009653F4" w:rsidRDefault="009653F4" w:rsidP="009653F4">
      <w:pPr>
        <w:pStyle w:val="ListParagraph"/>
        <w:spacing w:after="0" w:line="240" w:lineRule="auto"/>
        <w:ind w:left="1134" w:right="4"/>
        <w:jc w:val="both"/>
        <w:rPr>
          <w:rFonts w:ascii="Verdana" w:hAnsi="Verdana" w:cs="Arial"/>
          <w:sz w:val="16"/>
          <w:szCs w:val="16"/>
          <w:lang w:val="es-ES"/>
        </w:rPr>
      </w:pPr>
      <w:r>
        <w:rPr>
          <w:rFonts w:ascii="Verdana" w:hAnsi="Verdana" w:cs="Arial"/>
          <w:sz w:val="16"/>
          <w:szCs w:val="16"/>
          <w:lang w:val="es-ES"/>
        </w:rPr>
        <w:lastRenderedPageBreak/>
        <w:t>En efecto, la protección internacional de los derechos humanos no debe confundirse con la justicia penal. Los Estados no comparecen ante la Corte como sujetos de acción penal. El Derecho internacional de los derechos humanos no tiene por objeto imponer penas a las personas culpables de sus violaciones, sino amparar a las víctimas y disponer la reparación de los daños que les hayan sido causados por los Estados responsables de tales acciones.</w:t>
      </w:r>
    </w:p>
    <w:p w14:paraId="335D109B" w14:textId="6C0F3FAB" w:rsidR="009653F4" w:rsidRDefault="009653F4" w:rsidP="00913875">
      <w:pPr>
        <w:pStyle w:val="ListParagraph"/>
        <w:spacing w:after="0" w:line="240" w:lineRule="auto"/>
        <w:ind w:left="0"/>
        <w:jc w:val="both"/>
        <w:rPr>
          <w:rFonts w:ascii="Verdana" w:hAnsi="Verdana" w:cs="Arial"/>
          <w:sz w:val="20"/>
          <w:szCs w:val="20"/>
          <w:lang w:val="es-ES"/>
        </w:rPr>
      </w:pPr>
    </w:p>
    <w:p w14:paraId="4FC63085" w14:textId="3C86AB31" w:rsidR="00C86E53" w:rsidRDefault="00C86E53"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19</w:t>
      </w:r>
      <w:r w:rsidR="009653F4">
        <w:rPr>
          <w:rFonts w:ascii="Verdana" w:hAnsi="Verdana" w:cs="Arial"/>
          <w:sz w:val="20"/>
          <w:szCs w:val="20"/>
          <w:lang w:val="es-ES"/>
        </w:rPr>
        <w:t xml:space="preserve">. </w:t>
      </w:r>
      <w:r w:rsidR="009653F4">
        <w:rPr>
          <w:rFonts w:ascii="Verdana" w:hAnsi="Verdana" w:cs="Arial"/>
          <w:sz w:val="20"/>
          <w:szCs w:val="20"/>
          <w:lang w:val="es-ES"/>
        </w:rPr>
        <w:tab/>
      </w:r>
      <w:r w:rsidR="00913875" w:rsidRPr="004D0C53">
        <w:rPr>
          <w:rFonts w:ascii="Verdana" w:hAnsi="Verdana" w:cs="Arial"/>
          <w:sz w:val="20"/>
          <w:szCs w:val="20"/>
          <w:lang w:val="es-ES"/>
        </w:rPr>
        <w:t xml:space="preserve">Por otro lado, y, en segundo lugar, en cuanto al uso de la prueba contextual, el derecho internacional de los derechos humanos tiene un estándar probatorio mucho más flexible que el derecho penal interno y el propio derecho penal internacional. Por ello, el uso de la prueba contextual en el marco del </w:t>
      </w:r>
      <w:r w:rsidR="00902A1F">
        <w:rPr>
          <w:rFonts w:ascii="Verdana" w:hAnsi="Verdana" w:cs="Arial"/>
          <w:sz w:val="20"/>
          <w:szCs w:val="20"/>
          <w:lang w:val="es-ES"/>
        </w:rPr>
        <w:t>d</w:t>
      </w:r>
      <w:r w:rsidR="00913875" w:rsidRPr="004D0C53">
        <w:rPr>
          <w:rFonts w:ascii="Verdana" w:hAnsi="Verdana" w:cs="Arial"/>
          <w:sz w:val="20"/>
          <w:szCs w:val="20"/>
          <w:lang w:val="es-ES"/>
        </w:rPr>
        <w:t xml:space="preserve">erecho </w:t>
      </w:r>
      <w:r w:rsidR="00902A1F">
        <w:rPr>
          <w:rFonts w:ascii="Verdana" w:hAnsi="Verdana" w:cs="Arial"/>
          <w:sz w:val="20"/>
          <w:szCs w:val="20"/>
          <w:lang w:val="es-ES"/>
        </w:rPr>
        <w:t>i</w:t>
      </w:r>
      <w:r w:rsidR="00913875" w:rsidRPr="004D0C53">
        <w:rPr>
          <w:rFonts w:ascii="Verdana" w:hAnsi="Verdana" w:cs="Arial"/>
          <w:sz w:val="20"/>
          <w:szCs w:val="20"/>
          <w:lang w:val="es-ES"/>
        </w:rPr>
        <w:t xml:space="preserve">nternacional de los </w:t>
      </w:r>
      <w:r w:rsidR="00902A1F">
        <w:rPr>
          <w:rFonts w:ascii="Verdana" w:hAnsi="Verdana" w:cs="Arial"/>
          <w:sz w:val="20"/>
          <w:szCs w:val="20"/>
          <w:lang w:val="es-ES"/>
        </w:rPr>
        <w:t>d</w:t>
      </w:r>
      <w:r w:rsidR="00913875" w:rsidRPr="004D0C53">
        <w:rPr>
          <w:rFonts w:ascii="Verdana" w:hAnsi="Verdana" w:cs="Arial"/>
          <w:sz w:val="20"/>
          <w:szCs w:val="20"/>
          <w:lang w:val="es-ES"/>
        </w:rPr>
        <w:t xml:space="preserve">erechos </w:t>
      </w:r>
      <w:r w:rsidR="00902A1F">
        <w:rPr>
          <w:rFonts w:ascii="Verdana" w:hAnsi="Verdana" w:cs="Arial"/>
          <w:sz w:val="20"/>
          <w:szCs w:val="20"/>
          <w:lang w:val="es-ES"/>
        </w:rPr>
        <w:t>h</w:t>
      </w:r>
      <w:r w:rsidR="00913875" w:rsidRPr="004D0C53">
        <w:rPr>
          <w:rFonts w:ascii="Verdana" w:hAnsi="Verdana" w:cs="Arial"/>
          <w:sz w:val="20"/>
          <w:szCs w:val="20"/>
          <w:lang w:val="es-ES"/>
        </w:rPr>
        <w:t xml:space="preserve">umanos y del Sistema Interamericano </w:t>
      </w:r>
      <w:r w:rsidR="0088610F">
        <w:rPr>
          <w:rFonts w:ascii="Verdana" w:hAnsi="Verdana" w:cs="Arial"/>
          <w:sz w:val="20"/>
          <w:szCs w:val="20"/>
          <w:lang w:val="es-ES"/>
        </w:rPr>
        <w:t xml:space="preserve">no </w:t>
      </w:r>
      <w:r w:rsidR="00913875" w:rsidRPr="004D0C53">
        <w:rPr>
          <w:rFonts w:ascii="Verdana" w:hAnsi="Verdana" w:cs="Arial"/>
          <w:sz w:val="20"/>
          <w:szCs w:val="20"/>
          <w:lang w:val="es-ES"/>
        </w:rPr>
        <w:t>es una prueba en la que</w:t>
      </w:r>
      <w:r w:rsidR="00902A1F">
        <w:rPr>
          <w:rFonts w:ascii="Verdana" w:hAnsi="Verdana" w:cs="Arial"/>
          <w:sz w:val="20"/>
          <w:szCs w:val="20"/>
          <w:lang w:val="es-ES"/>
        </w:rPr>
        <w:t>,</w:t>
      </w:r>
      <w:r w:rsidR="00913875" w:rsidRPr="004D0C53">
        <w:rPr>
          <w:rFonts w:ascii="Verdana" w:hAnsi="Verdana" w:cs="Arial"/>
          <w:sz w:val="20"/>
          <w:szCs w:val="20"/>
          <w:lang w:val="es-ES"/>
        </w:rPr>
        <w:t xml:space="preserve"> de no acreditar</w:t>
      </w:r>
      <w:r w:rsidR="00C25259">
        <w:rPr>
          <w:rFonts w:ascii="Verdana" w:hAnsi="Verdana" w:cs="Arial"/>
          <w:sz w:val="20"/>
          <w:szCs w:val="20"/>
          <w:lang w:val="es-ES"/>
        </w:rPr>
        <w:t>se</w:t>
      </w:r>
      <w:r w:rsidR="00913875" w:rsidRPr="004D0C53">
        <w:rPr>
          <w:rFonts w:ascii="Verdana" w:hAnsi="Verdana" w:cs="Arial"/>
          <w:sz w:val="20"/>
          <w:szCs w:val="20"/>
          <w:lang w:val="es-ES"/>
        </w:rPr>
        <w:t xml:space="preserve">, por ejemplo, la sistematicidad o la generalidad de manera concurrente, implicaría que no se pudiera imputar responsabilidad internacional al Estado. </w:t>
      </w:r>
    </w:p>
    <w:p w14:paraId="17F9453B" w14:textId="77777777" w:rsidR="00C86E53" w:rsidRDefault="00C86E53" w:rsidP="00913875">
      <w:pPr>
        <w:pStyle w:val="ListParagraph"/>
        <w:spacing w:after="0" w:line="240" w:lineRule="auto"/>
        <w:ind w:left="0"/>
        <w:jc w:val="both"/>
        <w:rPr>
          <w:rFonts w:ascii="Verdana" w:hAnsi="Verdana" w:cs="Arial"/>
          <w:sz w:val="20"/>
          <w:szCs w:val="20"/>
          <w:lang w:val="es-ES"/>
        </w:rPr>
      </w:pPr>
    </w:p>
    <w:p w14:paraId="27F9F0C1" w14:textId="22E809D5" w:rsidR="00913875" w:rsidRPr="004D0C53" w:rsidRDefault="00C86E53"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 xml:space="preserve">20. </w:t>
      </w:r>
      <w:r>
        <w:rPr>
          <w:rFonts w:ascii="Verdana" w:hAnsi="Verdana" w:cs="Arial"/>
          <w:sz w:val="20"/>
          <w:szCs w:val="20"/>
          <w:lang w:val="es-ES"/>
        </w:rPr>
        <w:tab/>
      </w:r>
      <w:r w:rsidR="00913875" w:rsidRPr="004D0C53">
        <w:rPr>
          <w:rFonts w:ascii="Verdana" w:hAnsi="Verdana" w:cs="Arial"/>
          <w:sz w:val="20"/>
          <w:szCs w:val="20"/>
          <w:lang w:val="es-ES"/>
        </w:rPr>
        <w:t>Por el contrario, al exigir estándares probatorios mucho más flexibles</w:t>
      </w:r>
      <w:r w:rsidR="00C25259">
        <w:rPr>
          <w:rFonts w:ascii="Verdana" w:hAnsi="Verdana" w:cs="Arial"/>
          <w:sz w:val="20"/>
          <w:szCs w:val="20"/>
          <w:lang w:val="es-ES"/>
        </w:rPr>
        <w:t>,</w:t>
      </w:r>
      <w:r w:rsidR="00913875" w:rsidRPr="004D0C53">
        <w:rPr>
          <w:rFonts w:ascii="Verdana" w:hAnsi="Verdana" w:cs="Arial"/>
          <w:sz w:val="20"/>
          <w:szCs w:val="20"/>
          <w:lang w:val="es-ES"/>
        </w:rPr>
        <w:t xml:space="preserve"> la prueba contextual en el marco particular del Sistema Interamericano es utilizada con independencia de si se acreditan los elementos de sistematicidad o generalidad de manera concurrente. De hecho, ta</w:t>
      </w:r>
      <w:r w:rsidR="00C25259">
        <w:rPr>
          <w:rFonts w:ascii="Verdana" w:hAnsi="Verdana" w:cs="Arial"/>
          <w:sz w:val="20"/>
          <w:szCs w:val="20"/>
          <w:lang w:val="es-ES"/>
        </w:rPr>
        <w:t>n</w:t>
      </w:r>
      <w:r w:rsidR="00913875" w:rsidRPr="004D0C53">
        <w:rPr>
          <w:rFonts w:ascii="Verdana" w:hAnsi="Verdana" w:cs="Arial"/>
          <w:sz w:val="20"/>
          <w:szCs w:val="20"/>
          <w:lang w:val="es-ES"/>
        </w:rPr>
        <w:t xml:space="preserve"> es así que</w:t>
      </w:r>
      <w:r w:rsidR="00902A1F">
        <w:rPr>
          <w:rFonts w:ascii="Verdana" w:hAnsi="Verdana" w:cs="Arial"/>
          <w:sz w:val="20"/>
          <w:szCs w:val="20"/>
          <w:lang w:val="es-ES"/>
        </w:rPr>
        <w:t>,</w:t>
      </w:r>
      <w:r w:rsidR="00913875" w:rsidRPr="004D0C53">
        <w:rPr>
          <w:rFonts w:ascii="Verdana" w:hAnsi="Verdana" w:cs="Arial"/>
          <w:sz w:val="20"/>
          <w:szCs w:val="20"/>
          <w:lang w:val="es-ES"/>
        </w:rPr>
        <w:t xml:space="preserve"> si esto fuera </w:t>
      </w:r>
      <w:r w:rsidR="00902A1F">
        <w:rPr>
          <w:rFonts w:ascii="Verdana" w:hAnsi="Verdana" w:cs="Arial"/>
          <w:sz w:val="20"/>
          <w:szCs w:val="20"/>
          <w:lang w:val="es-ES"/>
        </w:rPr>
        <w:t xml:space="preserve">un </w:t>
      </w:r>
      <w:r w:rsidR="00913875" w:rsidRPr="004D0C53">
        <w:rPr>
          <w:rFonts w:ascii="Verdana" w:hAnsi="Verdana" w:cs="Arial"/>
          <w:sz w:val="20"/>
          <w:szCs w:val="20"/>
          <w:lang w:val="es-ES"/>
        </w:rPr>
        <w:t xml:space="preserve">requisito </w:t>
      </w:r>
      <w:r w:rsidR="00913875" w:rsidRPr="004D0C53">
        <w:rPr>
          <w:rFonts w:ascii="Verdana" w:hAnsi="Verdana" w:cs="Arial"/>
          <w:i/>
          <w:iCs/>
          <w:sz w:val="20"/>
          <w:szCs w:val="20"/>
          <w:lang w:val="es-ES"/>
        </w:rPr>
        <w:t>sine qua non</w:t>
      </w:r>
      <w:r w:rsidR="00902A1F">
        <w:rPr>
          <w:rFonts w:ascii="Verdana" w:hAnsi="Verdana" w:cs="Arial"/>
          <w:i/>
          <w:iCs/>
          <w:sz w:val="20"/>
          <w:szCs w:val="20"/>
          <w:lang w:val="es-ES"/>
        </w:rPr>
        <w:t>,</w:t>
      </w:r>
      <w:r w:rsidR="00913875" w:rsidRPr="004D0C53">
        <w:rPr>
          <w:rFonts w:ascii="Verdana" w:hAnsi="Verdana" w:cs="Arial"/>
          <w:i/>
          <w:iCs/>
          <w:sz w:val="20"/>
          <w:szCs w:val="20"/>
          <w:lang w:val="es-ES"/>
        </w:rPr>
        <w:t xml:space="preserve"> </w:t>
      </w:r>
      <w:r w:rsidR="00913875" w:rsidRPr="004D0C53">
        <w:rPr>
          <w:rFonts w:ascii="Verdana" w:hAnsi="Verdana" w:cs="Arial"/>
          <w:sz w:val="20"/>
          <w:szCs w:val="20"/>
          <w:lang w:val="es-ES"/>
        </w:rPr>
        <w:t xml:space="preserve">muchos de los casos de discriminación estructural no </w:t>
      </w:r>
      <w:r w:rsidR="00CA18F7" w:rsidRPr="004D0C53">
        <w:rPr>
          <w:rFonts w:ascii="Verdana" w:hAnsi="Verdana" w:cs="Arial"/>
          <w:sz w:val="20"/>
          <w:szCs w:val="20"/>
          <w:lang w:val="es-ES"/>
        </w:rPr>
        <w:t>p</w:t>
      </w:r>
      <w:r w:rsidR="00CA18F7">
        <w:rPr>
          <w:rFonts w:ascii="Verdana" w:hAnsi="Verdana" w:cs="Arial"/>
          <w:sz w:val="20"/>
          <w:szCs w:val="20"/>
          <w:lang w:val="es-ES"/>
        </w:rPr>
        <w:t>odrían</w:t>
      </w:r>
      <w:r w:rsidR="00CA18F7" w:rsidRPr="004D0C53">
        <w:rPr>
          <w:rFonts w:ascii="Verdana" w:hAnsi="Verdana" w:cs="Arial"/>
          <w:sz w:val="20"/>
          <w:szCs w:val="20"/>
          <w:lang w:val="es-ES"/>
        </w:rPr>
        <w:t xml:space="preserve"> </w:t>
      </w:r>
      <w:r w:rsidR="00913875" w:rsidRPr="004D0C53">
        <w:rPr>
          <w:rFonts w:ascii="Verdana" w:hAnsi="Verdana" w:cs="Arial"/>
          <w:sz w:val="20"/>
          <w:szCs w:val="20"/>
          <w:lang w:val="es-ES"/>
        </w:rPr>
        <w:t>haber sido abordados desde la prueba contextual</w:t>
      </w:r>
      <w:r w:rsidR="00C25259">
        <w:rPr>
          <w:rFonts w:ascii="Verdana" w:hAnsi="Verdana" w:cs="Arial"/>
          <w:sz w:val="20"/>
          <w:szCs w:val="20"/>
          <w:lang w:val="es-ES"/>
        </w:rPr>
        <w:t>,</w:t>
      </w:r>
      <w:r w:rsidR="00913875" w:rsidRPr="004D0C53">
        <w:rPr>
          <w:rFonts w:ascii="Verdana" w:hAnsi="Verdana" w:cs="Arial"/>
          <w:sz w:val="20"/>
          <w:szCs w:val="20"/>
          <w:lang w:val="es-ES"/>
        </w:rPr>
        <w:t xml:space="preserve"> ya que en ellos el elemento de intencionalidad (sistematicidad) se encuentra ausente </w:t>
      </w:r>
      <w:r w:rsidR="00CA6F0D">
        <w:rPr>
          <w:rFonts w:ascii="Verdana" w:hAnsi="Verdana" w:cs="Arial"/>
          <w:sz w:val="20"/>
          <w:szCs w:val="20"/>
          <w:lang w:val="es-ES"/>
        </w:rPr>
        <w:t xml:space="preserve">al generarse </w:t>
      </w:r>
      <w:r w:rsidR="00913875" w:rsidRPr="004D0C53">
        <w:rPr>
          <w:rFonts w:ascii="Verdana" w:hAnsi="Verdana" w:cs="Arial"/>
          <w:sz w:val="20"/>
          <w:szCs w:val="20"/>
          <w:lang w:val="es-ES"/>
        </w:rPr>
        <w:t>a partir de discriminaciones indirectas</w:t>
      </w:r>
      <w:r w:rsidR="00913875" w:rsidRPr="004D0C53">
        <w:rPr>
          <w:rStyle w:val="FootnoteReference"/>
          <w:rFonts w:ascii="Verdana" w:hAnsi="Verdana" w:cs="Arial"/>
          <w:sz w:val="20"/>
          <w:szCs w:val="20"/>
          <w:lang w:val="es-ES"/>
        </w:rPr>
        <w:footnoteReference w:id="15"/>
      </w:r>
      <w:r w:rsidR="00913875" w:rsidRPr="004D0C53">
        <w:rPr>
          <w:rFonts w:ascii="Verdana" w:hAnsi="Verdana" w:cs="Arial"/>
          <w:sz w:val="20"/>
          <w:szCs w:val="20"/>
          <w:lang w:val="es-ES"/>
        </w:rPr>
        <w:t xml:space="preserve">.  </w:t>
      </w:r>
    </w:p>
    <w:p w14:paraId="3A95D775" w14:textId="77777777" w:rsidR="00913875" w:rsidRPr="004D0C53" w:rsidRDefault="00913875" w:rsidP="00913875">
      <w:pPr>
        <w:pStyle w:val="ListParagraph"/>
        <w:ind w:left="0"/>
        <w:jc w:val="both"/>
        <w:rPr>
          <w:rFonts w:ascii="Verdana" w:hAnsi="Verdana" w:cs="Arial"/>
          <w:sz w:val="20"/>
          <w:szCs w:val="20"/>
          <w:lang w:val="es-ES"/>
        </w:rPr>
      </w:pPr>
    </w:p>
    <w:p w14:paraId="217777F3" w14:textId="1EDC918A" w:rsidR="00913875" w:rsidRPr="004D0C53" w:rsidRDefault="0003172C"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2</w:t>
      </w:r>
      <w:r w:rsidR="00D87AFC">
        <w:rPr>
          <w:rFonts w:ascii="Verdana" w:hAnsi="Verdana" w:cs="Arial"/>
          <w:sz w:val="20"/>
          <w:szCs w:val="20"/>
          <w:lang w:val="es-ES"/>
        </w:rPr>
        <w:t>1</w:t>
      </w:r>
      <w:r w:rsidR="00913875">
        <w:rPr>
          <w:rFonts w:ascii="Verdana" w:hAnsi="Verdana" w:cs="Arial"/>
          <w:sz w:val="20"/>
          <w:szCs w:val="20"/>
          <w:lang w:val="es-ES"/>
        </w:rPr>
        <w:t xml:space="preserve">. </w:t>
      </w:r>
      <w:r w:rsidR="00913875">
        <w:rPr>
          <w:rFonts w:ascii="Verdana" w:hAnsi="Verdana" w:cs="Arial"/>
          <w:sz w:val="20"/>
          <w:szCs w:val="20"/>
          <w:lang w:val="es-ES"/>
        </w:rPr>
        <w:tab/>
      </w:r>
      <w:r w:rsidR="00913875" w:rsidRPr="004D0C53">
        <w:rPr>
          <w:rFonts w:ascii="Verdana" w:hAnsi="Verdana" w:cs="Arial"/>
          <w:sz w:val="20"/>
          <w:szCs w:val="20"/>
          <w:lang w:val="es-ES"/>
        </w:rPr>
        <w:t>El uso frecuente de la prueba contextual en el Sistema Interamericano por cualquiera de sus dos órganos obedece a las siguientes razones:  en primer lugar, porque al ser un sistema que en este momento se ve afectado por un retraso procesal en la tramitación de sus casos</w:t>
      </w:r>
      <w:r w:rsidR="00913875" w:rsidRPr="004D0C53">
        <w:rPr>
          <w:rStyle w:val="FootnoteReference"/>
          <w:rFonts w:ascii="Verdana" w:hAnsi="Verdana" w:cs="Arial"/>
          <w:sz w:val="20"/>
          <w:szCs w:val="20"/>
          <w:lang w:val="es-ES"/>
        </w:rPr>
        <w:footnoteReference w:id="16"/>
      </w:r>
      <w:r w:rsidR="00913875" w:rsidRPr="004D0C53">
        <w:rPr>
          <w:rFonts w:ascii="Verdana" w:hAnsi="Verdana" w:cs="Arial"/>
          <w:sz w:val="20"/>
          <w:szCs w:val="20"/>
          <w:lang w:val="es-ES"/>
        </w:rPr>
        <w:t xml:space="preserve">, la prueba contextual permite insertar un caso “muestra” de hechos y sujetos concretos en un escenario </w:t>
      </w:r>
      <w:r w:rsidR="00913875" w:rsidRPr="002743B1">
        <w:rPr>
          <w:rFonts w:ascii="Verdana" w:hAnsi="Verdana" w:cs="Arial"/>
          <w:sz w:val="20"/>
          <w:szCs w:val="20"/>
          <w:lang w:val="es-ES"/>
        </w:rPr>
        <w:t>“macro”</w:t>
      </w:r>
      <w:r w:rsidR="00913875" w:rsidRPr="004D0C53">
        <w:rPr>
          <w:rFonts w:ascii="Verdana" w:hAnsi="Verdana" w:cs="Arial"/>
          <w:sz w:val="20"/>
          <w:szCs w:val="20"/>
          <w:lang w:val="es-ES"/>
        </w:rPr>
        <w:t xml:space="preserve"> al interior de un país en el que existe un universo más amplio de sujetos afectados. En segundo lugar, esta inserción lo que busca es que casos similares que inclusive no se encuentren ante conocimiento de las instancias interamericanas, tengan un abordaje con independencia de si son o no parte de la litis</w:t>
      </w:r>
      <w:r w:rsidR="00913875" w:rsidRPr="004D0C53">
        <w:rPr>
          <w:rStyle w:val="FootnoteReference"/>
          <w:rFonts w:ascii="Verdana" w:hAnsi="Verdana" w:cs="Arial"/>
          <w:sz w:val="20"/>
          <w:szCs w:val="20"/>
          <w:lang w:val="es-ES"/>
        </w:rPr>
        <w:footnoteReference w:id="17"/>
      </w:r>
      <w:r w:rsidR="00913875" w:rsidRPr="004D0C53">
        <w:rPr>
          <w:rFonts w:ascii="Verdana" w:hAnsi="Verdana" w:cs="Arial"/>
          <w:sz w:val="20"/>
          <w:szCs w:val="20"/>
          <w:lang w:val="es-ES"/>
        </w:rPr>
        <w:t xml:space="preserve">. En tercer lugar, la prueba contextual permite justificar el dictado de medidas generales o con efectos </w:t>
      </w:r>
      <w:r w:rsidR="00913875" w:rsidRPr="004D0C53">
        <w:rPr>
          <w:rFonts w:ascii="Verdana" w:hAnsi="Verdana" w:cs="Arial"/>
          <w:i/>
          <w:iCs/>
          <w:sz w:val="20"/>
          <w:szCs w:val="20"/>
          <w:lang w:val="es-ES"/>
        </w:rPr>
        <w:t>erga omnes</w:t>
      </w:r>
      <w:r w:rsidR="00913875" w:rsidRPr="004D0C53">
        <w:rPr>
          <w:rFonts w:ascii="Verdana" w:hAnsi="Verdana" w:cs="Arial"/>
          <w:sz w:val="20"/>
          <w:szCs w:val="20"/>
          <w:lang w:val="es-ES"/>
        </w:rPr>
        <w:t xml:space="preserve"> para remediar situaciones similares y evitar una posible congestión judicial</w:t>
      </w:r>
      <w:r w:rsidR="00913875" w:rsidRPr="004D0C53">
        <w:rPr>
          <w:rStyle w:val="FootnoteReference"/>
          <w:rFonts w:ascii="Verdana" w:hAnsi="Verdana" w:cs="Arial"/>
          <w:sz w:val="20"/>
          <w:szCs w:val="20"/>
          <w:lang w:val="es-ES"/>
        </w:rPr>
        <w:footnoteReference w:id="18"/>
      </w:r>
      <w:r w:rsidR="00913875" w:rsidRPr="004D0C53">
        <w:rPr>
          <w:rFonts w:ascii="Verdana" w:hAnsi="Verdana" w:cs="Arial"/>
          <w:sz w:val="20"/>
          <w:szCs w:val="20"/>
          <w:lang w:val="es-ES"/>
        </w:rPr>
        <w:t xml:space="preserve">. </w:t>
      </w:r>
      <w:r w:rsidR="00AC3B15">
        <w:rPr>
          <w:rFonts w:ascii="Verdana" w:hAnsi="Verdana" w:cs="Arial"/>
          <w:sz w:val="20"/>
          <w:szCs w:val="20"/>
          <w:lang w:val="es-ES"/>
        </w:rPr>
        <w:t>F</w:t>
      </w:r>
      <w:r w:rsidR="00913875" w:rsidRPr="004D0C53">
        <w:rPr>
          <w:rFonts w:ascii="Verdana" w:hAnsi="Verdana" w:cs="Arial"/>
          <w:sz w:val="20"/>
          <w:szCs w:val="20"/>
          <w:lang w:val="es-ES"/>
        </w:rPr>
        <w:t xml:space="preserve">inalmente, en cuarto lugar, dado que muchos de los casos son conocidos por los órganos del SIDH </w:t>
      </w:r>
      <w:r w:rsidR="00AC3B15">
        <w:rPr>
          <w:rFonts w:ascii="Verdana" w:hAnsi="Verdana" w:cs="Arial"/>
          <w:sz w:val="20"/>
          <w:szCs w:val="20"/>
          <w:lang w:val="es-ES"/>
        </w:rPr>
        <w:t xml:space="preserve">varios años después de la ocurrencia de los hechos, con frecuencia </w:t>
      </w:r>
      <w:r w:rsidR="00913875" w:rsidRPr="004D0C53">
        <w:rPr>
          <w:rFonts w:ascii="Verdana" w:hAnsi="Verdana" w:cs="Arial"/>
          <w:sz w:val="20"/>
          <w:szCs w:val="20"/>
          <w:lang w:val="es-ES"/>
        </w:rPr>
        <w:t>los medios de prueba directa se han perdido</w:t>
      </w:r>
      <w:r w:rsidR="00913875" w:rsidRPr="004D0C53">
        <w:rPr>
          <w:rStyle w:val="FootnoteReference"/>
          <w:rFonts w:ascii="Verdana" w:hAnsi="Verdana" w:cs="Arial"/>
          <w:sz w:val="20"/>
          <w:szCs w:val="20"/>
          <w:lang w:val="es-ES"/>
        </w:rPr>
        <w:footnoteReference w:id="19"/>
      </w:r>
      <w:r w:rsidR="00913875" w:rsidRPr="004D0C53">
        <w:rPr>
          <w:rFonts w:ascii="Verdana" w:hAnsi="Verdana" w:cs="Arial"/>
          <w:sz w:val="20"/>
          <w:szCs w:val="20"/>
          <w:lang w:val="es-ES"/>
        </w:rPr>
        <w:t xml:space="preserve">. </w:t>
      </w:r>
    </w:p>
    <w:p w14:paraId="7F4173F3" w14:textId="77777777" w:rsidR="00913875" w:rsidRPr="004D0C53" w:rsidRDefault="00913875" w:rsidP="00913875">
      <w:pPr>
        <w:pStyle w:val="ListParagraph"/>
        <w:ind w:left="0"/>
        <w:jc w:val="both"/>
        <w:rPr>
          <w:rFonts w:ascii="Verdana" w:hAnsi="Verdana" w:cs="Arial"/>
          <w:sz w:val="20"/>
          <w:szCs w:val="20"/>
          <w:lang w:val="es-ES"/>
        </w:rPr>
      </w:pPr>
    </w:p>
    <w:p w14:paraId="479294DE" w14:textId="347C891F" w:rsidR="00913875" w:rsidRDefault="0003172C"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2</w:t>
      </w:r>
      <w:r w:rsidR="00D87AFC">
        <w:rPr>
          <w:rFonts w:ascii="Verdana" w:hAnsi="Verdana" w:cs="Arial"/>
          <w:sz w:val="20"/>
          <w:szCs w:val="20"/>
          <w:lang w:val="es-ES"/>
        </w:rPr>
        <w:t>2</w:t>
      </w:r>
      <w:r w:rsidR="00913875">
        <w:rPr>
          <w:rFonts w:ascii="Verdana" w:hAnsi="Verdana" w:cs="Arial"/>
          <w:sz w:val="20"/>
          <w:szCs w:val="20"/>
          <w:lang w:val="es-ES"/>
        </w:rPr>
        <w:t xml:space="preserve">. </w:t>
      </w:r>
      <w:r w:rsidR="00913875">
        <w:rPr>
          <w:rFonts w:ascii="Verdana" w:hAnsi="Verdana" w:cs="Arial"/>
          <w:sz w:val="20"/>
          <w:szCs w:val="20"/>
          <w:lang w:val="es-ES"/>
        </w:rPr>
        <w:tab/>
      </w:r>
      <w:r w:rsidR="00913875" w:rsidRPr="004D0C53">
        <w:rPr>
          <w:rFonts w:ascii="Verdana" w:hAnsi="Verdana" w:cs="Arial"/>
          <w:sz w:val="20"/>
          <w:szCs w:val="20"/>
          <w:lang w:val="es-ES"/>
        </w:rPr>
        <w:t xml:space="preserve">Cuando se aborda la </w:t>
      </w:r>
      <w:r w:rsidR="00913875" w:rsidRPr="00CA6F0D">
        <w:rPr>
          <w:rFonts w:ascii="Verdana" w:hAnsi="Verdana" w:cs="Arial"/>
          <w:i/>
          <w:iCs/>
          <w:sz w:val="20"/>
          <w:szCs w:val="20"/>
          <w:lang w:val="es-ES"/>
        </w:rPr>
        <w:t>prueba contextual</w:t>
      </w:r>
      <w:r w:rsidR="00913875" w:rsidRPr="004D0C53">
        <w:rPr>
          <w:rFonts w:ascii="Verdana" w:hAnsi="Verdana" w:cs="Arial"/>
          <w:sz w:val="20"/>
          <w:szCs w:val="20"/>
          <w:lang w:val="es-ES"/>
        </w:rPr>
        <w:t xml:space="preserve"> generalmente se piensa directamente en la Corte Interamericana de Derechos Humanos</w:t>
      </w:r>
      <w:r w:rsidR="00CA6F0D">
        <w:rPr>
          <w:rFonts w:ascii="Verdana" w:hAnsi="Verdana" w:cs="Arial"/>
          <w:sz w:val="20"/>
          <w:szCs w:val="20"/>
          <w:lang w:val="es-ES"/>
        </w:rPr>
        <w:t>;</w:t>
      </w:r>
      <w:r w:rsidR="00913875" w:rsidRPr="004D0C53">
        <w:rPr>
          <w:rFonts w:ascii="Verdana" w:hAnsi="Verdana" w:cs="Arial"/>
          <w:sz w:val="20"/>
          <w:szCs w:val="20"/>
          <w:lang w:val="es-ES"/>
        </w:rPr>
        <w:t xml:space="preserve"> sin embargo, no se debe perder de vista que quien aplicó por primera este tipo de prueba (mediante un proceso de documentación </w:t>
      </w:r>
      <w:r w:rsidR="00913875" w:rsidRPr="00CA6F0D">
        <w:rPr>
          <w:rFonts w:ascii="Verdana" w:hAnsi="Verdana" w:cs="Arial"/>
          <w:i/>
          <w:iCs/>
          <w:sz w:val="20"/>
          <w:szCs w:val="20"/>
          <w:lang w:val="es-ES"/>
        </w:rPr>
        <w:t>in situ</w:t>
      </w:r>
      <w:r w:rsidR="00913875" w:rsidRPr="004D0C53">
        <w:rPr>
          <w:rFonts w:ascii="Verdana" w:hAnsi="Verdana" w:cs="Arial"/>
          <w:sz w:val="20"/>
          <w:szCs w:val="20"/>
          <w:lang w:val="es-ES"/>
        </w:rPr>
        <w:t xml:space="preserve">) de violaciones a derechos humanos fue la Comisión Interamericana de Derechos Humanos.  Así, en su </w:t>
      </w:r>
      <w:r w:rsidR="00913875" w:rsidRPr="00CA6F0D">
        <w:rPr>
          <w:rFonts w:ascii="Verdana" w:hAnsi="Verdana" w:cs="Arial"/>
          <w:i/>
          <w:iCs/>
          <w:sz w:val="20"/>
          <w:szCs w:val="20"/>
          <w:lang w:val="es-ES"/>
        </w:rPr>
        <w:t>Informe sobre la Situación de los Derechos Humanos en Argentina</w:t>
      </w:r>
      <w:r w:rsidR="00913875" w:rsidRPr="004D0C53">
        <w:rPr>
          <w:rFonts w:ascii="Verdana" w:hAnsi="Verdana" w:cs="Arial"/>
          <w:sz w:val="20"/>
          <w:szCs w:val="20"/>
          <w:lang w:val="es-ES"/>
        </w:rPr>
        <w:t xml:space="preserve"> de 1980</w:t>
      </w:r>
      <w:r w:rsidR="00CA6F0D">
        <w:rPr>
          <w:rFonts w:ascii="Verdana" w:hAnsi="Verdana" w:cs="Arial"/>
          <w:sz w:val="20"/>
          <w:szCs w:val="20"/>
          <w:lang w:val="es-ES"/>
        </w:rPr>
        <w:t xml:space="preserve">, </w:t>
      </w:r>
      <w:r w:rsidR="00913875" w:rsidRPr="004D0C53">
        <w:rPr>
          <w:rFonts w:ascii="Verdana" w:hAnsi="Verdana" w:cs="Arial"/>
          <w:sz w:val="20"/>
          <w:szCs w:val="20"/>
          <w:lang w:val="es-ES"/>
        </w:rPr>
        <w:t>por primera vez la Comisión Interamericana explicitó su “metodología” para documentar las violaciones a derechos humanos, es decir, estructuró la forma en la que construiría su prueba contextual</w:t>
      </w:r>
      <w:r w:rsidR="00913875" w:rsidRPr="004D0C53">
        <w:rPr>
          <w:rStyle w:val="FootnoteReference"/>
          <w:rFonts w:ascii="Verdana" w:hAnsi="Verdana" w:cs="Arial"/>
          <w:sz w:val="20"/>
          <w:szCs w:val="20"/>
          <w:lang w:val="es-ES"/>
        </w:rPr>
        <w:footnoteReference w:id="20"/>
      </w:r>
      <w:r w:rsidR="00913875" w:rsidRPr="004D0C53">
        <w:rPr>
          <w:rFonts w:ascii="Verdana" w:hAnsi="Verdana" w:cs="Arial"/>
          <w:sz w:val="20"/>
          <w:szCs w:val="20"/>
          <w:lang w:val="es-ES"/>
        </w:rPr>
        <w:t xml:space="preserve">. </w:t>
      </w:r>
    </w:p>
    <w:p w14:paraId="0818271D" w14:textId="21A13836" w:rsidR="00CA6F0D" w:rsidRDefault="00CA6F0D" w:rsidP="00913875">
      <w:pPr>
        <w:pStyle w:val="ListParagraph"/>
        <w:spacing w:after="0" w:line="240" w:lineRule="auto"/>
        <w:ind w:left="0"/>
        <w:jc w:val="both"/>
        <w:rPr>
          <w:rFonts w:ascii="Verdana" w:hAnsi="Verdana" w:cs="Arial"/>
          <w:sz w:val="20"/>
          <w:szCs w:val="20"/>
          <w:lang w:val="es-ES"/>
        </w:rPr>
      </w:pPr>
    </w:p>
    <w:p w14:paraId="40F63DB1" w14:textId="2627E4E0" w:rsidR="00CA6F0D" w:rsidRDefault="00CA6F0D"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2</w:t>
      </w:r>
      <w:r w:rsidR="00D87AFC">
        <w:rPr>
          <w:rFonts w:ascii="Verdana" w:hAnsi="Verdana" w:cs="Arial"/>
          <w:sz w:val="20"/>
          <w:szCs w:val="20"/>
          <w:lang w:val="es-ES"/>
        </w:rPr>
        <w:t>3</w:t>
      </w:r>
      <w:r>
        <w:rPr>
          <w:rFonts w:ascii="Verdana" w:hAnsi="Verdana" w:cs="Arial"/>
          <w:sz w:val="20"/>
          <w:szCs w:val="20"/>
          <w:lang w:val="es-ES"/>
        </w:rPr>
        <w:t xml:space="preserve">. </w:t>
      </w:r>
      <w:r>
        <w:rPr>
          <w:rFonts w:ascii="Verdana" w:hAnsi="Verdana" w:cs="Arial"/>
          <w:sz w:val="20"/>
          <w:szCs w:val="20"/>
          <w:lang w:val="es-ES"/>
        </w:rPr>
        <w:tab/>
        <w:t>Ahora bien, la Corte IDH no tiene una definición sobre lo que significa o lo que abarca la prueba contextual. Tampoco existe evidencia de que el Tribunal Interamerican</w:t>
      </w:r>
      <w:r w:rsidR="0088610F">
        <w:rPr>
          <w:rFonts w:ascii="Verdana" w:hAnsi="Verdana" w:cs="Arial"/>
          <w:sz w:val="20"/>
          <w:szCs w:val="20"/>
          <w:lang w:val="es-ES"/>
        </w:rPr>
        <w:t>o</w:t>
      </w:r>
      <w:r>
        <w:rPr>
          <w:rFonts w:ascii="Verdana" w:hAnsi="Verdana" w:cs="Arial"/>
          <w:sz w:val="20"/>
          <w:szCs w:val="20"/>
          <w:lang w:val="es-ES"/>
        </w:rPr>
        <w:t xml:space="preserve"> se haya inspirado en el derecho penal internacional o en alguna otra judicatura para “utilizar el contexto” como prueba. Lo que no cabe duda es que la Corte es un referente para desarrollar el uso de la prueba contextual, al emplearse desde su primera sentencia en el emblemático </w:t>
      </w:r>
      <w:r w:rsidRPr="00CA6F0D">
        <w:rPr>
          <w:rFonts w:ascii="Verdana" w:hAnsi="Verdana" w:cs="Arial"/>
          <w:i/>
          <w:iCs/>
          <w:sz w:val="20"/>
          <w:szCs w:val="20"/>
          <w:lang w:val="es-ES"/>
        </w:rPr>
        <w:t>Caso Velázquez Rodríguez Vs. Honduras</w:t>
      </w:r>
      <w:r w:rsidRPr="00CA6F0D">
        <w:rPr>
          <w:rStyle w:val="FootnoteReference"/>
          <w:rFonts w:ascii="Verdana" w:hAnsi="Verdana" w:cs="Arial"/>
          <w:sz w:val="20"/>
          <w:szCs w:val="20"/>
          <w:lang w:val="es-ES"/>
        </w:rPr>
        <w:footnoteReference w:id="21"/>
      </w:r>
      <w:r>
        <w:rPr>
          <w:rFonts w:ascii="Verdana" w:hAnsi="Verdana" w:cs="Arial"/>
          <w:sz w:val="20"/>
          <w:szCs w:val="20"/>
          <w:lang w:val="es-ES"/>
        </w:rPr>
        <w:t>.</w:t>
      </w:r>
    </w:p>
    <w:p w14:paraId="2794F3C2" w14:textId="77777777" w:rsidR="00913875" w:rsidRDefault="00913875" w:rsidP="00913875">
      <w:pPr>
        <w:pStyle w:val="ListParagraph"/>
        <w:spacing w:after="0" w:line="240" w:lineRule="auto"/>
        <w:ind w:left="0"/>
        <w:jc w:val="both"/>
        <w:rPr>
          <w:rFonts w:ascii="Verdana" w:hAnsi="Verdana" w:cs="Arial"/>
          <w:sz w:val="20"/>
          <w:szCs w:val="20"/>
          <w:lang w:val="es-ES"/>
        </w:rPr>
      </w:pPr>
    </w:p>
    <w:p w14:paraId="26A3D288" w14:textId="5DA98FA5" w:rsidR="00913875" w:rsidRPr="004D0C53" w:rsidRDefault="00913875" w:rsidP="00913875">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2</w:t>
      </w:r>
      <w:r w:rsidR="00D87AFC">
        <w:rPr>
          <w:rFonts w:ascii="Verdana" w:hAnsi="Verdana" w:cs="Arial"/>
          <w:sz w:val="20"/>
          <w:szCs w:val="20"/>
          <w:lang w:val="es-ES"/>
        </w:rPr>
        <w:t>4</w:t>
      </w:r>
      <w:r>
        <w:rPr>
          <w:rFonts w:ascii="Verdana" w:hAnsi="Verdana" w:cs="Arial"/>
          <w:sz w:val="20"/>
          <w:szCs w:val="20"/>
          <w:lang w:val="es-ES"/>
        </w:rPr>
        <w:t xml:space="preserve">. </w:t>
      </w:r>
      <w:r>
        <w:rPr>
          <w:rFonts w:ascii="Verdana" w:hAnsi="Verdana" w:cs="Arial"/>
          <w:sz w:val="20"/>
          <w:szCs w:val="20"/>
          <w:lang w:val="es-ES"/>
        </w:rPr>
        <w:tab/>
      </w:r>
      <w:r w:rsidRPr="004D0C53">
        <w:rPr>
          <w:rFonts w:ascii="Verdana" w:hAnsi="Verdana" w:cs="Arial"/>
          <w:sz w:val="20"/>
          <w:szCs w:val="20"/>
          <w:lang w:val="es-ES"/>
        </w:rPr>
        <w:t>La Corte IDH ha precisado que</w:t>
      </w:r>
      <w:r w:rsidR="003249BE">
        <w:rPr>
          <w:rFonts w:ascii="Verdana" w:hAnsi="Verdana" w:cs="Arial"/>
          <w:sz w:val="20"/>
          <w:szCs w:val="20"/>
          <w:lang w:val="es-ES"/>
        </w:rPr>
        <w:t>,</w:t>
      </w:r>
      <w:r w:rsidRPr="004D0C53">
        <w:rPr>
          <w:rFonts w:ascii="Verdana" w:hAnsi="Verdana" w:cs="Arial"/>
          <w:sz w:val="20"/>
          <w:szCs w:val="20"/>
          <w:lang w:val="es-ES"/>
        </w:rPr>
        <w:t xml:space="preserve"> en el proceso de construcción de su prueba contextual</w:t>
      </w:r>
      <w:r w:rsidR="003249BE">
        <w:rPr>
          <w:rFonts w:ascii="Verdana" w:hAnsi="Verdana" w:cs="Arial"/>
          <w:sz w:val="20"/>
          <w:szCs w:val="20"/>
          <w:lang w:val="es-ES"/>
        </w:rPr>
        <w:t>,</w:t>
      </w:r>
      <w:r w:rsidRPr="004D0C53">
        <w:rPr>
          <w:rFonts w:ascii="Verdana" w:hAnsi="Verdana" w:cs="Arial"/>
          <w:sz w:val="20"/>
          <w:szCs w:val="20"/>
          <w:lang w:val="es-ES"/>
        </w:rPr>
        <w:t xml:space="preserve"> esta incluye</w:t>
      </w:r>
      <w:r w:rsidR="0088610F">
        <w:rPr>
          <w:rFonts w:ascii="Verdana" w:hAnsi="Verdana" w:cs="Arial"/>
          <w:sz w:val="20"/>
          <w:szCs w:val="20"/>
          <w:lang w:val="es-ES"/>
        </w:rPr>
        <w:t>:</w:t>
      </w:r>
      <w:r w:rsidRPr="004D0C53">
        <w:rPr>
          <w:rFonts w:ascii="Verdana" w:hAnsi="Verdana" w:cs="Arial"/>
          <w:sz w:val="20"/>
          <w:szCs w:val="20"/>
          <w:lang w:val="es-ES"/>
        </w:rPr>
        <w:t xml:space="preserve"> i) prueba pericial</w:t>
      </w:r>
      <w:r w:rsidR="00AC3B15">
        <w:rPr>
          <w:rFonts w:ascii="Verdana" w:hAnsi="Verdana" w:cs="Arial"/>
          <w:sz w:val="20"/>
          <w:szCs w:val="20"/>
          <w:lang w:val="es-ES"/>
        </w:rPr>
        <w:t>;</w:t>
      </w:r>
      <w:r w:rsidRPr="004D0C53">
        <w:rPr>
          <w:rFonts w:ascii="Verdana" w:hAnsi="Verdana" w:cs="Arial"/>
          <w:sz w:val="20"/>
          <w:szCs w:val="20"/>
          <w:lang w:val="es-ES"/>
        </w:rPr>
        <w:t xml:space="preserve"> ii) documentos provenientes de entidades estatales; iii) documentos de entidades internacionales, tanto del sistema de Naciones Unidas como del Sistema Interamericano y iv) documentos elaborados por organizaciones no gubernamentales</w:t>
      </w:r>
      <w:r w:rsidRPr="004D0C53">
        <w:rPr>
          <w:rStyle w:val="FootnoteReference"/>
          <w:rFonts w:ascii="Verdana" w:hAnsi="Verdana" w:cs="Arial"/>
          <w:sz w:val="20"/>
          <w:szCs w:val="20"/>
          <w:lang w:val="es-ES"/>
        </w:rPr>
        <w:footnoteReference w:id="22"/>
      </w:r>
      <w:r w:rsidRPr="004D0C53">
        <w:rPr>
          <w:rFonts w:ascii="Verdana" w:hAnsi="Verdana" w:cs="Arial"/>
          <w:sz w:val="20"/>
          <w:szCs w:val="20"/>
          <w:lang w:val="es-ES"/>
        </w:rPr>
        <w:t>. Como parte del contexto que consisten en noticias en portales electrónicos y como medio coadyuvante para el contexto</w:t>
      </w:r>
      <w:r w:rsidR="00DB72CB">
        <w:rPr>
          <w:rFonts w:ascii="Verdana" w:hAnsi="Verdana" w:cs="Arial"/>
          <w:sz w:val="20"/>
          <w:szCs w:val="20"/>
          <w:lang w:val="es-ES"/>
        </w:rPr>
        <w:t>,</w:t>
      </w:r>
      <w:r w:rsidRPr="004D0C53">
        <w:rPr>
          <w:rFonts w:ascii="Verdana" w:hAnsi="Verdana" w:cs="Arial"/>
          <w:sz w:val="20"/>
          <w:szCs w:val="20"/>
          <w:lang w:val="es-ES"/>
        </w:rPr>
        <w:t xml:space="preserve"> ha precisado que “si una parte proporciona al menos el enlace electrónico directo del documento que cita como prueba y es posible acceder a éste, no se ve afectada la seguridad jurídica ni el equilibrio procesal, porque es inmediatamente localizable por el Tribunal y por las otras partes”. En particular este medio de prueba es de especial importancia cuando se trata “de textos de público conocimiento o que refieren a declaraciones públicas de funcionarios”. Con independencia de lo anterior</w:t>
      </w:r>
      <w:r w:rsidR="003249BE">
        <w:rPr>
          <w:rFonts w:ascii="Verdana" w:hAnsi="Verdana" w:cs="Arial"/>
          <w:sz w:val="20"/>
          <w:szCs w:val="20"/>
          <w:lang w:val="es-ES"/>
        </w:rPr>
        <w:t>,</w:t>
      </w:r>
      <w:r w:rsidRPr="004D0C53">
        <w:rPr>
          <w:rFonts w:ascii="Verdana" w:hAnsi="Verdana" w:cs="Arial"/>
          <w:sz w:val="20"/>
          <w:szCs w:val="20"/>
          <w:lang w:val="es-ES"/>
        </w:rPr>
        <w:t xml:space="preserve"> ha precisado </w:t>
      </w:r>
      <w:r w:rsidR="0088610F">
        <w:rPr>
          <w:rFonts w:ascii="Verdana" w:hAnsi="Verdana" w:cs="Arial"/>
          <w:sz w:val="20"/>
          <w:szCs w:val="20"/>
          <w:lang w:val="es-ES"/>
        </w:rPr>
        <w:t xml:space="preserve">que, </w:t>
      </w:r>
      <w:r w:rsidRPr="004D0C53">
        <w:rPr>
          <w:rFonts w:ascii="Verdana" w:hAnsi="Verdana" w:cs="Arial"/>
          <w:sz w:val="20"/>
          <w:szCs w:val="20"/>
          <w:lang w:val="es-ES"/>
        </w:rPr>
        <w:t>con la incorporación de esa prueba</w:t>
      </w:r>
      <w:r w:rsidR="0088610F">
        <w:rPr>
          <w:rFonts w:ascii="Verdana" w:hAnsi="Verdana" w:cs="Arial"/>
          <w:sz w:val="20"/>
          <w:szCs w:val="20"/>
          <w:lang w:val="es-ES"/>
        </w:rPr>
        <w:t>,</w:t>
      </w:r>
      <w:r w:rsidRPr="004D0C53">
        <w:rPr>
          <w:rFonts w:ascii="Verdana" w:hAnsi="Verdana" w:cs="Arial"/>
          <w:sz w:val="20"/>
          <w:szCs w:val="20"/>
          <w:lang w:val="es-ES"/>
        </w:rPr>
        <w:t xml:space="preserve"> “no adopta como hechos probados o como ciertos todos los contenidos que se encuentren en tales enlaces electrónicos, sino únicamente en cuanto hagan referencia o contengan la fuente específica o información que se cita como relevante para efectos [de resolver un caso]”</w:t>
      </w:r>
      <w:r w:rsidRPr="004D0C53">
        <w:rPr>
          <w:rStyle w:val="FootnoteReference"/>
          <w:rFonts w:ascii="Verdana" w:hAnsi="Verdana" w:cs="Arial"/>
          <w:sz w:val="20"/>
          <w:szCs w:val="20"/>
          <w:lang w:val="es-ES"/>
        </w:rPr>
        <w:footnoteReference w:id="23"/>
      </w:r>
      <w:r w:rsidRPr="004D0C53">
        <w:rPr>
          <w:rFonts w:ascii="Verdana" w:hAnsi="Verdana" w:cs="Arial"/>
          <w:sz w:val="20"/>
          <w:szCs w:val="20"/>
          <w:lang w:val="es-ES"/>
        </w:rPr>
        <w:t xml:space="preserve">. </w:t>
      </w:r>
    </w:p>
    <w:p w14:paraId="75D07A3A" w14:textId="77777777" w:rsidR="00913875" w:rsidRPr="004D0C53" w:rsidRDefault="00913875" w:rsidP="00913875">
      <w:pPr>
        <w:pStyle w:val="ListParagraph"/>
        <w:ind w:left="0"/>
        <w:jc w:val="both"/>
        <w:rPr>
          <w:rFonts w:ascii="Verdana" w:hAnsi="Verdana" w:cs="Arial"/>
          <w:sz w:val="20"/>
          <w:szCs w:val="20"/>
          <w:lang w:val="es-ES"/>
        </w:rPr>
      </w:pPr>
    </w:p>
    <w:p w14:paraId="59EE0691" w14:textId="6E2AE4C2" w:rsidR="00913875" w:rsidRPr="004D0C53" w:rsidRDefault="00913875" w:rsidP="00913875">
      <w:pPr>
        <w:pStyle w:val="ListParagraph"/>
        <w:spacing w:after="0" w:line="240" w:lineRule="auto"/>
        <w:ind w:left="0"/>
        <w:jc w:val="both"/>
        <w:rPr>
          <w:rFonts w:ascii="Verdana" w:hAnsi="Verdana" w:cs="Arial"/>
          <w:i/>
          <w:iCs/>
          <w:sz w:val="20"/>
          <w:szCs w:val="20"/>
          <w:lang w:val="es-ES"/>
        </w:rPr>
      </w:pPr>
      <w:r>
        <w:rPr>
          <w:rFonts w:ascii="Verdana" w:hAnsi="Verdana" w:cs="Arial"/>
          <w:sz w:val="20"/>
          <w:szCs w:val="20"/>
          <w:lang w:val="es-ES"/>
        </w:rPr>
        <w:t>2</w:t>
      </w:r>
      <w:r w:rsidR="00D87AFC">
        <w:rPr>
          <w:rFonts w:ascii="Verdana" w:hAnsi="Verdana" w:cs="Arial"/>
          <w:sz w:val="20"/>
          <w:szCs w:val="20"/>
          <w:lang w:val="es-ES"/>
        </w:rPr>
        <w:t>5</w:t>
      </w:r>
      <w:r>
        <w:rPr>
          <w:rFonts w:ascii="Verdana" w:hAnsi="Verdana" w:cs="Arial"/>
          <w:sz w:val="20"/>
          <w:szCs w:val="20"/>
          <w:lang w:val="es-ES"/>
        </w:rPr>
        <w:t xml:space="preserve">. </w:t>
      </w:r>
      <w:r>
        <w:rPr>
          <w:rFonts w:ascii="Verdana" w:hAnsi="Verdana" w:cs="Arial"/>
          <w:sz w:val="20"/>
          <w:szCs w:val="20"/>
          <w:lang w:val="es-ES"/>
        </w:rPr>
        <w:tab/>
      </w:r>
      <w:r w:rsidRPr="004D0C53">
        <w:rPr>
          <w:rFonts w:ascii="Verdana" w:hAnsi="Verdana" w:cs="Arial"/>
          <w:sz w:val="20"/>
          <w:szCs w:val="20"/>
          <w:lang w:val="es-ES"/>
        </w:rPr>
        <w:t xml:space="preserve">Recientemente, en el caso </w:t>
      </w:r>
      <w:r w:rsidRPr="004D0C53">
        <w:rPr>
          <w:rFonts w:ascii="Verdana" w:hAnsi="Verdana" w:cs="Arial"/>
          <w:i/>
          <w:iCs/>
          <w:sz w:val="20"/>
          <w:szCs w:val="20"/>
          <w:lang w:val="es-ES"/>
        </w:rPr>
        <w:t>SUTECASA Vs. Perú</w:t>
      </w:r>
      <w:r w:rsidR="00DB72CB">
        <w:rPr>
          <w:rFonts w:ascii="Verdana" w:hAnsi="Verdana" w:cs="Arial"/>
          <w:i/>
          <w:iCs/>
          <w:sz w:val="20"/>
          <w:szCs w:val="20"/>
          <w:lang w:val="es-ES"/>
        </w:rPr>
        <w:t xml:space="preserve"> </w:t>
      </w:r>
      <w:r w:rsidR="00DB72CB">
        <w:rPr>
          <w:rFonts w:ascii="Verdana" w:hAnsi="Verdana" w:cs="Arial"/>
          <w:sz w:val="20"/>
          <w:szCs w:val="20"/>
          <w:lang w:val="es-ES"/>
        </w:rPr>
        <w:t>(2024)</w:t>
      </w:r>
      <w:r w:rsidRPr="004D0C53">
        <w:rPr>
          <w:rFonts w:ascii="Verdana" w:hAnsi="Verdana" w:cs="Arial"/>
          <w:sz w:val="20"/>
          <w:szCs w:val="20"/>
          <w:lang w:val="es-ES"/>
        </w:rPr>
        <w:t xml:space="preserve">, la Corte IDH por primera vez incorporó sentencias previas para determinar la existencia de un problema estructural. En </w:t>
      </w:r>
      <w:r w:rsidRPr="004D0C53">
        <w:rPr>
          <w:rFonts w:ascii="Verdana" w:hAnsi="Verdana" w:cs="Arial"/>
          <w:sz w:val="20"/>
          <w:szCs w:val="20"/>
          <w:lang w:val="es-ES"/>
        </w:rPr>
        <w:lastRenderedPageBreak/>
        <w:t xml:space="preserve">dicho caso, se determinó </w:t>
      </w:r>
      <w:r w:rsidRPr="004D0C53">
        <w:rPr>
          <w:rFonts w:ascii="Verdana" w:eastAsia="Times New Roman" w:hAnsi="Verdana" w:cs="Calibri"/>
          <w:color w:val="000000" w:themeColor="text1"/>
          <w:sz w:val="20"/>
          <w:szCs w:val="20"/>
          <w:lang w:val="es-ES" w:eastAsia="es-MX"/>
        </w:rPr>
        <w:t>la “existencia de problemáticas estructurales” que se constatan a partir de 9 fallos previamente emitidos por este Tribunal Interamericano</w:t>
      </w:r>
      <w:r w:rsidR="00DB72CB">
        <w:rPr>
          <w:rFonts w:ascii="Verdana" w:eastAsia="Times New Roman" w:hAnsi="Verdana" w:cs="Calibri"/>
          <w:color w:val="000000" w:themeColor="text1"/>
          <w:sz w:val="20"/>
          <w:szCs w:val="20"/>
          <w:lang w:val="es-ES" w:eastAsia="es-MX"/>
        </w:rPr>
        <w:t>,</w:t>
      </w:r>
      <w:r w:rsidRPr="004D0C53">
        <w:rPr>
          <w:rFonts w:ascii="Verdana" w:eastAsia="Times New Roman" w:hAnsi="Verdana" w:cs="Calibri"/>
          <w:color w:val="000000" w:themeColor="text1"/>
          <w:sz w:val="20"/>
          <w:szCs w:val="20"/>
          <w:lang w:val="es-ES" w:eastAsia="es-MX"/>
        </w:rPr>
        <w:t xml:space="preserve"> porque </w:t>
      </w:r>
      <w:r w:rsidR="00DB72CB">
        <w:rPr>
          <w:rFonts w:ascii="Verdana" w:eastAsia="Times New Roman" w:hAnsi="Verdana" w:cs="Calibri"/>
          <w:color w:val="000000" w:themeColor="text1"/>
          <w:sz w:val="20"/>
          <w:szCs w:val="20"/>
          <w:lang w:val="es-ES" w:eastAsia="es-MX"/>
        </w:rPr>
        <w:t xml:space="preserve">ese caso </w:t>
      </w:r>
      <w:r w:rsidRPr="004D0C53">
        <w:rPr>
          <w:rFonts w:ascii="Verdana" w:eastAsia="Times New Roman" w:hAnsi="Verdana" w:cs="Calibri"/>
          <w:color w:val="000000" w:themeColor="text1"/>
          <w:sz w:val="20"/>
          <w:szCs w:val="20"/>
          <w:lang w:val="es-ES" w:eastAsia="es-MX"/>
        </w:rPr>
        <w:t>se insertaba en una serie de casos</w:t>
      </w:r>
      <w:r w:rsidR="0088610F">
        <w:rPr>
          <w:rFonts w:ascii="Verdana" w:eastAsia="Times New Roman" w:hAnsi="Verdana" w:cs="Calibri"/>
          <w:color w:val="000000" w:themeColor="text1"/>
          <w:sz w:val="20"/>
          <w:szCs w:val="20"/>
          <w:lang w:val="es-ES" w:eastAsia="es-MX"/>
        </w:rPr>
        <w:t xml:space="preserve"> </w:t>
      </w:r>
      <w:r w:rsidR="0088610F" w:rsidRPr="004D0C53">
        <w:rPr>
          <w:rFonts w:ascii="Verdana" w:eastAsia="Times New Roman" w:hAnsi="Verdana" w:cs="Calibri"/>
          <w:color w:val="000000" w:themeColor="text1"/>
          <w:sz w:val="20"/>
          <w:szCs w:val="20"/>
          <w:lang w:val="es-ES" w:eastAsia="es-MX"/>
        </w:rPr>
        <w:t xml:space="preserve">(contexto) </w:t>
      </w:r>
      <w:r w:rsidRPr="004D0C53">
        <w:rPr>
          <w:rFonts w:ascii="Verdana" w:eastAsia="Times New Roman" w:hAnsi="Verdana" w:cs="Calibri"/>
          <w:color w:val="000000" w:themeColor="text1"/>
          <w:sz w:val="20"/>
          <w:szCs w:val="20"/>
          <w:lang w:val="es-ES" w:eastAsia="es-MX"/>
        </w:rPr>
        <w:t xml:space="preserve">en donde </w:t>
      </w:r>
      <w:r w:rsidRPr="004D0C53">
        <w:rPr>
          <w:rFonts w:ascii="Verdana" w:eastAsia="Times New Roman" w:hAnsi="Verdana" w:cs="Calibri"/>
          <w:i/>
          <w:iCs/>
          <w:color w:val="000000" w:themeColor="text1"/>
          <w:sz w:val="20"/>
          <w:szCs w:val="20"/>
          <w:lang w:val="es-ES" w:eastAsia="es-MX"/>
        </w:rPr>
        <w:t xml:space="preserve">se ha dado cuenta de la existencia de </w:t>
      </w:r>
      <w:r w:rsidR="003249BE">
        <w:rPr>
          <w:rFonts w:ascii="Verdana" w:eastAsia="Times New Roman" w:hAnsi="Verdana" w:cs="Calibri"/>
          <w:i/>
          <w:iCs/>
          <w:color w:val="000000" w:themeColor="text1"/>
          <w:sz w:val="20"/>
          <w:szCs w:val="20"/>
          <w:lang w:val="es-ES" w:eastAsia="es-MX"/>
        </w:rPr>
        <w:t xml:space="preserve">un </w:t>
      </w:r>
      <w:r w:rsidRPr="004D0C53">
        <w:rPr>
          <w:rFonts w:ascii="Verdana" w:eastAsia="Times New Roman" w:hAnsi="Verdana" w:cs="Calibri"/>
          <w:i/>
          <w:iCs/>
          <w:color w:val="000000" w:themeColor="text1"/>
          <w:sz w:val="20"/>
          <w:szCs w:val="20"/>
          <w:lang w:val="es-ES" w:eastAsia="es-MX"/>
        </w:rPr>
        <w:t>patrón de falta de ejecución de decisiones judiciales que han reconocido derechos a favor de extrabajadores en P</w:t>
      </w:r>
      <w:r w:rsidR="0088610F">
        <w:rPr>
          <w:rFonts w:ascii="Verdana" w:eastAsia="Times New Roman" w:hAnsi="Verdana" w:cs="Calibri"/>
          <w:i/>
          <w:iCs/>
          <w:color w:val="000000" w:themeColor="text1"/>
          <w:sz w:val="20"/>
          <w:szCs w:val="20"/>
          <w:lang w:val="es-ES" w:eastAsia="es-MX"/>
        </w:rPr>
        <w:t>e</w:t>
      </w:r>
      <w:r w:rsidRPr="004D0C53">
        <w:rPr>
          <w:rFonts w:ascii="Verdana" w:eastAsia="Times New Roman" w:hAnsi="Verdana" w:cs="Calibri"/>
          <w:i/>
          <w:iCs/>
          <w:color w:val="000000" w:themeColor="text1"/>
          <w:sz w:val="20"/>
          <w:szCs w:val="20"/>
          <w:lang w:val="es-ES" w:eastAsia="es-MX"/>
        </w:rPr>
        <w:t>r</w:t>
      </w:r>
      <w:r w:rsidR="0088610F">
        <w:rPr>
          <w:rFonts w:ascii="Verdana" w:eastAsia="Times New Roman" w:hAnsi="Verdana" w:cs="Calibri"/>
          <w:i/>
          <w:iCs/>
          <w:color w:val="000000" w:themeColor="text1"/>
          <w:sz w:val="20"/>
          <w:szCs w:val="20"/>
          <w:lang w:val="es-ES" w:eastAsia="es-MX"/>
        </w:rPr>
        <w:t>ú</w:t>
      </w:r>
      <w:r w:rsidRPr="00DB72CB">
        <w:rPr>
          <w:rStyle w:val="FootnoteReference"/>
          <w:rFonts w:ascii="Verdana" w:eastAsia="Times New Roman" w:hAnsi="Verdana" w:cs="Calibri"/>
          <w:color w:val="000000" w:themeColor="text1"/>
          <w:sz w:val="20"/>
          <w:szCs w:val="20"/>
          <w:lang w:val="es-ES" w:eastAsia="es-MX"/>
        </w:rPr>
        <w:footnoteReference w:id="24"/>
      </w:r>
      <w:r w:rsidRPr="004D0C53">
        <w:rPr>
          <w:rFonts w:ascii="Verdana" w:eastAsia="Times New Roman" w:hAnsi="Verdana" w:cs="Calibri"/>
          <w:i/>
          <w:iCs/>
          <w:color w:val="000000" w:themeColor="text1"/>
          <w:sz w:val="20"/>
          <w:szCs w:val="20"/>
          <w:lang w:val="es-ES" w:eastAsia="es-MX"/>
        </w:rPr>
        <w:t xml:space="preserve">. </w:t>
      </w:r>
      <w:r w:rsidRPr="004D0C53">
        <w:rPr>
          <w:rFonts w:ascii="Verdana" w:eastAsia="Times New Roman" w:hAnsi="Verdana" w:cs="Calibri"/>
          <w:color w:val="000000" w:themeColor="text1"/>
          <w:sz w:val="20"/>
          <w:szCs w:val="20"/>
          <w:lang w:val="es-ES" w:eastAsia="es-MX"/>
        </w:rPr>
        <w:t xml:space="preserve">Es decir, las sentencias en contra de un país que aborden temáticas similares también pueden formar parte de los elementos que pueden constituir una prueba contextual. </w:t>
      </w:r>
    </w:p>
    <w:p w14:paraId="1B7EE07D" w14:textId="77777777" w:rsidR="00913875" w:rsidRPr="004D0C53" w:rsidRDefault="00913875" w:rsidP="00913875">
      <w:pPr>
        <w:pStyle w:val="ListParagraph"/>
        <w:rPr>
          <w:rFonts w:ascii="Verdana" w:hAnsi="Verdana" w:cs="Arial"/>
          <w:sz w:val="20"/>
          <w:szCs w:val="20"/>
          <w:lang w:val="es-ES"/>
        </w:rPr>
      </w:pPr>
    </w:p>
    <w:p w14:paraId="04782EC9" w14:textId="4C016528" w:rsidR="00913875" w:rsidRDefault="00913875" w:rsidP="00675D0D">
      <w:pPr>
        <w:pStyle w:val="ListParagraph"/>
        <w:spacing w:after="0" w:line="240" w:lineRule="auto"/>
        <w:ind w:left="0"/>
        <w:jc w:val="both"/>
        <w:rPr>
          <w:rFonts w:ascii="Verdana" w:hAnsi="Verdana" w:cs="Arial"/>
          <w:i/>
          <w:iCs/>
          <w:sz w:val="20"/>
          <w:szCs w:val="20"/>
          <w:lang w:val="es-ES"/>
        </w:rPr>
      </w:pPr>
      <w:r>
        <w:rPr>
          <w:rFonts w:ascii="Verdana" w:hAnsi="Verdana" w:cs="Arial"/>
          <w:sz w:val="20"/>
          <w:szCs w:val="20"/>
          <w:lang w:val="es-ES"/>
        </w:rPr>
        <w:t>2</w:t>
      </w:r>
      <w:r w:rsidR="00D87AFC">
        <w:rPr>
          <w:rFonts w:ascii="Verdana" w:hAnsi="Verdana" w:cs="Arial"/>
          <w:sz w:val="20"/>
          <w:szCs w:val="20"/>
          <w:lang w:val="es-ES"/>
        </w:rPr>
        <w:t>6</w:t>
      </w:r>
      <w:r>
        <w:rPr>
          <w:rFonts w:ascii="Verdana" w:hAnsi="Verdana" w:cs="Arial"/>
          <w:sz w:val="20"/>
          <w:szCs w:val="20"/>
          <w:lang w:val="es-ES"/>
        </w:rPr>
        <w:t xml:space="preserve">. </w:t>
      </w:r>
      <w:r>
        <w:rPr>
          <w:rFonts w:ascii="Verdana" w:hAnsi="Verdana" w:cs="Arial"/>
          <w:sz w:val="20"/>
          <w:szCs w:val="20"/>
          <w:lang w:val="es-ES"/>
        </w:rPr>
        <w:tab/>
      </w:r>
      <w:r w:rsidRPr="004D0C53">
        <w:rPr>
          <w:rFonts w:ascii="Verdana" w:hAnsi="Verdana" w:cs="Arial"/>
          <w:sz w:val="20"/>
          <w:szCs w:val="20"/>
          <w:lang w:val="es-ES"/>
        </w:rPr>
        <w:t xml:space="preserve">Ahora bien, en cuanto a la </w:t>
      </w:r>
      <w:r w:rsidRPr="00DB72CB">
        <w:rPr>
          <w:rFonts w:ascii="Verdana" w:hAnsi="Verdana" w:cs="Arial"/>
          <w:i/>
          <w:iCs/>
          <w:sz w:val="20"/>
          <w:szCs w:val="20"/>
          <w:lang w:val="es-ES"/>
        </w:rPr>
        <w:t>prueba contextual</w:t>
      </w:r>
      <w:r w:rsidR="00DB72CB">
        <w:rPr>
          <w:rFonts w:ascii="Verdana" w:hAnsi="Verdana" w:cs="Arial"/>
          <w:i/>
          <w:iCs/>
          <w:sz w:val="20"/>
          <w:szCs w:val="20"/>
          <w:lang w:val="es-ES"/>
        </w:rPr>
        <w:t>,</w:t>
      </w:r>
      <w:r w:rsidRPr="004D0C53">
        <w:rPr>
          <w:rFonts w:ascii="Verdana" w:hAnsi="Verdana" w:cs="Arial"/>
          <w:sz w:val="20"/>
          <w:szCs w:val="20"/>
          <w:lang w:val="es-ES"/>
        </w:rPr>
        <w:t xml:space="preserve"> la Corte IDH ha externado que, </w:t>
      </w:r>
      <w:r w:rsidRPr="004D0C53">
        <w:rPr>
          <w:rFonts w:ascii="Verdana" w:hAnsi="Verdana" w:cs="Arial"/>
          <w:bCs/>
          <w:sz w:val="20"/>
          <w:szCs w:val="20"/>
          <w:lang w:val="es-ES"/>
        </w:rPr>
        <w:t xml:space="preserve">en el ejercicio de su jurisdicción contenciosa, ha conocido diversos </w:t>
      </w:r>
      <w:r w:rsidRPr="004D0C53">
        <w:rPr>
          <w:rFonts w:ascii="Verdana" w:hAnsi="Verdana" w:cs="Arial"/>
          <w:sz w:val="20"/>
          <w:szCs w:val="20"/>
          <w:lang w:val="es-ES"/>
        </w:rPr>
        <w:t>contextos</w:t>
      </w:r>
      <w:r w:rsidRPr="004D0C53">
        <w:rPr>
          <w:rFonts w:ascii="Verdana" w:hAnsi="Verdana" w:cs="Arial"/>
          <w:bCs/>
          <w:sz w:val="20"/>
          <w:szCs w:val="20"/>
          <w:lang w:val="es-ES"/>
        </w:rPr>
        <w:t xml:space="preserve"> </w:t>
      </w:r>
      <w:r w:rsidRPr="004D0C53">
        <w:rPr>
          <w:rFonts w:ascii="Verdana" w:hAnsi="Verdana" w:cs="Arial"/>
          <w:sz w:val="20"/>
          <w:szCs w:val="20"/>
          <w:lang w:val="es-ES"/>
        </w:rPr>
        <w:t xml:space="preserve">históricos, sociales y políticos </w:t>
      </w:r>
      <w:r w:rsidRPr="004D0C53">
        <w:rPr>
          <w:rFonts w:ascii="Verdana" w:hAnsi="Verdana" w:cs="Arial"/>
          <w:bCs/>
          <w:sz w:val="20"/>
          <w:szCs w:val="20"/>
          <w:lang w:val="es-ES"/>
        </w:rPr>
        <w:t>que permitieron situar los hechos alegados como violatorios de la Convención Americana en el marco de las circunstancias específicas en que ocurrieron</w:t>
      </w:r>
      <w:r w:rsidRPr="004D0C53">
        <w:rPr>
          <w:rStyle w:val="FootnoteReference"/>
          <w:rFonts w:ascii="Verdana" w:hAnsi="Verdana" w:cs="Arial"/>
          <w:bCs/>
          <w:sz w:val="20"/>
          <w:szCs w:val="20"/>
          <w:lang w:val="es-ES"/>
        </w:rPr>
        <w:footnoteReference w:id="25"/>
      </w:r>
      <w:r w:rsidRPr="004D0C53">
        <w:rPr>
          <w:rFonts w:ascii="Verdana" w:hAnsi="Verdana" w:cs="Arial"/>
          <w:bCs/>
          <w:sz w:val="20"/>
          <w:szCs w:val="20"/>
          <w:lang w:val="es-ES"/>
        </w:rPr>
        <w:t xml:space="preserve">. </w:t>
      </w:r>
      <w:r w:rsidRPr="004D0C53">
        <w:rPr>
          <w:rFonts w:ascii="Verdana" w:hAnsi="Verdana" w:cs="Arial"/>
          <w:sz w:val="20"/>
          <w:szCs w:val="20"/>
          <w:lang w:val="es-ES"/>
        </w:rPr>
        <w:t xml:space="preserve">Esta </w:t>
      </w:r>
      <w:r w:rsidRPr="00DB72CB">
        <w:rPr>
          <w:rFonts w:ascii="Verdana" w:hAnsi="Verdana" w:cs="Arial"/>
          <w:i/>
          <w:iCs/>
          <w:sz w:val="20"/>
          <w:szCs w:val="20"/>
          <w:lang w:val="es-ES"/>
        </w:rPr>
        <w:t>prueba contextual</w:t>
      </w:r>
      <w:r w:rsidRPr="004D0C53">
        <w:rPr>
          <w:rFonts w:ascii="Verdana" w:hAnsi="Verdana" w:cs="Arial"/>
          <w:sz w:val="20"/>
          <w:szCs w:val="20"/>
          <w:lang w:val="es-ES"/>
        </w:rPr>
        <w:t xml:space="preserve">, dependiendo del caso, ha sido abordada bajo diferentes ópticas </w:t>
      </w:r>
      <w:r w:rsidR="00D87AFC">
        <w:rPr>
          <w:rFonts w:ascii="Verdana" w:hAnsi="Verdana" w:cs="Arial"/>
          <w:sz w:val="20"/>
          <w:szCs w:val="20"/>
          <w:lang w:val="es-ES"/>
        </w:rPr>
        <w:t>—</w:t>
      </w:r>
      <w:r w:rsidRPr="004D0C53">
        <w:rPr>
          <w:rFonts w:ascii="Verdana" w:hAnsi="Verdana" w:cs="Arial"/>
          <w:sz w:val="20"/>
          <w:szCs w:val="20"/>
          <w:lang w:val="es-ES"/>
        </w:rPr>
        <w:t>o podríamos decir niveles</w:t>
      </w:r>
      <w:r w:rsidR="00D87AFC">
        <w:rPr>
          <w:rFonts w:ascii="Verdana" w:hAnsi="Verdana" w:cs="Arial"/>
          <w:sz w:val="20"/>
          <w:szCs w:val="20"/>
          <w:lang w:val="es-ES"/>
        </w:rPr>
        <w:t>—</w:t>
      </w:r>
      <w:r w:rsidRPr="004D0C53">
        <w:rPr>
          <w:rFonts w:ascii="Verdana" w:hAnsi="Verdana" w:cs="Arial"/>
          <w:sz w:val="20"/>
          <w:szCs w:val="20"/>
          <w:lang w:val="es-ES"/>
        </w:rPr>
        <w:t>:</w:t>
      </w:r>
    </w:p>
    <w:p w14:paraId="3615D8F4" w14:textId="77777777" w:rsidR="00675D0D" w:rsidRPr="00675D0D" w:rsidRDefault="00675D0D" w:rsidP="00DB72CB">
      <w:pPr>
        <w:pStyle w:val="ListParagraph"/>
        <w:rPr>
          <w:lang w:val="es-ES"/>
        </w:rPr>
      </w:pPr>
    </w:p>
    <w:p w14:paraId="60E79BEE" w14:textId="1C22422A" w:rsidR="00913875" w:rsidRPr="00BE54D8" w:rsidRDefault="00913875" w:rsidP="00363551">
      <w:pPr>
        <w:pStyle w:val="ListParagraph"/>
        <w:jc w:val="both"/>
        <w:rPr>
          <w:rFonts w:ascii="Verdana" w:hAnsi="Verdana"/>
          <w:sz w:val="20"/>
          <w:szCs w:val="20"/>
          <w:lang w:val="es-ES"/>
        </w:rPr>
      </w:pPr>
      <w:r w:rsidRPr="00BE54D8">
        <w:rPr>
          <w:rFonts w:ascii="Verdana" w:hAnsi="Verdana"/>
          <w:sz w:val="20"/>
          <w:szCs w:val="20"/>
          <w:lang w:val="es-ES"/>
        </w:rPr>
        <w:t>a) por un lado los casos en los cuales el contexto se ha sustentado en organismos estatales que han documentado las graves violaciones de derechos humanos, como por ejemplo Comisiones de la Verdad</w:t>
      </w:r>
      <w:r w:rsidRPr="00BE54D8">
        <w:rPr>
          <w:rStyle w:val="FootnoteReference"/>
          <w:rFonts w:ascii="Verdana" w:hAnsi="Verdana" w:cs="Arial"/>
          <w:sz w:val="20"/>
          <w:szCs w:val="20"/>
          <w:lang w:val="es-ES"/>
        </w:rPr>
        <w:footnoteReference w:id="26"/>
      </w:r>
      <w:r w:rsidRPr="00BE54D8">
        <w:rPr>
          <w:rFonts w:ascii="Verdana" w:hAnsi="Verdana"/>
          <w:sz w:val="20"/>
          <w:szCs w:val="20"/>
          <w:lang w:val="es-ES"/>
        </w:rPr>
        <w:t xml:space="preserve">, </w:t>
      </w:r>
    </w:p>
    <w:p w14:paraId="69510A1D" w14:textId="77777777" w:rsidR="00DB72CB" w:rsidRPr="00BE54D8" w:rsidRDefault="00DB72CB" w:rsidP="00DB72CB">
      <w:pPr>
        <w:pStyle w:val="ListParagraph"/>
        <w:rPr>
          <w:rFonts w:ascii="Verdana" w:hAnsi="Verdana"/>
          <w:sz w:val="20"/>
          <w:szCs w:val="20"/>
          <w:lang w:val="es-ES"/>
        </w:rPr>
      </w:pPr>
    </w:p>
    <w:p w14:paraId="3055EDAD" w14:textId="77777777" w:rsidR="00913875" w:rsidRPr="00BE54D8" w:rsidRDefault="00913875" w:rsidP="00DB72CB">
      <w:pPr>
        <w:pStyle w:val="ListParagraph"/>
        <w:rPr>
          <w:rFonts w:ascii="Verdana" w:hAnsi="Verdana"/>
          <w:sz w:val="20"/>
          <w:szCs w:val="20"/>
          <w:lang w:val="es-ES"/>
        </w:rPr>
      </w:pPr>
      <w:r w:rsidRPr="00BE54D8">
        <w:rPr>
          <w:rFonts w:ascii="Verdana" w:hAnsi="Verdana"/>
          <w:sz w:val="20"/>
          <w:szCs w:val="20"/>
          <w:lang w:val="es-ES"/>
        </w:rPr>
        <w:t>b) casos en los cuales la Corte IDH se ha abocado a construir un ámbito temporal en el cual se enmarcan las violaciones de derechos humanos</w:t>
      </w:r>
      <w:r w:rsidRPr="00BE54D8">
        <w:rPr>
          <w:rStyle w:val="FootnoteReference"/>
          <w:rFonts w:ascii="Verdana" w:hAnsi="Verdana" w:cs="Arial"/>
          <w:sz w:val="20"/>
          <w:szCs w:val="20"/>
          <w:lang w:val="es-ES"/>
        </w:rPr>
        <w:footnoteReference w:id="27"/>
      </w:r>
      <w:r w:rsidRPr="00BE54D8">
        <w:rPr>
          <w:rFonts w:ascii="Verdana" w:hAnsi="Verdana"/>
          <w:sz w:val="20"/>
          <w:szCs w:val="20"/>
          <w:lang w:val="es-ES"/>
        </w:rPr>
        <w:t xml:space="preserve"> </w:t>
      </w:r>
    </w:p>
    <w:p w14:paraId="6B8BD51F" w14:textId="77777777" w:rsidR="00913875" w:rsidRPr="00BE54D8" w:rsidRDefault="00913875" w:rsidP="00DB72CB">
      <w:pPr>
        <w:pStyle w:val="ListParagraph"/>
        <w:rPr>
          <w:rFonts w:ascii="Verdana" w:hAnsi="Verdana"/>
          <w:sz w:val="20"/>
          <w:szCs w:val="20"/>
          <w:lang w:val="es-ES"/>
        </w:rPr>
      </w:pPr>
    </w:p>
    <w:p w14:paraId="6E7BE6D7" w14:textId="6C928180" w:rsidR="00913875" w:rsidRPr="00BE54D8" w:rsidRDefault="00913875" w:rsidP="00D01A57">
      <w:pPr>
        <w:pStyle w:val="ListParagraph"/>
        <w:jc w:val="both"/>
        <w:rPr>
          <w:rFonts w:ascii="Verdana" w:hAnsi="Verdana"/>
          <w:sz w:val="20"/>
          <w:szCs w:val="20"/>
          <w:lang w:val="es-ES"/>
        </w:rPr>
      </w:pPr>
      <w:r w:rsidRPr="00BE54D8">
        <w:rPr>
          <w:rFonts w:ascii="Verdana" w:hAnsi="Verdana"/>
          <w:sz w:val="20"/>
          <w:szCs w:val="20"/>
          <w:lang w:val="es-ES"/>
        </w:rPr>
        <w:t xml:space="preserve">c) los casos en los cuales las decisiones previas de la Corte IDH dan cuenta de la existencia de patrones de violaciones a derechos humanos, como en el caso </w:t>
      </w:r>
      <w:r w:rsidRPr="00BE54D8">
        <w:rPr>
          <w:rFonts w:ascii="Verdana" w:hAnsi="Verdana"/>
          <w:i/>
          <w:iCs/>
          <w:sz w:val="20"/>
          <w:szCs w:val="20"/>
          <w:lang w:val="es-ES"/>
        </w:rPr>
        <w:t>SUTECASA Vs. Perú</w:t>
      </w:r>
      <w:r w:rsidRPr="00BE54D8">
        <w:rPr>
          <w:rFonts w:ascii="Verdana" w:hAnsi="Verdana"/>
          <w:sz w:val="20"/>
          <w:szCs w:val="20"/>
          <w:lang w:val="es-ES"/>
        </w:rPr>
        <w:t>.</w:t>
      </w:r>
    </w:p>
    <w:p w14:paraId="2253CB8E" w14:textId="77777777" w:rsidR="00913875" w:rsidRPr="004D0C53" w:rsidRDefault="00913875" w:rsidP="00913875">
      <w:pPr>
        <w:pStyle w:val="ListParagraph"/>
        <w:widowControl w:val="0"/>
        <w:tabs>
          <w:tab w:val="left" w:pos="0"/>
        </w:tabs>
        <w:adjustRightInd w:val="0"/>
        <w:ind w:left="708"/>
        <w:jc w:val="both"/>
        <w:rPr>
          <w:rFonts w:ascii="Verdana" w:hAnsi="Verdana" w:cs="Arial"/>
          <w:sz w:val="20"/>
          <w:szCs w:val="20"/>
          <w:lang w:val="es-ES"/>
        </w:rPr>
      </w:pPr>
    </w:p>
    <w:p w14:paraId="4A38681E" w14:textId="0FF1B8F8" w:rsidR="00913875" w:rsidRDefault="00913875" w:rsidP="00913875">
      <w:pPr>
        <w:pStyle w:val="ListParagraph"/>
        <w:widowControl w:val="0"/>
        <w:tabs>
          <w:tab w:val="left" w:pos="0"/>
        </w:tabs>
        <w:adjustRightInd w:val="0"/>
        <w:spacing w:after="0" w:line="240" w:lineRule="auto"/>
        <w:ind w:left="0"/>
        <w:jc w:val="both"/>
        <w:rPr>
          <w:rFonts w:ascii="Verdana" w:hAnsi="Verdana" w:cs="Arial"/>
          <w:sz w:val="20"/>
          <w:szCs w:val="20"/>
          <w:lang w:val="es-ES"/>
        </w:rPr>
      </w:pPr>
      <w:r>
        <w:rPr>
          <w:rFonts w:ascii="Verdana" w:hAnsi="Verdana" w:cs="Arial"/>
          <w:sz w:val="20"/>
          <w:szCs w:val="20"/>
          <w:lang w:val="es-ES"/>
        </w:rPr>
        <w:t>2</w:t>
      </w:r>
      <w:r w:rsidR="00D87AFC">
        <w:rPr>
          <w:rFonts w:ascii="Verdana" w:hAnsi="Verdana" w:cs="Arial"/>
          <w:sz w:val="20"/>
          <w:szCs w:val="20"/>
          <w:lang w:val="es-ES"/>
        </w:rPr>
        <w:t>7</w:t>
      </w:r>
      <w:r>
        <w:rPr>
          <w:rFonts w:ascii="Verdana" w:hAnsi="Verdana" w:cs="Arial"/>
          <w:sz w:val="20"/>
          <w:szCs w:val="20"/>
          <w:lang w:val="es-ES"/>
        </w:rPr>
        <w:t xml:space="preserve">. </w:t>
      </w:r>
      <w:r>
        <w:rPr>
          <w:rFonts w:ascii="Verdana" w:hAnsi="Verdana" w:cs="Arial"/>
          <w:sz w:val="20"/>
          <w:szCs w:val="20"/>
          <w:lang w:val="es-ES"/>
        </w:rPr>
        <w:tab/>
      </w:r>
      <w:r w:rsidRPr="004D0C53">
        <w:rPr>
          <w:rFonts w:ascii="Verdana" w:hAnsi="Verdana" w:cs="Arial"/>
          <w:sz w:val="20"/>
          <w:szCs w:val="20"/>
          <w:lang w:val="es-ES"/>
        </w:rPr>
        <w:t>En to</w:t>
      </w:r>
      <w:r w:rsidR="00DB72CB">
        <w:rPr>
          <w:rFonts w:ascii="Verdana" w:hAnsi="Verdana" w:cs="Arial"/>
          <w:sz w:val="20"/>
          <w:szCs w:val="20"/>
          <w:lang w:val="es-ES"/>
        </w:rPr>
        <w:t>do caso</w:t>
      </w:r>
      <w:r w:rsidRPr="004D0C53">
        <w:rPr>
          <w:rFonts w:ascii="Verdana" w:hAnsi="Verdana" w:cs="Arial"/>
          <w:sz w:val="20"/>
          <w:szCs w:val="20"/>
          <w:lang w:val="es-ES"/>
        </w:rPr>
        <w:t xml:space="preserve">, los </w:t>
      </w:r>
      <w:r w:rsidR="00DB72CB">
        <w:rPr>
          <w:rFonts w:ascii="Verdana" w:hAnsi="Verdana" w:cs="Arial"/>
          <w:sz w:val="20"/>
          <w:szCs w:val="20"/>
          <w:lang w:val="es-ES"/>
        </w:rPr>
        <w:t xml:space="preserve">asuntos </w:t>
      </w:r>
      <w:r w:rsidRPr="004D0C53">
        <w:rPr>
          <w:rFonts w:ascii="Verdana" w:hAnsi="Verdana" w:cs="Arial"/>
          <w:sz w:val="20"/>
          <w:szCs w:val="20"/>
          <w:lang w:val="es-ES"/>
        </w:rPr>
        <w:t>menos complejos son aquellos en los cuales entes estatales han documentado violaciones a derechos humanos (como las Comisiones de la Verdad) y han concluido que la víctima o las víctimas se encontraban inmersas en esas circunstancias en un determinado marco temporal. En principio</w:t>
      </w:r>
      <w:r w:rsidR="00DB72CB">
        <w:rPr>
          <w:rFonts w:ascii="Verdana" w:hAnsi="Verdana" w:cs="Arial"/>
          <w:sz w:val="20"/>
          <w:szCs w:val="20"/>
          <w:lang w:val="es-ES"/>
        </w:rPr>
        <w:t>,</w:t>
      </w:r>
      <w:r w:rsidRPr="004D0C53">
        <w:rPr>
          <w:rFonts w:ascii="Verdana" w:hAnsi="Verdana" w:cs="Arial"/>
          <w:sz w:val="20"/>
          <w:szCs w:val="20"/>
          <w:lang w:val="es-ES"/>
        </w:rPr>
        <w:t xml:space="preserve"> esta documentación realizada por los organismos estatales goza de legitimidad ante la Corte Interamericana </w:t>
      </w:r>
      <w:r w:rsidR="00D87AFC">
        <w:rPr>
          <w:rFonts w:ascii="Verdana" w:hAnsi="Verdana" w:cs="Arial"/>
          <w:sz w:val="20"/>
          <w:szCs w:val="20"/>
          <w:lang w:val="es-ES"/>
        </w:rPr>
        <w:t>—</w:t>
      </w:r>
      <w:r w:rsidRPr="004D0C53">
        <w:rPr>
          <w:rFonts w:ascii="Verdana" w:hAnsi="Verdana" w:cs="Arial"/>
          <w:sz w:val="20"/>
          <w:szCs w:val="20"/>
          <w:lang w:val="es-ES"/>
        </w:rPr>
        <w:t>y por lo tanto se acredita como parte de la prueba contextual</w:t>
      </w:r>
      <w:r w:rsidR="00D87AFC">
        <w:rPr>
          <w:rFonts w:ascii="Verdana" w:hAnsi="Verdana" w:cs="Arial"/>
          <w:sz w:val="20"/>
          <w:szCs w:val="20"/>
          <w:lang w:val="es-ES"/>
        </w:rPr>
        <w:t>—</w:t>
      </w:r>
      <w:r w:rsidRPr="004D0C53">
        <w:rPr>
          <w:rFonts w:ascii="Verdana" w:hAnsi="Verdana" w:cs="Arial"/>
          <w:sz w:val="20"/>
          <w:szCs w:val="20"/>
          <w:lang w:val="es-ES"/>
        </w:rPr>
        <w:t xml:space="preserve"> salvo que </w:t>
      </w:r>
      <w:r w:rsidR="00DB72CB">
        <w:rPr>
          <w:rFonts w:ascii="Verdana" w:hAnsi="Verdana" w:cs="Arial"/>
          <w:sz w:val="20"/>
          <w:szCs w:val="20"/>
          <w:lang w:val="es-ES"/>
        </w:rPr>
        <w:t>el Estado</w:t>
      </w:r>
      <w:r w:rsidRPr="004D0C53">
        <w:rPr>
          <w:rFonts w:ascii="Verdana" w:hAnsi="Verdana" w:cs="Arial"/>
          <w:sz w:val="20"/>
          <w:szCs w:val="20"/>
          <w:lang w:val="es-ES"/>
        </w:rPr>
        <w:t xml:space="preserve"> o la autoridad </w:t>
      </w:r>
      <w:r w:rsidR="00DB72CB">
        <w:rPr>
          <w:rFonts w:ascii="Verdana" w:hAnsi="Verdana" w:cs="Arial"/>
          <w:sz w:val="20"/>
          <w:szCs w:val="20"/>
          <w:lang w:val="es-ES"/>
        </w:rPr>
        <w:t xml:space="preserve">correspondiente </w:t>
      </w:r>
      <w:r w:rsidRPr="004D0C53">
        <w:rPr>
          <w:rFonts w:ascii="Verdana" w:hAnsi="Verdana" w:cs="Arial"/>
          <w:sz w:val="20"/>
          <w:szCs w:val="20"/>
          <w:lang w:val="es-ES"/>
        </w:rPr>
        <w:t>cuestione el contenido del propio informe sobre el esclarecimiento de los hechos</w:t>
      </w:r>
      <w:r w:rsidRPr="0050587A">
        <w:rPr>
          <w:rStyle w:val="FootnoteReference"/>
          <w:rFonts w:ascii="Verdana" w:hAnsi="Verdana" w:cs="Arial"/>
          <w:sz w:val="20"/>
          <w:szCs w:val="20"/>
          <w:lang w:val="es-ES"/>
        </w:rPr>
        <w:footnoteReference w:id="28"/>
      </w:r>
      <w:r w:rsidRPr="0050587A">
        <w:rPr>
          <w:rFonts w:ascii="Verdana" w:hAnsi="Verdana" w:cs="Arial"/>
          <w:sz w:val="20"/>
          <w:szCs w:val="20"/>
          <w:lang w:val="es-ES"/>
        </w:rPr>
        <w:t>.</w:t>
      </w:r>
    </w:p>
    <w:p w14:paraId="705699B2" w14:textId="77777777" w:rsidR="00913875" w:rsidRPr="004D0C53" w:rsidRDefault="00913875" w:rsidP="00913875">
      <w:pPr>
        <w:pStyle w:val="ListParagraph"/>
        <w:widowControl w:val="0"/>
        <w:tabs>
          <w:tab w:val="left" w:pos="0"/>
        </w:tabs>
        <w:adjustRightInd w:val="0"/>
        <w:spacing w:after="0" w:line="240" w:lineRule="auto"/>
        <w:ind w:left="0"/>
        <w:jc w:val="both"/>
        <w:rPr>
          <w:rFonts w:ascii="Verdana" w:hAnsi="Verdana" w:cs="Arial"/>
          <w:sz w:val="20"/>
          <w:szCs w:val="20"/>
          <w:lang w:val="es-ES"/>
        </w:rPr>
      </w:pPr>
    </w:p>
    <w:p w14:paraId="082A323B" w14:textId="6D8CC766" w:rsidR="00913875" w:rsidRPr="00913875" w:rsidRDefault="00913875" w:rsidP="00913875">
      <w:pPr>
        <w:jc w:val="both"/>
        <w:rPr>
          <w:rFonts w:ascii="Verdana" w:hAnsi="Verdana" w:cs="Arial"/>
          <w:i/>
          <w:iCs/>
          <w:sz w:val="20"/>
          <w:szCs w:val="20"/>
          <w:u w:val="single"/>
          <w:lang w:val="es-ES"/>
        </w:rPr>
      </w:pPr>
      <w:r w:rsidRPr="004D0C53">
        <w:rPr>
          <w:rFonts w:ascii="Verdana" w:hAnsi="Verdana" w:cs="Arial"/>
          <w:i/>
          <w:iCs/>
          <w:sz w:val="20"/>
          <w:szCs w:val="20"/>
          <w:u w:val="single"/>
          <w:lang w:val="es-ES"/>
        </w:rPr>
        <w:t>3. La importancia del contexto en este caso</w:t>
      </w:r>
    </w:p>
    <w:p w14:paraId="55D5B31C" w14:textId="3BC66F9A" w:rsidR="00913875" w:rsidRPr="004D0C53" w:rsidRDefault="00913875" w:rsidP="00913875">
      <w:pPr>
        <w:pStyle w:val="ListParagraph"/>
        <w:widowControl w:val="0"/>
        <w:autoSpaceDE w:val="0"/>
        <w:autoSpaceDN w:val="0"/>
        <w:spacing w:after="0" w:line="240" w:lineRule="auto"/>
        <w:ind w:left="0"/>
        <w:contextualSpacing w:val="0"/>
        <w:jc w:val="both"/>
        <w:rPr>
          <w:rFonts w:ascii="Verdana" w:hAnsi="Verdana" w:cs="Arial"/>
          <w:color w:val="000000" w:themeColor="text1"/>
          <w:sz w:val="20"/>
          <w:szCs w:val="20"/>
          <w:shd w:val="clear" w:color="auto" w:fill="FFFFFF"/>
          <w:lang w:val="es-ES"/>
        </w:rPr>
      </w:pPr>
      <w:r>
        <w:rPr>
          <w:rFonts w:ascii="Verdana" w:hAnsi="Verdana" w:cs="Arial"/>
          <w:color w:val="000000" w:themeColor="text1"/>
          <w:sz w:val="20"/>
          <w:szCs w:val="20"/>
          <w:shd w:val="clear" w:color="auto" w:fill="FFFFFF"/>
          <w:lang w:val="es-ES"/>
        </w:rPr>
        <w:t>2</w:t>
      </w:r>
      <w:r w:rsidR="00D87AFC">
        <w:rPr>
          <w:rFonts w:ascii="Verdana" w:hAnsi="Verdana" w:cs="Arial"/>
          <w:color w:val="000000" w:themeColor="text1"/>
          <w:sz w:val="20"/>
          <w:szCs w:val="20"/>
          <w:shd w:val="clear" w:color="auto" w:fill="FFFFFF"/>
          <w:lang w:val="es-ES"/>
        </w:rPr>
        <w:t>8</w:t>
      </w:r>
      <w:r>
        <w:rPr>
          <w:rFonts w:ascii="Verdana" w:hAnsi="Verdana" w:cs="Arial"/>
          <w:color w:val="000000" w:themeColor="text1"/>
          <w:sz w:val="20"/>
          <w:szCs w:val="20"/>
          <w:shd w:val="clear" w:color="auto" w:fill="FFFFFF"/>
          <w:lang w:val="es-ES"/>
        </w:rPr>
        <w:t xml:space="preserve">. </w:t>
      </w:r>
      <w:r>
        <w:rPr>
          <w:rFonts w:ascii="Verdana" w:hAnsi="Verdana" w:cs="Arial"/>
          <w:color w:val="000000" w:themeColor="text1"/>
          <w:sz w:val="20"/>
          <w:szCs w:val="20"/>
          <w:shd w:val="clear" w:color="auto" w:fill="FFFFFF"/>
          <w:lang w:val="es-ES"/>
        </w:rPr>
        <w:tab/>
      </w:r>
      <w:r w:rsidRPr="004D0C53">
        <w:rPr>
          <w:rFonts w:ascii="Verdana" w:hAnsi="Verdana" w:cs="Arial"/>
          <w:color w:val="000000" w:themeColor="text1"/>
          <w:sz w:val="20"/>
          <w:szCs w:val="20"/>
          <w:shd w:val="clear" w:color="auto" w:fill="FFFFFF"/>
          <w:lang w:val="es-ES"/>
        </w:rPr>
        <w:t>Como se ha venido adelantando</w:t>
      </w:r>
      <w:r w:rsidR="00CF737D">
        <w:rPr>
          <w:rFonts w:ascii="Verdana" w:hAnsi="Verdana" w:cs="Arial"/>
          <w:color w:val="000000" w:themeColor="text1"/>
          <w:sz w:val="20"/>
          <w:szCs w:val="20"/>
          <w:shd w:val="clear" w:color="auto" w:fill="FFFFFF"/>
          <w:lang w:val="es-ES"/>
        </w:rPr>
        <w:t>,</w:t>
      </w:r>
      <w:r w:rsidRPr="004D0C53">
        <w:rPr>
          <w:rFonts w:ascii="Verdana" w:hAnsi="Verdana" w:cs="Arial"/>
          <w:color w:val="000000" w:themeColor="text1"/>
          <w:sz w:val="20"/>
          <w:szCs w:val="20"/>
          <w:shd w:val="clear" w:color="auto" w:fill="FFFFFF"/>
          <w:lang w:val="es-ES"/>
        </w:rPr>
        <w:t xml:space="preserve"> el uso de la </w:t>
      </w:r>
      <w:r w:rsidRPr="00CF737D">
        <w:rPr>
          <w:rFonts w:ascii="Verdana" w:hAnsi="Verdana" w:cs="Arial"/>
          <w:i/>
          <w:iCs/>
          <w:color w:val="000000" w:themeColor="text1"/>
          <w:sz w:val="20"/>
          <w:szCs w:val="20"/>
          <w:shd w:val="clear" w:color="auto" w:fill="FFFFFF"/>
          <w:lang w:val="es-ES"/>
        </w:rPr>
        <w:t>prueba contextual</w:t>
      </w:r>
      <w:r w:rsidRPr="004D0C53">
        <w:rPr>
          <w:rFonts w:ascii="Verdana" w:hAnsi="Verdana" w:cs="Arial"/>
          <w:color w:val="000000" w:themeColor="text1"/>
          <w:sz w:val="20"/>
          <w:szCs w:val="20"/>
          <w:shd w:val="clear" w:color="auto" w:fill="FFFFFF"/>
          <w:lang w:val="es-ES"/>
        </w:rPr>
        <w:t xml:space="preserve"> no es ajena a este caso. </w:t>
      </w:r>
      <w:r w:rsidR="00AC3B15">
        <w:rPr>
          <w:rFonts w:ascii="Verdana" w:hAnsi="Verdana" w:cs="Arial"/>
          <w:color w:val="000000" w:themeColor="text1"/>
          <w:sz w:val="20"/>
          <w:szCs w:val="20"/>
          <w:shd w:val="clear" w:color="auto" w:fill="FFFFFF"/>
          <w:lang w:val="es-ES"/>
        </w:rPr>
        <w:t>En e</w:t>
      </w:r>
      <w:r w:rsidR="00D87AFC">
        <w:rPr>
          <w:rFonts w:ascii="Verdana" w:hAnsi="Verdana" w:cs="Arial"/>
          <w:color w:val="000000" w:themeColor="text1"/>
          <w:sz w:val="20"/>
          <w:szCs w:val="20"/>
          <w:shd w:val="clear" w:color="auto" w:fill="FFFFFF"/>
          <w:lang w:val="es-ES"/>
        </w:rPr>
        <w:t xml:space="preserve">l </w:t>
      </w:r>
      <w:r w:rsidR="00D87AFC" w:rsidRPr="00D87AFC">
        <w:rPr>
          <w:rFonts w:ascii="Verdana" w:hAnsi="Verdana" w:cs="Arial"/>
          <w:i/>
          <w:iCs/>
          <w:color w:val="000000" w:themeColor="text1"/>
          <w:sz w:val="20"/>
          <w:szCs w:val="20"/>
          <w:shd w:val="clear" w:color="auto" w:fill="FFFFFF"/>
          <w:lang w:val="es-ES"/>
        </w:rPr>
        <w:t>caso Capriles</w:t>
      </w:r>
      <w:r w:rsidRPr="004D0C53">
        <w:rPr>
          <w:rFonts w:ascii="Verdana" w:hAnsi="Verdana" w:cs="Arial"/>
          <w:color w:val="000000" w:themeColor="text1"/>
          <w:sz w:val="20"/>
          <w:szCs w:val="20"/>
          <w:shd w:val="clear" w:color="auto" w:fill="FFFFFF"/>
          <w:lang w:val="es-ES"/>
        </w:rPr>
        <w:t xml:space="preserve"> cobra especial relevancia su uso ya que muchos de los hechos sobre los cuales </w:t>
      </w:r>
      <w:r w:rsidR="00AC3B15">
        <w:rPr>
          <w:rFonts w:ascii="Verdana" w:hAnsi="Verdana" w:cs="Arial"/>
          <w:color w:val="000000" w:themeColor="text1"/>
          <w:sz w:val="20"/>
          <w:szCs w:val="20"/>
          <w:shd w:val="clear" w:color="auto" w:fill="FFFFFF"/>
          <w:lang w:val="es-ES"/>
        </w:rPr>
        <w:t xml:space="preserve">el </w:t>
      </w:r>
      <w:r w:rsidRPr="004D0C53">
        <w:rPr>
          <w:rFonts w:ascii="Verdana" w:hAnsi="Verdana" w:cs="Arial"/>
          <w:color w:val="000000" w:themeColor="text1"/>
          <w:sz w:val="20"/>
          <w:szCs w:val="20"/>
          <w:shd w:val="clear" w:color="auto" w:fill="FFFFFF"/>
          <w:lang w:val="es-ES"/>
        </w:rPr>
        <w:t>Tribunal Internacional estuvo llamad</w:t>
      </w:r>
      <w:r w:rsidR="00AC3B15">
        <w:rPr>
          <w:rFonts w:ascii="Verdana" w:hAnsi="Verdana" w:cs="Arial"/>
          <w:color w:val="000000" w:themeColor="text1"/>
          <w:sz w:val="20"/>
          <w:szCs w:val="20"/>
          <w:shd w:val="clear" w:color="auto" w:fill="FFFFFF"/>
          <w:lang w:val="es-ES"/>
        </w:rPr>
        <w:t>o</w:t>
      </w:r>
      <w:r w:rsidRPr="004D0C53">
        <w:rPr>
          <w:rFonts w:ascii="Verdana" w:hAnsi="Verdana" w:cs="Arial"/>
          <w:color w:val="000000" w:themeColor="text1"/>
          <w:sz w:val="20"/>
          <w:szCs w:val="20"/>
          <w:shd w:val="clear" w:color="auto" w:fill="FFFFFF"/>
          <w:lang w:val="es-ES"/>
        </w:rPr>
        <w:t xml:space="preserve"> a pronunciarse</w:t>
      </w:r>
      <w:r w:rsidR="00AC3B15">
        <w:rPr>
          <w:rFonts w:ascii="Verdana" w:hAnsi="Verdana" w:cs="Arial"/>
          <w:color w:val="000000" w:themeColor="text1"/>
          <w:sz w:val="20"/>
          <w:szCs w:val="20"/>
          <w:shd w:val="clear" w:color="auto" w:fill="FFFFFF"/>
          <w:lang w:val="es-ES"/>
        </w:rPr>
        <w:t>,</w:t>
      </w:r>
      <w:r w:rsidRPr="004D0C53">
        <w:rPr>
          <w:rFonts w:ascii="Verdana" w:hAnsi="Verdana" w:cs="Arial"/>
          <w:color w:val="000000" w:themeColor="text1"/>
          <w:sz w:val="20"/>
          <w:szCs w:val="20"/>
          <w:shd w:val="clear" w:color="auto" w:fill="FFFFFF"/>
          <w:lang w:val="es-ES"/>
        </w:rPr>
        <w:t xml:space="preserve"> no podría esperarse la existencia de prueba directa, ya sea por la complejidad de generarlos en su momento</w:t>
      </w:r>
      <w:r w:rsidR="00CF737D">
        <w:rPr>
          <w:rFonts w:ascii="Verdana" w:hAnsi="Verdana" w:cs="Arial"/>
          <w:color w:val="000000" w:themeColor="text1"/>
          <w:sz w:val="20"/>
          <w:szCs w:val="20"/>
          <w:shd w:val="clear" w:color="auto" w:fill="FFFFFF"/>
          <w:lang w:val="es-ES"/>
        </w:rPr>
        <w:t>,</w:t>
      </w:r>
      <w:r w:rsidRPr="004D0C53">
        <w:rPr>
          <w:rFonts w:ascii="Verdana" w:hAnsi="Verdana" w:cs="Arial"/>
          <w:color w:val="000000" w:themeColor="text1"/>
          <w:sz w:val="20"/>
          <w:szCs w:val="20"/>
          <w:shd w:val="clear" w:color="auto" w:fill="FFFFFF"/>
          <w:lang w:val="es-ES"/>
        </w:rPr>
        <w:t xml:space="preserve"> como por el transcurso del tiempo</w:t>
      </w:r>
      <w:r w:rsidR="00CF737D">
        <w:rPr>
          <w:rFonts w:ascii="Verdana" w:hAnsi="Verdana" w:cs="Arial"/>
          <w:color w:val="000000" w:themeColor="text1"/>
          <w:sz w:val="20"/>
          <w:szCs w:val="20"/>
          <w:shd w:val="clear" w:color="auto" w:fill="FFFFFF"/>
          <w:lang w:val="es-ES"/>
        </w:rPr>
        <w:t xml:space="preserve">, </w:t>
      </w:r>
      <w:r w:rsidRPr="004D0C53">
        <w:rPr>
          <w:rFonts w:ascii="Verdana" w:hAnsi="Verdana" w:cs="Arial"/>
          <w:color w:val="000000" w:themeColor="text1"/>
          <w:sz w:val="20"/>
          <w:szCs w:val="20"/>
          <w:shd w:val="clear" w:color="auto" w:fill="FFFFFF"/>
          <w:lang w:val="es-ES"/>
        </w:rPr>
        <w:t xml:space="preserve">entre la ocurrencia de los hechos y el momento de la emisión </w:t>
      </w:r>
      <w:r w:rsidRPr="004D0C53">
        <w:rPr>
          <w:rFonts w:ascii="Verdana" w:hAnsi="Verdana" w:cs="Arial"/>
          <w:color w:val="000000" w:themeColor="text1"/>
          <w:sz w:val="20"/>
          <w:szCs w:val="20"/>
          <w:shd w:val="clear" w:color="auto" w:fill="FFFFFF"/>
          <w:lang w:val="es-ES"/>
        </w:rPr>
        <w:lastRenderedPageBreak/>
        <w:t>de la presente sentencia</w:t>
      </w:r>
      <w:r w:rsidR="00AC3B15">
        <w:rPr>
          <w:rFonts w:ascii="Verdana" w:hAnsi="Verdana" w:cs="Arial"/>
          <w:color w:val="000000" w:themeColor="text1"/>
          <w:sz w:val="20"/>
          <w:szCs w:val="20"/>
          <w:shd w:val="clear" w:color="auto" w:fill="FFFFFF"/>
          <w:lang w:val="es-ES"/>
        </w:rPr>
        <w:t>; además de la naturaleza de las violaciones, que implican analizar la actuación del Estado en un proceso electoral, con las complejidades probatorias que ello conlleva.</w:t>
      </w:r>
    </w:p>
    <w:p w14:paraId="5EB66AA7" w14:textId="77777777" w:rsidR="00913875" w:rsidRDefault="00913875" w:rsidP="00913875">
      <w:pPr>
        <w:pStyle w:val="ListParagraph"/>
        <w:widowControl w:val="0"/>
        <w:autoSpaceDE w:val="0"/>
        <w:autoSpaceDN w:val="0"/>
        <w:spacing w:after="0" w:line="240" w:lineRule="auto"/>
        <w:ind w:left="0"/>
        <w:contextualSpacing w:val="0"/>
        <w:jc w:val="both"/>
        <w:rPr>
          <w:rFonts w:ascii="Verdana" w:hAnsi="Verdana" w:cs="Arial"/>
          <w:color w:val="000000" w:themeColor="text1"/>
          <w:sz w:val="20"/>
          <w:szCs w:val="20"/>
          <w:shd w:val="clear" w:color="auto" w:fill="FFFFFF"/>
          <w:lang w:val="es-ES"/>
        </w:rPr>
      </w:pPr>
    </w:p>
    <w:p w14:paraId="3193474A" w14:textId="150EF88D" w:rsidR="00913875" w:rsidRDefault="00913875" w:rsidP="00675D0D">
      <w:pPr>
        <w:pStyle w:val="ListParagraph"/>
        <w:widowControl w:val="0"/>
        <w:autoSpaceDE w:val="0"/>
        <w:autoSpaceDN w:val="0"/>
        <w:spacing w:after="0" w:line="240" w:lineRule="auto"/>
        <w:ind w:left="0"/>
        <w:contextualSpacing w:val="0"/>
        <w:jc w:val="both"/>
        <w:rPr>
          <w:rFonts w:ascii="Verdana" w:hAnsi="Verdana" w:cs="Arial"/>
          <w:color w:val="000000" w:themeColor="text1"/>
          <w:sz w:val="20"/>
          <w:szCs w:val="20"/>
          <w:shd w:val="clear" w:color="auto" w:fill="FFFFFF"/>
          <w:lang w:val="es-ES"/>
        </w:rPr>
      </w:pPr>
      <w:r>
        <w:rPr>
          <w:rFonts w:ascii="Verdana" w:hAnsi="Verdana" w:cs="Arial"/>
          <w:color w:val="000000" w:themeColor="text1"/>
          <w:sz w:val="20"/>
          <w:szCs w:val="20"/>
          <w:shd w:val="clear" w:color="auto" w:fill="FFFFFF"/>
          <w:lang w:val="es-ES"/>
        </w:rPr>
        <w:t>2</w:t>
      </w:r>
      <w:r w:rsidR="00D87AFC">
        <w:rPr>
          <w:rFonts w:ascii="Verdana" w:hAnsi="Verdana" w:cs="Arial"/>
          <w:color w:val="000000" w:themeColor="text1"/>
          <w:sz w:val="20"/>
          <w:szCs w:val="20"/>
          <w:shd w:val="clear" w:color="auto" w:fill="FFFFFF"/>
          <w:lang w:val="es-ES"/>
        </w:rPr>
        <w:t>9</w:t>
      </w:r>
      <w:r>
        <w:rPr>
          <w:rFonts w:ascii="Verdana" w:hAnsi="Verdana" w:cs="Arial"/>
          <w:color w:val="000000" w:themeColor="text1"/>
          <w:sz w:val="20"/>
          <w:szCs w:val="20"/>
          <w:shd w:val="clear" w:color="auto" w:fill="FFFFFF"/>
          <w:lang w:val="es-ES"/>
        </w:rPr>
        <w:t xml:space="preserve">. </w:t>
      </w:r>
      <w:r>
        <w:rPr>
          <w:rFonts w:ascii="Verdana" w:hAnsi="Verdana" w:cs="Arial"/>
          <w:color w:val="000000" w:themeColor="text1"/>
          <w:sz w:val="20"/>
          <w:szCs w:val="20"/>
          <w:shd w:val="clear" w:color="auto" w:fill="FFFFFF"/>
          <w:lang w:val="es-ES"/>
        </w:rPr>
        <w:tab/>
      </w:r>
      <w:r w:rsidRPr="004D0C53">
        <w:rPr>
          <w:rFonts w:ascii="Verdana" w:hAnsi="Verdana" w:cs="Arial"/>
          <w:color w:val="000000" w:themeColor="text1"/>
          <w:sz w:val="20"/>
          <w:szCs w:val="20"/>
          <w:shd w:val="clear" w:color="auto" w:fill="FFFFFF"/>
          <w:lang w:val="es-ES"/>
        </w:rPr>
        <w:t>En</w:t>
      </w:r>
      <w:r w:rsidR="00CF737D">
        <w:rPr>
          <w:rFonts w:ascii="Verdana" w:hAnsi="Verdana" w:cs="Arial"/>
          <w:color w:val="000000" w:themeColor="text1"/>
          <w:sz w:val="20"/>
          <w:szCs w:val="20"/>
          <w:shd w:val="clear" w:color="auto" w:fill="FFFFFF"/>
          <w:lang w:val="es-ES"/>
        </w:rPr>
        <w:t xml:space="preserve"> el presente caso</w:t>
      </w:r>
      <w:r w:rsidR="00AC3B15">
        <w:rPr>
          <w:rFonts w:ascii="Verdana" w:hAnsi="Verdana" w:cs="Arial"/>
          <w:color w:val="000000" w:themeColor="text1"/>
          <w:sz w:val="20"/>
          <w:szCs w:val="20"/>
          <w:shd w:val="clear" w:color="auto" w:fill="FFFFFF"/>
          <w:lang w:val="es-ES"/>
        </w:rPr>
        <w:t>,</w:t>
      </w:r>
      <w:r w:rsidR="00CF737D">
        <w:rPr>
          <w:rFonts w:ascii="Verdana" w:hAnsi="Verdana" w:cs="Arial"/>
          <w:color w:val="000000" w:themeColor="text1"/>
          <w:sz w:val="20"/>
          <w:szCs w:val="20"/>
          <w:shd w:val="clear" w:color="auto" w:fill="FFFFFF"/>
          <w:lang w:val="es-ES"/>
        </w:rPr>
        <w:t xml:space="preserve"> estimo </w:t>
      </w:r>
      <w:r w:rsidR="00AC3B15">
        <w:rPr>
          <w:rFonts w:ascii="Verdana" w:hAnsi="Verdana" w:cs="Arial"/>
          <w:color w:val="000000" w:themeColor="text1"/>
          <w:sz w:val="20"/>
          <w:szCs w:val="20"/>
          <w:shd w:val="clear" w:color="auto" w:fill="FFFFFF"/>
          <w:lang w:val="es-ES"/>
        </w:rPr>
        <w:t xml:space="preserve">que </w:t>
      </w:r>
      <w:r w:rsidRPr="004D0C53">
        <w:rPr>
          <w:rFonts w:ascii="Verdana" w:hAnsi="Verdana" w:cs="Arial"/>
          <w:color w:val="000000" w:themeColor="text1"/>
          <w:sz w:val="20"/>
          <w:szCs w:val="20"/>
          <w:shd w:val="clear" w:color="auto" w:fill="FFFFFF"/>
          <w:lang w:val="es-ES"/>
        </w:rPr>
        <w:t xml:space="preserve">se pone de relieve cómo los procesos de documentación internacional sobre los hechos que ocurren al interior de un Estado son de vital importancia en el futuro, pues contribuyen </w:t>
      </w:r>
      <w:r w:rsidR="00AC3B15">
        <w:rPr>
          <w:rFonts w:ascii="Verdana" w:hAnsi="Verdana" w:cs="Arial"/>
          <w:color w:val="000000" w:themeColor="text1"/>
          <w:sz w:val="20"/>
          <w:szCs w:val="20"/>
          <w:shd w:val="clear" w:color="auto" w:fill="FFFFFF"/>
          <w:lang w:val="es-ES"/>
        </w:rPr>
        <w:t xml:space="preserve">a </w:t>
      </w:r>
      <w:r w:rsidRPr="004D0C53">
        <w:rPr>
          <w:rFonts w:ascii="Verdana" w:hAnsi="Verdana" w:cs="Arial"/>
          <w:color w:val="000000" w:themeColor="text1"/>
          <w:sz w:val="20"/>
          <w:szCs w:val="20"/>
          <w:shd w:val="clear" w:color="auto" w:fill="FFFFFF"/>
          <w:lang w:val="es-ES"/>
        </w:rPr>
        <w:t xml:space="preserve">que un tribunal internacional pueda aproximarse de manera lo más precisa posible a </w:t>
      </w:r>
      <w:r w:rsidR="00CF737D">
        <w:rPr>
          <w:rFonts w:ascii="Verdana" w:hAnsi="Verdana" w:cs="Arial"/>
          <w:color w:val="000000" w:themeColor="text1"/>
          <w:sz w:val="20"/>
          <w:szCs w:val="20"/>
          <w:shd w:val="clear" w:color="auto" w:fill="FFFFFF"/>
          <w:lang w:val="es-ES"/>
        </w:rPr>
        <w:t xml:space="preserve">lo ocurrido </w:t>
      </w:r>
      <w:r w:rsidRPr="004D0C53">
        <w:rPr>
          <w:rFonts w:ascii="Verdana" w:hAnsi="Verdana" w:cs="Arial"/>
          <w:color w:val="000000" w:themeColor="text1"/>
          <w:sz w:val="20"/>
          <w:szCs w:val="20"/>
          <w:shd w:val="clear" w:color="auto" w:fill="FFFFFF"/>
          <w:lang w:val="es-ES"/>
        </w:rPr>
        <w:t xml:space="preserve">realmente al momento de los </w:t>
      </w:r>
      <w:r w:rsidR="00CF737D">
        <w:rPr>
          <w:rFonts w:ascii="Verdana" w:hAnsi="Verdana" w:cs="Arial"/>
          <w:color w:val="000000" w:themeColor="text1"/>
          <w:sz w:val="20"/>
          <w:szCs w:val="20"/>
          <w:shd w:val="clear" w:color="auto" w:fill="FFFFFF"/>
          <w:lang w:val="es-ES"/>
        </w:rPr>
        <w:t>hechos, con</w:t>
      </w:r>
      <w:r w:rsidRPr="004D0C53">
        <w:rPr>
          <w:rFonts w:ascii="Verdana" w:hAnsi="Verdana" w:cs="Arial"/>
          <w:color w:val="000000" w:themeColor="text1"/>
          <w:sz w:val="20"/>
          <w:szCs w:val="20"/>
          <w:shd w:val="clear" w:color="auto" w:fill="FFFFFF"/>
          <w:lang w:val="es-ES"/>
        </w:rPr>
        <w:t xml:space="preserve"> un</w:t>
      </w:r>
      <w:r w:rsidR="00CF737D">
        <w:rPr>
          <w:rFonts w:ascii="Verdana" w:hAnsi="Verdana" w:cs="Arial"/>
          <w:color w:val="000000" w:themeColor="text1"/>
          <w:sz w:val="20"/>
          <w:szCs w:val="20"/>
          <w:shd w:val="clear" w:color="auto" w:fill="FFFFFF"/>
          <w:lang w:val="es-ES"/>
        </w:rPr>
        <w:t xml:space="preserve"> </w:t>
      </w:r>
      <w:r w:rsidRPr="004D0C53">
        <w:rPr>
          <w:rFonts w:ascii="Verdana" w:hAnsi="Verdana" w:cs="Arial"/>
          <w:color w:val="000000" w:themeColor="text1"/>
          <w:sz w:val="20"/>
          <w:szCs w:val="20"/>
          <w:shd w:val="clear" w:color="auto" w:fill="FFFFFF"/>
          <w:lang w:val="es-ES"/>
        </w:rPr>
        <w:t>alto grado de probabilidad. El contexto de</w:t>
      </w:r>
      <w:r w:rsidR="0050587A">
        <w:rPr>
          <w:rFonts w:ascii="Verdana" w:hAnsi="Verdana" w:cs="Arial"/>
          <w:color w:val="000000" w:themeColor="text1"/>
          <w:sz w:val="20"/>
          <w:szCs w:val="20"/>
          <w:shd w:val="clear" w:color="auto" w:fill="FFFFFF"/>
          <w:lang w:val="es-ES"/>
        </w:rPr>
        <w:t xml:space="preserve">l </w:t>
      </w:r>
      <w:r w:rsidR="0050587A" w:rsidRPr="0050587A">
        <w:rPr>
          <w:rFonts w:ascii="Verdana" w:hAnsi="Verdana" w:cs="Arial"/>
          <w:i/>
          <w:iCs/>
          <w:color w:val="000000" w:themeColor="text1"/>
          <w:sz w:val="20"/>
          <w:szCs w:val="20"/>
          <w:shd w:val="clear" w:color="auto" w:fill="FFFFFF"/>
          <w:lang w:val="es-ES"/>
        </w:rPr>
        <w:t>caso Capriles</w:t>
      </w:r>
      <w:r w:rsidRPr="004D0C53">
        <w:rPr>
          <w:rFonts w:ascii="Verdana" w:hAnsi="Verdana" w:cs="Arial"/>
          <w:color w:val="000000" w:themeColor="text1"/>
          <w:sz w:val="20"/>
          <w:szCs w:val="20"/>
          <w:shd w:val="clear" w:color="auto" w:fill="FFFFFF"/>
          <w:lang w:val="es-ES"/>
        </w:rPr>
        <w:t xml:space="preserve"> se construye principalmente desde tres vertientes: los informes de la Comisión Interamericana de Derechos Humanos, los pronunciamientos de Naciones Unidas sobre la situación de los </w:t>
      </w:r>
      <w:r w:rsidR="00CF737D">
        <w:rPr>
          <w:rFonts w:ascii="Verdana" w:hAnsi="Verdana" w:cs="Arial"/>
          <w:color w:val="000000" w:themeColor="text1"/>
          <w:sz w:val="20"/>
          <w:szCs w:val="20"/>
          <w:shd w:val="clear" w:color="auto" w:fill="FFFFFF"/>
          <w:lang w:val="es-ES"/>
        </w:rPr>
        <w:t>D</w:t>
      </w:r>
      <w:r w:rsidRPr="004D0C53">
        <w:rPr>
          <w:rFonts w:ascii="Verdana" w:hAnsi="Verdana" w:cs="Arial"/>
          <w:color w:val="000000" w:themeColor="text1"/>
          <w:sz w:val="20"/>
          <w:szCs w:val="20"/>
          <w:shd w:val="clear" w:color="auto" w:fill="FFFFFF"/>
          <w:lang w:val="es-ES"/>
        </w:rPr>
        <w:t>erechos Humanos en Venezuela</w:t>
      </w:r>
      <w:r w:rsidR="00D87AFC">
        <w:rPr>
          <w:rFonts w:ascii="Verdana" w:hAnsi="Verdana" w:cs="Arial"/>
          <w:color w:val="000000" w:themeColor="text1"/>
          <w:sz w:val="20"/>
          <w:szCs w:val="20"/>
          <w:shd w:val="clear" w:color="auto" w:fill="FFFFFF"/>
          <w:lang w:val="es-ES"/>
        </w:rPr>
        <w:t>,</w:t>
      </w:r>
      <w:r w:rsidRPr="004D0C53">
        <w:rPr>
          <w:rFonts w:ascii="Verdana" w:hAnsi="Verdana" w:cs="Arial"/>
          <w:color w:val="000000" w:themeColor="text1"/>
          <w:sz w:val="20"/>
          <w:szCs w:val="20"/>
          <w:shd w:val="clear" w:color="auto" w:fill="FFFFFF"/>
          <w:lang w:val="es-ES"/>
        </w:rPr>
        <w:t xml:space="preserve"> y las propias sentencias </w:t>
      </w:r>
      <w:r w:rsidR="00CF737D">
        <w:rPr>
          <w:rFonts w:ascii="Verdana" w:hAnsi="Verdana" w:cs="Arial"/>
          <w:color w:val="000000" w:themeColor="text1"/>
          <w:sz w:val="20"/>
          <w:szCs w:val="20"/>
          <w:shd w:val="clear" w:color="auto" w:fill="FFFFFF"/>
          <w:lang w:val="es-ES"/>
        </w:rPr>
        <w:t xml:space="preserve">previas </w:t>
      </w:r>
      <w:r w:rsidRPr="004D0C53">
        <w:rPr>
          <w:rFonts w:ascii="Verdana" w:hAnsi="Verdana" w:cs="Arial"/>
          <w:color w:val="000000" w:themeColor="text1"/>
          <w:sz w:val="20"/>
          <w:szCs w:val="20"/>
          <w:shd w:val="clear" w:color="auto" w:fill="FFFFFF"/>
          <w:lang w:val="es-ES"/>
        </w:rPr>
        <w:t>de la Corte Interamericana</w:t>
      </w:r>
      <w:r w:rsidR="00CF737D">
        <w:rPr>
          <w:rFonts w:ascii="Verdana" w:hAnsi="Verdana" w:cs="Arial"/>
          <w:color w:val="000000" w:themeColor="text1"/>
          <w:sz w:val="20"/>
          <w:szCs w:val="20"/>
          <w:shd w:val="clear" w:color="auto" w:fill="FFFFFF"/>
          <w:lang w:val="es-ES"/>
        </w:rPr>
        <w:t>.</w:t>
      </w:r>
      <w:r w:rsidRPr="004D0C53">
        <w:rPr>
          <w:rFonts w:ascii="Verdana" w:hAnsi="Verdana" w:cs="Arial"/>
          <w:color w:val="000000" w:themeColor="text1"/>
          <w:sz w:val="20"/>
          <w:szCs w:val="20"/>
          <w:shd w:val="clear" w:color="auto" w:fill="FFFFFF"/>
          <w:lang w:val="es-ES"/>
        </w:rPr>
        <w:t xml:space="preserve"> </w:t>
      </w:r>
    </w:p>
    <w:p w14:paraId="63FA640C" w14:textId="77777777" w:rsidR="00675D0D" w:rsidRPr="004D0C53" w:rsidRDefault="00675D0D" w:rsidP="00675D0D">
      <w:pPr>
        <w:pStyle w:val="ListParagraph"/>
        <w:widowControl w:val="0"/>
        <w:autoSpaceDE w:val="0"/>
        <w:autoSpaceDN w:val="0"/>
        <w:spacing w:after="0" w:line="240" w:lineRule="auto"/>
        <w:ind w:left="0"/>
        <w:contextualSpacing w:val="0"/>
        <w:jc w:val="both"/>
        <w:rPr>
          <w:rFonts w:ascii="Verdana" w:hAnsi="Verdana" w:cs="Arial"/>
          <w:color w:val="000000" w:themeColor="text1"/>
          <w:sz w:val="20"/>
          <w:szCs w:val="20"/>
          <w:shd w:val="clear" w:color="auto" w:fill="FFFFFF"/>
          <w:lang w:val="es-ES"/>
        </w:rPr>
      </w:pPr>
    </w:p>
    <w:p w14:paraId="7A22A610" w14:textId="77FEEBF9" w:rsidR="00913875" w:rsidRPr="004D0C53" w:rsidRDefault="00D87AFC" w:rsidP="00913875">
      <w:pPr>
        <w:pStyle w:val="ListParagraph"/>
        <w:widowControl w:val="0"/>
        <w:autoSpaceDE w:val="0"/>
        <w:autoSpaceDN w:val="0"/>
        <w:spacing w:after="0" w:line="240" w:lineRule="auto"/>
        <w:ind w:left="0"/>
        <w:contextualSpacing w:val="0"/>
        <w:jc w:val="both"/>
        <w:rPr>
          <w:rFonts w:ascii="Verdana" w:hAnsi="Verdana" w:cs="Arial"/>
          <w:color w:val="000000" w:themeColor="text1"/>
          <w:sz w:val="20"/>
          <w:szCs w:val="20"/>
          <w:shd w:val="clear" w:color="auto" w:fill="FFFFFF"/>
          <w:lang w:val="es-ES"/>
        </w:rPr>
      </w:pPr>
      <w:r>
        <w:rPr>
          <w:rFonts w:ascii="Verdana" w:hAnsi="Verdana" w:cs="Arial"/>
          <w:color w:val="000000" w:themeColor="text1"/>
          <w:sz w:val="20"/>
          <w:szCs w:val="20"/>
          <w:shd w:val="clear" w:color="auto" w:fill="FFFFFF"/>
          <w:lang w:val="es-ES"/>
        </w:rPr>
        <w:t>30</w:t>
      </w:r>
      <w:r w:rsidR="00913875">
        <w:rPr>
          <w:rFonts w:ascii="Verdana" w:hAnsi="Verdana" w:cs="Arial"/>
          <w:color w:val="000000" w:themeColor="text1"/>
          <w:sz w:val="20"/>
          <w:szCs w:val="20"/>
          <w:shd w:val="clear" w:color="auto" w:fill="FFFFFF"/>
          <w:lang w:val="es-ES"/>
        </w:rPr>
        <w:t xml:space="preserve">. </w:t>
      </w:r>
      <w:r w:rsidR="00913875">
        <w:rPr>
          <w:rFonts w:ascii="Verdana" w:hAnsi="Verdana" w:cs="Arial"/>
          <w:color w:val="000000" w:themeColor="text1"/>
          <w:sz w:val="20"/>
          <w:szCs w:val="20"/>
          <w:shd w:val="clear" w:color="auto" w:fill="FFFFFF"/>
          <w:lang w:val="es-ES"/>
        </w:rPr>
        <w:tab/>
      </w:r>
      <w:r w:rsidR="00913875" w:rsidRPr="004D0C53">
        <w:rPr>
          <w:rFonts w:ascii="Verdana" w:hAnsi="Verdana" w:cs="Arial"/>
          <w:color w:val="000000" w:themeColor="text1"/>
          <w:sz w:val="20"/>
          <w:szCs w:val="20"/>
          <w:shd w:val="clear" w:color="auto" w:fill="FFFFFF"/>
          <w:lang w:val="es-ES"/>
        </w:rPr>
        <w:t xml:space="preserve">Cobra especial relevancia la ardua labor de la Comisión Interamericana de Derechos Humanos en su función de monitoreo (ya sea mediante su monitoreo geográfico o monitoreo por país) para la reconstrucción de marco contextual en el que este caso se inserta. Tal como da cuenta la sentencia, la CIDH había emitido diversos informes y pronunciamientos sobre el </w:t>
      </w:r>
      <w:r w:rsidR="00913875" w:rsidRPr="00CF737D">
        <w:rPr>
          <w:rFonts w:ascii="Verdana" w:hAnsi="Verdana" w:cs="Arial"/>
          <w:i/>
          <w:iCs/>
          <w:color w:val="000000" w:themeColor="text1"/>
          <w:sz w:val="20"/>
          <w:szCs w:val="20"/>
          <w:shd w:val="clear" w:color="auto" w:fill="FFFFFF"/>
          <w:lang w:val="es-ES"/>
        </w:rPr>
        <w:t>gradual debilitamiento de las instituciones internas venezolanas, en especial sobre cómo los tribunales internos estaban siendo asediados por todo el poder del Estado</w:t>
      </w:r>
      <w:r w:rsidR="00913875" w:rsidRPr="004D0C53">
        <w:rPr>
          <w:rFonts w:ascii="Verdana" w:hAnsi="Verdana" w:cs="Arial"/>
          <w:color w:val="000000" w:themeColor="text1"/>
          <w:sz w:val="20"/>
          <w:szCs w:val="20"/>
          <w:shd w:val="clear" w:color="auto" w:fill="FFFFFF"/>
          <w:lang w:val="es-ES"/>
        </w:rPr>
        <w:t>. En particular, la sentencia dio cuenta</w:t>
      </w:r>
      <w:r w:rsidR="00CF737D">
        <w:rPr>
          <w:rFonts w:ascii="Verdana" w:hAnsi="Verdana" w:cs="Arial"/>
          <w:color w:val="000000" w:themeColor="text1"/>
          <w:sz w:val="20"/>
          <w:szCs w:val="20"/>
          <w:shd w:val="clear" w:color="auto" w:fill="FFFFFF"/>
          <w:lang w:val="es-ES"/>
        </w:rPr>
        <w:t xml:space="preserve"> </w:t>
      </w:r>
      <w:r>
        <w:rPr>
          <w:rFonts w:ascii="Verdana" w:hAnsi="Verdana" w:cs="Arial"/>
          <w:color w:val="000000" w:themeColor="text1"/>
          <w:sz w:val="20"/>
          <w:szCs w:val="20"/>
          <w:shd w:val="clear" w:color="auto" w:fill="FFFFFF"/>
          <w:lang w:val="es-ES"/>
        </w:rPr>
        <w:t>—</w:t>
      </w:r>
      <w:r w:rsidR="00913875" w:rsidRPr="004D0C53">
        <w:rPr>
          <w:rFonts w:ascii="Verdana" w:hAnsi="Verdana" w:cs="Arial"/>
          <w:color w:val="000000" w:themeColor="text1"/>
          <w:sz w:val="20"/>
          <w:szCs w:val="20"/>
          <w:shd w:val="clear" w:color="auto" w:fill="FFFFFF"/>
          <w:lang w:val="es-ES"/>
        </w:rPr>
        <w:t>como punto de partida temporal</w:t>
      </w:r>
      <w:r>
        <w:rPr>
          <w:rFonts w:ascii="Verdana" w:hAnsi="Verdana" w:cs="Arial"/>
          <w:color w:val="000000" w:themeColor="text1"/>
          <w:sz w:val="20"/>
          <w:szCs w:val="20"/>
          <w:shd w:val="clear" w:color="auto" w:fill="FFFFFF"/>
          <w:lang w:val="es-ES"/>
        </w:rPr>
        <w:t>—</w:t>
      </w:r>
      <w:r w:rsidR="00913875" w:rsidRPr="004D0C53">
        <w:rPr>
          <w:rFonts w:ascii="Verdana" w:hAnsi="Verdana" w:cs="Arial"/>
          <w:color w:val="000000" w:themeColor="text1"/>
          <w:sz w:val="20"/>
          <w:szCs w:val="20"/>
          <w:shd w:val="clear" w:color="auto" w:fill="FFFFFF"/>
          <w:lang w:val="es-ES"/>
        </w:rPr>
        <w:t xml:space="preserve"> que, al menos, desde 1999, existía ya documentación </w:t>
      </w:r>
      <w:r w:rsidR="00CF737D">
        <w:rPr>
          <w:rFonts w:ascii="Verdana" w:hAnsi="Verdana" w:cs="Arial"/>
          <w:color w:val="000000" w:themeColor="text1"/>
          <w:sz w:val="20"/>
          <w:szCs w:val="20"/>
          <w:shd w:val="clear" w:color="auto" w:fill="FFFFFF"/>
          <w:lang w:val="es-ES"/>
        </w:rPr>
        <w:t xml:space="preserve">por la CIDH </w:t>
      </w:r>
      <w:r w:rsidR="00913875" w:rsidRPr="004D0C53">
        <w:rPr>
          <w:rFonts w:ascii="Verdana" w:hAnsi="Verdana" w:cs="Arial"/>
          <w:color w:val="000000" w:themeColor="text1"/>
          <w:sz w:val="20"/>
          <w:szCs w:val="20"/>
          <w:shd w:val="clear" w:color="auto" w:fill="FFFFFF"/>
          <w:lang w:val="es-ES"/>
        </w:rPr>
        <w:t>que la elección de autoridades internas no era conforme a la Constitución. A estos pronunciamientos siguieron aquellos de los años 2004, 2009, 2010, 2011, 2012 y 2017</w:t>
      </w:r>
      <w:r w:rsidR="00913875" w:rsidRPr="004D0C53">
        <w:rPr>
          <w:rStyle w:val="FootnoteReference"/>
          <w:rFonts w:ascii="Verdana" w:hAnsi="Verdana" w:cs="Arial"/>
          <w:color w:val="000000" w:themeColor="text1"/>
          <w:sz w:val="20"/>
          <w:szCs w:val="20"/>
          <w:shd w:val="clear" w:color="auto" w:fill="FFFFFF"/>
          <w:lang w:val="es-ES"/>
        </w:rPr>
        <w:footnoteReference w:id="29"/>
      </w:r>
      <w:r w:rsidR="00913875" w:rsidRPr="004D0C53">
        <w:rPr>
          <w:rFonts w:ascii="Verdana" w:hAnsi="Verdana" w:cs="Arial"/>
          <w:color w:val="000000" w:themeColor="text1"/>
          <w:sz w:val="20"/>
          <w:szCs w:val="20"/>
          <w:shd w:val="clear" w:color="auto" w:fill="FFFFFF"/>
          <w:lang w:val="es-ES"/>
        </w:rPr>
        <w:t xml:space="preserve">. </w:t>
      </w:r>
    </w:p>
    <w:p w14:paraId="1E49BF42" w14:textId="77777777" w:rsidR="00913875" w:rsidRPr="004D0C53" w:rsidRDefault="00913875" w:rsidP="00913875">
      <w:pPr>
        <w:pStyle w:val="ListParagraph"/>
        <w:rPr>
          <w:rFonts w:ascii="Verdana" w:hAnsi="Verdana" w:cs="Arial"/>
          <w:color w:val="000000" w:themeColor="text1"/>
          <w:sz w:val="20"/>
          <w:szCs w:val="20"/>
          <w:shd w:val="clear" w:color="auto" w:fill="FFFFFF"/>
          <w:lang w:val="es-ES"/>
        </w:rPr>
      </w:pPr>
    </w:p>
    <w:p w14:paraId="0E3AFBCE" w14:textId="29E6BA67" w:rsidR="00913875" w:rsidRPr="004D0C53" w:rsidRDefault="0003172C" w:rsidP="00913875">
      <w:pPr>
        <w:pStyle w:val="ListParagraph"/>
        <w:widowControl w:val="0"/>
        <w:autoSpaceDE w:val="0"/>
        <w:autoSpaceDN w:val="0"/>
        <w:spacing w:after="0" w:line="240" w:lineRule="auto"/>
        <w:ind w:left="0"/>
        <w:contextualSpacing w:val="0"/>
        <w:jc w:val="both"/>
        <w:rPr>
          <w:rFonts w:ascii="Verdana" w:hAnsi="Verdana" w:cs="Arial"/>
          <w:color w:val="000000" w:themeColor="text1"/>
          <w:sz w:val="20"/>
          <w:szCs w:val="20"/>
          <w:shd w:val="clear" w:color="auto" w:fill="FFFFFF"/>
          <w:lang w:val="es-ES"/>
        </w:rPr>
      </w:pPr>
      <w:r>
        <w:rPr>
          <w:rFonts w:ascii="Verdana" w:hAnsi="Verdana" w:cs="Arial"/>
          <w:color w:val="000000" w:themeColor="text1"/>
          <w:sz w:val="20"/>
          <w:szCs w:val="20"/>
          <w:shd w:val="clear" w:color="auto" w:fill="FFFFFF"/>
          <w:lang w:val="es-ES"/>
        </w:rPr>
        <w:t>3</w:t>
      </w:r>
      <w:r w:rsidR="00D87AFC">
        <w:rPr>
          <w:rFonts w:ascii="Verdana" w:hAnsi="Verdana" w:cs="Arial"/>
          <w:color w:val="000000" w:themeColor="text1"/>
          <w:sz w:val="20"/>
          <w:szCs w:val="20"/>
          <w:shd w:val="clear" w:color="auto" w:fill="FFFFFF"/>
          <w:lang w:val="es-ES"/>
        </w:rPr>
        <w:t>1</w:t>
      </w:r>
      <w:r w:rsidR="00913875">
        <w:rPr>
          <w:rFonts w:ascii="Verdana" w:hAnsi="Verdana" w:cs="Arial"/>
          <w:color w:val="000000" w:themeColor="text1"/>
          <w:sz w:val="20"/>
          <w:szCs w:val="20"/>
          <w:shd w:val="clear" w:color="auto" w:fill="FFFFFF"/>
          <w:lang w:val="es-ES"/>
        </w:rPr>
        <w:t xml:space="preserve">. </w:t>
      </w:r>
      <w:r w:rsidR="00913875">
        <w:rPr>
          <w:rFonts w:ascii="Verdana" w:hAnsi="Verdana" w:cs="Arial"/>
          <w:color w:val="000000" w:themeColor="text1"/>
          <w:sz w:val="20"/>
          <w:szCs w:val="20"/>
          <w:shd w:val="clear" w:color="auto" w:fill="FFFFFF"/>
          <w:lang w:val="es-ES"/>
        </w:rPr>
        <w:tab/>
      </w:r>
      <w:r w:rsidR="00913875" w:rsidRPr="004D0C53">
        <w:rPr>
          <w:rFonts w:ascii="Verdana" w:hAnsi="Verdana" w:cs="Arial"/>
          <w:color w:val="000000" w:themeColor="text1"/>
          <w:sz w:val="20"/>
          <w:szCs w:val="20"/>
          <w:shd w:val="clear" w:color="auto" w:fill="FFFFFF"/>
          <w:lang w:val="es-ES"/>
        </w:rPr>
        <w:t xml:space="preserve">En segundo lugar, y de manera concordante, el Comité de Derechos Humanos también había emitido una preocupación similar, al menos, desde el año 2015. Aunado a que también ya existían comunicaciones individuales que estaban siendo estudiadas por el mismo Comité sobre </w:t>
      </w:r>
      <w:r w:rsidR="009D77FC" w:rsidRPr="004D0C53">
        <w:rPr>
          <w:rFonts w:ascii="Verdana" w:hAnsi="Verdana" w:cs="Arial"/>
          <w:color w:val="000000" w:themeColor="text1"/>
          <w:sz w:val="20"/>
          <w:szCs w:val="20"/>
          <w:shd w:val="clear" w:color="auto" w:fill="FFFFFF"/>
          <w:lang w:val="es-ES"/>
        </w:rPr>
        <w:t>esta</w:t>
      </w:r>
      <w:r w:rsidR="00913875" w:rsidRPr="004D0C53">
        <w:rPr>
          <w:rFonts w:ascii="Verdana" w:hAnsi="Verdana" w:cs="Arial"/>
          <w:color w:val="000000" w:themeColor="text1"/>
          <w:sz w:val="20"/>
          <w:szCs w:val="20"/>
          <w:shd w:val="clear" w:color="auto" w:fill="FFFFFF"/>
          <w:lang w:val="es-ES"/>
        </w:rPr>
        <w:t xml:space="preserve"> temática</w:t>
      </w:r>
      <w:r w:rsidR="00913875" w:rsidRPr="004D0C53">
        <w:rPr>
          <w:rStyle w:val="FootnoteReference"/>
          <w:rFonts w:ascii="Verdana" w:hAnsi="Verdana" w:cs="Arial"/>
          <w:color w:val="000000" w:themeColor="text1"/>
          <w:sz w:val="20"/>
          <w:szCs w:val="20"/>
          <w:shd w:val="clear" w:color="auto" w:fill="FFFFFF"/>
          <w:lang w:val="es-ES"/>
        </w:rPr>
        <w:footnoteReference w:id="30"/>
      </w:r>
      <w:r w:rsidR="00913875" w:rsidRPr="004D0C53">
        <w:rPr>
          <w:rFonts w:ascii="Verdana" w:hAnsi="Verdana" w:cs="Arial"/>
          <w:color w:val="000000" w:themeColor="text1"/>
          <w:sz w:val="20"/>
          <w:szCs w:val="20"/>
          <w:shd w:val="clear" w:color="auto" w:fill="FFFFFF"/>
          <w:lang w:val="es-ES"/>
        </w:rPr>
        <w:t xml:space="preserve">. </w:t>
      </w:r>
      <w:r w:rsidR="00FF25B5">
        <w:rPr>
          <w:rFonts w:ascii="Verdana" w:hAnsi="Verdana" w:cs="Arial"/>
          <w:color w:val="000000" w:themeColor="text1"/>
          <w:sz w:val="20"/>
          <w:szCs w:val="20"/>
          <w:shd w:val="clear" w:color="auto" w:fill="FFFFFF"/>
          <w:lang w:val="es-ES"/>
        </w:rPr>
        <w:t xml:space="preserve">También el Alto Comisionado de las Naciones Unidas expresó la práctica de injerencias indebidas a personas juzgadoras, además de </w:t>
      </w:r>
      <w:r w:rsidR="00706540">
        <w:rPr>
          <w:rFonts w:ascii="Verdana" w:hAnsi="Verdana" w:cs="Arial"/>
          <w:color w:val="000000" w:themeColor="text1"/>
          <w:sz w:val="20"/>
          <w:szCs w:val="20"/>
          <w:shd w:val="clear" w:color="auto" w:fill="FFFFFF"/>
          <w:lang w:val="es-ES"/>
        </w:rPr>
        <w:t xml:space="preserve">la </w:t>
      </w:r>
      <w:r w:rsidR="00FF25B5">
        <w:rPr>
          <w:rFonts w:ascii="Verdana" w:hAnsi="Verdana" w:cs="Arial"/>
          <w:color w:val="000000" w:themeColor="text1"/>
          <w:sz w:val="20"/>
          <w:szCs w:val="20"/>
          <w:shd w:val="clear" w:color="auto" w:fill="FFFFFF"/>
          <w:lang w:val="es-ES"/>
        </w:rPr>
        <w:t xml:space="preserve">destitución de jueces sin garantías del debido proceso y </w:t>
      </w:r>
      <w:r w:rsidR="00706540">
        <w:rPr>
          <w:rFonts w:ascii="Verdana" w:hAnsi="Verdana" w:cs="Arial"/>
          <w:color w:val="000000" w:themeColor="text1"/>
          <w:sz w:val="20"/>
          <w:szCs w:val="20"/>
          <w:shd w:val="clear" w:color="auto" w:fill="FFFFFF"/>
          <w:lang w:val="es-ES"/>
        </w:rPr>
        <w:t xml:space="preserve">que </w:t>
      </w:r>
      <w:r w:rsidR="00FF25B5">
        <w:rPr>
          <w:rFonts w:ascii="Verdana" w:hAnsi="Verdana" w:cs="Arial"/>
          <w:color w:val="000000" w:themeColor="text1"/>
          <w:sz w:val="20"/>
          <w:szCs w:val="20"/>
          <w:shd w:val="clear" w:color="auto" w:fill="FFFFFF"/>
          <w:lang w:val="es-ES"/>
        </w:rPr>
        <w:t>no se realizaban concursos transparentes y abiertos para su nombramiento</w:t>
      </w:r>
      <w:r w:rsidR="00FF25B5">
        <w:rPr>
          <w:rStyle w:val="FootnoteReference"/>
          <w:rFonts w:ascii="Verdana" w:hAnsi="Verdana" w:cs="Arial"/>
          <w:color w:val="000000" w:themeColor="text1"/>
          <w:sz w:val="20"/>
          <w:szCs w:val="20"/>
          <w:shd w:val="clear" w:color="auto" w:fill="FFFFFF"/>
          <w:lang w:val="es-ES"/>
        </w:rPr>
        <w:footnoteReference w:id="31"/>
      </w:r>
      <w:r w:rsidR="00FF25B5">
        <w:rPr>
          <w:rFonts w:ascii="Verdana" w:hAnsi="Verdana" w:cs="Arial"/>
          <w:color w:val="000000" w:themeColor="text1"/>
          <w:sz w:val="20"/>
          <w:szCs w:val="20"/>
          <w:shd w:val="clear" w:color="auto" w:fill="FFFFFF"/>
          <w:lang w:val="es-ES"/>
        </w:rPr>
        <w:t>.</w:t>
      </w:r>
    </w:p>
    <w:p w14:paraId="07DAC37D" w14:textId="77777777" w:rsidR="00913875" w:rsidRPr="004D0C53" w:rsidRDefault="00913875" w:rsidP="00913875">
      <w:pPr>
        <w:pStyle w:val="ListParagraph"/>
        <w:rPr>
          <w:rFonts w:ascii="Verdana" w:hAnsi="Verdana" w:cs="Arial"/>
          <w:color w:val="000000" w:themeColor="text1"/>
          <w:sz w:val="20"/>
          <w:szCs w:val="20"/>
          <w:shd w:val="clear" w:color="auto" w:fill="FFFFFF"/>
          <w:lang w:val="es-ES"/>
        </w:rPr>
      </w:pPr>
    </w:p>
    <w:p w14:paraId="6E8A47FB" w14:textId="2BCBB404" w:rsidR="00913875" w:rsidRDefault="0003172C" w:rsidP="00913875">
      <w:pPr>
        <w:pStyle w:val="ListParagraph"/>
        <w:widowControl w:val="0"/>
        <w:autoSpaceDE w:val="0"/>
        <w:autoSpaceDN w:val="0"/>
        <w:spacing w:after="0" w:line="240" w:lineRule="auto"/>
        <w:ind w:left="0"/>
        <w:contextualSpacing w:val="0"/>
        <w:jc w:val="both"/>
        <w:rPr>
          <w:rFonts w:ascii="Verdana" w:hAnsi="Verdana"/>
          <w:i/>
          <w:iCs/>
          <w:sz w:val="20"/>
          <w:szCs w:val="20"/>
          <w:lang w:val="es-ES"/>
        </w:rPr>
      </w:pPr>
      <w:r>
        <w:rPr>
          <w:rFonts w:ascii="Verdana" w:hAnsi="Verdana" w:cs="Arial"/>
          <w:color w:val="000000" w:themeColor="text1"/>
          <w:sz w:val="20"/>
          <w:szCs w:val="20"/>
          <w:shd w:val="clear" w:color="auto" w:fill="FFFFFF"/>
          <w:lang w:val="es-ES"/>
        </w:rPr>
        <w:t>3</w:t>
      </w:r>
      <w:r w:rsidR="00D87AFC">
        <w:rPr>
          <w:rFonts w:ascii="Verdana" w:hAnsi="Verdana" w:cs="Arial"/>
          <w:color w:val="000000" w:themeColor="text1"/>
          <w:sz w:val="20"/>
          <w:szCs w:val="20"/>
          <w:shd w:val="clear" w:color="auto" w:fill="FFFFFF"/>
          <w:lang w:val="es-ES"/>
        </w:rPr>
        <w:t>2</w:t>
      </w:r>
      <w:r w:rsidR="00913875">
        <w:rPr>
          <w:rFonts w:ascii="Verdana" w:hAnsi="Verdana" w:cs="Arial"/>
          <w:color w:val="000000" w:themeColor="text1"/>
          <w:sz w:val="20"/>
          <w:szCs w:val="20"/>
          <w:shd w:val="clear" w:color="auto" w:fill="FFFFFF"/>
          <w:lang w:val="es-ES"/>
        </w:rPr>
        <w:t xml:space="preserve">. </w:t>
      </w:r>
      <w:r w:rsidR="00913875">
        <w:rPr>
          <w:rFonts w:ascii="Verdana" w:hAnsi="Verdana" w:cs="Arial"/>
          <w:color w:val="000000" w:themeColor="text1"/>
          <w:sz w:val="20"/>
          <w:szCs w:val="20"/>
          <w:shd w:val="clear" w:color="auto" w:fill="FFFFFF"/>
          <w:lang w:val="es-ES"/>
        </w:rPr>
        <w:tab/>
      </w:r>
      <w:r w:rsidR="00913875" w:rsidRPr="004D0C53">
        <w:rPr>
          <w:rFonts w:ascii="Verdana" w:hAnsi="Verdana" w:cs="Arial"/>
          <w:color w:val="000000" w:themeColor="text1"/>
          <w:sz w:val="20"/>
          <w:szCs w:val="20"/>
          <w:shd w:val="clear" w:color="auto" w:fill="FFFFFF"/>
          <w:lang w:val="es-ES"/>
        </w:rPr>
        <w:t xml:space="preserve">En tercer lugar, las sentencias interamericanas constituyen cosa juzgada internacional y la documentación, los hechos y las aproximaciones que en ellas se emiten gozan de un estatus especial dentro del </w:t>
      </w:r>
      <w:r w:rsidR="00FF25B5">
        <w:rPr>
          <w:rFonts w:ascii="Verdana" w:hAnsi="Verdana" w:cs="Arial"/>
          <w:color w:val="000000" w:themeColor="text1"/>
          <w:sz w:val="20"/>
          <w:szCs w:val="20"/>
          <w:shd w:val="clear" w:color="auto" w:fill="FFFFFF"/>
          <w:lang w:val="es-ES"/>
        </w:rPr>
        <w:t>d</w:t>
      </w:r>
      <w:r w:rsidR="00913875" w:rsidRPr="004D0C53">
        <w:rPr>
          <w:rFonts w:ascii="Verdana" w:hAnsi="Verdana" w:cs="Arial"/>
          <w:color w:val="000000" w:themeColor="text1"/>
          <w:sz w:val="20"/>
          <w:szCs w:val="20"/>
          <w:shd w:val="clear" w:color="auto" w:fill="FFFFFF"/>
          <w:lang w:val="es-ES"/>
        </w:rPr>
        <w:t xml:space="preserve">erecho </w:t>
      </w:r>
      <w:r w:rsidR="00FF25B5">
        <w:rPr>
          <w:rFonts w:ascii="Verdana" w:hAnsi="Verdana" w:cs="Arial"/>
          <w:color w:val="000000" w:themeColor="text1"/>
          <w:sz w:val="20"/>
          <w:szCs w:val="20"/>
          <w:shd w:val="clear" w:color="auto" w:fill="FFFFFF"/>
          <w:lang w:val="es-ES"/>
        </w:rPr>
        <w:t>i</w:t>
      </w:r>
      <w:r w:rsidR="00913875" w:rsidRPr="004D0C53">
        <w:rPr>
          <w:rFonts w:ascii="Verdana" w:hAnsi="Verdana" w:cs="Arial"/>
          <w:color w:val="000000" w:themeColor="text1"/>
          <w:sz w:val="20"/>
          <w:szCs w:val="20"/>
          <w:shd w:val="clear" w:color="auto" w:fill="FFFFFF"/>
          <w:lang w:val="es-ES"/>
        </w:rPr>
        <w:t>nternacional y</w:t>
      </w:r>
      <w:r w:rsidR="00CF737D">
        <w:rPr>
          <w:rFonts w:ascii="Verdana" w:hAnsi="Verdana" w:cs="Arial"/>
          <w:color w:val="000000" w:themeColor="text1"/>
          <w:sz w:val="20"/>
          <w:szCs w:val="20"/>
          <w:shd w:val="clear" w:color="auto" w:fill="FFFFFF"/>
          <w:lang w:val="es-ES"/>
        </w:rPr>
        <w:t>,</w:t>
      </w:r>
      <w:r w:rsidR="00913875" w:rsidRPr="004D0C53">
        <w:rPr>
          <w:rFonts w:ascii="Verdana" w:hAnsi="Verdana" w:cs="Arial"/>
          <w:color w:val="000000" w:themeColor="text1"/>
          <w:sz w:val="20"/>
          <w:szCs w:val="20"/>
          <w:shd w:val="clear" w:color="auto" w:fill="FFFFFF"/>
          <w:lang w:val="es-ES"/>
        </w:rPr>
        <w:t xml:space="preserve"> en particular, dentro del propio Sistema Interamericano. Como se reseñó en apartados anteriores, la Corte IDH recurre a sus propias sentencias para tener una mayor proximidad a los propios hechos que se ve llamada a analizar. Esto guarda una lógica: si los casos se insertan en un marco temporal, lo </w:t>
      </w:r>
      <w:r w:rsidR="005B2577">
        <w:rPr>
          <w:rFonts w:ascii="Verdana" w:hAnsi="Verdana" w:cs="Arial"/>
          <w:color w:val="000000" w:themeColor="text1"/>
          <w:sz w:val="20"/>
          <w:szCs w:val="20"/>
          <w:shd w:val="clear" w:color="auto" w:fill="FFFFFF"/>
          <w:lang w:val="es-ES"/>
        </w:rPr>
        <w:t>congruente</w:t>
      </w:r>
      <w:r w:rsidR="00913875" w:rsidRPr="004D0C53">
        <w:rPr>
          <w:rFonts w:ascii="Verdana" w:hAnsi="Verdana" w:cs="Arial"/>
          <w:color w:val="000000" w:themeColor="text1"/>
          <w:sz w:val="20"/>
          <w:szCs w:val="20"/>
          <w:shd w:val="clear" w:color="auto" w:fill="FFFFFF"/>
          <w:lang w:val="es-ES"/>
        </w:rPr>
        <w:t xml:space="preserve"> es que los hechos que fueron analizados en sentencias previas también hayan tenido un impacto (directo, indirecto o tangencial) en los hechos que se analizan en sentencias futuras. De este modo, en este caso, la Corte IDH recurrió a sus sentencias de los casos: </w:t>
      </w:r>
      <w:r w:rsidR="00913875" w:rsidRPr="004D0C53">
        <w:rPr>
          <w:rFonts w:ascii="Verdana" w:hAnsi="Verdana"/>
          <w:i/>
          <w:iCs/>
          <w:sz w:val="20"/>
          <w:szCs w:val="20"/>
          <w:lang w:val="es-ES"/>
        </w:rPr>
        <w:t xml:space="preserve">Apitz Barbera y otros (“Corte Primera de lo Contencioso Administrativo”), San Miguel Sosa y otras Vs. Venezuela, </w:t>
      </w:r>
      <w:r w:rsidR="00913875" w:rsidRPr="004D0C53">
        <w:rPr>
          <w:rFonts w:ascii="Verdana" w:hAnsi="Verdana"/>
          <w:i/>
          <w:sz w:val="20"/>
          <w:szCs w:val="20"/>
          <w:lang w:val="es-ES"/>
        </w:rPr>
        <w:t xml:space="preserve">Reverón Trujillo Vs. Venezuela y </w:t>
      </w:r>
      <w:r w:rsidR="00913875" w:rsidRPr="004D0C53">
        <w:rPr>
          <w:rFonts w:ascii="Verdana" w:hAnsi="Verdana"/>
          <w:i/>
          <w:iCs/>
          <w:sz w:val="20"/>
          <w:szCs w:val="20"/>
          <w:lang w:val="es-ES"/>
        </w:rPr>
        <w:t>Caso Chocrón Chocrón</w:t>
      </w:r>
      <w:r w:rsidR="005B2577">
        <w:rPr>
          <w:rFonts w:ascii="Verdana" w:hAnsi="Verdana"/>
          <w:i/>
          <w:iCs/>
          <w:sz w:val="20"/>
          <w:szCs w:val="20"/>
          <w:lang w:val="es-ES"/>
        </w:rPr>
        <w:t xml:space="preserve"> y </w:t>
      </w:r>
      <w:r w:rsidR="005B2577" w:rsidRPr="00E97A77">
        <w:rPr>
          <w:rFonts w:ascii="Verdana" w:hAnsi="Verdana"/>
          <w:i/>
          <w:iCs/>
          <w:sz w:val="20"/>
          <w:szCs w:val="20"/>
          <w:lang w:val="es-ES"/>
        </w:rPr>
        <w:t>Granier y otros (Radiocaracas Televisión) Vs</w:t>
      </w:r>
      <w:r w:rsidR="005B2577">
        <w:rPr>
          <w:rFonts w:ascii="Verdana" w:hAnsi="Verdana"/>
          <w:i/>
          <w:iCs/>
          <w:sz w:val="20"/>
          <w:szCs w:val="20"/>
          <w:lang w:val="es-ES"/>
        </w:rPr>
        <w:t>. Venezuela</w:t>
      </w:r>
      <w:r w:rsidR="00913875" w:rsidRPr="00CF737D">
        <w:rPr>
          <w:rStyle w:val="FootnoteReference"/>
          <w:rFonts w:ascii="Verdana" w:hAnsi="Verdana"/>
          <w:sz w:val="20"/>
          <w:szCs w:val="20"/>
          <w:lang w:val="es-ES"/>
        </w:rPr>
        <w:footnoteReference w:id="32"/>
      </w:r>
      <w:r w:rsidR="00913875" w:rsidRPr="004D0C53">
        <w:rPr>
          <w:rFonts w:ascii="Verdana" w:hAnsi="Verdana"/>
          <w:i/>
          <w:iCs/>
          <w:sz w:val="20"/>
          <w:szCs w:val="20"/>
          <w:lang w:val="es-ES"/>
        </w:rPr>
        <w:t xml:space="preserve">. </w:t>
      </w:r>
    </w:p>
    <w:p w14:paraId="49F86384" w14:textId="77777777" w:rsidR="00913875" w:rsidRPr="004D0C53" w:rsidRDefault="00913875" w:rsidP="00913875">
      <w:pPr>
        <w:pStyle w:val="ListParagraph"/>
        <w:rPr>
          <w:rFonts w:ascii="Verdana" w:hAnsi="Verdana" w:cs="Arial"/>
          <w:color w:val="000000" w:themeColor="text1"/>
          <w:sz w:val="20"/>
          <w:szCs w:val="20"/>
          <w:shd w:val="clear" w:color="auto" w:fill="FFFFFF"/>
          <w:lang w:val="es-ES"/>
        </w:rPr>
      </w:pPr>
    </w:p>
    <w:p w14:paraId="590E9831" w14:textId="662DFEDA" w:rsidR="00913875" w:rsidRPr="004D0C53" w:rsidRDefault="00913875" w:rsidP="00913875">
      <w:pPr>
        <w:pStyle w:val="ListParagraph"/>
        <w:widowControl w:val="0"/>
        <w:autoSpaceDE w:val="0"/>
        <w:autoSpaceDN w:val="0"/>
        <w:spacing w:after="0" w:line="240" w:lineRule="auto"/>
        <w:ind w:left="0"/>
        <w:contextualSpacing w:val="0"/>
        <w:jc w:val="both"/>
        <w:rPr>
          <w:rFonts w:ascii="Verdana" w:hAnsi="Verdana" w:cs="Arial"/>
          <w:color w:val="000000" w:themeColor="text1"/>
          <w:sz w:val="20"/>
          <w:szCs w:val="20"/>
          <w:shd w:val="clear" w:color="auto" w:fill="FFFFFF"/>
          <w:lang w:val="es-ES"/>
        </w:rPr>
      </w:pPr>
      <w:r>
        <w:rPr>
          <w:rFonts w:ascii="Verdana" w:hAnsi="Verdana" w:cs="Arial"/>
          <w:color w:val="000000" w:themeColor="text1"/>
          <w:sz w:val="20"/>
          <w:szCs w:val="20"/>
          <w:shd w:val="clear" w:color="auto" w:fill="FFFFFF"/>
          <w:lang w:val="es-ES"/>
        </w:rPr>
        <w:t>3</w:t>
      </w:r>
      <w:r w:rsidR="00D87AFC">
        <w:rPr>
          <w:rFonts w:ascii="Verdana" w:hAnsi="Verdana" w:cs="Arial"/>
          <w:color w:val="000000" w:themeColor="text1"/>
          <w:sz w:val="20"/>
          <w:szCs w:val="20"/>
          <w:shd w:val="clear" w:color="auto" w:fill="FFFFFF"/>
          <w:lang w:val="es-ES"/>
        </w:rPr>
        <w:t>3</w:t>
      </w:r>
      <w:r>
        <w:rPr>
          <w:rFonts w:ascii="Verdana" w:hAnsi="Verdana" w:cs="Arial"/>
          <w:color w:val="000000" w:themeColor="text1"/>
          <w:sz w:val="20"/>
          <w:szCs w:val="20"/>
          <w:shd w:val="clear" w:color="auto" w:fill="FFFFFF"/>
          <w:lang w:val="es-ES"/>
        </w:rPr>
        <w:t xml:space="preserve">. </w:t>
      </w:r>
      <w:r>
        <w:rPr>
          <w:rFonts w:ascii="Verdana" w:hAnsi="Verdana" w:cs="Arial"/>
          <w:color w:val="000000" w:themeColor="text1"/>
          <w:sz w:val="20"/>
          <w:szCs w:val="20"/>
          <w:shd w:val="clear" w:color="auto" w:fill="FFFFFF"/>
          <w:lang w:val="es-ES"/>
        </w:rPr>
        <w:tab/>
      </w:r>
      <w:r w:rsidRPr="004D0C53">
        <w:rPr>
          <w:rFonts w:ascii="Verdana" w:hAnsi="Verdana" w:cs="Arial"/>
          <w:color w:val="000000" w:themeColor="text1"/>
          <w:sz w:val="20"/>
          <w:szCs w:val="20"/>
          <w:shd w:val="clear" w:color="auto" w:fill="FFFFFF"/>
          <w:lang w:val="es-ES"/>
        </w:rPr>
        <w:t xml:space="preserve">Los insumos antes referidos permitieron concluir a la Corte IDH </w:t>
      </w:r>
      <w:r w:rsidR="00424F27">
        <w:rPr>
          <w:rFonts w:ascii="Verdana" w:hAnsi="Verdana" w:cs="Arial"/>
          <w:color w:val="000000" w:themeColor="text1"/>
          <w:sz w:val="20"/>
          <w:szCs w:val="20"/>
          <w:shd w:val="clear" w:color="auto" w:fill="FFFFFF"/>
          <w:lang w:val="es-ES"/>
        </w:rPr>
        <w:t xml:space="preserve">las siguientes </w:t>
      </w:r>
      <w:r w:rsidRPr="004D0C53">
        <w:rPr>
          <w:rFonts w:ascii="Verdana" w:hAnsi="Verdana" w:cs="Arial"/>
          <w:color w:val="000000" w:themeColor="text1"/>
          <w:sz w:val="20"/>
          <w:szCs w:val="20"/>
          <w:shd w:val="clear" w:color="auto" w:fill="FFFFFF"/>
          <w:lang w:val="es-ES"/>
        </w:rPr>
        <w:t xml:space="preserve">cuestiones: </w:t>
      </w:r>
      <w:r w:rsidR="00424F27">
        <w:rPr>
          <w:rFonts w:ascii="Verdana" w:hAnsi="Verdana" w:cs="Arial"/>
          <w:color w:val="000000" w:themeColor="text1"/>
          <w:sz w:val="20"/>
          <w:szCs w:val="20"/>
          <w:shd w:val="clear" w:color="auto" w:fill="FFFFFF"/>
          <w:lang w:val="es-ES"/>
        </w:rPr>
        <w:t>i</w:t>
      </w:r>
      <w:r w:rsidRPr="004D0C53">
        <w:rPr>
          <w:rFonts w:ascii="Verdana" w:hAnsi="Verdana" w:cs="Arial"/>
          <w:color w:val="000000" w:themeColor="text1"/>
          <w:sz w:val="20"/>
          <w:szCs w:val="20"/>
          <w:shd w:val="clear" w:color="auto" w:fill="FFFFFF"/>
          <w:lang w:val="es-ES"/>
        </w:rPr>
        <w:t>) que al menos desde el año 1999, y en adelante, existía un debilitamiento de las instituciones estatales de impartición de justicia</w:t>
      </w:r>
      <w:r w:rsidR="0088610F">
        <w:rPr>
          <w:rFonts w:ascii="Verdana" w:hAnsi="Verdana" w:cs="Arial"/>
          <w:color w:val="000000" w:themeColor="text1"/>
          <w:sz w:val="20"/>
          <w:szCs w:val="20"/>
          <w:shd w:val="clear" w:color="auto" w:fill="FFFFFF"/>
          <w:lang w:val="es-ES"/>
        </w:rPr>
        <w:t>;</w:t>
      </w:r>
      <w:r w:rsidRPr="004D0C53">
        <w:rPr>
          <w:rFonts w:ascii="Verdana" w:hAnsi="Verdana" w:cs="Arial"/>
          <w:color w:val="000000" w:themeColor="text1"/>
          <w:sz w:val="20"/>
          <w:szCs w:val="20"/>
          <w:shd w:val="clear" w:color="auto" w:fill="FFFFFF"/>
          <w:lang w:val="es-ES"/>
        </w:rPr>
        <w:t xml:space="preserve"> ii) </w:t>
      </w:r>
      <w:r w:rsidR="00424F27">
        <w:rPr>
          <w:rFonts w:ascii="Verdana" w:hAnsi="Verdana" w:cs="Arial"/>
          <w:color w:val="000000" w:themeColor="text1"/>
          <w:sz w:val="20"/>
          <w:szCs w:val="20"/>
          <w:shd w:val="clear" w:color="auto" w:fill="FFFFFF"/>
          <w:lang w:val="es-ES"/>
        </w:rPr>
        <w:t xml:space="preserve">que </w:t>
      </w:r>
      <w:r w:rsidRPr="004D0C53">
        <w:rPr>
          <w:rFonts w:ascii="Verdana" w:hAnsi="Verdana" w:cs="Arial"/>
          <w:color w:val="000000" w:themeColor="text1"/>
          <w:sz w:val="20"/>
          <w:szCs w:val="20"/>
          <w:shd w:val="clear" w:color="auto" w:fill="FFFFFF"/>
          <w:lang w:val="es-ES"/>
        </w:rPr>
        <w:t xml:space="preserve">ya </w:t>
      </w:r>
      <w:r w:rsidR="00424F27">
        <w:rPr>
          <w:rFonts w:ascii="Verdana" w:hAnsi="Verdana" w:cs="Arial"/>
          <w:color w:val="000000" w:themeColor="text1"/>
          <w:sz w:val="20"/>
          <w:szCs w:val="20"/>
          <w:shd w:val="clear" w:color="auto" w:fill="FFFFFF"/>
          <w:lang w:val="es-ES"/>
        </w:rPr>
        <w:t>había</w:t>
      </w:r>
      <w:r w:rsidRPr="004D0C53">
        <w:rPr>
          <w:rFonts w:ascii="Verdana" w:hAnsi="Verdana" w:cs="Arial"/>
          <w:color w:val="000000" w:themeColor="text1"/>
          <w:sz w:val="20"/>
          <w:szCs w:val="20"/>
          <w:shd w:val="clear" w:color="auto" w:fill="FFFFFF"/>
          <w:lang w:val="es-ES"/>
        </w:rPr>
        <w:t xml:space="preserve"> una afectación </w:t>
      </w:r>
      <w:r w:rsidR="00CF737D">
        <w:rPr>
          <w:rFonts w:ascii="Verdana" w:hAnsi="Verdana" w:cs="Arial"/>
          <w:color w:val="000000" w:themeColor="text1"/>
          <w:sz w:val="20"/>
          <w:szCs w:val="20"/>
          <w:shd w:val="clear" w:color="auto" w:fill="FFFFFF"/>
          <w:lang w:val="es-ES"/>
        </w:rPr>
        <w:t xml:space="preserve">a </w:t>
      </w:r>
      <w:r w:rsidRPr="004D0C53">
        <w:rPr>
          <w:rFonts w:ascii="Verdana" w:hAnsi="Verdana"/>
          <w:sz w:val="20"/>
          <w:szCs w:val="20"/>
          <w:lang w:val="es-ES"/>
        </w:rPr>
        <w:t xml:space="preserve">la </w:t>
      </w:r>
      <w:r w:rsidRPr="004D0C53">
        <w:rPr>
          <w:rFonts w:ascii="Verdana" w:hAnsi="Verdana"/>
          <w:sz w:val="20"/>
          <w:szCs w:val="20"/>
          <w:lang w:val="es-ES"/>
        </w:rPr>
        <w:lastRenderedPageBreak/>
        <w:t>independencia e imparcialidad del Poder Judicial en Venezuela, particularmente frente a las falencias en los procesos de nombramiento y remoción de jueces y fiscales, sus altos porcentajes de jueces y fiscales en situación de provisionalidad, y los actos de hostigamiento del Estado frente a ciertas decisiones adoptadas y que eran contrarias a los intereses de los titulares en turno</w:t>
      </w:r>
      <w:r w:rsidR="00FF25B5">
        <w:rPr>
          <w:rFonts w:ascii="Verdana" w:hAnsi="Verdana"/>
          <w:sz w:val="20"/>
          <w:szCs w:val="20"/>
          <w:lang w:val="es-ES"/>
        </w:rPr>
        <w:t>;</w:t>
      </w:r>
      <w:r w:rsidRPr="004D0C53">
        <w:rPr>
          <w:rFonts w:ascii="Verdana" w:hAnsi="Verdana"/>
          <w:sz w:val="20"/>
          <w:szCs w:val="20"/>
          <w:lang w:val="es-ES"/>
        </w:rPr>
        <w:t xml:space="preserve"> iii) </w:t>
      </w:r>
      <w:r w:rsidR="0088610F">
        <w:rPr>
          <w:rFonts w:ascii="Verdana" w:hAnsi="Verdana"/>
          <w:sz w:val="20"/>
          <w:szCs w:val="20"/>
          <w:lang w:val="es-ES"/>
        </w:rPr>
        <w:t xml:space="preserve">que </w:t>
      </w:r>
      <w:r w:rsidRPr="004D0C53">
        <w:rPr>
          <w:rFonts w:ascii="Verdana" w:hAnsi="Verdana"/>
          <w:sz w:val="20"/>
          <w:szCs w:val="20"/>
          <w:lang w:val="es-ES"/>
        </w:rPr>
        <w:t>esto derivaba en un patrón de destitución de jueces</w:t>
      </w:r>
      <w:r w:rsidR="00FF25B5">
        <w:rPr>
          <w:rFonts w:ascii="Verdana" w:hAnsi="Verdana"/>
          <w:sz w:val="20"/>
          <w:szCs w:val="20"/>
          <w:lang w:val="es-ES"/>
        </w:rPr>
        <w:t>;</w:t>
      </w:r>
      <w:r w:rsidR="005B2577">
        <w:rPr>
          <w:rFonts w:ascii="Verdana" w:hAnsi="Verdana"/>
          <w:sz w:val="20"/>
          <w:szCs w:val="20"/>
          <w:lang w:val="es-ES"/>
        </w:rPr>
        <w:t xml:space="preserve"> y iv) que existía un </w:t>
      </w:r>
      <w:r w:rsidR="005B2577" w:rsidRPr="00AE0D38">
        <w:rPr>
          <w:rFonts w:ascii="Verdana" w:hAnsi="Verdana"/>
          <w:i/>
          <w:iCs/>
          <w:sz w:val="20"/>
          <w:szCs w:val="20"/>
          <w:lang w:val="es-ES"/>
        </w:rPr>
        <w:t>desv</w:t>
      </w:r>
      <w:r w:rsidR="002D4F38">
        <w:rPr>
          <w:rFonts w:ascii="Verdana" w:hAnsi="Verdana"/>
          <w:i/>
          <w:iCs/>
          <w:sz w:val="20"/>
          <w:szCs w:val="20"/>
          <w:lang w:val="es-ES"/>
        </w:rPr>
        <w:t>iación</w:t>
      </w:r>
      <w:r w:rsidR="005B2577" w:rsidRPr="00AE0D38">
        <w:rPr>
          <w:rFonts w:ascii="Verdana" w:hAnsi="Verdana"/>
          <w:i/>
          <w:iCs/>
          <w:sz w:val="20"/>
          <w:szCs w:val="20"/>
          <w:lang w:val="es-ES"/>
        </w:rPr>
        <w:t xml:space="preserve"> de poder</w:t>
      </w:r>
      <w:r w:rsidR="005B2577">
        <w:rPr>
          <w:rFonts w:ascii="Verdana" w:hAnsi="Verdana"/>
          <w:sz w:val="20"/>
          <w:szCs w:val="20"/>
          <w:lang w:val="es-ES"/>
        </w:rPr>
        <w:t xml:space="preserve"> en donde se utilizaban las facultades legales para encubrir</w:t>
      </w:r>
      <w:r w:rsidR="002D4F38">
        <w:rPr>
          <w:rFonts w:ascii="Verdana" w:hAnsi="Verdana"/>
          <w:sz w:val="20"/>
          <w:szCs w:val="20"/>
          <w:lang w:val="es-ES"/>
        </w:rPr>
        <w:t xml:space="preserve"> las motivaciones reales </w:t>
      </w:r>
      <w:r w:rsidR="005B2577">
        <w:rPr>
          <w:rFonts w:ascii="Verdana" w:hAnsi="Verdana"/>
          <w:sz w:val="20"/>
          <w:szCs w:val="20"/>
          <w:lang w:val="es-ES"/>
        </w:rPr>
        <w:t xml:space="preserve">que eran declaradas públicamente por funcionarios del Estado. </w:t>
      </w:r>
    </w:p>
    <w:p w14:paraId="1FF17674" w14:textId="77777777" w:rsidR="00913875" w:rsidRPr="004D0C53" w:rsidRDefault="00913875" w:rsidP="00913875">
      <w:pPr>
        <w:pStyle w:val="ListParagraph"/>
        <w:rPr>
          <w:rFonts w:ascii="Verdana" w:hAnsi="Verdana" w:cs="Arial"/>
          <w:color w:val="000000" w:themeColor="text1"/>
          <w:sz w:val="20"/>
          <w:szCs w:val="20"/>
          <w:shd w:val="clear" w:color="auto" w:fill="FFFFFF"/>
          <w:lang w:val="es-ES"/>
        </w:rPr>
      </w:pPr>
    </w:p>
    <w:p w14:paraId="05371FF6" w14:textId="26166032" w:rsidR="005B2577" w:rsidRDefault="00913875" w:rsidP="00913875">
      <w:pPr>
        <w:pStyle w:val="ListParagraph"/>
        <w:widowControl w:val="0"/>
        <w:autoSpaceDE w:val="0"/>
        <w:autoSpaceDN w:val="0"/>
        <w:spacing w:after="0" w:line="240" w:lineRule="auto"/>
        <w:ind w:left="0"/>
        <w:contextualSpacing w:val="0"/>
        <w:jc w:val="both"/>
        <w:rPr>
          <w:rFonts w:ascii="Verdana" w:hAnsi="Verdana" w:cs="Arial"/>
          <w:color w:val="000000" w:themeColor="text1"/>
          <w:sz w:val="20"/>
          <w:szCs w:val="20"/>
          <w:shd w:val="clear" w:color="auto" w:fill="FFFFFF"/>
          <w:lang w:val="es-ES"/>
        </w:rPr>
      </w:pPr>
      <w:r>
        <w:rPr>
          <w:rFonts w:ascii="Verdana" w:hAnsi="Verdana" w:cs="Arial"/>
          <w:color w:val="000000" w:themeColor="text1"/>
          <w:sz w:val="20"/>
          <w:szCs w:val="20"/>
          <w:shd w:val="clear" w:color="auto" w:fill="FFFFFF"/>
          <w:lang w:val="es-ES"/>
        </w:rPr>
        <w:t>3</w:t>
      </w:r>
      <w:r w:rsidR="00AE0D38">
        <w:rPr>
          <w:rFonts w:ascii="Verdana" w:hAnsi="Verdana" w:cs="Arial"/>
          <w:color w:val="000000" w:themeColor="text1"/>
          <w:sz w:val="20"/>
          <w:szCs w:val="20"/>
          <w:shd w:val="clear" w:color="auto" w:fill="FFFFFF"/>
          <w:lang w:val="es-ES"/>
        </w:rPr>
        <w:t>4</w:t>
      </w:r>
      <w:r>
        <w:rPr>
          <w:rFonts w:ascii="Verdana" w:hAnsi="Verdana" w:cs="Arial"/>
          <w:color w:val="000000" w:themeColor="text1"/>
          <w:sz w:val="20"/>
          <w:szCs w:val="20"/>
          <w:shd w:val="clear" w:color="auto" w:fill="FFFFFF"/>
          <w:lang w:val="es-ES"/>
        </w:rPr>
        <w:t xml:space="preserve">. </w:t>
      </w:r>
      <w:r>
        <w:rPr>
          <w:rFonts w:ascii="Verdana" w:hAnsi="Verdana" w:cs="Arial"/>
          <w:color w:val="000000" w:themeColor="text1"/>
          <w:sz w:val="20"/>
          <w:szCs w:val="20"/>
          <w:shd w:val="clear" w:color="auto" w:fill="FFFFFF"/>
          <w:lang w:val="es-ES"/>
        </w:rPr>
        <w:tab/>
      </w:r>
      <w:r w:rsidRPr="004D0C53">
        <w:rPr>
          <w:rFonts w:ascii="Verdana" w:hAnsi="Verdana" w:cs="Arial"/>
          <w:color w:val="000000" w:themeColor="text1"/>
          <w:sz w:val="20"/>
          <w:szCs w:val="20"/>
          <w:shd w:val="clear" w:color="auto" w:fill="FFFFFF"/>
          <w:lang w:val="es-ES"/>
        </w:rPr>
        <w:t xml:space="preserve">Con base </w:t>
      </w:r>
      <w:r w:rsidR="00706540">
        <w:rPr>
          <w:rFonts w:ascii="Verdana" w:hAnsi="Verdana" w:cs="Arial"/>
          <w:color w:val="000000" w:themeColor="text1"/>
          <w:sz w:val="20"/>
          <w:szCs w:val="20"/>
          <w:shd w:val="clear" w:color="auto" w:fill="FFFFFF"/>
          <w:lang w:val="es-ES"/>
        </w:rPr>
        <w:t>en</w:t>
      </w:r>
      <w:r w:rsidRPr="004D0C53">
        <w:rPr>
          <w:rFonts w:ascii="Verdana" w:hAnsi="Verdana" w:cs="Arial"/>
          <w:color w:val="000000" w:themeColor="text1"/>
          <w:sz w:val="20"/>
          <w:szCs w:val="20"/>
          <w:shd w:val="clear" w:color="auto" w:fill="FFFFFF"/>
          <w:lang w:val="es-ES"/>
        </w:rPr>
        <w:t xml:space="preserve"> estas </w:t>
      </w:r>
      <w:r w:rsidR="005B2577">
        <w:rPr>
          <w:rFonts w:ascii="Verdana" w:hAnsi="Verdana" w:cs="Arial"/>
          <w:color w:val="000000" w:themeColor="text1"/>
          <w:sz w:val="20"/>
          <w:szCs w:val="20"/>
          <w:shd w:val="clear" w:color="auto" w:fill="FFFFFF"/>
          <w:lang w:val="es-ES"/>
        </w:rPr>
        <w:t>cuatro</w:t>
      </w:r>
      <w:r w:rsidRPr="004D0C53">
        <w:rPr>
          <w:rFonts w:ascii="Verdana" w:hAnsi="Verdana" w:cs="Arial"/>
          <w:color w:val="000000" w:themeColor="text1"/>
          <w:sz w:val="20"/>
          <w:szCs w:val="20"/>
          <w:shd w:val="clear" w:color="auto" w:fill="FFFFFF"/>
          <w:lang w:val="es-ES"/>
        </w:rPr>
        <w:t xml:space="preserve"> conclusiones, </w:t>
      </w:r>
      <w:r w:rsidR="0088610F">
        <w:rPr>
          <w:rFonts w:ascii="Verdana" w:hAnsi="Verdana" w:cs="Arial"/>
          <w:color w:val="000000" w:themeColor="text1"/>
          <w:sz w:val="20"/>
          <w:szCs w:val="20"/>
          <w:shd w:val="clear" w:color="auto" w:fill="FFFFFF"/>
          <w:lang w:val="es-ES"/>
        </w:rPr>
        <w:t xml:space="preserve">en </w:t>
      </w:r>
      <w:r w:rsidRPr="004D0C53">
        <w:rPr>
          <w:rFonts w:ascii="Verdana" w:hAnsi="Verdana" w:cs="Arial"/>
          <w:color w:val="000000" w:themeColor="text1"/>
          <w:sz w:val="20"/>
          <w:szCs w:val="20"/>
          <w:shd w:val="clear" w:color="auto" w:fill="FFFFFF"/>
          <w:lang w:val="es-ES"/>
        </w:rPr>
        <w:t xml:space="preserve">aquellos casos que sean analizados por este Tribunal Interamericano, que </w:t>
      </w:r>
      <w:r w:rsidR="0088610F">
        <w:rPr>
          <w:rFonts w:ascii="Verdana" w:hAnsi="Verdana" w:cs="Arial"/>
          <w:color w:val="000000" w:themeColor="text1"/>
          <w:sz w:val="20"/>
          <w:szCs w:val="20"/>
          <w:shd w:val="clear" w:color="auto" w:fill="FFFFFF"/>
          <w:lang w:val="es-ES"/>
        </w:rPr>
        <w:t xml:space="preserve">se </w:t>
      </w:r>
      <w:r w:rsidRPr="004D0C53">
        <w:rPr>
          <w:rFonts w:ascii="Verdana" w:hAnsi="Verdana" w:cs="Arial"/>
          <w:color w:val="000000" w:themeColor="text1"/>
          <w:sz w:val="20"/>
          <w:szCs w:val="20"/>
          <w:shd w:val="clear" w:color="auto" w:fill="FFFFFF"/>
          <w:lang w:val="es-ES"/>
        </w:rPr>
        <w:t xml:space="preserve">subsuman </w:t>
      </w:r>
      <w:r w:rsidR="00424F27">
        <w:rPr>
          <w:rFonts w:ascii="Verdana" w:hAnsi="Verdana" w:cs="Arial"/>
          <w:color w:val="000000" w:themeColor="text1"/>
          <w:sz w:val="20"/>
          <w:szCs w:val="20"/>
          <w:shd w:val="clear" w:color="auto" w:fill="FFFFFF"/>
          <w:lang w:val="es-ES"/>
        </w:rPr>
        <w:t xml:space="preserve">en </w:t>
      </w:r>
      <w:r w:rsidRPr="004D0C53">
        <w:rPr>
          <w:rFonts w:ascii="Verdana" w:hAnsi="Verdana" w:cs="Arial"/>
          <w:color w:val="000000" w:themeColor="text1"/>
          <w:sz w:val="20"/>
          <w:szCs w:val="20"/>
          <w:shd w:val="clear" w:color="auto" w:fill="FFFFFF"/>
          <w:lang w:val="es-ES"/>
        </w:rPr>
        <w:t>el intervalo de tiempo acreditado en donde se aleguen posibles afectaciones al acceso a la justicia (y la falta de tutela de derechos)</w:t>
      </w:r>
      <w:r w:rsidR="00706540">
        <w:rPr>
          <w:rFonts w:ascii="Verdana" w:hAnsi="Verdana" w:cs="Arial"/>
          <w:color w:val="000000" w:themeColor="text1"/>
          <w:sz w:val="20"/>
          <w:szCs w:val="20"/>
          <w:shd w:val="clear" w:color="auto" w:fill="FFFFFF"/>
          <w:lang w:val="es-ES"/>
        </w:rPr>
        <w:t>,</w:t>
      </w:r>
      <w:r w:rsidRPr="004D0C53">
        <w:rPr>
          <w:rFonts w:ascii="Verdana" w:hAnsi="Verdana" w:cs="Arial"/>
          <w:color w:val="000000" w:themeColor="text1"/>
          <w:sz w:val="20"/>
          <w:szCs w:val="20"/>
          <w:shd w:val="clear" w:color="auto" w:fill="FFFFFF"/>
          <w:lang w:val="es-ES"/>
        </w:rPr>
        <w:t xml:space="preserve"> existirá una muy alta presunción de que, en efecto, el estudio de esas alegaciones se hicieron por tribunales parciales</w:t>
      </w:r>
      <w:r w:rsidR="00424F27">
        <w:rPr>
          <w:rFonts w:ascii="Verdana" w:hAnsi="Verdana" w:cs="Arial"/>
          <w:color w:val="000000" w:themeColor="text1"/>
          <w:sz w:val="20"/>
          <w:szCs w:val="20"/>
          <w:shd w:val="clear" w:color="auto" w:fill="FFFFFF"/>
          <w:lang w:val="es-ES"/>
        </w:rPr>
        <w:t>;</w:t>
      </w:r>
      <w:r w:rsidRPr="004D0C53">
        <w:rPr>
          <w:rFonts w:ascii="Verdana" w:hAnsi="Verdana" w:cs="Arial"/>
          <w:color w:val="000000" w:themeColor="text1"/>
          <w:sz w:val="20"/>
          <w:szCs w:val="20"/>
          <w:shd w:val="clear" w:color="auto" w:fill="FFFFFF"/>
          <w:lang w:val="es-ES"/>
        </w:rPr>
        <w:t xml:space="preserve"> o que, en su defecto, estaban </w:t>
      </w:r>
      <w:r w:rsidR="00424F27">
        <w:rPr>
          <w:rFonts w:ascii="Verdana" w:hAnsi="Verdana" w:cs="Arial"/>
          <w:color w:val="000000" w:themeColor="text1"/>
          <w:sz w:val="20"/>
          <w:szCs w:val="20"/>
          <w:shd w:val="clear" w:color="auto" w:fill="FFFFFF"/>
          <w:lang w:val="es-ES"/>
        </w:rPr>
        <w:t>—</w:t>
      </w:r>
      <w:r w:rsidRPr="004D0C53">
        <w:rPr>
          <w:rFonts w:ascii="Verdana" w:hAnsi="Verdana" w:cs="Arial"/>
          <w:color w:val="000000" w:themeColor="text1"/>
          <w:sz w:val="20"/>
          <w:szCs w:val="20"/>
          <w:shd w:val="clear" w:color="auto" w:fill="FFFFFF"/>
          <w:lang w:val="es-ES"/>
        </w:rPr>
        <w:t xml:space="preserve">o </w:t>
      </w:r>
      <w:r w:rsidR="00CF737D">
        <w:rPr>
          <w:rFonts w:ascii="Verdana" w:hAnsi="Verdana" w:cs="Arial"/>
          <w:color w:val="000000" w:themeColor="text1"/>
          <w:sz w:val="20"/>
          <w:szCs w:val="20"/>
          <w:shd w:val="clear" w:color="auto" w:fill="FFFFFF"/>
          <w:lang w:val="es-ES"/>
        </w:rPr>
        <w:t>están</w:t>
      </w:r>
      <w:r w:rsidR="00424F27">
        <w:rPr>
          <w:rFonts w:ascii="Verdana" w:hAnsi="Verdana" w:cs="Arial"/>
          <w:color w:val="000000" w:themeColor="text1"/>
          <w:sz w:val="20"/>
          <w:szCs w:val="20"/>
          <w:shd w:val="clear" w:color="auto" w:fill="FFFFFF"/>
          <w:lang w:val="es-ES"/>
        </w:rPr>
        <w:t>—</w:t>
      </w:r>
      <w:r w:rsidRPr="004D0C53">
        <w:rPr>
          <w:rFonts w:ascii="Verdana" w:hAnsi="Verdana" w:cs="Arial"/>
          <w:color w:val="000000" w:themeColor="text1"/>
          <w:sz w:val="20"/>
          <w:szCs w:val="20"/>
          <w:shd w:val="clear" w:color="auto" w:fill="FFFFFF"/>
          <w:lang w:val="es-ES"/>
        </w:rPr>
        <w:t xml:space="preserve"> siendo presionados externamente por el </w:t>
      </w:r>
      <w:r w:rsidR="00424F27">
        <w:rPr>
          <w:rFonts w:ascii="Verdana" w:hAnsi="Verdana" w:cs="Arial"/>
          <w:color w:val="000000" w:themeColor="text1"/>
          <w:sz w:val="20"/>
          <w:szCs w:val="20"/>
          <w:shd w:val="clear" w:color="auto" w:fill="FFFFFF"/>
          <w:lang w:val="es-ES"/>
        </w:rPr>
        <w:t>Poder Ejecutivo o por otro Poder u órgano estatal</w:t>
      </w:r>
      <w:r w:rsidRPr="004D0C53">
        <w:rPr>
          <w:rFonts w:ascii="Verdana" w:hAnsi="Verdana" w:cs="Arial"/>
          <w:color w:val="000000" w:themeColor="text1"/>
          <w:sz w:val="20"/>
          <w:szCs w:val="20"/>
          <w:shd w:val="clear" w:color="auto" w:fill="FFFFFF"/>
          <w:lang w:val="es-ES"/>
        </w:rPr>
        <w:t xml:space="preserve">, </w:t>
      </w:r>
      <w:r w:rsidR="00FF25B5">
        <w:rPr>
          <w:rFonts w:ascii="Verdana" w:hAnsi="Verdana" w:cs="Arial"/>
          <w:color w:val="000000" w:themeColor="text1"/>
          <w:sz w:val="20"/>
          <w:szCs w:val="20"/>
          <w:shd w:val="clear" w:color="auto" w:fill="FFFFFF"/>
          <w:lang w:val="es-ES"/>
        </w:rPr>
        <w:t xml:space="preserve">y </w:t>
      </w:r>
      <w:r w:rsidRPr="004D0C53">
        <w:rPr>
          <w:rFonts w:ascii="Verdana" w:hAnsi="Verdana" w:cs="Arial"/>
          <w:color w:val="000000" w:themeColor="text1"/>
          <w:sz w:val="20"/>
          <w:szCs w:val="20"/>
          <w:shd w:val="clear" w:color="auto" w:fill="FFFFFF"/>
          <w:lang w:val="es-ES"/>
        </w:rPr>
        <w:t>en vista de ello, el apartado institucional judicial resultaba ilusorio.</w:t>
      </w:r>
      <w:r w:rsidR="005B2577">
        <w:rPr>
          <w:rFonts w:ascii="Verdana" w:hAnsi="Verdana" w:cs="Arial"/>
          <w:color w:val="000000" w:themeColor="text1"/>
          <w:sz w:val="20"/>
          <w:szCs w:val="20"/>
          <w:shd w:val="clear" w:color="auto" w:fill="FFFFFF"/>
          <w:lang w:val="es-ES"/>
        </w:rPr>
        <w:t xml:space="preserve"> </w:t>
      </w:r>
    </w:p>
    <w:p w14:paraId="4157470C" w14:textId="77777777" w:rsidR="005B2577" w:rsidRDefault="005B2577" w:rsidP="00913875">
      <w:pPr>
        <w:pStyle w:val="ListParagraph"/>
        <w:widowControl w:val="0"/>
        <w:autoSpaceDE w:val="0"/>
        <w:autoSpaceDN w:val="0"/>
        <w:spacing w:after="0" w:line="240" w:lineRule="auto"/>
        <w:ind w:left="0"/>
        <w:contextualSpacing w:val="0"/>
        <w:jc w:val="both"/>
        <w:rPr>
          <w:rFonts w:ascii="Verdana" w:hAnsi="Verdana" w:cs="Arial"/>
          <w:color w:val="000000" w:themeColor="text1"/>
          <w:sz w:val="20"/>
          <w:szCs w:val="20"/>
          <w:shd w:val="clear" w:color="auto" w:fill="FFFFFF"/>
          <w:lang w:val="es-ES"/>
        </w:rPr>
      </w:pPr>
    </w:p>
    <w:p w14:paraId="53C34DF1" w14:textId="07DF0B79" w:rsidR="00913875" w:rsidRPr="00042C7D" w:rsidRDefault="005B2577" w:rsidP="006F74F5">
      <w:pPr>
        <w:pStyle w:val="ListParagraph"/>
        <w:widowControl w:val="0"/>
        <w:autoSpaceDE w:val="0"/>
        <w:autoSpaceDN w:val="0"/>
        <w:spacing w:after="0" w:line="240" w:lineRule="auto"/>
        <w:ind w:left="0"/>
        <w:contextualSpacing w:val="0"/>
        <w:jc w:val="both"/>
        <w:rPr>
          <w:rFonts w:ascii="Verdana" w:hAnsi="Verdana"/>
          <w:sz w:val="20"/>
          <w:szCs w:val="20"/>
          <w:lang w:val="es-ES"/>
        </w:rPr>
      </w:pPr>
      <w:r>
        <w:rPr>
          <w:rFonts w:ascii="Verdana" w:hAnsi="Verdana"/>
          <w:sz w:val="20"/>
          <w:szCs w:val="20"/>
          <w:lang w:val="es-ES"/>
        </w:rPr>
        <w:t>3</w:t>
      </w:r>
      <w:r w:rsidR="00AE0D38">
        <w:rPr>
          <w:rFonts w:ascii="Verdana" w:hAnsi="Verdana"/>
          <w:sz w:val="20"/>
          <w:szCs w:val="20"/>
          <w:lang w:val="es-ES"/>
        </w:rPr>
        <w:t>5</w:t>
      </w:r>
      <w:r>
        <w:rPr>
          <w:rFonts w:ascii="Verdana" w:hAnsi="Verdana"/>
          <w:sz w:val="20"/>
          <w:szCs w:val="20"/>
          <w:lang w:val="es-ES"/>
        </w:rPr>
        <w:t xml:space="preserve">. </w:t>
      </w:r>
      <w:r w:rsidR="00520C2E">
        <w:rPr>
          <w:rFonts w:ascii="Verdana" w:hAnsi="Verdana"/>
          <w:sz w:val="20"/>
          <w:szCs w:val="20"/>
          <w:lang w:val="es-ES"/>
        </w:rPr>
        <w:tab/>
      </w:r>
      <w:r>
        <w:rPr>
          <w:rFonts w:ascii="Verdana" w:hAnsi="Verdana"/>
          <w:sz w:val="20"/>
          <w:szCs w:val="20"/>
          <w:lang w:val="es-ES"/>
        </w:rPr>
        <w:t>Por otro lado, aunque la sentencia no l</w:t>
      </w:r>
      <w:r w:rsidR="00520C2E">
        <w:rPr>
          <w:rFonts w:ascii="Verdana" w:hAnsi="Verdana"/>
          <w:sz w:val="20"/>
          <w:szCs w:val="20"/>
          <w:lang w:val="es-ES"/>
        </w:rPr>
        <w:t>o</w:t>
      </w:r>
      <w:r>
        <w:rPr>
          <w:rFonts w:ascii="Verdana" w:hAnsi="Verdana"/>
          <w:sz w:val="20"/>
          <w:szCs w:val="20"/>
          <w:lang w:val="es-ES"/>
        </w:rPr>
        <w:t xml:space="preserve"> menciona, no debe pasar </w:t>
      </w:r>
      <w:r w:rsidR="002D4F38">
        <w:rPr>
          <w:rFonts w:ascii="Verdana" w:hAnsi="Verdana"/>
          <w:sz w:val="20"/>
          <w:szCs w:val="20"/>
          <w:lang w:val="es-ES"/>
        </w:rPr>
        <w:t>inadvertido</w:t>
      </w:r>
      <w:r>
        <w:rPr>
          <w:rFonts w:ascii="Verdana" w:hAnsi="Verdana"/>
          <w:sz w:val="20"/>
          <w:szCs w:val="20"/>
          <w:lang w:val="es-ES"/>
        </w:rPr>
        <w:t xml:space="preserve"> que</w:t>
      </w:r>
      <w:r w:rsidR="00107241">
        <w:rPr>
          <w:rFonts w:ascii="Verdana" w:hAnsi="Verdana"/>
          <w:sz w:val="20"/>
          <w:szCs w:val="20"/>
          <w:lang w:val="es-ES"/>
        </w:rPr>
        <w:t xml:space="preserve"> este escenario político e institucional en Venezuela, estaba inserto </w:t>
      </w:r>
      <w:r w:rsidR="002D4F38">
        <w:rPr>
          <w:rFonts w:ascii="Verdana" w:hAnsi="Verdana"/>
          <w:sz w:val="20"/>
          <w:szCs w:val="20"/>
          <w:lang w:val="es-ES"/>
        </w:rPr>
        <w:t xml:space="preserve">desde </w:t>
      </w:r>
      <w:r w:rsidR="00FF25B5">
        <w:rPr>
          <w:rFonts w:ascii="Verdana" w:hAnsi="Verdana"/>
          <w:sz w:val="20"/>
          <w:szCs w:val="20"/>
          <w:lang w:val="es-ES"/>
        </w:rPr>
        <w:t xml:space="preserve">los hechos que motivaron </w:t>
      </w:r>
      <w:r w:rsidR="00107241">
        <w:rPr>
          <w:rFonts w:ascii="Verdana" w:hAnsi="Verdana"/>
          <w:sz w:val="20"/>
          <w:szCs w:val="20"/>
          <w:lang w:val="es-ES"/>
        </w:rPr>
        <w:t xml:space="preserve">el </w:t>
      </w:r>
      <w:r w:rsidR="00107241" w:rsidRPr="006F74F5">
        <w:rPr>
          <w:rFonts w:ascii="Verdana" w:hAnsi="Verdana"/>
          <w:i/>
          <w:iCs/>
          <w:sz w:val="20"/>
          <w:szCs w:val="20"/>
          <w:lang w:val="es-ES"/>
        </w:rPr>
        <w:t>caso Brewer Car</w:t>
      </w:r>
      <w:r w:rsidR="006F74F5">
        <w:rPr>
          <w:rFonts w:ascii="Verdana" w:hAnsi="Verdana"/>
          <w:i/>
          <w:iCs/>
          <w:sz w:val="20"/>
          <w:szCs w:val="20"/>
          <w:lang w:val="es-ES"/>
        </w:rPr>
        <w:t>í</w:t>
      </w:r>
      <w:r w:rsidR="00107241" w:rsidRPr="006F74F5">
        <w:rPr>
          <w:rFonts w:ascii="Verdana" w:hAnsi="Verdana"/>
          <w:i/>
          <w:iCs/>
          <w:sz w:val="20"/>
          <w:szCs w:val="20"/>
          <w:lang w:val="es-ES"/>
        </w:rPr>
        <w:t>as</w:t>
      </w:r>
      <w:r w:rsidR="00107241">
        <w:rPr>
          <w:rFonts w:ascii="Verdana" w:hAnsi="Verdana"/>
          <w:sz w:val="20"/>
          <w:szCs w:val="20"/>
          <w:lang w:val="es-ES"/>
        </w:rPr>
        <w:t xml:space="preserve"> que también fue conocido por este Tribunal</w:t>
      </w:r>
      <w:r w:rsidR="002D4F38">
        <w:rPr>
          <w:rFonts w:ascii="Verdana" w:hAnsi="Verdana"/>
          <w:sz w:val="20"/>
          <w:szCs w:val="20"/>
          <w:lang w:val="es-ES"/>
        </w:rPr>
        <w:t>,</w:t>
      </w:r>
      <w:r w:rsidR="00216B50">
        <w:rPr>
          <w:rFonts w:ascii="Verdana" w:hAnsi="Verdana"/>
          <w:sz w:val="20"/>
          <w:szCs w:val="20"/>
          <w:lang w:val="es-ES"/>
        </w:rPr>
        <w:t xml:space="preserve"> </w:t>
      </w:r>
      <w:r w:rsidR="002D4F38">
        <w:rPr>
          <w:rFonts w:ascii="Verdana" w:hAnsi="Verdana"/>
          <w:sz w:val="20"/>
          <w:szCs w:val="20"/>
          <w:lang w:val="es-ES"/>
        </w:rPr>
        <w:t xml:space="preserve">si bien por mayoría </w:t>
      </w:r>
      <w:r w:rsidR="004F6F91">
        <w:rPr>
          <w:rFonts w:ascii="Verdana" w:hAnsi="Verdana"/>
          <w:sz w:val="20"/>
          <w:szCs w:val="20"/>
          <w:lang w:val="es-ES"/>
        </w:rPr>
        <w:t xml:space="preserve">de cuatro votos </w:t>
      </w:r>
      <w:r w:rsidR="00042C7D">
        <w:rPr>
          <w:rFonts w:ascii="Verdana" w:hAnsi="Verdana"/>
          <w:sz w:val="20"/>
          <w:szCs w:val="20"/>
          <w:lang w:val="es-ES"/>
        </w:rPr>
        <w:t xml:space="preserve">la Corte IDH </w:t>
      </w:r>
      <w:r w:rsidR="002D4F38">
        <w:rPr>
          <w:rFonts w:ascii="Verdana" w:hAnsi="Verdana"/>
          <w:sz w:val="20"/>
          <w:szCs w:val="20"/>
          <w:lang w:val="es-ES"/>
        </w:rPr>
        <w:t>decidió declarar procedente la excepción preliminar por falta de agotamiento de recursos internos.</w:t>
      </w:r>
      <w:r w:rsidR="00107241">
        <w:rPr>
          <w:rFonts w:ascii="Verdana" w:hAnsi="Verdana"/>
          <w:sz w:val="20"/>
          <w:szCs w:val="20"/>
          <w:lang w:val="es-ES"/>
        </w:rPr>
        <w:t xml:space="preserve"> En esa oportunidad </w:t>
      </w:r>
      <w:r w:rsidR="005D68F8">
        <w:rPr>
          <w:rFonts w:ascii="Verdana" w:hAnsi="Verdana"/>
          <w:sz w:val="20"/>
          <w:szCs w:val="20"/>
          <w:lang w:val="es-ES"/>
        </w:rPr>
        <w:t xml:space="preserve">se aportaron </w:t>
      </w:r>
      <w:r w:rsidR="00107241">
        <w:rPr>
          <w:rFonts w:ascii="Verdana" w:hAnsi="Verdana"/>
          <w:sz w:val="20"/>
          <w:szCs w:val="20"/>
          <w:lang w:val="es-ES"/>
        </w:rPr>
        <w:t>una gran cantidad de</w:t>
      </w:r>
      <w:r w:rsidR="002D4F38">
        <w:rPr>
          <w:rFonts w:ascii="Verdana" w:hAnsi="Verdana"/>
          <w:sz w:val="20"/>
          <w:szCs w:val="20"/>
          <w:lang w:val="es-ES"/>
        </w:rPr>
        <w:t xml:space="preserve"> escritos en calidad de</w:t>
      </w:r>
      <w:r w:rsidR="00107241">
        <w:rPr>
          <w:rFonts w:ascii="Verdana" w:hAnsi="Verdana"/>
          <w:sz w:val="20"/>
          <w:szCs w:val="20"/>
          <w:lang w:val="es-ES"/>
        </w:rPr>
        <w:t xml:space="preserve"> </w:t>
      </w:r>
      <w:r w:rsidR="00107241" w:rsidRPr="00107241">
        <w:rPr>
          <w:rFonts w:ascii="Verdana" w:hAnsi="Verdana"/>
          <w:i/>
          <w:iCs/>
          <w:sz w:val="20"/>
          <w:szCs w:val="20"/>
          <w:lang w:val="es-ES"/>
        </w:rPr>
        <w:t xml:space="preserve">amicus curiae </w:t>
      </w:r>
      <w:r w:rsidR="00107241">
        <w:rPr>
          <w:rFonts w:ascii="Verdana" w:hAnsi="Verdana"/>
          <w:sz w:val="20"/>
          <w:szCs w:val="20"/>
          <w:lang w:val="es-ES"/>
        </w:rPr>
        <w:t>que daban ya cuenta de</w:t>
      </w:r>
      <w:r w:rsidR="00042C7D">
        <w:rPr>
          <w:rFonts w:ascii="Verdana" w:hAnsi="Verdana"/>
          <w:sz w:val="20"/>
          <w:szCs w:val="20"/>
          <w:lang w:val="es-ES"/>
        </w:rPr>
        <w:t xml:space="preserve"> cuestiones atinentes a</w:t>
      </w:r>
      <w:r w:rsidR="00FF25B5">
        <w:rPr>
          <w:rFonts w:ascii="Verdana" w:hAnsi="Verdana"/>
          <w:sz w:val="20"/>
          <w:szCs w:val="20"/>
          <w:lang w:val="es-ES"/>
        </w:rPr>
        <w:t xml:space="preserve">l debilitamiento </w:t>
      </w:r>
      <w:r w:rsidR="000C1FFB">
        <w:rPr>
          <w:rFonts w:ascii="Verdana" w:hAnsi="Verdana"/>
          <w:sz w:val="20"/>
          <w:szCs w:val="20"/>
          <w:lang w:val="es-ES"/>
        </w:rPr>
        <w:t>democrático</w:t>
      </w:r>
      <w:r w:rsidR="00FF25B5">
        <w:rPr>
          <w:rFonts w:ascii="Verdana" w:hAnsi="Verdana"/>
          <w:sz w:val="20"/>
          <w:szCs w:val="20"/>
          <w:lang w:val="es-ES"/>
        </w:rPr>
        <w:t xml:space="preserve">, </w:t>
      </w:r>
      <w:r w:rsidR="000C1FFB">
        <w:rPr>
          <w:rFonts w:ascii="Verdana" w:hAnsi="Verdana"/>
          <w:sz w:val="20"/>
          <w:szCs w:val="20"/>
          <w:lang w:val="es-ES"/>
        </w:rPr>
        <w:t>la afectación a</w:t>
      </w:r>
      <w:r w:rsidR="00042C7D">
        <w:rPr>
          <w:rFonts w:ascii="Verdana" w:hAnsi="Verdana"/>
          <w:sz w:val="20"/>
          <w:szCs w:val="20"/>
          <w:lang w:val="es-ES"/>
        </w:rPr>
        <w:t>l</w:t>
      </w:r>
      <w:r w:rsidR="000E241D">
        <w:rPr>
          <w:rFonts w:ascii="Verdana" w:hAnsi="Verdana"/>
          <w:sz w:val="20"/>
          <w:szCs w:val="20"/>
          <w:lang w:val="es-ES"/>
        </w:rPr>
        <w:t xml:space="preserve"> </w:t>
      </w:r>
      <w:r w:rsidR="00042C7D">
        <w:rPr>
          <w:rFonts w:ascii="Verdana" w:hAnsi="Verdana"/>
          <w:sz w:val="20"/>
          <w:szCs w:val="20"/>
          <w:lang w:val="es-ES"/>
        </w:rPr>
        <w:t xml:space="preserve">Estado de </w:t>
      </w:r>
      <w:r w:rsidR="000E241D">
        <w:rPr>
          <w:rFonts w:ascii="Verdana" w:hAnsi="Verdana"/>
          <w:sz w:val="20"/>
          <w:szCs w:val="20"/>
          <w:lang w:val="es-ES"/>
        </w:rPr>
        <w:t>d</w:t>
      </w:r>
      <w:r w:rsidR="00042C7D">
        <w:rPr>
          <w:rFonts w:ascii="Verdana" w:hAnsi="Verdana"/>
          <w:sz w:val="20"/>
          <w:szCs w:val="20"/>
          <w:lang w:val="es-ES"/>
        </w:rPr>
        <w:t xml:space="preserve">erecho y a la falta de independencia </w:t>
      </w:r>
      <w:r w:rsidR="00107241">
        <w:rPr>
          <w:rFonts w:ascii="Verdana" w:hAnsi="Verdana"/>
          <w:sz w:val="20"/>
          <w:szCs w:val="20"/>
          <w:lang w:val="es-ES"/>
        </w:rPr>
        <w:t>del Poder Judicial</w:t>
      </w:r>
      <w:r w:rsidR="00541E4A" w:rsidRPr="002D4F38">
        <w:rPr>
          <w:rStyle w:val="FootnoteReference"/>
          <w:rFonts w:ascii="Verdana" w:hAnsi="Verdana"/>
          <w:sz w:val="20"/>
          <w:szCs w:val="20"/>
        </w:rPr>
        <w:footnoteReference w:id="33"/>
      </w:r>
      <w:r w:rsidR="00541E4A" w:rsidRPr="002D4F38">
        <w:rPr>
          <w:rFonts w:ascii="Verdana" w:hAnsi="Verdana"/>
          <w:sz w:val="20"/>
          <w:szCs w:val="20"/>
        </w:rPr>
        <w:t>.</w:t>
      </w:r>
      <w:r w:rsidR="00541E4A">
        <w:rPr>
          <w:rFonts w:ascii="Verdana" w:hAnsi="Verdana"/>
          <w:sz w:val="20"/>
          <w:szCs w:val="20"/>
        </w:rPr>
        <w:t xml:space="preserve"> </w:t>
      </w:r>
    </w:p>
    <w:p w14:paraId="216A4B25" w14:textId="77777777" w:rsidR="006F74F5" w:rsidRPr="006F74F5" w:rsidRDefault="006F74F5" w:rsidP="006F74F5">
      <w:pPr>
        <w:pStyle w:val="ListParagraph"/>
        <w:widowControl w:val="0"/>
        <w:autoSpaceDE w:val="0"/>
        <w:autoSpaceDN w:val="0"/>
        <w:spacing w:after="0" w:line="240" w:lineRule="auto"/>
        <w:ind w:left="0"/>
        <w:contextualSpacing w:val="0"/>
        <w:jc w:val="both"/>
        <w:rPr>
          <w:rFonts w:ascii="Verdana" w:hAnsi="Verdana"/>
          <w:sz w:val="20"/>
          <w:szCs w:val="20"/>
          <w:lang w:val="es-ES"/>
        </w:rPr>
      </w:pPr>
    </w:p>
    <w:p w14:paraId="40D7459E" w14:textId="3E1D19E3" w:rsidR="00BE54D8" w:rsidRDefault="00913875" w:rsidP="00913875">
      <w:pPr>
        <w:pStyle w:val="ListParagraph"/>
        <w:widowControl w:val="0"/>
        <w:autoSpaceDE w:val="0"/>
        <w:autoSpaceDN w:val="0"/>
        <w:spacing w:after="0" w:line="240" w:lineRule="auto"/>
        <w:ind w:left="0"/>
        <w:contextualSpacing w:val="0"/>
        <w:jc w:val="both"/>
        <w:rPr>
          <w:rFonts w:ascii="Verdana" w:hAnsi="Verdana"/>
          <w:sz w:val="20"/>
          <w:szCs w:val="20"/>
          <w:lang w:val="es-ES"/>
        </w:rPr>
      </w:pPr>
      <w:r>
        <w:rPr>
          <w:rFonts w:ascii="Verdana" w:hAnsi="Verdana" w:cs="Arial"/>
          <w:color w:val="000000" w:themeColor="text1"/>
          <w:sz w:val="20"/>
          <w:szCs w:val="20"/>
          <w:shd w:val="clear" w:color="auto" w:fill="FFFFFF"/>
          <w:lang w:val="es-ES"/>
        </w:rPr>
        <w:t>3</w:t>
      </w:r>
      <w:r w:rsidR="00AE0D38">
        <w:rPr>
          <w:rFonts w:ascii="Verdana" w:hAnsi="Verdana" w:cs="Arial"/>
          <w:color w:val="000000" w:themeColor="text1"/>
          <w:sz w:val="20"/>
          <w:szCs w:val="20"/>
          <w:shd w:val="clear" w:color="auto" w:fill="FFFFFF"/>
          <w:lang w:val="es-ES"/>
        </w:rPr>
        <w:t>6</w:t>
      </w:r>
      <w:r>
        <w:rPr>
          <w:rFonts w:ascii="Verdana" w:hAnsi="Verdana" w:cs="Arial"/>
          <w:color w:val="000000" w:themeColor="text1"/>
          <w:sz w:val="20"/>
          <w:szCs w:val="20"/>
          <w:shd w:val="clear" w:color="auto" w:fill="FFFFFF"/>
          <w:lang w:val="es-ES"/>
        </w:rPr>
        <w:t xml:space="preserve">. </w:t>
      </w:r>
      <w:r>
        <w:rPr>
          <w:rFonts w:ascii="Verdana" w:hAnsi="Verdana" w:cs="Arial"/>
          <w:color w:val="000000" w:themeColor="text1"/>
          <w:sz w:val="20"/>
          <w:szCs w:val="20"/>
          <w:shd w:val="clear" w:color="auto" w:fill="FFFFFF"/>
          <w:lang w:val="es-ES"/>
        </w:rPr>
        <w:tab/>
      </w:r>
      <w:r w:rsidR="00541E4A">
        <w:rPr>
          <w:rFonts w:ascii="Verdana" w:hAnsi="Verdana" w:cs="Arial"/>
          <w:color w:val="000000" w:themeColor="text1"/>
          <w:sz w:val="20"/>
          <w:szCs w:val="20"/>
          <w:shd w:val="clear" w:color="auto" w:fill="FFFFFF"/>
          <w:lang w:val="es-ES"/>
        </w:rPr>
        <w:t xml:space="preserve">En suma, </w:t>
      </w:r>
      <w:r w:rsidRPr="004D0C53">
        <w:rPr>
          <w:rFonts w:ascii="Verdana" w:hAnsi="Verdana" w:cs="Arial"/>
          <w:color w:val="000000" w:themeColor="text1"/>
          <w:sz w:val="20"/>
          <w:szCs w:val="20"/>
          <w:shd w:val="clear" w:color="auto" w:fill="FFFFFF"/>
          <w:lang w:val="es-ES"/>
        </w:rPr>
        <w:t>la acreditación del contexto en este caso, brind</w:t>
      </w:r>
      <w:r w:rsidR="00520C2E">
        <w:rPr>
          <w:rFonts w:ascii="Verdana" w:hAnsi="Verdana" w:cs="Arial"/>
          <w:color w:val="000000" w:themeColor="text1"/>
          <w:sz w:val="20"/>
          <w:szCs w:val="20"/>
          <w:shd w:val="clear" w:color="auto" w:fill="FFFFFF"/>
          <w:lang w:val="es-ES"/>
        </w:rPr>
        <w:t>ó</w:t>
      </w:r>
      <w:r w:rsidRPr="004D0C53">
        <w:rPr>
          <w:rFonts w:ascii="Verdana" w:hAnsi="Verdana" w:cs="Arial"/>
          <w:color w:val="000000" w:themeColor="text1"/>
          <w:sz w:val="20"/>
          <w:szCs w:val="20"/>
          <w:shd w:val="clear" w:color="auto" w:fill="FFFFFF"/>
          <w:lang w:val="es-ES"/>
        </w:rPr>
        <w:t xml:space="preserve"> la posibilidad a la Corte IDH </w:t>
      </w:r>
      <w:r w:rsidR="00424F27">
        <w:rPr>
          <w:rFonts w:ascii="Verdana" w:hAnsi="Verdana" w:cs="Arial"/>
          <w:color w:val="000000" w:themeColor="text1"/>
          <w:sz w:val="20"/>
          <w:szCs w:val="20"/>
          <w:shd w:val="clear" w:color="auto" w:fill="FFFFFF"/>
          <w:lang w:val="es-ES"/>
        </w:rPr>
        <w:t xml:space="preserve">para </w:t>
      </w:r>
      <w:r w:rsidRPr="004D0C53">
        <w:rPr>
          <w:rFonts w:ascii="Verdana" w:hAnsi="Verdana" w:cs="Arial"/>
          <w:color w:val="000000" w:themeColor="text1"/>
          <w:sz w:val="20"/>
          <w:szCs w:val="20"/>
          <w:shd w:val="clear" w:color="auto" w:fill="FFFFFF"/>
          <w:lang w:val="es-ES"/>
        </w:rPr>
        <w:t>que estuviera en aptitud</w:t>
      </w:r>
      <w:r w:rsidR="00424F27">
        <w:rPr>
          <w:rFonts w:ascii="Verdana" w:hAnsi="Verdana" w:cs="Arial"/>
          <w:color w:val="000000" w:themeColor="text1"/>
          <w:sz w:val="20"/>
          <w:szCs w:val="20"/>
          <w:shd w:val="clear" w:color="auto" w:fill="FFFFFF"/>
          <w:lang w:val="es-ES"/>
        </w:rPr>
        <w:t xml:space="preserve"> —</w:t>
      </w:r>
      <w:r w:rsidRPr="004D0C53">
        <w:rPr>
          <w:rFonts w:ascii="Verdana" w:hAnsi="Verdana" w:cs="Arial"/>
          <w:color w:val="000000" w:themeColor="text1"/>
          <w:sz w:val="20"/>
          <w:szCs w:val="20"/>
          <w:shd w:val="clear" w:color="auto" w:fill="FFFFFF"/>
          <w:lang w:val="es-ES"/>
        </w:rPr>
        <w:t>por primera vez</w:t>
      </w:r>
      <w:r w:rsidR="00424F27">
        <w:rPr>
          <w:rFonts w:ascii="Verdana" w:hAnsi="Verdana" w:cs="Arial"/>
          <w:color w:val="000000" w:themeColor="text1"/>
          <w:sz w:val="20"/>
          <w:szCs w:val="20"/>
          <w:shd w:val="clear" w:color="auto" w:fill="FFFFFF"/>
          <w:lang w:val="es-ES"/>
        </w:rPr>
        <w:t>—</w:t>
      </w:r>
      <w:r w:rsidRPr="004D0C53">
        <w:rPr>
          <w:rFonts w:ascii="Verdana" w:hAnsi="Verdana" w:cs="Arial"/>
          <w:color w:val="000000" w:themeColor="text1"/>
          <w:sz w:val="20"/>
          <w:szCs w:val="20"/>
          <w:shd w:val="clear" w:color="auto" w:fill="FFFFFF"/>
          <w:lang w:val="es-ES"/>
        </w:rPr>
        <w:t xml:space="preserve"> de indicar que: </w:t>
      </w:r>
      <w:r w:rsidRPr="004D0C53">
        <w:rPr>
          <w:rFonts w:ascii="Verdana" w:hAnsi="Verdana" w:cs="Arial"/>
          <w:i/>
          <w:iCs/>
          <w:color w:val="000000" w:themeColor="text1"/>
          <w:sz w:val="20"/>
          <w:szCs w:val="20"/>
          <w:u w:val="single"/>
          <w:shd w:val="clear" w:color="auto" w:fill="FFFFFF"/>
          <w:lang w:val="es-ES"/>
        </w:rPr>
        <w:t>“</w:t>
      </w:r>
      <w:r w:rsidRPr="004D0C53">
        <w:rPr>
          <w:rFonts w:ascii="Verdana" w:hAnsi="Verdana"/>
          <w:i/>
          <w:iCs/>
          <w:sz w:val="20"/>
          <w:szCs w:val="20"/>
          <w:u w:val="single"/>
          <w:lang w:val="es-ES"/>
        </w:rPr>
        <w:t>los hechos del presente caso estuvieron precedidos por un progresivo deterioro de la separación de poderes en Venezuela y de la independencia e imparcialidad</w:t>
      </w:r>
      <w:r w:rsidRPr="00092E75">
        <w:rPr>
          <w:rFonts w:ascii="Verdana" w:hAnsi="Verdana"/>
          <w:i/>
          <w:iCs/>
          <w:sz w:val="20"/>
          <w:szCs w:val="20"/>
          <w:lang w:val="es-ES"/>
        </w:rPr>
        <w:t>”</w:t>
      </w:r>
      <w:r w:rsidR="00F84843" w:rsidRPr="00424F27">
        <w:rPr>
          <w:rStyle w:val="FootnoteReference"/>
          <w:rFonts w:ascii="Verdana" w:hAnsi="Verdana"/>
          <w:sz w:val="20"/>
          <w:szCs w:val="20"/>
          <w:lang w:val="es-ES"/>
        </w:rPr>
        <w:footnoteReference w:id="34"/>
      </w:r>
      <w:r w:rsidR="00BE54D8" w:rsidRPr="00424F27">
        <w:rPr>
          <w:rFonts w:ascii="Verdana" w:hAnsi="Verdana" w:cs="Arial"/>
          <w:color w:val="000000" w:themeColor="text1"/>
          <w:sz w:val="20"/>
          <w:szCs w:val="20"/>
          <w:shd w:val="clear" w:color="auto" w:fill="FFFFFF"/>
          <w:lang w:val="es-ES"/>
        </w:rPr>
        <w:t>.</w:t>
      </w:r>
      <w:r w:rsidR="00BE54D8">
        <w:rPr>
          <w:rFonts w:ascii="Verdana" w:hAnsi="Verdana" w:cs="Arial"/>
          <w:color w:val="000000" w:themeColor="text1"/>
          <w:sz w:val="20"/>
          <w:szCs w:val="20"/>
          <w:shd w:val="clear" w:color="auto" w:fill="FFFFFF"/>
          <w:lang w:val="es-ES"/>
        </w:rPr>
        <w:t xml:space="preserve"> </w:t>
      </w:r>
      <w:r w:rsidRPr="004D0C53">
        <w:rPr>
          <w:rFonts w:ascii="Verdana" w:hAnsi="Verdana" w:cs="Arial"/>
          <w:color w:val="000000" w:themeColor="text1"/>
          <w:sz w:val="20"/>
          <w:szCs w:val="20"/>
          <w:shd w:val="clear" w:color="auto" w:fill="FFFFFF"/>
          <w:lang w:val="es-ES"/>
        </w:rPr>
        <w:t>En el caso que nos ocupa, este deterioro impactó tanto al Consejo Nacional Elec</w:t>
      </w:r>
      <w:r w:rsidR="00424F27">
        <w:rPr>
          <w:rFonts w:ascii="Verdana" w:hAnsi="Verdana" w:cs="Arial"/>
          <w:color w:val="000000" w:themeColor="text1"/>
          <w:sz w:val="20"/>
          <w:szCs w:val="20"/>
          <w:shd w:val="clear" w:color="auto" w:fill="FFFFFF"/>
          <w:lang w:val="es-ES"/>
        </w:rPr>
        <w:t>toral</w:t>
      </w:r>
      <w:r w:rsidRPr="004D0C53">
        <w:rPr>
          <w:rFonts w:ascii="Verdana" w:hAnsi="Verdana" w:cs="Arial"/>
          <w:color w:val="000000" w:themeColor="text1"/>
          <w:sz w:val="20"/>
          <w:szCs w:val="20"/>
          <w:shd w:val="clear" w:color="auto" w:fill="FFFFFF"/>
          <w:lang w:val="es-ES"/>
        </w:rPr>
        <w:t xml:space="preserve"> como al </w:t>
      </w:r>
      <w:r w:rsidRPr="004D0C53">
        <w:rPr>
          <w:rFonts w:ascii="Verdana" w:hAnsi="Verdana"/>
          <w:sz w:val="20"/>
          <w:szCs w:val="20"/>
          <w:lang w:val="es-ES"/>
        </w:rPr>
        <w:t xml:space="preserve">Tribunal Supremo de Justicia, por lo que sobre las alegaciones que en su momento fueron emitidas por ambas instancias existió, para </w:t>
      </w:r>
      <w:r w:rsidR="00AE0D38">
        <w:rPr>
          <w:rFonts w:ascii="Verdana" w:hAnsi="Verdana"/>
          <w:sz w:val="20"/>
          <w:szCs w:val="20"/>
          <w:lang w:val="es-ES"/>
        </w:rPr>
        <w:t>la Corte Interamericana</w:t>
      </w:r>
      <w:r w:rsidR="00706540">
        <w:rPr>
          <w:rFonts w:ascii="Verdana" w:hAnsi="Verdana"/>
          <w:sz w:val="20"/>
          <w:szCs w:val="20"/>
          <w:lang w:val="es-ES"/>
        </w:rPr>
        <w:t>,</w:t>
      </w:r>
      <w:r w:rsidR="00AE0D38">
        <w:rPr>
          <w:rFonts w:ascii="Verdana" w:hAnsi="Verdana"/>
          <w:sz w:val="20"/>
          <w:szCs w:val="20"/>
          <w:lang w:val="es-ES"/>
        </w:rPr>
        <w:t xml:space="preserve"> </w:t>
      </w:r>
      <w:r w:rsidRPr="004D0C53">
        <w:rPr>
          <w:rFonts w:ascii="Verdana" w:hAnsi="Verdana"/>
          <w:sz w:val="20"/>
          <w:szCs w:val="20"/>
          <w:lang w:val="es-ES"/>
        </w:rPr>
        <w:t xml:space="preserve">un gran nivel de indicios que sus fallos fueron parciales hacia el Estado y, por consiguiente, en detrimento de la víctima. </w:t>
      </w:r>
    </w:p>
    <w:p w14:paraId="3261701B" w14:textId="77777777" w:rsidR="00BE54D8" w:rsidRDefault="00BE54D8" w:rsidP="00913875">
      <w:pPr>
        <w:pStyle w:val="ListParagraph"/>
        <w:widowControl w:val="0"/>
        <w:autoSpaceDE w:val="0"/>
        <w:autoSpaceDN w:val="0"/>
        <w:spacing w:after="0" w:line="240" w:lineRule="auto"/>
        <w:ind w:left="0"/>
        <w:contextualSpacing w:val="0"/>
        <w:jc w:val="both"/>
        <w:rPr>
          <w:rFonts w:ascii="Verdana" w:hAnsi="Verdana"/>
          <w:sz w:val="20"/>
          <w:szCs w:val="20"/>
          <w:lang w:val="es-ES"/>
        </w:rPr>
      </w:pPr>
    </w:p>
    <w:p w14:paraId="0691FE7B" w14:textId="090D56C2" w:rsidR="00913875" w:rsidRPr="004D0C53" w:rsidRDefault="00BE54D8" w:rsidP="00913875">
      <w:pPr>
        <w:pStyle w:val="ListParagraph"/>
        <w:widowControl w:val="0"/>
        <w:autoSpaceDE w:val="0"/>
        <w:autoSpaceDN w:val="0"/>
        <w:spacing w:after="0" w:line="240" w:lineRule="auto"/>
        <w:ind w:left="0"/>
        <w:contextualSpacing w:val="0"/>
        <w:jc w:val="both"/>
        <w:rPr>
          <w:rFonts w:ascii="Verdana" w:hAnsi="Verdana" w:cs="Arial"/>
          <w:color w:val="000000" w:themeColor="text1"/>
          <w:sz w:val="20"/>
          <w:szCs w:val="20"/>
          <w:shd w:val="clear" w:color="auto" w:fill="FFFFFF"/>
          <w:lang w:val="es-ES"/>
        </w:rPr>
      </w:pPr>
      <w:r>
        <w:rPr>
          <w:rFonts w:ascii="Verdana" w:hAnsi="Verdana"/>
          <w:sz w:val="20"/>
          <w:szCs w:val="20"/>
          <w:lang w:val="es-ES"/>
        </w:rPr>
        <w:t>3</w:t>
      </w:r>
      <w:r w:rsidR="00AE0D38">
        <w:rPr>
          <w:rFonts w:ascii="Verdana" w:hAnsi="Verdana"/>
          <w:sz w:val="20"/>
          <w:szCs w:val="20"/>
          <w:lang w:val="es-ES"/>
        </w:rPr>
        <w:t>7</w:t>
      </w:r>
      <w:r>
        <w:rPr>
          <w:rFonts w:ascii="Verdana" w:hAnsi="Verdana"/>
          <w:sz w:val="20"/>
          <w:szCs w:val="20"/>
          <w:lang w:val="es-ES"/>
        </w:rPr>
        <w:t xml:space="preserve">. </w:t>
      </w:r>
      <w:r>
        <w:rPr>
          <w:rFonts w:ascii="Verdana" w:hAnsi="Verdana"/>
          <w:sz w:val="20"/>
          <w:szCs w:val="20"/>
          <w:lang w:val="es-ES"/>
        </w:rPr>
        <w:tab/>
        <w:t xml:space="preserve">De tal manera que teniendo en consideración este contexto, la Corte IDH </w:t>
      </w:r>
      <w:r w:rsidR="00DA01FA">
        <w:rPr>
          <w:rFonts w:ascii="Verdana" w:hAnsi="Verdana"/>
          <w:sz w:val="20"/>
          <w:szCs w:val="20"/>
          <w:lang w:val="es-ES"/>
        </w:rPr>
        <w:t xml:space="preserve">acreditó la ocurrencia de hechos que constituyeron un uso abusivo del aparato estatal dirigidas a favorecer al candidato oficialista, una afectación del señor Capriles de poder dar a conocer sus propuestas a través de los medios públicos de comunicación, y una falta de imparcialidad y transparencia en la actuación del árbitro electoral. Por esta razón, </w:t>
      </w:r>
      <w:r>
        <w:rPr>
          <w:rFonts w:ascii="Verdana" w:hAnsi="Verdana"/>
          <w:sz w:val="20"/>
          <w:szCs w:val="20"/>
          <w:lang w:val="es-ES"/>
        </w:rPr>
        <w:t xml:space="preserve">concluyó que “las acciones y omisiones del Estado, tomadas en su conjunto, derivaron en la afectación de la integridad del proceso electoral y afectó los derechos políticos, la libertad de expresión y a la igualdad del señor Capriles. Asimismo, </w:t>
      </w:r>
      <w:r w:rsidR="006B594D">
        <w:rPr>
          <w:rFonts w:ascii="Verdana" w:hAnsi="Verdana"/>
          <w:sz w:val="20"/>
          <w:szCs w:val="20"/>
          <w:lang w:val="es-ES"/>
        </w:rPr>
        <w:t>“</w:t>
      </w:r>
      <w:r w:rsidRPr="00BE54D8">
        <w:rPr>
          <w:rFonts w:ascii="Verdana" w:hAnsi="Verdana"/>
          <w:sz w:val="20"/>
          <w:szCs w:val="20"/>
          <w:u w:val="single"/>
          <w:lang w:val="es-ES"/>
        </w:rPr>
        <w:t>este Tribunal concluy</w:t>
      </w:r>
      <w:r w:rsidR="006B594D">
        <w:rPr>
          <w:rFonts w:ascii="Verdana" w:hAnsi="Verdana"/>
          <w:sz w:val="20"/>
          <w:szCs w:val="20"/>
          <w:u w:val="single"/>
          <w:lang w:val="es-ES"/>
        </w:rPr>
        <w:t>[ó]</w:t>
      </w:r>
      <w:r w:rsidRPr="00BE54D8">
        <w:rPr>
          <w:rFonts w:ascii="Verdana" w:hAnsi="Verdana"/>
          <w:sz w:val="20"/>
          <w:szCs w:val="20"/>
          <w:u w:val="single"/>
          <w:lang w:val="es-ES"/>
        </w:rPr>
        <w:t xml:space="preserve"> que la actuación del Estado constituyó un abandono de los principios fundamentales del </w:t>
      </w:r>
      <w:r>
        <w:rPr>
          <w:rFonts w:ascii="Verdana" w:hAnsi="Verdana"/>
          <w:sz w:val="20"/>
          <w:szCs w:val="20"/>
          <w:u w:val="single"/>
          <w:lang w:val="es-ES"/>
        </w:rPr>
        <w:t>E</w:t>
      </w:r>
      <w:r w:rsidRPr="00BE54D8">
        <w:rPr>
          <w:rFonts w:ascii="Verdana" w:hAnsi="Verdana"/>
          <w:sz w:val="20"/>
          <w:szCs w:val="20"/>
          <w:u w:val="single"/>
          <w:lang w:val="es-ES"/>
        </w:rPr>
        <w:t xml:space="preserve">stado de </w:t>
      </w:r>
      <w:r w:rsidR="000E241D">
        <w:rPr>
          <w:rFonts w:ascii="Verdana" w:hAnsi="Verdana"/>
          <w:sz w:val="20"/>
          <w:szCs w:val="20"/>
          <w:u w:val="single"/>
          <w:lang w:val="es-ES"/>
        </w:rPr>
        <w:t>d</w:t>
      </w:r>
      <w:r w:rsidRPr="00BE54D8">
        <w:rPr>
          <w:rFonts w:ascii="Verdana" w:hAnsi="Verdana"/>
          <w:sz w:val="20"/>
          <w:szCs w:val="20"/>
          <w:u w:val="single"/>
          <w:lang w:val="es-ES"/>
        </w:rPr>
        <w:t>erecho</w:t>
      </w:r>
      <w:r>
        <w:rPr>
          <w:rFonts w:ascii="Verdana" w:hAnsi="Verdana"/>
          <w:sz w:val="20"/>
          <w:szCs w:val="20"/>
          <w:lang w:val="es-ES"/>
        </w:rPr>
        <w:t>”</w:t>
      </w:r>
      <w:r>
        <w:rPr>
          <w:rStyle w:val="FootnoteReference"/>
          <w:rFonts w:ascii="Verdana" w:hAnsi="Verdana"/>
          <w:sz w:val="20"/>
          <w:szCs w:val="20"/>
          <w:lang w:val="es-ES"/>
        </w:rPr>
        <w:footnoteReference w:id="35"/>
      </w:r>
      <w:r>
        <w:rPr>
          <w:rFonts w:ascii="Verdana" w:hAnsi="Verdana"/>
          <w:sz w:val="20"/>
          <w:szCs w:val="20"/>
          <w:lang w:val="es-ES"/>
        </w:rPr>
        <w:t xml:space="preserve">. </w:t>
      </w:r>
    </w:p>
    <w:p w14:paraId="29DC65B0" w14:textId="77777777" w:rsidR="00913875" w:rsidRPr="004D0C53" w:rsidRDefault="00913875" w:rsidP="00913875">
      <w:pPr>
        <w:pStyle w:val="ListParagraph"/>
        <w:widowControl w:val="0"/>
        <w:autoSpaceDE w:val="0"/>
        <w:autoSpaceDN w:val="0"/>
        <w:ind w:left="0"/>
        <w:contextualSpacing w:val="0"/>
        <w:jc w:val="both"/>
        <w:rPr>
          <w:rFonts w:ascii="Verdana" w:hAnsi="Verdana" w:cs="Arial"/>
          <w:color w:val="000000" w:themeColor="text1"/>
          <w:sz w:val="20"/>
          <w:szCs w:val="20"/>
          <w:shd w:val="clear" w:color="auto" w:fill="FFFFFF"/>
          <w:lang w:val="es-ES"/>
        </w:rPr>
      </w:pPr>
    </w:p>
    <w:p w14:paraId="567B49B9" w14:textId="77777777" w:rsidR="001C53EF" w:rsidRDefault="00913875" w:rsidP="00913875">
      <w:pPr>
        <w:pStyle w:val="ListParagraph"/>
        <w:widowControl w:val="0"/>
        <w:tabs>
          <w:tab w:val="left" w:pos="567"/>
          <w:tab w:val="left" w:pos="709"/>
        </w:tabs>
        <w:autoSpaceDE w:val="0"/>
        <w:autoSpaceDN w:val="0"/>
        <w:spacing w:line="360" w:lineRule="auto"/>
        <w:ind w:left="0"/>
        <w:jc w:val="center"/>
        <w:rPr>
          <w:rFonts w:ascii="Verdana" w:hAnsi="Verdana" w:cs="Arial"/>
          <w:color w:val="000000" w:themeColor="text1"/>
          <w:sz w:val="20"/>
          <w:szCs w:val="20"/>
          <w:shd w:val="clear" w:color="auto" w:fill="FFFFFF"/>
          <w:lang w:val="es-ES"/>
        </w:rPr>
      </w:pPr>
      <w:r w:rsidRPr="001C53EF">
        <w:rPr>
          <w:rFonts w:ascii="Verdana" w:hAnsi="Verdana" w:cs="Arial"/>
          <w:color w:val="000000" w:themeColor="text1"/>
          <w:sz w:val="20"/>
          <w:szCs w:val="20"/>
          <w:shd w:val="clear" w:color="auto" w:fill="FFFFFF"/>
          <w:lang w:val="es-ES"/>
        </w:rPr>
        <w:lastRenderedPageBreak/>
        <w:t xml:space="preserve">II.-EL DERECHO A SER VOTADO EN LOS SISTEMAS INTERNACIONALES </w:t>
      </w:r>
    </w:p>
    <w:p w14:paraId="0735E2D7" w14:textId="6318E815" w:rsidR="00913875" w:rsidRPr="001C53EF" w:rsidRDefault="00913875" w:rsidP="00913875">
      <w:pPr>
        <w:pStyle w:val="ListParagraph"/>
        <w:widowControl w:val="0"/>
        <w:tabs>
          <w:tab w:val="left" w:pos="567"/>
          <w:tab w:val="left" w:pos="709"/>
        </w:tabs>
        <w:autoSpaceDE w:val="0"/>
        <w:autoSpaceDN w:val="0"/>
        <w:spacing w:line="360" w:lineRule="auto"/>
        <w:ind w:left="0"/>
        <w:jc w:val="center"/>
        <w:rPr>
          <w:rFonts w:ascii="Verdana" w:hAnsi="Verdana" w:cs="Arial"/>
          <w:color w:val="000000" w:themeColor="text1"/>
          <w:sz w:val="20"/>
          <w:szCs w:val="20"/>
          <w:shd w:val="clear" w:color="auto" w:fill="FFFFFF"/>
          <w:lang w:val="es-ES"/>
        </w:rPr>
      </w:pPr>
      <w:r w:rsidRPr="001C53EF">
        <w:rPr>
          <w:rFonts w:ascii="Verdana" w:hAnsi="Verdana" w:cs="Arial"/>
          <w:color w:val="000000" w:themeColor="text1"/>
          <w:sz w:val="20"/>
          <w:szCs w:val="20"/>
          <w:shd w:val="clear" w:color="auto" w:fill="FFFFFF"/>
          <w:lang w:val="es-ES"/>
        </w:rPr>
        <w:t>DE PROTECCIÓN DE DERECHOS HUMANOS</w:t>
      </w:r>
      <w:r w:rsidR="00AE0D38">
        <w:rPr>
          <w:rFonts w:ascii="Verdana" w:hAnsi="Verdana" w:cs="Arial"/>
          <w:color w:val="000000" w:themeColor="text1"/>
          <w:sz w:val="20"/>
          <w:szCs w:val="20"/>
          <w:shd w:val="clear" w:color="auto" w:fill="FFFFFF"/>
          <w:lang w:val="es-ES"/>
        </w:rPr>
        <w:t xml:space="preserve"> </w:t>
      </w:r>
    </w:p>
    <w:p w14:paraId="31CFF5B6" w14:textId="5D912F25" w:rsidR="00913875" w:rsidRPr="00675D0D" w:rsidRDefault="00913875" w:rsidP="00913875">
      <w:pPr>
        <w:widowControl w:val="0"/>
        <w:tabs>
          <w:tab w:val="left" w:pos="567"/>
          <w:tab w:val="left" w:pos="709"/>
        </w:tabs>
        <w:autoSpaceDE w:val="0"/>
        <w:autoSpaceDN w:val="0"/>
        <w:rPr>
          <w:rFonts w:ascii="Verdana" w:hAnsi="Verdana" w:cs="Arial"/>
          <w:i/>
          <w:iCs/>
          <w:color w:val="000000" w:themeColor="text1"/>
          <w:sz w:val="20"/>
          <w:szCs w:val="20"/>
          <w:lang w:val="es-ES"/>
        </w:rPr>
      </w:pPr>
      <w:r>
        <w:rPr>
          <w:rFonts w:ascii="Verdana" w:hAnsi="Verdana" w:cs="Arial"/>
          <w:i/>
          <w:iCs/>
          <w:color w:val="000000" w:themeColor="text1"/>
          <w:sz w:val="20"/>
          <w:szCs w:val="20"/>
          <w:lang w:val="es-ES"/>
        </w:rPr>
        <w:t xml:space="preserve">1.- </w:t>
      </w:r>
      <w:r w:rsidRPr="00164996">
        <w:rPr>
          <w:rFonts w:ascii="Verdana" w:hAnsi="Verdana" w:cs="Arial"/>
          <w:i/>
          <w:iCs/>
          <w:color w:val="000000" w:themeColor="text1"/>
          <w:sz w:val="20"/>
          <w:szCs w:val="20"/>
          <w:lang w:val="es-ES"/>
        </w:rPr>
        <w:t>Naciones Unidas</w:t>
      </w:r>
    </w:p>
    <w:p w14:paraId="121213FF" w14:textId="361643E9" w:rsidR="00913875" w:rsidRDefault="001C53EF" w:rsidP="001C53EF">
      <w:pPr>
        <w:pStyle w:val="ListParagraph"/>
        <w:widowControl w:val="0"/>
        <w:tabs>
          <w:tab w:val="left" w:pos="567"/>
          <w:tab w:val="left" w:pos="709"/>
        </w:tabs>
        <w:autoSpaceDE w:val="0"/>
        <w:autoSpaceDN w:val="0"/>
        <w:spacing w:after="0" w:line="240" w:lineRule="auto"/>
        <w:ind w:left="0"/>
        <w:jc w:val="both"/>
        <w:rPr>
          <w:rFonts w:ascii="Verdana" w:hAnsi="Verdana" w:cs="Arial"/>
          <w:color w:val="000000" w:themeColor="text1"/>
          <w:sz w:val="20"/>
          <w:szCs w:val="20"/>
          <w:lang w:val="es-ES"/>
        </w:rPr>
      </w:pPr>
      <w:r>
        <w:rPr>
          <w:rFonts w:ascii="Verdana" w:hAnsi="Verdana" w:cs="Arial"/>
          <w:color w:val="000000" w:themeColor="text1"/>
          <w:sz w:val="20"/>
          <w:szCs w:val="20"/>
          <w:lang w:val="es-ES"/>
        </w:rPr>
        <w:t>3</w:t>
      </w:r>
      <w:r w:rsidR="00AE0D38">
        <w:rPr>
          <w:rFonts w:ascii="Verdana" w:hAnsi="Verdana" w:cs="Arial"/>
          <w:color w:val="000000" w:themeColor="text1"/>
          <w:sz w:val="20"/>
          <w:szCs w:val="20"/>
          <w:lang w:val="es-ES"/>
        </w:rPr>
        <w:t>8</w:t>
      </w:r>
      <w:r>
        <w:rPr>
          <w:rFonts w:ascii="Verdana" w:hAnsi="Verdana" w:cs="Arial"/>
          <w:color w:val="000000" w:themeColor="text1"/>
          <w:sz w:val="20"/>
          <w:szCs w:val="20"/>
          <w:lang w:val="es-ES"/>
        </w:rPr>
        <w:t xml:space="preserve">. </w:t>
      </w:r>
      <w:r>
        <w:rPr>
          <w:rFonts w:ascii="Verdana" w:hAnsi="Verdana" w:cs="Arial"/>
          <w:color w:val="000000" w:themeColor="text1"/>
          <w:sz w:val="20"/>
          <w:szCs w:val="20"/>
          <w:lang w:val="es-ES"/>
        </w:rPr>
        <w:tab/>
      </w:r>
      <w:r w:rsidR="00913875" w:rsidRPr="004D0C53">
        <w:rPr>
          <w:rFonts w:ascii="Verdana" w:hAnsi="Verdana" w:cs="Arial"/>
          <w:color w:val="000000" w:themeColor="text1"/>
          <w:sz w:val="20"/>
          <w:szCs w:val="20"/>
          <w:lang w:val="es-ES"/>
        </w:rPr>
        <w:t>En el Sistema de Naciones Unidas, el artículo 25 del Pacto Internacional de Derechos Civiles y Políticos protege el derecho de participación política</w:t>
      </w:r>
      <w:r w:rsidR="00660BAB" w:rsidRPr="004D0C53">
        <w:rPr>
          <w:rStyle w:val="FootnoteReference"/>
          <w:rFonts w:ascii="Verdana" w:hAnsi="Verdana" w:cs="Arial"/>
          <w:color w:val="000000" w:themeColor="text1"/>
          <w:sz w:val="20"/>
          <w:szCs w:val="20"/>
          <w:lang w:val="es-ES"/>
        </w:rPr>
        <w:footnoteReference w:id="36"/>
      </w:r>
      <w:r w:rsidR="00913875" w:rsidRPr="004D0C53">
        <w:rPr>
          <w:rFonts w:ascii="Verdana" w:hAnsi="Verdana" w:cs="Arial"/>
          <w:color w:val="000000" w:themeColor="text1"/>
          <w:sz w:val="20"/>
          <w:szCs w:val="20"/>
          <w:lang w:val="es-ES"/>
        </w:rPr>
        <w:t xml:space="preserve">. Pero también otros instrumentos internacionales en ese mismo sistema hacen alusión a este derecho: </w:t>
      </w:r>
      <w:r w:rsidR="00216B50">
        <w:rPr>
          <w:rFonts w:ascii="Verdana" w:hAnsi="Verdana" w:cs="Arial"/>
          <w:color w:val="000000" w:themeColor="text1"/>
          <w:sz w:val="20"/>
          <w:szCs w:val="20"/>
          <w:lang w:val="es-ES"/>
        </w:rPr>
        <w:t xml:space="preserve">como la </w:t>
      </w:r>
      <w:r w:rsidR="00913875" w:rsidRPr="004D0C53">
        <w:rPr>
          <w:rFonts w:ascii="Verdana" w:hAnsi="Verdana" w:cs="Arial"/>
          <w:color w:val="000000" w:themeColor="text1"/>
          <w:sz w:val="20"/>
          <w:szCs w:val="20"/>
          <w:lang w:val="es-ES"/>
        </w:rPr>
        <w:t>Convención de Naciones Unidas para Eliminación de la Discriminación contra la Mujer</w:t>
      </w:r>
      <w:r w:rsidR="00913875" w:rsidRPr="004D0C53">
        <w:rPr>
          <w:rStyle w:val="FootnoteReference"/>
          <w:rFonts w:ascii="Verdana" w:hAnsi="Verdana" w:cs="Arial"/>
          <w:color w:val="000000" w:themeColor="text1"/>
          <w:sz w:val="20"/>
          <w:szCs w:val="20"/>
          <w:lang w:val="es-ES"/>
        </w:rPr>
        <w:footnoteReference w:id="37"/>
      </w:r>
      <w:r w:rsidR="00913875" w:rsidRPr="004D0C53">
        <w:rPr>
          <w:rFonts w:ascii="Verdana" w:hAnsi="Verdana" w:cs="Arial"/>
          <w:color w:val="000000" w:themeColor="text1"/>
          <w:sz w:val="20"/>
          <w:szCs w:val="20"/>
          <w:lang w:val="es-ES"/>
        </w:rPr>
        <w:t xml:space="preserve"> o la Convención de Naciones Unidas sobre los Derechos de las Personas con Discapacidad</w:t>
      </w:r>
      <w:r w:rsidR="00913875" w:rsidRPr="004D0C53">
        <w:rPr>
          <w:rStyle w:val="FootnoteReference"/>
          <w:rFonts w:ascii="Verdana" w:hAnsi="Verdana" w:cs="Arial"/>
          <w:color w:val="000000" w:themeColor="text1"/>
          <w:sz w:val="20"/>
          <w:szCs w:val="20"/>
          <w:lang w:val="es-ES"/>
        </w:rPr>
        <w:footnoteReference w:id="38"/>
      </w:r>
      <w:r w:rsidR="00913875" w:rsidRPr="004D0C53">
        <w:rPr>
          <w:rFonts w:ascii="Verdana" w:hAnsi="Verdana" w:cs="Arial"/>
          <w:color w:val="000000" w:themeColor="text1"/>
          <w:sz w:val="20"/>
          <w:szCs w:val="20"/>
          <w:lang w:val="es-ES"/>
        </w:rPr>
        <w:t xml:space="preserve">. </w:t>
      </w:r>
    </w:p>
    <w:p w14:paraId="24B21BA6" w14:textId="77777777" w:rsidR="001C53EF" w:rsidRPr="004D0C53" w:rsidRDefault="001C53EF" w:rsidP="001C53EF">
      <w:pPr>
        <w:pStyle w:val="ListParagraph"/>
        <w:widowControl w:val="0"/>
        <w:tabs>
          <w:tab w:val="left" w:pos="567"/>
          <w:tab w:val="left" w:pos="709"/>
        </w:tabs>
        <w:autoSpaceDE w:val="0"/>
        <w:autoSpaceDN w:val="0"/>
        <w:spacing w:after="0" w:line="240" w:lineRule="auto"/>
        <w:ind w:left="0"/>
        <w:jc w:val="both"/>
        <w:rPr>
          <w:rFonts w:ascii="Verdana" w:hAnsi="Verdana" w:cs="Arial"/>
          <w:color w:val="000000" w:themeColor="text1"/>
          <w:sz w:val="20"/>
          <w:szCs w:val="20"/>
          <w:lang w:val="es-ES"/>
        </w:rPr>
      </w:pPr>
    </w:p>
    <w:p w14:paraId="5A95DF0C" w14:textId="0CAB3390" w:rsidR="00913875" w:rsidRPr="004D0C53" w:rsidRDefault="001C53EF" w:rsidP="001C53EF">
      <w:pPr>
        <w:pStyle w:val="ListParagraph"/>
        <w:widowControl w:val="0"/>
        <w:tabs>
          <w:tab w:val="left" w:pos="567"/>
          <w:tab w:val="left" w:pos="709"/>
        </w:tabs>
        <w:autoSpaceDE w:val="0"/>
        <w:autoSpaceDN w:val="0"/>
        <w:spacing w:after="0" w:line="240" w:lineRule="auto"/>
        <w:ind w:left="0"/>
        <w:jc w:val="both"/>
        <w:rPr>
          <w:rFonts w:ascii="Verdana" w:hAnsi="Verdana" w:cs="Arial"/>
          <w:color w:val="000000" w:themeColor="text1"/>
          <w:sz w:val="20"/>
          <w:szCs w:val="20"/>
          <w:lang w:val="es-ES"/>
        </w:rPr>
      </w:pPr>
      <w:r>
        <w:rPr>
          <w:rFonts w:ascii="Verdana" w:hAnsi="Verdana" w:cs="Arial"/>
          <w:color w:val="000000" w:themeColor="text1"/>
          <w:sz w:val="20"/>
          <w:szCs w:val="20"/>
          <w:lang w:val="es-ES"/>
        </w:rPr>
        <w:t>3</w:t>
      </w:r>
      <w:r w:rsidR="00660BAB">
        <w:rPr>
          <w:rFonts w:ascii="Verdana" w:hAnsi="Verdana" w:cs="Arial"/>
          <w:color w:val="000000" w:themeColor="text1"/>
          <w:sz w:val="20"/>
          <w:szCs w:val="20"/>
          <w:lang w:val="es-ES"/>
        </w:rPr>
        <w:t>9</w:t>
      </w:r>
      <w:r>
        <w:rPr>
          <w:rFonts w:ascii="Verdana" w:hAnsi="Verdana" w:cs="Arial"/>
          <w:color w:val="000000" w:themeColor="text1"/>
          <w:sz w:val="20"/>
          <w:szCs w:val="20"/>
          <w:lang w:val="es-ES"/>
        </w:rPr>
        <w:t xml:space="preserve">. </w:t>
      </w:r>
      <w:r>
        <w:rPr>
          <w:rFonts w:ascii="Verdana" w:hAnsi="Verdana" w:cs="Arial"/>
          <w:color w:val="000000" w:themeColor="text1"/>
          <w:sz w:val="20"/>
          <w:szCs w:val="20"/>
          <w:lang w:val="es-ES"/>
        </w:rPr>
        <w:tab/>
      </w:r>
      <w:r w:rsidR="00913875" w:rsidRPr="004D0C53">
        <w:rPr>
          <w:rFonts w:ascii="Verdana" w:hAnsi="Verdana" w:cs="Arial"/>
          <w:color w:val="000000" w:themeColor="text1"/>
          <w:sz w:val="20"/>
          <w:szCs w:val="20"/>
          <w:lang w:val="es-ES"/>
        </w:rPr>
        <w:t>Se debe precisar que el Pacto de Derechos Civiles y Políticos “no impone ningún sistema electoral concreto, el sistema electoral vigente en un Estado Parte debe ser compatible con los derechos amparados por el artículo 25 y garantizar y dar efecto a la libre expresión de la voluntad de los electores”</w:t>
      </w:r>
      <w:r w:rsidR="00913875" w:rsidRPr="004D0C53">
        <w:rPr>
          <w:rStyle w:val="FootnoteReference"/>
          <w:rFonts w:ascii="Verdana" w:hAnsi="Verdana" w:cs="Arial"/>
          <w:color w:val="000000" w:themeColor="text1"/>
          <w:sz w:val="20"/>
          <w:szCs w:val="20"/>
          <w:lang w:val="es-ES"/>
        </w:rPr>
        <w:footnoteReference w:id="39"/>
      </w:r>
      <w:r w:rsidR="00913875" w:rsidRPr="004D0C53">
        <w:rPr>
          <w:rFonts w:ascii="Verdana" w:hAnsi="Verdana" w:cs="Arial"/>
          <w:color w:val="000000" w:themeColor="text1"/>
          <w:sz w:val="20"/>
          <w:szCs w:val="20"/>
          <w:lang w:val="es-ES"/>
        </w:rPr>
        <w:t xml:space="preserve">. </w:t>
      </w:r>
    </w:p>
    <w:p w14:paraId="429ABF27" w14:textId="77777777" w:rsidR="00913875" w:rsidRPr="004D0C53" w:rsidRDefault="00913875" w:rsidP="00913875">
      <w:pPr>
        <w:pStyle w:val="ListParagraph"/>
        <w:widowControl w:val="0"/>
        <w:tabs>
          <w:tab w:val="left" w:pos="567"/>
          <w:tab w:val="left" w:pos="709"/>
        </w:tabs>
        <w:autoSpaceDE w:val="0"/>
        <w:autoSpaceDN w:val="0"/>
        <w:ind w:left="0"/>
        <w:jc w:val="both"/>
        <w:rPr>
          <w:rFonts w:ascii="Verdana" w:hAnsi="Verdana" w:cs="Arial"/>
          <w:color w:val="000000" w:themeColor="text1"/>
          <w:sz w:val="20"/>
          <w:szCs w:val="20"/>
          <w:lang w:val="es-ES"/>
        </w:rPr>
      </w:pPr>
    </w:p>
    <w:p w14:paraId="45A4154F" w14:textId="42793A58" w:rsidR="00913875" w:rsidRPr="004D0C53" w:rsidRDefault="00660BAB" w:rsidP="001C53EF">
      <w:pPr>
        <w:pStyle w:val="ListParagraph"/>
        <w:widowControl w:val="0"/>
        <w:tabs>
          <w:tab w:val="left" w:pos="567"/>
          <w:tab w:val="left" w:pos="709"/>
        </w:tabs>
        <w:autoSpaceDE w:val="0"/>
        <w:autoSpaceDN w:val="0"/>
        <w:spacing w:after="0" w:line="240" w:lineRule="auto"/>
        <w:ind w:left="0"/>
        <w:jc w:val="both"/>
        <w:rPr>
          <w:rFonts w:ascii="Verdana" w:hAnsi="Verdana" w:cs="Arial"/>
          <w:color w:val="000000" w:themeColor="text1"/>
          <w:sz w:val="20"/>
          <w:szCs w:val="20"/>
          <w:lang w:val="es-ES"/>
        </w:rPr>
      </w:pPr>
      <w:r>
        <w:rPr>
          <w:rFonts w:ascii="Verdana" w:hAnsi="Verdana" w:cs="Arial"/>
          <w:color w:val="000000" w:themeColor="text1"/>
          <w:sz w:val="20"/>
          <w:szCs w:val="20"/>
          <w:lang w:val="es-ES"/>
        </w:rPr>
        <w:t>40</w:t>
      </w:r>
      <w:r w:rsidR="001C53EF">
        <w:rPr>
          <w:rFonts w:ascii="Verdana" w:hAnsi="Verdana" w:cs="Arial"/>
          <w:color w:val="000000" w:themeColor="text1"/>
          <w:sz w:val="20"/>
          <w:szCs w:val="20"/>
          <w:lang w:val="es-ES"/>
        </w:rPr>
        <w:t xml:space="preserve">. </w:t>
      </w:r>
      <w:r w:rsidR="001C53EF">
        <w:rPr>
          <w:rFonts w:ascii="Verdana" w:hAnsi="Verdana" w:cs="Arial"/>
          <w:color w:val="000000" w:themeColor="text1"/>
          <w:sz w:val="20"/>
          <w:szCs w:val="20"/>
          <w:lang w:val="es-ES"/>
        </w:rPr>
        <w:tab/>
      </w:r>
      <w:r w:rsidR="00913875" w:rsidRPr="004D0C53">
        <w:rPr>
          <w:rFonts w:ascii="Verdana" w:hAnsi="Verdana" w:cs="Arial"/>
          <w:color w:val="000000" w:themeColor="text1"/>
          <w:sz w:val="20"/>
          <w:szCs w:val="20"/>
          <w:lang w:val="es-ES"/>
        </w:rPr>
        <w:t xml:space="preserve">Ahora bien, respecto de la posibilidad de ser elegido, </w:t>
      </w:r>
      <w:r w:rsidR="006B594D">
        <w:rPr>
          <w:rFonts w:ascii="Verdana" w:hAnsi="Verdana" w:cs="Arial"/>
          <w:color w:val="000000" w:themeColor="text1"/>
          <w:sz w:val="20"/>
          <w:szCs w:val="20"/>
          <w:lang w:val="es-ES"/>
        </w:rPr>
        <w:t xml:space="preserve">en </w:t>
      </w:r>
      <w:r w:rsidR="00913875" w:rsidRPr="004D0C53">
        <w:rPr>
          <w:rFonts w:ascii="Verdana" w:hAnsi="Verdana" w:cs="Arial"/>
          <w:color w:val="000000" w:themeColor="text1"/>
          <w:sz w:val="20"/>
          <w:szCs w:val="20"/>
          <w:lang w:val="es-ES"/>
        </w:rPr>
        <w:t xml:space="preserve">la Observación General no. 25 sobre “el derecho a participar en los asuntos públicos, derecho a votar y derecho al acceso, en condiciones de igualdad a las funciones públicas” del Comité de Derechos Humanos </w:t>
      </w:r>
      <w:r w:rsidR="006B594D">
        <w:rPr>
          <w:rFonts w:ascii="Verdana" w:hAnsi="Verdana" w:cs="Arial"/>
          <w:color w:val="000000" w:themeColor="text1"/>
          <w:sz w:val="20"/>
          <w:szCs w:val="20"/>
          <w:lang w:val="es-ES"/>
        </w:rPr>
        <w:t xml:space="preserve">se </w:t>
      </w:r>
      <w:r w:rsidR="00913875" w:rsidRPr="004D0C53">
        <w:rPr>
          <w:rFonts w:ascii="Verdana" w:hAnsi="Verdana" w:cs="Arial"/>
          <w:color w:val="000000" w:themeColor="text1"/>
          <w:sz w:val="20"/>
          <w:szCs w:val="20"/>
          <w:lang w:val="es-ES"/>
        </w:rPr>
        <w:t>ha indicado que “</w:t>
      </w:r>
      <w:r w:rsidR="00913875" w:rsidRPr="004D0C53">
        <w:rPr>
          <w:rFonts w:ascii="Verdana" w:hAnsi="Verdana"/>
          <w:sz w:val="20"/>
          <w:szCs w:val="20"/>
          <w:lang w:val="es-ES"/>
        </w:rPr>
        <w:t xml:space="preserve">la realización efectiva del derecho y la posibilidad de presentarse a cargos electivos garantiza que todas las personas con derecho de voto puedan elegir entre distintos candidatos. […] Las personas que de otro modo reúnan las condiciones exigidas para presentarse a elecciones no deberán ser excluidas mediante la imposición de requisitos que no sean razonables o que tengan carácter discriminatorio, como el nivel de instrucción, el </w:t>
      </w:r>
      <w:r w:rsidR="00913875" w:rsidRPr="004D0C53">
        <w:rPr>
          <w:rFonts w:ascii="Verdana" w:hAnsi="Verdana"/>
          <w:sz w:val="20"/>
          <w:szCs w:val="20"/>
          <w:lang w:val="es-ES"/>
        </w:rPr>
        <w:lastRenderedPageBreak/>
        <w:t>lugar de residencia o el origen, o a causa de su afiliación política. Nadie debe ser objeto de discriminación ni sufrir desventajas de ningún tipo a causa de su candidatura”</w:t>
      </w:r>
      <w:r w:rsidR="00913875" w:rsidRPr="004D0C53">
        <w:rPr>
          <w:rStyle w:val="FootnoteReference"/>
          <w:rFonts w:ascii="Verdana" w:hAnsi="Verdana"/>
          <w:sz w:val="20"/>
          <w:szCs w:val="20"/>
          <w:lang w:val="es-ES"/>
        </w:rPr>
        <w:footnoteReference w:id="40"/>
      </w:r>
      <w:r w:rsidR="00913875" w:rsidRPr="004D0C53">
        <w:rPr>
          <w:rFonts w:ascii="Verdana" w:hAnsi="Verdana"/>
          <w:sz w:val="20"/>
          <w:szCs w:val="20"/>
          <w:lang w:val="es-ES"/>
        </w:rPr>
        <w:t>.</w:t>
      </w:r>
    </w:p>
    <w:p w14:paraId="42D23EE2" w14:textId="77777777" w:rsidR="00913875" w:rsidRPr="004D0C53" w:rsidRDefault="00913875" w:rsidP="00913875">
      <w:pPr>
        <w:pStyle w:val="ListParagraph"/>
        <w:rPr>
          <w:rFonts w:ascii="Verdana" w:hAnsi="Verdana" w:cs="Arial"/>
          <w:color w:val="000000" w:themeColor="text1"/>
          <w:sz w:val="20"/>
          <w:szCs w:val="20"/>
          <w:lang w:val="es-ES"/>
        </w:rPr>
      </w:pPr>
    </w:p>
    <w:p w14:paraId="16C32D02" w14:textId="655ADDA7" w:rsidR="00913875" w:rsidRPr="004D0C53" w:rsidRDefault="00541E4A" w:rsidP="001C53EF">
      <w:pPr>
        <w:pStyle w:val="ListParagraph"/>
        <w:widowControl w:val="0"/>
        <w:tabs>
          <w:tab w:val="left" w:pos="567"/>
          <w:tab w:val="left" w:pos="709"/>
        </w:tabs>
        <w:autoSpaceDE w:val="0"/>
        <w:autoSpaceDN w:val="0"/>
        <w:spacing w:after="0" w:line="240" w:lineRule="auto"/>
        <w:ind w:left="0"/>
        <w:jc w:val="both"/>
        <w:rPr>
          <w:rFonts w:ascii="Verdana" w:hAnsi="Verdana" w:cs="Arial"/>
          <w:color w:val="000000" w:themeColor="text1"/>
          <w:sz w:val="20"/>
          <w:szCs w:val="20"/>
          <w:lang w:val="es-ES"/>
        </w:rPr>
      </w:pPr>
      <w:r>
        <w:rPr>
          <w:rFonts w:ascii="Verdana" w:hAnsi="Verdana" w:cs="Arial"/>
          <w:color w:val="000000" w:themeColor="text1"/>
          <w:sz w:val="20"/>
          <w:szCs w:val="20"/>
          <w:lang w:val="es-ES"/>
        </w:rPr>
        <w:t>4</w:t>
      </w:r>
      <w:r w:rsidR="00660BAB">
        <w:rPr>
          <w:rFonts w:ascii="Verdana" w:hAnsi="Verdana" w:cs="Arial"/>
          <w:color w:val="000000" w:themeColor="text1"/>
          <w:sz w:val="20"/>
          <w:szCs w:val="20"/>
          <w:lang w:val="es-ES"/>
        </w:rPr>
        <w:t>1</w:t>
      </w:r>
      <w:r w:rsidR="001C53EF">
        <w:rPr>
          <w:rFonts w:ascii="Verdana" w:hAnsi="Verdana" w:cs="Arial"/>
          <w:color w:val="000000" w:themeColor="text1"/>
          <w:sz w:val="20"/>
          <w:szCs w:val="20"/>
          <w:lang w:val="es-ES"/>
        </w:rPr>
        <w:t xml:space="preserve">. </w:t>
      </w:r>
      <w:r w:rsidR="001C53EF">
        <w:rPr>
          <w:rFonts w:ascii="Verdana" w:hAnsi="Verdana" w:cs="Arial"/>
          <w:color w:val="000000" w:themeColor="text1"/>
          <w:sz w:val="20"/>
          <w:szCs w:val="20"/>
          <w:lang w:val="es-ES"/>
        </w:rPr>
        <w:tab/>
      </w:r>
      <w:r w:rsidR="00913875" w:rsidRPr="004D0C53">
        <w:rPr>
          <w:rFonts w:ascii="Verdana" w:hAnsi="Verdana" w:cs="Arial"/>
          <w:color w:val="000000" w:themeColor="text1"/>
          <w:sz w:val="20"/>
          <w:szCs w:val="20"/>
          <w:lang w:val="es-ES"/>
        </w:rPr>
        <w:t>Por otro lado, el Comité de Derechos Humanos ha expresado que “el derecho de las personas a presentarse a elecciones no deberá́ limitarse de forma excesiva mediante el requisito de que los candidatos sean miembros de partidos o pertenezcan a determinados partidos [...]” además, “las opiniones políticas no deberán usarse como motivo para privar a una persona del derecho a presentarse a elecciones”</w:t>
      </w:r>
      <w:r w:rsidR="00913875" w:rsidRPr="004D0C53">
        <w:rPr>
          <w:rStyle w:val="FootnoteReference"/>
          <w:rFonts w:ascii="Verdana" w:hAnsi="Verdana" w:cs="Arial"/>
          <w:color w:val="000000" w:themeColor="text1"/>
          <w:sz w:val="20"/>
          <w:szCs w:val="20"/>
          <w:lang w:val="es-ES"/>
        </w:rPr>
        <w:footnoteReference w:id="41"/>
      </w:r>
      <w:r w:rsidR="00913875" w:rsidRPr="004D0C53">
        <w:rPr>
          <w:rFonts w:ascii="Verdana" w:hAnsi="Verdana" w:cs="Arial"/>
          <w:color w:val="000000" w:themeColor="text1"/>
          <w:sz w:val="20"/>
          <w:szCs w:val="20"/>
          <w:lang w:val="es-ES"/>
        </w:rPr>
        <w:t xml:space="preserve">. </w:t>
      </w:r>
    </w:p>
    <w:p w14:paraId="58A27573" w14:textId="77777777" w:rsidR="00913875" w:rsidRPr="004D0C53" w:rsidRDefault="00913875" w:rsidP="00913875">
      <w:pPr>
        <w:pStyle w:val="ListParagraph"/>
        <w:rPr>
          <w:rFonts w:ascii="Verdana" w:hAnsi="Verdana" w:cs="Arial"/>
          <w:color w:val="000000" w:themeColor="text1"/>
          <w:sz w:val="20"/>
          <w:szCs w:val="20"/>
          <w:lang w:val="es-ES"/>
        </w:rPr>
      </w:pPr>
    </w:p>
    <w:p w14:paraId="6B80A0CE" w14:textId="7F281DCF" w:rsidR="00913875" w:rsidRPr="004D0C53" w:rsidRDefault="0003172C" w:rsidP="001C53EF">
      <w:pPr>
        <w:pStyle w:val="ListParagraph"/>
        <w:widowControl w:val="0"/>
        <w:tabs>
          <w:tab w:val="left" w:pos="567"/>
          <w:tab w:val="left" w:pos="709"/>
        </w:tabs>
        <w:autoSpaceDE w:val="0"/>
        <w:autoSpaceDN w:val="0"/>
        <w:spacing w:after="0" w:line="240" w:lineRule="auto"/>
        <w:ind w:left="0"/>
        <w:jc w:val="both"/>
        <w:rPr>
          <w:rFonts w:ascii="Verdana" w:hAnsi="Verdana" w:cs="Arial"/>
          <w:color w:val="000000" w:themeColor="text1"/>
          <w:sz w:val="20"/>
          <w:szCs w:val="20"/>
          <w:lang w:val="es-ES"/>
        </w:rPr>
      </w:pPr>
      <w:r>
        <w:rPr>
          <w:rFonts w:ascii="Verdana" w:hAnsi="Verdana" w:cs="Arial"/>
          <w:color w:val="000000" w:themeColor="text1"/>
          <w:sz w:val="20"/>
          <w:szCs w:val="20"/>
          <w:lang w:val="es-ES"/>
        </w:rPr>
        <w:t>4</w:t>
      </w:r>
      <w:r w:rsidR="00660BAB">
        <w:rPr>
          <w:rFonts w:ascii="Verdana" w:hAnsi="Verdana" w:cs="Arial"/>
          <w:color w:val="000000" w:themeColor="text1"/>
          <w:sz w:val="20"/>
          <w:szCs w:val="20"/>
          <w:lang w:val="es-ES"/>
        </w:rPr>
        <w:t>2</w:t>
      </w:r>
      <w:r w:rsidR="001C53EF">
        <w:rPr>
          <w:rFonts w:ascii="Verdana" w:hAnsi="Verdana" w:cs="Arial"/>
          <w:color w:val="000000" w:themeColor="text1"/>
          <w:sz w:val="20"/>
          <w:szCs w:val="20"/>
          <w:lang w:val="es-ES"/>
        </w:rPr>
        <w:t xml:space="preserve">. </w:t>
      </w:r>
      <w:r w:rsidR="001C53EF">
        <w:rPr>
          <w:rFonts w:ascii="Verdana" w:hAnsi="Verdana" w:cs="Arial"/>
          <w:color w:val="000000" w:themeColor="text1"/>
          <w:sz w:val="20"/>
          <w:szCs w:val="20"/>
          <w:lang w:val="es-ES"/>
        </w:rPr>
        <w:tab/>
      </w:r>
      <w:r w:rsidR="00913875" w:rsidRPr="004D0C53">
        <w:rPr>
          <w:rFonts w:ascii="Verdana" w:hAnsi="Verdana" w:cs="Arial"/>
          <w:color w:val="000000" w:themeColor="text1"/>
          <w:sz w:val="20"/>
          <w:szCs w:val="20"/>
          <w:lang w:val="es-ES"/>
        </w:rPr>
        <w:t xml:space="preserve">El Comité ha hecho énfasis en que las personas con derecho de voto deben ser libres de votar a favor de cualquier candidato y a favor o en contra de cualquier propuesta que se someta a referéndum o plebiscito, </w:t>
      </w:r>
      <w:r w:rsidR="000D3B07">
        <w:rPr>
          <w:rFonts w:ascii="Verdana" w:hAnsi="Verdana" w:cs="Arial"/>
          <w:color w:val="000000" w:themeColor="text1"/>
          <w:sz w:val="20"/>
          <w:szCs w:val="20"/>
          <w:lang w:val="es-ES"/>
        </w:rPr>
        <w:t>así como</w:t>
      </w:r>
      <w:r w:rsidR="00913875" w:rsidRPr="004D0C53">
        <w:rPr>
          <w:rFonts w:ascii="Verdana" w:hAnsi="Verdana" w:cs="Arial"/>
          <w:color w:val="000000" w:themeColor="text1"/>
          <w:sz w:val="20"/>
          <w:szCs w:val="20"/>
          <w:lang w:val="es-ES"/>
        </w:rPr>
        <w:t xml:space="preserve"> de apoyar al gobierno u oponerse a él, 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w:t>
      </w:r>
      <w:r w:rsidR="00913875" w:rsidRPr="004D0C53">
        <w:rPr>
          <w:rStyle w:val="FootnoteReference"/>
          <w:rFonts w:ascii="Verdana" w:hAnsi="Verdana" w:cs="Arial"/>
          <w:color w:val="000000" w:themeColor="text1"/>
          <w:sz w:val="20"/>
          <w:szCs w:val="20"/>
          <w:lang w:val="es-ES"/>
        </w:rPr>
        <w:footnoteReference w:id="42"/>
      </w:r>
      <w:r w:rsidR="00913875" w:rsidRPr="004D0C53">
        <w:rPr>
          <w:rFonts w:ascii="Verdana" w:hAnsi="Verdana" w:cs="Arial"/>
          <w:color w:val="000000" w:themeColor="text1"/>
          <w:sz w:val="20"/>
          <w:szCs w:val="20"/>
          <w:lang w:val="es-ES"/>
        </w:rPr>
        <w:t xml:space="preserve">. </w:t>
      </w:r>
    </w:p>
    <w:p w14:paraId="40A5EB7B" w14:textId="77777777" w:rsidR="00913875" w:rsidRPr="004D0C53" w:rsidRDefault="00913875" w:rsidP="00913875">
      <w:pPr>
        <w:pStyle w:val="ListParagraph"/>
        <w:rPr>
          <w:rFonts w:ascii="Verdana" w:hAnsi="Verdana" w:cs="Arial"/>
          <w:color w:val="000000" w:themeColor="text1"/>
          <w:sz w:val="20"/>
          <w:szCs w:val="20"/>
          <w:lang w:val="es-ES"/>
        </w:rPr>
      </w:pPr>
    </w:p>
    <w:p w14:paraId="3847B636" w14:textId="03FC30D5" w:rsidR="00913875" w:rsidRPr="004D0C53" w:rsidRDefault="0003172C" w:rsidP="001C53EF">
      <w:pPr>
        <w:pStyle w:val="ListParagraph"/>
        <w:widowControl w:val="0"/>
        <w:tabs>
          <w:tab w:val="left" w:pos="567"/>
          <w:tab w:val="left" w:pos="709"/>
        </w:tabs>
        <w:autoSpaceDE w:val="0"/>
        <w:autoSpaceDN w:val="0"/>
        <w:spacing w:after="0" w:line="240" w:lineRule="auto"/>
        <w:ind w:left="0"/>
        <w:jc w:val="both"/>
        <w:rPr>
          <w:rFonts w:ascii="Verdana" w:hAnsi="Verdana" w:cs="Arial"/>
          <w:color w:val="000000" w:themeColor="text1"/>
          <w:sz w:val="20"/>
          <w:szCs w:val="20"/>
          <w:lang w:val="es-ES"/>
        </w:rPr>
      </w:pPr>
      <w:r>
        <w:rPr>
          <w:rFonts w:ascii="Verdana" w:hAnsi="Verdana" w:cs="Arial"/>
          <w:color w:val="000000" w:themeColor="text1"/>
          <w:sz w:val="20"/>
          <w:szCs w:val="20"/>
          <w:lang w:val="es-ES"/>
        </w:rPr>
        <w:t>4</w:t>
      </w:r>
      <w:r w:rsidR="00660BAB">
        <w:rPr>
          <w:rFonts w:ascii="Verdana" w:hAnsi="Verdana" w:cs="Arial"/>
          <w:color w:val="000000" w:themeColor="text1"/>
          <w:sz w:val="20"/>
          <w:szCs w:val="20"/>
          <w:lang w:val="es-ES"/>
        </w:rPr>
        <w:t>3</w:t>
      </w:r>
      <w:r w:rsidR="001C53EF">
        <w:rPr>
          <w:rFonts w:ascii="Verdana" w:hAnsi="Verdana" w:cs="Arial"/>
          <w:color w:val="000000" w:themeColor="text1"/>
          <w:sz w:val="20"/>
          <w:szCs w:val="20"/>
          <w:lang w:val="es-ES"/>
        </w:rPr>
        <w:t xml:space="preserve">. </w:t>
      </w:r>
      <w:r w:rsidR="001C53EF">
        <w:rPr>
          <w:rFonts w:ascii="Verdana" w:hAnsi="Verdana" w:cs="Arial"/>
          <w:color w:val="000000" w:themeColor="text1"/>
          <w:sz w:val="20"/>
          <w:szCs w:val="20"/>
          <w:lang w:val="es-ES"/>
        </w:rPr>
        <w:tab/>
      </w:r>
      <w:r w:rsidR="00F84843">
        <w:rPr>
          <w:rFonts w:ascii="Verdana" w:hAnsi="Verdana" w:cs="Arial"/>
          <w:color w:val="000000" w:themeColor="text1"/>
          <w:sz w:val="20"/>
          <w:szCs w:val="20"/>
          <w:lang w:val="es-ES"/>
        </w:rPr>
        <w:t>E</w:t>
      </w:r>
      <w:r w:rsidR="00913875" w:rsidRPr="004D0C53">
        <w:rPr>
          <w:rFonts w:ascii="Verdana" w:hAnsi="Verdana" w:cs="Arial"/>
          <w:color w:val="000000" w:themeColor="text1"/>
          <w:sz w:val="20"/>
          <w:szCs w:val="20"/>
          <w:lang w:val="es-ES"/>
        </w:rPr>
        <w:t>n cuanto a los topes de gastos electorales, est</w:t>
      </w:r>
      <w:r w:rsidR="00660BAB">
        <w:rPr>
          <w:rFonts w:ascii="Verdana" w:hAnsi="Verdana" w:cs="Arial"/>
          <w:color w:val="000000" w:themeColor="text1"/>
          <w:sz w:val="20"/>
          <w:szCs w:val="20"/>
          <w:lang w:val="es-ES"/>
        </w:rPr>
        <w:t>a</w:t>
      </w:r>
      <w:r w:rsidR="00913875" w:rsidRPr="004D0C53">
        <w:rPr>
          <w:rFonts w:ascii="Verdana" w:hAnsi="Verdana" w:cs="Arial"/>
          <w:color w:val="000000" w:themeColor="text1"/>
          <w:sz w:val="20"/>
          <w:szCs w:val="20"/>
          <w:lang w:val="es-ES"/>
        </w:rPr>
        <w:t xml:space="preserve"> medida puede estar justificada cuando sea necesaria para asegurar que la libre elección de los votantes no se vea afectada o que el proceso democrático quede perturbado por gastos desproporcionados en favor de un candidato o un partido</w:t>
      </w:r>
      <w:r w:rsidR="00913875" w:rsidRPr="004D0C53">
        <w:rPr>
          <w:rStyle w:val="FootnoteReference"/>
          <w:rFonts w:ascii="Verdana" w:hAnsi="Verdana" w:cs="Arial"/>
          <w:color w:val="000000" w:themeColor="text1"/>
          <w:sz w:val="20"/>
          <w:szCs w:val="20"/>
          <w:lang w:val="es-ES"/>
        </w:rPr>
        <w:footnoteReference w:id="43"/>
      </w:r>
      <w:r w:rsidR="00913875" w:rsidRPr="004D0C53">
        <w:rPr>
          <w:rFonts w:ascii="Verdana" w:hAnsi="Verdana" w:cs="Arial"/>
          <w:color w:val="000000" w:themeColor="text1"/>
          <w:sz w:val="20"/>
          <w:szCs w:val="20"/>
          <w:lang w:val="es-ES"/>
        </w:rPr>
        <w:t>.</w:t>
      </w:r>
    </w:p>
    <w:p w14:paraId="3225F801" w14:textId="77777777" w:rsidR="00913875" w:rsidRPr="004D0C53" w:rsidRDefault="00913875" w:rsidP="00913875">
      <w:pPr>
        <w:pStyle w:val="ListParagraph"/>
        <w:rPr>
          <w:rFonts w:ascii="Verdana" w:hAnsi="Verdana" w:cs="Arial"/>
          <w:color w:val="000000" w:themeColor="text1"/>
          <w:sz w:val="20"/>
          <w:szCs w:val="20"/>
          <w:lang w:val="es-ES"/>
        </w:rPr>
      </w:pPr>
    </w:p>
    <w:p w14:paraId="4C5398F6" w14:textId="207B9EF7" w:rsidR="00913875" w:rsidRDefault="0003172C" w:rsidP="001C53EF">
      <w:pPr>
        <w:pStyle w:val="ListParagraph"/>
        <w:widowControl w:val="0"/>
        <w:tabs>
          <w:tab w:val="left" w:pos="567"/>
          <w:tab w:val="left" w:pos="709"/>
        </w:tabs>
        <w:autoSpaceDE w:val="0"/>
        <w:autoSpaceDN w:val="0"/>
        <w:spacing w:after="0" w:line="240" w:lineRule="auto"/>
        <w:ind w:left="0"/>
        <w:jc w:val="both"/>
        <w:rPr>
          <w:rFonts w:ascii="Verdana" w:hAnsi="Verdana" w:cs="Arial"/>
          <w:color w:val="000000" w:themeColor="text1"/>
          <w:sz w:val="20"/>
          <w:szCs w:val="20"/>
          <w:lang w:val="es-ES"/>
        </w:rPr>
      </w:pPr>
      <w:r>
        <w:rPr>
          <w:rFonts w:ascii="Verdana" w:hAnsi="Verdana" w:cs="Arial"/>
          <w:color w:val="000000" w:themeColor="text1"/>
          <w:sz w:val="20"/>
          <w:szCs w:val="20"/>
          <w:lang w:val="es-ES"/>
        </w:rPr>
        <w:t>4</w:t>
      </w:r>
      <w:r w:rsidR="00660BAB">
        <w:rPr>
          <w:rFonts w:ascii="Verdana" w:hAnsi="Verdana" w:cs="Arial"/>
          <w:color w:val="000000" w:themeColor="text1"/>
          <w:sz w:val="20"/>
          <w:szCs w:val="20"/>
          <w:lang w:val="es-ES"/>
        </w:rPr>
        <w:t>4</w:t>
      </w:r>
      <w:r w:rsidR="001C53EF">
        <w:rPr>
          <w:rFonts w:ascii="Verdana" w:hAnsi="Verdana" w:cs="Arial"/>
          <w:color w:val="000000" w:themeColor="text1"/>
          <w:sz w:val="20"/>
          <w:szCs w:val="20"/>
          <w:lang w:val="es-ES"/>
        </w:rPr>
        <w:t xml:space="preserve">. </w:t>
      </w:r>
      <w:r w:rsidR="001C53EF">
        <w:rPr>
          <w:rFonts w:ascii="Verdana" w:hAnsi="Verdana" w:cs="Arial"/>
          <w:color w:val="000000" w:themeColor="text1"/>
          <w:sz w:val="20"/>
          <w:szCs w:val="20"/>
          <w:lang w:val="es-ES"/>
        </w:rPr>
        <w:tab/>
      </w:r>
      <w:r w:rsidR="00913875" w:rsidRPr="004D0C53">
        <w:rPr>
          <w:rFonts w:ascii="Verdana" w:hAnsi="Verdana" w:cs="Arial"/>
          <w:color w:val="000000" w:themeColor="text1"/>
          <w:sz w:val="20"/>
          <w:szCs w:val="20"/>
          <w:lang w:val="es-ES"/>
        </w:rPr>
        <w:t>El Comité ha hecho especial énfasis en que los votantes estén protegidos contra toda forma de coacción para revelar cómo van a votar o cómo han votado, y contra toda injerencia ilícita en el proceso electoral. La renuncia de estos derechos es incompatible con las disposiciones del artículo 25 del Pacto, por lo que deberá́ garantizarse la seguridad de las urnas y los votos deben escrutarse en presencia de los candidatos o de sus agentes</w:t>
      </w:r>
      <w:r w:rsidR="00913875" w:rsidRPr="004D0C53">
        <w:rPr>
          <w:rStyle w:val="FootnoteReference"/>
          <w:rFonts w:ascii="Verdana" w:hAnsi="Verdana" w:cs="Arial"/>
          <w:color w:val="000000" w:themeColor="text1"/>
          <w:sz w:val="20"/>
          <w:szCs w:val="20"/>
          <w:lang w:val="es-ES"/>
        </w:rPr>
        <w:footnoteReference w:id="44"/>
      </w:r>
      <w:r w:rsidR="00913875" w:rsidRPr="004D0C53">
        <w:rPr>
          <w:rFonts w:ascii="Verdana" w:hAnsi="Verdana" w:cs="Arial"/>
          <w:color w:val="000000" w:themeColor="text1"/>
          <w:sz w:val="20"/>
          <w:szCs w:val="20"/>
          <w:lang w:val="es-ES"/>
        </w:rPr>
        <w:t xml:space="preserve">. </w:t>
      </w:r>
    </w:p>
    <w:p w14:paraId="149DB610" w14:textId="77777777" w:rsidR="001C53EF" w:rsidRPr="004D0C53" w:rsidRDefault="001C53EF" w:rsidP="001C53EF">
      <w:pPr>
        <w:pStyle w:val="ListParagraph"/>
        <w:widowControl w:val="0"/>
        <w:tabs>
          <w:tab w:val="left" w:pos="567"/>
          <w:tab w:val="left" w:pos="709"/>
        </w:tabs>
        <w:autoSpaceDE w:val="0"/>
        <w:autoSpaceDN w:val="0"/>
        <w:spacing w:after="0" w:line="240" w:lineRule="auto"/>
        <w:ind w:left="0"/>
        <w:jc w:val="both"/>
        <w:rPr>
          <w:rFonts w:ascii="Verdana" w:hAnsi="Verdana" w:cs="Arial"/>
          <w:color w:val="000000" w:themeColor="text1"/>
          <w:sz w:val="20"/>
          <w:szCs w:val="20"/>
          <w:lang w:val="es-ES"/>
        </w:rPr>
      </w:pPr>
    </w:p>
    <w:p w14:paraId="6817ADB8" w14:textId="6E5CD41E" w:rsidR="00913875" w:rsidRDefault="001C53EF" w:rsidP="001C53EF">
      <w:pPr>
        <w:pStyle w:val="ListParagraph"/>
        <w:widowControl w:val="0"/>
        <w:tabs>
          <w:tab w:val="left" w:pos="567"/>
          <w:tab w:val="left" w:pos="709"/>
        </w:tabs>
        <w:autoSpaceDE w:val="0"/>
        <w:autoSpaceDN w:val="0"/>
        <w:spacing w:after="0" w:line="240" w:lineRule="auto"/>
        <w:ind w:left="0"/>
        <w:jc w:val="both"/>
        <w:rPr>
          <w:rFonts w:ascii="Verdana" w:hAnsi="Verdana" w:cs="Arial"/>
          <w:color w:val="000000" w:themeColor="text1"/>
          <w:sz w:val="20"/>
          <w:szCs w:val="20"/>
          <w:lang w:val="es-ES"/>
        </w:rPr>
      </w:pPr>
      <w:r>
        <w:rPr>
          <w:rFonts w:ascii="Verdana" w:hAnsi="Verdana" w:cs="Arial"/>
          <w:color w:val="000000" w:themeColor="text1"/>
          <w:sz w:val="20"/>
          <w:szCs w:val="20"/>
          <w:lang w:val="es-ES"/>
        </w:rPr>
        <w:t>4</w:t>
      </w:r>
      <w:r w:rsidR="00660BAB">
        <w:rPr>
          <w:rFonts w:ascii="Verdana" w:hAnsi="Verdana" w:cs="Arial"/>
          <w:color w:val="000000" w:themeColor="text1"/>
          <w:sz w:val="20"/>
          <w:szCs w:val="20"/>
          <w:lang w:val="es-ES"/>
        </w:rPr>
        <w:t>5</w:t>
      </w:r>
      <w:r>
        <w:rPr>
          <w:rFonts w:ascii="Verdana" w:hAnsi="Verdana" w:cs="Arial"/>
          <w:color w:val="000000" w:themeColor="text1"/>
          <w:sz w:val="20"/>
          <w:szCs w:val="20"/>
          <w:lang w:val="es-ES"/>
        </w:rPr>
        <w:t xml:space="preserve">. </w:t>
      </w:r>
      <w:r>
        <w:rPr>
          <w:rFonts w:ascii="Verdana" w:hAnsi="Verdana" w:cs="Arial"/>
          <w:color w:val="000000" w:themeColor="text1"/>
          <w:sz w:val="20"/>
          <w:szCs w:val="20"/>
          <w:lang w:val="es-ES"/>
        </w:rPr>
        <w:tab/>
      </w:r>
      <w:r w:rsidR="00913875" w:rsidRPr="004D0C53">
        <w:rPr>
          <w:rFonts w:ascii="Verdana" w:hAnsi="Verdana" w:cs="Arial"/>
          <w:color w:val="000000" w:themeColor="text1"/>
          <w:sz w:val="20"/>
          <w:szCs w:val="20"/>
          <w:lang w:val="es-ES"/>
        </w:rPr>
        <w:t xml:space="preserve">Finalmente, en cuanto al acceso a la justicia electoral, </w:t>
      </w:r>
      <w:r w:rsidR="00216B50">
        <w:rPr>
          <w:rFonts w:ascii="Verdana" w:hAnsi="Verdana" w:cs="Arial"/>
          <w:color w:val="000000" w:themeColor="text1"/>
          <w:sz w:val="20"/>
          <w:szCs w:val="20"/>
          <w:lang w:val="es-ES"/>
        </w:rPr>
        <w:t xml:space="preserve">el Comité ha notado que </w:t>
      </w:r>
      <w:r w:rsidR="00913875" w:rsidRPr="004D0C53">
        <w:rPr>
          <w:rFonts w:ascii="Verdana" w:hAnsi="Verdana" w:cs="Arial"/>
          <w:color w:val="000000" w:themeColor="text1"/>
          <w:sz w:val="20"/>
          <w:szCs w:val="20"/>
          <w:lang w:val="es-ES"/>
        </w:rPr>
        <w:t>debe establecerse una junta electoral independiente para que supervise el proceso electoral y garantice que se desarroll</w:t>
      </w:r>
      <w:r w:rsidR="000D3B07">
        <w:rPr>
          <w:rFonts w:ascii="Verdana" w:hAnsi="Verdana" w:cs="Arial"/>
          <w:color w:val="000000" w:themeColor="text1"/>
          <w:sz w:val="20"/>
          <w:szCs w:val="20"/>
          <w:lang w:val="es-ES"/>
        </w:rPr>
        <w:t>e</w:t>
      </w:r>
      <w:r w:rsidR="00913875" w:rsidRPr="004D0C53">
        <w:rPr>
          <w:rFonts w:ascii="Verdana" w:hAnsi="Verdana" w:cs="Arial"/>
          <w:color w:val="000000" w:themeColor="text1"/>
          <w:sz w:val="20"/>
          <w:szCs w:val="20"/>
          <w:lang w:val="es-ES"/>
        </w:rPr>
        <w:t xml:space="preserve"> en forma justa e imparcial y de conformidad con disposiciones jurídicas compatibles con el Pacto</w:t>
      </w:r>
      <w:r w:rsidR="000D3B07">
        <w:rPr>
          <w:rFonts w:ascii="Verdana" w:hAnsi="Verdana" w:cs="Arial"/>
          <w:color w:val="000000" w:themeColor="text1"/>
          <w:sz w:val="20"/>
          <w:szCs w:val="20"/>
          <w:lang w:val="es-ES"/>
        </w:rPr>
        <w:t xml:space="preserve">. Asimismo, </w:t>
      </w:r>
      <w:r w:rsidR="00913875" w:rsidRPr="004D0C53">
        <w:rPr>
          <w:rFonts w:ascii="Verdana" w:hAnsi="Verdana" w:cs="Arial"/>
          <w:color w:val="000000" w:themeColor="text1"/>
          <w:sz w:val="20"/>
          <w:szCs w:val="20"/>
          <w:lang w:val="es-ES"/>
        </w:rPr>
        <w:t>debe haber un escrutinio de los votos y un proceso de recuento independientes y con posibilidad de revisión judicial o de otro proceso equivalente a fin de que los electores tengan confianza en la seguridad de la votación y recuento de votos</w:t>
      </w:r>
      <w:r w:rsidR="00913875" w:rsidRPr="004D0C53">
        <w:rPr>
          <w:rStyle w:val="FootnoteReference"/>
          <w:rFonts w:ascii="Verdana" w:hAnsi="Verdana" w:cs="Arial"/>
          <w:color w:val="000000" w:themeColor="text1"/>
          <w:sz w:val="20"/>
          <w:szCs w:val="20"/>
          <w:lang w:val="es-ES"/>
        </w:rPr>
        <w:footnoteReference w:id="45"/>
      </w:r>
      <w:r w:rsidR="00913875" w:rsidRPr="004D0C53">
        <w:rPr>
          <w:rFonts w:ascii="Verdana" w:hAnsi="Verdana" w:cs="Arial"/>
          <w:color w:val="000000" w:themeColor="text1"/>
          <w:sz w:val="20"/>
          <w:szCs w:val="20"/>
          <w:lang w:val="es-ES"/>
        </w:rPr>
        <w:t xml:space="preserve">. </w:t>
      </w:r>
    </w:p>
    <w:p w14:paraId="4162F762" w14:textId="77777777" w:rsidR="001C53EF" w:rsidRPr="001C53EF" w:rsidRDefault="001C53EF" w:rsidP="001C53EF">
      <w:pPr>
        <w:pStyle w:val="ListParagraph"/>
        <w:widowControl w:val="0"/>
        <w:tabs>
          <w:tab w:val="left" w:pos="567"/>
          <w:tab w:val="left" w:pos="709"/>
        </w:tabs>
        <w:autoSpaceDE w:val="0"/>
        <w:autoSpaceDN w:val="0"/>
        <w:spacing w:after="0" w:line="240" w:lineRule="auto"/>
        <w:ind w:left="0"/>
        <w:jc w:val="both"/>
        <w:rPr>
          <w:rFonts w:ascii="Verdana" w:hAnsi="Verdana" w:cs="Arial"/>
          <w:color w:val="000000" w:themeColor="text1"/>
          <w:sz w:val="20"/>
          <w:szCs w:val="20"/>
          <w:lang w:val="es-ES"/>
        </w:rPr>
      </w:pPr>
    </w:p>
    <w:p w14:paraId="4583AA54" w14:textId="266EE609" w:rsidR="00913875" w:rsidRDefault="00913875" w:rsidP="00913875">
      <w:pPr>
        <w:pStyle w:val="ListParagraph"/>
        <w:numPr>
          <w:ilvl w:val="0"/>
          <w:numId w:val="10"/>
        </w:numPr>
        <w:spacing w:after="0" w:line="240" w:lineRule="auto"/>
        <w:rPr>
          <w:rFonts w:ascii="Verdana" w:hAnsi="Verdana" w:cs="Arial"/>
          <w:i/>
          <w:iCs/>
          <w:color w:val="000000" w:themeColor="text1"/>
          <w:sz w:val="20"/>
          <w:szCs w:val="20"/>
          <w:shd w:val="clear" w:color="auto" w:fill="FFFFFF"/>
          <w:lang w:val="es-ES"/>
        </w:rPr>
      </w:pPr>
      <w:r w:rsidRPr="007E2C15">
        <w:rPr>
          <w:rFonts w:ascii="Verdana" w:hAnsi="Verdana" w:cs="Arial"/>
          <w:i/>
          <w:iCs/>
          <w:color w:val="000000" w:themeColor="text1"/>
          <w:sz w:val="20"/>
          <w:szCs w:val="20"/>
          <w:shd w:val="clear" w:color="auto" w:fill="FFFFFF"/>
          <w:lang w:val="es-ES"/>
        </w:rPr>
        <w:t xml:space="preserve">Sistema Africano </w:t>
      </w:r>
    </w:p>
    <w:p w14:paraId="077BA012" w14:textId="77777777" w:rsidR="001C53EF" w:rsidRPr="001C53EF" w:rsidRDefault="001C53EF" w:rsidP="001C53EF">
      <w:pPr>
        <w:pStyle w:val="ListParagraph"/>
        <w:spacing w:after="0" w:line="240" w:lineRule="auto"/>
        <w:ind w:left="360"/>
        <w:rPr>
          <w:rFonts w:ascii="Verdana" w:hAnsi="Verdana" w:cs="Arial"/>
          <w:i/>
          <w:iCs/>
          <w:color w:val="000000" w:themeColor="text1"/>
          <w:sz w:val="20"/>
          <w:szCs w:val="20"/>
          <w:shd w:val="clear" w:color="auto" w:fill="FFFFFF"/>
          <w:lang w:val="es-ES"/>
        </w:rPr>
      </w:pPr>
    </w:p>
    <w:p w14:paraId="672A2012" w14:textId="6A74236B" w:rsidR="00913875" w:rsidRPr="004D0C53" w:rsidRDefault="001C53EF" w:rsidP="001C53EF">
      <w:pPr>
        <w:pStyle w:val="ListParagraph"/>
        <w:spacing w:after="0" w:line="240" w:lineRule="auto"/>
        <w:ind w:left="0"/>
        <w:jc w:val="both"/>
        <w:rPr>
          <w:rFonts w:ascii="Verdana" w:hAnsi="Verdana"/>
          <w:sz w:val="20"/>
          <w:szCs w:val="20"/>
          <w:lang w:val="es-ES"/>
        </w:rPr>
      </w:pPr>
      <w:r>
        <w:rPr>
          <w:rFonts w:ascii="Verdana" w:hAnsi="Verdana"/>
          <w:sz w:val="20"/>
          <w:szCs w:val="20"/>
          <w:lang w:val="es-ES"/>
        </w:rPr>
        <w:t>4</w:t>
      </w:r>
      <w:r w:rsidR="00660BAB">
        <w:rPr>
          <w:rFonts w:ascii="Verdana" w:hAnsi="Verdana"/>
          <w:sz w:val="20"/>
          <w:szCs w:val="20"/>
          <w:lang w:val="es-ES"/>
        </w:rPr>
        <w:t>6</w:t>
      </w:r>
      <w:r>
        <w:rPr>
          <w:rFonts w:ascii="Verdana" w:hAnsi="Verdana"/>
          <w:sz w:val="20"/>
          <w:szCs w:val="20"/>
          <w:lang w:val="es-ES"/>
        </w:rPr>
        <w:t xml:space="preserve">. </w:t>
      </w:r>
      <w:r>
        <w:rPr>
          <w:rFonts w:ascii="Verdana" w:hAnsi="Verdana"/>
          <w:sz w:val="20"/>
          <w:szCs w:val="20"/>
          <w:lang w:val="es-ES"/>
        </w:rPr>
        <w:tab/>
      </w:r>
      <w:r w:rsidR="00913875" w:rsidRPr="004D0C53">
        <w:rPr>
          <w:rFonts w:ascii="Verdana" w:hAnsi="Verdana"/>
          <w:sz w:val="20"/>
          <w:szCs w:val="20"/>
          <w:lang w:val="es-ES"/>
        </w:rPr>
        <w:t xml:space="preserve">El artículo 13.1) de la Carta Africana de Derechos Humanos y de los Pueblos, es la principal disposición sobre la participación política, </w:t>
      </w:r>
      <w:r w:rsidR="000D3B07">
        <w:rPr>
          <w:rFonts w:ascii="Verdana" w:hAnsi="Verdana"/>
          <w:sz w:val="20"/>
          <w:szCs w:val="20"/>
          <w:lang w:val="es-ES"/>
        </w:rPr>
        <w:t xml:space="preserve">el cual </w:t>
      </w:r>
      <w:r w:rsidR="00913875" w:rsidRPr="004D0C53">
        <w:rPr>
          <w:rFonts w:ascii="Verdana" w:hAnsi="Verdana"/>
          <w:sz w:val="20"/>
          <w:szCs w:val="20"/>
          <w:lang w:val="es-ES"/>
        </w:rPr>
        <w:t xml:space="preserve">establece que “todo ciudadano tendrá derecho a participar libremente en el gobierno de su país, ya sea directamente o por medio de representantes libremente elegidos, de conformidad con las disposiciones de la ley". </w:t>
      </w:r>
    </w:p>
    <w:p w14:paraId="561D3E49" w14:textId="77777777" w:rsidR="00913875" w:rsidRPr="004D0C53" w:rsidRDefault="00913875" w:rsidP="00913875">
      <w:pPr>
        <w:pStyle w:val="ListParagraph"/>
        <w:ind w:left="0"/>
        <w:jc w:val="both"/>
        <w:rPr>
          <w:rFonts w:ascii="Verdana" w:hAnsi="Verdana"/>
          <w:sz w:val="20"/>
          <w:szCs w:val="20"/>
          <w:lang w:val="es-ES"/>
        </w:rPr>
      </w:pPr>
    </w:p>
    <w:p w14:paraId="3AEB5800" w14:textId="59034915" w:rsidR="00913875" w:rsidRPr="004D0C53" w:rsidRDefault="001C53EF" w:rsidP="001C53EF">
      <w:pPr>
        <w:pStyle w:val="ListParagraph"/>
        <w:spacing w:after="0" w:line="240" w:lineRule="auto"/>
        <w:ind w:left="0"/>
        <w:jc w:val="both"/>
        <w:rPr>
          <w:rFonts w:ascii="Verdana" w:hAnsi="Verdana" w:cs="Arial"/>
          <w:color w:val="000000" w:themeColor="text1"/>
          <w:sz w:val="20"/>
          <w:szCs w:val="20"/>
          <w:shd w:val="clear" w:color="auto" w:fill="FFFFFF"/>
          <w:lang w:val="es-ES"/>
        </w:rPr>
      </w:pPr>
      <w:r>
        <w:rPr>
          <w:rFonts w:ascii="Verdana" w:hAnsi="Verdana" w:cs="Arial"/>
          <w:color w:val="000000" w:themeColor="text1"/>
          <w:sz w:val="20"/>
          <w:szCs w:val="20"/>
          <w:shd w:val="clear" w:color="auto" w:fill="FFFFFF"/>
          <w:lang w:val="es-ES"/>
        </w:rPr>
        <w:t>4</w:t>
      </w:r>
      <w:r w:rsidR="00660BAB">
        <w:rPr>
          <w:rFonts w:ascii="Verdana" w:hAnsi="Verdana" w:cs="Arial"/>
          <w:color w:val="000000" w:themeColor="text1"/>
          <w:sz w:val="20"/>
          <w:szCs w:val="20"/>
          <w:shd w:val="clear" w:color="auto" w:fill="FFFFFF"/>
          <w:lang w:val="es-ES"/>
        </w:rPr>
        <w:t>7</w:t>
      </w:r>
      <w:r>
        <w:rPr>
          <w:rFonts w:ascii="Verdana" w:hAnsi="Verdana" w:cs="Arial"/>
          <w:color w:val="000000" w:themeColor="text1"/>
          <w:sz w:val="20"/>
          <w:szCs w:val="20"/>
          <w:shd w:val="clear" w:color="auto" w:fill="FFFFFF"/>
          <w:lang w:val="es-ES"/>
        </w:rPr>
        <w:t xml:space="preserve">. </w:t>
      </w:r>
      <w:r>
        <w:rPr>
          <w:rFonts w:ascii="Verdana" w:hAnsi="Verdana" w:cs="Arial"/>
          <w:color w:val="000000" w:themeColor="text1"/>
          <w:sz w:val="20"/>
          <w:szCs w:val="20"/>
          <w:shd w:val="clear" w:color="auto" w:fill="FFFFFF"/>
          <w:lang w:val="es-ES"/>
        </w:rPr>
        <w:tab/>
      </w:r>
      <w:r w:rsidR="00913875" w:rsidRPr="004D0C53">
        <w:rPr>
          <w:rFonts w:ascii="Verdana" w:hAnsi="Verdana" w:cs="Arial"/>
          <w:color w:val="000000" w:themeColor="text1"/>
          <w:sz w:val="20"/>
          <w:szCs w:val="20"/>
          <w:shd w:val="clear" w:color="auto" w:fill="FFFFFF"/>
          <w:lang w:val="es-ES"/>
        </w:rPr>
        <w:t>Al respecto, la Corte Africana de Derechos Humanos y de los Pueblos ha indicado que “</w:t>
      </w:r>
      <w:r w:rsidR="00913875" w:rsidRPr="004D0C53">
        <w:rPr>
          <w:rFonts w:ascii="Verdana" w:hAnsi="Verdana"/>
          <w:sz w:val="20"/>
          <w:szCs w:val="20"/>
          <w:lang w:val="es-ES"/>
        </w:rPr>
        <w:t>los derechos garantizados por la Carta tal como se establece en el Artículo 13 (1) son derechos individuales. No están destinados a disfrutarse únicamente en asociación con otras personas o grupos de personas, como los partidos políticos. Por lo tanto, en una solicitud […], lo que es de suma importancia es si un derecho individual ha sido puesto en peligro o violado de otra manera, no si los grupos pueden o no disfrutar de ese derecho en particular”.</w:t>
      </w:r>
      <w:r w:rsidR="00913875" w:rsidRPr="004D0C53">
        <w:rPr>
          <w:rFonts w:ascii="Verdana" w:hAnsi="Verdana" w:cs="Arial"/>
          <w:color w:val="000000" w:themeColor="text1"/>
          <w:sz w:val="20"/>
          <w:szCs w:val="20"/>
          <w:shd w:val="clear" w:color="auto" w:fill="FFFFFF"/>
          <w:lang w:val="es-ES"/>
        </w:rPr>
        <w:t xml:space="preserve"> La Corte Africana, ha agregado que el artículo 13.1 “</w:t>
      </w:r>
      <w:r w:rsidR="00913875" w:rsidRPr="004D0C53">
        <w:rPr>
          <w:rFonts w:ascii="Verdana" w:hAnsi="Verdana"/>
          <w:sz w:val="20"/>
          <w:szCs w:val="20"/>
          <w:lang w:val="es-ES"/>
        </w:rPr>
        <w:t>da al ciudadano la opción de participar en el gobierno de su país directamente o a través de representantes”</w:t>
      </w:r>
      <w:r w:rsidR="00913875" w:rsidRPr="00164996">
        <w:rPr>
          <w:rStyle w:val="FootnoteReference"/>
          <w:rFonts w:ascii="Verdana" w:hAnsi="Verdana"/>
          <w:sz w:val="20"/>
          <w:szCs w:val="20"/>
          <w:lang w:val="es-ES"/>
        </w:rPr>
        <w:t xml:space="preserve"> </w:t>
      </w:r>
      <w:r w:rsidR="00913875" w:rsidRPr="004D0C53">
        <w:rPr>
          <w:rStyle w:val="FootnoteReference"/>
          <w:rFonts w:ascii="Verdana" w:hAnsi="Verdana"/>
          <w:sz w:val="20"/>
          <w:szCs w:val="20"/>
          <w:lang w:val="es-ES"/>
        </w:rPr>
        <w:footnoteReference w:id="46"/>
      </w:r>
      <w:r w:rsidR="00913875" w:rsidRPr="004D0C53">
        <w:rPr>
          <w:rFonts w:ascii="Verdana" w:hAnsi="Verdana"/>
          <w:sz w:val="20"/>
          <w:szCs w:val="20"/>
          <w:lang w:val="es-ES"/>
        </w:rPr>
        <w:t xml:space="preserve">. </w:t>
      </w:r>
    </w:p>
    <w:p w14:paraId="719BDDE6" w14:textId="77777777" w:rsidR="00913875" w:rsidRPr="004D0C53" w:rsidRDefault="00913875" w:rsidP="00913875">
      <w:pPr>
        <w:pStyle w:val="ListParagraph"/>
        <w:rPr>
          <w:rFonts w:ascii="Verdana" w:hAnsi="Verdana" w:cs="Arial"/>
          <w:color w:val="000000" w:themeColor="text1"/>
          <w:sz w:val="20"/>
          <w:szCs w:val="20"/>
          <w:shd w:val="clear" w:color="auto" w:fill="FFFFFF"/>
          <w:lang w:val="es-ES"/>
        </w:rPr>
      </w:pPr>
    </w:p>
    <w:p w14:paraId="039CC1F6" w14:textId="623AEC2F" w:rsidR="00913875" w:rsidRPr="001C53EF" w:rsidRDefault="00913875" w:rsidP="001C53EF">
      <w:pPr>
        <w:pStyle w:val="ListParagraph"/>
        <w:numPr>
          <w:ilvl w:val="0"/>
          <w:numId w:val="10"/>
        </w:numPr>
        <w:spacing w:after="0" w:line="240" w:lineRule="auto"/>
        <w:jc w:val="both"/>
        <w:rPr>
          <w:rFonts w:ascii="Verdana" w:hAnsi="Verdana" w:cs="Arial"/>
          <w:i/>
          <w:iCs/>
          <w:color w:val="000000" w:themeColor="text1"/>
          <w:sz w:val="20"/>
          <w:szCs w:val="20"/>
          <w:shd w:val="clear" w:color="auto" w:fill="FFFFFF"/>
          <w:lang w:val="es-ES"/>
        </w:rPr>
      </w:pPr>
      <w:r w:rsidRPr="001C53EF">
        <w:rPr>
          <w:rFonts w:ascii="Verdana" w:hAnsi="Verdana" w:cs="Arial"/>
          <w:i/>
          <w:iCs/>
          <w:color w:val="000000" w:themeColor="text1"/>
          <w:sz w:val="20"/>
          <w:szCs w:val="20"/>
          <w:shd w:val="clear" w:color="auto" w:fill="FFFFFF"/>
          <w:lang w:val="es-ES"/>
        </w:rPr>
        <w:t>Sistema Europeo</w:t>
      </w:r>
    </w:p>
    <w:p w14:paraId="2FC9A228" w14:textId="77777777" w:rsidR="00913875" w:rsidRPr="004D0C53" w:rsidRDefault="00913875" w:rsidP="00913875">
      <w:pPr>
        <w:pStyle w:val="ListParagraph"/>
        <w:jc w:val="both"/>
        <w:rPr>
          <w:rFonts w:ascii="Verdana" w:hAnsi="Verdana" w:cs="Arial"/>
          <w:color w:val="000000" w:themeColor="text1"/>
          <w:sz w:val="20"/>
          <w:szCs w:val="20"/>
          <w:shd w:val="clear" w:color="auto" w:fill="FFFFFF"/>
          <w:lang w:val="es-ES"/>
        </w:rPr>
      </w:pPr>
    </w:p>
    <w:p w14:paraId="655E9D50" w14:textId="77777777" w:rsidR="00913875" w:rsidRPr="004D0C53" w:rsidRDefault="00913875" w:rsidP="00913875">
      <w:pPr>
        <w:pStyle w:val="ListParagraph"/>
        <w:numPr>
          <w:ilvl w:val="0"/>
          <w:numId w:val="7"/>
        </w:numPr>
        <w:spacing w:after="0" w:line="240" w:lineRule="auto"/>
        <w:ind w:left="0" w:hanging="11"/>
        <w:jc w:val="both"/>
        <w:rPr>
          <w:rFonts w:ascii="Verdana" w:hAnsi="Verdana" w:cs="Arial"/>
          <w:i/>
          <w:iCs/>
          <w:color w:val="000000" w:themeColor="text1"/>
          <w:sz w:val="20"/>
          <w:szCs w:val="20"/>
          <w:shd w:val="clear" w:color="auto" w:fill="FFFFFF"/>
          <w:lang w:val="es-ES"/>
        </w:rPr>
      </w:pPr>
      <w:r w:rsidRPr="004D0C53">
        <w:rPr>
          <w:rFonts w:ascii="Verdana" w:hAnsi="Verdana" w:cs="Arial"/>
          <w:i/>
          <w:iCs/>
          <w:color w:val="000000" w:themeColor="text1"/>
          <w:sz w:val="20"/>
          <w:szCs w:val="20"/>
          <w:shd w:val="clear" w:color="auto" w:fill="FFFFFF"/>
          <w:lang w:val="es-ES"/>
        </w:rPr>
        <w:t xml:space="preserve">Principios generales </w:t>
      </w:r>
    </w:p>
    <w:p w14:paraId="6952D451" w14:textId="77777777" w:rsidR="001C53EF" w:rsidRDefault="001C53EF" w:rsidP="001C53EF">
      <w:pPr>
        <w:pStyle w:val="ListParagraph"/>
        <w:spacing w:after="0" w:line="240" w:lineRule="auto"/>
        <w:ind w:left="0"/>
        <w:jc w:val="both"/>
        <w:rPr>
          <w:rFonts w:ascii="Verdana" w:hAnsi="Verdana" w:cs="Arial"/>
          <w:sz w:val="20"/>
          <w:szCs w:val="20"/>
          <w:lang w:val="es-ES"/>
        </w:rPr>
      </w:pPr>
    </w:p>
    <w:p w14:paraId="3B758130" w14:textId="2F5DDF99" w:rsidR="00913875" w:rsidRDefault="001C53EF"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4</w:t>
      </w:r>
      <w:r w:rsidR="00660BAB">
        <w:rPr>
          <w:rFonts w:ascii="Verdana" w:hAnsi="Verdana" w:cs="Arial"/>
          <w:sz w:val="20"/>
          <w:szCs w:val="20"/>
          <w:lang w:val="es-ES"/>
        </w:rPr>
        <w:t>8</w:t>
      </w:r>
      <w:r>
        <w:rPr>
          <w:rFonts w:ascii="Verdana" w:hAnsi="Verdana" w:cs="Arial"/>
          <w:sz w:val="20"/>
          <w:szCs w:val="20"/>
          <w:lang w:val="es-ES"/>
        </w:rPr>
        <w:t xml:space="preserve">. </w:t>
      </w:r>
      <w:r>
        <w:rPr>
          <w:rFonts w:ascii="Verdana" w:hAnsi="Verdana" w:cs="Arial"/>
          <w:sz w:val="20"/>
          <w:szCs w:val="20"/>
          <w:lang w:val="es-ES"/>
        </w:rPr>
        <w:tab/>
      </w:r>
      <w:r w:rsidR="00913875" w:rsidRPr="004D0C53">
        <w:rPr>
          <w:rFonts w:ascii="Verdana" w:hAnsi="Verdana" w:cs="Arial"/>
          <w:sz w:val="20"/>
          <w:szCs w:val="20"/>
          <w:lang w:val="es-ES"/>
        </w:rPr>
        <w:t>En el caso del Sistema Europeo de Derechos Humanos, el artículo 3, del Protocolo No.1, del Convenio Europeo de Derechos Humanos consagra la protección del derecho “a las elecciones libres”</w:t>
      </w:r>
      <w:r w:rsidR="00913875" w:rsidRPr="004D0C53">
        <w:rPr>
          <w:rStyle w:val="FootnoteReference"/>
          <w:rFonts w:ascii="Verdana" w:hAnsi="Verdana" w:cs="Arial"/>
          <w:sz w:val="20"/>
          <w:szCs w:val="20"/>
          <w:lang w:val="es-ES"/>
        </w:rPr>
        <w:footnoteReference w:id="47"/>
      </w:r>
      <w:r w:rsidR="00913875" w:rsidRPr="004D0C53">
        <w:rPr>
          <w:rFonts w:ascii="Verdana" w:hAnsi="Verdana" w:cs="Arial"/>
          <w:sz w:val="20"/>
          <w:szCs w:val="20"/>
          <w:lang w:val="es-ES"/>
        </w:rPr>
        <w:t>. Al respecto, el Tribunal Europeo de Derechos Humanos (en adelante el TEDH” o “el Tribunal de Estrasburgo”) ha indicado que dicha disposición consagra un principio característico de una democracia política eficaz. Además, ha precisado que</w:t>
      </w:r>
      <w:r w:rsidR="000D3B07">
        <w:rPr>
          <w:rFonts w:ascii="Verdana" w:hAnsi="Verdana" w:cs="Arial"/>
          <w:sz w:val="20"/>
          <w:szCs w:val="20"/>
          <w:lang w:val="es-ES"/>
        </w:rPr>
        <w:t>,</w:t>
      </w:r>
      <w:r w:rsidR="00913875" w:rsidRPr="004D0C53">
        <w:rPr>
          <w:rFonts w:ascii="Verdana" w:hAnsi="Verdana" w:cs="Arial"/>
          <w:sz w:val="20"/>
          <w:szCs w:val="20"/>
          <w:lang w:val="es-ES"/>
        </w:rPr>
        <w:t xml:space="preserve"> si bien en principio pareciera que la disposición protege la celebración de elecciones en condiciones que </w:t>
      </w:r>
      <w:r w:rsidR="00913875" w:rsidRPr="004D0C53">
        <w:rPr>
          <w:rFonts w:ascii="Verdana" w:hAnsi="Verdana" w:cs="Arial"/>
          <w:i/>
          <w:iCs/>
          <w:sz w:val="20"/>
          <w:szCs w:val="20"/>
          <w:lang w:val="es-ES"/>
        </w:rPr>
        <w:t xml:space="preserve">aseguren la libre expresión de la opinión del pueblo, </w:t>
      </w:r>
      <w:r w:rsidR="00913875" w:rsidRPr="004D0C53">
        <w:rPr>
          <w:rFonts w:ascii="Verdana" w:hAnsi="Verdana" w:cs="Arial"/>
          <w:sz w:val="20"/>
          <w:szCs w:val="20"/>
          <w:lang w:val="es-ES"/>
        </w:rPr>
        <w:t>más que una libertad individual, lo cierto es que dicho dispositivo sí garantiza derechos individuales, incluidos los derechos a votar y ser votado como candidato a elecciones</w:t>
      </w:r>
      <w:r w:rsidR="00913875" w:rsidRPr="004D0C53">
        <w:rPr>
          <w:rStyle w:val="FootnoteReference"/>
          <w:rFonts w:ascii="Verdana" w:hAnsi="Verdana" w:cs="Arial"/>
          <w:sz w:val="20"/>
          <w:szCs w:val="20"/>
          <w:lang w:val="es-ES"/>
        </w:rPr>
        <w:footnoteReference w:id="48"/>
      </w:r>
      <w:r w:rsidR="00913875" w:rsidRPr="004D0C53">
        <w:rPr>
          <w:rFonts w:ascii="Verdana" w:hAnsi="Verdana" w:cs="Arial"/>
          <w:sz w:val="20"/>
          <w:szCs w:val="20"/>
          <w:lang w:val="es-ES"/>
        </w:rPr>
        <w:t>.</w:t>
      </w:r>
    </w:p>
    <w:p w14:paraId="25E9E67B" w14:textId="77777777" w:rsidR="00913875" w:rsidRDefault="00913875" w:rsidP="00913875">
      <w:pPr>
        <w:pStyle w:val="ListParagraph"/>
        <w:ind w:left="0"/>
        <w:jc w:val="both"/>
        <w:rPr>
          <w:rFonts w:ascii="Verdana" w:hAnsi="Verdana" w:cs="Arial"/>
          <w:sz w:val="20"/>
          <w:szCs w:val="20"/>
          <w:lang w:val="es-ES"/>
        </w:rPr>
      </w:pPr>
    </w:p>
    <w:p w14:paraId="193BC092" w14:textId="6584AA3D" w:rsidR="00913875" w:rsidRDefault="001C53EF"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4</w:t>
      </w:r>
      <w:r w:rsidR="00660BAB">
        <w:rPr>
          <w:rFonts w:ascii="Verdana" w:hAnsi="Verdana" w:cs="Arial"/>
          <w:sz w:val="20"/>
          <w:szCs w:val="20"/>
          <w:lang w:val="es-ES"/>
        </w:rPr>
        <w:t>9</w:t>
      </w:r>
      <w:r>
        <w:rPr>
          <w:rFonts w:ascii="Verdana" w:hAnsi="Verdana" w:cs="Arial"/>
          <w:sz w:val="20"/>
          <w:szCs w:val="20"/>
          <w:lang w:val="es-ES"/>
        </w:rPr>
        <w:t xml:space="preserve">. </w:t>
      </w:r>
      <w:r>
        <w:rPr>
          <w:rFonts w:ascii="Verdana" w:hAnsi="Verdana" w:cs="Arial"/>
          <w:sz w:val="20"/>
          <w:szCs w:val="20"/>
          <w:lang w:val="es-ES"/>
        </w:rPr>
        <w:tab/>
      </w:r>
      <w:r w:rsidR="00913875">
        <w:rPr>
          <w:rFonts w:ascii="Verdana" w:hAnsi="Verdana" w:cs="Arial"/>
          <w:sz w:val="20"/>
          <w:szCs w:val="20"/>
          <w:lang w:val="es-ES"/>
        </w:rPr>
        <w:t xml:space="preserve">En </w:t>
      </w:r>
      <w:r w:rsidR="00913875" w:rsidRPr="007E2C15">
        <w:rPr>
          <w:rFonts w:ascii="Verdana" w:hAnsi="Verdana" w:cs="Arial"/>
          <w:sz w:val="20"/>
          <w:szCs w:val="20"/>
          <w:lang w:val="es-ES"/>
        </w:rPr>
        <w:t xml:space="preserve">este </w:t>
      </w:r>
      <w:r w:rsidR="000D3B07">
        <w:rPr>
          <w:rFonts w:ascii="Verdana" w:hAnsi="Verdana" w:cs="Arial"/>
          <w:sz w:val="20"/>
          <w:szCs w:val="20"/>
          <w:lang w:val="es-ES"/>
        </w:rPr>
        <w:t>contexto</w:t>
      </w:r>
      <w:r w:rsidR="00913875" w:rsidRPr="007E2C15">
        <w:rPr>
          <w:rFonts w:ascii="Verdana" w:hAnsi="Verdana" w:cs="Arial"/>
          <w:sz w:val="20"/>
          <w:szCs w:val="20"/>
          <w:lang w:val="es-ES"/>
        </w:rPr>
        <w:t>, el TEDH ha referido que las palabras “libre expresión de la opinión del pueblo” significan que las elecciones no pueden realizarse bajo ninguna forma de presión en la elección de uno o más candidatos, y que en esta elección el elector no debe ser inducido indebidamente a votar por un partido u otro. La palabra “elección” significa que debe garantizarse a los diferentes partidos políticos una oportunidad razonable para presentar sus candidatos en las elecciones</w:t>
      </w:r>
      <w:r w:rsidR="00913875" w:rsidRPr="004D0C53">
        <w:rPr>
          <w:rStyle w:val="FootnoteReference"/>
          <w:rFonts w:ascii="Verdana" w:hAnsi="Verdana" w:cs="Arial"/>
          <w:sz w:val="20"/>
          <w:szCs w:val="20"/>
          <w:lang w:val="es-ES"/>
        </w:rPr>
        <w:footnoteReference w:id="49"/>
      </w:r>
      <w:r w:rsidR="00913875" w:rsidRPr="007E2C15">
        <w:rPr>
          <w:rFonts w:ascii="Verdana" w:hAnsi="Verdana" w:cs="Arial"/>
          <w:sz w:val="20"/>
          <w:szCs w:val="20"/>
          <w:lang w:val="es-ES"/>
        </w:rPr>
        <w:t>. El Tribunal ha reiterado que, según su jurisprudencia, la noción de “derechos individuales” a presentarse a las elecciones (como candidato) en virtud del artículo 3, del Protocolo No. 1, del Convenio es aplicable al partido, independientemente de sus candidatos, cuando presenta una lista para participar en las elecciones</w:t>
      </w:r>
      <w:r w:rsidR="00913875" w:rsidRPr="004D0C53">
        <w:rPr>
          <w:rStyle w:val="FootnoteReference"/>
          <w:rFonts w:ascii="Verdana" w:hAnsi="Verdana" w:cs="Arial"/>
          <w:sz w:val="20"/>
          <w:szCs w:val="20"/>
          <w:lang w:val="es-ES"/>
        </w:rPr>
        <w:footnoteReference w:id="50"/>
      </w:r>
      <w:r w:rsidR="00913875" w:rsidRPr="007E2C15">
        <w:rPr>
          <w:rFonts w:ascii="Verdana" w:hAnsi="Verdana" w:cs="Arial"/>
          <w:sz w:val="20"/>
          <w:szCs w:val="20"/>
          <w:lang w:val="es-ES"/>
        </w:rPr>
        <w:t xml:space="preserve">. </w:t>
      </w:r>
    </w:p>
    <w:p w14:paraId="24576A3F" w14:textId="77777777" w:rsidR="00913875" w:rsidRPr="007E2C15" w:rsidRDefault="00913875" w:rsidP="00913875">
      <w:pPr>
        <w:pStyle w:val="ListParagraph"/>
        <w:rPr>
          <w:rFonts w:ascii="Verdana" w:hAnsi="Verdana" w:cs="Arial"/>
          <w:sz w:val="20"/>
          <w:szCs w:val="20"/>
          <w:lang w:val="es-ES"/>
        </w:rPr>
      </w:pPr>
    </w:p>
    <w:p w14:paraId="4893B81F" w14:textId="254C9B01" w:rsidR="00913875" w:rsidRDefault="00660BAB"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50</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7E2C15">
        <w:rPr>
          <w:rFonts w:ascii="Verdana" w:hAnsi="Verdana" w:cs="Arial"/>
          <w:sz w:val="20"/>
          <w:szCs w:val="20"/>
          <w:lang w:val="es-ES"/>
        </w:rPr>
        <w:t xml:space="preserve">De este modo, si bien el referido Tribunal ha destacado que constantemente la importancia de los principios democráticos que subyacen a la interpretación y aplicación de la Convención, y ha subrayado que los derechos garantizados en virtud del artículo 3 del Protocolo Nº 1 de la Convención son cruciales para establecer y mantener las bases de una democracia efectiva y significativa regida por el Estado de </w:t>
      </w:r>
      <w:r w:rsidR="00216B50">
        <w:rPr>
          <w:rFonts w:ascii="Verdana" w:hAnsi="Verdana" w:cs="Arial"/>
          <w:sz w:val="20"/>
          <w:szCs w:val="20"/>
          <w:lang w:val="es-ES"/>
        </w:rPr>
        <w:t>D</w:t>
      </w:r>
      <w:r w:rsidR="00913875" w:rsidRPr="007E2C15">
        <w:rPr>
          <w:rFonts w:ascii="Verdana" w:hAnsi="Verdana" w:cs="Arial"/>
          <w:sz w:val="20"/>
          <w:szCs w:val="20"/>
          <w:lang w:val="es-ES"/>
        </w:rPr>
        <w:t>erecho, también ha indicado que esos derechos no son absolutos y, por tanto, hay lugar para “limitaciones implícitas”</w:t>
      </w:r>
      <w:r w:rsidR="00913875" w:rsidRPr="007E2C15">
        <w:rPr>
          <w:rStyle w:val="FootnoteReference"/>
          <w:rFonts w:ascii="Verdana" w:hAnsi="Verdana" w:cs="Arial"/>
          <w:sz w:val="20"/>
          <w:szCs w:val="20"/>
          <w:lang w:val="es-ES"/>
        </w:rPr>
        <w:t xml:space="preserve"> </w:t>
      </w:r>
      <w:r w:rsidR="00913875" w:rsidRPr="004D0C53">
        <w:rPr>
          <w:rStyle w:val="FootnoteReference"/>
          <w:rFonts w:ascii="Verdana" w:hAnsi="Verdana" w:cs="Arial"/>
          <w:sz w:val="20"/>
          <w:szCs w:val="20"/>
          <w:lang w:val="es-ES"/>
        </w:rPr>
        <w:footnoteReference w:id="51"/>
      </w:r>
      <w:r w:rsidR="00913875" w:rsidRPr="007E2C15">
        <w:rPr>
          <w:rFonts w:ascii="Verdana" w:hAnsi="Verdana" w:cs="Arial"/>
          <w:sz w:val="20"/>
          <w:szCs w:val="20"/>
          <w:lang w:val="es-ES"/>
        </w:rPr>
        <w:t xml:space="preserve">. </w:t>
      </w:r>
    </w:p>
    <w:p w14:paraId="660B50CE" w14:textId="77777777" w:rsidR="00913875" w:rsidRPr="007E2C15" w:rsidRDefault="00913875" w:rsidP="00913875">
      <w:pPr>
        <w:pStyle w:val="ListParagraph"/>
        <w:rPr>
          <w:rFonts w:ascii="Verdana" w:hAnsi="Verdana" w:cs="Arial"/>
          <w:sz w:val="20"/>
          <w:szCs w:val="20"/>
          <w:lang w:val="es-ES"/>
        </w:rPr>
      </w:pPr>
    </w:p>
    <w:p w14:paraId="5B27DCFB" w14:textId="77DB3FD1" w:rsidR="00913875" w:rsidRPr="007E2C15" w:rsidRDefault="00541E4A"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5</w:t>
      </w:r>
      <w:r w:rsidR="00660BAB">
        <w:rPr>
          <w:rFonts w:ascii="Verdana" w:hAnsi="Verdana" w:cs="Arial"/>
          <w:sz w:val="20"/>
          <w:szCs w:val="20"/>
          <w:lang w:val="es-ES"/>
        </w:rPr>
        <w:t>1</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7E2C15">
        <w:rPr>
          <w:rFonts w:ascii="Verdana" w:hAnsi="Verdana" w:cs="Arial"/>
          <w:sz w:val="20"/>
          <w:szCs w:val="20"/>
          <w:lang w:val="es-ES"/>
        </w:rPr>
        <w:t xml:space="preserve">En este </w:t>
      </w:r>
      <w:r w:rsidR="000D3B07">
        <w:rPr>
          <w:rFonts w:ascii="Verdana" w:hAnsi="Verdana" w:cs="Arial"/>
          <w:sz w:val="20"/>
          <w:szCs w:val="20"/>
          <w:lang w:val="es-ES"/>
        </w:rPr>
        <w:t>marco</w:t>
      </w:r>
      <w:r w:rsidR="00913875" w:rsidRPr="007E2C15">
        <w:rPr>
          <w:rFonts w:ascii="Verdana" w:hAnsi="Verdana" w:cs="Arial"/>
          <w:sz w:val="20"/>
          <w:szCs w:val="20"/>
          <w:lang w:val="es-ES"/>
        </w:rPr>
        <w:t xml:space="preserve"> de limitaciones, lo que vela el TEDH es que dichas restricciones no socaven la esencia misma del artículo 3, del Protocolo No. 1 del CEDH. De este modo, debe asegurarse de que las condiciones que </w:t>
      </w:r>
      <w:r w:rsidR="00216B50">
        <w:rPr>
          <w:rFonts w:ascii="Verdana" w:hAnsi="Verdana" w:cs="Arial"/>
          <w:sz w:val="20"/>
          <w:szCs w:val="20"/>
          <w:lang w:val="es-ES"/>
        </w:rPr>
        <w:t xml:space="preserve">establezcan los Estados </w:t>
      </w:r>
      <w:r w:rsidR="00913875" w:rsidRPr="007E2C15">
        <w:rPr>
          <w:rFonts w:ascii="Verdana" w:hAnsi="Verdana" w:cs="Arial"/>
          <w:sz w:val="20"/>
          <w:szCs w:val="20"/>
          <w:lang w:val="es-ES"/>
        </w:rPr>
        <w:t xml:space="preserve">no restrinjan los derechos en </w:t>
      </w:r>
      <w:r w:rsidR="00913875" w:rsidRPr="007E2C15">
        <w:rPr>
          <w:rFonts w:ascii="Verdana" w:hAnsi="Verdana" w:cs="Arial"/>
          <w:sz w:val="20"/>
          <w:szCs w:val="20"/>
          <w:lang w:val="es-ES"/>
        </w:rPr>
        <w:lastRenderedPageBreak/>
        <w:t>cuestión hasta el punto de perjudicar su esencia misma y privarlos de su eficacia; que se impongan en pos de un fin legítimo; y que los medios empleados no sean desproporcionados o arbitrarios</w:t>
      </w:r>
      <w:r w:rsidR="00913875" w:rsidRPr="004D0C53">
        <w:rPr>
          <w:rStyle w:val="FootnoteReference"/>
          <w:rFonts w:ascii="Verdana" w:hAnsi="Verdana" w:cs="Arial"/>
          <w:sz w:val="20"/>
          <w:szCs w:val="20"/>
          <w:lang w:val="es-ES"/>
        </w:rPr>
        <w:footnoteReference w:id="52"/>
      </w:r>
      <w:r w:rsidR="00913875" w:rsidRPr="007E2C15">
        <w:rPr>
          <w:rFonts w:ascii="Verdana" w:hAnsi="Verdana" w:cs="Arial"/>
          <w:sz w:val="20"/>
          <w:szCs w:val="20"/>
          <w:lang w:val="es-ES"/>
        </w:rPr>
        <w:t>. Además, el objeto y fin de la Convención, que es un instrumento para la protección de los derechos humanos, requiere que sus disposiciones sean interpretadas y aplicadas de tal manera que sus estipulaciones no sean teóricas o ilusorias, sino prácticas y efectivas</w:t>
      </w:r>
      <w:r w:rsidR="00913875" w:rsidRPr="004D0C53">
        <w:rPr>
          <w:rStyle w:val="FootnoteReference"/>
          <w:rFonts w:ascii="Verdana" w:hAnsi="Verdana" w:cs="Arial"/>
          <w:sz w:val="20"/>
          <w:szCs w:val="20"/>
          <w:lang w:val="es-ES"/>
        </w:rPr>
        <w:footnoteReference w:id="53"/>
      </w:r>
      <w:r w:rsidR="00913875" w:rsidRPr="007E2C15">
        <w:rPr>
          <w:rFonts w:ascii="Verdana" w:hAnsi="Verdana" w:cs="Arial"/>
          <w:sz w:val="20"/>
          <w:szCs w:val="20"/>
          <w:lang w:val="es-ES"/>
        </w:rPr>
        <w:t xml:space="preserve">. </w:t>
      </w:r>
    </w:p>
    <w:p w14:paraId="23556379" w14:textId="77777777" w:rsidR="00913875" w:rsidRPr="004D0C53" w:rsidRDefault="00913875" w:rsidP="00913875">
      <w:pPr>
        <w:pStyle w:val="ListParagraph"/>
        <w:tabs>
          <w:tab w:val="left" w:pos="1797"/>
        </w:tabs>
        <w:ind w:left="0"/>
        <w:jc w:val="both"/>
        <w:rPr>
          <w:rFonts w:ascii="Verdana" w:hAnsi="Verdana" w:cs="Arial"/>
          <w:sz w:val="20"/>
          <w:szCs w:val="20"/>
          <w:lang w:val="es-ES"/>
        </w:rPr>
      </w:pPr>
      <w:r>
        <w:rPr>
          <w:rFonts w:ascii="Verdana" w:hAnsi="Verdana" w:cs="Arial"/>
          <w:sz w:val="20"/>
          <w:szCs w:val="20"/>
          <w:lang w:val="es-ES"/>
        </w:rPr>
        <w:tab/>
      </w:r>
    </w:p>
    <w:p w14:paraId="1DD5EE14" w14:textId="77777777" w:rsidR="00913875" w:rsidRPr="004D0C53" w:rsidRDefault="00913875" w:rsidP="00913875">
      <w:pPr>
        <w:pStyle w:val="ListParagraph"/>
        <w:numPr>
          <w:ilvl w:val="0"/>
          <w:numId w:val="7"/>
        </w:numPr>
        <w:spacing w:after="0" w:line="240" w:lineRule="auto"/>
        <w:jc w:val="both"/>
        <w:rPr>
          <w:rFonts w:ascii="Verdana" w:hAnsi="Verdana" w:cs="Arial"/>
          <w:i/>
          <w:iCs/>
          <w:sz w:val="20"/>
          <w:szCs w:val="20"/>
          <w:lang w:val="es-ES"/>
        </w:rPr>
      </w:pPr>
      <w:r w:rsidRPr="004D0C53">
        <w:rPr>
          <w:rFonts w:ascii="Verdana" w:hAnsi="Verdana" w:cs="Arial"/>
          <w:i/>
          <w:iCs/>
          <w:sz w:val="20"/>
          <w:szCs w:val="20"/>
          <w:lang w:val="es-ES"/>
        </w:rPr>
        <w:t xml:space="preserve">Evaluación de irregularidades electorales </w:t>
      </w:r>
    </w:p>
    <w:p w14:paraId="331B35EE" w14:textId="77777777" w:rsidR="00913875" w:rsidRPr="004D0C53" w:rsidRDefault="00913875" w:rsidP="00913875">
      <w:pPr>
        <w:pStyle w:val="ListParagraph"/>
        <w:rPr>
          <w:rFonts w:ascii="Verdana" w:hAnsi="Verdana" w:cs="Arial"/>
          <w:sz w:val="20"/>
          <w:szCs w:val="20"/>
          <w:lang w:val="es-ES"/>
        </w:rPr>
      </w:pPr>
    </w:p>
    <w:p w14:paraId="35F0BBEF" w14:textId="1C6668BD" w:rsidR="00913875" w:rsidRPr="004D0C53" w:rsidRDefault="0003172C"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5</w:t>
      </w:r>
      <w:r w:rsidR="00DC75FC">
        <w:rPr>
          <w:rFonts w:ascii="Verdana" w:hAnsi="Verdana" w:cs="Arial"/>
          <w:sz w:val="20"/>
          <w:szCs w:val="20"/>
          <w:lang w:val="es-ES"/>
        </w:rPr>
        <w:t>2</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 xml:space="preserve">En particular, el TEDH le ha dado un importante peso al principio que exige </w:t>
      </w:r>
      <w:r w:rsidR="00216B50">
        <w:rPr>
          <w:rFonts w:ascii="Verdana" w:hAnsi="Verdana" w:cs="Arial"/>
          <w:sz w:val="20"/>
          <w:szCs w:val="20"/>
          <w:lang w:val="es-ES"/>
        </w:rPr>
        <w:t xml:space="preserve">la </w:t>
      </w:r>
      <w:r w:rsidR="00913875" w:rsidRPr="004D0C53">
        <w:rPr>
          <w:rFonts w:ascii="Verdana" w:hAnsi="Verdana" w:cs="Arial"/>
          <w:sz w:val="20"/>
          <w:szCs w:val="20"/>
          <w:lang w:val="es-ES"/>
        </w:rPr>
        <w:t>prevención de la arbitrariedad, en especial en los escenarios en los que está en juego la efectividad de los derechos electorales individuales incluida la forma de revisión del resultado de las elecciones, tanto de las autoridades administrativas como judiciales</w:t>
      </w:r>
      <w:r w:rsidR="00913875" w:rsidRPr="004D0C53">
        <w:rPr>
          <w:rStyle w:val="FootnoteReference"/>
          <w:rFonts w:ascii="Verdana" w:hAnsi="Verdana" w:cs="Arial"/>
          <w:sz w:val="20"/>
          <w:szCs w:val="20"/>
          <w:lang w:val="es-ES"/>
        </w:rPr>
        <w:footnoteReference w:id="54"/>
      </w:r>
      <w:r w:rsidR="00913875" w:rsidRPr="004D0C53">
        <w:rPr>
          <w:rFonts w:ascii="Verdana" w:hAnsi="Verdana" w:cs="Arial"/>
          <w:sz w:val="20"/>
          <w:szCs w:val="20"/>
          <w:lang w:val="es-ES"/>
        </w:rPr>
        <w:t xml:space="preserve">. </w:t>
      </w:r>
    </w:p>
    <w:p w14:paraId="6F669CCF" w14:textId="77777777" w:rsidR="00913875" w:rsidRPr="004D0C53" w:rsidRDefault="00913875" w:rsidP="00913875">
      <w:pPr>
        <w:pStyle w:val="ListParagraph"/>
        <w:rPr>
          <w:rFonts w:ascii="Verdana" w:hAnsi="Verdana" w:cs="Arial"/>
          <w:sz w:val="20"/>
          <w:szCs w:val="20"/>
          <w:lang w:val="es-ES"/>
        </w:rPr>
      </w:pPr>
    </w:p>
    <w:p w14:paraId="4E9A9AFF" w14:textId="07C83143" w:rsidR="00913875" w:rsidRPr="004D0C53" w:rsidRDefault="0003172C"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5</w:t>
      </w:r>
      <w:r w:rsidR="00ED375C">
        <w:rPr>
          <w:rFonts w:ascii="Verdana" w:hAnsi="Verdana" w:cs="Arial"/>
          <w:sz w:val="20"/>
          <w:szCs w:val="20"/>
          <w:lang w:val="es-ES"/>
        </w:rPr>
        <w:t>3</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 xml:space="preserve">Al respecto, el Tribunal de Estrasburgo ha establecido que la existencia de un sistema interno para el examen efectivo de las quejas y apelaciones individuales en materia de derechos electorales </w:t>
      </w:r>
      <w:r w:rsidR="00913875" w:rsidRPr="004D0C53">
        <w:rPr>
          <w:rFonts w:ascii="Verdana" w:hAnsi="Verdana" w:cs="Arial"/>
          <w:i/>
          <w:iCs/>
          <w:sz w:val="20"/>
          <w:szCs w:val="20"/>
          <w:lang w:val="es-ES"/>
        </w:rPr>
        <w:t>es una de las garantías esenciales de unas elecciones libres y justas</w:t>
      </w:r>
      <w:r w:rsidR="00913875" w:rsidRPr="004D0C53">
        <w:rPr>
          <w:rFonts w:ascii="Verdana" w:hAnsi="Verdana" w:cs="Arial"/>
          <w:sz w:val="20"/>
          <w:szCs w:val="20"/>
          <w:lang w:val="es-ES"/>
        </w:rPr>
        <w:t xml:space="preserve">. Un sistema de ese tipo asegura el ejercicio efectivo de los derechos individuales de votar y presentarse como candidato, mantiene la confianza general en la administración del proceso electoral por el Estado y constituye un mecanismo importante a disposición del Estado para lograr el cumplimiento de su deber positivo en virtud del artículo 3 del Protocolo Nº 1 de la Convención de celebrar elecciones democráticas. </w:t>
      </w:r>
      <w:r w:rsidR="00913875" w:rsidRPr="004D0C53">
        <w:rPr>
          <w:rFonts w:ascii="Verdana" w:hAnsi="Verdana" w:cs="Arial"/>
          <w:i/>
          <w:iCs/>
          <w:sz w:val="20"/>
          <w:szCs w:val="20"/>
          <w:lang w:val="es-ES"/>
        </w:rPr>
        <w:t>Serían ilusorios todos los derechos electorales que se desprenden del CEDH si, a lo largo del proceso electoral, los casos específicos que indicaran que no se habían garantizado elecciones democráticas no fueran susceptibles de impugnación por parte de los individuos ante un órgano nacional competente capaz de tratar eficazmente el asunto</w:t>
      </w:r>
      <w:r w:rsidR="00913875" w:rsidRPr="004D0C53">
        <w:rPr>
          <w:rStyle w:val="FootnoteReference"/>
          <w:rFonts w:ascii="Verdana" w:hAnsi="Verdana" w:cs="Arial"/>
          <w:i/>
          <w:iCs/>
          <w:sz w:val="20"/>
          <w:szCs w:val="20"/>
          <w:lang w:val="es-ES"/>
        </w:rPr>
        <w:footnoteReference w:id="55"/>
      </w:r>
      <w:r w:rsidR="00DC75FC">
        <w:rPr>
          <w:rFonts w:ascii="Verdana" w:hAnsi="Verdana" w:cs="Arial"/>
          <w:i/>
          <w:iCs/>
          <w:sz w:val="20"/>
          <w:szCs w:val="20"/>
          <w:lang w:val="es-ES"/>
        </w:rPr>
        <w:t>,</w:t>
      </w:r>
      <w:r w:rsidR="00913875" w:rsidRPr="004D0C53">
        <w:rPr>
          <w:rFonts w:ascii="Verdana" w:hAnsi="Verdana" w:cs="Arial"/>
          <w:i/>
          <w:iCs/>
          <w:sz w:val="20"/>
          <w:szCs w:val="20"/>
          <w:lang w:val="es-ES"/>
        </w:rPr>
        <w:t xml:space="preserve"> o que</w:t>
      </w:r>
      <w:r w:rsidR="000D3B07">
        <w:rPr>
          <w:rFonts w:ascii="Verdana" w:hAnsi="Verdana" w:cs="Arial"/>
          <w:i/>
          <w:iCs/>
          <w:sz w:val="20"/>
          <w:szCs w:val="20"/>
          <w:lang w:val="es-ES"/>
        </w:rPr>
        <w:t>,</w:t>
      </w:r>
      <w:r w:rsidR="00913875" w:rsidRPr="004D0C53">
        <w:rPr>
          <w:rFonts w:ascii="Verdana" w:hAnsi="Verdana" w:cs="Arial"/>
          <w:i/>
          <w:iCs/>
          <w:sz w:val="20"/>
          <w:szCs w:val="20"/>
          <w:lang w:val="es-ES"/>
        </w:rPr>
        <w:t xml:space="preserve"> siendo impugnados, las decisiones fueron arbitrarias</w:t>
      </w:r>
      <w:r w:rsidR="00913875" w:rsidRPr="004D0C53">
        <w:rPr>
          <w:rStyle w:val="FootnoteReference"/>
          <w:rFonts w:ascii="Verdana" w:hAnsi="Verdana" w:cs="Arial"/>
          <w:i/>
          <w:iCs/>
          <w:sz w:val="20"/>
          <w:szCs w:val="20"/>
          <w:lang w:val="es-ES"/>
        </w:rPr>
        <w:footnoteReference w:id="56"/>
      </w:r>
      <w:r w:rsidR="00913875" w:rsidRPr="004D0C53">
        <w:rPr>
          <w:rFonts w:ascii="Verdana" w:hAnsi="Verdana" w:cs="Arial"/>
          <w:i/>
          <w:iCs/>
          <w:sz w:val="20"/>
          <w:szCs w:val="20"/>
          <w:lang w:val="es-ES"/>
        </w:rPr>
        <w:t>.</w:t>
      </w:r>
      <w:r w:rsidR="00913875" w:rsidRPr="004D0C53">
        <w:rPr>
          <w:rFonts w:ascii="Verdana" w:hAnsi="Verdana" w:cs="Arial"/>
          <w:sz w:val="20"/>
          <w:szCs w:val="20"/>
          <w:lang w:val="es-ES"/>
        </w:rPr>
        <w:t xml:space="preserve"> </w:t>
      </w:r>
    </w:p>
    <w:p w14:paraId="1C3914C3" w14:textId="77777777" w:rsidR="00913875" w:rsidRPr="004D0C53" w:rsidRDefault="00913875" w:rsidP="00913875">
      <w:pPr>
        <w:pStyle w:val="ListParagraph"/>
        <w:rPr>
          <w:rFonts w:ascii="Verdana" w:hAnsi="Verdana" w:cs="Arial"/>
          <w:sz w:val="20"/>
          <w:szCs w:val="20"/>
          <w:lang w:val="es-ES"/>
        </w:rPr>
      </w:pPr>
    </w:p>
    <w:p w14:paraId="54DE3470" w14:textId="21716D85" w:rsidR="00913875" w:rsidRPr="004D0C53" w:rsidRDefault="0003172C"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5</w:t>
      </w:r>
      <w:r w:rsidR="00ED375C">
        <w:rPr>
          <w:rFonts w:ascii="Verdana" w:hAnsi="Verdana" w:cs="Arial"/>
          <w:sz w:val="20"/>
          <w:szCs w:val="20"/>
          <w:lang w:val="es-ES"/>
        </w:rPr>
        <w:t>4</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 xml:space="preserve">El TEDH también ha subrayado que es importante que las autoridades encargadas de la administración electoral funcionen de manera transparente y </w:t>
      </w:r>
      <w:r w:rsidR="000D3B07">
        <w:rPr>
          <w:rFonts w:ascii="Verdana" w:hAnsi="Verdana" w:cs="Arial"/>
          <w:sz w:val="20"/>
          <w:szCs w:val="20"/>
          <w:lang w:val="es-ES"/>
        </w:rPr>
        <w:t xml:space="preserve">que </w:t>
      </w:r>
      <w:r w:rsidR="00913875" w:rsidRPr="004D0C53">
        <w:rPr>
          <w:rFonts w:ascii="Verdana" w:hAnsi="Verdana" w:cs="Arial"/>
          <w:sz w:val="20"/>
          <w:szCs w:val="20"/>
          <w:lang w:val="es-ES"/>
        </w:rPr>
        <w:t>mantengan la imparcialidad y la independencia frente a la manipulación política</w:t>
      </w:r>
      <w:r w:rsidR="00913875" w:rsidRPr="004D0C53">
        <w:rPr>
          <w:rStyle w:val="FootnoteReference"/>
          <w:rFonts w:ascii="Verdana" w:hAnsi="Verdana" w:cs="Arial"/>
          <w:sz w:val="20"/>
          <w:szCs w:val="20"/>
          <w:lang w:val="es-ES"/>
        </w:rPr>
        <w:footnoteReference w:id="57"/>
      </w:r>
      <w:r w:rsidR="00913875" w:rsidRPr="004D0C53">
        <w:rPr>
          <w:rFonts w:ascii="Verdana" w:hAnsi="Verdana" w:cs="Arial"/>
          <w:sz w:val="20"/>
          <w:szCs w:val="20"/>
          <w:lang w:val="es-ES"/>
        </w:rPr>
        <w:t xml:space="preserve">.  </w:t>
      </w:r>
    </w:p>
    <w:p w14:paraId="6B8E7DFB" w14:textId="77777777" w:rsidR="00913875" w:rsidRPr="004D0C53" w:rsidRDefault="00913875" w:rsidP="00913875">
      <w:pPr>
        <w:pStyle w:val="ListParagraph"/>
        <w:rPr>
          <w:rFonts w:ascii="Verdana" w:hAnsi="Verdana" w:cs="Arial"/>
          <w:sz w:val="20"/>
          <w:szCs w:val="20"/>
          <w:lang w:val="es-ES"/>
        </w:rPr>
      </w:pPr>
    </w:p>
    <w:p w14:paraId="54840975" w14:textId="433B8DFF" w:rsidR="00913875" w:rsidRPr="004D0C53" w:rsidRDefault="001C53EF"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5</w:t>
      </w:r>
      <w:r w:rsidR="00ED375C">
        <w:rPr>
          <w:rFonts w:ascii="Verdana" w:hAnsi="Verdana" w:cs="Arial"/>
          <w:sz w:val="20"/>
          <w:szCs w:val="20"/>
          <w:lang w:val="es-ES"/>
        </w:rPr>
        <w:t>5</w:t>
      </w:r>
      <w:r>
        <w:rPr>
          <w:rFonts w:ascii="Verdana" w:hAnsi="Verdana" w:cs="Arial"/>
          <w:sz w:val="20"/>
          <w:szCs w:val="20"/>
          <w:lang w:val="es-ES"/>
        </w:rPr>
        <w:t xml:space="preserve">. </w:t>
      </w:r>
      <w:r>
        <w:rPr>
          <w:rFonts w:ascii="Verdana" w:hAnsi="Verdana" w:cs="Arial"/>
          <w:sz w:val="20"/>
          <w:szCs w:val="20"/>
          <w:lang w:val="es-ES"/>
        </w:rPr>
        <w:tab/>
      </w:r>
      <w:r w:rsidR="00913875" w:rsidRPr="004D0C53">
        <w:rPr>
          <w:rFonts w:ascii="Verdana" w:hAnsi="Verdana" w:cs="Arial"/>
          <w:sz w:val="20"/>
          <w:szCs w:val="20"/>
          <w:lang w:val="es-ES"/>
        </w:rPr>
        <w:t>Para el TEDH, la tarea de un tribunal internacional es la de asegurarse, desde un punto de vista más general, de que un Estado demandado ha cumplido con su obligación de celebrar elecciones en condiciones libres y justas</w:t>
      </w:r>
      <w:r w:rsidR="000D3B07">
        <w:rPr>
          <w:rFonts w:ascii="Verdana" w:hAnsi="Verdana" w:cs="Arial"/>
          <w:sz w:val="20"/>
          <w:szCs w:val="20"/>
          <w:lang w:val="es-ES"/>
        </w:rPr>
        <w:t>,</w:t>
      </w:r>
      <w:r w:rsidR="00913875" w:rsidRPr="004D0C53">
        <w:rPr>
          <w:rFonts w:ascii="Verdana" w:hAnsi="Verdana" w:cs="Arial"/>
          <w:sz w:val="20"/>
          <w:szCs w:val="20"/>
          <w:lang w:val="es-ES"/>
        </w:rPr>
        <w:t xml:space="preserve"> y </w:t>
      </w:r>
      <w:r w:rsidR="000D3B07">
        <w:rPr>
          <w:rFonts w:ascii="Verdana" w:hAnsi="Verdana" w:cs="Arial"/>
          <w:sz w:val="20"/>
          <w:szCs w:val="20"/>
          <w:lang w:val="es-ES"/>
        </w:rPr>
        <w:t xml:space="preserve">que </w:t>
      </w:r>
      <w:r w:rsidR="00913875" w:rsidRPr="004D0C53">
        <w:rPr>
          <w:rFonts w:ascii="Verdana" w:hAnsi="Verdana" w:cs="Arial"/>
          <w:sz w:val="20"/>
          <w:szCs w:val="20"/>
          <w:lang w:val="es-ES"/>
        </w:rPr>
        <w:t>ha garantizado que los derechos electorales individuales se hayan ejercido efectivamente, y no verificar si cada “irregularidad” alegada constituye una infracción a la ley electoral</w:t>
      </w:r>
      <w:r w:rsidR="00913875" w:rsidRPr="004D0C53">
        <w:rPr>
          <w:rStyle w:val="FootnoteReference"/>
          <w:rFonts w:ascii="Verdana" w:hAnsi="Verdana" w:cs="Arial"/>
          <w:sz w:val="20"/>
          <w:szCs w:val="20"/>
          <w:lang w:val="es-ES"/>
        </w:rPr>
        <w:footnoteReference w:id="58"/>
      </w:r>
      <w:r w:rsidR="00913875" w:rsidRPr="004D0C53">
        <w:rPr>
          <w:rFonts w:ascii="Verdana" w:hAnsi="Verdana" w:cs="Arial"/>
          <w:sz w:val="20"/>
          <w:szCs w:val="20"/>
          <w:lang w:val="es-ES"/>
        </w:rPr>
        <w:t xml:space="preserve">. </w:t>
      </w:r>
    </w:p>
    <w:p w14:paraId="686BB055" w14:textId="77777777" w:rsidR="00913875" w:rsidRPr="004D0C53" w:rsidRDefault="00913875" w:rsidP="00913875">
      <w:pPr>
        <w:pStyle w:val="ListParagraph"/>
        <w:rPr>
          <w:rFonts w:ascii="Verdana" w:hAnsi="Verdana" w:cs="Arial"/>
          <w:sz w:val="20"/>
          <w:szCs w:val="20"/>
          <w:lang w:val="es-ES"/>
        </w:rPr>
      </w:pPr>
    </w:p>
    <w:p w14:paraId="06589D20" w14:textId="11F0A2B1" w:rsidR="00913875" w:rsidRPr="004D0C53" w:rsidRDefault="001C53EF"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5</w:t>
      </w:r>
      <w:r w:rsidR="00ED375C">
        <w:rPr>
          <w:rFonts w:ascii="Verdana" w:hAnsi="Verdana" w:cs="Arial"/>
          <w:sz w:val="20"/>
          <w:szCs w:val="20"/>
          <w:lang w:val="es-ES"/>
        </w:rPr>
        <w:t>6</w:t>
      </w:r>
      <w:r>
        <w:rPr>
          <w:rFonts w:ascii="Verdana" w:hAnsi="Verdana" w:cs="Arial"/>
          <w:sz w:val="20"/>
          <w:szCs w:val="20"/>
          <w:lang w:val="es-ES"/>
        </w:rPr>
        <w:t xml:space="preserve">. </w:t>
      </w:r>
      <w:r>
        <w:rPr>
          <w:rFonts w:ascii="Verdana" w:hAnsi="Verdana" w:cs="Arial"/>
          <w:sz w:val="20"/>
          <w:szCs w:val="20"/>
          <w:lang w:val="es-ES"/>
        </w:rPr>
        <w:tab/>
      </w:r>
      <w:r w:rsidR="00913875" w:rsidRPr="004D0C53">
        <w:rPr>
          <w:rFonts w:ascii="Verdana" w:hAnsi="Verdana" w:cs="Arial"/>
          <w:sz w:val="20"/>
          <w:szCs w:val="20"/>
          <w:lang w:val="es-ES"/>
        </w:rPr>
        <w:t xml:space="preserve">Así, cuando se alegue que la violación de las normas jurídicas internas fue de tal grado que </w:t>
      </w:r>
      <w:r w:rsidR="00913875" w:rsidRPr="004D0C53">
        <w:rPr>
          <w:rFonts w:ascii="Verdana" w:hAnsi="Verdana" w:cs="Arial"/>
          <w:i/>
          <w:iCs/>
          <w:sz w:val="20"/>
          <w:szCs w:val="20"/>
          <w:lang w:val="es-ES"/>
        </w:rPr>
        <w:t>socavaron gravemente la legitimidad de las elecciones en su conjunto,</w:t>
      </w:r>
      <w:r w:rsidR="00913875" w:rsidRPr="004D0C53">
        <w:rPr>
          <w:rFonts w:ascii="Verdana" w:hAnsi="Verdana" w:cs="Arial"/>
          <w:sz w:val="20"/>
          <w:szCs w:val="20"/>
          <w:lang w:val="es-ES"/>
        </w:rPr>
        <w:t xml:space="preserve"> el artículo 3 del Protocolo Nº 1 del Convenio exige que el Tribunal evalúe si se ha producido tal violación y ha dado lugar a la no celebración de elecciones libres y justas</w:t>
      </w:r>
      <w:r w:rsidR="00913875" w:rsidRPr="004D0C53">
        <w:rPr>
          <w:rStyle w:val="FootnoteReference"/>
          <w:rFonts w:ascii="Verdana" w:hAnsi="Verdana" w:cs="Arial"/>
          <w:sz w:val="20"/>
          <w:szCs w:val="20"/>
          <w:lang w:val="es-ES"/>
        </w:rPr>
        <w:footnoteReference w:id="59"/>
      </w:r>
      <w:r w:rsidR="00913875" w:rsidRPr="004D0C53">
        <w:rPr>
          <w:rFonts w:ascii="Verdana" w:hAnsi="Verdana" w:cs="Arial"/>
          <w:sz w:val="20"/>
          <w:szCs w:val="20"/>
          <w:lang w:val="es-ES"/>
        </w:rPr>
        <w:t xml:space="preserve">. </w:t>
      </w:r>
    </w:p>
    <w:p w14:paraId="10908BDA" w14:textId="77777777" w:rsidR="00913875" w:rsidRPr="004D0C53" w:rsidRDefault="00913875" w:rsidP="00913875">
      <w:pPr>
        <w:pStyle w:val="ListParagraph"/>
        <w:rPr>
          <w:rFonts w:ascii="Verdana" w:hAnsi="Verdana" w:cs="Arial"/>
          <w:sz w:val="20"/>
          <w:szCs w:val="20"/>
          <w:lang w:val="es-ES"/>
        </w:rPr>
      </w:pPr>
    </w:p>
    <w:p w14:paraId="1451D8A7" w14:textId="2BEB0053" w:rsidR="00913875" w:rsidRPr="004D0C53" w:rsidRDefault="001C53EF"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lastRenderedPageBreak/>
        <w:t>5</w:t>
      </w:r>
      <w:r w:rsidR="00ED375C">
        <w:rPr>
          <w:rFonts w:ascii="Verdana" w:hAnsi="Verdana" w:cs="Arial"/>
          <w:sz w:val="20"/>
          <w:szCs w:val="20"/>
          <w:lang w:val="es-ES"/>
        </w:rPr>
        <w:t>7</w:t>
      </w:r>
      <w:r>
        <w:rPr>
          <w:rFonts w:ascii="Verdana" w:hAnsi="Verdana" w:cs="Arial"/>
          <w:sz w:val="20"/>
          <w:szCs w:val="20"/>
          <w:lang w:val="es-ES"/>
        </w:rPr>
        <w:t xml:space="preserve">. </w:t>
      </w:r>
      <w:r>
        <w:rPr>
          <w:rFonts w:ascii="Verdana" w:hAnsi="Verdana" w:cs="Arial"/>
          <w:sz w:val="20"/>
          <w:szCs w:val="20"/>
          <w:lang w:val="es-ES"/>
        </w:rPr>
        <w:tab/>
      </w:r>
      <w:r w:rsidR="00913875" w:rsidRPr="004D0C53">
        <w:rPr>
          <w:rFonts w:ascii="Verdana" w:hAnsi="Verdana" w:cs="Arial"/>
          <w:sz w:val="20"/>
          <w:szCs w:val="20"/>
          <w:lang w:val="es-ES"/>
        </w:rPr>
        <w:t>Por otro lado, el TEDH ha reconocido que “el artículo 3, del Protocolo No. 1, del Convenio no fue concebido como un código en materia electoral destinado a regular todos los aspectos del proceso electoral</w:t>
      </w:r>
      <w:r w:rsidR="00274175">
        <w:rPr>
          <w:rFonts w:ascii="Verdana" w:hAnsi="Verdana" w:cs="Arial"/>
          <w:sz w:val="20"/>
          <w:szCs w:val="20"/>
          <w:lang w:val="es-ES"/>
        </w:rPr>
        <w:t>”</w:t>
      </w:r>
      <w:r w:rsidR="00913875" w:rsidRPr="004D0C53">
        <w:rPr>
          <w:rStyle w:val="FootnoteReference"/>
          <w:rFonts w:ascii="Verdana" w:hAnsi="Verdana" w:cs="Arial"/>
          <w:sz w:val="20"/>
          <w:szCs w:val="20"/>
          <w:lang w:val="es-ES"/>
        </w:rPr>
        <w:footnoteReference w:id="60"/>
      </w:r>
      <w:r w:rsidR="00913875" w:rsidRPr="004D0C53">
        <w:rPr>
          <w:rFonts w:ascii="Verdana" w:hAnsi="Verdana" w:cs="Arial"/>
          <w:sz w:val="20"/>
          <w:szCs w:val="20"/>
          <w:lang w:val="es-ES"/>
        </w:rPr>
        <w:t xml:space="preserve">. Sin embargo, el Tribunal de Estrasburgo ha confirmado que los principios comunes del </w:t>
      </w:r>
      <w:r w:rsidR="00913875" w:rsidRPr="00DC75FC">
        <w:rPr>
          <w:rFonts w:ascii="Verdana" w:hAnsi="Verdana" w:cs="Arial"/>
          <w:i/>
          <w:iCs/>
          <w:sz w:val="20"/>
          <w:szCs w:val="20"/>
          <w:lang w:val="es-ES"/>
        </w:rPr>
        <w:t>patrimonio constitucional europeo</w:t>
      </w:r>
      <w:r w:rsidR="00913875" w:rsidRPr="004D0C53">
        <w:rPr>
          <w:rFonts w:ascii="Verdana" w:hAnsi="Verdana" w:cs="Arial"/>
          <w:sz w:val="20"/>
          <w:szCs w:val="20"/>
          <w:lang w:val="es-ES"/>
        </w:rPr>
        <w:t>, que forman la base de toda sociedad verdaderamente democrática, consagran:</w:t>
      </w:r>
    </w:p>
    <w:p w14:paraId="22F149D3" w14:textId="77777777" w:rsidR="00913875" w:rsidRPr="004D0C53" w:rsidRDefault="00913875" w:rsidP="00913875">
      <w:pPr>
        <w:pStyle w:val="ListParagraph"/>
        <w:rPr>
          <w:rFonts w:ascii="Verdana" w:hAnsi="Verdana" w:cs="Arial"/>
          <w:sz w:val="20"/>
          <w:szCs w:val="20"/>
          <w:lang w:val="es-ES"/>
        </w:rPr>
      </w:pPr>
    </w:p>
    <w:p w14:paraId="1DA9DE40" w14:textId="77777777" w:rsidR="00913875" w:rsidRPr="004D0C53" w:rsidRDefault="00913875" w:rsidP="00913875">
      <w:pPr>
        <w:pStyle w:val="ListParagraph"/>
        <w:numPr>
          <w:ilvl w:val="0"/>
          <w:numId w:val="5"/>
        </w:numPr>
        <w:spacing w:after="0" w:line="240" w:lineRule="auto"/>
        <w:jc w:val="both"/>
        <w:rPr>
          <w:rFonts w:ascii="Verdana" w:hAnsi="Verdana" w:cs="Arial"/>
          <w:sz w:val="20"/>
          <w:szCs w:val="20"/>
          <w:lang w:val="es-ES"/>
        </w:rPr>
      </w:pPr>
      <w:r w:rsidRPr="004D0C53">
        <w:rPr>
          <w:rFonts w:ascii="Verdana" w:hAnsi="Verdana" w:cs="Arial"/>
          <w:sz w:val="20"/>
          <w:szCs w:val="20"/>
          <w:lang w:val="es-ES"/>
        </w:rPr>
        <w:t xml:space="preserve">El derecho de voto en términos de la oportunidad de emitir un voto en elecciones universales, iguales, libres, secretas y directas celebradas a intervalos regulares. </w:t>
      </w:r>
    </w:p>
    <w:p w14:paraId="18BFF260" w14:textId="77777777" w:rsidR="00913875" w:rsidRPr="004D0C53" w:rsidRDefault="00913875" w:rsidP="00913875">
      <w:pPr>
        <w:pStyle w:val="ListParagraph"/>
        <w:ind w:left="1428"/>
        <w:jc w:val="both"/>
        <w:rPr>
          <w:rFonts w:ascii="Verdana" w:hAnsi="Verdana" w:cs="Arial"/>
          <w:sz w:val="20"/>
          <w:szCs w:val="20"/>
          <w:lang w:val="es-ES"/>
        </w:rPr>
      </w:pPr>
    </w:p>
    <w:p w14:paraId="16C21E66" w14:textId="77777777" w:rsidR="00913875" w:rsidRPr="004D0C53" w:rsidRDefault="00913875" w:rsidP="00913875">
      <w:pPr>
        <w:pStyle w:val="ListParagraph"/>
        <w:numPr>
          <w:ilvl w:val="0"/>
          <w:numId w:val="5"/>
        </w:numPr>
        <w:spacing w:after="0" w:line="240" w:lineRule="auto"/>
        <w:jc w:val="both"/>
        <w:rPr>
          <w:rFonts w:ascii="Verdana" w:hAnsi="Verdana" w:cs="Arial"/>
          <w:sz w:val="20"/>
          <w:szCs w:val="20"/>
          <w:lang w:val="es-ES"/>
        </w:rPr>
      </w:pPr>
      <w:r w:rsidRPr="004D0C53">
        <w:rPr>
          <w:rFonts w:ascii="Verdana" w:hAnsi="Verdana" w:cs="Arial"/>
          <w:sz w:val="20"/>
          <w:szCs w:val="20"/>
          <w:lang w:val="es-ES"/>
        </w:rPr>
        <w:t xml:space="preserve">El artículo 3 del Protocolo nº 1 del Convenio prevé explícitamente el derecho a elecciones libres a intervalos regulares mediante escrutinio secreto. </w:t>
      </w:r>
    </w:p>
    <w:p w14:paraId="3014FA82" w14:textId="77777777" w:rsidR="00913875" w:rsidRPr="004D0C53" w:rsidRDefault="00913875" w:rsidP="00913875">
      <w:pPr>
        <w:pStyle w:val="ListParagraph"/>
        <w:rPr>
          <w:rFonts w:ascii="Verdana" w:hAnsi="Verdana" w:cs="Arial"/>
          <w:sz w:val="20"/>
          <w:szCs w:val="20"/>
          <w:lang w:val="es-ES"/>
        </w:rPr>
      </w:pPr>
    </w:p>
    <w:p w14:paraId="04F52EAC" w14:textId="5C64433C" w:rsidR="00913875" w:rsidRDefault="00913875" w:rsidP="00913875">
      <w:pPr>
        <w:pStyle w:val="ListParagraph"/>
        <w:numPr>
          <w:ilvl w:val="0"/>
          <w:numId w:val="5"/>
        </w:numPr>
        <w:spacing w:after="0" w:line="240" w:lineRule="auto"/>
        <w:jc w:val="both"/>
        <w:rPr>
          <w:rFonts w:ascii="Verdana" w:hAnsi="Verdana" w:cs="Arial"/>
          <w:sz w:val="20"/>
          <w:szCs w:val="20"/>
          <w:lang w:val="es-ES"/>
        </w:rPr>
      </w:pPr>
      <w:r w:rsidRPr="004D0C53">
        <w:rPr>
          <w:rFonts w:ascii="Verdana" w:hAnsi="Verdana" w:cs="Arial"/>
          <w:sz w:val="20"/>
          <w:szCs w:val="20"/>
          <w:lang w:val="es-ES"/>
        </w:rPr>
        <w:t>En este contexto, las elecciones libres deben considerarse a la vez un derecho individual y una obligación positiva del Estado, que comprende una serie de garantías que empiezan por el derecho de los votantes a formarse una opinión libremente y se extienden a una regulación cuidadosa del proceso mediante el cual se determinan, procesan y registran los resultados de la votación</w:t>
      </w:r>
      <w:r w:rsidRPr="004D0C53">
        <w:rPr>
          <w:rStyle w:val="FootnoteReference"/>
          <w:rFonts w:ascii="Verdana" w:hAnsi="Verdana" w:cs="Arial"/>
          <w:sz w:val="20"/>
          <w:szCs w:val="20"/>
          <w:lang w:val="es-ES"/>
        </w:rPr>
        <w:footnoteReference w:id="61"/>
      </w:r>
      <w:r w:rsidRPr="004D0C53">
        <w:rPr>
          <w:rFonts w:ascii="Verdana" w:hAnsi="Verdana" w:cs="Arial"/>
          <w:sz w:val="20"/>
          <w:szCs w:val="20"/>
          <w:lang w:val="es-ES"/>
        </w:rPr>
        <w:t>.     </w:t>
      </w:r>
    </w:p>
    <w:p w14:paraId="0D74389B" w14:textId="77777777" w:rsidR="00DC75FC" w:rsidRPr="00DC75FC" w:rsidRDefault="00DC75FC" w:rsidP="00DC75FC">
      <w:pPr>
        <w:spacing w:after="0" w:line="240" w:lineRule="auto"/>
        <w:jc w:val="both"/>
        <w:rPr>
          <w:rFonts w:ascii="Verdana" w:hAnsi="Verdana" w:cs="Arial"/>
          <w:sz w:val="20"/>
          <w:szCs w:val="20"/>
          <w:lang w:val="es-ES"/>
        </w:rPr>
      </w:pPr>
    </w:p>
    <w:p w14:paraId="4D0C2924" w14:textId="24F7BE50" w:rsidR="00913875" w:rsidRPr="004D0C53" w:rsidRDefault="001C53EF"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5</w:t>
      </w:r>
      <w:r w:rsidR="00ED375C">
        <w:rPr>
          <w:rFonts w:ascii="Verdana" w:hAnsi="Verdana" w:cs="Arial"/>
          <w:sz w:val="20"/>
          <w:szCs w:val="20"/>
          <w:lang w:val="es-ES"/>
        </w:rPr>
        <w:t>8</w:t>
      </w:r>
      <w:r>
        <w:rPr>
          <w:rFonts w:ascii="Verdana" w:hAnsi="Verdana" w:cs="Arial"/>
          <w:sz w:val="20"/>
          <w:szCs w:val="20"/>
          <w:lang w:val="es-ES"/>
        </w:rPr>
        <w:t xml:space="preserve">. </w:t>
      </w:r>
      <w:r>
        <w:rPr>
          <w:rFonts w:ascii="Verdana" w:hAnsi="Verdana" w:cs="Arial"/>
          <w:sz w:val="20"/>
          <w:szCs w:val="20"/>
          <w:lang w:val="es-ES"/>
        </w:rPr>
        <w:tab/>
      </w:r>
      <w:r w:rsidR="00913875" w:rsidRPr="004D0C53">
        <w:rPr>
          <w:rFonts w:ascii="Verdana" w:hAnsi="Verdana" w:cs="Arial"/>
          <w:sz w:val="20"/>
          <w:szCs w:val="20"/>
          <w:lang w:val="es-ES"/>
        </w:rPr>
        <w:t>Ahora bien, respecto del escrutinio que debe tener al momento de evaluar las irregularidades, el TEDH ha indicado que: i) se debería reservar un escrutinio más estricto para cualquier desviación del principio del sufragio universal</w:t>
      </w:r>
      <w:r w:rsidR="00913875" w:rsidRPr="004D0C53">
        <w:rPr>
          <w:rStyle w:val="FootnoteReference"/>
          <w:rFonts w:ascii="Verdana" w:hAnsi="Verdana" w:cs="Arial"/>
          <w:sz w:val="20"/>
          <w:szCs w:val="20"/>
          <w:lang w:val="es-ES"/>
        </w:rPr>
        <w:footnoteReference w:id="62"/>
      </w:r>
      <w:r w:rsidR="00913875" w:rsidRPr="004D0C53">
        <w:rPr>
          <w:rFonts w:ascii="Verdana" w:hAnsi="Verdana" w:cs="Arial"/>
          <w:sz w:val="20"/>
          <w:szCs w:val="20"/>
          <w:lang w:val="es-ES"/>
        </w:rPr>
        <w:t xml:space="preserve"> y ii) </w:t>
      </w:r>
      <w:r w:rsidR="000D3B07">
        <w:rPr>
          <w:rFonts w:ascii="Verdana" w:hAnsi="Verdana" w:cs="Arial"/>
          <w:sz w:val="20"/>
          <w:szCs w:val="20"/>
          <w:lang w:val="es-ES"/>
        </w:rPr>
        <w:t>u</w:t>
      </w:r>
      <w:r w:rsidR="00913875" w:rsidRPr="004D0C53">
        <w:rPr>
          <w:rFonts w:ascii="Verdana" w:hAnsi="Verdana" w:cs="Arial"/>
          <w:sz w:val="20"/>
          <w:szCs w:val="20"/>
          <w:lang w:val="es-ES"/>
        </w:rPr>
        <w:t xml:space="preserve">n escrutinio aún </w:t>
      </w:r>
      <w:r w:rsidR="00216B50">
        <w:rPr>
          <w:rFonts w:ascii="Verdana" w:hAnsi="Verdana" w:cs="Arial"/>
          <w:sz w:val="20"/>
          <w:szCs w:val="20"/>
          <w:lang w:val="es-ES"/>
        </w:rPr>
        <w:t xml:space="preserve">más </w:t>
      </w:r>
      <w:r w:rsidR="00913875" w:rsidRPr="004D0C53">
        <w:rPr>
          <w:rFonts w:ascii="Verdana" w:hAnsi="Verdana" w:cs="Arial"/>
          <w:sz w:val="20"/>
          <w:szCs w:val="20"/>
          <w:lang w:val="es-ES"/>
        </w:rPr>
        <w:t xml:space="preserve">estricto </w:t>
      </w:r>
      <w:r w:rsidR="000D3B07">
        <w:rPr>
          <w:rFonts w:ascii="Verdana" w:hAnsi="Verdana" w:cs="Arial"/>
          <w:sz w:val="20"/>
          <w:szCs w:val="20"/>
          <w:lang w:val="es-ES"/>
        </w:rPr>
        <w:t>para</w:t>
      </w:r>
      <w:r w:rsidR="00913875" w:rsidRPr="004D0C53">
        <w:rPr>
          <w:rFonts w:ascii="Verdana" w:hAnsi="Verdana" w:cs="Arial"/>
          <w:sz w:val="20"/>
          <w:szCs w:val="20"/>
          <w:lang w:val="es-ES"/>
        </w:rPr>
        <w:t xml:space="preserve"> la etapa más técnica del recuento y tabulación de los votos. Debe tenerse debidamente en cuenta el hecho de que se trata de un proceso complejo, en el que intervienen muchas personas en varios niveles. Un simple error o irregularidad en esta etapa no significaría, </w:t>
      </w:r>
      <w:r w:rsidR="00913875" w:rsidRPr="00DC75FC">
        <w:rPr>
          <w:rFonts w:ascii="Verdana" w:hAnsi="Verdana" w:cs="Arial"/>
          <w:i/>
          <w:iCs/>
          <w:sz w:val="20"/>
          <w:szCs w:val="20"/>
          <w:lang w:val="es-ES"/>
        </w:rPr>
        <w:t>per se</w:t>
      </w:r>
      <w:r w:rsidR="00913875" w:rsidRPr="004D0C53">
        <w:rPr>
          <w:rFonts w:ascii="Verdana" w:hAnsi="Verdana" w:cs="Arial"/>
          <w:sz w:val="20"/>
          <w:szCs w:val="20"/>
          <w:lang w:val="es-ES"/>
        </w:rPr>
        <w:t>, que las elecciones no fueran justas, si se cumplieran los principios generales de igualdad, transparencia, imparcialidad e independencia de la administración electoral</w:t>
      </w:r>
      <w:r w:rsidR="00913875" w:rsidRPr="004D0C53">
        <w:rPr>
          <w:rStyle w:val="FootnoteReference"/>
          <w:rFonts w:ascii="Verdana" w:hAnsi="Verdana" w:cs="Arial"/>
          <w:sz w:val="20"/>
          <w:szCs w:val="20"/>
          <w:lang w:val="es-ES"/>
        </w:rPr>
        <w:footnoteReference w:id="63"/>
      </w:r>
      <w:r w:rsidR="00913875" w:rsidRPr="004D0C53">
        <w:rPr>
          <w:rFonts w:ascii="Verdana" w:hAnsi="Verdana" w:cs="Arial"/>
          <w:sz w:val="20"/>
          <w:szCs w:val="20"/>
          <w:lang w:val="es-ES"/>
        </w:rPr>
        <w:t>.</w:t>
      </w:r>
    </w:p>
    <w:p w14:paraId="66932DCE" w14:textId="77777777" w:rsidR="00913875" w:rsidRPr="004D0C53" w:rsidRDefault="00913875" w:rsidP="00913875">
      <w:pPr>
        <w:pStyle w:val="ListParagraph"/>
        <w:ind w:left="0"/>
        <w:jc w:val="both"/>
        <w:rPr>
          <w:rFonts w:ascii="Verdana" w:hAnsi="Verdana" w:cs="Arial"/>
          <w:sz w:val="20"/>
          <w:szCs w:val="20"/>
          <w:lang w:val="es-ES"/>
        </w:rPr>
      </w:pPr>
    </w:p>
    <w:p w14:paraId="37512EF9" w14:textId="47EE7418" w:rsidR="00913875" w:rsidRPr="004D0C53" w:rsidRDefault="001C53EF"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5</w:t>
      </w:r>
      <w:r w:rsidR="00ED375C">
        <w:rPr>
          <w:rFonts w:ascii="Verdana" w:hAnsi="Verdana" w:cs="Arial"/>
          <w:sz w:val="20"/>
          <w:szCs w:val="20"/>
          <w:lang w:val="es-ES"/>
        </w:rPr>
        <w:t>9</w:t>
      </w:r>
      <w:r>
        <w:rPr>
          <w:rFonts w:ascii="Verdana" w:hAnsi="Verdana" w:cs="Arial"/>
          <w:sz w:val="20"/>
          <w:szCs w:val="20"/>
          <w:lang w:val="es-ES"/>
        </w:rPr>
        <w:t xml:space="preserve">. </w:t>
      </w:r>
      <w:r>
        <w:rPr>
          <w:rFonts w:ascii="Verdana" w:hAnsi="Verdana" w:cs="Arial"/>
          <w:sz w:val="20"/>
          <w:szCs w:val="20"/>
          <w:lang w:val="es-ES"/>
        </w:rPr>
        <w:tab/>
      </w:r>
      <w:r w:rsidR="00913875" w:rsidRPr="004D0C53">
        <w:rPr>
          <w:rFonts w:ascii="Verdana" w:hAnsi="Verdana" w:cs="Arial"/>
          <w:sz w:val="20"/>
          <w:szCs w:val="20"/>
          <w:lang w:val="es-ES"/>
        </w:rPr>
        <w:t xml:space="preserve">Para el TEDH, </w:t>
      </w:r>
      <w:r w:rsidR="00913875" w:rsidRPr="004D0C53">
        <w:rPr>
          <w:rFonts w:ascii="Verdana" w:hAnsi="Verdana" w:cs="Arial"/>
          <w:i/>
          <w:iCs/>
          <w:sz w:val="20"/>
          <w:szCs w:val="20"/>
          <w:u w:val="single"/>
          <w:lang w:val="es-ES"/>
        </w:rPr>
        <w:t>el concepto de elecciones libres se pondría en peligro sólo si hubiera pruebas de infracciones de procedimiento que pudieran obstaculizar la libre expresión de la opinión del pueblo, por ejemplo, mediante una distorsión grave de la intención de los votantes, y cuando esas quejas no fueran objeto de un examen efectivo a nivel nacional</w:t>
      </w:r>
      <w:r w:rsidR="00913875" w:rsidRPr="004D0C53">
        <w:rPr>
          <w:rFonts w:ascii="Verdana" w:hAnsi="Verdana" w:cs="Arial"/>
          <w:sz w:val="20"/>
          <w:szCs w:val="20"/>
          <w:lang w:val="es-ES"/>
        </w:rPr>
        <w:t>. Por ello, los Estados deben garantizar un acceso al sistema de apelación suficiente para que las garantías previstas en el artículo 3 del Protocolo Nº 1 sean efectivas durante todo el ciclo electoral</w:t>
      </w:r>
      <w:r w:rsidR="00913875" w:rsidRPr="004D0C53">
        <w:rPr>
          <w:rStyle w:val="FootnoteReference"/>
          <w:rFonts w:ascii="Verdana" w:hAnsi="Verdana" w:cs="Arial"/>
          <w:sz w:val="20"/>
          <w:szCs w:val="20"/>
          <w:lang w:val="es-ES"/>
        </w:rPr>
        <w:footnoteReference w:id="64"/>
      </w:r>
      <w:r w:rsidR="00913875" w:rsidRPr="004D0C53">
        <w:rPr>
          <w:rFonts w:ascii="Verdana" w:hAnsi="Verdana" w:cs="Arial"/>
          <w:sz w:val="20"/>
          <w:szCs w:val="20"/>
          <w:lang w:val="es-ES"/>
        </w:rPr>
        <w:t xml:space="preserve">. </w:t>
      </w:r>
    </w:p>
    <w:p w14:paraId="4083D8F4" w14:textId="77777777" w:rsidR="00913875" w:rsidRPr="004D0C53" w:rsidRDefault="00913875" w:rsidP="00913875">
      <w:pPr>
        <w:pStyle w:val="ListParagraph"/>
        <w:rPr>
          <w:rFonts w:ascii="Verdana" w:hAnsi="Verdana" w:cs="Arial"/>
          <w:sz w:val="20"/>
          <w:szCs w:val="20"/>
          <w:lang w:val="es-ES"/>
        </w:rPr>
      </w:pPr>
    </w:p>
    <w:p w14:paraId="1D26E1F5" w14:textId="0BBA0CFD" w:rsidR="00913875" w:rsidRPr="004D0C53" w:rsidRDefault="00ED375C"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60</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En suma, para el TEDH, sólo las irregularidades graves en el proceso de recuento y tabulación de los votos que no hayan sido objeto de un examen efectivo a nivel interno pueden constituir una violación del derecho individual a elecciones libres garantizado por el artículo 3 del Protocolo N.º 1 del Convenio, tanto en su aspecto activo como en su aspecto pasivo</w:t>
      </w:r>
      <w:r w:rsidR="00913875" w:rsidRPr="004D0C53">
        <w:rPr>
          <w:rStyle w:val="FootnoteReference"/>
          <w:rFonts w:ascii="Verdana" w:hAnsi="Verdana" w:cs="Arial"/>
          <w:sz w:val="20"/>
          <w:szCs w:val="20"/>
          <w:lang w:val="es-ES"/>
        </w:rPr>
        <w:footnoteReference w:id="65"/>
      </w:r>
      <w:r w:rsidR="00913875" w:rsidRPr="004D0C53">
        <w:rPr>
          <w:rFonts w:ascii="Verdana" w:hAnsi="Verdana" w:cs="Arial"/>
          <w:sz w:val="20"/>
          <w:szCs w:val="20"/>
          <w:lang w:val="es-ES"/>
        </w:rPr>
        <w:t xml:space="preserve">. </w:t>
      </w:r>
    </w:p>
    <w:p w14:paraId="77B73B42" w14:textId="77777777" w:rsidR="00913875" w:rsidRPr="004D0C53" w:rsidRDefault="00913875" w:rsidP="00913875">
      <w:pPr>
        <w:pStyle w:val="ListParagraph"/>
        <w:ind w:left="360"/>
        <w:jc w:val="both"/>
        <w:rPr>
          <w:rFonts w:ascii="Verdana" w:hAnsi="Verdana" w:cs="Arial"/>
          <w:sz w:val="20"/>
          <w:szCs w:val="20"/>
          <w:lang w:val="es-ES"/>
        </w:rPr>
      </w:pPr>
    </w:p>
    <w:p w14:paraId="212A8EBC" w14:textId="572D603E" w:rsidR="00913875" w:rsidRDefault="00913875" w:rsidP="00913875">
      <w:pPr>
        <w:pStyle w:val="ListParagraph"/>
        <w:numPr>
          <w:ilvl w:val="0"/>
          <w:numId w:val="7"/>
        </w:numPr>
        <w:spacing w:after="0" w:line="240" w:lineRule="auto"/>
        <w:rPr>
          <w:rFonts w:ascii="Verdana" w:hAnsi="Verdana"/>
          <w:i/>
          <w:iCs/>
          <w:sz w:val="20"/>
          <w:szCs w:val="20"/>
          <w:lang w:val="es-ES"/>
        </w:rPr>
      </w:pPr>
      <w:r w:rsidRPr="004D0C53">
        <w:rPr>
          <w:rFonts w:ascii="Verdana" w:hAnsi="Verdana"/>
          <w:i/>
          <w:iCs/>
          <w:sz w:val="20"/>
          <w:szCs w:val="20"/>
          <w:lang w:val="es-ES"/>
        </w:rPr>
        <w:t xml:space="preserve">Cobertura mediática de campañas electorales. </w:t>
      </w:r>
    </w:p>
    <w:p w14:paraId="02D20FFB" w14:textId="77777777" w:rsidR="00520C2E" w:rsidRPr="00520C2E" w:rsidRDefault="00520C2E" w:rsidP="00520C2E">
      <w:pPr>
        <w:pStyle w:val="ListParagraph"/>
        <w:spacing w:after="0" w:line="240" w:lineRule="auto"/>
        <w:ind w:left="360"/>
        <w:rPr>
          <w:rFonts w:ascii="Verdana" w:hAnsi="Verdana"/>
          <w:i/>
          <w:iCs/>
          <w:sz w:val="20"/>
          <w:szCs w:val="20"/>
          <w:lang w:val="es-ES"/>
        </w:rPr>
      </w:pPr>
    </w:p>
    <w:p w14:paraId="78B28E45" w14:textId="1F413484" w:rsidR="00913875" w:rsidRPr="004D0C53" w:rsidRDefault="00541E4A"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6</w:t>
      </w:r>
      <w:r w:rsidR="00ED375C">
        <w:rPr>
          <w:rFonts w:ascii="Verdana" w:hAnsi="Verdana" w:cs="Arial"/>
          <w:sz w:val="20"/>
          <w:szCs w:val="20"/>
          <w:lang w:val="es-ES"/>
        </w:rPr>
        <w:t>1</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 xml:space="preserve">El TEDH ha </w:t>
      </w:r>
      <w:r w:rsidR="00216B50">
        <w:rPr>
          <w:rFonts w:ascii="Verdana" w:hAnsi="Verdana" w:cs="Arial"/>
          <w:sz w:val="20"/>
          <w:szCs w:val="20"/>
          <w:lang w:val="es-ES"/>
        </w:rPr>
        <w:t xml:space="preserve">tenido en consideración que </w:t>
      </w:r>
      <w:r w:rsidR="00913875" w:rsidRPr="004D0C53">
        <w:rPr>
          <w:rFonts w:ascii="Verdana" w:hAnsi="Verdana" w:cs="Arial"/>
          <w:sz w:val="20"/>
          <w:szCs w:val="20"/>
          <w:lang w:val="es-ES"/>
        </w:rPr>
        <w:t>la Comisión Europea para la Democracia por el Derecho (Comisión de Venecia), adoptó el “</w:t>
      </w:r>
      <w:r w:rsidR="00913875" w:rsidRPr="00DC75FC">
        <w:rPr>
          <w:rFonts w:ascii="Verdana" w:hAnsi="Verdana" w:cs="Arial"/>
          <w:i/>
          <w:iCs/>
          <w:sz w:val="20"/>
          <w:szCs w:val="20"/>
          <w:lang w:val="es-ES"/>
        </w:rPr>
        <w:t xml:space="preserve">Código de Buenas Prácticas en Materia </w:t>
      </w:r>
      <w:r w:rsidR="00913875" w:rsidRPr="00DC75FC">
        <w:rPr>
          <w:rFonts w:ascii="Verdana" w:hAnsi="Verdana" w:cs="Arial"/>
          <w:i/>
          <w:iCs/>
          <w:sz w:val="20"/>
          <w:szCs w:val="20"/>
          <w:lang w:val="es-ES"/>
        </w:rPr>
        <w:lastRenderedPageBreak/>
        <w:t>Electoral</w:t>
      </w:r>
      <w:r w:rsidR="00913875" w:rsidRPr="004D0C53">
        <w:rPr>
          <w:rFonts w:ascii="Verdana" w:hAnsi="Verdana" w:cs="Arial"/>
          <w:sz w:val="20"/>
          <w:szCs w:val="20"/>
          <w:lang w:val="es-ES"/>
        </w:rPr>
        <w:t>”</w:t>
      </w:r>
      <w:r w:rsidR="00DC75FC">
        <w:rPr>
          <w:rFonts w:ascii="Verdana" w:hAnsi="Verdana" w:cs="Arial"/>
          <w:sz w:val="20"/>
          <w:szCs w:val="20"/>
          <w:lang w:val="es-ES"/>
        </w:rPr>
        <w:t>.</w:t>
      </w:r>
      <w:r w:rsidR="00913875" w:rsidRPr="004D0C53">
        <w:rPr>
          <w:rFonts w:ascii="Verdana" w:hAnsi="Verdana" w:cs="Arial"/>
          <w:sz w:val="20"/>
          <w:szCs w:val="20"/>
          <w:lang w:val="es-ES"/>
        </w:rPr>
        <w:t xml:space="preserve"> </w:t>
      </w:r>
      <w:r w:rsidR="00DC75FC">
        <w:rPr>
          <w:rFonts w:ascii="Verdana" w:hAnsi="Verdana" w:cs="Arial"/>
          <w:sz w:val="20"/>
          <w:szCs w:val="20"/>
          <w:lang w:val="es-ES"/>
        </w:rPr>
        <w:t>L</w:t>
      </w:r>
      <w:r w:rsidR="00913875" w:rsidRPr="004D0C53">
        <w:rPr>
          <w:rFonts w:ascii="Verdana" w:hAnsi="Verdana" w:cs="Arial"/>
          <w:sz w:val="20"/>
          <w:szCs w:val="20"/>
          <w:lang w:val="es-ES"/>
        </w:rPr>
        <w:t xml:space="preserve">a Comisión de Venecia distinguió dos obligaciones particulares de las autoridades en relación con la cobertura mediática de las campañas electorales: </w:t>
      </w:r>
    </w:p>
    <w:p w14:paraId="7508F44F" w14:textId="77777777" w:rsidR="00913875" w:rsidRPr="004D0C53" w:rsidRDefault="00913875" w:rsidP="00913875">
      <w:pPr>
        <w:pStyle w:val="ListParagraph"/>
        <w:ind w:left="360"/>
        <w:jc w:val="both"/>
        <w:rPr>
          <w:rFonts w:ascii="Verdana" w:hAnsi="Verdana" w:cs="Arial"/>
          <w:sz w:val="20"/>
          <w:szCs w:val="20"/>
          <w:lang w:val="es-ES"/>
        </w:rPr>
      </w:pPr>
    </w:p>
    <w:p w14:paraId="739175A7" w14:textId="77777777" w:rsidR="00913875" w:rsidRPr="004D0C53" w:rsidRDefault="00913875" w:rsidP="00913875">
      <w:pPr>
        <w:pStyle w:val="ListParagraph"/>
        <w:numPr>
          <w:ilvl w:val="0"/>
          <w:numId w:val="6"/>
        </w:numPr>
        <w:spacing w:after="0" w:line="240" w:lineRule="auto"/>
        <w:jc w:val="both"/>
        <w:rPr>
          <w:rFonts w:ascii="Verdana" w:hAnsi="Verdana" w:cs="Arial"/>
          <w:sz w:val="20"/>
          <w:szCs w:val="20"/>
          <w:lang w:val="es-ES"/>
        </w:rPr>
      </w:pPr>
      <w:r w:rsidRPr="004D0C53">
        <w:rPr>
          <w:rFonts w:ascii="Verdana" w:hAnsi="Verdana" w:cs="Arial"/>
          <w:sz w:val="20"/>
          <w:szCs w:val="20"/>
          <w:lang w:val="es-ES"/>
        </w:rPr>
        <w:t>por una parte, garantizar que se conceda a los candidatos y/o partidos una cantidad suficientemente equilibrada de tiempo de emisión y/o espacio publicitario, incluso en los canales de televisión estatales (“obligación de acceso a los medios de comunicación”) y,</w:t>
      </w:r>
    </w:p>
    <w:p w14:paraId="2E5B8AB8" w14:textId="77777777" w:rsidR="00913875" w:rsidRPr="004D0C53" w:rsidRDefault="00913875" w:rsidP="00913875">
      <w:pPr>
        <w:pStyle w:val="ListParagraph"/>
        <w:ind w:left="1428"/>
        <w:jc w:val="both"/>
        <w:rPr>
          <w:rFonts w:ascii="Verdana" w:hAnsi="Verdana" w:cs="Arial"/>
          <w:sz w:val="20"/>
          <w:szCs w:val="20"/>
          <w:lang w:val="es-ES"/>
        </w:rPr>
      </w:pPr>
    </w:p>
    <w:p w14:paraId="67D975AD" w14:textId="6D70E980" w:rsidR="00913875" w:rsidRDefault="00913875" w:rsidP="001C53EF">
      <w:pPr>
        <w:pStyle w:val="ListParagraph"/>
        <w:numPr>
          <w:ilvl w:val="0"/>
          <w:numId w:val="6"/>
        </w:numPr>
        <w:spacing w:after="0" w:line="240" w:lineRule="auto"/>
        <w:jc w:val="both"/>
        <w:rPr>
          <w:rFonts w:ascii="Verdana" w:hAnsi="Verdana" w:cs="Arial"/>
          <w:sz w:val="20"/>
          <w:szCs w:val="20"/>
          <w:lang w:val="es-ES"/>
        </w:rPr>
      </w:pPr>
      <w:r w:rsidRPr="004D0C53">
        <w:rPr>
          <w:rFonts w:ascii="Verdana" w:hAnsi="Verdana" w:cs="Arial"/>
          <w:sz w:val="20"/>
          <w:szCs w:val="20"/>
          <w:lang w:val="es-ES"/>
        </w:rPr>
        <w:t xml:space="preserve">por otra parte, garantizar una “actitud neutral” por parte de las autoridades estatales, en particular con respecto a la campaña electoral y la cobertura mediática, </w:t>
      </w:r>
      <w:r w:rsidR="00216B50">
        <w:rPr>
          <w:rFonts w:ascii="Verdana" w:hAnsi="Verdana" w:cs="Arial"/>
          <w:sz w:val="20"/>
          <w:szCs w:val="20"/>
          <w:lang w:val="es-ES"/>
        </w:rPr>
        <w:t xml:space="preserve">realizada por </w:t>
      </w:r>
      <w:r w:rsidRPr="004D0C53">
        <w:rPr>
          <w:rFonts w:ascii="Verdana" w:hAnsi="Verdana" w:cs="Arial"/>
          <w:sz w:val="20"/>
          <w:szCs w:val="20"/>
          <w:lang w:val="es-ES"/>
        </w:rPr>
        <w:t>los medios de comunicación de propiedad pública (“obligación de neutralidad de actitud”). El Código de Buenas Prácticas en Materia Electoral de la Comisión de Venecia también recomendó la creación de un sistema eficaz de recursos electorales, entre otras cosas, para quejarse por el incumplimiento de las normas de acceso a los medios de comunicación</w:t>
      </w:r>
      <w:r w:rsidRPr="004D0C53">
        <w:rPr>
          <w:rStyle w:val="FootnoteReference"/>
          <w:rFonts w:ascii="Verdana" w:hAnsi="Verdana" w:cs="Arial"/>
          <w:sz w:val="20"/>
          <w:szCs w:val="20"/>
          <w:lang w:val="es-ES"/>
        </w:rPr>
        <w:footnoteReference w:id="66"/>
      </w:r>
      <w:r w:rsidRPr="004D0C53">
        <w:rPr>
          <w:rFonts w:ascii="Verdana" w:hAnsi="Verdana" w:cs="Arial"/>
          <w:sz w:val="20"/>
          <w:szCs w:val="20"/>
          <w:lang w:val="es-ES"/>
        </w:rPr>
        <w:t xml:space="preserve">. </w:t>
      </w:r>
    </w:p>
    <w:p w14:paraId="2306E9FD" w14:textId="77777777" w:rsidR="001C53EF" w:rsidRPr="001C53EF" w:rsidRDefault="001C53EF" w:rsidP="001C53EF">
      <w:pPr>
        <w:spacing w:after="0" w:line="240" w:lineRule="auto"/>
        <w:jc w:val="both"/>
        <w:rPr>
          <w:rFonts w:ascii="Verdana" w:hAnsi="Verdana" w:cs="Arial"/>
          <w:sz w:val="20"/>
          <w:szCs w:val="20"/>
          <w:lang w:val="es-ES"/>
        </w:rPr>
      </w:pPr>
    </w:p>
    <w:p w14:paraId="54ADAD16" w14:textId="4E574142" w:rsidR="00ED375C" w:rsidRDefault="0003172C" w:rsidP="00C91211">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6</w:t>
      </w:r>
      <w:r w:rsidR="00ED375C">
        <w:rPr>
          <w:rFonts w:ascii="Verdana" w:hAnsi="Verdana" w:cs="Arial"/>
          <w:sz w:val="20"/>
          <w:szCs w:val="20"/>
          <w:lang w:val="es-ES"/>
        </w:rPr>
        <w:t>2</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En este sentido, el TEDH ha concluido que el artículo 3 del Protocolo No. 1</w:t>
      </w:r>
      <w:r w:rsidR="00DC75FC">
        <w:rPr>
          <w:rFonts w:ascii="Verdana" w:hAnsi="Verdana" w:cs="Arial"/>
          <w:sz w:val="20"/>
          <w:szCs w:val="20"/>
          <w:lang w:val="es-ES"/>
        </w:rPr>
        <w:t xml:space="preserve"> del CEDH</w:t>
      </w:r>
      <w:r w:rsidR="00913875" w:rsidRPr="004D0C53">
        <w:rPr>
          <w:rFonts w:ascii="Verdana" w:hAnsi="Verdana" w:cs="Arial"/>
          <w:sz w:val="20"/>
          <w:szCs w:val="20"/>
          <w:lang w:val="es-ES"/>
        </w:rPr>
        <w:t xml:space="preserve">, consagra un principio fundamental de una </w:t>
      </w:r>
      <w:r w:rsidR="00913875" w:rsidRPr="00DC75FC">
        <w:rPr>
          <w:rFonts w:ascii="Verdana" w:hAnsi="Verdana" w:cs="Arial"/>
          <w:i/>
          <w:iCs/>
          <w:sz w:val="20"/>
          <w:szCs w:val="20"/>
          <w:lang w:val="es-ES"/>
        </w:rPr>
        <w:t>democracia política efectiva</w:t>
      </w:r>
      <w:r w:rsidR="00913875" w:rsidRPr="004D0C53">
        <w:rPr>
          <w:rFonts w:ascii="Verdana" w:hAnsi="Verdana" w:cs="Arial"/>
          <w:sz w:val="20"/>
          <w:szCs w:val="20"/>
          <w:lang w:val="es-ES"/>
        </w:rPr>
        <w:t xml:space="preserve">. </w:t>
      </w:r>
      <w:r w:rsidR="000D3B07">
        <w:rPr>
          <w:rFonts w:ascii="Verdana" w:hAnsi="Verdana" w:cs="Arial"/>
          <w:sz w:val="20"/>
          <w:szCs w:val="20"/>
          <w:lang w:val="es-ES"/>
        </w:rPr>
        <w:t>Este i</w:t>
      </w:r>
      <w:r w:rsidR="00913875" w:rsidRPr="004D0C53">
        <w:rPr>
          <w:rFonts w:ascii="Verdana" w:hAnsi="Verdana" w:cs="Arial"/>
          <w:sz w:val="20"/>
          <w:szCs w:val="20"/>
          <w:lang w:val="es-ES"/>
        </w:rPr>
        <w:t>mplica los derechos subjetivos de votar y presentarse como candidato a las elecciones</w:t>
      </w:r>
      <w:r w:rsidR="00913875" w:rsidRPr="004D0C53">
        <w:rPr>
          <w:rStyle w:val="FootnoteReference"/>
          <w:rFonts w:ascii="Verdana" w:hAnsi="Verdana" w:cs="Arial"/>
          <w:sz w:val="20"/>
          <w:szCs w:val="20"/>
          <w:lang w:val="es-ES"/>
        </w:rPr>
        <w:footnoteReference w:id="67"/>
      </w:r>
      <w:r w:rsidR="00913875" w:rsidRPr="004D0C53">
        <w:rPr>
          <w:rFonts w:ascii="Verdana" w:hAnsi="Verdana" w:cs="Arial"/>
          <w:sz w:val="20"/>
          <w:szCs w:val="20"/>
          <w:lang w:val="es-ES"/>
        </w:rPr>
        <w:t>. Pero ha agregado que esta disposición también se refiere expresamente a las “condiciones que garantizarán la libre expresión de la opinión del pueblo en la elección del poder legislativo”</w:t>
      </w:r>
      <w:r w:rsidR="00DC75FC">
        <w:rPr>
          <w:rFonts w:ascii="Verdana" w:hAnsi="Verdana" w:cs="Arial"/>
          <w:sz w:val="20"/>
          <w:szCs w:val="20"/>
          <w:lang w:val="es-ES"/>
        </w:rPr>
        <w:t>;</w:t>
      </w:r>
      <w:r w:rsidR="00913875" w:rsidRPr="004D0C53">
        <w:rPr>
          <w:rFonts w:ascii="Verdana" w:hAnsi="Verdana" w:cs="Arial"/>
          <w:sz w:val="20"/>
          <w:szCs w:val="20"/>
          <w:lang w:val="es-ES"/>
        </w:rPr>
        <w:t xml:space="preserve"> </w:t>
      </w:r>
      <w:r w:rsidR="006F1BF2">
        <w:rPr>
          <w:rFonts w:ascii="Verdana" w:hAnsi="Verdana" w:cs="Arial"/>
          <w:sz w:val="20"/>
          <w:szCs w:val="20"/>
          <w:lang w:val="es-ES"/>
        </w:rPr>
        <w:t>bajo esta lógica</w:t>
      </w:r>
      <w:r w:rsidR="00913875" w:rsidRPr="004D0C53">
        <w:rPr>
          <w:rFonts w:ascii="Verdana" w:hAnsi="Verdana" w:cs="Arial"/>
          <w:sz w:val="20"/>
          <w:szCs w:val="20"/>
          <w:lang w:val="es-ES"/>
        </w:rPr>
        <w:t xml:space="preserve">, en el caso </w:t>
      </w:r>
      <w:r w:rsidR="00913875" w:rsidRPr="004D0C53">
        <w:rPr>
          <w:rFonts w:ascii="Verdana" w:hAnsi="Verdana" w:cs="Arial"/>
          <w:i/>
          <w:iCs/>
          <w:sz w:val="20"/>
          <w:szCs w:val="20"/>
          <w:lang w:val="es-ES"/>
        </w:rPr>
        <w:t>Mathieu-Mohin y Clerfayt Vs. Bélgica</w:t>
      </w:r>
      <w:r w:rsidR="00913875" w:rsidRPr="004D0C53">
        <w:rPr>
          <w:rFonts w:ascii="Verdana" w:hAnsi="Verdana" w:cs="Arial"/>
          <w:sz w:val="20"/>
          <w:szCs w:val="20"/>
          <w:lang w:val="es-ES"/>
        </w:rPr>
        <w:t xml:space="preserve">, el Tribunal señaló </w:t>
      </w:r>
      <w:r w:rsidR="00DC75FC">
        <w:rPr>
          <w:rFonts w:ascii="Verdana" w:hAnsi="Verdana" w:cs="Arial"/>
          <w:sz w:val="20"/>
          <w:szCs w:val="20"/>
          <w:lang w:val="es-ES"/>
        </w:rPr>
        <w:t xml:space="preserve">que </w:t>
      </w:r>
      <w:r w:rsidR="00913875" w:rsidRPr="004D0C53">
        <w:rPr>
          <w:rFonts w:ascii="Verdana" w:hAnsi="Verdana" w:cs="Arial"/>
          <w:sz w:val="20"/>
          <w:szCs w:val="20"/>
          <w:lang w:val="es-ES"/>
        </w:rPr>
        <w:t xml:space="preserve">el artículo 3 “implica esencialmente </w:t>
      </w:r>
      <w:r w:rsidR="00DC75FC">
        <w:rPr>
          <w:rFonts w:ascii="Verdana" w:hAnsi="Verdana" w:cs="Arial"/>
          <w:sz w:val="20"/>
          <w:szCs w:val="20"/>
          <w:lang w:val="es-ES"/>
        </w:rPr>
        <w:t>—</w:t>
      </w:r>
      <w:r w:rsidR="00913875" w:rsidRPr="004D0C53">
        <w:rPr>
          <w:rFonts w:ascii="Verdana" w:hAnsi="Verdana" w:cs="Arial"/>
          <w:sz w:val="20"/>
          <w:szCs w:val="20"/>
          <w:lang w:val="es-ES"/>
        </w:rPr>
        <w:t>además de la libertad de expresión</w:t>
      </w:r>
      <w:r w:rsidR="00DC75FC">
        <w:rPr>
          <w:rFonts w:ascii="Verdana" w:hAnsi="Verdana" w:cs="Arial"/>
          <w:sz w:val="20"/>
          <w:szCs w:val="20"/>
          <w:lang w:val="es-ES"/>
        </w:rPr>
        <w:t>—</w:t>
      </w:r>
      <w:r w:rsidR="00913875" w:rsidRPr="004D0C53">
        <w:rPr>
          <w:rFonts w:ascii="Verdana" w:hAnsi="Verdana" w:cs="Arial"/>
          <w:sz w:val="20"/>
          <w:szCs w:val="20"/>
          <w:lang w:val="es-ES"/>
        </w:rPr>
        <w:t xml:space="preserve"> el </w:t>
      </w:r>
      <w:r w:rsidR="00913875" w:rsidRPr="00DC75FC">
        <w:rPr>
          <w:rFonts w:ascii="Verdana" w:hAnsi="Verdana" w:cs="Arial"/>
          <w:i/>
          <w:iCs/>
          <w:sz w:val="20"/>
          <w:szCs w:val="20"/>
          <w:lang w:val="es-ES"/>
        </w:rPr>
        <w:t>principio de igualdad de trato</w:t>
      </w:r>
      <w:r w:rsidR="00913875" w:rsidRPr="004D0C53">
        <w:rPr>
          <w:rFonts w:ascii="Verdana" w:hAnsi="Verdana" w:cs="Arial"/>
          <w:sz w:val="20"/>
          <w:szCs w:val="20"/>
          <w:lang w:val="es-ES"/>
        </w:rPr>
        <w:t>”</w:t>
      </w:r>
      <w:r w:rsidR="00913875" w:rsidRPr="004D0C53">
        <w:rPr>
          <w:rStyle w:val="FootnoteReference"/>
          <w:rFonts w:ascii="Verdana" w:hAnsi="Verdana" w:cs="Arial"/>
          <w:sz w:val="20"/>
          <w:szCs w:val="20"/>
          <w:lang w:val="es-ES"/>
        </w:rPr>
        <w:footnoteReference w:id="68"/>
      </w:r>
      <w:r w:rsidR="00DC75FC">
        <w:rPr>
          <w:rFonts w:ascii="Verdana" w:hAnsi="Verdana" w:cs="Arial"/>
          <w:sz w:val="20"/>
          <w:szCs w:val="20"/>
          <w:lang w:val="es-ES"/>
        </w:rPr>
        <w:t>.</w:t>
      </w:r>
      <w:r w:rsidR="00913875" w:rsidRPr="004D0C53">
        <w:rPr>
          <w:rFonts w:ascii="Verdana" w:hAnsi="Verdana" w:cs="Arial"/>
          <w:sz w:val="20"/>
          <w:szCs w:val="20"/>
          <w:lang w:val="es-ES"/>
        </w:rPr>
        <w:t xml:space="preserve"> </w:t>
      </w:r>
    </w:p>
    <w:p w14:paraId="21B1741C" w14:textId="77777777" w:rsidR="00ED375C" w:rsidRDefault="00ED375C" w:rsidP="00C91211">
      <w:pPr>
        <w:pStyle w:val="ListParagraph"/>
        <w:spacing w:after="0" w:line="240" w:lineRule="auto"/>
        <w:ind w:left="0"/>
        <w:jc w:val="both"/>
        <w:rPr>
          <w:rFonts w:ascii="Verdana" w:hAnsi="Verdana" w:cs="Arial"/>
          <w:sz w:val="20"/>
          <w:szCs w:val="20"/>
          <w:lang w:val="es-ES"/>
        </w:rPr>
      </w:pPr>
    </w:p>
    <w:p w14:paraId="23D01D85" w14:textId="63E132DB" w:rsidR="00C91211" w:rsidRDefault="00ED375C" w:rsidP="00C91211">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 xml:space="preserve">63. </w:t>
      </w:r>
      <w:r>
        <w:rPr>
          <w:rFonts w:ascii="Verdana" w:hAnsi="Verdana" w:cs="Arial"/>
          <w:sz w:val="20"/>
          <w:szCs w:val="20"/>
          <w:lang w:val="es-ES"/>
        </w:rPr>
        <w:tab/>
      </w:r>
      <w:r w:rsidR="00DC75FC">
        <w:rPr>
          <w:rFonts w:ascii="Verdana" w:hAnsi="Verdana" w:cs="Arial"/>
          <w:sz w:val="20"/>
          <w:szCs w:val="20"/>
          <w:lang w:val="es-ES"/>
        </w:rPr>
        <w:t>D</w:t>
      </w:r>
      <w:r w:rsidR="00913875" w:rsidRPr="004D0C53">
        <w:rPr>
          <w:rFonts w:ascii="Verdana" w:hAnsi="Verdana" w:cs="Arial"/>
          <w:sz w:val="20"/>
          <w:szCs w:val="20"/>
          <w:lang w:val="es-ES"/>
        </w:rPr>
        <w:t xml:space="preserve">e este modo, el TEDH reconoció que la “libertad de expresión” era una parte importante de la “libre expresión de la opinión”. La interrelación entre elecciones libres y libertad de expresión </w:t>
      </w:r>
      <w:r w:rsidR="00913875" w:rsidRPr="00C91211">
        <w:rPr>
          <w:rFonts w:ascii="Verdana" w:hAnsi="Verdana" w:cs="Arial"/>
          <w:sz w:val="20"/>
          <w:szCs w:val="20"/>
          <w:lang w:val="es-ES"/>
        </w:rPr>
        <w:t xml:space="preserve">también fue subrayada en el </w:t>
      </w:r>
      <w:r w:rsidR="00913875" w:rsidRPr="00216B50">
        <w:rPr>
          <w:rFonts w:ascii="Verdana" w:hAnsi="Verdana" w:cs="Arial"/>
          <w:sz w:val="20"/>
          <w:szCs w:val="20"/>
          <w:lang w:val="es-ES"/>
        </w:rPr>
        <w:t>caso</w:t>
      </w:r>
      <w:r w:rsidR="00913875" w:rsidRPr="00C91211">
        <w:rPr>
          <w:rFonts w:ascii="Verdana" w:hAnsi="Verdana" w:cs="Arial"/>
          <w:i/>
          <w:iCs/>
          <w:sz w:val="20"/>
          <w:szCs w:val="20"/>
          <w:lang w:val="es-ES"/>
        </w:rPr>
        <w:t> Bowman</w:t>
      </w:r>
      <w:r w:rsidR="00913875" w:rsidRPr="00C91211">
        <w:rPr>
          <w:rFonts w:ascii="Verdana" w:hAnsi="Verdana" w:cs="Arial"/>
          <w:sz w:val="20"/>
          <w:szCs w:val="20"/>
          <w:lang w:val="es-ES"/>
        </w:rPr>
        <w:t xml:space="preserve"> </w:t>
      </w:r>
      <w:r w:rsidR="00913875" w:rsidRPr="00C91211">
        <w:rPr>
          <w:rFonts w:ascii="Verdana" w:hAnsi="Verdana" w:cs="Arial"/>
          <w:i/>
          <w:iCs/>
          <w:sz w:val="20"/>
          <w:szCs w:val="20"/>
          <w:lang w:val="es-ES"/>
        </w:rPr>
        <w:t>Vs. Reino Unido</w:t>
      </w:r>
      <w:r w:rsidR="00913875" w:rsidRPr="00C91211">
        <w:rPr>
          <w:rFonts w:ascii="Verdana" w:hAnsi="Verdana" w:cs="Arial"/>
          <w:sz w:val="20"/>
          <w:szCs w:val="20"/>
          <w:lang w:val="es-ES"/>
        </w:rPr>
        <w:t> donde el Tribunal sostuvo que “es particularmente importante en el período previo a una elección que las opiniones e informaciones de todo tipo puedan circular libremente”</w:t>
      </w:r>
      <w:r w:rsidR="00913875" w:rsidRPr="00C91211">
        <w:rPr>
          <w:rStyle w:val="FootnoteReference"/>
          <w:rFonts w:ascii="Verdana" w:hAnsi="Verdana" w:cs="Arial"/>
          <w:sz w:val="20"/>
          <w:szCs w:val="20"/>
          <w:lang w:val="es-ES"/>
        </w:rPr>
        <w:footnoteReference w:id="69"/>
      </w:r>
      <w:r w:rsidR="00913875" w:rsidRPr="00C91211">
        <w:rPr>
          <w:rFonts w:ascii="Verdana" w:hAnsi="Verdana" w:cs="Arial"/>
          <w:sz w:val="20"/>
          <w:szCs w:val="20"/>
          <w:lang w:val="es-ES"/>
        </w:rPr>
        <w:t xml:space="preserve">. Por último, en el caso </w:t>
      </w:r>
      <w:r w:rsidR="00913875" w:rsidRPr="00C91211">
        <w:rPr>
          <w:rFonts w:ascii="Verdana" w:hAnsi="Verdana" w:cs="Arial"/>
          <w:i/>
          <w:iCs/>
          <w:sz w:val="20"/>
          <w:szCs w:val="20"/>
          <w:lang w:val="es-ES"/>
        </w:rPr>
        <w:t>Yumak y Sadak Vs. Turquía</w:t>
      </w:r>
      <w:r w:rsidR="00913875" w:rsidRPr="00C91211">
        <w:rPr>
          <w:rFonts w:ascii="Verdana" w:hAnsi="Verdana" w:cs="Arial"/>
          <w:sz w:val="20"/>
          <w:szCs w:val="20"/>
          <w:lang w:val="es-ES"/>
        </w:rPr>
        <w:t>, el Tribunal sostuvo que el Estado tenía la obligación de adoptar medidas positivas para organizar elecciones “en condiciones que aseguren la libre expresión de la opinión del pueblo en la elección de la legislatura”</w:t>
      </w:r>
      <w:r w:rsidR="00913875" w:rsidRPr="00C91211">
        <w:rPr>
          <w:rStyle w:val="FootnoteReference"/>
          <w:rFonts w:ascii="Verdana" w:hAnsi="Verdana" w:cs="Arial"/>
          <w:sz w:val="20"/>
          <w:szCs w:val="20"/>
          <w:lang w:val="es-ES"/>
        </w:rPr>
        <w:footnoteReference w:id="70"/>
      </w:r>
      <w:r w:rsidR="00913875" w:rsidRPr="00C91211">
        <w:rPr>
          <w:rFonts w:ascii="Verdana" w:hAnsi="Verdana" w:cs="Arial"/>
          <w:sz w:val="20"/>
          <w:szCs w:val="20"/>
          <w:lang w:val="es-ES"/>
        </w:rPr>
        <w:t>.     </w:t>
      </w:r>
    </w:p>
    <w:p w14:paraId="22B5BF0A" w14:textId="77777777" w:rsidR="00C91211" w:rsidRDefault="00C91211" w:rsidP="00C91211">
      <w:pPr>
        <w:pStyle w:val="ListParagraph"/>
        <w:spacing w:after="0" w:line="240" w:lineRule="auto"/>
        <w:ind w:left="0"/>
        <w:jc w:val="both"/>
        <w:rPr>
          <w:rFonts w:ascii="Verdana" w:hAnsi="Verdana" w:cs="Arial"/>
          <w:sz w:val="20"/>
          <w:szCs w:val="20"/>
          <w:lang w:val="es-ES"/>
        </w:rPr>
      </w:pPr>
    </w:p>
    <w:p w14:paraId="7EABF1DC" w14:textId="6F044DC3" w:rsidR="00C91211" w:rsidRPr="00C91211" w:rsidRDefault="00C91211" w:rsidP="00C91211">
      <w:pPr>
        <w:pStyle w:val="ListParagraph"/>
        <w:numPr>
          <w:ilvl w:val="0"/>
          <w:numId w:val="10"/>
        </w:numPr>
        <w:spacing w:after="0" w:line="240" w:lineRule="auto"/>
        <w:jc w:val="both"/>
        <w:rPr>
          <w:rFonts w:ascii="Verdana" w:hAnsi="Verdana" w:cs="Arial"/>
          <w:i/>
          <w:iCs/>
          <w:sz w:val="20"/>
          <w:szCs w:val="20"/>
          <w:lang w:val="es-ES"/>
        </w:rPr>
      </w:pPr>
      <w:r w:rsidRPr="00C91211">
        <w:rPr>
          <w:rFonts w:ascii="Verdana" w:hAnsi="Verdana" w:cs="Arial"/>
          <w:i/>
          <w:iCs/>
          <w:sz w:val="20"/>
          <w:szCs w:val="20"/>
          <w:lang w:val="es-ES"/>
        </w:rPr>
        <w:t>Sistema Interamericano</w:t>
      </w:r>
    </w:p>
    <w:p w14:paraId="64C77A86" w14:textId="77777777" w:rsidR="00C91211" w:rsidRPr="00C91211" w:rsidRDefault="00C91211" w:rsidP="00C91211">
      <w:pPr>
        <w:pStyle w:val="ListParagraph"/>
        <w:spacing w:after="0" w:line="240" w:lineRule="auto"/>
        <w:ind w:left="0"/>
        <w:jc w:val="both"/>
        <w:rPr>
          <w:rFonts w:ascii="Verdana" w:hAnsi="Verdana" w:cs="Arial"/>
          <w:sz w:val="20"/>
          <w:szCs w:val="20"/>
          <w:lang w:val="es-ES"/>
        </w:rPr>
      </w:pPr>
    </w:p>
    <w:p w14:paraId="52DF814C" w14:textId="325BBBDB" w:rsidR="00ED375C" w:rsidRDefault="00C91211" w:rsidP="00C91211">
      <w:pPr>
        <w:pStyle w:val="ListParagraph"/>
        <w:tabs>
          <w:tab w:val="left" w:pos="709"/>
        </w:tabs>
        <w:spacing w:after="0" w:line="240" w:lineRule="auto"/>
        <w:ind w:left="0"/>
        <w:jc w:val="both"/>
        <w:rPr>
          <w:rFonts w:ascii="Verdana" w:hAnsi="Verdana"/>
          <w:sz w:val="20"/>
          <w:szCs w:val="20"/>
        </w:rPr>
      </w:pPr>
      <w:r w:rsidRPr="00C91211">
        <w:rPr>
          <w:rFonts w:ascii="Verdana" w:hAnsi="Verdana" w:cs="Arial"/>
          <w:color w:val="000000" w:themeColor="text1"/>
          <w:sz w:val="20"/>
          <w:szCs w:val="20"/>
          <w:shd w:val="clear" w:color="auto" w:fill="FFFFFF"/>
          <w:lang w:val="es-ES"/>
        </w:rPr>
        <w:t>6</w:t>
      </w:r>
      <w:r w:rsidR="00ED375C">
        <w:rPr>
          <w:rFonts w:ascii="Verdana" w:hAnsi="Verdana" w:cs="Arial"/>
          <w:color w:val="000000" w:themeColor="text1"/>
          <w:sz w:val="20"/>
          <w:szCs w:val="20"/>
          <w:shd w:val="clear" w:color="auto" w:fill="FFFFFF"/>
          <w:lang w:val="es-ES"/>
        </w:rPr>
        <w:t>4</w:t>
      </w:r>
      <w:r w:rsidRPr="00C91211">
        <w:rPr>
          <w:rFonts w:ascii="Verdana" w:hAnsi="Verdana" w:cs="Arial"/>
          <w:color w:val="000000" w:themeColor="text1"/>
          <w:sz w:val="20"/>
          <w:szCs w:val="20"/>
          <w:shd w:val="clear" w:color="auto" w:fill="FFFFFF"/>
          <w:lang w:val="es-ES"/>
        </w:rPr>
        <w:t xml:space="preserve">. </w:t>
      </w:r>
      <w:r w:rsidRPr="00C91211">
        <w:rPr>
          <w:rFonts w:ascii="Verdana" w:hAnsi="Verdana" w:cs="Arial"/>
          <w:color w:val="000000" w:themeColor="text1"/>
          <w:sz w:val="20"/>
          <w:szCs w:val="20"/>
          <w:shd w:val="clear" w:color="auto" w:fill="FFFFFF"/>
          <w:lang w:val="es-ES"/>
        </w:rPr>
        <w:tab/>
        <w:t xml:space="preserve">En el Sistema Interamericano, la principal disposición que protege los derechos políticos es </w:t>
      </w:r>
      <w:r w:rsidRPr="00C91211">
        <w:rPr>
          <w:rFonts w:ascii="Verdana" w:hAnsi="Verdana"/>
          <w:sz w:val="20"/>
          <w:szCs w:val="20"/>
        </w:rPr>
        <w:t>el</w:t>
      </w:r>
      <w:r w:rsidRPr="00C91211">
        <w:rPr>
          <w:rFonts w:ascii="Verdana" w:hAnsi="Verdana"/>
          <w:spacing w:val="-13"/>
          <w:sz w:val="20"/>
          <w:szCs w:val="20"/>
        </w:rPr>
        <w:t xml:space="preserve"> </w:t>
      </w:r>
      <w:r w:rsidRPr="00C91211">
        <w:rPr>
          <w:rFonts w:ascii="Verdana" w:hAnsi="Verdana"/>
          <w:sz w:val="20"/>
          <w:szCs w:val="20"/>
        </w:rPr>
        <w:t>artículo</w:t>
      </w:r>
      <w:r w:rsidRPr="00C91211">
        <w:rPr>
          <w:rFonts w:ascii="Verdana" w:hAnsi="Verdana"/>
          <w:spacing w:val="-11"/>
          <w:sz w:val="20"/>
          <w:szCs w:val="20"/>
        </w:rPr>
        <w:t xml:space="preserve"> </w:t>
      </w:r>
      <w:r w:rsidRPr="00C91211">
        <w:rPr>
          <w:rFonts w:ascii="Verdana" w:hAnsi="Verdana"/>
          <w:sz w:val="20"/>
          <w:szCs w:val="20"/>
        </w:rPr>
        <w:t>23.1</w:t>
      </w:r>
      <w:r w:rsidRPr="00C91211">
        <w:rPr>
          <w:rFonts w:ascii="Verdana" w:hAnsi="Verdana"/>
          <w:spacing w:val="-13"/>
          <w:sz w:val="20"/>
          <w:szCs w:val="20"/>
        </w:rPr>
        <w:t xml:space="preserve"> </w:t>
      </w:r>
      <w:r w:rsidRPr="00C91211">
        <w:rPr>
          <w:rFonts w:ascii="Verdana" w:hAnsi="Verdana"/>
          <w:sz w:val="20"/>
          <w:szCs w:val="20"/>
        </w:rPr>
        <w:t>de</w:t>
      </w:r>
      <w:r w:rsidRPr="00C91211">
        <w:rPr>
          <w:rFonts w:ascii="Verdana" w:hAnsi="Verdana"/>
          <w:spacing w:val="-12"/>
          <w:sz w:val="20"/>
          <w:szCs w:val="20"/>
        </w:rPr>
        <w:t xml:space="preserve"> </w:t>
      </w:r>
      <w:r w:rsidRPr="00C91211">
        <w:rPr>
          <w:rFonts w:ascii="Verdana" w:hAnsi="Verdana"/>
          <w:sz w:val="20"/>
          <w:szCs w:val="20"/>
        </w:rPr>
        <w:t>la</w:t>
      </w:r>
      <w:r w:rsidRPr="00C91211">
        <w:rPr>
          <w:rFonts w:ascii="Verdana" w:hAnsi="Verdana"/>
          <w:spacing w:val="-13"/>
          <w:sz w:val="20"/>
          <w:szCs w:val="20"/>
        </w:rPr>
        <w:t xml:space="preserve"> </w:t>
      </w:r>
      <w:r w:rsidRPr="00C91211">
        <w:rPr>
          <w:rFonts w:ascii="Verdana" w:hAnsi="Verdana"/>
          <w:sz w:val="20"/>
          <w:szCs w:val="20"/>
        </w:rPr>
        <w:t>Convención</w:t>
      </w:r>
      <w:r w:rsidRPr="00C91211">
        <w:rPr>
          <w:rFonts w:ascii="Verdana" w:hAnsi="Verdana"/>
          <w:spacing w:val="-11"/>
          <w:sz w:val="20"/>
          <w:szCs w:val="20"/>
        </w:rPr>
        <w:t xml:space="preserve"> Americana</w:t>
      </w:r>
      <w:r w:rsidR="00DC75FC">
        <w:rPr>
          <w:rFonts w:ascii="Verdana" w:hAnsi="Verdana"/>
          <w:spacing w:val="-11"/>
          <w:sz w:val="20"/>
          <w:szCs w:val="20"/>
        </w:rPr>
        <w:t>. Esta disposición</w:t>
      </w:r>
      <w:r w:rsidRPr="00C91211">
        <w:rPr>
          <w:rFonts w:ascii="Verdana" w:hAnsi="Verdana"/>
          <w:spacing w:val="-11"/>
          <w:sz w:val="20"/>
          <w:szCs w:val="20"/>
        </w:rPr>
        <w:t xml:space="preserve"> </w:t>
      </w:r>
      <w:r w:rsidRPr="00C91211">
        <w:rPr>
          <w:rFonts w:ascii="Verdana" w:hAnsi="Verdana"/>
          <w:sz w:val="20"/>
          <w:szCs w:val="20"/>
        </w:rPr>
        <w:t>establece</w:t>
      </w:r>
      <w:r w:rsidRPr="00C91211">
        <w:rPr>
          <w:rFonts w:ascii="Verdana" w:hAnsi="Verdana"/>
          <w:spacing w:val="-12"/>
          <w:sz w:val="20"/>
          <w:szCs w:val="20"/>
        </w:rPr>
        <w:t xml:space="preserve"> </w:t>
      </w:r>
      <w:r w:rsidRPr="00C91211">
        <w:rPr>
          <w:rFonts w:ascii="Verdana" w:hAnsi="Verdana"/>
          <w:sz w:val="20"/>
          <w:szCs w:val="20"/>
        </w:rPr>
        <w:t>que</w:t>
      </w:r>
      <w:r w:rsidRPr="00C91211">
        <w:rPr>
          <w:rFonts w:ascii="Verdana" w:hAnsi="Verdana"/>
          <w:spacing w:val="-12"/>
          <w:sz w:val="20"/>
          <w:szCs w:val="20"/>
        </w:rPr>
        <w:t xml:space="preserve"> </w:t>
      </w:r>
      <w:r w:rsidRPr="00C91211">
        <w:rPr>
          <w:rFonts w:ascii="Verdana" w:hAnsi="Verdana"/>
          <w:sz w:val="20"/>
          <w:szCs w:val="20"/>
        </w:rPr>
        <w:t>todos</w:t>
      </w:r>
      <w:r w:rsidRPr="00C91211">
        <w:rPr>
          <w:rFonts w:ascii="Verdana" w:hAnsi="Verdana"/>
          <w:spacing w:val="-13"/>
          <w:sz w:val="20"/>
          <w:szCs w:val="20"/>
        </w:rPr>
        <w:t xml:space="preserve"> </w:t>
      </w:r>
      <w:r w:rsidRPr="00C91211">
        <w:rPr>
          <w:rFonts w:ascii="Verdana" w:hAnsi="Verdana"/>
          <w:sz w:val="20"/>
          <w:szCs w:val="20"/>
        </w:rPr>
        <w:t>los</w:t>
      </w:r>
      <w:r w:rsidRPr="00C91211">
        <w:rPr>
          <w:rFonts w:ascii="Verdana" w:hAnsi="Verdana"/>
          <w:spacing w:val="-11"/>
          <w:sz w:val="20"/>
          <w:szCs w:val="20"/>
        </w:rPr>
        <w:t xml:space="preserve"> </w:t>
      </w:r>
      <w:r w:rsidRPr="00C91211">
        <w:rPr>
          <w:rFonts w:ascii="Verdana" w:hAnsi="Verdana"/>
          <w:sz w:val="20"/>
          <w:szCs w:val="20"/>
        </w:rPr>
        <w:t>ciudadanos</w:t>
      </w:r>
      <w:r w:rsidRPr="00C91211">
        <w:rPr>
          <w:rFonts w:ascii="Verdana" w:hAnsi="Verdana"/>
          <w:spacing w:val="-14"/>
          <w:sz w:val="20"/>
          <w:szCs w:val="20"/>
        </w:rPr>
        <w:t xml:space="preserve"> </w:t>
      </w:r>
      <w:r w:rsidRPr="00C91211">
        <w:rPr>
          <w:rFonts w:ascii="Verdana" w:hAnsi="Verdana"/>
          <w:sz w:val="20"/>
          <w:szCs w:val="20"/>
        </w:rPr>
        <w:t>deben</w:t>
      </w:r>
      <w:r w:rsidRPr="00C91211">
        <w:rPr>
          <w:rFonts w:ascii="Verdana" w:hAnsi="Verdana"/>
          <w:spacing w:val="-68"/>
          <w:sz w:val="20"/>
          <w:szCs w:val="20"/>
        </w:rPr>
        <w:t xml:space="preserve"> </w:t>
      </w:r>
      <w:r w:rsidR="00DC75FC">
        <w:rPr>
          <w:rFonts w:ascii="Verdana" w:hAnsi="Verdana"/>
          <w:spacing w:val="-68"/>
          <w:sz w:val="20"/>
          <w:szCs w:val="20"/>
        </w:rPr>
        <w:t xml:space="preserve">  </w:t>
      </w:r>
      <w:r w:rsidR="00DC75FC">
        <w:rPr>
          <w:rFonts w:ascii="Verdana" w:hAnsi="Verdana"/>
          <w:sz w:val="20"/>
          <w:szCs w:val="20"/>
        </w:rPr>
        <w:t xml:space="preserve"> gozar </w:t>
      </w:r>
      <w:r w:rsidRPr="00C91211">
        <w:rPr>
          <w:rFonts w:ascii="Verdana" w:hAnsi="Verdana"/>
          <w:sz w:val="20"/>
          <w:szCs w:val="20"/>
        </w:rPr>
        <w:t>de los siguientes derechos y oportunidades: i) a la participación en la dirección de los</w:t>
      </w:r>
      <w:r w:rsidRPr="00C91211">
        <w:rPr>
          <w:rFonts w:ascii="Verdana" w:hAnsi="Verdana"/>
          <w:spacing w:val="1"/>
          <w:sz w:val="20"/>
          <w:szCs w:val="20"/>
        </w:rPr>
        <w:t xml:space="preserve"> </w:t>
      </w:r>
      <w:r w:rsidRPr="00C91211">
        <w:rPr>
          <w:rFonts w:ascii="Verdana" w:hAnsi="Verdana"/>
          <w:sz w:val="20"/>
          <w:szCs w:val="20"/>
        </w:rPr>
        <w:t>asuntos públicos, directamente o por representantes libremente elegidos; ii) a votar y a ser</w:t>
      </w:r>
      <w:r w:rsidRPr="00C91211">
        <w:rPr>
          <w:rFonts w:ascii="Verdana" w:hAnsi="Verdana"/>
          <w:spacing w:val="1"/>
          <w:sz w:val="20"/>
          <w:szCs w:val="20"/>
        </w:rPr>
        <w:t xml:space="preserve"> </w:t>
      </w:r>
      <w:r w:rsidRPr="00C91211">
        <w:rPr>
          <w:rFonts w:ascii="Verdana" w:hAnsi="Verdana"/>
          <w:sz w:val="20"/>
          <w:szCs w:val="20"/>
        </w:rPr>
        <w:t>elegido</w:t>
      </w:r>
      <w:r w:rsidRPr="00C91211">
        <w:rPr>
          <w:rFonts w:ascii="Verdana" w:hAnsi="Verdana"/>
          <w:spacing w:val="-17"/>
          <w:sz w:val="20"/>
          <w:szCs w:val="20"/>
        </w:rPr>
        <w:t xml:space="preserve"> </w:t>
      </w:r>
      <w:r w:rsidRPr="00C91211">
        <w:rPr>
          <w:rFonts w:ascii="Verdana" w:hAnsi="Verdana"/>
          <w:sz w:val="20"/>
          <w:szCs w:val="20"/>
        </w:rPr>
        <w:t>en</w:t>
      </w:r>
      <w:r w:rsidRPr="00C91211">
        <w:rPr>
          <w:rFonts w:ascii="Verdana" w:hAnsi="Verdana"/>
          <w:spacing w:val="-14"/>
          <w:sz w:val="20"/>
          <w:szCs w:val="20"/>
        </w:rPr>
        <w:t xml:space="preserve"> </w:t>
      </w:r>
      <w:r w:rsidRPr="00C91211">
        <w:rPr>
          <w:rFonts w:ascii="Verdana" w:hAnsi="Verdana"/>
          <w:sz w:val="20"/>
          <w:szCs w:val="20"/>
        </w:rPr>
        <w:t>elecciones</w:t>
      </w:r>
      <w:r w:rsidRPr="00C91211">
        <w:rPr>
          <w:rFonts w:ascii="Verdana" w:hAnsi="Verdana"/>
          <w:spacing w:val="-15"/>
          <w:sz w:val="20"/>
          <w:szCs w:val="20"/>
        </w:rPr>
        <w:t xml:space="preserve"> </w:t>
      </w:r>
      <w:r w:rsidRPr="00C91211">
        <w:rPr>
          <w:rFonts w:ascii="Verdana" w:hAnsi="Verdana"/>
          <w:sz w:val="20"/>
          <w:szCs w:val="20"/>
        </w:rPr>
        <w:t>periódicas</w:t>
      </w:r>
      <w:r w:rsidRPr="00C91211">
        <w:rPr>
          <w:rFonts w:ascii="Verdana" w:hAnsi="Verdana"/>
          <w:spacing w:val="-14"/>
          <w:sz w:val="20"/>
          <w:szCs w:val="20"/>
        </w:rPr>
        <w:t xml:space="preserve"> </w:t>
      </w:r>
      <w:r w:rsidRPr="00C91211">
        <w:rPr>
          <w:rFonts w:ascii="Verdana" w:hAnsi="Verdana"/>
          <w:sz w:val="20"/>
          <w:szCs w:val="20"/>
        </w:rPr>
        <w:t>auténticas,</w:t>
      </w:r>
      <w:r w:rsidRPr="00C91211">
        <w:rPr>
          <w:rFonts w:ascii="Verdana" w:hAnsi="Verdana"/>
          <w:spacing w:val="-15"/>
          <w:sz w:val="20"/>
          <w:szCs w:val="20"/>
        </w:rPr>
        <w:t xml:space="preserve"> </w:t>
      </w:r>
      <w:r w:rsidRPr="00C91211">
        <w:rPr>
          <w:rFonts w:ascii="Verdana" w:hAnsi="Verdana"/>
          <w:sz w:val="20"/>
          <w:szCs w:val="20"/>
        </w:rPr>
        <w:t>realizadas</w:t>
      </w:r>
      <w:r w:rsidRPr="00C91211">
        <w:rPr>
          <w:rFonts w:ascii="Verdana" w:hAnsi="Verdana"/>
          <w:spacing w:val="-14"/>
          <w:sz w:val="20"/>
          <w:szCs w:val="20"/>
        </w:rPr>
        <w:t xml:space="preserve"> </w:t>
      </w:r>
      <w:r w:rsidRPr="00C91211">
        <w:rPr>
          <w:rFonts w:ascii="Verdana" w:hAnsi="Verdana"/>
          <w:sz w:val="20"/>
          <w:szCs w:val="20"/>
        </w:rPr>
        <w:t>por</w:t>
      </w:r>
      <w:r w:rsidRPr="00C91211">
        <w:rPr>
          <w:rFonts w:ascii="Verdana" w:hAnsi="Verdana"/>
          <w:spacing w:val="-16"/>
          <w:sz w:val="20"/>
          <w:szCs w:val="20"/>
        </w:rPr>
        <w:t xml:space="preserve"> </w:t>
      </w:r>
      <w:r w:rsidRPr="00C91211">
        <w:rPr>
          <w:rFonts w:ascii="Verdana" w:hAnsi="Verdana"/>
          <w:sz w:val="20"/>
          <w:szCs w:val="20"/>
        </w:rPr>
        <w:t>sufragio</w:t>
      </w:r>
      <w:r w:rsidRPr="00C91211">
        <w:rPr>
          <w:rFonts w:ascii="Verdana" w:hAnsi="Verdana"/>
          <w:spacing w:val="-15"/>
          <w:sz w:val="20"/>
          <w:szCs w:val="20"/>
        </w:rPr>
        <w:t xml:space="preserve"> </w:t>
      </w:r>
      <w:r w:rsidRPr="00C91211">
        <w:rPr>
          <w:rFonts w:ascii="Verdana" w:hAnsi="Verdana"/>
          <w:sz w:val="20"/>
          <w:szCs w:val="20"/>
        </w:rPr>
        <w:t>universal</w:t>
      </w:r>
      <w:r w:rsidRPr="00C91211">
        <w:rPr>
          <w:rFonts w:ascii="Verdana" w:hAnsi="Verdana"/>
          <w:spacing w:val="-17"/>
          <w:sz w:val="20"/>
          <w:szCs w:val="20"/>
        </w:rPr>
        <w:t xml:space="preserve"> </w:t>
      </w:r>
      <w:r w:rsidRPr="00C91211">
        <w:rPr>
          <w:rFonts w:ascii="Verdana" w:hAnsi="Verdana"/>
          <w:sz w:val="20"/>
          <w:szCs w:val="20"/>
        </w:rPr>
        <w:t>e</w:t>
      </w:r>
      <w:r w:rsidRPr="00C91211">
        <w:rPr>
          <w:rFonts w:ascii="Verdana" w:hAnsi="Verdana"/>
          <w:spacing w:val="-14"/>
          <w:sz w:val="20"/>
          <w:szCs w:val="20"/>
        </w:rPr>
        <w:t xml:space="preserve"> </w:t>
      </w:r>
      <w:r w:rsidRPr="00C91211">
        <w:rPr>
          <w:rFonts w:ascii="Verdana" w:hAnsi="Verdana"/>
          <w:sz w:val="20"/>
          <w:szCs w:val="20"/>
        </w:rPr>
        <w:t>igual</w:t>
      </w:r>
      <w:r w:rsidRPr="00C91211">
        <w:rPr>
          <w:rFonts w:ascii="Verdana" w:hAnsi="Verdana"/>
          <w:spacing w:val="-14"/>
          <w:sz w:val="20"/>
          <w:szCs w:val="20"/>
        </w:rPr>
        <w:t xml:space="preserve"> </w:t>
      </w:r>
      <w:r w:rsidRPr="00C91211">
        <w:rPr>
          <w:rFonts w:ascii="Verdana" w:hAnsi="Verdana"/>
          <w:sz w:val="20"/>
          <w:szCs w:val="20"/>
        </w:rPr>
        <w:t>y</w:t>
      </w:r>
      <w:r w:rsidRPr="00C91211">
        <w:rPr>
          <w:rFonts w:ascii="Verdana" w:hAnsi="Verdana"/>
          <w:spacing w:val="-15"/>
          <w:sz w:val="20"/>
          <w:szCs w:val="20"/>
        </w:rPr>
        <w:t xml:space="preserve"> </w:t>
      </w:r>
      <w:r w:rsidRPr="00C91211">
        <w:rPr>
          <w:rFonts w:ascii="Verdana" w:hAnsi="Verdana"/>
          <w:sz w:val="20"/>
          <w:szCs w:val="20"/>
        </w:rPr>
        <w:t>por</w:t>
      </w:r>
      <w:r w:rsidRPr="00C91211">
        <w:rPr>
          <w:rFonts w:ascii="Verdana" w:hAnsi="Verdana"/>
          <w:spacing w:val="-15"/>
          <w:sz w:val="20"/>
          <w:szCs w:val="20"/>
        </w:rPr>
        <w:t xml:space="preserve"> </w:t>
      </w:r>
      <w:r w:rsidRPr="00C91211">
        <w:rPr>
          <w:rFonts w:ascii="Verdana" w:hAnsi="Verdana"/>
          <w:sz w:val="20"/>
          <w:szCs w:val="20"/>
        </w:rPr>
        <w:t>voto</w:t>
      </w:r>
      <w:r w:rsidR="00ED375C">
        <w:rPr>
          <w:rFonts w:ascii="Verdana" w:hAnsi="Verdana"/>
          <w:sz w:val="20"/>
          <w:szCs w:val="20"/>
        </w:rPr>
        <w:t xml:space="preserve"> </w:t>
      </w:r>
      <w:r w:rsidRPr="00C91211">
        <w:rPr>
          <w:rFonts w:ascii="Verdana" w:hAnsi="Verdana"/>
          <w:spacing w:val="-68"/>
          <w:sz w:val="20"/>
          <w:szCs w:val="20"/>
        </w:rPr>
        <w:t xml:space="preserve"> </w:t>
      </w:r>
      <w:r w:rsidRPr="00C91211">
        <w:rPr>
          <w:rFonts w:ascii="Verdana" w:hAnsi="Verdana"/>
          <w:sz w:val="20"/>
          <w:szCs w:val="20"/>
        </w:rPr>
        <w:t>secreto que garantice la libre expresión de los electores</w:t>
      </w:r>
      <w:r w:rsidR="000D3B07">
        <w:rPr>
          <w:rFonts w:ascii="Verdana" w:hAnsi="Verdana"/>
          <w:sz w:val="20"/>
          <w:szCs w:val="20"/>
        </w:rPr>
        <w:t>;</w:t>
      </w:r>
      <w:r w:rsidRPr="00C91211">
        <w:rPr>
          <w:rFonts w:ascii="Verdana" w:hAnsi="Verdana"/>
          <w:sz w:val="20"/>
          <w:szCs w:val="20"/>
        </w:rPr>
        <w:t xml:space="preserve"> y iii) a acceder a las funciones</w:t>
      </w:r>
      <w:r w:rsidRPr="00C91211">
        <w:rPr>
          <w:rFonts w:ascii="Verdana" w:hAnsi="Verdana"/>
          <w:spacing w:val="1"/>
          <w:sz w:val="20"/>
          <w:szCs w:val="20"/>
        </w:rPr>
        <w:t xml:space="preserve"> </w:t>
      </w:r>
      <w:r w:rsidRPr="00C91211">
        <w:rPr>
          <w:rFonts w:ascii="Verdana" w:hAnsi="Verdana"/>
          <w:sz w:val="20"/>
          <w:szCs w:val="20"/>
        </w:rPr>
        <w:t xml:space="preserve">públicas de su país, en condiciones generales de igualdad. </w:t>
      </w:r>
    </w:p>
    <w:p w14:paraId="62487631" w14:textId="77777777" w:rsidR="00ED375C" w:rsidRDefault="00ED375C" w:rsidP="00C91211">
      <w:pPr>
        <w:pStyle w:val="ListParagraph"/>
        <w:tabs>
          <w:tab w:val="left" w:pos="709"/>
        </w:tabs>
        <w:spacing w:after="0" w:line="240" w:lineRule="auto"/>
        <w:ind w:left="0"/>
        <w:jc w:val="both"/>
        <w:rPr>
          <w:rFonts w:ascii="Verdana" w:hAnsi="Verdana"/>
          <w:sz w:val="20"/>
          <w:szCs w:val="20"/>
        </w:rPr>
      </w:pPr>
    </w:p>
    <w:p w14:paraId="1D0F8F5C" w14:textId="5570EB36" w:rsidR="00C91211" w:rsidRPr="00C91211" w:rsidRDefault="00ED375C" w:rsidP="00ED375C">
      <w:pPr>
        <w:pStyle w:val="ListParagraph"/>
        <w:tabs>
          <w:tab w:val="left" w:pos="709"/>
        </w:tabs>
        <w:spacing w:after="0" w:line="240" w:lineRule="auto"/>
        <w:ind w:left="0"/>
        <w:jc w:val="both"/>
        <w:rPr>
          <w:rFonts w:ascii="Verdana" w:hAnsi="Verdana" w:cs="Arial"/>
          <w:sz w:val="20"/>
          <w:szCs w:val="20"/>
          <w:lang w:val="es-ES"/>
        </w:rPr>
      </w:pPr>
      <w:r>
        <w:rPr>
          <w:rFonts w:ascii="Verdana" w:hAnsi="Verdana"/>
          <w:sz w:val="20"/>
          <w:szCs w:val="20"/>
        </w:rPr>
        <w:t xml:space="preserve">65. </w:t>
      </w:r>
      <w:r>
        <w:rPr>
          <w:rFonts w:ascii="Verdana" w:hAnsi="Verdana"/>
          <w:sz w:val="20"/>
          <w:szCs w:val="20"/>
        </w:rPr>
        <w:tab/>
      </w:r>
      <w:r w:rsidR="00814D3E">
        <w:rPr>
          <w:rFonts w:ascii="Verdana" w:hAnsi="Verdana"/>
          <w:sz w:val="20"/>
          <w:szCs w:val="20"/>
        </w:rPr>
        <w:t>Este Tribun</w:t>
      </w:r>
      <w:r>
        <w:rPr>
          <w:rFonts w:ascii="Verdana" w:hAnsi="Verdana"/>
          <w:sz w:val="20"/>
          <w:szCs w:val="20"/>
        </w:rPr>
        <w:t>al</w:t>
      </w:r>
      <w:r w:rsidR="00814D3E">
        <w:rPr>
          <w:rFonts w:ascii="Verdana" w:hAnsi="Verdana"/>
          <w:sz w:val="20"/>
          <w:szCs w:val="20"/>
        </w:rPr>
        <w:t xml:space="preserve"> ha precisado que, a</w:t>
      </w:r>
      <w:r w:rsidR="00C91211" w:rsidRPr="00C91211">
        <w:rPr>
          <w:rFonts w:ascii="Verdana" w:hAnsi="Verdana"/>
          <w:sz w:val="20"/>
          <w:szCs w:val="20"/>
        </w:rPr>
        <w:t xml:space="preserve"> diferencia de otros artículos de</w:t>
      </w:r>
      <w:r w:rsidR="00C91211" w:rsidRPr="00C91211">
        <w:rPr>
          <w:rFonts w:ascii="Verdana" w:hAnsi="Verdana"/>
          <w:spacing w:val="1"/>
          <w:sz w:val="20"/>
          <w:szCs w:val="20"/>
        </w:rPr>
        <w:t xml:space="preserve"> </w:t>
      </w:r>
      <w:r w:rsidR="00C91211" w:rsidRPr="00C91211">
        <w:rPr>
          <w:rFonts w:ascii="Verdana" w:hAnsi="Verdana"/>
          <w:sz w:val="20"/>
          <w:szCs w:val="20"/>
        </w:rPr>
        <w:t>la Convención, el artículo 23 establece que sus titulares no solo deben gozar de derechos,</w:t>
      </w:r>
      <w:r w:rsidR="00C91211" w:rsidRPr="00C91211">
        <w:rPr>
          <w:rFonts w:ascii="Verdana" w:hAnsi="Verdana"/>
          <w:spacing w:val="1"/>
          <w:sz w:val="20"/>
          <w:szCs w:val="20"/>
        </w:rPr>
        <w:t xml:space="preserve"> </w:t>
      </w:r>
      <w:r w:rsidR="00C91211" w:rsidRPr="00C91211">
        <w:rPr>
          <w:rFonts w:ascii="Verdana" w:hAnsi="Verdana"/>
          <w:sz w:val="20"/>
          <w:szCs w:val="20"/>
        </w:rPr>
        <w:t>sino también de “oportunidades”. Est</w:t>
      </w:r>
      <w:r>
        <w:rPr>
          <w:rFonts w:ascii="Verdana" w:hAnsi="Verdana"/>
          <w:sz w:val="20"/>
          <w:szCs w:val="20"/>
        </w:rPr>
        <w:t>o</w:t>
      </w:r>
      <w:r w:rsidR="00C91211" w:rsidRPr="00C91211">
        <w:rPr>
          <w:rFonts w:ascii="Verdana" w:hAnsi="Verdana"/>
          <w:sz w:val="20"/>
          <w:szCs w:val="20"/>
        </w:rPr>
        <w:t xml:space="preserve"> último implica la obligación de garantizar con</w:t>
      </w:r>
      <w:r>
        <w:rPr>
          <w:rFonts w:ascii="Verdana" w:hAnsi="Verdana"/>
          <w:sz w:val="20"/>
          <w:szCs w:val="20"/>
        </w:rPr>
        <w:t xml:space="preserve"> </w:t>
      </w:r>
      <w:r w:rsidR="00C91211" w:rsidRPr="00C91211">
        <w:rPr>
          <w:rFonts w:ascii="Verdana" w:hAnsi="Verdana"/>
          <w:spacing w:val="-68"/>
          <w:sz w:val="20"/>
          <w:szCs w:val="20"/>
        </w:rPr>
        <w:t xml:space="preserve"> </w:t>
      </w:r>
      <w:r w:rsidR="00C91211" w:rsidRPr="00C91211">
        <w:rPr>
          <w:rFonts w:ascii="Verdana" w:hAnsi="Verdana"/>
          <w:sz w:val="20"/>
          <w:szCs w:val="20"/>
        </w:rPr>
        <w:t>medidas</w:t>
      </w:r>
      <w:r w:rsidR="00C91211" w:rsidRPr="00C91211">
        <w:rPr>
          <w:rFonts w:ascii="Verdana" w:hAnsi="Verdana"/>
          <w:spacing w:val="5"/>
          <w:sz w:val="20"/>
          <w:szCs w:val="20"/>
        </w:rPr>
        <w:t xml:space="preserve"> </w:t>
      </w:r>
      <w:r w:rsidR="00C91211" w:rsidRPr="00C91211">
        <w:rPr>
          <w:rFonts w:ascii="Verdana" w:hAnsi="Verdana"/>
          <w:sz w:val="20"/>
          <w:szCs w:val="20"/>
        </w:rPr>
        <w:t>positivas</w:t>
      </w:r>
      <w:r w:rsidR="00C91211" w:rsidRPr="00C91211">
        <w:rPr>
          <w:rFonts w:ascii="Verdana" w:hAnsi="Verdana"/>
          <w:spacing w:val="5"/>
          <w:sz w:val="20"/>
          <w:szCs w:val="20"/>
        </w:rPr>
        <w:t xml:space="preserve"> </w:t>
      </w:r>
      <w:r w:rsidR="00C91211" w:rsidRPr="00C91211">
        <w:rPr>
          <w:rFonts w:ascii="Verdana" w:hAnsi="Verdana"/>
          <w:sz w:val="20"/>
          <w:szCs w:val="20"/>
        </w:rPr>
        <w:t>que</w:t>
      </w:r>
      <w:r w:rsidR="00C91211" w:rsidRPr="00C91211">
        <w:rPr>
          <w:rFonts w:ascii="Verdana" w:hAnsi="Verdana"/>
          <w:spacing w:val="5"/>
          <w:sz w:val="20"/>
          <w:szCs w:val="20"/>
        </w:rPr>
        <w:t xml:space="preserve"> </w:t>
      </w:r>
      <w:r w:rsidR="00C91211" w:rsidRPr="00C91211">
        <w:rPr>
          <w:rFonts w:ascii="Verdana" w:hAnsi="Verdana"/>
          <w:sz w:val="20"/>
          <w:szCs w:val="20"/>
        </w:rPr>
        <w:lastRenderedPageBreak/>
        <w:t>toda</w:t>
      </w:r>
      <w:r w:rsidR="00C91211" w:rsidRPr="00C91211">
        <w:rPr>
          <w:rFonts w:ascii="Verdana" w:hAnsi="Verdana"/>
          <w:spacing w:val="4"/>
          <w:sz w:val="20"/>
          <w:szCs w:val="20"/>
        </w:rPr>
        <w:t xml:space="preserve"> </w:t>
      </w:r>
      <w:r w:rsidR="00C91211" w:rsidRPr="00C91211">
        <w:rPr>
          <w:rFonts w:ascii="Verdana" w:hAnsi="Verdana"/>
          <w:sz w:val="20"/>
          <w:szCs w:val="20"/>
        </w:rPr>
        <w:t>persona</w:t>
      </w:r>
      <w:r w:rsidR="00C91211" w:rsidRPr="00C91211">
        <w:rPr>
          <w:rFonts w:ascii="Verdana" w:hAnsi="Verdana"/>
          <w:spacing w:val="6"/>
          <w:sz w:val="20"/>
          <w:szCs w:val="20"/>
        </w:rPr>
        <w:t xml:space="preserve"> </w:t>
      </w:r>
      <w:r w:rsidR="00C91211" w:rsidRPr="00C91211">
        <w:rPr>
          <w:rFonts w:ascii="Verdana" w:hAnsi="Verdana"/>
          <w:sz w:val="20"/>
          <w:szCs w:val="20"/>
        </w:rPr>
        <w:t>que</w:t>
      </w:r>
      <w:r w:rsidR="00C91211" w:rsidRPr="00C91211">
        <w:rPr>
          <w:rFonts w:ascii="Verdana" w:hAnsi="Verdana"/>
          <w:spacing w:val="5"/>
          <w:sz w:val="20"/>
          <w:szCs w:val="20"/>
        </w:rPr>
        <w:t xml:space="preserve"> </w:t>
      </w:r>
      <w:r w:rsidR="00C91211" w:rsidRPr="00C91211">
        <w:rPr>
          <w:rFonts w:ascii="Verdana" w:hAnsi="Verdana"/>
          <w:sz w:val="20"/>
          <w:szCs w:val="20"/>
        </w:rPr>
        <w:t>formalmente</w:t>
      </w:r>
      <w:r w:rsidR="00C91211" w:rsidRPr="00C91211">
        <w:rPr>
          <w:rFonts w:ascii="Verdana" w:hAnsi="Verdana"/>
          <w:spacing w:val="5"/>
          <w:sz w:val="20"/>
          <w:szCs w:val="20"/>
        </w:rPr>
        <w:t xml:space="preserve"> </w:t>
      </w:r>
      <w:r w:rsidR="00C91211" w:rsidRPr="00C91211">
        <w:rPr>
          <w:rFonts w:ascii="Verdana" w:hAnsi="Verdana"/>
          <w:sz w:val="20"/>
          <w:szCs w:val="20"/>
        </w:rPr>
        <w:t>sea</w:t>
      </w:r>
      <w:r w:rsidR="00C91211" w:rsidRPr="00C91211">
        <w:rPr>
          <w:rFonts w:ascii="Verdana" w:hAnsi="Verdana"/>
          <w:spacing w:val="6"/>
          <w:sz w:val="20"/>
          <w:szCs w:val="20"/>
        </w:rPr>
        <w:t xml:space="preserve"> </w:t>
      </w:r>
      <w:r w:rsidR="00C91211" w:rsidRPr="00C91211">
        <w:rPr>
          <w:rFonts w:ascii="Verdana" w:hAnsi="Verdana"/>
          <w:sz w:val="20"/>
          <w:szCs w:val="20"/>
        </w:rPr>
        <w:t>titular</w:t>
      </w:r>
      <w:r w:rsidR="00C91211" w:rsidRPr="00C91211">
        <w:rPr>
          <w:rFonts w:ascii="Verdana" w:hAnsi="Verdana"/>
          <w:spacing w:val="6"/>
          <w:sz w:val="20"/>
          <w:szCs w:val="20"/>
        </w:rPr>
        <w:t xml:space="preserve"> </w:t>
      </w:r>
      <w:r w:rsidR="00C91211" w:rsidRPr="00C91211">
        <w:rPr>
          <w:rFonts w:ascii="Verdana" w:hAnsi="Verdana"/>
          <w:sz w:val="20"/>
          <w:szCs w:val="20"/>
        </w:rPr>
        <w:t>de</w:t>
      </w:r>
      <w:r w:rsidR="00C91211" w:rsidRPr="00C91211">
        <w:rPr>
          <w:rFonts w:ascii="Verdana" w:hAnsi="Verdana"/>
          <w:spacing w:val="4"/>
          <w:sz w:val="20"/>
          <w:szCs w:val="20"/>
        </w:rPr>
        <w:t xml:space="preserve"> </w:t>
      </w:r>
      <w:r w:rsidR="00C91211" w:rsidRPr="00C91211">
        <w:rPr>
          <w:rFonts w:ascii="Verdana" w:hAnsi="Verdana"/>
          <w:sz w:val="20"/>
          <w:szCs w:val="20"/>
        </w:rPr>
        <w:t>derechos</w:t>
      </w:r>
      <w:r w:rsidR="00C91211" w:rsidRPr="00C91211">
        <w:rPr>
          <w:rFonts w:ascii="Verdana" w:hAnsi="Verdana"/>
          <w:spacing w:val="5"/>
          <w:sz w:val="20"/>
          <w:szCs w:val="20"/>
        </w:rPr>
        <w:t xml:space="preserve"> </w:t>
      </w:r>
      <w:r w:rsidR="00C91211" w:rsidRPr="00C91211">
        <w:rPr>
          <w:rFonts w:ascii="Verdana" w:hAnsi="Verdana"/>
          <w:sz w:val="20"/>
          <w:szCs w:val="20"/>
        </w:rPr>
        <w:t>políticos</w:t>
      </w:r>
      <w:r w:rsidR="00C91211" w:rsidRPr="00C91211">
        <w:rPr>
          <w:rFonts w:ascii="Verdana" w:hAnsi="Verdana"/>
          <w:spacing w:val="6"/>
          <w:sz w:val="20"/>
          <w:szCs w:val="20"/>
        </w:rPr>
        <w:t xml:space="preserve"> </w:t>
      </w:r>
      <w:r w:rsidR="00C91211" w:rsidRPr="00C91211">
        <w:rPr>
          <w:rFonts w:ascii="Verdana" w:hAnsi="Verdana"/>
          <w:sz w:val="20"/>
          <w:szCs w:val="20"/>
        </w:rPr>
        <w:t>tenga la oportunidad real</w:t>
      </w:r>
      <w:r>
        <w:rPr>
          <w:rFonts w:ascii="Verdana" w:hAnsi="Verdana"/>
          <w:sz w:val="20"/>
          <w:szCs w:val="20"/>
        </w:rPr>
        <w:t xml:space="preserve"> </w:t>
      </w:r>
      <w:r w:rsidR="00C91211" w:rsidRPr="00C91211">
        <w:rPr>
          <w:rFonts w:ascii="Verdana" w:hAnsi="Verdana"/>
          <w:sz w:val="20"/>
          <w:szCs w:val="20"/>
        </w:rPr>
        <w:t>para ejercerlos</w:t>
      </w:r>
      <w:r w:rsidR="00884CE4">
        <w:rPr>
          <w:rStyle w:val="FootnoteReference"/>
          <w:rFonts w:ascii="Verdana" w:hAnsi="Verdana"/>
          <w:position w:val="7"/>
          <w:sz w:val="20"/>
          <w:szCs w:val="20"/>
        </w:rPr>
        <w:footnoteReference w:id="71"/>
      </w:r>
      <w:r w:rsidR="00814D3E">
        <w:rPr>
          <w:rFonts w:ascii="Verdana" w:hAnsi="Verdana"/>
          <w:sz w:val="20"/>
          <w:szCs w:val="20"/>
        </w:rPr>
        <w:t xml:space="preserve"> y</w:t>
      </w:r>
      <w:r w:rsidR="000D3B07">
        <w:rPr>
          <w:rFonts w:ascii="Verdana" w:hAnsi="Verdana"/>
          <w:sz w:val="20"/>
          <w:szCs w:val="20"/>
        </w:rPr>
        <w:t>,</w:t>
      </w:r>
      <w:r w:rsidR="00814D3E">
        <w:rPr>
          <w:rFonts w:ascii="Verdana" w:hAnsi="Verdana"/>
          <w:sz w:val="20"/>
          <w:szCs w:val="20"/>
        </w:rPr>
        <w:t xml:space="preserve"> p</w:t>
      </w:r>
      <w:r w:rsidR="00C91211" w:rsidRPr="00C91211">
        <w:rPr>
          <w:rFonts w:ascii="Verdana" w:hAnsi="Verdana"/>
          <w:sz w:val="20"/>
          <w:szCs w:val="20"/>
        </w:rPr>
        <w:t xml:space="preserve">or lo tanto, </w:t>
      </w:r>
      <w:r w:rsidR="00216B50">
        <w:rPr>
          <w:rFonts w:ascii="Verdana" w:hAnsi="Verdana"/>
          <w:sz w:val="20"/>
          <w:szCs w:val="20"/>
        </w:rPr>
        <w:t xml:space="preserve">que </w:t>
      </w:r>
      <w:r w:rsidR="00C91211" w:rsidRPr="00C91211">
        <w:rPr>
          <w:rFonts w:ascii="Verdana" w:hAnsi="Verdana"/>
          <w:sz w:val="20"/>
          <w:szCs w:val="20"/>
        </w:rPr>
        <w:t>el Estado debe propiciar las condiciones y</w:t>
      </w:r>
      <w:r w:rsidR="00C91211" w:rsidRPr="00C91211">
        <w:rPr>
          <w:rFonts w:ascii="Verdana" w:hAnsi="Verdana"/>
          <w:spacing w:val="1"/>
          <w:sz w:val="20"/>
          <w:szCs w:val="20"/>
        </w:rPr>
        <w:t xml:space="preserve"> </w:t>
      </w:r>
      <w:r w:rsidR="00C91211" w:rsidRPr="00C91211">
        <w:rPr>
          <w:rFonts w:ascii="Verdana" w:hAnsi="Verdana"/>
          <w:sz w:val="20"/>
          <w:szCs w:val="20"/>
        </w:rPr>
        <w:t>mecanismos para que dichos derechos puedan ser ejercidos de forma efectiva, respetando el</w:t>
      </w:r>
      <w:r w:rsidR="00C91211" w:rsidRPr="00C91211">
        <w:rPr>
          <w:rFonts w:ascii="Verdana" w:hAnsi="Verdana"/>
          <w:spacing w:val="-68"/>
          <w:sz w:val="20"/>
          <w:szCs w:val="20"/>
        </w:rPr>
        <w:t xml:space="preserve"> </w:t>
      </w:r>
      <w:r>
        <w:rPr>
          <w:rFonts w:ascii="Verdana" w:hAnsi="Verdana"/>
          <w:spacing w:val="-68"/>
          <w:sz w:val="20"/>
          <w:szCs w:val="20"/>
        </w:rPr>
        <w:t xml:space="preserve">    </w:t>
      </w:r>
      <w:r>
        <w:rPr>
          <w:rFonts w:ascii="Verdana" w:hAnsi="Verdana"/>
          <w:sz w:val="20"/>
          <w:szCs w:val="20"/>
        </w:rPr>
        <w:t xml:space="preserve"> principio</w:t>
      </w:r>
      <w:r w:rsidR="00C91211" w:rsidRPr="00C91211">
        <w:rPr>
          <w:rFonts w:ascii="Verdana" w:hAnsi="Verdana"/>
          <w:spacing w:val="-1"/>
          <w:sz w:val="20"/>
          <w:szCs w:val="20"/>
        </w:rPr>
        <w:t xml:space="preserve"> </w:t>
      </w:r>
      <w:r w:rsidR="00C91211" w:rsidRPr="00C91211">
        <w:rPr>
          <w:rFonts w:ascii="Verdana" w:hAnsi="Verdana"/>
          <w:sz w:val="20"/>
          <w:szCs w:val="20"/>
        </w:rPr>
        <w:t>de igualdad y</w:t>
      </w:r>
      <w:r w:rsidR="00C91211" w:rsidRPr="00C91211">
        <w:rPr>
          <w:rFonts w:ascii="Verdana" w:hAnsi="Verdana"/>
          <w:spacing w:val="-1"/>
          <w:sz w:val="20"/>
          <w:szCs w:val="20"/>
        </w:rPr>
        <w:t xml:space="preserve"> </w:t>
      </w:r>
      <w:r w:rsidR="00C91211" w:rsidRPr="00C91211">
        <w:rPr>
          <w:rFonts w:ascii="Verdana" w:hAnsi="Verdana"/>
          <w:sz w:val="20"/>
          <w:szCs w:val="20"/>
        </w:rPr>
        <w:t>no discriminación</w:t>
      </w:r>
      <w:r w:rsidR="00884CE4">
        <w:rPr>
          <w:rStyle w:val="FootnoteReference"/>
          <w:rFonts w:ascii="Verdana" w:hAnsi="Verdana"/>
          <w:sz w:val="20"/>
          <w:szCs w:val="20"/>
        </w:rPr>
        <w:footnoteReference w:id="72"/>
      </w:r>
      <w:r w:rsidR="00C91211" w:rsidRPr="00C91211">
        <w:rPr>
          <w:rFonts w:ascii="Verdana" w:hAnsi="Verdana"/>
          <w:sz w:val="20"/>
          <w:szCs w:val="20"/>
        </w:rPr>
        <w:t>.</w:t>
      </w:r>
    </w:p>
    <w:p w14:paraId="2B3C7D35" w14:textId="26AAB1E2" w:rsidR="00C91211" w:rsidRPr="00C91211" w:rsidRDefault="00C91211" w:rsidP="00C91211">
      <w:pPr>
        <w:widowControl w:val="0"/>
        <w:tabs>
          <w:tab w:val="left" w:pos="686"/>
        </w:tabs>
        <w:autoSpaceDE w:val="0"/>
        <w:autoSpaceDN w:val="0"/>
        <w:spacing w:before="201" w:after="0" w:line="240" w:lineRule="auto"/>
        <w:ind w:right="114"/>
        <w:jc w:val="both"/>
        <w:rPr>
          <w:rFonts w:ascii="Verdana" w:hAnsi="Verdana"/>
          <w:sz w:val="20"/>
          <w:szCs w:val="20"/>
        </w:rPr>
      </w:pPr>
      <w:r w:rsidRPr="00C91211">
        <w:rPr>
          <w:rFonts w:ascii="Verdana" w:hAnsi="Verdana" w:cs="Arial"/>
          <w:color w:val="000000" w:themeColor="text1"/>
          <w:sz w:val="20"/>
          <w:szCs w:val="20"/>
          <w:shd w:val="clear" w:color="auto" w:fill="FFFFFF"/>
          <w:lang w:val="es-ES"/>
        </w:rPr>
        <w:t>6</w:t>
      </w:r>
      <w:r w:rsidR="00ED375C">
        <w:rPr>
          <w:rFonts w:ascii="Verdana" w:hAnsi="Verdana" w:cs="Arial"/>
          <w:color w:val="000000" w:themeColor="text1"/>
          <w:sz w:val="20"/>
          <w:szCs w:val="20"/>
          <w:shd w:val="clear" w:color="auto" w:fill="FFFFFF"/>
          <w:lang w:val="es-ES"/>
        </w:rPr>
        <w:t>6</w:t>
      </w:r>
      <w:r w:rsidRPr="00C91211">
        <w:rPr>
          <w:rFonts w:ascii="Verdana" w:hAnsi="Verdana" w:cs="Arial"/>
          <w:color w:val="000000" w:themeColor="text1"/>
          <w:sz w:val="20"/>
          <w:szCs w:val="20"/>
          <w:shd w:val="clear" w:color="auto" w:fill="FFFFFF"/>
          <w:lang w:val="es-ES"/>
        </w:rPr>
        <w:t xml:space="preserve">. </w:t>
      </w:r>
      <w:r w:rsidRPr="00C91211">
        <w:rPr>
          <w:rFonts w:ascii="Verdana" w:hAnsi="Verdana" w:cs="Arial"/>
          <w:color w:val="000000" w:themeColor="text1"/>
          <w:sz w:val="20"/>
          <w:szCs w:val="20"/>
          <w:shd w:val="clear" w:color="auto" w:fill="FFFFFF"/>
          <w:lang w:val="es-ES"/>
        </w:rPr>
        <w:tab/>
      </w:r>
      <w:r w:rsidR="00814D3E">
        <w:rPr>
          <w:rFonts w:ascii="Verdana" w:hAnsi="Verdana" w:cs="Arial"/>
          <w:color w:val="000000" w:themeColor="text1"/>
          <w:sz w:val="20"/>
          <w:szCs w:val="20"/>
          <w:shd w:val="clear" w:color="auto" w:fill="FFFFFF"/>
          <w:lang w:val="es-ES"/>
        </w:rPr>
        <w:t xml:space="preserve">La Corte IDH ha indicado que </w:t>
      </w:r>
      <w:r w:rsidR="00814D3E">
        <w:rPr>
          <w:rFonts w:ascii="Verdana" w:hAnsi="Verdana"/>
          <w:sz w:val="20"/>
          <w:szCs w:val="20"/>
        </w:rPr>
        <w:t>l</w:t>
      </w:r>
      <w:r w:rsidRPr="00C91211">
        <w:rPr>
          <w:rFonts w:ascii="Verdana" w:hAnsi="Verdana"/>
          <w:sz w:val="20"/>
          <w:szCs w:val="20"/>
        </w:rPr>
        <w:t>a participación política puede incluir amplias y diversas actividades que las personas</w:t>
      </w:r>
      <w:r w:rsidRPr="00C91211">
        <w:rPr>
          <w:rFonts w:ascii="Verdana" w:hAnsi="Verdana"/>
          <w:spacing w:val="1"/>
          <w:sz w:val="20"/>
          <w:szCs w:val="20"/>
        </w:rPr>
        <w:t xml:space="preserve"> </w:t>
      </w:r>
      <w:r w:rsidRPr="00C91211">
        <w:rPr>
          <w:rFonts w:ascii="Verdana" w:hAnsi="Verdana"/>
          <w:sz w:val="20"/>
          <w:szCs w:val="20"/>
        </w:rPr>
        <w:t>realizan</w:t>
      </w:r>
      <w:r w:rsidRPr="00C91211">
        <w:rPr>
          <w:rFonts w:ascii="Verdana" w:hAnsi="Verdana"/>
          <w:spacing w:val="-9"/>
          <w:sz w:val="20"/>
          <w:szCs w:val="20"/>
        </w:rPr>
        <w:t xml:space="preserve"> </w:t>
      </w:r>
      <w:r w:rsidRPr="00C91211">
        <w:rPr>
          <w:rFonts w:ascii="Verdana" w:hAnsi="Verdana"/>
          <w:sz w:val="20"/>
          <w:szCs w:val="20"/>
        </w:rPr>
        <w:t>de</w:t>
      </w:r>
      <w:r w:rsidRPr="00C91211">
        <w:rPr>
          <w:rFonts w:ascii="Verdana" w:hAnsi="Verdana"/>
          <w:spacing w:val="-9"/>
          <w:sz w:val="20"/>
          <w:szCs w:val="20"/>
        </w:rPr>
        <w:t xml:space="preserve"> </w:t>
      </w:r>
      <w:r w:rsidRPr="00C91211">
        <w:rPr>
          <w:rFonts w:ascii="Verdana" w:hAnsi="Verdana"/>
          <w:sz w:val="20"/>
          <w:szCs w:val="20"/>
        </w:rPr>
        <w:t>forma</w:t>
      </w:r>
      <w:r w:rsidRPr="00C91211">
        <w:rPr>
          <w:rFonts w:ascii="Verdana" w:hAnsi="Verdana"/>
          <w:spacing w:val="-8"/>
          <w:sz w:val="20"/>
          <w:szCs w:val="20"/>
        </w:rPr>
        <w:t xml:space="preserve"> </w:t>
      </w:r>
      <w:r w:rsidRPr="00C91211">
        <w:rPr>
          <w:rFonts w:ascii="Verdana" w:hAnsi="Verdana"/>
          <w:sz w:val="20"/>
          <w:szCs w:val="20"/>
        </w:rPr>
        <w:t>individual</w:t>
      </w:r>
      <w:r w:rsidRPr="00C91211">
        <w:rPr>
          <w:rFonts w:ascii="Verdana" w:hAnsi="Verdana"/>
          <w:spacing w:val="-9"/>
          <w:sz w:val="20"/>
          <w:szCs w:val="20"/>
        </w:rPr>
        <w:t xml:space="preserve"> </w:t>
      </w:r>
      <w:r w:rsidRPr="00C91211">
        <w:rPr>
          <w:rFonts w:ascii="Verdana" w:hAnsi="Verdana"/>
          <w:sz w:val="20"/>
          <w:szCs w:val="20"/>
        </w:rPr>
        <w:t>u</w:t>
      </w:r>
      <w:r w:rsidRPr="00C91211">
        <w:rPr>
          <w:rFonts w:ascii="Verdana" w:hAnsi="Verdana"/>
          <w:spacing w:val="-8"/>
          <w:sz w:val="20"/>
          <w:szCs w:val="20"/>
        </w:rPr>
        <w:t xml:space="preserve"> </w:t>
      </w:r>
      <w:r w:rsidRPr="00C91211">
        <w:rPr>
          <w:rFonts w:ascii="Verdana" w:hAnsi="Verdana"/>
          <w:sz w:val="20"/>
          <w:szCs w:val="20"/>
        </w:rPr>
        <w:t>organizadas,</w:t>
      </w:r>
      <w:r w:rsidRPr="00C91211">
        <w:rPr>
          <w:rFonts w:ascii="Verdana" w:hAnsi="Verdana"/>
          <w:spacing w:val="-8"/>
          <w:sz w:val="20"/>
          <w:szCs w:val="20"/>
        </w:rPr>
        <w:t xml:space="preserve"> </w:t>
      </w:r>
      <w:r w:rsidRPr="00C91211">
        <w:rPr>
          <w:rFonts w:ascii="Verdana" w:hAnsi="Verdana"/>
          <w:sz w:val="20"/>
          <w:szCs w:val="20"/>
        </w:rPr>
        <w:t>con</w:t>
      </w:r>
      <w:r w:rsidRPr="00C91211">
        <w:rPr>
          <w:rFonts w:ascii="Verdana" w:hAnsi="Verdana"/>
          <w:spacing w:val="-8"/>
          <w:sz w:val="20"/>
          <w:szCs w:val="20"/>
        </w:rPr>
        <w:t xml:space="preserve"> </w:t>
      </w:r>
      <w:r w:rsidRPr="00C91211">
        <w:rPr>
          <w:rFonts w:ascii="Verdana" w:hAnsi="Verdana"/>
          <w:sz w:val="20"/>
          <w:szCs w:val="20"/>
        </w:rPr>
        <w:t>el</w:t>
      </w:r>
      <w:r w:rsidRPr="00C91211">
        <w:rPr>
          <w:rFonts w:ascii="Verdana" w:hAnsi="Verdana"/>
          <w:spacing w:val="-8"/>
          <w:sz w:val="20"/>
          <w:szCs w:val="20"/>
        </w:rPr>
        <w:t xml:space="preserve"> </w:t>
      </w:r>
      <w:r w:rsidRPr="00C91211">
        <w:rPr>
          <w:rFonts w:ascii="Verdana" w:hAnsi="Verdana"/>
          <w:sz w:val="20"/>
          <w:szCs w:val="20"/>
        </w:rPr>
        <w:t>propósito</w:t>
      </w:r>
      <w:r w:rsidRPr="00C91211">
        <w:rPr>
          <w:rFonts w:ascii="Verdana" w:hAnsi="Verdana"/>
          <w:spacing w:val="-7"/>
          <w:sz w:val="20"/>
          <w:szCs w:val="20"/>
        </w:rPr>
        <w:t xml:space="preserve"> </w:t>
      </w:r>
      <w:r w:rsidRPr="00C91211">
        <w:rPr>
          <w:rFonts w:ascii="Verdana" w:hAnsi="Verdana"/>
          <w:sz w:val="20"/>
          <w:szCs w:val="20"/>
        </w:rPr>
        <w:t>de</w:t>
      </w:r>
      <w:r w:rsidRPr="00C91211">
        <w:rPr>
          <w:rFonts w:ascii="Verdana" w:hAnsi="Verdana"/>
          <w:spacing w:val="-10"/>
          <w:sz w:val="20"/>
          <w:szCs w:val="20"/>
        </w:rPr>
        <w:t xml:space="preserve"> </w:t>
      </w:r>
      <w:r w:rsidRPr="00C91211">
        <w:rPr>
          <w:rFonts w:ascii="Verdana" w:hAnsi="Verdana"/>
          <w:sz w:val="20"/>
          <w:szCs w:val="20"/>
        </w:rPr>
        <w:t>intervenir</w:t>
      </w:r>
      <w:r w:rsidRPr="00C91211">
        <w:rPr>
          <w:rFonts w:ascii="Verdana" w:hAnsi="Verdana"/>
          <w:spacing w:val="-7"/>
          <w:sz w:val="20"/>
          <w:szCs w:val="20"/>
        </w:rPr>
        <w:t xml:space="preserve"> </w:t>
      </w:r>
      <w:r w:rsidRPr="00C91211">
        <w:rPr>
          <w:rFonts w:ascii="Verdana" w:hAnsi="Verdana"/>
          <w:sz w:val="20"/>
          <w:szCs w:val="20"/>
        </w:rPr>
        <w:t>en</w:t>
      </w:r>
      <w:r w:rsidRPr="00C91211">
        <w:rPr>
          <w:rFonts w:ascii="Verdana" w:hAnsi="Verdana"/>
          <w:spacing w:val="-7"/>
          <w:sz w:val="20"/>
          <w:szCs w:val="20"/>
        </w:rPr>
        <w:t xml:space="preserve"> </w:t>
      </w:r>
      <w:r w:rsidRPr="00C91211">
        <w:rPr>
          <w:rFonts w:ascii="Verdana" w:hAnsi="Verdana"/>
          <w:sz w:val="20"/>
          <w:szCs w:val="20"/>
        </w:rPr>
        <w:t>la</w:t>
      </w:r>
      <w:r w:rsidRPr="00C91211">
        <w:rPr>
          <w:rFonts w:ascii="Verdana" w:hAnsi="Verdana"/>
          <w:spacing w:val="-10"/>
          <w:sz w:val="20"/>
          <w:szCs w:val="20"/>
        </w:rPr>
        <w:t xml:space="preserve"> </w:t>
      </w:r>
      <w:r w:rsidRPr="00C91211">
        <w:rPr>
          <w:rFonts w:ascii="Verdana" w:hAnsi="Verdana"/>
          <w:sz w:val="20"/>
          <w:szCs w:val="20"/>
        </w:rPr>
        <w:t>designación</w:t>
      </w:r>
      <w:r w:rsidRPr="00C91211">
        <w:rPr>
          <w:rFonts w:ascii="Verdana" w:hAnsi="Verdana"/>
          <w:spacing w:val="-7"/>
          <w:sz w:val="20"/>
          <w:szCs w:val="20"/>
        </w:rPr>
        <w:t xml:space="preserve"> </w:t>
      </w:r>
      <w:r w:rsidR="00216B50">
        <w:rPr>
          <w:rFonts w:ascii="Verdana" w:hAnsi="Verdana"/>
          <w:sz w:val="20"/>
          <w:szCs w:val="20"/>
        </w:rPr>
        <w:t xml:space="preserve">de </w:t>
      </w:r>
      <w:r w:rsidRPr="00C91211">
        <w:rPr>
          <w:rFonts w:ascii="Verdana" w:hAnsi="Verdana"/>
          <w:sz w:val="20"/>
          <w:szCs w:val="20"/>
        </w:rPr>
        <w:t>quienes gobernarán un Estado o se encargarán de la dirección de los asuntos públicos, así</w:t>
      </w:r>
      <w:r w:rsidRPr="00C91211">
        <w:rPr>
          <w:rFonts w:ascii="Verdana" w:hAnsi="Verdana"/>
          <w:spacing w:val="1"/>
          <w:sz w:val="20"/>
          <w:szCs w:val="20"/>
        </w:rPr>
        <w:t xml:space="preserve"> </w:t>
      </w:r>
      <w:r w:rsidRPr="00C91211">
        <w:rPr>
          <w:rFonts w:ascii="Verdana" w:hAnsi="Verdana"/>
          <w:sz w:val="20"/>
          <w:szCs w:val="20"/>
        </w:rPr>
        <w:t>como influir en la formación de la política estatal a través de mecanismos de participación</w:t>
      </w:r>
      <w:r w:rsidRPr="00C91211">
        <w:rPr>
          <w:rFonts w:ascii="Verdana" w:hAnsi="Verdana"/>
          <w:spacing w:val="1"/>
          <w:sz w:val="20"/>
          <w:szCs w:val="20"/>
        </w:rPr>
        <w:t xml:space="preserve"> </w:t>
      </w:r>
      <w:r w:rsidRPr="00C91211">
        <w:rPr>
          <w:rFonts w:ascii="Verdana" w:hAnsi="Verdana"/>
          <w:sz w:val="20"/>
          <w:szCs w:val="20"/>
        </w:rPr>
        <w:t>directa</w:t>
      </w:r>
      <w:r w:rsidR="00884CE4">
        <w:rPr>
          <w:rStyle w:val="FootnoteReference"/>
          <w:rFonts w:ascii="Verdana" w:hAnsi="Verdana"/>
          <w:sz w:val="20"/>
          <w:szCs w:val="20"/>
        </w:rPr>
        <w:footnoteReference w:id="73"/>
      </w:r>
      <w:r w:rsidRPr="00C91211">
        <w:rPr>
          <w:rFonts w:ascii="Verdana" w:hAnsi="Verdana"/>
          <w:sz w:val="20"/>
          <w:szCs w:val="20"/>
        </w:rPr>
        <w:t>.</w:t>
      </w:r>
    </w:p>
    <w:p w14:paraId="5B7AB11D" w14:textId="4BEE9B43" w:rsidR="00C91211" w:rsidRPr="00C91211" w:rsidRDefault="00C91211" w:rsidP="00C91211">
      <w:pPr>
        <w:widowControl w:val="0"/>
        <w:tabs>
          <w:tab w:val="left" w:pos="686"/>
        </w:tabs>
        <w:autoSpaceDE w:val="0"/>
        <w:autoSpaceDN w:val="0"/>
        <w:spacing w:before="201" w:after="0" w:line="240" w:lineRule="auto"/>
        <w:ind w:right="114"/>
        <w:jc w:val="both"/>
        <w:rPr>
          <w:rFonts w:ascii="Verdana" w:hAnsi="Verdana"/>
          <w:sz w:val="20"/>
          <w:szCs w:val="20"/>
        </w:rPr>
      </w:pPr>
      <w:r w:rsidRPr="00C91211">
        <w:rPr>
          <w:rFonts w:ascii="Verdana" w:hAnsi="Verdana"/>
          <w:sz w:val="20"/>
          <w:szCs w:val="20"/>
        </w:rPr>
        <w:t>6</w:t>
      </w:r>
      <w:r w:rsidR="00ED375C">
        <w:rPr>
          <w:rFonts w:ascii="Verdana" w:hAnsi="Verdana"/>
          <w:sz w:val="20"/>
          <w:szCs w:val="20"/>
        </w:rPr>
        <w:t>7</w:t>
      </w:r>
      <w:r w:rsidRPr="00C91211">
        <w:rPr>
          <w:rFonts w:ascii="Verdana" w:hAnsi="Verdana"/>
          <w:sz w:val="20"/>
          <w:szCs w:val="20"/>
        </w:rPr>
        <w:t xml:space="preserve">. </w:t>
      </w:r>
      <w:r w:rsidRPr="00C91211">
        <w:rPr>
          <w:rFonts w:ascii="Verdana" w:hAnsi="Verdana"/>
          <w:sz w:val="20"/>
          <w:szCs w:val="20"/>
        </w:rPr>
        <w:tab/>
      </w:r>
      <w:r w:rsidR="00814D3E">
        <w:rPr>
          <w:rFonts w:ascii="Verdana" w:hAnsi="Verdana"/>
          <w:sz w:val="20"/>
          <w:szCs w:val="20"/>
        </w:rPr>
        <w:t>Al respecto, ha precisado que l</w:t>
      </w:r>
      <w:r w:rsidRPr="00C91211">
        <w:rPr>
          <w:rFonts w:ascii="Verdana" w:hAnsi="Verdana"/>
          <w:sz w:val="20"/>
          <w:szCs w:val="20"/>
        </w:rPr>
        <w:t>os</w:t>
      </w:r>
      <w:r w:rsidRPr="00C91211">
        <w:rPr>
          <w:rFonts w:ascii="Verdana" w:hAnsi="Verdana"/>
          <w:spacing w:val="-16"/>
          <w:sz w:val="20"/>
          <w:szCs w:val="20"/>
        </w:rPr>
        <w:t xml:space="preserve"> </w:t>
      </w:r>
      <w:r w:rsidRPr="00C91211">
        <w:rPr>
          <w:rFonts w:ascii="Verdana" w:hAnsi="Verdana"/>
          <w:sz w:val="20"/>
          <w:szCs w:val="20"/>
        </w:rPr>
        <w:t>ciudadanos</w:t>
      </w:r>
      <w:r w:rsidRPr="00C91211">
        <w:rPr>
          <w:rFonts w:ascii="Verdana" w:hAnsi="Verdana"/>
          <w:spacing w:val="-17"/>
          <w:sz w:val="20"/>
          <w:szCs w:val="20"/>
        </w:rPr>
        <w:t xml:space="preserve"> </w:t>
      </w:r>
      <w:r w:rsidRPr="00C91211">
        <w:rPr>
          <w:rFonts w:ascii="Verdana" w:hAnsi="Verdana"/>
          <w:sz w:val="20"/>
          <w:szCs w:val="20"/>
        </w:rPr>
        <w:t>tienen</w:t>
      </w:r>
      <w:r w:rsidRPr="00C91211">
        <w:rPr>
          <w:rFonts w:ascii="Verdana" w:hAnsi="Verdana"/>
          <w:spacing w:val="-15"/>
          <w:sz w:val="20"/>
          <w:szCs w:val="20"/>
        </w:rPr>
        <w:t xml:space="preserve"> </w:t>
      </w:r>
      <w:r w:rsidRPr="00C91211">
        <w:rPr>
          <w:rFonts w:ascii="Verdana" w:hAnsi="Verdana"/>
          <w:sz w:val="20"/>
          <w:szCs w:val="20"/>
        </w:rPr>
        <w:t>el</w:t>
      </w:r>
      <w:r w:rsidRPr="00C91211">
        <w:rPr>
          <w:rFonts w:ascii="Verdana" w:hAnsi="Verdana"/>
          <w:spacing w:val="-17"/>
          <w:sz w:val="20"/>
          <w:szCs w:val="20"/>
        </w:rPr>
        <w:t xml:space="preserve"> </w:t>
      </w:r>
      <w:r w:rsidRPr="00C91211">
        <w:rPr>
          <w:rFonts w:ascii="Verdana" w:hAnsi="Verdana"/>
          <w:sz w:val="20"/>
          <w:szCs w:val="20"/>
        </w:rPr>
        <w:t>derecho</w:t>
      </w:r>
      <w:r w:rsidRPr="00C91211">
        <w:rPr>
          <w:rFonts w:ascii="Verdana" w:hAnsi="Verdana"/>
          <w:spacing w:val="-15"/>
          <w:sz w:val="20"/>
          <w:szCs w:val="20"/>
        </w:rPr>
        <w:t xml:space="preserve"> </w:t>
      </w:r>
      <w:r w:rsidRPr="00C91211">
        <w:rPr>
          <w:rFonts w:ascii="Verdana" w:hAnsi="Verdana"/>
          <w:sz w:val="20"/>
          <w:szCs w:val="20"/>
        </w:rPr>
        <w:t>de</w:t>
      </w:r>
      <w:r w:rsidRPr="00C91211">
        <w:rPr>
          <w:rFonts w:ascii="Verdana" w:hAnsi="Verdana"/>
          <w:spacing w:val="-16"/>
          <w:sz w:val="20"/>
          <w:szCs w:val="20"/>
        </w:rPr>
        <w:t xml:space="preserve"> </w:t>
      </w:r>
      <w:r w:rsidRPr="00C91211">
        <w:rPr>
          <w:rFonts w:ascii="Verdana" w:hAnsi="Verdana"/>
          <w:sz w:val="20"/>
          <w:szCs w:val="20"/>
        </w:rPr>
        <w:t>participar</w:t>
      </w:r>
      <w:r w:rsidRPr="00C91211">
        <w:rPr>
          <w:rFonts w:ascii="Verdana" w:hAnsi="Verdana"/>
          <w:spacing w:val="-16"/>
          <w:sz w:val="20"/>
          <w:szCs w:val="20"/>
        </w:rPr>
        <w:t xml:space="preserve"> </w:t>
      </w:r>
      <w:r w:rsidRPr="00C91211">
        <w:rPr>
          <w:rFonts w:ascii="Verdana" w:hAnsi="Verdana"/>
          <w:sz w:val="20"/>
          <w:szCs w:val="20"/>
        </w:rPr>
        <w:t>activamente</w:t>
      </w:r>
      <w:r w:rsidRPr="00C91211">
        <w:rPr>
          <w:rFonts w:ascii="Verdana" w:hAnsi="Verdana"/>
          <w:spacing w:val="-17"/>
          <w:sz w:val="20"/>
          <w:szCs w:val="20"/>
        </w:rPr>
        <w:t xml:space="preserve"> </w:t>
      </w:r>
      <w:r w:rsidRPr="00C91211">
        <w:rPr>
          <w:rFonts w:ascii="Verdana" w:hAnsi="Verdana"/>
          <w:sz w:val="20"/>
          <w:szCs w:val="20"/>
        </w:rPr>
        <w:t>en</w:t>
      </w:r>
      <w:r w:rsidRPr="00C91211">
        <w:rPr>
          <w:rFonts w:ascii="Verdana" w:hAnsi="Verdana"/>
          <w:spacing w:val="-15"/>
          <w:sz w:val="20"/>
          <w:szCs w:val="20"/>
        </w:rPr>
        <w:t xml:space="preserve"> </w:t>
      </w:r>
      <w:r w:rsidRPr="00C91211">
        <w:rPr>
          <w:rFonts w:ascii="Verdana" w:hAnsi="Verdana"/>
          <w:sz w:val="20"/>
          <w:szCs w:val="20"/>
        </w:rPr>
        <w:t>la</w:t>
      </w:r>
      <w:r w:rsidRPr="00C91211">
        <w:rPr>
          <w:rFonts w:ascii="Verdana" w:hAnsi="Verdana"/>
          <w:spacing w:val="-17"/>
          <w:sz w:val="20"/>
          <w:szCs w:val="20"/>
        </w:rPr>
        <w:t xml:space="preserve"> </w:t>
      </w:r>
      <w:r w:rsidRPr="00C91211">
        <w:rPr>
          <w:rFonts w:ascii="Verdana" w:hAnsi="Verdana"/>
          <w:sz w:val="20"/>
          <w:szCs w:val="20"/>
        </w:rPr>
        <w:t>dirección</w:t>
      </w:r>
      <w:r w:rsidRPr="00C91211">
        <w:rPr>
          <w:rFonts w:ascii="Verdana" w:hAnsi="Verdana"/>
          <w:spacing w:val="-14"/>
          <w:sz w:val="20"/>
          <w:szCs w:val="20"/>
        </w:rPr>
        <w:t xml:space="preserve"> </w:t>
      </w:r>
      <w:r w:rsidRPr="00C91211">
        <w:rPr>
          <w:rFonts w:ascii="Verdana" w:hAnsi="Verdana"/>
          <w:sz w:val="20"/>
          <w:szCs w:val="20"/>
        </w:rPr>
        <w:t>de</w:t>
      </w:r>
      <w:r w:rsidRPr="00C91211">
        <w:rPr>
          <w:rFonts w:ascii="Verdana" w:hAnsi="Verdana"/>
          <w:spacing w:val="-17"/>
          <w:sz w:val="20"/>
          <w:szCs w:val="20"/>
        </w:rPr>
        <w:t xml:space="preserve"> </w:t>
      </w:r>
      <w:r w:rsidRPr="00C91211">
        <w:rPr>
          <w:rFonts w:ascii="Verdana" w:hAnsi="Verdana"/>
          <w:sz w:val="20"/>
          <w:szCs w:val="20"/>
        </w:rPr>
        <w:t>los</w:t>
      </w:r>
      <w:r w:rsidRPr="00C91211">
        <w:rPr>
          <w:rFonts w:ascii="Verdana" w:hAnsi="Verdana"/>
          <w:spacing w:val="-15"/>
          <w:sz w:val="20"/>
          <w:szCs w:val="20"/>
        </w:rPr>
        <w:t xml:space="preserve"> </w:t>
      </w:r>
      <w:r w:rsidRPr="00C91211">
        <w:rPr>
          <w:rFonts w:ascii="Verdana" w:hAnsi="Verdana"/>
          <w:sz w:val="20"/>
          <w:szCs w:val="20"/>
        </w:rPr>
        <w:t>asuntos</w:t>
      </w:r>
      <w:r w:rsidRPr="00C91211">
        <w:rPr>
          <w:rFonts w:ascii="Verdana" w:hAnsi="Verdana"/>
          <w:spacing w:val="-68"/>
          <w:sz w:val="20"/>
          <w:szCs w:val="20"/>
        </w:rPr>
        <w:t xml:space="preserve"> </w:t>
      </w:r>
      <w:r w:rsidRPr="00C91211">
        <w:rPr>
          <w:rFonts w:ascii="Verdana" w:hAnsi="Verdana"/>
          <w:sz w:val="20"/>
          <w:szCs w:val="20"/>
        </w:rPr>
        <w:t>públicos</w:t>
      </w:r>
      <w:r w:rsidR="000C1FFB">
        <w:rPr>
          <w:rFonts w:ascii="Verdana" w:hAnsi="Verdana"/>
          <w:sz w:val="20"/>
          <w:szCs w:val="20"/>
        </w:rPr>
        <w:t xml:space="preserve"> </w:t>
      </w:r>
      <w:r w:rsidRPr="00C91211">
        <w:rPr>
          <w:rFonts w:ascii="Verdana" w:hAnsi="Verdana"/>
          <w:sz w:val="20"/>
          <w:szCs w:val="20"/>
        </w:rPr>
        <w:t>directamente mediante referendos, plebiscitos o consultas</w:t>
      </w:r>
      <w:r w:rsidR="00216B50">
        <w:rPr>
          <w:rFonts w:ascii="Verdana" w:hAnsi="Verdana"/>
          <w:sz w:val="20"/>
          <w:szCs w:val="20"/>
        </w:rPr>
        <w:t>,</w:t>
      </w:r>
      <w:r w:rsidRPr="00C91211">
        <w:rPr>
          <w:rFonts w:ascii="Verdana" w:hAnsi="Verdana"/>
          <w:sz w:val="20"/>
          <w:szCs w:val="20"/>
        </w:rPr>
        <w:t xml:space="preserve"> o bien, por medio de</w:t>
      </w:r>
      <w:r w:rsidRPr="00C91211">
        <w:rPr>
          <w:rFonts w:ascii="Verdana" w:hAnsi="Verdana"/>
          <w:spacing w:val="1"/>
          <w:sz w:val="20"/>
          <w:szCs w:val="20"/>
        </w:rPr>
        <w:t xml:space="preserve"> </w:t>
      </w:r>
      <w:r w:rsidRPr="00C91211">
        <w:rPr>
          <w:rFonts w:ascii="Verdana" w:hAnsi="Verdana"/>
          <w:sz w:val="20"/>
          <w:szCs w:val="20"/>
        </w:rPr>
        <w:t>representantes libremente elegidos. El derecho al voto es uno de los elementos esenciales</w:t>
      </w:r>
      <w:r w:rsidRPr="00C91211">
        <w:rPr>
          <w:rFonts w:ascii="Verdana" w:hAnsi="Verdana"/>
          <w:spacing w:val="1"/>
          <w:sz w:val="20"/>
          <w:szCs w:val="20"/>
        </w:rPr>
        <w:t xml:space="preserve"> </w:t>
      </w:r>
      <w:r w:rsidRPr="00C91211">
        <w:rPr>
          <w:rFonts w:ascii="Verdana" w:hAnsi="Verdana"/>
          <w:sz w:val="20"/>
          <w:szCs w:val="20"/>
        </w:rPr>
        <w:t>para la existencia de la democracia y una de las formas en que los ciudadanos expresan</w:t>
      </w:r>
      <w:r w:rsidRPr="00C91211">
        <w:rPr>
          <w:rFonts w:ascii="Verdana" w:hAnsi="Verdana"/>
          <w:spacing w:val="1"/>
          <w:sz w:val="20"/>
          <w:szCs w:val="20"/>
        </w:rPr>
        <w:t xml:space="preserve"> </w:t>
      </w:r>
      <w:r w:rsidRPr="00C91211">
        <w:rPr>
          <w:rFonts w:ascii="Verdana" w:hAnsi="Verdana"/>
          <w:sz w:val="20"/>
          <w:szCs w:val="20"/>
        </w:rPr>
        <w:t>libremente su voluntad y ejercen el derecho a la participación política</w:t>
      </w:r>
      <w:r w:rsidR="00731E3A">
        <w:rPr>
          <w:rFonts w:ascii="Verdana" w:hAnsi="Verdana"/>
          <w:sz w:val="20"/>
          <w:szCs w:val="20"/>
        </w:rPr>
        <w:t xml:space="preserve"> </w:t>
      </w:r>
      <w:r w:rsidR="00216B50" w:rsidRPr="002743B1">
        <w:rPr>
          <w:rFonts w:ascii="Verdana" w:hAnsi="Verdana"/>
          <w:sz w:val="20"/>
          <w:szCs w:val="20"/>
        </w:rPr>
        <w:t>—</w:t>
      </w:r>
      <w:r w:rsidR="00731E3A" w:rsidRPr="002743B1">
        <w:rPr>
          <w:rFonts w:ascii="Verdana" w:hAnsi="Verdana"/>
          <w:sz w:val="20"/>
          <w:szCs w:val="20"/>
        </w:rPr>
        <w:t>tal y como se desprende del artículo 3 de la Carta Democrática Interamericana cuando indica que, “[s]on elementos esenciales de la democracia representativa […]la celebración de elecciones periódicas, libres, justas y basadas en el sufragio universal y secreto como expresión de la soberanía del pueblo”</w:t>
      </w:r>
      <w:r w:rsidR="00216B50" w:rsidRPr="002743B1">
        <w:rPr>
          <w:rFonts w:ascii="Verdana" w:hAnsi="Verdana"/>
          <w:sz w:val="20"/>
          <w:szCs w:val="20"/>
        </w:rPr>
        <w:t>—</w:t>
      </w:r>
      <w:r w:rsidR="00731E3A" w:rsidRPr="002743B1">
        <w:rPr>
          <w:rFonts w:ascii="Verdana" w:hAnsi="Verdana"/>
          <w:sz w:val="20"/>
          <w:szCs w:val="20"/>
        </w:rPr>
        <w:t>.</w:t>
      </w:r>
      <w:r w:rsidR="00731E3A">
        <w:rPr>
          <w:rFonts w:ascii="Verdana" w:hAnsi="Verdana"/>
          <w:sz w:val="20"/>
          <w:szCs w:val="20"/>
        </w:rPr>
        <w:t xml:space="preserve"> </w:t>
      </w:r>
      <w:r w:rsidRPr="00C91211">
        <w:rPr>
          <w:rFonts w:ascii="Verdana" w:hAnsi="Verdana"/>
          <w:sz w:val="20"/>
          <w:szCs w:val="20"/>
        </w:rPr>
        <w:t>Este derecho implica</w:t>
      </w:r>
      <w:r w:rsidRPr="00C91211">
        <w:rPr>
          <w:rFonts w:ascii="Verdana" w:hAnsi="Verdana"/>
          <w:spacing w:val="1"/>
          <w:sz w:val="20"/>
          <w:szCs w:val="20"/>
        </w:rPr>
        <w:t xml:space="preserve"> </w:t>
      </w:r>
      <w:r w:rsidRPr="00C91211">
        <w:rPr>
          <w:rFonts w:ascii="Verdana" w:hAnsi="Verdana"/>
          <w:sz w:val="20"/>
          <w:szCs w:val="20"/>
        </w:rPr>
        <w:t>que los ciudadanos pued</w:t>
      </w:r>
      <w:r w:rsidR="00731E3A">
        <w:rPr>
          <w:rFonts w:ascii="Verdana" w:hAnsi="Verdana"/>
          <w:sz w:val="20"/>
          <w:szCs w:val="20"/>
        </w:rPr>
        <w:t>a</w:t>
      </w:r>
      <w:r w:rsidRPr="00C91211">
        <w:rPr>
          <w:rFonts w:ascii="Verdana" w:hAnsi="Verdana"/>
          <w:sz w:val="20"/>
          <w:szCs w:val="20"/>
        </w:rPr>
        <w:t>n decidir directamente y elegir libremente y en condiciones de</w:t>
      </w:r>
      <w:r w:rsidRPr="00C91211">
        <w:rPr>
          <w:rFonts w:ascii="Verdana" w:hAnsi="Verdana"/>
          <w:spacing w:val="1"/>
          <w:sz w:val="20"/>
          <w:szCs w:val="20"/>
        </w:rPr>
        <w:t xml:space="preserve"> </w:t>
      </w:r>
      <w:r w:rsidRPr="00C91211">
        <w:rPr>
          <w:rFonts w:ascii="Verdana" w:hAnsi="Verdana"/>
          <w:sz w:val="20"/>
          <w:szCs w:val="20"/>
        </w:rPr>
        <w:t>igualdad</w:t>
      </w:r>
      <w:r w:rsidRPr="00C91211">
        <w:rPr>
          <w:rFonts w:ascii="Verdana" w:hAnsi="Verdana"/>
          <w:spacing w:val="-1"/>
          <w:sz w:val="20"/>
          <w:szCs w:val="20"/>
        </w:rPr>
        <w:t xml:space="preserve"> </w:t>
      </w:r>
      <w:r w:rsidRPr="00C91211">
        <w:rPr>
          <w:rFonts w:ascii="Verdana" w:hAnsi="Verdana"/>
          <w:sz w:val="20"/>
          <w:szCs w:val="20"/>
        </w:rPr>
        <w:t>a</w:t>
      </w:r>
      <w:r w:rsidRPr="00C91211">
        <w:rPr>
          <w:rFonts w:ascii="Verdana" w:hAnsi="Verdana"/>
          <w:spacing w:val="-1"/>
          <w:sz w:val="20"/>
          <w:szCs w:val="20"/>
        </w:rPr>
        <w:t xml:space="preserve"> </w:t>
      </w:r>
      <w:r w:rsidRPr="00C91211">
        <w:rPr>
          <w:rFonts w:ascii="Verdana" w:hAnsi="Verdana"/>
          <w:sz w:val="20"/>
          <w:szCs w:val="20"/>
        </w:rPr>
        <w:t>quienes</w:t>
      </w:r>
      <w:r w:rsidRPr="00C91211">
        <w:rPr>
          <w:rFonts w:ascii="Verdana" w:hAnsi="Verdana"/>
          <w:spacing w:val="-1"/>
          <w:sz w:val="20"/>
          <w:szCs w:val="20"/>
        </w:rPr>
        <w:t xml:space="preserve"> </w:t>
      </w:r>
      <w:r w:rsidRPr="00C91211">
        <w:rPr>
          <w:rFonts w:ascii="Verdana" w:hAnsi="Verdana"/>
          <w:sz w:val="20"/>
          <w:szCs w:val="20"/>
        </w:rPr>
        <w:t>los</w:t>
      </w:r>
      <w:r w:rsidRPr="00C91211">
        <w:rPr>
          <w:rFonts w:ascii="Verdana" w:hAnsi="Verdana"/>
          <w:spacing w:val="-1"/>
          <w:sz w:val="20"/>
          <w:szCs w:val="20"/>
        </w:rPr>
        <w:t xml:space="preserve"> </w:t>
      </w:r>
      <w:r w:rsidRPr="00C91211">
        <w:rPr>
          <w:rFonts w:ascii="Verdana" w:hAnsi="Verdana"/>
          <w:sz w:val="20"/>
          <w:szCs w:val="20"/>
        </w:rPr>
        <w:t>representarán en</w:t>
      </w:r>
      <w:r w:rsidRPr="00C91211">
        <w:rPr>
          <w:rFonts w:ascii="Verdana" w:hAnsi="Verdana"/>
          <w:spacing w:val="-2"/>
          <w:sz w:val="20"/>
          <w:szCs w:val="20"/>
        </w:rPr>
        <w:t xml:space="preserve"> </w:t>
      </w:r>
      <w:r w:rsidRPr="00C91211">
        <w:rPr>
          <w:rFonts w:ascii="Verdana" w:hAnsi="Verdana"/>
          <w:sz w:val="20"/>
          <w:szCs w:val="20"/>
        </w:rPr>
        <w:t>la</w:t>
      </w:r>
      <w:r w:rsidRPr="00C91211">
        <w:rPr>
          <w:rFonts w:ascii="Verdana" w:hAnsi="Verdana"/>
          <w:spacing w:val="-2"/>
          <w:sz w:val="20"/>
          <w:szCs w:val="20"/>
        </w:rPr>
        <w:t xml:space="preserve"> </w:t>
      </w:r>
      <w:r w:rsidRPr="00C91211">
        <w:rPr>
          <w:rFonts w:ascii="Verdana" w:hAnsi="Verdana"/>
          <w:sz w:val="20"/>
          <w:szCs w:val="20"/>
        </w:rPr>
        <w:t>toma</w:t>
      </w:r>
      <w:r w:rsidRPr="00C91211">
        <w:rPr>
          <w:rFonts w:ascii="Verdana" w:hAnsi="Verdana"/>
          <w:spacing w:val="-2"/>
          <w:sz w:val="20"/>
          <w:szCs w:val="20"/>
        </w:rPr>
        <w:t xml:space="preserve"> </w:t>
      </w:r>
      <w:r w:rsidRPr="00C91211">
        <w:rPr>
          <w:rFonts w:ascii="Verdana" w:hAnsi="Verdana"/>
          <w:sz w:val="20"/>
          <w:szCs w:val="20"/>
        </w:rPr>
        <w:t>de</w:t>
      </w:r>
      <w:r w:rsidRPr="00C91211">
        <w:rPr>
          <w:rFonts w:ascii="Verdana" w:hAnsi="Verdana"/>
          <w:spacing w:val="-1"/>
          <w:sz w:val="20"/>
          <w:szCs w:val="20"/>
        </w:rPr>
        <w:t xml:space="preserve"> </w:t>
      </w:r>
      <w:r w:rsidRPr="00C91211">
        <w:rPr>
          <w:rFonts w:ascii="Verdana" w:hAnsi="Verdana"/>
          <w:sz w:val="20"/>
          <w:szCs w:val="20"/>
        </w:rPr>
        <w:t>decisiones de</w:t>
      </w:r>
      <w:r w:rsidRPr="00C91211">
        <w:rPr>
          <w:rFonts w:ascii="Verdana" w:hAnsi="Verdana"/>
          <w:spacing w:val="-1"/>
          <w:sz w:val="20"/>
          <w:szCs w:val="20"/>
        </w:rPr>
        <w:t xml:space="preserve"> </w:t>
      </w:r>
      <w:r w:rsidRPr="00C91211">
        <w:rPr>
          <w:rFonts w:ascii="Verdana" w:hAnsi="Verdana"/>
          <w:sz w:val="20"/>
          <w:szCs w:val="20"/>
        </w:rPr>
        <w:t>los</w:t>
      </w:r>
      <w:r w:rsidRPr="00C91211">
        <w:rPr>
          <w:rFonts w:ascii="Verdana" w:hAnsi="Verdana"/>
          <w:spacing w:val="-1"/>
          <w:sz w:val="20"/>
          <w:szCs w:val="20"/>
        </w:rPr>
        <w:t xml:space="preserve"> </w:t>
      </w:r>
      <w:r w:rsidRPr="00C91211">
        <w:rPr>
          <w:rFonts w:ascii="Verdana" w:hAnsi="Verdana"/>
          <w:sz w:val="20"/>
          <w:szCs w:val="20"/>
        </w:rPr>
        <w:t>asuntos</w:t>
      </w:r>
      <w:r w:rsidRPr="00C91211">
        <w:rPr>
          <w:rFonts w:ascii="Verdana" w:hAnsi="Verdana"/>
          <w:spacing w:val="-1"/>
          <w:sz w:val="20"/>
          <w:szCs w:val="20"/>
        </w:rPr>
        <w:t xml:space="preserve"> </w:t>
      </w:r>
      <w:r w:rsidRPr="00C91211">
        <w:rPr>
          <w:rFonts w:ascii="Verdana" w:hAnsi="Verdana"/>
          <w:sz w:val="20"/>
          <w:szCs w:val="20"/>
        </w:rPr>
        <w:t>públicos</w:t>
      </w:r>
      <w:r w:rsidR="00884CE4">
        <w:rPr>
          <w:rStyle w:val="FootnoteReference"/>
          <w:rFonts w:ascii="Verdana" w:hAnsi="Verdana"/>
          <w:sz w:val="20"/>
          <w:szCs w:val="20"/>
        </w:rPr>
        <w:footnoteReference w:id="74"/>
      </w:r>
      <w:r w:rsidRPr="00C91211">
        <w:rPr>
          <w:rFonts w:ascii="Verdana" w:hAnsi="Verdana"/>
          <w:sz w:val="20"/>
          <w:szCs w:val="20"/>
        </w:rPr>
        <w:t>.</w:t>
      </w:r>
    </w:p>
    <w:p w14:paraId="5752DAA2" w14:textId="12A19924" w:rsidR="00C91211" w:rsidRPr="00C91211" w:rsidRDefault="00C91211" w:rsidP="00C91211">
      <w:pPr>
        <w:widowControl w:val="0"/>
        <w:tabs>
          <w:tab w:val="left" w:pos="686"/>
        </w:tabs>
        <w:autoSpaceDE w:val="0"/>
        <w:autoSpaceDN w:val="0"/>
        <w:spacing w:before="201" w:after="0" w:line="240" w:lineRule="auto"/>
        <w:ind w:right="114"/>
        <w:jc w:val="both"/>
        <w:rPr>
          <w:rFonts w:ascii="Verdana" w:hAnsi="Verdana"/>
          <w:sz w:val="20"/>
          <w:szCs w:val="20"/>
        </w:rPr>
      </w:pPr>
      <w:r w:rsidRPr="00C91211">
        <w:rPr>
          <w:rFonts w:ascii="Verdana" w:hAnsi="Verdana"/>
          <w:sz w:val="20"/>
          <w:szCs w:val="20"/>
        </w:rPr>
        <w:t>6</w:t>
      </w:r>
      <w:r w:rsidR="00ED375C">
        <w:rPr>
          <w:rFonts w:ascii="Verdana" w:hAnsi="Verdana"/>
          <w:sz w:val="20"/>
          <w:szCs w:val="20"/>
        </w:rPr>
        <w:t>8</w:t>
      </w:r>
      <w:r w:rsidRPr="00C91211">
        <w:rPr>
          <w:rFonts w:ascii="Verdana" w:hAnsi="Verdana"/>
          <w:sz w:val="20"/>
          <w:szCs w:val="20"/>
        </w:rPr>
        <w:t xml:space="preserve">. </w:t>
      </w:r>
      <w:r w:rsidRPr="00C91211">
        <w:rPr>
          <w:rFonts w:ascii="Verdana" w:hAnsi="Verdana"/>
          <w:sz w:val="20"/>
          <w:szCs w:val="20"/>
        </w:rPr>
        <w:tab/>
      </w:r>
      <w:r w:rsidR="00814D3E">
        <w:rPr>
          <w:rFonts w:ascii="Verdana" w:hAnsi="Verdana"/>
          <w:sz w:val="20"/>
          <w:szCs w:val="20"/>
        </w:rPr>
        <w:t>De este modo, el Tribunal Interamericano ha interpreta</w:t>
      </w:r>
      <w:r w:rsidR="000D3B07">
        <w:rPr>
          <w:rFonts w:ascii="Verdana" w:hAnsi="Verdana"/>
          <w:sz w:val="20"/>
          <w:szCs w:val="20"/>
        </w:rPr>
        <w:t>d</w:t>
      </w:r>
      <w:r w:rsidR="00814D3E">
        <w:rPr>
          <w:rFonts w:ascii="Verdana" w:hAnsi="Verdana"/>
          <w:sz w:val="20"/>
          <w:szCs w:val="20"/>
        </w:rPr>
        <w:t xml:space="preserve">o que </w:t>
      </w:r>
      <w:r w:rsidRPr="00C91211">
        <w:rPr>
          <w:rFonts w:ascii="Verdana" w:hAnsi="Verdana"/>
          <w:sz w:val="20"/>
          <w:szCs w:val="20"/>
        </w:rPr>
        <w:t>la participación política mediante el ejercicio del derecho a ser elegido</w:t>
      </w:r>
      <w:r w:rsidRPr="00C91211">
        <w:rPr>
          <w:rFonts w:ascii="Verdana" w:hAnsi="Verdana"/>
          <w:spacing w:val="1"/>
          <w:sz w:val="20"/>
          <w:szCs w:val="20"/>
        </w:rPr>
        <w:t xml:space="preserve"> </w:t>
      </w:r>
      <w:r w:rsidRPr="00C91211">
        <w:rPr>
          <w:rFonts w:ascii="Verdana" w:hAnsi="Verdana"/>
          <w:sz w:val="20"/>
          <w:szCs w:val="20"/>
        </w:rPr>
        <w:t>supone que los ciudadanos puedan postularse como candidatos en condiciones de igualdad y</w:t>
      </w:r>
      <w:r w:rsidRPr="00C91211">
        <w:rPr>
          <w:rFonts w:ascii="Verdana" w:hAnsi="Verdana"/>
          <w:spacing w:val="-68"/>
          <w:sz w:val="20"/>
          <w:szCs w:val="20"/>
        </w:rPr>
        <w:t xml:space="preserve"> </w:t>
      </w:r>
      <w:r w:rsidR="00ED375C">
        <w:rPr>
          <w:rFonts w:ascii="Verdana" w:hAnsi="Verdana"/>
          <w:spacing w:val="-68"/>
          <w:sz w:val="20"/>
          <w:szCs w:val="20"/>
        </w:rPr>
        <w:t xml:space="preserve">  </w:t>
      </w:r>
      <w:r w:rsidR="00ED375C">
        <w:rPr>
          <w:rFonts w:ascii="Verdana" w:hAnsi="Verdana"/>
          <w:sz w:val="20"/>
          <w:szCs w:val="20"/>
        </w:rPr>
        <w:t xml:space="preserve"> que</w:t>
      </w:r>
      <w:r w:rsidRPr="00C91211">
        <w:rPr>
          <w:rFonts w:ascii="Verdana" w:hAnsi="Verdana"/>
          <w:sz w:val="20"/>
          <w:szCs w:val="20"/>
        </w:rPr>
        <w:t xml:space="preserve"> puedan ocupar los cargos públicos sujetos a elección si logran obtener la cantidad de</w:t>
      </w:r>
      <w:r w:rsidRPr="00C91211">
        <w:rPr>
          <w:rFonts w:ascii="Verdana" w:hAnsi="Verdana"/>
          <w:spacing w:val="1"/>
          <w:sz w:val="20"/>
          <w:szCs w:val="20"/>
        </w:rPr>
        <w:t xml:space="preserve"> </w:t>
      </w:r>
      <w:r w:rsidRPr="00C91211">
        <w:rPr>
          <w:rFonts w:ascii="Verdana" w:hAnsi="Verdana"/>
          <w:sz w:val="20"/>
          <w:szCs w:val="20"/>
        </w:rPr>
        <w:t>votos</w:t>
      </w:r>
      <w:r w:rsidRPr="00C91211">
        <w:rPr>
          <w:rFonts w:ascii="Verdana" w:hAnsi="Verdana"/>
          <w:spacing w:val="-2"/>
          <w:sz w:val="20"/>
          <w:szCs w:val="20"/>
        </w:rPr>
        <w:t xml:space="preserve"> </w:t>
      </w:r>
      <w:r w:rsidRPr="00C91211">
        <w:rPr>
          <w:rFonts w:ascii="Verdana" w:hAnsi="Verdana"/>
          <w:sz w:val="20"/>
          <w:szCs w:val="20"/>
        </w:rPr>
        <w:t>necesarios</w:t>
      </w:r>
      <w:r w:rsidRPr="00C91211">
        <w:rPr>
          <w:rFonts w:ascii="Verdana" w:hAnsi="Verdana"/>
          <w:spacing w:val="-1"/>
          <w:sz w:val="20"/>
          <w:szCs w:val="20"/>
        </w:rPr>
        <w:t xml:space="preserve"> </w:t>
      </w:r>
      <w:r w:rsidRPr="00C91211">
        <w:rPr>
          <w:rFonts w:ascii="Verdana" w:hAnsi="Verdana"/>
          <w:sz w:val="20"/>
          <w:szCs w:val="20"/>
        </w:rPr>
        <w:t>para ello</w:t>
      </w:r>
      <w:r w:rsidR="00884CE4">
        <w:rPr>
          <w:rStyle w:val="FootnoteReference"/>
          <w:rFonts w:ascii="Verdana" w:hAnsi="Verdana"/>
          <w:sz w:val="20"/>
          <w:szCs w:val="20"/>
        </w:rPr>
        <w:footnoteReference w:id="75"/>
      </w:r>
      <w:r w:rsidRPr="00C91211">
        <w:rPr>
          <w:rFonts w:ascii="Verdana" w:hAnsi="Verdana"/>
          <w:sz w:val="20"/>
          <w:szCs w:val="20"/>
        </w:rPr>
        <w:t>.</w:t>
      </w:r>
    </w:p>
    <w:p w14:paraId="6806944C" w14:textId="7F2F1C10" w:rsidR="00C91211" w:rsidRPr="00C91211" w:rsidRDefault="00C91211" w:rsidP="00C91211">
      <w:pPr>
        <w:widowControl w:val="0"/>
        <w:tabs>
          <w:tab w:val="left" w:pos="686"/>
        </w:tabs>
        <w:autoSpaceDE w:val="0"/>
        <w:autoSpaceDN w:val="0"/>
        <w:spacing w:before="201" w:after="0" w:line="240" w:lineRule="auto"/>
        <w:ind w:right="114"/>
        <w:jc w:val="both"/>
        <w:rPr>
          <w:rFonts w:ascii="Verdana" w:hAnsi="Verdana"/>
          <w:sz w:val="20"/>
          <w:szCs w:val="20"/>
        </w:rPr>
      </w:pPr>
      <w:r w:rsidRPr="00C91211">
        <w:rPr>
          <w:rFonts w:ascii="Verdana" w:hAnsi="Verdana"/>
          <w:sz w:val="20"/>
          <w:szCs w:val="20"/>
        </w:rPr>
        <w:t>6</w:t>
      </w:r>
      <w:r w:rsidR="00ED375C">
        <w:rPr>
          <w:rFonts w:ascii="Verdana" w:hAnsi="Verdana"/>
          <w:sz w:val="20"/>
          <w:szCs w:val="20"/>
        </w:rPr>
        <w:t>9</w:t>
      </w:r>
      <w:r w:rsidRPr="00C91211">
        <w:rPr>
          <w:rFonts w:ascii="Verdana" w:hAnsi="Verdana"/>
          <w:sz w:val="20"/>
          <w:szCs w:val="20"/>
        </w:rPr>
        <w:t xml:space="preserve">. </w:t>
      </w:r>
      <w:r w:rsidRPr="00C91211">
        <w:rPr>
          <w:rFonts w:ascii="Verdana" w:hAnsi="Verdana"/>
          <w:sz w:val="20"/>
          <w:szCs w:val="20"/>
        </w:rPr>
        <w:tab/>
      </w:r>
      <w:r w:rsidR="00814D3E">
        <w:rPr>
          <w:rFonts w:ascii="Verdana" w:hAnsi="Verdana"/>
          <w:sz w:val="20"/>
          <w:szCs w:val="20"/>
        </w:rPr>
        <w:t>En segundo lugar, e</w:t>
      </w:r>
      <w:r w:rsidRPr="00C91211">
        <w:rPr>
          <w:rFonts w:ascii="Verdana" w:hAnsi="Verdana"/>
          <w:sz w:val="20"/>
          <w:szCs w:val="20"/>
        </w:rPr>
        <w:t>l</w:t>
      </w:r>
      <w:r w:rsidRPr="00C91211">
        <w:rPr>
          <w:rFonts w:ascii="Verdana" w:hAnsi="Verdana"/>
          <w:spacing w:val="-2"/>
          <w:sz w:val="20"/>
          <w:szCs w:val="20"/>
        </w:rPr>
        <w:t xml:space="preserve"> </w:t>
      </w:r>
      <w:r w:rsidRPr="00C91211">
        <w:rPr>
          <w:rFonts w:ascii="Verdana" w:hAnsi="Verdana"/>
          <w:sz w:val="20"/>
          <w:szCs w:val="20"/>
        </w:rPr>
        <w:t>derecho</w:t>
      </w:r>
      <w:r w:rsidRPr="00C91211">
        <w:rPr>
          <w:rFonts w:ascii="Verdana" w:hAnsi="Verdana"/>
          <w:spacing w:val="-3"/>
          <w:sz w:val="20"/>
          <w:szCs w:val="20"/>
        </w:rPr>
        <w:t xml:space="preserve"> </w:t>
      </w:r>
      <w:r w:rsidRPr="00C91211">
        <w:rPr>
          <w:rFonts w:ascii="Verdana" w:hAnsi="Verdana"/>
          <w:sz w:val="20"/>
          <w:szCs w:val="20"/>
        </w:rPr>
        <w:t>y</w:t>
      </w:r>
      <w:r w:rsidRPr="00C91211">
        <w:rPr>
          <w:rFonts w:ascii="Verdana" w:hAnsi="Verdana"/>
          <w:spacing w:val="-2"/>
          <w:sz w:val="20"/>
          <w:szCs w:val="20"/>
        </w:rPr>
        <w:t xml:space="preserve"> </w:t>
      </w:r>
      <w:r w:rsidRPr="00C91211">
        <w:rPr>
          <w:rFonts w:ascii="Verdana" w:hAnsi="Verdana"/>
          <w:sz w:val="20"/>
          <w:szCs w:val="20"/>
        </w:rPr>
        <w:t>la</w:t>
      </w:r>
      <w:r w:rsidRPr="00C91211">
        <w:rPr>
          <w:rFonts w:ascii="Verdana" w:hAnsi="Verdana"/>
          <w:spacing w:val="-3"/>
          <w:sz w:val="20"/>
          <w:szCs w:val="20"/>
        </w:rPr>
        <w:t xml:space="preserve"> </w:t>
      </w:r>
      <w:r w:rsidRPr="00C91211">
        <w:rPr>
          <w:rFonts w:ascii="Verdana" w:hAnsi="Verdana"/>
          <w:sz w:val="20"/>
          <w:szCs w:val="20"/>
        </w:rPr>
        <w:t>oportunidad</w:t>
      </w:r>
      <w:r w:rsidRPr="00C91211">
        <w:rPr>
          <w:rFonts w:ascii="Verdana" w:hAnsi="Verdana"/>
          <w:spacing w:val="-2"/>
          <w:sz w:val="20"/>
          <w:szCs w:val="20"/>
        </w:rPr>
        <w:t xml:space="preserve"> </w:t>
      </w:r>
      <w:r w:rsidRPr="00C91211">
        <w:rPr>
          <w:rFonts w:ascii="Verdana" w:hAnsi="Verdana"/>
          <w:sz w:val="20"/>
          <w:szCs w:val="20"/>
        </w:rPr>
        <w:t>de</w:t>
      </w:r>
      <w:r w:rsidRPr="00C91211">
        <w:rPr>
          <w:rFonts w:ascii="Verdana" w:hAnsi="Verdana"/>
          <w:spacing w:val="-3"/>
          <w:sz w:val="20"/>
          <w:szCs w:val="20"/>
        </w:rPr>
        <w:t xml:space="preserve"> </w:t>
      </w:r>
      <w:r w:rsidRPr="00C91211">
        <w:rPr>
          <w:rFonts w:ascii="Verdana" w:hAnsi="Verdana"/>
          <w:sz w:val="20"/>
          <w:szCs w:val="20"/>
        </w:rPr>
        <w:t>votar</w:t>
      </w:r>
      <w:r w:rsidRPr="00C91211">
        <w:rPr>
          <w:rFonts w:ascii="Verdana" w:hAnsi="Verdana"/>
          <w:spacing w:val="-3"/>
          <w:sz w:val="20"/>
          <w:szCs w:val="20"/>
        </w:rPr>
        <w:t xml:space="preserve"> </w:t>
      </w:r>
      <w:r w:rsidRPr="00C91211">
        <w:rPr>
          <w:rFonts w:ascii="Verdana" w:hAnsi="Verdana"/>
          <w:sz w:val="20"/>
          <w:szCs w:val="20"/>
        </w:rPr>
        <w:t>y</w:t>
      </w:r>
      <w:r w:rsidRPr="00C91211">
        <w:rPr>
          <w:rFonts w:ascii="Verdana" w:hAnsi="Verdana"/>
          <w:spacing w:val="-1"/>
          <w:sz w:val="20"/>
          <w:szCs w:val="20"/>
        </w:rPr>
        <w:t xml:space="preserve"> </w:t>
      </w:r>
      <w:r w:rsidRPr="00C91211">
        <w:rPr>
          <w:rFonts w:ascii="Verdana" w:hAnsi="Verdana"/>
          <w:sz w:val="20"/>
          <w:szCs w:val="20"/>
        </w:rPr>
        <w:t>de</w:t>
      </w:r>
      <w:r w:rsidRPr="00C91211">
        <w:rPr>
          <w:rFonts w:ascii="Verdana" w:hAnsi="Verdana"/>
          <w:spacing w:val="-4"/>
          <w:sz w:val="20"/>
          <w:szCs w:val="20"/>
        </w:rPr>
        <w:t xml:space="preserve"> </w:t>
      </w:r>
      <w:r w:rsidRPr="00C91211">
        <w:rPr>
          <w:rFonts w:ascii="Verdana" w:hAnsi="Verdana"/>
          <w:sz w:val="20"/>
          <w:szCs w:val="20"/>
        </w:rPr>
        <w:t>ser</w:t>
      </w:r>
      <w:r w:rsidRPr="00C91211">
        <w:rPr>
          <w:rFonts w:ascii="Verdana" w:hAnsi="Verdana"/>
          <w:spacing w:val="-4"/>
          <w:sz w:val="20"/>
          <w:szCs w:val="20"/>
        </w:rPr>
        <w:t xml:space="preserve"> </w:t>
      </w:r>
      <w:r w:rsidRPr="00C91211">
        <w:rPr>
          <w:rFonts w:ascii="Verdana" w:hAnsi="Verdana"/>
          <w:sz w:val="20"/>
          <w:szCs w:val="20"/>
        </w:rPr>
        <w:t>elegido</w:t>
      </w:r>
      <w:r w:rsidRPr="00C91211">
        <w:rPr>
          <w:rFonts w:ascii="Verdana" w:hAnsi="Verdana"/>
          <w:spacing w:val="-4"/>
          <w:sz w:val="20"/>
          <w:szCs w:val="20"/>
        </w:rPr>
        <w:t xml:space="preserve"> </w:t>
      </w:r>
      <w:r w:rsidRPr="00C91211">
        <w:rPr>
          <w:rFonts w:ascii="Verdana" w:hAnsi="Verdana"/>
          <w:sz w:val="20"/>
          <w:szCs w:val="20"/>
        </w:rPr>
        <w:t>consagrados</w:t>
      </w:r>
      <w:r w:rsidRPr="00C91211">
        <w:rPr>
          <w:rFonts w:ascii="Verdana" w:hAnsi="Verdana"/>
          <w:spacing w:val="-2"/>
          <w:sz w:val="20"/>
          <w:szCs w:val="20"/>
        </w:rPr>
        <w:t xml:space="preserve"> </w:t>
      </w:r>
      <w:r w:rsidRPr="00C91211">
        <w:rPr>
          <w:rFonts w:ascii="Verdana" w:hAnsi="Verdana"/>
          <w:sz w:val="20"/>
          <w:szCs w:val="20"/>
        </w:rPr>
        <w:t>por</w:t>
      </w:r>
      <w:r w:rsidRPr="00C91211">
        <w:rPr>
          <w:rFonts w:ascii="Verdana" w:hAnsi="Verdana"/>
          <w:spacing w:val="-3"/>
          <w:sz w:val="20"/>
          <w:szCs w:val="20"/>
        </w:rPr>
        <w:t xml:space="preserve"> </w:t>
      </w:r>
      <w:r w:rsidRPr="00C91211">
        <w:rPr>
          <w:rFonts w:ascii="Verdana" w:hAnsi="Verdana"/>
          <w:sz w:val="20"/>
          <w:szCs w:val="20"/>
        </w:rPr>
        <w:t>el</w:t>
      </w:r>
      <w:r w:rsidRPr="00C91211">
        <w:rPr>
          <w:rFonts w:ascii="Verdana" w:hAnsi="Verdana"/>
          <w:spacing w:val="-4"/>
          <w:sz w:val="20"/>
          <w:szCs w:val="20"/>
        </w:rPr>
        <w:t xml:space="preserve"> </w:t>
      </w:r>
      <w:r w:rsidRPr="00C91211">
        <w:rPr>
          <w:rFonts w:ascii="Verdana" w:hAnsi="Verdana"/>
          <w:sz w:val="20"/>
          <w:szCs w:val="20"/>
        </w:rPr>
        <w:t>artículo</w:t>
      </w:r>
      <w:r w:rsidRPr="00C91211">
        <w:rPr>
          <w:rFonts w:ascii="Verdana" w:hAnsi="Verdana"/>
          <w:spacing w:val="-2"/>
          <w:sz w:val="20"/>
          <w:szCs w:val="20"/>
        </w:rPr>
        <w:t xml:space="preserve"> </w:t>
      </w:r>
      <w:r w:rsidRPr="00C91211">
        <w:rPr>
          <w:rFonts w:ascii="Verdana" w:hAnsi="Verdana"/>
          <w:sz w:val="20"/>
          <w:szCs w:val="20"/>
        </w:rPr>
        <w:t>23.1.b</w:t>
      </w:r>
      <w:r w:rsidRPr="00C91211">
        <w:rPr>
          <w:rFonts w:ascii="Verdana" w:hAnsi="Verdana"/>
          <w:spacing w:val="-68"/>
          <w:sz w:val="20"/>
          <w:szCs w:val="20"/>
        </w:rPr>
        <w:t xml:space="preserve"> </w:t>
      </w:r>
      <w:r w:rsidR="00ED375C">
        <w:rPr>
          <w:rFonts w:ascii="Verdana" w:hAnsi="Verdana"/>
          <w:spacing w:val="-68"/>
          <w:sz w:val="20"/>
          <w:szCs w:val="20"/>
        </w:rPr>
        <w:t xml:space="preserve">  </w:t>
      </w:r>
      <w:r w:rsidR="00ED375C">
        <w:rPr>
          <w:rFonts w:ascii="Verdana" w:hAnsi="Verdana"/>
          <w:sz w:val="20"/>
          <w:szCs w:val="20"/>
        </w:rPr>
        <w:t xml:space="preserve"> de</w:t>
      </w:r>
      <w:r w:rsidRPr="00C91211">
        <w:rPr>
          <w:rFonts w:ascii="Verdana" w:hAnsi="Verdana"/>
          <w:sz w:val="20"/>
          <w:szCs w:val="20"/>
        </w:rPr>
        <w:t xml:space="preserve"> la Convención Americana se ejerce regularmente en elecciones periódicas, auténticas,</w:t>
      </w:r>
      <w:r w:rsidRPr="00C91211">
        <w:rPr>
          <w:rFonts w:ascii="Verdana" w:hAnsi="Verdana"/>
          <w:spacing w:val="1"/>
          <w:sz w:val="20"/>
          <w:szCs w:val="20"/>
        </w:rPr>
        <w:t xml:space="preserve"> </w:t>
      </w:r>
      <w:r w:rsidRPr="00C91211">
        <w:rPr>
          <w:rFonts w:ascii="Verdana" w:hAnsi="Verdana"/>
          <w:sz w:val="20"/>
          <w:szCs w:val="20"/>
        </w:rPr>
        <w:t>realizadas</w:t>
      </w:r>
      <w:r w:rsidRPr="00C91211">
        <w:rPr>
          <w:rFonts w:ascii="Verdana" w:hAnsi="Verdana"/>
          <w:spacing w:val="-6"/>
          <w:sz w:val="20"/>
          <w:szCs w:val="20"/>
        </w:rPr>
        <w:t xml:space="preserve"> </w:t>
      </w:r>
      <w:r w:rsidRPr="00C91211">
        <w:rPr>
          <w:rFonts w:ascii="Verdana" w:hAnsi="Verdana"/>
          <w:sz w:val="20"/>
          <w:szCs w:val="20"/>
        </w:rPr>
        <w:t>por</w:t>
      </w:r>
      <w:r w:rsidRPr="00C91211">
        <w:rPr>
          <w:rFonts w:ascii="Verdana" w:hAnsi="Verdana"/>
          <w:spacing w:val="-7"/>
          <w:sz w:val="20"/>
          <w:szCs w:val="20"/>
        </w:rPr>
        <w:t xml:space="preserve"> </w:t>
      </w:r>
      <w:r w:rsidRPr="00C91211">
        <w:rPr>
          <w:rFonts w:ascii="Verdana" w:hAnsi="Verdana"/>
          <w:sz w:val="20"/>
          <w:szCs w:val="20"/>
        </w:rPr>
        <w:t>sufragio</w:t>
      </w:r>
      <w:r w:rsidRPr="00C91211">
        <w:rPr>
          <w:rFonts w:ascii="Verdana" w:hAnsi="Verdana"/>
          <w:spacing w:val="-5"/>
          <w:sz w:val="20"/>
          <w:szCs w:val="20"/>
        </w:rPr>
        <w:t xml:space="preserve"> </w:t>
      </w:r>
      <w:r w:rsidRPr="00C91211">
        <w:rPr>
          <w:rFonts w:ascii="Verdana" w:hAnsi="Verdana"/>
          <w:sz w:val="20"/>
          <w:szCs w:val="20"/>
        </w:rPr>
        <w:t>universal</w:t>
      </w:r>
      <w:r w:rsidRPr="00C91211">
        <w:rPr>
          <w:rFonts w:ascii="Verdana" w:hAnsi="Verdana"/>
          <w:spacing w:val="-7"/>
          <w:sz w:val="20"/>
          <w:szCs w:val="20"/>
        </w:rPr>
        <w:t xml:space="preserve"> </w:t>
      </w:r>
      <w:r w:rsidRPr="00C91211">
        <w:rPr>
          <w:rFonts w:ascii="Verdana" w:hAnsi="Verdana"/>
          <w:sz w:val="20"/>
          <w:szCs w:val="20"/>
        </w:rPr>
        <w:t>e</w:t>
      </w:r>
      <w:r w:rsidRPr="00C91211">
        <w:rPr>
          <w:rFonts w:ascii="Verdana" w:hAnsi="Verdana"/>
          <w:spacing w:val="-5"/>
          <w:sz w:val="20"/>
          <w:szCs w:val="20"/>
        </w:rPr>
        <w:t xml:space="preserve"> </w:t>
      </w:r>
      <w:r w:rsidRPr="00C91211">
        <w:rPr>
          <w:rFonts w:ascii="Verdana" w:hAnsi="Verdana"/>
          <w:sz w:val="20"/>
          <w:szCs w:val="20"/>
        </w:rPr>
        <w:t>igual</w:t>
      </w:r>
      <w:r w:rsidRPr="00C91211">
        <w:rPr>
          <w:rFonts w:ascii="Verdana" w:hAnsi="Verdana"/>
          <w:spacing w:val="-6"/>
          <w:sz w:val="20"/>
          <w:szCs w:val="20"/>
        </w:rPr>
        <w:t xml:space="preserve"> </w:t>
      </w:r>
      <w:r w:rsidRPr="00C91211">
        <w:rPr>
          <w:rFonts w:ascii="Verdana" w:hAnsi="Verdana"/>
          <w:sz w:val="20"/>
          <w:szCs w:val="20"/>
        </w:rPr>
        <w:t>y</w:t>
      </w:r>
      <w:r w:rsidRPr="00C91211">
        <w:rPr>
          <w:rFonts w:ascii="Verdana" w:hAnsi="Verdana"/>
          <w:spacing w:val="-5"/>
          <w:sz w:val="20"/>
          <w:szCs w:val="20"/>
        </w:rPr>
        <w:t xml:space="preserve"> </w:t>
      </w:r>
      <w:r w:rsidRPr="00C91211">
        <w:rPr>
          <w:rFonts w:ascii="Verdana" w:hAnsi="Verdana"/>
          <w:sz w:val="20"/>
          <w:szCs w:val="20"/>
        </w:rPr>
        <w:t>por</w:t>
      </w:r>
      <w:r w:rsidRPr="00C91211">
        <w:rPr>
          <w:rFonts w:ascii="Verdana" w:hAnsi="Verdana"/>
          <w:spacing w:val="-7"/>
          <w:sz w:val="20"/>
          <w:szCs w:val="20"/>
        </w:rPr>
        <w:t xml:space="preserve"> </w:t>
      </w:r>
      <w:r w:rsidRPr="00C91211">
        <w:rPr>
          <w:rFonts w:ascii="Verdana" w:hAnsi="Verdana"/>
          <w:sz w:val="20"/>
          <w:szCs w:val="20"/>
        </w:rPr>
        <w:t>voto</w:t>
      </w:r>
      <w:r w:rsidRPr="00C91211">
        <w:rPr>
          <w:rFonts w:ascii="Verdana" w:hAnsi="Verdana"/>
          <w:spacing w:val="-5"/>
          <w:sz w:val="20"/>
          <w:szCs w:val="20"/>
        </w:rPr>
        <w:t xml:space="preserve"> </w:t>
      </w:r>
      <w:r w:rsidRPr="00C91211">
        <w:rPr>
          <w:rFonts w:ascii="Verdana" w:hAnsi="Verdana"/>
          <w:sz w:val="20"/>
          <w:szCs w:val="20"/>
        </w:rPr>
        <w:t>secreto</w:t>
      </w:r>
      <w:r w:rsidRPr="00C91211">
        <w:rPr>
          <w:rFonts w:ascii="Verdana" w:hAnsi="Verdana"/>
          <w:spacing w:val="-6"/>
          <w:sz w:val="20"/>
          <w:szCs w:val="20"/>
        </w:rPr>
        <w:t xml:space="preserve"> </w:t>
      </w:r>
      <w:r w:rsidRPr="00C91211">
        <w:rPr>
          <w:rFonts w:ascii="Verdana" w:hAnsi="Verdana"/>
          <w:sz w:val="20"/>
          <w:szCs w:val="20"/>
        </w:rPr>
        <w:t>que</w:t>
      </w:r>
      <w:r w:rsidRPr="00C91211">
        <w:rPr>
          <w:rFonts w:ascii="Verdana" w:hAnsi="Verdana"/>
          <w:spacing w:val="-5"/>
          <w:sz w:val="20"/>
          <w:szCs w:val="20"/>
        </w:rPr>
        <w:t xml:space="preserve"> </w:t>
      </w:r>
      <w:r w:rsidRPr="00C91211">
        <w:rPr>
          <w:rFonts w:ascii="Verdana" w:hAnsi="Verdana"/>
          <w:sz w:val="20"/>
          <w:szCs w:val="20"/>
        </w:rPr>
        <w:t>garantice</w:t>
      </w:r>
      <w:r w:rsidRPr="00C91211">
        <w:rPr>
          <w:rFonts w:ascii="Verdana" w:hAnsi="Verdana"/>
          <w:spacing w:val="-7"/>
          <w:sz w:val="20"/>
          <w:szCs w:val="20"/>
        </w:rPr>
        <w:t xml:space="preserve"> </w:t>
      </w:r>
      <w:r w:rsidRPr="00C91211">
        <w:rPr>
          <w:rFonts w:ascii="Verdana" w:hAnsi="Verdana"/>
          <w:sz w:val="20"/>
          <w:szCs w:val="20"/>
        </w:rPr>
        <w:t>la</w:t>
      </w:r>
      <w:r w:rsidRPr="00C91211">
        <w:rPr>
          <w:rFonts w:ascii="Verdana" w:hAnsi="Verdana"/>
          <w:spacing w:val="-5"/>
          <w:sz w:val="20"/>
          <w:szCs w:val="20"/>
        </w:rPr>
        <w:t xml:space="preserve"> </w:t>
      </w:r>
      <w:r w:rsidRPr="00C91211">
        <w:rPr>
          <w:rFonts w:ascii="Verdana" w:hAnsi="Verdana"/>
          <w:sz w:val="20"/>
          <w:szCs w:val="20"/>
        </w:rPr>
        <w:t>libre</w:t>
      </w:r>
      <w:r w:rsidRPr="00C91211">
        <w:rPr>
          <w:rFonts w:ascii="Verdana" w:hAnsi="Verdana"/>
          <w:spacing w:val="-6"/>
          <w:sz w:val="20"/>
          <w:szCs w:val="20"/>
        </w:rPr>
        <w:t xml:space="preserve"> </w:t>
      </w:r>
      <w:r w:rsidRPr="00C91211">
        <w:rPr>
          <w:rFonts w:ascii="Verdana" w:hAnsi="Verdana"/>
          <w:sz w:val="20"/>
          <w:szCs w:val="20"/>
        </w:rPr>
        <w:t>expresión</w:t>
      </w:r>
      <w:r w:rsidRPr="00C91211">
        <w:rPr>
          <w:rFonts w:ascii="Verdana" w:hAnsi="Verdana"/>
          <w:spacing w:val="-4"/>
          <w:sz w:val="20"/>
          <w:szCs w:val="20"/>
        </w:rPr>
        <w:t xml:space="preserve"> </w:t>
      </w:r>
      <w:r w:rsidRPr="00C91211">
        <w:rPr>
          <w:rFonts w:ascii="Verdana" w:hAnsi="Verdana"/>
          <w:sz w:val="20"/>
          <w:szCs w:val="20"/>
        </w:rPr>
        <w:t>de</w:t>
      </w:r>
      <w:r w:rsidRPr="00C91211">
        <w:rPr>
          <w:rFonts w:ascii="Verdana" w:hAnsi="Verdana"/>
          <w:spacing w:val="-68"/>
          <w:sz w:val="20"/>
          <w:szCs w:val="20"/>
        </w:rPr>
        <w:t xml:space="preserve"> </w:t>
      </w:r>
      <w:r w:rsidRPr="00C91211">
        <w:rPr>
          <w:rFonts w:ascii="Verdana" w:hAnsi="Verdana"/>
          <w:sz w:val="20"/>
          <w:szCs w:val="20"/>
        </w:rPr>
        <w:t>la</w:t>
      </w:r>
      <w:r w:rsidRPr="00C91211">
        <w:rPr>
          <w:rFonts w:ascii="Verdana" w:hAnsi="Verdana"/>
          <w:spacing w:val="-3"/>
          <w:sz w:val="20"/>
          <w:szCs w:val="20"/>
        </w:rPr>
        <w:t xml:space="preserve"> </w:t>
      </w:r>
      <w:r w:rsidRPr="00C91211">
        <w:rPr>
          <w:rFonts w:ascii="Verdana" w:hAnsi="Verdana"/>
          <w:sz w:val="20"/>
          <w:szCs w:val="20"/>
        </w:rPr>
        <w:t>voluntad</w:t>
      </w:r>
      <w:r w:rsidRPr="00C91211">
        <w:rPr>
          <w:rFonts w:ascii="Verdana" w:hAnsi="Verdana"/>
          <w:spacing w:val="-1"/>
          <w:sz w:val="20"/>
          <w:szCs w:val="20"/>
        </w:rPr>
        <w:t xml:space="preserve"> </w:t>
      </w:r>
      <w:r w:rsidRPr="00C91211">
        <w:rPr>
          <w:rFonts w:ascii="Verdana" w:hAnsi="Verdana"/>
          <w:sz w:val="20"/>
          <w:szCs w:val="20"/>
        </w:rPr>
        <w:t>de</w:t>
      </w:r>
      <w:r w:rsidRPr="00C91211">
        <w:rPr>
          <w:rFonts w:ascii="Verdana" w:hAnsi="Verdana"/>
          <w:spacing w:val="-1"/>
          <w:sz w:val="20"/>
          <w:szCs w:val="20"/>
        </w:rPr>
        <w:t xml:space="preserve"> </w:t>
      </w:r>
      <w:r w:rsidRPr="00C91211">
        <w:rPr>
          <w:rFonts w:ascii="Verdana" w:hAnsi="Verdana"/>
          <w:sz w:val="20"/>
          <w:szCs w:val="20"/>
        </w:rPr>
        <w:t>los electores</w:t>
      </w:r>
      <w:r w:rsidR="00A1369B">
        <w:rPr>
          <w:rStyle w:val="FootnoteReference"/>
          <w:rFonts w:ascii="Verdana" w:hAnsi="Verdana"/>
          <w:sz w:val="20"/>
          <w:szCs w:val="20"/>
        </w:rPr>
        <w:footnoteReference w:id="76"/>
      </w:r>
      <w:r w:rsidRPr="00C91211">
        <w:rPr>
          <w:rFonts w:ascii="Verdana" w:hAnsi="Verdana"/>
          <w:sz w:val="20"/>
          <w:szCs w:val="20"/>
        </w:rPr>
        <w:t>.</w:t>
      </w:r>
    </w:p>
    <w:p w14:paraId="7D36E65E" w14:textId="1FFE633A" w:rsidR="00814D3E" w:rsidRDefault="00ED375C" w:rsidP="00814D3E">
      <w:pPr>
        <w:widowControl w:val="0"/>
        <w:tabs>
          <w:tab w:val="left" w:pos="686"/>
        </w:tabs>
        <w:autoSpaceDE w:val="0"/>
        <w:autoSpaceDN w:val="0"/>
        <w:spacing w:before="201" w:after="0" w:line="240" w:lineRule="auto"/>
        <w:ind w:right="114"/>
        <w:jc w:val="both"/>
        <w:rPr>
          <w:rFonts w:ascii="Verdana" w:hAnsi="Verdana"/>
          <w:sz w:val="20"/>
          <w:szCs w:val="20"/>
        </w:rPr>
      </w:pPr>
      <w:r>
        <w:rPr>
          <w:rFonts w:ascii="Verdana" w:hAnsi="Verdana"/>
          <w:sz w:val="20"/>
          <w:szCs w:val="20"/>
        </w:rPr>
        <w:t>70</w:t>
      </w:r>
      <w:r w:rsidR="00C91211" w:rsidRPr="00C91211">
        <w:rPr>
          <w:rFonts w:ascii="Verdana" w:hAnsi="Verdana"/>
          <w:sz w:val="20"/>
          <w:szCs w:val="20"/>
        </w:rPr>
        <w:t xml:space="preserve">.   </w:t>
      </w:r>
      <w:r w:rsidR="00C91211" w:rsidRPr="00C91211">
        <w:rPr>
          <w:rFonts w:ascii="Verdana" w:hAnsi="Verdana"/>
          <w:sz w:val="20"/>
          <w:szCs w:val="20"/>
        </w:rPr>
        <w:tab/>
        <w:t>Finalmente,</w:t>
      </w:r>
      <w:r w:rsidR="00814D3E">
        <w:rPr>
          <w:rFonts w:ascii="Verdana" w:hAnsi="Verdana"/>
          <w:sz w:val="20"/>
          <w:szCs w:val="20"/>
        </w:rPr>
        <w:t xml:space="preserve"> en tercer lugar,</w:t>
      </w:r>
      <w:r w:rsidR="00C91211" w:rsidRPr="00C91211">
        <w:rPr>
          <w:rFonts w:ascii="Verdana" w:hAnsi="Verdana"/>
          <w:spacing w:val="-4"/>
          <w:sz w:val="20"/>
          <w:szCs w:val="20"/>
        </w:rPr>
        <w:t xml:space="preserve"> </w:t>
      </w:r>
      <w:r w:rsidR="00C91211" w:rsidRPr="00C91211">
        <w:rPr>
          <w:rFonts w:ascii="Verdana" w:hAnsi="Verdana"/>
          <w:sz w:val="20"/>
          <w:szCs w:val="20"/>
        </w:rPr>
        <w:t>el</w:t>
      </w:r>
      <w:r w:rsidR="00C91211" w:rsidRPr="00C91211">
        <w:rPr>
          <w:rFonts w:ascii="Verdana" w:hAnsi="Verdana"/>
          <w:spacing w:val="-5"/>
          <w:sz w:val="20"/>
          <w:szCs w:val="20"/>
        </w:rPr>
        <w:t xml:space="preserve"> </w:t>
      </w:r>
      <w:r w:rsidR="00C91211" w:rsidRPr="00C91211">
        <w:rPr>
          <w:rFonts w:ascii="Verdana" w:hAnsi="Verdana"/>
          <w:sz w:val="20"/>
          <w:szCs w:val="20"/>
        </w:rPr>
        <w:t>derecho</w:t>
      </w:r>
      <w:r w:rsidR="00C91211" w:rsidRPr="00C91211">
        <w:rPr>
          <w:rFonts w:ascii="Verdana" w:hAnsi="Verdana"/>
          <w:spacing w:val="-5"/>
          <w:sz w:val="20"/>
          <w:szCs w:val="20"/>
        </w:rPr>
        <w:t xml:space="preserve"> </w:t>
      </w:r>
      <w:r w:rsidR="00C91211" w:rsidRPr="00C91211">
        <w:rPr>
          <w:rFonts w:ascii="Verdana" w:hAnsi="Verdana"/>
          <w:sz w:val="20"/>
          <w:szCs w:val="20"/>
        </w:rPr>
        <w:t>a</w:t>
      </w:r>
      <w:r w:rsidR="00C91211" w:rsidRPr="00C91211">
        <w:rPr>
          <w:rFonts w:ascii="Verdana" w:hAnsi="Verdana"/>
          <w:spacing w:val="-4"/>
          <w:sz w:val="20"/>
          <w:szCs w:val="20"/>
        </w:rPr>
        <w:t xml:space="preserve"> </w:t>
      </w:r>
      <w:r w:rsidR="00C91211" w:rsidRPr="00C91211">
        <w:rPr>
          <w:rFonts w:ascii="Verdana" w:hAnsi="Verdana"/>
          <w:sz w:val="20"/>
          <w:szCs w:val="20"/>
        </w:rPr>
        <w:t>tener</w:t>
      </w:r>
      <w:r w:rsidR="00C91211" w:rsidRPr="00C91211">
        <w:rPr>
          <w:rFonts w:ascii="Verdana" w:hAnsi="Verdana"/>
          <w:spacing w:val="-6"/>
          <w:sz w:val="20"/>
          <w:szCs w:val="20"/>
        </w:rPr>
        <w:t xml:space="preserve"> </w:t>
      </w:r>
      <w:r w:rsidR="00C91211" w:rsidRPr="00C91211">
        <w:rPr>
          <w:rFonts w:ascii="Verdana" w:hAnsi="Verdana"/>
          <w:sz w:val="20"/>
          <w:szCs w:val="20"/>
        </w:rPr>
        <w:t>acceso</w:t>
      </w:r>
      <w:r w:rsidR="00C91211" w:rsidRPr="00C91211">
        <w:rPr>
          <w:rFonts w:ascii="Verdana" w:hAnsi="Verdana"/>
          <w:spacing w:val="-4"/>
          <w:sz w:val="20"/>
          <w:szCs w:val="20"/>
        </w:rPr>
        <w:t xml:space="preserve"> </w:t>
      </w:r>
      <w:r w:rsidR="00C91211" w:rsidRPr="00C91211">
        <w:rPr>
          <w:rFonts w:ascii="Verdana" w:hAnsi="Verdana"/>
          <w:sz w:val="20"/>
          <w:szCs w:val="20"/>
        </w:rPr>
        <w:t>a</w:t>
      </w:r>
      <w:r w:rsidR="00C91211" w:rsidRPr="00C91211">
        <w:rPr>
          <w:rFonts w:ascii="Verdana" w:hAnsi="Verdana"/>
          <w:spacing w:val="-4"/>
          <w:sz w:val="20"/>
          <w:szCs w:val="20"/>
        </w:rPr>
        <w:t xml:space="preserve"> </w:t>
      </w:r>
      <w:r w:rsidR="00C91211" w:rsidRPr="00C91211">
        <w:rPr>
          <w:rFonts w:ascii="Verdana" w:hAnsi="Verdana"/>
          <w:sz w:val="20"/>
          <w:szCs w:val="20"/>
        </w:rPr>
        <w:t>las</w:t>
      </w:r>
      <w:r w:rsidR="00C91211" w:rsidRPr="00C91211">
        <w:rPr>
          <w:rFonts w:ascii="Verdana" w:hAnsi="Verdana"/>
          <w:spacing w:val="-5"/>
          <w:sz w:val="20"/>
          <w:szCs w:val="20"/>
        </w:rPr>
        <w:t xml:space="preserve"> </w:t>
      </w:r>
      <w:r w:rsidR="00C91211" w:rsidRPr="00C91211">
        <w:rPr>
          <w:rFonts w:ascii="Verdana" w:hAnsi="Verdana"/>
          <w:sz w:val="20"/>
          <w:szCs w:val="20"/>
        </w:rPr>
        <w:t>funciones</w:t>
      </w:r>
      <w:r w:rsidR="00C91211" w:rsidRPr="00C91211">
        <w:rPr>
          <w:rFonts w:ascii="Verdana" w:hAnsi="Verdana"/>
          <w:spacing w:val="-4"/>
          <w:sz w:val="20"/>
          <w:szCs w:val="20"/>
        </w:rPr>
        <w:t xml:space="preserve"> </w:t>
      </w:r>
      <w:r w:rsidR="00C91211" w:rsidRPr="00C91211">
        <w:rPr>
          <w:rFonts w:ascii="Verdana" w:hAnsi="Verdana"/>
          <w:sz w:val="20"/>
          <w:szCs w:val="20"/>
        </w:rPr>
        <w:t>públicas</w:t>
      </w:r>
      <w:r w:rsidR="00C91211" w:rsidRPr="00C91211">
        <w:rPr>
          <w:rFonts w:ascii="Verdana" w:hAnsi="Verdana"/>
          <w:spacing w:val="-5"/>
          <w:sz w:val="20"/>
          <w:szCs w:val="20"/>
        </w:rPr>
        <w:t xml:space="preserve"> </w:t>
      </w:r>
      <w:r w:rsidR="00C91211" w:rsidRPr="00C91211">
        <w:rPr>
          <w:rFonts w:ascii="Verdana" w:hAnsi="Verdana"/>
          <w:sz w:val="20"/>
          <w:szCs w:val="20"/>
        </w:rPr>
        <w:t>en</w:t>
      </w:r>
      <w:r w:rsidR="00C91211" w:rsidRPr="00C91211">
        <w:rPr>
          <w:rFonts w:ascii="Verdana" w:hAnsi="Verdana"/>
          <w:spacing w:val="-3"/>
          <w:sz w:val="20"/>
          <w:szCs w:val="20"/>
        </w:rPr>
        <w:t xml:space="preserve"> </w:t>
      </w:r>
      <w:r w:rsidR="00C91211" w:rsidRPr="00C91211">
        <w:rPr>
          <w:rFonts w:ascii="Verdana" w:hAnsi="Verdana"/>
          <w:sz w:val="20"/>
          <w:szCs w:val="20"/>
        </w:rPr>
        <w:t>condiciones</w:t>
      </w:r>
      <w:r w:rsidR="00C91211" w:rsidRPr="00C91211">
        <w:rPr>
          <w:rFonts w:ascii="Verdana" w:hAnsi="Verdana"/>
          <w:spacing w:val="-3"/>
          <w:sz w:val="20"/>
          <w:szCs w:val="20"/>
        </w:rPr>
        <w:t xml:space="preserve"> </w:t>
      </w:r>
      <w:r w:rsidR="00C91211" w:rsidRPr="00C91211">
        <w:rPr>
          <w:rFonts w:ascii="Verdana" w:hAnsi="Verdana"/>
          <w:sz w:val="20"/>
          <w:szCs w:val="20"/>
        </w:rPr>
        <w:t>generales</w:t>
      </w:r>
      <w:r w:rsidR="00C91211" w:rsidRPr="00C91211">
        <w:rPr>
          <w:rFonts w:ascii="Verdana" w:hAnsi="Verdana"/>
          <w:spacing w:val="-68"/>
          <w:sz w:val="20"/>
          <w:szCs w:val="20"/>
        </w:rPr>
        <w:t xml:space="preserve"> </w:t>
      </w:r>
      <w:r>
        <w:rPr>
          <w:rFonts w:ascii="Verdana" w:hAnsi="Verdana"/>
          <w:sz w:val="20"/>
          <w:szCs w:val="20"/>
        </w:rPr>
        <w:t xml:space="preserve"> de</w:t>
      </w:r>
      <w:r w:rsidR="00C91211" w:rsidRPr="00C91211">
        <w:rPr>
          <w:rFonts w:ascii="Verdana" w:hAnsi="Verdana"/>
          <w:sz w:val="20"/>
          <w:szCs w:val="20"/>
        </w:rPr>
        <w:t xml:space="preserve"> igualdad protege el acceso a una forma directa de participación en el diseño, desarrollo y</w:t>
      </w:r>
      <w:r w:rsidR="00C91211" w:rsidRPr="00C91211">
        <w:rPr>
          <w:rFonts w:ascii="Verdana" w:hAnsi="Verdana"/>
          <w:spacing w:val="1"/>
          <w:sz w:val="20"/>
          <w:szCs w:val="20"/>
        </w:rPr>
        <w:t xml:space="preserve"> </w:t>
      </w:r>
      <w:r w:rsidR="00C91211" w:rsidRPr="00C91211">
        <w:rPr>
          <w:rFonts w:ascii="Verdana" w:hAnsi="Verdana"/>
          <w:sz w:val="20"/>
          <w:szCs w:val="20"/>
        </w:rPr>
        <w:t>ejecución de las políticas estatales a través de funciones públicas. Se entiende que estas</w:t>
      </w:r>
      <w:r w:rsidR="00C91211" w:rsidRPr="00C91211">
        <w:rPr>
          <w:rFonts w:ascii="Verdana" w:hAnsi="Verdana"/>
          <w:spacing w:val="1"/>
          <w:sz w:val="20"/>
          <w:szCs w:val="20"/>
        </w:rPr>
        <w:t xml:space="preserve"> </w:t>
      </w:r>
      <w:r w:rsidR="00C91211" w:rsidRPr="00C91211">
        <w:rPr>
          <w:rFonts w:ascii="Verdana" w:hAnsi="Verdana"/>
          <w:sz w:val="20"/>
          <w:szCs w:val="20"/>
        </w:rPr>
        <w:t>condiciones generales de igualdad están referidas tanto al acceso a la función pública por</w:t>
      </w:r>
      <w:r w:rsidR="00C91211" w:rsidRPr="00C91211">
        <w:rPr>
          <w:rFonts w:ascii="Verdana" w:hAnsi="Verdana"/>
          <w:spacing w:val="1"/>
          <w:sz w:val="20"/>
          <w:szCs w:val="20"/>
        </w:rPr>
        <w:t xml:space="preserve"> </w:t>
      </w:r>
      <w:r w:rsidR="00C91211" w:rsidRPr="00C91211">
        <w:rPr>
          <w:rFonts w:ascii="Verdana" w:hAnsi="Verdana"/>
          <w:sz w:val="20"/>
          <w:szCs w:val="20"/>
        </w:rPr>
        <w:t>elección</w:t>
      </w:r>
      <w:r w:rsidR="00C91211" w:rsidRPr="00C91211">
        <w:rPr>
          <w:rFonts w:ascii="Verdana" w:hAnsi="Verdana"/>
          <w:spacing w:val="-1"/>
          <w:sz w:val="20"/>
          <w:szCs w:val="20"/>
        </w:rPr>
        <w:t xml:space="preserve"> </w:t>
      </w:r>
      <w:r w:rsidR="00C91211" w:rsidRPr="00C91211">
        <w:rPr>
          <w:rFonts w:ascii="Verdana" w:hAnsi="Verdana"/>
          <w:sz w:val="20"/>
          <w:szCs w:val="20"/>
        </w:rPr>
        <w:t>popular</w:t>
      </w:r>
      <w:r w:rsidR="00C91211" w:rsidRPr="00C91211">
        <w:rPr>
          <w:rFonts w:ascii="Verdana" w:hAnsi="Verdana"/>
          <w:spacing w:val="-1"/>
          <w:sz w:val="20"/>
          <w:szCs w:val="20"/>
        </w:rPr>
        <w:t xml:space="preserve"> </w:t>
      </w:r>
      <w:r w:rsidR="00C91211" w:rsidRPr="00C91211">
        <w:rPr>
          <w:rFonts w:ascii="Verdana" w:hAnsi="Verdana"/>
          <w:sz w:val="20"/>
          <w:szCs w:val="20"/>
        </w:rPr>
        <w:t>como por nombramiento o designación</w:t>
      </w:r>
      <w:r w:rsidR="00A1369B">
        <w:rPr>
          <w:rStyle w:val="FootnoteReference"/>
          <w:rFonts w:ascii="Verdana" w:hAnsi="Verdana"/>
          <w:sz w:val="20"/>
          <w:szCs w:val="20"/>
        </w:rPr>
        <w:footnoteReference w:id="77"/>
      </w:r>
      <w:r w:rsidR="003933E3">
        <w:rPr>
          <w:rFonts w:ascii="Verdana" w:hAnsi="Verdana"/>
          <w:position w:val="7"/>
          <w:sz w:val="20"/>
          <w:szCs w:val="20"/>
        </w:rPr>
        <w:t xml:space="preserve">. </w:t>
      </w:r>
    </w:p>
    <w:p w14:paraId="0DA2D845" w14:textId="6A1017D3" w:rsidR="00520C2E" w:rsidRDefault="00ED375C" w:rsidP="00814D3E">
      <w:pPr>
        <w:widowControl w:val="0"/>
        <w:tabs>
          <w:tab w:val="left" w:pos="686"/>
        </w:tabs>
        <w:autoSpaceDE w:val="0"/>
        <w:autoSpaceDN w:val="0"/>
        <w:spacing w:before="201" w:after="0" w:line="240" w:lineRule="auto"/>
        <w:ind w:right="114"/>
        <w:jc w:val="both"/>
        <w:rPr>
          <w:rFonts w:ascii="Verdana" w:hAnsi="Verdana"/>
          <w:sz w:val="20"/>
          <w:szCs w:val="20"/>
        </w:rPr>
      </w:pPr>
      <w:r>
        <w:rPr>
          <w:rFonts w:ascii="Verdana" w:hAnsi="Verdana"/>
          <w:sz w:val="20"/>
          <w:szCs w:val="20"/>
        </w:rPr>
        <w:t>71</w:t>
      </w:r>
      <w:r w:rsidR="00814D3E">
        <w:rPr>
          <w:rFonts w:ascii="Verdana" w:hAnsi="Verdana"/>
          <w:sz w:val="20"/>
          <w:szCs w:val="20"/>
        </w:rPr>
        <w:t xml:space="preserve">. </w:t>
      </w:r>
      <w:r w:rsidR="003933E3">
        <w:rPr>
          <w:rFonts w:ascii="Verdana" w:hAnsi="Verdana"/>
          <w:sz w:val="20"/>
          <w:szCs w:val="20"/>
        </w:rPr>
        <w:t xml:space="preserve"> Por ejemplo, algunos de los supuestos en donde se han aplicado estos principi</w:t>
      </w:r>
      <w:r w:rsidR="00731E3A">
        <w:rPr>
          <w:rFonts w:ascii="Verdana" w:hAnsi="Verdana"/>
          <w:sz w:val="20"/>
          <w:szCs w:val="20"/>
        </w:rPr>
        <w:t>os</w:t>
      </w:r>
      <w:r w:rsidR="003933E3">
        <w:rPr>
          <w:rFonts w:ascii="Verdana" w:hAnsi="Verdana"/>
          <w:sz w:val="20"/>
          <w:szCs w:val="20"/>
        </w:rPr>
        <w:t xml:space="preserve"> interpretativos son los casos relacionados con temáticas </w:t>
      </w:r>
      <w:r>
        <w:rPr>
          <w:rFonts w:ascii="Verdana" w:hAnsi="Verdana"/>
          <w:sz w:val="20"/>
          <w:szCs w:val="20"/>
        </w:rPr>
        <w:t>sobre</w:t>
      </w:r>
      <w:r w:rsidR="003933E3">
        <w:rPr>
          <w:rFonts w:ascii="Verdana" w:hAnsi="Verdana"/>
          <w:sz w:val="20"/>
          <w:szCs w:val="20"/>
        </w:rPr>
        <w:t xml:space="preserve">: i)  </w:t>
      </w:r>
      <w:r>
        <w:rPr>
          <w:rFonts w:ascii="Verdana" w:hAnsi="Verdana"/>
          <w:sz w:val="20"/>
          <w:szCs w:val="20"/>
        </w:rPr>
        <w:t xml:space="preserve">el </w:t>
      </w:r>
      <w:r w:rsidR="003933E3">
        <w:rPr>
          <w:rFonts w:ascii="Verdana" w:hAnsi="Verdana"/>
          <w:sz w:val="20"/>
          <w:szCs w:val="20"/>
        </w:rPr>
        <w:t>derecho al autogobierno de los pueblos ind</w:t>
      </w:r>
      <w:r w:rsidR="006643B9">
        <w:rPr>
          <w:rFonts w:ascii="Verdana" w:hAnsi="Verdana"/>
          <w:sz w:val="20"/>
          <w:szCs w:val="20"/>
        </w:rPr>
        <w:t>í</w:t>
      </w:r>
      <w:r w:rsidR="003933E3">
        <w:rPr>
          <w:rFonts w:ascii="Verdana" w:hAnsi="Verdana"/>
          <w:sz w:val="20"/>
          <w:szCs w:val="20"/>
        </w:rPr>
        <w:t>genas, y en general el acceso a cargos públicos de pueblos ind</w:t>
      </w:r>
      <w:r w:rsidR="006643B9">
        <w:rPr>
          <w:rFonts w:ascii="Verdana" w:hAnsi="Verdana"/>
          <w:sz w:val="20"/>
          <w:szCs w:val="20"/>
        </w:rPr>
        <w:t>í</w:t>
      </w:r>
      <w:r w:rsidR="003933E3">
        <w:rPr>
          <w:rFonts w:ascii="Verdana" w:hAnsi="Verdana"/>
          <w:sz w:val="20"/>
          <w:szCs w:val="20"/>
        </w:rPr>
        <w:t>genas</w:t>
      </w:r>
      <w:r w:rsidR="00A1369B">
        <w:rPr>
          <w:rStyle w:val="FootnoteReference"/>
          <w:rFonts w:ascii="Verdana" w:hAnsi="Verdana"/>
          <w:sz w:val="20"/>
          <w:szCs w:val="20"/>
        </w:rPr>
        <w:footnoteReference w:id="78"/>
      </w:r>
      <w:r w:rsidR="000507F1">
        <w:rPr>
          <w:rFonts w:ascii="Verdana" w:hAnsi="Verdana"/>
          <w:sz w:val="20"/>
          <w:szCs w:val="20"/>
        </w:rPr>
        <w:t>;</w:t>
      </w:r>
      <w:r w:rsidR="003933E3">
        <w:rPr>
          <w:rFonts w:ascii="Verdana" w:hAnsi="Verdana"/>
          <w:sz w:val="20"/>
          <w:szCs w:val="20"/>
        </w:rPr>
        <w:t xml:space="preserve"> </w:t>
      </w:r>
      <w:r w:rsidR="003933E3">
        <w:rPr>
          <w:rFonts w:ascii="Verdana" w:hAnsi="Verdana"/>
          <w:sz w:val="20"/>
          <w:szCs w:val="20"/>
        </w:rPr>
        <w:lastRenderedPageBreak/>
        <w:t xml:space="preserve">ii) la suspensión o inhabilitación de los derechos </w:t>
      </w:r>
      <w:r w:rsidR="009C522B">
        <w:rPr>
          <w:rFonts w:ascii="Verdana" w:hAnsi="Verdana"/>
          <w:sz w:val="20"/>
          <w:szCs w:val="20"/>
        </w:rPr>
        <w:t>políticos</w:t>
      </w:r>
      <w:r w:rsidR="003933E3">
        <w:rPr>
          <w:rStyle w:val="FootnoteReference"/>
          <w:rFonts w:ascii="Verdana" w:hAnsi="Verdana"/>
          <w:sz w:val="20"/>
          <w:szCs w:val="20"/>
        </w:rPr>
        <w:footnoteReference w:id="79"/>
      </w:r>
      <w:r w:rsidR="00731E3A">
        <w:rPr>
          <w:rFonts w:ascii="Verdana" w:hAnsi="Verdana"/>
          <w:sz w:val="20"/>
          <w:szCs w:val="20"/>
        </w:rPr>
        <w:t>;</w:t>
      </w:r>
      <w:r w:rsidR="003933E3">
        <w:rPr>
          <w:rFonts w:ascii="Verdana" w:hAnsi="Verdana"/>
          <w:sz w:val="20"/>
          <w:szCs w:val="20"/>
        </w:rPr>
        <w:t xml:space="preserve"> iii) el ejercicio de los derechos pol</w:t>
      </w:r>
      <w:r w:rsidR="006643B9">
        <w:rPr>
          <w:rFonts w:ascii="Verdana" w:hAnsi="Verdana"/>
          <w:sz w:val="20"/>
          <w:szCs w:val="20"/>
        </w:rPr>
        <w:t>í</w:t>
      </w:r>
      <w:r w:rsidR="003933E3">
        <w:rPr>
          <w:rFonts w:ascii="Verdana" w:hAnsi="Verdana"/>
          <w:sz w:val="20"/>
          <w:szCs w:val="20"/>
        </w:rPr>
        <w:t>ticos</w:t>
      </w:r>
      <w:r w:rsidR="00A44D2B">
        <w:rPr>
          <w:rFonts w:ascii="Verdana" w:hAnsi="Verdana"/>
          <w:sz w:val="20"/>
          <w:szCs w:val="20"/>
        </w:rPr>
        <w:t xml:space="preserve"> en relación al voto</w:t>
      </w:r>
      <w:r w:rsidR="003933E3">
        <w:rPr>
          <w:rStyle w:val="FootnoteReference"/>
          <w:rFonts w:ascii="Verdana" w:hAnsi="Verdana"/>
          <w:sz w:val="20"/>
          <w:szCs w:val="20"/>
        </w:rPr>
        <w:footnoteReference w:id="80"/>
      </w:r>
      <w:r w:rsidR="00731E3A">
        <w:rPr>
          <w:rFonts w:ascii="Verdana" w:hAnsi="Verdana"/>
          <w:sz w:val="20"/>
          <w:szCs w:val="20"/>
        </w:rPr>
        <w:t>;</w:t>
      </w:r>
      <w:r w:rsidR="003933E3">
        <w:rPr>
          <w:rFonts w:ascii="Verdana" w:hAnsi="Verdana"/>
          <w:sz w:val="20"/>
          <w:szCs w:val="20"/>
        </w:rPr>
        <w:t xml:space="preserve"> iv) </w:t>
      </w:r>
      <w:r>
        <w:rPr>
          <w:rFonts w:ascii="Verdana" w:hAnsi="Verdana"/>
          <w:sz w:val="20"/>
          <w:szCs w:val="20"/>
        </w:rPr>
        <w:t xml:space="preserve">la </w:t>
      </w:r>
      <w:r w:rsidR="003933E3">
        <w:rPr>
          <w:rFonts w:ascii="Verdana" w:hAnsi="Verdana"/>
          <w:sz w:val="20"/>
          <w:szCs w:val="20"/>
        </w:rPr>
        <w:t xml:space="preserve">discriminación por </w:t>
      </w:r>
      <w:r w:rsidR="006643B9">
        <w:rPr>
          <w:rFonts w:ascii="Verdana" w:hAnsi="Verdana"/>
          <w:sz w:val="20"/>
          <w:szCs w:val="20"/>
        </w:rPr>
        <w:t>opinión</w:t>
      </w:r>
      <w:r w:rsidR="003933E3">
        <w:rPr>
          <w:rFonts w:ascii="Verdana" w:hAnsi="Verdana"/>
          <w:sz w:val="20"/>
          <w:szCs w:val="20"/>
        </w:rPr>
        <w:t xml:space="preserve"> política</w:t>
      </w:r>
      <w:r w:rsidR="00A1369B">
        <w:rPr>
          <w:rStyle w:val="FootnoteReference"/>
          <w:rFonts w:ascii="Verdana" w:hAnsi="Verdana"/>
          <w:sz w:val="20"/>
          <w:szCs w:val="20"/>
        </w:rPr>
        <w:footnoteReference w:id="81"/>
      </w:r>
      <w:r w:rsidR="000507F1">
        <w:rPr>
          <w:rFonts w:ascii="Verdana" w:hAnsi="Verdana"/>
          <w:sz w:val="20"/>
          <w:szCs w:val="20"/>
        </w:rPr>
        <w:t>;</w:t>
      </w:r>
      <w:r w:rsidR="003933E3">
        <w:rPr>
          <w:rFonts w:ascii="Verdana" w:hAnsi="Verdana"/>
          <w:sz w:val="20"/>
          <w:szCs w:val="20"/>
        </w:rPr>
        <w:t xml:space="preserve"> </w:t>
      </w:r>
      <w:r>
        <w:rPr>
          <w:rFonts w:ascii="Verdana" w:hAnsi="Verdana"/>
          <w:sz w:val="20"/>
          <w:szCs w:val="20"/>
        </w:rPr>
        <w:t xml:space="preserve">y </w:t>
      </w:r>
      <w:r w:rsidR="003933E3">
        <w:rPr>
          <w:rFonts w:ascii="Verdana" w:hAnsi="Verdana"/>
          <w:sz w:val="20"/>
          <w:szCs w:val="20"/>
        </w:rPr>
        <w:t xml:space="preserve">v) </w:t>
      </w:r>
      <w:r w:rsidR="00731E3A">
        <w:rPr>
          <w:rFonts w:ascii="Verdana" w:hAnsi="Verdana"/>
          <w:sz w:val="20"/>
          <w:szCs w:val="20"/>
        </w:rPr>
        <w:t xml:space="preserve">la </w:t>
      </w:r>
      <w:r w:rsidR="003933E3">
        <w:rPr>
          <w:rFonts w:ascii="Verdana" w:hAnsi="Verdana"/>
          <w:sz w:val="20"/>
          <w:szCs w:val="20"/>
        </w:rPr>
        <w:t>permanencia en el cargo de funcionarios dentro del sistema de administración de justicia</w:t>
      </w:r>
      <w:r w:rsidR="003933E3">
        <w:rPr>
          <w:rStyle w:val="FootnoteReference"/>
          <w:rFonts w:ascii="Verdana" w:hAnsi="Verdana"/>
          <w:sz w:val="20"/>
          <w:szCs w:val="20"/>
        </w:rPr>
        <w:footnoteReference w:id="82"/>
      </w:r>
      <w:r w:rsidR="003933E3">
        <w:rPr>
          <w:rFonts w:ascii="Verdana" w:hAnsi="Verdana"/>
          <w:sz w:val="20"/>
          <w:szCs w:val="20"/>
        </w:rPr>
        <w:t xml:space="preserve">, </w:t>
      </w:r>
      <w:r>
        <w:rPr>
          <w:rFonts w:ascii="Verdana" w:hAnsi="Verdana"/>
          <w:sz w:val="20"/>
          <w:szCs w:val="20"/>
        </w:rPr>
        <w:t>entre otros.</w:t>
      </w:r>
      <w:r w:rsidR="003933E3">
        <w:rPr>
          <w:rFonts w:ascii="Verdana" w:hAnsi="Verdana"/>
          <w:sz w:val="20"/>
          <w:szCs w:val="20"/>
        </w:rPr>
        <w:t xml:space="preserve">  </w:t>
      </w:r>
    </w:p>
    <w:p w14:paraId="09C7AE6E" w14:textId="77777777" w:rsidR="000C1FFB" w:rsidRPr="00814D3E" w:rsidRDefault="000C1FFB" w:rsidP="00814D3E">
      <w:pPr>
        <w:widowControl w:val="0"/>
        <w:tabs>
          <w:tab w:val="left" w:pos="686"/>
        </w:tabs>
        <w:autoSpaceDE w:val="0"/>
        <w:autoSpaceDN w:val="0"/>
        <w:spacing w:before="201" w:after="0" w:line="240" w:lineRule="auto"/>
        <w:ind w:right="114"/>
        <w:jc w:val="both"/>
        <w:rPr>
          <w:rFonts w:ascii="Verdana" w:hAnsi="Verdana"/>
          <w:sz w:val="20"/>
          <w:szCs w:val="20"/>
        </w:rPr>
      </w:pPr>
    </w:p>
    <w:p w14:paraId="607F06A2" w14:textId="3D260735" w:rsidR="000146A3" w:rsidRDefault="00BA77AA" w:rsidP="000146A3">
      <w:pPr>
        <w:pStyle w:val="ListParagraph"/>
        <w:spacing w:before="120" w:after="120" w:line="360" w:lineRule="auto"/>
        <w:ind w:left="0"/>
        <w:jc w:val="center"/>
        <w:rPr>
          <w:rFonts w:ascii="Verdana" w:hAnsi="Verdana" w:cs="Arial"/>
          <w:sz w:val="20"/>
          <w:szCs w:val="20"/>
          <w:lang w:val="es-ES"/>
        </w:rPr>
      </w:pPr>
      <w:r>
        <w:rPr>
          <w:rFonts w:ascii="Verdana" w:hAnsi="Verdana" w:cs="Arial"/>
          <w:sz w:val="20"/>
          <w:szCs w:val="20"/>
          <w:lang w:val="es-ES"/>
        </w:rPr>
        <w:t xml:space="preserve">III. EL </w:t>
      </w:r>
      <w:r w:rsidR="000146A3">
        <w:rPr>
          <w:rFonts w:ascii="Verdana" w:hAnsi="Verdana" w:cs="Arial"/>
          <w:sz w:val="20"/>
          <w:szCs w:val="20"/>
          <w:lang w:val="es-ES"/>
        </w:rPr>
        <w:t>“</w:t>
      </w:r>
      <w:r>
        <w:rPr>
          <w:rFonts w:ascii="Verdana" w:hAnsi="Verdana" w:cs="Arial"/>
          <w:sz w:val="20"/>
          <w:szCs w:val="20"/>
          <w:lang w:val="es-ES"/>
        </w:rPr>
        <w:t>DERECHO A SER ELEGIDO</w:t>
      </w:r>
      <w:r w:rsidR="000146A3">
        <w:rPr>
          <w:rFonts w:ascii="Verdana" w:hAnsi="Verdana" w:cs="Arial"/>
          <w:sz w:val="20"/>
          <w:szCs w:val="20"/>
          <w:lang w:val="es-ES"/>
        </w:rPr>
        <w:t xml:space="preserve">”, LA “EQUIDAD EN LA CONTIENDA” </w:t>
      </w:r>
    </w:p>
    <w:p w14:paraId="77B6D8FB" w14:textId="77777777" w:rsidR="00520C2E" w:rsidRDefault="000146A3" w:rsidP="000146A3">
      <w:pPr>
        <w:pStyle w:val="ListParagraph"/>
        <w:spacing w:before="120" w:after="120" w:line="360" w:lineRule="auto"/>
        <w:ind w:left="0"/>
        <w:jc w:val="center"/>
        <w:rPr>
          <w:rFonts w:ascii="Verdana" w:hAnsi="Verdana" w:cs="Arial"/>
          <w:sz w:val="20"/>
          <w:szCs w:val="20"/>
          <w:lang w:val="es-ES"/>
        </w:rPr>
      </w:pPr>
      <w:r>
        <w:rPr>
          <w:rFonts w:ascii="Verdana" w:hAnsi="Verdana" w:cs="Arial"/>
          <w:sz w:val="20"/>
          <w:szCs w:val="20"/>
          <w:lang w:val="es-ES"/>
        </w:rPr>
        <w:t xml:space="preserve">Y </w:t>
      </w:r>
      <w:r w:rsidR="00BA77AA">
        <w:rPr>
          <w:rFonts w:ascii="Verdana" w:hAnsi="Verdana" w:cs="Arial"/>
          <w:sz w:val="20"/>
          <w:szCs w:val="20"/>
          <w:lang w:val="es-ES"/>
        </w:rPr>
        <w:t>LA</w:t>
      </w:r>
      <w:r>
        <w:rPr>
          <w:rFonts w:ascii="Verdana" w:hAnsi="Verdana" w:cs="Arial"/>
          <w:sz w:val="20"/>
          <w:szCs w:val="20"/>
          <w:lang w:val="es-ES"/>
        </w:rPr>
        <w:t>S GARANTÍAS MÍNIMAS DE LA</w:t>
      </w:r>
      <w:r w:rsidR="00BA77AA">
        <w:rPr>
          <w:rFonts w:ascii="Verdana" w:hAnsi="Verdana" w:cs="Arial"/>
          <w:sz w:val="20"/>
          <w:szCs w:val="20"/>
          <w:lang w:val="es-ES"/>
        </w:rPr>
        <w:t xml:space="preserve"> </w:t>
      </w:r>
      <w:r>
        <w:rPr>
          <w:rFonts w:ascii="Verdana" w:hAnsi="Verdana" w:cs="Arial"/>
          <w:sz w:val="20"/>
          <w:szCs w:val="20"/>
          <w:lang w:val="es-ES"/>
        </w:rPr>
        <w:t>“</w:t>
      </w:r>
      <w:r w:rsidR="00BA77AA">
        <w:rPr>
          <w:rFonts w:ascii="Verdana" w:hAnsi="Verdana" w:cs="Arial"/>
          <w:sz w:val="20"/>
          <w:szCs w:val="20"/>
          <w:lang w:val="es-ES"/>
        </w:rPr>
        <w:t>INTEGRIDAD ELECTORAL</w:t>
      </w:r>
      <w:r>
        <w:rPr>
          <w:rFonts w:ascii="Verdana" w:hAnsi="Verdana" w:cs="Arial"/>
          <w:sz w:val="20"/>
          <w:szCs w:val="20"/>
          <w:lang w:val="es-ES"/>
        </w:rPr>
        <w:t>”</w:t>
      </w:r>
      <w:r w:rsidR="00541E4A">
        <w:rPr>
          <w:rFonts w:ascii="Verdana" w:hAnsi="Verdana" w:cs="Arial"/>
          <w:sz w:val="20"/>
          <w:szCs w:val="20"/>
          <w:lang w:val="es-ES"/>
        </w:rPr>
        <w:t xml:space="preserve">: </w:t>
      </w:r>
    </w:p>
    <w:p w14:paraId="32621BD1" w14:textId="3B4F993F" w:rsidR="00BA77AA" w:rsidRDefault="00541E4A" w:rsidP="000146A3">
      <w:pPr>
        <w:pStyle w:val="ListParagraph"/>
        <w:spacing w:before="120" w:after="120" w:line="360" w:lineRule="auto"/>
        <w:ind w:left="0"/>
        <w:jc w:val="center"/>
        <w:rPr>
          <w:rFonts w:ascii="Verdana" w:hAnsi="Verdana" w:cs="Arial"/>
          <w:sz w:val="20"/>
          <w:szCs w:val="20"/>
          <w:lang w:val="es-ES"/>
        </w:rPr>
      </w:pPr>
      <w:r>
        <w:rPr>
          <w:rFonts w:ascii="Verdana" w:hAnsi="Verdana" w:cs="Arial"/>
          <w:sz w:val="20"/>
          <w:szCs w:val="20"/>
          <w:lang w:val="es-ES"/>
        </w:rPr>
        <w:t>LOS APORTES DEL CASO CAPRILES</w:t>
      </w:r>
    </w:p>
    <w:p w14:paraId="307A5974" w14:textId="77777777" w:rsidR="00BA77AA" w:rsidRPr="004D0C53" w:rsidRDefault="00BA77AA" w:rsidP="00BA77AA">
      <w:pPr>
        <w:pStyle w:val="ListParagraph"/>
        <w:ind w:left="0"/>
        <w:jc w:val="center"/>
        <w:rPr>
          <w:rFonts w:ascii="Verdana" w:hAnsi="Verdana" w:cs="Arial"/>
          <w:sz w:val="20"/>
          <w:szCs w:val="20"/>
          <w:lang w:val="es-ES"/>
        </w:rPr>
      </w:pPr>
    </w:p>
    <w:p w14:paraId="2C488EEF" w14:textId="5E254898" w:rsidR="00913875" w:rsidRPr="004D0C53" w:rsidRDefault="00627556"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72</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 xml:space="preserve">Si bien este Tribunal tiene una amplia jurisprudencia en materia de derechos políticos, </w:t>
      </w:r>
      <w:r w:rsidR="00541E4A">
        <w:rPr>
          <w:rFonts w:ascii="Verdana" w:hAnsi="Verdana" w:cs="Arial"/>
          <w:sz w:val="20"/>
          <w:szCs w:val="20"/>
          <w:lang w:val="es-ES"/>
        </w:rPr>
        <w:t xml:space="preserve">como se desarrolló de manera previa, </w:t>
      </w:r>
      <w:r w:rsidR="00913875" w:rsidRPr="004D0C53">
        <w:rPr>
          <w:rFonts w:ascii="Verdana" w:hAnsi="Verdana" w:cs="Arial"/>
          <w:sz w:val="20"/>
          <w:szCs w:val="20"/>
          <w:lang w:val="es-ES"/>
        </w:rPr>
        <w:t xml:space="preserve">el </w:t>
      </w:r>
      <w:r w:rsidR="00913875" w:rsidRPr="000C1FFB">
        <w:rPr>
          <w:rFonts w:ascii="Verdana" w:hAnsi="Verdana" w:cs="Arial"/>
          <w:i/>
          <w:iCs/>
          <w:sz w:val="20"/>
          <w:szCs w:val="20"/>
          <w:lang w:val="es-ES"/>
        </w:rPr>
        <w:t>caso Capriles</w:t>
      </w:r>
      <w:r w:rsidR="00913875" w:rsidRPr="004D0C53">
        <w:rPr>
          <w:rFonts w:ascii="Verdana" w:hAnsi="Verdana" w:cs="Arial"/>
          <w:sz w:val="20"/>
          <w:szCs w:val="20"/>
          <w:lang w:val="es-ES"/>
        </w:rPr>
        <w:t xml:space="preserve"> presenta importantes avances jurisprudenciales para el acervo interamericano y sienta </w:t>
      </w:r>
      <w:r w:rsidR="000C1FFB">
        <w:rPr>
          <w:rFonts w:ascii="Verdana" w:hAnsi="Verdana" w:cs="Arial"/>
          <w:sz w:val="20"/>
          <w:szCs w:val="20"/>
          <w:lang w:val="es-ES"/>
        </w:rPr>
        <w:t xml:space="preserve">relevantes </w:t>
      </w:r>
      <w:r w:rsidR="00913875" w:rsidRPr="004D0C53">
        <w:rPr>
          <w:rFonts w:ascii="Verdana" w:hAnsi="Verdana" w:cs="Arial"/>
          <w:sz w:val="20"/>
          <w:szCs w:val="20"/>
          <w:lang w:val="es-ES"/>
        </w:rPr>
        <w:t xml:space="preserve">precedentes para los diversos países de nuestro continente. Aspectos que considero no deben pasar desapercibidos, en especial en estos tiempos </w:t>
      </w:r>
      <w:r w:rsidR="00731E3A">
        <w:rPr>
          <w:rFonts w:ascii="Verdana" w:hAnsi="Verdana" w:cs="Arial"/>
          <w:sz w:val="20"/>
          <w:szCs w:val="20"/>
          <w:lang w:val="es-ES"/>
        </w:rPr>
        <w:t xml:space="preserve">tan </w:t>
      </w:r>
      <w:r w:rsidR="00913875" w:rsidRPr="004D0C53">
        <w:rPr>
          <w:rFonts w:ascii="Verdana" w:hAnsi="Verdana" w:cs="Arial"/>
          <w:sz w:val="20"/>
          <w:szCs w:val="20"/>
          <w:lang w:val="es-ES"/>
        </w:rPr>
        <w:t xml:space="preserve">convulsos en </w:t>
      </w:r>
      <w:r w:rsidR="00557A84">
        <w:rPr>
          <w:rFonts w:ascii="Verdana" w:hAnsi="Verdana" w:cs="Arial"/>
          <w:sz w:val="20"/>
          <w:szCs w:val="20"/>
          <w:lang w:val="es-ES"/>
        </w:rPr>
        <w:t>los</w:t>
      </w:r>
      <w:r w:rsidR="00913875" w:rsidRPr="004D0C53">
        <w:rPr>
          <w:rFonts w:ascii="Verdana" w:hAnsi="Verdana" w:cs="Arial"/>
          <w:sz w:val="20"/>
          <w:szCs w:val="20"/>
          <w:lang w:val="es-ES"/>
        </w:rPr>
        <w:t xml:space="preserve"> países de nuestra región. </w:t>
      </w:r>
    </w:p>
    <w:p w14:paraId="76A028E8" w14:textId="77777777" w:rsidR="00913875" w:rsidRPr="004D0C53" w:rsidRDefault="00913875" w:rsidP="00913875">
      <w:pPr>
        <w:pStyle w:val="ListParagraph"/>
        <w:ind w:left="0"/>
        <w:jc w:val="both"/>
        <w:rPr>
          <w:rFonts w:ascii="Verdana" w:hAnsi="Verdana" w:cs="Arial"/>
          <w:sz w:val="20"/>
          <w:szCs w:val="20"/>
          <w:lang w:val="es-ES"/>
        </w:rPr>
      </w:pPr>
    </w:p>
    <w:p w14:paraId="794E546C" w14:textId="6A0399BD" w:rsidR="00913875" w:rsidRPr="004D0C53" w:rsidRDefault="00814D3E"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7</w:t>
      </w:r>
      <w:r w:rsidR="00627556">
        <w:rPr>
          <w:rFonts w:ascii="Verdana" w:hAnsi="Verdana" w:cs="Arial"/>
          <w:sz w:val="20"/>
          <w:szCs w:val="20"/>
          <w:lang w:val="es-ES"/>
        </w:rPr>
        <w:t>3</w:t>
      </w:r>
      <w:r w:rsidR="001C53EF">
        <w:rPr>
          <w:rFonts w:ascii="Verdana" w:hAnsi="Verdana" w:cs="Arial"/>
          <w:sz w:val="20"/>
          <w:szCs w:val="20"/>
          <w:lang w:val="es-ES"/>
        </w:rPr>
        <w:t xml:space="preserve">. </w:t>
      </w:r>
      <w:r w:rsidR="001C53EF">
        <w:rPr>
          <w:rFonts w:ascii="Verdana" w:hAnsi="Verdana" w:cs="Arial"/>
          <w:sz w:val="20"/>
          <w:szCs w:val="20"/>
          <w:lang w:val="es-ES"/>
        </w:rPr>
        <w:tab/>
      </w:r>
      <w:r w:rsidR="00731E3A">
        <w:rPr>
          <w:rFonts w:ascii="Verdana" w:hAnsi="Verdana" w:cs="Arial"/>
          <w:sz w:val="20"/>
          <w:szCs w:val="20"/>
          <w:lang w:val="es-ES"/>
        </w:rPr>
        <w:t>En primer lugar, a</w:t>
      </w:r>
      <w:r w:rsidR="00913875" w:rsidRPr="004D0C53">
        <w:rPr>
          <w:rFonts w:ascii="Verdana" w:hAnsi="Verdana" w:cs="Arial"/>
          <w:sz w:val="20"/>
          <w:szCs w:val="20"/>
          <w:lang w:val="es-ES"/>
        </w:rPr>
        <w:t xml:space="preserve"> diferencia de casos anteriores, en donde había conocido el supuesto de aspirantes a ocupar un cargo público (mediante elecciones)</w:t>
      </w:r>
      <w:r w:rsidR="00913875" w:rsidRPr="004D0C53">
        <w:rPr>
          <w:rStyle w:val="FootnoteReference"/>
          <w:rFonts w:ascii="Verdana" w:hAnsi="Verdana" w:cs="Arial"/>
          <w:sz w:val="20"/>
          <w:szCs w:val="20"/>
          <w:lang w:val="es-ES"/>
        </w:rPr>
        <w:footnoteReference w:id="83"/>
      </w:r>
      <w:r w:rsidR="00913875" w:rsidRPr="004D0C53">
        <w:rPr>
          <w:rFonts w:ascii="Verdana" w:hAnsi="Verdana" w:cs="Arial"/>
          <w:sz w:val="20"/>
          <w:szCs w:val="20"/>
          <w:lang w:val="es-ES"/>
        </w:rPr>
        <w:t xml:space="preserve">, el presente </w:t>
      </w:r>
      <w:r w:rsidR="000C1FFB">
        <w:rPr>
          <w:rFonts w:ascii="Verdana" w:hAnsi="Verdana" w:cs="Arial"/>
          <w:sz w:val="20"/>
          <w:szCs w:val="20"/>
          <w:lang w:val="es-ES"/>
        </w:rPr>
        <w:t>caso</w:t>
      </w:r>
      <w:r w:rsidR="00913875" w:rsidRPr="004D0C53">
        <w:rPr>
          <w:rFonts w:ascii="Verdana" w:hAnsi="Verdana" w:cs="Arial"/>
          <w:sz w:val="20"/>
          <w:szCs w:val="20"/>
          <w:lang w:val="es-ES"/>
        </w:rPr>
        <w:t xml:space="preserve"> aborda el “derecho a ser elegido”</w:t>
      </w:r>
      <w:r w:rsidR="000C1FFB">
        <w:rPr>
          <w:rFonts w:ascii="Verdana" w:hAnsi="Verdana" w:cs="Arial"/>
          <w:sz w:val="20"/>
          <w:szCs w:val="20"/>
          <w:lang w:val="es-ES"/>
        </w:rPr>
        <w:t>,</w:t>
      </w:r>
      <w:r w:rsidR="00913875" w:rsidRPr="004D0C53">
        <w:rPr>
          <w:rFonts w:ascii="Verdana" w:hAnsi="Verdana" w:cs="Arial"/>
          <w:sz w:val="20"/>
          <w:szCs w:val="20"/>
          <w:lang w:val="es-ES"/>
        </w:rPr>
        <w:t xml:space="preserve"> es decir, la vertiente pasiva del artículo 23</w:t>
      </w:r>
      <w:r w:rsidR="000C1B48">
        <w:rPr>
          <w:rFonts w:ascii="Verdana" w:hAnsi="Verdana" w:cs="Arial"/>
          <w:sz w:val="20"/>
          <w:szCs w:val="20"/>
          <w:lang w:val="es-ES"/>
        </w:rPr>
        <w:t xml:space="preserve"> de la CADH</w:t>
      </w:r>
      <w:r w:rsidR="00913875" w:rsidRPr="004D0C53">
        <w:rPr>
          <w:rFonts w:ascii="Verdana" w:hAnsi="Verdana" w:cs="Arial"/>
          <w:sz w:val="20"/>
          <w:szCs w:val="20"/>
          <w:lang w:val="es-ES"/>
        </w:rPr>
        <w:t xml:space="preserve">. </w:t>
      </w:r>
      <w:r w:rsidR="00731E3A">
        <w:rPr>
          <w:rFonts w:ascii="Verdana" w:hAnsi="Verdana" w:cs="Arial"/>
          <w:sz w:val="20"/>
          <w:szCs w:val="20"/>
          <w:lang w:val="es-ES"/>
        </w:rPr>
        <w:t>Explora</w:t>
      </w:r>
      <w:r w:rsidR="00913875" w:rsidRPr="004D0C53">
        <w:rPr>
          <w:rFonts w:ascii="Verdana" w:hAnsi="Verdana" w:cs="Arial"/>
          <w:sz w:val="20"/>
          <w:szCs w:val="20"/>
          <w:lang w:val="es-ES"/>
        </w:rPr>
        <w:t xml:space="preserve"> de esta forma el derecho que tiene una persona a que </w:t>
      </w:r>
      <w:r w:rsidR="00557A84">
        <w:rPr>
          <w:rFonts w:ascii="Verdana" w:hAnsi="Verdana" w:cs="Arial"/>
          <w:sz w:val="20"/>
          <w:szCs w:val="20"/>
          <w:lang w:val="es-ES"/>
        </w:rPr>
        <w:t>el</w:t>
      </w:r>
      <w:r w:rsidR="00913875" w:rsidRPr="004D0C53">
        <w:rPr>
          <w:rFonts w:ascii="Verdana" w:hAnsi="Verdana" w:cs="Arial"/>
          <w:sz w:val="20"/>
          <w:szCs w:val="20"/>
          <w:lang w:val="es-ES"/>
        </w:rPr>
        <w:t xml:space="preserve"> electorado vote por su persona como opción política o su candidatura formalmente constituida. </w:t>
      </w:r>
    </w:p>
    <w:p w14:paraId="4D09B516" w14:textId="77777777" w:rsidR="00913875" w:rsidRPr="004D0C53" w:rsidRDefault="00913875" w:rsidP="00913875">
      <w:pPr>
        <w:pStyle w:val="ListParagraph"/>
        <w:rPr>
          <w:rFonts w:ascii="Verdana" w:hAnsi="Verdana" w:cs="Arial"/>
          <w:sz w:val="20"/>
          <w:szCs w:val="20"/>
          <w:lang w:val="es-ES"/>
        </w:rPr>
      </w:pPr>
    </w:p>
    <w:p w14:paraId="0874DE98" w14:textId="4E35FFC0" w:rsidR="00913875" w:rsidRPr="004D0C53" w:rsidRDefault="00814D3E"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7</w:t>
      </w:r>
      <w:r w:rsidR="00627556">
        <w:rPr>
          <w:rFonts w:ascii="Verdana" w:hAnsi="Verdana" w:cs="Arial"/>
          <w:sz w:val="20"/>
          <w:szCs w:val="20"/>
          <w:lang w:val="es-ES"/>
        </w:rPr>
        <w:t>4</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En segundo lugar, la Corte IDH vincula el artículo 23</w:t>
      </w:r>
      <w:r w:rsidR="006643B9">
        <w:rPr>
          <w:rFonts w:ascii="Verdana" w:hAnsi="Verdana" w:cs="Arial"/>
          <w:sz w:val="20"/>
          <w:szCs w:val="20"/>
          <w:lang w:val="es-ES"/>
        </w:rPr>
        <w:t>.1</w:t>
      </w:r>
      <w:r w:rsidR="00913875" w:rsidRPr="004D0C53">
        <w:rPr>
          <w:rFonts w:ascii="Verdana" w:hAnsi="Verdana" w:cs="Arial"/>
          <w:sz w:val="20"/>
          <w:szCs w:val="20"/>
          <w:lang w:val="es-ES"/>
        </w:rPr>
        <w:t xml:space="preserve"> con el contenido del artículo 24 (igualdad ante la ley) </w:t>
      </w:r>
      <w:r w:rsidR="00731E3A">
        <w:rPr>
          <w:rFonts w:ascii="Verdana" w:hAnsi="Verdana" w:cs="Arial"/>
          <w:sz w:val="20"/>
          <w:szCs w:val="20"/>
          <w:lang w:val="es-ES"/>
        </w:rPr>
        <w:t xml:space="preserve">de la CADH </w:t>
      </w:r>
      <w:r w:rsidR="00913875" w:rsidRPr="004D0C53">
        <w:rPr>
          <w:rFonts w:ascii="Verdana" w:hAnsi="Verdana" w:cs="Arial"/>
          <w:sz w:val="20"/>
          <w:szCs w:val="20"/>
          <w:lang w:val="es-ES"/>
        </w:rPr>
        <w:t>y, en consecuencia, entiende la CADH</w:t>
      </w:r>
      <w:r w:rsidR="00731E3A">
        <w:rPr>
          <w:rFonts w:ascii="Verdana" w:hAnsi="Verdana" w:cs="Arial"/>
          <w:sz w:val="20"/>
          <w:szCs w:val="20"/>
          <w:lang w:val="es-ES"/>
        </w:rPr>
        <w:t xml:space="preserve"> que estos</w:t>
      </w:r>
      <w:r w:rsidR="00913875" w:rsidRPr="004D0C53">
        <w:rPr>
          <w:rFonts w:ascii="Verdana" w:hAnsi="Verdana" w:cs="Arial"/>
          <w:sz w:val="20"/>
          <w:szCs w:val="20"/>
          <w:lang w:val="es-ES"/>
        </w:rPr>
        <w:t xml:space="preserve"> “</w:t>
      </w:r>
      <w:r w:rsidR="00913875" w:rsidRPr="000F49BD">
        <w:rPr>
          <w:rFonts w:ascii="Verdana" w:eastAsia="Times New Roman" w:hAnsi="Verdana"/>
          <w:bCs/>
          <w:i/>
          <w:iCs/>
          <w:sz w:val="20"/>
          <w:szCs w:val="20"/>
          <w:lang w:val="es-ES" w:eastAsia="es-ES_tradnl"/>
        </w:rPr>
        <w:t>protegen la equidad en la contienda entre las personas que aspiran a acceder a las funciones públicas</w:t>
      </w:r>
      <w:r w:rsidR="00913875" w:rsidRPr="004D0C53">
        <w:rPr>
          <w:rFonts w:ascii="Verdana" w:eastAsia="Times New Roman" w:hAnsi="Verdana"/>
          <w:bCs/>
          <w:sz w:val="20"/>
          <w:szCs w:val="20"/>
          <w:lang w:val="es-ES" w:eastAsia="es-ES_tradnl"/>
        </w:rPr>
        <w:t>”</w:t>
      </w:r>
      <w:r w:rsidR="00913875" w:rsidRPr="004D0C53">
        <w:rPr>
          <w:rStyle w:val="FootnoteReference"/>
          <w:rFonts w:ascii="Verdana" w:eastAsia="Times New Roman" w:hAnsi="Verdana"/>
          <w:bCs/>
          <w:sz w:val="20"/>
          <w:szCs w:val="20"/>
          <w:lang w:val="es-ES" w:eastAsia="es-ES_tradnl"/>
        </w:rPr>
        <w:footnoteReference w:id="84"/>
      </w:r>
      <w:r w:rsidR="00913875" w:rsidRPr="004D0C53">
        <w:rPr>
          <w:rFonts w:ascii="Verdana" w:eastAsia="Times New Roman" w:hAnsi="Verdana"/>
          <w:bCs/>
          <w:sz w:val="20"/>
          <w:szCs w:val="20"/>
          <w:lang w:val="es-ES" w:eastAsia="es-ES_tradnl"/>
        </w:rPr>
        <w:t xml:space="preserve">. En este sentido, cobra especial relevancia la mención que hace la Corte IDH </w:t>
      </w:r>
      <w:r w:rsidR="000F49BD">
        <w:rPr>
          <w:rFonts w:ascii="Verdana" w:eastAsia="Times New Roman" w:hAnsi="Verdana"/>
          <w:bCs/>
          <w:sz w:val="20"/>
          <w:szCs w:val="20"/>
          <w:lang w:val="es-ES" w:eastAsia="es-ES_tradnl"/>
        </w:rPr>
        <w:t>—</w:t>
      </w:r>
      <w:r w:rsidR="00913875" w:rsidRPr="004D0C53">
        <w:rPr>
          <w:rFonts w:ascii="Verdana" w:eastAsia="Times New Roman" w:hAnsi="Verdana"/>
          <w:bCs/>
          <w:sz w:val="20"/>
          <w:szCs w:val="20"/>
          <w:lang w:val="es-ES" w:eastAsia="es-ES_tradnl"/>
        </w:rPr>
        <w:t xml:space="preserve">en similares términos que </w:t>
      </w:r>
      <w:r w:rsidR="00DA01FA">
        <w:rPr>
          <w:rFonts w:ascii="Verdana" w:eastAsia="Times New Roman" w:hAnsi="Verdana"/>
          <w:bCs/>
          <w:sz w:val="20"/>
          <w:szCs w:val="20"/>
          <w:lang w:val="es-ES" w:eastAsia="es-ES_tradnl"/>
        </w:rPr>
        <w:t>la Comisión de Venecia</w:t>
      </w:r>
      <w:r w:rsidR="000F49BD">
        <w:rPr>
          <w:rFonts w:ascii="Verdana" w:eastAsia="Times New Roman" w:hAnsi="Verdana"/>
          <w:bCs/>
          <w:sz w:val="20"/>
          <w:szCs w:val="20"/>
          <w:lang w:val="es-ES" w:eastAsia="es-ES_tradnl"/>
        </w:rPr>
        <w:t>—</w:t>
      </w:r>
      <w:r w:rsidR="00913875" w:rsidRPr="004D0C53">
        <w:rPr>
          <w:rFonts w:ascii="Verdana" w:eastAsia="Times New Roman" w:hAnsi="Verdana"/>
          <w:bCs/>
          <w:sz w:val="20"/>
          <w:szCs w:val="20"/>
          <w:lang w:val="es-ES" w:eastAsia="es-ES_tradnl"/>
        </w:rPr>
        <w:t xml:space="preserve"> sobre el </w:t>
      </w:r>
      <w:r w:rsidR="00913875" w:rsidRPr="000F49BD">
        <w:rPr>
          <w:rFonts w:ascii="Verdana" w:eastAsia="Times New Roman" w:hAnsi="Verdana"/>
          <w:bCs/>
          <w:i/>
          <w:iCs/>
          <w:sz w:val="20"/>
          <w:szCs w:val="20"/>
          <w:lang w:val="es-ES" w:eastAsia="es-ES_tradnl"/>
        </w:rPr>
        <w:t>principio de neutralidad</w:t>
      </w:r>
      <w:r w:rsidR="00913875" w:rsidRPr="004D0C53">
        <w:rPr>
          <w:rFonts w:ascii="Verdana" w:eastAsia="Times New Roman" w:hAnsi="Verdana"/>
          <w:bCs/>
          <w:sz w:val="20"/>
          <w:szCs w:val="20"/>
          <w:lang w:val="es-ES" w:eastAsia="es-ES_tradnl"/>
        </w:rPr>
        <w:t xml:space="preserve"> </w:t>
      </w:r>
      <w:r w:rsidR="00913875" w:rsidRPr="000F49BD">
        <w:rPr>
          <w:rFonts w:ascii="Verdana" w:eastAsia="Times New Roman" w:hAnsi="Verdana"/>
          <w:bCs/>
          <w:i/>
          <w:iCs/>
          <w:sz w:val="20"/>
          <w:szCs w:val="20"/>
          <w:lang w:val="es-ES" w:eastAsia="es-ES_tradnl"/>
        </w:rPr>
        <w:t>en la contienda</w:t>
      </w:r>
      <w:r w:rsidR="00913875" w:rsidRPr="004D0C53">
        <w:rPr>
          <w:rFonts w:ascii="Verdana" w:eastAsia="Times New Roman" w:hAnsi="Verdana"/>
          <w:bCs/>
          <w:sz w:val="20"/>
          <w:szCs w:val="20"/>
          <w:lang w:val="es-ES" w:eastAsia="es-ES_tradnl"/>
        </w:rPr>
        <w:t xml:space="preserve"> </w:t>
      </w:r>
      <w:r w:rsidR="00DA01FA">
        <w:rPr>
          <w:rFonts w:ascii="Verdana" w:eastAsia="Times New Roman" w:hAnsi="Verdana"/>
          <w:bCs/>
          <w:sz w:val="20"/>
          <w:szCs w:val="20"/>
          <w:lang w:val="es-ES" w:eastAsia="es-ES_tradnl"/>
        </w:rPr>
        <w:t>en el sentido que garantizar la igualdad de oportunidades exige que las autoridades se muestren imparciales con todos los partidos o candidaturas y que les apliquen la misma ley de manera uniforme</w:t>
      </w:r>
      <w:r w:rsidR="00DA01FA">
        <w:rPr>
          <w:rStyle w:val="FootnoteReference"/>
          <w:rFonts w:ascii="Verdana" w:eastAsia="Times New Roman" w:hAnsi="Verdana"/>
          <w:bCs/>
          <w:sz w:val="20"/>
          <w:szCs w:val="20"/>
          <w:lang w:val="es-ES" w:eastAsia="es-ES_tradnl"/>
        </w:rPr>
        <w:footnoteReference w:id="85"/>
      </w:r>
      <w:r w:rsidR="00DA01FA">
        <w:rPr>
          <w:rFonts w:ascii="Verdana" w:eastAsia="Times New Roman" w:hAnsi="Verdana"/>
          <w:bCs/>
          <w:sz w:val="20"/>
          <w:szCs w:val="20"/>
          <w:lang w:val="es-ES" w:eastAsia="es-ES_tradnl"/>
        </w:rPr>
        <w:t xml:space="preserve">. </w:t>
      </w:r>
      <w:r w:rsidR="00913875" w:rsidRPr="004D0C53">
        <w:rPr>
          <w:rFonts w:ascii="Verdana" w:eastAsia="Times New Roman" w:hAnsi="Verdana"/>
          <w:bCs/>
          <w:sz w:val="20"/>
          <w:szCs w:val="20"/>
          <w:lang w:val="es-ES" w:eastAsia="es-ES_tradnl"/>
        </w:rPr>
        <w:t xml:space="preserve">Como se adelantó, tanto </w:t>
      </w:r>
      <w:r w:rsidR="00913875" w:rsidRPr="00A724EE">
        <w:rPr>
          <w:rFonts w:ascii="Verdana" w:eastAsia="Times New Roman" w:hAnsi="Verdana"/>
          <w:bCs/>
          <w:i/>
          <w:iCs/>
          <w:sz w:val="20"/>
          <w:szCs w:val="20"/>
          <w:lang w:val="es-ES" w:eastAsia="es-ES_tradnl"/>
        </w:rPr>
        <w:t>el principio de neutralidad</w:t>
      </w:r>
      <w:r w:rsidR="00913875" w:rsidRPr="004D0C53">
        <w:rPr>
          <w:rFonts w:ascii="Verdana" w:eastAsia="Times New Roman" w:hAnsi="Verdana"/>
          <w:bCs/>
          <w:sz w:val="20"/>
          <w:szCs w:val="20"/>
          <w:lang w:val="es-ES" w:eastAsia="es-ES_tradnl"/>
        </w:rPr>
        <w:t xml:space="preserve"> </w:t>
      </w:r>
      <w:r w:rsidR="00913875" w:rsidRPr="00A724EE">
        <w:rPr>
          <w:rFonts w:ascii="Verdana" w:eastAsia="Times New Roman" w:hAnsi="Verdana"/>
          <w:bCs/>
          <w:i/>
          <w:iCs/>
          <w:sz w:val="20"/>
          <w:szCs w:val="20"/>
          <w:lang w:val="es-ES" w:eastAsia="es-ES_tradnl"/>
        </w:rPr>
        <w:t>de las autoridades</w:t>
      </w:r>
      <w:r w:rsidR="00913875" w:rsidRPr="004D0C53">
        <w:rPr>
          <w:rFonts w:ascii="Verdana" w:eastAsia="Times New Roman" w:hAnsi="Verdana"/>
          <w:bCs/>
          <w:sz w:val="20"/>
          <w:szCs w:val="20"/>
          <w:lang w:val="es-ES" w:eastAsia="es-ES_tradnl"/>
        </w:rPr>
        <w:t xml:space="preserve"> como la protección de la </w:t>
      </w:r>
      <w:r w:rsidR="00913875" w:rsidRPr="00A724EE">
        <w:rPr>
          <w:rFonts w:ascii="Verdana" w:eastAsia="Times New Roman" w:hAnsi="Verdana"/>
          <w:bCs/>
          <w:i/>
          <w:iCs/>
          <w:sz w:val="20"/>
          <w:szCs w:val="20"/>
          <w:lang w:val="es-ES" w:eastAsia="es-ES_tradnl"/>
        </w:rPr>
        <w:t>equidad en la contienda</w:t>
      </w:r>
      <w:r w:rsidR="00913875" w:rsidRPr="004D0C53">
        <w:rPr>
          <w:rFonts w:ascii="Verdana" w:eastAsia="Times New Roman" w:hAnsi="Verdana"/>
          <w:bCs/>
          <w:sz w:val="20"/>
          <w:szCs w:val="20"/>
          <w:lang w:val="es-ES" w:eastAsia="es-ES_tradnl"/>
        </w:rPr>
        <w:t xml:space="preserve">, </w:t>
      </w:r>
      <w:r w:rsidR="000F49BD">
        <w:rPr>
          <w:rFonts w:ascii="Verdana" w:eastAsia="Times New Roman" w:hAnsi="Verdana"/>
          <w:bCs/>
          <w:sz w:val="20"/>
          <w:szCs w:val="20"/>
          <w:lang w:val="es-ES" w:eastAsia="es-ES_tradnl"/>
        </w:rPr>
        <w:t>son</w:t>
      </w:r>
      <w:r w:rsidR="00913875" w:rsidRPr="004D0C53">
        <w:rPr>
          <w:rFonts w:ascii="Verdana" w:eastAsia="Times New Roman" w:hAnsi="Verdana"/>
          <w:bCs/>
          <w:sz w:val="20"/>
          <w:szCs w:val="20"/>
          <w:lang w:val="es-ES" w:eastAsia="es-ES_tradnl"/>
        </w:rPr>
        <w:t xml:space="preserve"> dos elementos que no se encontraban presentes en la jurisprudencia interamericana. </w:t>
      </w:r>
    </w:p>
    <w:p w14:paraId="068C1948" w14:textId="77777777" w:rsidR="00913875" w:rsidRPr="004D0C53" w:rsidRDefault="00913875" w:rsidP="00913875">
      <w:pPr>
        <w:pStyle w:val="ListParagraph"/>
        <w:rPr>
          <w:rFonts w:ascii="Verdana" w:hAnsi="Verdana" w:cs="Arial"/>
          <w:sz w:val="20"/>
          <w:szCs w:val="20"/>
          <w:lang w:val="es-ES"/>
        </w:rPr>
      </w:pPr>
    </w:p>
    <w:p w14:paraId="47B28B24" w14:textId="67C5CA82" w:rsidR="00913875" w:rsidRPr="004D0C53" w:rsidRDefault="00C91211"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7</w:t>
      </w:r>
      <w:r w:rsidR="00627556">
        <w:rPr>
          <w:rFonts w:ascii="Verdana" w:hAnsi="Verdana" w:cs="Arial"/>
          <w:sz w:val="20"/>
          <w:szCs w:val="20"/>
          <w:lang w:val="es-ES"/>
        </w:rPr>
        <w:t>5</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En tercer lugar, dado que vivimos en sociedades intercomunicadas, una de las formas en las que se debe velar por la equidad en la contienda y, por tanto, acceder en condiciones de igualdad a la contienda electoral, es sobre la regulación y vigilancia que debe existir sobre los medios de comunicación</w:t>
      </w:r>
      <w:r w:rsidR="00913875" w:rsidRPr="004D0C53">
        <w:rPr>
          <w:rStyle w:val="FootnoteReference"/>
          <w:rFonts w:ascii="Verdana" w:hAnsi="Verdana" w:cs="Arial"/>
          <w:sz w:val="20"/>
          <w:szCs w:val="20"/>
          <w:lang w:val="es-ES"/>
        </w:rPr>
        <w:footnoteReference w:id="86"/>
      </w:r>
      <w:r w:rsidR="00913875" w:rsidRPr="004D0C53">
        <w:rPr>
          <w:rFonts w:ascii="Verdana" w:hAnsi="Verdana" w:cs="Arial"/>
          <w:sz w:val="20"/>
          <w:szCs w:val="20"/>
          <w:lang w:val="es-ES"/>
        </w:rPr>
        <w:t xml:space="preserve">. </w:t>
      </w:r>
      <w:r w:rsidR="00731E3A">
        <w:rPr>
          <w:rFonts w:ascii="Verdana" w:hAnsi="Verdana" w:cs="Arial"/>
          <w:sz w:val="20"/>
          <w:szCs w:val="20"/>
          <w:lang w:val="es-ES"/>
        </w:rPr>
        <w:t xml:space="preserve">Un elemento que, además, sienta las bases para el abordaje de los medios sociales de comunicación cuya trascendencia en las contiendas electorales del siglo XXI no puede ser minorada. </w:t>
      </w:r>
      <w:r w:rsidR="002743B1">
        <w:rPr>
          <w:rFonts w:ascii="Verdana" w:hAnsi="Verdana" w:cs="Arial"/>
          <w:sz w:val="20"/>
          <w:szCs w:val="20"/>
          <w:lang w:val="es-ES"/>
        </w:rPr>
        <w:t xml:space="preserve">Así, para lograr la equidad en la contienda, es necesario </w:t>
      </w:r>
      <w:r w:rsidR="002743B1">
        <w:rPr>
          <w:rFonts w:ascii="Verdana" w:hAnsi="Verdana" w:cs="Arial"/>
          <w:sz w:val="20"/>
          <w:szCs w:val="20"/>
          <w:lang w:val="es-ES"/>
        </w:rPr>
        <w:lastRenderedPageBreak/>
        <w:t>que se proteja el derecho de quienes compiten en una elección</w:t>
      </w:r>
      <w:r w:rsidR="00FA7C4D">
        <w:rPr>
          <w:rFonts w:ascii="Verdana" w:hAnsi="Verdana" w:cs="Arial"/>
          <w:sz w:val="20"/>
          <w:szCs w:val="20"/>
          <w:lang w:val="es-ES"/>
        </w:rPr>
        <w:t>,</w:t>
      </w:r>
      <w:r w:rsidR="002743B1">
        <w:rPr>
          <w:rFonts w:ascii="Verdana" w:hAnsi="Verdana" w:cs="Arial"/>
          <w:sz w:val="20"/>
          <w:szCs w:val="20"/>
          <w:lang w:val="es-ES"/>
        </w:rPr>
        <w:t xml:space="preserve"> de poder presentar sus propuestas a los electores, lo cu</w:t>
      </w:r>
      <w:r w:rsidR="00A14204">
        <w:rPr>
          <w:rFonts w:ascii="Verdana" w:hAnsi="Verdana" w:cs="Arial"/>
          <w:sz w:val="20"/>
          <w:szCs w:val="20"/>
          <w:lang w:val="es-ES"/>
        </w:rPr>
        <w:t>a</w:t>
      </w:r>
      <w:r w:rsidR="002743B1">
        <w:rPr>
          <w:rFonts w:ascii="Verdana" w:hAnsi="Verdana" w:cs="Arial"/>
          <w:sz w:val="20"/>
          <w:szCs w:val="20"/>
          <w:lang w:val="es-ES"/>
        </w:rPr>
        <w:t xml:space="preserve">l también se constituye como un derecho para estos últimos de acceder a la información. </w:t>
      </w:r>
      <w:r w:rsidR="00913875" w:rsidRPr="004D0C53">
        <w:rPr>
          <w:rFonts w:ascii="Verdana" w:hAnsi="Verdana" w:cs="Arial"/>
          <w:sz w:val="20"/>
          <w:szCs w:val="20"/>
          <w:lang w:val="es-ES"/>
        </w:rPr>
        <w:t>Est</w:t>
      </w:r>
      <w:r w:rsidR="000146A3">
        <w:rPr>
          <w:rFonts w:ascii="Verdana" w:hAnsi="Verdana" w:cs="Arial"/>
          <w:sz w:val="20"/>
          <w:szCs w:val="20"/>
          <w:lang w:val="es-ES"/>
        </w:rPr>
        <w:t>a</w:t>
      </w:r>
      <w:r w:rsidR="00913875" w:rsidRPr="004D0C53">
        <w:rPr>
          <w:rFonts w:ascii="Verdana" w:hAnsi="Verdana" w:cs="Arial"/>
          <w:sz w:val="20"/>
          <w:szCs w:val="20"/>
          <w:lang w:val="es-ES"/>
        </w:rPr>
        <w:t xml:space="preserve"> aproximación que hace la Corte IDH es en sintonía de lo que gradualmente el Sistema Europeo de Derechos Humanos ha desarrollado en diversos documentos. </w:t>
      </w:r>
    </w:p>
    <w:p w14:paraId="2790AF75" w14:textId="77777777" w:rsidR="00913875" w:rsidRPr="004D0C53" w:rsidRDefault="00913875" w:rsidP="00913875">
      <w:pPr>
        <w:pStyle w:val="ListParagraph"/>
        <w:rPr>
          <w:rFonts w:ascii="Verdana" w:hAnsi="Verdana" w:cs="Arial"/>
          <w:sz w:val="20"/>
          <w:szCs w:val="20"/>
          <w:lang w:val="es-ES"/>
        </w:rPr>
      </w:pPr>
    </w:p>
    <w:p w14:paraId="74A7EB00" w14:textId="7D912287" w:rsidR="00913875" w:rsidRPr="004D0C53" w:rsidRDefault="00C91211"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7</w:t>
      </w:r>
      <w:r w:rsidR="00627556">
        <w:rPr>
          <w:rFonts w:ascii="Verdana" w:hAnsi="Verdana" w:cs="Arial"/>
          <w:sz w:val="20"/>
          <w:szCs w:val="20"/>
          <w:lang w:val="es-ES"/>
        </w:rPr>
        <w:t>6</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Por ejemplo, el TEDH ha observado que el Comité de Ministro</w:t>
      </w:r>
      <w:r w:rsidR="00E37AB4">
        <w:rPr>
          <w:rFonts w:ascii="Verdana" w:hAnsi="Verdana" w:cs="Arial"/>
          <w:sz w:val="20"/>
          <w:szCs w:val="20"/>
          <w:lang w:val="es-ES"/>
        </w:rPr>
        <w:t>s</w:t>
      </w:r>
      <w:r w:rsidR="00913875" w:rsidRPr="004D0C53">
        <w:rPr>
          <w:rFonts w:ascii="Verdana" w:hAnsi="Verdana" w:cs="Arial"/>
          <w:sz w:val="20"/>
          <w:szCs w:val="20"/>
          <w:lang w:val="es-ES"/>
        </w:rPr>
        <w:t xml:space="preserve"> del Consejo de Europa desarrolló aún más las normas relativas a la radiodifusión de servicio público en el Apéndice de la Recomendación No. R (96) 10</w:t>
      </w:r>
      <w:r w:rsidR="00E37AB4">
        <w:rPr>
          <w:rFonts w:ascii="Verdana" w:hAnsi="Verdana" w:cs="Arial"/>
          <w:sz w:val="20"/>
          <w:szCs w:val="20"/>
          <w:lang w:val="es-ES"/>
        </w:rPr>
        <w:t>,</w:t>
      </w:r>
      <w:r w:rsidR="00913875" w:rsidRPr="004D0C53">
        <w:rPr>
          <w:rFonts w:ascii="Verdana" w:hAnsi="Verdana" w:cs="Arial"/>
          <w:sz w:val="20"/>
          <w:szCs w:val="20"/>
          <w:lang w:val="es-ES"/>
        </w:rPr>
        <w:t xml:space="preserve"> sobre “La garantía de la independencia de la radiodifusión de servicio público”. El Comité de Ministro</w:t>
      </w:r>
      <w:r w:rsidR="00E37AB4">
        <w:rPr>
          <w:rFonts w:ascii="Verdana" w:hAnsi="Verdana" w:cs="Arial"/>
          <w:sz w:val="20"/>
          <w:szCs w:val="20"/>
          <w:lang w:val="es-ES"/>
        </w:rPr>
        <w:t>s</w:t>
      </w:r>
      <w:r w:rsidR="00913875" w:rsidRPr="004D0C53">
        <w:rPr>
          <w:rFonts w:ascii="Verdana" w:hAnsi="Verdana" w:cs="Arial"/>
          <w:sz w:val="20"/>
          <w:szCs w:val="20"/>
          <w:lang w:val="es-ES"/>
        </w:rPr>
        <w:t xml:space="preserve"> recomendó que “el marco jurídico que rige a los organismos de radiodifusión de servicio público debe estipular claramente su independencia editorial y autonomía institucional”. Además, “el marco jurídico que rige a los organismos de radiodifusión de servicio público debe estipular claramente que deben garantizar que los programas de noticias presenten de manera justa los hechos y acontecimientos y fomenten la libre formación de opiniones. Los casos en que los organismos de radiodifusión de servicio público pueden verse obligados a transmitir mensajes, declaraciones o comunicaciones oficiales, o a informar sobre los actos o decisiones de las autoridades, o a conceder tiempo de emisión a dichas autoridades, deben limitarse a circunstancias excepcionales expresamente establecidas en leyes o reglamentos”</w:t>
      </w:r>
      <w:r w:rsidR="00913875" w:rsidRPr="004D0C53">
        <w:rPr>
          <w:rStyle w:val="FootnoteReference"/>
          <w:rFonts w:ascii="Verdana" w:hAnsi="Verdana" w:cs="Arial"/>
          <w:sz w:val="20"/>
          <w:szCs w:val="20"/>
          <w:lang w:val="es-ES"/>
        </w:rPr>
        <w:footnoteReference w:id="87"/>
      </w:r>
      <w:r w:rsidR="00913875" w:rsidRPr="004D0C53">
        <w:rPr>
          <w:rFonts w:ascii="Verdana" w:hAnsi="Verdana" w:cs="Arial"/>
          <w:sz w:val="20"/>
          <w:szCs w:val="20"/>
          <w:lang w:val="es-ES"/>
        </w:rPr>
        <w:t xml:space="preserve">. </w:t>
      </w:r>
    </w:p>
    <w:p w14:paraId="68EF547C" w14:textId="77777777" w:rsidR="00913875" w:rsidRPr="004D0C53" w:rsidRDefault="00913875" w:rsidP="00913875">
      <w:pPr>
        <w:pStyle w:val="ListParagraph"/>
        <w:ind w:left="0"/>
        <w:jc w:val="both"/>
        <w:rPr>
          <w:rFonts w:ascii="Verdana" w:hAnsi="Verdana" w:cs="Arial"/>
          <w:sz w:val="20"/>
          <w:szCs w:val="20"/>
          <w:lang w:val="es-ES"/>
        </w:rPr>
      </w:pPr>
    </w:p>
    <w:p w14:paraId="4089120E" w14:textId="7F3AAC2A" w:rsidR="00913875" w:rsidRPr="004D0C53" w:rsidRDefault="00C91211"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7</w:t>
      </w:r>
      <w:r w:rsidR="00627556">
        <w:rPr>
          <w:rFonts w:ascii="Verdana" w:hAnsi="Verdana" w:cs="Arial"/>
          <w:sz w:val="20"/>
          <w:szCs w:val="20"/>
          <w:lang w:val="es-ES"/>
        </w:rPr>
        <w:t>7</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El Tribunal de Estrasburgo también ha indicado que “la Recomendación No. R (99) 15 del Comité de Ministros del Consejo de Europa sobre medidas relativas a la cobertura mediática de las campañas electorales disponía que los marcos reglamentarios de los Estados miembros debían prever la obligación de los organismos de radiodifusión televisiva (tanto privados como públicos) de cubrir las campañas electorales de manera justa, equilibrada e imparcial, en particular en sus programas informativos y de actualidad, incluidos los programas de debates, como entrevistas o debates. El Comité de ministros también recomendó a los Estados que examinaran la conveniencia de incluir en sus marcos reglamentarios disposiciones que establecieran que se facilitara tiempo de emisión gratuito a los candidatos en los servicios públicos de radiodifusión durante el período electoral, “</w:t>
      </w:r>
      <w:r w:rsidR="00913875" w:rsidRPr="00E37AB4">
        <w:rPr>
          <w:rFonts w:ascii="Verdana" w:hAnsi="Verdana" w:cs="Arial"/>
          <w:i/>
          <w:iCs/>
          <w:sz w:val="20"/>
          <w:szCs w:val="20"/>
          <w:lang w:val="es-ES"/>
        </w:rPr>
        <w:t>de manera justa y no discriminatoria</w:t>
      </w:r>
      <w:r w:rsidR="00913875" w:rsidRPr="004D0C53">
        <w:rPr>
          <w:rFonts w:ascii="Verdana" w:hAnsi="Verdana" w:cs="Arial"/>
          <w:sz w:val="20"/>
          <w:szCs w:val="20"/>
          <w:lang w:val="es-ES"/>
        </w:rPr>
        <w:t>” y “</w:t>
      </w:r>
      <w:r w:rsidR="00913875" w:rsidRPr="00E37AB4">
        <w:rPr>
          <w:rFonts w:ascii="Verdana" w:hAnsi="Verdana" w:cs="Arial"/>
          <w:i/>
          <w:iCs/>
          <w:sz w:val="20"/>
          <w:szCs w:val="20"/>
          <w:lang w:val="es-ES"/>
        </w:rPr>
        <w:t>sobre la base de criterios transparentes y objetivos</w:t>
      </w:r>
      <w:r w:rsidR="00913875" w:rsidRPr="004D0C53">
        <w:rPr>
          <w:rFonts w:ascii="Verdana" w:hAnsi="Verdana" w:cs="Arial"/>
          <w:sz w:val="20"/>
          <w:szCs w:val="20"/>
          <w:lang w:val="es-ES"/>
        </w:rPr>
        <w:t>”</w:t>
      </w:r>
      <w:r w:rsidR="00913875" w:rsidRPr="004D0C53">
        <w:rPr>
          <w:rStyle w:val="FootnoteReference"/>
          <w:rFonts w:ascii="Verdana" w:hAnsi="Verdana" w:cs="Arial"/>
          <w:sz w:val="20"/>
          <w:szCs w:val="20"/>
          <w:lang w:val="es-ES"/>
        </w:rPr>
        <w:footnoteReference w:id="88"/>
      </w:r>
      <w:r w:rsidR="00913875" w:rsidRPr="004D0C53">
        <w:rPr>
          <w:rFonts w:ascii="Verdana" w:hAnsi="Verdana" w:cs="Arial"/>
          <w:sz w:val="20"/>
          <w:szCs w:val="20"/>
          <w:lang w:val="es-ES"/>
        </w:rPr>
        <w:t>.  </w:t>
      </w:r>
    </w:p>
    <w:p w14:paraId="65868A56" w14:textId="77777777" w:rsidR="00913875" w:rsidRPr="004D0C53" w:rsidRDefault="00913875" w:rsidP="00913875">
      <w:pPr>
        <w:pStyle w:val="ListParagraph"/>
        <w:rPr>
          <w:rFonts w:ascii="Verdana" w:hAnsi="Verdana" w:cs="Arial"/>
          <w:sz w:val="20"/>
          <w:szCs w:val="20"/>
          <w:lang w:val="es-ES"/>
        </w:rPr>
      </w:pPr>
    </w:p>
    <w:p w14:paraId="7575EA9E" w14:textId="59CE1A56" w:rsidR="00913875" w:rsidRPr="004D0C53" w:rsidRDefault="00C91211"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7</w:t>
      </w:r>
      <w:r w:rsidR="00627556">
        <w:rPr>
          <w:rFonts w:ascii="Verdana" w:hAnsi="Verdana" w:cs="Arial"/>
          <w:sz w:val="20"/>
          <w:szCs w:val="20"/>
          <w:lang w:val="es-ES"/>
        </w:rPr>
        <w:t>8</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Por otra parte, también ha señalado que “el Consejo Interparlamentario (órgano de la Unión Interparlamentaria con sede en Ginebra), en su 154ª sesión celebrada en París el 26 de marzo de 1994, aprobó la “</w:t>
      </w:r>
      <w:r w:rsidR="00913875" w:rsidRPr="00E37AB4">
        <w:rPr>
          <w:rFonts w:ascii="Verdana" w:hAnsi="Verdana" w:cs="Arial"/>
          <w:i/>
          <w:iCs/>
          <w:sz w:val="20"/>
          <w:szCs w:val="20"/>
          <w:lang w:val="es-ES"/>
        </w:rPr>
        <w:t>Declaración sobre los criterios para la celebración de elecciones libres y justas</w:t>
      </w:r>
      <w:r w:rsidR="00913875" w:rsidRPr="004D0C53">
        <w:rPr>
          <w:rFonts w:ascii="Verdana" w:hAnsi="Verdana" w:cs="Arial"/>
          <w:sz w:val="20"/>
          <w:szCs w:val="20"/>
          <w:lang w:val="es-ES"/>
        </w:rPr>
        <w:t xml:space="preserve">”. De conformidad con esa Declaración, </w:t>
      </w:r>
      <w:r w:rsidR="00731E3A">
        <w:rPr>
          <w:rFonts w:ascii="Verdana" w:hAnsi="Verdana" w:cs="Arial"/>
          <w:sz w:val="20"/>
          <w:szCs w:val="20"/>
          <w:lang w:val="es-ES"/>
        </w:rPr>
        <w:t>“</w:t>
      </w:r>
      <w:r w:rsidR="00913875" w:rsidRPr="004D0C53">
        <w:rPr>
          <w:rFonts w:ascii="Verdana" w:hAnsi="Verdana" w:cs="Arial"/>
          <w:sz w:val="20"/>
          <w:szCs w:val="20"/>
          <w:lang w:val="es-ES"/>
        </w:rPr>
        <w:t>todos los candidatos deben tener igualdad de oportunidades de acceso a los medios de comunicación, en particular a los medios de comunicación de masas, para exponer sus opiniones políticas. Todos deben tener derecho a hacer campaña en igualdad de condiciones con otros partidos políticos, incluido el partido que forme el gobierno en funciones, y a buscar, recibir y difundir información y a tomar decisiones con conocimiento de causa. Los Estados deben garantizar una cobertura no partidista en los medios de comunicación estatales y de servicio público y la igualdad de acceso a esos medios”</w:t>
      </w:r>
      <w:r w:rsidR="00913875" w:rsidRPr="004D0C53">
        <w:rPr>
          <w:rStyle w:val="FootnoteReference"/>
          <w:rFonts w:ascii="Verdana" w:hAnsi="Verdana" w:cs="Arial"/>
          <w:sz w:val="20"/>
          <w:szCs w:val="20"/>
          <w:lang w:val="es-ES"/>
        </w:rPr>
        <w:footnoteReference w:id="89"/>
      </w:r>
      <w:r w:rsidR="00913875" w:rsidRPr="004D0C53">
        <w:rPr>
          <w:rFonts w:ascii="Verdana" w:hAnsi="Verdana" w:cs="Arial"/>
          <w:sz w:val="20"/>
          <w:szCs w:val="20"/>
          <w:lang w:val="es-ES"/>
        </w:rPr>
        <w:t xml:space="preserve">. </w:t>
      </w:r>
    </w:p>
    <w:p w14:paraId="47B6A662" w14:textId="77777777" w:rsidR="00913875" w:rsidRPr="004D0C53" w:rsidRDefault="00913875" w:rsidP="00913875">
      <w:pPr>
        <w:pStyle w:val="ListParagraph"/>
        <w:rPr>
          <w:rFonts w:ascii="Verdana" w:hAnsi="Verdana" w:cs="Arial"/>
          <w:sz w:val="20"/>
          <w:szCs w:val="20"/>
          <w:lang w:val="es-ES"/>
        </w:rPr>
      </w:pPr>
    </w:p>
    <w:p w14:paraId="4519E886" w14:textId="5B83FBDF" w:rsidR="00913875" w:rsidRPr="004D0C53" w:rsidRDefault="00C91211"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7</w:t>
      </w:r>
      <w:r w:rsidR="00627556">
        <w:rPr>
          <w:rFonts w:ascii="Verdana" w:hAnsi="Verdana" w:cs="Arial"/>
          <w:sz w:val="20"/>
          <w:szCs w:val="20"/>
          <w:lang w:val="es-ES"/>
        </w:rPr>
        <w:t>9</w:t>
      </w:r>
      <w:r w:rsidR="001C53EF">
        <w:rPr>
          <w:rFonts w:ascii="Verdana" w:hAnsi="Verdana" w:cs="Arial"/>
          <w:sz w:val="20"/>
          <w:szCs w:val="20"/>
          <w:lang w:val="es-ES"/>
        </w:rPr>
        <w:t xml:space="preserve">. </w:t>
      </w:r>
      <w:r w:rsidR="001C53EF">
        <w:rPr>
          <w:rFonts w:ascii="Verdana" w:hAnsi="Verdana" w:cs="Arial"/>
          <w:sz w:val="20"/>
          <w:szCs w:val="20"/>
          <w:lang w:val="es-ES"/>
        </w:rPr>
        <w:tab/>
      </w:r>
      <w:r w:rsidR="00731E3A">
        <w:rPr>
          <w:rFonts w:ascii="Verdana" w:hAnsi="Verdana" w:cs="Arial"/>
          <w:sz w:val="20"/>
          <w:szCs w:val="20"/>
          <w:lang w:val="es-ES"/>
        </w:rPr>
        <w:t>Como se puede observar</w:t>
      </w:r>
      <w:r w:rsidR="00BA77AA">
        <w:rPr>
          <w:rFonts w:ascii="Verdana" w:hAnsi="Verdana" w:cs="Arial"/>
          <w:sz w:val="20"/>
          <w:szCs w:val="20"/>
          <w:lang w:val="es-ES"/>
        </w:rPr>
        <w:t>,</w:t>
      </w:r>
      <w:r w:rsidR="00913875" w:rsidRPr="004D0C53">
        <w:rPr>
          <w:rFonts w:ascii="Verdana" w:hAnsi="Verdana" w:cs="Arial"/>
          <w:sz w:val="20"/>
          <w:szCs w:val="20"/>
          <w:lang w:val="es-ES"/>
        </w:rPr>
        <w:t xml:space="preserve"> este pronunciamiento que hace la Corte IDH no </w:t>
      </w:r>
      <w:r w:rsidR="00731E3A">
        <w:rPr>
          <w:rFonts w:ascii="Verdana" w:hAnsi="Verdana" w:cs="Arial"/>
          <w:sz w:val="20"/>
          <w:szCs w:val="20"/>
          <w:lang w:val="es-ES"/>
        </w:rPr>
        <w:t xml:space="preserve">se realiza de manera </w:t>
      </w:r>
      <w:r w:rsidR="00913875" w:rsidRPr="004D0C53">
        <w:rPr>
          <w:rFonts w:ascii="Verdana" w:hAnsi="Verdana" w:cs="Arial"/>
          <w:sz w:val="20"/>
          <w:szCs w:val="20"/>
          <w:lang w:val="es-ES"/>
        </w:rPr>
        <w:t>aislad</w:t>
      </w:r>
      <w:r w:rsidR="00731E3A">
        <w:rPr>
          <w:rFonts w:ascii="Verdana" w:hAnsi="Verdana" w:cs="Arial"/>
          <w:sz w:val="20"/>
          <w:szCs w:val="20"/>
          <w:lang w:val="es-ES"/>
        </w:rPr>
        <w:t>a</w:t>
      </w:r>
      <w:r w:rsidR="000E3100">
        <w:rPr>
          <w:rFonts w:ascii="Verdana" w:hAnsi="Verdana" w:cs="Arial"/>
          <w:sz w:val="20"/>
          <w:szCs w:val="20"/>
          <w:lang w:val="es-ES"/>
        </w:rPr>
        <w:t>,</w:t>
      </w:r>
      <w:r w:rsidR="00913875" w:rsidRPr="004D0C53">
        <w:rPr>
          <w:rFonts w:ascii="Verdana" w:hAnsi="Verdana" w:cs="Arial"/>
          <w:sz w:val="20"/>
          <w:szCs w:val="20"/>
          <w:lang w:val="es-ES"/>
        </w:rPr>
        <w:t xml:space="preserve"> ya que refuerza </w:t>
      </w:r>
      <w:r w:rsidR="000E3100">
        <w:rPr>
          <w:rFonts w:ascii="Verdana" w:hAnsi="Verdana" w:cs="Arial"/>
          <w:sz w:val="20"/>
          <w:szCs w:val="20"/>
          <w:lang w:val="es-ES"/>
        </w:rPr>
        <w:t>—</w:t>
      </w:r>
      <w:r w:rsidR="00913875" w:rsidRPr="004D0C53">
        <w:rPr>
          <w:rFonts w:ascii="Verdana" w:hAnsi="Verdana" w:cs="Arial"/>
          <w:sz w:val="20"/>
          <w:szCs w:val="20"/>
          <w:lang w:val="es-ES"/>
        </w:rPr>
        <w:t>en sintonía con el Sistema Europeo</w:t>
      </w:r>
      <w:r w:rsidR="000E3100">
        <w:rPr>
          <w:rFonts w:ascii="Verdana" w:hAnsi="Verdana" w:cs="Arial"/>
          <w:sz w:val="20"/>
          <w:szCs w:val="20"/>
          <w:lang w:val="es-ES"/>
        </w:rPr>
        <w:t>—</w:t>
      </w:r>
      <w:r w:rsidR="00913875" w:rsidRPr="004D0C53">
        <w:rPr>
          <w:rFonts w:ascii="Verdana" w:hAnsi="Verdana" w:cs="Arial"/>
          <w:sz w:val="20"/>
          <w:szCs w:val="20"/>
          <w:lang w:val="es-ES"/>
        </w:rPr>
        <w:t xml:space="preserve"> que una de las formas en las que se podría vulnerar el derecho a ser elegido (vertiente pasiva) es precisamente cuando los medios de comunicación</w:t>
      </w:r>
      <w:r w:rsidR="000E3100">
        <w:rPr>
          <w:rFonts w:ascii="Verdana" w:hAnsi="Verdana" w:cs="Arial"/>
          <w:sz w:val="20"/>
          <w:szCs w:val="20"/>
          <w:lang w:val="es-ES"/>
        </w:rPr>
        <w:t xml:space="preserve"> (</w:t>
      </w:r>
      <w:r w:rsidR="00913875" w:rsidRPr="004D0C53">
        <w:rPr>
          <w:rFonts w:ascii="Verdana" w:hAnsi="Verdana" w:cs="Arial"/>
          <w:sz w:val="20"/>
          <w:szCs w:val="20"/>
          <w:lang w:val="es-ES"/>
        </w:rPr>
        <w:t>tal como ocurrió en este caso</w:t>
      </w:r>
      <w:r w:rsidR="000E3100">
        <w:rPr>
          <w:rFonts w:ascii="Verdana" w:hAnsi="Verdana" w:cs="Arial"/>
          <w:sz w:val="20"/>
          <w:szCs w:val="20"/>
          <w:lang w:val="es-ES"/>
        </w:rPr>
        <w:t>)</w:t>
      </w:r>
      <w:r w:rsidR="00FA7C4D">
        <w:rPr>
          <w:rFonts w:ascii="Verdana" w:hAnsi="Verdana" w:cs="Arial"/>
          <w:sz w:val="20"/>
          <w:szCs w:val="20"/>
          <w:lang w:val="es-ES"/>
        </w:rPr>
        <w:t>,</w:t>
      </w:r>
      <w:r w:rsidR="00913875" w:rsidRPr="004D0C53">
        <w:rPr>
          <w:rFonts w:ascii="Verdana" w:hAnsi="Verdana" w:cs="Arial"/>
          <w:sz w:val="20"/>
          <w:szCs w:val="20"/>
          <w:lang w:val="es-ES"/>
        </w:rPr>
        <w:t xml:space="preserve"> de manera desproporcionada</w:t>
      </w:r>
      <w:r w:rsidR="00FA7C4D">
        <w:rPr>
          <w:rFonts w:ascii="Verdana" w:hAnsi="Verdana" w:cs="Arial"/>
          <w:sz w:val="20"/>
          <w:szCs w:val="20"/>
          <w:lang w:val="es-ES"/>
        </w:rPr>
        <w:t>,</w:t>
      </w:r>
      <w:r w:rsidR="00913875" w:rsidRPr="004D0C53">
        <w:rPr>
          <w:rFonts w:ascii="Verdana" w:hAnsi="Verdana" w:cs="Arial"/>
          <w:sz w:val="20"/>
          <w:szCs w:val="20"/>
          <w:lang w:val="es-ES"/>
        </w:rPr>
        <w:t xml:space="preserve"> quebrantan el </w:t>
      </w:r>
      <w:r w:rsidR="00913875" w:rsidRPr="000E3100">
        <w:rPr>
          <w:rFonts w:ascii="Verdana" w:hAnsi="Verdana" w:cs="Arial"/>
          <w:i/>
          <w:iCs/>
          <w:sz w:val="20"/>
          <w:szCs w:val="20"/>
          <w:lang w:val="es-ES"/>
        </w:rPr>
        <w:t>principio de equidad en la contienda</w:t>
      </w:r>
      <w:r w:rsidR="00913875" w:rsidRPr="004D0C53">
        <w:rPr>
          <w:rFonts w:ascii="Verdana" w:hAnsi="Verdana" w:cs="Arial"/>
          <w:sz w:val="20"/>
          <w:szCs w:val="20"/>
          <w:lang w:val="es-ES"/>
        </w:rPr>
        <w:t xml:space="preserve"> al preferir una </w:t>
      </w:r>
      <w:r w:rsidR="00913875" w:rsidRPr="004D0C53">
        <w:rPr>
          <w:rFonts w:ascii="Verdana" w:hAnsi="Verdana" w:cs="Arial"/>
          <w:sz w:val="20"/>
          <w:szCs w:val="20"/>
          <w:lang w:val="es-ES"/>
        </w:rPr>
        <w:lastRenderedPageBreak/>
        <w:t xml:space="preserve">candidatura sobre otra, generando una sobreexposición comunicacional </w:t>
      </w:r>
      <w:r w:rsidR="000E3100">
        <w:rPr>
          <w:rFonts w:ascii="Verdana" w:hAnsi="Verdana" w:cs="Arial"/>
          <w:sz w:val="20"/>
          <w:szCs w:val="20"/>
          <w:lang w:val="es-ES"/>
        </w:rPr>
        <w:t xml:space="preserve">, </w:t>
      </w:r>
      <w:r w:rsidR="00913875" w:rsidRPr="004D0C53">
        <w:rPr>
          <w:rFonts w:ascii="Verdana" w:hAnsi="Verdana" w:cs="Arial"/>
          <w:sz w:val="20"/>
          <w:szCs w:val="20"/>
          <w:lang w:val="es-ES"/>
        </w:rPr>
        <w:t>ya sea en el sistema</w:t>
      </w:r>
      <w:r w:rsidR="00913875">
        <w:rPr>
          <w:rFonts w:ascii="Verdana" w:hAnsi="Verdana" w:cs="Arial"/>
          <w:sz w:val="20"/>
          <w:szCs w:val="20"/>
          <w:lang w:val="es-ES"/>
        </w:rPr>
        <w:t xml:space="preserve"> de t</w:t>
      </w:r>
      <w:r w:rsidR="00913875" w:rsidRPr="004D0C53">
        <w:rPr>
          <w:rFonts w:ascii="Verdana" w:hAnsi="Verdana" w:cs="Arial"/>
          <w:sz w:val="20"/>
          <w:szCs w:val="20"/>
          <w:lang w:val="es-ES"/>
        </w:rPr>
        <w:t>elevisión público de radio o en redes sociales</w:t>
      </w:r>
      <w:r w:rsidR="00913875" w:rsidRPr="004D0C53">
        <w:rPr>
          <w:rStyle w:val="FootnoteReference"/>
          <w:rFonts w:ascii="Verdana" w:hAnsi="Verdana" w:cs="Arial"/>
          <w:sz w:val="20"/>
          <w:szCs w:val="20"/>
          <w:lang w:val="es-ES"/>
        </w:rPr>
        <w:footnoteReference w:id="90"/>
      </w:r>
      <w:r w:rsidR="00913875" w:rsidRPr="004D0C53">
        <w:rPr>
          <w:rFonts w:ascii="Verdana" w:hAnsi="Verdana" w:cs="Arial"/>
          <w:sz w:val="20"/>
          <w:szCs w:val="20"/>
          <w:lang w:val="es-ES"/>
        </w:rPr>
        <w:t xml:space="preserve">. Así, </w:t>
      </w:r>
      <w:r w:rsidR="00913875" w:rsidRPr="000E3100">
        <w:rPr>
          <w:rFonts w:ascii="Verdana" w:hAnsi="Verdana" w:cs="Arial"/>
          <w:i/>
          <w:iCs/>
          <w:sz w:val="20"/>
          <w:szCs w:val="20"/>
          <w:lang w:val="es-ES"/>
        </w:rPr>
        <w:t>existe una intrínseca relación entre el derecho a la equidad en la contienda del candidato (arts. 23 y 24 de la CADH) con la libertad de expresión (arts. 13 y 24)</w:t>
      </w:r>
      <w:r w:rsidR="00913875" w:rsidRPr="004D0C53">
        <w:rPr>
          <w:rFonts w:ascii="Verdana" w:hAnsi="Verdana" w:cs="Arial"/>
          <w:sz w:val="20"/>
          <w:szCs w:val="20"/>
          <w:lang w:val="es-ES"/>
        </w:rPr>
        <w:t xml:space="preserve">.  </w:t>
      </w:r>
    </w:p>
    <w:p w14:paraId="0DFA3E3D" w14:textId="77777777" w:rsidR="00913875" w:rsidRPr="004D0C53" w:rsidRDefault="00913875" w:rsidP="00913875">
      <w:pPr>
        <w:pStyle w:val="ListParagraph"/>
        <w:rPr>
          <w:rFonts w:ascii="Verdana" w:hAnsi="Verdana" w:cs="Arial"/>
          <w:sz w:val="20"/>
          <w:szCs w:val="20"/>
          <w:lang w:val="es-ES"/>
        </w:rPr>
      </w:pPr>
    </w:p>
    <w:p w14:paraId="543270AB" w14:textId="77FCAACD" w:rsidR="00913875" w:rsidRPr="004D0C53" w:rsidRDefault="00627556"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80</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E0396">
        <w:rPr>
          <w:rFonts w:ascii="Verdana" w:hAnsi="Verdana" w:cs="Arial"/>
          <w:sz w:val="20"/>
          <w:szCs w:val="20"/>
          <w:lang w:val="es-ES"/>
        </w:rPr>
        <w:t xml:space="preserve">En cuarto lugar, </w:t>
      </w:r>
      <w:r w:rsidR="00913875" w:rsidRPr="004D0C53">
        <w:rPr>
          <w:rFonts w:ascii="Verdana" w:hAnsi="Verdana" w:cs="Arial"/>
          <w:sz w:val="20"/>
          <w:szCs w:val="20"/>
          <w:lang w:val="es-ES"/>
        </w:rPr>
        <w:t>la Corte IDH, de manera implícita</w:t>
      </w:r>
      <w:r w:rsidR="000E3100">
        <w:rPr>
          <w:rFonts w:ascii="Verdana" w:hAnsi="Verdana" w:cs="Arial"/>
          <w:sz w:val="20"/>
          <w:szCs w:val="20"/>
          <w:lang w:val="es-ES"/>
        </w:rPr>
        <w:t>,</w:t>
      </w:r>
      <w:r w:rsidR="00913875" w:rsidRPr="004D0C53">
        <w:rPr>
          <w:rFonts w:ascii="Verdana" w:hAnsi="Verdana" w:cs="Arial"/>
          <w:sz w:val="20"/>
          <w:szCs w:val="20"/>
          <w:lang w:val="es-ES"/>
        </w:rPr>
        <w:t xml:space="preserve"> entiende que a partir de los artículos 1</w:t>
      </w:r>
      <w:r w:rsidR="00CE1A5A">
        <w:rPr>
          <w:rFonts w:ascii="Verdana" w:hAnsi="Verdana" w:cs="Arial"/>
          <w:sz w:val="20"/>
          <w:szCs w:val="20"/>
          <w:lang w:val="es-ES"/>
        </w:rPr>
        <w:t>3</w:t>
      </w:r>
      <w:r w:rsidR="00913875" w:rsidRPr="004D0C53">
        <w:rPr>
          <w:rFonts w:ascii="Verdana" w:hAnsi="Verdana" w:cs="Arial"/>
          <w:sz w:val="20"/>
          <w:szCs w:val="20"/>
          <w:lang w:val="es-ES"/>
        </w:rPr>
        <w:t>, 23, y 24</w:t>
      </w:r>
      <w:r w:rsidR="00731E3A">
        <w:rPr>
          <w:rFonts w:ascii="Verdana" w:hAnsi="Verdana" w:cs="Arial"/>
          <w:sz w:val="20"/>
          <w:szCs w:val="20"/>
          <w:lang w:val="es-ES"/>
        </w:rPr>
        <w:t xml:space="preserve"> del Pacto de San José</w:t>
      </w:r>
      <w:r w:rsidR="00913875" w:rsidRPr="004D0C53">
        <w:rPr>
          <w:rFonts w:ascii="Verdana" w:hAnsi="Verdana" w:cs="Arial"/>
          <w:sz w:val="20"/>
          <w:szCs w:val="20"/>
          <w:lang w:val="es-ES"/>
        </w:rPr>
        <w:t xml:space="preserve">, en conjunción con los artículos 1.1 y 2, tanto el derecho a ser votado como el hecho de que se respete y garantice la equidad en la contienda, necesariamente </w:t>
      </w:r>
      <w:r w:rsidR="00731E3A">
        <w:rPr>
          <w:rFonts w:ascii="Verdana" w:hAnsi="Verdana" w:cs="Arial"/>
          <w:sz w:val="20"/>
          <w:szCs w:val="20"/>
          <w:lang w:val="es-ES"/>
        </w:rPr>
        <w:t>requiere</w:t>
      </w:r>
      <w:r w:rsidR="00913875" w:rsidRPr="004D0C53">
        <w:rPr>
          <w:rFonts w:ascii="Verdana" w:hAnsi="Verdana" w:cs="Arial"/>
          <w:sz w:val="20"/>
          <w:szCs w:val="20"/>
          <w:lang w:val="es-ES"/>
        </w:rPr>
        <w:t xml:space="preserve"> que se cristalice </w:t>
      </w:r>
      <w:r w:rsidR="00913875" w:rsidRPr="000146A3">
        <w:rPr>
          <w:rFonts w:ascii="Verdana" w:hAnsi="Verdana" w:cs="Arial"/>
          <w:i/>
          <w:iCs/>
          <w:sz w:val="20"/>
          <w:szCs w:val="20"/>
          <w:lang w:val="es-ES"/>
        </w:rPr>
        <w:t>el principio de integridad electoral</w:t>
      </w:r>
      <w:r w:rsidR="00913875" w:rsidRPr="004D0C53">
        <w:rPr>
          <w:rFonts w:ascii="Verdana" w:hAnsi="Verdana" w:cs="Arial"/>
          <w:sz w:val="20"/>
          <w:szCs w:val="20"/>
          <w:lang w:val="es-ES"/>
        </w:rPr>
        <w:t xml:space="preserve"> en todas las etapas de la elección</w:t>
      </w:r>
      <w:r w:rsidR="00913875" w:rsidRPr="004D0C53">
        <w:rPr>
          <w:rStyle w:val="FootnoteReference"/>
          <w:rFonts w:ascii="Verdana" w:hAnsi="Verdana" w:cs="Arial"/>
          <w:sz w:val="20"/>
          <w:szCs w:val="20"/>
          <w:lang w:val="es-ES"/>
        </w:rPr>
        <w:footnoteReference w:id="91"/>
      </w:r>
      <w:r w:rsidR="00913875" w:rsidRPr="004D0C53">
        <w:rPr>
          <w:rFonts w:ascii="Verdana" w:hAnsi="Verdana" w:cs="Arial"/>
          <w:sz w:val="20"/>
          <w:szCs w:val="20"/>
          <w:lang w:val="es-ES"/>
        </w:rPr>
        <w:t xml:space="preserve">. En concreto, la Corte IDH precisó: </w:t>
      </w:r>
    </w:p>
    <w:p w14:paraId="2E19270A" w14:textId="77777777" w:rsidR="00913875" w:rsidRPr="004D0C53" w:rsidRDefault="00913875" w:rsidP="00913875">
      <w:pPr>
        <w:pStyle w:val="ListParagraph"/>
        <w:rPr>
          <w:rFonts w:ascii="Verdana" w:hAnsi="Verdana" w:cs="Arial"/>
          <w:sz w:val="20"/>
          <w:szCs w:val="20"/>
          <w:lang w:val="es-ES"/>
        </w:rPr>
      </w:pPr>
    </w:p>
    <w:p w14:paraId="15FB7916" w14:textId="77777777" w:rsidR="00913875" w:rsidRPr="004D0C53" w:rsidRDefault="00913875" w:rsidP="00913875">
      <w:pPr>
        <w:pStyle w:val="ListParagraph"/>
        <w:ind w:left="708"/>
        <w:jc w:val="both"/>
        <w:rPr>
          <w:rFonts w:ascii="Verdana" w:hAnsi="Verdana"/>
          <w:sz w:val="16"/>
          <w:szCs w:val="16"/>
          <w:lang w:val="es-ES"/>
        </w:rPr>
      </w:pPr>
      <w:r w:rsidRPr="004D0C53">
        <w:rPr>
          <w:rFonts w:ascii="Verdana" w:hAnsi="Verdana"/>
          <w:sz w:val="16"/>
          <w:szCs w:val="16"/>
          <w:lang w:val="es-ES"/>
        </w:rPr>
        <w:t xml:space="preserve">106. […]El sistema electoral debe garantizar oportunidades efectivas para que las personas puedan acceder a las funciones públicas o a cargos de representación política, en condiciones generales de igualdad. De esta forma, los Estados tienen la obligación de garantizar la integridad de los procesos electorales, de forma tal que la conducción de las elecciones sea llevada a cabo de conformidad con el principio democrático, y proteja los derechos tanto de quienes compiten por un cargo público como de sus electores. En este sentido, y tomando nota de distintos instrumentos e instancias internacionales que han desarrollado el contenido de los derechos políticos, la Corte considera que </w:t>
      </w:r>
      <w:r w:rsidRPr="00FA7C4D">
        <w:rPr>
          <w:rFonts w:ascii="Verdana" w:hAnsi="Verdana"/>
          <w:b/>
          <w:bCs/>
          <w:i/>
          <w:iCs/>
          <w:sz w:val="16"/>
          <w:szCs w:val="16"/>
          <w:lang w:val="es-ES"/>
        </w:rPr>
        <w:t>la obligación de preservar la integridad electoral</w:t>
      </w:r>
      <w:r w:rsidRPr="004D0C53">
        <w:rPr>
          <w:rFonts w:ascii="Verdana" w:hAnsi="Verdana"/>
          <w:sz w:val="16"/>
          <w:szCs w:val="16"/>
          <w:lang w:val="es-ES"/>
        </w:rPr>
        <w:t xml:space="preserve"> requiere a los Estados garantizar, </w:t>
      </w:r>
      <w:r w:rsidRPr="00FA7C4D">
        <w:rPr>
          <w:rFonts w:ascii="Verdana" w:hAnsi="Verdana"/>
          <w:b/>
          <w:bCs/>
          <w:sz w:val="16"/>
          <w:szCs w:val="16"/>
          <w:lang w:val="es-ES"/>
        </w:rPr>
        <w:t>como mínimo</w:t>
      </w:r>
      <w:r w:rsidRPr="004D0C53">
        <w:rPr>
          <w:rFonts w:ascii="Verdana" w:hAnsi="Verdana"/>
          <w:sz w:val="16"/>
          <w:szCs w:val="16"/>
          <w:lang w:val="es-ES"/>
        </w:rPr>
        <w:t>, y de conformidad con el derecho interno, lo siguiente:</w:t>
      </w:r>
    </w:p>
    <w:p w14:paraId="6B60FB49" w14:textId="77777777" w:rsidR="00913875" w:rsidRPr="004D0C53" w:rsidRDefault="00913875" w:rsidP="00913875">
      <w:pPr>
        <w:pStyle w:val="ListParagraph"/>
        <w:rPr>
          <w:rFonts w:ascii="Verdana" w:hAnsi="Verdana"/>
          <w:sz w:val="16"/>
          <w:szCs w:val="16"/>
          <w:lang w:val="es-ES"/>
        </w:rPr>
      </w:pPr>
    </w:p>
    <w:p w14:paraId="02950580" w14:textId="77777777" w:rsidR="00913875" w:rsidRPr="004D0C53" w:rsidRDefault="00913875" w:rsidP="00913875">
      <w:pPr>
        <w:pStyle w:val="ListParagraph"/>
        <w:numPr>
          <w:ilvl w:val="3"/>
          <w:numId w:val="8"/>
        </w:numPr>
        <w:spacing w:after="0" w:line="240" w:lineRule="auto"/>
        <w:ind w:left="851" w:firstLine="0"/>
        <w:jc w:val="both"/>
        <w:rPr>
          <w:rFonts w:ascii="Verdana" w:hAnsi="Verdana"/>
          <w:sz w:val="16"/>
          <w:szCs w:val="16"/>
          <w:lang w:val="es-ES"/>
        </w:rPr>
      </w:pPr>
      <w:r w:rsidRPr="004D0C53">
        <w:rPr>
          <w:rFonts w:ascii="Verdana" w:hAnsi="Verdana"/>
          <w:sz w:val="16"/>
          <w:szCs w:val="16"/>
          <w:lang w:val="es-ES"/>
        </w:rPr>
        <w:t>transparencia a lo largo del proceso electoral, particularmente en el financiamiento de las campañas y en la fase de conteo de resultados, así como la participación de testigos, fiscales y/o veedores pertenecientes a los partidos políticos y/o la sociedad civil, y la presencia de observadores nacionales e internacionales independientes;</w:t>
      </w:r>
    </w:p>
    <w:p w14:paraId="2A00BB38" w14:textId="77777777" w:rsidR="00913875" w:rsidRPr="004D0C53" w:rsidRDefault="00913875" w:rsidP="00913875">
      <w:pPr>
        <w:pStyle w:val="ListParagraph"/>
        <w:ind w:left="851"/>
        <w:jc w:val="both"/>
        <w:rPr>
          <w:rFonts w:ascii="Verdana" w:hAnsi="Verdana"/>
          <w:sz w:val="16"/>
          <w:szCs w:val="16"/>
          <w:lang w:val="es-ES"/>
        </w:rPr>
      </w:pPr>
    </w:p>
    <w:p w14:paraId="791B2444" w14:textId="77777777" w:rsidR="00913875" w:rsidRPr="004D0C53" w:rsidRDefault="00913875" w:rsidP="00913875">
      <w:pPr>
        <w:pStyle w:val="ListParagraph"/>
        <w:numPr>
          <w:ilvl w:val="3"/>
          <w:numId w:val="8"/>
        </w:numPr>
        <w:spacing w:after="0" w:line="240" w:lineRule="auto"/>
        <w:ind w:left="851" w:firstLine="0"/>
        <w:jc w:val="both"/>
        <w:rPr>
          <w:rFonts w:ascii="Verdana" w:hAnsi="Verdana"/>
          <w:sz w:val="16"/>
          <w:szCs w:val="16"/>
          <w:lang w:val="es-ES"/>
        </w:rPr>
      </w:pPr>
      <w:r w:rsidRPr="004D0C53">
        <w:rPr>
          <w:rFonts w:ascii="Verdana" w:hAnsi="Verdana"/>
          <w:sz w:val="16"/>
          <w:szCs w:val="16"/>
          <w:lang w:val="es-ES"/>
        </w:rPr>
        <w:t>oportunidades para que quienes compiten por un cargo público puedan dar a conocer sus propuestas a través de medios de comunicación</w:t>
      </w:r>
      <w:r w:rsidRPr="004D0C53">
        <w:rPr>
          <w:rFonts w:ascii="Verdana" w:hAnsi="Verdana"/>
          <w:strike/>
          <w:sz w:val="16"/>
          <w:szCs w:val="16"/>
          <w:lang w:val="es-ES"/>
        </w:rPr>
        <w:t xml:space="preserve"> </w:t>
      </w:r>
      <w:r w:rsidRPr="004D0C53">
        <w:rPr>
          <w:rFonts w:ascii="Verdana" w:hAnsi="Verdana"/>
          <w:sz w:val="16"/>
          <w:szCs w:val="16"/>
          <w:lang w:val="es-ES"/>
        </w:rPr>
        <w:t xml:space="preserve">tradicionales y digitales, y para que la ciudadanía tenga acceso a la información sobre las campañas electorales; </w:t>
      </w:r>
    </w:p>
    <w:p w14:paraId="214B3C24" w14:textId="77777777" w:rsidR="00913875" w:rsidRPr="004D0C53" w:rsidRDefault="00913875" w:rsidP="00913875">
      <w:pPr>
        <w:pStyle w:val="ListParagraph"/>
        <w:ind w:left="851"/>
        <w:jc w:val="both"/>
        <w:rPr>
          <w:rFonts w:ascii="Verdana" w:hAnsi="Verdana"/>
          <w:sz w:val="16"/>
          <w:szCs w:val="16"/>
          <w:lang w:val="es-ES"/>
        </w:rPr>
      </w:pPr>
    </w:p>
    <w:p w14:paraId="5E4EF93C" w14:textId="77777777" w:rsidR="00913875" w:rsidRPr="004D0C53" w:rsidRDefault="00913875" w:rsidP="00913875">
      <w:pPr>
        <w:pStyle w:val="ListParagraph"/>
        <w:numPr>
          <w:ilvl w:val="3"/>
          <w:numId w:val="8"/>
        </w:numPr>
        <w:spacing w:after="0" w:line="240" w:lineRule="auto"/>
        <w:ind w:left="851" w:firstLine="0"/>
        <w:jc w:val="both"/>
        <w:rPr>
          <w:rFonts w:ascii="Verdana" w:hAnsi="Verdana"/>
          <w:sz w:val="16"/>
          <w:szCs w:val="16"/>
          <w:lang w:val="es-ES"/>
        </w:rPr>
      </w:pPr>
      <w:r w:rsidRPr="004D0C53">
        <w:rPr>
          <w:rFonts w:ascii="Verdana" w:hAnsi="Verdana"/>
          <w:sz w:val="16"/>
          <w:szCs w:val="16"/>
          <w:lang w:val="es-ES"/>
        </w:rPr>
        <w:t>evitar el uso abusivo del aparato del Estado en favor de un candidato o candidata, o grupo político, por ejemplo, a través de la participación de servidores públicos, en ejercicio de sus funciones, en actos de proselitismo, el uso de recursos públicos en el proceso electoral, o la coacción del voto;</w:t>
      </w:r>
    </w:p>
    <w:p w14:paraId="16BC4991" w14:textId="77777777" w:rsidR="00913875" w:rsidRPr="004D0C53" w:rsidRDefault="00913875" w:rsidP="00913875">
      <w:pPr>
        <w:pStyle w:val="ListParagraph"/>
        <w:ind w:left="851"/>
        <w:jc w:val="both"/>
        <w:rPr>
          <w:rFonts w:ascii="Verdana" w:hAnsi="Verdana"/>
          <w:sz w:val="16"/>
          <w:szCs w:val="16"/>
          <w:lang w:val="es-ES"/>
        </w:rPr>
      </w:pPr>
    </w:p>
    <w:p w14:paraId="67971A56" w14:textId="0A1CA062" w:rsidR="00913875" w:rsidRDefault="00913875" w:rsidP="00913875">
      <w:pPr>
        <w:pStyle w:val="ListParagraph"/>
        <w:numPr>
          <w:ilvl w:val="3"/>
          <w:numId w:val="8"/>
        </w:numPr>
        <w:spacing w:after="0" w:line="240" w:lineRule="auto"/>
        <w:ind w:left="851" w:firstLine="0"/>
        <w:jc w:val="both"/>
        <w:rPr>
          <w:rFonts w:ascii="Verdana" w:hAnsi="Verdana"/>
          <w:sz w:val="16"/>
          <w:szCs w:val="16"/>
          <w:lang w:val="es-ES"/>
        </w:rPr>
      </w:pPr>
      <w:r w:rsidRPr="004D0C53">
        <w:rPr>
          <w:rFonts w:ascii="Verdana" w:hAnsi="Verdana"/>
          <w:sz w:val="16"/>
          <w:szCs w:val="16"/>
          <w:lang w:val="es-ES"/>
        </w:rPr>
        <w:t>imparcialidad,</w:t>
      </w:r>
      <w:r w:rsidRPr="004D0C53" w:rsidDel="00494DC6">
        <w:rPr>
          <w:rFonts w:ascii="Verdana" w:hAnsi="Verdana"/>
          <w:sz w:val="16"/>
          <w:szCs w:val="16"/>
          <w:lang w:val="es-ES"/>
        </w:rPr>
        <w:t xml:space="preserve"> </w:t>
      </w:r>
      <w:r w:rsidRPr="004D0C53">
        <w:rPr>
          <w:rFonts w:ascii="Verdana" w:hAnsi="Verdana"/>
          <w:sz w:val="16"/>
          <w:szCs w:val="16"/>
          <w:lang w:val="es-ES"/>
        </w:rPr>
        <w:t>independencia y transparencia de los organismos encargados de la organización de las elecciones en todas las etapas del proceso electoral, incluyendo la etapa de verificación los resultados;</w:t>
      </w:r>
    </w:p>
    <w:p w14:paraId="07419271" w14:textId="77777777" w:rsidR="00CE1A5A" w:rsidRPr="00CE1A5A" w:rsidRDefault="00CE1A5A" w:rsidP="00CE1A5A">
      <w:pPr>
        <w:spacing w:after="0" w:line="240" w:lineRule="auto"/>
        <w:jc w:val="both"/>
        <w:rPr>
          <w:rFonts w:ascii="Verdana" w:hAnsi="Verdana"/>
          <w:sz w:val="16"/>
          <w:szCs w:val="16"/>
          <w:lang w:val="es-ES"/>
        </w:rPr>
      </w:pPr>
    </w:p>
    <w:p w14:paraId="1101F6A5" w14:textId="602FEECC" w:rsidR="00913875" w:rsidRDefault="00913875" w:rsidP="00913875">
      <w:pPr>
        <w:pStyle w:val="ListParagraph"/>
        <w:numPr>
          <w:ilvl w:val="3"/>
          <w:numId w:val="8"/>
        </w:numPr>
        <w:spacing w:after="0" w:line="240" w:lineRule="auto"/>
        <w:ind w:left="851" w:firstLine="0"/>
        <w:jc w:val="both"/>
        <w:rPr>
          <w:rFonts w:ascii="Verdana" w:hAnsi="Verdana"/>
          <w:sz w:val="16"/>
          <w:szCs w:val="16"/>
          <w:lang w:val="es-ES"/>
        </w:rPr>
      </w:pPr>
      <w:r w:rsidRPr="004D0C53">
        <w:rPr>
          <w:rFonts w:ascii="Verdana" w:hAnsi="Verdana"/>
          <w:sz w:val="16"/>
          <w:szCs w:val="16"/>
          <w:lang w:val="es-ES"/>
        </w:rPr>
        <w:t>recursos judiciales o administrativos idóneos y efectivos frente a hechos que atenten contra la integridad electoral</w:t>
      </w:r>
      <w:r>
        <w:rPr>
          <w:rStyle w:val="FootnoteReference"/>
          <w:rFonts w:ascii="Verdana" w:hAnsi="Verdana"/>
          <w:lang w:val="es-ES"/>
        </w:rPr>
        <w:footnoteReference w:id="92"/>
      </w:r>
      <w:r w:rsidRPr="004D0C53">
        <w:rPr>
          <w:rFonts w:ascii="Verdana" w:hAnsi="Verdana"/>
          <w:sz w:val="16"/>
          <w:szCs w:val="16"/>
          <w:lang w:val="es-ES"/>
        </w:rPr>
        <w:t>.</w:t>
      </w:r>
    </w:p>
    <w:p w14:paraId="29E8E7DF" w14:textId="77777777" w:rsidR="00520C2E" w:rsidRPr="00520C2E" w:rsidRDefault="00520C2E" w:rsidP="00520C2E">
      <w:pPr>
        <w:spacing w:after="0" w:line="240" w:lineRule="auto"/>
        <w:jc w:val="both"/>
        <w:rPr>
          <w:rFonts w:ascii="Verdana" w:hAnsi="Verdana"/>
          <w:sz w:val="16"/>
          <w:szCs w:val="16"/>
          <w:lang w:val="es-ES"/>
        </w:rPr>
      </w:pPr>
    </w:p>
    <w:p w14:paraId="726A16A4" w14:textId="2BA176A9" w:rsidR="00C32895" w:rsidRDefault="00627556"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81</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 xml:space="preserve">La </w:t>
      </w:r>
      <w:r w:rsidR="00913875" w:rsidRPr="000E3100">
        <w:rPr>
          <w:rFonts w:ascii="Verdana" w:hAnsi="Verdana" w:cs="Arial"/>
          <w:i/>
          <w:iCs/>
          <w:sz w:val="20"/>
          <w:szCs w:val="20"/>
          <w:lang w:val="es-ES"/>
        </w:rPr>
        <w:t>integridad electoral</w:t>
      </w:r>
      <w:r w:rsidR="00913875" w:rsidRPr="004D0C53">
        <w:rPr>
          <w:rFonts w:ascii="Verdana" w:hAnsi="Verdana" w:cs="Arial"/>
          <w:sz w:val="20"/>
          <w:szCs w:val="20"/>
          <w:lang w:val="es-ES"/>
        </w:rPr>
        <w:t xml:space="preserve"> es un principio que abarca todas las aristas del proceso electoral, desde el voto, los órganos que forman parte del proceso de impugnación electoral hasta el conteo, la publicación de los resultados y la fiscalización de las propias campañas electorales</w:t>
      </w:r>
      <w:r w:rsidR="00913875" w:rsidRPr="004D0C53">
        <w:rPr>
          <w:rStyle w:val="FootnoteReference"/>
          <w:rFonts w:ascii="Verdana" w:hAnsi="Verdana" w:cs="Arial"/>
          <w:sz w:val="20"/>
          <w:szCs w:val="20"/>
          <w:lang w:val="es-ES"/>
        </w:rPr>
        <w:footnoteReference w:id="93"/>
      </w:r>
      <w:r w:rsidR="00913875" w:rsidRPr="004D0C53">
        <w:rPr>
          <w:rFonts w:ascii="Verdana" w:hAnsi="Verdana" w:cs="Arial"/>
          <w:sz w:val="20"/>
          <w:szCs w:val="20"/>
          <w:lang w:val="es-ES"/>
        </w:rPr>
        <w:t xml:space="preserve">. </w:t>
      </w:r>
      <w:r w:rsidR="006643B9" w:rsidRPr="004D0C53">
        <w:rPr>
          <w:rFonts w:ascii="Verdana" w:hAnsi="Verdana" w:cs="Arial"/>
          <w:sz w:val="20"/>
          <w:szCs w:val="20"/>
          <w:lang w:val="es-ES"/>
        </w:rPr>
        <w:t xml:space="preserve">Este principio, dicho sea de paso, ha encontrado en la actualidad </w:t>
      </w:r>
      <w:r w:rsidR="004C1491">
        <w:rPr>
          <w:rFonts w:ascii="Verdana" w:hAnsi="Verdana" w:cs="Arial"/>
          <w:sz w:val="20"/>
          <w:szCs w:val="20"/>
          <w:lang w:val="es-ES"/>
        </w:rPr>
        <w:t xml:space="preserve">una </w:t>
      </w:r>
      <w:r w:rsidR="006643B9" w:rsidRPr="004D0C53">
        <w:rPr>
          <w:rFonts w:ascii="Verdana" w:hAnsi="Verdana" w:cs="Arial"/>
          <w:sz w:val="20"/>
          <w:szCs w:val="20"/>
          <w:lang w:val="es-ES"/>
        </w:rPr>
        <w:t xml:space="preserve">mayor operatividad en las jurisdicciones electorales de diversos Estados que conforman el Sistema </w:t>
      </w:r>
      <w:r w:rsidR="006643B9" w:rsidRPr="004D0C53">
        <w:rPr>
          <w:rFonts w:ascii="Verdana" w:hAnsi="Verdana" w:cs="Arial"/>
          <w:sz w:val="20"/>
          <w:szCs w:val="20"/>
          <w:lang w:val="es-ES"/>
        </w:rPr>
        <w:lastRenderedPageBreak/>
        <w:t>Interamericano, como en el caso de Argentina</w:t>
      </w:r>
      <w:r w:rsidR="006643B9" w:rsidRPr="00437937">
        <w:rPr>
          <w:rFonts w:ascii="Verdana" w:hAnsi="Verdana" w:cs="Arial"/>
          <w:sz w:val="20"/>
          <w:szCs w:val="20"/>
          <w:vertAlign w:val="superscript"/>
          <w:lang w:val="es-ES"/>
        </w:rPr>
        <w:footnoteReference w:id="94"/>
      </w:r>
      <w:r w:rsidR="006643B9" w:rsidRPr="004D0C53">
        <w:rPr>
          <w:rFonts w:ascii="Verdana" w:hAnsi="Verdana" w:cs="Arial"/>
          <w:sz w:val="20"/>
          <w:szCs w:val="20"/>
          <w:lang w:val="es-ES"/>
        </w:rPr>
        <w:t>, Brasil</w:t>
      </w:r>
      <w:r w:rsidR="006643B9" w:rsidRPr="00C466E7">
        <w:rPr>
          <w:rFonts w:ascii="Verdana" w:hAnsi="Verdana" w:cs="Arial"/>
          <w:sz w:val="20"/>
          <w:szCs w:val="20"/>
          <w:vertAlign w:val="superscript"/>
          <w:lang w:val="es-ES"/>
        </w:rPr>
        <w:footnoteReference w:id="95"/>
      </w:r>
      <w:r w:rsidR="006643B9" w:rsidRPr="004D0C53">
        <w:rPr>
          <w:rFonts w:ascii="Verdana" w:hAnsi="Verdana" w:cs="Arial"/>
          <w:sz w:val="20"/>
          <w:szCs w:val="20"/>
          <w:lang w:val="es-ES"/>
        </w:rPr>
        <w:t>, Colombia</w:t>
      </w:r>
      <w:r w:rsidR="006643B9" w:rsidRPr="00C466E7">
        <w:rPr>
          <w:rFonts w:ascii="Verdana" w:hAnsi="Verdana" w:cs="Arial"/>
          <w:sz w:val="20"/>
          <w:szCs w:val="20"/>
          <w:vertAlign w:val="superscript"/>
          <w:lang w:val="es-ES"/>
        </w:rPr>
        <w:footnoteReference w:id="96"/>
      </w:r>
      <w:r w:rsidR="006643B9" w:rsidRPr="004D0C53">
        <w:rPr>
          <w:rFonts w:ascii="Verdana" w:hAnsi="Verdana" w:cs="Arial"/>
          <w:sz w:val="20"/>
          <w:szCs w:val="20"/>
          <w:lang w:val="es-ES"/>
        </w:rPr>
        <w:t>, Costa Rica</w:t>
      </w:r>
      <w:r w:rsidR="006643B9" w:rsidRPr="00C466E7">
        <w:rPr>
          <w:rFonts w:ascii="Verdana" w:hAnsi="Verdana" w:cs="Arial"/>
          <w:sz w:val="20"/>
          <w:szCs w:val="20"/>
          <w:vertAlign w:val="superscript"/>
          <w:lang w:val="es-ES"/>
        </w:rPr>
        <w:footnoteReference w:id="97"/>
      </w:r>
      <w:r w:rsidR="006643B9" w:rsidRPr="004D0C53">
        <w:rPr>
          <w:rFonts w:ascii="Verdana" w:hAnsi="Verdana" w:cs="Arial"/>
          <w:sz w:val="20"/>
          <w:szCs w:val="20"/>
          <w:lang w:val="es-ES"/>
        </w:rPr>
        <w:t>, Ecuador</w:t>
      </w:r>
      <w:r w:rsidR="006643B9" w:rsidRPr="00C466E7">
        <w:rPr>
          <w:rFonts w:ascii="Verdana" w:hAnsi="Verdana" w:cs="Arial"/>
          <w:sz w:val="20"/>
          <w:szCs w:val="20"/>
          <w:vertAlign w:val="superscript"/>
          <w:lang w:val="es-ES"/>
        </w:rPr>
        <w:footnoteReference w:id="98"/>
      </w:r>
      <w:r w:rsidR="006643B9" w:rsidRPr="004D0C53">
        <w:rPr>
          <w:rFonts w:ascii="Verdana" w:hAnsi="Verdana" w:cs="Arial"/>
          <w:sz w:val="20"/>
          <w:szCs w:val="20"/>
          <w:lang w:val="es-ES"/>
        </w:rPr>
        <w:t xml:space="preserve"> y México</w:t>
      </w:r>
      <w:r w:rsidR="006643B9" w:rsidRPr="00C466E7">
        <w:rPr>
          <w:rFonts w:ascii="Verdana" w:hAnsi="Verdana" w:cs="Arial"/>
          <w:sz w:val="20"/>
          <w:szCs w:val="20"/>
          <w:vertAlign w:val="superscript"/>
          <w:lang w:val="es-ES"/>
        </w:rPr>
        <w:footnoteReference w:id="99"/>
      </w:r>
      <w:r w:rsidR="006643B9" w:rsidRPr="004D0C53">
        <w:rPr>
          <w:rFonts w:ascii="Verdana" w:hAnsi="Verdana" w:cs="Arial"/>
          <w:sz w:val="20"/>
          <w:szCs w:val="20"/>
          <w:lang w:val="es-ES"/>
        </w:rPr>
        <w:t>.</w:t>
      </w:r>
      <w:r w:rsidR="006643B9">
        <w:rPr>
          <w:rFonts w:ascii="Verdana" w:hAnsi="Verdana" w:cs="Arial"/>
          <w:sz w:val="20"/>
          <w:szCs w:val="20"/>
          <w:lang w:val="es-ES"/>
        </w:rPr>
        <w:t xml:space="preserve"> </w:t>
      </w:r>
    </w:p>
    <w:p w14:paraId="1A553833" w14:textId="77777777" w:rsidR="00C32895" w:rsidRDefault="00C32895" w:rsidP="001C53EF">
      <w:pPr>
        <w:pStyle w:val="ListParagraph"/>
        <w:spacing w:after="0" w:line="240" w:lineRule="auto"/>
        <w:ind w:left="0"/>
        <w:jc w:val="both"/>
        <w:rPr>
          <w:rFonts w:ascii="Verdana" w:hAnsi="Verdana" w:cs="Arial"/>
          <w:sz w:val="20"/>
          <w:szCs w:val="20"/>
          <w:lang w:val="es-ES"/>
        </w:rPr>
      </w:pPr>
    </w:p>
    <w:p w14:paraId="3A0611EE" w14:textId="5DDA6028" w:rsidR="00913875" w:rsidRPr="004D0C53" w:rsidRDefault="00627556" w:rsidP="001C53EF">
      <w:pPr>
        <w:pStyle w:val="ListParagraph"/>
        <w:spacing w:after="0" w:line="240" w:lineRule="auto"/>
        <w:ind w:left="0"/>
        <w:jc w:val="both"/>
        <w:rPr>
          <w:rStyle w:val="normaltextrun"/>
          <w:rFonts w:ascii="Verdana" w:hAnsi="Verdana" w:cs="Arial"/>
          <w:sz w:val="20"/>
          <w:szCs w:val="20"/>
          <w:lang w:val="es-ES"/>
        </w:rPr>
      </w:pPr>
      <w:r>
        <w:rPr>
          <w:rFonts w:ascii="Verdana" w:hAnsi="Verdana" w:cs="Arial"/>
          <w:sz w:val="20"/>
          <w:szCs w:val="20"/>
          <w:lang w:val="es-ES"/>
        </w:rPr>
        <w:t>82</w:t>
      </w:r>
      <w:r w:rsidR="00C32895">
        <w:rPr>
          <w:rFonts w:ascii="Verdana" w:hAnsi="Verdana" w:cs="Arial"/>
          <w:sz w:val="20"/>
          <w:szCs w:val="20"/>
          <w:lang w:val="es-ES"/>
        </w:rPr>
        <w:t xml:space="preserve">. </w:t>
      </w:r>
      <w:r w:rsidR="00C32895">
        <w:rPr>
          <w:rFonts w:ascii="Verdana" w:hAnsi="Verdana" w:cs="Arial"/>
          <w:sz w:val="20"/>
          <w:szCs w:val="20"/>
          <w:lang w:val="es-ES"/>
        </w:rPr>
        <w:tab/>
      </w:r>
      <w:r w:rsidR="00913875" w:rsidRPr="004D0C53">
        <w:rPr>
          <w:rFonts w:ascii="Verdana" w:hAnsi="Verdana" w:cs="Arial"/>
          <w:sz w:val="20"/>
          <w:szCs w:val="20"/>
          <w:lang w:val="es-ES"/>
        </w:rPr>
        <w:t xml:space="preserve">Desde mi concepción, </w:t>
      </w:r>
      <w:r w:rsidR="00913875" w:rsidRPr="004D0C53">
        <w:rPr>
          <w:rStyle w:val="normaltextrun"/>
          <w:rFonts w:ascii="Verdana" w:hAnsi="Verdana" w:cs="Arial"/>
          <w:sz w:val="20"/>
          <w:szCs w:val="20"/>
          <w:lang w:val="es-ES"/>
        </w:rPr>
        <w:t xml:space="preserve">la violación al </w:t>
      </w:r>
      <w:r w:rsidR="00913875" w:rsidRPr="000E3100">
        <w:rPr>
          <w:rStyle w:val="normaltextrun"/>
          <w:rFonts w:ascii="Verdana" w:hAnsi="Verdana" w:cs="Arial"/>
          <w:i/>
          <w:iCs/>
          <w:sz w:val="20"/>
          <w:szCs w:val="20"/>
          <w:lang w:val="es-ES"/>
        </w:rPr>
        <w:t>principio de integridad electoral</w:t>
      </w:r>
      <w:r w:rsidR="00913875" w:rsidRPr="004D0C53">
        <w:rPr>
          <w:rStyle w:val="normaltextrun"/>
          <w:rFonts w:ascii="Verdana" w:hAnsi="Verdana" w:cs="Arial"/>
          <w:sz w:val="20"/>
          <w:szCs w:val="20"/>
          <w:lang w:val="es-ES"/>
        </w:rPr>
        <w:t xml:space="preserve">, tal como lo concibe el Tribunal Europeo, </w:t>
      </w:r>
      <w:r w:rsidR="006643B9">
        <w:rPr>
          <w:rStyle w:val="normaltextrun"/>
          <w:rFonts w:ascii="Verdana" w:hAnsi="Verdana" w:cs="Arial"/>
          <w:sz w:val="20"/>
          <w:szCs w:val="20"/>
          <w:lang w:val="es-ES"/>
        </w:rPr>
        <w:t xml:space="preserve">y como se refleja en diversas jurisdicciones de la región, </w:t>
      </w:r>
      <w:r w:rsidR="00913875" w:rsidRPr="004D0C53">
        <w:rPr>
          <w:rStyle w:val="normaltextrun"/>
          <w:rFonts w:ascii="Verdana" w:hAnsi="Verdana" w:cs="Arial"/>
          <w:sz w:val="20"/>
          <w:szCs w:val="20"/>
          <w:lang w:val="es-ES"/>
        </w:rPr>
        <w:t xml:space="preserve">parte del hecho </w:t>
      </w:r>
      <w:r w:rsidR="00731E3A">
        <w:rPr>
          <w:rStyle w:val="normaltextrun"/>
          <w:rFonts w:ascii="Verdana" w:hAnsi="Verdana" w:cs="Arial"/>
          <w:sz w:val="20"/>
          <w:szCs w:val="20"/>
          <w:lang w:val="es-ES"/>
        </w:rPr>
        <w:t xml:space="preserve">de </w:t>
      </w:r>
      <w:r w:rsidR="00913875" w:rsidRPr="004D0C53">
        <w:rPr>
          <w:rStyle w:val="normaltextrun"/>
          <w:rFonts w:ascii="Verdana" w:hAnsi="Verdana" w:cs="Arial"/>
          <w:sz w:val="20"/>
          <w:szCs w:val="20"/>
          <w:lang w:val="es-ES"/>
        </w:rPr>
        <w:t>que una alegada irregularidad tiene un impacto de tal magnitud que vacía el contenido mismo de la forma en la que se debe materializar el derecho a votar y ser votado</w:t>
      </w:r>
      <w:r w:rsidR="00FA7C4D">
        <w:rPr>
          <w:rStyle w:val="normaltextrun"/>
          <w:rFonts w:ascii="Verdana" w:hAnsi="Verdana" w:cs="Arial"/>
          <w:sz w:val="20"/>
          <w:szCs w:val="20"/>
          <w:lang w:val="es-ES"/>
        </w:rPr>
        <w:t>;</w:t>
      </w:r>
      <w:r w:rsidR="00913875" w:rsidRPr="004D0C53">
        <w:rPr>
          <w:rStyle w:val="normaltextrun"/>
          <w:rFonts w:ascii="Verdana" w:hAnsi="Verdana" w:cs="Arial"/>
          <w:sz w:val="20"/>
          <w:szCs w:val="20"/>
          <w:lang w:val="es-ES"/>
        </w:rPr>
        <w:t xml:space="preserve"> es decir, cuando se trastoca el contenido relacionado con que las elecciones sean “</w:t>
      </w:r>
      <w:r w:rsidR="00913875" w:rsidRPr="004D0C53">
        <w:rPr>
          <w:rFonts w:ascii="Verdana" w:hAnsi="Verdana"/>
          <w:sz w:val="20"/>
          <w:szCs w:val="20"/>
          <w:lang w:val="es-ES"/>
        </w:rPr>
        <w:t>periódicas”, “auténticas” y/o “libres”.</w:t>
      </w:r>
      <w:r w:rsidR="00ED1402">
        <w:rPr>
          <w:rFonts w:ascii="Verdana" w:hAnsi="Verdana"/>
          <w:sz w:val="20"/>
          <w:szCs w:val="20"/>
          <w:lang w:val="es-ES"/>
        </w:rPr>
        <w:t xml:space="preserve"> </w:t>
      </w:r>
      <w:r w:rsidR="00913875" w:rsidRPr="000E3100">
        <w:rPr>
          <w:rStyle w:val="normaltextrun"/>
          <w:rFonts w:ascii="Verdana" w:hAnsi="Verdana" w:cs="Arial"/>
          <w:sz w:val="20"/>
          <w:szCs w:val="20"/>
          <w:lang w:val="es-ES"/>
        </w:rPr>
        <w:t>Por ejemplo, el</w:t>
      </w:r>
      <w:r w:rsidR="00913875" w:rsidRPr="004D0C53">
        <w:rPr>
          <w:rStyle w:val="normaltextrun"/>
          <w:rFonts w:ascii="Verdana" w:hAnsi="Verdana" w:cs="Arial"/>
          <w:sz w:val="20"/>
          <w:szCs w:val="20"/>
          <w:lang w:val="es-ES"/>
        </w:rPr>
        <w:t xml:space="preserve"> </w:t>
      </w:r>
      <w:r w:rsidR="00913875" w:rsidRPr="000E3100">
        <w:rPr>
          <w:rStyle w:val="normaltextrun"/>
          <w:rFonts w:ascii="Verdana" w:hAnsi="Verdana" w:cs="Arial"/>
          <w:i/>
          <w:iCs/>
          <w:sz w:val="20"/>
          <w:szCs w:val="20"/>
          <w:lang w:val="es-ES"/>
        </w:rPr>
        <w:t>principio de integridad electoral</w:t>
      </w:r>
      <w:r w:rsidR="00913875" w:rsidRPr="004D0C53">
        <w:rPr>
          <w:rStyle w:val="normaltextrun"/>
          <w:rFonts w:ascii="Verdana" w:hAnsi="Verdana" w:cs="Arial"/>
          <w:sz w:val="20"/>
          <w:szCs w:val="20"/>
          <w:lang w:val="es-ES"/>
        </w:rPr>
        <w:t xml:space="preserve"> se podría lesionar cuando “la voluntad del pueblo” depositada en las urnas se suplanta, es decir, cuando se pretende suplantar el interés público (traducido en la voluntad del electorado) con el interés personal o partidista. Por otro lado, como segundo ejemplo, el principio de integridad electoral también puede resultar lesionado </w:t>
      </w:r>
      <w:r w:rsidR="00913875" w:rsidRPr="000E3100">
        <w:rPr>
          <w:rStyle w:val="normaltextrun"/>
          <w:rFonts w:ascii="Verdana" w:hAnsi="Verdana" w:cs="Arial"/>
          <w:i/>
          <w:iCs/>
          <w:sz w:val="20"/>
          <w:szCs w:val="20"/>
          <w:lang w:val="es-ES"/>
        </w:rPr>
        <w:t>cuando no existen órganos administrativos electorales o tribunales generales o especializados electorales</w:t>
      </w:r>
      <w:r w:rsidR="00913875" w:rsidRPr="004D0C53">
        <w:rPr>
          <w:rStyle w:val="normaltextrun"/>
          <w:rFonts w:ascii="Verdana" w:hAnsi="Verdana" w:cs="Arial"/>
          <w:sz w:val="20"/>
          <w:szCs w:val="20"/>
          <w:lang w:val="es-ES"/>
        </w:rPr>
        <w:t xml:space="preserve"> </w:t>
      </w:r>
      <w:r w:rsidR="00913875" w:rsidRPr="000E3100">
        <w:rPr>
          <w:rStyle w:val="normaltextrun"/>
          <w:rFonts w:ascii="Verdana" w:hAnsi="Verdana" w:cs="Arial"/>
          <w:i/>
          <w:iCs/>
          <w:sz w:val="20"/>
          <w:szCs w:val="20"/>
          <w:lang w:val="es-ES"/>
        </w:rPr>
        <w:t>independientes e imparciales</w:t>
      </w:r>
      <w:r w:rsidR="00913875" w:rsidRPr="004D0C53">
        <w:rPr>
          <w:rStyle w:val="normaltextrun"/>
          <w:rFonts w:ascii="Verdana" w:hAnsi="Verdana" w:cs="Arial"/>
          <w:sz w:val="20"/>
          <w:szCs w:val="20"/>
          <w:lang w:val="es-ES"/>
        </w:rPr>
        <w:t>. Tal como lo sostiene el Tribunal Europeo, una de las irregularidades más graves dentro de una contienda electoral es aquella que se suscita cuando los</w:t>
      </w:r>
      <w:r w:rsidR="00834F28">
        <w:rPr>
          <w:rStyle w:val="normaltextrun"/>
          <w:rFonts w:ascii="Verdana" w:hAnsi="Verdana" w:cs="Arial"/>
          <w:sz w:val="20"/>
          <w:szCs w:val="20"/>
          <w:lang w:val="es-ES"/>
        </w:rPr>
        <w:t xml:space="preserve"> </w:t>
      </w:r>
      <w:r w:rsidR="00913875" w:rsidRPr="004D0C53">
        <w:rPr>
          <w:rStyle w:val="normaltextrun"/>
          <w:rFonts w:ascii="Verdana" w:hAnsi="Verdana" w:cs="Arial"/>
          <w:sz w:val="20"/>
          <w:szCs w:val="20"/>
          <w:lang w:val="es-ES"/>
        </w:rPr>
        <w:t>reclamos lleva</w:t>
      </w:r>
      <w:r w:rsidR="00731E3A">
        <w:rPr>
          <w:rStyle w:val="normaltextrun"/>
          <w:rFonts w:ascii="Verdana" w:hAnsi="Verdana" w:cs="Arial"/>
          <w:sz w:val="20"/>
          <w:szCs w:val="20"/>
          <w:lang w:val="es-ES"/>
        </w:rPr>
        <w:t>d</w:t>
      </w:r>
      <w:r w:rsidR="00913875" w:rsidRPr="004D0C53">
        <w:rPr>
          <w:rStyle w:val="normaltextrun"/>
          <w:rFonts w:ascii="Verdana" w:hAnsi="Verdana" w:cs="Arial"/>
          <w:sz w:val="20"/>
          <w:szCs w:val="20"/>
          <w:lang w:val="es-ES"/>
        </w:rPr>
        <w:t>os ante las instancias internas no fue</w:t>
      </w:r>
      <w:r w:rsidR="00ED1402">
        <w:rPr>
          <w:rStyle w:val="normaltextrun"/>
          <w:rFonts w:ascii="Verdana" w:hAnsi="Verdana" w:cs="Arial"/>
          <w:sz w:val="20"/>
          <w:szCs w:val="20"/>
          <w:lang w:val="es-ES"/>
        </w:rPr>
        <w:t xml:space="preserve"> </w:t>
      </w:r>
      <w:r w:rsidR="00913875" w:rsidRPr="004D0C53">
        <w:rPr>
          <w:rStyle w:val="normaltextrun"/>
          <w:rFonts w:ascii="Verdana" w:hAnsi="Verdana" w:cs="Arial"/>
          <w:sz w:val="20"/>
          <w:szCs w:val="20"/>
          <w:lang w:val="es-ES"/>
        </w:rPr>
        <w:t xml:space="preserve">analizado por una </w:t>
      </w:r>
      <w:r w:rsidR="00913875" w:rsidRPr="000E3100">
        <w:rPr>
          <w:rStyle w:val="normaltextrun"/>
          <w:rFonts w:ascii="Verdana" w:hAnsi="Verdana" w:cs="Arial"/>
          <w:i/>
          <w:iCs/>
          <w:sz w:val="20"/>
          <w:szCs w:val="20"/>
          <w:lang w:val="es-ES"/>
        </w:rPr>
        <w:t>judicatura idónea</w:t>
      </w:r>
      <w:r w:rsidR="0042072A" w:rsidRPr="00BF0290">
        <w:rPr>
          <w:rStyle w:val="FootnoteReference"/>
          <w:rFonts w:ascii="Verdana" w:hAnsi="Verdana" w:cs="Arial"/>
          <w:sz w:val="20"/>
          <w:szCs w:val="20"/>
          <w:lang w:val="es-ES"/>
        </w:rPr>
        <w:footnoteReference w:id="100"/>
      </w:r>
      <w:r w:rsidR="0042072A">
        <w:rPr>
          <w:rStyle w:val="normaltextrun"/>
          <w:rFonts w:ascii="Verdana" w:hAnsi="Verdana" w:cs="Arial"/>
          <w:sz w:val="20"/>
          <w:szCs w:val="20"/>
          <w:lang w:val="es-ES"/>
        </w:rPr>
        <w:t>.</w:t>
      </w:r>
    </w:p>
    <w:p w14:paraId="15EAB13A" w14:textId="77777777" w:rsidR="00913875" w:rsidRPr="004D0C53" w:rsidRDefault="00913875" w:rsidP="00913875">
      <w:pPr>
        <w:pStyle w:val="ListParagraph"/>
        <w:rPr>
          <w:rStyle w:val="normaltextrun"/>
          <w:rFonts w:ascii="Verdana" w:hAnsi="Verdana" w:cs="Arial"/>
          <w:sz w:val="20"/>
          <w:szCs w:val="20"/>
          <w:lang w:val="es-ES"/>
        </w:rPr>
      </w:pPr>
    </w:p>
    <w:p w14:paraId="679DC8C6" w14:textId="49BCFF20" w:rsidR="00913875" w:rsidRPr="004D0C53" w:rsidRDefault="00814D3E" w:rsidP="001C53EF">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8</w:t>
      </w:r>
      <w:r w:rsidR="00627556">
        <w:rPr>
          <w:rFonts w:ascii="Verdana" w:hAnsi="Verdana" w:cs="Arial"/>
          <w:sz w:val="20"/>
          <w:szCs w:val="20"/>
          <w:lang w:val="es-ES"/>
        </w:rPr>
        <w:t>3</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 xml:space="preserve">Estas </w:t>
      </w:r>
      <w:r w:rsidR="00913875" w:rsidRPr="000E3100">
        <w:rPr>
          <w:rFonts w:ascii="Verdana" w:hAnsi="Verdana" w:cs="Arial"/>
          <w:i/>
          <w:iCs/>
          <w:sz w:val="20"/>
          <w:szCs w:val="20"/>
          <w:lang w:val="es-ES"/>
        </w:rPr>
        <w:t>obligaciones mínimas</w:t>
      </w:r>
      <w:r w:rsidR="00913875" w:rsidRPr="004D0C53">
        <w:rPr>
          <w:rFonts w:ascii="Verdana" w:hAnsi="Verdana" w:cs="Arial"/>
          <w:sz w:val="20"/>
          <w:szCs w:val="20"/>
          <w:lang w:val="es-ES"/>
        </w:rPr>
        <w:t xml:space="preserve"> que deben observar los Estados para materializar el principio de integridad electoral tienen como finalidad que el Estado, en todo momento, se muestre </w:t>
      </w:r>
      <w:r w:rsidR="00913875" w:rsidRPr="000E3100">
        <w:rPr>
          <w:rFonts w:ascii="Verdana" w:hAnsi="Verdana" w:cs="Arial"/>
          <w:i/>
          <w:iCs/>
          <w:sz w:val="20"/>
          <w:szCs w:val="20"/>
          <w:lang w:val="es-ES"/>
        </w:rPr>
        <w:t>neutral</w:t>
      </w:r>
      <w:r w:rsidR="00913875" w:rsidRPr="004D0C53">
        <w:rPr>
          <w:rFonts w:ascii="Verdana" w:hAnsi="Verdana" w:cs="Arial"/>
          <w:sz w:val="20"/>
          <w:szCs w:val="20"/>
          <w:lang w:val="es-ES"/>
        </w:rPr>
        <w:t xml:space="preserve"> frente a todas las candidaturas que buscar contender a fin de evitar ventajas indebidas.</w:t>
      </w:r>
    </w:p>
    <w:p w14:paraId="2B2C3171" w14:textId="77777777" w:rsidR="00913875" w:rsidRPr="004D0C53" w:rsidRDefault="00913875" w:rsidP="00913875">
      <w:pPr>
        <w:pStyle w:val="ListParagraph"/>
        <w:rPr>
          <w:rFonts w:ascii="Verdana" w:hAnsi="Verdana" w:cs="Arial"/>
          <w:sz w:val="20"/>
          <w:szCs w:val="20"/>
          <w:lang w:val="es-ES"/>
        </w:rPr>
      </w:pPr>
    </w:p>
    <w:p w14:paraId="73C43230" w14:textId="40D1AAB1" w:rsidR="00913875" w:rsidRDefault="00C91211" w:rsidP="00520C2E">
      <w:pPr>
        <w:pStyle w:val="ListParagraph"/>
        <w:spacing w:after="0" w:line="240" w:lineRule="auto"/>
        <w:ind w:left="0"/>
        <w:jc w:val="both"/>
        <w:rPr>
          <w:rFonts w:ascii="Verdana" w:hAnsi="Verdana" w:cs="Arial"/>
          <w:sz w:val="20"/>
          <w:szCs w:val="20"/>
          <w:lang w:val="es-ES"/>
        </w:rPr>
      </w:pPr>
      <w:r>
        <w:rPr>
          <w:rFonts w:ascii="Verdana" w:hAnsi="Verdana" w:cs="Arial"/>
          <w:sz w:val="20"/>
          <w:szCs w:val="20"/>
          <w:lang w:val="es-ES"/>
        </w:rPr>
        <w:t>8</w:t>
      </w:r>
      <w:r w:rsidR="00627556">
        <w:rPr>
          <w:rFonts w:ascii="Verdana" w:hAnsi="Verdana" w:cs="Arial"/>
          <w:sz w:val="20"/>
          <w:szCs w:val="20"/>
          <w:lang w:val="es-ES"/>
        </w:rPr>
        <w:t>4</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Finalmente, un último aspecto relevante de est</w:t>
      </w:r>
      <w:r w:rsidR="000146A3">
        <w:rPr>
          <w:rFonts w:ascii="Verdana" w:hAnsi="Verdana" w:cs="Arial"/>
          <w:sz w:val="20"/>
          <w:szCs w:val="20"/>
          <w:lang w:val="es-ES"/>
        </w:rPr>
        <w:t>a</w:t>
      </w:r>
      <w:r w:rsidR="00913875" w:rsidRPr="004D0C53">
        <w:rPr>
          <w:rFonts w:ascii="Verdana" w:hAnsi="Verdana" w:cs="Arial"/>
          <w:sz w:val="20"/>
          <w:szCs w:val="20"/>
          <w:lang w:val="es-ES"/>
        </w:rPr>
        <w:t xml:space="preserve"> sentencia la encontramos en las medidas de reparación. En concreto</w:t>
      </w:r>
      <w:r w:rsidR="000E3100">
        <w:rPr>
          <w:rFonts w:ascii="Verdana" w:hAnsi="Verdana" w:cs="Arial"/>
          <w:sz w:val="20"/>
          <w:szCs w:val="20"/>
          <w:lang w:val="es-ES"/>
        </w:rPr>
        <w:t>,</w:t>
      </w:r>
      <w:r w:rsidR="00913875" w:rsidRPr="004D0C53">
        <w:rPr>
          <w:rFonts w:ascii="Verdana" w:hAnsi="Verdana" w:cs="Arial"/>
          <w:sz w:val="20"/>
          <w:szCs w:val="20"/>
          <w:lang w:val="es-ES"/>
        </w:rPr>
        <w:t xml:space="preserve"> la Corte IDH</w:t>
      </w:r>
      <w:r w:rsidR="000E3100">
        <w:rPr>
          <w:rFonts w:ascii="Verdana" w:hAnsi="Verdana" w:cs="Arial"/>
          <w:sz w:val="20"/>
          <w:szCs w:val="20"/>
          <w:lang w:val="es-ES"/>
        </w:rPr>
        <w:t xml:space="preserve"> ordenó </w:t>
      </w:r>
      <w:r w:rsidR="00913875" w:rsidRPr="004D0C53">
        <w:rPr>
          <w:rFonts w:ascii="Verdana" w:hAnsi="Verdana" w:cs="Arial"/>
          <w:sz w:val="20"/>
          <w:szCs w:val="20"/>
          <w:lang w:val="es-ES"/>
        </w:rPr>
        <w:t xml:space="preserve">como medida de no repetición: </w:t>
      </w:r>
    </w:p>
    <w:p w14:paraId="39562AA5" w14:textId="77777777" w:rsidR="00520C2E" w:rsidRPr="00520C2E" w:rsidRDefault="00520C2E" w:rsidP="00520C2E">
      <w:pPr>
        <w:pStyle w:val="ListParagraph"/>
        <w:spacing w:after="0" w:line="240" w:lineRule="auto"/>
        <w:ind w:left="0"/>
        <w:jc w:val="both"/>
        <w:rPr>
          <w:rFonts w:ascii="Verdana" w:hAnsi="Verdana" w:cs="Arial"/>
          <w:sz w:val="20"/>
          <w:szCs w:val="20"/>
          <w:lang w:val="es-ES"/>
        </w:rPr>
      </w:pPr>
    </w:p>
    <w:p w14:paraId="7DB928AF" w14:textId="062F966E" w:rsidR="00913875" w:rsidRPr="001C53EF" w:rsidRDefault="00913875" w:rsidP="001C53EF">
      <w:pPr>
        <w:widowControl w:val="0"/>
        <w:tabs>
          <w:tab w:val="left" w:pos="560"/>
          <w:tab w:val="left" w:pos="2268"/>
        </w:tabs>
        <w:adjustRightInd w:val="0"/>
        <w:ind w:left="560"/>
        <w:jc w:val="both"/>
        <w:rPr>
          <w:rFonts w:ascii="Verdana" w:hAnsi="Verdana"/>
          <w:sz w:val="16"/>
          <w:szCs w:val="16"/>
          <w:u w:val="single"/>
          <w:lang w:val="es-ES"/>
        </w:rPr>
      </w:pPr>
      <w:r w:rsidRPr="004D0C53">
        <w:rPr>
          <w:rFonts w:ascii="Verdana" w:hAnsi="Verdana"/>
          <w:color w:val="000000"/>
          <w:sz w:val="16"/>
          <w:szCs w:val="16"/>
          <w:lang w:val="es-ES"/>
        </w:rPr>
        <w:t xml:space="preserve">203. Por lo anterior, </w:t>
      </w:r>
      <w:r w:rsidRPr="004D0C53">
        <w:rPr>
          <w:rFonts w:ascii="Verdana" w:hAnsi="Verdana"/>
          <w:color w:val="000000"/>
          <w:sz w:val="16"/>
          <w:szCs w:val="16"/>
          <w:u w:val="single"/>
          <w:lang w:val="es-ES"/>
        </w:rPr>
        <w:t>el Estado debe implementar medidas dirigidas a materializar las garantías mínimas necesarias para preservar la integridad de los procesos electorales</w:t>
      </w:r>
      <w:r w:rsidRPr="004D0C53">
        <w:rPr>
          <w:rFonts w:ascii="Verdana" w:hAnsi="Verdana"/>
          <w:color w:val="000000"/>
          <w:sz w:val="16"/>
          <w:szCs w:val="16"/>
          <w:lang w:val="es-ES"/>
        </w:rPr>
        <w:t xml:space="preserve">. En particular, debe evitar el uso abusivo del aparato del Estado en favor de un candidato, especialmente a partir del uso de recursos públicos y presión y amenazas de funcionarios públicos para dirigir el voto. Para este efecto, </w:t>
      </w:r>
      <w:r w:rsidRPr="004D0C53">
        <w:rPr>
          <w:rFonts w:ascii="Verdana" w:hAnsi="Verdana"/>
          <w:color w:val="000000"/>
          <w:sz w:val="16"/>
          <w:szCs w:val="16"/>
          <w:u w:val="single"/>
          <w:lang w:val="es-ES"/>
        </w:rPr>
        <w:t xml:space="preserve">las medidas adoptadas por el Estado deben contemplar que las instancias jurisdiccionales y administrativas puedan imponer, </w:t>
      </w:r>
      <w:r w:rsidRPr="004D0C53">
        <w:rPr>
          <w:rFonts w:ascii="Verdana" w:hAnsi="Verdana"/>
          <w:b/>
          <w:bCs/>
          <w:color w:val="000000"/>
          <w:sz w:val="16"/>
          <w:szCs w:val="16"/>
          <w:u w:val="single"/>
          <w:lang w:val="es-ES"/>
        </w:rPr>
        <w:t>a cualquier funcionario público sin importar su orden jerárquico</w:t>
      </w:r>
      <w:r w:rsidRPr="004D0C53">
        <w:rPr>
          <w:rFonts w:ascii="Verdana" w:hAnsi="Verdana"/>
          <w:color w:val="000000"/>
          <w:sz w:val="16"/>
          <w:szCs w:val="16"/>
          <w:u w:val="single"/>
          <w:lang w:val="es-ES"/>
        </w:rPr>
        <w:t>, sanciones o medidas integrales de reparación para contrarrestar, durante los ciclos electorales, la vulneración de la integridad del proceso electoral.</w:t>
      </w:r>
      <w:r w:rsidR="00037D01">
        <w:rPr>
          <w:rStyle w:val="FootnoteReference"/>
          <w:rFonts w:ascii="Verdana" w:hAnsi="Verdana"/>
          <w:color w:val="000000"/>
          <w:sz w:val="16"/>
          <w:szCs w:val="16"/>
          <w:u w:val="single"/>
          <w:lang w:val="es-ES"/>
        </w:rPr>
        <w:footnoteReference w:id="101"/>
      </w:r>
      <w:r w:rsidRPr="004D0C53">
        <w:rPr>
          <w:rFonts w:ascii="Verdana" w:hAnsi="Verdana"/>
          <w:color w:val="000000"/>
          <w:sz w:val="16"/>
          <w:szCs w:val="16"/>
          <w:u w:val="single"/>
          <w:lang w:val="es-ES"/>
        </w:rPr>
        <w:t xml:space="preserve"> </w:t>
      </w:r>
    </w:p>
    <w:p w14:paraId="577C2300" w14:textId="55421670" w:rsidR="00913875" w:rsidRPr="0089279E" w:rsidRDefault="00C91211" w:rsidP="001C53EF">
      <w:pPr>
        <w:pStyle w:val="ListParagraph"/>
        <w:spacing w:after="0" w:line="240" w:lineRule="auto"/>
        <w:ind w:left="0"/>
        <w:jc w:val="both"/>
      </w:pPr>
      <w:r>
        <w:rPr>
          <w:rFonts w:ascii="Verdana" w:hAnsi="Verdana" w:cs="Arial"/>
          <w:sz w:val="20"/>
          <w:szCs w:val="20"/>
          <w:lang w:val="es-ES"/>
        </w:rPr>
        <w:t>8</w:t>
      </w:r>
      <w:r w:rsidR="00627556">
        <w:rPr>
          <w:rFonts w:ascii="Verdana" w:hAnsi="Verdana" w:cs="Arial"/>
          <w:sz w:val="20"/>
          <w:szCs w:val="20"/>
          <w:lang w:val="es-ES"/>
        </w:rPr>
        <w:t>5</w:t>
      </w:r>
      <w:r w:rsidR="001C53EF">
        <w:rPr>
          <w:rFonts w:ascii="Verdana" w:hAnsi="Verdana" w:cs="Arial"/>
          <w:sz w:val="20"/>
          <w:szCs w:val="20"/>
          <w:lang w:val="es-ES"/>
        </w:rPr>
        <w:t xml:space="preserve">. </w:t>
      </w:r>
      <w:r w:rsidR="001C53EF">
        <w:rPr>
          <w:rFonts w:ascii="Verdana" w:hAnsi="Verdana" w:cs="Arial"/>
          <w:sz w:val="20"/>
          <w:szCs w:val="20"/>
          <w:lang w:val="es-ES"/>
        </w:rPr>
        <w:tab/>
      </w:r>
      <w:r w:rsidR="00913875" w:rsidRPr="004D0C53">
        <w:rPr>
          <w:rFonts w:ascii="Verdana" w:hAnsi="Verdana" w:cs="Arial"/>
          <w:sz w:val="20"/>
          <w:szCs w:val="20"/>
          <w:lang w:val="es-ES"/>
        </w:rPr>
        <w:t>Recordemos que la Corte IDH se pronunció sobre el uso abusivo del apar</w:t>
      </w:r>
      <w:r w:rsidR="0090532A">
        <w:rPr>
          <w:rFonts w:ascii="Verdana" w:hAnsi="Verdana" w:cs="Arial"/>
          <w:sz w:val="20"/>
          <w:szCs w:val="20"/>
          <w:lang w:val="es-ES"/>
        </w:rPr>
        <w:t>tado</w:t>
      </w:r>
      <w:r w:rsidR="00913875" w:rsidRPr="004D0C53">
        <w:rPr>
          <w:rFonts w:ascii="Verdana" w:hAnsi="Verdana" w:cs="Arial"/>
          <w:sz w:val="20"/>
          <w:szCs w:val="20"/>
          <w:lang w:val="es-ES"/>
        </w:rPr>
        <w:t xml:space="preserve"> estatal </w:t>
      </w:r>
      <w:r w:rsidR="00CB2B32">
        <w:rPr>
          <w:rFonts w:ascii="Verdana" w:hAnsi="Verdana" w:cs="Arial"/>
          <w:sz w:val="20"/>
          <w:szCs w:val="20"/>
          <w:lang w:val="es-ES"/>
        </w:rPr>
        <w:t>del presidente en funciones</w:t>
      </w:r>
      <w:r w:rsidR="00913875" w:rsidRPr="004D0C53">
        <w:rPr>
          <w:rFonts w:ascii="Verdana" w:hAnsi="Verdana" w:cs="Arial"/>
          <w:sz w:val="20"/>
          <w:szCs w:val="20"/>
          <w:lang w:val="es-ES"/>
        </w:rPr>
        <w:t xml:space="preserve">, </w:t>
      </w:r>
      <w:r w:rsidR="00AE2B95">
        <w:rPr>
          <w:rFonts w:ascii="Verdana" w:hAnsi="Verdana" w:cs="Arial"/>
          <w:sz w:val="20"/>
          <w:szCs w:val="20"/>
          <w:lang w:val="es-ES"/>
        </w:rPr>
        <w:t xml:space="preserve">el que </w:t>
      </w:r>
      <w:r w:rsidR="00913875" w:rsidRPr="004D0C53">
        <w:rPr>
          <w:rFonts w:ascii="Verdana" w:hAnsi="Verdana" w:cs="Arial"/>
          <w:sz w:val="20"/>
          <w:szCs w:val="20"/>
          <w:lang w:val="es-ES"/>
        </w:rPr>
        <w:t>ya ostenta</w:t>
      </w:r>
      <w:r w:rsidR="00731E3A">
        <w:rPr>
          <w:rFonts w:ascii="Verdana" w:hAnsi="Verdana" w:cs="Arial"/>
          <w:sz w:val="20"/>
          <w:szCs w:val="20"/>
          <w:lang w:val="es-ES"/>
        </w:rPr>
        <w:t>b</w:t>
      </w:r>
      <w:r w:rsidR="00913875" w:rsidRPr="004D0C53">
        <w:rPr>
          <w:rFonts w:ascii="Verdana" w:hAnsi="Verdana" w:cs="Arial"/>
          <w:sz w:val="20"/>
          <w:szCs w:val="20"/>
          <w:lang w:val="es-ES"/>
        </w:rPr>
        <w:t>a el cargo del Ejecutivo, frente a la candidatura del Señor Capriles. La orden de la Corte IDH es clara</w:t>
      </w:r>
      <w:r w:rsidR="00CB2B32">
        <w:rPr>
          <w:rFonts w:ascii="Verdana" w:hAnsi="Verdana" w:cs="Arial"/>
          <w:sz w:val="20"/>
          <w:szCs w:val="20"/>
          <w:lang w:val="es-ES"/>
        </w:rPr>
        <w:t>:</w:t>
      </w:r>
      <w:r w:rsidR="00913875" w:rsidRPr="004D0C53">
        <w:rPr>
          <w:rFonts w:ascii="Verdana" w:hAnsi="Verdana" w:cs="Arial"/>
          <w:sz w:val="20"/>
          <w:szCs w:val="20"/>
          <w:lang w:val="es-ES"/>
        </w:rPr>
        <w:t xml:space="preserve"> cualquier funcionario público que quebrante la equidad en la contienda (y como expresión de est</w:t>
      </w:r>
      <w:r w:rsidR="000E3100">
        <w:rPr>
          <w:rFonts w:ascii="Verdana" w:hAnsi="Verdana" w:cs="Arial"/>
          <w:sz w:val="20"/>
          <w:szCs w:val="20"/>
          <w:lang w:val="es-ES"/>
        </w:rPr>
        <w:t>a</w:t>
      </w:r>
      <w:r w:rsidR="00913875" w:rsidRPr="004D0C53">
        <w:rPr>
          <w:rFonts w:ascii="Verdana" w:hAnsi="Verdana" w:cs="Arial"/>
          <w:sz w:val="20"/>
          <w:szCs w:val="20"/>
          <w:lang w:val="es-ES"/>
        </w:rPr>
        <w:t xml:space="preserve">, </w:t>
      </w:r>
      <w:r w:rsidR="00913875" w:rsidRPr="000E3100">
        <w:rPr>
          <w:rFonts w:ascii="Verdana" w:hAnsi="Verdana" w:cs="Arial"/>
          <w:i/>
          <w:iCs/>
          <w:sz w:val="20"/>
          <w:szCs w:val="20"/>
          <w:lang w:val="es-ES"/>
        </w:rPr>
        <w:t>la integridad electoral</w:t>
      </w:r>
      <w:r w:rsidR="00913875" w:rsidRPr="004D0C53">
        <w:rPr>
          <w:rFonts w:ascii="Verdana" w:hAnsi="Verdana" w:cs="Arial"/>
          <w:sz w:val="20"/>
          <w:szCs w:val="20"/>
          <w:lang w:val="es-ES"/>
        </w:rPr>
        <w:t>)</w:t>
      </w:r>
      <w:r w:rsidR="000E3100">
        <w:rPr>
          <w:rFonts w:ascii="Verdana" w:hAnsi="Verdana" w:cs="Arial"/>
          <w:sz w:val="20"/>
          <w:szCs w:val="20"/>
          <w:lang w:val="es-ES"/>
        </w:rPr>
        <w:t>,</w:t>
      </w:r>
      <w:r w:rsidR="00913875" w:rsidRPr="004D0C53">
        <w:rPr>
          <w:rFonts w:ascii="Verdana" w:hAnsi="Verdana" w:cs="Arial"/>
          <w:sz w:val="20"/>
          <w:szCs w:val="20"/>
          <w:lang w:val="es-ES"/>
        </w:rPr>
        <w:t xml:space="preserve"> en esa medida las autoridades competentes, dependiente de su legislación, </w:t>
      </w:r>
      <w:r w:rsidR="0089279E">
        <w:rPr>
          <w:rFonts w:ascii="Verdana" w:hAnsi="Verdana" w:cs="Arial"/>
          <w:sz w:val="20"/>
          <w:szCs w:val="20"/>
          <w:lang w:val="es-ES"/>
        </w:rPr>
        <w:t>“</w:t>
      </w:r>
      <w:r w:rsidR="00AE2B95" w:rsidRPr="00180174">
        <w:rPr>
          <w:rFonts w:ascii="Verdana" w:eastAsia="Times New Roman" w:hAnsi="Verdana"/>
          <w:bCs/>
          <w:sz w:val="20"/>
          <w:szCs w:val="20"/>
          <w:lang w:eastAsia="es-ES_tradnl"/>
        </w:rPr>
        <w:t xml:space="preserve">en caso de </w:t>
      </w:r>
      <w:r w:rsidR="00AE2B95" w:rsidRPr="00180174">
        <w:rPr>
          <w:rFonts w:ascii="Verdana" w:eastAsia="Times New Roman" w:hAnsi="Verdana"/>
          <w:bCs/>
          <w:sz w:val="20"/>
          <w:szCs w:val="20"/>
          <w:lang w:eastAsia="es-ES_tradnl"/>
        </w:rPr>
        <w:lastRenderedPageBreak/>
        <w:t>incumplimiento</w:t>
      </w:r>
      <w:r w:rsidR="0089279E">
        <w:rPr>
          <w:rFonts w:ascii="Verdana" w:eastAsia="Times New Roman" w:hAnsi="Verdana"/>
          <w:bCs/>
          <w:sz w:val="20"/>
          <w:szCs w:val="20"/>
          <w:lang w:eastAsia="es-ES_tradnl"/>
        </w:rPr>
        <w:t>, tanto de los contendientes como de cualquier funcionario público,</w:t>
      </w:r>
      <w:r w:rsidR="00AE2B95" w:rsidRPr="00180174">
        <w:rPr>
          <w:rFonts w:ascii="Verdana" w:eastAsia="Times New Roman" w:hAnsi="Verdana"/>
          <w:bCs/>
          <w:sz w:val="20"/>
          <w:szCs w:val="20"/>
          <w:lang w:eastAsia="es-ES_tradnl"/>
        </w:rPr>
        <w:t xml:space="preserve"> </w:t>
      </w:r>
      <w:r w:rsidR="00AE2B95" w:rsidRPr="0089279E">
        <w:rPr>
          <w:rFonts w:ascii="Verdana" w:eastAsia="Times New Roman" w:hAnsi="Verdana"/>
          <w:bCs/>
          <w:i/>
          <w:iCs/>
          <w:sz w:val="20"/>
          <w:szCs w:val="20"/>
          <w:lang w:eastAsia="es-ES_tradnl"/>
        </w:rPr>
        <w:t>exista la posibilidad real de imponer sanciones o medidas integrales de reparación antes, durante y después de la jornada electoral</w:t>
      </w:r>
      <w:r w:rsidR="0089279E">
        <w:t>”</w:t>
      </w:r>
      <w:r w:rsidR="000E3100">
        <w:rPr>
          <w:rStyle w:val="FootnoteReference"/>
          <w:rFonts w:ascii="Verdana" w:hAnsi="Verdana" w:cs="Arial"/>
          <w:sz w:val="20"/>
          <w:szCs w:val="20"/>
          <w:lang w:val="es-ES"/>
        </w:rPr>
        <w:footnoteReference w:id="102"/>
      </w:r>
      <w:r w:rsidR="000E3100">
        <w:rPr>
          <w:rFonts w:ascii="Verdana" w:hAnsi="Verdana" w:cs="Arial"/>
          <w:sz w:val="20"/>
          <w:szCs w:val="20"/>
          <w:lang w:val="es-ES"/>
        </w:rPr>
        <w:t>.</w:t>
      </w:r>
    </w:p>
    <w:p w14:paraId="505798C8" w14:textId="77777777" w:rsidR="00913875" w:rsidRPr="004D0C53" w:rsidRDefault="00913875" w:rsidP="00913875">
      <w:pPr>
        <w:pStyle w:val="ListParagraph"/>
        <w:ind w:left="0"/>
        <w:jc w:val="both"/>
        <w:rPr>
          <w:rFonts w:ascii="Verdana" w:hAnsi="Verdana" w:cs="Arial"/>
          <w:color w:val="000000" w:themeColor="text1"/>
          <w:sz w:val="20"/>
          <w:szCs w:val="20"/>
          <w:shd w:val="clear" w:color="auto" w:fill="FFFFFF"/>
          <w:lang w:val="es-ES"/>
        </w:rPr>
      </w:pPr>
    </w:p>
    <w:p w14:paraId="05857D8F" w14:textId="0DFF54E9" w:rsidR="00272436" w:rsidRPr="007B4502" w:rsidRDefault="00913875" w:rsidP="007B4502">
      <w:pPr>
        <w:pStyle w:val="ListParagraph"/>
        <w:widowControl w:val="0"/>
        <w:tabs>
          <w:tab w:val="left" w:pos="567"/>
          <w:tab w:val="left" w:pos="709"/>
        </w:tabs>
        <w:autoSpaceDE w:val="0"/>
        <w:autoSpaceDN w:val="0"/>
        <w:ind w:left="0"/>
        <w:jc w:val="center"/>
        <w:rPr>
          <w:rFonts w:ascii="Verdana" w:hAnsi="Verdana" w:cs="Arial"/>
          <w:color w:val="000000" w:themeColor="text1"/>
          <w:sz w:val="20"/>
          <w:szCs w:val="20"/>
          <w:shd w:val="clear" w:color="auto" w:fill="FFFFFF"/>
          <w:lang w:val="es-ES"/>
        </w:rPr>
      </w:pPr>
      <w:r w:rsidRPr="00CB2B32">
        <w:rPr>
          <w:rFonts w:ascii="Verdana" w:hAnsi="Verdana" w:cs="Arial"/>
          <w:color w:val="000000" w:themeColor="text1"/>
          <w:sz w:val="20"/>
          <w:szCs w:val="20"/>
          <w:shd w:val="clear" w:color="auto" w:fill="FFFFFF"/>
          <w:lang w:val="es-ES"/>
        </w:rPr>
        <w:t>I</w:t>
      </w:r>
      <w:r w:rsidR="00CB2B32" w:rsidRPr="00CB2B32">
        <w:rPr>
          <w:rFonts w:ascii="Verdana" w:hAnsi="Verdana" w:cs="Arial"/>
          <w:color w:val="000000" w:themeColor="text1"/>
          <w:sz w:val="20"/>
          <w:szCs w:val="20"/>
          <w:shd w:val="clear" w:color="auto" w:fill="FFFFFF"/>
          <w:lang w:val="es-ES"/>
        </w:rPr>
        <w:t>V</w:t>
      </w:r>
      <w:r w:rsidRPr="00CB2B32">
        <w:rPr>
          <w:rFonts w:ascii="Verdana" w:hAnsi="Verdana" w:cs="Arial"/>
          <w:color w:val="000000" w:themeColor="text1"/>
          <w:sz w:val="20"/>
          <w:szCs w:val="20"/>
          <w:shd w:val="clear" w:color="auto" w:fill="FFFFFF"/>
          <w:lang w:val="es-ES"/>
        </w:rPr>
        <w:t>.</w:t>
      </w:r>
      <w:r w:rsidR="00CB2B32" w:rsidRPr="00CB2B32">
        <w:rPr>
          <w:rFonts w:ascii="Verdana" w:hAnsi="Verdana" w:cs="Arial"/>
          <w:color w:val="000000" w:themeColor="text1"/>
          <w:sz w:val="20"/>
          <w:szCs w:val="20"/>
          <w:shd w:val="clear" w:color="auto" w:fill="FFFFFF"/>
          <w:lang w:val="es-ES"/>
        </w:rPr>
        <w:t xml:space="preserve"> </w:t>
      </w:r>
      <w:r w:rsidRPr="00CB2B32">
        <w:rPr>
          <w:rFonts w:ascii="Verdana" w:hAnsi="Verdana" w:cs="Arial"/>
          <w:color w:val="000000" w:themeColor="text1"/>
          <w:sz w:val="20"/>
          <w:szCs w:val="20"/>
          <w:shd w:val="clear" w:color="auto" w:fill="FFFFFF"/>
          <w:lang w:val="es-ES"/>
        </w:rPr>
        <w:t xml:space="preserve">EL DERECHO A LA DEMOCRACIA </w:t>
      </w:r>
      <w:r w:rsidR="00CB2B32" w:rsidRPr="00CB2B32">
        <w:rPr>
          <w:rFonts w:ascii="Verdana" w:hAnsi="Verdana" w:cs="Arial"/>
          <w:color w:val="000000" w:themeColor="text1"/>
          <w:sz w:val="20"/>
          <w:szCs w:val="20"/>
          <w:shd w:val="clear" w:color="auto" w:fill="FFFFFF"/>
          <w:lang w:val="es-ES"/>
        </w:rPr>
        <w:t xml:space="preserve">Y SU DIMENSIÓN COLECTIVA </w:t>
      </w:r>
    </w:p>
    <w:p w14:paraId="0BAF53FC" w14:textId="042E3D63" w:rsidR="00E713CB" w:rsidRDefault="00E713CB" w:rsidP="00E713CB">
      <w:pPr>
        <w:spacing w:line="240" w:lineRule="auto"/>
        <w:jc w:val="both"/>
        <w:rPr>
          <w:rFonts w:ascii="Verdana" w:hAnsi="Verdana"/>
          <w:color w:val="000000" w:themeColor="text1"/>
          <w:sz w:val="20"/>
          <w:szCs w:val="20"/>
          <w:lang w:val="es-ES_tradnl"/>
        </w:rPr>
      </w:pPr>
      <w:r w:rsidRPr="00E713CB">
        <w:rPr>
          <w:rFonts w:ascii="Verdana" w:hAnsi="Verdana"/>
          <w:color w:val="000000" w:themeColor="text1"/>
          <w:sz w:val="20"/>
          <w:szCs w:val="20"/>
        </w:rPr>
        <w:t>8</w:t>
      </w:r>
      <w:r w:rsidR="00627556">
        <w:rPr>
          <w:rFonts w:ascii="Verdana" w:hAnsi="Verdana"/>
          <w:color w:val="000000" w:themeColor="text1"/>
          <w:sz w:val="20"/>
          <w:szCs w:val="20"/>
        </w:rPr>
        <w:t>6</w:t>
      </w:r>
      <w:r w:rsidRPr="00E713CB">
        <w:rPr>
          <w:rFonts w:ascii="Verdana" w:hAnsi="Verdana"/>
          <w:color w:val="000000" w:themeColor="text1"/>
          <w:sz w:val="20"/>
          <w:szCs w:val="20"/>
        </w:rPr>
        <w:t xml:space="preserve">. </w:t>
      </w:r>
      <w:r w:rsidRPr="00E713CB">
        <w:rPr>
          <w:rFonts w:ascii="Verdana" w:hAnsi="Verdana"/>
          <w:color w:val="000000" w:themeColor="text1"/>
          <w:sz w:val="20"/>
          <w:szCs w:val="20"/>
        </w:rPr>
        <w:tab/>
      </w:r>
      <w:r w:rsidRPr="00E713CB">
        <w:rPr>
          <w:rFonts w:ascii="Verdana" w:hAnsi="Verdana"/>
          <w:color w:val="000000" w:themeColor="text1"/>
          <w:sz w:val="20"/>
          <w:szCs w:val="20"/>
          <w:lang w:val="es-ES_tradnl"/>
        </w:rPr>
        <w:t>Todas estas violaciones</w:t>
      </w:r>
      <w:r w:rsidR="00272436">
        <w:rPr>
          <w:rFonts w:ascii="Verdana" w:hAnsi="Verdana"/>
          <w:color w:val="000000" w:themeColor="text1"/>
          <w:sz w:val="20"/>
          <w:szCs w:val="20"/>
          <w:lang w:val="es-ES_tradnl"/>
        </w:rPr>
        <w:t>, en su conjunto</w:t>
      </w:r>
      <w:r>
        <w:rPr>
          <w:rFonts w:ascii="Verdana" w:hAnsi="Verdana"/>
          <w:color w:val="000000" w:themeColor="text1"/>
          <w:sz w:val="20"/>
          <w:szCs w:val="20"/>
          <w:lang w:val="es-ES_tradnl"/>
        </w:rPr>
        <w:t xml:space="preserve"> y </w:t>
      </w:r>
      <w:r w:rsidR="00272436">
        <w:rPr>
          <w:rFonts w:ascii="Verdana" w:hAnsi="Verdana"/>
          <w:color w:val="000000" w:themeColor="text1"/>
          <w:sz w:val="20"/>
          <w:szCs w:val="20"/>
          <w:lang w:val="es-ES_tradnl"/>
        </w:rPr>
        <w:t xml:space="preserve">en </w:t>
      </w:r>
      <w:r>
        <w:rPr>
          <w:rFonts w:ascii="Verdana" w:hAnsi="Verdana"/>
          <w:color w:val="000000" w:themeColor="text1"/>
          <w:sz w:val="20"/>
          <w:szCs w:val="20"/>
          <w:lang w:val="es-ES_tradnl"/>
        </w:rPr>
        <w:t xml:space="preserve">el contexto </w:t>
      </w:r>
      <w:r w:rsidR="00C32895">
        <w:rPr>
          <w:rFonts w:ascii="Verdana" w:hAnsi="Verdana"/>
          <w:color w:val="000000" w:themeColor="text1"/>
          <w:sz w:val="20"/>
          <w:szCs w:val="20"/>
          <w:lang w:val="es-ES_tradnl"/>
        </w:rPr>
        <w:t xml:space="preserve">de deterioro democrático </w:t>
      </w:r>
      <w:r>
        <w:rPr>
          <w:rFonts w:ascii="Verdana" w:hAnsi="Verdana"/>
          <w:color w:val="000000" w:themeColor="text1"/>
          <w:sz w:val="20"/>
          <w:szCs w:val="20"/>
          <w:lang w:val="es-ES_tradnl"/>
        </w:rPr>
        <w:t>en el que se dieron los hechos,</w:t>
      </w:r>
      <w:r w:rsidRPr="00E713CB">
        <w:rPr>
          <w:rFonts w:ascii="Verdana" w:hAnsi="Verdana"/>
          <w:color w:val="000000" w:themeColor="text1"/>
          <w:sz w:val="20"/>
          <w:szCs w:val="20"/>
          <w:lang w:val="es-ES_tradnl"/>
        </w:rPr>
        <w:t xml:space="preserve"> </w:t>
      </w:r>
      <w:r>
        <w:rPr>
          <w:rFonts w:ascii="Verdana" w:hAnsi="Verdana"/>
          <w:color w:val="000000" w:themeColor="text1"/>
          <w:sz w:val="20"/>
          <w:szCs w:val="20"/>
          <w:lang w:val="es-ES_tradnl"/>
        </w:rPr>
        <w:t>afect</w:t>
      </w:r>
      <w:r w:rsidR="00731E3A">
        <w:rPr>
          <w:rFonts w:ascii="Verdana" w:hAnsi="Verdana"/>
          <w:color w:val="000000" w:themeColor="text1"/>
          <w:sz w:val="20"/>
          <w:szCs w:val="20"/>
          <w:lang w:val="es-ES_tradnl"/>
        </w:rPr>
        <w:t>aron</w:t>
      </w:r>
      <w:r>
        <w:rPr>
          <w:rFonts w:ascii="Verdana" w:hAnsi="Verdana"/>
          <w:color w:val="000000" w:themeColor="text1"/>
          <w:sz w:val="20"/>
          <w:szCs w:val="20"/>
          <w:lang w:val="es-ES_tradnl"/>
        </w:rPr>
        <w:t xml:space="preserve"> </w:t>
      </w:r>
      <w:r w:rsidRPr="00E713CB">
        <w:rPr>
          <w:rFonts w:ascii="Verdana" w:hAnsi="Verdana"/>
          <w:i/>
          <w:iCs/>
          <w:color w:val="000000" w:themeColor="text1"/>
          <w:sz w:val="20"/>
          <w:szCs w:val="20"/>
          <w:lang w:val="es-ES_tradnl"/>
        </w:rPr>
        <w:t xml:space="preserve">el </w:t>
      </w:r>
      <w:r w:rsidR="00997858" w:rsidRPr="00E713CB">
        <w:rPr>
          <w:rFonts w:ascii="Verdana" w:hAnsi="Verdana"/>
          <w:i/>
          <w:iCs/>
          <w:color w:val="000000" w:themeColor="text1"/>
          <w:sz w:val="20"/>
          <w:szCs w:val="20"/>
          <w:lang w:val="es-ES_tradnl"/>
        </w:rPr>
        <w:t>derecho</w:t>
      </w:r>
      <w:r w:rsidRPr="00E713CB">
        <w:rPr>
          <w:rFonts w:ascii="Verdana" w:hAnsi="Verdana"/>
          <w:i/>
          <w:iCs/>
          <w:color w:val="000000" w:themeColor="text1"/>
          <w:sz w:val="20"/>
          <w:szCs w:val="20"/>
          <w:lang w:val="es-ES_tradnl"/>
        </w:rPr>
        <w:t xml:space="preserve"> </w:t>
      </w:r>
      <w:r w:rsidR="00997858" w:rsidRPr="00E713CB">
        <w:rPr>
          <w:rFonts w:ascii="Verdana" w:hAnsi="Verdana"/>
          <w:i/>
          <w:iCs/>
          <w:color w:val="000000" w:themeColor="text1"/>
          <w:sz w:val="20"/>
          <w:szCs w:val="20"/>
          <w:lang w:val="es-ES_tradnl"/>
        </w:rPr>
        <w:t>a la democracia</w:t>
      </w:r>
      <w:r w:rsidRPr="00E713CB">
        <w:rPr>
          <w:rFonts w:ascii="Verdana" w:hAnsi="Verdana"/>
          <w:i/>
          <w:iCs/>
          <w:color w:val="000000" w:themeColor="text1"/>
          <w:sz w:val="20"/>
          <w:szCs w:val="20"/>
          <w:lang w:val="es-ES_tradnl"/>
        </w:rPr>
        <w:t xml:space="preserve">, </w:t>
      </w:r>
      <w:r w:rsidRPr="00E713CB">
        <w:rPr>
          <w:rFonts w:ascii="Verdana" w:hAnsi="Verdana"/>
          <w:color w:val="000000" w:themeColor="text1"/>
          <w:sz w:val="20"/>
          <w:szCs w:val="20"/>
          <w:lang w:val="es-ES_tradnl"/>
        </w:rPr>
        <w:t xml:space="preserve">que </w:t>
      </w:r>
      <w:r>
        <w:rPr>
          <w:rFonts w:ascii="Verdana" w:hAnsi="Verdana"/>
          <w:color w:val="000000" w:themeColor="text1"/>
          <w:sz w:val="20"/>
          <w:szCs w:val="20"/>
          <w:lang w:val="es-ES_tradnl"/>
        </w:rPr>
        <w:t xml:space="preserve">estimo </w:t>
      </w:r>
      <w:r w:rsidRPr="00E713CB">
        <w:rPr>
          <w:rFonts w:ascii="Verdana" w:hAnsi="Verdana"/>
          <w:color w:val="000000" w:themeColor="text1"/>
          <w:sz w:val="20"/>
          <w:szCs w:val="20"/>
          <w:lang w:val="es-ES_tradnl"/>
        </w:rPr>
        <w:t xml:space="preserve">encuentra su sustento en la propia </w:t>
      </w:r>
      <w:r w:rsidR="00997858" w:rsidRPr="00E713CB">
        <w:rPr>
          <w:rFonts w:ascii="Verdana" w:hAnsi="Verdana"/>
          <w:color w:val="000000" w:themeColor="text1"/>
          <w:sz w:val="20"/>
          <w:szCs w:val="20"/>
          <w:lang w:val="es-ES_tradnl"/>
        </w:rPr>
        <w:t xml:space="preserve">Convención Americana </w:t>
      </w:r>
      <w:r w:rsidRPr="00E713CB">
        <w:rPr>
          <w:rFonts w:ascii="Verdana" w:hAnsi="Verdana"/>
          <w:color w:val="000000" w:themeColor="text1"/>
          <w:sz w:val="20"/>
          <w:szCs w:val="20"/>
          <w:lang w:val="es-ES_tradnl"/>
        </w:rPr>
        <w:t>sobre</w:t>
      </w:r>
      <w:r w:rsidR="00997858" w:rsidRPr="00E713CB">
        <w:rPr>
          <w:rFonts w:ascii="Verdana" w:hAnsi="Verdana"/>
          <w:color w:val="000000" w:themeColor="text1"/>
          <w:sz w:val="20"/>
          <w:szCs w:val="20"/>
          <w:lang w:val="es-ES_tradnl"/>
        </w:rPr>
        <w:t xml:space="preserve"> Derechos Humanos, </w:t>
      </w:r>
      <w:r w:rsidR="0044368D">
        <w:rPr>
          <w:rFonts w:ascii="Verdana" w:hAnsi="Verdana"/>
          <w:color w:val="000000" w:themeColor="text1"/>
          <w:sz w:val="20"/>
          <w:szCs w:val="20"/>
          <w:lang w:val="es-ES_tradnl"/>
        </w:rPr>
        <w:t xml:space="preserve">en </w:t>
      </w:r>
      <w:r w:rsidR="00997858" w:rsidRPr="00E713CB">
        <w:rPr>
          <w:rFonts w:ascii="Verdana" w:hAnsi="Verdana"/>
          <w:color w:val="000000" w:themeColor="text1"/>
          <w:sz w:val="20"/>
          <w:szCs w:val="20"/>
          <w:lang w:val="es-ES_tradnl"/>
        </w:rPr>
        <w:t xml:space="preserve">la Carta Democrática Interamericana </w:t>
      </w:r>
      <w:r w:rsidR="00272436" w:rsidRPr="00272436">
        <w:rPr>
          <w:rFonts w:ascii="Verdana" w:hAnsi="Verdana"/>
          <w:color w:val="000000" w:themeColor="text1"/>
          <w:sz w:val="20"/>
          <w:szCs w:val="20"/>
          <w:lang w:val="es-ES"/>
        </w:rPr>
        <w:t>(en adelante CDI)</w:t>
      </w:r>
      <w:r w:rsidR="00272436">
        <w:rPr>
          <w:rFonts w:ascii="Verdana" w:hAnsi="Verdana"/>
          <w:color w:val="000000" w:themeColor="text1"/>
          <w:sz w:val="20"/>
          <w:szCs w:val="20"/>
          <w:lang w:val="es-ES"/>
        </w:rPr>
        <w:t xml:space="preserve"> </w:t>
      </w:r>
      <w:r w:rsidR="00997858" w:rsidRPr="00E713CB">
        <w:rPr>
          <w:rFonts w:ascii="Verdana" w:hAnsi="Verdana"/>
          <w:color w:val="000000" w:themeColor="text1"/>
          <w:sz w:val="20"/>
          <w:szCs w:val="20"/>
          <w:lang w:val="es-ES_tradnl"/>
        </w:rPr>
        <w:t xml:space="preserve">y </w:t>
      </w:r>
      <w:r w:rsidR="0044368D">
        <w:rPr>
          <w:rFonts w:ascii="Verdana" w:hAnsi="Verdana"/>
          <w:color w:val="000000" w:themeColor="text1"/>
          <w:sz w:val="20"/>
          <w:szCs w:val="20"/>
          <w:lang w:val="es-ES_tradnl"/>
        </w:rPr>
        <w:t xml:space="preserve">en la propia </w:t>
      </w:r>
      <w:r w:rsidR="00997858" w:rsidRPr="00E713CB">
        <w:rPr>
          <w:rFonts w:ascii="Verdana" w:hAnsi="Verdana"/>
          <w:color w:val="000000" w:themeColor="text1"/>
          <w:sz w:val="20"/>
          <w:szCs w:val="20"/>
          <w:lang w:val="es-ES_tradnl"/>
        </w:rPr>
        <w:t>Carta de la OEA</w:t>
      </w:r>
      <w:r>
        <w:rPr>
          <w:rFonts w:ascii="Verdana" w:hAnsi="Verdana"/>
          <w:color w:val="000000" w:themeColor="text1"/>
          <w:sz w:val="20"/>
          <w:szCs w:val="20"/>
          <w:lang w:val="es-ES_tradnl"/>
        </w:rPr>
        <w:t>.</w:t>
      </w:r>
      <w:r w:rsidR="00C32895">
        <w:rPr>
          <w:rFonts w:ascii="Verdana" w:hAnsi="Verdana"/>
          <w:color w:val="000000" w:themeColor="text1"/>
          <w:sz w:val="20"/>
          <w:szCs w:val="20"/>
          <w:lang w:val="es-ES_tradnl"/>
        </w:rPr>
        <w:t xml:space="preserve"> Si bien la Corte IDH no declara su violación, deja los elementos para un desarrollo en casos futuros.</w:t>
      </w:r>
    </w:p>
    <w:p w14:paraId="492C6C2F" w14:textId="76E88072" w:rsidR="00272436" w:rsidRDefault="00E713CB" w:rsidP="00272436">
      <w:pPr>
        <w:spacing w:line="240" w:lineRule="auto"/>
        <w:jc w:val="both"/>
        <w:rPr>
          <w:rFonts w:ascii="Verdana" w:hAnsi="Verdana"/>
          <w:color w:val="000000" w:themeColor="text1"/>
          <w:sz w:val="20"/>
          <w:szCs w:val="20"/>
        </w:rPr>
      </w:pPr>
      <w:r>
        <w:rPr>
          <w:rFonts w:ascii="Verdana" w:hAnsi="Verdana"/>
          <w:color w:val="000000" w:themeColor="text1"/>
          <w:sz w:val="20"/>
          <w:szCs w:val="20"/>
          <w:lang w:val="es-ES_tradnl"/>
        </w:rPr>
        <w:t>8</w:t>
      </w:r>
      <w:r w:rsidR="00627556">
        <w:rPr>
          <w:rFonts w:ascii="Verdana" w:hAnsi="Verdana"/>
          <w:color w:val="000000" w:themeColor="text1"/>
          <w:sz w:val="20"/>
          <w:szCs w:val="20"/>
          <w:lang w:val="es-ES_tradnl"/>
        </w:rPr>
        <w:t>7</w:t>
      </w:r>
      <w:r>
        <w:rPr>
          <w:rFonts w:ascii="Verdana" w:hAnsi="Verdana"/>
          <w:color w:val="000000" w:themeColor="text1"/>
          <w:sz w:val="20"/>
          <w:szCs w:val="20"/>
          <w:lang w:val="es-ES_tradnl"/>
        </w:rPr>
        <w:t xml:space="preserve">. </w:t>
      </w:r>
      <w:r>
        <w:rPr>
          <w:rFonts w:ascii="Verdana" w:hAnsi="Verdana"/>
          <w:color w:val="000000" w:themeColor="text1"/>
          <w:sz w:val="20"/>
          <w:szCs w:val="20"/>
          <w:lang w:val="es-ES_tradnl"/>
        </w:rPr>
        <w:tab/>
        <w:t xml:space="preserve">En efecto, la propia sentencia de manera explícita se refiere al </w:t>
      </w:r>
      <w:r w:rsidRPr="00E713CB">
        <w:rPr>
          <w:rFonts w:ascii="Verdana" w:hAnsi="Verdana"/>
          <w:i/>
          <w:iCs/>
          <w:color w:val="000000" w:themeColor="text1"/>
          <w:sz w:val="20"/>
          <w:szCs w:val="20"/>
          <w:lang w:val="es-ES_tradnl"/>
        </w:rPr>
        <w:t>derecho de los pueblos a la democracia</w:t>
      </w:r>
      <w:r>
        <w:rPr>
          <w:rFonts w:ascii="Verdana" w:hAnsi="Verdana"/>
          <w:color w:val="000000" w:themeColor="text1"/>
          <w:sz w:val="20"/>
          <w:szCs w:val="20"/>
          <w:lang w:val="es-ES_tradnl"/>
        </w:rPr>
        <w:t xml:space="preserve">, destacando la importancia de la </w:t>
      </w:r>
      <w:r w:rsidRPr="00272436">
        <w:rPr>
          <w:rFonts w:ascii="Verdana" w:hAnsi="Verdana"/>
          <w:i/>
          <w:iCs/>
          <w:color w:val="000000" w:themeColor="text1"/>
          <w:sz w:val="20"/>
          <w:szCs w:val="20"/>
          <w:lang w:val="es-ES_tradnl"/>
        </w:rPr>
        <w:t>democracia representativa</w:t>
      </w:r>
      <w:r>
        <w:rPr>
          <w:rFonts w:ascii="Verdana" w:hAnsi="Verdana"/>
          <w:color w:val="000000" w:themeColor="text1"/>
          <w:sz w:val="20"/>
          <w:szCs w:val="20"/>
          <w:lang w:val="es-ES_tradnl"/>
        </w:rPr>
        <w:t xml:space="preserve"> y de la participación de la ciudadanía en el marco del orden legal y constitucional vigente. Lo hace recordando lo previsto en el artículo 1º de la </w:t>
      </w:r>
      <w:r w:rsidRPr="007B4502">
        <w:rPr>
          <w:rFonts w:ascii="Verdana" w:hAnsi="Verdana"/>
          <w:i/>
          <w:iCs/>
          <w:color w:val="000000" w:themeColor="text1"/>
          <w:sz w:val="20"/>
          <w:szCs w:val="20"/>
          <w:lang w:val="es-ES_tradnl"/>
        </w:rPr>
        <w:t>Carta Democrática Interamericana</w:t>
      </w:r>
      <w:r>
        <w:rPr>
          <w:rFonts w:ascii="Verdana" w:hAnsi="Verdana"/>
          <w:color w:val="000000" w:themeColor="text1"/>
          <w:sz w:val="20"/>
          <w:szCs w:val="20"/>
          <w:lang w:val="es-ES_tradnl"/>
        </w:rPr>
        <w:t xml:space="preserve">, aludiendo también a sus artículos 3 y 4, </w:t>
      </w:r>
      <w:r w:rsidR="00272436">
        <w:rPr>
          <w:rFonts w:ascii="Verdana" w:hAnsi="Verdana"/>
          <w:color w:val="000000" w:themeColor="text1"/>
          <w:sz w:val="20"/>
          <w:szCs w:val="20"/>
          <w:lang w:val="es-ES_tradnl"/>
        </w:rPr>
        <w:t xml:space="preserve">al señalar </w:t>
      </w:r>
      <w:r>
        <w:rPr>
          <w:rFonts w:ascii="Verdana" w:hAnsi="Verdana"/>
          <w:color w:val="000000" w:themeColor="text1"/>
          <w:sz w:val="20"/>
          <w:szCs w:val="20"/>
          <w:lang w:val="es-ES_tradnl"/>
        </w:rPr>
        <w:t xml:space="preserve">que “en los sistemas democráticos, se debe acceder y ejercer el poder público </w:t>
      </w:r>
      <w:r w:rsidRPr="00F20320">
        <w:rPr>
          <w:rFonts w:ascii="Verdana" w:hAnsi="Verdana"/>
          <w:i/>
          <w:iCs/>
          <w:color w:val="000000" w:themeColor="text1"/>
          <w:sz w:val="20"/>
          <w:szCs w:val="20"/>
          <w:lang w:val="es-ES_tradnl"/>
        </w:rPr>
        <w:t>con sujeción al Estado de Derecho y bajo el imperio de la ley</w:t>
      </w:r>
      <w:r>
        <w:rPr>
          <w:rFonts w:ascii="Verdana" w:hAnsi="Verdana"/>
          <w:color w:val="000000" w:themeColor="text1"/>
          <w:sz w:val="20"/>
          <w:szCs w:val="20"/>
          <w:lang w:val="es-ES_tradnl"/>
        </w:rPr>
        <w:t>. El juego democrático solamente es posible si todas las partes respeta</w:t>
      </w:r>
      <w:r w:rsidR="00731E3A">
        <w:rPr>
          <w:rFonts w:ascii="Verdana" w:hAnsi="Verdana"/>
          <w:color w:val="000000" w:themeColor="text1"/>
          <w:sz w:val="20"/>
          <w:szCs w:val="20"/>
          <w:lang w:val="es-ES_tradnl"/>
        </w:rPr>
        <w:t>n</w:t>
      </w:r>
      <w:r>
        <w:rPr>
          <w:rFonts w:ascii="Verdana" w:hAnsi="Verdana"/>
          <w:color w:val="000000" w:themeColor="text1"/>
          <w:sz w:val="20"/>
          <w:szCs w:val="20"/>
          <w:lang w:val="es-ES_tradnl"/>
        </w:rPr>
        <w:t xml:space="preserve"> los límites impuestos por la ley que permiten la propia existencia de la democracia</w:t>
      </w:r>
      <w:r w:rsidRPr="0044368D">
        <w:rPr>
          <w:rStyle w:val="FootnoteReference"/>
          <w:rFonts w:ascii="Verdana" w:hAnsi="Verdana"/>
          <w:bCs/>
          <w:sz w:val="20"/>
          <w:szCs w:val="20"/>
        </w:rPr>
        <w:footnoteReference w:id="103"/>
      </w:r>
      <w:r w:rsidRPr="0044368D">
        <w:rPr>
          <w:rFonts w:ascii="Verdana" w:hAnsi="Verdana"/>
          <w:bCs/>
          <w:sz w:val="20"/>
          <w:szCs w:val="20"/>
        </w:rPr>
        <w:t>, como lo son, por ejemplo, las regulaciones electorales</w:t>
      </w:r>
      <w:r w:rsidRPr="0044368D">
        <w:rPr>
          <w:rStyle w:val="FootnoteReference"/>
          <w:rFonts w:ascii="Verdana" w:hAnsi="Verdana"/>
          <w:bCs/>
          <w:sz w:val="20"/>
          <w:szCs w:val="20"/>
        </w:rPr>
        <w:footnoteReference w:id="104"/>
      </w:r>
      <w:r w:rsidRPr="0044368D">
        <w:rPr>
          <w:rFonts w:ascii="Verdana" w:hAnsi="Verdana"/>
          <w:bCs/>
          <w:sz w:val="20"/>
          <w:szCs w:val="20"/>
        </w:rPr>
        <w:t>. Esto se relaciona con el artículo 23 de la Convención Americana que, como ha señalado este Tribunal, contiene una dimensión individual y una colectiva de los derechos políticos, en tanto protegen tanto quienes participan como candidatos y candidatas como a sus electores</w:t>
      </w:r>
      <w:r w:rsidR="00686CC9">
        <w:rPr>
          <w:rFonts w:ascii="Verdana" w:hAnsi="Verdana"/>
          <w:bCs/>
          <w:sz w:val="20"/>
          <w:szCs w:val="20"/>
        </w:rPr>
        <w:t>”</w:t>
      </w:r>
      <w:r w:rsidRPr="0044368D">
        <w:rPr>
          <w:rStyle w:val="FootnoteReference"/>
          <w:bCs/>
          <w:szCs w:val="20"/>
        </w:rPr>
        <w:footnoteReference w:id="105"/>
      </w:r>
      <w:r w:rsidRPr="0044368D">
        <w:rPr>
          <w:rFonts w:ascii="Verdana" w:hAnsi="Verdana"/>
          <w:bCs/>
          <w:sz w:val="20"/>
          <w:szCs w:val="20"/>
        </w:rPr>
        <w:t>.</w:t>
      </w:r>
    </w:p>
    <w:p w14:paraId="7BB07FBA" w14:textId="6F761D8E" w:rsidR="00272436" w:rsidRDefault="00272436" w:rsidP="00272436">
      <w:pPr>
        <w:spacing w:line="240" w:lineRule="auto"/>
        <w:jc w:val="both"/>
        <w:rPr>
          <w:rFonts w:ascii="Verdana" w:hAnsi="Verdana"/>
          <w:color w:val="000000" w:themeColor="text1"/>
          <w:sz w:val="20"/>
          <w:szCs w:val="20"/>
          <w:lang w:val="es-ES"/>
        </w:rPr>
      </w:pPr>
      <w:r>
        <w:rPr>
          <w:rFonts w:ascii="Verdana" w:hAnsi="Verdana"/>
          <w:color w:val="000000" w:themeColor="text1"/>
          <w:sz w:val="20"/>
          <w:szCs w:val="20"/>
        </w:rPr>
        <w:t>8</w:t>
      </w:r>
      <w:r w:rsidR="00627556">
        <w:rPr>
          <w:rFonts w:ascii="Verdana" w:hAnsi="Verdana"/>
          <w:color w:val="000000" w:themeColor="text1"/>
          <w:sz w:val="20"/>
          <w:szCs w:val="20"/>
        </w:rPr>
        <w:t>8</w:t>
      </w:r>
      <w:r>
        <w:rPr>
          <w:rFonts w:ascii="Verdana" w:hAnsi="Verdana"/>
          <w:color w:val="000000" w:themeColor="text1"/>
          <w:sz w:val="20"/>
          <w:szCs w:val="20"/>
        </w:rPr>
        <w:t xml:space="preserve">. </w:t>
      </w:r>
      <w:r>
        <w:rPr>
          <w:rFonts w:ascii="Verdana" w:hAnsi="Verdana"/>
          <w:color w:val="000000" w:themeColor="text1"/>
          <w:sz w:val="20"/>
          <w:szCs w:val="20"/>
        </w:rPr>
        <w:tab/>
      </w:r>
      <w:r>
        <w:rPr>
          <w:rStyle w:val="oypena"/>
          <w:rFonts w:ascii="Verdana" w:hAnsi="Verdana"/>
          <w:color w:val="000000" w:themeColor="text1"/>
          <w:sz w:val="20"/>
          <w:szCs w:val="20"/>
        </w:rPr>
        <w:t>Lo anterior lo estimo de la mayor importancia. L</w:t>
      </w:r>
      <w:r w:rsidR="00997858" w:rsidRPr="00272436">
        <w:rPr>
          <w:rFonts w:ascii="Verdana" w:hAnsi="Verdana"/>
          <w:color w:val="000000" w:themeColor="text1"/>
          <w:sz w:val="20"/>
          <w:szCs w:val="20"/>
          <w:lang w:val="es-ES"/>
        </w:rPr>
        <w:t>a relación entre derechos humanos, democracia representativa y los derechos políticos en particular, quedó plasmada en la Carta Democrática Interamericana, aprobada el 11 de septiembre de 2001 por los Ministros de Relaciones Exteriores de las Américas en Asamblea Extraordinaria de la OEA</w:t>
      </w:r>
      <w:r w:rsidR="00997858" w:rsidRPr="00590665">
        <w:rPr>
          <w:rStyle w:val="FootnoteReference"/>
          <w:rFonts w:ascii="Verdana" w:hAnsi="Verdana"/>
          <w:color w:val="000000" w:themeColor="text1"/>
          <w:sz w:val="20"/>
          <w:szCs w:val="20"/>
          <w:lang w:val="es-ES"/>
        </w:rPr>
        <w:footnoteReference w:id="106"/>
      </w:r>
      <w:r w:rsidR="0044368D">
        <w:rPr>
          <w:rFonts w:ascii="Verdana" w:hAnsi="Verdana"/>
          <w:color w:val="000000" w:themeColor="text1"/>
          <w:sz w:val="20"/>
          <w:szCs w:val="20"/>
          <w:lang w:val="es-ES"/>
        </w:rPr>
        <w:t>.</w:t>
      </w:r>
      <w:r w:rsidR="00997858" w:rsidRPr="00272436">
        <w:rPr>
          <w:rFonts w:ascii="Verdana" w:hAnsi="Verdana"/>
          <w:color w:val="000000" w:themeColor="text1"/>
          <w:sz w:val="20"/>
          <w:szCs w:val="20"/>
          <w:lang w:val="es-ES"/>
        </w:rPr>
        <w:t xml:space="preserve"> Conviene enfatizar que la CDI fue aprobada por unanimidad en el foro deliberativo de la OEA</w:t>
      </w:r>
      <w:r w:rsidR="00997858">
        <w:rPr>
          <w:rStyle w:val="FootnoteReference"/>
          <w:rFonts w:ascii="Verdana" w:hAnsi="Verdana"/>
          <w:color w:val="000000" w:themeColor="text1"/>
          <w:sz w:val="20"/>
          <w:szCs w:val="20"/>
          <w:lang w:val="es-ES"/>
        </w:rPr>
        <w:footnoteReference w:id="107"/>
      </w:r>
      <w:r w:rsidR="00A3138F">
        <w:rPr>
          <w:rFonts w:ascii="Verdana" w:hAnsi="Verdana"/>
          <w:color w:val="000000" w:themeColor="text1"/>
          <w:sz w:val="20"/>
          <w:szCs w:val="20"/>
          <w:lang w:val="es-ES"/>
        </w:rPr>
        <w:t>,</w:t>
      </w:r>
      <w:r w:rsidR="00997858" w:rsidRPr="00272436">
        <w:rPr>
          <w:rFonts w:ascii="Verdana" w:hAnsi="Verdana"/>
          <w:color w:val="000000" w:themeColor="text1"/>
          <w:sz w:val="20"/>
          <w:szCs w:val="20"/>
          <w:lang w:val="es-ES"/>
        </w:rPr>
        <w:t xml:space="preserve"> la Asamblea General, figurando, por ende, como el </w:t>
      </w:r>
      <w:r w:rsidR="00997858" w:rsidRPr="00272436">
        <w:rPr>
          <w:rFonts w:ascii="Verdana" w:hAnsi="Verdana"/>
          <w:i/>
          <w:iCs/>
          <w:color w:val="000000" w:themeColor="text1"/>
          <w:sz w:val="20"/>
          <w:szCs w:val="20"/>
          <w:lang w:val="es-ES"/>
        </w:rPr>
        <w:t>opinio iuris</w:t>
      </w:r>
      <w:r w:rsidR="00997858" w:rsidRPr="00272436">
        <w:rPr>
          <w:rFonts w:ascii="Verdana" w:hAnsi="Verdana"/>
          <w:color w:val="000000" w:themeColor="text1"/>
          <w:sz w:val="20"/>
          <w:szCs w:val="20"/>
          <w:lang w:val="es-ES"/>
        </w:rPr>
        <w:t xml:space="preserve"> interamericano en materia de democracia</w:t>
      </w:r>
      <w:r w:rsidR="001D657B">
        <w:rPr>
          <w:rFonts w:ascii="Verdana" w:hAnsi="Verdana"/>
          <w:color w:val="000000" w:themeColor="text1"/>
          <w:sz w:val="20"/>
          <w:szCs w:val="20"/>
          <w:lang w:val="es-ES"/>
        </w:rPr>
        <w:t xml:space="preserve"> para la región</w:t>
      </w:r>
      <w:r w:rsidR="00997858">
        <w:rPr>
          <w:rStyle w:val="FootnoteReference"/>
          <w:rFonts w:ascii="Verdana" w:hAnsi="Verdana"/>
          <w:color w:val="000000" w:themeColor="text1"/>
          <w:sz w:val="20"/>
          <w:szCs w:val="20"/>
          <w:lang w:val="es-ES"/>
        </w:rPr>
        <w:footnoteReference w:id="108"/>
      </w:r>
      <w:r>
        <w:rPr>
          <w:rFonts w:ascii="Verdana" w:hAnsi="Verdana"/>
          <w:color w:val="000000" w:themeColor="text1"/>
          <w:sz w:val="20"/>
          <w:szCs w:val="20"/>
          <w:lang w:val="es-ES"/>
        </w:rPr>
        <w:t>.</w:t>
      </w:r>
      <w:r w:rsidR="00997858" w:rsidRPr="00272436">
        <w:rPr>
          <w:rFonts w:ascii="Verdana" w:hAnsi="Verdana"/>
          <w:color w:val="000000" w:themeColor="text1"/>
          <w:sz w:val="20"/>
          <w:szCs w:val="20"/>
          <w:lang w:val="es-ES"/>
        </w:rPr>
        <w:t xml:space="preserve"> </w:t>
      </w:r>
    </w:p>
    <w:p w14:paraId="6721953F" w14:textId="676E45C8" w:rsidR="00FB440F" w:rsidRDefault="00FB440F" w:rsidP="00272436">
      <w:pPr>
        <w:spacing w:line="240" w:lineRule="auto"/>
        <w:jc w:val="both"/>
        <w:rPr>
          <w:rFonts w:ascii="Verdana" w:hAnsi="Verdana"/>
          <w:color w:val="000000" w:themeColor="text1"/>
          <w:sz w:val="20"/>
          <w:szCs w:val="20"/>
          <w:lang w:val="es-ES"/>
        </w:rPr>
      </w:pPr>
      <w:r>
        <w:rPr>
          <w:rFonts w:ascii="Verdana" w:hAnsi="Verdana"/>
          <w:color w:val="000000" w:themeColor="text1"/>
          <w:sz w:val="20"/>
          <w:szCs w:val="20"/>
          <w:lang w:val="es-ES"/>
        </w:rPr>
        <w:t>8</w:t>
      </w:r>
      <w:r w:rsidR="00627556">
        <w:rPr>
          <w:rFonts w:ascii="Verdana" w:hAnsi="Verdana"/>
          <w:color w:val="000000" w:themeColor="text1"/>
          <w:sz w:val="20"/>
          <w:szCs w:val="20"/>
          <w:lang w:val="es-ES"/>
        </w:rPr>
        <w:t>9</w:t>
      </w:r>
      <w:r>
        <w:rPr>
          <w:rFonts w:ascii="Verdana" w:hAnsi="Verdana"/>
          <w:color w:val="000000" w:themeColor="text1"/>
          <w:sz w:val="20"/>
          <w:szCs w:val="20"/>
          <w:lang w:val="es-ES"/>
        </w:rPr>
        <w:t xml:space="preserve">. </w:t>
      </w:r>
      <w:r>
        <w:rPr>
          <w:rFonts w:ascii="Verdana" w:hAnsi="Verdana"/>
          <w:color w:val="000000" w:themeColor="text1"/>
          <w:sz w:val="20"/>
          <w:szCs w:val="20"/>
          <w:lang w:val="es-ES"/>
        </w:rPr>
        <w:tab/>
      </w:r>
      <w:r w:rsidR="00997858" w:rsidRPr="00272436">
        <w:rPr>
          <w:rFonts w:ascii="Verdana" w:hAnsi="Verdana"/>
          <w:color w:val="000000" w:themeColor="text1"/>
          <w:sz w:val="20"/>
          <w:szCs w:val="20"/>
          <w:lang w:val="es-ES"/>
        </w:rPr>
        <w:t xml:space="preserve">Es decir, </w:t>
      </w:r>
      <w:r w:rsidR="00997858" w:rsidRPr="00272436">
        <w:rPr>
          <w:rFonts w:ascii="Verdana" w:hAnsi="Verdana"/>
          <w:color w:val="000000" w:themeColor="text1"/>
          <w:sz w:val="20"/>
          <w:szCs w:val="20"/>
        </w:rPr>
        <w:t>no es una simple declaración política, desprovista de valor jurídico, sino que es el reflejo del Derecho preexistente.</w:t>
      </w:r>
      <w:r w:rsidR="00997858" w:rsidRPr="00272436">
        <w:rPr>
          <w:rFonts w:ascii="Verdana" w:hAnsi="Verdana"/>
          <w:color w:val="000000" w:themeColor="text1"/>
          <w:sz w:val="20"/>
          <w:szCs w:val="20"/>
          <w:lang w:val="es-ES"/>
        </w:rPr>
        <w:t xml:space="preserve"> En concreto</w:t>
      </w:r>
      <w:r>
        <w:rPr>
          <w:rFonts w:ascii="Verdana" w:hAnsi="Verdana"/>
          <w:color w:val="000000" w:themeColor="text1"/>
          <w:sz w:val="20"/>
          <w:szCs w:val="20"/>
          <w:lang w:val="es-ES"/>
        </w:rPr>
        <w:t>,</w:t>
      </w:r>
      <w:r w:rsidR="00997858" w:rsidRPr="00272436">
        <w:rPr>
          <w:rFonts w:ascii="Verdana" w:hAnsi="Verdana"/>
          <w:color w:val="000000" w:themeColor="text1"/>
          <w:sz w:val="20"/>
          <w:szCs w:val="20"/>
          <w:lang w:val="es-ES"/>
        </w:rPr>
        <w:t xml:space="preserve"> el objeto de la CDI se dirige “hacia el apuntalamiento de las instituciones propias de una sociedad democrática</w:t>
      </w:r>
      <w:r w:rsidR="0089279E">
        <w:rPr>
          <w:rFonts w:ascii="Verdana" w:hAnsi="Verdana"/>
          <w:color w:val="000000" w:themeColor="text1"/>
          <w:sz w:val="20"/>
          <w:szCs w:val="20"/>
          <w:lang w:val="es-ES"/>
        </w:rPr>
        <w:t>,</w:t>
      </w:r>
      <w:r w:rsidR="00997858" w:rsidRPr="00272436">
        <w:rPr>
          <w:rFonts w:ascii="Verdana" w:hAnsi="Verdana"/>
          <w:color w:val="000000" w:themeColor="text1"/>
          <w:sz w:val="20"/>
          <w:szCs w:val="20"/>
          <w:lang w:val="es-ES"/>
        </w:rPr>
        <w:t xml:space="preserve"> para atender situaciones en las cuales el atentado contra éstas alcance tal gravedad que altera, desvirtúa, menoscaba o destruye el gobierno democrático como tal”</w:t>
      </w:r>
      <w:r w:rsidR="00997858" w:rsidRPr="00590665">
        <w:rPr>
          <w:rStyle w:val="FootnoteReference"/>
          <w:rFonts w:ascii="Verdana" w:hAnsi="Verdana"/>
          <w:color w:val="000000" w:themeColor="text1"/>
          <w:sz w:val="20"/>
          <w:szCs w:val="20"/>
          <w:lang w:val="es-ES"/>
        </w:rPr>
        <w:footnoteReference w:id="109"/>
      </w:r>
      <w:r>
        <w:rPr>
          <w:rFonts w:ascii="Verdana" w:hAnsi="Verdana"/>
          <w:color w:val="000000" w:themeColor="text1"/>
          <w:sz w:val="20"/>
          <w:szCs w:val="20"/>
          <w:lang w:val="es-ES"/>
        </w:rPr>
        <w:t>.</w:t>
      </w:r>
      <w:r w:rsidR="00997858" w:rsidRPr="00272436">
        <w:rPr>
          <w:rFonts w:ascii="Verdana" w:hAnsi="Verdana"/>
          <w:color w:val="000000" w:themeColor="text1"/>
          <w:sz w:val="20"/>
          <w:szCs w:val="20"/>
          <w:lang w:val="es-ES"/>
        </w:rPr>
        <w:t xml:space="preserve"> Como sustrato de lo anterior, la Corte </w:t>
      </w:r>
      <w:r>
        <w:rPr>
          <w:rFonts w:ascii="Verdana" w:hAnsi="Verdana"/>
          <w:color w:val="000000" w:themeColor="text1"/>
          <w:sz w:val="20"/>
          <w:szCs w:val="20"/>
          <w:lang w:val="es-ES"/>
        </w:rPr>
        <w:t xml:space="preserve">IDH </w:t>
      </w:r>
      <w:r w:rsidR="00997858" w:rsidRPr="00272436">
        <w:rPr>
          <w:rFonts w:ascii="Verdana" w:hAnsi="Verdana"/>
          <w:color w:val="000000" w:themeColor="text1"/>
          <w:sz w:val="20"/>
          <w:szCs w:val="20"/>
          <w:lang w:val="es-ES"/>
        </w:rPr>
        <w:t xml:space="preserve">ha establecido que este instrumento jurídico </w:t>
      </w:r>
      <w:r w:rsidR="00997858" w:rsidRPr="00FB440F">
        <w:rPr>
          <w:rFonts w:ascii="Verdana" w:hAnsi="Verdana"/>
          <w:i/>
          <w:iCs/>
          <w:color w:val="000000" w:themeColor="text1"/>
          <w:sz w:val="20"/>
          <w:szCs w:val="20"/>
          <w:lang w:val="es-ES"/>
        </w:rPr>
        <w:t>es una norma de interpretación auténtica de los tratados a que se refiere</w:t>
      </w:r>
      <w:r w:rsidR="00997858" w:rsidRPr="00272436">
        <w:rPr>
          <w:rFonts w:ascii="Verdana" w:hAnsi="Verdana"/>
          <w:color w:val="000000" w:themeColor="text1"/>
          <w:sz w:val="20"/>
          <w:szCs w:val="20"/>
          <w:lang w:val="es-ES"/>
        </w:rPr>
        <w:t xml:space="preserve">, pues recoge la interpretación que los propios </w:t>
      </w:r>
      <w:r w:rsidR="00997858" w:rsidRPr="00272436">
        <w:rPr>
          <w:rFonts w:ascii="Verdana" w:hAnsi="Verdana"/>
          <w:color w:val="000000" w:themeColor="text1"/>
          <w:sz w:val="20"/>
          <w:szCs w:val="20"/>
          <w:lang w:val="es-ES"/>
        </w:rPr>
        <w:lastRenderedPageBreak/>
        <w:t xml:space="preserve">Estados miembros de la OEA, incluyendo a los Estados parte en la Convención, hacen de las </w:t>
      </w:r>
      <w:r w:rsidR="00997858" w:rsidRPr="00FB440F">
        <w:rPr>
          <w:rFonts w:ascii="Verdana" w:hAnsi="Verdana"/>
          <w:i/>
          <w:iCs/>
          <w:color w:val="000000" w:themeColor="text1"/>
          <w:sz w:val="20"/>
          <w:szCs w:val="20"/>
          <w:lang w:val="es-ES"/>
        </w:rPr>
        <w:t>normas atingentes a la democracia tanto de la Carta de la OEA como de la Convención Americana</w:t>
      </w:r>
      <w:r w:rsidR="00997858" w:rsidRPr="00590665">
        <w:rPr>
          <w:rStyle w:val="FootnoteReference"/>
          <w:rFonts w:ascii="Verdana" w:hAnsi="Verdana"/>
          <w:color w:val="000000" w:themeColor="text1"/>
          <w:sz w:val="20"/>
          <w:szCs w:val="20"/>
        </w:rPr>
        <w:footnoteReference w:id="110"/>
      </w:r>
      <w:r w:rsidR="00997858" w:rsidRPr="00272436">
        <w:rPr>
          <w:rFonts w:ascii="Verdana" w:hAnsi="Verdana"/>
          <w:color w:val="000000" w:themeColor="text1"/>
          <w:sz w:val="20"/>
          <w:szCs w:val="20"/>
          <w:lang w:val="es-ES"/>
        </w:rPr>
        <w:t xml:space="preserve">. </w:t>
      </w:r>
    </w:p>
    <w:p w14:paraId="21116CA0" w14:textId="52DC26B8" w:rsidR="00997858" w:rsidRPr="00FB440F" w:rsidRDefault="00627556" w:rsidP="00FB440F">
      <w:pPr>
        <w:spacing w:line="240" w:lineRule="auto"/>
        <w:jc w:val="both"/>
        <w:rPr>
          <w:rFonts w:ascii="Verdana" w:hAnsi="Verdana"/>
          <w:color w:val="000000" w:themeColor="text1"/>
          <w:sz w:val="20"/>
          <w:szCs w:val="20"/>
          <w:lang w:val="es-ES_tradnl"/>
        </w:rPr>
      </w:pPr>
      <w:r>
        <w:rPr>
          <w:rFonts w:ascii="Verdana" w:hAnsi="Verdana"/>
          <w:color w:val="000000" w:themeColor="text1"/>
          <w:sz w:val="20"/>
          <w:szCs w:val="20"/>
          <w:lang w:val="es-ES"/>
        </w:rPr>
        <w:t>90</w:t>
      </w:r>
      <w:r w:rsidR="00FB440F">
        <w:rPr>
          <w:rFonts w:ascii="Verdana" w:hAnsi="Verdana"/>
          <w:color w:val="000000" w:themeColor="text1"/>
          <w:sz w:val="20"/>
          <w:szCs w:val="20"/>
          <w:lang w:val="es-ES"/>
        </w:rPr>
        <w:t xml:space="preserve">. </w:t>
      </w:r>
      <w:r w:rsidR="00FB440F">
        <w:rPr>
          <w:rFonts w:ascii="Verdana" w:hAnsi="Verdana"/>
          <w:color w:val="000000" w:themeColor="text1"/>
          <w:sz w:val="20"/>
          <w:szCs w:val="20"/>
          <w:lang w:val="es-ES"/>
        </w:rPr>
        <w:tab/>
      </w:r>
      <w:r w:rsidR="00997858" w:rsidRPr="00272436">
        <w:rPr>
          <w:rFonts w:ascii="Verdana" w:hAnsi="Verdana"/>
          <w:color w:val="000000" w:themeColor="text1"/>
          <w:sz w:val="20"/>
          <w:szCs w:val="20"/>
          <w:lang w:val="es-ES"/>
        </w:rPr>
        <w:t>En efecto, se reconoce el estatus “particular” de la CDI,</w:t>
      </w:r>
      <w:r w:rsidR="00997858" w:rsidRPr="00590665">
        <w:rPr>
          <w:vertAlign w:val="superscript"/>
          <w:lang w:val="es-ES"/>
        </w:rPr>
        <w:footnoteReference w:id="111"/>
      </w:r>
      <w:r w:rsidR="00997858" w:rsidRPr="00272436">
        <w:rPr>
          <w:rFonts w:ascii="Verdana" w:hAnsi="Verdana"/>
          <w:color w:val="000000" w:themeColor="text1"/>
          <w:sz w:val="20"/>
          <w:szCs w:val="20"/>
          <w:lang w:val="es-ES"/>
        </w:rPr>
        <w:t xml:space="preserve"> pues aun cuando esta es una resolución de la OEA, por su conexidad a los objetivos centrales tanto de la OEA como del SIDH, la práctica de la Corte IDH le ha otorgado ciertos efectos </w:t>
      </w:r>
      <w:r w:rsidR="00FB440F">
        <w:rPr>
          <w:rFonts w:ascii="Verdana" w:hAnsi="Verdana"/>
          <w:color w:val="000000" w:themeColor="text1"/>
          <w:sz w:val="20"/>
          <w:szCs w:val="20"/>
          <w:lang w:val="es-ES"/>
        </w:rPr>
        <w:t>jurídicos</w:t>
      </w:r>
      <w:r w:rsidR="001D657B">
        <w:rPr>
          <w:rFonts w:ascii="Verdana" w:hAnsi="Verdana"/>
          <w:color w:val="000000" w:themeColor="text1"/>
          <w:sz w:val="20"/>
          <w:szCs w:val="20"/>
          <w:lang w:val="es-ES"/>
        </w:rPr>
        <w:t xml:space="preserve"> </w:t>
      </w:r>
      <w:r w:rsidR="001D657B" w:rsidRPr="004E0396">
        <w:rPr>
          <w:rFonts w:ascii="Verdana" w:hAnsi="Verdana"/>
          <w:color w:val="000000" w:themeColor="text1"/>
          <w:sz w:val="20"/>
          <w:szCs w:val="20"/>
          <w:lang w:val="es-ES"/>
        </w:rPr>
        <w:t>vinculantes</w:t>
      </w:r>
      <w:r w:rsidR="00997858" w:rsidRPr="004E0396">
        <w:rPr>
          <w:rFonts w:ascii="Verdana" w:hAnsi="Verdana"/>
          <w:color w:val="000000" w:themeColor="text1"/>
          <w:sz w:val="20"/>
          <w:szCs w:val="20"/>
          <w:lang w:val="es-ES"/>
        </w:rPr>
        <w:t>.</w:t>
      </w:r>
      <w:r w:rsidR="00997858" w:rsidRPr="00272436">
        <w:rPr>
          <w:rFonts w:ascii="Verdana" w:hAnsi="Verdana"/>
          <w:color w:val="000000" w:themeColor="text1"/>
          <w:sz w:val="20"/>
          <w:szCs w:val="20"/>
          <w:lang w:val="es-ES"/>
        </w:rPr>
        <w:t xml:space="preserve"> Como indica M</w:t>
      </w:r>
      <w:r w:rsidR="00F20320">
        <w:rPr>
          <w:rFonts w:ascii="Verdana" w:hAnsi="Verdana"/>
          <w:color w:val="000000" w:themeColor="text1"/>
          <w:sz w:val="20"/>
          <w:szCs w:val="20"/>
          <w:lang w:val="es-ES"/>
        </w:rPr>
        <w:t>orales Antoniazzi</w:t>
      </w:r>
      <w:r w:rsidR="00997858" w:rsidRPr="00272436">
        <w:rPr>
          <w:rFonts w:ascii="Verdana" w:hAnsi="Verdana"/>
          <w:color w:val="000000" w:themeColor="text1"/>
          <w:sz w:val="20"/>
          <w:szCs w:val="20"/>
          <w:lang w:val="es-ES"/>
        </w:rPr>
        <w:t xml:space="preserve"> “[l]as disposiciones de la Carta tienen la función de ser una especie de ‘cláusula de corte transversal’ constitucional que van a permear la totalidad de los órdenes jurídicos, lo cual también postula e incluye el precepto de homogeneidad entre la Carta y las Constituciones nacionales, garantizando la </w:t>
      </w:r>
      <w:r w:rsidR="00997858" w:rsidRPr="004E0396">
        <w:rPr>
          <w:rFonts w:ascii="Verdana" w:hAnsi="Verdana"/>
          <w:color w:val="000000" w:themeColor="text1"/>
          <w:sz w:val="20"/>
          <w:szCs w:val="20"/>
          <w:lang w:val="es-ES"/>
        </w:rPr>
        <w:t>gramática</w:t>
      </w:r>
      <w:r w:rsidR="00997858" w:rsidRPr="00272436">
        <w:rPr>
          <w:rFonts w:ascii="Verdana" w:hAnsi="Verdana"/>
          <w:color w:val="000000" w:themeColor="text1"/>
          <w:sz w:val="20"/>
          <w:szCs w:val="20"/>
          <w:lang w:val="es-ES"/>
        </w:rPr>
        <w:t xml:space="preserve"> de la democracia. Existe una ‘cultura común’ o </w:t>
      </w:r>
      <w:r w:rsidR="00997858" w:rsidRPr="00272436">
        <w:rPr>
          <w:rFonts w:ascii="Verdana" w:hAnsi="Verdana"/>
          <w:i/>
          <w:iCs/>
          <w:color w:val="000000" w:themeColor="text1"/>
          <w:sz w:val="20"/>
          <w:szCs w:val="20"/>
          <w:lang w:val="es-ES"/>
        </w:rPr>
        <w:t xml:space="preserve">ius commune </w:t>
      </w:r>
      <w:r w:rsidR="00997858" w:rsidRPr="00272436">
        <w:rPr>
          <w:rFonts w:ascii="Verdana" w:hAnsi="Verdana"/>
          <w:color w:val="000000" w:themeColor="text1"/>
          <w:sz w:val="20"/>
          <w:szCs w:val="20"/>
          <w:lang w:val="es-ES"/>
        </w:rPr>
        <w:t>que se ha creado en materia de democracia que induce al reconocimiento de ciertos principios y valores comunes entre los Estados del hemisferio”</w:t>
      </w:r>
      <w:r w:rsidR="00997858" w:rsidRPr="00590665">
        <w:rPr>
          <w:vertAlign w:val="superscript"/>
          <w:lang w:val="es-ES"/>
        </w:rPr>
        <w:footnoteReference w:id="112"/>
      </w:r>
      <w:r w:rsidR="00FB440F">
        <w:rPr>
          <w:rFonts w:ascii="Verdana" w:hAnsi="Verdana"/>
          <w:color w:val="000000" w:themeColor="text1"/>
          <w:sz w:val="20"/>
          <w:szCs w:val="20"/>
          <w:lang w:val="es-ES"/>
        </w:rPr>
        <w:t>.</w:t>
      </w:r>
      <w:r w:rsidR="00997858" w:rsidRPr="00272436">
        <w:rPr>
          <w:rFonts w:ascii="Verdana" w:hAnsi="Verdana"/>
          <w:color w:val="000000" w:themeColor="text1"/>
          <w:sz w:val="20"/>
          <w:szCs w:val="20"/>
          <w:lang w:val="es-ES"/>
        </w:rPr>
        <w:t xml:space="preserve">  </w:t>
      </w:r>
    </w:p>
    <w:p w14:paraId="6BEE5143" w14:textId="77CDCC21" w:rsidR="00FB440F" w:rsidRDefault="00627556" w:rsidP="00FB440F">
      <w:pPr>
        <w:pStyle w:val="ListParagraph"/>
        <w:spacing w:line="240" w:lineRule="auto"/>
        <w:ind w:left="0"/>
        <w:jc w:val="both"/>
        <w:rPr>
          <w:rStyle w:val="oypena"/>
          <w:rFonts w:ascii="Verdana" w:hAnsi="Verdana"/>
          <w:color w:val="000000" w:themeColor="text1"/>
          <w:sz w:val="20"/>
          <w:szCs w:val="20"/>
          <w:lang w:val="es-ES"/>
        </w:rPr>
      </w:pPr>
      <w:r>
        <w:rPr>
          <w:rStyle w:val="oypena"/>
          <w:rFonts w:ascii="Verdana" w:hAnsi="Verdana"/>
          <w:color w:val="000000" w:themeColor="text1"/>
          <w:sz w:val="20"/>
          <w:szCs w:val="20"/>
          <w:lang w:val="es-ES"/>
        </w:rPr>
        <w:t>91</w:t>
      </w:r>
      <w:r w:rsidR="00FB440F">
        <w:rPr>
          <w:rStyle w:val="oypena"/>
          <w:rFonts w:ascii="Verdana" w:hAnsi="Verdana"/>
          <w:color w:val="000000" w:themeColor="text1"/>
          <w:sz w:val="20"/>
          <w:szCs w:val="20"/>
          <w:lang w:val="es-ES"/>
        </w:rPr>
        <w:t xml:space="preserve">. </w:t>
      </w:r>
      <w:r w:rsidR="00FB440F">
        <w:rPr>
          <w:rStyle w:val="oypena"/>
          <w:rFonts w:ascii="Verdana" w:hAnsi="Verdana"/>
          <w:color w:val="000000" w:themeColor="text1"/>
          <w:sz w:val="20"/>
          <w:szCs w:val="20"/>
          <w:lang w:val="es-ES"/>
        </w:rPr>
        <w:tab/>
      </w:r>
      <w:r w:rsidR="001D657B">
        <w:rPr>
          <w:rStyle w:val="oypena"/>
          <w:rFonts w:ascii="Verdana" w:hAnsi="Verdana"/>
          <w:color w:val="000000" w:themeColor="text1"/>
          <w:sz w:val="20"/>
          <w:szCs w:val="20"/>
          <w:lang w:val="es-ES"/>
        </w:rPr>
        <w:t xml:space="preserve">De manera similar se pronunció </w:t>
      </w:r>
      <w:r w:rsidR="00FB440F">
        <w:rPr>
          <w:rStyle w:val="oypena"/>
          <w:rFonts w:ascii="Verdana" w:hAnsi="Verdana"/>
          <w:color w:val="000000" w:themeColor="text1"/>
          <w:sz w:val="20"/>
          <w:szCs w:val="20"/>
          <w:lang w:val="es-ES"/>
        </w:rPr>
        <w:t>el juez V</w:t>
      </w:r>
      <w:r w:rsidR="001D657B">
        <w:rPr>
          <w:rStyle w:val="oypena"/>
          <w:rFonts w:ascii="Verdana" w:hAnsi="Verdana"/>
          <w:color w:val="000000" w:themeColor="text1"/>
          <w:sz w:val="20"/>
          <w:szCs w:val="20"/>
          <w:lang w:val="es-ES"/>
        </w:rPr>
        <w:t>i</w:t>
      </w:r>
      <w:r w:rsidR="00FB440F">
        <w:rPr>
          <w:rStyle w:val="oypena"/>
          <w:rFonts w:ascii="Verdana" w:hAnsi="Verdana"/>
          <w:color w:val="000000" w:themeColor="text1"/>
          <w:sz w:val="20"/>
          <w:szCs w:val="20"/>
          <w:lang w:val="es-ES"/>
        </w:rPr>
        <w:t>o Grossi</w:t>
      </w:r>
      <w:r w:rsidR="0044368D">
        <w:rPr>
          <w:rStyle w:val="oypena"/>
          <w:rFonts w:ascii="Verdana" w:hAnsi="Verdana"/>
          <w:color w:val="000000" w:themeColor="text1"/>
          <w:sz w:val="20"/>
          <w:szCs w:val="20"/>
          <w:lang w:val="es-ES"/>
        </w:rPr>
        <w:t>,</w:t>
      </w:r>
      <w:r w:rsidR="00997858" w:rsidRPr="00590665">
        <w:rPr>
          <w:rStyle w:val="oypena"/>
          <w:rFonts w:ascii="Verdana" w:hAnsi="Verdana"/>
          <w:color w:val="000000" w:themeColor="text1"/>
          <w:sz w:val="20"/>
          <w:szCs w:val="20"/>
          <w:lang w:val="es-ES"/>
        </w:rPr>
        <w:t xml:space="preserve"> en su voto particular con ocasión del caso </w:t>
      </w:r>
      <w:r w:rsidR="00997858" w:rsidRPr="00590665">
        <w:rPr>
          <w:rStyle w:val="oypena"/>
          <w:rFonts w:ascii="Verdana" w:hAnsi="Verdana"/>
          <w:i/>
          <w:iCs/>
          <w:color w:val="000000" w:themeColor="text1"/>
          <w:sz w:val="20"/>
          <w:szCs w:val="20"/>
          <w:lang w:val="es-ES"/>
        </w:rPr>
        <w:t>Granier y otros vs. Venezuela</w:t>
      </w:r>
      <w:r w:rsidR="00FB440F">
        <w:rPr>
          <w:rStyle w:val="oypena"/>
          <w:rFonts w:ascii="Verdana" w:hAnsi="Verdana"/>
          <w:color w:val="000000" w:themeColor="text1"/>
          <w:sz w:val="20"/>
          <w:szCs w:val="20"/>
          <w:lang w:val="es-ES"/>
        </w:rPr>
        <w:t xml:space="preserve">, </w:t>
      </w:r>
      <w:r w:rsidR="00997858" w:rsidRPr="00590665">
        <w:rPr>
          <w:rStyle w:val="oypena"/>
          <w:rFonts w:ascii="Verdana" w:hAnsi="Verdana"/>
          <w:color w:val="000000" w:themeColor="text1"/>
          <w:sz w:val="20"/>
          <w:szCs w:val="20"/>
          <w:lang w:val="es-ES"/>
        </w:rPr>
        <w:t xml:space="preserve">“la Carta democrática Interamericana se emitió porque se estimó necesaria. </w:t>
      </w:r>
      <w:r w:rsidR="00997858" w:rsidRPr="00590665">
        <w:rPr>
          <w:rStyle w:val="oypena"/>
          <w:rFonts w:ascii="Verdana" w:hAnsi="Verdana"/>
          <w:i/>
          <w:iCs/>
          <w:color w:val="000000" w:themeColor="text1"/>
          <w:sz w:val="20"/>
          <w:szCs w:val="20"/>
          <w:lang w:val="es-ES"/>
        </w:rPr>
        <w:t xml:space="preserve">A contrario sensu </w:t>
      </w:r>
      <w:r w:rsidR="00997858" w:rsidRPr="00590665">
        <w:rPr>
          <w:rStyle w:val="oypena"/>
          <w:rFonts w:ascii="Verdana" w:hAnsi="Verdana"/>
          <w:color w:val="000000" w:themeColor="text1"/>
          <w:sz w:val="20"/>
          <w:szCs w:val="20"/>
          <w:lang w:val="es-ES"/>
        </w:rPr>
        <w:t>no se trata de un texto teórico o meramente político, sin finalidad jurídica específica, sino que es un instrumento jurídico y más específicamente, es una fuente auxiliar del Derecho Internacional, incluso de mayor relevancia que la jurisprudencia de la Corte, en tanto determina, por parte de los Estados Partes de las mismas, las reglas convencionales en la materia en cuestión”</w:t>
      </w:r>
      <w:r w:rsidR="00997858" w:rsidRPr="00590665">
        <w:rPr>
          <w:rStyle w:val="FootnoteReference"/>
          <w:rFonts w:ascii="Verdana" w:hAnsi="Verdana"/>
          <w:color w:val="000000" w:themeColor="text1"/>
          <w:sz w:val="20"/>
          <w:szCs w:val="20"/>
          <w:lang w:val="es-ES"/>
        </w:rPr>
        <w:footnoteReference w:id="113"/>
      </w:r>
      <w:r w:rsidR="007B4502">
        <w:rPr>
          <w:rStyle w:val="oypena"/>
          <w:rFonts w:ascii="Verdana" w:hAnsi="Verdana"/>
          <w:color w:val="000000" w:themeColor="text1"/>
          <w:sz w:val="20"/>
          <w:szCs w:val="20"/>
          <w:lang w:val="es-ES"/>
        </w:rPr>
        <w:t>.</w:t>
      </w:r>
      <w:r w:rsidR="00997858" w:rsidRPr="00590665">
        <w:rPr>
          <w:rStyle w:val="oypena"/>
          <w:rFonts w:ascii="Verdana" w:hAnsi="Verdana"/>
          <w:color w:val="000000" w:themeColor="text1"/>
          <w:sz w:val="20"/>
          <w:szCs w:val="20"/>
          <w:lang w:val="es-ES"/>
        </w:rPr>
        <w:t xml:space="preserve"> </w:t>
      </w:r>
    </w:p>
    <w:p w14:paraId="790FCD78" w14:textId="77777777" w:rsidR="00FB440F" w:rsidRDefault="00FB440F" w:rsidP="00FB440F">
      <w:pPr>
        <w:pStyle w:val="ListParagraph"/>
        <w:spacing w:line="240" w:lineRule="auto"/>
        <w:ind w:left="0"/>
        <w:jc w:val="both"/>
        <w:rPr>
          <w:rStyle w:val="oypena"/>
          <w:rFonts w:ascii="Verdana" w:hAnsi="Verdana"/>
          <w:color w:val="000000" w:themeColor="text1"/>
          <w:sz w:val="20"/>
          <w:szCs w:val="20"/>
          <w:lang w:val="es-ES"/>
        </w:rPr>
      </w:pPr>
    </w:p>
    <w:p w14:paraId="3D8A179C" w14:textId="68A06816" w:rsidR="00BA04C5" w:rsidRDefault="00627556" w:rsidP="00FB440F">
      <w:pPr>
        <w:pStyle w:val="ListParagraph"/>
        <w:spacing w:line="240" w:lineRule="auto"/>
        <w:ind w:left="0"/>
        <w:jc w:val="both"/>
        <w:rPr>
          <w:rFonts w:ascii="Verdana" w:hAnsi="Verdana"/>
          <w:color w:val="000000" w:themeColor="text1"/>
          <w:sz w:val="20"/>
          <w:szCs w:val="20"/>
        </w:rPr>
      </w:pPr>
      <w:r>
        <w:rPr>
          <w:rStyle w:val="oypena"/>
          <w:rFonts w:ascii="Verdana" w:hAnsi="Verdana"/>
          <w:color w:val="000000" w:themeColor="text1"/>
          <w:sz w:val="20"/>
          <w:szCs w:val="20"/>
          <w:lang w:val="es-ES"/>
        </w:rPr>
        <w:t>92</w:t>
      </w:r>
      <w:r w:rsidR="00FB440F">
        <w:rPr>
          <w:rStyle w:val="oypena"/>
          <w:rFonts w:ascii="Verdana" w:hAnsi="Verdana"/>
          <w:color w:val="000000" w:themeColor="text1"/>
          <w:sz w:val="20"/>
          <w:szCs w:val="20"/>
          <w:lang w:val="es-ES"/>
        </w:rPr>
        <w:t xml:space="preserve">. </w:t>
      </w:r>
      <w:r w:rsidR="00FB440F">
        <w:rPr>
          <w:rStyle w:val="oypena"/>
          <w:rFonts w:ascii="Verdana" w:hAnsi="Verdana"/>
          <w:color w:val="000000" w:themeColor="text1"/>
          <w:sz w:val="20"/>
          <w:szCs w:val="20"/>
          <w:lang w:val="es-ES"/>
        </w:rPr>
        <w:tab/>
      </w:r>
      <w:r w:rsidR="00997858" w:rsidRPr="00590665">
        <w:rPr>
          <w:rStyle w:val="oypena"/>
          <w:rFonts w:ascii="Verdana" w:hAnsi="Verdana"/>
          <w:color w:val="000000" w:themeColor="text1"/>
          <w:sz w:val="20"/>
          <w:szCs w:val="20"/>
          <w:lang w:val="es-ES"/>
        </w:rPr>
        <w:t>Se trata, en definitiva, de un texto cuyo valor no puede ser minorado pues expresa la intención de que la democracia en el hemisferio americano tenga un efecto útil (</w:t>
      </w:r>
      <w:r w:rsidR="00997858" w:rsidRPr="00590665">
        <w:rPr>
          <w:rStyle w:val="oypena"/>
          <w:rFonts w:ascii="Verdana" w:hAnsi="Verdana"/>
          <w:i/>
          <w:iCs/>
          <w:color w:val="000000" w:themeColor="text1"/>
          <w:sz w:val="20"/>
          <w:szCs w:val="20"/>
          <w:lang w:val="es-ES"/>
        </w:rPr>
        <w:t>effet utile</w:t>
      </w:r>
      <w:r w:rsidR="00997858" w:rsidRPr="00590665">
        <w:rPr>
          <w:rStyle w:val="oypena"/>
          <w:rFonts w:ascii="Verdana" w:hAnsi="Verdana"/>
          <w:color w:val="000000" w:themeColor="text1"/>
          <w:sz w:val="20"/>
          <w:szCs w:val="20"/>
          <w:lang w:val="es-ES"/>
        </w:rPr>
        <w:t xml:space="preserve">). Tal conclusión se deriva, por su parte, de los Capítulos IV (denominado </w:t>
      </w:r>
      <w:r w:rsidR="00997858" w:rsidRPr="00590665">
        <w:rPr>
          <w:rFonts w:ascii="Verdana" w:hAnsi="Verdana"/>
          <w:i/>
          <w:iCs/>
          <w:color w:val="000000" w:themeColor="text1"/>
          <w:sz w:val="20"/>
          <w:szCs w:val="20"/>
        </w:rPr>
        <w:t>Fortalecimiento y preservación de la institucionalidad democrática</w:t>
      </w:r>
      <w:r w:rsidR="00856D08">
        <w:rPr>
          <w:rFonts w:ascii="Verdana" w:hAnsi="Verdana"/>
          <w:color w:val="000000" w:themeColor="text1"/>
          <w:sz w:val="20"/>
          <w:szCs w:val="20"/>
        </w:rPr>
        <w:t xml:space="preserve">, </w:t>
      </w:r>
      <w:r w:rsidR="00997858" w:rsidRPr="00590665">
        <w:rPr>
          <w:rFonts w:ascii="Verdana" w:hAnsi="Verdana"/>
          <w:color w:val="000000" w:themeColor="text1"/>
          <w:sz w:val="20"/>
          <w:szCs w:val="20"/>
        </w:rPr>
        <w:t>comprendiendo los artículos 17-22)</w:t>
      </w:r>
      <w:r w:rsidR="00997858" w:rsidRPr="00590665">
        <w:rPr>
          <w:rStyle w:val="FootnoteReference"/>
          <w:rFonts w:ascii="Verdana" w:hAnsi="Verdana"/>
          <w:color w:val="000000" w:themeColor="text1"/>
          <w:sz w:val="20"/>
          <w:szCs w:val="20"/>
        </w:rPr>
        <w:footnoteReference w:id="114"/>
      </w:r>
      <w:r w:rsidR="007B4502">
        <w:rPr>
          <w:rFonts w:ascii="Verdana" w:hAnsi="Verdana"/>
          <w:color w:val="000000" w:themeColor="text1"/>
          <w:sz w:val="20"/>
          <w:szCs w:val="20"/>
        </w:rPr>
        <w:t>,</w:t>
      </w:r>
      <w:r w:rsidR="00997858" w:rsidRPr="00590665">
        <w:rPr>
          <w:rFonts w:ascii="Verdana" w:hAnsi="Verdana"/>
          <w:color w:val="000000" w:themeColor="text1"/>
          <w:sz w:val="20"/>
          <w:szCs w:val="20"/>
        </w:rPr>
        <w:t xml:space="preserve"> y V (denominado </w:t>
      </w:r>
      <w:r w:rsidR="00997858" w:rsidRPr="00590665">
        <w:rPr>
          <w:rFonts w:ascii="Verdana" w:hAnsi="Verdana"/>
          <w:i/>
          <w:iCs/>
          <w:color w:val="000000" w:themeColor="text1"/>
          <w:sz w:val="20"/>
          <w:szCs w:val="20"/>
        </w:rPr>
        <w:t>La democracia y las misiones de observación electoral</w:t>
      </w:r>
      <w:r w:rsidR="00856D08">
        <w:rPr>
          <w:rFonts w:ascii="Verdana" w:hAnsi="Verdana"/>
          <w:i/>
          <w:iCs/>
          <w:color w:val="000000" w:themeColor="text1"/>
          <w:sz w:val="20"/>
          <w:szCs w:val="20"/>
        </w:rPr>
        <w:t xml:space="preserve">, </w:t>
      </w:r>
      <w:r w:rsidR="00997858" w:rsidRPr="00590665">
        <w:rPr>
          <w:rFonts w:ascii="Verdana" w:hAnsi="Verdana"/>
          <w:color w:val="000000" w:themeColor="text1"/>
          <w:sz w:val="20"/>
          <w:szCs w:val="20"/>
        </w:rPr>
        <w:t xml:space="preserve">comprendiendo los </w:t>
      </w:r>
      <w:r w:rsidR="009C522B" w:rsidRPr="00590665">
        <w:rPr>
          <w:rFonts w:ascii="Verdana" w:hAnsi="Verdana"/>
          <w:color w:val="000000" w:themeColor="text1"/>
          <w:sz w:val="20"/>
          <w:szCs w:val="20"/>
        </w:rPr>
        <w:t>artículos</w:t>
      </w:r>
      <w:r w:rsidR="00997858" w:rsidRPr="00590665">
        <w:rPr>
          <w:rFonts w:ascii="Verdana" w:hAnsi="Verdana"/>
          <w:color w:val="000000" w:themeColor="text1"/>
          <w:sz w:val="20"/>
          <w:szCs w:val="20"/>
        </w:rPr>
        <w:t xml:space="preserve"> 23-25)</w:t>
      </w:r>
      <w:r w:rsidR="001D657B" w:rsidRPr="004E0396">
        <w:rPr>
          <w:rStyle w:val="FootnoteReference"/>
          <w:rFonts w:ascii="Verdana" w:hAnsi="Verdana"/>
          <w:color w:val="000000" w:themeColor="text1"/>
          <w:sz w:val="20"/>
          <w:szCs w:val="20"/>
        </w:rPr>
        <w:footnoteReference w:id="115"/>
      </w:r>
      <w:r w:rsidR="00997858" w:rsidRPr="00590665">
        <w:rPr>
          <w:rFonts w:ascii="Verdana" w:hAnsi="Verdana"/>
          <w:color w:val="000000" w:themeColor="text1"/>
          <w:sz w:val="20"/>
          <w:szCs w:val="20"/>
        </w:rPr>
        <w:t xml:space="preserve"> de la CDI, que prevén </w:t>
      </w:r>
      <w:r w:rsidR="009C522B" w:rsidRPr="00590665">
        <w:rPr>
          <w:rFonts w:ascii="Verdana" w:hAnsi="Verdana"/>
          <w:color w:val="000000" w:themeColor="text1"/>
          <w:sz w:val="20"/>
          <w:szCs w:val="20"/>
        </w:rPr>
        <w:t>mecanismos</w:t>
      </w:r>
      <w:r w:rsidR="00997858" w:rsidRPr="00590665">
        <w:rPr>
          <w:rFonts w:ascii="Verdana" w:hAnsi="Verdana"/>
          <w:color w:val="000000" w:themeColor="text1"/>
          <w:sz w:val="20"/>
          <w:szCs w:val="20"/>
        </w:rPr>
        <w:t xml:space="preserve"> </w:t>
      </w:r>
      <w:r w:rsidR="009C522B" w:rsidRPr="00590665">
        <w:rPr>
          <w:rFonts w:ascii="Verdana" w:hAnsi="Verdana"/>
          <w:color w:val="000000" w:themeColor="text1"/>
          <w:sz w:val="20"/>
          <w:szCs w:val="20"/>
        </w:rPr>
        <w:t>supranacionales</w:t>
      </w:r>
      <w:r w:rsidR="00997858" w:rsidRPr="00590665">
        <w:rPr>
          <w:rFonts w:ascii="Verdana" w:hAnsi="Verdana"/>
          <w:color w:val="000000" w:themeColor="text1"/>
          <w:sz w:val="20"/>
          <w:szCs w:val="20"/>
        </w:rPr>
        <w:t xml:space="preserve"> para la tutela de la democracia, y de los literales d) y f) </w:t>
      </w:r>
      <w:r w:rsidR="001D657B">
        <w:rPr>
          <w:rFonts w:ascii="Verdana" w:hAnsi="Verdana"/>
          <w:color w:val="000000" w:themeColor="text1"/>
          <w:sz w:val="20"/>
          <w:szCs w:val="20"/>
        </w:rPr>
        <w:t xml:space="preserve">del artículo 9 </w:t>
      </w:r>
      <w:r w:rsidR="00997858" w:rsidRPr="00590665">
        <w:rPr>
          <w:rFonts w:ascii="Verdana" w:hAnsi="Verdana"/>
          <w:color w:val="000000" w:themeColor="text1"/>
          <w:sz w:val="20"/>
          <w:szCs w:val="20"/>
        </w:rPr>
        <w:t>de la Carta de la OEA</w:t>
      </w:r>
      <w:r w:rsidR="00997858" w:rsidRPr="00590665">
        <w:rPr>
          <w:rStyle w:val="FootnoteReference"/>
          <w:rFonts w:ascii="Verdana" w:hAnsi="Verdana"/>
          <w:color w:val="000000" w:themeColor="text1"/>
          <w:sz w:val="20"/>
          <w:szCs w:val="20"/>
        </w:rPr>
        <w:footnoteReference w:id="116"/>
      </w:r>
      <w:r w:rsidR="00856D08">
        <w:rPr>
          <w:rFonts w:ascii="Verdana" w:hAnsi="Verdana"/>
          <w:color w:val="000000" w:themeColor="text1"/>
          <w:sz w:val="20"/>
          <w:szCs w:val="20"/>
        </w:rPr>
        <w:t>,</w:t>
      </w:r>
      <w:r w:rsidR="00997858" w:rsidRPr="00590665">
        <w:rPr>
          <w:rFonts w:ascii="Verdana" w:hAnsi="Verdana"/>
          <w:color w:val="000000" w:themeColor="text1"/>
          <w:sz w:val="20"/>
          <w:szCs w:val="20"/>
        </w:rPr>
        <w:t xml:space="preserve"> que prevén la </w:t>
      </w:r>
      <w:r w:rsidR="00997858" w:rsidRPr="00590665">
        <w:rPr>
          <w:rFonts w:ascii="Verdana" w:hAnsi="Verdana"/>
          <w:color w:val="000000" w:themeColor="text1"/>
          <w:sz w:val="20"/>
          <w:szCs w:val="20"/>
        </w:rPr>
        <w:lastRenderedPageBreak/>
        <w:t xml:space="preserve">posibilidad de suspender a un </w:t>
      </w:r>
      <w:r w:rsidR="009C522B" w:rsidRPr="00590665">
        <w:rPr>
          <w:rFonts w:ascii="Verdana" w:hAnsi="Verdana"/>
          <w:color w:val="000000" w:themeColor="text1"/>
          <w:sz w:val="20"/>
          <w:szCs w:val="20"/>
        </w:rPr>
        <w:t>determi</w:t>
      </w:r>
      <w:r w:rsidR="009C522B">
        <w:rPr>
          <w:rFonts w:ascii="Verdana" w:hAnsi="Verdana"/>
          <w:color w:val="000000" w:themeColor="text1"/>
          <w:sz w:val="20"/>
          <w:szCs w:val="20"/>
        </w:rPr>
        <w:t>nado</w:t>
      </w:r>
      <w:r w:rsidR="00997858" w:rsidRPr="00590665">
        <w:rPr>
          <w:rFonts w:ascii="Verdana" w:hAnsi="Verdana"/>
          <w:color w:val="000000" w:themeColor="text1"/>
          <w:sz w:val="20"/>
          <w:szCs w:val="20"/>
        </w:rPr>
        <w:t xml:space="preserve"> Estado Miembro de su derecho de participación en la Asamblea General</w:t>
      </w:r>
      <w:r w:rsidR="001D657B" w:rsidRPr="00695F31">
        <w:rPr>
          <w:rStyle w:val="FootnoteReference"/>
          <w:rFonts w:ascii="Verdana" w:hAnsi="Verdana"/>
          <w:color w:val="000000" w:themeColor="text1"/>
          <w:sz w:val="20"/>
          <w:szCs w:val="20"/>
        </w:rPr>
        <w:footnoteReference w:id="117"/>
      </w:r>
      <w:r w:rsidR="00997858" w:rsidRPr="00695F31">
        <w:rPr>
          <w:rFonts w:ascii="Verdana" w:hAnsi="Verdana"/>
          <w:color w:val="000000" w:themeColor="text1"/>
          <w:sz w:val="20"/>
          <w:szCs w:val="20"/>
        </w:rPr>
        <w:t>.</w:t>
      </w:r>
      <w:r w:rsidR="00997858" w:rsidRPr="00590665">
        <w:rPr>
          <w:rFonts w:ascii="Verdana" w:hAnsi="Verdana"/>
          <w:color w:val="000000" w:themeColor="text1"/>
          <w:sz w:val="20"/>
          <w:szCs w:val="20"/>
        </w:rPr>
        <w:t xml:space="preserve"> </w:t>
      </w:r>
      <w:r w:rsidR="00FB440F">
        <w:rPr>
          <w:rFonts w:ascii="Verdana" w:hAnsi="Verdana"/>
          <w:color w:val="000000" w:themeColor="text1"/>
          <w:sz w:val="20"/>
          <w:szCs w:val="20"/>
        </w:rPr>
        <w:t>Como lo expresa V</w:t>
      </w:r>
      <w:r w:rsidR="001D657B">
        <w:rPr>
          <w:rFonts w:ascii="Verdana" w:hAnsi="Verdana"/>
          <w:color w:val="000000" w:themeColor="text1"/>
          <w:sz w:val="20"/>
          <w:szCs w:val="20"/>
        </w:rPr>
        <w:t>i</w:t>
      </w:r>
      <w:r w:rsidR="00FB440F">
        <w:rPr>
          <w:rFonts w:ascii="Verdana" w:hAnsi="Verdana"/>
          <w:color w:val="000000" w:themeColor="text1"/>
          <w:sz w:val="20"/>
          <w:szCs w:val="20"/>
        </w:rPr>
        <w:t xml:space="preserve">o Grossi: </w:t>
      </w:r>
      <w:r w:rsidR="00997858" w:rsidRPr="00590665">
        <w:rPr>
          <w:rFonts w:ascii="Verdana" w:hAnsi="Verdana"/>
          <w:color w:val="000000" w:themeColor="text1"/>
          <w:sz w:val="20"/>
          <w:szCs w:val="20"/>
        </w:rPr>
        <w:t>“En otros términos, ella supone que los Estados americanos son democráticos, en realidad al momento de su adopción efectivamente lo eran, y, por ende, sus normas indican las situaciones en que, de una u otra manera, violan su obligación de efectivamente ejercer la democracia y apuntan a que ésta sea lo más prontamente posible restablecida”</w:t>
      </w:r>
      <w:r w:rsidR="00997858" w:rsidRPr="00590665">
        <w:rPr>
          <w:rStyle w:val="FootnoteReference"/>
          <w:rFonts w:ascii="Verdana" w:hAnsi="Verdana"/>
          <w:color w:val="000000" w:themeColor="text1"/>
          <w:sz w:val="20"/>
          <w:szCs w:val="20"/>
        </w:rPr>
        <w:footnoteReference w:id="118"/>
      </w:r>
      <w:r w:rsidR="00111C73">
        <w:rPr>
          <w:rFonts w:ascii="Verdana" w:hAnsi="Verdana"/>
          <w:color w:val="000000" w:themeColor="text1"/>
          <w:sz w:val="20"/>
          <w:szCs w:val="20"/>
        </w:rPr>
        <w:t>.</w:t>
      </w:r>
      <w:r w:rsidR="00997858" w:rsidRPr="00590665">
        <w:rPr>
          <w:rFonts w:ascii="Verdana" w:hAnsi="Verdana"/>
          <w:color w:val="000000" w:themeColor="text1"/>
          <w:sz w:val="20"/>
          <w:szCs w:val="20"/>
        </w:rPr>
        <w:t xml:space="preserve"> </w:t>
      </w:r>
    </w:p>
    <w:p w14:paraId="443B808C" w14:textId="39BF5C31" w:rsidR="00BA04C5" w:rsidRDefault="00BA04C5" w:rsidP="00FB440F">
      <w:pPr>
        <w:pStyle w:val="ListParagraph"/>
        <w:spacing w:line="240" w:lineRule="auto"/>
        <w:ind w:left="0"/>
        <w:jc w:val="both"/>
        <w:rPr>
          <w:rFonts w:ascii="Verdana" w:hAnsi="Verdana"/>
          <w:color w:val="000000" w:themeColor="text1"/>
          <w:sz w:val="20"/>
          <w:szCs w:val="20"/>
        </w:rPr>
      </w:pPr>
    </w:p>
    <w:p w14:paraId="7F05C0C4" w14:textId="05FBD419" w:rsidR="00BA04C5" w:rsidRPr="00FB440F" w:rsidRDefault="00BA04C5" w:rsidP="00BA04C5">
      <w:pPr>
        <w:pStyle w:val="ListParagraph"/>
        <w:spacing w:line="240" w:lineRule="auto"/>
        <w:ind w:left="0"/>
        <w:jc w:val="both"/>
        <w:rPr>
          <w:rFonts w:ascii="Verdana" w:hAnsi="Verdana"/>
          <w:color w:val="000000" w:themeColor="text1"/>
          <w:sz w:val="20"/>
          <w:szCs w:val="20"/>
        </w:rPr>
      </w:pPr>
      <w:r w:rsidRPr="009760E6">
        <w:rPr>
          <w:rFonts w:ascii="Verdana" w:hAnsi="Verdana"/>
          <w:color w:val="000000" w:themeColor="text1"/>
          <w:sz w:val="20"/>
          <w:szCs w:val="20"/>
        </w:rPr>
        <w:t>9</w:t>
      </w:r>
      <w:r w:rsidR="00627556">
        <w:rPr>
          <w:rFonts w:ascii="Verdana" w:hAnsi="Verdana"/>
          <w:color w:val="000000" w:themeColor="text1"/>
          <w:sz w:val="20"/>
          <w:szCs w:val="20"/>
        </w:rPr>
        <w:t>3</w:t>
      </w:r>
      <w:r w:rsidRPr="009760E6">
        <w:rPr>
          <w:rFonts w:ascii="Verdana" w:hAnsi="Verdana"/>
          <w:color w:val="000000" w:themeColor="text1"/>
          <w:sz w:val="20"/>
          <w:szCs w:val="20"/>
        </w:rPr>
        <w:t>.</w:t>
      </w:r>
      <w:r w:rsidRPr="009760E6">
        <w:rPr>
          <w:rFonts w:ascii="Verdana" w:hAnsi="Verdana"/>
          <w:color w:val="000000" w:themeColor="text1"/>
          <w:sz w:val="20"/>
          <w:szCs w:val="20"/>
        </w:rPr>
        <w:tab/>
        <w:t>Lo indicado hasta este punto se enmarca en lo que Brewer Car</w:t>
      </w:r>
      <w:r w:rsidR="00891599" w:rsidRPr="009760E6">
        <w:rPr>
          <w:rFonts w:ascii="Verdana" w:hAnsi="Verdana"/>
          <w:color w:val="000000" w:themeColor="text1"/>
          <w:sz w:val="20"/>
          <w:szCs w:val="20"/>
        </w:rPr>
        <w:t>í</w:t>
      </w:r>
      <w:r w:rsidRPr="009760E6">
        <w:rPr>
          <w:rFonts w:ascii="Verdana" w:hAnsi="Verdana"/>
          <w:color w:val="000000" w:themeColor="text1"/>
          <w:sz w:val="20"/>
          <w:szCs w:val="20"/>
        </w:rPr>
        <w:t xml:space="preserve">as denominó </w:t>
      </w:r>
      <w:r w:rsidRPr="009760E6">
        <w:rPr>
          <w:rFonts w:ascii="Verdana" w:hAnsi="Verdana"/>
          <w:i/>
          <w:iCs/>
          <w:color w:val="000000" w:themeColor="text1"/>
          <w:sz w:val="20"/>
          <w:szCs w:val="20"/>
        </w:rPr>
        <w:t>las nuevas tendencias del derecho constitucional</w:t>
      </w:r>
      <w:r w:rsidRPr="009760E6">
        <w:rPr>
          <w:rFonts w:ascii="Verdana" w:hAnsi="Verdana"/>
          <w:color w:val="000000" w:themeColor="text1"/>
          <w:sz w:val="20"/>
          <w:szCs w:val="20"/>
        </w:rPr>
        <w:t>,</w:t>
      </w:r>
      <w:r w:rsidRPr="009760E6">
        <w:rPr>
          <w:rFonts w:ascii="Verdana" w:hAnsi="Verdana"/>
          <w:i/>
          <w:iCs/>
          <w:color w:val="000000" w:themeColor="text1"/>
          <w:sz w:val="20"/>
          <w:szCs w:val="20"/>
        </w:rPr>
        <w:t xml:space="preserve"> </w:t>
      </w:r>
      <w:r w:rsidRPr="009760E6">
        <w:rPr>
          <w:rFonts w:ascii="Verdana" w:hAnsi="Verdana"/>
          <w:color w:val="000000" w:themeColor="text1"/>
          <w:sz w:val="20"/>
          <w:szCs w:val="20"/>
        </w:rPr>
        <w:t>en las que se ha transitado de la tutela de los derechos individuales de la persona hacia un enfoque sistémico</w:t>
      </w:r>
      <w:r w:rsidR="00512C76" w:rsidRPr="009760E6">
        <w:rPr>
          <w:rFonts w:ascii="Verdana" w:hAnsi="Verdana"/>
          <w:color w:val="000000" w:themeColor="text1"/>
          <w:sz w:val="20"/>
          <w:szCs w:val="20"/>
        </w:rPr>
        <w:t xml:space="preserve">. La </w:t>
      </w:r>
      <w:r w:rsidRPr="009760E6">
        <w:rPr>
          <w:rFonts w:ascii="Verdana" w:hAnsi="Verdana"/>
          <w:color w:val="000000" w:themeColor="text1"/>
          <w:sz w:val="20"/>
          <w:szCs w:val="20"/>
        </w:rPr>
        <w:t>tutela sist</w:t>
      </w:r>
      <w:r w:rsidR="00891599" w:rsidRPr="009760E6">
        <w:rPr>
          <w:rFonts w:ascii="Verdana" w:hAnsi="Verdana"/>
          <w:color w:val="000000" w:themeColor="text1"/>
          <w:sz w:val="20"/>
          <w:szCs w:val="20"/>
        </w:rPr>
        <w:t>é</w:t>
      </w:r>
      <w:r w:rsidRPr="009760E6">
        <w:rPr>
          <w:rFonts w:ascii="Verdana" w:hAnsi="Verdana"/>
          <w:color w:val="000000" w:themeColor="text1"/>
          <w:sz w:val="20"/>
          <w:szCs w:val="20"/>
        </w:rPr>
        <w:t>m</w:t>
      </w:r>
      <w:r w:rsidR="00891599" w:rsidRPr="009760E6">
        <w:rPr>
          <w:rFonts w:ascii="Verdana" w:hAnsi="Verdana"/>
          <w:color w:val="000000" w:themeColor="text1"/>
          <w:sz w:val="20"/>
          <w:szCs w:val="20"/>
        </w:rPr>
        <w:t>ica</w:t>
      </w:r>
      <w:r w:rsidRPr="009760E6">
        <w:rPr>
          <w:rFonts w:ascii="Verdana" w:hAnsi="Verdana"/>
          <w:color w:val="000000" w:themeColor="text1"/>
          <w:sz w:val="20"/>
          <w:szCs w:val="20"/>
        </w:rPr>
        <w:t xml:space="preserve"> de la </w:t>
      </w:r>
      <w:r w:rsidR="009C522B" w:rsidRPr="009760E6">
        <w:rPr>
          <w:rFonts w:ascii="Verdana" w:hAnsi="Verdana"/>
          <w:color w:val="000000" w:themeColor="text1"/>
          <w:sz w:val="20"/>
          <w:szCs w:val="20"/>
        </w:rPr>
        <w:t>condición</w:t>
      </w:r>
      <w:r w:rsidRPr="009760E6">
        <w:rPr>
          <w:rFonts w:ascii="Verdana" w:hAnsi="Verdana"/>
          <w:color w:val="000000" w:themeColor="text1"/>
          <w:sz w:val="20"/>
          <w:szCs w:val="20"/>
        </w:rPr>
        <w:t xml:space="preserve"> </w:t>
      </w:r>
      <w:r w:rsidRPr="009760E6">
        <w:rPr>
          <w:rFonts w:ascii="Verdana" w:hAnsi="Verdana"/>
          <w:i/>
          <w:iCs/>
          <w:color w:val="000000" w:themeColor="text1"/>
          <w:sz w:val="20"/>
          <w:szCs w:val="20"/>
        </w:rPr>
        <w:t xml:space="preserve">sine qua non </w:t>
      </w:r>
      <w:r w:rsidRPr="009760E6">
        <w:rPr>
          <w:rFonts w:ascii="Verdana" w:hAnsi="Verdana"/>
          <w:color w:val="000000" w:themeColor="text1"/>
          <w:sz w:val="20"/>
          <w:szCs w:val="20"/>
        </w:rPr>
        <w:t xml:space="preserve">hace posible la </w:t>
      </w:r>
      <w:r w:rsidR="009C522B" w:rsidRPr="009760E6">
        <w:rPr>
          <w:rFonts w:ascii="Verdana" w:hAnsi="Verdana"/>
          <w:color w:val="000000" w:themeColor="text1"/>
          <w:sz w:val="20"/>
          <w:szCs w:val="20"/>
        </w:rPr>
        <w:t>protección</w:t>
      </w:r>
      <w:r w:rsidRPr="009760E6">
        <w:rPr>
          <w:rFonts w:ascii="Verdana" w:hAnsi="Verdana"/>
          <w:color w:val="000000" w:themeColor="text1"/>
          <w:sz w:val="20"/>
          <w:szCs w:val="20"/>
        </w:rPr>
        <w:t xml:space="preserve"> de los derechos humanos como un todo.</w:t>
      </w:r>
      <w:r w:rsidRPr="009760E6">
        <w:rPr>
          <w:rFonts w:ascii="Verdana" w:hAnsi="Verdana"/>
          <w:i/>
          <w:iCs/>
          <w:color w:val="000000" w:themeColor="text1"/>
          <w:sz w:val="20"/>
          <w:szCs w:val="20"/>
        </w:rPr>
        <w:t xml:space="preserve"> </w:t>
      </w:r>
      <w:r w:rsidRPr="009760E6">
        <w:rPr>
          <w:rFonts w:ascii="Verdana" w:hAnsi="Verdana"/>
          <w:color w:val="000000" w:themeColor="text1"/>
          <w:sz w:val="20"/>
          <w:szCs w:val="20"/>
          <w:lang w:val="es-ES"/>
        </w:rPr>
        <w:t xml:space="preserve">En concreto, </w:t>
      </w:r>
      <w:r w:rsidR="00512C76" w:rsidRPr="009760E6">
        <w:rPr>
          <w:rFonts w:ascii="Verdana" w:hAnsi="Verdana"/>
          <w:color w:val="000000" w:themeColor="text1"/>
          <w:sz w:val="20"/>
          <w:szCs w:val="20"/>
          <w:lang w:val="es-ES"/>
        </w:rPr>
        <w:t xml:space="preserve">este autor </w:t>
      </w:r>
      <w:r w:rsidRPr="009760E6">
        <w:rPr>
          <w:rFonts w:ascii="Verdana" w:hAnsi="Verdana"/>
          <w:color w:val="000000" w:themeColor="text1"/>
          <w:sz w:val="20"/>
          <w:szCs w:val="20"/>
          <w:lang w:val="es-ES"/>
        </w:rPr>
        <w:t xml:space="preserve">hace referencia al incipiente </w:t>
      </w:r>
      <w:r w:rsidRPr="009760E6">
        <w:rPr>
          <w:rFonts w:ascii="Verdana" w:hAnsi="Verdana"/>
          <w:i/>
          <w:iCs/>
          <w:color w:val="000000" w:themeColor="text1"/>
          <w:sz w:val="20"/>
          <w:szCs w:val="20"/>
          <w:lang w:val="es-ES"/>
        </w:rPr>
        <w:t xml:space="preserve">derecho a la constitución </w:t>
      </w:r>
      <w:r w:rsidRPr="009760E6">
        <w:rPr>
          <w:rFonts w:ascii="Verdana" w:hAnsi="Verdana"/>
          <w:color w:val="000000" w:themeColor="text1"/>
          <w:sz w:val="20"/>
          <w:szCs w:val="20"/>
          <w:lang w:val="es-ES"/>
        </w:rPr>
        <w:t xml:space="preserve">y, muy en particular, al </w:t>
      </w:r>
      <w:r w:rsidRPr="009760E6">
        <w:rPr>
          <w:rFonts w:ascii="Verdana" w:hAnsi="Verdana"/>
          <w:i/>
          <w:iCs/>
          <w:color w:val="000000" w:themeColor="text1"/>
          <w:sz w:val="20"/>
          <w:szCs w:val="20"/>
          <w:lang w:val="es-ES"/>
        </w:rPr>
        <w:t>derecho a la democracia</w:t>
      </w:r>
      <w:r w:rsidRPr="009760E6">
        <w:rPr>
          <w:rFonts w:ascii="Verdana" w:hAnsi="Verdana"/>
          <w:color w:val="000000" w:themeColor="text1"/>
          <w:sz w:val="20"/>
          <w:szCs w:val="20"/>
          <w:lang w:val="es-ES"/>
        </w:rPr>
        <w:t>:</w:t>
      </w:r>
      <w:r>
        <w:rPr>
          <w:rFonts w:ascii="Verdana" w:hAnsi="Verdana"/>
          <w:color w:val="000000" w:themeColor="text1"/>
          <w:sz w:val="20"/>
          <w:szCs w:val="20"/>
          <w:lang w:val="es-ES"/>
        </w:rPr>
        <w:t xml:space="preserve"> </w:t>
      </w:r>
    </w:p>
    <w:p w14:paraId="540F6244" w14:textId="77777777" w:rsidR="00997858" w:rsidRDefault="00997858" w:rsidP="00997858">
      <w:pPr>
        <w:pStyle w:val="ListParagraph"/>
        <w:spacing w:line="240" w:lineRule="auto"/>
        <w:ind w:left="0"/>
        <w:jc w:val="both"/>
        <w:rPr>
          <w:rFonts w:ascii="Verdana" w:hAnsi="Verdana"/>
          <w:color w:val="000000" w:themeColor="text1"/>
          <w:sz w:val="20"/>
          <w:szCs w:val="20"/>
          <w:lang w:val="es-ES"/>
        </w:rPr>
      </w:pPr>
    </w:p>
    <w:p w14:paraId="6D39B6AC" w14:textId="77777777" w:rsidR="00997858" w:rsidRPr="00C5008A" w:rsidRDefault="00997858" w:rsidP="0080051C">
      <w:pPr>
        <w:pStyle w:val="ListParagraph"/>
        <w:spacing w:line="240" w:lineRule="auto"/>
        <w:ind w:left="567" w:right="567"/>
        <w:jc w:val="both"/>
        <w:rPr>
          <w:rFonts w:ascii="Verdana" w:hAnsi="Verdana"/>
          <w:color w:val="000000" w:themeColor="text1"/>
          <w:sz w:val="16"/>
          <w:szCs w:val="16"/>
          <w:lang w:val="es-ES"/>
        </w:rPr>
      </w:pPr>
      <w:r w:rsidRPr="00C5008A">
        <w:rPr>
          <w:rFonts w:ascii="Verdana" w:hAnsi="Verdana"/>
          <w:color w:val="000000" w:themeColor="text1"/>
          <w:sz w:val="16"/>
          <w:szCs w:val="16"/>
          <w:lang w:val="es-ES"/>
        </w:rPr>
        <w:t>“para que exista democracia como régimen político en un Estado constitucional y democrático de derecho, no son suficientes las declaraciones contenidas en los textos constitucionales que hablen del derecho al sufragio y a la participación política, ni de la división o separación horizontal del Poder Público, ni de su distribución vertical o territorial, de manera que los diversos poderes del Estado puedan limitarse mutuamente. Tampoco bastan las declaraciones que se refieran a la posibilidad de los ciudadanos de controlar el poder del Estado, mediante elecciones libres y justas que garanticen la alternabilidad republicana; mediante un sistema de partidos que permita el libre juego del pluralismo democrático; mediante la libre manifestación y expresión del pensamiento y de la información que movilice la opinión pública, o mediante el ejercicio de recursos judiciales ante jueces independientes que permitan asegurar la vigencia de los derechos humanos y el sometimiento del Estado al derecho. Tampoco bastan las declaraciones constitucionales sobre la “democracia participativa y protagónica” o la descentralización del Estado; así como tampoco la declaración extensa de derechos humanos.</w:t>
      </w:r>
    </w:p>
    <w:p w14:paraId="5A21DADF" w14:textId="77777777" w:rsidR="00997858" w:rsidRPr="00C5008A" w:rsidRDefault="00997858" w:rsidP="00363551">
      <w:pPr>
        <w:pStyle w:val="ListParagraph"/>
        <w:spacing w:line="240" w:lineRule="auto"/>
        <w:ind w:left="567" w:right="567"/>
        <w:jc w:val="both"/>
        <w:rPr>
          <w:rFonts w:ascii="Verdana" w:hAnsi="Verdana"/>
          <w:color w:val="000000" w:themeColor="text1"/>
          <w:sz w:val="16"/>
          <w:szCs w:val="16"/>
          <w:lang w:val="es-ES"/>
        </w:rPr>
      </w:pPr>
    </w:p>
    <w:p w14:paraId="5FD6768D" w14:textId="3E35C953" w:rsidR="00997858" w:rsidRPr="00C5008A" w:rsidRDefault="00997858" w:rsidP="00363551">
      <w:pPr>
        <w:pStyle w:val="ListParagraph"/>
        <w:spacing w:line="240" w:lineRule="auto"/>
        <w:ind w:left="567" w:right="567"/>
        <w:jc w:val="both"/>
        <w:rPr>
          <w:rFonts w:ascii="Verdana" w:hAnsi="Verdana"/>
          <w:color w:val="000000" w:themeColor="text1"/>
          <w:sz w:val="16"/>
          <w:szCs w:val="16"/>
          <w:lang w:val="es-ES"/>
        </w:rPr>
      </w:pPr>
      <w:r w:rsidRPr="00C5008A">
        <w:rPr>
          <w:rFonts w:ascii="Verdana" w:hAnsi="Verdana"/>
          <w:color w:val="000000" w:themeColor="text1"/>
          <w:sz w:val="16"/>
          <w:szCs w:val="16"/>
          <w:lang w:val="es-ES"/>
        </w:rPr>
        <w:t xml:space="preserve">Además de todas esas declaraciones, es necesaria que la práctica política democrática asegure efectivamente la posibilidad de controlar el poder como única forma de garantizar la vigencia del Estado de </w:t>
      </w:r>
      <w:r w:rsidR="000E241D">
        <w:rPr>
          <w:rFonts w:ascii="Verdana" w:hAnsi="Verdana"/>
          <w:color w:val="000000" w:themeColor="text1"/>
          <w:sz w:val="16"/>
          <w:szCs w:val="16"/>
          <w:lang w:val="es-ES"/>
        </w:rPr>
        <w:t>D</w:t>
      </w:r>
      <w:r w:rsidRPr="00C5008A">
        <w:rPr>
          <w:rFonts w:ascii="Verdana" w:hAnsi="Verdana"/>
          <w:color w:val="000000" w:themeColor="text1"/>
          <w:sz w:val="16"/>
          <w:szCs w:val="16"/>
          <w:lang w:val="es-ES"/>
        </w:rPr>
        <w:t>erecho, y el ejercicio real de los derechos humanos. Y para ello, sin duda, es que hay que destacar entre las nuevas tendencias del derecho constitucional en el siglo xxi, la necesidad de identificar nuevos derechos ciudadanos propios del Estado constitucional y democrático, como son precisamente el derecho a la Constitución y el derecho a la democracia</w:t>
      </w:r>
      <w:r w:rsidRPr="00C5008A">
        <w:rPr>
          <w:rStyle w:val="FootnoteReference"/>
          <w:rFonts w:ascii="Verdana" w:hAnsi="Verdana"/>
          <w:color w:val="000000" w:themeColor="text1"/>
          <w:sz w:val="16"/>
          <w:szCs w:val="16"/>
          <w:lang w:val="es-ES"/>
        </w:rPr>
        <w:footnoteReference w:id="119"/>
      </w:r>
      <w:r w:rsidR="00856D08">
        <w:rPr>
          <w:rFonts w:ascii="Verdana" w:hAnsi="Verdana"/>
          <w:color w:val="000000" w:themeColor="text1"/>
          <w:sz w:val="16"/>
          <w:szCs w:val="16"/>
          <w:lang w:val="es-ES"/>
        </w:rPr>
        <w:t>.</w:t>
      </w:r>
    </w:p>
    <w:p w14:paraId="418EDB62" w14:textId="77777777" w:rsidR="00997858" w:rsidRPr="00C5008A" w:rsidRDefault="00997858" w:rsidP="00997858">
      <w:pPr>
        <w:pStyle w:val="ListParagraph"/>
        <w:spacing w:line="240" w:lineRule="auto"/>
        <w:ind w:left="0"/>
        <w:jc w:val="both"/>
        <w:rPr>
          <w:rFonts w:ascii="Verdana" w:hAnsi="Verdana"/>
          <w:color w:val="000000" w:themeColor="text1"/>
          <w:sz w:val="20"/>
          <w:szCs w:val="20"/>
          <w:lang w:val="es-ES"/>
        </w:rPr>
      </w:pPr>
    </w:p>
    <w:p w14:paraId="70114610" w14:textId="2C70102C" w:rsidR="00B1105E" w:rsidRDefault="00FB440F" w:rsidP="00FB440F">
      <w:pPr>
        <w:pStyle w:val="ListParagraph"/>
        <w:spacing w:line="240" w:lineRule="auto"/>
        <w:ind w:left="0"/>
        <w:jc w:val="both"/>
        <w:rPr>
          <w:rFonts w:ascii="Verdana" w:hAnsi="Verdana"/>
          <w:color w:val="000000" w:themeColor="text1"/>
          <w:sz w:val="20"/>
          <w:szCs w:val="20"/>
        </w:rPr>
      </w:pPr>
      <w:r>
        <w:rPr>
          <w:rFonts w:ascii="Verdana" w:hAnsi="Verdana"/>
          <w:color w:val="000000" w:themeColor="text1"/>
          <w:sz w:val="20"/>
          <w:szCs w:val="20"/>
        </w:rPr>
        <w:t>9</w:t>
      </w:r>
      <w:r w:rsidR="00627556">
        <w:rPr>
          <w:rFonts w:ascii="Verdana" w:hAnsi="Verdana"/>
          <w:color w:val="000000" w:themeColor="text1"/>
          <w:sz w:val="20"/>
          <w:szCs w:val="20"/>
        </w:rPr>
        <w:t>4</w:t>
      </w:r>
      <w:r>
        <w:rPr>
          <w:rFonts w:ascii="Verdana" w:hAnsi="Verdana"/>
          <w:color w:val="000000" w:themeColor="text1"/>
          <w:sz w:val="20"/>
          <w:szCs w:val="20"/>
        </w:rPr>
        <w:t xml:space="preserve">. </w:t>
      </w:r>
      <w:r>
        <w:rPr>
          <w:rFonts w:ascii="Verdana" w:hAnsi="Verdana"/>
          <w:color w:val="000000" w:themeColor="text1"/>
          <w:sz w:val="20"/>
          <w:szCs w:val="20"/>
        </w:rPr>
        <w:tab/>
      </w:r>
      <w:r w:rsidR="006331C2">
        <w:rPr>
          <w:rFonts w:ascii="Verdana" w:hAnsi="Verdana"/>
          <w:color w:val="000000" w:themeColor="text1"/>
          <w:sz w:val="20"/>
          <w:szCs w:val="20"/>
        </w:rPr>
        <w:t xml:space="preserve">En este </w:t>
      </w:r>
      <w:r w:rsidR="006331C2" w:rsidRPr="006331C2">
        <w:rPr>
          <w:rFonts w:ascii="Verdana" w:hAnsi="Verdana"/>
          <w:i/>
          <w:iCs/>
          <w:color w:val="000000" w:themeColor="text1"/>
          <w:sz w:val="20"/>
          <w:szCs w:val="20"/>
        </w:rPr>
        <w:t>contexto democrático interamericano</w:t>
      </w:r>
      <w:r w:rsidR="006331C2">
        <w:rPr>
          <w:rFonts w:ascii="Verdana" w:hAnsi="Verdana"/>
          <w:color w:val="000000" w:themeColor="text1"/>
          <w:sz w:val="20"/>
          <w:szCs w:val="20"/>
        </w:rPr>
        <w:t>, l</w:t>
      </w:r>
      <w:r w:rsidR="00997858" w:rsidRPr="00590665">
        <w:rPr>
          <w:rFonts w:ascii="Verdana" w:hAnsi="Verdana"/>
          <w:color w:val="000000" w:themeColor="text1"/>
          <w:sz w:val="20"/>
          <w:szCs w:val="20"/>
        </w:rPr>
        <w:t>a C</w:t>
      </w:r>
      <w:r w:rsidR="0044368D">
        <w:rPr>
          <w:rFonts w:ascii="Verdana" w:hAnsi="Verdana"/>
          <w:color w:val="000000" w:themeColor="text1"/>
          <w:sz w:val="20"/>
          <w:szCs w:val="20"/>
        </w:rPr>
        <w:t>DI</w:t>
      </w:r>
      <w:r w:rsidR="00997858" w:rsidRPr="00590665">
        <w:rPr>
          <w:rFonts w:ascii="Verdana" w:hAnsi="Verdana"/>
          <w:color w:val="000000" w:themeColor="text1"/>
          <w:sz w:val="20"/>
          <w:szCs w:val="20"/>
        </w:rPr>
        <w:t xml:space="preserve">, por ende, fue promulgada para ser aplicada, para que tenga un </w:t>
      </w:r>
      <w:r w:rsidR="00997858" w:rsidRPr="00B96323">
        <w:rPr>
          <w:rFonts w:ascii="Verdana" w:hAnsi="Verdana"/>
          <w:i/>
          <w:iCs/>
          <w:color w:val="000000" w:themeColor="text1"/>
          <w:sz w:val="20"/>
          <w:szCs w:val="20"/>
        </w:rPr>
        <w:t>effet utile</w:t>
      </w:r>
      <w:r w:rsidR="00997858" w:rsidRPr="00590665">
        <w:rPr>
          <w:rFonts w:ascii="Verdana" w:hAnsi="Verdana"/>
          <w:color w:val="000000" w:themeColor="text1"/>
          <w:sz w:val="20"/>
          <w:szCs w:val="20"/>
        </w:rPr>
        <w:t xml:space="preserve"> del cual puedan gozar todos los estados miembro</w:t>
      </w:r>
      <w:r w:rsidR="006C2E6C">
        <w:rPr>
          <w:rFonts w:ascii="Verdana" w:hAnsi="Verdana"/>
          <w:color w:val="000000" w:themeColor="text1"/>
          <w:sz w:val="20"/>
          <w:szCs w:val="20"/>
        </w:rPr>
        <w:t>s</w:t>
      </w:r>
      <w:r w:rsidR="00997858" w:rsidRPr="00590665">
        <w:rPr>
          <w:rFonts w:ascii="Verdana" w:hAnsi="Verdana"/>
          <w:color w:val="000000" w:themeColor="text1"/>
          <w:sz w:val="20"/>
          <w:szCs w:val="20"/>
        </w:rPr>
        <w:t xml:space="preserve"> de la OEA y todos los </w:t>
      </w:r>
      <w:r w:rsidR="00856D08">
        <w:rPr>
          <w:rFonts w:ascii="Verdana" w:hAnsi="Verdana"/>
          <w:color w:val="000000" w:themeColor="text1"/>
          <w:sz w:val="20"/>
          <w:szCs w:val="20"/>
        </w:rPr>
        <w:t>ó</w:t>
      </w:r>
      <w:r w:rsidR="00997858" w:rsidRPr="00590665">
        <w:rPr>
          <w:rFonts w:ascii="Verdana" w:hAnsi="Verdana"/>
          <w:color w:val="000000" w:themeColor="text1"/>
          <w:sz w:val="20"/>
          <w:szCs w:val="20"/>
        </w:rPr>
        <w:t>rganos del sistema interamericano que, claramente, incluye a la Corte IDH</w:t>
      </w:r>
      <w:r w:rsidR="006331C2">
        <w:rPr>
          <w:rFonts w:ascii="Verdana" w:hAnsi="Verdana"/>
          <w:color w:val="000000" w:themeColor="text1"/>
          <w:sz w:val="20"/>
          <w:szCs w:val="20"/>
        </w:rPr>
        <w:t xml:space="preserve"> </w:t>
      </w:r>
      <w:r w:rsidR="006331C2" w:rsidRPr="00B96323">
        <w:rPr>
          <w:rFonts w:ascii="Verdana" w:hAnsi="Verdana"/>
          <w:color w:val="000000" w:themeColor="text1"/>
          <w:sz w:val="20"/>
          <w:szCs w:val="20"/>
        </w:rPr>
        <w:t>y, en definitiva, todas las personas del continente americano —</w:t>
      </w:r>
      <w:r w:rsidR="00D621D4" w:rsidRPr="00B96323">
        <w:rPr>
          <w:rFonts w:ascii="Verdana" w:hAnsi="Verdana"/>
          <w:color w:val="000000" w:themeColor="text1"/>
          <w:sz w:val="20"/>
          <w:szCs w:val="20"/>
        </w:rPr>
        <w:t>“los pueblos de América tienen derecho a la democracia”</w:t>
      </w:r>
      <w:r w:rsidR="00997858" w:rsidRPr="00B96323">
        <w:rPr>
          <w:rFonts w:ascii="Verdana" w:hAnsi="Verdana"/>
          <w:color w:val="000000" w:themeColor="text1"/>
          <w:sz w:val="20"/>
          <w:szCs w:val="20"/>
        </w:rPr>
        <w:t>.</w:t>
      </w:r>
      <w:r w:rsidR="00997858" w:rsidRPr="00590665">
        <w:rPr>
          <w:rFonts w:ascii="Verdana" w:hAnsi="Verdana"/>
          <w:color w:val="000000" w:themeColor="text1"/>
          <w:sz w:val="20"/>
          <w:szCs w:val="20"/>
        </w:rPr>
        <w:t xml:space="preserve"> Lo mismo se desprende del considerando 9º de la CDI que indica </w:t>
      </w:r>
      <w:r w:rsidR="00856D08">
        <w:rPr>
          <w:rFonts w:ascii="Verdana" w:hAnsi="Verdana"/>
          <w:color w:val="000000" w:themeColor="text1"/>
          <w:sz w:val="20"/>
          <w:szCs w:val="20"/>
        </w:rPr>
        <w:t xml:space="preserve">que </w:t>
      </w:r>
      <w:r w:rsidR="00997858" w:rsidRPr="00590665">
        <w:rPr>
          <w:rFonts w:ascii="Verdana" w:hAnsi="Verdana"/>
          <w:color w:val="000000" w:themeColor="text1"/>
          <w:sz w:val="20"/>
          <w:szCs w:val="20"/>
        </w:rPr>
        <w:t>la misma se promulg</w:t>
      </w:r>
      <w:r w:rsidR="00856D08">
        <w:rPr>
          <w:rFonts w:ascii="Verdana" w:hAnsi="Verdana"/>
          <w:color w:val="000000" w:themeColor="text1"/>
          <w:sz w:val="20"/>
          <w:szCs w:val="20"/>
        </w:rPr>
        <w:t>ó</w:t>
      </w:r>
      <w:r w:rsidR="00997858" w:rsidRPr="00590665">
        <w:rPr>
          <w:rFonts w:ascii="Verdana" w:hAnsi="Verdana"/>
          <w:color w:val="000000" w:themeColor="text1"/>
          <w:sz w:val="20"/>
          <w:szCs w:val="20"/>
        </w:rPr>
        <w:t xml:space="preserve"> reafirmando “que la promoción y protección de los derechos humanos es condición fundamental para la existencia de una sociedad democrática, y reconociendo la importancia que tiene el continuo desarrollo y fortalecimiento del sistema interamericano de derechos humanos para la consolidación de la democracia”</w:t>
      </w:r>
      <w:r w:rsidR="00997858" w:rsidRPr="00590665">
        <w:rPr>
          <w:rStyle w:val="FootnoteReference"/>
          <w:rFonts w:ascii="Verdana" w:hAnsi="Verdana"/>
          <w:color w:val="000000" w:themeColor="text1"/>
          <w:sz w:val="20"/>
          <w:szCs w:val="20"/>
        </w:rPr>
        <w:footnoteReference w:id="120"/>
      </w:r>
      <w:r w:rsidR="00856D08">
        <w:rPr>
          <w:rFonts w:ascii="Verdana" w:hAnsi="Verdana"/>
          <w:color w:val="000000" w:themeColor="text1"/>
          <w:sz w:val="20"/>
          <w:szCs w:val="20"/>
        </w:rPr>
        <w:t>.</w:t>
      </w:r>
      <w:r w:rsidR="00997858" w:rsidRPr="00590665">
        <w:rPr>
          <w:rFonts w:ascii="Verdana" w:hAnsi="Verdana"/>
          <w:color w:val="000000" w:themeColor="text1"/>
          <w:sz w:val="20"/>
          <w:szCs w:val="20"/>
        </w:rPr>
        <w:t xml:space="preserve"> Así, no </w:t>
      </w:r>
      <w:r w:rsidR="00856D08">
        <w:rPr>
          <w:rFonts w:ascii="Verdana" w:hAnsi="Verdana"/>
          <w:color w:val="000000" w:themeColor="text1"/>
          <w:sz w:val="20"/>
          <w:szCs w:val="20"/>
        </w:rPr>
        <w:t>ú</w:t>
      </w:r>
      <w:r w:rsidR="00997858" w:rsidRPr="00590665">
        <w:rPr>
          <w:rFonts w:ascii="Verdana" w:hAnsi="Verdana"/>
          <w:color w:val="000000" w:themeColor="text1"/>
          <w:sz w:val="20"/>
          <w:szCs w:val="20"/>
        </w:rPr>
        <w:t xml:space="preserve">nicamente resaltando el </w:t>
      </w:r>
      <w:r w:rsidR="009C522B" w:rsidRPr="00590665">
        <w:rPr>
          <w:rFonts w:ascii="Verdana" w:hAnsi="Verdana"/>
          <w:color w:val="000000" w:themeColor="text1"/>
          <w:sz w:val="20"/>
          <w:szCs w:val="20"/>
        </w:rPr>
        <w:t>vínculo</w:t>
      </w:r>
      <w:r w:rsidR="00997858" w:rsidRPr="00590665">
        <w:rPr>
          <w:rFonts w:ascii="Verdana" w:hAnsi="Verdana"/>
          <w:color w:val="000000" w:themeColor="text1"/>
          <w:sz w:val="20"/>
          <w:szCs w:val="20"/>
        </w:rPr>
        <w:t xml:space="preserve"> indisoluble entre democracia y derechos humanos, sino, asimismo, </w:t>
      </w:r>
      <w:r w:rsidR="009C522B" w:rsidRPr="00590665">
        <w:rPr>
          <w:rFonts w:ascii="Verdana" w:hAnsi="Verdana"/>
          <w:color w:val="000000" w:themeColor="text1"/>
          <w:sz w:val="20"/>
          <w:szCs w:val="20"/>
        </w:rPr>
        <w:t>asignándole</w:t>
      </w:r>
      <w:r w:rsidR="00997858" w:rsidRPr="00590665">
        <w:rPr>
          <w:rFonts w:ascii="Verdana" w:hAnsi="Verdana"/>
          <w:color w:val="000000" w:themeColor="text1"/>
          <w:sz w:val="20"/>
          <w:szCs w:val="20"/>
        </w:rPr>
        <w:t xml:space="preserve"> un rol activo e importante al “sistema interamericano de derechos </w:t>
      </w:r>
      <w:r w:rsidR="00997858" w:rsidRPr="00590665">
        <w:rPr>
          <w:rFonts w:ascii="Verdana" w:hAnsi="Verdana"/>
          <w:color w:val="000000" w:themeColor="text1"/>
          <w:sz w:val="20"/>
          <w:szCs w:val="20"/>
        </w:rPr>
        <w:lastRenderedPageBreak/>
        <w:t>humanos [</w:t>
      </w:r>
      <w:r w:rsidR="009C522B" w:rsidRPr="00590665">
        <w:rPr>
          <w:rFonts w:ascii="Verdana" w:hAnsi="Verdana"/>
          <w:color w:val="000000" w:themeColor="text1"/>
          <w:sz w:val="20"/>
          <w:szCs w:val="20"/>
        </w:rPr>
        <w:t>léase</w:t>
      </w:r>
      <w:r w:rsidR="00997858" w:rsidRPr="00590665">
        <w:rPr>
          <w:rFonts w:ascii="Verdana" w:hAnsi="Verdana"/>
          <w:color w:val="000000" w:themeColor="text1"/>
          <w:sz w:val="20"/>
          <w:szCs w:val="20"/>
        </w:rPr>
        <w:t xml:space="preserve"> la Comisi</w:t>
      </w:r>
      <w:r w:rsidR="00856D08">
        <w:rPr>
          <w:rFonts w:ascii="Verdana" w:hAnsi="Verdana"/>
          <w:color w:val="000000" w:themeColor="text1"/>
          <w:sz w:val="20"/>
          <w:szCs w:val="20"/>
        </w:rPr>
        <w:t>ó</w:t>
      </w:r>
      <w:r w:rsidR="00997858" w:rsidRPr="00590665">
        <w:rPr>
          <w:rFonts w:ascii="Verdana" w:hAnsi="Verdana"/>
          <w:color w:val="000000" w:themeColor="text1"/>
          <w:sz w:val="20"/>
          <w:szCs w:val="20"/>
        </w:rPr>
        <w:t>n Interamericana de Derechos Humanos y la Corte IDH] para la consolidación de la democracia”.</w:t>
      </w:r>
    </w:p>
    <w:p w14:paraId="3AAFB44C" w14:textId="62C0D97B" w:rsidR="00B1105E" w:rsidRDefault="00B1105E" w:rsidP="00B1105E">
      <w:pPr>
        <w:spacing w:line="240" w:lineRule="auto"/>
        <w:jc w:val="both"/>
        <w:rPr>
          <w:rFonts w:ascii="Verdana" w:hAnsi="Verdana"/>
          <w:color w:val="000000" w:themeColor="text1"/>
          <w:sz w:val="20"/>
          <w:szCs w:val="20"/>
          <w:lang w:val="es-ES"/>
        </w:rPr>
      </w:pPr>
      <w:r w:rsidRPr="0044368D">
        <w:rPr>
          <w:rFonts w:ascii="Verdana" w:hAnsi="Verdana"/>
          <w:color w:val="000000" w:themeColor="text1"/>
          <w:sz w:val="20"/>
          <w:szCs w:val="20"/>
          <w:lang w:val="es-ES"/>
        </w:rPr>
        <w:t>9</w:t>
      </w:r>
      <w:r w:rsidR="00627556">
        <w:rPr>
          <w:rFonts w:ascii="Verdana" w:hAnsi="Verdana"/>
          <w:color w:val="000000" w:themeColor="text1"/>
          <w:sz w:val="20"/>
          <w:szCs w:val="20"/>
          <w:lang w:val="es-ES"/>
        </w:rPr>
        <w:t>5</w:t>
      </w:r>
      <w:r w:rsidRPr="0044368D">
        <w:rPr>
          <w:rFonts w:ascii="Verdana" w:hAnsi="Verdana"/>
          <w:color w:val="000000" w:themeColor="text1"/>
          <w:sz w:val="20"/>
          <w:szCs w:val="20"/>
          <w:lang w:val="es-ES"/>
        </w:rPr>
        <w:t xml:space="preserve">. </w:t>
      </w:r>
      <w:r w:rsidRPr="0044368D">
        <w:rPr>
          <w:rFonts w:ascii="Verdana" w:hAnsi="Verdana"/>
          <w:color w:val="000000" w:themeColor="text1"/>
          <w:sz w:val="20"/>
          <w:szCs w:val="20"/>
          <w:lang w:val="es-ES"/>
        </w:rPr>
        <w:tab/>
      </w:r>
      <w:r>
        <w:rPr>
          <w:rFonts w:ascii="Verdana" w:hAnsi="Verdana"/>
          <w:color w:val="000000" w:themeColor="text1"/>
          <w:sz w:val="20"/>
          <w:szCs w:val="20"/>
          <w:lang w:val="es-ES"/>
        </w:rPr>
        <w:t xml:space="preserve">Desde hace tiempo se expresa la necesidad </w:t>
      </w:r>
      <w:r w:rsidRPr="0044368D">
        <w:rPr>
          <w:rFonts w:ascii="Verdana" w:hAnsi="Verdana"/>
          <w:color w:val="000000" w:themeColor="text1"/>
          <w:sz w:val="20"/>
          <w:szCs w:val="20"/>
          <w:lang w:val="es-ES"/>
        </w:rPr>
        <w:t xml:space="preserve">de reconocer un </w:t>
      </w:r>
      <w:r w:rsidRPr="00A95A1D">
        <w:rPr>
          <w:rFonts w:ascii="Verdana" w:hAnsi="Verdana"/>
          <w:i/>
          <w:iCs/>
          <w:color w:val="000000" w:themeColor="text1"/>
          <w:sz w:val="20"/>
          <w:szCs w:val="20"/>
          <w:lang w:val="es-ES"/>
        </w:rPr>
        <w:t>derecho humano a la democracia</w:t>
      </w:r>
      <w:r w:rsidRPr="0044368D">
        <w:rPr>
          <w:rFonts w:ascii="Verdana" w:hAnsi="Verdana"/>
          <w:color w:val="000000" w:themeColor="text1"/>
          <w:sz w:val="20"/>
          <w:szCs w:val="20"/>
          <w:lang w:val="es-ES"/>
        </w:rPr>
        <w:t xml:space="preserve"> derivado de una lectura integral del </w:t>
      </w:r>
      <w:r w:rsidRPr="0044368D">
        <w:rPr>
          <w:rFonts w:ascii="Verdana" w:hAnsi="Verdana"/>
          <w:i/>
          <w:iCs/>
          <w:color w:val="000000" w:themeColor="text1"/>
          <w:sz w:val="20"/>
          <w:szCs w:val="20"/>
          <w:lang w:val="es-ES"/>
        </w:rPr>
        <w:t xml:space="preserve">corpus iuris </w:t>
      </w:r>
      <w:r w:rsidRPr="0044368D">
        <w:rPr>
          <w:rFonts w:ascii="Verdana" w:hAnsi="Verdana"/>
          <w:color w:val="000000" w:themeColor="text1"/>
          <w:sz w:val="20"/>
          <w:szCs w:val="20"/>
          <w:lang w:val="es-ES"/>
        </w:rPr>
        <w:t>interamericano. Ya en 2005, el Juez Diego García Sayán</w:t>
      </w:r>
      <w:r>
        <w:rPr>
          <w:rFonts w:ascii="Verdana" w:hAnsi="Verdana"/>
          <w:color w:val="000000" w:themeColor="text1"/>
          <w:sz w:val="20"/>
          <w:szCs w:val="20"/>
          <w:lang w:val="es-ES"/>
        </w:rPr>
        <w:t>,</w:t>
      </w:r>
      <w:r w:rsidRPr="0044368D">
        <w:rPr>
          <w:rFonts w:ascii="Verdana" w:hAnsi="Verdana"/>
          <w:color w:val="000000" w:themeColor="text1"/>
          <w:sz w:val="20"/>
          <w:szCs w:val="20"/>
          <w:lang w:val="es-ES"/>
        </w:rPr>
        <w:t xml:space="preserve"> en su voto concurrente con ocasión del caso </w:t>
      </w:r>
      <w:r w:rsidRPr="0044368D">
        <w:rPr>
          <w:rFonts w:ascii="Verdana" w:hAnsi="Verdana"/>
          <w:i/>
          <w:iCs/>
          <w:color w:val="000000" w:themeColor="text1"/>
          <w:sz w:val="20"/>
          <w:szCs w:val="20"/>
          <w:lang w:val="es-ES"/>
        </w:rPr>
        <w:t>Yatama vs. Nicaragua</w:t>
      </w:r>
      <w:r w:rsidRPr="0044368D">
        <w:rPr>
          <w:rFonts w:ascii="Verdana" w:hAnsi="Verdana"/>
          <w:color w:val="000000" w:themeColor="text1"/>
          <w:sz w:val="20"/>
          <w:szCs w:val="20"/>
          <w:lang w:val="es-ES"/>
        </w:rPr>
        <w:t xml:space="preserve"> resaltó que “</w:t>
      </w:r>
      <w:r w:rsidRPr="0044368D">
        <w:rPr>
          <w:rFonts w:ascii="Verdana" w:hAnsi="Verdana"/>
          <w:color w:val="000000" w:themeColor="text1"/>
          <w:sz w:val="20"/>
          <w:szCs w:val="20"/>
        </w:rPr>
        <w:t xml:space="preserve">[e]s hecho conocido que el catálogo de los derechos humanos nunca ha sido estático. Se ha ido definiendo y consagrando según el desarrollo histórico de la sociedad, de la organización del Estado y la evolución de los regímenes políticos. </w:t>
      </w:r>
      <w:r w:rsidRPr="0044368D">
        <w:rPr>
          <w:rFonts w:ascii="Verdana" w:hAnsi="Verdana"/>
          <w:color w:val="000000" w:themeColor="text1"/>
          <w:sz w:val="20"/>
          <w:szCs w:val="20"/>
          <w:u w:val="single"/>
        </w:rPr>
        <w:t xml:space="preserve">Ello explica que actualmente asistamos al desarrollo y profundización de los derechos políticos identificándose, incluso, lo que algunos han denominado el </w:t>
      </w:r>
      <w:r w:rsidR="005D598A">
        <w:rPr>
          <w:rFonts w:ascii="Verdana" w:hAnsi="Verdana"/>
          <w:color w:val="000000" w:themeColor="text1"/>
          <w:sz w:val="20"/>
          <w:szCs w:val="20"/>
          <w:u w:val="single"/>
        </w:rPr>
        <w:t>`</w:t>
      </w:r>
      <w:r w:rsidRPr="0044368D">
        <w:rPr>
          <w:rFonts w:ascii="Verdana" w:hAnsi="Verdana"/>
          <w:color w:val="000000" w:themeColor="text1"/>
          <w:sz w:val="20"/>
          <w:szCs w:val="20"/>
          <w:u w:val="single"/>
        </w:rPr>
        <w:t>derecho humano a la democracia</w:t>
      </w:r>
      <w:r w:rsidR="005D598A">
        <w:rPr>
          <w:rFonts w:ascii="Verdana" w:hAnsi="Verdana"/>
          <w:color w:val="000000" w:themeColor="text1"/>
          <w:sz w:val="20"/>
          <w:szCs w:val="20"/>
          <w:u w:val="single"/>
        </w:rPr>
        <w:t>´</w:t>
      </w:r>
      <w:r w:rsidRPr="0044368D">
        <w:rPr>
          <w:rFonts w:ascii="Verdana" w:hAnsi="Verdana"/>
          <w:color w:val="000000" w:themeColor="text1"/>
          <w:sz w:val="20"/>
          <w:szCs w:val="20"/>
          <w:u w:val="single"/>
        </w:rPr>
        <w:t>. Ese desarrollo se expresa en la Carta Democrática Interamericana, el instrumento jurídico que el sistema interamericano ha generado para fortalecer la democracia y los derechos a ella vinculados, en cuyo primer artículo se estipula que ‘Los pueblos de América tienen derecho a la democracia y sus gobiernos la obligación de promoverla y defenderla’</w:t>
      </w:r>
      <w:r w:rsidRPr="00A95A1D">
        <w:rPr>
          <w:rFonts w:ascii="Verdana" w:hAnsi="Verdana"/>
          <w:color w:val="000000" w:themeColor="text1"/>
          <w:sz w:val="20"/>
          <w:szCs w:val="20"/>
        </w:rPr>
        <w:t>”</w:t>
      </w:r>
      <w:r w:rsidRPr="00A95A1D">
        <w:rPr>
          <w:rStyle w:val="FootnoteReference"/>
          <w:rFonts w:ascii="Verdana" w:hAnsi="Verdana"/>
          <w:color w:val="000000" w:themeColor="text1"/>
          <w:sz w:val="20"/>
          <w:szCs w:val="20"/>
        </w:rPr>
        <w:footnoteReference w:id="121"/>
      </w:r>
      <w:r w:rsidR="00854A39">
        <w:rPr>
          <w:rFonts w:ascii="Verdana" w:hAnsi="Verdana"/>
          <w:color w:val="000000" w:themeColor="text1"/>
          <w:sz w:val="20"/>
          <w:szCs w:val="20"/>
        </w:rPr>
        <w:t>.</w:t>
      </w:r>
      <w:r w:rsidRPr="00A95A1D">
        <w:rPr>
          <w:rFonts w:ascii="Verdana" w:hAnsi="Verdana"/>
          <w:color w:val="000000" w:themeColor="text1"/>
          <w:sz w:val="20"/>
          <w:szCs w:val="20"/>
          <w:lang w:val="es-ES"/>
        </w:rPr>
        <w:t xml:space="preserve"> </w:t>
      </w:r>
    </w:p>
    <w:p w14:paraId="01A4A87F" w14:textId="6B4BE9A9" w:rsidR="00B1105E" w:rsidRPr="0044368D" w:rsidRDefault="00B1105E" w:rsidP="00B1105E">
      <w:pPr>
        <w:spacing w:line="240" w:lineRule="auto"/>
        <w:jc w:val="both"/>
        <w:rPr>
          <w:rFonts w:ascii="Verdana" w:hAnsi="Verdana"/>
          <w:color w:val="000000" w:themeColor="text1"/>
          <w:sz w:val="20"/>
          <w:szCs w:val="20"/>
          <w:lang w:val="es-ES"/>
        </w:rPr>
      </w:pPr>
      <w:r>
        <w:rPr>
          <w:rFonts w:ascii="Verdana" w:hAnsi="Verdana"/>
          <w:color w:val="000000" w:themeColor="text1"/>
          <w:sz w:val="20"/>
          <w:szCs w:val="20"/>
          <w:lang w:val="es-ES"/>
        </w:rPr>
        <w:t>9</w:t>
      </w:r>
      <w:r w:rsidR="00627556">
        <w:rPr>
          <w:rFonts w:ascii="Verdana" w:hAnsi="Verdana"/>
          <w:color w:val="000000" w:themeColor="text1"/>
          <w:sz w:val="20"/>
          <w:szCs w:val="20"/>
          <w:lang w:val="es-ES"/>
        </w:rPr>
        <w:t>6</w:t>
      </w:r>
      <w:r>
        <w:rPr>
          <w:rFonts w:ascii="Verdana" w:hAnsi="Verdana"/>
          <w:color w:val="000000" w:themeColor="text1"/>
          <w:sz w:val="20"/>
          <w:szCs w:val="20"/>
          <w:lang w:val="es-ES"/>
        </w:rPr>
        <w:t xml:space="preserve">. </w:t>
      </w:r>
      <w:r>
        <w:rPr>
          <w:rFonts w:ascii="Verdana" w:hAnsi="Verdana"/>
          <w:color w:val="000000" w:themeColor="text1"/>
          <w:sz w:val="20"/>
          <w:szCs w:val="20"/>
          <w:lang w:val="es-ES"/>
        </w:rPr>
        <w:tab/>
      </w:r>
      <w:r w:rsidRPr="0044368D">
        <w:rPr>
          <w:rFonts w:ascii="Verdana" w:hAnsi="Verdana"/>
          <w:color w:val="000000" w:themeColor="text1"/>
          <w:sz w:val="20"/>
          <w:szCs w:val="20"/>
          <w:lang w:val="es-ES"/>
        </w:rPr>
        <w:t>Asimismo</w:t>
      </w:r>
      <w:r>
        <w:rPr>
          <w:rFonts w:ascii="Verdana" w:hAnsi="Verdana"/>
          <w:color w:val="000000" w:themeColor="text1"/>
          <w:sz w:val="20"/>
          <w:szCs w:val="20"/>
          <w:lang w:val="es-ES"/>
        </w:rPr>
        <w:t xml:space="preserve">, debe destacarse que </w:t>
      </w:r>
      <w:r w:rsidRPr="0044368D">
        <w:rPr>
          <w:rFonts w:ascii="Verdana" w:hAnsi="Verdana"/>
          <w:color w:val="000000" w:themeColor="text1"/>
          <w:sz w:val="20"/>
          <w:szCs w:val="20"/>
          <w:lang w:val="es-ES"/>
        </w:rPr>
        <w:t>“</w:t>
      </w:r>
      <w:r w:rsidRPr="0044368D">
        <w:rPr>
          <w:rFonts w:ascii="Verdana" w:hAnsi="Verdana"/>
          <w:color w:val="000000" w:themeColor="text1"/>
          <w:sz w:val="20"/>
          <w:szCs w:val="20"/>
        </w:rPr>
        <w:t>en el mundo contemporáneo, la democracia no sólo se define como el gobierno del pueblo mediante representantes elegidos, sino, además, y por sobre todo, como un gobierno sometido a controles, y no sólo por parte del poder mismo conforme al principio de la separación de los poderes del Estado, sino por parte del pueblo mismo, es decir, de los ciudadanos, individual y colectivamente considerados, y a ello es que tienen derecho los ciudadanos cuando hablamos del derecho a la democracia”</w:t>
      </w:r>
      <w:r w:rsidRPr="00590665">
        <w:rPr>
          <w:rStyle w:val="FootnoteReference"/>
          <w:rFonts w:ascii="Verdana" w:hAnsi="Verdana"/>
          <w:color w:val="000000" w:themeColor="text1"/>
          <w:sz w:val="20"/>
          <w:szCs w:val="20"/>
        </w:rPr>
        <w:footnoteReference w:id="122"/>
      </w:r>
      <w:r>
        <w:rPr>
          <w:rFonts w:ascii="Verdana" w:hAnsi="Verdana"/>
          <w:color w:val="000000" w:themeColor="text1"/>
          <w:sz w:val="20"/>
          <w:szCs w:val="20"/>
        </w:rPr>
        <w:t>.</w:t>
      </w:r>
    </w:p>
    <w:p w14:paraId="16C30934" w14:textId="44C24837" w:rsidR="00997858" w:rsidRPr="00590665" w:rsidRDefault="00B1105E" w:rsidP="00B1105E">
      <w:pPr>
        <w:spacing w:line="240" w:lineRule="auto"/>
        <w:jc w:val="both"/>
        <w:rPr>
          <w:rFonts w:ascii="Verdana" w:hAnsi="Verdana"/>
          <w:color w:val="000000" w:themeColor="text1"/>
          <w:sz w:val="20"/>
          <w:szCs w:val="20"/>
          <w:lang w:val="es-ES"/>
        </w:rPr>
      </w:pPr>
      <w:r w:rsidRPr="00A95A1D">
        <w:rPr>
          <w:rFonts w:ascii="Verdana" w:hAnsi="Verdana"/>
          <w:color w:val="000000" w:themeColor="text1"/>
          <w:sz w:val="20"/>
          <w:szCs w:val="20"/>
          <w:lang w:val="es-ES"/>
        </w:rPr>
        <w:t>9</w:t>
      </w:r>
      <w:r w:rsidR="00627556">
        <w:rPr>
          <w:rFonts w:ascii="Verdana" w:hAnsi="Verdana"/>
          <w:color w:val="000000" w:themeColor="text1"/>
          <w:sz w:val="20"/>
          <w:szCs w:val="20"/>
          <w:lang w:val="es-ES"/>
        </w:rPr>
        <w:t>7</w:t>
      </w:r>
      <w:r w:rsidRPr="00A95A1D">
        <w:rPr>
          <w:rFonts w:ascii="Verdana" w:hAnsi="Verdana"/>
          <w:color w:val="000000" w:themeColor="text1"/>
          <w:sz w:val="20"/>
          <w:szCs w:val="20"/>
          <w:lang w:val="es-ES"/>
        </w:rPr>
        <w:t xml:space="preserve">. </w:t>
      </w:r>
      <w:r w:rsidRPr="00A95A1D">
        <w:rPr>
          <w:rFonts w:ascii="Verdana" w:hAnsi="Verdana"/>
          <w:color w:val="000000" w:themeColor="text1"/>
          <w:sz w:val="20"/>
          <w:szCs w:val="20"/>
          <w:lang w:val="es-ES"/>
        </w:rPr>
        <w:tab/>
        <w:t>La Comisión Interamericana de Derechos Humano</w:t>
      </w:r>
      <w:r>
        <w:rPr>
          <w:rFonts w:ascii="Verdana" w:hAnsi="Verdana"/>
          <w:color w:val="000000" w:themeColor="text1"/>
          <w:sz w:val="20"/>
          <w:szCs w:val="20"/>
          <w:lang w:val="es-ES"/>
        </w:rPr>
        <w:t>s</w:t>
      </w:r>
      <w:r w:rsidRPr="00A95A1D">
        <w:rPr>
          <w:rFonts w:ascii="Verdana" w:hAnsi="Verdana"/>
          <w:color w:val="000000" w:themeColor="text1"/>
          <w:sz w:val="20"/>
          <w:szCs w:val="20"/>
          <w:lang w:val="es-ES"/>
        </w:rPr>
        <w:t>, asimismo,</w:t>
      </w:r>
      <w:r>
        <w:rPr>
          <w:rFonts w:ascii="Verdana" w:hAnsi="Verdana"/>
          <w:color w:val="000000" w:themeColor="text1"/>
          <w:sz w:val="20"/>
          <w:szCs w:val="20"/>
          <w:lang w:val="es-ES"/>
        </w:rPr>
        <w:t xml:space="preserve"> ha expresado</w:t>
      </w:r>
      <w:r w:rsidRPr="00A95A1D">
        <w:rPr>
          <w:rFonts w:ascii="Verdana" w:hAnsi="Verdana"/>
          <w:color w:val="000000" w:themeColor="text1"/>
          <w:sz w:val="20"/>
          <w:szCs w:val="20"/>
          <w:lang w:val="es-ES"/>
        </w:rPr>
        <w:t xml:space="preserve"> “</w:t>
      </w:r>
      <w:r w:rsidRPr="00A95A1D">
        <w:rPr>
          <w:rFonts w:ascii="Verdana" w:hAnsi="Verdana"/>
          <w:color w:val="000000" w:themeColor="text1"/>
          <w:sz w:val="20"/>
          <w:szCs w:val="20"/>
        </w:rPr>
        <w:t xml:space="preserve">que en el sistema interamericano existe un concepto acerca de la fundamental importancia de la democracia representativa como el mecanismo legítimo para lograr la realización y el respeto de los derechos humanos, </w:t>
      </w:r>
      <w:r w:rsidRPr="00A95A1D">
        <w:rPr>
          <w:rFonts w:ascii="Verdana" w:hAnsi="Verdana"/>
          <w:i/>
          <w:iCs/>
          <w:color w:val="000000" w:themeColor="text1"/>
          <w:sz w:val="20"/>
          <w:szCs w:val="20"/>
        </w:rPr>
        <w:t>y como derecho humano en sí</w:t>
      </w:r>
      <w:r w:rsidRPr="00A95A1D">
        <w:rPr>
          <w:rFonts w:ascii="Verdana" w:hAnsi="Verdana"/>
          <w:color w:val="000000" w:themeColor="text1"/>
          <w:sz w:val="20"/>
          <w:szCs w:val="20"/>
        </w:rPr>
        <w:t>, cuya observancia y defensa fue confiada a la Comisión”.</w:t>
      </w:r>
      <w:r>
        <w:rPr>
          <w:rStyle w:val="FootnoteReference"/>
          <w:rFonts w:ascii="Verdana" w:hAnsi="Verdana"/>
          <w:color w:val="000000" w:themeColor="text1"/>
          <w:sz w:val="20"/>
          <w:szCs w:val="20"/>
        </w:rPr>
        <w:footnoteReference w:id="123"/>
      </w:r>
    </w:p>
    <w:p w14:paraId="5344C2EA" w14:textId="35A79BD6" w:rsidR="00997858" w:rsidRPr="000202A2" w:rsidRDefault="00FB440F" w:rsidP="00FB440F">
      <w:pPr>
        <w:pStyle w:val="ListParagraph"/>
        <w:spacing w:line="240" w:lineRule="auto"/>
        <w:ind w:left="0"/>
        <w:jc w:val="both"/>
        <w:rPr>
          <w:rFonts w:ascii="Verdana" w:hAnsi="Verdana"/>
          <w:color w:val="000000" w:themeColor="text1"/>
          <w:sz w:val="20"/>
          <w:szCs w:val="20"/>
          <w:lang w:val="es-ES"/>
        </w:rPr>
      </w:pPr>
      <w:r>
        <w:rPr>
          <w:rFonts w:ascii="Verdana" w:hAnsi="Verdana"/>
          <w:color w:val="000000" w:themeColor="text1"/>
          <w:sz w:val="20"/>
          <w:szCs w:val="20"/>
          <w:lang w:val="es-ES"/>
        </w:rPr>
        <w:t>9</w:t>
      </w:r>
      <w:r w:rsidR="00627556">
        <w:rPr>
          <w:rFonts w:ascii="Verdana" w:hAnsi="Verdana"/>
          <w:color w:val="000000" w:themeColor="text1"/>
          <w:sz w:val="20"/>
          <w:szCs w:val="20"/>
          <w:lang w:val="es-ES"/>
        </w:rPr>
        <w:t>8</w:t>
      </w:r>
      <w:r>
        <w:rPr>
          <w:rFonts w:ascii="Verdana" w:hAnsi="Verdana"/>
          <w:color w:val="000000" w:themeColor="text1"/>
          <w:sz w:val="20"/>
          <w:szCs w:val="20"/>
          <w:lang w:val="es-ES"/>
        </w:rPr>
        <w:t xml:space="preserve">. </w:t>
      </w:r>
      <w:r>
        <w:rPr>
          <w:rFonts w:ascii="Verdana" w:hAnsi="Verdana"/>
          <w:color w:val="000000" w:themeColor="text1"/>
          <w:sz w:val="20"/>
          <w:szCs w:val="20"/>
          <w:lang w:val="es-ES"/>
        </w:rPr>
        <w:tab/>
      </w:r>
      <w:r w:rsidR="00B1105E">
        <w:rPr>
          <w:rFonts w:ascii="Verdana" w:hAnsi="Verdana"/>
          <w:color w:val="000000" w:themeColor="text1"/>
          <w:sz w:val="20"/>
          <w:szCs w:val="20"/>
          <w:lang w:val="es-ES"/>
        </w:rPr>
        <w:t>Teniendo en cuenta estas tendencias de reconocer el derecho humano a la democracia, c</w:t>
      </w:r>
      <w:r w:rsidR="00997858" w:rsidRPr="00590665">
        <w:rPr>
          <w:rFonts w:ascii="Verdana" w:hAnsi="Verdana"/>
          <w:color w:val="000000" w:themeColor="text1"/>
          <w:sz w:val="20"/>
          <w:szCs w:val="20"/>
          <w:lang w:val="es-ES"/>
        </w:rPr>
        <w:t xml:space="preserve">onviene notar la prevalencia de dos artículos de la CDI que han sido particularmente importantes para la Corte IDH en su resolución de fallos contenciosos: </w:t>
      </w:r>
      <w:r w:rsidR="005D598A" w:rsidRPr="00590665">
        <w:rPr>
          <w:rFonts w:ascii="Verdana" w:hAnsi="Verdana"/>
          <w:color w:val="000000" w:themeColor="text1"/>
          <w:sz w:val="20"/>
          <w:szCs w:val="20"/>
          <w:lang w:val="es-ES"/>
        </w:rPr>
        <w:t>el art</w:t>
      </w:r>
      <w:r w:rsidR="009C522B">
        <w:rPr>
          <w:rFonts w:ascii="Verdana" w:hAnsi="Verdana"/>
          <w:color w:val="000000" w:themeColor="text1"/>
          <w:sz w:val="20"/>
          <w:szCs w:val="20"/>
          <w:lang w:val="es-ES"/>
        </w:rPr>
        <w:t>í</w:t>
      </w:r>
      <w:r w:rsidR="005D598A" w:rsidRPr="00590665">
        <w:rPr>
          <w:rFonts w:ascii="Verdana" w:hAnsi="Verdana"/>
          <w:color w:val="000000" w:themeColor="text1"/>
          <w:sz w:val="20"/>
          <w:szCs w:val="20"/>
          <w:lang w:val="es-ES"/>
        </w:rPr>
        <w:t xml:space="preserve">culo 3, referente a los </w:t>
      </w:r>
      <w:r w:rsidR="005D598A" w:rsidRPr="00590665">
        <w:rPr>
          <w:rFonts w:ascii="Verdana" w:hAnsi="Verdana"/>
          <w:i/>
          <w:iCs/>
          <w:color w:val="000000" w:themeColor="text1"/>
          <w:sz w:val="20"/>
          <w:szCs w:val="20"/>
          <w:lang w:val="es-ES"/>
        </w:rPr>
        <w:t>elementos esenciales</w:t>
      </w:r>
      <w:r w:rsidR="005D598A" w:rsidRPr="00590665">
        <w:rPr>
          <w:rFonts w:ascii="Verdana" w:hAnsi="Verdana"/>
          <w:color w:val="000000" w:themeColor="text1"/>
          <w:sz w:val="20"/>
          <w:szCs w:val="20"/>
          <w:lang w:val="es-ES"/>
        </w:rPr>
        <w:t xml:space="preserve"> de la democracia que ha sido citado en 2</w:t>
      </w:r>
      <w:r w:rsidR="005D598A">
        <w:rPr>
          <w:rFonts w:ascii="Verdana" w:hAnsi="Verdana"/>
          <w:color w:val="000000" w:themeColor="text1"/>
          <w:sz w:val="20"/>
          <w:szCs w:val="20"/>
          <w:lang w:val="es-ES"/>
        </w:rPr>
        <w:t>0</w:t>
      </w:r>
      <w:r w:rsidR="005D598A" w:rsidRPr="00590665">
        <w:rPr>
          <w:rFonts w:ascii="Verdana" w:hAnsi="Verdana"/>
          <w:color w:val="000000" w:themeColor="text1"/>
          <w:sz w:val="20"/>
          <w:szCs w:val="20"/>
          <w:lang w:val="es-ES"/>
        </w:rPr>
        <w:t xml:space="preserve"> fallos contenciosos</w:t>
      </w:r>
      <w:r w:rsidR="005D598A" w:rsidRPr="00590665">
        <w:rPr>
          <w:rStyle w:val="FootnoteReference"/>
          <w:rFonts w:ascii="Verdana" w:hAnsi="Verdana"/>
          <w:color w:val="000000" w:themeColor="text1"/>
          <w:sz w:val="20"/>
          <w:szCs w:val="20"/>
          <w:lang w:val="es-ES"/>
        </w:rPr>
        <w:footnoteReference w:id="124"/>
      </w:r>
      <w:r w:rsidR="005D598A">
        <w:rPr>
          <w:rFonts w:ascii="Verdana" w:hAnsi="Verdana"/>
          <w:color w:val="000000" w:themeColor="text1"/>
          <w:sz w:val="20"/>
          <w:szCs w:val="20"/>
          <w:lang w:val="es-ES"/>
        </w:rPr>
        <w:t>;</w:t>
      </w:r>
      <w:r w:rsidR="005D598A" w:rsidRPr="00590665">
        <w:rPr>
          <w:rFonts w:ascii="Verdana" w:hAnsi="Verdana"/>
          <w:color w:val="000000" w:themeColor="text1"/>
          <w:sz w:val="20"/>
          <w:szCs w:val="20"/>
          <w:lang w:val="es-ES"/>
        </w:rPr>
        <w:t xml:space="preserve"> </w:t>
      </w:r>
      <w:r w:rsidR="005D598A" w:rsidRPr="00590665">
        <w:rPr>
          <w:rFonts w:ascii="Verdana" w:hAnsi="Verdana"/>
          <w:color w:val="000000" w:themeColor="text1"/>
          <w:sz w:val="20"/>
          <w:szCs w:val="20"/>
          <w:lang w:val="es-ES"/>
        </w:rPr>
        <w:lastRenderedPageBreak/>
        <w:t xml:space="preserve">y el artículo 4 referente a los </w:t>
      </w:r>
      <w:r w:rsidR="005D598A" w:rsidRPr="00590665">
        <w:rPr>
          <w:rFonts w:ascii="Verdana" w:hAnsi="Verdana"/>
          <w:i/>
          <w:iCs/>
          <w:color w:val="000000" w:themeColor="text1"/>
          <w:sz w:val="20"/>
          <w:szCs w:val="20"/>
          <w:lang w:val="es-ES"/>
        </w:rPr>
        <w:t xml:space="preserve">componentes fundamentales del ejercicio de la democracia </w:t>
      </w:r>
      <w:r w:rsidR="005D598A" w:rsidRPr="00590665">
        <w:rPr>
          <w:rFonts w:ascii="Verdana" w:hAnsi="Verdana"/>
          <w:color w:val="000000" w:themeColor="text1"/>
          <w:sz w:val="20"/>
          <w:szCs w:val="20"/>
          <w:lang w:val="es-ES"/>
        </w:rPr>
        <w:t>que</w:t>
      </w:r>
      <w:r w:rsidR="005D598A">
        <w:rPr>
          <w:rFonts w:ascii="Verdana" w:hAnsi="Verdana"/>
          <w:color w:val="000000" w:themeColor="text1"/>
          <w:sz w:val="20"/>
          <w:szCs w:val="20"/>
          <w:lang w:val="es-ES"/>
        </w:rPr>
        <w:t>, asimismo,</w:t>
      </w:r>
      <w:r w:rsidR="005D598A" w:rsidRPr="00590665">
        <w:rPr>
          <w:rFonts w:ascii="Verdana" w:hAnsi="Verdana"/>
          <w:color w:val="000000" w:themeColor="text1"/>
          <w:sz w:val="20"/>
          <w:szCs w:val="20"/>
          <w:lang w:val="es-ES"/>
        </w:rPr>
        <w:t xml:space="preserve"> </w:t>
      </w:r>
      <w:r w:rsidR="009760E6">
        <w:rPr>
          <w:rFonts w:ascii="Verdana" w:hAnsi="Verdana"/>
          <w:color w:val="000000" w:themeColor="text1"/>
          <w:sz w:val="20"/>
          <w:szCs w:val="20"/>
          <w:lang w:val="es-ES"/>
        </w:rPr>
        <w:t xml:space="preserve">se encuentra </w:t>
      </w:r>
      <w:r w:rsidR="005D598A" w:rsidRPr="00590665">
        <w:rPr>
          <w:rFonts w:ascii="Verdana" w:hAnsi="Verdana"/>
          <w:color w:val="000000" w:themeColor="text1"/>
          <w:sz w:val="20"/>
          <w:szCs w:val="20"/>
          <w:lang w:val="es-ES"/>
        </w:rPr>
        <w:t>en 2</w:t>
      </w:r>
      <w:r w:rsidR="005D598A">
        <w:rPr>
          <w:rFonts w:ascii="Verdana" w:hAnsi="Verdana"/>
          <w:color w:val="000000" w:themeColor="text1"/>
          <w:sz w:val="20"/>
          <w:szCs w:val="20"/>
          <w:lang w:val="es-ES"/>
        </w:rPr>
        <w:t>0 sentencias</w:t>
      </w:r>
      <w:r w:rsidR="005D598A" w:rsidRPr="00590665">
        <w:rPr>
          <w:rStyle w:val="FootnoteReference"/>
          <w:rFonts w:ascii="Verdana" w:hAnsi="Verdana"/>
          <w:color w:val="000000" w:themeColor="text1"/>
          <w:sz w:val="20"/>
          <w:szCs w:val="20"/>
          <w:lang w:val="es-ES"/>
        </w:rPr>
        <w:footnoteReference w:id="125"/>
      </w:r>
      <w:r w:rsidR="005D598A">
        <w:rPr>
          <w:rFonts w:ascii="Verdana" w:hAnsi="Verdana"/>
          <w:color w:val="000000" w:themeColor="text1"/>
          <w:sz w:val="20"/>
          <w:szCs w:val="20"/>
          <w:lang w:val="es-ES"/>
        </w:rPr>
        <w:t xml:space="preserve">. </w:t>
      </w:r>
      <w:r w:rsidR="00997858" w:rsidRPr="00590665">
        <w:rPr>
          <w:rFonts w:ascii="Verdana" w:hAnsi="Verdana"/>
          <w:color w:val="000000" w:themeColor="text1"/>
          <w:sz w:val="20"/>
          <w:szCs w:val="20"/>
          <w:lang w:val="es-ES"/>
        </w:rPr>
        <w:t>A título meramente ejemplificativo, el articulo 3 ha sido utilizado para concretar las protecciones específicas que merecen las personas juzgadoras cuando su independencia se vea afectada</w:t>
      </w:r>
      <w:r w:rsidR="009760E6">
        <w:rPr>
          <w:rFonts w:ascii="Verdana" w:hAnsi="Verdana"/>
          <w:color w:val="000000" w:themeColor="text1"/>
          <w:sz w:val="20"/>
          <w:szCs w:val="20"/>
          <w:lang w:val="es-ES"/>
        </w:rPr>
        <w:t>. En ese sentido</w:t>
      </w:r>
      <w:r w:rsidR="00997858" w:rsidRPr="00590665">
        <w:rPr>
          <w:rFonts w:ascii="Verdana" w:hAnsi="Verdana"/>
          <w:color w:val="000000" w:themeColor="text1"/>
          <w:sz w:val="20"/>
          <w:szCs w:val="20"/>
          <w:lang w:val="es-ES"/>
        </w:rPr>
        <w:t xml:space="preserve">, en el caso  </w:t>
      </w:r>
      <w:r w:rsidR="00997858" w:rsidRPr="00590665">
        <w:rPr>
          <w:rFonts w:ascii="Verdana" w:hAnsi="Verdana"/>
          <w:i/>
          <w:iCs/>
          <w:color w:val="000000" w:themeColor="text1"/>
          <w:sz w:val="20"/>
          <w:szCs w:val="20"/>
          <w:lang w:val="es-ES"/>
        </w:rPr>
        <w:t>L</w:t>
      </w:r>
      <w:r w:rsidR="0028470B">
        <w:rPr>
          <w:rFonts w:ascii="Verdana" w:hAnsi="Verdana"/>
          <w:i/>
          <w:iCs/>
          <w:color w:val="000000" w:themeColor="text1"/>
          <w:sz w:val="20"/>
          <w:szCs w:val="20"/>
          <w:lang w:val="es-ES"/>
        </w:rPr>
        <w:t>ó</w:t>
      </w:r>
      <w:r w:rsidR="00997858" w:rsidRPr="00590665">
        <w:rPr>
          <w:rFonts w:ascii="Verdana" w:hAnsi="Verdana"/>
          <w:i/>
          <w:iCs/>
          <w:color w:val="000000" w:themeColor="text1"/>
          <w:sz w:val="20"/>
          <w:szCs w:val="20"/>
          <w:lang w:val="es-ES"/>
        </w:rPr>
        <w:t>pez Lone</w:t>
      </w:r>
      <w:r w:rsidR="00997858" w:rsidRPr="00590665">
        <w:rPr>
          <w:rFonts w:ascii="Verdana" w:hAnsi="Verdana"/>
          <w:color w:val="000000" w:themeColor="text1"/>
          <w:sz w:val="20"/>
          <w:szCs w:val="20"/>
          <w:lang w:val="es-ES"/>
        </w:rPr>
        <w:t>, llevó a la Corte IDH a reconocer el “</w:t>
      </w:r>
      <w:r w:rsidR="00997858" w:rsidRPr="00590665">
        <w:rPr>
          <w:rFonts w:ascii="Verdana" w:hAnsi="Verdana"/>
          <w:color w:val="000000" w:themeColor="text1"/>
          <w:sz w:val="20"/>
          <w:szCs w:val="20"/>
        </w:rPr>
        <w:t xml:space="preserve">deber de </w:t>
      </w:r>
      <w:r w:rsidR="00997858" w:rsidRPr="00801A52">
        <w:rPr>
          <w:rFonts w:ascii="Verdana" w:hAnsi="Verdana"/>
          <w:i/>
          <w:iCs/>
          <w:color w:val="000000" w:themeColor="text1"/>
          <w:sz w:val="20"/>
          <w:szCs w:val="20"/>
        </w:rPr>
        <w:t>defender la democracia,</w:t>
      </w:r>
      <w:r w:rsidR="00997858" w:rsidRPr="00590665">
        <w:rPr>
          <w:rFonts w:ascii="Verdana" w:hAnsi="Verdana"/>
          <w:color w:val="000000" w:themeColor="text1"/>
          <w:sz w:val="20"/>
          <w:szCs w:val="20"/>
        </w:rPr>
        <w:t xml:space="preserve"> con base en lo establecido en la Convención Americana y en las obligaciones de derecho internacional que el Estado de Honduras adquirió al ser parte de dicho tratado y de la Carta de la OEA, obligaciones que se expresan en instrumentos como la Carta Democrática Interamericana”</w:t>
      </w:r>
      <w:r w:rsidR="00997858" w:rsidRPr="00590665">
        <w:rPr>
          <w:rStyle w:val="FootnoteReference"/>
          <w:rFonts w:ascii="Verdana" w:hAnsi="Verdana"/>
          <w:color w:val="000000" w:themeColor="text1"/>
          <w:sz w:val="20"/>
          <w:szCs w:val="20"/>
        </w:rPr>
        <w:footnoteReference w:id="126"/>
      </w:r>
      <w:r w:rsidR="00D242DA">
        <w:rPr>
          <w:rFonts w:ascii="Verdana" w:hAnsi="Verdana"/>
          <w:color w:val="000000" w:themeColor="text1"/>
          <w:sz w:val="20"/>
          <w:szCs w:val="20"/>
        </w:rPr>
        <w:t>.</w:t>
      </w:r>
    </w:p>
    <w:p w14:paraId="0FF67F99" w14:textId="77777777" w:rsidR="00997858" w:rsidRPr="00590665" w:rsidRDefault="00997858" w:rsidP="00997858">
      <w:pPr>
        <w:pStyle w:val="ListParagraph"/>
        <w:spacing w:line="240" w:lineRule="auto"/>
        <w:ind w:left="0"/>
        <w:jc w:val="both"/>
        <w:rPr>
          <w:rFonts w:ascii="Verdana" w:hAnsi="Verdana"/>
          <w:color w:val="000000" w:themeColor="text1"/>
          <w:sz w:val="20"/>
          <w:szCs w:val="20"/>
          <w:lang w:val="es-ES"/>
        </w:rPr>
      </w:pPr>
    </w:p>
    <w:p w14:paraId="7E89DC55" w14:textId="4297618A" w:rsidR="00997858" w:rsidRDefault="00FB440F" w:rsidP="00FB440F">
      <w:pPr>
        <w:pStyle w:val="ListParagraph"/>
        <w:spacing w:line="240" w:lineRule="auto"/>
        <w:ind w:left="0"/>
        <w:jc w:val="both"/>
        <w:rPr>
          <w:rFonts w:ascii="Verdana" w:hAnsi="Verdana"/>
          <w:color w:val="000000" w:themeColor="text1"/>
          <w:sz w:val="20"/>
          <w:szCs w:val="20"/>
        </w:rPr>
      </w:pPr>
      <w:r>
        <w:rPr>
          <w:rFonts w:ascii="Verdana" w:hAnsi="Verdana"/>
          <w:color w:val="000000" w:themeColor="text1"/>
          <w:sz w:val="20"/>
          <w:szCs w:val="20"/>
          <w:lang w:val="es-ES"/>
        </w:rPr>
        <w:t>9</w:t>
      </w:r>
      <w:r w:rsidR="00627556">
        <w:rPr>
          <w:rFonts w:ascii="Verdana" w:hAnsi="Verdana"/>
          <w:color w:val="000000" w:themeColor="text1"/>
          <w:sz w:val="20"/>
          <w:szCs w:val="20"/>
          <w:lang w:val="es-ES"/>
        </w:rPr>
        <w:t>9</w:t>
      </w:r>
      <w:r>
        <w:rPr>
          <w:rFonts w:ascii="Verdana" w:hAnsi="Verdana"/>
          <w:color w:val="000000" w:themeColor="text1"/>
          <w:sz w:val="20"/>
          <w:szCs w:val="20"/>
          <w:lang w:val="es-ES"/>
        </w:rPr>
        <w:t xml:space="preserve">. </w:t>
      </w:r>
      <w:r>
        <w:rPr>
          <w:rFonts w:ascii="Verdana" w:hAnsi="Verdana"/>
          <w:color w:val="000000" w:themeColor="text1"/>
          <w:sz w:val="20"/>
          <w:szCs w:val="20"/>
          <w:lang w:val="es-ES"/>
        </w:rPr>
        <w:tab/>
      </w:r>
      <w:r w:rsidR="00997858" w:rsidRPr="00590665">
        <w:rPr>
          <w:rFonts w:ascii="Verdana" w:hAnsi="Verdana"/>
          <w:color w:val="000000" w:themeColor="text1"/>
          <w:sz w:val="20"/>
          <w:szCs w:val="20"/>
          <w:lang w:val="es-ES"/>
        </w:rPr>
        <w:t xml:space="preserve">Como lo indique en mi voto del caso </w:t>
      </w:r>
      <w:r w:rsidR="00997858" w:rsidRPr="00590665">
        <w:rPr>
          <w:rFonts w:ascii="Verdana" w:hAnsi="Verdana"/>
          <w:i/>
          <w:iCs/>
          <w:color w:val="000000" w:themeColor="text1"/>
          <w:sz w:val="20"/>
          <w:szCs w:val="20"/>
          <w:lang w:val="es-ES"/>
        </w:rPr>
        <w:t>Quintana Coello y otros vs. Ecuador</w:t>
      </w:r>
      <w:r>
        <w:rPr>
          <w:rFonts w:ascii="Verdana" w:hAnsi="Verdana"/>
          <w:i/>
          <w:iCs/>
          <w:color w:val="000000" w:themeColor="text1"/>
          <w:sz w:val="20"/>
          <w:szCs w:val="20"/>
          <w:lang w:val="es-ES"/>
        </w:rPr>
        <w:t xml:space="preserve"> </w:t>
      </w:r>
      <w:r>
        <w:rPr>
          <w:rFonts w:ascii="Verdana" w:hAnsi="Verdana"/>
          <w:color w:val="000000" w:themeColor="text1"/>
          <w:sz w:val="20"/>
          <w:szCs w:val="20"/>
          <w:lang w:val="es-ES"/>
        </w:rPr>
        <w:t>en 2013</w:t>
      </w:r>
      <w:r w:rsidR="00997858" w:rsidRPr="00590665">
        <w:rPr>
          <w:rFonts w:ascii="Verdana" w:hAnsi="Verdana"/>
          <w:color w:val="000000" w:themeColor="text1"/>
          <w:sz w:val="20"/>
          <w:szCs w:val="20"/>
          <w:lang w:val="es-ES"/>
        </w:rPr>
        <w:t xml:space="preserve">, aun cuando la Corte IDH ha empleado consideraciones democráticas, e incluso a la CDI, para la resolución de sus fallos, en muchas ocasiones </w:t>
      </w:r>
      <w:r w:rsidR="0028470B">
        <w:rPr>
          <w:rFonts w:ascii="Verdana" w:hAnsi="Verdana"/>
          <w:color w:val="000000" w:themeColor="text1"/>
          <w:sz w:val="20"/>
          <w:szCs w:val="20"/>
          <w:lang w:val="es-ES"/>
        </w:rPr>
        <w:t>ha faltado un</w:t>
      </w:r>
      <w:r w:rsidR="00997858" w:rsidRPr="00590665">
        <w:rPr>
          <w:rFonts w:ascii="Verdana" w:hAnsi="Verdana"/>
          <w:color w:val="000000" w:themeColor="text1"/>
          <w:sz w:val="20"/>
          <w:szCs w:val="20"/>
          <w:lang w:val="es-ES"/>
        </w:rPr>
        <w:t xml:space="preserve"> “d</w:t>
      </w:r>
      <w:r w:rsidR="00997858" w:rsidRPr="00590665">
        <w:rPr>
          <w:rFonts w:ascii="Verdana" w:hAnsi="Verdana"/>
          <w:color w:val="000000" w:themeColor="text1"/>
          <w:sz w:val="20"/>
          <w:szCs w:val="20"/>
        </w:rPr>
        <w:t>esarrollo jurisprudencial más profundo de la propia Carta Democrática Interamericana, en específico, en relación a lo que consagra su artículo 3”</w:t>
      </w:r>
      <w:r w:rsidR="00997858" w:rsidRPr="00590665">
        <w:rPr>
          <w:rStyle w:val="FootnoteReference"/>
          <w:rFonts w:ascii="Verdana" w:hAnsi="Verdana"/>
          <w:color w:val="000000" w:themeColor="text1"/>
          <w:sz w:val="20"/>
          <w:szCs w:val="20"/>
        </w:rPr>
        <w:footnoteReference w:id="127"/>
      </w:r>
      <w:r w:rsidR="00801A52">
        <w:rPr>
          <w:rFonts w:ascii="Verdana" w:hAnsi="Verdana"/>
          <w:color w:val="000000" w:themeColor="text1"/>
          <w:sz w:val="20"/>
          <w:szCs w:val="20"/>
        </w:rPr>
        <w:t xml:space="preserve">. </w:t>
      </w:r>
      <w:r w:rsidR="00997858" w:rsidRPr="00590665">
        <w:rPr>
          <w:rFonts w:ascii="Verdana" w:hAnsi="Verdana"/>
          <w:color w:val="000000" w:themeColor="text1"/>
          <w:sz w:val="20"/>
          <w:szCs w:val="20"/>
        </w:rPr>
        <w:t xml:space="preserve">En concreto, la rica jurisprudencia de la Corte IDH ha dejado constancia de que en el SIDH la democracia es más que un ideal al cual deben aspirar los </w:t>
      </w:r>
      <w:r w:rsidR="009C522B">
        <w:rPr>
          <w:rFonts w:ascii="Verdana" w:hAnsi="Verdana"/>
          <w:color w:val="000000" w:themeColor="text1"/>
          <w:sz w:val="20"/>
          <w:szCs w:val="20"/>
        </w:rPr>
        <w:t>E</w:t>
      </w:r>
      <w:r w:rsidR="00997858" w:rsidRPr="00590665">
        <w:rPr>
          <w:rFonts w:ascii="Verdana" w:hAnsi="Verdana"/>
          <w:color w:val="000000" w:themeColor="text1"/>
          <w:sz w:val="20"/>
          <w:szCs w:val="20"/>
        </w:rPr>
        <w:t>stados miembros del SIDH</w:t>
      </w:r>
      <w:r w:rsidR="0028470B">
        <w:rPr>
          <w:rFonts w:ascii="Verdana" w:hAnsi="Verdana"/>
          <w:color w:val="000000" w:themeColor="text1"/>
          <w:sz w:val="20"/>
          <w:szCs w:val="20"/>
        </w:rPr>
        <w:t>. En ese sentido, en esa ocasión estimé que</w:t>
      </w:r>
      <w:r w:rsidR="00997858" w:rsidRPr="00590665">
        <w:rPr>
          <w:rFonts w:ascii="Verdana" w:hAnsi="Verdana"/>
          <w:color w:val="000000" w:themeColor="text1"/>
          <w:sz w:val="20"/>
          <w:szCs w:val="20"/>
        </w:rPr>
        <w:t xml:space="preserve"> “[c]abría incluso considerar si es posible configurar una suerte de </w:t>
      </w:r>
      <w:r w:rsidR="00997858" w:rsidRPr="00582F53">
        <w:rPr>
          <w:rFonts w:ascii="Verdana" w:hAnsi="Verdana"/>
          <w:i/>
          <w:iCs/>
          <w:color w:val="000000" w:themeColor="text1"/>
          <w:sz w:val="20"/>
          <w:szCs w:val="20"/>
        </w:rPr>
        <w:t xml:space="preserve">derecho de los justiciables a condiciones democráticas de las instituciones públicas, </w:t>
      </w:r>
      <w:r w:rsidR="00997858" w:rsidRPr="00590665">
        <w:rPr>
          <w:rFonts w:ascii="Verdana" w:hAnsi="Verdana"/>
          <w:color w:val="000000" w:themeColor="text1"/>
          <w:sz w:val="20"/>
          <w:szCs w:val="20"/>
        </w:rPr>
        <w:t xml:space="preserve">con sustento no sólo en el referido artículo 3 de la Carta Democrática, sino también en el 29 de la Convención Americana; el cual se sostendría con las obligaciones internacionales de los Estados al ejercicio del poder de conformidad con el Estado de </w:t>
      </w:r>
      <w:r w:rsidR="000E241D">
        <w:rPr>
          <w:rFonts w:ascii="Verdana" w:hAnsi="Verdana"/>
          <w:color w:val="000000" w:themeColor="text1"/>
          <w:sz w:val="20"/>
          <w:szCs w:val="20"/>
        </w:rPr>
        <w:t>D</w:t>
      </w:r>
      <w:r w:rsidR="00997858" w:rsidRPr="00590665">
        <w:rPr>
          <w:rFonts w:ascii="Verdana" w:hAnsi="Verdana"/>
          <w:color w:val="000000" w:themeColor="text1"/>
          <w:sz w:val="20"/>
          <w:szCs w:val="20"/>
        </w:rPr>
        <w:t xml:space="preserve">erecho, la separación de poderes y, por supuesto, la independencia de los </w:t>
      </w:r>
      <w:r w:rsidR="00997858" w:rsidRPr="00590665">
        <w:rPr>
          <w:rFonts w:ascii="Verdana" w:hAnsi="Verdana"/>
          <w:color w:val="000000" w:themeColor="text1"/>
          <w:sz w:val="20"/>
          <w:szCs w:val="20"/>
        </w:rPr>
        <w:lastRenderedPageBreak/>
        <w:t>jueces, tal como ha llegado a proponerse en otros casos en que se han dilucidado temas análogos por el Tribunal Interamericano. Un criterio de este alcance iría más allá del concepto de democracia en términos interpretativos, como la Corte IDH ha señalado en el sentido de que ‘las justas exigencias de la democracia deben […] orientar la interpretación de la Convención y, en particular, de aquellas disposiciones que están críticamente relacionadas con la preservación y el funcionamiento de las instituciones democráticas’”</w:t>
      </w:r>
      <w:r w:rsidR="00997858" w:rsidRPr="00590665">
        <w:rPr>
          <w:rStyle w:val="FootnoteReference"/>
          <w:rFonts w:ascii="Verdana" w:hAnsi="Verdana"/>
          <w:color w:val="000000" w:themeColor="text1"/>
          <w:sz w:val="20"/>
          <w:szCs w:val="20"/>
        </w:rPr>
        <w:footnoteReference w:id="128"/>
      </w:r>
      <w:r w:rsidR="00801A52">
        <w:rPr>
          <w:rFonts w:ascii="Verdana" w:hAnsi="Verdana"/>
          <w:color w:val="000000" w:themeColor="text1"/>
          <w:sz w:val="20"/>
          <w:szCs w:val="20"/>
        </w:rPr>
        <w:t>.</w:t>
      </w:r>
      <w:r w:rsidR="00997858" w:rsidRPr="00590665">
        <w:rPr>
          <w:rFonts w:ascii="Verdana" w:hAnsi="Verdana"/>
          <w:color w:val="000000" w:themeColor="text1"/>
          <w:sz w:val="20"/>
          <w:szCs w:val="20"/>
        </w:rPr>
        <w:t xml:space="preserve"> Es decir, cabría incluso la posibilidad de reconocer un </w:t>
      </w:r>
      <w:r w:rsidR="00997858" w:rsidRPr="00801A52">
        <w:rPr>
          <w:rFonts w:ascii="Verdana" w:hAnsi="Verdana"/>
          <w:i/>
          <w:iCs/>
          <w:color w:val="000000" w:themeColor="text1"/>
          <w:sz w:val="20"/>
          <w:szCs w:val="20"/>
        </w:rPr>
        <w:t>derecho a la democracia</w:t>
      </w:r>
      <w:r w:rsidR="00997858" w:rsidRPr="00590665">
        <w:rPr>
          <w:rFonts w:ascii="Verdana" w:hAnsi="Verdana"/>
          <w:color w:val="000000" w:themeColor="text1"/>
          <w:sz w:val="20"/>
          <w:szCs w:val="20"/>
        </w:rPr>
        <w:t xml:space="preserve"> derivado de una lectura integral del </w:t>
      </w:r>
      <w:r w:rsidR="00997858" w:rsidRPr="00590665">
        <w:rPr>
          <w:rFonts w:ascii="Verdana" w:hAnsi="Verdana"/>
          <w:i/>
          <w:iCs/>
          <w:color w:val="000000" w:themeColor="text1"/>
          <w:sz w:val="20"/>
          <w:szCs w:val="20"/>
        </w:rPr>
        <w:t>corpus iuris</w:t>
      </w:r>
      <w:r w:rsidR="00997858" w:rsidRPr="00590665">
        <w:rPr>
          <w:rFonts w:ascii="Verdana" w:hAnsi="Verdana"/>
          <w:color w:val="000000" w:themeColor="text1"/>
          <w:sz w:val="20"/>
          <w:szCs w:val="20"/>
        </w:rPr>
        <w:t xml:space="preserve"> interamericano</w:t>
      </w:r>
      <w:r w:rsidR="00111C73">
        <w:rPr>
          <w:rFonts w:ascii="Verdana" w:hAnsi="Verdana"/>
          <w:color w:val="000000" w:themeColor="text1"/>
          <w:sz w:val="20"/>
          <w:szCs w:val="20"/>
        </w:rPr>
        <w:t>, como se ha indicado anteriormente.</w:t>
      </w:r>
    </w:p>
    <w:p w14:paraId="0AB6F802" w14:textId="28550A7E" w:rsidR="007B4502" w:rsidRDefault="007B4502" w:rsidP="00FB440F">
      <w:pPr>
        <w:pStyle w:val="ListParagraph"/>
        <w:spacing w:line="240" w:lineRule="auto"/>
        <w:ind w:left="0"/>
        <w:jc w:val="both"/>
        <w:rPr>
          <w:rFonts w:ascii="Verdana" w:hAnsi="Verdana"/>
          <w:color w:val="000000" w:themeColor="text1"/>
          <w:sz w:val="20"/>
          <w:szCs w:val="20"/>
        </w:rPr>
      </w:pPr>
    </w:p>
    <w:p w14:paraId="7B0FB936" w14:textId="7EF17EEF" w:rsidR="007B4502" w:rsidRDefault="00627556" w:rsidP="007B4502">
      <w:pPr>
        <w:pStyle w:val="ListParagraph"/>
        <w:spacing w:line="240" w:lineRule="auto"/>
        <w:ind w:left="0"/>
        <w:jc w:val="both"/>
        <w:rPr>
          <w:rFonts w:ascii="Verdana" w:hAnsi="Verdana"/>
          <w:color w:val="000000" w:themeColor="text1"/>
          <w:sz w:val="20"/>
          <w:szCs w:val="20"/>
          <w:lang w:val="es-ES"/>
        </w:rPr>
      </w:pPr>
      <w:r>
        <w:rPr>
          <w:rFonts w:ascii="Verdana" w:hAnsi="Verdana"/>
          <w:color w:val="000000" w:themeColor="text1"/>
          <w:sz w:val="20"/>
          <w:szCs w:val="20"/>
        </w:rPr>
        <w:t>100</w:t>
      </w:r>
      <w:r w:rsidR="007B4502">
        <w:rPr>
          <w:rFonts w:ascii="Verdana" w:hAnsi="Verdana"/>
          <w:color w:val="000000" w:themeColor="text1"/>
          <w:sz w:val="20"/>
          <w:szCs w:val="20"/>
        </w:rPr>
        <w:t xml:space="preserve">. </w:t>
      </w:r>
      <w:r w:rsidR="007B4502">
        <w:rPr>
          <w:rFonts w:ascii="Verdana" w:hAnsi="Verdana"/>
          <w:color w:val="000000" w:themeColor="text1"/>
          <w:sz w:val="20"/>
          <w:szCs w:val="20"/>
        </w:rPr>
        <w:tab/>
      </w:r>
      <w:r w:rsidR="007B4502" w:rsidRPr="00590665">
        <w:rPr>
          <w:rFonts w:ascii="Verdana" w:hAnsi="Verdana"/>
          <w:color w:val="000000" w:themeColor="text1"/>
          <w:sz w:val="20"/>
          <w:szCs w:val="20"/>
        </w:rPr>
        <w:t>En esta misma l</w:t>
      </w:r>
      <w:r w:rsidR="003C336E">
        <w:rPr>
          <w:rFonts w:ascii="Verdana" w:hAnsi="Verdana"/>
          <w:color w:val="000000" w:themeColor="text1"/>
          <w:sz w:val="20"/>
          <w:szCs w:val="20"/>
        </w:rPr>
        <w:t>í</w:t>
      </w:r>
      <w:r w:rsidR="007B4502" w:rsidRPr="00590665">
        <w:rPr>
          <w:rFonts w:ascii="Verdana" w:hAnsi="Verdana"/>
          <w:color w:val="000000" w:themeColor="text1"/>
          <w:sz w:val="20"/>
          <w:szCs w:val="20"/>
        </w:rPr>
        <w:t>nea, conviene notar que la CDI contiene una disposición part</w:t>
      </w:r>
      <w:r w:rsidR="003C336E">
        <w:rPr>
          <w:rFonts w:ascii="Verdana" w:hAnsi="Verdana"/>
          <w:color w:val="000000" w:themeColor="text1"/>
          <w:sz w:val="20"/>
          <w:szCs w:val="20"/>
        </w:rPr>
        <w:t>i</w:t>
      </w:r>
      <w:r w:rsidR="007B4502" w:rsidRPr="00590665">
        <w:rPr>
          <w:rFonts w:ascii="Verdana" w:hAnsi="Verdana"/>
          <w:color w:val="000000" w:themeColor="text1"/>
          <w:sz w:val="20"/>
          <w:szCs w:val="20"/>
        </w:rPr>
        <w:t>cular en cuanto a la vigenc</w:t>
      </w:r>
      <w:r w:rsidR="003C336E">
        <w:rPr>
          <w:rFonts w:ascii="Verdana" w:hAnsi="Verdana"/>
          <w:color w:val="000000" w:themeColor="text1"/>
          <w:sz w:val="20"/>
          <w:szCs w:val="20"/>
        </w:rPr>
        <w:t>i</w:t>
      </w:r>
      <w:r w:rsidR="007B4502" w:rsidRPr="00590665">
        <w:rPr>
          <w:rFonts w:ascii="Verdana" w:hAnsi="Verdana"/>
          <w:color w:val="000000" w:themeColor="text1"/>
          <w:sz w:val="20"/>
          <w:szCs w:val="20"/>
        </w:rPr>
        <w:t xml:space="preserve">a de un </w:t>
      </w:r>
      <w:r w:rsidR="007B4502" w:rsidRPr="00801A52">
        <w:rPr>
          <w:rFonts w:ascii="Verdana" w:hAnsi="Verdana"/>
          <w:i/>
          <w:iCs/>
          <w:color w:val="000000" w:themeColor="text1"/>
          <w:sz w:val="20"/>
          <w:szCs w:val="20"/>
        </w:rPr>
        <w:t>derecho a la democracia</w:t>
      </w:r>
      <w:r w:rsidR="007B4502" w:rsidRPr="00590665">
        <w:rPr>
          <w:rFonts w:ascii="Verdana" w:hAnsi="Verdana"/>
          <w:color w:val="000000" w:themeColor="text1"/>
          <w:sz w:val="20"/>
          <w:szCs w:val="20"/>
        </w:rPr>
        <w:t xml:space="preserve"> en el SIDH. El artículo 8 de la CDI, incluido en el Capítulo II deno</w:t>
      </w:r>
      <w:r w:rsidR="007B4502" w:rsidRPr="00590665">
        <w:rPr>
          <w:rFonts w:ascii="Verdana" w:hAnsi="Verdana"/>
          <w:color w:val="000000" w:themeColor="text1"/>
          <w:sz w:val="20"/>
          <w:szCs w:val="20"/>
          <w:lang w:val="es-ES"/>
        </w:rPr>
        <w:t>minado “La Democracia y los Derechos Humanos”, nota lo siguiente: “Cualquier persona o grupo de personas que consideren que sus derechos humanos han sido violados pueden interponer denuncias o peticiones ante el sistema interamericano de promoción y protección de los derechos humanos conforme a los procedimientos establecidos en el mismo</w:t>
      </w:r>
      <w:r w:rsidR="007B4502">
        <w:rPr>
          <w:rFonts w:ascii="Verdana" w:hAnsi="Verdana"/>
          <w:color w:val="000000" w:themeColor="text1"/>
          <w:sz w:val="20"/>
          <w:szCs w:val="20"/>
          <w:lang w:val="es-ES"/>
        </w:rPr>
        <w:t>[</w:t>
      </w:r>
      <w:r w:rsidR="007B4502" w:rsidRPr="00590665">
        <w:rPr>
          <w:rFonts w:ascii="Verdana" w:hAnsi="Verdana"/>
          <w:color w:val="000000" w:themeColor="text1"/>
          <w:sz w:val="20"/>
          <w:szCs w:val="20"/>
          <w:lang w:val="es-ES"/>
        </w:rPr>
        <w:t>;</w:t>
      </w:r>
      <w:r w:rsidR="007B4502">
        <w:rPr>
          <w:rFonts w:ascii="Verdana" w:hAnsi="Verdana"/>
          <w:color w:val="000000" w:themeColor="text1"/>
          <w:sz w:val="20"/>
          <w:szCs w:val="20"/>
          <w:lang w:val="es-ES"/>
        </w:rPr>
        <w:t>]</w:t>
      </w:r>
      <w:r w:rsidR="007B4502" w:rsidRPr="00590665">
        <w:rPr>
          <w:rFonts w:ascii="Verdana" w:hAnsi="Verdana"/>
          <w:color w:val="000000" w:themeColor="text1"/>
          <w:sz w:val="20"/>
          <w:szCs w:val="20"/>
          <w:lang w:val="es-ES"/>
        </w:rPr>
        <w:t xml:space="preserve"> Los Estados Miembros reafirman su intención de fortalecer el sistema interamericano de protección de los derechos humanos para la consolidación de la democracia en el Hemisferio”. En atención de que dicha disposición es una reiteración de lo indicado en el artículo 44 de la Convención Americana</w:t>
      </w:r>
      <w:r w:rsidR="007B4502" w:rsidRPr="00590665">
        <w:rPr>
          <w:rStyle w:val="FootnoteReference"/>
          <w:rFonts w:ascii="Verdana" w:hAnsi="Verdana"/>
          <w:color w:val="000000" w:themeColor="text1"/>
          <w:sz w:val="20"/>
          <w:szCs w:val="20"/>
          <w:lang w:val="es-ES"/>
        </w:rPr>
        <w:footnoteReference w:id="129"/>
      </w:r>
      <w:r w:rsidR="007B4502" w:rsidRPr="00590665">
        <w:rPr>
          <w:rFonts w:ascii="Verdana" w:hAnsi="Verdana"/>
          <w:color w:val="000000" w:themeColor="text1"/>
          <w:sz w:val="20"/>
          <w:szCs w:val="20"/>
          <w:lang w:val="es-ES"/>
        </w:rPr>
        <w:t>, “</w:t>
      </w:r>
      <w:r w:rsidR="007B4502" w:rsidRPr="00590665">
        <w:rPr>
          <w:rFonts w:ascii="Verdana" w:hAnsi="Verdana"/>
          <w:color w:val="000000" w:themeColor="text1"/>
          <w:sz w:val="20"/>
          <w:szCs w:val="20"/>
        </w:rPr>
        <w:t xml:space="preserve">si se ha incluido en la Carta Democrática Interamericana, es, sin duda, para resaltar la circunstancia de que la ausencia, total o parcial, de democracia en un Estado conlleva, </w:t>
      </w:r>
      <w:r w:rsidR="007B4502" w:rsidRPr="00590665">
        <w:rPr>
          <w:rFonts w:ascii="Verdana" w:hAnsi="Verdana"/>
          <w:i/>
          <w:iCs/>
          <w:color w:val="000000" w:themeColor="text1"/>
          <w:sz w:val="20"/>
          <w:szCs w:val="20"/>
        </w:rPr>
        <w:t>per se</w:t>
      </w:r>
      <w:r w:rsidR="007B4502" w:rsidRPr="00590665">
        <w:rPr>
          <w:rFonts w:ascii="Verdana" w:hAnsi="Verdana"/>
          <w:color w:val="000000" w:themeColor="text1"/>
          <w:sz w:val="20"/>
          <w:szCs w:val="20"/>
        </w:rPr>
        <w:t>, violaciones a derechos humanos”</w:t>
      </w:r>
      <w:r w:rsidR="007B4502" w:rsidRPr="00590665">
        <w:rPr>
          <w:rStyle w:val="FootnoteReference"/>
          <w:rFonts w:ascii="Verdana" w:hAnsi="Verdana"/>
          <w:color w:val="000000" w:themeColor="text1"/>
          <w:sz w:val="20"/>
          <w:szCs w:val="20"/>
        </w:rPr>
        <w:footnoteReference w:id="130"/>
      </w:r>
      <w:r w:rsidR="00801A52">
        <w:rPr>
          <w:rFonts w:ascii="Verdana" w:hAnsi="Verdana"/>
          <w:color w:val="000000" w:themeColor="text1"/>
          <w:sz w:val="20"/>
          <w:szCs w:val="20"/>
        </w:rPr>
        <w:t>.</w:t>
      </w:r>
      <w:r w:rsidR="007B4502" w:rsidRPr="00590665">
        <w:rPr>
          <w:rFonts w:ascii="Verdana" w:hAnsi="Verdana"/>
          <w:color w:val="000000" w:themeColor="text1"/>
          <w:sz w:val="20"/>
          <w:szCs w:val="20"/>
          <w:lang w:val="es-ES"/>
        </w:rPr>
        <w:t xml:space="preserve"> Conviene notar que en el artículo 8 CDI no se especifica</w:t>
      </w:r>
      <w:r w:rsidR="00827203">
        <w:rPr>
          <w:rFonts w:ascii="Verdana" w:hAnsi="Verdana"/>
          <w:color w:val="000000" w:themeColor="text1"/>
          <w:sz w:val="20"/>
          <w:szCs w:val="20"/>
          <w:lang w:val="es-ES"/>
        </w:rPr>
        <w:t>n</w:t>
      </w:r>
      <w:r w:rsidR="007B4502" w:rsidRPr="00590665">
        <w:rPr>
          <w:rFonts w:ascii="Verdana" w:hAnsi="Verdana"/>
          <w:color w:val="000000" w:themeColor="text1"/>
          <w:sz w:val="20"/>
          <w:szCs w:val="20"/>
          <w:lang w:val="es-ES"/>
        </w:rPr>
        <w:t xml:space="preserve"> los “derechos humanos” a los cuales está haciendo referencia. Asimismo, lo indicado </w:t>
      </w:r>
      <w:r w:rsidR="007B4502" w:rsidRPr="00590665">
        <w:rPr>
          <w:rFonts w:ascii="Verdana" w:hAnsi="Verdana"/>
          <w:i/>
          <w:iCs/>
          <w:color w:val="000000" w:themeColor="text1"/>
          <w:sz w:val="20"/>
          <w:szCs w:val="20"/>
          <w:lang w:val="es-ES"/>
        </w:rPr>
        <w:t xml:space="preserve">in fine </w:t>
      </w:r>
      <w:r w:rsidR="007B4502" w:rsidRPr="00590665">
        <w:rPr>
          <w:rFonts w:ascii="Verdana" w:hAnsi="Verdana"/>
          <w:color w:val="000000" w:themeColor="text1"/>
          <w:sz w:val="20"/>
          <w:szCs w:val="20"/>
          <w:lang w:val="es-ES"/>
        </w:rPr>
        <w:t xml:space="preserve">en la disposición, deja constancia de que la tutela que se busca es, por un lado, a los derechos humanos y, por otro, al sistema de democracia representativa en el hemisferio. Consciente de que el tripartito de democracia, </w:t>
      </w:r>
      <w:r w:rsidR="00801A52">
        <w:rPr>
          <w:rFonts w:ascii="Verdana" w:hAnsi="Verdana"/>
          <w:color w:val="000000" w:themeColor="text1"/>
          <w:sz w:val="20"/>
          <w:szCs w:val="20"/>
          <w:lang w:val="es-ES"/>
        </w:rPr>
        <w:t>E</w:t>
      </w:r>
      <w:r w:rsidR="007B4502" w:rsidRPr="00590665">
        <w:rPr>
          <w:rFonts w:ascii="Verdana" w:hAnsi="Verdana"/>
          <w:color w:val="000000" w:themeColor="text1"/>
          <w:sz w:val="20"/>
          <w:szCs w:val="20"/>
          <w:lang w:val="es-ES"/>
        </w:rPr>
        <w:t xml:space="preserve">stado de </w:t>
      </w:r>
      <w:r w:rsidR="00827203">
        <w:rPr>
          <w:rFonts w:ascii="Verdana" w:hAnsi="Verdana"/>
          <w:color w:val="000000" w:themeColor="text1"/>
          <w:sz w:val="20"/>
          <w:szCs w:val="20"/>
          <w:lang w:val="es-ES"/>
        </w:rPr>
        <w:t>D</w:t>
      </w:r>
      <w:r w:rsidR="007B4502" w:rsidRPr="00590665">
        <w:rPr>
          <w:rFonts w:ascii="Verdana" w:hAnsi="Verdana"/>
          <w:color w:val="000000" w:themeColor="text1"/>
          <w:sz w:val="20"/>
          <w:szCs w:val="20"/>
          <w:lang w:val="es-ES"/>
        </w:rPr>
        <w:t>erecho</w:t>
      </w:r>
      <w:r w:rsidR="00801A52">
        <w:rPr>
          <w:rFonts w:ascii="Verdana" w:hAnsi="Verdana"/>
          <w:color w:val="000000" w:themeColor="text1"/>
          <w:sz w:val="20"/>
          <w:szCs w:val="20"/>
          <w:lang w:val="es-ES"/>
        </w:rPr>
        <w:t xml:space="preserve"> y derechos humanos,</w:t>
      </w:r>
      <w:r w:rsidR="007B4502" w:rsidRPr="00590665">
        <w:rPr>
          <w:rFonts w:ascii="Verdana" w:hAnsi="Verdana"/>
          <w:color w:val="000000" w:themeColor="text1"/>
          <w:sz w:val="20"/>
          <w:szCs w:val="20"/>
          <w:lang w:val="es-ES"/>
        </w:rPr>
        <w:t xml:space="preserve"> implica que sin democracia no hay derechos humanos y viceversa</w:t>
      </w:r>
      <w:r w:rsidR="007B4502">
        <w:rPr>
          <w:rStyle w:val="FootnoteReference"/>
          <w:rFonts w:ascii="Verdana" w:hAnsi="Verdana"/>
          <w:color w:val="000000" w:themeColor="text1"/>
          <w:sz w:val="20"/>
          <w:szCs w:val="20"/>
          <w:lang w:val="es-ES"/>
        </w:rPr>
        <w:footnoteReference w:id="131"/>
      </w:r>
      <w:r w:rsidR="00582F53">
        <w:rPr>
          <w:rFonts w:ascii="Verdana" w:hAnsi="Verdana"/>
          <w:color w:val="000000" w:themeColor="text1"/>
          <w:sz w:val="20"/>
          <w:szCs w:val="20"/>
          <w:lang w:val="es-ES"/>
        </w:rPr>
        <w:t>;</w:t>
      </w:r>
      <w:r w:rsidR="007B4502" w:rsidRPr="00590665">
        <w:rPr>
          <w:rFonts w:ascii="Verdana" w:hAnsi="Verdana"/>
          <w:color w:val="000000" w:themeColor="text1"/>
          <w:sz w:val="20"/>
          <w:szCs w:val="20"/>
          <w:lang w:val="es-ES"/>
        </w:rPr>
        <w:t xml:space="preserve"> la reafirmación de consolida</w:t>
      </w:r>
      <w:r w:rsidR="00827203">
        <w:rPr>
          <w:rFonts w:ascii="Verdana" w:hAnsi="Verdana"/>
          <w:color w:val="000000" w:themeColor="text1"/>
          <w:sz w:val="20"/>
          <w:szCs w:val="20"/>
          <w:lang w:val="es-ES"/>
        </w:rPr>
        <w:t>r</w:t>
      </w:r>
      <w:r w:rsidR="007B4502" w:rsidRPr="00590665">
        <w:rPr>
          <w:rFonts w:ascii="Verdana" w:hAnsi="Verdana"/>
          <w:color w:val="000000" w:themeColor="text1"/>
          <w:sz w:val="20"/>
          <w:szCs w:val="20"/>
          <w:lang w:val="es-ES"/>
        </w:rPr>
        <w:t xml:space="preserve"> la “democracia en el hemisferio”, </w:t>
      </w:r>
      <w:r w:rsidR="00582F53">
        <w:rPr>
          <w:rFonts w:ascii="Verdana" w:hAnsi="Verdana"/>
          <w:color w:val="000000" w:themeColor="text1"/>
          <w:sz w:val="20"/>
          <w:szCs w:val="20"/>
          <w:lang w:val="es-ES"/>
        </w:rPr>
        <w:t>(</w:t>
      </w:r>
      <w:r w:rsidR="007B4502" w:rsidRPr="00590665">
        <w:rPr>
          <w:rFonts w:ascii="Verdana" w:hAnsi="Verdana"/>
          <w:color w:val="000000" w:themeColor="text1"/>
          <w:sz w:val="20"/>
          <w:szCs w:val="20"/>
          <w:lang w:val="es-ES"/>
        </w:rPr>
        <w:t>cometido central de todo el SIDH como lo expresa el preámbulo de la CADH</w:t>
      </w:r>
      <w:r w:rsidR="007B4502">
        <w:rPr>
          <w:rStyle w:val="FootnoteReference"/>
          <w:rFonts w:ascii="Verdana" w:hAnsi="Verdana"/>
          <w:color w:val="000000" w:themeColor="text1"/>
          <w:sz w:val="20"/>
          <w:szCs w:val="20"/>
          <w:lang w:val="es-ES"/>
        </w:rPr>
        <w:footnoteReference w:id="132"/>
      </w:r>
      <w:r w:rsidR="007B4502">
        <w:rPr>
          <w:rFonts w:ascii="Verdana" w:hAnsi="Verdana"/>
          <w:color w:val="000000" w:themeColor="text1"/>
          <w:sz w:val="20"/>
          <w:szCs w:val="20"/>
          <w:lang w:val="es-ES"/>
        </w:rPr>
        <w:t xml:space="preserve"> y</w:t>
      </w:r>
      <w:r w:rsidR="007B4502" w:rsidRPr="00590665">
        <w:rPr>
          <w:rFonts w:ascii="Verdana" w:hAnsi="Verdana"/>
          <w:color w:val="000000" w:themeColor="text1"/>
          <w:sz w:val="20"/>
          <w:szCs w:val="20"/>
          <w:lang w:val="es-ES"/>
        </w:rPr>
        <w:t xml:space="preserve"> </w:t>
      </w:r>
      <w:r w:rsidR="007B4502">
        <w:rPr>
          <w:rFonts w:ascii="Verdana" w:hAnsi="Verdana"/>
          <w:color w:val="000000" w:themeColor="text1"/>
          <w:sz w:val="20"/>
          <w:szCs w:val="20"/>
          <w:lang w:val="es-ES"/>
        </w:rPr>
        <w:t xml:space="preserve">el </w:t>
      </w:r>
      <w:r w:rsidR="007B4502">
        <w:rPr>
          <w:rFonts w:ascii="Verdana" w:hAnsi="Verdana"/>
          <w:color w:val="000000" w:themeColor="text1"/>
          <w:sz w:val="20"/>
          <w:szCs w:val="20"/>
          <w:lang w:val="es-ES"/>
        </w:rPr>
        <w:lastRenderedPageBreak/>
        <w:t>preámbulo</w:t>
      </w:r>
      <w:r w:rsidR="00827203">
        <w:rPr>
          <w:rStyle w:val="FootnoteReference"/>
          <w:rFonts w:ascii="Verdana" w:hAnsi="Verdana"/>
          <w:color w:val="000000" w:themeColor="text1"/>
          <w:sz w:val="20"/>
          <w:szCs w:val="20"/>
          <w:lang w:val="es-ES"/>
        </w:rPr>
        <w:footnoteReference w:id="133"/>
      </w:r>
      <w:r w:rsidR="007B4502">
        <w:rPr>
          <w:rFonts w:ascii="Verdana" w:hAnsi="Verdana"/>
          <w:color w:val="000000" w:themeColor="text1"/>
          <w:sz w:val="20"/>
          <w:szCs w:val="20"/>
          <w:lang w:val="es-ES"/>
        </w:rPr>
        <w:t xml:space="preserve"> y </w:t>
      </w:r>
      <w:r w:rsidR="007B4502" w:rsidRPr="00590665">
        <w:rPr>
          <w:rFonts w:ascii="Verdana" w:hAnsi="Verdana"/>
          <w:color w:val="000000" w:themeColor="text1"/>
          <w:sz w:val="20"/>
          <w:szCs w:val="20"/>
          <w:lang w:val="es-ES"/>
        </w:rPr>
        <w:t>los artículos 2b) y 2d)</w:t>
      </w:r>
      <w:r w:rsidR="007B4502" w:rsidRPr="00590665">
        <w:rPr>
          <w:rFonts w:ascii="Verdana" w:hAnsi="Verdana"/>
          <w:color w:val="000000" w:themeColor="text1"/>
          <w:sz w:val="20"/>
          <w:szCs w:val="20"/>
          <w:vertAlign w:val="superscript"/>
          <w:lang w:val="es-ES"/>
        </w:rPr>
        <w:footnoteReference w:id="134"/>
      </w:r>
      <w:r w:rsidR="00827203">
        <w:rPr>
          <w:rFonts w:ascii="Verdana" w:hAnsi="Verdana"/>
          <w:color w:val="000000" w:themeColor="text1"/>
          <w:sz w:val="20"/>
          <w:szCs w:val="20"/>
          <w:lang w:val="es-ES"/>
        </w:rPr>
        <w:t>,</w:t>
      </w:r>
      <w:r w:rsidR="007B4502" w:rsidRPr="00590665">
        <w:rPr>
          <w:rFonts w:ascii="Verdana" w:hAnsi="Verdana"/>
          <w:color w:val="000000" w:themeColor="text1"/>
          <w:sz w:val="20"/>
          <w:szCs w:val="20"/>
          <w:lang w:val="es-ES"/>
        </w:rPr>
        <w:t xml:space="preserve">  3d) y 3f)</w:t>
      </w:r>
      <w:r w:rsidR="007B4502" w:rsidRPr="00590665">
        <w:rPr>
          <w:rFonts w:ascii="Verdana" w:hAnsi="Verdana"/>
          <w:color w:val="000000" w:themeColor="text1"/>
          <w:sz w:val="20"/>
          <w:szCs w:val="20"/>
          <w:vertAlign w:val="superscript"/>
          <w:lang w:val="es-ES"/>
        </w:rPr>
        <w:footnoteReference w:id="135"/>
      </w:r>
      <w:r w:rsidR="00827203">
        <w:rPr>
          <w:rFonts w:ascii="Verdana" w:hAnsi="Verdana"/>
          <w:color w:val="000000" w:themeColor="text1"/>
          <w:sz w:val="20"/>
          <w:szCs w:val="20"/>
          <w:lang w:val="es-ES"/>
        </w:rPr>
        <w:t>,</w:t>
      </w:r>
      <w:r w:rsidR="007B4502" w:rsidRPr="00590665">
        <w:rPr>
          <w:rFonts w:ascii="Verdana" w:hAnsi="Verdana"/>
          <w:color w:val="000000" w:themeColor="text1"/>
          <w:sz w:val="20"/>
          <w:szCs w:val="20"/>
          <w:lang w:val="es-ES"/>
        </w:rPr>
        <w:t xml:space="preserve"> 9</w:t>
      </w:r>
      <w:r w:rsidR="00827203">
        <w:rPr>
          <w:rFonts w:ascii="Verdana" w:hAnsi="Verdana"/>
          <w:color w:val="000000" w:themeColor="text1"/>
          <w:sz w:val="20"/>
          <w:szCs w:val="20"/>
          <w:lang w:val="es-ES"/>
        </w:rPr>
        <w:t>d) y 9f)</w:t>
      </w:r>
      <w:r w:rsidR="007B4502" w:rsidRPr="00590665">
        <w:rPr>
          <w:rFonts w:ascii="Verdana" w:hAnsi="Verdana"/>
          <w:color w:val="000000" w:themeColor="text1"/>
          <w:sz w:val="20"/>
          <w:szCs w:val="20"/>
          <w:vertAlign w:val="superscript"/>
          <w:lang w:val="es-ES"/>
        </w:rPr>
        <w:footnoteReference w:id="136"/>
      </w:r>
      <w:r w:rsidR="00827203">
        <w:rPr>
          <w:rFonts w:ascii="Verdana" w:hAnsi="Verdana"/>
          <w:color w:val="000000" w:themeColor="text1"/>
          <w:sz w:val="20"/>
          <w:szCs w:val="20"/>
          <w:lang w:val="es-ES"/>
        </w:rPr>
        <w:t>,</w:t>
      </w:r>
      <w:r w:rsidR="007B4502" w:rsidRPr="00590665">
        <w:rPr>
          <w:rFonts w:ascii="Verdana" w:hAnsi="Verdana"/>
          <w:color w:val="000000" w:themeColor="text1"/>
          <w:sz w:val="20"/>
          <w:szCs w:val="20"/>
          <w:lang w:val="es-ES"/>
        </w:rPr>
        <w:t xml:space="preserve"> 31</w:t>
      </w:r>
      <w:r w:rsidR="007B4502" w:rsidRPr="00590665">
        <w:rPr>
          <w:rFonts w:ascii="Verdana" w:hAnsi="Verdana"/>
          <w:color w:val="000000" w:themeColor="text1"/>
          <w:sz w:val="20"/>
          <w:szCs w:val="20"/>
          <w:vertAlign w:val="superscript"/>
          <w:lang w:val="es-ES"/>
        </w:rPr>
        <w:footnoteReference w:id="137"/>
      </w:r>
      <w:r w:rsidR="00827203">
        <w:rPr>
          <w:rFonts w:ascii="Verdana" w:hAnsi="Verdana"/>
          <w:color w:val="000000" w:themeColor="text1"/>
          <w:sz w:val="20"/>
          <w:szCs w:val="20"/>
          <w:lang w:val="es-ES"/>
        </w:rPr>
        <w:t>,</w:t>
      </w:r>
      <w:r w:rsidR="007B4502" w:rsidRPr="00590665">
        <w:rPr>
          <w:rFonts w:ascii="Verdana" w:hAnsi="Verdana"/>
          <w:color w:val="000000" w:themeColor="text1"/>
          <w:sz w:val="20"/>
          <w:szCs w:val="20"/>
          <w:lang w:val="es-ES"/>
        </w:rPr>
        <w:t xml:space="preserve"> 45f)</w:t>
      </w:r>
      <w:r w:rsidR="007B4502" w:rsidRPr="00590665">
        <w:rPr>
          <w:rFonts w:ascii="Verdana" w:hAnsi="Verdana"/>
          <w:color w:val="000000" w:themeColor="text1"/>
          <w:sz w:val="20"/>
          <w:szCs w:val="20"/>
          <w:vertAlign w:val="superscript"/>
          <w:lang w:val="es-ES"/>
        </w:rPr>
        <w:footnoteReference w:id="138"/>
      </w:r>
      <w:r w:rsidR="007B4502" w:rsidRPr="00590665">
        <w:rPr>
          <w:rFonts w:ascii="Verdana" w:hAnsi="Verdana"/>
          <w:color w:val="000000" w:themeColor="text1"/>
          <w:sz w:val="20"/>
          <w:szCs w:val="20"/>
          <w:lang w:val="es-ES"/>
        </w:rPr>
        <w:t xml:space="preserve"> de la Carta de la OEA</w:t>
      </w:r>
      <w:r w:rsidR="00582F53">
        <w:rPr>
          <w:rFonts w:ascii="Verdana" w:hAnsi="Verdana"/>
          <w:color w:val="000000" w:themeColor="text1"/>
          <w:sz w:val="20"/>
          <w:szCs w:val="20"/>
          <w:lang w:val="es-ES"/>
        </w:rPr>
        <w:t>)</w:t>
      </w:r>
      <w:r w:rsidR="007B4502" w:rsidRPr="00590665">
        <w:rPr>
          <w:rFonts w:ascii="Verdana" w:hAnsi="Verdana"/>
          <w:color w:val="000000" w:themeColor="text1"/>
          <w:sz w:val="20"/>
          <w:szCs w:val="20"/>
          <w:lang w:val="es-ES"/>
        </w:rPr>
        <w:t xml:space="preserve">, implica que la democracia </w:t>
      </w:r>
      <w:r w:rsidR="007B4502" w:rsidRPr="004D44BD">
        <w:rPr>
          <w:rFonts w:ascii="Verdana" w:hAnsi="Verdana"/>
          <w:i/>
          <w:iCs/>
          <w:color w:val="000000" w:themeColor="text1"/>
          <w:sz w:val="20"/>
          <w:szCs w:val="20"/>
          <w:lang w:val="es-ES"/>
        </w:rPr>
        <w:t>en s</w:t>
      </w:r>
      <w:r w:rsidR="0053377B">
        <w:rPr>
          <w:rFonts w:ascii="Verdana" w:hAnsi="Verdana"/>
          <w:i/>
          <w:iCs/>
          <w:color w:val="000000" w:themeColor="text1"/>
          <w:sz w:val="20"/>
          <w:szCs w:val="20"/>
          <w:lang w:val="es-ES"/>
        </w:rPr>
        <w:t>í</w:t>
      </w:r>
      <w:r w:rsidR="007B4502" w:rsidRPr="00590665">
        <w:rPr>
          <w:rFonts w:ascii="Verdana" w:hAnsi="Verdana"/>
          <w:color w:val="000000" w:themeColor="text1"/>
          <w:sz w:val="20"/>
          <w:szCs w:val="20"/>
          <w:lang w:val="es-ES"/>
        </w:rPr>
        <w:t xml:space="preserve"> es merecedora de tutela jurisdiccional a nivel supranacional. </w:t>
      </w:r>
    </w:p>
    <w:p w14:paraId="09D69B39" w14:textId="77777777" w:rsidR="00997858" w:rsidRPr="00590665" w:rsidRDefault="00997858" w:rsidP="00997858">
      <w:pPr>
        <w:pStyle w:val="ListParagraph"/>
        <w:spacing w:line="240" w:lineRule="auto"/>
        <w:ind w:left="0"/>
        <w:jc w:val="both"/>
        <w:rPr>
          <w:rFonts w:ascii="Verdana" w:hAnsi="Verdana"/>
          <w:color w:val="000000" w:themeColor="text1"/>
          <w:sz w:val="20"/>
          <w:szCs w:val="20"/>
          <w:lang w:val="es-ES"/>
        </w:rPr>
      </w:pPr>
    </w:p>
    <w:p w14:paraId="62C66FEE" w14:textId="5A15BDEC" w:rsidR="007B3CA0" w:rsidRPr="002A4527" w:rsidRDefault="00627556" w:rsidP="007B3CA0">
      <w:pPr>
        <w:pStyle w:val="ListParagraph"/>
        <w:spacing w:line="240" w:lineRule="auto"/>
        <w:ind w:left="0"/>
        <w:jc w:val="both"/>
        <w:rPr>
          <w:rFonts w:ascii="Verdana" w:hAnsi="Verdana"/>
          <w:color w:val="000000" w:themeColor="text1"/>
          <w:sz w:val="20"/>
          <w:szCs w:val="20"/>
          <w:lang w:val="es-ES"/>
        </w:rPr>
      </w:pPr>
      <w:r>
        <w:rPr>
          <w:rFonts w:ascii="Verdana" w:hAnsi="Verdana"/>
          <w:color w:val="000000" w:themeColor="text1"/>
          <w:sz w:val="20"/>
          <w:szCs w:val="20"/>
          <w:lang w:val="es-ES"/>
        </w:rPr>
        <w:t>101</w:t>
      </w:r>
      <w:r w:rsidR="00FB440F">
        <w:rPr>
          <w:rFonts w:ascii="Verdana" w:hAnsi="Verdana"/>
          <w:color w:val="000000" w:themeColor="text1"/>
          <w:sz w:val="20"/>
          <w:szCs w:val="20"/>
          <w:lang w:val="es-ES"/>
        </w:rPr>
        <w:t xml:space="preserve">. </w:t>
      </w:r>
      <w:r w:rsidR="00FB440F">
        <w:rPr>
          <w:rFonts w:ascii="Verdana" w:hAnsi="Verdana"/>
          <w:color w:val="000000" w:themeColor="text1"/>
          <w:sz w:val="20"/>
          <w:szCs w:val="20"/>
          <w:lang w:val="es-ES"/>
        </w:rPr>
        <w:tab/>
        <w:t xml:space="preserve">En definitiva, </w:t>
      </w:r>
      <w:r w:rsidR="0044368D">
        <w:rPr>
          <w:rFonts w:ascii="Verdana" w:hAnsi="Verdana"/>
          <w:color w:val="000000" w:themeColor="text1"/>
          <w:sz w:val="20"/>
          <w:szCs w:val="20"/>
          <w:lang w:val="es-ES"/>
        </w:rPr>
        <w:t xml:space="preserve">la Corte IDH deja ver en la sentencia la existencia de un </w:t>
      </w:r>
      <w:r w:rsidR="0044368D" w:rsidRPr="0044368D">
        <w:rPr>
          <w:rFonts w:ascii="Verdana" w:hAnsi="Verdana"/>
          <w:i/>
          <w:iCs/>
          <w:color w:val="000000" w:themeColor="text1"/>
          <w:sz w:val="20"/>
          <w:szCs w:val="20"/>
          <w:lang w:val="es-ES"/>
        </w:rPr>
        <w:t>derecho a la democracia</w:t>
      </w:r>
      <w:r w:rsidR="0044368D">
        <w:rPr>
          <w:rFonts w:ascii="Verdana" w:hAnsi="Verdana"/>
          <w:color w:val="000000" w:themeColor="text1"/>
          <w:sz w:val="20"/>
          <w:szCs w:val="20"/>
          <w:lang w:val="es-ES"/>
        </w:rPr>
        <w:t xml:space="preserve">, lo cual puede ser desarrollado en el futuro, </w:t>
      </w:r>
      <w:r w:rsidR="00801A52">
        <w:rPr>
          <w:rFonts w:ascii="Verdana" w:hAnsi="Verdana"/>
          <w:color w:val="000000" w:themeColor="text1"/>
          <w:sz w:val="20"/>
          <w:szCs w:val="20"/>
          <w:lang w:val="es-ES"/>
        </w:rPr>
        <w:t>por las juezas y jueces de las futuras integraciones del Tribunal.</w:t>
      </w:r>
      <w:r w:rsidR="0044368D">
        <w:rPr>
          <w:rFonts w:ascii="Verdana" w:hAnsi="Verdana"/>
          <w:color w:val="000000" w:themeColor="text1"/>
          <w:sz w:val="20"/>
          <w:szCs w:val="20"/>
          <w:lang w:val="es-ES"/>
        </w:rPr>
        <w:t xml:space="preserve"> Este desarrollo lo estimo de la mayor relevancia, teniendo en cuenta los desafíos a nivel regional y mundial</w:t>
      </w:r>
      <w:r w:rsidR="00111C73">
        <w:rPr>
          <w:rFonts w:ascii="Verdana" w:hAnsi="Verdana"/>
          <w:color w:val="000000" w:themeColor="text1"/>
          <w:sz w:val="20"/>
          <w:szCs w:val="20"/>
          <w:lang w:val="es-ES"/>
        </w:rPr>
        <w:t xml:space="preserve"> de </w:t>
      </w:r>
      <w:r w:rsidR="00111C73" w:rsidRPr="00827203">
        <w:rPr>
          <w:rFonts w:ascii="Verdana" w:hAnsi="Verdana"/>
          <w:i/>
          <w:iCs/>
          <w:color w:val="000000" w:themeColor="text1"/>
          <w:sz w:val="20"/>
          <w:szCs w:val="20"/>
          <w:lang w:val="es-ES"/>
        </w:rPr>
        <w:t>erosión a la democracia</w:t>
      </w:r>
      <w:r w:rsidR="00111C73">
        <w:rPr>
          <w:rFonts w:ascii="Verdana" w:hAnsi="Verdana"/>
          <w:color w:val="000000" w:themeColor="text1"/>
          <w:sz w:val="20"/>
          <w:szCs w:val="20"/>
          <w:lang w:val="es-ES"/>
        </w:rPr>
        <w:t xml:space="preserve"> y el surgimiento de </w:t>
      </w:r>
      <w:r w:rsidR="00111C73" w:rsidRPr="00827203">
        <w:rPr>
          <w:rFonts w:ascii="Verdana" w:hAnsi="Verdana"/>
          <w:i/>
          <w:iCs/>
          <w:color w:val="000000" w:themeColor="text1"/>
          <w:sz w:val="20"/>
          <w:szCs w:val="20"/>
          <w:lang w:val="es-ES"/>
        </w:rPr>
        <w:t>populismos</w:t>
      </w:r>
      <w:r w:rsidR="00827203" w:rsidRPr="00827203">
        <w:rPr>
          <w:rFonts w:ascii="Verdana" w:hAnsi="Verdana"/>
          <w:i/>
          <w:iCs/>
          <w:color w:val="000000" w:themeColor="text1"/>
          <w:sz w:val="20"/>
          <w:szCs w:val="20"/>
          <w:lang w:val="es-ES"/>
        </w:rPr>
        <w:t xml:space="preserve"> </w:t>
      </w:r>
      <w:r w:rsidR="00827203">
        <w:rPr>
          <w:rFonts w:ascii="Verdana" w:hAnsi="Verdana"/>
          <w:color w:val="000000" w:themeColor="text1"/>
          <w:sz w:val="20"/>
          <w:szCs w:val="20"/>
          <w:lang w:val="es-ES"/>
        </w:rPr>
        <w:t>de inclinación política diversa</w:t>
      </w:r>
      <w:r w:rsidR="00111C73">
        <w:rPr>
          <w:rFonts w:ascii="Verdana" w:hAnsi="Verdana"/>
          <w:color w:val="000000" w:themeColor="text1"/>
          <w:sz w:val="20"/>
          <w:szCs w:val="20"/>
          <w:lang w:val="es-ES"/>
        </w:rPr>
        <w:t>.</w:t>
      </w:r>
      <w:r w:rsidR="00997858" w:rsidRPr="00590665">
        <w:rPr>
          <w:rFonts w:ascii="Verdana" w:hAnsi="Verdana"/>
          <w:color w:val="000000" w:themeColor="text1"/>
          <w:sz w:val="20"/>
          <w:szCs w:val="20"/>
          <w:lang w:val="es-ES"/>
        </w:rPr>
        <w:t xml:space="preserve"> Ya no estamos ante los enemigos </w:t>
      </w:r>
      <w:r w:rsidR="008A3201">
        <w:rPr>
          <w:rFonts w:ascii="Verdana" w:hAnsi="Verdana"/>
          <w:color w:val="000000" w:themeColor="text1"/>
          <w:sz w:val="20"/>
          <w:szCs w:val="20"/>
          <w:lang w:val="es-ES"/>
        </w:rPr>
        <w:t>“</w:t>
      </w:r>
      <w:r w:rsidR="00997858" w:rsidRPr="00590665">
        <w:rPr>
          <w:rFonts w:ascii="Verdana" w:hAnsi="Verdana"/>
          <w:color w:val="000000" w:themeColor="text1"/>
          <w:sz w:val="20"/>
          <w:szCs w:val="20"/>
          <w:lang w:val="es-ES"/>
        </w:rPr>
        <w:t>tradicionales</w:t>
      </w:r>
      <w:r w:rsidR="008A3201">
        <w:rPr>
          <w:rFonts w:ascii="Verdana" w:hAnsi="Verdana"/>
          <w:color w:val="000000" w:themeColor="text1"/>
          <w:sz w:val="20"/>
          <w:szCs w:val="20"/>
          <w:lang w:val="es-ES"/>
        </w:rPr>
        <w:t>”</w:t>
      </w:r>
      <w:r w:rsidR="00997858" w:rsidRPr="00590665">
        <w:rPr>
          <w:rFonts w:ascii="Verdana" w:hAnsi="Verdana"/>
          <w:color w:val="000000" w:themeColor="text1"/>
          <w:sz w:val="20"/>
          <w:szCs w:val="20"/>
          <w:lang w:val="es-ES"/>
        </w:rPr>
        <w:t xml:space="preserve"> de la democracia representativa, como lo fueron las dictaduras militares y los estados autoritarios del siglo pasado</w:t>
      </w:r>
      <w:r w:rsidR="00111C73">
        <w:rPr>
          <w:rFonts w:ascii="Verdana" w:hAnsi="Verdana"/>
          <w:color w:val="000000" w:themeColor="text1"/>
          <w:sz w:val="20"/>
          <w:szCs w:val="20"/>
          <w:lang w:val="es-ES"/>
        </w:rPr>
        <w:t>. E</w:t>
      </w:r>
      <w:r w:rsidR="00997858" w:rsidRPr="00590665">
        <w:rPr>
          <w:rFonts w:ascii="Verdana" w:hAnsi="Verdana"/>
          <w:color w:val="000000" w:themeColor="text1"/>
          <w:sz w:val="20"/>
          <w:szCs w:val="20"/>
          <w:lang w:val="es-ES"/>
        </w:rPr>
        <w:t>l nuevo milenio</w:t>
      </w:r>
      <w:r w:rsidR="00111C73">
        <w:rPr>
          <w:rFonts w:ascii="Verdana" w:hAnsi="Verdana"/>
          <w:color w:val="000000" w:themeColor="text1"/>
          <w:sz w:val="20"/>
          <w:szCs w:val="20"/>
          <w:lang w:val="es-ES"/>
        </w:rPr>
        <w:t>, en cambio,</w:t>
      </w:r>
      <w:r w:rsidR="00997858" w:rsidRPr="00590665">
        <w:rPr>
          <w:rFonts w:ascii="Verdana" w:hAnsi="Verdana"/>
          <w:color w:val="000000" w:themeColor="text1"/>
          <w:sz w:val="20"/>
          <w:szCs w:val="20"/>
          <w:lang w:val="es-ES"/>
        </w:rPr>
        <w:t xml:space="preserve"> ha visto el surgimiento de movimientos que se autoidentifican como democráticos</w:t>
      </w:r>
      <w:r w:rsidR="00827203">
        <w:rPr>
          <w:rFonts w:ascii="Verdana" w:hAnsi="Verdana"/>
          <w:color w:val="000000" w:themeColor="text1"/>
          <w:sz w:val="20"/>
          <w:szCs w:val="20"/>
          <w:lang w:val="es-ES"/>
        </w:rPr>
        <w:t>,</w:t>
      </w:r>
      <w:r w:rsidR="00997858" w:rsidRPr="00590665">
        <w:rPr>
          <w:rFonts w:ascii="Verdana" w:hAnsi="Verdana"/>
          <w:color w:val="000000" w:themeColor="text1"/>
          <w:sz w:val="20"/>
          <w:szCs w:val="20"/>
          <w:lang w:val="es-ES"/>
        </w:rPr>
        <w:t xml:space="preserve"> incluso </w:t>
      </w:r>
      <w:r w:rsidR="00827203">
        <w:rPr>
          <w:rFonts w:ascii="Verdana" w:hAnsi="Verdana"/>
          <w:color w:val="000000" w:themeColor="text1"/>
          <w:sz w:val="20"/>
          <w:szCs w:val="20"/>
          <w:lang w:val="es-ES"/>
        </w:rPr>
        <w:t xml:space="preserve">emplean mecanismos formalmente constitucionales para llevar a cabo su proyecto político, </w:t>
      </w:r>
      <w:r w:rsidR="00997858" w:rsidRPr="00590665">
        <w:rPr>
          <w:rFonts w:ascii="Verdana" w:hAnsi="Verdana"/>
          <w:color w:val="000000" w:themeColor="text1"/>
          <w:sz w:val="20"/>
          <w:szCs w:val="20"/>
          <w:lang w:val="es-ES"/>
        </w:rPr>
        <w:t>pero que muchos estudiosos de</w:t>
      </w:r>
      <w:r w:rsidR="00582F53">
        <w:rPr>
          <w:rFonts w:ascii="Verdana" w:hAnsi="Verdana"/>
          <w:color w:val="000000" w:themeColor="text1"/>
          <w:sz w:val="20"/>
          <w:szCs w:val="20"/>
          <w:lang w:val="es-ES"/>
        </w:rPr>
        <w:t xml:space="preserve"> este fenómeno </w:t>
      </w:r>
      <w:r w:rsidR="00997858" w:rsidRPr="00590665">
        <w:rPr>
          <w:rFonts w:ascii="Verdana" w:hAnsi="Verdana"/>
          <w:color w:val="000000" w:themeColor="text1"/>
          <w:sz w:val="20"/>
          <w:szCs w:val="20"/>
          <w:lang w:val="es-ES"/>
        </w:rPr>
        <w:t>no titube</w:t>
      </w:r>
      <w:r w:rsidR="0044368D">
        <w:rPr>
          <w:rFonts w:ascii="Verdana" w:hAnsi="Verdana"/>
          <w:color w:val="000000" w:themeColor="text1"/>
          <w:sz w:val="20"/>
          <w:szCs w:val="20"/>
          <w:lang w:val="es-ES"/>
        </w:rPr>
        <w:t>an</w:t>
      </w:r>
      <w:r w:rsidR="00997858" w:rsidRPr="00590665">
        <w:rPr>
          <w:rFonts w:ascii="Verdana" w:hAnsi="Verdana"/>
          <w:color w:val="000000" w:themeColor="text1"/>
          <w:sz w:val="20"/>
          <w:szCs w:val="20"/>
          <w:lang w:val="es-ES"/>
        </w:rPr>
        <w:t xml:space="preserve"> en tildar de autoritarios, antidemocráticos o, por lo menos, iliberales. </w:t>
      </w:r>
      <w:r w:rsidR="007B3CA0" w:rsidRPr="00582F53">
        <w:rPr>
          <w:rFonts w:ascii="Verdana" w:hAnsi="Verdana"/>
          <w:color w:val="000000" w:themeColor="text1"/>
          <w:sz w:val="20"/>
          <w:szCs w:val="20"/>
          <w:lang w:val="es-ES"/>
        </w:rPr>
        <w:t xml:space="preserve">Se trata de instancias de lo que David Landau denomina el </w:t>
      </w:r>
      <w:r w:rsidR="007B3CA0" w:rsidRPr="00582F53">
        <w:rPr>
          <w:rFonts w:ascii="Verdana" w:hAnsi="Verdana"/>
          <w:i/>
          <w:iCs/>
          <w:color w:val="000000" w:themeColor="text1"/>
          <w:sz w:val="20"/>
          <w:szCs w:val="20"/>
          <w:lang w:val="es-ES"/>
        </w:rPr>
        <w:t>constitucionalismo abusivo</w:t>
      </w:r>
      <w:r w:rsidR="007B3CA0" w:rsidRPr="00582F53">
        <w:rPr>
          <w:rFonts w:ascii="Verdana" w:hAnsi="Verdana"/>
          <w:color w:val="000000" w:themeColor="text1"/>
          <w:sz w:val="20"/>
          <w:szCs w:val="20"/>
          <w:lang w:val="es-ES"/>
        </w:rPr>
        <w:t xml:space="preserve"> (</w:t>
      </w:r>
      <w:r w:rsidR="007B3CA0" w:rsidRPr="00582F53">
        <w:rPr>
          <w:rFonts w:ascii="Verdana" w:hAnsi="Verdana"/>
          <w:i/>
          <w:iCs/>
          <w:color w:val="000000" w:themeColor="text1"/>
          <w:sz w:val="20"/>
          <w:szCs w:val="20"/>
          <w:lang w:val="es-ES"/>
        </w:rPr>
        <w:t>abusive constitucionalism</w:t>
      </w:r>
      <w:r w:rsidR="007B3CA0" w:rsidRPr="00582F53">
        <w:rPr>
          <w:rFonts w:ascii="Verdana" w:hAnsi="Verdana"/>
          <w:color w:val="000000" w:themeColor="text1"/>
          <w:sz w:val="20"/>
          <w:szCs w:val="20"/>
          <w:lang w:val="es-ES"/>
        </w:rPr>
        <w:t xml:space="preserve">), cuya característica esencial es el uso </w:t>
      </w:r>
      <w:r w:rsidR="007B3CA0" w:rsidRPr="00582F53">
        <w:rPr>
          <w:rFonts w:ascii="Verdana" w:hAnsi="Verdana"/>
          <w:color w:val="000000" w:themeColor="text1"/>
          <w:sz w:val="20"/>
          <w:szCs w:val="20"/>
          <w:lang w:val="es-ES"/>
        </w:rPr>
        <w:lastRenderedPageBreak/>
        <w:t>del poder legítimamente obtenido para desdibujar la esencia misma del sistema que les dio ese poder: la democracia representativa</w:t>
      </w:r>
      <w:r w:rsidR="007B3CA0">
        <w:rPr>
          <w:rStyle w:val="FootnoteReference"/>
          <w:rFonts w:ascii="Verdana" w:hAnsi="Verdana"/>
          <w:color w:val="000000" w:themeColor="text1"/>
          <w:sz w:val="20"/>
          <w:szCs w:val="20"/>
          <w:lang w:val="es-ES"/>
        </w:rPr>
        <w:footnoteReference w:id="139"/>
      </w:r>
      <w:r w:rsidR="00827203">
        <w:rPr>
          <w:rFonts w:ascii="Verdana" w:hAnsi="Verdana"/>
          <w:color w:val="000000" w:themeColor="text1"/>
          <w:sz w:val="20"/>
          <w:szCs w:val="20"/>
          <w:lang w:val="es-ES"/>
        </w:rPr>
        <w:t>.</w:t>
      </w:r>
    </w:p>
    <w:p w14:paraId="0ECAB1CE" w14:textId="77777777" w:rsidR="00997858" w:rsidRPr="00590665" w:rsidRDefault="00997858" w:rsidP="00997858">
      <w:pPr>
        <w:pStyle w:val="ListParagraph"/>
        <w:spacing w:line="240" w:lineRule="auto"/>
        <w:ind w:left="0"/>
        <w:jc w:val="both"/>
        <w:rPr>
          <w:rFonts w:ascii="Verdana" w:hAnsi="Verdana"/>
          <w:color w:val="000000" w:themeColor="text1"/>
          <w:sz w:val="20"/>
          <w:szCs w:val="20"/>
          <w:lang w:val="es-ES"/>
        </w:rPr>
      </w:pPr>
    </w:p>
    <w:p w14:paraId="1113D5F3" w14:textId="67A6D3F6" w:rsidR="00997858" w:rsidRDefault="00627556" w:rsidP="00B1105E">
      <w:pPr>
        <w:pStyle w:val="ListParagraph"/>
        <w:spacing w:line="240" w:lineRule="auto"/>
        <w:ind w:left="0"/>
        <w:jc w:val="both"/>
        <w:rPr>
          <w:rFonts w:ascii="Verdana" w:hAnsi="Verdana"/>
          <w:color w:val="000000" w:themeColor="text1"/>
          <w:sz w:val="20"/>
          <w:szCs w:val="20"/>
          <w:lang w:val="es-ES"/>
        </w:rPr>
      </w:pPr>
      <w:r>
        <w:rPr>
          <w:rFonts w:ascii="Verdana" w:hAnsi="Verdana"/>
          <w:color w:val="000000" w:themeColor="text1"/>
          <w:sz w:val="20"/>
          <w:szCs w:val="20"/>
          <w:lang w:val="es-ES"/>
        </w:rPr>
        <w:t>102</w:t>
      </w:r>
      <w:r w:rsidR="00B1105E">
        <w:rPr>
          <w:rFonts w:ascii="Verdana" w:hAnsi="Verdana"/>
          <w:color w:val="000000" w:themeColor="text1"/>
          <w:sz w:val="20"/>
          <w:szCs w:val="20"/>
          <w:lang w:val="es-ES"/>
        </w:rPr>
        <w:t xml:space="preserve">. </w:t>
      </w:r>
      <w:r w:rsidR="00B1105E">
        <w:rPr>
          <w:rFonts w:ascii="Verdana" w:hAnsi="Verdana"/>
          <w:color w:val="000000" w:themeColor="text1"/>
          <w:sz w:val="20"/>
          <w:szCs w:val="20"/>
          <w:lang w:val="es-ES"/>
        </w:rPr>
        <w:tab/>
      </w:r>
      <w:r w:rsidR="00997858" w:rsidRPr="00590665">
        <w:rPr>
          <w:rFonts w:ascii="Verdana" w:hAnsi="Verdana"/>
          <w:color w:val="000000" w:themeColor="text1"/>
          <w:sz w:val="20"/>
          <w:szCs w:val="20"/>
          <w:lang w:val="es-ES"/>
        </w:rPr>
        <w:t xml:space="preserve">Al ser la “base del </w:t>
      </w:r>
      <w:r w:rsidR="000E241D">
        <w:rPr>
          <w:rFonts w:ascii="Verdana" w:hAnsi="Verdana"/>
          <w:color w:val="000000" w:themeColor="text1"/>
          <w:sz w:val="20"/>
          <w:szCs w:val="20"/>
          <w:lang w:val="es-ES"/>
        </w:rPr>
        <w:t>E</w:t>
      </w:r>
      <w:r w:rsidR="00997858" w:rsidRPr="00590665">
        <w:rPr>
          <w:rFonts w:ascii="Verdana" w:hAnsi="Verdana"/>
          <w:color w:val="000000" w:themeColor="text1"/>
          <w:sz w:val="20"/>
          <w:szCs w:val="20"/>
          <w:lang w:val="es-ES"/>
        </w:rPr>
        <w:t xml:space="preserve">stado de </w:t>
      </w:r>
      <w:r w:rsidR="000E241D">
        <w:rPr>
          <w:rFonts w:ascii="Verdana" w:hAnsi="Verdana"/>
          <w:color w:val="000000" w:themeColor="text1"/>
          <w:sz w:val="20"/>
          <w:szCs w:val="20"/>
          <w:lang w:val="es-ES"/>
        </w:rPr>
        <w:t>D</w:t>
      </w:r>
      <w:r w:rsidR="00997858" w:rsidRPr="00590665">
        <w:rPr>
          <w:rFonts w:ascii="Verdana" w:hAnsi="Verdana"/>
          <w:color w:val="000000" w:themeColor="text1"/>
          <w:sz w:val="20"/>
          <w:szCs w:val="20"/>
          <w:lang w:val="es-ES"/>
        </w:rPr>
        <w:t>erecho y los regímenes constitucionales de los Estados Miembros de la Organización de los Estados Americanos”</w:t>
      </w:r>
      <w:r w:rsidR="00997858" w:rsidRPr="00590665">
        <w:rPr>
          <w:rStyle w:val="FootnoteReference"/>
          <w:rFonts w:ascii="Verdana" w:hAnsi="Verdana"/>
          <w:color w:val="000000" w:themeColor="text1"/>
          <w:sz w:val="20"/>
          <w:szCs w:val="20"/>
        </w:rPr>
        <w:footnoteReference w:id="140"/>
      </w:r>
      <w:r w:rsidR="00DB0892">
        <w:rPr>
          <w:rFonts w:ascii="Verdana" w:hAnsi="Verdana"/>
          <w:color w:val="000000" w:themeColor="text1"/>
          <w:sz w:val="20"/>
          <w:szCs w:val="20"/>
          <w:lang w:val="es-ES"/>
        </w:rPr>
        <w:t>,</w:t>
      </w:r>
      <w:r w:rsidR="00997858" w:rsidRPr="00590665">
        <w:rPr>
          <w:rFonts w:ascii="Verdana" w:hAnsi="Verdana"/>
          <w:color w:val="000000" w:themeColor="text1"/>
          <w:sz w:val="20"/>
          <w:szCs w:val="20"/>
          <w:lang w:val="es-ES"/>
        </w:rPr>
        <w:t xml:space="preserve"> la </w:t>
      </w:r>
      <w:r w:rsidR="00997858" w:rsidRPr="00DB0892">
        <w:rPr>
          <w:rFonts w:ascii="Verdana" w:hAnsi="Verdana"/>
          <w:i/>
          <w:iCs/>
          <w:color w:val="000000" w:themeColor="text1"/>
          <w:sz w:val="20"/>
          <w:szCs w:val="20"/>
          <w:lang w:val="es-ES"/>
        </w:rPr>
        <w:t>democracia representativa</w:t>
      </w:r>
      <w:r w:rsidR="00997858" w:rsidRPr="00590665">
        <w:rPr>
          <w:rFonts w:ascii="Verdana" w:hAnsi="Verdana"/>
          <w:color w:val="000000" w:themeColor="text1"/>
          <w:sz w:val="20"/>
          <w:szCs w:val="20"/>
          <w:lang w:val="es-ES"/>
        </w:rPr>
        <w:t xml:space="preserve"> se erige, por tanto, no únicamente como un ideal al cual deben aspirar los estados miembros de la OEA, incluyendo los Estados Miembro de la Convención, sino como una </w:t>
      </w:r>
      <w:r w:rsidR="00997858" w:rsidRPr="00111C73">
        <w:rPr>
          <w:rFonts w:ascii="Verdana" w:hAnsi="Verdana"/>
          <w:i/>
          <w:iCs/>
          <w:color w:val="000000" w:themeColor="text1"/>
          <w:sz w:val="20"/>
          <w:szCs w:val="20"/>
          <w:lang w:val="es-ES"/>
        </w:rPr>
        <w:t>obligación jurídica</w:t>
      </w:r>
      <w:r w:rsidR="00997858" w:rsidRPr="00590665">
        <w:rPr>
          <w:rFonts w:ascii="Verdana" w:hAnsi="Verdana"/>
          <w:color w:val="000000" w:themeColor="text1"/>
          <w:sz w:val="20"/>
          <w:szCs w:val="20"/>
          <w:lang w:val="es-ES"/>
        </w:rPr>
        <w:t xml:space="preserve">, un </w:t>
      </w:r>
      <w:r w:rsidR="00997858" w:rsidRPr="007C0637">
        <w:rPr>
          <w:rFonts w:ascii="Verdana" w:hAnsi="Verdana"/>
          <w:i/>
          <w:iCs/>
          <w:color w:val="000000" w:themeColor="text1"/>
          <w:sz w:val="20"/>
          <w:szCs w:val="20"/>
          <w:lang w:val="es-ES"/>
        </w:rPr>
        <w:t>derecho a la democracia de los pueblos americanos</w:t>
      </w:r>
      <w:r w:rsidR="00997858" w:rsidRPr="00590665">
        <w:rPr>
          <w:rFonts w:ascii="Verdana" w:hAnsi="Verdana"/>
          <w:color w:val="000000" w:themeColor="text1"/>
          <w:sz w:val="20"/>
          <w:szCs w:val="20"/>
          <w:lang w:val="es-ES"/>
        </w:rPr>
        <w:t>, exigible ante las instancias jurisdiccionales nacionales e internacionales</w:t>
      </w:r>
      <w:r w:rsidR="00111C73">
        <w:rPr>
          <w:rFonts w:ascii="Verdana" w:hAnsi="Verdana"/>
          <w:color w:val="000000" w:themeColor="text1"/>
          <w:sz w:val="20"/>
          <w:szCs w:val="20"/>
          <w:lang w:val="es-ES"/>
        </w:rPr>
        <w:t xml:space="preserve"> en determinados supuestos</w:t>
      </w:r>
      <w:r w:rsidR="00997858">
        <w:rPr>
          <w:rStyle w:val="FootnoteReference"/>
          <w:rFonts w:ascii="Verdana" w:hAnsi="Verdana"/>
          <w:color w:val="000000" w:themeColor="text1"/>
          <w:sz w:val="20"/>
          <w:szCs w:val="20"/>
          <w:lang w:val="es-ES"/>
        </w:rPr>
        <w:footnoteReference w:id="141"/>
      </w:r>
      <w:r w:rsidR="00111C73">
        <w:rPr>
          <w:rFonts w:ascii="Verdana" w:hAnsi="Verdana"/>
          <w:color w:val="000000" w:themeColor="text1"/>
          <w:sz w:val="20"/>
          <w:szCs w:val="20"/>
          <w:lang w:val="es-ES"/>
        </w:rPr>
        <w:t>.</w:t>
      </w:r>
      <w:r w:rsidR="00997858" w:rsidRPr="00590665">
        <w:rPr>
          <w:rFonts w:ascii="Verdana" w:hAnsi="Verdana"/>
          <w:color w:val="000000" w:themeColor="text1"/>
          <w:sz w:val="20"/>
          <w:szCs w:val="20"/>
          <w:lang w:val="es-ES"/>
        </w:rPr>
        <w:t xml:space="preserve"> </w:t>
      </w:r>
    </w:p>
    <w:p w14:paraId="410381E6" w14:textId="77777777" w:rsidR="00997858" w:rsidRPr="00590665" w:rsidRDefault="00997858" w:rsidP="00997858">
      <w:pPr>
        <w:pStyle w:val="ListParagraph"/>
        <w:spacing w:line="240" w:lineRule="auto"/>
        <w:ind w:left="0"/>
        <w:jc w:val="both"/>
        <w:rPr>
          <w:rFonts w:ascii="Verdana" w:hAnsi="Verdana"/>
          <w:color w:val="000000" w:themeColor="text1"/>
          <w:sz w:val="20"/>
          <w:szCs w:val="20"/>
          <w:lang w:val="es-ES"/>
        </w:rPr>
      </w:pPr>
    </w:p>
    <w:p w14:paraId="3E9B3E5B" w14:textId="5B46ACEB" w:rsidR="00997858" w:rsidRPr="000202A2" w:rsidRDefault="00B1105E" w:rsidP="00B1105E">
      <w:pPr>
        <w:pStyle w:val="ListParagraph"/>
        <w:spacing w:line="240" w:lineRule="auto"/>
        <w:ind w:left="0"/>
        <w:jc w:val="both"/>
        <w:rPr>
          <w:rFonts w:ascii="Verdana" w:hAnsi="Verdana"/>
          <w:color w:val="000000" w:themeColor="text1"/>
          <w:sz w:val="20"/>
          <w:szCs w:val="20"/>
          <w:lang w:val="es-ES"/>
        </w:rPr>
      </w:pPr>
      <w:r>
        <w:rPr>
          <w:rFonts w:ascii="Verdana" w:hAnsi="Verdana"/>
          <w:color w:val="000000" w:themeColor="text1"/>
          <w:sz w:val="20"/>
          <w:szCs w:val="20"/>
          <w:lang w:val="es-ES"/>
        </w:rPr>
        <w:t>10</w:t>
      </w:r>
      <w:r w:rsidR="00627556">
        <w:rPr>
          <w:rFonts w:ascii="Verdana" w:hAnsi="Verdana"/>
          <w:color w:val="000000" w:themeColor="text1"/>
          <w:sz w:val="20"/>
          <w:szCs w:val="20"/>
          <w:lang w:val="es-ES"/>
        </w:rPr>
        <w:t>3</w:t>
      </w:r>
      <w:r>
        <w:rPr>
          <w:rFonts w:ascii="Verdana" w:hAnsi="Verdana"/>
          <w:color w:val="000000" w:themeColor="text1"/>
          <w:sz w:val="20"/>
          <w:szCs w:val="20"/>
          <w:lang w:val="es-ES"/>
        </w:rPr>
        <w:t xml:space="preserve">. </w:t>
      </w:r>
      <w:r>
        <w:rPr>
          <w:rFonts w:ascii="Verdana" w:hAnsi="Verdana"/>
          <w:color w:val="000000" w:themeColor="text1"/>
          <w:sz w:val="20"/>
          <w:szCs w:val="20"/>
          <w:lang w:val="es-ES"/>
        </w:rPr>
        <w:tab/>
      </w:r>
      <w:r w:rsidR="00997858" w:rsidRPr="00590665">
        <w:rPr>
          <w:rFonts w:ascii="Verdana" w:hAnsi="Verdana"/>
          <w:color w:val="000000" w:themeColor="text1"/>
          <w:sz w:val="20"/>
          <w:szCs w:val="20"/>
          <w:lang w:val="es-ES"/>
        </w:rPr>
        <w:t>En esta línea, y como se indica en la sentencia</w:t>
      </w:r>
      <w:r w:rsidR="009C744B">
        <w:rPr>
          <w:rStyle w:val="FootnoteReference"/>
          <w:rFonts w:ascii="Verdana" w:hAnsi="Verdana"/>
          <w:color w:val="000000" w:themeColor="text1"/>
          <w:sz w:val="20"/>
          <w:szCs w:val="20"/>
          <w:lang w:val="es-ES"/>
        </w:rPr>
        <w:footnoteReference w:id="142"/>
      </w:r>
      <w:r w:rsidR="00997858" w:rsidRPr="00590665">
        <w:rPr>
          <w:rFonts w:ascii="Verdana" w:hAnsi="Verdana"/>
          <w:color w:val="000000" w:themeColor="text1"/>
          <w:sz w:val="20"/>
          <w:szCs w:val="20"/>
          <w:lang w:val="es-ES"/>
        </w:rPr>
        <w:t xml:space="preserve">, la Corte ha afirmado, en la </w:t>
      </w:r>
      <w:r w:rsidR="00997858" w:rsidRPr="00590665">
        <w:rPr>
          <w:rFonts w:ascii="Verdana" w:hAnsi="Verdana"/>
          <w:i/>
          <w:iCs/>
          <w:color w:val="000000" w:themeColor="text1"/>
          <w:sz w:val="20"/>
          <w:szCs w:val="20"/>
          <w:lang w:val="es-ES"/>
        </w:rPr>
        <w:t>Opinión Consultiva No. 28/21 sobre reelección presidencial indefinida,</w:t>
      </w:r>
      <w:r w:rsidR="00997858" w:rsidRPr="00590665">
        <w:rPr>
          <w:rFonts w:ascii="Verdana" w:hAnsi="Verdana"/>
          <w:color w:val="000000" w:themeColor="text1"/>
          <w:sz w:val="20"/>
          <w:szCs w:val="20"/>
          <w:lang w:val="es-ES"/>
        </w:rPr>
        <w:t xml:space="preserve"> que el </w:t>
      </w:r>
      <w:r w:rsidR="00997858" w:rsidRPr="00DB0892">
        <w:rPr>
          <w:rFonts w:ascii="Verdana" w:hAnsi="Verdana"/>
          <w:i/>
          <w:iCs/>
          <w:color w:val="000000" w:themeColor="text1"/>
          <w:sz w:val="20"/>
          <w:szCs w:val="20"/>
          <w:lang w:val="es-ES"/>
        </w:rPr>
        <w:t xml:space="preserve">ejercicio efectivo de la democracia </w:t>
      </w:r>
      <w:r w:rsidR="00997858" w:rsidRPr="00590665">
        <w:rPr>
          <w:rFonts w:ascii="Verdana" w:hAnsi="Verdana"/>
          <w:color w:val="000000" w:themeColor="text1"/>
          <w:sz w:val="20"/>
          <w:szCs w:val="20"/>
          <w:lang w:val="es-ES"/>
        </w:rPr>
        <w:t xml:space="preserve">en los Estados americanos constituye una </w:t>
      </w:r>
      <w:r w:rsidR="00997858" w:rsidRPr="00DB0892">
        <w:rPr>
          <w:rFonts w:ascii="Verdana" w:hAnsi="Verdana"/>
          <w:i/>
          <w:iCs/>
          <w:color w:val="000000" w:themeColor="text1"/>
          <w:sz w:val="20"/>
          <w:szCs w:val="20"/>
          <w:lang w:val="es-ES"/>
        </w:rPr>
        <w:t>obligación jurídica internacional</w:t>
      </w:r>
      <w:r w:rsidR="00997858" w:rsidRPr="00590665">
        <w:rPr>
          <w:rFonts w:ascii="Verdana" w:hAnsi="Verdana"/>
          <w:color w:val="000000" w:themeColor="text1"/>
          <w:sz w:val="20"/>
          <w:szCs w:val="20"/>
          <w:lang w:val="es-ES"/>
        </w:rPr>
        <w:t xml:space="preserve"> que han soberanamente consentido y, en virtud de ello, ha dejado de ser únicamente un asunto de su jurisdicción doméstica, interna o exclusiva</w:t>
      </w:r>
      <w:r w:rsidR="00997858" w:rsidRPr="00590665">
        <w:rPr>
          <w:rStyle w:val="FootnoteReference"/>
          <w:rFonts w:ascii="Verdana" w:hAnsi="Verdana"/>
          <w:color w:val="000000" w:themeColor="text1"/>
          <w:sz w:val="20"/>
          <w:szCs w:val="20"/>
        </w:rPr>
        <w:footnoteReference w:id="143"/>
      </w:r>
      <w:r w:rsidR="00997858" w:rsidRPr="00590665">
        <w:rPr>
          <w:rFonts w:ascii="Verdana" w:hAnsi="Verdana"/>
          <w:color w:val="000000" w:themeColor="text1"/>
          <w:sz w:val="20"/>
          <w:szCs w:val="20"/>
          <w:lang w:val="es-ES"/>
        </w:rPr>
        <w:t>. Por tanto, el principio democrático, que se deriva de los artículos 29, 30 y 32 de la CADH,</w:t>
      </w:r>
      <w:r w:rsidR="00997858" w:rsidRPr="00590665">
        <w:rPr>
          <w:rStyle w:val="FootnoteReference"/>
          <w:rFonts w:ascii="Verdana" w:hAnsi="Verdana"/>
          <w:color w:val="000000" w:themeColor="text1"/>
          <w:sz w:val="20"/>
          <w:szCs w:val="20"/>
          <w:lang w:val="es-ES"/>
        </w:rPr>
        <w:footnoteReference w:id="144"/>
      </w:r>
      <w:r w:rsidR="00997858" w:rsidRPr="00590665">
        <w:rPr>
          <w:rFonts w:ascii="Verdana" w:hAnsi="Verdana"/>
          <w:color w:val="000000" w:themeColor="text1"/>
          <w:sz w:val="20"/>
          <w:szCs w:val="20"/>
          <w:lang w:val="es-ES"/>
        </w:rPr>
        <w:t xml:space="preserve"> inspira, irradia y guía la interpretación y aplicación de la Convención Americana de forma transversal. Como pauta interpretativa, brinda una clara orientación para su observancia a través de la división de poderes y el funcionamiento propicio de las instituciones democráticas de los Estados parte en el marco del Estado de Derecho. Como principio rector, articula la forma de organización política elegida por los Estados americanos para alcanzar los valores que el sistema quiere promover y proteger, entre los cuales se encuentra la plena vigencia de los derechos humanos</w:t>
      </w:r>
      <w:r w:rsidR="00997858" w:rsidRPr="00590665">
        <w:rPr>
          <w:rStyle w:val="FootnoteReference"/>
          <w:rFonts w:ascii="Verdana" w:hAnsi="Verdana"/>
          <w:color w:val="000000" w:themeColor="text1"/>
          <w:sz w:val="20"/>
          <w:szCs w:val="20"/>
        </w:rPr>
        <w:footnoteReference w:id="145"/>
      </w:r>
      <w:r w:rsidR="00997858" w:rsidRPr="00590665">
        <w:rPr>
          <w:rFonts w:ascii="Verdana" w:hAnsi="Verdana"/>
          <w:color w:val="000000" w:themeColor="text1"/>
          <w:sz w:val="20"/>
          <w:szCs w:val="20"/>
          <w:lang w:val="es-ES"/>
        </w:rPr>
        <w:t>. Más aún, conviene notar que la Corte IDH ha afirmado que “</w:t>
      </w:r>
      <w:r w:rsidR="00997858" w:rsidRPr="00590665">
        <w:rPr>
          <w:rFonts w:ascii="Verdana" w:hAnsi="Verdana"/>
          <w:color w:val="000000" w:themeColor="text1"/>
          <w:sz w:val="20"/>
          <w:szCs w:val="20"/>
        </w:rPr>
        <w:t>la democracia representativa es uno de los pilares de todo el sistema del que la Convención forma parte”.</w:t>
      </w:r>
      <w:r w:rsidR="00997858" w:rsidRPr="00590665">
        <w:rPr>
          <w:rStyle w:val="FootnoteReference"/>
          <w:rFonts w:ascii="Verdana" w:hAnsi="Verdana"/>
          <w:color w:val="000000" w:themeColor="text1"/>
          <w:sz w:val="20"/>
          <w:szCs w:val="20"/>
        </w:rPr>
        <w:footnoteReference w:id="146"/>
      </w:r>
      <w:r w:rsidR="00997858" w:rsidRPr="00590665">
        <w:rPr>
          <w:rFonts w:ascii="Verdana" w:hAnsi="Verdana"/>
          <w:color w:val="000000" w:themeColor="text1"/>
          <w:sz w:val="20"/>
          <w:szCs w:val="20"/>
        </w:rPr>
        <w:t xml:space="preserve"> Ello de tal manera que la democracia representativa “no es privativo del régimen convencional, sino que tiene una base más amplia en el desarrollo del sistema interamericano, como presupuesto constituyente y fundacional de la organización regional, ya que este principio se encuentra recogido en la Carta de la OEA, instrumento constitutivo de la organización y fundamental del sistema interamericano”</w:t>
      </w:r>
      <w:r w:rsidR="00997858" w:rsidRPr="00590665">
        <w:rPr>
          <w:rStyle w:val="FootnoteReference"/>
          <w:rFonts w:ascii="Verdana" w:hAnsi="Verdana"/>
          <w:color w:val="000000" w:themeColor="text1"/>
          <w:sz w:val="20"/>
          <w:szCs w:val="20"/>
        </w:rPr>
        <w:footnoteReference w:id="147"/>
      </w:r>
      <w:r w:rsidR="00807B78">
        <w:rPr>
          <w:rFonts w:ascii="Verdana" w:hAnsi="Verdana"/>
          <w:color w:val="000000" w:themeColor="text1"/>
          <w:sz w:val="20"/>
          <w:szCs w:val="20"/>
        </w:rPr>
        <w:t>.</w:t>
      </w:r>
      <w:r w:rsidR="00997858" w:rsidRPr="00590665">
        <w:rPr>
          <w:rFonts w:ascii="Verdana" w:hAnsi="Verdana"/>
          <w:color w:val="000000" w:themeColor="text1"/>
          <w:sz w:val="20"/>
          <w:szCs w:val="20"/>
        </w:rPr>
        <w:t xml:space="preserve"> </w:t>
      </w:r>
    </w:p>
    <w:p w14:paraId="64B3EED1" w14:textId="77777777" w:rsidR="00997858" w:rsidRPr="00590665" w:rsidRDefault="00997858" w:rsidP="00997858">
      <w:pPr>
        <w:pStyle w:val="ListParagraph"/>
        <w:spacing w:line="240" w:lineRule="auto"/>
        <w:ind w:left="0"/>
        <w:jc w:val="both"/>
        <w:rPr>
          <w:rFonts w:ascii="Verdana" w:hAnsi="Verdana"/>
          <w:color w:val="000000" w:themeColor="text1"/>
          <w:sz w:val="20"/>
          <w:szCs w:val="20"/>
          <w:lang w:val="es-ES"/>
        </w:rPr>
      </w:pPr>
    </w:p>
    <w:p w14:paraId="65DDA5E2" w14:textId="4A5ED8B8" w:rsidR="00997858" w:rsidRPr="00807B78" w:rsidRDefault="00B1105E" w:rsidP="00807B78">
      <w:pPr>
        <w:pStyle w:val="ListParagraph"/>
        <w:spacing w:line="240" w:lineRule="auto"/>
        <w:ind w:left="0"/>
        <w:jc w:val="both"/>
        <w:rPr>
          <w:rFonts w:ascii="Verdana" w:hAnsi="Verdana"/>
          <w:color w:val="000000" w:themeColor="text1"/>
          <w:sz w:val="20"/>
          <w:szCs w:val="20"/>
        </w:rPr>
      </w:pPr>
      <w:r>
        <w:rPr>
          <w:rFonts w:ascii="Verdana" w:hAnsi="Verdana"/>
          <w:color w:val="000000" w:themeColor="text1"/>
          <w:sz w:val="20"/>
          <w:szCs w:val="20"/>
          <w:lang w:val="es-ES"/>
        </w:rPr>
        <w:t>10</w:t>
      </w:r>
      <w:r w:rsidR="00627556">
        <w:rPr>
          <w:rFonts w:ascii="Verdana" w:hAnsi="Verdana"/>
          <w:color w:val="000000" w:themeColor="text1"/>
          <w:sz w:val="20"/>
          <w:szCs w:val="20"/>
          <w:lang w:val="es-ES"/>
        </w:rPr>
        <w:t>4</w:t>
      </w:r>
      <w:r w:rsidR="00807B78">
        <w:rPr>
          <w:rFonts w:ascii="Verdana" w:hAnsi="Verdana"/>
          <w:color w:val="000000" w:themeColor="text1"/>
          <w:sz w:val="20"/>
          <w:szCs w:val="20"/>
          <w:lang w:val="es-ES"/>
        </w:rPr>
        <w:t xml:space="preserve">. </w:t>
      </w:r>
      <w:r w:rsidR="00807B78">
        <w:rPr>
          <w:rFonts w:ascii="Verdana" w:hAnsi="Verdana"/>
          <w:color w:val="000000" w:themeColor="text1"/>
          <w:sz w:val="20"/>
          <w:szCs w:val="20"/>
          <w:lang w:val="es-ES"/>
        </w:rPr>
        <w:tab/>
        <w:t>En suma</w:t>
      </w:r>
      <w:r w:rsidR="00997858" w:rsidRPr="00590665">
        <w:rPr>
          <w:rFonts w:ascii="Verdana" w:hAnsi="Verdana"/>
          <w:color w:val="000000" w:themeColor="text1"/>
          <w:sz w:val="20"/>
          <w:szCs w:val="20"/>
          <w:lang w:val="es-ES"/>
        </w:rPr>
        <w:t xml:space="preserve">, se puede decir que en el SIDH el </w:t>
      </w:r>
      <w:r w:rsidR="00997858" w:rsidRPr="00807B78">
        <w:rPr>
          <w:rFonts w:ascii="Verdana" w:hAnsi="Verdana"/>
          <w:i/>
          <w:iCs/>
          <w:color w:val="000000" w:themeColor="text1"/>
          <w:sz w:val="20"/>
          <w:szCs w:val="20"/>
          <w:lang w:val="es-ES"/>
        </w:rPr>
        <w:t>derecho a la democracia</w:t>
      </w:r>
      <w:r w:rsidR="00997858" w:rsidRPr="00590665">
        <w:rPr>
          <w:rFonts w:ascii="Verdana" w:hAnsi="Verdana"/>
          <w:color w:val="000000" w:themeColor="text1"/>
          <w:sz w:val="20"/>
          <w:szCs w:val="20"/>
          <w:lang w:val="es-ES"/>
        </w:rPr>
        <w:t xml:space="preserve"> se extrae de una lectura integral del </w:t>
      </w:r>
      <w:r w:rsidR="00997858" w:rsidRPr="00807B78">
        <w:rPr>
          <w:rFonts w:ascii="Verdana" w:hAnsi="Verdana"/>
          <w:i/>
          <w:iCs/>
          <w:color w:val="000000" w:themeColor="text1"/>
          <w:sz w:val="20"/>
          <w:szCs w:val="20"/>
          <w:lang w:val="es-ES"/>
        </w:rPr>
        <w:t>corpus iuris</w:t>
      </w:r>
      <w:r w:rsidR="00997858" w:rsidRPr="00590665">
        <w:rPr>
          <w:rFonts w:ascii="Verdana" w:hAnsi="Verdana"/>
          <w:color w:val="000000" w:themeColor="text1"/>
          <w:sz w:val="20"/>
          <w:szCs w:val="20"/>
          <w:lang w:val="es-ES"/>
        </w:rPr>
        <w:t xml:space="preserve"> interamericano, en concreto del preámbulo y los artículos 1,</w:t>
      </w:r>
      <w:r w:rsidR="007F023B">
        <w:rPr>
          <w:rFonts w:ascii="Verdana" w:hAnsi="Verdana"/>
          <w:color w:val="000000" w:themeColor="text1"/>
          <w:sz w:val="20"/>
          <w:szCs w:val="20"/>
          <w:lang w:val="es-ES"/>
        </w:rPr>
        <w:t xml:space="preserve"> </w:t>
      </w:r>
      <w:r w:rsidR="00997858" w:rsidRPr="00590665">
        <w:rPr>
          <w:rFonts w:ascii="Verdana" w:hAnsi="Verdana"/>
          <w:color w:val="000000" w:themeColor="text1"/>
          <w:sz w:val="20"/>
          <w:szCs w:val="20"/>
          <w:lang w:val="es-ES"/>
        </w:rPr>
        <w:t xml:space="preserve">23, </w:t>
      </w:r>
      <w:r w:rsidR="007F023B">
        <w:rPr>
          <w:rFonts w:ascii="Verdana" w:hAnsi="Verdana"/>
          <w:color w:val="000000" w:themeColor="text1"/>
          <w:sz w:val="20"/>
          <w:szCs w:val="20"/>
          <w:lang w:val="es-ES"/>
        </w:rPr>
        <w:t xml:space="preserve">24, </w:t>
      </w:r>
      <w:r w:rsidR="00997858" w:rsidRPr="00590665">
        <w:rPr>
          <w:rFonts w:ascii="Verdana" w:hAnsi="Verdana"/>
          <w:color w:val="000000" w:themeColor="text1"/>
          <w:sz w:val="20"/>
          <w:szCs w:val="20"/>
          <w:lang w:val="es-ES"/>
        </w:rPr>
        <w:t xml:space="preserve">29, 30 y 32 de la CADH; del preámbulo y los artículos 2b) y 2d), 3d) y 3f), 9, 31, y 45f) de la Carta de la OEA; y de los artículos 1, 2, 3, 4 y 8 de la Carta Democrática Interamericana. Dicho derecho da tutela a la condición </w:t>
      </w:r>
      <w:r w:rsidR="00997858" w:rsidRPr="00590665">
        <w:rPr>
          <w:rFonts w:ascii="Verdana" w:hAnsi="Verdana"/>
          <w:i/>
          <w:iCs/>
          <w:color w:val="000000" w:themeColor="text1"/>
          <w:sz w:val="20"/>
          <w:szCs w:val="20"/>
          <w:lang w:val="es-ES"/>
        </w:rPr>
        <w:t xml:space="preserve">sine qua non </w:t>
      </w:r>
      <w:r w:rsidR="00997858" w:rsidRPr="00590665">
        <w:rPr>
          <w:rFonts w:ascii="Verdana" w:hAnsi="Verdana"/>
          <w:color w:val="000000" w:themeColor="text1"/>
          <w:sz w:val="20"/>
          <w:szCs w:val="20"/>
          <w:lang w:val="es-ES"/>
        </w:rPr>
        <w:t>del efectivo goce de todos</w:t>
      </w:r>
      <w:r w:rsidR="007B3CA0">
        <w:rPr>
          <w:rFonts w:ascii="Verdana" w:hAnsi="Verdana"/>
          <w:color w:val="000000" w:themeColor="text1"/>
          <w:sz w:val="20"/>
          <w:szCs w:val="20"/>
          <w:lang w:val="es-ES"/>
        </w:rPr>
        <w:t xml:space="preserve"> los </w:t>
      </w:r>
      <w:r w:rsidR="00997858" w:rsidRPr="00590665">
        <w:rPr>
          <w:rFonts w:ascii="Verdana" w:hAnsi="Verdana"/>
          <w:color w:val="000000" w:themeColor="text1"/>
          <w:sz w:val="20"/>
          <w:szCs w:val="20"/>
          <w:lang w:val="es-ES"/>
        </w:rPr>
        <w:t xml:space="preserve">derechos protegidos por la </w:t>
      </w:r>
      <w:r w:rsidR="007F023B">
        <w:rPr>
          <w:rFonts w:ascii="Verdana" w:hAnsi="Verdana"/>
          <w:color w:val="000000" w:themeColor="text1"/>
          <w:sz w:val="20"/>
          <w:szCs w:val="20"/>
          <w:lang w:val="es-ES"/>
        </w:rPr>
        <w:t>C</w:t>
      </w:r>
      <w:r w:rsidR="00997858" w:rsidRPr="00590665">
        <w:rPr>
          <w:rFonts w:ascii="Verdana" w:hAnsi="Verdana"/>
          <w:color w:val="000000" w:themeColor="text1"/>
          <w:sz w:val="20"/>
          <w:szCs w:val="20"/>
          <w:lang w:val="es-ES"/>
        </w:rPr>
        <w:t>onvención</w:t>
      </w:r>
      <w:r w:rsidR="007F023B">
        <w:rPr>
          <w:rFonts w:ascii="Verdana" w:hAnsi="Verdana"/>
          <w:color w:val="000000" w:themeColor="text1"/>
          <w:sz w:val="20"/>
          <w:szCs w:val="20"/>
          <w:lang w:val="es-ES"/>
        </w:rPr>
        <w:t xml:space="preserve"> Americana</w:t>
      </w:r>
      <w:r w:rsidR="00997858" w:rsidRPr="00590665">
        <w:rPr>
          <w:rFonts w:ascii="Verdana" w:hAnsi="Verdana"/>
          <w:color w:val="000000" w:themeColor="text1"/>
          <w:sz w:val="20"/>
          <w:szCs w:val="20"/>
          <w:lang w:val="es-ES"/>
        </w:rPr>
        <w:t xml:space="preserve">, </w:t>
      </w:r>
      <w:r w:rsidR="007F023B">
        <w:rPr>
          <w:rFonts w:ascii="Verdana" w:hAnsi="Verdana"/>
          <w:color w:val="000000" w:themeColor="text1"/>
          <w:sz w:val="20"/>
          <w:szCs w:val="20"/>
          <w:lang w:val="es-ES"/>
        </w:rPr>
        <w:t xml:space="preserve">esto es, </w:t>
      </w:r>
      <w:r w:rsidR="00997858" w:rsidRPr="000F15EB">
        <w:rPr>
          <w:rFonts w:ascii="Verdana" w:hAnsi="Verdana"/>
          <w:i/>
          <w:iCs/>
          <w:color w:val="000000" w:themeColor="text1"/>
          <w:sz w:val="20"/>
          <w:szCs w:val="20"/>
          <w:lang w:val="es-ES"/>
        </w:rPr>
        <w:t>la democracia representativa</w:t>
      </w:r>
      <w:r w:rsidR="00997858" w:rsidRPr="00590665">
        <w:rPr>
          <w:rFonts w:ascii="Verdana" w:hAnsi="Verdana"/>
          <w:color w:val="000000" w:themeColor="text1"/>
          <w:sz w:val="20"/>
          <w:szCs w:val="20"/>
          <w:lang w:val="es-ES"/>
        </w:rPr>
        <w:t>, como sustrato de la relación, de</w:t>
      </w:r>
      <w:r w:rsidR="007F023B">
        <w:rPr>
          <w:rFonts w:ascii="Verdana" w:hAnsi="Verdana"/>
          <w:color w:val="000000" w:themeColor="text1"/>
          <w:sz w:val="20"/>
          <w:szCs w:val="20"/>
          <w:lang w:val="es-ES"/>
        </w:rPr>
        <w:t xml:space="preserve"> la triada </w:t>
      </w:r>
      <w:r w:rsidR="00997858" w:rsidRPr="00590665">
        <w:rPr>
          <w:rFonts w:ascii="Verdana" w:hAnsi="Verdana"/>
          <w:color w:val="000000" w:themeColor="text1"/>
          <w:sz w:val="20"/>
          <w:szCs w:val="20"/>
          <w:lang w:val="es-ES"/>
        </w:rPr>
        <w:t xml:space="preserve">democracia, </w:t>
      </w:r>
      <w:r w:rsidR="007F023B">
        <w:rPr>
          <w:rFonts w:ascii="Verdana" w:hAnsi="Verdana"/>
          <w:color w:val="000000" w:themeColor="text1"/>
          <w:sz w:val="20"/>
          <w:szCs w:val="20"/>
          <w:lang w:val="es-ES"/>
        </w:rPr>
        <w:t xml:space="preserve">Estado de </w:t>
      </w:r>
      <w:r w:rsidR="000E241D">
        <w:rPr>
          <w:rFonts w:ascii="Verdana" w:hAnsi="Verdana"/>
          <w:color w:val="000000" w:themeColor="text1"/>
          <w:sz w:val="20"/>
          <w:szCs w:val="20"/>
          <w:lang w:val="es-ES"/>
        </w:rPr>
        <w:t>D</w:t>
      </w:r>
      <w:r w:rsidR="007F023B">
        <w:rPr>
          <w:rFonts w:ascii="Verdana" w:hAnsi="Verdana"/>
          <w:color w:val="000000" w:themeColor="text1"/>
          <w:sz w:val="20"/>
          <w:szCs w:val="20"/>
          <w:lang w:val="es-ES"/>
        </w:rPr>
        <w:t xml:space="preserve">erecho y </w:t>
      </w:r>
      <w:r w:rsidR="00997858" w:rsidRPr="00590665">
        <w:rPr>
          <w:rFonts w:ascii="Verdana" w:hAnsi="Verdana"/>
          <w:color w:val="000000" w:themeColor="text1"/>
          <w:sz w:val="20"/>
          <w:szCs w:val="20"/>
          <w:lang w:val="es-ES"/>
        </w:rPr>
        <w:t>derechos humanos</w:t>
      </w:r>
      <w:r w:rsidR="00997858">
        <w:rPr>
          <w:rStyle w:val="FootnoteReference"/>
          <w:rFonts w:ascii="Verdana" w:hAnsi="Verdana"/>
          <w:color w:val="000000" w:themeColor="text1"/>
          <w:sz w:val="20"/>
          <w:szCs w:val="20"/>
          <w:lang w:val="es-ES"/>
        </w:rPr>
        <w:footnoteReference w:id="148"/>
      </w:r>
      <w:r w:rsidR="00807B78">
        <w:rPr>
          <w:rFonts w:ascii="Verdana" w:hAnsi="Verdana"/>
          <w:color w:val="000000" w:themeColor="text1"/>
          <w:sz w:val="20"/>
          <w:szCs w:val="20"/>
          <w:lang w:val="es-ES"/>
        </w:rPr>
        <w:t>.</w:t>
      </w:r>
      <w:r w:rsidR="00997858" w:rsidRPr="00590665">
        <w:rPr>
          <w:rFonts w:ascii="Verdana" w:hAnsi="Verdana"/>
          <w:color w:val="000000" w:themeColor="text1"/>
          <w:sz w:val="20"/>
          <w:szCs w:val="20"/>
          <w:lang w:val="es-ES"/>
        </w:rPr>
        <w:t xml:space="preserve"> Ello</w:t>
      </w:r>
      <w:r w:rsidR="007F023B">
        <w:rPr>
          <w:rFonts w:ascii="Verdana" w:hAnsi="Verdana"/>
          <w:color w:val="000000" w:themeColor="text1"/>
          <w:sz w:val="20"/>
          <w:szCs w:val="20"/>
          <w:lang w:val="es-ES"/>
        </w:rPr>
        <w:t>,</w:t>
      </w:r>
      <w:r w:rsidR="00997858" w:rsidRPr="00590665">
        <w:rPr>
          <w:rFonts w:ascii="Verdana" w:hAnsi="Verdana"/>
          <w:color w:val="000000" w:themeColor="text1"/>
          <w:sz w:val="20"/>
          <w:szCs w:val="20"/>
          <w:lang w:val="es-ES"/>
        </w:rPr>
        <w:t xml:space="preserve"> a la luz de lo indicado por esta Corte </w:t>
      </w:r>
      <w:r w:rsidR="007F023B">
        <w:rPr>
          <w:rFonts w:ascii="Verdana" w:hAnsi="Verdana"/>
          <w:color w:val="000000" w:themeColor="text1"/>
          <w:sz w:val="20"/>
          <w:szCs w:val="20"/>
          <w:lang w:val="es-ES"/>
        </w:rPr>
        <w:t xml:space="preserve">IDH </w:t>
      </w:r>
      <w:r w:rsidR="00997858" w:rsidRPr="00590665">
        <w:rPr>
          <w:rFonts w:ascii="Verdana" w:hAnsi="Verdana"/>
          <w:color w:val="000000" w:themeColor="text1"/>
          <w:sz w:val="20"/>
          <w:szCs w:val="20"/>
          <w:lang w:val="es-ES"/>
        </w:rPr>
        <w:t xml:space="preserve">en su Opinión Consultiva no. 5, sobre </w:t>
      </w:r>
      <w:r w:rsidR="00997858" w:rsidRPr="00590665">
        <w:rPr>
          <w:rFonts w:ascii="Verdana" w:hAnsi="Verdana"/>
          <w:i/>
          <w:iCs/>
          <w:color w:val="000000" w:themeColor="text1"/>
          <w:sz w:val="20"/>
          <w:szCs w:val="20"/>
          <w:lang w:val="es-CR"/>
        </w:rPr>
        <w:t>La colegiación obligatoria de periodistas</w:t>
      </w:r>
      <w:r w:rsidR="00997858" w:rsidRPr="00590665">
        <w:rPr>
          <w:rFonts w:ascii="Verdana" w:hAnsi="Verdana"/>
          <w:color w:val="000000" w:themeColor="text1"/>
          <w:sz w:val="20"/>
          <w:szCs w:val="20"/>
        </w:rPr>
        <w:t>, en la cual indicó que “[l]as justas exigencias de la democracia deben, por consiguiente, orientar la interpretación de la Convención y, en particular, de aquellas disposiciones que están críticamente relacionadas con la preservación y el funcionamiento de las instituciones democráticas”</w:t>
      </w:r>
      <w:r w:rsidR="00997858" w:rsidRPr="00590665">
        <w:rPr>
          <w:rStyle w:val="FootnoteReference"/>
          <w:rFonts w:ascii="Verdana" w:hAnsi="Verdana"/>
          <w:color w:val="000000" w:themeColor="text1"/>
          <w:sz w:val="20"/>
          <w:szCs w:val="20"/>
        </w:rPr>
        <w:footnoteReference w:id="149"/>
      </w:r>
      <w:r w:rsidR="00807B78">
        <w:rPr>
          <w:rFonts w:ascii="Verdana" w:hAnsi="Verdana"/>
          <w:color w:val="000000" w:themeColor="text1"/>
          <w:sz w:val="20"/>
          <w:szCs w:val="20"/>
        </w:rPr>
        <w:t>.</w:t>
      </w:r>
    </w:p>
    <w:p w14:paraId="0331C6C4" w14:textId="77777777" w:rsidR="00997858" w:rsidRPr="0039268C" w:rsidRDefault="00997858" w:rsidP="00997858">
      <w:pPr>
        <w:pStyle w:val="ListParagraph"/>
        <w:rPr>
          <w:rFonts w:ascii="Verdana" w:hAnsi="Verdana"/>
          <w:color w:val="000000" w:themeColor="text1"/>
          <w:sz w:val="20"/>
          <w:szCs w:val="20"/>
          <w:lang w:val="es-ES"/>
        </w:rPr>
      </w:pPr>
    </w:p>
    <w:p w14:paraId="27A303C1" w14:textId="0B075CAA" w:rsidR="00997858" w:rsidRPr="00065302" w:rsidRDefault="00807B78" w:rsidP="00807B78">
      <w:pPr>
        <w:pStyle w:val="ListParagraph"/>
        <w:spacing w:line="240" w:lineRule="auto"/>
        <w:ind w:left="0"/>
        <w:jc w:val="both"/>
        <w:rPr>
          <w:rFonts w:ascii="Verdana" w:hAnsi="Verdana"/>
          <w:color w:val="000000" w:themeColor="text1"/>
          <w:sz w:val="20"/>
          <w:szCs w:val="20"/>
          <w:lang w:val="es-ES"/>
        </w:rPr>
      </w:pPr>
      <w:r>
        <w:rPr>
          <w:rFonts w:ascii="Verdana" w:hAnsi="Verdana"/>
          <w:color w:val="000000" w:themeColor="text1"/>
          <w:sz w:val="20"/>
          <w:szCs w:val="20"/>
          <w:lang w:val="es-ES"/>
        </w:rPr>
        <w:t>10</w:t>
      </w:r>
      <w:r w:rsidR="00627556">
        <w:rPr>
          <w:rFonts w:ascii="Verdana" w:hAnsi="Verdana"/>
          <w:color w:val="000000" w:themeColor="text1"/>
          <w:sz w:val="20"/>
          <w:szCs w:val="20"/>
          <w:lang w:val="es-ES"/>
        </w:rPr>
        <w:t>5</w:t>
      </w:r>
      <w:r>
        <w:rPr>
          <w:rFonts w:ascii="Verdana" w:hAnsi="Verdana"/>
          <w:color w:val="000000" w:themeColor="text1"/>
          <w:sz w:val="20"/>
          <w:szCs w:val="20"/>
          <w:lang w:val="es-ES"/>
        </w:rPr>
        <w:t xml:space="preserve">. </w:t>
      </w:r>
      <w:r>
        <w:rPr>
          <w:rFonts w:ascii="Verdana" w:hAnsi="Verdana"/>
          <w:color w:val="000000" w:themeColor="text1"/>
          <w:sz w:val="20"/>
          <w:szCs w:val="20"/>
          <w:lang w:val="es-ES"/>
        </w:rPr>
        <w:tab/>
        <w:t>T</w:t>
      </w:r>
      <w:r w:rsidR="00997858">
        <w:rPr>
          <w:rFonts w:ascii="Verdana" w:hAnsi="Verdana"/>
          <w:color w:val="000000" w:themeColor="text1"/>
          <w:sz w:val="20"/>
          <w:szCs w:val="20"/>
        </w:rPr>
        <w:t>odas estas concreci</w:t>
      </w:r>
      <w:r w:rsidR="003C336E">
        <w:rPr>
          <w:rFonts w:ascii="Verdana" w:hAnsi="Verdana"/>
          <w:color w:val="000000" w:themeColor="text1"/>
          <w:sz w:val="20"/>
          <w:szCs w:val="20"/>
        </w:rPr>
        <w:t>o</w:t>
      </w:r>
      <w:r w:rsidR="00997858">
        <w:rPr>
          <w:rFonts w:ascii="Verdana" w:hAnsi="Verdana"/>
          <w:color w:val="000000" w:themeColor="text1"/>
          <w:sz w:val="20"/>
          <w:szCs w:val="20"/>
        </w:rPr>
        <w:t xml:space="preserve">nes especificas del </w:t>
      </w:r>
      <w:r w:rsidR="00997858" w:rsidRPr="000C7C89">
        <w:rPr>
          <w:rFonts w:ascii="Verdana" w:hAnsi="Verdana"/>
          <w:i/>
          <w:iCs/>
          <w:color w:val="000000" w:themeColor="text1"/>
          <w:sz w:val="20"/>
          <w:szCs w:val="20"/>
        </w:rPr>
        <w:t>derecho a la democracia</w:t>
      </w:r>
      <w:r w:rsidR="00997858">
        <w:rPr>
          <w:rFonts w:ascii="Verdana" w:hAnsi="Verdana"/>
          <w:color w:val="000000" w:themeColor="text1"/>
          <w:sz w:val="20"/>
          <w:szCs w:val="20"/>
        </w:rPr>
        <w:t xml:space="preserve"> se derivan, e</w:t>
      </w:r>
      <w:r>
        <w:rPr>
          <w:rFonts w:ascii="Verdana" w:hAnsi="Verdana"/>
          <w:color w:val="000000" w:themeColor="text1"/>
          <w:sz w:val="20"/>
          <w:szCs w:val="20"/>
        </w:rPr>
        <w:t>n</w:t>
      </w:r>
      <w:r w:rsidR="00997858">
        <w:rPr>
          <w:rFonts w:ascii="Verdana" w:hAnsi="Verdana"/>
          <w:color w:val="000000" w:themeColor="text1"/>
          <w:sz w:val="20"/>
          <w:szCs w:val="20"/>
        </w:rPr>
        <w:t xml:space="preserve"> el fondo, del respeto que exige </w:t>
      </w:r>
      <w:r w:rsidR="007F023B">
        <w:rPr>
          <w:rFonts w:ascii="Verdana" w:hAnsi="Verdana"/>
          <w:color w:val="000000" w:themeColor="text1"/>
          <w:sz w:val="20"/>
          <w:szCs w:val="20"/>
        </w:rPr>
        <w:t xml:space="preserve">la intrínseca relación entre democracia, Estado de </w:t>
      </w:r>
      <w:r w:rsidR="000E241D">
        <w:rPr>
          <w:rFonts w:ascii="Verdana" w:hAnsi="Verdana"/>
          <w:color w:val="000000" w:themeColor="text1"/>
          <w:sz w:val="20"/>
          <w:szCs w:val="20"/>
        </w:rPr>
        <w:t>D</w:t>
      </w:r>
      <w:r w:rsidR="007F023B">
        <w:rPr>
          <w:rFonts w:ascii="Verdana" w:hAnsi="Verdana"/>
          <w:color w:val="000000" w:themeColor="text1"/>
          <w:sz w:val="20"/>
          <w:szCs w:val="20"/>
        </w:rPr>
        <w:t>erecho y derechos humanos</w:t>
      </w:r>
      <w:r w:rsidR="000F15EB">
        <w:rPr>
          <w:rFonts w:ascii="Verdana" w:hAnsi="Verdana"/>
          <w:color w:val="000000" w:themeColor="text1"/>
          <w:sz w:val="20"/>
          <w:szCs w:val="20"/>
        </w:rPr>
        <w:t>.</w:t>
      </w:r>
      <w:r w:rsidR="00997858">
        <w:rPr>
          <w:rFonts w:ascii="Verdana" w:hAnsi="Verdana"/>
          <w:color w:val="000000" w:themeColor="text1"/>
          <w:sz w:val="20"/>
          <w:szCs w:val="20"/>
        </w:rPr>
        <w:t xml:space="preserve"> </w:t>
      </w:r>
      <w:r w:rsidR="000F15EB">
        <w:rPr>
          <w:rFonts w:ascii="Verdana" w:hAnsi="Verdana"/>
          <w:color w:val="000000" w:themeColor="text1"/>
          <w:sz w:val="20"/>
          <w:szCs w:val="20"/>
        </w:rPr>
        <w:t>E</w:t>
      </w:r>
      <w:r w:rsidR="00997858">
        <w:rPr>
          <w:rFonts w:ascii="Verdana" w:hAnsi="Verdana"/>
          <w:color w:val="000000" w:themeColor="text1"/>
          <w:sz w:val="20"/>
          <w:szCs w:val="20"/>
        </w:rPr>
        <w:t xml:space="preserve">s decir, en lo fundamental, el </w:t>
      </w:r>
      <w:r w:rsidR="00997858" w:rsidRPr="00801A52">
        <w:rPr>
          <w:rFonts w:ascii="Verdana" w:hAnsi="Verdana"/>
          <w:i/>
          <w:iCs/>
          <w:color w:val="000000" w:themeColor="text1"/>
          <w:sz w:val="20"/>
          <w:szCs w:val="20"/>
        </w:rPr>
        <w:t>derecho a la democracia</w:t>
      </w:r>
      <w:r w:rsidR="00997858">
        <w:rPr>
          <w:rFonts w:ascii="Verdana" w:hAnsi="Verdana"/>
          <w:color w:val="000000" w:themeColor="text1"/>
          <w:sz w:val="20"/>
          <w:szCs w:val="20"/>
        </w:rPr>
        <w:t xml:space="preserve"> implica que los ciudadanos </w:t>
      </w:r>
      <w:r w:rsidR="00DA01FA">
        <w:rPr>
          <w:rFonts w:ascii="Verdana" w:hAnsi="Verdana"/>
          <w:color w:val="000000" w:themeColor="text1"/>
          <w:sz w:val="20"/>
          <w:szCs w:val="20"/>
        </w:rPr>
        <w:t xml:space="preserve">puedan elegir mediante el voto de la mayoría a sus gobernantes. Sin embargo, también incluye que </w:t>
      </w:r>
      <w:r w:rsidR="00997858">
        <w:rPr>
          <w:rFonts w:ascii="Verdana" w:hAnsi="Verdana"/>
          <w:color w:val="000000" w:themeColor="text1"/>
          <w:sz w:val="20"/>
          <w:szCs w:val="20"/>
        </w:rPr>
        <w:t>tienen un derecho a un gobierno cuyo ejercicio del poder p</w:t>
      </w:r>
      <w:r w:rsidR="00B16E6D">
        <w:rPr>
          <w:rFonts w:ascii="Verdana" w:hAnsi="Verdana"/>
          <w:color w:val="000000" w:themeColor="text1"/>
          <w:sz w:val="20"/>
          <w:szCs w:val="20"/>
        </w:rPr>
        <w:t>ú</w:t>
      </w:r>
      <w:r w:rsidR="00997858">
        <w:rPr>
          <w:rFonts w:ascii="Verdana" w:hAnsi="Verdana"/>
          <w:color w:val="000000" w:themeColor="text1"/>
          <w:sz w:val="20"/>
          <w:szCs w:val="20"/>
        </w:rPr>
        <w:t>blico esté sometido a controles y limitaci</w:t>
      </w:r>
      <w:r w:rsidR="003C336E">
        <w:rPr>
          <w:rFonts w:ascii="Verdana" w:hAnsi="Verdana"/>
          <w:color w:val="000000" w:themeColor="text1"/>
          <w:sz w:val="20"/>
          <w:szCs w:val="20"/>
        </w:rPr>
        <w:t>o</w:t>
      </w:r>
      <w:r w:rsidR="00997858">
        <w:rPr>
          <w:rFonts w:ascii="Verdana" w:hAnsi="Verdana"/>
          <w:color w:val="000000" w:themeColor="text1"/>
          <w:sz w:val="20"/>
          <w:szCs w:val="20"/>
        </w:rPr>
        <w:t>nes. Estos controles y limitaci</w:t>
      </w:r>
      <w:r w:rsidR="003C336E">
        <w:rPr>
          <w:rFonts w:ascii="Verdana" w:hAnsi="Verdana"/>
          <w:color w:val="000000" w:themeColor="text1"/>
          <w:sz w:val="20"/>
          <w:szCs w:val="20"/>
        </w:rPr>
        <w:t>o</w:t>
      </w:r>
      <w:r w:rsidR="00997858">
        <w:rPr>
          <w:rFonts w:ascii="Verdana" w:hAnsi="Verdana"/>
          <w:color w:val="000000" w:themeColor="text1"/>
          <w:sz w:val="20"/>
          <w:szCs w:val="20"/>
        </w:rPr>
        <w:t xml:space="preserve">nes, por su parte, </w:t>
      </w:r>
      <w:r w:rsidR="00BA1BA0">
        <w:rPr>
          <w:rFonts w:ascii="Verdana" w:hAnsi="Verdana"/>
          <w:color w:val="000000" w:themeColor="text1"/>
          <w:sz w:val="20"/>
          <w:szCs w:val="20"/>
        </w:rPr>
        <w:t xml:space="preserve">son una </w:t>
      </w:r>
      <w:r w:rsidR="00997858">
        <w:rPr>
          <w:rFonts w:ascii="Verdana" w:hAnsi="Verdana"/>
          <w:color w:val="000000" w:themeColor="text1"/>
          <w:sz w:val="20"/>
          <w:szCs w:val="20"/>
        </w:rPr>
        <w:t>de las exigencias de los Derechos Humanos, empero, además, de aquellos elementos esenciales y componentes fundamentales de la democracia y los par</w:t>
      </w:r>
      <w:r w:rsidR="003C336E">
        <w:rPr>
          <w:rFonts w:ascii="Verdana" w:hAnsi="Verdana"/>
          <w:color w:val="000000" w:themeColor="text1"/>
          <w:sz w:val="20"/>
          <w:szCs w:val="20"/>
        </w:rPr>
        <w:t>á</w:t>
      </w:r>
      <w:r w:rsidR="00997858">
        <w:rPr>
          <w:rFonts w:ascii="Verdana" w:hAnsi="Verdana"/>
          <w:color w:val="000000" w:themeColor="text1"/>
          <w:sz w:val="20"/>
          <w:szCs w:val="20"/>
        </w:rPr>
        <w:t>metros instituci</w:t>
      </w:r>
      <w:r>
        <w:rPr>
          <w:rFonts w:ascii="Verdana" w:hAnsi="Verdana"/>
          <w:color w:val="000000" w:themeColor="text1"/>
          <w:sz w:val="20"/>
          <w:szCs w:val="20"/>
        </w:rPr>
        <w:t>o</w:t>
      </w:r>
      <w:r w:rsidR="00997858">
        <w:rPr>
          <w:rFonts w:ascii="Verdana" w:hAnsi="Verdana"/>
          <w:color w:val="000000" w:themeColor="text1"/>
          <w:sz w:val="20"/>
          <w:szCs w:val="20"/>
        </w:rPr>
        <w:t xml:space="preserve">nales que requiere un </w:t>
      </w:r>
      <w:r>
        <w:rPr>
          <w:rFonts w:ascii="Verdana" w:hAnsi="Verdana"/>
          <w:color w:val="000000" w:themeColor="text1"/>
          <w:sz w:val="20"/>
          <w:szCs w:val="20"/>
        </w:rPr>
        <w:t>E</w:t>
      </w:r>
      <w:r w:rsidR="00997858">
        <w:rPr>
          <w:rFonts w:ascii="Verdana" w:hAnsi="Verdana"/>
          <w:color w:val="000000" w:themeColor="text1"/>
          <w:sz w:val="20"/>
          <w:szCs w:val="20"/>
        </w:rPr>
        <w:t xml:space="preserve">stado de </w:t>
      </w:r>
      <w:r w:rsidR="007B3CA0">
        <w:rPr>
          <w:rFonts w:ascii="Verdana" w:hAnsi="Verdana"/>
          <w:color w:val="000000" w:themeColor="text1"/>
          <w:sz w:val="20"/>
          <w:szCs w:val="20"/>
        </w:rPr>
        <w:t>D</w:t>
      </w:r>
      <w:r w:rsidR="00997858">
        <w:rPr>
          <w:rFonts w:ascii="Verdana" w:hAnsi="Verdana"/>
          <w:color w:val="000000" w:themeColor="text1"/>
          <w:sz w:val="20"/>
          <w:szCs w:val="20"/>
        </w:rPr>
        <w:t>erecho.</w:t>
      </w:r>
      <w:r w:rsidR="007F023B">
        <w:rPr>
          <w:rFonts w:ascii="Verdana" w:hAnsi="Verdana"/>
          <w:color w:val="000000" w:themeColor="text1"/>
          <w:sz w:val="20"/>
          <w:szCs w:val="20"/>
        </w:rPr>
        <w:t xml:space="preserve"> Como</w:t>
      </w:r>
      <w:r w:rsidR="00997858">
        <w:rPr>
          <w:rFonts w:ascii="Verdana" w:hAnsi="Verdana"/>
          <w:color w:val="000000" w:themeColor="text1"/>
          <w:sz w:val="20"/>
          <w:szCs w:val="20"/>
        </w:rPr>
        <w:t xml:space="preserve"> lo indica</w:t>
      </w:r>
      <w:r w:rsidR="009C522B">
        <w:rPr>
          <w:rFonts w:ascii="Verdana" w:hAnsi="Verdana"/>
          <w:color w:val="000000" w:themeColor="text1"/>
          <w:sz w:val="20"/>
          <w:szCs w:val="20"/>
        </w:rPr>
        <w:t>b</w:t>
      </w:r>
      <w:r w:rsidR="007F023B">
        <w:rPr>
          <w:rFonts w:ascii="Verdana" w:hAnsi="Verdana"/>
          <w:color w:val="000000" w:themeColor="text1"/>
          <w:sz w:val="20"/>
          <w:szCs w:val="20"/>
        </w:rPr>
        <w:t>a</w:t>
      </w:r>
      <w:r w:rsidR="00997858">
        <w:rPr>
          <w:rFonts w:ascii="Verdana" w:hAnsi="Verdana"/>
          <w:color w:val="000000" w:themeColor="text1"/>
          <w:sz w:val="20"/>
          <w:szCs w:val="20"/>
        </w:rPr>
        <w:t xml:space="preserve"> Bobbio</w:t>
      </w:r>
      <w:r>
        <w:rPr>
          <w:rFonts w:ascii="Verdana" w:hAnsi="Verdana"/>
          <w:color w:val="000000" w:themeColor="text1"/>
          <w:sz w:val="20"/>
          <w:szCs w:val="20"/>
        </w:rPr>
        <w:t>:</w:t>
      </w:r>
    </w:p>
    <w:p w14:paraId="33D3BF95" w14:textId="77777777" w:rsidR="00997858" w:rsidRPr="00065302" w:rsidRDefault="00997858" w:rsidP="00997858">
      <w:pPr>
        <w:pStyle w:val="ListParagraph"/>
        <w:spacing w:line="240" w:lineRule="auto"/>
        <w:ind w:left="0"/>
        <w:jc w:val="both"/>
        <w:rPr>
          <w:rFonts w:ascii="Verdana" w:hAnsi="Verdana"/>
          <w:color w:val="000000" w:themeColor="text1"/>
          <w:sz w:val="20"/>
          <w:szCs w:val="20"/>
          <w:lang w:val="es-ES"/>
        </w:rPr>
      </w:pPr>
    </w:p>
    <w:p w14:paraId="5D699802" w14:textId="2F0E362C" w:rsidR="00997858" w:rsidRPr="00065302" w:rsidRDefault="00807B78" w:rsidP="00997858">
      <w:pPr>
        <w:pStyle w:val="ListParagraph"/>
        <w:spacing w:before="240" w:line="240" w:lineRule="auto"/>
        <w:ind w:left="567" w:right="567"/>
        <w:jc w:val="both"/>
        <w:rPr>
          <w:rFonts w:ascii="Verdana" w:hAnsi="Verdana"/>
          <w:color w:val="000000" w:themeColor="text1"/>
          <w:sz w:val="16"/>
          <w:szCs w:val="16"/>
          <w:lang w:val="es-ES"/>
        </w:rPr>
      </w:pPr>
      <w:r>
        <w:rPr>
          <w:rFonts w:ascii="Verdana" w:hAnsi="Verdana"/>
          <w:color w:val="000000" w:themeColor="text1"/>
          <w:sz w:val="16"/>
          <w:szCs w:val="16"/>
          <w:lang w:val="es-ES"/>
        </w:rPr>
        <w:t>“</w:t>
      </w:r>
      <w:r w:rsidR="00997858">
        <w:rPr>
          <w:rFonts w:ascii="Verdana" w:hAnsi="Verdana"/>
          <w:color w:val="000000" w:themeColor="text1"/>
          <w:sz w:val="16"/>
          <w:szCs w:val="16"/>
          <w:lang w:val="es-ES"/>
        </w:rPr>
        <w:t xml:space="preserve">[s]on parte integrante del estado derecho en sentido profundo, que es el propio de la doctrina liberal, todos los mecanismos constitucionales que impiden u obstaculizan el ejercicio arbitrario e ilegitimo del poder y dificultan o frenan el abuso, o el ejercicio ilegal. Los más importantes de estos mecanismos son: </w:t>
      </w:r>
      <w:r w:rsidR="00997858">
        <w:rPr>
          <w:rFonts w:ascii="Verdana" w:hAnsi="Verdana"/>
          <w:i/>
          <w:iCs/>
          <w:color w:val="000000" w:themeColor="text1"/>
          <w:sz w:val="16"/>
          <w:szCs w:val="16"/>
          <w:lang w:val="es-ES"/>
        </w:rPr>
        <w:t>1)</w:t>
      </w:r>
      <w:r w:rsidR="00997858">
        <w:rPr>
          <w:rFonts w:ascii="Verdana" w:hAnsi="Verdana"/>
          <w:color w:val="000000" w:themeColor="text1"/>
          <w:sz w:val="16"/>
          <w:szCs w:val="16"/>
          <w:lang w:val="es-ES"/>
        </w:rPr>
        <w:t xml:space="preserve"> el control del poder ejecutivo por parte del poder legislativo o más exactamente del gobierno al que corresponde al poder del ejecutivo se parte del parlamento al que toca en última instancia el poder legislativo y la orientación política; </w:t>
      </w:r>
      <w:r w:rsidR="00997858">
        <w:rPr>
          <w:rFonts w:ascii="Verdana" w:hAnsi="Verdana"/>
          <w:i/>
          <w:iCs/>
          <w:color w:val="000000" w:themeColor="text1"/>
          <w:sz w:val="16"/>
          <w:szCs w:val="16"/>
          <w:lang w:val="es-ES"/>
        </w:rPr>
        <w:t xml:space="preserve">2) </w:t>
      </w:r>
      <w:r w:rsidR="00997858">
        <w:rPr>
          <w:rFonts w:ascii="Verdana" w:hAnsi="Verdana"/>
          <w:color w:val="000000" w:themeColor="text1"/>
          <w:sz w:val="16"/>
          <w:szCs w:val="16"/>
          <w:lang w:val="es-ES"/>
        </w:rPr>
        <w:t xml:space="preserve">el control eventual del parlamento en el ejercicio del poder legislativo ordinario por parte de una corte jurisdiccional a la que se pide el establecimiento de la constitucionalidad de las leyes; </w:t>
      </w:r>
      <w:r w:rsidR="00997858">
        <w:rPr>
          <w:rFonts w:ascii="Verdana" w:hAnsi="Verdana"/>
          <w:i/>
          <w:iCs/>
          <w:color w:val="000000" w:themeColor="text1"/>
          <w:sz w:val="16"/>
          <w:szCs w:val="16"/>
          <w:lang w:val="es-ES"/>
        </w:rPr>
        <w:t>3)</w:t>
      </w:r>
      <w:r w:rsidR="00997858">
        <w:rPr>
          <w:rFonts w:ascii="Verdana" w:hAnsi="Verdana"/>
          <w:color w:val="000000" w:themeColor="text1"/>
          <w:sz w:val="16"/>
          <w:szCs w:val="16"/>
          <w:lang w:val="es-ES"/>
        </w:rPr>
        <w:t xml:space="preserve"> una relativa autonomía del gobierno local en todas sus formas y grados frente al gobierno central; </w:t>
      </w:r>
      <w:r w:rsidR="00997858">
        <w:rPr>
          <w:rFonts w:ascii="Verdana" w:hAnsi="Verdana"/>
          <w:i/>
          <w:iCs/>
          <w:color w:val="000000" w:themeColor="text1"/>
          <w:sz w:val="16"/>
          <w:szCs w:val="16"/>
          <w:lang w:val="es-ES"/>
        </w:rPr>
        <w:t xml:space="preserve">4) </w:t>
      </w:r>
      <w:r w:rsidR="00997858">
        <w:rPr>
          <w:rFonts w:ascii="Verdana" w:hAnsi="Verdana"/>
          <w:color w:val="000000" w:themeColor="text1"/>
          <w:sz w:val="16"/>
          <w:szCs w:val="16"/>
          <w:lang w:val="es-ES"/>
        </w:rPr>
        <w:t>un poder judicial independiente del poder político”</w:t>
      </w:r>
      <w:r w:rsidR="00997858">
        <w:rPr>
          <w:rStyle w:val="FootnoteReference"/>
          <w:rFonts w:ascii="Verdana" w:hAnsi="Verdana"/>
          <w:color w:val="000000" w:themeColor="text1"/>
          <w:sz w:val="16"/>
          <w:szCs w:val="16"/>
          <w:lang w:val="es-ES"/>
        </w:rPr>
        <w:footnoteReference w:id="150"/>
      </w:r>
      <w:r>
        <w:rPr>
          <w:rFonts w:ascii="Verdana" w:hAnsi="Verdana"/>
          <w:color w:val="000000" w:themeColor="text1"/>
          <w:sz w:val="16"/>
          <w:szCs w:val="16"/>
          <w:lang w:val="es-ES"/>
        </w:rPr>
        <w:t>.</w:t>
      </w:r>
    </w:p>
    <w:p w14:paraId="36F97F9C" w14:textId="77777777" w:rsidR="00997858" w:rsidRPr="00590665" w:rsidRDefault="00997858" w:rsidP="00997858">
      <w:pPr>
        <w:pStyle w:val="ListParagraph"/>
        <w:spacing w:line="240" w:lineRule="auto"/>
        <w:ind w:left="0"/>
        <w:jc w:val="both"/>
        <w:rPr>
          <w:rFonts w:ascii="Verdana" w:hAnsi="Verdana"/>
          <w:color w:val="000000" w:themeColor="text1"/>
          <w:sz w:val="20"/>
          <w:szCs w:val="20"/>
          <w:lang w:val="es-ES"/>
        </w:rPr>
      </w:pPr>
    </w:p>
    <w:p w14:paraId="6B0980A8" w14:textId="5D69AF12" w:rsidR="00807B78" w:rsidRDefault="00807B78" w:rsidP="00807B78">
      <w:pPr>
        <w:spacing w:line="240" w:lineRule="auto"/>
        <w:jc w:val="both"/>
        <w:rPr>
          <w:rFonts w:ascii="Verdana" w:hAnsi="Verdana"/>
          <w:color w:val="000000" w:themeColor="text1"/>
          <w:sz w:val="20"/>
          <w:szCs w:val="20"/>
          <w:lang w:val="es-ES"/>
        </w:rPr>
      </w:pPr>
      <w:r w:rsidRPr="00807B78">
        <w:rPr>
          <w:rFonts w:ascii="Verdana" w:hAnsi="Verdana"/>
          <w:color w:val="000000" w:themeColor="text1"/>
          <w:sz w:val="20"/>
          <w:szCs w:val="20"/>
          <w:lang w:val="es-ES"/>
        </w:rPr>
        <w:t>10</w:t>
      </w:r>
      <w:r w:rsidR="00627556">
        <w:rPr>
          <w:rFonts w:ascii="Verdana" w:hAnsi="Verdana"/>
          <w:color w:val="000000" w:themeColor="text1"/>
          <w:sz w:val="20"/>
          <w:szCs w:val="20"/>
          <w:lang w:val="es-ES"/>
        </w:rPr>
        <w:t>6</w:t>
      </w:r>
      <w:r w:rsidRPr="00807B78">
        <w:rPr>
          <w:rFonts w:ascii="Verdana" w:hAnsi="Verdana"/>
          <w:color w:val="000000" w:themeColor="text1"/>
          <w:sz w:val="20"/>
          <w:szCs w:val="20"/>
          <w:lang w:val="es-ES"/>
        </w:rPr>
        <w:t xml:space="preserve">. </w:t>
      </w:r>
      <w:r w:rsidRPr="00807B78">
        <w:rPr>
          <w:rFonts w:ascii="Verdana" w:hAnsi="Verdana"/>
          <w:color w:val="000000" w:themeColor="text1"/>
          <w:sz w:val="20"/>
          <w:szCs w:val="20"/>
          <w:lang w:val="es-ES"/>
        </w:rPr>
        <w:tab/>
      </w:r>
      <w:r w:rsidR="00997858" w:rsidRPr="00807B78">
        <w:rPr>
          <w:rFonts w:ascii="Verdana" w:hAnsi="Verdana"/>
          <w:color w:val="000000" w:themeColor="text1"/>
          <w:sz w:val="20"/>
          <w:szCs w:val="20"/>
          <w:lang w:val="es-ES"/>
        </w:rPr>
        <w:t>Es</w:t>
      </w:r>
      <w:r>
        <w:rPr>
          <w:rFonts w:ascii="Verdana" w:hAnsi="Verdana"/>
          <w:color w:val="000000" w:themeColor="text1"/>
          <w:sz w:val="20"/>
          <w:szCs w:val="20"/>
          <w:lang w:val="es-ES"/>
        </w:rPr>
        <w:t>te</w:t>
      </w:r>
      <w:r w:rsidR="00997858" w:rsidRPr="00807B78">
        <w:rPr>
          <w:rFonts w:ascii="Verdana" w:hAnsi="Verdana"/>
          <w:color w:val="000000" w:themeColor="text1"/>
          <w:sz w:val="20"/>
          <w:szCs w:val="20"/>
          <w:lang w:val="es-ES"/>
        </w:rPr>
        <w:t xml:space="preserve"> </w:t>
      </w:r>
      <w:r w:rsidR="00997858" w:rsidRPr="007F023B">
        <w:rPr>
          <w:rFonts w:ascii="Verdana" w:hAnsi="Verdana"/>
          <w:i/>
          <w:iCs/>
          <w:color w:val="000000" w:themeColor="text1"/>
          <w:sz w:val="20"/>
          <w:szCs w:val="20"/>
          <w:lang w:val="es-ES"/>
        </w:rPr>
        <w:t>derecho a la democracia</w:t>
      </w:r>
      <w:r w:rsidR="00997858" w:rsidRPr="00807B78">
        <w:rPr>
          <w:rFonts w:ascii="Verdana" w:hAnsi="Verdana"/>
          <w:color w:val="000000" w:themeColor="text1"/>
          <w:sz w:val="20"/>
          <w:szCs w:val="20"/>
          <w:lang w:val="es-ES"/>
        </w:rPr>
        <w:t xml:space="preserve"> tiene dos facetas: una subjetiva-personal y otra colectiva. En cuanto a la primera, el derecho a la democracia implica que aquellos que busquen participar en el juego democrático, deben poder hacerlo en condiciones que respeten las exigencias propias de la democracia representativa </w:t>
      </w:r>
      <w:r w:rsidR="00801A52">
        <w:rPr>
          <w:rFonts w:ascii="Verdana" w:hAnsi="Verdana"/>
          <w:color w:val="000000" w:themeColor="text1"/>
          <w:sz w:val="20"/>
          <w:szCs w:val="20"/>
          <w:lang w:val="es-ES"/>
        </w:rPr>
        <w:t>—</w:t>
      </w:r>
      <w:r w:rsidR="00997858" w:rsidRPr="00807B78">
        <w:rPr>
          <w:rFonts w:ascii="Verdana" w:hAnsi="Verdana"/>
          <w:color w:val="000000" w:themeColor="text1"/>
          <w:sz w:val="20"/>
          <w:szCs w:val="20"/>
          <w:lang w:val="es-ES"/>
        </w:rPr>
        <w:t xml:space="preserve">transparencia, probidad y responsabilidad, respeto a los derechos sociales y civiles/políticos, y el pleno respeto a los parámetros del </w:t>
      </w:r>
      <w:r w:rsidR="007B3CA0">
        <w:rPr>
          <w:rFonts w:ascii="Verdana" w:hAnsi="Verdana"/>
          <w:color w:val="000000" w:themeColor="text1"/>
          <w:sz w:val="20"/>
          <w:szCs w:val="20"/>
          <w:lang w:val="es-ES"/>
        </w:rPr>
        <w:t>E</w:t>
      </w:r>
      <w:r w:rsidR="00997858" w:rsidRPr="00807B78">
        <w:rPr>
          <w:rFonts w:ascii="Verdana" w:hAnsi="Verdana"/>
          <w:color w:val="000000" w:themeColor="text1"/>
          <w:sz w:val="20"/>
          <w:szCs w:val="20"/>
          <w:lang w:val="es-ES"/>
        </w:rPr>
        <w:t xml:space="preserve">stado de </w:t>
      </w:r>
      <w:r w:rsidR="007B3CA0">
        <w:rPr>
          <w:rFonts w:ascii="Verdana" w:hAnsi="Verdana"/>
          <w:color w:val="000000" w:themeColor="text1"/>
          <w:sz w:val="20"/>
          <w:szCs w:val="20"/>
          <w:lang w:val="es-ES"/>
        </w:rPr>
        <w:t>D</w:t>
      </w:r>
      <w:r w:rsidR="00997858" w:rsidRPr="00807B78">
        <w:rPr>
          <w:rFonts w:ascii="Verdana" w:hAnsi="Verdana"/>
          <w:color w:val="000000" w:themeColor="text1"/>
          <w:sz w:val="20"/>
          <w:szCs w:val="20"/>
          <w:lang w:val="es-ES"/>
        </w:rPr>
        <w:t>erecho</w:t>
      </w:r>
      <w:r w:rsidR="007B3CA0">
        <w:rPr>
          <w:rFonts w:ascii="Verdana" w:hAnsi="Verdana"/>
          <w:color w:val="000000" w:themeColor="text1"/>
          <w:sz w:val="20"/>
          <w:szCs w:val="20"/>
          <w:lang w:val="es-ES"/>
        </w:rPr>
        <w:t xml:space="preserve"> (art. 4 CDI)</w:t>
      </w:r>
      <w:r w:rsidR="00801A52">
        <w:rPr>
          <w:rFonts w:ascii="Verdana" w:hAnsi="Verdana"/>
          <w:color w:val="000000" w:themeColor="text1"/>
          <w:sz w:val="20"/>
          <w:szCs w:val="20"/>
          <w:lang w:val="es-ES"/>
        </w:rPr>
        <w:t>—</w:t>
      </w:r>
      <w:r w:rsidR="00997858" w:rsidRPr="00807B78">
        <w:rPr>
          <w:rFonts w:ascii="Verdana" w:hAnsi="Verdana"/>
          <w:color w:val="000000" w:themeColor="text1"/>
          <w:sz w:val="20"/>
          <w:szCs w:val="20"/>
          <w:lang w:val="es-ES"/>
        </w:rPr>
        <w:t xml:space="preserve"> y del derecho internacional de los derechos humanos: en particular, como añade la sentencia</w:t>
      </w:r>
      <w:r w:rsidR="000F15EB">
        <w:rPr>
          <w:rFonts w:ascii="Verdana" w:hAnsi="Verdana"/>
          <w:color w:val="000000" w:themeColor="text1"/>
          <w:sz w:val="20"/>
          <w:szCs w:val="20"/>
          <w:lang w:val="es-ES"/>
        </w:rPr>
        <w:t xml:space="preserve">, </w:t>
      </w:r>
      <w:r w:rsidR="00997858" w:rsidRPr="00807B78">
        <w:rPr>
          <w:rFonts w:ascii="Verdana" w:hAnsi="Verdana"/>
          <w:color w:val="000000" w:themeColor="text1"/>
          <w:sz w:val="20"/>
          <w:szCs w:val="20"/>
          <w:lang w:val="es-ES"/>
        </w:rPr>
        <w:t xml:space="preserve">la exigencia de la igualdad. Parte del reconocimiento de que, cada individuo en un </w:t>
      </w:r>
      <w:r w:rsidR="007B3CA0">
        <w:rPr>
          <w:rFonts w:ascii="Verdana" w:hAnsi="Verdana"/>
          <w:color w:val="000000" w:themeColor="text1"/>
          <w:sz w:val="20"/>
          <w:szCs w:val="20"/>
          <w:lang w:val="es-ES"/>
        </w:rPr>
        <w:t>E</w:t>
      </w:r>
      <w:r w:rsidR="00997858" w:rsidRPr="00807B78">
        <w:rPr>
          <w:rFonts w:ascii="Verdana" w:hAnsi="Verdana"/>
          <w:color w:val="000000" w:themeColor="text1"/>
          <w:sz w:val="20"/>
          <w:szCs w:val="20"/>
          <w:lang w:val="es-ES"/>
        </w:rPr>
        <w:t xml:space="preserve">stado </w:t>
      </w:r>
      <w:r w:rsidR="007B3CA0">
        <w:rPr>
          <w:rFonts w:ascii="Verdana" w:hAnsi="Verdana"/>
          <w:color w:val="000000" w:themeColor="text1"/>
          <w:sz w:val="20"/>
          <w:szCs w:val="20"/>
          <w:lang w:val="es-ES"/>
        </w:rPr>
        <w:t>C</w:t>
      </w:r>
      <w:r w:rsidR="00997858" w:rsidRPr="00807B78">
        <w:rPr>
          <w:rFonts w:ascii="Verdana" w:hAnsi="Verdana"/>
          <w:color w:val="000000" w:themeColor="text1"/>
          <w:sz w:val="20"/>
          <w:szCs w:val="20"/>
          <w:lang w:val="es-ES"/>
        </w:rPr>
        <w:t xml:space="preserve">onstitucional de </w:t>
      </w:r>
      <w:r w:rsidR="007B3CA0">
        <w:rPr>
          <w:rFonts w:ascii="Verdana" w:hAnsi="Verdana"/>
          <w:color w:val="000000" w:themeColor="text1"/>
          <w:sz w:val="20"/>
          <w:szCs w:val="20"/>
          <w:lang w:val="es-ES"/>
        </w:rPr>
        <w:t>D</w:t>
      </w:r>
      <w:r w:rsidR="00997858" w:rsidRPr="00807B78">
        <w:rPr>
          <w:rFonts w:ascii="Verdana" w:hAnsi="Verdana"/>
          <w:color w:val="000000" w:themeColor="text1"/>
          <w:sz w:val="20"/>
          <w:szCs w:val="20"/>
          <w:lang w:val="es-ES"/>
        </w:rPr>
        <w:t>erecho tiene un derecho a participar en los asuntos públicos de su país</w:t>
      </w:r>
      <w:r w:rsidR="00997858">
        <w:rPr>
          <w:rStyle w:val="FootnoteReference"/>
          <w:rFonts w:ascii="Verdana" w:hAnsi="Verdana"/>
          <w:color w:val="000000" w:themeColor="text1"/>
          <w:sz w:val="20"/>
          <w:szCs w:val="20"/>
          <w:lang w:val="es-ES"/>
        </w:rPr>
        <w:footnoteReference w:id="151"/>
      </w:r>
      <w:r w:rsidR="007F023B">
        <w:rPr>
          <w:rFonts w:ascii="Verdana" w:hAnsi="Verdana"/>
          <w:color w:val="000000" w:themeColor="text1"/>
          <w:sz w:val="20"/>
          <w:szCs w:val="20"/>
          <w:lang w:val="es-ES"/>
        </w:rPr>
        <w:t>.</w:t>
      </w:r>
      <w:r w:rsidR="00997858" w:rsidRPr="00807B78">
        <w:rPr>
          <w:rFonts w:ascii="Verdana" w:hAnsi="Verdana"/>
          <w:color w:val="000000" w:themeColor="text1"/>
          <w:sz w:val="20"/>
          <w:szCs w:val="20"/>
          <w:lang w:val="es-ES"/>
        </w:rPr>
        <w:t xml:space="preserve"> </w:t>
      </w:r>
      <w:r w:rsidR="00997858" w:rsidRPr="000F15EB">
        <w:rPr>
          <w:rFonts w:ascii="Verdana" w:hAnsi="Verdana"/>
          <w:color w:val="000000" w:themeColor="text1"/>
          <w:sz w:val="20"/>
          <w:szCs w:val="20"/>
          <w:lang w:val="es-ES"/>
        </w:rPr>
        <w:t xml:space="preserve">Como se puede entrever, dicha protección </w:t>
      </w:r>
      <w:r w:rsidR="000F15EB">
        <w:rPr>
          <w:rFonts w:ascii="Verdana" w:hAnsi="Verdana"/>
          <w:color w:val="000000" w:themeColor="text1"/>
          <w:sz w:val="20"/>
          <w:szCs w:val="20"/>
          <w:lang w:val="es-ES"/>
        </w:rPr>
        <w:t xml:space="preserve">tiene implicancias directas con las obligaciones derivadas </w:t>
      </w:r>
      <w:r w:rsidR="00997858" w:rsidRPr="000F15EB">
        <w:rPr>
          <w:rFonts w:ascii="Verdana" w:hAnsi="Verdana"/>
          <w:color w:val="000000" w:themeColor="text1"/>
          <w:sz w:val="20"/>
          <w:szCs w:val="20"/>
          <w:lang w:val="es-ES"/>
        </w:rPr>
        <w:t xml:space="preserve">por el </w:t>
      </w:r>
      <w:r w:rsidR="00B16E6D" w:rsidRPr="000F15EB">
        <w:rPr>
          <w:rFonts w:ascii="Verdana" w:hAnsi="Verdana"/>
          <w:color w:val="000000" w:themeColor="text1"/>
          <w:sz w:val="20"/>
          <w:szCs w:val="20"/>
          <w:lang w:val="es-ES"/>
        </w:rPr>
        <w:t>artículo</w:t>
      </w:r>
      <w:r w:rsidR="00997858" w:rsidRPr="000F15EB">
        <w:rPr>
          <w:rFonts w:ascii="Verdana" w:hAnsi="Verdana"/>
          <w:color w:val="000000" w:themeColor="text1"/>
          <w:sz w:val="20"/>
          <w:szCs w:val="20"/>
          <w:lang w:val="es-ES"/>
        </w:rPr>
        <w:t xml:space="preserve"> 23</w:t>
      </w:r>
      <w:r w:rsidR="000F15EB">
        <w:rPr>
          <w:rFonts w:ascii="Verdana" w:hAnsi="Verdana"/>
          <w:color w:val="000000" w:themeColor="text1"/>
          <w:sz w:val="20"/>
          <w:szCs w:val="20"/>
          <w:lang w:val="es-ES"/>
        </w:rPr>
        <w:t xml:space="preserve"> del Pacto de San José</w:t>
      </w:r>
      <w:r w:rsidR="00801A52">
        <w:rPr>
          <w:rFonts w:ascii="Verdana" w:hAnsi="Verdana"/>
          <w:color w:val="000000" w:themeColor="text1"/>
          <w:sz w:val="20"/>
          <w:szCs w:val="20"/>
          <w:lang w:val="es-ES"/>
        </w:rPr>
        <w:t>.</w:t>
      </w:r>
    </w:p>
    <w:p w14:paraId="74EC4380" w14:textId="324B6925" w:rsidR="00997858" w:rsidRDefault="00807B78" w:rsidP="00807B78">
      <w:pPr>
        <w:spacing w:line="240" w:lineRule="auto"/>
        <w:jc w:val="both"/>
        <w:rPr>
          <w:rFonts w:ascii="Verdana" w:hAnsi="Verdana"/>
          <w:color w:val="000000" w:themeColor="text1"/>
          <w:sz w:val="20"/>
          <w:szCs w:val="20"/>
          <w:lang w:val="es-ES"/>
        </w:rPr>
      </w:pPr>
      <w:r>
        <w:rPr>
          <w:rFonts w:ascii="Verdana" w:hAnsi="Verdana"/>
          <w:color w:val="000000" w:themeColor="text1"/>
          <w:sz w:val="20"/>
          <w:szCs w:val="20"/>
          <w:lang w:val="es-ES"/>
        </w:rPr>
        <w:t>10</w:t>
      </w:r>
      <w:r w:rsidR="00627556">
        <w:rPr>
          <w:rFonts w:ascii="Verdana" w:hAnsi="Verdana"/>
          <w:color w:val="000000" w:themeColor="text1"/>
          <w:sz w:val="20"/>
          <w:szCs w:val="20"/>
          <w:lang w:val="es-ES"/>
        </w:rPr>
        <w:t>7</w:t>
      </w:r>
      <w:r>
        <w:rPr>
          <w:rFonts w:ascii="Verdana" w:hAnsi="Verdana"/>
          <w:color w:val="000000" w:themeColor="text1"/>
          <w:sz w:val="20"/>
          <w:szCs w:val="20"/>
          <w:lang w:val="es-ES"/>
        </w:rPr>
        <w:t xml:space="preserve">. </w:t>
      </w:r>
      <w:r>
        <w:rPr>
          <w:rFonts w:ascii="Verdana" w:hAnsi="Verdana"/>
          <w:color w:val="000000" w:themeColor="text1"/>
          <w:sz w:val="20"/>
          <w:szCs w:val="20"/>
          <w:lang w:val="es-ES"/>
        </w:rPr>
        <w:tab/>
      </w:r>
      <w:r w:rsidR="00997858" w:rsidRPr="00807B78">
        <w:rPr>
          <w:rFonts w:ascii="Verdana" w:hAnsi="Verdana"/>
          <w:color w:val="000000" w:themeColor="text1"/>
          <w:sz w:val="20"/>
          <w:szCs w:val="20"/>
          <w:lang w:val="es-ES"/>
        </w:rPr>
        <w:t xml:space="preserve">Por otro lado, </w:t>
      </w:r>
      <w:r w:rsidR="00997858" w:rsidRPr="00801A52">
        <w:rPr>
          <w:rFonts w:ascii="Verdana" w:hAnsi="Verdana"/>
          <w:i/>
          <w:iCs/>
          <w:color w:val="000000" w:themeColor="text1"/>
          <w:sz w:val="20"/>
          <w:szCs w:val="20"/>
          <w:lang w:val="es-ES"/>
        </w:rPr>
        <w:t xml:space="preserve">la faceta colectiva del derecho a la democracia </w:t>
      </w:r>
      <w:r w:rsidR="00997858" w:rsidRPr="00807B78">
        <w:rPr>
          <w:rFonts w:ascii="Verdana" w:hAnsi="Verdana"/>
          <w:color w:val="000000" w:themeColor="text1"/>
          <w:sz w:val="20"/>
          <w:szCs w:val="20"/>
          <w:lang w:val="es-ES"/>
        </w:rPr>
        <w:t xml:space="preserve">reconoce que todos los ciudadanos de un </w:t>
      </w:r>
      <w:r w:rsidR="007B3CA0">
        <w:rPr>
          <w:rFonts w:ascii="Verdana" w:hAnsi="Verdana"/>
          <w:color w:val="000000" w:themeColor="text1"/>
          <w:sz w:val="20"/>
          <w:szCs w:val="20"/>
          <w:lang w:val="es-ES"/>
        </w:rPr>
        <w:t>E</w:t>
      </w:r>
      <w:r w:rsidR="00997858" w:rsidRPr="00807B78">
        <w:rPr>
          <w:rFonts w:ascii="Verdana" w:hAnsi="Verdana"/>
          <w:color w:val="000000" w:themeColor="text1"/>
          <w:sz w:val="20"/>
          <w:szCs w:val="20"/>
          <w:lang w:val="es-ES"/>
        </w:rPr>
        <w:t xml:space="preserve">stado </w:t>
      </w:r>
      <w:r w:rsidR="007B3CA0">
        <w:rPr>
          <w:rFonts w:ascii="Verdana" w:hAnsi="Verdana"/>
          <w:color w:val="000000" w:themeColor="text1"/>
          <w:sz w:val="20"/>
          <w:szCs w:val="20"/>
          <w:lang w:val="es-ES"/>
        </w:rPr>
        <w:t>D</w:t>
      </w:r>
      <w:r w:rsidR="00997858" w:rsidRPr="00807B78">
        <w:rPr>
          <w:rFonts w:ascii="Verdana" w:hAnsi="Verdana"/>
          <w:color w:val="000000" w:themeColor="text1"/>
          <w:sz w:val="20"/>
          <w:szCs w:val="20"/>
          <w:lang w:val="es-ES"/>
        </w:rPr>
        <w:t xml:space="preserve">emocrático y </w:t>
      </w:r>
      <w:r w:rsidR="007B3CA0">
        <w:rPr>
          <w:rFonts w:ascii="Verdana" w:hAnsi="Verdana"/>
          <w:color w:val="000000" w:themeColor="text1"/>
          <w:sz w:val="20"/>
          <w:szCs w:val="20"/>
          <w:lang w:val="es-ES"/>
        </w:rPr>
        <w:t>C</w:t>
      </w:r>
      <w:r w:rsidR="00997858" w:rsidRPr="00807B78">
        <w:rPr>
          <w:rFonts w:ascii="Verdana" w:hAnsi="Verdana"/>
          <w:color w:val="000000" w:themeColor="text1"/>
          <w:sz w:val="20"/>
          <w:szCs w:val="20"/>
          <w:lang w:val="es-ES"/>
        </w:rPr>
        <w:t xml:space="preserve">onstitucional de </w:t>
      </w:r>
      <w:r w:rsidR="007B3CA0">
        <w:rPr>
          <w:rFonts w:ascii="Verdana" w:hAnsi="Verdana"/>
          <w:color w:val="000000" w:themeColor="text1"/>
          <w:sz w:val="20"/>
          <w:szCs w:val="20"/>
          <w:lang w:val="es-ES"/>
        </w:rPr>
        <w:t>D</w:t>
      </w:r>
      <w:r w:rsidR="00997858" w:rsidRPr="00807B78">
        <w:rPr>
          <w:rFonts w:ascii="Verdana" w:hAnsi="Verdana"/>
          <w:color w:val="000000" w:themeColor="text1"/>
          <w:sz w:val="20"/>
          <w:szCs w:val="20"/>
          <w:lang w:val="es-ES"/>
        </w:rPr>
        <w:t>erecho tienen un interés legítimo en el correcto desarrollo del juego democrático</w:t>
      </w:r>
      <w:r w:rsidR="00CA172D">
        <w:rPr>
          <w:rFonts w:ascii="Verdana" w:hAnsi="Verdana"/>
          <w:color w:val="000000" w:themeColor="text1"/>
          <w:sz w:val="20"/>
          <w:szCs w:val="20"/>
          <w:lang w:val="es-ES"/>
        </w:rPr>
        <w:t xml:space="preserve">; </w:t>
      </w:r>
      <w:r w:rsidR="00CA172D" w:rsidRPr="00CA172D">
        <w:rPr>
          <w:rFonts w:ascii="Verdana" w:hAnsi="Verdana"/>
          <w:color w:val="000000" w:themeColor="text1"/>
          <w:sz w:val="20"/>
          <w:szCs w:val="20"/>
        </w:rPr>
        <w:t>así</w:t>
      </w:r>
      <w:r w:rsidR="00CA172D">
        <w:rPr>
          <w:rFonts w:ascii="Verdana" w:hAnsi="Verdana"/>
          <w:color w:val="000000" w:themeColor="text1"/>
          <w:sz w:val="20"/>
          <w:szCs w:val="20"/>
        </w:rPr>
        <w:t>,</w:t>
      </w:r>
      <w:r w:rsidR="00CA172D" w:rsidRPr="00CA172D">
        <w:rPr>
          <w:rFonts w:ascii="Verdana" w:hAnsi="Verdana"/>
          <w:color w:val="000000" w:themeColor="text1"/>
          <w:sz w:val="20"/>
          <w:szCs w:val="20"/>
        </w:rPr>
        <w:t xml:space="preserve"> en tanto se esté afectando la integridad del juego democrático, especialmente si estas alteraciones provienen del poder público, se puede decir que no se está afectando únicamente el derecho de las personas directamente afectadas, como los partidos de oposición u otros sectores sociales no afines al poder oficialista, sino que está afectando el derecho de todos los ciudadanos al ofuscar el proceso que busca hacer valer su “expresión de […] soberanía”</w:t>
      </w:r>
      <w:r w:rsidR="00997858">
        <w:rPr>
          <w:rStyle w:val="FootnoteReference"/>
          <w:rFonts w:ascii="Verdana" w:hAnsi="Verdana"/>
          <w:color w:val="000000" w:themeColor="text1"/>
          <w:sz w:val="20"/>
          <w:szCs w:val="20"/>
          <w:lang w:val="es-ES"/>
        </w:rPr>
        <w:footnoteReference w:id="152"/>
      </w:r>
      <w:r w:rsidR="00CA172D">
        <w:rPr>
          <w:rFonts w:ascii="Verdana" w:hAnsi="Verdana"/>
          <w:color w:val="000000" w:themeColor="text1"/>
          <w:sz w:val="20"/>
          <w:szCs w:val="20"/>
          <w:lang w:val="es-ES"/>
        </w:rPr>
        <w:t>.</w:t>
      </w:r>
      <w:r w:rsidR="00997858" w:rsidRPr="00807B78">
        <w:rPr>
          <w:rFonts w:ascii="Verdana" w:hAnsi="Verdana"/>
          <w:color w:val="000000" w:themeColor="text1"/>
          <w:sz w:val="20"/>
          <w:szCs w:val="20"/>
          <w:lang w:val="es-ES"/>
        </w:rPr>
        <w:t xml:space="preserve"> Se trata, en definitiva, de una protección autónoma al propio sistema de democracia representativa, reconociendo que, en su conjunto, un pueblo tiene el derecho a que su gobierno se maneje con sujeción a l</w:t>
      </w:r>
      <w:r w:rsidR="00421928">
        <w:rPr>
          <w:rFonts w:ascii="Verdana" w:hAnsi="Verdana"/>
          <w:color w:val="000000" w:themeColor="text1"/>
          <w:sz w:val="20"/>
          <w:szCs w:val="20"/>
          <w:lang w:val="es-ES"/>
        </w:rPr>
        <w:t>í</w:t>
      </w:r>
      <w:r w:rsidR="00997858" w:rsidRPr="00807B78">
        <w:rPr>
          <w:rFonts w:ascii="Verdana" w:hAnsi="Verdana"/>
          <w:color w:val="000000" w:themeColor="text1"/>
          <w:sz w:val="20"/>
          <w:szCs w:val="20"/>
          <w:lang w:val="es-ES"/>
        </w:rPr>
        <w:t xml:space="preserve">mites propios del </w:t>
      </w:r>
      <w:r w:rsidR="00421928">
        <w:rPr>
          <w:rFonts w:ascii="Verdana" w:hAnsi="Verdana"/>
          <w:color w:val="000000" w:themeColor="text1"/>
          <w:sz w:val="20"/>
          <w:szCs w:val="20"/>
          <w:lang w:val="es-ES"/>
        </w:rPr>
        <w:t>E</w:t>
      </w:r>
      <w:r w:rsidR="00997858" w:rsidRPr="00807B78">
        <w:rPr>
          <w:rFonts w:ascii="Verdana" w:hAnsi="Verdana"/>
          <w:color w:val="000000" w:themeColor="text1"/>
          <w:sz w:val="20"/>
          <w:szCs w:val="20"/>
          <w:lang w:val="es-ES"/>
        </w:rPr>
        <w:t xml:space="preserve">stado </w:t>
      </w:r>
      <w:r w:rsidR="007B3CA0">
        <w:rPr>
          <w:rFonts w:ascii="Verdana" w:hAnsi="Verdana"/>
          <w:color w:val="000000" w:themeColor="text1"/>
          <w:sz w:val="20"/>
          <w:szCs w:val="20"/>
          <w:lang w:val="es-ES"/>
        </w:rPr>
        <w:t>C</w:t>
      </w:r>
      <w:r w:rsidR="00997858" w:rsidRPr="00807B78">
        <w:rPr>
          <w:rFonts w:ascii="Verdana" w:hAnsi="Verdana"/>
          <w:color w:val="000000" w:themeColor="text1"/>
          <w:sz w:val="20"/>
          <w:szCs w:val="20"/>
          <w:lang w:val="es-ES"/>
        </w:rPr>
        <w:t xml:space="preserve">onstitucional de </w:t>
      </w:r>
      <w:r w:rsidR="007B3CA0">
        <w:rPr>
          <w:rFonts w:ascii="Verdana" w:hAnsi="Verdana"/>
          <w:color w:val="000000" w:themeColor="text1"/>
          <w:sz w:val="20"/>
          <w:szCs w:val="20"/>
          <w:lang w:val="es-ES"/>
        </w:rPr>
        <w:t>D</w:t>
      </w:r>
      <w:r w:rsidR="00997858" w:rsidRPr="00807B78">
        <w:rPr>
          <w:rFonts w:ascii="Verdana" w:hAnsi="Verdana"/>
          <w:color w:val="000000" w:themeColor="text1"/>
          <w:sz w:val="20"/>
          <w:szCs w:val="20"/>
          <w:lang w:val="es-ES"/>
        </w:rPr>
        <w:t xml:space="preserve">erecho. </w:t>
      </w:r>
    </w:p>
    <w:p w14:paraId="469D25A4" w14:textId="2D6A733A" w:rsidR="00371144" w:rsidRDefault="00807B78" w:rsidP="00807B78">
      <w:pPr>
        <w:pStyle w:val="ListParagraph"/>
        <w:spacing w:line="240" w:lineRule="auto"/>
        <w:ind w:left="0"/>
        <w:jc w:val="both"/>
        <w:rPr>
          <w:rFonts w:ascii="Verdana" w:hAnsi="Verdana"/>
          <w:color w:val="000000" w:themeColor="text1"/>
          <w:sz w:val="20"/>
          <w:szCs w:val="20"/>
        </w:rPr>
      </w:pPr>
      <w:r>
        <w:rPr>
          <w:rFonts w:ascii="Verdana" w:hAnsi="Verdana"/>
          <w:color w:val="000000" w:themeColor="text1"/>
          <w:sz w:val="20"/>
          <w:szCs w:val="20"/>
          <w:lang w:val="es-ES"/>
        </w:rPr>
        <w:t>10</w:t>
      </w:r>
      <w:r w:rsidR="00627556">
        <w:rPr>
          <w:rFonts w:ascii="Verdana" w:hAnsi="Verdana"/>
          <w:color w:val="000000" w:themeColor="text1"/>
          <w:sz w:val="20"/>
          <w:szCs w:val="20"/>
          <w:lang w:val="es-ES"/>
        </w:rPr>
        <w:t>8</w:t>
      </w:r>
      <w:r>
        <w:rPr>
          <w:rFonts w:ascii="Verdana" w:hAnsi="Verdana"/>
          <w:color w:val="000000" w:themeColor="text1"/>
          <w:sz w:val="20"/>
          <w:szCs w:val="20"/>
          <w:lang w:val="es-ES"/>
        </w:rPr>
        <w:t xml:space="preserve">. </w:t>
      </w:r>
      <w:r>
        <w:rPr>
          <w:rFonts w:ascii="Verdana" w:hAnsi="Verdana"/>
          <w:color w:val="000000" w:themeColor="text1"/>
          <w:sz w:val="20"/>
          <w:szCs w:val="20"/>
          <w:lang w:val="es-ES"/>
        </w:rPr>
        <w:tab/>
      </w:r>
      <w:r w:rsidR="00997858">
        <w:rPr>
          <w:rFonts w:ascii="Verdana" w:hAnsi="Verdana"/>
          <w:color w:val="000000" w:themeColor="text1"/>
          <w:sz w:val="20"/>
          <w:szCs w:val="20"/>
          <w:lang w:val="es-ES"/>
        </w:rPr>
        <w:t>El reconocimiento de un colectivo indeterminado</w:t>
      </w:r>
      <w:r w:rsidR="00421928">
        <w:rPr>
          <w:rFonts w:ascii="Verdana" w:hAnsi="Verdana"/>
          <w:color w:val="000000" w:themeColor="text1"/>
          <w:sz w:val="20"/>
          <w:szCs w:val="20"/>
          <w:lang w:val="es-ES"/>
        </w:rPr>
        <w:t>,</w:t>
      </w:r>
      <w:r w:rsidR="00997858">
        <w:rPr>
          <w:rFonts w:ascii="Verdana" w:hAnsi="Verdana"/>
          <w:color w:val="000000" w:themeColor="text1"/>
          <w:sz w:val="20"/>
          <w:szCs w:val="20"/>
          <w:lang w:val="es-ES"/>
        </w:rPr>
        <w:t xml:space="preserve"> como víctima de una violación de sus derechos</w:t>
      </w:r>
      <w:r w:rsidR="00421928">
        <w:rPr>
          <w:rFonts w:ascii="Verdana" w:hAnsi="Verdana"/>
          <w:color w:val="000000" w:themeColor="text1"/>
          <w:sz w:val="20"/>
          <w:szCs w:val="20"/>
          <w:lang w:val="es-ES"/>
        </w:rPr>
        <w:t>,</w:t>
      </w:r>
      <w:r w:rsidR="00997858">
        <w:rPr>
          <w:rFonts w:ascii="Verdana" w:hAnsi="Verdana"/>
          <w:color w:val="000000" w:themeColor="text1"/>
          <w:sz w:val="20"/>
          <w:szCs w:val="20"/>
          <w:lang w:val="es-ES"/>
        </w:rPr>
        <w:t xml:space="preserve"> tiene precedente en el SIDH. Muy en particular, en el caso de </w:t>
      </w:r>
      <w:r w:rsidR="00997858">
        <w:rPr>
          <w:rFonts w:ascii="Verdana" w:hAnsi="Verdana"/>
          <w:i/>
          <w:iCs/>
          <w:color w:val="000000" w:themeColor="text1"/>
          <w:sz w:val="20"/>
          <w:szCs w:val="20"/>
          <w:lang w:val="es-ES"/>
        </w:rPr>
        <w:t>Unión Patriótica vs. Colombia</w:t>
      </w:r>
      <w:r w:rsidR="00613B85">
        <w:rPr>
          <w:rFonts w:ascii="Verdana" w:hAnsi="Verdana"/>
          <w:color w:val="000000" w:themeColor="text1"/>
          <w:sz w:val="20"/>
          <w:szCs w:val="20"/>
          <w:lang w:val="es-ES"/>
        </w:rPr>
        <w:t>.</w:t>
      </w:r>
      <w:r w:rsidR="00997858">
        <w:rPr>
          <w:rFonts w:ascii="Verdana" w:hAnsi="Verdana"/>
          <w:color w:val="000000" w:themeColor="text1"/>
          <w:sz w:val="20"/>
          <w:szCs w:val="20"/>
          <w:lang w:val="es-ES"/>
        </w:rPr>
        <w:t xml:space="preserve"> </w:t>
      </w:r>
      <w:r w:rsidR="00613B85">
        <w:rPr>
          <w:rFonts w:ascii="Verdana" w:hAnsi="Verdana"/>
          <w:color w:val="000000" w:themeColor="text1"/>
          <w:sz w:val="20"/>
          <w:szCs w:val="20"/>
          <w:lang w:val="es-ES"/>
        </w:rPr>
        <w:t>L</w:t>
      </w:r>
      <w:r w:rsidR="00997858">
        <w:rPr>
          <w:rFonts w:ascii="Verdana" w:hAnsi="Verdana"/>
          <w:color w:val="000000" w:themeColor="text1"/>
          <w:sz w:val="20"/>
          <w:szCs w:val="20"/>
          <w:lang w:val="es-ES"/>
        </w:rPr>
        <w:t>a Corte</w:t>
      </w:r>
      <w:r w:rsidR="00613B85">
        <w:rPr>
          <w:rFonts w:ascii="Verdana" w:hAnsi="Verdana"/>
          <w:color w:val="000000" w:themeColor="text1"/>
          <w:sz w:val="20"/>
          <w:szCs w:val="20"/>
          <w:lang w:val="es-ES"/>
        </w:rPr>
        <w:t xml:space="preserve"> IDH</w:t>
      </w:r>
      <w:r w:rsidR="00997858">
        <w:rPr>
          <w:rFonts w:ascii="Verdana" w:hAnsi="Verdana"/>
          <w:color w:val="000000" w:themeColor="text1"/>
          <w:sz w:val="20"/>
          <w:szCs w:val="20"/>
          <w:lang w:val="es-ES"/>
        </w:rPr>
        <w:t xml:space="preserve">, en el resolutivo número 19 de su sentencia, declaró responsable al Estado de violar el derecho de conocer la verdad </w:t>
      </w:r>
      <w:r w:rsidR="00997858" w:rsidRPr="00807B78">
        <w:rPr>
          <w:rFonts w:ascii="Verdana" w:hAnsi="Verdana"/>
          <w:color w:val="000000" w:themeColor="text1"/>
          <w:sz w:val="20"/>
          <w:szCs w:val="20"/>
          <w:lang w:val="es-ES"/>
        </w:rPr>
        <w:t>“</w:t>
      </w:r>
      <w:r w:rsidR="00997858" w:rsidRPr="00807B78">
        <w:rPr>
          <w:rFonts w:ascii="Verdana" w:hAnsi="Verdana"/>
          <w:color w:val="000000" w:themeColor="text1"/>
          <w:sz w:val="20"/>
          <w:szCs w:val="20"/>
        </w:rPr>
        <w:t>en perjuicio de las personas nombradas y</w:t>
      </w:r>
      <w:r w:rsidR="00997858" w:rsidRPr="00807B78">
        <w:rPr>
          <w:rFonts w:ascii="Verdana" w:hAnsi="Verdana"/>
          <w:b/>
          <w:bCs/>
          <w:color w:val="000000" w:themeColor="text1"/>
          <w:sz w:val="20"/>
          <w:szCs w:val="20"/>
        </w:rPr>
        <w:t xml:space="preserve"> de la sociedad en general</w:t>
      </w:r>
      <w:r w:rsidR="00997858" w:rsidRPr="00807B78">
        <w:rPr>
          <w:rFonts w:ascii="Verdana" w:hAnsi="Verdana"/>
          <w:color w:val="000000" w:themeColor="text1"/>
          <w:sz w:val="20"/>
          <w:szCs w:val="20"/>
        </w:rPr>
        <w:t>”</w:t>
      </w:r>
      <w:r w:rsidR="00997858" w:rsidRPr="00807B78">
        <w:rPr>
          <w:rStyle w:val="FootnoteReference"/>
          <w:rFonts w:ascii="Verdana" w:hAnsi="Verdana"/>
          <w:color w:val="000000" w:themeColor="text1"/>
          <w:sz w:val="20"/>
          <w:szCs w:val="20"/>
        </w:rPr>
        <w:footnoteReference w:id="153"/>
      </w:r>
      <w:r>
        <w:rPr>
          <w:rFonts w:ascii="Verdana" w:hAnsi="Verdana"/>
          <w:color w:val="000000" w:themeColor="text1"/>
          <w:sz w:val="20"/>
          <w:szCs w:val="20"/>
        </w:rPr>
        <w:t>.</w:t>
      </w:r>
      <w:r w:rsidR="00997858">
        <w:rPr>
          <w:rFonts w:ascii="Verdana" w:hAnsi="Verdana"/>
          <w:color w:val="000000" w:themeColor="text1"/>
          <w:sz w:val="20"/>
          <w:szCs w:val="20"/>
        </w:rPr>
        <w:t xml:space="preserve"> Lo anterior, </w:t>
      </w:r>
      <w:r w:rsidR="007B3CA0">
        <w:rPr>
          <w:rFonts w:ascii="Verdana" w:hAnsi="Verdana"/>
          <w:color w:val="000000" w:themeColor="text1"/>
          <w:sz w:val="20"/>
          <w:szCs w:val="20"/>
        </w:rPr>
        <w:t xml:space="preserve">dado que, </w:t>
      </w:r>
      <w:r w:rsidR="00613B85">
        <w:rPr>
          <w:rFonts w:ascii="Verdana" w:hAnsi="Verdana"/>
          <w:color w:val="000000" w:themeColor="text1"/>
          <w:sz w:val="20"/>
          <w:szCs w:val="20"/>
        </w:rPr>
        <w:t>en</w:t>
      </w:r>
      <w:r w:rsidR="00997858">
        <w:rPr>
          <w:rFonts w:ascii="Verdana" w:hAnsi="Verdana"/>
          <w:color w:val="000000" w:themeColor="text1"/>
          <w:sz w:val="20"/>
          <w:szCs w:val="20"/>
        </w:rPr>
        <w:t xml:space="preserve"> </w:t>
      </w:r>
      <w:r w:rsidR="002304A1">
        <w:rPr>
          <w:rFonts w:ascii="Verdana" w:hAnsi="Verdana"/>
          <w:color w:val="000000" w:themeColor="text1"/>
          <w:sz w:val="20"/>
          <w:szCs w:val="20"/>
        </w:rPr>
        <w:t>entendimiento</w:t>
      </w:r>
      <w:r w:rsidR="00997858">
        <w:rPr>
          <w:rFonts w:ascii="Verdana" w:hAnsi="Verdana"/>
          <w:color w:val="000000" w:themeColor="text1"/>
          <w:sz w:val="20"/>
          <w:szCs w:val="20"/>
        </w:rPr>
        <w:t xml:space="preserve"> de la Corte</w:t>
      </w:r>
      <w:r w:rsidR="00421928">
        <w:rPr>
          <w:rFonts w:ascii="Verdana" w:hAnsi="Verdana"/>
          <w:color w:val="000000" w:themeColor="text1"/>
          <w:sz w:val="20"/>
          <w:szCs w:val="20"/>
        </w:rPr>
        <w:t xml:space="preserve"> IDH</w:t>
      </w:r>
      <w:r w:rsidR="00997858">
        <w:rPr>
          <w:rFonts w:ascii="Verdana" w:hAnsi="Verdana"/>
          <w:color w:val="000000" w:themeColor="text1"/>
          <w:sz w:val="20"/>
          <w:szCs w:val="20"/>
        </w:rPr>
        <w:t>, “</w:t>
      </w:r>
      <w:r w:rsidR="00997858" w:rsidRPr="00F24A12">
        <w:rPr>
          <w:rFonts w:ascii="Verdana" w:hAnsi="Verdana"/>
          <w:color w:val="000000" w:themeColor="text1"/>
          <w:sz w:val="20"/>
          <w:szCs w:val="20"/>
        </w:rPr>
        <w:t>a lo largo de su jurisprudencia, la dimensión dual del derecho a la verdad, la cual se concreta en un derecho individual a conocer la verdad para las víctimas y sus familiares, así como en un derecho de la sociedad en su conjunto. En consecuencia, los familiares de las víctimas y la sociedad deben ser informados de todo lo sucedido con relación a dichas violaciones</w:t>
      </w:r>
      <w:r w:rsidR="00997858">
        <w:rPr>
          <w:rFonts w:ascii="Verdana" w:hAnsi="Verdana"/>
          <w:color w:val="000000" w:themeColor="text1"/>
          <w:sz w:val="20"/>
          <w:szCs w:val="20"/>
        </w:rPr>
        <w:t>”</w:t>
      </w:r>
      <w:r w:rsidR="00997858">
        <w:rPr>
          <w:rStyle w:val="FootnoteReference"/>
          <w:rFonts w:ascii="Verdana" w:hAnsi="Verdana"/>
          <w:color w:val="000000" w:themeColor="text1"/>
          <w:sz w:val="20"/>
          <w:szCs w:val="20"/>
        </w:rPr>
        <w:footnoteReference w:id="154"/>
      </w:r>
      <w:r w:rsidR="00421928">
        <w:rPr>
          <w:rFonts w:ascii="Verdana" w:hAnsi="Verdana"/>
          <w:color w:val="000000" w:themeColor="text1"/>
          <w:sz w:val="20"/>
          <w:szCs w:val="20"/>
        </w:rPr>
        <w:t>.</w:t>
      </w:r>
      <w:r w:rsidR="00997858">
        <w:rPr>
          <w:rFonts w:ascii="Verdana" w:hAnsi="Verdana"/>
          <w:color w:val="000000" w:themeColor="text1"/>
          <w:sz w:val="20"/>
          <w:szCs w:val="20"/>
        </w:rPr>
        <w:t xml:space="preserve"> </w:t>
      </w:r>
    </w:p>
    <w:p w14:paraId="178DB56C" w14:textId="77777777" w:rsidR="00371144" w:rsidRDefault="00371144" w:rsidP="00807B78">
      <w:pPr>
        <w:pStyle w:val="ListParagraph"/>
        <w:spacing w:line="240" w:lineRule="auto"/>
        <w:ind w:left="0"/>
        <w:jc w:val="both"/>
        <w:rPr>
          <w:rFonts w:ascii="Verdana" w:hAnsi="Verdana"/>
          <w:color w:val="000000" w:themeColor="text1"/>
          <w:sz w:val="20"/>
          <w:szCs w:val="20"/>
        </w:rPr>
      </w:pPr>
    </w:p>
    <w:p w14:paraId="26E685DB" w14:textId="2C42DFA2" w:rsidR="00997858" w:rsidRDefault="00371144" w:rsidP="00807B78">
      <w:pPr>
        <w:pStyle w:val="ListParagraph"/>
        <w:spacing w:line="240" w:lineRule="auto"/>
        <w:ind w:left="0"/>
        <w:jc w:val="both"/>
        <w:rPr>
          <w:rFonts w:ascii="Verdana" w:hAnsi="Verdana"/>
          <w:color w:val="000000" w:themeColor="text1"/>
          <w:sz w:val="20"/>
          <w:szCs w:val="20"/>
          <w:lang w:val="es-ES"/>
        </w:rPr>
      </w:pPr>
      <w:r>
        <w:rPr>
          <w:rFonts w:ascii="Verdana" w:hAnsi="Verdana"/>
          <w:color w:val="000000" w:themeColor="text1"/>
          <w:sz w:val="20"/>
          <w:szCs w:val="20"/>
        </w:rPr>
        <w:t>10</w:t>
      </w:r>
      <w:r w:rsidR="00627556">
        <w:rPr>
          <w:rFonts w:ascii="Verdana" w:hAnsi="Verdana"/>
          <w:color w:val="000000" w:themeColor="text1"/>
          <w:sz w:val="20"/>
          <w:szCs w:val="20"/>
        </w:rPr>
        <w:t>9</w:t>
      </w:r>
      <w:r>
        <w:rPr>
          <w:rFonts w:ascii="Verdana" w:hAnsi="Verdana"/>
          <w:color w:val="000000" w:themeColor="text1"/>
          <w:sz w:val="20"/>
          <w:szCs w:val="20"/>
        </w:rPr>
        <w:t xml:space="preserve">. </w:t>
      </w:r>
      <w:r>
        <w:rPr>
          <w:rFonts w:ascii="Verdana" w:hAnsi="Verdana"/>
          <w:color w:val="000000" w:themeColor="text1"/>
          <w:sz w:val="20"/>
          <w:szCs w:val="20"/>
        </w:rPr>
        <w:tab/>
      </w:r>
      <w:r w:rsidR="00997858">
        <w:rPr>
          <w:rFonts w:ascii="Verdana" w:hAnsi="Verdana"/>
          <w:color w:val="000000" w:themeColor="text1"/>
          <w:sz w:val="20"/>
          <w:szCs w:val="20"/>
        </w:rPr>
        <w:t xml:space="preserve">Aplicando esta </w:t>
      </w:r>
      <w:r w:rsidR="002304A1">
        <w:rPr>
          <w:rFonts w:ascii="Verdana" w:hAnsi="Verdana"/>
          <w:color w:val="000000" w:themeColor="text1"/>
          <w:sz w:val="20"/>
          <w:szCs w:val="20"/>
        </w:rPr>
        <w:t>lógica</w:t>
      </w:r>
      <w:r w:rsidR="00997858">
        <w:rPr>
          <w:rFonts w:ascii="Verdana" w:hAnsi="Verdana"/>
          <w:color w:val="000000" w:themeColor="text1"/>
          <w:sz w:val="20"/>
          <w:szCs w:val="20"/>
        </w:rPr>
        <w:t xml:space="preserve"> </w:t>
      </w:r>
      <w:r w:rsidR="00997858">
        <w:rPr>
          <w:rFonts w:ascii="Verdana" w:hAnsi="Verdana"/>
          <w:i/>
          <w:iCs/>
          <w:color w:val="000000" w:themeColor="text1"/>
          <w:sz w:val="20"/>
          <w:szCs w:val="20"/>
        </w:rPr>
        <w:t>mutatis mutandis</w:t>
      </w:r>
      <w:r w:rsidR="00997858">
        <w:rPr>
          <w:rFonts w:ascii="Verdana" w:hAnsi="Verdana"/>
          <w:color w:val="000000" w:themeColor="text1"/>
          <w:sz w:val="20"/>
          <w:szCs w:val="20"/>
        </w:rPr>
        <w:t xml:space="preserve"> a la dimensión colectiva del derecho a la democracia o incluso la dimensión colectiva de los derechos </w:t>
      </w:r>
      <w:r w:rsidR="002304A1">
        <w:rPr>
          <w:rFonts w:ascii="Verdana" w:hAnsi="Verdana"/>
          <w:color w:val="000000" w:themeColor="text1"/>
          <w:sz w:val="20"/>
          <w:szCs w:val="20"/>
        </w:rPr>
        <w:t>políticos</w:t>
      </w:r>
      <w:r w:rsidR="00997858">
        <w:rPr>
          <w:rFonts w:ascii="Verdana" w:hAnsi="Verdana"/>
          <w:color w:val="000000" w:themeColor="text1"/>
          <w:sz w:val="20"/>
          <w:szCs w:val="20"/>
        </w:rPr>
        <w:t xml:space="preserve"> </w:t>
      </w:r>
      <w:r w:rsidR="00997858" w:rsidRPr="002304A1">
        <w:rPr>
          <w:rFonts w:ascii="Verdana" w:hAnsi="Verdana"/>
          <w:i/>
          <w:iCs/>
          <w:color w:val="000000" w:themeColor="text1"/>
          <w:sz w:val="20"/>
          <w:szCs w:val="20"/>
        </w:rPr>
        <w:t>ex.</w:t>
      </w:r>
      <w:r w:rsidR="00997858" w:rsidRPr="00363551">
        <w:rPr>
          <w:rFonts w:ascii="Verdana" w:hAnsi="Verdana"/>
          <w:i/>
          <w:color w:val="000000" w:themeColor="text1"/>
          <w:sz w:val="20"/>
          <w:szCs w:val="20"/>
        </w:rPr>
        <w:t xml:space="preserve"> art.</w:t>
      </w:r>
      <w:r w:rsidR="00997858">
        <w:rPr>
          <w:rFonts w:ascii="Verdana" w:hAnsi="Verdana"/>
          <w:color w:val="000000" w:themeColor="text1"/>
          <w:sz w:val="20"/>
          <w:szCs w:val="20"/>
        </w:rPr>
        <w:t xml:space="preserve"> 23 CADH (que, como ya se ha indicado, mantienen cierto paralelismo), se llega a la conclusión de que a la luz de que el objeto mismo de ambos derechos es la tutela de un procedimiento inherente a </w:t>
      </w:r>
      <w:r w:rsidR="00997858">
        <w:rPr>
          <w:rFonts w:ascii="Verdana" w:hAnsi="Verdana"/>
          <w:color w:val="000000" w:themeColor="text1"/>
          <w:sz w:val="20"/>
          <w:szCs w:val="20"/>
        </w:rPr>
        <w:lastRenderedPageBreak/>
        <w:t>la democracia y que la naturaleza de este es netamente colectiva</w:t>
      </w:r>
      <w:r w:rsidR="00997858">
        <w:rPr>
          <w:rStyle w:val="FootnoteReference"/>
          <w:rFonts w:ascii="Verdana" w:hAnsi="Verdana"/>
          <w:color w:val="000000" w:themeColor="text1"/>
          <w:sz w:val="20"/>
          <w:szCs w:val="20"/>
        </w:rPr>
        <w:footnoteReference w:id="155"/>
      </w:r>
      <w:r w:rsidR="00421928">
        <w:rPr>
          <w:rFonts w:ascii="Verdana" w:hAnsi="Verdana"/>
          <w:color w:val="000000" w:themeColor="text1"/>
          <w:sz w:val="20"/>
          <w:szCs w:val="20"/>
        </w:rPr>
        <w:t>,</w:t>
      </w:r>
      <w:r w:rsidR="00997858">
        <w:rPr>
          <w:rFonts w:ascii="Verdana" w:hAnsi="Verdana"/>
          <w:color w:val="000000" w:themeColor="text1"/>
          <w:sz w:val="20"/>
          <w:szCs w:val="20"/>
        </w:rPr>
        <w:t xml:space="preserve"> procede el reconocimiento de la sociedad en general de que se trate como v</w:t>
      </w:r>
      <w:r w:rsidR="00421928">
        <w:rPr>
          <w:rFonts w:ascii="Verdana" w:hAnsi="Verdana"/>
          <w:color w:val="000000" w:themeColor="text1"/>
          <w:sz w:val="20"/>
          <w:szCs w:val="20"/>
        </w:rPr>
        <w:t>í</w:t>
      </w:r>
      <w:r w:rsidR="00997858">
        <w:rPr>
          <w:rFonts w:ascii="Verdana" w:hAnsi="Verdana"/>
          <w:color w:val="000000" w:themeColor="text1"/>
          <w:sz w:val="20"/>
          <w:szCs w:val="20"/>
        </w:rPr>
        <w:t xml:space="preserve">ctima de las </w:t>
      </w:r>
      <w:r w:rsidR="002304A1">
        <w:rPr>
          <w:rFonts w:ascii="Verdana" w:hAnsi="Verdana"/>
          <w:color w:val="000000" w:themeColor="text1"/>
          <w:sz w:val="20"/>
          <w:szCs w:val="20"/>
        </w:rPr>
        <w:t>violaciones</w:t>
      </w:r>
      <w:r w:rsidR="00997858">
        <w:rPr>
          <w:rFonts w:ascii="Verdana" w:hAnsi="Verdana"/>
          <w:color w:val="000000" w:themeColor="text1"/>
          <w:sz w:val="20"/>
          <w:szCs w:val="20"/>
        </w:rPr>
        <w:t xml:space="preserve"> constatadas. </w:t>
      </w:r>
    </w:p>
    <w:p w14:paraId="2E40B494" w14:textId="39BE2115" w:rsidR="00677BE2" w:rsidRDefault="00371144" w:rsidP="00677BE2">
      <w:pPr>
        <w:spacing w:after="0" w:line="240" w:lineRule="auto"/>
        <w:jc w:val="both"/>
        <w:rPr>
          <w:rFonts w:ascii="Verdana" w:hAnsi="Verdana"/>
          <w:color w:val="000000" w:themeColor="text1"/>
          <w:sz w:val="20"/>
          <w:szCs w:val="20"/>
          <w:lang w:val="es-ES"/>
        </w:rPr>
      </w:pPr>
      <w:r>
        <w:rPr>
          <w:rFonts w:ascii="Verdana" w:hAnsi="Verdana"/>
          <w:color w:val="000000" w:themeColor="text1"/>
          <w:sz w:val="20"/>
          <w:szCs w:val="20"/>
          <w:lang w:val="es-ES"/>
        </w:rPr>
        <w:t>1</w:t>
      </w:r>
      <w:r w:rsidR="00627556">
        <w:rPr>
          <w:rFonts w:ascii="Verdana" w:hAnsi="Verdana"/>
          <w:color w:val="000000" w:themeColor="text1"/>
          <w:sz w:val="20"/>
          <w:szCs w:val="20"/>
          <w:lang w:val="es-ES"/>
        </w:rPr>
        <w:t>10</w:t>
      </w:r>
      <w:r>
        <w:rPr>
          <w:rFonts w:ascii="Verdana" w:hAnsi="Verdana"/>
          <w:color w:val="000000" w:themeColor="text1"/>
          <w:sz w:val="20"/>
          <w:szCs w:val="20"/>
          <w:lang w:val="es-ES"/>
        </w:rPr>
        <w:t xml:space="preserve">. </w:t>
      </w:r>
      <w:r>
        <w:rPr>
          <w:rFonts w:ascii="Verdana" w:hAnsi="Verdana"/>
          <w:color w:val="000000" w:themeColor="text1"/>
          <w:sz w:val="20"/>
          <w:szCs w:val="20"/>
          <w:lang w:val="es-ES"/>
        </w:rPr>
        <w:tab/>
      </w:r>
      <w:r w:rsidR="00677BE2">
        <w:rPr>
          <w:rFonts w:ascii="Verdana" w:hAnsi="Verdana"/>
          <w:color w:val="000000" w:themeColor="text1"/>
          <w:sz w:val="20"/>
          <w:szCs w:val="20"/>
          <w:lang w:val="es-ES"/>
        </w:rPr>
        <w:t xml:space="preserve">Dicho esto, es importante enfatizar que </w:t>
      </w:r>
      <w:r w:rsidR="00997858" w:rsidRPr="00590665">
        <w:rPr>
          <w:rFonts w:ascii="Verdana" w:hAnsi="Verdana"/>
          <w:color w:val="000000" w:themeColor="text1"/>
          <w:sz w:val="20"/>
          <w:szCs w:val="20"/>
          <w:lang w:val="es-ES"/>
        </w:rPr>
        <w:t xml:space="preserve">no toda situación evidencia un </w:t>
      </w:r>
      <w:r w:rsidR="00997858" w:rsidRPr="00421928">
        <w:rPr>
          <w:rFonts w:ascii="Verdana" w:hAnsi="Verdana"/>
          <w:i/>
          <w:iCs/>
          <w:color w:val="000000" w:themeColor="text1"/>
          <w:sz w:val="20"/>
          <w:szCs w:val="20"/>
          <w:lang w:val="es-ES"/>
        </w:rPr>
        <w:t>declive democrático</w:t>
      </w:r>
      <w:r w:rsidR="00997858" w:rsidRPr="00590665">
        <w:rPr>
          <w:rFonts w:ascii="Verdana" w:hAnsi="Verdana"/>
          <w:color w:val="000000" w:themeColor="text1"/>
          <w:sz w:val="20"/>
          <w:szCs w:val="20"/>
          <w:lang w:val="es-ES"/>
        </w:rPr>
        <w:t xml:space="preserve"> que activaría el derecho a la democracia</w:t>
      </w:r>
      <w:r w:rsidR="00421928">
        <w:rPr>
          <w:rFonts w:ascii="Verdana" w:hAnsi="Verdana"/>
          <w:color w:val="000000" w:themeColor="text1"/>
          <w:sz w:val="20"/>
          <w:szCs w:val="20"/>
          <w:lang w:val="es-ES"/>
        </w:rPr>
        <w:t xml:space="preserve">. Por ejemplo, </w:t>
      </w:r>
      <w:r w:rsidR="00997858" w:rsidRPr="00590665">
        <w:rPr>
          <w:rFonts w:ascii="Verdana" w:hAnsi="Verdana"/>
          <w:color w:val="000000" w:themeColor="text1"/>
          <w:sz w:val="20"/>
          <w:szCs w:val="20"/>
          <w:lang w:val="es-ES"/>
        </w:rPr>
        <w:t>instancias puntuales de violación al derecho de libertad de expresión</w:t>
      </w:r>
      <w:r w:rsidR="00421928">
        <w:rPr>
          <w:rFonts w:ascii="Verdana" w:hAnsi="Verdana"/>
          <w:color w:val="000000" w:themeColor="text1"/>
          <w:sz w:val="20"/>
          <w:szCs w:val="20"/>
          <w:lang w:val="es-ES"/>
        </w:rPr>
        <w:t>. N</w:t>
      </w:r>
      <w:r w:rsidR="00997858" w:rsidRPr="00590665">
        <w:rPr>
          <w:rFonts w:ascii="Verdana" w:hAnsi="Verdana"/>
          <w:color w:val="000000" w:themeColor="text1"/>
          <w:sz w:val="20"/>
          <w:szCs w:val="20"/>
          <w:lang w:val="es-ES"/>
        </w:rPr>
        <w:t>o obstante, este derecho tiene la capacidad de incidir en el contexto que dio paso a un declive democrático generalizado que, como sustrato del</w:t>
      </w:r>
      <w:r w:rsidR="00421928">
        <w:rPr>
          <w:rFonts w:ascii="Verdana" w:hAnsi="Verdana"/>
          <w:color w:val="000000" w:themeColor="text1"/>
          <w:sz w:val="20"/>
          <w:szCs w:val="20"/>
          <w:lang w:val="es-ES"/>
        </w:rPr>
        <w:t xml:space="preserve"> núcleo indisoluble de democracia, Estado de </w:t>
      </w:r>
      <w:r w:rsidR="007B3CA0">
        <w:rPr>
          <w:rFonts w:ascii="Verdana" w:hAnsi="Verdana"/>
          <w:color w:val="000000" w:themeColor="text1"/>
          <w:sz w:val="20"/>
          <w:szCs w:val="20"/>
          <w:lang w:val="es-ES"/>
        </w:rPr>
        <w:t>D</w:t>
      </w:r>
      <w:r w:rsidR="00421928">
        <w:rPr>
          <w:rFonts w:ascii="Verdana" w:hAnsi="Verdana"/>
          <w:color w:val="000000" w:themeColor="text1"/>
          <w:sz w:val="20"/>
          <w:szCs w:val="20"/>
          <w:lang w:val="es-ES"/>
        </w:rPr>
        <w:t>erecho y derechos humanos</w:t>
      </w:r>
      <w:r w:rsidR="00997858" w:rsidRPr="00590665">
        <w:rPr>
          <w:rFonts w:ascii="Verdana" w:hAnsi="Verdana"/>
          <w:color w:val="000000" w:themeColor="text1"/>
          <w:sz w:val="20"/>
          <w:szCs w:val="20"/>
          <w:lang w:val="es-ES"/>
        </w:rPr>
        <w:t xml:space="preserve">, tendría repercusión en los demás derechos tutelados por la Convención </w:t>
      </w:r>
      <w:r w:rsidR="00421928">
        <w:rPr>
          <w:rFonts w:ascii="Verdana" w:hAnsi="Verdana"/>
          <w:color w:val="000000" w:themeColor="text1"/>
          <w:sz w:val="20"/>
          <w:szCs w:val="20"/>
          <w:lang w:val="es-ES"/>
        </w:rPr>
        <w:t>A</w:t>
      </w:r>
      <w:r w:rsidR="00997858" w:rsidRPr="00590665">
        <w:rPr>
          <w:rFonts w:ascii="Verdana" w:hAnsi="Verdana"/>
          <w:color w:val="000000" w:themeColor="text1"/>
          <w:sz w:val="20"/>
          <w:szCs w:val="20"/>
          <w:lang w:val="es-ES"/>
        </w:rPr>
        <w:t>mericana</w:t>
      </w:r>
      <w:r w:rsidR="00997858">
        <w:rPr>
          <w:rStyle w:val="FootnoteReference"/>
          <w:rFonts w:ascii="Verdana" w:hAnsi="Verdana"/>
          <w:color w:val="000000" w:themeColor="text1"/>
          <w:sz w:val="20"/>
          <w:szCs w:val="20"/>
          <w:lang w:val="es-ES"/>
        </w:rPr>
        <w:footnoteReference w:id="156"/>
      </w:r>
      <w:r w:rsidR="00421928">
        <w:rPr>
          <w:rFonts w:ascii="Verdana" w:hAnsi="Verdana"/>
          <w:color w:val="000000" w:themeColor="text1"/>
          <w:sz w:val="20"/>
          <w:szCs w:val="20"/>
          <w:lang w:val="es-ES"/>
        </w:rPr>
        <w:t>.</w:t>
      </w:r>
      <w:r w:rsidR="00997858" w:rsidRPr="00590665">
        <w:rPr>
          <w:rFonts w:ascii="Verdana" w:hAnsi="Verdana"/>
          <w:color w:val="000000" w:themeColor="text1"/>
          <w:sz w:val="20"/>
          <w:szCs w:val="20"/>
          <w:lang w:val="es-ES"/>
        </w:rPr>
        <w:t xml:space="preserve"> </w:t>
      </w:r>
      <w:r w:rsidR="00677BE2" w:rsidRPr="000C7C89">
        <w:rPr>
          <w:rFonts w:ascii="Verdana" w:hAnsi="Verdana"/>
          <w:color w:val="000000" w:themeColor="text1"/>
          <w:sz w:val="20"/>
          <w:szCs w:val="20"/>
          <w:lang w:val="es-ES"/>
        </w:rPr>
        <w:t xml:space="preserve">Y aquí, retomando lo indicado </w:t>
      </w:r>
      <w:r w:rsidR="00677BE2" w:rsidRPr="000C7C89">
        <w:rPr>
          <w:rFonts w:ascii="Verdana" w:hAnsi="Verdana"/>
          <w:i/>
          <w:iCs/>
          <w:color w:val="000000" w:themeColor="text1"/>
          <w:sz w:val="20"/>
          <w:szCs w:val="20"/>
          <w:lang w:val="es-ES"/>
        </w:rPr>
        <w:t>supra</w:t>
      </w:r>
      <w:r w:rsidR="00677BE2" w:rsidRPr="000C7C89">
        <w:rPr>
          <w:rFonts w:ascii="Verdana" w:hAnsi="Verdana"/>
          <w:color w:val="000000" w:themeColor="text1"/>
          <w:sz w:val="20"/>
          <w:szCs w:val="20"/>
          <w:lang w:val="es-ES"/>
        </w:rPr>
        <w:t xml:space="preserve">, es precisamente en donde el </w:t>
      </w:r>
      <w:r w:rsidR="00677BE2" w:rsidRPr="000C7C89">
        <w:rPr>
          <w:rFonts w:ascii="Verdana" w:hAnsi="Verdana"/>
          <w:i/>
          <w:iCs/>
          <w:color w:val="000000" w:themeColor="text1"/>
          <w:sz w:val="20"/>
          <w:szCs w:val="20"/>
          <w:lang w:val="es-ES"/>
        </w:rPr>
        <w:t xml:space="preserve">contexto </w:t>
      </w:r>
      <w:r w:rsidR="00677BE2" w:rsidRPr="000C7C89">
        <w:rPr>
          <w:rFonts w:ascii="Verdana" w:hAnsi="Verdana"/>
          <w:color w:val="000000" w:themeColor="text1"/>
          <w:sz w:val="20"/>
          <w:szCs w:val="20"/>
          <w:lang w:val="es-ES"/>
        </w:rPr>
        <w:t xml:space="preserve">y las pruebas contextuales devienen esenciales, dado que la constatación de una violación al </w:t>
      </w:r>
      <w:r w:rsidR="00677BE2" w:rsidRPr="000C7C89">
        <w:rPr>
          <w:rFonts w:ascii="Verdana" w:hAnsi="Verdana"/>
          <w:i/>
          <w:iCs/>
          <w:color w:val="000000" w:themeColor="text1"/>
          <w:sz w:val="20"/>
          <w:szCs w:val="20"/>
          <w:lang w:val="es-ES"/>
        </w:rPr>
        <w:t xml:space="preserve">derecho a la democracia </w:t>
      </w:r>
      <w:r w:rsidR="00677BE2" w:rsidRPr="000C7C89">
        <w:rPr>
          <w:rFonts w:ascii="Verdana" w:hAnsi="Verdana"/>
          <w:color w:val="000000" w:themeColor="text1"/>
          <w:sz w:val="20"/>
          <w:szCs w:val="20"/>
          <w:lang w:val="es-ES"/>
        </w:rPr>
        <w:t>no se puede enmarcar en una serie de parámetros rigurosos a nivel internacional; más bien, responde a un relato histórico democrático común que tiene concreciones espec</w:t>
      </w:r>
      <w:r w:rsidR="006E6879" w:rsidRPr="000C7C89">
        <w:rPr>
          <w:rFonts w:ascii="Verdana" w:hAnsi="Verdana"/>
          <w:color w:val="000000" w:themeColor="text1"/>
          <w:sz w:val="20"/>
          <w:szCs w:val="20"/>
          <w:lang w:val="es-ES"/>
        </w:rPr>
        <w:t>í</w:t>
      </w:r>
      <w:r w:rsidR="00677BE2" w:rsidRPr="000C7C89">
        <w:rPr>
          <w:rFonts w:ascii="Verdana" w:hAnsi="Verdana"/>
          <w:color w:val="000000" w:themeColor="text1"/>
          <w:sz w:val="20"/>
          <w:szCs w:val="20"/>
          <w:lang w:val="es-ES"/>
        </w:rPr>
        <w:t xml:space="preserve">ficas en los diversos países de la región. Por ello, conviene enfatizar que lo que se exige en vía del </w:t>
      </w:r>
      <w:r w:rsidR="00677BE2" w:rsidRPr="000C7C89">
        <w:rPr>
          <w:rFonts w:ascii="Verdana" w:hAnsi="Verdana"/>
          <w:i/>
          <w:iCs/>
          <w:color w:val="000000" w:themeColor="text1"/>
          <w:sz w:val="20"/>
          <w:szCs w:val="20"/>
          <w:lang w:val="es-ES"/>
        </w:rPr>
        <w:t xml:space="preserve">derecho a la democracia </w:t>
      </w:r>
      <w:r w:rsidR="00677BE2" w:rsidRPr="000C7C89">
        <w:rPr>
          <w:rFonts w:ascii="Verdana" w:hAnsi="Verdana"/>
          <w:color w:val="000000" w:themeColor="text1"/>
          <w:sz w:val="20"/>
          <w:szCs w:val="20"/>
          <w:lang w:val="es-ES"/>
        </w:rPr>
        <w:t xml:space="preserve">es la preservación de la </w:t>
      </w:r>
      <w:r w:rsidR="00677BE2" w:rsidRPr="000C7C89">
        <w:rPr>
          <w:rFonts w:ascii="Verdana" w:hAnsi="Verdana"/>
          <w:i/>
          <w:iCs/>
          <w:color w:val="000000" w:themeColor="text1"/>
          <w:sz w:val="20"/>
          <w:szCs w:val="20"/>
          <w:lang w:val="es-ES"/>
        </w:rPr>
        <w:t>coherencia sistémica</w:t>
      </w:r>
      <w:r w:rsidR="00677BE2" w:rsidRPr="000C7C89">
        <w:rPr>
          <w:rFonts w:ascii="Verdana" w:hAnsi="Verdana"/>
          <w:color w:val="000000" w:themeColor="text1"/>
          <w:sz w:val="20"/>
          <w:szCs w:val="20"/>
          <w:lang w:val="es-ES"/>
        </w:rPr>
        <w:t xml:space="preserve"> que debe imperar en un Estado </w:t>
      </w:r>
      <w:r w:rsidR="006E6879" w:rsidRPr="000C7C89">
        <w:rPr>
          <w:rFonts w:ascii="Verdana" w:hAnsi="Verdana"/>
          <w:color w:val="000000" w:themeColor="text1"/>
          <w:sz w:val="20"/>
          <w:szCs w:val="20"/>
          <w:lang w:val="es-ES"/>
        </w:rPr>
        <w:t>m</w:t>
      </w:r>
      <w:r w:rsidR="00677BE2" w:rsidRPr="000C7C89">
        <w:rPr>
          <w:rFonts w:ascii="Verdana" w:hAnsi="Verdana"/>
          <w:color w:val="000000" w:themeColor="text1"/>
          <w:sz w:val="20"/>
          <w:szCs w:val="20"/>
          <w:lang w:val="es-ES"/>
        </w:rPr>
        <w:t>iembro del SIDH</w:t>
      </w:r>
      <w:r w:rsidR="00677BE2" w:rsidRPr="000C7C89">
        <w:rPr>
          <w:rStyle w:val="FootnoteReference"/>
          <w:rFonts w:ascii="Verdana" w:hAnsi="Verdana"/>
          <w:color w:val="000000" w:themeColor="text1"/>
          <w:sz w:val="20"/>
          <w:szCs w:val="20"/>
          <w:lang w:val="es-ES"/>
        </w:rPr>
        <w:footnoteReference w:id="157"/>
      </w:r>
      <w:r w:rsidR="00677BE2" w:rsidRPr="000C7C89">
        <w:rPr>
          <w:rFonts w:ascii="Verdana" w:hAnsi="Verdana"/>
          <w:color w:val="000000" w:themeColor="text1"/>
          <w:sz w:val="20"/>
          <w:szCs w:val="20"/>
          <w:lang w:val="es-ES"/>
        </w:rPr>
        <w:t>.</w:t>
      </w:r>
      <w:r w:rsidR="00677BE2" w:rsidRPr="000C7C89">
        <w:rPr>
          <w:rFonts w:ascii="Verdana" w:hAnsi="Verdana"/>
          <w:i/>
          <w:iCs/>
          <w:color w:val="000000" w:themeColor="text1"/>
          <w:sz w:val="20"/>
          <w:szCs w:val="20"/>
          <w:lang w:val="es-ES"/>
        </w:rPr>
        <w:t xml:space="preserve"> </w:t>
      </w:r>
      <w:r w:rsidR="00677BE2" w:rsidRPr="000C7C89">
        <w:rPr>
          <w:rFonts w:ascii="Verdana" w:hAnsi="Verdana"/>
          <w:color w:val="000000" w:themeColor="text1"/>
          <w:sz w:val="20"/>
          <w:szCs w:val="20"/>
          <w:lang w:val="es-ES"/>
        </w:rPr>
        <w:t xml:space="preserve">En otras palabras, y respetando el principio toral de la </w:t>
      </w:r>
      <w:r w:rsidR="00677BE2" w:rsidRPr="000C7C89">
        <w:rPr>
          <w:rFonts w:ascii="Verdana" w:hAnsi="Verdana"/>
          <w:i/>
          <w:iCs/>
          <w:color w:val="000000" w:themeColor="text1"/>
          <w:sz w:val="20"/>
          <w:szCs w:val="20"/>
          <w:lang w:val="es-ES"/>
        </w:rPr>
        <w:t>subsidiariedad</w:t>
      </w:r>
      <w:r w:rsidR="00677BE2" w:rsidRPr="000C7C89">
        <w:rPr>
          <w:rFonts w:ascii="Verdana" w:hAnsi="Verdana"/>
          <w:color w:val="000000" w:themeColor="text1"/>
          <w:sz w:val="20"/>
          <w:szCs w:val="20"/>
          <w:lang w:val="es-ES"/>
        </w:rPr>
        <w:t xml:space="preserve">, se trata de identificar, en el </w:t>
      </w:r>
      <w:r w:rsidR="00677BE2" w:rsidRPr="000C7C89">
        <w:rPr>
          <w:rFonts w:ascii="Verdana" w:hAnsi="Verdana"/>
          <w:i/>
          <w:iCs/>
          <w:color w:val="000000" w:themeColor="text1"/>
          <w:sz w:val="20"/>
          <w:szCs w:val="20"/>
          <w:lang w:val="es-ES"/>
        </w:rPr>
        <w:t>contexto democrático interamericano</w:t>
      </w:r>
      <w:r w:rsidR="00677BE2" w:rsidRPr="000C7C89">
        <w:rPr>
          <w:rFonts w:ascii="Verdana" w:hAnsi="Verdana"/>
          <w:color w:val="000000" w:themeColor="text1"/>
          <w:sz w:val="20"/>
          <w:szCs w:val="20"/>
          <w:lang w:val="es-ES"/>
        </w:rPr>
        <w:t>, aquellas actuaciones que, empleando el velo de legitimidad que otorga la mayoría popular, auto refutan los elementos esenciales del sistema que, como se ha venido indicando, se representan por la relación tripartita</w:t>
      </w:r>
      <w:r w:rsidR="006E6879">
        <w:rPr>
          <w:rFonts w:ascii="Verdana" w:hAnsi="Verdana"/>
          <w:color w:val="000000" w:themeColor="text1"/>
          <w:sz w:val="20"/>
          <w:szCs w:val="20"/>
          <w:lang w:val="es-ES"/>
        </w:rPr>
        <w:t xml:space="preserve"> de democracia, Estado de </w:t>
      </w:r>
      <w:r w:rsidR="000E241D">
        <w:rPr>
          <w:rFonts w:ascii="Verdana" w:hAnsi="Verdana"/>
          <w:color w:val="000000" w:themeColor="text1"/>
          <w:sz w:val="20"/>
          <w:szCs w:val="20"/>
          <w:lang w:val="es-ES"/>
        </w:rPr>
        <w:t>D</w:t>
      </w:r>
      <w:r w:rsidR="006E6879">
        <w:rPr>
          <w:rFonts w:ascii="Verdana" w:hAnsi="Verdana"/>
          <w:color w:val="000000" w:themeColor="text1"/>
          <w:sz w:val="20"/>
          <w:szCs w:val="20"/>
          <w:lang w:val="es-ES"/>
        </w:rPr>
        <w:t>erecho y vigencia de los derechos humanos</w:t>
      </w:r>
      <w:r w:rsidR="00677BE2">
        <w:rPr>
          <w:rFonts w:ascii="Verdana" w:hAnsi="Verdana"/>
          <w:color w:val="000000" w:themeColor="text1"/>
          <w:sz w:val="20"/>
          <w:szCs w:val="20"/>
          <w:lang w:val="es-ES"/>
        </w:rPr>
        <w:t xml:space="preserve">. </w:t>
      </w:r>
      <w:r w:rsidR="00997858" w:rsidRPr="00590665">
        <w:rPr>
          <w:rFonts w:ascii="Verdana" w:hAnsi="Verdana"/>
          <w:color w:val="000000" w:themeColor="text1"/>
          <w:sz w:val="20"/>
          <w:szCs w:val="20"/>
          <w:lang w:val="es-ES"/>
        </w:rPr>
        <w:t xml:space="preserve">En efecto, como lo indicó la Corte </w:t>
      </w:r>
      <w:r w:rsidR="00421928">
        <w:rPr>
          <w:rFonts w:ascii="Verdana" w:hAnsi="Verdana"/>
          <w:color w:val="000000" w:themeColor="text1"/>
          <w:sz w:val="20"/>
          <w:szCs w:val="20"/>
          <w:lang w:val="es-ES"/>
        </w:rPr>
        <w:t xml:space="preserve">IDH </w:t>
      </w:r>
      <w:r w:rsidR="00997858" w:rsidRPr="00590665">
        <w:rPr>
          <w:rFonts w:ascii="Verdana" w:hAnsi="Verdana"/>
          <w:color w:val="000000" w:themeColor="text1"/>
          <w:sz w:val="20"/>
          <w:szCs w:val="20"/>
          <w:lang w:val="es-ES"/>
        </w:rPr>
        <w:t xml:space="preserve">en su OC No. 8 sobre el </w:t>
      </w:r>
      <w:r w:rsidR="00997858" w:rsidRPr="00590665">
        <w:rPr>
          <w:rFonts w:ascii="Verdana" w:hAnsi="Verdana"/>
          <w:i/>
          <w:iCs/>
          <w:color w:val="000000" w:themeColor="text1"/>
          <w:sz w:val="20"/>
          <w:szCs w:val="20"/>
          <w:lang w:val="es-ES"/>
        </w:rPr>
        <w:t>Habeas corpus bajo la suspensión de garantías</w:t>
      </w:r>
      <w:r w:rsidR="00997858" w:rsidRPr="00590665">
        <w:rPr>
          <w:rFonts w:ascii="Verdana" w:hAnsi="Verdana"/>
          <w:color w:val="000000" w:themeColor="text1"/>
          <w:sz w:val="20"/>
          <w:szCs w:val="20"/>
          <w:lang w:val="es-ES"/>
        </w:rPr>
        <w:t xml:space="preserve"> “una sociedad democrática” está compuesta por una tríada: “los derechos y libertades inherentes a la persona, sus garantías, y el Estado de </w:t>
      </w:r>
      <w:r w:rsidR="000E241D">
        <w:rPr>
          <w:rFonts w:ascii="Verdana" w:hAnsi="Verdana"/>
          <w:color w:val="000000" w:themeColor="text1"/>
          <w:sz w:val="20"/>
          <w:szCs w:val="20"/>
          <w:lang w:val="es-ES"/>
        </w:rPr>
        <w:t>D</w:t>
      </w:r>
      <w:r w:rsidR="00997858" w:rsidRPr="00590665">
        <w:rPr>
          <w:rFonts w:ascii="Verdana" w:hAnsi="Verdana"/>
          <w:color w:val="000000" w:themeColor="text1"/>
          <w:sz w:val="20"/>
          <w:szCs w:val="20"/>
          <w:lang w:val="es-ES"/>
        </w:rPr>
        <w:t>erecho”</w:t>
      </w:r>
      <w:r w:rsidR="00997858" w:rsidRPr="00590665">
        <w:rPr>
          <w:rStyle w:val="FootnoteReference"/>
          <w:rFonts w:ascii="Verdana" w:hAnsi="Verdana"/>
          <w:color w:val="000000" w:themeColor="text1"/>
          <w:sz w:val="20"/>
          <w:szCs w:val="20"/>
        </w:rPr>
        <w:footnoteReference w:id="158"/>
      </w:r>
      <w:r w:rsidR="00997858" w:rsidRPr="00590665">
        <w:rPr>
          <w:rFonts w:ascii="Verdana" w:hAnsi="Verdana"/>
          <w:color w:val="000000" w:themeColor="text1"/>
          <w:sz w:val="20"/>
          <w:szCs w:val="20"/>
          <w:lang w:val="es-ES"/>
        </w:rPr>
        <w:t xml:space="preserve">. Así, en tanto no exista una </w:t>
      </w:r>
      <w:r w:rsidR="00997858" w:rsidRPr="006E6879">
        <w:rPr>
          <w:rFonts w:ascii="Verdana" w:hAnsi="Verdana"/>
          <w:i/>
          <w:iCs/>
          <w:color w:val="000000" w:themeColor="text1"/>
          <w:sz w:val="20"/>
          <w:szCs w:val="20"/>
          <w:lang w:val="es-ES"/>
        </w:rPr>
        <w:t>sociedad democrática</w:t>
      </w:r>
      <w:r w:rsidR="00997858" w:rsidRPr="00590665">
        <w:rPr>
          <w:rFonts w:ascii="Verdana" w:hAnsi="Verdana"/>
          <w:color w:val="000000" w:themeColor="text1"/>
          <w:sz w:val="20"/>
          <w:szCs w:val="20"/>
          <w:lang w:val="es-ES"/>
        </w:rPr>
        <w:t xml:space="preserve"> se ponen en peligro los derechos y libertades inherentes a la persona</w:t>
      </w:r>
      <w:r w:rsidR="00421928">
        <w:rPr>
          <w:rFonts w:ascii="Verdana" w:hAnsi="Verdana"/>
          <w:color w:val="000000" w:themeColor="text1"/>
          <w:sz w:val="20"/>
          <w:szCs w:val="20"/>
          <w:lang w:val="es-ES"/>
        </w:rPr>
        <w:t>.</w:t>
      </w:r>
      <w:r w:rsidR="00997858" w:rsidRPr="00590665">
        <w:rPr>
          <w:rFonts w:ascii="Verdana" w:hAnsi="Verdana"/>
          <w:color w:val="000000" w:themeColor="text1"/>
          <w:sz w:val="20"/>
          <w:szCs w:val="20"/>
          <w:lang w:val="es-ES"/>
        </w:rPr>
        <w:t xml:space="preserve"> </w:t>
      </w:r>
      <w:r w:rsidR="00421928">
        <w:rPr>
          <w:rFonts w:ascii="Verdana" w:hAnsi="Verdana"/>
          <w:color w:val="000000" w:themeColor="text1"/>
          <w:sz w:val="20"/>
          <w:szCs w:val="20"/>
          <w:lang w:val="es-ES"/>
        </w:rPr>
        <w:t>A</w:t>
      </w:r>
      <w:r w:rsidR="00997858" w:rsidRPr="00590665">
        <w:rPr>
          <w:rFonts w:ascii="Verdana" w:hAnsi="Verdana"/>
          <w:color w:val="000000" w:themeColor="text1"/>
          <w:sz w:val="20"/>
          <w:szCs w:val="20"/>
          <w:lang w:val="es-ES"/>
        </w:rPr>
        <w:t xml:space="preserve">simismo, en tanto los derechos y libertades inherentes a la persona se ven mermados o minorados, no podemos hablar de una sociedad democrática. </w:t>
      </w:r>
      <w:r w:rsidR="00677BE2">
        <w:rPr>
          <w:rFonts w:ascii="Verdana" w:hAnsi="Verdana"/>
          <w:color w:val="000000" w:themeColor="text1"/>
          <w:sz w:val="20"/>
          <w:szCs w:val="20"/>
          <w:lang w:val="es-ES"/>
        </w:rPr>
        <w:t xml:space="preserve">Es por conducto de la </w:t>
      </w:r>
      <w:r w:rsidR="00677BE2">
        <w:rPr>
          <w:rFonts w:ascii="Verdana" w:hAnsi="Verdana"/>
          <w:i/>
          <w:iCs/>
          <w:color w:val="000000" w:themeColor="text1"/>
          <w:sz w:val="20"/>
          <w:szCs w:val="20"/>
          <w:lang w:val="es-ES"/>
        </w:rPr>
        <w:t xml:space="preserve">coherencia sistémica </w:t>
      </w:r>
      <w:r w:rsidR="00677BE2">
        <w:rPr>
          <w:rFonts w:ascii="Verdana" w:hAnsi="Verdana"/>
          <w:color w:val="000000" w:themeColor="text1"/>
          <w:sz w:val="20"/>
          <w:szCs w:val="20"/>
          <w:lang w:val="es-ES"/>
        </w:rPr>
        <w:t xml:space="preserve">con el </w:t>
      </w:r>
      <w:r w:rsidR="00677BE2">
        <w:rPr>
          <w:rFonts w:ascii="Verdana" w:hAnsi="Verdana"/>
          <w:i/>
          <w:iCs/>
          <w:color w:val="000000" w:themeColor="text1"/>
          <w:sz w:val="20"/>
          <w:szCs w:val="20"/>
          <w:lang w:val="es-ES"/>
        </w:rPr>
        <w:t>contexto democrático interamericano</w:t>
      </w:r>
      <w:r w:rsidR="00677BE2">
        <w:rPr>
          <w:rFonts w:ascii="Verdana" w:hAnsi="Verdana"/>
          <w:color w:val="000000" w:themeColor="text1"/>
          <w:sz w:val="20"/>
          <w:szCs w:val="20"/>
          <w:lang w:val="es-ES"/>
        </w:rPr>
        <w:t xml:space="preserve"> al que se ha hecho referencia en el presente acápite que se puede llegar a esta determinación. </w:t>
      </w:r>
      <w:r w:rsidR="00677BE2" w:rsidRPr="006E6879">
        <w:rPr>
          <w:rFonts w:ascii="Verdana" w:hAnsi="Verdana"/>
          <w:color w:val="000000" w:themeColor="text1"/>
          <w:sz w:val="20"/>
          <w:szCs w:val="20"/>
          <w:lang w:val="es-ES"/>
        </w:rPr>
        <w:t xml:space="preserve">La Corte IDH ya </w:t>
      </w:r>
      <w:r w:rsidR="006E6879">
        <w:rPr>
          <w:rFonts w:ascii="Verdana" w:hAnsi="Verdana"/>
          <w:color w:val="000000" w:themeColor="text1"/>
          <w:sz w:val="20"/>
          <w:szCs w:val="20"/>
          <w:lang w:val="es-ES"/>
        </w:rPr>
        <w:t>había apuntado en esos términos</w:t>
      </w:r>
      <w:r w:rsidR="00677BE2" w:rsidRPr="006E6879">
        <w:rPr>
          <w:rFonts w:ascii="Verdana" w:hAnsi="Verdana"/>
          <w:color w:val="000000" w:themeColor="text1"/>
          <w:sz w:val="20"/>
          <w:szCs w:val="20"/>
          <w:lang w:val="es-ES"/>
        </w:rPr>
        <w:t xml:space="preserve">, en el caso </w:t>
      </w:r>
      <w:r w:rsidR="00677BE2" w:rsidRPr="006E6879">
        <w:rPr>
          <w:rFonts w:ascii="Verdana" w:hAnsi="Verdana"/>
          <w:i/>
          <w:iCs/>
          <w:color w:val="000000" w:themeColor="text1"/>
          <w:sz w:val="20"/>
          <w:szCs w:val="20"/>
          <w:lang w:val="es-ES"/>
        </w:rPr>
        <w:t>Aguinaga Aillón vs. Ecuador,</w:t>
      </w:r>
      <w:r w:rsidR="00677BE2" w:rsidRPr="006E6879">
        <w:rPr>
          <w:rFonts w:ascii="Verdana" w:hAnsi="Verdana"/>
          <w:color w:val="000000" w:themeColor="text1"/>
          <w:sz w:val="20"/>
          <w:szCs w:val="20"/>
          <w:lang w:val="es-ES"/>
        </w:rPr>
        <w:t xml:space="preserve"> cuando enfatizó que, refiriéndose a la independencia judicial, a la que la Corte IDH se ha reiteradamente referido como </w:t>
      </w:r>
      <w:r w:rsidR="00677BE2" w:rsidRPr="006E6879">
        <w:rPr>
          <w:rFonts w:ascii="Verdana" w:hAnsi="Verdana"/>
          <w:color w:val="000000" w:themeColor="text1"/>
          <w:sz w:val="20"/>
          <w:szCs w:val="20"/>
        </w:rPr>
        <w:t xml:space="preserve">“uno de los objetivos principales que tiene la </w:t>
      </w:r>
      <w:r w:rsidR="00677BE2" w:rsidRPr="006E6879">
        <w:rPr>
          <w:rFonts w:ascii="Verdana" w:hAnsi="Verdana"/>
          <w:color w:val="000000" w:themeColor="text1"/>
          <w:sz w:val="20"/>
          <w:szCs w:val="20"/>
        </w:rPr>
        <w:lastRenderedPageBreak/>
        <w:t>separación de los poderes públicos”</w:t>
      </w:r>
      <w:r w:rsidR="00677BE2" w:rsidRPr="006E6879">
        <w:rPr>
          <w:rFonts w:ascii="Verdana" w:hAnsi="Verdana"/>
          <w:color w:val="000000" w:themeColor="text1"/>
          <w:sz w:val="20"/>
          <w:szCs w:val="20"/>
          <w:vertAlign w:val="superscript"/>
        </w:rPr>
        <w:footnoteReference w:id="159"/>
      </w:r>
      <w:r w:rsidR="00677BE2" w:rsidRPr="006E6879">
        <w:rPr>
          <w:rFonts w:ascii="Verdana" w:hAnsi="Verdana"/>
          <w:color w:val="000000" w:themeColor="text1"/>
          <w:sz w:val="20"/>
          <w:szCs w:val="20"/>
        </w:rPr>
        <w:t xml:space="preserve"> y, por ende, del Estado de Derecho, “sin independencia judicial no existe Estado de </w:t>
      </w:r>
      <w:r w:rsidR="000E241D">
        <w:rPr>
          <w:rFonts w:ascii="Verdana" w:hAnsi="Verdana"/>
          <w:color w:val="000000" w:themeColor="text1"/>
          <w:sz w:val="20"/>
          <w:szCs w:val="20"/>
        </w:rPr>
        <w:t>D</w:t>
      </w:r>
      <w:r w:rsidR="00677BE2" w:rsidRPr="006E6879">
        <w:rPr>
          <w:rFonts w:ascii="Verdana" w:hAnsi="Verdana"/>
          <w:color w:val="000000" w:themeColor="text1"/>
          <w:sz w:val="20"/>
          <w:szCs w:val="20"/>
        </w:rPr>
        <w:t>erecho ni es posible la democracia”</w:t>
      </w:r>
      <w:r w:rsidR="00677BE2" w:rsidRPr="006E6879">
        <w:rPr>
          <w:rStyle w:val="FootnoteReference"/>
          <w:rFonts w:ascii="Verdana" w:hAnsi="Verdana"/>
          <w:color w:val="000000" w:themeColor="text1"/>
          <w:sz w:val="20"/>
          <w:szCs w:val="20"/>
        </w:rPr>
        <w:footnoteReference w:id="160"/>
      </w:r>
      <w:r w:rsidR="00677BE2" w:rsidRPr="006E6879">
        <w:rPr>
          <w:rFonts w:ascii="Verdana" w:hAnsi="Verdana"/>
          <w:color w:val="000000" w:themeColor="text1"/>
          <w:sz w:val="20"/>
          <w:szCs w:val="20"/>
        </w:rPr>
        <w:t>.</w:t>
      </w:r>
    </w:p>
    <w:p w14:paraId="1259DCA0" w14:textId="77777777" w:rsidR="008762CD" w:rsidRDefault="008762CD" w:rsidP="00371144">
      <w:pPr>
        <w:spacing w:after="0" w:line="240" w:lineRule="auto"/>
        <w:jc w:val="both"/>
        <w:rPr>
          <w:rFonts w:ascii="Verdana" w:hAnsi="Verdana"/>
          <w:color w:val="000000" w:themeColor="text1"/>
          <w:sz w:val="20"/>
          <w:szCs w:val="20"/>
          <w:lang w:val="es-ES"/>
        </w:rPr>
      </w:pPr>
    </w:p>
    <w:p w14:paraId="4AE26851" w14:textId="5FB80B24" w:rsidR="009C5919" w:rsidRPr="00371144" w:rsidRDefault="008762CD" w:rsidP="00371144">
      <w:pPr>
        <w:spacing w:after="0" w:line="240" w:lineRule="auto"/>
        <w:jc w:val="both"/>
        <w:rPr>
          <w:rFonts w:ascii="Verdana" w:hAnsi="Verdana"/>
          <w:bCs/>
          <w:sz w:val="20"/>
          <w:szCs w:val="20"/>
          <w:highlight w:val="green"/>
        </w:rPr>
      </w:pPr>
      <w:r>
        <w:rPr>
          <w:rFonts w:ascii="Verdana" w:hAnsi="Verdana"/>
          <w:color w:val="000000" w:themeColor="text1"/>
          <w:sz w:val="20"/>
          <w:szCs w:val="20"/>
          <w:lang w:val="es-ES"/>
        </w:rPr>
        <w:t>1</w:t>
      </w:r>
      <w:r w:rsidR="00627556">
        <w:rPr>
          <w:rFonts w:ascii="Verdana" w:hAnsi="Verdana"/>
          <w:color w:val="000000" w:themeColor="text1"/>
          <w:sz w:val="20"/>
          <w:szCs w:val="20"/>
          <w:lang w:val="es-ES"/>
        </w:rPr>
        <w:t>11</w:t>
      </w:r>
      <w:r>
        <w:rPr>
          <w:rFonts w:ascii="Verdana" w:hAnsi="Verdana"/>
          <w:color w:val="000000" w:themeColor="text1"/>
          <w:sz w:val="20"/>
          <w:szCs w:val="20"/>
          <w:lang w:val="es-ES"/>
        </w:rPr>
        <w:t xml:space="preserve">. </w:t>
      </w:r>
      <w:r>
        <w:rPr>
          <w:rFonts w:ascii="Verdana" w:hAnsi="Verdana"/>
          <w:color w:val="000000" w:themeColor="text1"/>
          <w:sz w:val="20"/>
          <w:szCs w:val="20"/>
          <w:lang w:val="es-ES"/>
        </w:rPr>
        <w:tab/>
      </w:r>
      <w:r w:rsidR="00997858" w:rsidRPr="00590665">
        <w:rPr>
          <w:rFonts w:ascii="Verdana" w:hAnsi="Verdana"/>
          <w:color w:val="000000" w:themeColor="text1"/>
          <w:sz w:val="20"/>
          <w:szCs w:val="20"/>
          <w:lang w:val="es-ES"/>
        </w:rPr>
        <w:t xml:space="preserve">Ello también encuentra fundamento en el párrafo segundo del artículo 2 de la Carta Democrática Interamericana que, leída </w:t>
      </w:r>
      <w:r w:rsidR="00997858" w:rsidRPr="00590665">
        <w:rPr>
          <w:rFonts w:ascii="Verdana" w:hAnsi="Verdana"/>
          <w:i/>
          <w:iCs/>
          <w:color w:val="000000" w:themeColor="text1"/>
          <w:sz w:val="20"/>
          <w:szCs w:val="20"/>
          <w:lang w:val="es-ES"/>
        </w:rPr>
        <w:t>contrario sensu</w:t>
      </w:r>
      <w:r w:rsidR="00997858" w:rsidRPr="00590665">
        <w:rPr>
          <w:rFonts w:ascii="Verdana" w:hAnsi="Verdana"/>
          <w:color w:val="000000" w:themeColor="text1"/>
          <w:sz w:val="20"/>
          <w:szCs w:val="20"/>
          <w:lang w:val="es-ES"/>
        </w:rPr>
        <w:t xml:space="preserve">, indica que la democracia representativa se debilita y desarticula si no hay “participación permanente, ética y responsable de la ciudadanía en un marco de legalidad conforme al respectivo orden Constitucional”. Por ello, el </w:t>
      </w:r>
      <w:r w:rsidR="00997858" w:rsidRPr="008762CD">
        <w:rPr>
          <w:rFonts w:ascii="Verdana" w:hAnsi="Verdana"/>
          <w:i/>
          <w:iCs/>
          <w:color w:val="000000" w:themeColor="text1"/>
          <w:sz w:val="20"/>
          <w:szCs w:val="20"/>
          <w:lang w:val="es-ES"/>
        </w:rPr>
        <w:t>derecho a la democracia</w:t>
      </w:r>
      <w:r w:rsidR="00997858" w:rsidRPr="00590665">
        <w:rPr>
          <w:rFonts w:ascii="Verdana" w:hAnsi="Verdana"/>
          <w:color w:val="000000" w:themeColor="text1"/>
          <w:sz w:val="20"/>
          <w:szCs w:val="20"/>
          <w:lang w:val="es-ES"/>
        </w:rPr>
        <w:t xml:space="preserve"> se reserva a aquellas situaciones de la más alta gravedad, situaciones que pongan en evidencia un declive significativo en la tutela de cualquiera de los tres elementos</w:t>
      </w:r>
      <w:r>
        <w:rPr>
          <w:rFonts w:ascii="Verdana" w:hAnsi="Verdana"/>
          <w:color w:val="000000" w:themeColor="text1"/>
          <w:sz w:val="20"/>
          <w:szCs w:val="20"/>
          <w:lang w:val="es-ES"/>
        </w:rPr>
        <w:t xml:space="preserve"> </w:t>
      </w:r>
      <w:r w:rsidR="00677BE2">
        <w:rPr>
          <w:rFonts w:ascii="Verdana" w:hAnsi="Verdana"/>
          <w:color w:val="000000" w:themeColor="text1"/>
          <w:sz w:val="20"/>
          <w:szCs w:val="20"/>
          <w:lang w:val="es-ES"/>
        </w:rPr>
        <w:t xml:space="preserve">(Estado de Derecho, democracia y vigencia de los derechos humanos) de tal manera que el </w:t>
      </w:r>
      <w:r w:rsidR="00677BE2">
        <w:rPr>
          <w:rFonts w:ascii="Verdana" w:hAnsi="Verdana"/>
          <w:i/>
          <w:iCs/>
          <w:color w:val="000000" w:themeColor="text1"/>
          <w:sz w:val="20"/>
          <w:szCs w:val="20"/>
          <w:lang w:val="es-ES"/>
        </w:rPr>
        <w:t xml:space="preserve">sistema en sí </w:t>
      </w:r>
      <w:r w:rsidR="00677BE2">
        <w:rPr>
          <w:rFonts w:ascii="Verdana" w:hAnsi="Verdana"/>
          <w:color w:val="000000" w:themeColor="text1"/>
          <w:sz w:val="20"/>
          <w:szCs w:val="20"/>
          <w:lang w:val="es-ES"/>
        </w:rPr>
        <w:t xml:space="preserve">se desdibuja por sus propios garantes; </w:t>
      </w:r>
      <w:r>
        <w:rPr>
          <w:rFonts w:ascii="Verdana" w:hAnsi="Verdana"/>
          <w:color w:val="000000" w:themeColor="text1"/>
          <w:sz w:val="20"/>
          <w:szCs w:val="20"/>
          <w:lang w:val="es-ES"/>
        </w:rPr>
        <w:t>en definitiva,</w:t>
      </w:r>
      <w:r w:rsidR="00997858" w:rsidRPr="00590665">
        <w:rPr>
          <w:rFonts w:ascii="Verdana" w:hAnsi="Verdana"/>
          <w:color w:val="000000" w:themeColor="text1"/>
          <w:sz w:val="20"/>
          <w:szCs w:val="20"/>
          <w:lang w:val="es-ES"/>
        </w:rPr>
        <w:t xml:space="preserve"> una deconstrucción de los cimientos de la democracia representativa</w:t>
      </w:r>
      <w:r w:rsidR="00997858">
        <w:rPr>
          <w:rStyle w:val="FootnoteReference"/>
          <w:rFonts w:ascii="Verdana" w:hAnsi="Verdana"/>
          <w:color w:val="000000" w:themeColor="text1"/>
          <w:sz w:val="20"/>
          <w:szCs w:val="20"/>
          <w:lang w:val="es-ES"/>
        </w:rPr>
        <w:footnoteReference w:id="161"/>
      </w:r>
      <w:r w:rsidR="00371144">
        <w:rPr>
          <w:rFonts w:ascii="Verdana" w:hAnsi="Verdana"/>
          <w:color w:val="000000" w:themeColor="text1"/>
          <w:sz w:val="20"/>
          <w:szCs w:val="20"/>
          <w:lang w:val="es-ES"/>
        </w:rPr>
        <w:t>.</w:t>
      </w:r>
      <w:r w:rsidR="00997858" w:rsidRPr="00590665">
        <w:rPr>
          <w:rFonts w:ascii="Verdana" w:hAnsi="Verdana"/>
          <w:color w:val="000000" w:themeColor="text1"/>
          <w:sz w:val="20"/>
          <w:szCs w:val="20"/>
          <w:lang w:val="es-ES"/>
        </w:rPr>
        <w:t xml:space="preserve"> C</w:t>
      </w:r>
      <w:r w:rsidR="00371144">
        <w:rPr>
          <w:rFonts w:ascii="Verdana" w:hAnsi="Verdana"/>
          <w:color w:val="000000" w:themeColor="text1"/>
          <w:sz w:val="20"/>
          <w:szCs w:val="20"/>
          <w:lang w:val="es-ES"/>
        </w:rPr>
        <w:t>uestión</w:t>
      </w:r>
      <w:r w:rsidR="00997858" w:rsidRPr="00590665">
        <w:rPr>
          <w:rFonts w:ascii="Verdana" w:hAnsi="Verdana"/>
          <w:color w:val="000000" w:themeColor="text1"/>
          <w:sz w:val="20"/>
          <w:szCs w:val="20"/>
          <w:lang w:val="es-ES"/>
        </w:rPr>
        <w:t xml:space="preserve"> que, a mi parecer, ha ocurrido en </w:t>
      </w:r>
      <w:r w:rsidR="00371144">
        <w:rPr>
          <w:rFonts w:ascii="Verdana" w:hAnsi="Verdana"/>
          <w:color w:val="000000" w:themeColor="text1"/>
          <w:sz w:val="20"/>
          <w:szCs w:val="20"/>
          <w:lang w:val="es-ES"/>
        </w:rPr>
        <w:t xml:space="preserve">el </w:t>
      </w:r>
      <w:r w:rsidR="00371144" w:rsidRPr="00371144">
        <w:rPr>
          <w:rFonts w:ascii="Verdana" w:hAnsi="Verdana"/>
          <w:i/>
          <w:iCs/>
          <w:color w:val="000000" w:themeColor="text1"/>
          <w:sz w:val="20"/>
          <w:szCs w:val="20"/>
          <w:lang w:val="es-ES"/>
        </w:rPr>
        <w:t>Caso Capriles</w:t>
      </w:r>
      <w:r w:rsidR="00371144">
        <w:rPr>
          <w:rFonts w:ascii="Verdana" w:hAnsi="Verdana"/>
          <w:color w:val="000000" w:themeColor="text1"/>
          <w:sz w:val="20"/>
          <w:szCs w:val="20"/>
          <w:lang w:val="es-ES"/>
        </w:rPr>
        <w:t xml:space="preserve"> motivo del presente voto.</w:t>
      </w:r>
    </w:p>
    <w:p w14:paraId="200AD243" w14:textId="77777777" w:rsidR="008762CD" w:rsidRPr="00590665" w:rsidRDefault="008762CD" w:rsidP="008D3AA5">
      <w:pPr>
        <w:pStyle w:val="ListParagraph"/>
        <w:spacing w:line="240" w:lineRule="auto"/>
        <w:ind w:left="0"/>
        <w:jc w:val="both"/>
        <w:rPr>
          <w:rFonts w:ascii="Verdana" w:hAnsi="Verdana"/>
          <w:b/>
          <w:bCs/>
          <w:color w:val="000000" w:themeColor="text1"/>
          <w:sz w:val="20"/>
          <w:szCs w:val="20"/>
          <w:u w:val="single"/>
          <w:lang w:val="es-ES"/>
        </w:rPr>
      </w:pPr>
    </w:p>
    <w:p w14:paraId="1063A682" w14:textId="4B47BA48" w:rsidR="008D3AA5" w:rsidRPr="003041B0" w:rsidRDefault="0003172C" w:rsidP="003041B0">
      <w:pPr>
        <w:pStyle w:val="ListParagraph"/>
        <w:spacing w:line="240" w:lineRule="auto"/>
        <w:ind w:left="0"/>
        <w:jc w:val="center"/>
        <w:rPr>
          <w:rFonts w:ascii="Verdana" w:hAnsi="Verdana"/>
          <w:caps/>
          <w:color w:val="000000" w:themeColor="text1"/>
          <w:sz w:val="20"/>
          <w:szCs w:val="20"/>
          <w:lang w:val="es-ES"/>
        </w:rPr>
      </w:pPr>
      <w:r>
        <w:rPr>
          <w:rFonts w:ascii="Verdana" w:hAnsi="Verdana"/>
          <w:caps/>
          <w:color w:val="000000" w:themeColor="text1"/>
          <w:sz w:val="20"/>
          <w:szCs w:val="20"/>
          <w:lang w:val="es-ES"/>
        </w:rPr>
        <w:t>V</w:t>
      </w:r>
      <w:r w:rsidR="008D3AA5" w:rsidRPr="00267B70">
        <w:rPr>
          <w:rFonts w:ascii="Verdana" w:hAnsi="Verdana"/>
          <w:caps/>
          <w:color w:val="000000" w:themeColor="text1"/>
          <w:sz w:val="20"/>
          <w:szCs w:val="20"/>
          <w:lang w:val="es-ES"/>
        </w:rPr>
        <w:t>.</w:t>
      </w:r>
      <w:r w:rsidR="00267B70">
        <w:rPr>
          <w:rFonts w:ascii="Verdana" w:hAnsi="Verdana"/>
          <w:caps/>
          <w:color w:val="000000" w:themeColor="text1"/>
          <w:sz w:val="20"/>
          <w:szCs w:val="20"/>
          <w:lang w:val="es-ES"/>
        </w:rPr>
        <w:t xml:space="preserve"> </w:t>
      </w:r>
      <w:r w:rsidR="008D3AA5" w:rsidRPr="00267B70">
        <w:rPr>
          <w:rFonts w:ascii="Verdana" w:hAnsi="Verdana"/>
          <w:caps/>
          <w:color w:val="000000" w:themeColor="text1"/>
          <w:sz w:val="20"/>
          <w:szCs w:val="20"/>
          <w:lang w:val="es-ES"/>
        </w:rPr>
        <w:t>Consideraciones Finales</w:t>
      </w:r>
    </w:p>
    <w:p w14:paraId="70A1D4B4" w14:textId="44089BDD" w:rsidR="00580F4A" w:rsidRDefault="00707077" w:rsidP="007A39FC">
      <w:pPr>
        <w:spacing w:after="0" w:line="240" w:lineRule="auto"/>
        <w:jc w:val="both"/>
        <w:rPr>
          <w:rFonts w:ascii="Verdana" w:hAnsi="Verdana"/>
          <w:sz w:val="20"/>
          <w:szCs w:val="20"/>
        </w:rPr>
      </w:pPr>
      <w:r>
        <w:rPr>
          <w:rFonts w:ascii="Verdana" w:hAnsi="Verdana"/>
          <w:sz w:val="20"/>
          <w:szCs w:val="20"/>
        </w:rPr>
        <w:t>1</w:t>
      </w:r>
      <w:r w:rsidR="00627556">
        <w:rPr>
          <w:rFonts w:ascii="Verdana" w:hAnsi="Verdana"/>
          <w:sz w:val="20"/>
          <w:szCs w:val="20"/>
        </w:rPr>
        <w:t>12</w:t>
      </w:r>
      <w:r w:rsidR="00272436">
        <w:rPr>
          <w:rFonts w:ascii="Verdana" w:hAnsi="Verdana"/>
          <w:sz w:val="20"/>
          <w:szCs w:val="20"/>
        </w:rPr>
        <w:t>.</w:t>
      </w:r>
      <w:r w:rsidR="00272436">
        <w:rPr>
          <w:rFonts w:ascii="Verdana" w:hAnsi="Verdana"/>
          <w:sz w:val="20"/>
          <w:szCs w:val="20"/>
        </w:rPr>
        <w:tab/>
      </w:r>
      <w:r w:rsidR="00F51E7C">
        <w:rPr>
          <w:rFonts w:ascii="Verdana" w:hAnsi="Verdana"/>
          <w:sz w:val="20"/>
          <w:szCs w:val="20"/>
        </w:rPr>
        <w:t xml:space="preserve">El </w:t>
      </w:r>
      <w:r w:rsidR="00F51E7C" w:rsidRPr="00573319">
        <w:rPr>
          <w:rFonts w:ascii="Verdana" w:hAnsi="Verdana"/>
          <w:i/>
          <w:iCs/>
          <w:sz w:val="20"/>
          <w:szCs w:val="20"/>
        </w:rPr>
        <w:t xml:space="preserve">Caso </w:t>
      </w:r>
      <w:r w:rsidR="00EE70C6" w:rsidRPr="00573319">
        <w:rPr>
          <w:rFonts w:ascii="Verdana" w:hAnsi="Verdana"/>
          <w:i/>
          <w:iCs/>
          <w:sz w:val="20"/>
          <w:szCs w:val="20"/>
        </w:rPr>
        <w:t>Capriles</w:t>
      </w:r>
      <w:r w:rsidR="00F51E7C" w:rsidRPr="00573319">
        <w:rPr>
          <w:rFonts w:ascii="Verdana" w:hAnsi="Verdana"/>
          <w:i/>
          <w:iCs/>
          <w:sz w:val="20"/>
          <w:szCs w:val="20"/>
        </w:rPr>
        <w:t xml:space="preserve"> Vs</w:t>
      </w:r>
      <w:r w:rsidR="00EE70C6">
        <w:rPr>
          <w:rFonts w:ascii="Verdana" w:hAnsi="Verdana"/>
          <w:i/>
          <w:iCs/>
          <w:sz w:val="20"/>
          <w:szCs w:val="20"/>
        </w:rPr>
        <w:t>.</w:t>
      </w:r>
      <w:r w:rsidR="00F51E7C" w:rsidRPr="00573319">
        <w:rPr>
          <w:rFonts w:ascii="Verdana" w:hAnsi="Verdana"/>
          <w:i/>
          <w:iCs/>
          <w:sz w:val="20"/>
          <w:szCs w:val="20"/>
        </w:rPr>
        <w:t xml:space="preserve"> Venezuela</w:t>
      </w:r>
      <w:r w:rsidR="00F51E7C">
        <w:rPr>
          <w:rFonts w:ascii="Verdana" w:hAnsi="Verdana"/>
          <w:sz w:val="20"/>
          <w:szCs w:val="20"/>
        </w:rPr>
        <w:t xml:space="preserve"> pone de manifiesto </w:t>
      </w:r>
      <w:r w:rsidR="00573319">
        <w:rPr>
          <w:rFonts w:ascii="Verdana" w:hAnsi="Verdana"/>
          <w:sz w:val="20"/>
          <w:szCs w:val="20"/>
        </w:rPr>
        <w:t xml:space="preserve">el lazo indisoluble </w:t>
      </w:r>
      <w:r w:rsidR="00580F4A">
        <w:rPr>
          <w:rFonts w:ascii="Verdana" w:hAnsi="Verdana"/>
          <w:sz w:val="20"/>
          <w:szCs w:val="20"/>
        </w:rPr>
        <w:t xml:space="preserve">entre democracia, Estado de Derecho y </w:t>
      </w:r>
      <w:r w:rsidR="00EE70C6">
        <w:rPr>
          <w:rFonts w:ascii="Verdana" w:hAnsi="Verdana"/>
          <w:sz w:val="20"/>
          <w:szCs w:val="20"/>
        </w:rPr>
        <w:t>protección</w:t>
      </w:r>
      <w:r w:rsidR="00580F4A">
        <w:rPr>
          <w:rFonts w:ascii="Verdana" w:hAnsi="Verdana"/>
          <w:sz w:val="20"/>
          <w:szCs w:val="20"/>
        </w:rPr>
        <w:t xml:space="preserve"> de los derechos humanos</w:t>
      </w:r>
      <w:r w:rsidR="00573319">
        <w:rPr>
          <w:rFonts w:ascii="Verdana" w:hAnsi="Verdana"/>
          <w:sz w:val="20"/>
          <w:szCs w:val="20"/>
        </w:rPr>
        <w:t>. Tal y como lo ha enfatizado la Corte IDH, esta triada constituye</w:t>
      </w:r>
      <w:r w:rsidR="00580F4A">
        <w:rPr>
          <w:rFonts w:ascii="Verdana" w:hAnsi="Verdana"/>
          <w:sz w:val="20"/>
          <w:szCs w:val="20"/>
        </w:rPr>
        <w:t xml:space="preserve"> la base de todo el sistema del que la Convención Americana forma parte. Si bien el </w:t>
      </w:r>
      <w:r w:rsidR="00580F4A" w:rsidRPr="00580F4A">
        <w:rPr>
          <w:rFonts w:ascii="Verdana" w:hAnsi="Verdana"/>
          <w:i/>
          <w:iCs/>
          <w:sz w:val="20"/>
          <w:szCs w:val="20"/>
        </w:rPr>
        <w:t>principio democrático</w:t>
      </w:r>
      <w:r w:rsidR="00580F4A">
        <w:rPr>
          <w:rFonts w:ascii="Verdana" w:hAnsi="Verdana"/>
          <w:sz w:val="20"/>
          <w:szCs w:val="20"/>
        </w:rPr>
        <w:t xml:space="preserve"> implica que los gobernantes será</w:t>
      </w:r>
      <w:r w:rsidR="00573319">
        <w:rPr>
          <w:rFonts w:ascii="Verdana" w:hAnsi="Verdana"/>
          <w:sz w:val="20"/>
          <w:szCs w:val="20"/>
        </w:rPr>
        <w:t>n</w:t>
      </w:r>
      <w:r w:rsidR="00580F4A">
        <w:rPr>
          <w:rFonts w:ascii="Verdana" w:hAnsi="Verdana"/>
          <w:sz w:val="20"/>
          <w:szCs w:val="20"/>
        </w:rPr>
        <w:t xml:space="preserve"> electos por la mayoría, uno de los objetivos principales de una democracia debe ser el respeto de los derechos de las minorías. Este respeto se garantiza mediante la protección del Estado de Derecho y de los derechos humanos</w:t>
      </w:r>
      <w:r w:rsidR="00580F4A">
        <w:rPr>
          <w:rStyle w:val="FootnoteReference"/>
          <w:rFonts w:ascii="Verdana" w:hAnsi="Verdana"/>
          <w:sz w:val="20"/>
          <w:szCs w:val="20"/>
        </w:rPr>
        <w:footnoteReference w:id="162"/>
      </w:r>
      <w:r w:rsidR="00580F4A">
        <w:rPr>
          <w:rFonts w:ascii="Verdana" w:hAnsi="Verdana"/>
          <w:sz w:val="20"/>
          <w:szCs w:val="20"/>
        </w:rPr>
        <w:t>.</w:t>
      </w:r>
    </w:p>
    <w:p w14:paraId="2088658E" w14:textId="77777777" w:rsidR="00580F4A" w:rsidRDefault="00580F4A" w:rsidP="007A39FC">
      <w:pPr>
        <w:spacing w:after="0" w:line="240" w:lineRule="auto"/>
        <w:jc w:val="both"/>
        <w:rPr>
          <w:rFonts w:ascii="Verdana" w:hAnsi="Verdana"/>
          <w:sz w:val="20"/>
          <w:szCs w:val="20"/>
        </w:rPr>
      </w:pPr>
    </w:p>
    <w:p w14:paraId="4F70FFC3" w14:textId="37696C70" w:rsidR="00580F4A" w:rsidRDefault="00580F4A" w:rsidP="00580F4A">
      <w:pPr>
        <w:spacing w:after="0" w:line="240" w:lineRule="auto"/>
        <w:jc w:val="both"/>
        <w:rPr>
          <w:rFonts w:ascii="Verdana" w:hAnsi="Verdana"/>
          <w:sz w:val="20"/>
          <w:szCs w:val="20"/>
        </w:rPr>
      </w:pPr>
      <w:r>
        <w:rPr>
          <w:rFonts w:ascii="Verdana" w:hAnsi="Verdana"/>
          <w:sz w:val="20"/>
          <w:szCs w:val="20"/>
        </w:rPr>
        <w:t>11</w:t>
      </w:r>
      <w:r w:rsidR="00627556">
        <w:rPr>
          <w:rFonts w:ascii="Verdana" w:hAnsi="Verdana"/>
          <w:sz w:val="20"/>
          <w:szCs w:val="20"/>
        </w:rPr>
        <w:t>3</w:t>
      </w:r>
      <w:r>
        <w:rPr>
          <w:rFonts w:ascii="Verdana" w:hAnsi="Verdana"/>
          <w:sz w:val="20"/>
          <w:szCs w:val="20"/>
        </w:rPr>
        <w:t xml:space="preserve">. </w:t>
      </w:r>
      <w:r>
        <w:rPr>
          <w:rFonts w:ascii="Verdana" w:hAnsi="Verdana"/>
          <w:sz w:val="20"/>
          <w:szCs w:val="20"/>
        </w:rPr>
        <w:tab/>
        <w:t xml:space="preserve">El Tribunal Interamericano reiteró en la presente sentencia que </w:t>
      </w:r>
      <w:r w:rsidRPr="00707077">
        <w:rPr>
          <w:rFonts w:ascii="Verdana" w:hAnsi="Verdana"/>
          <w:i/>
          <w:iCs/>
          <w:sz w:val="20"/>
          <w:szCs w:val="20"/>
        </w:rPr>
        <w:t>el ejercicio efectivo de la democracia</w:t>
      </w:r>
      <w:r>
        <w:rPr>
          <w:rFonts w:ascii="Verdana" w:hAnsi="Verdana"/>
          <w:sz w:val="20"/>
          <w:szCs w:val="20"/>
        </w:rPr>
        <w:t xml:space="preserve"> en los Estados americanos constituye una </w:t>
      </w:r>
      <w:r w:rsidRPr="00F51E7C">
        <w:rPr>
          <w:rFonts w:ascii="Verdana" w:hAnsi="Verdana"/>
          <w:i/>
          <w:iCs/>
          <w:sz w:val="20"/>
          <w:szCs w:val="20"/>
        </w:rPr>
        <w:t>obligación jurídica internacional</w:t>
      </w:r>
      <w:r>
        <w:rPr>
          <w:rFonts w:ascii="Verdana" w:hAnsi="Verdana"/>
          <w:sz w:val="20"/>
          <w:szCs w:val="20"/>
        </w:rPr>
        <w:t xml:space="preserve">, dejando de ser únicamente un asunto de su jurisdicción doméstica, interna o exclusiva. De tal manera que el </w:t>
      </w:r>
      <w:r w:rsidRPr="00707077">
        <w:rPr>
          <w:rFonts w:ascii="Verdana" w:hAnsi="Verdana"/>
          <w:i/>
          <w:iCs/>
          <w:sz w:val="20"/>
          <w:szCs w:val="20"/>
        </w:rPr>
        <w:t>principio democrático</w:t>
      </w:r>
      <w:r>
        <w:rPr>
          <w:rFonts w:ascii="Verdana" w:hAnsi="Verdana"/>
          <w:sz w:val="20"/>
          <w:szCs w:val="20"/>
        </w:rPr>
        <w:t xml:space="preserve"> inspira, irradia y guía la aplicación de la Convención Americana </w:t>
      </w:r>
      <w:r w:rsidR="00677BE2">
        <w:rPr>
          <w:rFonts w:ascii="Verdana" w:hAnsi="Verdana"/>
          <w:sz w:val="20"/>
          <w:szCs w:val="20"/>
        </w:rPr>
        <w:t>de</w:t>
      </w:r>
      <w:r>
        <w:rPr>
          <w:rFonts w:ascii="Verdana" w:hAnsi="Verdana"/>
          <w:sz w:val="20"/>
          <w:szCs w:val="20"/>
        </w:rPr>
        <w:t xml:space="preserve"> forma transversal, siendo un principio rector, así como una pauta interpretativa</w:t>
      </w:r>
      <w:r>
        <w:rPr>
          <w:rStyle w:val="FootnoteReference"/>
          <w:rFonts w:ascii="Verdana" w:hAnsi="Verdana"/>
          <w:sz w:val="20"/>
          <w:szCs w:val="20"/>
        </w:rPr>
        <w:footnoteReference w:id="163"/>
      </w:r>
      <w:r>
        <w:rPr>
          <w:rFonts w:ascii="Verdana" w:hAnsi="Verdana"/>
          <w:sz w:val="20"/>
          <w:szCs w:val="20"/>
        </w:rPr>
        <w:t xml:space="preserve">. </w:t>
      </w:r>
    </w:p>
    <w:p w14:paraId="14763668" w14:textId="77777777" w:rsidR="00580F4A" w:rsidRDefault="00580F4A" w:rsidP="00580F4A">
      <w:pPr>
        <w:spacing w:after="0" w:line="240" w:lineRule="auto"/>
        <w:jc w:val="both"/>
        <w:rPr>
          <w:rFonts w:ascii="Verdana" w:hAnsi="Verdana"/>
          <w:sz w:val="20"/>
          <w:szCs w:val="20"/>
        </w:rPr>
      </w:pPr>
    </w:p>
    <w:p w14:paraId="14812E5B" w14:textId="422598BD" w:rsidR="007A39FC" w:rsidRDefault="00580F4A" w:rsidP="007A39FC">
      <w:pPr>
        <w:spacing w:after="0" w:line="240" w:lineRule="auto"/>
        <w:jc w:val="both"/>
        <w:rPr>
          <w:rFonts w:ascii="Verdana" w:hAnsi="Verdana"/>
          <w:sz w:val="20"/>
          <w:szCs w:val="20"/>
        </w:rPr>
      </w:pPr>
      <w:r>
        <w:rPr>
          <w:rFonts w:ascii="Verdana" w:hAnsi="Verdana"/>
          <w:sz w:val="20"/>
          <w:szCs w:val="20"/>
        </w:rPr>
        <w:t>11</w:t>
      </w:r>
      <w:r w:rsidR="00627556">
        <w:rPr>
          <w:rFonts w:ascii="Verdana" w:hAnsi="Verdana"/>
          <w:sz w:val="20"/>
          <w:szCs w:val="20"/>
        </w:rPr>
        <w:t>4</w:t>
      </w:r>
      <w:r>
        <w:rPr>
          <w:rFonts w:ascii="Verdana" w:hAnsi="Verdana"/>
          <w:sz w:val="20"/>
          <w:szCs w:val="20"/>
        </w:rPr>
        <w:t xml:space="preserve">. </w:t>
      </w:r>
      <w:r>
        <w:rPr>
          <w:rFonts w:ascii="Verdana" w:hAnsi="Verdana"/>
          <w:sz w:val="20"/>
          <w:szCs w:val="20"/>
        </w:rPr>
        <w:tab/>
      </w:r>
      <w:r w:rsidR="007A39FC">
        <w:rPr>
          <w:rFonts w:ascii="Verdana" w:hAnsi="Verdana"/>
          <w:sz w:val="20"/>
          <w:szCs w:val="20"/>
        </w:rPr>
        <w:t>E</w:t>
      </w:r>
      <w:r>
        <w:rPr>
          <w:rFonts w:ascii="Verdana" w:hAnsi="Verdana"/>
          <w:sz w:val="20"/>
          <w:szCs w:val="20"/>
        </w:rPr>
        <w:t xml:space="preserve">n este sentido, resulta especialmente importante la </w:t>
      </w:r>
      <w:r w:rsidRPr="00580F4A">
        <w:rPr>
          <w:rFonts w:ascii="Verdana" w:hAnsi="Verdana"/>
          <w:i/>
          <w:iCs/>
          <w:sz w:val="20"/>
          <w:szCs w:val="20"/>
        </w:rPr>
        <w:t xml:space="preserve">prueba </w:t>
      </w:r>
      <w:r w:rsidR="00F51E7C">
        <w:rPr>
          <w:rFonts w:ascii="Verdana" w:hAnsi="Verdana"/>
          <w:i/>
          <w:iCs/>
          <w:sz w:val="20"/>
          <w:szCs w:val="20"/>
        </w:rPr>
        <w:t xml:space="preserve">contextual </w:t>
      </w:r>
      <w:r>
        <w:rPr>
          <w:rFonts w:ascii="Verdana" w:hAnsi="Verdana"/>
          <w:sz w:val="20"/>
          <w:szCs w:val="20"/>
        </w:rPr>
        <w:t>en el presente caso. E</w:t>
      </w:r>
      <w:r w:rsidR="007A39FC">
        <w:rPr>
          <w:rFonts w:ascii="Verdana" w:hAnsi="Verdana"/>
          <w:sz w:val="20"/>
          <w:szCs w:val="20"/>
        </w:rPr>
        <w:t>st</w:t>
      </w:r>
      <w:r w:rsidR="002142BF">
        <w:rPr>
          <w:rFonts w:ascii="Verdana" w:hAnsi="Verdana"/>
          <w:sz w:val="20"/>
          <w:szCs w:val="20"/>
        </w:rPr>
        <w:t>a</w:t>
      </w:r>
      <w:r w:rsidR="007A39FC">
        <w:rPr>
          <w:rFonts w:ascii="Verdana" w:hAnsi="Verdana"/>
          <w:sz w:val="20"/>
          <w:szCs w:val="20"/>
        </w:rPr>
        <w:t xml:space="preserve"> es la primera ocasión</w:t>
      </w:r>
      <w:r w:rsidR="000A1E56">
        <w:rPr>
          <w:rFonts w:ascii="Verdana" w:hAnsi="Verdana"/>
          <w:sz w:val="20"/>
          <w:szCs w:val="20"/>
        </w:rPr>
        <w:t>,</w:t>
      </w:r>
      <w:r w:rsidR="007A39FC">
        <w:rPr>
          <w:rFonts w:ascii="Verdana" w:hAnsi="Verdana"/>
          <w:sz w:val="20"/>
          <w:szCs w:val="20"/>
        </w:rPr>
        <w:t xml:space="preserve"> en un caso que involucra la responsabilidad internacional del Estado de Venezuela, en la que la Corte IDH considera acreditado un “</w:t>
      </w:r>
      <w:r w:rsidR="007A39FC" w:rsidRPr="00ED708C">
        <w:rPr>
          <w:rFonts w:ascii="Verdana" w:hAnsi="Verdana"/>
          <w:i/>
          <w:iCs/>
          <w:sz w:val="20"/>
          <w:szCs w:val="20"/>
        </w:rPr>
        <w:t>contexto de progresivo deterioro de la separación de poderes en Venezuela y de la independencia e imparcialidad</w:t>
      </w:r>
      <w:r w:rsidR="007A39FC">
        <w:rPr>
          <w:rFonts w:ascii="Verdana" w:hAnsi="Verdana"/>
          <w:sz w:val="20"/>
          <w:szCs w:val="20"/>
        </w:rPr>
        <w:t>”, tanto del Consejo Nacional Electoral, como del Tribunal Supremo de Justicia.</w:t>
      </w:r>
      <w:r w:rsidR="00F51E7C">
        <w:rPr>
          <w:rFonts w:ascii="Verdana" w:hAnsi="Verdana"/>
          <w:sz w:val="20"/>
          <w:szCs w:val="20"/>
        </w:rPr>
        <w:t xml:space="preserve"> </w:t>
      </w:r>
      <w:r w:rsidR="007A39FC">
        <w:rPr>
          <w:rFonts w:ascii="Verdana" w:hAnsi="Verdana"/>
          <w:sz w:val="20"/>
          <w:szCs w:val="20"/>
        </w:rPr>
        <w:lastRenderedPageBreak/>
        <w:t>Lo que representó “</w:t>
      </w:r>
      <w:r w:rsidR="007A39FC" w:rsidRPr="00AA6EFA">
        <w:rPr>
          <w:rFonts w:ascii="Verdana" w:hAnsi="Verdana"/>
          <w:i/>
          <w:iCs/>
          <w:sz w:val="20"/>
          <w:szCs w:val="20"/>
        </w:rPr>
        <w:t>un abandono de los principios fundamentales del Estado de Derecho</w:t>
      </w:r>
      <w:r w:rsidR="007A39FC">
        <w:rPr>
          <w:rFonts w:ascii="Verdana" w:hAnsi="Verdana"/>
          <w:sz w:val="20"/>
          <w:szCs w:val="20"/>
        </w:rPr>
        <w:t>”</w:t>
      </w:r>
      <w:r w:rsidR="00EE70C6">
        <w:rPr>
          <w:rStyle w:val="FootnoteReference"/>
          <w:rFonts w:ascii="Verdana" w:hAnsi="Verdana"/>
          <w:sz w:val="20"/>
          <w:szCs w:val="20"/>
        </w:rPr>
        <w:footnoteReference w:id="164"/>
      </w:r>
      <w:r w:rsidR="007A39FC">
        <w:rPr>
          <w:rFonts w:ascii="Verdana" w:hAnsi="Verdana"/>
          <w:sz w:val="20"/>
          <w:szCs w:val="20"/>
        </w:rPr>
        <w:t xml:space="preserve">, al desconocerse las reglas de derecho interno que limitan el poder y hacen posible el juego democrático, debido a la afectación de la </w:t>
      </w:r>
      <w:r w:rsidR="007A39FC" w:rsidRPr="00ED708C">
        <w:rPr>
          <w:rFonts w:ascii="Verdana" w:hAnsi="Verdana"/>
          <w:i/>
          <w:iCs/>
          <w:sz w:val="20"/>
          <w:szCs w:val="20"/>
        </w:rPr>
        <w:t>integridad del proceso electoral</w:t>
      </w:r>
      <w:r w:rsidR="007A39FC">
        <w:rPr>
          <w:rFonts w:ascii="Verdana" w:hAnsi="Verdana"/>
          <w:i/>
          <w:iCs/>
          <w:sz w:val="20"/>
          <w:szCs w:val="20"/>
        </w:rPr>
        <w:t xml:space="preserve">, </w:t>
      </w:r>
      <w:r w:rsidR="007A39FC" w:rsidRPr="00D17E6B">
        <w:rPr>
          <w:rFonts w:ascii="Verdana" w:hAnsi="Verdana"/>
          <w:color w:val="000000" w:themeColor="text1"/>
          <w:sz w:val="20"/>
          <w:szCs w:val="20"/>
          <w:lang w:val="es-ES"/>
        </w:rPr>
        <w:t>en perjuicio de Henrique Capriles Radonski, en el marco de su participación política como candidato presidencial en las elecciones del 14 de abril de 2013.</w:t>
      </w:r>
      <w:r w:rsidR="007A39FC">
        <w:rPr>
          <w:rFonts w:ascii="Verdana" w:hAnsi="Verdana"/>
          <w:i/>
          <w:iCs/>
          <w:sz w:val="20"/>
          <w:szCs w:val="20"/>
        </w:rPr>
        <w:t xml:space="preserve"> </w:t>
      </w:r>
      <w:r w:rsidR="007A39FC">
        <w:rPr>
          <w:rFonts w:ascii="Verdana" w:hAnsi="Verdana"/>
          <w:sz w:val="20"/>
          <w:szCs w:val="20"/>
        </w:rPr>
        <w:t xml:space="preserve"> </w:t>
      </w:r>
    </w:p>
    <w:p w14:paraId="280DB44C" w14:textId="77777777" w:rsidR="007A39FC" w:rsidRDefault="007A39FC" w:rsidP="00272436">
      <w:pPr>
        <w:spacing w:after="0" w:line="240" w:lineRule="auto"/>
        <w:jc w:val="both"/>
        <w:rPr>
          <w:rFonts w:ascii="Verdana" w:hAnsi="Verdana"/>
          <w:sz w:val="20"/>
          <w:szCs w:val="20"/>
        </w:rPr>
      </w:pPr>
    </w:p>
    <w:p w14:paraId="611DAC5C" w14:textId="2BE0F0A0" w:rsidR="00BB6944" w:rsidRDefault="007A39FC" w:rsidP="00272436">
      <w:pPr>
        <w:spacing w:after="0" w:line="240" w:lineRule="auto"/>
        <w:jc w:val="both"/>
        <w:rPr>
          <w:rFonts w:ascii="Verdana" w:hAnsi="Verdana"/>
          <w:sz w:val="20"/>
          <w:szCs w:val="20"/>
        </w:rPr>
      </w:pPr>
      <w:r>
        <w:rPr>
          <w:rFonts w:ascii="Verdana" w:hAnsi="Verdana"/>
          <w:sz w:val="20"/>
          <w:szCs w:val="20"/>
        </w:rPr>
        <w:t>11</w:t>
      </w:r>
      <w:r w:rsidR="00627556">
        <w:rPr>
          <w:rFonts w:ascii="Verdana" w:hAnsi="Verdana"/>
          <w:sz w:val="20"/>
          <w:szCs w:val="20"/>
        </w:rPr>
        <w:t>5</w:t>
      </w:r>
      <w:r>
        <w:rPr>
          <w:rFonts w:ascii="Verdana" w:hAnsi="Verdana"/>
          <w:sz w:val="20"/>
          <w:szCs w:val="20"/>
        </w:rPr>
        <w:t xml:space="preserve">. </w:t>
      </w:r>
      <w:r>
        <w:rPr>
          <w:rFonts w:ascii="Verdana" w:hAnsi="Verdana"/>
          <w:sz w:val="20"/>
          <w:szCs w:val="20"/>
        </w:rPr>
        <w:tab/>
      </w:r>
      <w:r w:rsidR="004D6980">
        <w:rPr>
          <w:rFonts w:ascii="Verdana" w:hAnsi="Verdana"/>
          <w:sz w:val="20"/>
          <w:szCs w:val="20"/>
        </w:rPr>
        <w:t>Lo anterior llevó a</w:t>
      </w:r>
      <w:r>
        <w:rPr>
          <w:rFonts w:ascii="Verdana" w:hAnsi="Verdana"/>
          <w:sz w:val="20"/>
          <w:szCs w:val="20"/>
        </w:rPr>
        <w:t xml:space="preserve"> la Corte IDH </w:t>
      </w:r>
      <w:r w:rsidR="004D6980">
        <w:rPr>
          <w:rFonts w:ascii="Verdana" w:hAnsi="Verdana"/>
          <w:sz w:val="20"/>
          <w:szCs w:val="20"/>
        </w:rPr>
        <w:t xml:space="preserve">a </w:t>
      </w:r>
      <w:r>
        <w:rPr>
          <w:rFonts w:ascii="Verdana" w:hAnsi="Verdana"/>
          <w:sz w:val="20"/>
          <w:szCs w:val="20"/>
        </w:rPr>
        <w:t xml:space="preserve">emitir </w:t>
      </w:r>
      <w:r w:rsidR="004D6980">
        <w:rPr>
          <w:rFonts w:ascii="Verdana" w:hAnsi="Verdana"/>
          <w:sz w:val="20"/>
          <w:szCs w:val="20"/>
        </w:rPr>
        <w:t xml:space="preserve">estándares relevantes </w:t>
      </w:r>
      <w:r w:rsidR="000A1E56">
        <w:rPr>
          <w:rFonts w:ascii="Verdana" w:hAnsi="Verdana"/>
          <w:sz w:val="20"/>
          <w:szCs w:val="20"/>
        </w:rPr>
        <w:t xml:space="preserve">para los derechos políticos, particularmente respecto del “derecho a ser elegido” en elecciones periódicas, auténticas y libres, así como </w:t>
      </w:r>
      <w:r w:rsidR="008D729D">
        <w:rPr>
          <w:rFonts w:ascii="Verdana" w:hAnsi="Verdana"/>
          <w:sz w:val="20"/>
          <w:szCs w:val="20"/>
        </w:rPr>
        <w:t xml:space="preserve">el derecho y oportunidad </w:t>
      </w:r>
      <w:r w:rsidR="000A1E56">
        <w:rPr>
          <w:rFonts w:ascii="Verdana" w:hAnsi="Verdana"/>
          <w:sz w:val="20"/>
          <w:szCs w:val="20"/>
        </w:rPr>
        <w:t xml:space="preserve">a acceder a la función pública en </w:t>
      </w:r>
      <w:r w:rsidR="00EE70C6">
        <w:rPr>
          <w:rFonts w:ascii="Verdana" w:hAnsi="Verdana"/>
          <w:sz w:val="20"/>
          <w:szCs w:val="20"/>
        </w:rPr>
        <w:t>condiciones</w:t>
      </w:r>
      <w:r w:rsidR="000A1E56">
        <w:rPr>
          <w:rFonts w:ascii="Verdana" w:hAnsi="Verdana"/>
          <w:sz w:val="20"/>
          <w:szCs w:val="20"/>
        </w:rPr>
        <w:t xml:space="preserve"> generales de igual</w:t>
      </w:r>
      <w:r w:rsidR="00092E75">
        <w:rPr>
          <w:rFonts w:ascii="Verdana" w:hAnsi="Verdana"/>
          <w:sz w:val="20"/>
          <w:szCs w:val="20"/>
        </w:rPr>
        <w:t>dad</w:t>
      </w:r>
      <w:r w:rsidR="000A1E56">
        <w:rPr>
          <w:rFonts w:ascii="Verdana" w:hAnsi="Verdana"/>
          <w:sz w:val="20"/>
          <w:szCs w:val="20"/>
        </w:rPr>
        <w:t xml:space="preserve">, en términos de los artículos </w:t>
      </w:r>
      <w:r w:rsidR="00F51E7C">
        <w:rPr>
          <w:rFonts w:ascii="Verdana" w:hAnsi="Verdana"/>
          <w:sz w:val="20"/>
          <w:szCs w:val="20"/>
        </w:rPr>
        <w:t xml:space="preserve">13, </w:t>
      </w:r>
      <w:r w:rsidR="000A1E56">
        <w:rPr>
          <w:rFonts w:ascii="Verdana" w:hAnsi="Verdana"/>
          <w:sz w:val="20"/>
          <w:szCs w:val="20"/>
        </w:rPr>
        <w:t xml:space="preserve">23 y 24 de la Convención Americana. Asimismo, se desarrollaron estándares </w:t>
      </w:r>
      <w:r w:rsidR="004D6980">
        <w:rPr>
          <w:rFonts w:ascii="Verdana" w:hAnsi="Verdana"/>
          <w:sz w:val="20"/>
          <w:szCs w:val="20"/>
        </w:rPr>
        <w:t xml:space="preserve">para </w:t>
      </w:r>
      <w:r w:rsidR="00ED708C">
        <w:rPr>
          <w:rFonts w:ascii="Verdana" w:hAnsi="Verdana"/>
          <w:sz w:val="20"/>
          <w:szCs w:val="20"/>
        </w:rPr>
        <w:t xml:space="preserve">proteger la </w:t>
      </w:r>
      <w:r w:rsidR="00ED708C" w:rsidRPr="005A7390">
        <w:rPr>
          <w:rFonts w:ascii="Verdana" w:hAnsi="Verdana"/>
          <w:i/>
          <w:iCs/>
          <w:sz w:val="20"/>
          <w:szCs w:val="20"/>
        </w:rPr>
        <w:t>equidad en la contienda electoral</w:t>
      </w:r>
      <w:r w:rsidR="00ED708C">
        <w:rPr>
          <w:rFonts w:ascii="Verdana" w:hAnsi="Verdana"/>
          <w:sz w:val="20"/>
          <w:szCs w:val="20"/>
        </w:rPr>
        <w:t xml:space="preserve">, estableciendo </w:t>
      </w:r>
      <w:r w:rsidR="00ED708C" w:rsidRPr="00ED708C">
        <w:rPr>
          <w:rFonts w:ascii="Verdana" w:hAnsi="Verdana"/>
          <w:i/>
          <w:iCs/>
          <w:sz w:val="20"/>
          <w:szCs w:val="20"/>
        </w:rPr>
        <w:t>garantías mínimas</w:t>
      </w:r>
      <w:r w:rsidR="00ED708C">
        <w:rPr>
          <w:rFonts w:ascii="Verdana" w:hAnsi="Verdana"/>
          <w:sz w:val="20"/>
          <w:szCs w:val="20"/>
        </w:rPr>
        <w:t xml:space="preserve"> para evitar el uso abusivo del aparato del Estado en favor de un </w:t>
      </w:r>
      <w:r w:rsidR="00EE70C6">
        <w:rPr>
          <w:rFonts w:ascii="Verdana" w:hAnsi="Verdana"/>
          <w:sz w:val="20"/>
          <w:szCs w:val="20"/>
        </w:rPr>
        <w:t>candidato</w:t>
      </w:r>
      <w:r w:rsidR="00ED708C">
        <w:rPr>
          <w:rFonts w:ascii="Verdana" w:hAnsi="Verdana"/>
          <w:sz w:val="20"/>
          <w:szCs w:val="20"/>
        </w:rPr>
        <w:t xml:space="preserve"> presidencial</w:t>
      </w:r>
      <w:r w:rsidR="00222C1D">
        <w:rPr>
          <w:rFonts w:ascii="Verdana" w:hAnsi="Verdana"/>
          <w:sz w:val="20"/>
          <w:szCs w:val="20"/>
        </w:rPr>
        <w:t xml:space="preserve"> y preservar el principio de </w:t>
      </w:r>
      <w:r w:rsidR="00222C1D" w:rsidRPr="00222C1D">
        <w:rPr>
          <w:rFonts w:ascii="Verdana" w:hAnsi="Verdana"/>
          <w:i/>
          <w:iCs/>
          <w:sz w:val="20"/>
          <w:szCs w:val="20"/>
        </w:rPr>
        <w:t>integridad electoral</w:t>
      </w:r>
      <w:r w:rsidR="005A7390">
        <w:rPr>
          <w:rFonts w:ascii="Verdana" w:hAnsi="Verdana"/>
          <w:sz w:val="20"/>
          <w:szCs w:val="20"/>
        </w:rPr>
        <w:t>. Además</w:t>
      </w:r>
      <w:r w:rsidR="00573319">
        <w:rPr>
          <w:rFonts w:ascii="Verdana" w:hAnsi="Verdana"/>
          <w:sz w:val="20"/>
          <w:szCs w:val="20"/>
        </w:rPr>
        <w:t>, la necesidad</w:t>
      </w:r>
      <w:r w:rsidR="005A7390">
        <w:rPr>
          <w:rFonts w:ascii="Verdana" w:hAnsi="Verdana"/>
          <w:sz w:val="20"/>
          <w:szCs w:val="20"/>
        </w:rPr>
        <w:t xml:space="preserve"> de adoptarse medidas </w:t>
      </w:r>
      <w:r w:rsidR="005A7390" w:rsidRPr="005A7390">
        <w:rPr>
          <w:rFonts w:ascii="Verdana" w:hAnsi="Verdana"/>
          <w:i/>
          <w:iCs/>
          <w:sz w:val="20"/>
          <w:szCs w:val="20"/>
        </w:rPr>
        <w:t>adicionales y reforzadas</w:t>
      </w:r>
      <w:r w:rsidR="005A7390">
        <w:rPr>
          <w:rFonts w:ascii="Verdana" w:hAnsi="Verdana"/>
          <w:sz w:val="20"/>
          <w:szCs w:val="20"/>
        </w:rPr>
        <w:t xml:space="preserve"> cuando el candidato sea el titular del Poder Ejecutivo</w:t>
      </w:r>
      <w:r w:rsidR="000A1E56">
        <w:rPr>
          <w:rFonts w:ascii="Verdana" w:hAnsi="Verdana"/>
          <w:sz w:val="20"/>
          <w:szCs w:val="20"/>
        </w:rPr>
        <w:t xml:space="preserve">; y </w:t>
      </w:r>
      <w:r w:rsidR="002142BF">
        <w:rPr>
          <w:rFonts w:ascii="Verdana" w:hAnsi="Verdana"/>
          <w:sz w:val="20"/>
          <w:szCs w:val="20"/>
        </w:rPr>
        <w:t xml:space="preserve">a la luz del contexto comunicacional actual, </w:t>
      </w:r>
      <w:r w:rsidR="000A1E56">
        <w:rPr>
          <w:rFonts w:ascii="Verdana" w:hAnsi="Verdana"/>
          <w:sz w:val="20"/>
          <w:szCs w:val="20"/>
        </w:rPr>
        <w:t>ten</w:t>
      </w:r>
      <w:r w:rsidR="00092E75">
        <w:rPr>
          <w:rFonts w:ascii="Verdana" w:hAnsi="Verdana"/>
          <w:sz w:val="20"/>
          <w:szCs w:val="20"/>
        </w:rPr>
        <w:t>er</w:t>
      </w:r>
      <w:r w:rsidR="005A7390">
        <w:rPr>
          <w:rFonts w:ascii="Verdana" w:hAnsi="Verdana"/>
          <w:sz w:val="20"/>
          <w:szCs w:val="20"/>
        </w:rPr>
        <w:t xml:space="preserve"> </w:t>
      </w:r>
      <w:r w:rsidR="002142BF">
        <w:rPr>
          <w:rFonts w:ascii="Verdana" w:hAnsi="Verdana"/>
          <w:sz w:val="20"/>
          <w:szCs w:val="20"/>
        </w:rPr>
        <w:t>en</w:t>
      </w:r>
      <w:r w:rsidR="000A1E56">
        <w:rPr>
          <w:rFonts w:ascii="Verdana" w:hAnsi="Verdana"/>
          <w:sz w:val="20"/>
          <w:szCs w:val="20"/>
        </w:rPr>
        <w:t xml:space="preserve"> consideración “</w:t>
      </w:r>
      <w:r w:rsidRPr="00A438B1">
        <w:rPr>
          <w:rFonts w:ascii="Verdana" w:hAnsi="Verdana"/>
          <w:sz w:val="20"/>
          <w:szCs w:val="20"/>
        </w:rPr>
        <w:t>los controles a quienes aspiran a ser reelegidos a un cargo público deben incluir reglas para el uso adecuado de plataformas y redes sociales institucionales</w:t>
      </w:r>
      <w:r w:rsidR="000A1E56">
        <w:rPr>
          <w:rFonts w:ascii="Verdana" w:hAnsi="Verdana"/>
          <w:sz w:val="20"/>
          <w:szCs w:val="20"/>
        </w:rPr>
        <w:t>”</w:t>
      </w:r>
      <w:r w:rsidRPr="00A438B1">
        <w:rPr>
          <w:rFonts w:ascii="Verdana" w:hAnsi="Verdana"/>
          <w:sz w:val="20"/>
          <w:szCs w:val="20"/>
        </w:rPr>
        <w:t>.</w:t>
      </w:r>
      <w:r w:rsidR="00BB6944">
        <w:rPr>
          <w:rFonts w:ascii="Verdana" w:hAnsi="Verdana"/>
          <w:sz w:val="20"/>
          <w:szCs w:val="20"/>
        </w:rPr>
        <w:t xml:space="preserve"> </w:t>
      </w:r>
    </w:p>
    <w:p w14:paraId="6446BE9F" w14:textId="77777777" w:rsidR="00BB6944" w:rsidRDefault="00BB6944" w:rsidP="00272436">
      <w:pPr>
        <w:spacing w:after="0" w:line="240" w:lineRule="auto"/>
        <w:jc w:val="both"/>
        <w:rPr>
          <w:rFonts w:ascii="Verdana" w:hAnsi="Verdana"/>
          <w:sz w:val="20"/>
          <w:szCs w:val="20"/>
        </w:rPr>
      </w:pPr>
    </w:p>
    <w:p w14:paraId="49306DB8" w14:textId="0183457F" w:rsidR="00F51E7C" w:rsidRDefault="00BB6944" w:rsidP="00272436">
      <w:pPr>
        <w:spacing w:after="0" w:line="240" w:lineRule="auto"/>
        <w:jc w:val="both"/>
        <w:rPr>
          <w:rFonts w:ascii="Verdana" w:hAnsi="Verdana"/>
          <w:sz w:val="20"/>
          <w:szCs w:val="20"/>
        </w:rPr>
      </w:pPr>
      <w:r>
        <w:rPr>
          <w:rFonts w:ascii="Verdana" w:hAnsi="Verdana"/>
          <w:sz w:val="20"/>
          <w:szCs w:val="20"/>
        </w:rPr>
        <w:t>11</w:t>
      </w:r>
      <w:r w:rsidR="00627556">
        <w:rPr>
          <w:rFonts w:ascii="Verdana" w:hAnsi="Verdana"/>
          <w:sz w:val="20"/>
          <w:szCs w:val="20"/>
        </w:rPr>
        <w:t>6</w:t>
      </w:r>
      <w:r>
        <w:rPr>
          <w:rFonts w:ascii="Verdana" w:hAnsi="Verdana"/>
          <w:sz w:val="20"/>
          <w:szCs w:val="20"/>
        </w:rPr>
        <w:t xml:space="preserve">. </w:t>
      </w:r>
      <w:r>
        <w:rPr>
          <w:rFonts w:ascii="Verdana" w:hAnsi="Verdana"/>
          <w:sz w:val="20"/>
          <w:szCs w:val="20"/>
        </w:rPr>
        <w:tab/>
      </w:r>
      <w:r w:rsidR="00F51E7C">
        <w:rPr>
          <w:rFonts w:ascii="Verdana" w:hAnsi="Verdana"/>
          <w:sz w:val="20"/>
          <w:szCs w:val="20"/>
        </w:rPr>
        <w:t xml:space="preserve">También destaca </w:t>
      </w:r>
      <w:r w:rsidR="00573319">
        <w:rPr>
          <w:rFonts w:ascii="Verdana" w:hAnsi="Verdana"/>
          <w:sz w:val="20"/>
          <w:szCs w:val="20"/>
        </w:rPr>
        <w:t xml:space="preserve">el caso por </w:t>
      </w:r>
      <w:r w:rsidR="00F51E7C">
        <w:rPr>
          <w:rFonts w:ascii="Verdana" w:hAnsi="Verdana"/>
          <w:sz w:val="20"/>
          <w:szCs w:val="20"/>
        </w:rPr>
        <w:t xml:space="preserve">las violaciones a las garantías y protección judiciales, </w:t>
      </w:r>
      <w:r w:rsidR="00CE4417">
        <w:rPr>
          <w:rFonts w:ascii="Verdana" w:hAnsi="Verdana"/>
          <w:sz w:val="20"/>
          <w:szCs w:val="20"/>
        </w:rPr>
        <w:t xml:space="preserve">así como de la libertad de expresión, </w:t>
      </w:r>
      <w:r w:rsidR="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nsi="Verdana"/>
          <w:sz w:val="20"/>
          <w:szCs w:val="20"/>
        </w:rPr>
        <w:t>25</w:t>
      </w:r>
      <w:r w:rsidR="00CE4417">
        <w:rPr>
          <w:rFonts w:ascii="Verdana" w:hAnsi="Verdana"/>
          <w:sz w:val="20"/>
          <w:szCs w:val="20"/>
        </w:rPr>
        <w:t xml:space="preserve">.1 y 13 </w:t>
      </w:r>
      <w:r w:rsidR="00F51E7C">
        <w:rPr>
          <w:rFonts w:ascii="Verdana" w:hAnsi="Verdana"/>
          <w:sz w:val="20"/>
          <w:szCs w:val="20"/>
        </w:rPr>
        <w:t xml:space="preserve">del Pacto de San José, en tanto </w:t>
      </w:r>
      <w:r w:rsidR="00CE4417">
        <w:rPr>
          <w:rFonts w:ascii="Verdana" w:hAnsi="Verdana"/>
          <w:sz w:val="20"/>
          <w:szCs w:val="20"/>
        </w:rPr>
        <w:t xml:space="preserve">se comprobó la ausencia de garantías de imparcialidad por parte de la Sala Constitucional, la falta de motivación de la inadmisión del recurso contencioso administrativo, la vulneración al derecho a la defensa y la imposición arbitraria de una multa a la víctima del caso. </w:t>
      </w:r>
    </w:p>
    <w:p w14:paraId="6FC214EB" w14:textId="77777777" w:rsidR="00F51E7C" w:rsidRDefault="00F51E7C" w:rsidP="00272436">
      <w:pPr>
        <w:spacing w:after="0" w:line="240" w:lineRule="auto"/>
        <w:jc w:val="both"/>
        <w:rPr>
          <w:rFonts w:ascii="Verdana" w:hAnsi="Verdana"/>
          <w:sz w:val="20"/>
          <w:szCs w:val="20"/>
        </w:rPr>
      </w:pPr>
    </w:p>
    <w:p w14:paraId="5FB73AD8" w14:textId="3F728017" w:rsidR="00D006FF" w:rsidRDefault="00CE4417" w:rsidP="00272436">
      <w:pPr>
        <w:spacing w:after="0" w:line="240" w:lineRule="auto"/>
        <w:jc w:val="both"/>
        <w:rPr>
          <w:rFonts w:ascii="Verdana" w:hAnsi="Verdana"/>
          <w:sz w:val="20"/>
          <w:szCs w:val="20"/>
        </w:rPr>
      </w:pPr>
      <w:r>
        <w:rPr>
          <w:rFonts w:ascii="Verdana" w:hAnsi="Verdana"/>
          <w:sz w:val="20"/>
          <w:szCs w:val="20"/>
        </w:rPr>
        <w:t>11</w:t>
      </w:r>
      <w:r w:rsidR="00627556">
        <w:rPr>
          <w:rFonts w:ascii="Verdana" w:hAnsi="Verdana"/>
          <w:sz w:val="20"/>
          <w:szCs w:val="20"/>
        </w:rPr>
        <w:t>7</w:t>
      </w:r>
      <w:r>
        <w:rPr>
          <w:rFonts w:ascii="Verdana" w:hAnsi="Verdana"/>
          <w:sz w:val="20"/>
          <w:szCs w:val="20"/>
        </w:rPr>
        <w:t xml:space="preserve">. </w:t>
      </w:r>
      <w:r>
        <w:rPr>
          <w:rFonts w:ascii="Verdana" w:hAnsi="Verdana"/>
          <w:sz w:val="20"/>
          <w:szCs w:val="20"/>
        </w:rPr>
        <w:tab/>
      </w:r>
      <w:r w:rsidR="000A1E56">
        <w:rPr>
          <w:rFonts w:ascii="Verdana" w:hAnsi="Verdana"/>
          <w:sz w:val="20"/>
          <w:szCs w:val="20"/>
        </w:rPr>
        <w:t>Todo lo anterior</w:t>
      </w:r>
      <w:r w:rsidR="00D11F58">
        <w:rPr>
          <w:rFonts w:ascii="Verdana" w:hAnsi="Verdana"/>
          <w:sz w:val="20"/>
          <w:szCs w:val="20"/>
        </w:rPr>
        <w:t xml:space="preserve">, a </w:t>
      </w:r>
      <w:r w:rsidR="00677BE2">
        <w:rPr>
          <w:rFonts w:ascii="Verdana" w:hAnsi="Verdana"/>
          <w:sz w:val="20"/>
          <w:szCs w:val="20"/>
        </w:rPr>
        <w:t>mi</w:t>
      </w:r>
      <w:r w:rsidR="00D11F58">
        <w:rPr>
          <w:rFonts w:ascii="Verdana" w:hAnsi="Verdana"/>
          <w:sz w:val="20"/>
          <w:szCs w:val="20"/>
        </w:rPr>
        <w:t xml:space="preserve"> entender,</w:t>
      </w:r>
      <w:r w:rsidR="00573319">
        <w:rPr>
          <w:rFonts w:ascii="Verdana" w:hAnsi="Verdana"/>
          <w:sz w:val="20"/>
          <w:szCs w:val="20"/>
        </w:rPr>
        <w:t xml:space="preserve"> </w:t>
      </w:r>
      <w:r w:rsidR="000A1E56">
        <w:rPr>
          <w:rFonts w:ascii="Verdana" w:hAnsi="Verdana"/>
          <w:sz w:val="20"/>
          <w:szCs w:val="20"/>
        </w:rPr>
        <w:t xml:space="preserve">tuvo un impacto </w:t>
      </w:r>
      <w:r w:rsidR="00D11F58">
        <w:rPr>
          <w:rFonts w:ascii="Verdana" w:hAnsi="Verdana"/>
          <w:sz w:val="20"/>
          <w:szCs w:val="20"/>
        </w:rPr>
        <w:t xml:space="preserve">sustancial </w:t>
      </w:r>
      <w:r w:rsidR="000A1E56">
        <w:rPr>
          <w:rFonts w:ascii="Verdana" w:hAnsi="Verdana"/>
          <w:sz w:val="20"/>
          <w:szCs w:val="20"/>
        </w:rPr>
        <w:t xml:space="preserve">en el </w:t>
      </w:r>
      <w:r w:rsidR="000A1E56" w:rsidRPr="000A1E56">
        <w:rPr>
          <w:rFonts w:ascii="Verdana" w:hAnsi="Verdana"/>
          <w:i/>
          <w:iCs/>
          <w:sz w:val="20"/>
          <w:szCs w:val="20"/>
        </w:rPr>
        <w:t>derecho a la democracia</w:t>
      </w:r>
      <w:r w:rsidR="00092E75">
        <w:rPr>
          <w:rFonts w:ascii="Verdana" w:hAnsi="Verdana"/>
          <w:sz w:val="20"/>
          <w:szCs w:val="20"/>
        </w:rPr>
        <w:t xml:space="preserve"> en su vertiente individual y colectiva</w:t>
      </w:r>
      <w:r w:rsidR="008565A1">
        <w:rPr>
          <w:rStyle w:val="FootnoteReference"/>
          <w:rFonts w:ascii="Verdana" w:hAnsi="Verdana"/>
          <w:sz w:val="20"/>
          <w:szCs w:val="20"/>
        </w:rPr>
        <w:footnoteReference w:id="165"/>
      </w:r>
      <w:r w:rsidR="008565A1">
        <w:rPr>
          <w:rFonts w:ascii="Verdana" w:hAnsi="Verdana"/>
          <w:color w:val="000000" w:themeColor="text1"/>
          <w:sz w:val="16"/>
          <w:szCs w:val="16"/>
        </w:rPr>
        <w:t>.</w:t>
      </w:r>
      <w:r w:rsidR="002142BF">
        <w:rPr>
          <w:rFonts w:ascii="Verdana" w:hAnsi="Verdana"/>
          <w:sz w:val="20"/>
          <w:szCs w:val="20"/>
        </w:rPr>
        <w:t xml:space="preserve"> La Carta Democrática Interamericana</w:t>
      </w:r>
      <w:r w:rsidR="00573319">
        <w:rPr>
          <w:rFonts w:ascii="Verdana" w:hAnsi="Verdana"/>
          <w:sz w:val="20"/>
          <w:szCs w:val="20"/>
        </w:rPr>
        <w:t xml:space="preserve"> </w:t>
      </w:r>
      <w:r w:rsidR="00467986">
        <w:rPr>
          <w:rFonts w:ascii="Verdana" w:hAnsi="Verdana"/>
          <w:sz w:val="20"/>
          <w:szCs w:val="20"/>
        </w:rPr>
        <w:t xml:space="preserve">establece el </w:t>
      </w:r>
      <w:r w:rsidR="00467986" w:rsidRPr="00467986">
        <w:rPr>
          <w:rFonts w:ascii="Verdana" w:hAnsi="Verdana"/>
          <w:i/>
          <w:iCs/>
          <w:sz w:val="20"/>
          <w:szCs w:val="20"/>
        </w:rPr>
        <w:t xml:space="preserve">derecho de los pueblos a la democracia </w:t>
      </w:r>
      <w:r w:rsidR="00467986">
        <w:rPr>
          <w:rFonts w:ascii="Verdana" w:hAnsi="Verdana"/>
          <w:sz w:val="20"/>
          <w:szCs w:val="20"/>
        </w:rPr>
        <w:t xml:space="preserve">y </w:t>
      </w:r>
      <w:r w:rsidR="00D11F58">
        <w:rPr>
          <w:rFonts w:ascii="Verdana" w:hAnsi="Verdana"/>
          <w:sz w:val="20"/>
          <w:szCs w:val="20"/>
        </w:rPr>
        <w:t xml:space="preserve">destaca como </w:t>
      </w:r>
      <w:r w:rsidR="00677BE2">
        <w:rPr>
          <w:rFonts w:ascii="Verdana" w:hAnsi="Verdana"/>
          <w:sz w:val="20"/>
          <w:szCs w:val="20"/>
        </w:rPr>
        <w:t>elementos esenciales</w:t>
      </w:r>
      <w:r w:rsidR="00D11F58">
        <w:rPr>
          <w:rFonts w:ascii="Verdana" w:hAnsi="Verdana"/>
          <w:sz w:val="20"/>
          <w:szCs w:val="20"/>
        </w:rPr>
        <w:t xml:space="preserve"> de la democracia representativa el respeto a los derechos fundamentales y la separación de poderes</w:t>
      </w:r>
      <w:r w:rsidR="00467986">
        <w:rPr>
          <w:rFonts w:ascii="Verdana" w:hAnsi="Verdana"/>
          <w:sz w:val="20"/>
          <w:szCs w:val="20"/>
        </w:rPr>
        <w:t>;</w:t>
      </w:r>
      <w:r w:rsidR="00D11F58">
        <w:rPr>
          <w:rFonts w:ascii="Verdana" w:hAnsi="Verdana"/>
          <w:sz w:val="20"/>
          <w:szCs w:val="20"/>
        </w:rPr>
        <w:t xml:space="preserve"> </w:t>
      </w:r>
      <w:r w:rsidR="00467986">
        <w:rPr>
          <w:rFonts w:ascii="Verdana" w:hAnsi="Verdana"/>
          <w:sz w:val="20"/>
          <w:szCs w:val="20"/>
        </w:rPr>
        <w:t>lo que implica</w:t>
      </w:r>
      <w:r w:rsidR="00D11F58">
        <w:rPr>
          <w:rFonts w:ascii="Verdana" w:hAnsi="Verdana"/>
          <w:sz w:val="20"/>
          <w:szCs w:val="20"/>
        </w:rPr>
        <w:t xml:space="preserve"> que debe accederse y ejercer el poder público con sujeción al Estado de Derecho y bajo el imperio de la ley. A </w:t>
      </w:r>
      <w:r w:rsidR="00677BE2">
        <w:rPr>
          <w:rFonts w:ascii="Verdana" w:hAnsi="Verdana"/>
          <w:sz w:val="20"/>
          <w:szCs w:val="20"/>
        </w:rPr>
        <w:t>mi</w:t>
      </w:r>
      <w:r w:rsidR="00D11F58">
        <w:rPr>
          <w:rFonts w:ascii="Verdana" w:hAnsi="Verdana"/>
          <w:sz w:val="20"/>
          <w:szCs w:val="20"/>
        </w:rPr>
        <w:t xml:space="preserve"> juicio, este </w:t>
      </w:r>
      <w:r w:rsidR="00D11F58" w:rsidRPr="002142BF">
        <w:rPr>
          <w:rFonts w:ascii="Verdana" w:hAnsi="Verdana"/>
          <w:i/>
          <w:iCs/>
          <w:sz w:val="20"/>
          <w:szCs w:val="20"/>
        </w:rPr>
        <w:t>derecho a la democracia</w:t>
      </w:r>
      <w:r w:rsidR="00D11F58">
        <w:rPr>
          <w:rFonts w:ascii="Verdana" w:hAnsi="Verdana"/>
          <w:sz w:val="20"/>
          <w:szCs w:val="20"/>
        </w:rPr>
        <w:t xml:space="preserve"> se desprende de varios preceptos de la Convención Americana, así como de la </w:t>
      </w:r>
      <w:r w:rsidR="00467986">
        <w:rPr>
          <w:rFonts w:ascii="Verdana" w:hAnsi="Verdana"/>
          <w:sz w:val="20"/>
          <w:szCs w:val="20"/>
        </w:rPr>
        <w:t xml:space="preserve">mencionada </w:t>
      </w:r>
      <w:r w:rsidR="00D11F58">
        <w:rPr>
          <w:rFonts w:ascii="Verdana" w:hAnsi="Verdana"/>
          <w:sz w:val="20"/>
          <w:szCs w:val="20"/>
        </w:rPr>
        <w:t>Carta Democrática Interamericana y la propia Carta de la OEA</w:t>
      </w:r>
      <w:r w:rsidR="00092E75">
        <w:rPr>
          <w:rFonts w:ascii="Verdana" w:hAnsi="Verdana"/>
          <w:sz w:val="20"/>
          <w:szCs w:val="20"/>
        </w:rPr>
        <w:t>,</w:t>
      </w:r>
      <w:r w:rsidR="002142BF">
        <w:rPr>
          <w:rFonts w:ascii="Verdana" w:hAnsi="Verdana"/>
          <w:sz w:val="20"/>
          <w:szCs w:val="20"/>
        </w:rPr>
        <w:t xml:space="preserve"> en los términos desarrollados en el presente voto</w:t>
      </w:r>
      <w:r w:rsidR="00D11F58">
        <w:rPr>
          <w:rFonts w:ascii="Verdana" w:hAnsi="Verdana"/>
          <w:sz w:val="20"/>
          <w:szCs w:val="20"/>
        </w:rPr>
        <w:t>.</w:t>
      </w:r>
      <w:r w:rsidR="00BB6944">
        <w:rPr>
          <w:rFonts w:ascii="Verdana" w:hAnsi="Verdana"/>
          <w:sz w:val="20"/>
          <w:szCs w:val="20"/>
        </w:rPr>
        <w:t xml:space="preserve"> </w:t>
      </w:r>
    </w:p>
    <w:p w14:paraId="7EBA3CCE" w14:textId="77777777" w:rsidR="00D006FF" w:rsidRDefault="00D006FF" w:rsidP="00272436">
      <w:pPr>
        <w:spacing w:after="0" w:line="240" w:lineRule="auto"/>
        <w:jc w:val="both"/>
        <w:rPr>
          <w:rFonts w:ascii="Verdana" w:hAnsi="Verdana"/>
          <w:sz w:val="20"/>
          <w:szCs w:val="20"/>
        </w:rPr>
      </w:pPr>
    </w:p>
    <w:p w14:paraId="3A65DC85" w14:textId="7E6BCD6D" w:rsidR="005A7390" w:rsidRPr="00627556" w:rsidRDefault="00627556" w:rsidP="00627556">
      <w:pPr>
        <w:spacing w:after="0" w:line="240" w:lineRule="auto"/>
        <w:jc w:val="both"/>
        <w:rPr>
          <w:rFonts w:ascii="Verdana" w:hAnsi="Verdana"/>
          <w:sz w:val="20"/>
          <w:szCs w:val="20"/>
        </w:rPr>
      </w:pPr>
      <w:r>
        <w:rPr>
          <w:rFonts w:ascii="Verdana" w:hAnsi="Verdana"/>
          <w:sz w:val="20"/>
          <w:szCs w:val="20"/>
        </w:rPr>
        <w:t xml:space="preserve">118. </w:t>
      </w:r>
      <w:r w:rsidR="00BB6944" w:rsidRPr="00627556">
        <w:rPr>
          <w:rFonts w:ascii="Verdana" w:hAnsi="Verdana"/>
          <w:sz w:val="20"/>
          <w:szCs w:val="20"/>
        </w:rPr>
        <w:t xml:space="preserve">La </w:t>
      </w:r>
      <w:r w:rsidR="00BB6944" w:rsidRPr="00627556">
        <w:rPr>
          <w:rFonts w:ascii="Verdana" w:hAnsi="Verdana"/>
          <w:i/>
          <w:iCs/>
          <w:sz w:val="20"/>
          <w:szCs w:val="20"/>
        </w:rPr>
        <w:t>dimensión colectiva del derecho a la democracia</w:t>
      </w:r>
      <w:r w:rsidR="00BB6944" w:rsidRPr="00627556">
        <w:rPr>
          <w:rFonts w:ascii="Verdana" w:hAnsi="Verdana"/>
          <w:sz w:val="20"/>
          <w:szCs w:val="20"/>
        </w:rPr>
        <w:t xml:space="preserve"> cobra especial importancia en casos como el presente, ya que se proyecta a todos los electores y a la sociedad en su conjunto</w:t>
      </w:r>
      <w:r w:rsidR="00210DF3" w:rsidRPr="00627556">
        <w:rPr>
          <w:rFonts w:ascii="Verdana" w:hAnsi="Verdana"/>
          <w:sz w:val="20"/>
          <w:szCs w:val="20"/>
        </w:rPr>
        <w:t>.</w:t>
      </w:r>
      <w:r w:rsidR="00752534" w:rsidRPr="00627556">
        <w:rPr>
          <w:rFonts w:ascii="Verdana" w:hAnsi="Verdana"/>
          <w:sz w:val="20"/>
          <w:szCs w:val="20"/>
        </w:rPr>
        <w:t xml:space="preserve"> Y de ahí que la Corte IDH estimara la necesidad</w:t>
      </w:r>
      <w:r w:rsidR="005436D5" w:rsidRPr="00627556">
        <w:rPr>
          <w:rFonts w:ascii="Verdana" w:hAnsi="Verdana"/>
          <w:sz w:val="20"/>
          <w:szCs w:val="20"/>
        </w:rPr>
        <w:t>,</w:t>
      </w:r>
      <w:r w:rsidR="00752534" w:rsidRPr="00627556">
        <w:rPr>
          <w:rFonts w:ascii="Verdana" w:hAnsi="Verdana"/>
          <w:sz w:val="20"/>
          <w:szCs w:val="20"/>
        </w:rPr>
        <w:t xml:space="preserve"> en el capítulo de “Reparaciones”, de realizar “un llamado a la comunidad internacional y, en </w:t>
      </w:r>
      <w:r w:rsidR="005436D5" w:rsidRPr="00627556">
        <w:rPr>
          <w:rFonts w:ascii="Verdana" w:hAnsi="Verdana"/>
          <w:sz w:val="20"/>
          <w:szCs w:val="20"/>
        </w:rPr>
        <w:t>particular</w:t>
      </w:r>
      <w:r w:rsidR="00752534" w:rsidRPr="00627556">
        <w:rPr>
          <w:rFonts w:ascii="Verdana" w:hAnsi="Verdana"/>
          <w:sz w:val="20"/>
          <w:szCs w:val="20"/>
        </w:rPr>
        <w:t>, a la OEA, y a los demás miembros del Sistema Interamericano, a coadyuvar y cooperar con el fin de garantizar el debido cumplimiento de la presente Sentencia”</w:t>
      </w:r>
      <w:r w:rsidR="00752534">
        <w:rPr>
          <w:rStyle w:val="FootnoteReference"/>
          <w:rFonts w:ascii="Verdana" w:hAnsi="Verdana"/>
          <w:sz w:val="20"/>
          <w:szCs w:val="20"/>
        </w:rPr>
        <w:footnoteReference w:id="166"/>
      </w:r>
      <w:r w:rsidR="00752534" w:rsidRPr="00627556">
        <w:rPr>
          <w:rFonts w:ascii="Verdana" w:hAnsi="Verdana"/>
          <w:sz w:val="20"/>
          <w:szCs w:val="20"/>
        </w:rPr>
        <w:t>. Lo cual lo fundamenta en la noción de “garantía colectiva”, como una obligación general de protección de los Estados entre sí, para asegurar la efectividad de los compromisos internacionales, que consti</w:t>
      </w:r>
      <w:r w:rsidR="0042072A" w:rsidRPr="00627556">
        <w:rPr>
          <w:rFonts w:ascii="Verdana" w:hAnsi="Verdana"/>
          <w:sz w:val="20"/>
          <w:szCs w:val="20"/>
        </w:rPr>
        <w:t>tuye</w:t>
      </w:r>
      <w:r w:rsidR="00752534" w:rsidRPr="00627556">
        <w:rPr>
          <w:rFonts w:ascii="Verdana" w:hAnsi="Verdana"/>
          <w:sz w:val="20"/>
          <w:szCs w:val="20"/>
        </w:rPr>
        <w:t xml:space="preserve"> una obligación </w:t>
      </w:r>
      <w:r w:rsidR="00752534" w:rsidRPr="00627556">
        <w:rPr>
          <w:rFonts w:ascii="Verdana" w:hAnsi="Verdana"/>
          <w:i/>
          <w:iCs/>
          <w:sz w:val="20"/>
          <w:szCs w:val="20"/>
        </w:rPr>
        <w:t>erga omnes</w:t>
      </w:r>
      <w:r w:rsidR="00F65829">
        <w:rPr>
          <w:rStyle w:val="FootnoteReference"/>
          <w:rFonts w:ascii="Verdana" w:hAnsi="Verdana"/>
          <w:sz w:val="20"/>
          <w:szCs w:val="20"/>
        </w:rPr>
        <w:footnoteReference w:id="167"/>
      </w:r>
      <w:r w:rsidR="00752534" w:rsidRPr="00627556">
        <w:rPr>
          <w:rFonts w:ascii="Verdana" w:hAnsi="Verdana"/>
          <w:sz w:val="20"/>
          <w:szCs w:val="20"/>
        </w:rPr>
        <w:t>.</w:t>
      </w:r>
    </w:p>
    <w:p w14:paraId="1036D923" w14:textId="77777777" w:rsidR="00222C1D" w:rsidRDefault="00222C1D" w:rsidP="00272436">
      <w:pPr>
        <w:spacing w:after="0" w:line="240" w:lineRule="auto"/>
        <w:jc w:val="both"/>
        <w:rPr>
          <w:rFonts w:ascii="Verdana" w:hAnsi="Verdana"/>
          <w:sz w:val="20"/>
          <w:szCs w:val="20"/>
        </w:rPr>
      </w:pPr>
    </w:p>
    <w:p w14:paraId="49855936" w14:textId="6D31FB51" w:rsidR="004D6980" w:rsidRPr="00627556" w:rsidRDefault="00627556" w:rsidP="00627556">
      <w:pPr>
        <w:spacing w:line="240" w:lineRule="auto"/>
        <w:jc w:val="both"/>
        <w:rPr>
          <w:rFonts w:ascii="Verdana" w:hAnsi="Verdana"/>
          <w:color w:val="000000" w:themeColor="text1"/>
          <w:sz w:val="20"/>
          <w:szCs w:val="20"/>
          <w:lang w:val="es-ES"/>
        </w:rPr>
      </w:pPr>
      <w:r>
        <w:rPr>
          <w:rFonts w:ascii="Verdana" w:hAnsi="Verdana"/>
          <w:color w:val="000000" w:themeColor="text1"/>
          <w:sz w:val="20"/>
          <w:szCs w:val="20"/>
          <w:lang w:val="es-ES"/>
        </w:rPr>
        <w:t xml:space="preserve">119. </w:t>
      </w:r>
      <w:r w:rsidR="00BB6944" w:rsidRPr="00627556">
        <w:rPr>
          <w:rFonts w:ascii="Verdana" w:hAnsi="Verdana"/>
          <w:color w:val="000000" w:themeColor="text1"/>
          <w:sz w:val="20"/>
          <w:szCs w:val="20"/>
          <w:lang w:val="es-ES"/>
        </w:rPr>
        <w:t>E</w:t>
      </w:r>
      <w:r w:rsidR="00025E1F" w:rsidRPr="00627556">
        <w:rPr>
          <w:rFonts w:ascii="Verdana" w:hAnsi="Verdana"/>
          <w:color w:val="000000" w:themeColor="text1"/>
          <w:sz w:val="20"/>
          <w:szCs w:val="20"/>
          <w:lang w:val="es-ES"/>
        </w:rPr>
        <w:t xml:space="preserve">n definitiva, </w:t>
      </w:r>
      <w:r w:rsidR="00B7622E" w:rsidRPr="00627556">
        <w:rPr>
          <w:rFonts w:ascii="Verdana" w:hAnsi="Verdana"/>
          <w:color w:val="000000" w:themeColor="text1"/>
          <w:sz w:val="20"/>
          <w:szCs w:val="20"/>
          <w:lang w:val="es-ES"/>
        </w:rPr>
        <w:t xml:space="preserve">la relación intrínseca entre democracia, Estado de </w:t>
      </w:r>
      <w:r w:rsidR="000E241D" w:rsidRPr="00627556">
        <w:rPr>
          <w:rFonts w:ascii="Verdana" w:hAnsi="Verdana"/>
          <w:color w:val="000000" w:themeColor="text1"/>
          <w:sz w:val="20"/>
          <w:szCs w:val="20"/>
          <w:lang w:val="es-ES"/>
        </w:rPr>
        <w:t>D</w:t>
      </w:r>
      <w:r w:rsidR="00B7622E" w:rsidRPr="00627556">
        <w:rPr>
          <w:rFonts w:ascii="Verdana" w:hAnsi="Verdana"/>
          <w:color w:val="000000" w:themeColor="text1"/>
          <w:sz w:val="20"/>
          <w:szCs w:val="20"/>
          <w:lang w:val="es-ES"/>
        </w:rPr>
        <w:t>erecho y derechos humanos</w:t>
      </w:r>
      <w:r w:rsidR="005F7AA5" w:rsidRPr="00627556">
        <w:rPr>
          <w:rFonts w:ascii="Verdana" w:hAnsi="Verdana"/>
          <w:color w:val="000000" w:themeColor="text1"/>
          <w:sz w:val="20"/>
          <w:szCs w:val="20"/>
          <w:lang w:val="es-ES"/>
        </w:rPr>
        <w:t xml:space="preserve"> cobra especial importancia </w:t>
      </w:r>
      <w:r w:rsidR="00B7622E" w:rsidRPr="00627556">
        <w:rPr>
          <w:rFonts w:ascii="Verdana" w:hAnsi="Verdana"/>
          <w:color w:val="000000" w:themeColor="text1"/>
          <w:sz w:val="20"/>
          <w:szCs w:val="20"/>
          <w:lang w:val="es-ES"/>
        </w:rPr>
        <w:t xml:space="preserve">ante </w:t>
      </w:r>
      <w:r w:rsidR="00BB6944" w:rsidRPr="00627556">
        <w:rPr>
          <w:rFonts w:ascii="Verdana" w:hAnsi="Verdana"/>
          <w:color w:val="000000" w:themeColor="text1"/>
          <w:sz w:val="20"/>
          <w:szCs w:val="20"/>
          <w:lang w:val="es-ES"/>
        </w:rPr>
        <w:t xml:space="preserve">los desafíos </w:t>
      </w:r>
      <w:r w:rsidR="00CE4417" w:rsidRPr="00627556">
        <w:rPr>
          <w:rFonts w:ascii="Verdana" w:hAnsi="Verdana"/>
          <w:color w:val="000000" w:themeColor="text1"/>
          <w:sz w:val="20"/>
          <w:szCs w:val="20"/>
          <w:lang w:val="es-ES"/>
        </w:rPr>
        <w:t xml:space="preserve">actuales </w:t>
      </w:r>
      <w:r w:rsidR="00BB6944" w:rsidRPr="00627556">
        <w:rPr>
          <w:rFonts w:ascii="Verdana" w:hAnsi="Verdana"/>
          <w:color w:val="000000" w:themeColor="text1"/>
          <w:sz w:val="20"/>
          <w:szCs w:val="20"/>
          <w:lang w:val="es-ES"/>
        </w:rPr>
        <w:t xml:space="preserve">a nivel regional y mundial de </w:t>
      </w:r>
      <w:r w:rsidR="00BB6944" w:rsidRPr="00627556">
        <w:rPr>
          <w:rFonts w:ascii="Verdana" w:hAnsi="Verdana"/>
          <w:i/>
          <w:iCs/>
          <w:color w:val="000000" w:themeColor="text1"/>
          <w:sz w:val="20"/>
          <w:szCs w:val="20"/>
          <w:lang w:val="es-ES"/>
        </w:rPr>
        <w:lastRenderedPageBreak/>
        <w:t>erosión</w:t>
      </w:r>
      <w:r w:rsidR="006E6879" w:rsidRPr="00627556">
        <w:rPr>
          <w:rFonts w:ascii="Verdana" w:hAnsi="Verdana"/>
          <w:i/>
          <w:iCs/>
          <w:color w:val="000000" w:themeColor="text1"/>
          <w:sz w:val="20"/>
          <w:szCs w:val="20"/>
          <w:lang w:val="es-ES"/>
        </w:rPr>
        <w:t xml:space="preserve"> de</w:t>
      </w:r>
      <w:r w:rsidR="00BB6944" w:rsidRPr="00627556">
        <w:rPr>
          <w:rFonts w:ascii="Verdana" w:hAnsi="Verdana"/>
          <w:i/>
          <w:iCs/>
          <w:color w:val="000000" w:themeColor="text1"/>
          <w:sz w:val="20"/>
          <w:szCs w:val="20"/>
          <w:lang w:val="es-ES"/>
        </w:rPr>
        <w:t xml:space="preserve"> la democracia</w:t>
      </w:r>
      <w:r w:rsidR="00025E1F" w:rsidRPr="00025E1F">
        <w:rPr>
          <w:rStyle w:val="FootnoteReference"/>
          <w:rFonts w:ascii="Verdana" w:hAnsi="Verdana"/>
          <w:color w:val="000000" w:themeColor="text1"/>
          <w:sz w:val="20"/>
          <w:szCs w:val="20"/>
          <w:lang w:val="es-ES"/>
        </w:rPr>
        <w:footnoteReference w:id="168"/>
      </w:r>
      <w:r w:rsidR="005F7AA5" w:rsidRPr="00627556">
        <w:rPr>
          <w:rFonts w:ascii="Verdana" w:hAnsi="Verdana"/>
          <w:color w:val="000000" w:themeColor="text1"/>
          <w:sz w:val="20"/>
          <w:szCs w:val="20"/>
          <w:lang w:val="es-ES"/>
        </w:rPr>
        <w:t>.</w:t>
      </w:r>
      <w:r w:rsidR="00D11F58" w:rsidRPr="00627556">
        <w:rPr>
          <w:rFonts w:ascii="Verdana" w:hAnsi="Verdana"/>
          <w:i/>
          <w:iCs/>
          <w:color w:val="000000" w:themeColor="text1"/>
          <w:sz w:val="20"/>
          <w:szCs w:val="20"/>
          <w:lang w:val="es-ES"/>
        </w:rPr>
        <w:t xml:space="preserve"> </w:t>
      </w:r>
      <w:r w:rsidR="00025E1F" w:rsidRPr="00627556">
        <w:rPr>
          <w:rFonts w:ascii="Verdana" w:hAnsi="Verdana"/>
          <w:color w:val="000000" w:themeColor="text1"/>
          <w:sz w:val="20"/>
          <w:szCs w:val="20"/>
          <w:lang w:val="es-ES"/>
        </w:rPr>
        <w:t xml:space="preserve">Estos desafíos constituyen </w:t>
      </w:r>
      <w:r w:rsidR="00BB6944" w:rsidRPr="00627556">
        <w:rPr>
          <w:rFonts w:ascii="Verdana" w:hAnsi="Verdana"/>
          <w:color w:val="000000" w:themeColor="text1"/>
          <w:sz w:val="20"/>
          <w:szCs w:val="20"/>
          <w:lang w:val="es-ES"/>
        </w:rPr>
        <w:t xml:space="preserve">una nueva encrucijada, entre el derecho y la política, a la cual el Derecho Internacional de los Derechos Humanos </w:t>
      </w:r>
      <w:r w:rsidR="002142BF" w:rsidRPr="00627556">
        <w:rPr>
          <w:rFonts w:ascii="Verdana" w:hAnsi="Verdana"/>
          <w:color w:val="000000" w:themeColor="text1"/>
          <w:sz w:val="20"/>
          <w:szCs w:val="20"/>
          <w:lang w:val="es-ES"/>
        </w:rPr>
        <w:t>y particularmente la Convención Americana</w:t>
      </w:r>
      <w:r w:rsidR="00C9719C" w:rsidRPr="00627556">
        <w:rPr>
          <w:rFonts w:ascii="Verdana" w:hAnsi="Verdana"/>
          <w:color w:val="000000" w:themeColor="text1"/>
          <w:sz w:val="20"/>
          <w:szCs w:val="20"/>
          <w:lang w:val="es-ES"/>
        </w:rPr>
        <w:t xml:space="preserve"> y sus órganos de protección</w:t>
      </w:r>
      <w:r w:rsidR="002142BF" w:rsidRPr="00627556">
        <w:rPr>
          <w:rFonts w:ascii="Verdana" w:hAnsi="Verdana"/>
          <w:color w:val="000000" w:themeColor="text1"/>
          <w:sz w:val="20"/>
          <w:szCs w:val="20"/>
          <w:lang w:val="es-ES"/>
        </w:rPr>
        <w:t xml:space="preserve"> </w:t>
      </w:r>
      <w:r w:rsidR="00BB6944" w:rsidRPr="00627556">
        <w:rPr>
          <w:rFonts w:ascii="Verdana" w:hAnsi="Verdana"/>
          <w:color w:val="000000" w:themeColor="text1"/>
          <w:sz w:val="20"/>
          <w:szCs w:val="20"/>
          <w:lang w:val="es-ES"/>
        </w:rPr>
        <w:t>debe</w:t>
      </w:r>
      <w:r w:rsidR="005E4082" w:rsidRPr="00627556">
        <w:rPr>
          <w:rFonts w:ascii="Verdana" w:hAnsi="Verdana"/>
          <w:color w:val="000000" w:themeColor="text1"/>
          <w:sz w:val="20"/>
          <w:szCs w:val="20"/>
          <w:lang w:val="es-ES"/>
        </w:rPr>
        <w:t>n</w:t>
      </w:r>
      <w:r w:rsidR="00BB6944" w:rsidRPr="00627556">
        <w:rPr>
          <w:rFonts w:ascii="Verdana" w:hAnsi="Verdana"/>
          <w:color w:val="000000" w:themeColor="text1"/>
          <w:sz w:val="20"/>
          <w:szCs w:val="20"/>
          <w:lang w:val="es-ES"/>
        </w:rPr>
        <w:t xml:space="preserve"> dar respuesta</w:t>
      </w:r>
      <w:r w:rsidR="007717DA" w:rsidRPr="00627556">
        <w:rPr>
          <w:rFonts w:ascii="Verdana" w:hAnsi="Verdana"/>
          <w:color w:val="000000" w:themeColor="text1"/>
          <w:sz w:val="20"/>
          <w:szCs w:val="20"/>
          <w:lang w:val="es-ES"/>
        </w:rPr>
        <w:t>s</w:t>
      </w:r>
      <w:r w:rsidR="00BB6944" w:rsidRPr="00627556">
        <w:rPr>
          <w:rFonts w:ascii="Verdana" w:hAnsi="Verdana"/>
          <w:color w:val="000000" w:themeColor="text1"/>
          <w:sz w:val="20"/>
          <w:szCs w:val="20"/>
          <w:lang w:val="es-ES"/>
        </w:rPr>
        <w:t xml:space="preserve"> para hacer cumplir su </w:t>
      </w:r>
      <w:r w:rsidR="00042E4C" w:rsidRPr="00627556">
        <w:rPr>
          <w:rFonts w:ascii="Verdana" w:hAnsi="Verdana"/>
          <w:color w:val="000000" w:themeColor="text1"/>
          <w:sz w:val="20"/>
          <w:szCs w:val="20"/>
          <w:lang w:val="es-ES"/>
        </w:rPr>
        <w:t>“</w:t>
      </w:r>
      <w:r w:rsidR="00BB6944" w:rsidRPr="00627556">
        <w:rPr>
          <w:rFonts w:ascii="Verdana" w:hAnsi="Verdana"/>
          <w:color w:val="000000" w:themeColor="text1"/>
          <w:sz w:val="20"/>
          <w:szCs w:val="20"/>
          <w:lang w:val="es-ES"/>
        </w:rPr>
        <w:t>mandato</w:t>
      </w:r>
      <w:r w:rsidR="00025E1F" w:rsidRPr="00627556">
        <w:rPr>
          <w:rFonts w:ascii="Verdana" w:hAnsi="Verdana"/>
          <w:color w:val="000000" w:themeColor="text1"/>
          <w:sz w:val="20"/>
          <w:szCs w:val="20"/>
          <w:lang w:val="es-ES"/>
        </w:rPr>
        <w:t xml:space="preserve"> </w:t>
      </w:r>
      <w:r w:rsidR="00042E4C" w:rsidRPr="00627556">
        <w:rPr>
          <w:rFonts w:ascii="Verdana" w:hAnsi="Verdana"/>
          <w:color w:val="000000" w:themeColor="text1"/>
          <w:sz w:val="20"/>
          <w:szCs w:val="20"/>
          <w:lang w:val="es-ES"/>
        </w:rPr>
        <w:t>transformador”</w:t>
      </w:r>
      <w:r w:rsidR="00042E4C">
        <w:rPr>
          <w:rStyle w:val="FootnoteReference"/>
          <w:rFonts w:ascii="Verdana" w:hAnsi="Verdana"/>
          <w:color w:val="000000" w:themeColor="text1"/>
          <w:sz w:val="20"/>
          <w:szCs w:val="20"/>
          <w:lang w:val="es-ES"/>
        </w:rPr>
        <w:footnoteReference w:id="169"/>
      </w:r>
      <w:r w:rsidR="005F7AA5" w:rsidRPr="00627556">
        <w:rPr>
          <w:rFonts w:ascii="Verdana" w:hAnsi="Verdana"/>
          <w:color w:val="000000" w:themeColor="text1"/>
          <w:sz w:val="20"/>
          <w:szCs w:val="20"/>
          <w:lang w:val="es-ES"/>
        </w:rPr>
        <w:t>,</w:t>
      </w:r>
      <w:r w:rsidR="00042E4C" w:rsidRPr="00627556">
        <w:rPr>
          <w:rFonts w:ascii="Verdana" w:hAnsi="Verdana"/>
          <w:color w:val="000000" w:themeColor="text1"/>
          <w:sz w:val="20"/>
          <w:szCs w:val="20"/>
          <w:lang w:val="es-ES"/>
        </w:rPr>
        <w:t xml:space="preserve"> </w:t>
      </w:r>
      <w:r w:rsidR="005F7AA5" w:rsidRPr="00627556">
        <w:rPr>
          <w:rFonts w:ascii="Verdana" w:hAnsi="Verdana"/>
          <w:color w:val="000000" w:themeColor="text1"/>
          <w:sz w:val="20"/>
          <w:szCs w:val="20"/>
          <w:lang w:val="es-ES"/>
        </w:rPr>
        <w:t xml:space="preserve">siempre a favor de </w:t>
      </w:r>
      <w:r w:rsidR="00F65829" w:rsidRPr="00627556">
        <w:rPr>
          <w:rFonts w:ascii="Verdana" w:hAnsi="Verdana"/>
          <w:color w:val="000000" w:themeColor="text1"/>
          <w:sz w:val="20"/>
          <w:szCs w:val="20"/>
          <w:lang w:val="es-ES"/>
        </w:rPr>
        <w:t xml:space="preserve">los valores democráticos y </w:t>
      </w:r>
      <w:r w:rsidR="00BB6944" w:rsidRPr="00627556">
        <w:rPr>
          <w:rFonts w:ascii="Verdana" w:hAnsi="Verdana"/>
          <w:color w:val="000000" w:themeColor="text1"/>
          <w:sz w:val="20"/>
          <w:szCs w:val="20"/>
          <w:lang w:val="es-ES"/>
        </w:rPr>
        <w:t xml:space="preserve">la dignidad humana. Como indicó </w:t>
      </w:r>
      <w:r w:rsidR="005F7AA5" w:rsidRPr="00627556">
        <w:rPr>
          <w:rFonts w:ascii="Verdana" w:hAnsi="Verdana"/>
          <w:color w:val="000000" w:themeColor="text1"/>
          <w:sz w:val="20"/>
          <w:szCs w:val="20"/>
          <w:lang w:val="es-ES"/>
        </w:rPr>
        <w:t xml:space="preserve">con lucidez </w:t>
      </w:r>
      <w:r w:rsidR="005E4082" w:rsidRPr="00627556">
        <w:rPr>
          <w:rFonts w:ascii="Verdana" w:hAnsi="Verdana"/>
          <w:color w:val="000000" w:themeColor="text1"/>
          <w:sz w:val="20"/>
          <w:szCs w:val="20"/>
          <w:lang w:val="es-ES"/>
        </w:rPr>
        <w:t xml:space="preserve">el </w:t>
      </w:r>
      <w:r w:rsidR="00025E1F" w:rsidRPr="00627556">
        <w:rPr>
          <w:rFonts w:ascii="Verdana" w:hAnsi="Verdana"/>
          <w:color w:val="000000" w:themeColor="text1"/>
          <w:sz w:val="20"/>
          <w:szCs w:val="20"/>
          <w:lang w:val="es-ES"/>
        </w:rPr>
        <w:t xml:space="preserve">ex presidente de este Tribunal, Antônio A. </w:t>
      </w:r>
      <w:r w:rsidR="00210DF3" w:rsidRPr="00627556">
        <w:rPr>
          <w:rFonts w:ascii="Verdana" w:hAnsi="Verdana"/>
          <w:color w:val="000000" w:themeColor="text1"/>
          <w:sz w:val="20"/>
          <w:szCs w:val="20"/>
          <w:lang w:val="es-ES"/>
        </w:rPr>
        <w:t xml:space="preserve">Cançado Trindade, </w:t>
      </w:r>
      <w:r w:rsidR="00BB6944" w:rsidRPr="00627556">
        <w:rPr>
          <w:rFonts w:ascii="Verdana" w:hAnsi="Verdana"/>
          <w:color w:val="000000" w:themeColor="text1"/>
          <w:sz w:val="20"/>
          <w:szCs w:val="20"/>
          <w:lang w:val="es-ES"/>
        </w:rPr>
        <w:t xml:space="preserve">“hace [siete] décadas y media se establecían las bases de la internacionalización de la protección de los derechos humanos. Hoy día, es posible que estemos delante de la etapa inicial de formación de otro fenómeno igualmente alentador y de grandes dimensiones e implicaciones: el de la promoción internacional de la propia democracia y el </w:t>
      </w:r>
      <w:r w:rsidR="00210DF3" w:rsidRPr="00627556">
        <w:rPr>
          <w:rFonts w:ascii="Verdana" w:hAnsi="Verdana"/>
          <w:color w:val="000000" w:themeColor="text1"/>
          <w:sz w:val="20"/>
          <w:szCs w:val="20"/>
          <w:lang w:val="es-ES"/>
        </w:rPr>
        <w:t>E</w:t>
      </w:r>
      <w:r w:rsidR="00BB6944" w:rsidRPr="00627556">
        <w:rPr>
          <w:rFonts w:ascii="Verdana" w:hAnsi="Verdana"/>
          <w:color w:val="000000" w:themeColor="text1"/>
          <w:sz w:val="20"/>
          <w:szCs w:val="20"/>
          <w:lang w:val="es-ES"/>
        </w:rPr>
        <w:t xml:space="preserve">stado de </w:t>
      </w:r>
      <w:r w:rsidR="007717DA" w:rsidRPr="00627556">
        <w:rPr>
          <w:rFonts w:ascii="Verdana" w:hAnsi="Verdana"/>
          <w:color w:val="000000" w:themeColor="text1"/>
          <w:sz w:val="20"/>
          <w:szCs w:val="20"/>
          <w:lang w:val="es-ES"/>
        </w:rPr>
        <w:t>D</w:t>
      </w:r>
      <w:r w:rsidR="00BB6944" w:rsidRPr="00627556">
        <w:rPr>
          <w:rFonts w:ascii="Verdana" w:hAnsi="Verdana"/>
          <w:color w:val="000000" w:themeColor="text1"/>
          <w:sz w:val="20"/>
          <w:szCs w:val="20"/>
          <w:lang w:val="es-ES"/>
        </w:rPr>
        <w:t>erecho”</w:t>
      </w:r>
      <w:r w:rsidR="00BB6944" w:rsidRPr="00590665">
        <w:rPr>
          <w:vertAlign w:val="superscript"/>
          <w:lang w:val="es-ES"/>
        </w:rPr>
        <w:footnoteReference w:id="170"/>
      </w:r>
      <w:r w:rsidR="00035CA6" w:rsidRPr="00627556">
        <w:rPr>
          <w:rFonts w:ascii="Verdana" w:hAnsi="Verdana"/>
          <w:color w:val="000000" w:themeColor="text1"/>
          <w:sz w:val="20"/>
          <w:szCs w:val="20"/>
          <w:lang w:val="es-ES"/>
        </w:rPr>
        <w:t>.</w:t>
      </w:r>
      <w:r w:rsidR="00CC444C" w:rsidRPr="00627556">
        <w:rPr>
          <w:rFonts w:ascii="Verdana" w:hAnsi="Verdana"/>
          <w:color w:val="000000" w:themeColor="text1"/>
          <w:sz w:val="20"/>
          <w:szCs w:val="20"/>
          <w:lang w:val="es-ES"/>
        </w:rPr>
        <w:t xml:space="preserve"> Y esto implica también, en los tiempos convulsos que estamos viviendo, la</w:t>
      </w:r>
      <w:r w:rsidR="00732DD3" w:rsidRPr="00627556">
        <w:rPr>
          <w:rFonts w:ascii="Verdana" w:hAnsi="Verdana"/>
          <w:i/>
          <w:iCs/>
          <w:color w:val="000000" w:themeColor="text1"/>
          <w:sz w:val="20"/>
          <w:szCs w:val="20"/>
          <w:lang w:val="es-ES"/>
        </w:rPr>
        <w:t xml:space="preserve"> </w:t>
      </w:r>
      <w:r w:rsidR="00732DD3" w:rsidRPr="00627556">
        <w:rPr>
          <w:rFonts w:ascii="Verdana" w:hAnsi="Verdana"/>
          <w:color w:val="000000" w:themeColor="text1"/>
          <w:sz w:val="20"/>
          <w:szCs w:val="20"/>
          <w:lang w:val="es-ES"/>
        </w:rPr>
        <w:t>nece</w:t>
      </w:r>
      <w:r w:rsidR="00A45D44" w:rsidRPr="00627556">
        <w:rPr>
          <w:rFonts w:ascii="Verdana" w:hAnsi="Verdana"/>
          <w:color w:val="000000" w:themeColor="text1"/>
          <w:sz w:val="20"/>
          <w:szCs w:val="20"/>
          <w:lang w:val="es-ES"/>
        </w:rPr>
        <w:t>saria</w:t>
      </w:r>
      <w:r w:rsidR="00CC444C" w:rsidRPr="00627556">
        <w:rPr>
          <w:rFonts w:ascii="Verdana" w:hAnsi="Verdana"/>
          <w:i/>
          <w:iCs/>
          <w:color w:val="000000" w:themeColor="text1"/>
          <w:sz w:val="20"/>
          <w:szCs w:val="20"/>
          <w:lang w:val="es-ES"/>
        </w:rPr>
        <w:t xml:space="preserve"> tutela efectiva d</w:t>
      </w:r>
      <w:r w:rsidR="009D668F" w:rsidRPr="00627556">
        <w:rPr>
          <w:rFonts w:ascii="Verdana" w:hAnsi="Verdana"/>
          <w:i/>
          <w:iCs/>
          <w:color w:val="000000" w:themeColor="text1"/>
          <w:sz w:val="20"/>
          <w:szCs w:val="20"/>
          <w:lang w:val="es-ES"/>
        </w:rPr>
        <w:t>e</w:t>
      </w:r>
      <w:r w:rsidR="00CC444C" w:rsidRPr="00627556">
        <w:rPr>
          <w:rFonts w:ascii="Verdana" w:hAnsi="Verdana"/>
          <w:i/>
          <w:iCs/>
          <w:color w:val="000000" w:themeColor="text1"/>
          <w:sz w:val="20"/>
          <w:szCs w:val="20"/>
          <w:lang w:val="es-ES"/>
        </w:rPr>
        <w:t xml:space="preserve"> </w:t>
      </w:r>
      <w:r w:rsidR="009D668F" w:rsidRPr="00627556">
        <w:rPr>
          <w:rFonts w:ascii="Verdana" w:hAnsi="Verdana"/>
          <w:i/>
          <w:iCs/>
          <w:color w:val="000000" w:themeColor="text1"/>
          <w:sz w:val="20"/>
          <w:szCs w:val="20"/>
          <w:lang w:val="es-ES"/>
        </w:rPr>
        <w:t xml:space="preserve">la </w:t>
      </w:r>
      <w:r w:rsidR="00CC444C" w:rsidRPr="00627556">
        <w:rPr>
          <w:rFonts w:ascii="Verdana" w:hAnsi="Verdana"/>
          <w:i/>
          <w:iCs/>
          <w:color w:val="000000" w:themeColor="text1"/>
          <w:sz w:val="20"/>
          <w:szCs w:val="20"/>
          <w:lang w:val="es-ES"/>
        </w:rPr>
        <w:t>democracia</w:t>
      </w:r>
      <w:r w:rsidR="00CC444C" w:rsidRPr="00627556">
        <w:rPr>
          <w:rFonts w:ascii="Verdana" w:hAnsi="Verdana"/>
          <w:color w:val="000000" w:themeColor="text1"/>
          <w:sz w:val="20"/>
          <w:szCs w:val="20"/>
          <w:lang w:val="es-ES"/>
        </w:rPr>
        <w:t>.</w:t>
      </w:r>
    </w:p>
    <w:p w14:paraId="5BBDF2F0" w14:textId="4AA4857A" w:rsidR="00915C43" w:rsidRDefault="00915C43" w:rsidP="00035CA6">
      <w:pPr>
        <w:spacing w:line="360" w:lineRule="auto"/>
        <w:rPr>
          <w:lang w:val="es-ES"/>
        </w:rPr>
      </w:pPr>
    </w:p>
    <w:p w14:paraId="5F926BA9" w14:textId="5F829A86" w:rsidR="00DF5533" w:rsidRPr="003F4CD3" w:rsidRDefault="00DF5533" w:rsidP="00035CA6">
      <w:pPr>
        <w:pStyle w:val="ListParagraph"/>
        <w:widowControl w:val="0"/>
        <w:tabs>
          <w:tab w:val="left" w:pos="0"/>
          <w:tab w:val="left" w:pos="709"/>
        </w:tabs>
        <w:autoSpaceDE w:val="0"/>
        <w:autoSpaceDN w:val="0"/>
        <w:adjustRightInd w:val="0"/>
        <w:spacing w:after="0" w:line="360" w:lineRule="auto"/>
        <w:ind w:left="0"/>
        <w:contextualSpacing w:val="0"/>
        <w:jc w:val="center"/>
        <w:rPr>
          <w:rFonts w:ascii="Verdana" w:hAnsi="Verdana"/>
          <w:sz w:val="20"/>
          <w:szCs w:val="20"/>
          <w:lang w:val="pt-BR"/>
        </w:rPr>
      </w:pPr>
      <w:r w:rsidRPr="001017CB">
        <w:rPr>
          <w:rFonts w:ascii="Verdana" w:hAnsi="Verdana"/>
          <w:sz w:val="20"/>
          <w:szCs w:val="20"/>
          <w:lang w:val="es-ES"/>
        </w:rPr>
        <w:tab/>
      </w:r>
      <w:r w:rsidRPr="001017CB">
        <w:rPr>
          <w:rFonts w:ascii="Verdana" w:hAnsi="Verdana"/>
          <w:sz w:val="20"/>
          <w:szCs w:val="20"/>
          <w:lang w:val="es-ES"/>
        </w:rPr>
        <w:tab/>
      </w:r>
      <w:r w:rsidRPr="001017CB">
        <w:rPr>
          <w:rFonts w:ascii="Verdana" w:hAnsi="Verdana"/>
          <w:sz w:val="20"/>
          <w:szCs w:val="20"/>
          <w:lang w:val="es-ES"/>
        </w:rPr>
        <w:tab/>
      </w:r>
      <w:r w:rsidRPr="001017CB">
        <w:rPr>
          <w:rFonts w:ascii="Verdana" w:hAnsi="Verdana"/>
          <w:sz w:val="20"/>
          <w:szCs w:val="20"/>
          <w:lang w:val="es-ES"/>
        </w:rPr>
        <w:tab/>
      </w:r>
      <w:r w:rsidRPr="001017CB">
        <w:rPr>
          <w:rFonts w:ascii="Verdana" w:hAnsi="Verdana"/>
          <w:sz w:val="20"/>
          <w:szCs w:val="20"/>
          <w:lang w:val="es-ES"/>
        </w:rPr>
        <w:tab/>
      </w:r>
      <w:r w:rsidRPr="001017CB">
        <w:rPr>
          <w:rFonts w:ascii="Verdana" w:hAnsi="Verdana"/>
          <w:sz w:val="20"/>
          <w:szCs w:val="20"/>
          <w:lang w:val="es-ES"/>
        </w:rPr>
        <w:tab/>
      </w:r>
      <w:r w:rsidRPr="001017CB">
        <w:rPr>
          <w:rFonts w:ascii="Verdana" w:hAnsi="Verdana"/>
          <w:sz w:val="20"/>
          <w:szCs w:val="20"/>
          <w:lang w:val="es-ES"/>
        </w:rPr>
        <w:tab/>
      </w:r>
      <w:r w:rsidRPr="003F4CD3">
        <w:rPr>
          <w:rFonts w:ascii="Verdana" w:hAnsi="Verdana"/>
          <w:sz w:val="20"/>
          <w:szCs w:val="20"/>
          <w:lang w:val="pt-BR"/>
        </w:rPr>
        <w:t xml:space="preserve">Eduardo Ferrer Mac-Gregor </w:t>
      </w:r>
      <w:r w:rsidR="002304A1">
        <w:rPr>
          <w:rFonts w:ascii="Verdana" w:hAnsi="Verdana"/>
          <w:sz w:val="20"/>
          <w:szCs w:val="20"/>
          <w:lang w:val="pt-BR"/>
        </w:rPr>
        <w:t>Poisot</w:t>
      </w:r>
    </w:p>
    <w:p w14:paraId="0F3926FC" w14:textId="42B9A723" w:rsidR="00DF5533" w:rsidRPr="003F4CD3" w:rsidRDefault="00DF5533" w:rsidP="00035CA6">
      <w:pPr>
        <w:pStyle w:val="ListParagraph"/>
        <w:widowControl w:val="0"/>
        <w:tabs>
          <w:tab w:val="left" w:pos="0"/>
          <w:tab w:val="left" w:pos="709"/>
        </w:tabs>
        <w:autoSpaceDE w:val="0"/>
        <w:autoSpaceDN w:val="0"/>
        <w:adjustRightInd w:val="0"/>
        <w:spacing w:after="0" w:line="360" w:lineRule="auto"/>
        <w:ind w:left="0"/>
        <w:contextualSpacing w:val="0"/>
        <w:rPr>
          <w:rFonts w:ascii="Verdana" w:hAnsi="Verdana"/>
          <w:sz w:val="20"/>
          <w:szCs w:val="20"/>
          <w:lang w:val="pt-BR"/>
        </w:rPr>
      </w:pPr>
      <w:r w:rsidRPr="003F4CD3">
        <w:rPr>
          <w:rFonts w:ascii="Verdana" w:hAnsi="Verdana"/>
          <w:sz w:val="20"/>
          <w:szCs w:val="20"/>
          <w:lang w:val="pt-BR"/>
        </w:rPr>
        <w:t xml:space="preserve">                                                                                               </w:t>
      </w:r>
      <w:r>
        <w:rPr>
          <w:rFonts w:ascii="Verdana" w:hAnsi="Verdana"/>
          <w:sz w:val="20"/>
          <w:szCs w:val="20"/>
          <w:lang w:val="pt-BR"/>
        </w:rPr>
        <w:t xml:space="preserve">    </w:t>
      </w:r>
      <w:r w:rsidRPr="003F4CD3">
        <w:rPr>
          <w:rFonts w:ascii="Verdana" w:hAnsi="Verdana"/>
          <w:sz w:val="20"/>
          <w:szCs w:val="20"/>
          <w:lang w:val="pt-BR"/>
        </w:rPr>
        <w:t xml:space="preserve"> Juez             </w:t>
      </w:r>
    </w:p>
    <w:p w14:paraId="6A1E7BAA" w14:textId="3A7AB16D" w:rsidR="00035CA6" w:rsidRDefault="00035CA6" w:rsidP="00DF5533">
      <w:pPr>
        <w:pStyle w:val="ListParagraph"/>
        <w:widowControl w:val="0"/>
        <w:tabs>
          <w:tab w:val="left" w:pos="0"/>
          <w:tab w:val="left" w:pos="709"/>
        </w:tabs>
        <w:autoSpaceDE w:val="0"/>
        <w:autoSpaceDN w:val="0"/>
        <w:adjustRightInd w:val="0"/>
        <w:ind w:left="0"/>
        <w:contextualSpacing w:val="0"/>
        <w:rPr>
          <w:rFonts w:ascii="Verdana" w:hAnsi="Verdana"/>
          <w:sz w:val="20"/>
          <w:szCs w:val="20"/>
          <w:lang w:val="pt-BR"/>
        </w:rPr>
      </w:pPr>
    </w:p>
    <w:p w14:paraId="0FF566A3" w14:textId="77777777" w:rsidR="00F65829" w:rsidRPr="003F4CD3" w:rsidRDefault="00F65829" w:rsidP="00DF5533">
      <w:pPr>
        <w:pStyle w:val="ListParagraph"/>
        <w:widowControl w:val="0"/>
        <w:tabs>
          <w:tab w:val="left" w:pos="0"/>
          <w:tab w:val="left" w:pos="709"/>
        </w:tabs>
        <w:autoSpaceDE w:val="0"/>
        <w:autoSpaceDN w:val="0"/>
        <w:adjustRightInd w:val="0"/>
        <w:ind w:left="0"/>
        <w:contextualSpacing w:val="0"/>
        <w:rPr>
          <w:rFonts w:ascii="Verdana" w:hAnsi="Verdana"/>
          <w:sz w:val="20"/>
          <w:szCs w:val="20"/>
          <w:lang w:val="pt-BR"/>
        </w:rPr>
      </w:pPr>
    </w:p>
    <w:p w14:paraId="5D8E8605" w14:textId="77777777" w:rsidR="00DF5533" w:rsidRPr="001017CB" w:rsidRDefault="00DF5533" w:rsidP="00DF5533">
      <w:pPr>
        <w:pStyle w:val="ListParagraph"/>
        <w:widowControl w:val="0"/>
        <w:tabs>
          <w:tab w:val="left" w:pos="0"/>
          <w:tab w:val="left" w:pos="709"/>
        </w:tabs>
        <w:autoSpaceDE w:val="0"/>
        <w:autoSpaceDN w:val="0"/>
        <w:adjustRightInd w:val="0"/>
        <w:spacing w:after="0" w:line="360" w:lineRule="auto"/>
        <w:ind w:left="0"/>
        <w:contextualSpacing w:val="0"/>
        <w:rPr>
          <w:rFonts w:ascii="Verdana" w:hAnsi="Verdana"/>
          <w:sz w:val="20"/>
          <w:szCs w:val="20"/>
          <w:lang w:val="pt-BR"/>
        </w:rPr>
      </w:pPr>
      <w:r w:rsidRPr="001017CB">
        <w:rPr>
          <w:rFonts w:ascii="Verdana" w:hAnsi="Verdana"/>
          <w:sz w:val="20"/>
          <w:szCs w:val="20"/>
          <w:lang w:val="pt-BR"/>
        </w:rPr>
        <w:t>Pablo Saavedra Alessandri</w:t>
      </w:r>
    </w:p>
    <w:p w14:paraId="61B2A7A5" w14:textId="7BCD065B" w:rsidR="00BE54D8" w:rsidRPr="003124D7" w:rsidRDefault="00DF5533" w:rsidP="003124D7">
      <w:pPr>
        <w:tabs>
          <w:tab w:val="left" w:pos="709"/>
        </w:tabs>
        <w:spacing w:after="0" w:line="360" w:lineRule="auto"/>
        <w:jc w:val="both"/>
        <w:rPr>
          <w:rFonts w:ascii="Verdana" w:hAnsi="Verdana"/>
          <w:sz w:val="20"/>
          <w:szCs w:val="20"/>
        </w:rPr>
      </w:pPr>
      <w:r w:rsidRPr="001017CB">
        <w:rPr>
          <w:rFonts w:ascii="Verdana" w:hAnsi="Verdana"/>
          <w:sz w:val="20"/>
          <w:szCs w:val="20"/>
          <w:lang w:val="pt-BR"/>
        </w:rPr>
        <w:t xml:space="preserve">         </w:t>
      </w:r>
      <w:r>
        <w:rPr>
          <w:rFonts w:ascii="Verdana" w:hAnsi="Verdana"/>
          <w:sz w:val="20"/>
          <w:szCs w:val="20"/>
        </w:rPr>
        <w:t>Secretario</w:t>
      </w:r>
    </w:p>
    <w:sectPr w:rsidR="00BE54D8" w:rsidRPr="003124D7" w:rsidSect="000A32B9">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5668" w14:textId="77777777" w:rsidR="007A0C67" w:rsidRDefault="007A0C67" w:rsidP="008D3AA5">
      <w:pPr>
        <w:spacing w:after="0" w:line="240" w:lineRule="auto"/>
      </w:pPr>
      <w:r>
        <w:separator/>
      </w:r>
    </w:p>
  </w:endnote>
  <w:endnote w:type="continuationSeparator" w:id="0">
    <w:p w14:paraId="232C6CD9" w14:textId="77777777" w:rsidR="007A0C67" w:rsidRDefault="007A0C67" w:rsidP="008D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7965684"/>
      <w:docPartObj>
        <w:docPartGallery w:val="Page Numbers (Bottom of Page)"/>
        <w:docPartUnique/>
      </w:docPartObj>
    </w:sdtPr>
    <w:sdtContent>
      <w:p w14:paraId="64BC8C68" w14:textId="6CC05FC7" w:rsidR="00CA403B" w:rsidRDefault="00CA403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559831" w14:textId="77777777" w:rsidR="00CA403B" w:rsidRDefault="00CA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392795"/>
      <w:docPartObj>
        <w:docPartGallery w:val="Page Numbers (Bottom of Page)"/>
        <w:docPartUnique/>
      </w:docPartObj>
    </w:sdtPr>
    <w:sdtContent>
      <w:p w14:paraId="62C8F089" w14:textId="6F703B0F" w:rsidR="00CA403B" w:rsidRDefault="00CA403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B0D43">
          <w:rPr>
            <w:rStyle w:val="PageNumber"/>
            <w:noProof/>
          </w:rPr>
          <w:t>33</w:t>
        </w:r>
        <w:r>
          <w:rPr>
            <w:rStyle w:val="PageNumber"/>
          </w:rPr>
          <w:fldChar w:fldCharType="end"/>
        </w:r>
      </w:p>
    </w:sdtContent>
  </w:sdt>
  <w:p w14:paraId="768B8DB9" w14:textId="77777777" w:rsidR="00CA403B" w:rsidRDefault="00CA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4C597" w14:textId="77777777" w:rsidR="007A0C67" w:rsidRDefault="007A0C67" w:rsidP="008D3AA5">
      <w:pPr>
        <w:spacing w:after="0" w:line="240" w:lineRule="auto"/>
      </w:pPr>
      <w:r>
        <w:separator/>
      </w:r>
    </w:p>
  </w:footnote>
  <w:footnote w:type="continuationSeparator" w:id="0">
    <w:p w14:paraId="0E966EAF" w14:textId="77777777" w:rsidR="007A0C67" w:rsidRDefault="007A0C67" w:rsidP="008D3AA5">
      <w:pPr>
        <w:spacing w:after="0" w:line="240" w:lineRule="auto"/>
      </w:pPr>
      <w:r>
        <w:continuationSeparator/>
      </w:r>
    </w:p>
  </w:footnote>
  <w:footnote w:id="1">
    <w:p w14:paraId="2CB27CFB" w14:textId="77777777" w:rsidR="00CA403B" w:rsidRPr="00871EA2" w:rsidRDefault="00CA403B" w:rsidP="00871EA2">
      <w:pPr>
        <w:pStyle w:val="FootnoteText"/>
        <w:tabs>
          <w:tab w:val="left" w:pos="709"/>
          <w:tab w:val="left" w:pos="9356"/>
        </w:tabs>
        <w:ind w:right="48"/>
        <w:jc w:val="both"/>
        <w:rPr>
          <w:rFonts w:ascii="Verdana" w:hAnsi="Verdana" w:cs="Arial"/>
          <w:sz w:val="16"/>
          <w:szCs w:val="16"/>
          <w:lang w:val="es-ES"/>
        </w:rPr>
      </w:pPr>
      <w:r w:rsidRPr="00871EA2">
        <w:rPr>
          <w:rStyle w:val="FootnoteReference"/>
          <w:rFonts w:ascii="Verdana" w:hAnsi="Verdana" w:cs="Arial"/>
          <w:sz w:val="16"/>
          <w:szCs w:val="16"/>
          <w:lang w:val="es-ES"/>
        </w:rPr>
        <w:footnoteRef/>
      </w:r>
      <w:r w:rsidRPr="00871EA2">
        <w:rPr>
          <w:rFonts w:ascii="Verdana" w:hAnsi="Verdana" w:cs="Arial"/>
          <w:sz w:val="16"/>
          <w:szCs w:val="16"/>
          <w:lang w:val="es-ES"/>
        </w:rPr>
        <w:t xml:space="preserve"> </w:t>
      </w:r>
      <w:r w:rsidRPr="00871EA2">
        <w:rPr>
          <w:rFonts w:ascii="Verdana" w:hAnsi="Verdana" w:cs="Arial"/>
          <w:sz w:val="16"/>
          <w:szCs w:val="16"/>
          <w:lang w:val="es-ES"/>
        </w:rPr>
        <w:tab/>
        <w:t xml:space="preserve">El artículo 66.2 de la Convención Americana establece: “Si el fallo no expresare en todo o en parte la opinión unánime de los jueces, cualquiera de éstos tendrá derecho a que se agregue al fallo su opinión disidente o individual”. Asimismo, véanse los artículos 24.3 del Estatuto y 32.1 a), 65.2 y 67.4 del Reglamento, ambos de la Corte IDH. </w:t>
      </w:r>
    </w:p>
  </w:footnote>
  <w:footnote w:id="2">
    <w:p w14:paraId="7D14D917" w14:textId="427D4674"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r>
      <w:r w:rsidRPr="00871EA2">
        <w:rPr>
          <w:rFonts w:ascii="Verdana" w:hAnsi="Verdana" w:cs="Arial"/>
          <w:i/>
          <w:iCs/>
          <w:color w:val="000000" w:themeColor="text1"/>
          <w:sz w:val="16"/>
          <w:szCs w:val="16"/>
        </w:rPr>
        <w:t>Cfr.</w:t>
      </w:r>
      <w:r w:rsidRPr="00871EA2">
        <w:rPr>
          <w:rFonts w:ascii="Verdana" w:hAnsi="Verdana" w:cs="Arial"/>
          <w:color w:val="000000" w:themeColor="text1"/>
          <w:sz w:val="16"/>
          <w:szCs w:val="16"/>
        </w:rPr>
        <w:t xml:space="preserve"> Chica Rickcoar, Silvia Patricia</w:t>
      </w:r>
      <w:r w:rsidRPr="00871EA2">
        <w:rPr>
          <w:rFonts w:ascii="Verdana" w:hAnsi="Verdana" w:cs="Arial"/>
          <w:i/>
          <w:iCs/>
          <w:color w:val="000000" w:themeColor="text1"/>
          <w:sz w:val="16"/>
          <w:szCs w:val="16"/>
        </w:rPr>
        <w:t>, Manual para el análisis de contexto de casos de personas desaparecidas en México</w:t>
      </w:r>
      <w:r w:rsidRPr="00871EA2">
        <w:rPr>
          <w:rFonts w:ascii="Verdana" w:hAnsi="Verdana" w:cs="Arial"/>
          <w:color w:val="000000" w:themeColor="text1"/>
          <w:sz w:val="16"/>
          <w:szCs w:val="16"/>
        </w:rPr>
        <w:t>, Instituto Mexicano de Derechos Humanos y Democracia A.C., 2019, pp. 8-10.</w:t>
      </w:r>
    </w:p>
    <w:p w14:paraId="23D93D4B" w14:textId="77777777" w:rsidR="00CA403B" w:rsidRPr="00871EA2" w:rsidRDefault="00CA403B" w:rsidP="00871EA2">
      <w:pPr>
        <w:pStyle w:val="FootnoteText"/>
        <w:jc w:val="both"/>
        <w:rPr>
          <w:rFonts w:ascii="Verdana" w:hAnsi="Verdana" w:cs="Arial"/>
          <w:color w:val="000000" w:themeColor="text1"/>
          <w:sz w:val="16"/>
          <w:szCs w:val="16"/>
        </w:rPr>
      </w:pPr>
      <w:r w:rsidRPr="00871EA2">
        <w:rPr>
          <w:rFonts w:ascii="Verdana" w:hAnsi="Verdana" w:cs="Arial"/>
          <w:color w:val="000000" w:themeColor="text1"/>
          <w:sz w:val="16"/>
          <w:szCs w:val="16"/>
        </w:rPr>
        <w:t xml:space="preserve">  </w:t>
      </w:r>
    </w:p>
  </w:footnote>
  <w:footnote w:id="3">
    <w:p w14:paraId="104A63E0" w14:textId="5B04B37F"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r>
      <w:r w:rsidRPr="00871EA2">
        <w:rPr>
          <w:rFonts w:ascii="Verdana" w:hAnsi="Verdana" w:cs="Arial"/>
          <w:i/>
          <w:iCs/>
          <w:color w:val="000000" w:themeColor="text1"/>
          <w:sz w:val="16"/>
          <w:szCs w:val="16"/>
        </w:rPr>
        <w:t>Cfr.</w:t>
      </w:r>
      <w:r w:rsidRPr="00871EA2">
        <w:rPr>
          <w:rFonts w:ascii="Verdana" w:hAnsi="Verdana" w:cs="Arial"/>
          <w:color w:val="000000" w:themeColor="text1"/>
          <w:sz w:val="16"/>
          <w:szCs w:val="16"/>
        </w:rPr>
        <w:t xml:space="preserve"> </w:t>
      </w:r>
      <w:r w:rsidRPr="00871EA2">
        <w:rPr>
          <w:rFonts w:ascii="Verdana" w:hAnsi="Verdana" w:cs="Arial"/>
          <w:i/>
          <w:iCs/>
          <w:color w:val="000000" w:themeColor="text1"/>
          <w:sz w:val="16"/>
          <w:szCs w:val="16"/>
        </w:rPr>
        <w:t xml:space="preserve">Caso Velásquez Rodríguez Vs. Honduras. </w:t>
      </w:r>
      <w:r w:rsidRPr="00DC2DBE">
        <w:rPr>
          <w:rFonts w:ascii="Verdana" w:hAnsi="Verdana" w:cs="Arial"/>
          <w:i/>
          <w:iCs/>
          <w:color w:val="000000" w:themeColor="text1"/>
          <w:sz w:val="16"/>
          <w:szCs w:val="16"/>
        </w:rPr>
        <w:t>Fondo</w:t>
      </w:r>
      <w:r w:rsidRPr="00DC2DBE">
        <w:rPr>
          <w:rFonts w:ascii="Verdana" w:hAnsi="Verdana" w:cs="Arial"/>
          <w:color w:val="000000" w:themeColor="text1"/>
          <w:sz w:val="16"/>
          <w:szCs w:val="16"/>
        </w:rPr>
        <w:t>.</w:t>
      </w:r>
      <w:r w:rsidRPr="00871EA2">
        <w:rPr>
          <w:rFonts w:ascii="Verdana" w:hAnsi="Verdana" w:cs="Arial"/>
          <w:color w:val="000000" w:themeColor="text1"/>
          <w:sz w:val="16"/>
          <w:szCs w:val="16"/>
        </w:rPr>
        <w:t xml:space="preserve"> Sentencia de 29 de julio de 1988. Serie C No. 4, párrs. 130 y 131, y Caso Gutiérrez Hernández y otros Vs. Guatemala. </w:t>
      </w:r>
      <w:r w:rsidRPr="00363551">
        <w:rPr>
          <w:rFonts w:ascii="Verdana" w:hAnsi="Verdana" w:cs="Arial"/>
          <w:i/>
          <w:color w:val="000000" w:themeColor="text1"/>
          <w:sz w:val="16"/>
          <w:szCs w:val="16"/>
        </w:rPr>
        <w:t>Excepciones Preliminares, Fondo, Reparaciones y Costas</w:t>
      </w:r>
      <w:r w:rsidRPr="00871EA2">
        <w:rPr>
          <w:rFonts w:ascii="Verdana" w:hAnsi="Verdana" w:cs="Arial"/>
          <w:color w:val="000000" w:themeColor="text1"/>
          <w:sz w:val="16"/>
          <w:szCs w:val="16"/>
        </w:rPr>
        <w:t>. Sentencia de 24 de agosto de 2017. Serie C No. 339, párr. 125.</w:t>
      </w:r>
    </w:p>
  </w:footnote>
  <w:footnote w:id="4">
    <w:p w14:paraId="6C67A24B" w14:textId="02A50F1D" w:rsidR="00CA403B" w:rsidRPr="00871EA2" w:rsidRDefault="00CA403B" w:rsidP="00871EA2">
      <w:pPr>
        <w:spacing w:after="0" w:line="240" w:lineRule="auto"/>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t xml:space="preserve">En este sentido, la propia Real Academia de la Lengua Española ha indicado que “contexto” es el “entorno físico o de situación política, histórica, cultural o de cualquier otra índole en el que se considera un hecho”. Por otro lado, un “patrón”, dentro de sus múltiples acepciones, es el “modelo que sirve de muestra para sacar otra cosa igual”. </w:t>
      </w:r>
    </w:p>
  </w:footnote>
  <w:footnote w:id="5">
    <w:p w14:paraId="2BE245F6" w14:textId="25159697"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r>
      <w:r w:rsidRPr="00871EA2">
        <w:rPr>
          <w:rFonts w:ascii="Verdana" w:hAnsi="Verdana" w:cs="Arial"/>
          <w:i/>
          <w:iCs/>
          <w:color w:val="000000" w:themeColor="text1"/>
          <w:sz w:val="16"/>
          <w:szCs w:val="16"/>
        </w:rPr>
        <w:t>Cfr.</w:t>
      </w:r>
      <w:r w:rsidRPr="00871EA2">
        <w:rPr>
          <w:rFonts w:ascii="Verdana" w:hAnsi="Verdana" w:cs="Arial"/>
          <w:color w:val="000000" w:themeColor="text1"/>
          <w:sz w:val="16"/>
          <w:szCs w:val="16"/>
        </w:rPr>
        <w:t xml:space="preserve"> Chica Rickcoar, Silvia Patricia, </w:t>
      </w:r>
      <w:r w:rsidRPr="00871EA2">
        <w:rPr>
          <w:rFonts w:ascii="Verdana" w:hAnsi="Verdana" w:cs="Arial"/>
          <w:i/>
          <w:iCs/>
          <w:color w:val="000000" w:themeColor="text1"/>
          <w:sz w:val="16"/>
          <w:szCs w:val="16"/>
        </w:rPr>
        <w:t>Manual para el análisis de contexto de casos de personas desaparecidas en México</w:t>
      </w:r>
      <w:r w:rsidRPr="00871EA2">
        <w:rPr>
          <w:rFonts w:ascii="Verdana" w:hAnsi="Verdana" w:cs="Arial"/>
          <w:color w:val="000000" w:themeColor="text1"/>
          <w:sz w:val="16"/>
          <w:szCs w:val="16"/>
        </w:rPr>
        <w:t xml:space="preserve">, </w:t>
      </w:r>
      <w:r>
        <w:rPr>
          <w:rFonts w:ascii="Verdana" w:hAnsi="Verdana" w:cs="Arial"/>
          <w:i/>
          <w:iCs/>
          <w:color w:val="000000" w:themeColor="text1"/>
          <w:sz w:val="16"/>
          <w:szCs w:val="16"/>
        </w:rPr>
        <w:t>supra</w:t>
      </w:r>
      <w:r w:rsidRPr="00871EA2">
        <w:rPr>
          <w:rFonts w:ascii="Verdana" w:hAnsi="Verdana" w:cs="Arial"/>
          <w:color w:val="000000" w:themeColor="text1"/>
          <w:sz w:val="16"/>
          <w:szCs w:val="16"/>
        </w:rPr>
        <w:t>, p. 16.</w:t>
      </w:r>
    </w:p>
  </w:footnote>
  <w:footnote w:id="6">
    <w:p w14:paraId="5A6E84D9" w14:textId="73272C32"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871EA2">
        <w:rPr>
          <w:rFonts w:ascii="Verdana" w:hAnsi="Verdana" w:cs="Arial"/>
          <w:color w:val="000000" w:themeColor="text1"/>
          <w:sz w:val="16"/>
          <w:szCs w:val="16"/>
        </w:rPr>
        <w:t xml:space="preserve">Chica Rickcoar, Silvia Patricia, </w:t>
      </w:r>
      <w:r w:rsidRPr="00871EA2">
        <w:rPr>
          <w:rFonts w:ascii="Verdana" w:hAnsi="Verdana" w:cs="Arial"/>
          <w:i/>
          <w:iCs/>
          <w:color w:val="000000" w:themeColor="text1"/>
          <w:sz w:val="16"/>
          <w:szCs w:val="16"/>
        </w:rPr>
        <w:t xml:space="preserve">Manual para el análisis de contexto de casos de personas desaparecidas en </w:t>
      </w:r>
      <w:r w:rsidRPr="00363551">
        <w:rPr>
          <w:rFonts w:ascii="Verdana" w:hAnsi="Verdana" w:cs="Arial"/>
          <w:iCs/>
          <w:color w:val="000000" w:themeColor="text1"/>
          <w:sz w:val="16"/>
          <w:szCs w:val="16"/>
        </w:rPr>
        <w:t>México</w:t>
      </w:r>
      <w:r>
        <w:rPr>
          <w:rFonts w:ascii="Verdana" w:hAnsi="Verdana" w:cs="Arial"/>
          <w:iCs/>
          <w:color w:val="000000" w:themeColor="text1"/>
          <w:sz w:val="16"/>
          <w:szCs w:val="16"/>
        </w:rPr>
        <w:t xml:space="preserve">, </w:t>
      </w:r>
      <w:r w:rsidRPr="0015432B">
        <w:rPr>
          <w:rFonts w:ascii="Verdana" w:hAnsi="Verdana" w:cs="Arial"/>
          <w:i/>
          <w:iCs/>
          <w:color w:val="000000" w:themeColor="text1"/>
          <w:sz w:val="16"/>
          <w:szCs w:val="16"/>
        </w:rPr>
        <w:t>supra</w:t>
      </w:r>
      <w:r>
        <w:rPr>
          <w:rFonts w:ascii="Verdana" w:hAnsi="Verdana" w:cs="Arial"/>
          <w:iCs/>
          <w:color w:val="000000" w:themeColor="text1"/>
          <w:sz w:val="16"/>
          <w:szCs w:val="16"/>
        </w:rPr>
        <w:t xml:space="preserve">, </w:t>
      </w:r>
      <w:r w:rsidRPr="00871EA2">
        <w:rPr>
          <w:rFonts w:ascii="Verdana" w:hAnsi="Verdana"/>
          <w:color w:val="000000" w:themeColor="text1"/>
          <w:sz w:val="16"/>
          <w:szCs w:val="16"/>
        </w:rPr>
        <w:t xml:space="preserve">p. 18. </w:t>
      </w:r>
    </w:p>
  </w:footnote>
  <w:footnote w:id="7">
    <w:p w14:paraId="4A7DDC2B" w14:textId="792FCE91" w:rsidR="00CA403B" w:rsidRPr="00871EA2" w:rsidRDefault="00CA403B" w:rsidP="00871EA2">
      <w:pPr>
        <w:pStyle w:val="FootnoteText"/>
        <w:jc w:val="both"/>
        <w:rPr>
          <w:rFonts w:ascii="Verdana" w:hAnsi="Verdana" w:cs="Arial"/>
          <w:color w:val="000000" w:themeColor="text1"/>
          <w:sz w:val="16"/>
          <w:szCs w:val="16"/>
          <w:shd w:val="clear" w:color="auto" w:fill="FFFFFF"/>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t xml:space="preserve">Al respecto, la Corte IDH ha precisado que, aunque exista un contexto de una práctica, sistemática o generalizada, de violaciones a derechos humanos, se requiere la existencia de otros elementos que permitan corroborar dichas violaciones. Así ha precisado que la “sola comprobación de una práctica [de violaciones a derechos humanos] no basta, en ausencia de toda otra prueba, aun circunstancial [, indiciaria] o indirecta, para demostrar [una violación a derechos humanos]”. </w:t>
      </w:r>
      <w:r w:rsidRPr="00871EA2">
        <w:rPr>
          <w:rFonts w:ascii="Verdana" w:hAnsi="Verdana" w:cs="Arial"/>
          <w:i/>
          <w:iCs/>
          <w:color w:val="000000" w:themeColor="text1"/>
          <w:sz w:val="16"/>
          <w:szCs w:val="16"/>
        </w:rPr>
        <w:t xml:space="preserve">Cfr. </w:t>
      </w:r>
      <w:r w:rsidRPr="00871EA2">
        <w:rPr>
          <w:rFonts w:ascii="Verdana" w:hAnsi="Verdana" w:cs="Arial"/>
          <w:i/>
          <w:iCs/>
          <w:color w:val="000000" w:themeColor="text1"/>
          <w:sz w:val="16"/>
          <w:szCs w:val="16"/>
          <w:shd w:val="clear" w:color="auto" w:fill="FFFFFF"/>
        </w:rPr>
        <w:t> </w:t>
      </w:r>
      <w:r w:rsidRPr="00871EA2">
        <w:rPr>
          <w:rFonts w:ascii="Verdana" w:hAnsi="Verdana" w:cs="Arial"/>
          <w:i/>
          <w:iCs/>
          <w:color w:val="000000" w:themeColor="text1"/>
          <w:sz w:val="16"/>
          <w:szCs w:val="16"/>
        </w:rPr>
        <w:t>Fairén Garbi y Solís Corrales Vs. Honduras. Fondo</w:t>
      </w:r>
      <w:r w:rsidRPr="00871EA2">
        <w:rPr>
          <w:rFonts w:ascii="Verdana" w:hAnsi="Verdana" w:cs="Arial"/>
          <w:color w:val="000000" w:themeColor="text1"/>
          <w:sz w:val="16"/>
          <w:szCs w:val="16"/>
        </w:rPr>
        <w:t>. Sentencia de 15 de marzo de 1989. Serie C. No. 6, párr. 157</w:t>
      </w:r>
      <w:r>
        <w:rPr>
          <w:rFonts w:ascii="Verdana" w:hAnsi="Verdana" w:cs="Arial"/>
          <w:color w:val="000000" w:themeColor="text1"/>
          <w:sz w:val="16"/>
          <w:szCs w:val="16"/>
          <w:shd w:val="clear" w:color="auto" w:fill="FFFFFF"/>
        </w:rPr>
        <w:t>,</w:t>
      </w:r>
      <w:r w:rsidRPr="00871EA2">
        <w:rPr>
          <w:rFonts w:ascii="Verdana" w:hAnsi="Verdana" w:cs="Arial"/>
          <w:color w:val="000000" w:themeColor="text1"/>
          <w:sz w:val="16"/>
          <w:szCs w:val="16"/>
          <w:shd w:val="clear" w:color="auto" w:fill="FFFFFF"/>
        </w:rPr>
        <w:t xml:space="preserve"> y </w:t>
      </w:r>
      <w:r w:rsidRPr="00871EA2">
        <w:rPr>
          <w:rFonts w:ascii="Verdana" w:hAnsi="Verdana" w:cs="Arial"/>
          <w:i/>
          <w:iCs/>
          <w:color w:val="000000" w:themeColor="text1"/>
          <w:sz w:val="16"/>
          <w:szCs w:val="16"/>
          <w:shd w:val="clear" w:color="auto" w:fill="FFFFFF"/>
        </w:rPr>
        <w:t>Caso Terrones Silva y otros Vs. Perú. Excepciones Preliminares, Fondo, Reparaciones y Costas</w:t>
      </w:r>
      <w:r w:rsidRPr="00871EA2">
        <w:rPr>
          <w:rFonts w:ascii="Verdana" w:hAnsi="Verdana" w:cs="Arial"/>
          <w:color w:val="000000" w:themeColor="text1"/>
          <w:sz w:val="16"/>
          <w:szCs w:val="16"/>
          <w:shd w:val="clear" w:color="auto" w:fill="FFFFFF"/>
        </w:rPr>
        <w:t>. Sentencia de 26 de septiembre de 2018. Serie C No. 360, párr. 137</w:t>
      </w:r>
      <w:r>
        <w:rPr>
          <w:rFonts w:ascii="Verdana" w:hAnsi="Verdana" w:cs="Arial"/>
          <w:color w:val="000000" w:themeColor="text1"/>
          <w:sz w:val="16"/>
          <w:szCs w:val="16"/>
          <w:shd w:val="clear" w:color="auto" w:fill="FFFFFF"/>
        </w:rPr>
        <w:t>.</w:t>
      </w:r>
    </w:p>
    <w:p w14:paraId="59742FF7" w14:textId="77777777" w:rsidR="00CA403B" w:rsidRPr="00871EA2" w:rsidRDefault="00CA403B" w:rsidP="00871EA2">
      <w:pPr>
        <w:pStyle w:val="FootnoteText"/>
        <w:jc w:val="both"/>
        <w:rPr>
          <w:rFonts w:ascii="Verdana" w:hAnsi="Verdana" w:cs="Arial"/>
          <w:color w:val="000000" w:themeColor="text1"/>
          <w:sz w:val="16"/>
          <w:szCs w:val="16"/>
        </w:rPr>
      </w:pPr>
    </w:p>
  </w:footnote>
  <w:footnote w:id="8">
    <w:p w14:paraId="313DD26B" w14:textId="57E5027B"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t xml:space="preserve">Ferrer Mac-Gregor, Eduardo y Góngora Maas, Juan Jesús, </w:t>
      </w:r>
      <w:r w:rsidRPr="00871EA2">
        <w:rPr>
          <w:rFonts w:ascii="Verdana" w:hAnsi="Verdana" w:cs="Arial"/>
          <w:i/>
          <w:iCs/>
          <w:color w:val="000000" w:themeColor="text1"/>
          <w:sz w:val="16"/>
          <w:szCs w:val="16"/>
        </w:rPr>
        <w:t>La desaparición forzada de personas en el derecho internacional de los derechos humanos</w:t>
      </w:r>
      <w:r w:rsidRPr="00871EA2">
        <w:rPr>
          <w:rFonts w:ascii="Verdana" w:hAnsi="Verdana" w:cs="Arial"/>
          <w:color w:val="000000" w:themeColor="text1"/>
          <w:sz w:val="16"/>
          <w:szCs w:val="16"/>
        </w:rPr>
        <w:t xml:space="preserve">, IIJ-UNAM-CNDH, México, 2019, p. 45. </w:t>
      </w:r>
    </w:p>
  </w:footnote>
  <w:footnote w:id="9">
    <w:p w14:paraId="38420540" w14:textId="079CFE2E"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t xml:space="preserve">Disponible en: </w:t>
      </w:r>
      <w:hyperlink r:id="rId1" w:history="1">
        <w:r w:rsidRPr="00871EA2">
          <w:rPr>
            <w:rStyle w:val="Hyperlink"/>
            <w:rFonts w:ascii="Verdana" w:hAnsi="Verdana" w:cs="Arial"/>
            <w:color w:val="000000" w:themeColor="text1"/>
            <w:sz w:val="16"/>
            <w:szCs w:val="16"/>
          </w:rPr>
          <w:t>https://www.icc-cpi.int/sites/default/files/NR/rdonlyres/A851490E-6514-4E91-BD45-AD9A216CF47E/283786/ElementsOfCrimesSPAWeb.pdf</w:t>
        </w:r>
      </w:hyperlink>
      <w:r w:rsidRPr="00871EA2">
        <w:rPr>
          <w:rFonts w:ascii="Verdana" w:hAnsi="Verdana" w:cs="Arial"/>
          <w:color w:val="000000" w:themeColor="text1"/>
          <w:sz w:val="16"/>
          <w:szCs w:val="16"/>
        </w:rPr>
        <w:t xml:space="preserve">. </w:t>
      </w:r>
    </w:p>
  </w:footnote>
  <w:footnote w:id="10">
    <w:p w14:paraId="6895FFC7" w14:textId="2CCFE7DB"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r>
      <w:r w:rsidRPr="00363551">
        <w:rPr>
          <w:rFonts w:ascii="Verdana" w:hAnsi="Verdana" w:cs="Arial"/>
          <w:i/>
          <w:color w:val="000000" w:themeColor="text1"/>
          <w:sz w:val="16"/>
          <w:szCs w:val="16"/>
        </w:rPr>
        <w:t>Violaciones, derechos humanos y contexto: herramientas propuestas para documentar e investigar. Manual de análisis de contexto para casos de violaciones a derechos humanos</w:t>
      </w:r>
      <w:r w:rsidRPr="00871EA2">
        <w:rPr>
          <w:rFonts w:ascii="Verdana" w:hAnsi="Verdana" w:cs="Arial"/>
          <w:color w:val="000000" w:themeColor="text1"/>
          <w:sz w:val="16"/>
          <w:szCs w:val="16"/>
        </w:rPr>
        <w:t xml:space="preserve">, FLACSO, México, 2017, p. 20.  </w:t>
      </w:r>
    </w:p>
  </w:footnote>
  <w:footnote w:id="11">
    <w:p w14:paraId="7107B920" w14:textId="57E7A5EB" w:rsidR="00CA403B" w:rsidRPr="00871EA2" w:rsidRDefault="00CA403B" w:rsidP="00871EA2">
      <w:pPr>
        <w:pStyle w:val="NormalWeb"/>
        <w:spacing w:before="0" w:beforeAutospacing="0" w:after="0" w:afterAutospacing="0"/>
        <w:jc w:val="both"/>
        <w:rPr>
          <w:rFonts w:ascii="Verdana" w:hAnsi="Verdana" w:cs="Arial"/>
          <w:color w:val="000000" w:themeColor="text1"/>
          <w:sz w:val="16"/>
          <w:szCs w:val="16"/>
        </w:rPr>
      </w:pPr>
      <w:r w:rsidRPr="00871EA2">
        <w:rPr>
          <w:rStyle w:val="FootnoteReference"/>
          <w:rFonts w:ascii="Verdana" w:eastAsia="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t xml:space="preserve">Entre otros:  Fiscalía Vs. Clement Kayishema y Obed Ruzindana, Sentencia de Juicio, 1999; Fiscalía Vs. Tihomir Blaskic, Sentencia de Juicio, 2000; Fiscalía Vs. Kordic y Cerkez, Sentencia de Apelación, 2004. </w:t>
      </w:r>
    </w:p>
  </w:footnote>
  <w:footnote w:id="12">
    <w:p w14:paraId="0C11D1DF" w14:textId="435ECC75" w:rsidR="00CA403B" w:rsidRPr="00871EA2" w:rsidRDefault="00CA403B" w:rsidP="00871EA2">
      <w:pPr>
        <w:pStyle w:val="NormalWeb"/>
        <w:spacing w:before="0" w:beforeAutospacing="0" w:after="0" w:afterAutospacing="0"/>
        <w:jc w:val="both"/>
        <w:rPr>
          <w:rFonts w:ascii="Verdana" w:hAnsi="Verdana" w:cs="Arial"/>
          <w:color w:val="000000" w:themeColor="text1"/>
          <w:sz w:val="16"/>
          <w:szCs w:val="16"/>
        </w:rPr>
      </w:pPr>
      <w:r w:rsidRPr="00871EA2">
        <w:rPr>
          <w:rStyle w:val="FootnoteReference"/>
          <w:rFonts w:ascii="Verdana" w:eastAsia="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t xml:space="preserve">Entre otros: Fiscalía Vs. Kordic y Cerkez, Sentencia de Juicio, 2001; Fiscalía Vs. Jean-Paul Akayesu, Sentencia de Juicio, 1998; Fiscalía Vs. Jean-Paul Akayesu, Sentencia de Apelación, 2001. </w:t>
      </w:r>
    </w:p>
  </w:footnote>
  <w:footnote w:id="13">
    <w:p w14:paraId="55F4479F" w14:textId="0900C212"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r>
      <w:r w:rsidRPr="00871EA2">
        <w:rPr>
          <w:rFonts w:ascii="Verdana" w:hAnsi="Verdana" w:cs="Arial"/>
          <w:i/>
          <w:iCs/>
          <w:color w:val="000000" w:themeColor="text1"/>
          <w:sz w:val="16"/>
          <w:szCs w:val="16"/>
        </w:rPr>
        <w:t>Violaciones, derechos humanos y contexto: herramientas propuestas para documentar e investigar. Manual de análisis de contexto para casos de violaciones a derechos humanos</w:t>
      </w:r>
      <w:r w:rsidRPr="00871EA2">
        <w:rPr>
          <w:rFonts w:ascii="Verdana" w:hAnsi="Verdana" w:cs="Arial"/>
          <w:color w:val="000000" w:themeColor="text1"/>
          <w:sz w:val="16"/>
          <w:szCs w:val="16"/>
        </w:rPr>
        <w:t xml:space="preserve">, </w:t>
      </w:r>
      <w:r>
        <w:rPr>
          <w:rFonts w:ascii="Verdana" w:hAnsi="Verdana" w:cs="Arial"/>
          <w:i/>
          <w:color w:val="000000" w:themeColor="text1"/>
          <w:sz w:val="16"/>
          <w:szCs w:val="16"/>
        </w:rPr>
        <w:t>supra</w:t>
      </w:r>
      <w:r w:rsidRPr="00871EA2">
        <w:rPr>
          <w:rFonts w:ascii="Verdana" w:hAnsi="Verdana" w:cs="Arial"/>
          <w:color w:val="000000" w:themeColor="text1"/>
          <w:sz w:val="16"/>
          <w:szCs w:val="16"/>
        </w:rPr>
        <w:t xml:space="preserve">, p. 25. </w:t>
      </w:r>
    </w:p>
  </w:footnote>
  <w:footnote w:id="14">
    <w:p w14:paraId="6CEA2AD8" w14:textId="63E66E58" w:rsidR="00CA403B" w:rsidRPr="00871EA2" w:rsidRDefault="00CA403B" w:rsidP="00871EA2">
      <w:pPr>
        <w:pStyle w:val="FootnoteText"/>
        <w:jc w:val="both"/>
        <w:rPr>
          <w:rFonts w:ascii="Verdana" w:hAnsi="Verdana"/>
          <w:sz w:val="16"/>
          <w:szCs w:val="16"/>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rPr>
        <w:tab/>
      </w:r>
      <w:r w:rsidRPr="00871EA2">
        <w:rPr>
          <w:rFonts w:ascii="Verdana" w:hAnsi="Verdana"/>
          <w:i/>
          <w:iCs/>
          <w:sz w:val="16"/>
          <w:szCs w:val="16"/>
        </w:rPr>
        <w:t>Caso Velásquez Rodríguez Vs. Honduras</w:t>
      </w:r>
      <w:r>
        <w:rPr>
          <w:rFonts w:ascii="Verdana" w:hAnsi="Verdana"/>
          <w:iCs/>
          <w:sz w:val="16"/>
          <w:szCs w:val="16"/>
        </w:rPr>
        <w:t xml:space="preserve">, </w:t>
      </w:r>
      <w:r w:rsidRPr="00363551">
        <w:rPr>
          <w:rFonts w:ascii="Verdana" w:hAnsi="Verdana"/>
          <w:i/>
          <w:iCs/>
          <w:sz w:val="16"/>
          <w:szCs w:val="16"/>
        </w:rPr>
        <w:t>supra</w:t>
      </w:r>
      <w:r w:rsidRPr="00871EA2">
        <w:rPr>
          <w:rFonts w:ascii="Verdana" w:hAnsi="Verdana"/>
          <w:sz w:val="16"/>
          <w:szCs w:val="16"/>
        </w:rPr>
        <w:t>, párr. 134.</w:t>
      </w:r>
    </w:p>
  </w:footnote>
  <w:footnote w:id="15">
    <w:p w14:paraId="627C3924" w14:textId="26D67CB2" w:rsidR="00CA403B" w:rsidRPr="00871EA2" w:rsidRDefault="00CA403B" w:rsidP="00871EA2">
      <w:pPr>
        <w:pStyle w:val="FootnoteText"/>
        <w:jc w:val="both"/>
        <w:rPr>
          <w:rFonts w:ascii="Verdana" w:hAnsi="Verdana"/>
          <w:color w:val="000000" w:themeColor="text1"/>
          <w:sz w:val="16"/>
          <w:szCs w:val="16"/>
          <w:lang w:val="es-MX"/>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t xml:space="preserve">Véase al respecto, </w:t>
      </w:r>
      <w:r w:rsidRPr="00871EA2">
        <w:rPr>
          <w:rFonts w:ascii="Verdana" w:hAnsi="Verdana"/>
          <w:i/>
          <w:iCs/>
          <w:color w:val="000000" w:themeColor="text1"/>
          <w:sz w:val="16"/>
          <w:szCs w:val="16"/>
        </w:rPr>
        <w:t>C</w:t>
      </w:r>
      <w:r w:rsidRPr="00871EA2">
        <w:rPr>
          <w:rFonts w:ascii="Verdana" w:hAnsi="Verdana"/>
          <w:i/>
          <w:iCs/>
          <w:color w:val="000000" w:themeColor="text1"/>
          <w:sz w:val="16"/>
          <w:szCs w:val="16"/>
          <w:lang w:val="es-MX"/>
        </w:rPr>
        <w:t>aso Trabajadores de la Hacienda Brasil Verde Vs. Brasil. Excepciones Preliminares, Fondo, Reparaciones y Costas.</w:t>
      </w:r>
      <w:r w:rsidRPr="00871EA2">
        <w:rPr>
          <w:rFonts w:ascii="Verdana" w:hAnsi="Verdana"/>
          <w:color w:val="000000" w:themeColor="text1"/>
          <w:sz w:val="16"/>
          <w:szCs w:val="16"/>
          <w:lang w:val="es-MX"/>
        </w:rPr>
        <w:t xml:space="preserve"> Sentencia de 20 de octubre de 2016. Serie C No. 318. </w:t>
      </w:r>
    </w:p>
  </w:footnote>
  <w:footnote w:id="16">
    <w:p w14:paraId="27D1AEB4" w14:textId="2F489A5E" w:rsidR="00CA403B" w:rsidRPr="00871EA2" w:rsidRDefault="00CA403B" w:rsidP="00871EA2">
      <w:pPr>
        <w:pStyle w:val="NormalWeb"/>
        <w:spacing w:before="0" w:beforeAutospacing="0" w:after="0" w:afterAutospacing="0"/>
        <w:jc w:val="both"/>
        <w:rPr>
          <w:rFonts w:ascii="Verdana" w:hAnsi="Verdana" w:cs="Arial"/>
          <w:color w:val="000000" w:themeColor="text1"/>
          <w:sz w:val="16"/>
          <w:szCs w:val="16"/>
        </w:rPr>
      </w:pPr>
      <w:r w:rsidRPr="00871EA2">
        <w:rPr>
          <w:rStyle w:val="FootnoteReference"/>
          <w:rFonts w:ascii="Verdana" w:eastAsia="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t>Al respecto véase: CIDH, Resolución 1/19</w:t>
      </w:r>
      <w:r>
        <w:rPr>
          <w:rFonts w:ascii="Verdana" w:hAnsi="Verdana" w:cs="Arial"/>
          <w:color w:val="000000" w:themeColor="text1"/>
          <w:sz w:val="16"/>
          <w:szCs w:val="16"/>
        </w:rPr>
        <w:t>,</w:t>
      </w:r>
      <w:r w:rsidRPr="00871EA2">
        <w:rPr>
          <w:rFonts w:ascii="Verdana" w:hAnsi="Verdana" w:cs="Arial"/>
          <w:color w:val="000000" w:themeColor="text1"/>
          <w:sz w:val="16"/>
          <w:szCs w:val="16"/>
        </w:rPr>
        <w:t xml:space="preserve"> Revisión Inicial de Peticiones de 29 de octubre de 2019.</w:t>
      </w:r>
    </w:p>
  </w:footnote>
  <w:footnote w:id="17">
    <w:p w14:paraId="40736218" w14:textId="05209394" w:rsidR="00CA403B" w:rsidRPr="00871EA2" w:rsidRDefault="00CA403B" w:rsidP="00871EA2">
      <w:pPr>
        <w:shd w:val="clear" w:color="auto" w:fill="FFFFFF"/>
        <w:tabs>
          <w:tab w:val="left" w:pos="709"/>
        </w:tabs>
        <w:spacing w:after="0" w:line="240" w:lineRule="auto"/>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t xml:space="preserve">El reconocimiento de los problemas estructurales en la jurisprudencia europea se ha realizado a través de las denominadas sentencias piloto. De esta manera, las sentencias piloto son aquellas que el Tribunal Europeo ha adoptado contra el Estado implicado —derivado de la acumulación de diversos casos que presentan características similares— obligándolos a adoptar leyes internas (medidas generales) que corrijan un problema estructural que, precisamente origina la violación del Convenio Europeo. En este tipo de casos, el TEDH constata la existencia de un problema estructural, suspende los procesos sobre casos idénticos —efecto dominó— y exige al Estado que adopte medidas generales, las cuales benefician también a personas que no han acudido al Sistema Europeo. El demandante (caso piloto) y todos los individuos afectados por el problema estructural verán aplazados sus procedimientos hasta que el Estado adopte esas medidas.  Al respecto, sobre las implicaciones de un procedimiento de una sentencia piloto, el TEDH ha considerado que estas se basan en la existencia de un problema generalizado y sistémico que tiene como consecuencia que un conjunto de personas se vea afectadas de manera adversa. Así, mediante las denominadas medidas generales a nivel nacional, se pretende que tengan en cuenta a todas las personas afectadas y, de este modo, remediar el defecto sistémico en el que se basa la violación declarada por la Corte. De este modo, las sentencias piloto, son un enfoque judicial que usa el TEDH para remediar problemas sistémicos y estructurales en el orden jurídico nacional. </w:t>
      </w:r>
      <w:r w:rsidRPr="00871EA2">
        <w:rPr>
          <w:rFonts w:ascii="Verdana" w:hAnsi="Verdana" w:cs="Arial"/>
          <w:i/>
          <w:iCs/>
          <w:color w:val="000000" w:themeColor="text1"/>
          <w:sz w:val="16"/>
          <w:szCs w:val="16"/>
        </w:rPr>
        <w:t>Cfr.</w:t>
      </w:r>
      <w:r w:rsidRPr="00871EA2">
        <w:rPr>
          <w:rFonts w:ascii="Verdana" w:hAnsi="Verdana" w:cs="Arial"/>
          <w:color w:val="000000" w:themeColor="text1"/>
          <w:sz w:val="16"/>
          <w:szCs w:val="16"/>
        </w:rPr>
        <w:t xml:space="preserve"> TEDH Broniowski Vs. Polonia, No. 31443/96, Sentencia Cumplimiento de 28 de septiembre de 2005, párrs. 34 y 35. </w:t>
      </w:r>
    </w:p>
  </w:footnote>
  <w:footnote w:id="18">
    <w:p w14:paraId="49F6903D" w14:textId="4DCA3A01"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t xml:space="preserve">Al respecto, véase la T- 025 de 2004 de la Corte Constitucional de Colombia. </w:t>
      </w:r>
    </w:p>
  </w:footnote>
  <w:footnote w:id="19">
    <w:p w14:paraId="43B8C43D" w14:textId="04B81477"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t xml:space="preserve">Por ejemplo, los casos que fueron abordados entre 1989 a 2000, los hechos violatorios de derechos humanos datan, en muchas ocasiones, durante la época de las dictaduras latinoamericanas. </w:t>
      </w:r>
    </w:p>
  </w:footnote>
  <w:footnote w:id="20">
    <w:p w14:paraId="03F4992A" w14:textId="26F95F93" w:rsidR="00CA403B" w:rsidRPr="002522E1" w:rsidRDefault="00CA403B" w:rsidP="002522E1">
      <w:pPr>
        <w:pStyle w:val="FootnoteText"/>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t xml:space="preserve">Al respecto, la CIDH indicó: </w:t>
      </w:r>
      <w:bookmarkStart w:id="0" w:name="C._Método_empleado"/>
      <w:r w:rsidRPr="00871EA2">
        <w:rPr>
          <w:rFonts w:ascii="Verdana" w:hAnsi="Verdana" w:cs="Arial"/>
          <w:color w:val="000000" w:themeColor="text1"/>
          <w:sz w:val="16"/>
          <w:szCs w:val="16"/>
        </w:rPr>
        <w:t>“</w:t>
      </w:r>
      <w:r w:rsidRPr="00871EA2">
        <w:rPr>
          <w:rStyle w:val="Strong"/>
          <w:rFonts w:ascii="Verdana" w:hAnsi="Verdana" w:cs="Arial"/>
          <w:b w:val="0"/>
          <w:bCs w:val="0"/>
          <w:color w:val="000000" w:themeColor="text1"/>
          <w:sz w:val="16"/>
          <w:szCs w:val="16"/>
        </w:rPr>
        <w:t>C. Método empleado</w:t>
      </w:r>
      <w:bookmarkEnd w:id="0"/>
      <w:r w:rsidRPr="00871EA2">
        <w:rPr>
          <w:rStyle w:val="Strong"/>
          <w:rFonts w:ascii="Verdana" w:hAnsi="Verdana" w:cs="Arial"/>
          <w:b w:val="0"/>
          <w:bCs w:val="0"/>
          <w:color w:val="000000" w:themeColor="text1"/>
          <w:sz w:val="16"/>
          <w:szCs w:val="16"/>
        </w:rPr>
        <w:t xml:space="preserve">. </w:t>
      </w:r>
      <w:r w:rsidRPr="00871EA2">
        <w:rPr>
          <w:rFonts w:ascii="Verdana" w:hAnsi="Verdana" w:cs="Arial"/>
          <w:color w:val="000000" w:themeColor="text1"/>
          <w:sz w:val="16"/>
          <w:szCs w:val="16"/>
        </w:rPr>
        <w:t xml:space="preserve">1. Para la elaboración de este Informe la CIDH </w:t>
      </w:r>
      <w:r w:rsidRPr="00363551">
        <w:rPr>
          <w:rFonts w:ascii="Verdana" w:hAnsi="Verdana" w:cs="Arial"/>
          <w:color w:val="000000" w:themeColor="text1"/>
          <w:sz w:val="16"/>
          <w:szCs w:val="16"/>
        </w:rPr>
        <w:t>ha […]considerado las denuncias, los testimonios y las informaciones recibidas por la CIDH</w:t>
      </w:r>
      <w:r w:rsidRPr="002522E1">
        <w:rPr>
          <w:rFonts w:ascii="Verdana" w:hAnsi="Verdana" w:cs="Arial"/>
          <w:color w:val="000000" w:themeColor="text1"/>
          <w:sz w:val="16"/>
          <w:szCs w:val="16"/>
        </w:rPr>
        <w:t xml:space="preserve"> o por la Comisión Especial que visitó la Argentina, </w:t>
      </w:r>
      <w:r w:rsidRPr="00363551">
        <w:rPr>
          <w:rFonts w:ascii="Verdana" w:hAnsi="Verdana" w:cs="Arial"/>
          <w:color w:val="000000" w:themeColor="text1"/>
          <w:sz w:val="16"/>
          <w:szCs w:val="16"/>
        </w:rPr>
        <w:t xml:space="preserve">fuentes esas que han sido utilizadas en la elaboración de este documento, aunque, por cierto, no es el presente informe el resultado de la mera suma de tales denuncias, testimonios e informaciones. Ha sido también, desde luego, objeto de cuidadoso estudio la legislación de la República Argentina, la jurisprudencia de sus tribunales y las normas internacionales aplicables en materia de derechos humanos. La CIDH ha consultado, asimismo, diversos documentos que tratan directa o indirectamente de la situación de los derechos humanos en la República Argentina o que de alguna manera permiten conocer y comprender mejor la historia contemporánea de este país, entre ellos, algunos preparados por el Gobierno argentino y por diferentes entidades argentinas. </w:t>
      </w:r>
      <w:r w:rsidRPr="002522E1">
        <w:rPr>
          <w:rFonts w:ascii="Verdana" w:hAnsi="Verdana" w:cs="Arial"/>
          <w:color w:val="000000" w:themeColor="text1"/>
          <w:sz w:val="16"/>
          <w:szCs w:val="16"/>
        </w:rPr>
        <w:t xml:space="preserve">2. La CIDH desea también dejar constancia que […] recibió y oyó a personeros de instituciones representativas de todos los sectores de la sociedad argentina y a todas las personas que quisieron presentar quejas o testimonios sobre la situación de la Argentina en materia de derechos humanos. 3. </w:t>
      </w:r>
      <w:r w:rsidRPr="00363551">
        <w:rPr>
          <w:rFonts w:ascii="Verdana" w:hAnsi="Verdana" w:cs="Arial"/>
          <w:color w:val="000000" w:themeColor="text1"/>
          <w:sz w:val="16"/>
          <w:szCs w:val="16"/>
        </w:rPr>
        <w:t>[…] La utilización de […] casos,</w:t>
      </w:r>
      <w:r w:rsidRPr="002522E1">
        <w:rPr>
          <w:rFonts w:ascii="Verdana" w:hAnsi="Verdana" w:cs="Arial"/>
          <w:color w:val="000000" w:themeColor="text1"/>
          <w:sz w:val="16"/>
          <w:szCs w:val="16"/>
        </w:rPr>
        <w:t xml:space="preserve"> a juicio de la Comisión, </w:t>
      </w:r>
      <w:r w:rsidRPr="00363551">
        <w:rPr>
          <w:rFonts w:ascii="Verdana" w:hAnsi="Verdana" w:cs="Arial"/>
          <w:color w:val="000000" w:themeColor="text1"/>
          <w:sz w:val="16"/>
          <w:szCs w:val="16"/>
        </w:rPr>
        <w:t xml:space="preserve">son ilustrativos de los diferentes temas y situaciones que se tratan en el Informe, buscando a través de ellos presentar con la mayor objetividad la situación de los derechos humanos en la República Argentina. </w:t>
      </w:r>
      <w:r>
        <w:rPr>
          <w:rFonts w:ascii="Verdana" w:hAnsi="Verdana" w:cs="Arial"/>
          <w:color w:val="000000" w:themeColor="text1"/>
          <w:sz w:val="16"/>
          <w:szCs w:val="16"/>
        </w:rPr>
        <w:t xml:space="preserve">CIDH, </w:t>
      </w:r>
      <w:r w:rsidRPr="002522E1">
        <w:rPr>
          <w:rFonts w:ascii="Verdana" w:hAnsi="Verdana" w:cs="Arial"/>
          <w:i/>
          <w:iCs/>
          <w:color w:val="000000" w:themeColor="text1"/>
          <w:sz w:val="16"/>
          <w:szCs w:val="16"/>
          <w:lang w:val="es-ES"/>
        </w:rPr>
        <w:t>Informe sobre la Situación de los Derechos Humanos en Argentina</w:t>
      </w:r>
      <w:r>
        <w:rPr>
          <w:rFonts w:ascii="Verdana" w:hAnsi="Verdana" w:cs="Arial"/>
          <w:iCs/>
          <w:color w:val="000000" w:themeColor="text1"/>
          <w:sz w:val="16"/>
          <w:szCs w:val="16"/>
          <w:lang w:val="es-ES"/>
        </w:rPr>
        <w:t xml:space="preserve">, 11 de abril de 1980, </w:t>
      </w:r>
      <w:r w:rsidRPr="002522E1">
        <w:rPr>
          <w:rFonts w:ascii="Verdana" w:hAnsi="Verdana" w:cs="Arial"/>
          <w:iCs/>
          <w:color w:val="000000" w:themeColor="text1"/>
          <w:sz w:val="16"/>
          <w:szCs w:val="16"/>
          <w:lang w:val="es-MX"/>
        </w:rPr>
        <w:t>OEA/Ser.L/V/II.49</w:t>
      </w:r>
      <w:r>
        <w:rPr>
          <w:rFonts w:ascii="Verdana" w:hAnsi="Verdana" w:cs="Arial"/>
          <w:iCs/>
          <w:color w:val="000000" w:themeColor="text1"/>
          <w:sz w:val="16"/>
          <w:szCs w:val="16"/>
          <w:lang w:val="es-MX"/>
        </w:rPr>
        <w:t xml:space="preserve">, </w:t>
      </w:r>
      <w:r w:rsidRPr="002522E1">
        <w:rPr>
          <w:rFonts w:ascii="Verdana" w:hAnsi="Verdana" w:cs="Arial"/>
          <w:iCs/>
          <w:color w:val="000000" w:themeColor="text1"/>
          <w:sz w:val="16"/>
          <w:szCs w:val="16"/>
          <w:lang w:val="es-MX"/>
        </w:rPr>
        <w:t>doc. 19</w:t>
      </w:r>
      <w:r>
        <w:rPr>
          <w:rFonts w:ascii="Verdana" w:hAnsi="Verdana" w:cs="Arial"/>
          <w:iCs/>
          <w:color w:val="000000" w:themeColor="text1"/>
          <w:sz w:val="16"/>
          <w:szCs w:val="16"/>
          <w:lang w:val="es-MX"/>
        </w:rPr>
        <w:t xml:space="preserve">. </w:t>
      </w:r>
      <w:r w:rsidRPr="00871EA2">
        <w:rPr>
          <w:rFonts w:ascii="Verdana" w:hAnsi="Verdana" w:cs="Arial"/>
          <w:color w:val="000000" w:themeColor="text1"/>
          <w:sz w:val="16"/>
          <w:szCs w:val="16"/>
        </w:rPr>
        <w:t xml:space="preserve">Disponible en: </w:t>
      </w:r>
      <w:hyperlink r:id="rId2" w:history="1">
        <w:r w:rsidRPr="00871EA2">
          <w:rPr>
            <w:rStyle w:val="Hyperlink"/>
            <w:rFonts w:ascii="Verdana" w:hAnsi="Verdana" w:cs="Arial"/>
            <w:color w:val="000000" w:themeColor="text1"/>
            <w:sz w:val="16"/>
            <w:szCs w:val="16"/>
          </w:rPr>
          <w:t>http://www.cidh.org/countryrep/Argentina80sp/indice.htm</w:t>
        </w:r>
      </w:hyperlink>
      <w:r w:rsidRPr="00871EA2">
        <w:rPr>
          <w:rFonts w:ascii="Verdana" w:hAnsi="Verdana" w:cs="Arial"/>
          <w:color w:val="000000" w:themeColor="text1"/>
          <w:sz w:val="16"/>
          <w:szCs w:val="16"/>
        </w:rPr>
        <w:t>.</w:t>
      </w:r>
    </w:p>
  </w:footnote>
  <w:footnote w:id="21">
    <w:p w14:paraId="36656C4A" w14:textId="22027557" w:rsidR="00CA403B" w:rsidRPr="00871EA2" w:rsidRDefault="00CA403B" w:rsidP="00871EA2">
      <w:pPr>
        <w:pStyle w:val="FootnoteText"/>
        <w:jc w:val="both"/>
        <w:rPr>
          <w:rFonts w:ascii="Verdana" w:hAnsi="Verdana"/>
          <w:sz w:val="16"/>
          <w:szCs w:val="16"/>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rPr>
        <w:tab/>
      </w:r>
      <w:r w:rsidRPr="00871EA2">
        <w:rPr>
          <w:rFonts w:ascii="Verdana" w:hAnsi="Verdana"/>
          <w:i/>
          <w:iCs/>
          <w:sz w:val="16"/>
          <w:szCs w:val="16"/>
        </w:rPr>
        <w:t>Caso Velásquez Rodríguez Vs. Honduras</w:t>
      </w:r>
      <w:r>
        <w:rPr>
          <w:rFonts w:ascii="Verdana" w:hAnsi="Verdana"/>
          <w:i/>
          <w:iCs/>
          <w:sz w:val="16"/>
          <w:szCs w:val="16"/>
        </w:rPr>
        <w:t>, supra.</w:t>
      </w:r>
    </w:p>
  </w:footnote>
  <w:footnote w:id="22">
    <w:p w14:paraId="16C7C75F" w14:textId="7D6C7BC6"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r>
      <w:r w:rsidRPr="00871EA2">
        <w:rPr>
          <w:rFonts w:ascii="Verdana" w:hAnsi="Verdana" w:cs="Arial"/>
          <w:i/>
          <w:iCs/>
          <w:color w:val="000000" w:themeColor="text1"/>
          <w:sz w:val="16"/>
          <w:szCs w:val="16"/>
        </w:rPr>
        <w:t xml:space="preserve">Cfr. </w:t>
      </w:r>
      <w:r w:rsidRPr="00871EA2">
        <w:rPr>
          <w:rFonts w:ascii="Verdana" w:hAnsi="Verdana" w:cs="Arial"/>
          <w:i/>
          <w:iCs/>
          <w:color w:val="000000" w:themeColor="text1"/>
          <w:sz w:val="16"/>
          <w:szCs w:val="16"/>
          <w:shd w:val="clear" w:color="auto" w:fill="FFFFFF"/>
        </w:rPr>
        <w:t>Caso Veliz Franco y otros Vs. Guatemala. Excepciones Preliminares, Fondo, Reparaciones y Costas.</w:t>
      </w:r>
      <w:r w:rsidRPr="00871EA2">
        <w:rPr>
          <w:rFonts w:ascii="Verdana" w:hAnsi="Verdana" w:cs="Arial"/>
          <w:color w:val="000000" w:themeColor="text1"/>
          <w:sz w:val="16"/>
          <w:szCs w:val="16"/>
          <w:shd w:val="clear" w:color="auto" w:fill="FFFFFF"/>
        </w:rPr>
        <w:t xml:space="preserve"> Sentencia de 19 de mayo de 2014. Serie C No. 277, párr. </w:t>
      </w:r>
      <w:r w:rsidRPr="00871EA2">
        <w:rPr>
          <w:rFonts w:ascii="Verdana" w:hAnsi="Verdana" w:cs="Arial"/>
          <w:color w:val="000000" w:themeColor="text1"/>
          <w:sz w:val="16"/>
          <w:szCs w:val="16"/>
        </w:rPr>
        <w:t xml:space="preserve">72. </w:t>
      </w:r>
    </w:p>
  </w:footnote>
  <w:footnote w:id="23">
    <w:p w14:paraId="09385092" w14:textId="77777777"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r>
      <w:r w:rsidRPr="00871EA2">
        <w:rPr>
          <w:rStyle w:val="apple-converted-space"/>
          <w:rFonts w:ascii="Verdana" w:hAnsi="Verdana" w:cs="Arial"/>
          <w:i/>
          <w:iCs/>
          <w:color w:val="000000" w:themeColor="text1"/>
          <w:sz w:val="16"/>
          <w:szCs w:val="16"/>
          <w:shd w:val="clear" w:color="auto" w:fill="FFFFFF"/>
        </w:rPr>
        <w:t xml:space="preserve"> Cfr. </w:t>
      </w:r>
      <w:r w:rsidRPr="00871EA2">
        <w:rPr>
          <w:rFonts w:ascii="Verdana" w:hAnsi="Verdana" w:cs="Arial"/>
          <w:i/>
          <w:iCs/>
          <w:color w:val="000000" w:themeColor="text1"/>
          <w:sz w:val="16"/>
          <w:szCs w:val="16"/>
          <w:shd w:val="clear" w:color="auto" w:fill="FFFFFF"/>
        </w:rPr>
        <w:t>Caso San Miguel Sosa y otras Vs. Venezuela. Fondo, Reparaciones y Costas.</w:t>
      </w:r>
      <w:r w:rsidRPr="00871EA2">
        <w:rPr>
          <w:rFonts w:ascii="Verdana" w:hAnsi="Verdana" w:cs="Arial"/>
          <w:color w:val="000000" w:themeColor="text1"/>
          <w:sz w:val="16"/>
          <w:szCs w:val="16"/>
          <w:shd w:val="clear" w:color="auto" w:fill="FFFFFF"/>
        </w:rPr>
        <w:t xml:space="preserve"> Sentencia de 8 de febrero de 2018. Serie C No. 348, párr.</w:t>
      </w:r>
      <w:r w:rsidRPr="00871EA2">
        <w:rPr>
          <w:rFonts w:ascii="Verdana" w:hAnsi="Verdana" w:cs="Arial"/>
          <w:color w:val="000000" w:themeColor="text1"/>
          <w:sz w:val="16"/>
          <w:szCs w:val="16"/>
        </w:rPr>
        <w:t xml:space="preserve"> 33. </w:t>
      </w:r>
    </w:p>
  </w:footnote>
  <w:footnote w:id="24">
    <w:p w14:paraId="23368078" w14:textId="3AA8941C" w:rsidR="00CA403B" w:rsidRPr="00871EA2" w:rsidRDefault="00CA403B" w:rsidP="00871EA2">
      <w:pPr>
        <w:pStyle w:val="FootnoteText"/>
        <w:jc w:val="both"/>
        <w:rPr>
          <w:rFonts w:ascii="Verdana" w:hAnsi="Verdana"/>
          <w:color w:val="000000" w:themeColor="text1"/>
          <w:sz w:val="16"/>
          <w:szCs w:val="16"/>
          <w:lang w:val="es-MX"/>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871EA2">
        <w:rPr>
          <w:rFonts w:ascii="Verdana" w:hAnsi="Verdana"/>
          <w:i/>
          <w:iCs/>
          <w:color w:val="000000" w:themeColor="text1"/>
          <w:sz w:val="16"/>
          <w:szCs w:val="16"/>
        </w:rPr>
        <w:t xml:space="preserve">Cfr. </w:t>
      </w:r>
      <w:r w:rsidRPr="00871EA2">
        <w:rPr>
          <w:rFonts w:ascii="Verdana" w:hAnsi="Verdana"/>
          <w:i/>
          <w:iCs/>
          <w:color w:val="000000" w:themeColor="text1"/>
          <w:sz w:val="16"/>
          <w:szCs w:val="16"/>
          <w:lang w:val="es-MX"/>
        </w:rPr>
        <w:t>Caso Miembros del Sindicato Único de Trabajadores de ECASA (SUTECASA) Vs. Perú. Excepciones Preliminares, Fondo, Reparaciones y Costas</w:t>
      </w:r>
      <w:r w:rsidRPr="00871EA2">
        <w:rPr>
          <w:rFonts w:ascii="Verdana" w:hAnsi="Verdana"/>
          <w:color w:val="000000" w:themeColor="text1"/>
          <w:sz w:val="16"/>
          <w:szCs w:val="16"/>
          <w:lang w:val="es-MX"/>
        </w:rPr>
        <w:t xml:space="preserve">. Sentencia de 6 de junio de 2024. Serie C No. 526, párr. 170. </w:t>
      </w:r>
    </w:p>
  </w:footnote>
  <w:footnote w:id="25">
    <w:p w14:paraId="22BD44F1" w14:textId="57FB3308" w:rsidR="00CA403B" w:rsidRPr="00871EA2" w:rsidRDefault="00CA403B" w:rsidP="00871EA2">
      <w:pPr>
        <w:pStyle w:val="FootnoteText"/>
        <w:jc w:val="both"/>
        <w:rPr>
          <w:rFonts w:ascii="Verdana" w:hAnsi="Verdana" w:cs="Arial"/>
          <w:color w:val="000000" w:themeColor="text1"/>
          <w:sz w:val="16"/>
          <w:szCs w:val="16"/>
          <w:shd w:val="clear" w:color="auto" w:fill="FFFFFF"/>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r>
      <w:r w:rsidRPr="00871EA2">
        <w:rPr>
          <w:rFonts w:ascii="Verdana" w:hAnsi="Verdana" w:cs="Arial"/>
          <w:i/>
          <w:iCs/>
          <w:color w:val="000000" w:themeColor="text1"/>
          <w:sz w:val="16"/>
          <w:szCs w:val="16"/>
        </w:rPr>
        <w:t>Cfr.</w:t>
      </w:r>
      <w:r w:rsidRPr="00871EA2">
        <w:rPr>
          <w:rFonts w:ascii="Verdana" w:hAnsi="Verdana" w:cs="Arial"/>
          <w:color w:val="000000" w:themeColor="text1"/>
          <w:sz w:val="16"/>
          <w:szCs w:val="16"/>
        </w:rPr>
        <w:t xml:space="preserve"> </w:t>
      </w:r>
      <w:r w:rsidRPr="00871EA2">
        <w:rPr>
          <w:rFonts w:ascii="Verdana" w:hAnsi="Verdana" w:cs="Arial"/>
          <w:i/>
          <w:iCs/>
          <w:color w:val="000000" w:themeColor="text1"/>
          <w:sz w:val="16"/>
          <w:szCs w:val="16"/>
          <w:shd w:val="clear" w:color="auto" w:fill="FFFFFF"/>
        </w:rPr>
        <w:t>Caso J. Vs. Perú. Excepción Preliminar, Fondo, Reparaciones y Costas</w:t>
      </w:r>
      <w:r w:rsidRPr="00871EA2">
        <w:rPr>
          <w:rFonts w:ascii="Verdana" w:hAnsi="Verdana" w:cs="Arial"/>
          <w:color w:val="000000" w:themeColor="text1"/>
          <w:sz w:val="16"/>
          <w:szCs w:val="16"/>
          <w:shd w:val="clear" w:color="auto" w:fill="FFFFFF"/>
        </w:rPr>
        <w:t xml:space="preserve">. Sentencia de 27 de noviembre de 2013. Serie C No. 275, párr. 60. </w:t>
      </w:r>
    </w:p>
  </w:footnote>
  <w:footnote w:id="26">
    <w:p w14:paraId="79BDA247" w14:textId="284EF045" w:rsidR="00CA403B" w:rsidRPr="00871EA2" w:rsidRDefault="00CA403B" w:rsidP="00871EA2">
      <w:pPr>
        <w:spacing w:after="0" w:line="240" w:lineRule="auto"/>
        <w:jc w:val="both"/>
        <w:rPr>
          <w:rFonts w:ascii="Verdana" w:hAnsi="Verdana" w:cs="Arial"/>
          <w:bCs/>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t xml:space="preserve">Por ejemplo, véase los casos relacionados con el Estado peruano desde </w:t>
      </w:r>
      <w:r w:rsidRPr="00871EA2">
        <w:rPr>
          <w:rFonts w:ascii="Verdana" w:hAnsi="Verdana" w:cs="Arial"/>
          <w:bCs/>
          <w:i/>
          <w:iCs/>
          <w:color w:val="000000" w:themeColor="text1"/>
          <w:sz w:val="16"/>
          <w:szCs w:val="16"/>
        </w:rPr>
        <w:t>Caso Anzualdo Castro Vs. Perú. Excepción Preliminar, Fondo, Reparaciones y Costas</w:t>
      </w:r>
      <w:r w:rsidRPr="00871EA2">
        <w:rPr>
          <w:rFonts w:ascii="Verdana" w:hAnsi="Verdana" w:cs="Arial"/>
          <w:bCs/>
          <w:color w:val="000000" w:themeColor="text1"/>
          <w:sz w:val="16"/>
          <w:szCs w:val="16"/>
        </w:rPr>
        <w:t xml:space="preserve">. Sentencia de 22 de septiembre de 2009. Serie C No. 202 hasta </w:t>
      </w:r>
      <w:r w:rsidRPr="00871EA2">
        <w:rPr>
          <w:rFonts w:ascii="Verdana" w:hAnsi="Verdana" w:cs="Arial"/>
          <w:bCs/>
          <w:i/>
          <w:iCs/>
          <w:color w:val="000000" w:themeColor="text1"/>
          <w:sz w:val="16"/>
          <w:szCs w:val="16"/>
        </w:rPr>
        <w:t>Caso Terrones Silva y otros Vs. Perú</w:t>
      </w:r>
      <w:r>
        <w:rPr>
          <w:rFonts w:ascii="Verdana" w:hAnsi="Verdana" w:cs="Arial"/>
          <w:bCs/>
          <w:i/>
          <w:iCs/>
          <w:color w:val="000000" w:themeColor="text1"/>
          <w:sz w:val="16"/>
          <w:szCs w:val="16"/>
        </w:rPr>
        <w:t>, supra.</w:t>
      </w:r>
      <w:r w:rsidRPr="00871EA2">
        <w:rPr>
          <w:rFonts w:ascii="Verdana" w:hAnsi="Verdana" w:cs="Arial"/>
          <w:bCs/>
          <w:color w:val="000000" w:themeColor="text1"/>
          <w:sz w:val="16"/>
          <w:szCs w:val="16"/>
        </w:rPr>
        <w:t xml:space="preserve"> </w:t>
      </w:r>
    </w:p>
  </w:footnote>
  <w:footnote w:id="27">
    <w:p w14:paraId="6AE3A116" w14:textId="45DFAAC8" w:rsidR="00CA403B" w:rsidRPr="00871EA2" w:rsidRDefault="00CA403B" w:rsidP="00871EA2">
      <w:pPr>
        <w:spacing w:after="0" w:line="240" w:lineRule="auto"/>
        <w:jc w:val="both"/>
        <w:rPr>
          <w:rFonts w:ascii="Verdana" w:hAnsi="Verdana" w:cs="Arial"/>
          <w:bCs/>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t xml:space="preserve">Véase </w:t>
      </w:r>
      <w:r w:rsidRPr="00871EA2">
        <w:rPr>
          <w:rFonts w:ascii="Verdana" w:hAnsi="Verdana" w:cs="Arial"/>
          <w:bCs/>
          <w:i/>
          <w:iCs/>
          <w:color w:val="000000" w:themeColor="text1"/>
          <w:sz w:val="16"/>
          <w:szCs w:val="16"/>
        </w:rPr>
        <w:t>Caso González Medina y familiares Vs. República Dominicana. Excepciones Preliminares, Fondo, Reparaciones y Costas</w:t>
      </w:r>
      <w:r w:rsidRPr="00871EA2">
        <w:rPr>
          <w:rFonts w:ascii="Verdana" w:hAnsi="Verdana" w:cs="Arial"/>
          <w:bCs/>
          <w:color w:val="000000" w:themeColor="text1"/>
          <w:sz w:val="16"/>
          <w:szCs w:val="16"/>
        </w:rPr>
        <w:t>. Sentencia de 27 de febrero de 2012. Serie C No. 240.</w:t>
      </w:r>
    </w:p>
  </w:footnote>
  <w:footnote w:id="28">
    <w:p w14:paraId="39A7BB42" w14:textId="77777777" w:rsidR="00CA403B" w:rsidRPr="00871EA2" w:rsidRDefault="00CA403B" w:rsidP="00871EA2">
      <w:pPr>
        <w:spacing w:after="0" w:line="240" w:lineRule="auto"/>
        <w:jc w:val="both"/>
        <w:rPr>
          <w:rFonts w:ascii="Verdana" w:hAnsi="Verdana" w:cs="Arial"/>
          <w:color w:val="000000" w:themeColor="text1"/>
          <w:sz w:val="16"/>
          <w:szCs w:val="16"/>
        </w:rPr>
      </w:pPr>
      <w:r w:rsidRPr="00871EA2">
        <w:rPr>
          <w:rStyle w:val="FootnoteReference"/>
          <w:rFonts w:ascii="Verdana" w:hAnsi="Verdana" w:cs="Arial"/>
          <w:color w:val="000000" w:themeColor="text1"/>
          <w:sz w:val="16"/>
          <w:szCs w:val="16"/>
        </w:rPr>
        <w:footnoteRef/>
      </w:r>
      <w:r w:rsidRPr="00871EA2">
        <w:rPr>
          <w:rFonts w:ascii="Verdana" w:hAnsi="Verdana" w:cs="Arial"/>
          <w:color w:val="000000" w:themeColor="text1"/>
          <w:sz w:val="16"/>
          <w:szCs w:val="16"/>
        </w:rPr>
        <w:t xml:space="preserve"> </w:t>
      </w:r>
      <w:r w:rsidRPr="00871EA2">
        <w:rPr>
          <w:rFonts w:ascii="Verdana" w:hAnsi="Verdana" w:cs="Arial"/>
          <w:color w:val="000000" w:themeColor="text1"/>
          <w:sz w:val="16"/>
          <w:szCs w:val="16"/>
        </w:rPr>
        <w:tab/>
        <w:t xml:space="preserve">Por ejemplo, véase: </w:t>
      </w:r>
      <w:r w:rsidRPr="00871EA2">
        <w:rPr>
          <w:rFonts w:ascii="Verdana" w:hAnsi="Verdana" w:cs="Arial"/>
          <w:bCs/>
          <w:i/>
          <w:iCs/>
          <w:color w:val="000000" w:themeColor="text1"/>
          <w:sz w:val="16"/>
          <w:szCs w:val="16"/>
        </w:rPr>
        <w:t>Caso Vásquez Durand y otros Vs. Ecuador. Excepciones Preliminares, Fondo, Reparaciones y Costas.</w:t>
      </w:r>
      <w:r w:rsidRPr="00871EA2">
        <w:rPr>
          <w:rFonts w:ascii="Verdana" w:hAnsi="Verdana" w:cs="Arial"/>
          <w:bCs/>
          <w:color w:val="000000" w:themeColor="text1"/>
          <w:sz w:val="16"/>
          <w:szCs w:val="16"/>
        </w:rPr>
        <w:t xml:space="preserve"> Sentencia de 15 de febrero de 2017. Serie C No. 332, párr. 72. </w:t>
      </w:r>
    </w:p>
  </w:footnote>
  <w:footnote w:id="29">
    <w:p w14:paraId="71435F56" w14:textId="17DD1207"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t xml:space="preserve">Párrs. 27 y 28 de la sentencia </w:t>
      </w:r>
    </w:p>
  </w:footnote>
  <w:footnote w:id="30">
    <w:p w14:paraId="55F28429" w14:textId="17095F14"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t xml:space="preserve">Párr. 29 de la sentencia. </w:t>
      </w:r>
    </w:p>
  </w:footnote>
  <w:footnote w:id="31">
    <w:p w14:paraId="6854A2A3" w14:textId="03F27716" w:rsidR="00CA403B" w:rsidRPr="00FF25B5" w:rsidRDefault="00CA403B">
      <w:pPr>
        <w:pStyle w:val="FootnoteText"/>
        <w:rPr>
          <w:lang w:val="es-ES"/>
        </w:rPr>
      </w:pPr>
      <w:r>
        <w:rPr>
          <w:rStyle w:val="FootnoteReference"/>
        </w:rPr>
        <w:footnoteRef/>
      </w:r>
      <w:r>
        <w:t xml:space="preserve"> </w:t>
      </w:r>
      <w:r>
        <w:tab/>
      </w:r>
      <w:r w:rsidRPr="00871EA2">
        <w:rPr>
          <w:rFonts w:ascii="Verdana" w:hAnsi="Verdana"/>
          <w:color w:val="000000" w:themeColor="text1"/>
          <w:sz w:val="16"/>
          <w:szCs w:val="16"/>
        </w:rPr>
        <w:t>Párr. 29 de la sentencia.</w:t>
      </w:r>
    </w:p>
  </w:footnote>
  <w:footnote w:id="32">
    <w:p w14:paraId="53C50AEF" w14:textId="6CA4E3CE"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t xml:space="preserve">Párrs. 26, 30 y 31 de la sentencia. </w:t>
      </w:r>
    </w:p>
  </w:footnote>
  <w:footnote w:id="33">
    <w:p w14:paraId="1935E027" w14:textId="3BA80FAA"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rPr>
        <w:tab/>
      </w:r>
      <w:r>
        <w:rPr>
          <w:rFonts w:ascii="Verdana" w:hAnsi="Verdana"/>
          <w:i/>
          <w:sz w:val="16"/>
          <w:szCs w:val="16"/>
        </w:rPr>
        <w:t xml:space="preserve">Cfr. </w:t>
      </w:r>
      <w:r w:rsidRPr="00871EA2">
        <w:rPr>
          <w:rFonts w:ascii="Verdana" w:hAnsi="Verdana"/>
          <w:i/>
          <w:iCs/>
          <w:sz w:val="16"/>
          <w:szCs w:val="16"/>
          <w:lang w:val="es-MX"/>
        </w:rPr>
        <w:t>Caso Brewer Carías Vs. Venezuela. Excepciones Preliminares</w:t>
      </w:r>
      <w:r w:rsidRPr="00871EA2">
        <w:rPr>
          <w:rFonts w:ascii="Verdana" w:hAnsi="Verdana"/>
          <w:sz w:val="16"/>
          <w:szCs w:val="16"/>
          <w:lang w:val="es-MX"/>
        </w:rPr>
        <w:t xml:space="preserve">. Sentencia de 26 de mayo de 2014. Serie C No. 278, párrs. 1 y 8. </w:t>
      </w:r>
      <w:r w:rsidRPr="002D4F38">
        <w:rPr>
          <w:rFonts w:ascii="Verdana" w:hAnsi="Verdana"/>
          <w:sz w:val="16"/>
          <w:szCs w:val="16"/>
          <w:lang w:val="es-MX"/>
        </w:rPr>
        <w:t xml:space="preserve">Asimismo, véase </w:t>
      </w:r>
      <w:r>
        <w:rPr>
          <w:rFonts w:ascii="Verdana" w:hAnsi="Verdana"/>
          <w:sz w:val="16"/>
          <w:szCs w:val="16"/>
          <w:lang w:val="es-MX"/>
        </w:rPr>
        <w:t xml:space="preserve">el </w:t>
      </w:r>
      <w:r w:rsidRPr="005D68F8">
        <w:rPr>
          <w:rFonts w:ascii="Verdana" w:hAnsi="Verdana"/>
          <w:i/>
          <w:iCs/>
          <w:sz w:val="16"/>
          <w:szCs w:val="16"/>
          <w:lang w:val="es-MX"/>
        </w:rPr>
        <w:t>Voto Conjunto Disidente de los jueces Manuel Ventura Robles y Eduardo Ferrer Mac-Gregor Poisot.</w:t>
      </w:r>
      <w:r>
        <w:rPr>
          <w:rFonts w:ascii="Verdana" w:hAnsi="Verdana"/>
          <w:sz w:val="16"/>
          <w:szCs w:val="16"/>
          <w:lang w:val="es-MX"/>
        </w:rPr>
        <w:t xml:space="preserve"> Los 33 escritos de </w:t>
      </w:r>
      <w:r w:rsidRPr="005D68F8">
        <w:rPr>
          <w:rFonts w:ascii="Verdana" w:hAnsi="Verdana"/>
          <w:i/>
          <w:iCs/>
          <w:sz w:val="16"/>
          <w:szCs w:val="16"/>
          <w:lang w:val="es-MX"/>
        </w:rPr>
        <w:t>amicus curiae</w:t>
      </w:r>
      <w:r>
        <w:rPr>
          <w:rFonts w:ascii="Verdana" w:hAnsi="Verdana"/>
          <w:sz w:val="16"/>
          <w:szCs w:val="16"/>
          <w:lang w:val="es-MX"/>
        </w:rPr>
        <w:t xml:space="preserve"> eran coincidentes en señalar distintas violaciones a la Convención Americana, especialmente resaltaban cuestiones contextuales relativas al menoscabo del Estado de derecho, las garantías judiciales y la independencia judicial, así como cuestiones atinentes al ejercicio de la abogacía y la defensa de la democracia. </w:t>
      </w:r>
    </w:p>
  </w:footnote>
  <w:footnote w:id="34">
    <w:p w14:paraId="1D4EAE44" w14:textId="0FF93E3B"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lang w:val="es-ES"/>
        </w:rPr>
        <w:tab/>
        <w:t>Párr. 32 de la sentencia.</w:t>
      </w:r>
    </w:p>
  </w:footnote>
  <w:footnote w:id="35">
    <w:p w14:paraId="1089D956" w14:textId="48D52B73" w:rsidR="00CA403B" w:rsidRPr="00871EA2" w:rsidRDefault="00CA403B" w:rsidP="00871EA2">
      <w:pPr>
        <w:pStyle w:val="FootnoteText"/>
        <w:jc w:val="both"/>
        <w:rPr>
          <w:rFonts w:ascii="Verdana" w:hAnsi="Verdana"/>
          <w:sz w:val="16"/>
          <w:szCs w:val="16"/>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rPr>
        <w:tab/>
        <w:t>Párr. 144 de la sentencia.</w:t>
      </w:r>
    </w:p>
  </w:footnote>
  <w:footnote w:id="36">
    <w:p w14:paraId="63C216E6" w14:textId="77777777" w:rsidR="00CA403B" w:rsidRPr="00871EA2" w:rsidRDefault="00CA403B" w:rsidP="00871EA2">
      <w:pPr>
        <w:pStyle w:val="FootnoteText"/>
        <w:jc w:val="both"/>
        <w:rPr>
          <w:rFonts w:ascii="Verdana" w:hAnsi="Verdana"/>
          <w:color w:val="000000" w:themeColor="text1"/>
          <w:sz w:val="16"/>
          <w:szCs w:val="16"/>
          <w:lang w:val="es-MX"/>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871EA2">
        <w:rPr>
          <w:rFonts w:ascii="Verdana" w:hAnsi="Verdana"/>
          <w:color w:val="000000" w:themeColor="text1"/>
          <w:sz w:val="16"/>
          <w:szCs w:val="16"/>
          <w:lang w:val="es-MX"/>
        </w:rPr>
        <w:t>Todos los ciudadanos gozarán, sin ninguna de la distinciones mencionadas en el artículo 2, y sin restricciones indebidas, de los siguientes derechos y oportunidades: a) Participar en la dirección de los asuntos públicos, directamente o por medio de representantes libremente elegidos; b) Votar y ser elegidos en elecciones periódicas, auténticas, realizadas por sufragio universal e igual y por voto secreto que garantice la libre expresión de la voluntad de los electores; c) Tener acceso, en condiciones generales de igualdad, a las funciones públicas de su país.</w:t>
      </w:r>
    </w:p>
  </w:footnote>
  <w:footnote w:id="37">
    <w:p w14:paraId="7437DA71" w14:textId="68129EAC" w:rsidR="00CA403B" w:rsidRPr="00871EA2" w:rsidRDefault="00CA403B" w:rsidP="00871EA2">
      <w:pPr>
        <w:pStyle w:val="FootnoteText"/>
        <w:jc w:val="both"/>
        <w:rPr>
          <w:rFonts w:ascii="Verdana" w:hAnsi="Verdana"/>
          <w:color w:val="000000" w:themeColor="text1"/>
          <w:sz w:val="16"/>
          <w:szCs w:val="16"/>
          <w:lang w:val="es-MX"/>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871EA2">
        <w:rPr>
          <w:rFonts w:ascii="Verdana" w:hAnsi="Verdana"/>
          <w:color w:val="000000" w:themeColor="text1"/>
          <w:sz w:val="16"/>
          <w:szCs w:val="16"/>
          <w:lang w:val="es-MX"/>
        </w:rPr>
        <w:t>Artículo 7. Los Estados Partes tomarán todas las medidas apropiadas para eliminar la discriminación contra la mujer en la vida política y pública del país y, en particular, garantizarán a las mujeres, en igualdad de condiciones con los hombres, el derecho a: a) Votar en todas las elecciones y referéndums públicos y ser elegibles para todos los organismos cuyos miembros sean objeto de elecciones públicas; b) Participar en la formulación de las políticas gubernamentales y en la ejecución de éstas, y ocupar cargos públicos y ejercer todas las funciones públicas en todos los planos gubernamentales; c) Participar en organizaciones y en asociaciones no gubernamentales que se ocupen de la vida pública y política del país.</w:t>
      </w:r>
    </w:p>
  </w:footnote>
  <w:footnote w:id="38">
    <w:p w14:paraId="0468588A" w14:textId="265FC944" w:rsidR="00CA403B" w:rsidRPr="00871EA2" w:rsidRDefault="00CA403B" w:rsidP="00871EA2">
      <w:pPr>
        <w:pStyle w:val="FootnoteText"/>
        <w:jc w:val="both"/>
        <w:rPr>
          <w:rFonts w:ascii="Verdana" w:hAnsi="Verdana"/>
          <w:color w:val="000000" w:themeColor="text1"/>
          <w:sz w:val="16"/>
          <w:szCs w:val="16"/>
          <w:lang w:val="es-MX"/>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lang w:val="es-MX"/>
        </w:rPr>
        <w:t xml:space="preserve"> </w:t>
      </w:r>
      <w:r w:rsidRPr="00871EA2">
        <w:rPr>
          <w:rFonts w:ascii="Verdana" w:hAnsi="Verdana"/>
          <w:color w:val="000000" w:themeColor="text1"/>
          <w:sz w:val="16"/>
          <w:szCs w:val="16"/>
          <w:lang w:val="es-MX"/>
        </w:rPr>
        <w:tab/>
        <w:t xml:space="preserve">Artículo 29 Participación en la vida política y pública. Los Estados Partes garantizarán a las personas con discapacidad los derechos políticos y la posibilidad de gozar de ellos en igualdad de condiciones con las demás y se comprometerán a:  a) Asegurar que las personas con discapacidad puedan participar plena y efectivamente en la vida política y pública en igualdad de condiciones con las demás, directamente o a través de representantes libremente elegidos, incluidos el derecho y la posibilidad de las personas con discapacidad votar y ser elegidas, entre otras formas mediante:  i) La garantía de que los procedimientos, instalaciones y materiales electorales sean adecuados, accesibles y fáciles de entender y utilizar;  ii) La protección del derecho de las personas con discapacidad a emitir su voto en secreto en elecciones y referéndum públicos sin intimidación, y a presentarse efectivamente como candidatas en las elecciones, ejercer cargos y desempeñar cualquier función pública a todos los niveles de gobierno, facilitando el uso de nuevas tecnologías y tecnologías de apoyo cuando proceda;  iii) La garantía de la libre expresión de la voluntad de las personas con discapacidad como electores y a este fin, cuando sea necesario y a petición de ellas, permitir que una persona de su elección les preste asistencia para votar; </w:t>
      </w:r>
      <w:r w:rsidRPr="00871EA2">
        <w:rPr>
          <w:rFonts w:ascii="Verdana" w:hAnsi="Verdana"/>
          <w:color w:val="000000" w:themeColor="text1"/>
          <w:sz w:val="16"/>
          <w:szCs w:val="16"/>
        </w:rPr>
        <w:t xml:space="preserve">b) Promover activamente un entorno en el que las personas con discapacidad puedan participar plena y efectivamente en la dirección de los asuntos públicos, sin discriminación y en igualdad de condiciones con las demás, y fomentar su participación en los asuntos públicos y, entre otras cosas: </w:t>
      </w:r>
      <w:r w:rsidRPr="00871EA2">
        <w:rPr>
          <w:rFonts w:ascii="Verdana" w:hAnsi="Verdana"/>
          <w:color w:val="000000" w:themeColor="text1"/>
          <w:sz w:val="16"/>
          <w:szCs w:val="16"/>
          <w:lang w:val="es-MX"/>
        </w:rPr>
        <w:t xml:space="preserve"> </w:t>
      </w:r>
      <w:r w:rsidRPr="00871EA2">
        <w:rPr>
          <w:rFonts w:ascii="Verdana" w:hAnsi="Verdana"/>
          <w:color w:val="000000" w:themeColor="text1"/>
          <w:sz w:val="16"/>
          <w:szCs w:val="16"/>
        </w:rPr>
        <w:t>i) Su participación en organizaciones y asociaciones no gubernamentales relacionadas con la vida pública y política del país, incluidas las actividades y la administración de los partidos políticos; ii) La constitución de organizaciones de personas con discapacidad</w:t>
      </w:r>
      <w:r>
        <w:rPr>
          <w:rFonts w:ascii="Verdana" w:hAnsi="Verdana"/>
          <w:color w:val="000000" w:themeColor="text1"/>
          <w:sz w:val="16"/>
          <w:szCs w:val="16"/>
        </w:rPr>
        <w:t xml:space="preserve"> </w:t>
      </w:r>
      <w:r w:rsidRPr="00871EA2">
        <w:rPr>
          <w:rFonts w:ascii="Verdana" w:hAnsi="Verdana"/>
          <w:color w:val="000000" w:themeColor="text1"/>
          <w:sz w:val="16"/>
          <w:szCs w:val="16"/>
        </w:rPr>
        <w:t xml:space="preserve">que representen a estas personas a nivel internacional, nacional, regional y local, y su incorporación a dichas organizaciones. </w:t>
      </w:r>
    </w:p>
  </w:footnote>
  <w:footnote w:id="39">
    <w:p w14:paraId="1175A883" w14:textId="2593931F"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DB64BA">
        <w:rPr>
          <w:rFonts w:ascii="Verdana" w:hAnsi="Verdana"/>
          <w:i/>
          <w:iCs/>
          <w:color w:val="000000" w:themeColor="text1"/>
          <w:sz w:val="16"/>
          <w:szCs w:val="16"/>
        </w:rPr>
        <w:t xml:space="preserve">ONU. Comité de Derechos Humanos. Observación </w:t>
      </w:r>
      <w:r w:rsidRPr="00982792">
        <w:rPr>
          <w:rFonts w:ascii="Verdana" w:hAnsi="Verdana"/>
          <w:i/>
          <w:iCs/>
          <w:color w:val="000000" w:themeColor="text1"/>
          <w:sz w:val="16"/>
          <w:szCs w:val="16"/>
        </w:rPr>
        <w:t xml:space="preserve">General No. 25, </w:t>
      </w:r>
      <w:r w:rsidRPr="00982792">
        <w:rPr>
          <w:rFonts w:ascii="Verdana" w:hAnsi="Verdana" w:cs="Arial"/>
          <w:i/>
          <w:iCs/>
          <w:color w:val="000000" w:themeColor="text1"/>
          <w:sz w:val="16"/>
          <w:szCs w:val="16"/>
        </w:rPr>
        <w:t>El derecho a participar en los asuntos públicos, derecho a votar y derecho al acceso, en condiciones de igualdad a las funciones públicas</w:t>
      </w:r>
      <w:r w:rsidRPr="00857A7F">
        <w:rPr>
          <w:rFonts w:ascii="Verdana" w:hAnsi="Verdana"/>
          <w:color w:val="000000" w:themeColor="text1"/>
          <w:sz w:val="16"/>
          <w:szCs w:val="16"/>
        </w:rPr>
        <w:t xml:space="preserve">, </w:t>
      </w:r>
      <w:r w:rsidRPr="00363551">
        <w:rPr>
          <w:rFonts w:ascii="Verdana" w:hAnsi="Verdana"/>
          <w:sz w:val="16"/>
          <w:szCs w:val="16"/>
        </w:rPr>
        <w:t>CCPR/C/21/Rev.1/Add.7, 27 de agosto de 1996</w:t>
      </w:r>
      <w:r w:rsidRPr="00DB64BA">
        <w:rPr>
          <w:rFonts w:ascii="Verdana" w:hAnsi="Verdana"/>
          <w:color w:val="000000" w:themeColor="text1"/>
          <w:sz w:val="16"/>
          <w:szCs w:val="16"/>
        </w:rPr>
        <w:t>, párr. 21.</w:t>
      </w:r>
      <w:r w:rsidRPr="00871EA2">
        <w:rPr>
          <w:rFonts w:ascii="Verdana" w:hAnsi="Verdana"/>
          <w:color w:val="000000" w:themeColor="text1"/>
          <w:sz w:val="16"/>
          <w:szCs w:val="16"/>
        </w:rPr>
        <w:t xml:space="preserve"> </w:t>
      </w:r>
    </w:p>
  </w:footnote>
  <w:footnote w:id="40">
    <w:p w14:paraId="2C9309D3" w14:textId="7D2DD37D"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363551">
        <w:rPr>
          <w:rFonts w:ascii="Verdana" w:hAnsi="Verdana"/>
          <w:iCs/>
          <w:color w:val="000000" w:themeColor="text1"/>
          <w:sz w:val="16"/>
          <w:szCs w:val="16"/>
        </w:rPr>
        <w:t xml:space="preserve">Comité de Derechos Humanos. Observación General No. 25, </w:t>
      </w:r>
      <w:r w:rsidRPr="00363551">
        <w:rPr>
          <w:rFonts w:ascii="Verdana" w:hAnsi="Verdana" w:cs="Arial"/>
          <w:iCs/>
          <w:color w:val="000000" w:themeColor="text1"/>
          <w:sz w:val="16"/>
          <w:szCs w:val="16"/>
        </w:rPr>
        <w:t>El derecho a participar en los asuntos públicos, derecho a votar y derecho al acceso, en condiciones de igualdad a las funciones públicas</w:t>
      </w:r>
      <w:r w:rsidRPr="00871EA2">
        <w:rPr>
          <w:rFonts w:ascii="Verdana" w:hAnsi="Verdana"/>
          <w:color w:val="000000" w:themeColor="text1"/>
          <w:sz w:val="16"/>
          <w:szCs w:val="16"/>
        </w:rPr>
        <w:t>,</w:t>
      </w:r>
      <w:r>
        <w:rPr>
          <w:rFonts w:ascii="Verdana" w:hAnsi="Verdana"/>
          <w:color w:val="000000" w:themeColor="text1"/>
          <w:sz w:val="16"/>
          <w:szCs w:val="16"/>
        </w:rPr>
        <w:t xml:space="preserve"> </w:t>
      </w:r>
      <w:r w:rsidRPr="009D77FC">
        <w:rPr>
          <w:rFonts w:ascii="Verdana" w:hAnsi="Verdana"/>
          <w:i/>
          <w:color w:val="000000" w:themeColor="text1"/>
          <w:sz w:val="16"/>
          <w:szCs w:val="16"/>
        </w:rPr>
        <w:t>supra</w:t>
      </w:r>
      <w:r w:rsidRPr="00871EA2">
        <w:rPr>
          <w:rFonts w:ascii="Verdana" w:hAnsi="Verdana"/>
          <w:color w:val="000000" w:themeColor="text1"/>
          <w:sz w:val="16"/>
          <w:szCs w:val="16"/>
        </w:rPr>
        <w:t xml:space="preserve">, párr. 16. </w:t>
      </w:r>
    </w:p>
  </w:footnote>
  <w:footnote w:id="41">
    <w:p w14:paraId="55122045" w14:textId="0B085F10"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4A0128">
        <w:rPr>
          <w:rFonts w:ascii="Verdana" w:hAnsi="Verdana"/>
          <w:iCs/>
          <w:color w:val="000000" w:themeColor="text1"/>
          <w:sz w:val="16"/>
          <w:szCs w:val="16"/>
        </w:rPr>
        <w:t xml:space="preserve">Comité de Derechos Humanos. Observación General No. 25, </w:t>
      </w:r>
      <w:r w:rsidRPr="004A0128">
        <w:rPr>
          <w:rFonts w:ascii="Verdana" w:hAnsi="Verdana" w:cs="Arial"/>
          <w:iCs/>
          <w:color w:val="000000" w:themeColor="text1"/>
          <w:sz w:val="16"/>
          <w:szCs w:val="16"/>
        </w:rPr>
        <w:t>El derecho a participar en los asuntos públicos, derecho a votar y derecho al acceso, en condiciones de igualdad a las funciones públicas</w:t>
      </w:r>
      <w:r w:rsidRPr="00871EA2">
        <w:rPr>
          <w:rFonts w:ascii="Verdana" w:hAnsi="Verdana"/>
          <w:color w:val="000000" w:themeColor="text1"/>
          <w:sz w:val="16"/>
          <w:szCs w:val="16"/>
        </w:rPr>
        <w:t>,</w:t>
      </w:r>
      <w:r>
        <w:rPr>
          <w:rFonts w:ascii="Verdana" w:hAnsi="Verdana"/>
          <w:color w:val="000000" w:themeColor="text1"/>
          <w:sz w:val="16"/>
          <w:szCs w:val="16"/>
        </w:rPr>
        <w:t xml:space="preserve"> </w:t>
      </w:r>
      <w:r w:rsidRPr="009D77FC">
        <w:rPr>
          <w:rFonts w:ascii="Verdana" w:hAnsi="Verdana"/>
          <w:i/>
          <w:color w:val="000000" w:themeColor="text1"/>
          <w:sz w:val="16"/>
          <w:szCs w:val="16"/>
        </w:rPr>
        <w:t>supra</w:t>
      </w:r>
      <w:r w:rsidRPr="00871EA2">
        <w:rPr>
          <w:rFonts w:ascii="Verdana" w:hAnsi="Verdana"/>
          <w:color w:val="000000" w:themeColor="text1"/>
          <w:sz w:val="16"/>
          <w:szCs w:val="16"/>
        </w:rPr>
        <w:t>, párr. 17.</w:t>
      </w:r>
    </w:p>
  </w:footnote>
  <w:footnote w:id="42">
    <w:p w14:paraId="6F1E96E4" w14:textId="1956FF3B"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871EA2">
        <w:rPr>
          <w:rFonts w:ascii="Verdana" w:hAnsi="Verdana"/>
          <w:i/>
          <w:iCs/>
          <w:color w:val="000000" w:themeColor="text1"/>
          <w:sz w:val="16"/>
          <w:szCs w:val="16"/>
        </w:rPr>
        <w:t xml:space="preserve">Cfr. </w:t>
      </w:r>
      <w:r w:rsidRPr="004A0128">
        <w:rPr>
          <w:rFonts w:ascii="Verdana" w:hAnsi="Verdana"/>
          <w:iCs/>
          <w:color w:val="000000" w:themeColor="text1"/>
          <w:sz w:val="16"/>
          <w:szCs w:val="16"/>
        </w:rPr>
        <w:t xml:space="preserve">Comité de Derechos Humanos. Observación General No. 25, </w:t>
      </w:r>
      <w:r w:rsidRPr="004A0128">
        <w:rPr>
          <w:rFonts w:ascii="Verdana" w:hAnsi="Verdana" w:cs="Arial"/>
          <w:iCs/>
          <w:color w:val="000000" w:themeColor="text1"/>
          <w:sz w:val="16"/>
          <w:szCs w:val="16"/>
        </w:rPr>
        <w:t>El derecho a participar en los asuntos públicos, derecho a votar y derecho al acceso, en condiciones de igualdad a las funciones públicas</w:t>
      </w:r>
      <w:r w:rsidRPr="00871EA2">
        <w:rPr>
          <w:rFonts w:ascii="Verdana" w:hAnsi="Verdana"/>
          <w:color w:val="000000" w:themeColor="text1"/>
          <w:sz w:val="16"/>
          <w:szCs w:val="16"/>
        </w:rPr>
        <w:t>,</w:t>
      </w:r>
      <w:r>
        <w:rPr>
          <w:rFonts w:ascii="Verdana" w:hAnsi="Verdana"/>
          <w:color w:val="000000" w:themeColor="text1"/>
          <w:sz w:val="16"/>
          <w:szCs w:val="16"/>
        </w:rPr>
        <w:t xml:space="preserve"> </w:t>
      </w:r>
      <w:r w:rsidRPr="009D77FC">
        <w:rPr>
          <w:rFonts w:ascii="Verdana" w:hAnsi="Verdana"/>
          <w:i/>
          <w:color w:val="000000" w:themeColor="text1"/>
          <w:sz w:val="16"/>
          <w:szCs w:val="16"/>
        </w:rPr>
        <w:t>supra</w:t>
      </w:r>
      <w:r w:rsidRPr="00871EA2">
        <w:rPr>
          <w:rFonts w:ascii="Verdana" w:hAnsi="Verdana"/>
          <w:color w:val="000000" w:themeColor="text1"/>
          <w:sz w:val="16"/>
          <w:szCs w:val="16"/>
        </w:rPr>
        <w:t xml:space="preserve">, párr. 19. </w:t>
      </w:r>
    </w:p>
  </w:footnote>
  <w:footnote w:id="43">
    <w:p w14:paraId="39AD85B8" w14:textId="6EBCBCFF"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Pr>
          <w:rFonts w:ascii="Verdana" w:hAnsi="Verdana"/>
          <w:i/>
          <w:color w:val="000000" w:themeColor="text1"/>
          <w:sz w:val="16"/>
          <w:szCs w:val="16"/>
        </w:rPr>
        <w:t xml:space="preserve">Cfr. </w:t>
      </w:r>
      <w:r w:rsidRPr="004A0128">
        <w:rPr>
          <w:rFonts w:ascii="Verdana" w:hAnsi="Verdana"/>
          <w:iCs/>
          <w:color w:val="000000" w:themeColor="text1"/>
          <w:sz w:val="16"/>
          <w:szCs w:val="16"/>
        </w:rPr>
        <w:t xml:space="preserve">Comité de Derechos Humanos. Observación General No. 25, </w:t>
      </w:r>
      <w:r w:rsidRPr="004A0128">
        <w:rPr>
          <w:rFonts w:ascii="Verdana" w:hAnsi="Verdana" w:cs="Arial"/>
          <w:iCs/>
          <w:color w:val="000000" w:themeColor="text1"/>
          <w:sz w:val="16"/>
          <w:szCs w:val="16"/>
        </w:rPr>
        <w:t>El derecho a participar en los asuntos públicos, derecho a votar y derecho al acceso, en condiciones de igualdad a las funciones públicas</w:t>
      </w:r>
      <w:r w:rsidRPr="00871EA2">
        <w:rPr>
          <w:rFonts w:ascii="Verdana" w:hAnsi="Verdana"/>
          <w:color w:val="000000" w:themeColor="text1"/>
          <w:sz w:val="16"/>
          <w:szCs w:val="16"/>
        </w:rPr>
        <w:t>,</w:t>
      </w:r>
      <w:r>
        <w:rPr>
          <w:rFonts w:ascii="Verdana" w:hAnsi="Verdana"/>
          <w:color w:val="000000" w:themeColor="text1"/>
          <w:sz w:val="16"/>
          <w:szCs w:val="16"/>
        </w:rPr>
        <w:t xml:space="preserve"> </w:t>
      </w:r>
      <w:r w:rsidRPr="009D77FC">
        <w:rPr>
          <w:rFonts w:ascii="Verdana" w:hAnsi="Verdana"/>
          <w:i/>
          <w:color w:val="000000" w:themeColor="text1"/>
          <w:sz w:val="16"/>
          <w:szCs w:val="16"/>
        </w:rPr>
        <w:t>supra</w:t>
      </w:r>
      <w:r>
        <w:rPr>
          <w:rFonts w:ascii="Verdana" w:hAnsi="Verdana"/>
          <w:color w:val="000000" w:themeColor="text1"/>
          <w:sz w:val="16"/>
          <w:szCs w:val="16"/>
        </w:rPr>
        <w:t>, párr. 19.</w:t>
      </w:r>
    </w:p>
  </w:footnote>
  <w:footnote w:id="44">
    <w:p w14:paraId="186C52D4" w14:textId="18FABB53"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Pr>
          <w:rFonts w:ascii="Verdana" w:hAnsi="Verdana"/>
          <w:i/>
          <w:color w:val="000000" w:themeColor="text1"/>
          <w:sz w:val="16"/>
          <w:szCs w:val="16"/>
        </w:rPr>
        <w:t xml:space="preserve">Cfr. </w:t>
      </w:r>
      <w:r w:rsidRPr="004A0128">
        <w:rPr>
          <w:rFonts w:ascii="Verdana" w:hAnsi="Verdana"/>
          <w:iCs/>
          <w:color w:val="000000" w:themeColor="text1"/>
          <w:sz w:val="16"/>
          <w:szCs w:val="16"/>
        </w:rPr>
        <w:t xml:space="preserve">Comité de Derechos Humanos. Observación General No. 25, </w:t>
      </w:r>
      <w:r w:rsidRPr="004A0128">
        <w:rPr>
          <w:rFonts w:ascii="Verdana" w:hAnsi="Verdana" w:cs="Arial"/>
          <w:iCs/>
          <w:color w:val="000000" w:themeColor="text1"/>
          <w:sz w:val="16"/>
          <w:szCs w:val="16"/>
        </w:rPr>
        <w:t>El derecho a participar en los asuntos públicos, derecho a votar y derecho al acceso, en condiciones de igualdad a las funciones públicas</w:t>
      </w:r>
      <w:r w:rsidRPr="00871EA2">
        <w:rPr>
          <w:rFonts w:ascii="Verdana" w:hAnsi="Verdana"/>
          <w:color w:val="000000" w:themeColor="text1"/>
          <w:sz w:val="16"/>
          <w:szCs w:val="16"/>
        </w:rPr>
        <w:t>,</w:t>
      </w:r>
      <w:r>
        <w:rPr>
          <w:rFonts w:ascii="Verdana" w:hAnsi="Verdana"/>
          <w:color w:val="000000" w:themeColor="text1"/>
          <w:sz w:val="16"/>
          <w:szCs w:val="16"/>
        </w:rPr>
        <w:t xml:space="preserve"> </w:t>
      </w:r>
      <w:r w:rsidRPr="009D77FC">
        <w:rPr>
          <w:rFonts w:ascii="Verdana" w:hAnsi="Verdana"/>
          <w:i/>
          <w:color w:val="000000" w:themeColor="text1"/>
          <w:sz w:val="16"/>
          <w:szCs w:val="16"/>
        </w:rPr>
        <w:t>supra</w:t>
      </w:r>
      <w:r>
        <w:rPr>
          <w:rFonts w:ascii="Verdana" w:hAnsi="Verdana"/>
          <w:color w:val="000000" w:themeColor="text1"/>
          <w:sz w:val="16"/>
          <w:szCs w:val="16"/>
        </w:rPr>
        <w:t>.</w:t>
      </w:r>
      <w:r w:rsidRPr="00871EA2">
        <w:rPr>
          <w:rFonts w:ascii="Verdana" w:hAnsi="Verdana"/>
          <w:color w:val="000000" w:themeColor="text1"/>
          <w:sz w:val="16"/>
          <w:szCs w:val="16"/>
        </w:rPr>
        <w:t>, párr. 20</w:t>
      </w:r>
      <w:r>
        <w:rPr>
          <w:rFonts w:ascii="Verdana" w:hAnsi="Verdana"/>
          <w:color w:val="000000" w:themeColor="text1"/>
          <w:sz w:val="16"/>
          <w:szCs w:val="16"/>
        </w:rPr>
        <w:t>.</w:t>
      </w:r>
    </w:p>
  </w:footnote>
  <w:footnote w:id="45">
    <w:p w14:paraId="66911A3F" w14:textId="57CCB019"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Pr>
          <w:rFonts w:ascii="Verdana" w:hAnsi="Verdana"/>
          <w:i/>
          <w:color w:val="000000" w:themeColor="text1"/>
          <w:sz w:val="16"/>
          <w:szCs w:val="16"/>
        </w:rPr>
        <w:t xml:space="preserve">Cfr. </w:t>
      </w:r>
      <w:r w:rsidRPr="004A0128">
        <w:rPr>
          <w:rFonts w:ascii="Verdana" w:hAnsi="Verdana"/>
          <w:iCs/>
          <w:color w:val="000000" w:themeColor="text1"/>
          <w:sz w:val="16"/>
          <w:szCs w:val="16"/>
        </w:rPr>
        <w:t xml:space="preserve">Comité de Derechos Humanos. Observación General No. 25, </w:t>
      </w:r>
      <w:r w:rsidRPr="004A0128">
        <w:rPr>
          <w:rFonts w:ascii="Verdana" w:hAnsi="Verdana" w:cs="Arial"/>
          <w:iCs/>
          <w:color w:val="000000" w:themeColor="text1"/>
          <w:sz w:val="16"/>
          <w:szCs w:val="16"/>
        </w:rPr>
        <w:t>El derecho a participar en los asuntos públicos, derecho a votar y derecho al acceso, en condiciones de igualdad a las funciones públicas</w:t>
      </w:r>
      <w:r w:rsidRPr="00871EA2">
        <w:rPr>
          <w:rFonts w:ascii="Verdana" w:hAnsi="Verdana"/>
          <w:color w:val="000000" w:themeColor="text1"/>
          <w:sz w:val="16"/>
          <w:szCs w:val="16"/>
        </w:rPr>
        <w:t>,</w:t>
      </w:r>
      <w:r>
        <w:rPr>
          <w:rFonts w:ascii="Verdana" w:hAnsi="Verdana"/>
          <w:color w:val="000000" w:themeColor="text1"/>
          <w:sz w:val="16"/>
          <w:szCs w:val="16"/>
        </w:rPr>
        <w:t xml:space="preserve"> </w:t>
      </w:r>
      <w:r w:rsidRPr="009D77FC">
        <w:rPr>
          <w:rFonts w:ascii="Verdana" w:hAnsi="Verdana"/>
          <w:i/>
          <w:color w:val="000000" w:themeColor="text1"/>
          <w:sz w:val="16"/>
          <w:szCs w:val="16"/>
        </w:rPr>
        <w:t>supra</w:t>
      </w:r>
      <w:r>
        <w:rPr>
          <w:rFonts w:ascii="Verdana" w:hAnsi="Verdana"/>
          <w:color w:val="000000" w:themeColor="text1"/>
          <w:sz w:val="16"/>
          <w:szCs w:val="16"/>
        </w:rPr>
        <w:t>, párr. 20.</w:t>
      </w:r>
      <w:r w:rsidRPr="00871EA2">
        <w:rPr>
          <w:rFonts w:ascii="Verdana" w:hAnsi="Verdana"/>
          <w:color w:val="000000" w:themeColor="text1"/>
          <w:sz w:val="16"/>
          <w:szCs w:val="16"/>
        </w:rPr>
        <w:t xml:space="preserve"> </w:t>
      </w:r>
    </w:p>
  </w:footnote>
  <w:footnote w:id="46">
    <w:p w14:paraId="52F1F3FD" w14:textId="317C90E9" w:rsidR="00CA403B" w:rsidRPr="00871EA2" w:rsidRDefault="00CA403B" w:rsidP="00871EA2">
      <w:pPr>
        <w:spacing w:after="0" w:line="240" w:lineRule="auto"/>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t xml:space="preserve">Corte Africana de Derechos Humanos y de los Pueblos, </w:t>
      </w:r>
      <w:r w:rsidRPr="00871EA2">
        <w:rPr>
          <w:rFonts w:ascii="Verdana" w:hAnsi="Verdana"/>
          <w:i/>
          <w:iCs/>
          <w:color w:val="000000" w:themeColor="text1"/>
          <w:sz w:val="16"/>
          <w:szCs w:val="16"/>
        </w:rPr>
        <w:t>Caso Mitkila Vs. Tanzania</w:t>
      </w:r>
      <w:r w:rsidRPr="00871EA2">
        <w:rPr>
          <w:rFonts w:ascii="Verdana" w:hAnsi="Verdana"/>
          <w:color w:val="000000" w:themeColor="text1"/>
          <w:sz w:val="16"/>
          <w:szCs w:val="16"/>
        </w:rPr>
        <w:t xml:space="preserve">, 9 de junio de 2011, párr. 98. </w:t>
      </w:r>
    </w:p>
  </w:footnote>
  <w:footnote w:id="47">
    <w:p w14:paraId="11502BEB" w14:textId="196E5645" w:rsidR="00CA403B" w:rsidRPr="00871EA2" w:rsidRDefault="00CA403B" w:rsidP="00871EA2">
      <w:pPr>
        <w:pStyle w:val="FootnoteText"/>
        <w:jc w:val="both"/>
        <w:rPr>
          <w:rFonts w:ascii="Verdana" w:hAnsi="Verdana"/>
          <w:color w:val="000000" w:themeColor="text1"/>
          <w:sz w:val="16"/>
          <w:szCs w:val="16"/>
          <w:lang w:val="es-MX"/>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Pr>
          <w:rFonts w:ascii="Verdana" w:hAnsi="Verdana"/>
          <w:color w:val="000000" w:themeColor="text1"/>
          <w:sz w:val="16"/>
          <w:szCs w:val="16"/>
        </w:rPr>
        <w:t>En concreto, dicho instrumento internacional establece: “</w:t>
      </w:r>
      <w:r w:rsidRPr="00871EA2">
        <w:rPr>
          <w:rFonts w:ascii="Verdana" w:hAnsi="Verdana"/>
          <w:color w:val="000000" w:themeColor="text1"/>
          <w:sz w:val="16"/>
          <w:szCs w:val="16"/>
          <w:lang w:val="es-MX"/>
        </w:rPr>
        <w:t>Derecho a elecciones libres. Las Altas Partes Contratantes se comprometen a organizar, a intervalos razonables, elecciones libres con escrutinio secreto, en condiciones que garanticen la libre expresión de la opinión del pueblo en la elección del cuerpo legislativo</w:t>
      </w:r>
      <w:r>
        <w:rPr>
          <w:rFonts w:ascii="Verdana" w:hAnsi="Verdana"/>
          <w:color w:val="000000" w:themeColor="text1"/>
          <w:sz w:val="16"/>
          <w:szCs w:val="16"/>
          <w:lang w:val="es-MX"/>
        </w:rPr>
        <w:t>”</w:t>
      </w:r>
      <w:r w:rsidRPr="00871EA2">
        <w:rPr>
          <w:rFonts w:ascii="Verdana" w:hAnsi="Verdana"/>
          <w:color w:val="000000" w:themeColor="text1"/>
          <w:sz w:val="16"/>
          <w:szCs w:val="16"/>
          <w:lang w:val="es-MX"/>
        </w:rPr>
        <w:t xml:space="preserve">. </w:t>
      </w:r>
    </w:p>
  </w:footnote>
  <w:footnote w:id="48">
    <w:p w14:paraId="7704A45A" w14:textId="3182C3F4"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Pr>
          <w:rFonts w:ascii="Verdana" w:hAnsi="Verdana"/>
          <w:i/>
          <w:color w:val="000000" w:themeColor="text1"/>
          <w:sz w:val="16"/>
          <w:szCs w:val="16"/>
        </w:rPr>
        <w:t xml:space="preserve">Cfr. </w:t>
      </w:r>
      <w:r w:rsidRPr="00871EA2">
        <w:rPr>
          <w:rFonts w:ascii="Verdana" w:hAnsi="Verdana" w:cs="Arial"/>
          <w:i/>
          <w:iCs/>
          <w:color w:val="000000" w:themeColor="text1"/>
          <w:sz w:val="16"/>
          <w:szCs w:val="16"/>
        </w:rPr>
        <w:t>Caso Davydov y otros Vs. Rusia</w:t>
      </w:r>
      <w:r w:rsidRPr="00871EA2">
        <w:rPr>
          <w:rFonts w:ascii="Verdana" w:hAnsi="Verdana" w:cs="Arial"/>
          <w:color w:val="000000" w:themeColor="text1"/>
          <w:sz w:val="16"/>
          <w:szCs w:val="16"/>
        </w:rPr>
        <w:t xml:space="preserve">, </w:t>
      </w:r>
      <w:r w:rsidRPr="00871EA2">
        <w:rPr>
          <w:rStyle w:val="Hyperlink"/>
          <w:rFonts w:ascii="Verdana" w:hAnsi="Verdana" w:cs="Arial"/>
          <w:color w:val="000000" w:themeColor="text1"/>
          <w:sz w:val="16"/>
          <w:szCs w:val="16"/>
          <w:u w:val="none"/>
        </w:rPr>
        <w:t xml:space="preserve">30 de </w:t>
      </w:r>
      <w:r>
        <w:rPr>
          <w:rStyle w:val="Hyperlink"/>
          <w:rFonts w:ascii="Verdana" w:hAnsi="Verdana" w:cs="Arial"/>
          <w:color w:val="000000" w:themeColor="text1"/>
          <w:sz w:val="16"/>
          <w:szCs w:val="16"/>
          <w:u w:val="none"/>
        </w:rPr>
        <w:t>m</w:t>
      </w:r>
      <w:r w:rsidRPr="00871EA2">
        <w:rPr>
          <w:rStyle w:val="Hyperlink"/>
          <w:rFonts w:ascii="Verdana" w:hAnsi="Verdana" w:cs="Arial"/>
          <w:color w:val="000000" w:themeColor="text1"/>
          <w:sz w:val="16"/>
          <w:szCs w:val="16"/>
          <w:u w:val="none"/>
        </w:rPr>
        <w:t xml:space="preserve">ayo de 2017, párr. 271. </w:t>
      </w:r>
    </w:p>
  </w:footnote>
  <w:footnote w:id="49">
    <w:p w14:paraId="1C8D8923" w14:textId="485C225C"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Pr>
          <w:rFonts w:ascii="Verdana" w:hAnsi="Verdana"/>
          <w:i/>
          <w:color w:val="000000" w:themeColor="text1"/>
          <w:sz w:val="16"/>
          <w:szCs w:val="16"/>
        </w:rPr>
        <w:t xml:space="preserve">Cfr. </w:t>
      </w:r>
      <w:r w:rsidRPr="00871EA2">
        <w:rPr>
          <w:rFonts w:ascii="Verdana" w:hAnsi="Verdana" w:cs="Arial"/>
          <w:i/>
          <w:iCs/>
          <w:color w:val="000000" w:themeColor="text1"/>
          <w:sz w:val="16"/>
          <w:szCs w:val="16"/>
        </w:rPr>
        <w:t>Caso Yumak y Sadak Vs. Turquía</w:t>
      </w:r>
      <w:r w:rsidRPr="00871EA2">
        <w:rPr>
          <w:rFonts w:ascii="Verdana" w:hAnsi="Verdana" w:cs="Arial"/>
          <w:color w:val="000000" w:themeColor="text1"/>
          <w:sz w:val="16"/>
          <w:szCs w:val="16"/>
        </w:rPr>
        <w:t>, 8 de julio de 2008, párr. 108</w:t>
      </w:r>
      <w:r>
        <w:rPr>
          <w:rFonts w:ascii="Verdana" w:hAnsi="Verdana" w:cs="Arial"/>
          <w:color w:val="000000" w:themeColor="text1"/>
          <w:sz w:val="16"/>
          <w:szCs w:val="16"/>
        </w:rPr>
        <w:t>.</w:t>
      </w:r>
    </w:p>
  </w:footnote>
  <w:footnote w:id="50">
    <w:p w14:paraId="3BF2B727" w14:textId="08D00BB9"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s="Arial"/>
          <w:color w:val="000000" w:themeColor="text1"/>
          <w:sz w:val="16"/>
          <w:szCs w:val="16"/>
        </w:rPr>
        <w:tab/>
      </w:r>
      <w:r>
        <w:rPr>
          <w:rFonts w:ascii="Verdana" w:hAnsi="Verdana" w:cs="Arial"/>
          <w:i/>
          <w:color w:val="000000" w:themeColor="text1"/>
          <w:sz w:val="16"/>
          <w:szCs w:val="16"/>
        </w:rPr>
        <w:t xml:space="preserve">Cfr. </w:t>
      </w:r>
      <w:r w:rsidRPr="00871EA2">
        <w:rPr>
          <w:rFonts w:ascii="Verdana" w:hAnsi="Verdana" w:cs="Arial"/>
          <w:i/>
          <w:iCs/>
          <w:color w:val="000000" w:themeColor="text1"/>
          <w:sz w:val="16"/>
          <w:szCs w:val="16"/>
        </w:rPr>
        <w:t>Caso del Partido Laborista de Georgia Vs</w:t>
      </w:r>
      <w:r>
        <w:rPr>
          <w:rFonts w:ascii="Verdana" w:hAnsi="Verdana" w:cs="Arial"/>
          <w:i/>
          <w:iCs/>
          <w:color w:val="000000" w:themeColor="text1"/>
          <w:sz w:val="16"/>
          <w:szCs w:val="16"/>
        </w:rPr>
        <w:t>.</w:t>
      </w:r>
      <w:r w:rsidRPr="00871EA2">
        <w:rPr>
          <w:rFonts w:ascii="Verdana" w:hAnsi="Verdana" w:cs="Arial"/>
          <w:i/>
          <w:iCs/>
          <w:color w:val="000000" w:themeColor="text1"/>
          <w:sz w:val="16"/>
          <w:szCs w:val="16"/>
        </w:rPr>
        <w:t xml:space="preserve"> Georgia</w:t>
      </w:r>
      <w:r w:rsidRPr="00871EA2">
        <w:rPr>
          <w:rFonts w:ascii="Verdana" w:hAnsi="Verdana" w:cs="Arial"/>
          <w:color w:val="000000" w:themeColor="text1"/>
          <w:sz w:val="16"/>
          <w:szCs w:val="16"/>
        </w:rPr>
        <w:t xml:space="preserve">, 8 de julio 2010, párrs. 72-74. </w:t>
      </w:r>
    </w:p>
  </w:footnote>
  <w:footnote w:id="51">
    <w:p w14:paraId="02833C51" w14:textId="1AC8ADD2"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Pr>
          <w:rFonts w:ascii="Verdana" w:hAnsi="Verdana"/>
          <w:i/>
          <w:color w:val="000000" w:themeColor="text1"/>
          <w:sz w:val="16"/>
          <w:szCs w:val="16"/>
        </w:rPr>
        <w:t xml:space="preserve">Cfr. </w:t>
      </w:r>
      <w:r w:rsidRPr="00871EA2">
        <w:rPr>
          <w:rFonts w:ascii="Verdana" w:hAnsi="Verdana"/>
          <w:i/>
          <w:iCs/>
          <w:color w:val="000000" w:themeColor="text1"/>
          <w:sz w:val="16"/>
          <w:szCs w:val="16"/>
        </w:rPr>
        <w:t xml:space="preserve">Caso </w:t>
      </w:r>
      <w:r w:rsidRPr="00871EA2">
        <w:rPr>
          <w:rFonts w:ascii="Verdana" w:hAnsi="Verdana" w:cs="Arial"/>
          <w:i/>
          <w:iCs/>
          <w:color w:val="000000" w:themeColor="text1"/>
          <w:sz w:val="16"/>
          <w:szCs w:val="16"/>
        </w:rPr>
        <w:t>Hirst Vs. Reino</w:t>
      </w:r>
      <w:r w:rsidRPr="00871EA2">
        <w:rPr>
          <w:rFonts w:ascii="Verdana" w:hAnsi="Verdana" w:cs="Arial"/>
          <w:color w:val="000000" w:themeColor="text1"/>
          <w:sz w:val="16"/>
          <w:szCs w:val="16"/>
        </w:rPr>
        <w:t xml:space="preserve">, 6 de octubre de 2005, párr. 58. </w:t>
      </w:r>
    </w:p>
  </w:footnote>
  <w:footnote w:id="52">
    <w:p w14:paraId="43B6C4F0" w14:textId="076D5333" w:rsidR="00CA403B" w:rsidRPr="00871EA2" w:rsidRDefault="00CA403B" w:rsidP="00871EA2">
      <w:pPr>
        <w:spacing w:after="0" w:line="240" w:lineRule="auto"/>
        <w:jc w:val="both"/>
        <w:rPr>
          <w:rFonts w:ascii="Verdana" w:hAnsi="Verdana" w:cs="Arial"/>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Pr>
          <w:rFonts w:ascii="Verdana" w:hAnsi="Verdana"/>
          <w:i/>
          <w:color w:val="000000" w:themeColor="text1"/>
          <w:sz w:val="16"/>
          <w:szCs w:val="16"/>
        </w:rPr>
        <w:t xml:space="preserve">Cfr. </w:t>
      </w:r>
      <w:r w:rsidRPr="00871EA2">
        <w:rPr>
          <w:rFonts w:ascii="Verdana" w:hAnsi="Verdana"/>
          <w:i/>
          <w:iCs/>
          <w:color w:val="000000" w:themeColor="text1"/>
          <w:sz w:val="16"/>
          <w:szCs w:val="16"/>
        </w:rPr>
        <w:t xml:space="preserve">Caso </w:t>
      </w:r>
      <w:r w:rsidRPr="00871EA2">
        <w:rPr>
          <w:rFonts w:ascii="Verdana" w:hAnsi="Verdana" w:cs="Arial"/>
          <w:i/>
          <w:iCs/>
          <w:color w:val="000000" w:themeColor="text1"/>
          <w:sz w:val="16"/>
          <w:szCs w:val="16"/>
        </w:rPr>
        <w:t>Mathieu-Mohin y Clerfayt Vs. Bélgica</w:t>
      </w:r>
      <w:r>
        <w:rPr>
          <w:rFonts w:ascii="Verdana" w:hAnsi="Verdana" w:cs="Arial"/>
          <w:i/>
          <w:iCs/>
          <w:color w:val="000000" w:themeColor="text1"/>
          <w:sz w:val="16"/>
          <w:szCs w:val="16"/>
        </w:rPr>
        <w:t>,</w:t>
      </w:r>
      <w:r w:rsidRPr="00871EA2">
        <w:rPr>
          <w:rFonts w:ascii="Verdana" w:hAnsi="Verdana" w:cs="Arial"/>
          <w:color w:val="000000" w:themeColor="text1"/>
          <w:sz w:val="16"/>
          <w:szCs w:val="16"/>
        </w:rPr>
        <w:t xml:space="preserve"> 2 de marzo de 1987, párr. 52. </w:t>
      </w:r>
    </w:p>
  </w:footnote>
  <w:footnote w:id="53">
    <w:p w14:paraId="0E6B8195" w14:textId="73C736A1"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871EA2">
        <w:rPr>
          <w:rFonts w:ascii="Verdana" w:hAnsi="Verdana"/>
          <w:i/>
          <w:iCs/>
          <w:color w:val="000000" w:themeColor="text1"/>
          <w:sz w:val="16"/>
          <w:szCs w:val="16"/>
        </w:rPr>
        <w:t xml:space="preserve">Caso </w:t>
      </w:r>
      <w:r w:rsidRPr="00871EA2">
        <w:rPr>
          <w:rFonts w:ascii="Verdana" w:hAnsi="Verdana" w:cs="Arial"/>
          <w:i/>
          <w:iCs/>
          <w:color w:val="000000" w:themeColor="text1"/>
          <w:sz w:val="16"/>
          <w:szCs w:val="16"/>
        </w:rPr>
        <w:t>Partido Comunista Unido de Turquía y otros Vs</w:t>
      </w:r>
      <w:r>
        <w:rPr>
          <w:rFonts w:ascii="Verdana" w:hAnsi="Verdana" w:cs="Arial"/>
          <w:i/>
          <w:iCs/>
          <w:color w:val="000000" w:themeColor="text1"/>
          <w:sz w:val="16"/>
          <w:szCs w:val="16"/>
        </w:rPr>
        <w:t>.</w:t>
      </w:r>
      <w:r w:rsidRPr="00871EA2">
        <w:rPr>
          <w:rFonts w:ascii="Verdana" w:hAnsi="Verdana" w:cs="Arial"/>
          <w:i/>
          <w:iCs/>
          <w:color w:val="000000" w:themeColor="text1"/>
          <w:sz w:val="16"/>
          <w:szCs w:val="16"/>
        </w:rPr>
        <w:t xml:space="preserve"> Turquía</w:t>
      </w:r>
      <w:r w:rsidRPr="00871EA2">
        <w:rPr>
          <w:rFonts w:ascii="Verdana" w:hAnsi="Verdana" w:cs="Arial"/>
          <w:color w:val="000000" w:themeColor="text1"/>
          <w:sz w:val="16"/>
          <w:szCs w:val="16"/>
        </w:rPr>
        <w:t xml:space="preserve">, 30 de enero de 1998, párr. 33. </w:t>
      </w:r>
    </w:p>
  </w:footnote>
  <w:footnote w:id="54">
    <w:p w14:paraId="4D56EDE5" w14:textId="15D915F1" w:rsidR="00CA403B" w:rsidRPr="00141590"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A61FA1">
        <w:rPr>
          <w:rFonts w:ascii="Verdana" w:hAnsi="Verdana"/>
          <w:color w:val="000000" w:themeColor="text1"/>
          <w:sz w:val="16"/>
          <w:szCs w:val="16"/>
          <w:lang w:val="pt-BR"/>
        </w:rPr>
        <w:t xml:space="preserve"> </w:t>
      </w:r>
      <w:r w:rsidRPr="00A61FA1">
        <w:rPr>
          <w:rFonts w:ascii="Verdana" w:hAnsi="Verdana"/>
          <w:color w:val="000000" w:themeColor="text1"/>
          <w:sz w:val="16"/>
          <w:szCs w:val="16"/>
          <w:lang w:val="pt-BR"/>
        </w:rPr>
        <w:tab/>
      </w:r>
      <w:r w:rsidRPr="00A61FA1">
        <w:rPr>
          <w:rFonts w:ascii="Verdana" w:hAnsi="Verdana"/>
          <w:i/>
          <w:color w:val="000000" w:themeColor="text1"/>
          <w:sz w:val="16"/>
          <w:szCs w:val="16"/>
          <w:lang w:val="pt-BR"/>
        </w:rPr>
        <w:t xml:space="preserve">Cfr. </w:t>
      </w:r>
      <w:r w:rsidRPr="00A61FA1">
        <w:rPr>
          <w:rFonts w:ascii="Verdana" w:hAnsi="Verdana" w:cs="Arial"/>
          <w:i/>
          <w:iCs/>
          <w:color w:val="000000" w:themeColor="text1"/>
          <w:sz w:val="16"/>
          <w:szCs w:val="16"/>
          <w:lang w:val="pt-BR"/>
        </w:rPr>
        <w:t xml:space="preserve">Caso Namat Aliyev Vs. </w:t>
      </w:r>
      <w:r w:rsidRPr="00141590">
        <w:rPr>
          <w:rFonts w:ascii="Verdana" w:hAnsi="Verdana" w:cs="Arial"/>
          <w:i/>
          <w:iCs/>
          <w:color w:val="000000" w:themeColor="text1"/>
          <w:sz w:val="16"/>
          <w:szCs w:val="16"/>
        </w:rPr>
        <w:t>Azerbaiyán</w:t>
      </w:r>
      <w:r w:rsidRPr="00141590">
        <w:rPr>
          <w:rFonts w:ascii="Verdana" w:hAnsi="Verdana" w:cs="Arial"/>
          <w:color w:val="000000" w:themeColor="text1"/>
          <w:sz w:val="16"/>
          <w:szCs w:val="16"/>
        </w:rPr>
        <w:t>, 8 de abril de 2010, párr. 72.</w:t>
      </w:r>
    </w:p>
  </w:footnote>
  <w:footnote w:id="55">
    <w:p w14:paraId="1AF14FF2" w14:textId="42212CB4" w:rsidR="00CA403B" w:rsidRPr="00141590" w:rsidRDefault="00CA403B" w:rsidP="00274175">
      <w:pPr>
        <w:pStyle w:val="FootnoteText"/>
        <w:jc w:val="both"/>
        <w:rPr>
          <w:rFonts w:ascii="Verdana" w:hAnsi="Verdana"/>
          <w:color w:val="000000" w:themeColor="text1"/>
          <w:sz w:val="16"/>
          <w:szCs w:val="16"/>
          <w:lang w:val="es-ES"/>
        </w:rPr>
      </w:pPr>
      <w:r w:rsidRPr="00871EA2">
        <w:rPr>
          <w:rStyle w:val="FootnoteReference"/>
          <w:rFonts w:ascii="Verdana" w:hAnsi="Verdana"/>
          <w:color w:val="000000" w:themeColor="text1"/>
          <w:sz w:val="16"/>
          <w:szCs w:val="16"/>
        </w:rPr>
        <w:footnoteRef/>
      </w:r>
      <w:r w:rsidRPr="00141590">
        <w:rPr>
          <w:rFonts w:ascii="Verdana" w:hAnsi="Verdana"/>
          <w:color w:val="000000" w:themeColor="text1"/>
          <w:sz w:val="16"/>
          <w:szCs w:val="16"/>
        </w:rPr>
        <w:t xml:space="preserve"> </w:t>
      </w:r>
      <w:r w:rsidRPr="00141590">
        <w:rPr>
          <w:rFonts w:ascii="Verdana" w:hAnsi="Verdana"/>
          <w:color w:val="000000" w:themeColor="text1"/>
          <w:sz w:val="16"/>
          <w:szCs w:val="16"/>
        </w:rPr>
        <w:tab/>
      </w:r>
      <w:r w:rsidRPr="00141590">
        <w:rPr>
          <w:rFonts w:ascii="Verdana" w:hAnsi="Verdana"/>
          <w:i/>
          <w:color w:val="000000" w:themeColor="text1"/>
          <w:sz w:val="16"/>
          <w:szCs w:val="16"/>
        </w:rPr>
        <w:t xml:space="preserve">Cfr. </w:t>
      </w:r>
      <w:r w:rsidRPr="00141590">
        <w:rPr>
          <w:rFonts w:ascii="Verdana" w:hAnsi="Verdana" w:cs="Arial"/>
          <w:i/>
          <w:iCs/>
          <w:color w:val="000000" w:themeColor="text1"/>
          <w:sz w:val="16"/>
          <w:szCs w:val="16"/>
        </w:rPr>
        <w:t>Caso Namat Aliyev Vs. Azerbaiyán</w:t>
      </w:r>
      <w:r w:rsidRPr="00141590">
        <w:rPr>
          <w:rFonts w:ascii="Verdana" w:hAnsi="Verdana" w:cs="Arial"/>
          <w:color w:val="000000" w:themeColor="text1"/>
          <w:sz w:val="16"/>
          <w:szCs w:val="16"/>
        </w:rPr>
        <w:t xml:space="preserve">, </w:t>
      </w:r>
      <w:r w:rsidRPr="00141590">
        <w:rPr>
          <w:rFonts w:ascii="Verdana" w:hAnsi="Verdana" w:cs="Arial"/>
          <w:i/>
          <w:color w:val="000000" w:themeColor="text1"/>
          <w:sz w:val="16"/>
          <w:szCs w:val="16"/>
        </w:rPr>
        <w:t>supra</w:t>
      </w:r>
      <w:r w:rsidRPr="00141590">
        <w:rPr>
          <w:rFonts w:ascii="Verdana" w:hAnsi="Verdana" w:cs="Arial"/>
          <w:color w:val="000000" w:themeColor="text1"/>
          <w:sz w:val="16"/>
          <w:szCs w:val="16"/>
        </w:rPr>
        <w:t xml:space="preserve">, párr. </w:t>
      </w:r>
      <w:r w:rsidRPr="00141590">
        <w:rPr>
          <w:rFonts w:ascii="Verdana" w:hAnsi="Verdana" w:cs="Arial"/>
          <w:color w:val="000000" w:themeColor="text1"/>
          <w:sz w:val="16"/>
          <w:szCs w:val="16"/>
          <w:lang w:val="es-ES"/>
        </w:rPr>
        <w:t xml:space="preserve">81. </w:t>
      </w:r>
    </w:p>
  </w:footnote>
  <w:footnote w:id="56">
    <w:p w14:paraId="59079FFF" w14:textId="21C783E4" w:rsidR="00CA403B" w:rsidRPr="00141590" w:rsidRDefault="00CA403B" w:rsidP="00871EA2">
      <w:pPr>
        <w:spacing w:after="0" w:line="240" w:lineRule="auto"/>
        <w:jc w:val="both"/>
        <w:rPr>
          <w:rFonts w:ascii="Verdana" w:hAnsi="Verdana" w:cs="Arial"/>
          <w:color w:val="000000" w:themeColor="text1"/>
          <w:sz w:val="16"/>
          <w:szCs w:val="16"/>
          <w:lang w:val="es-ES"/>
        </w:rPr>
      </w:pPr>
      <w:r w:rsidRPr="00871EA2">
        <w:rPr>
          <w:rStyle w:val="FootnoteReference"/>
          <w:rFonts w:ascii="Verdana" w:hAnsi="Verdana"/>
          <w:color w:val="000000" w:themeColor="text1"/>
          <w:sz w:val="16"/>
          <w:szCs w:val="16"/>
        </w:rPr>
        <w:footnoteRef/>
      </w:r>
      <w:r w:rsidRPr="00141590">
        <w:rPr>
          <w:rFonts w:ascii="Verdana" w:hAnsi="Verdana"/>
          <w:color w:val="000000" w:themeColor="text1"/>
          <w:sz w:val="16"/>
          <w:szCs w:val="16"/>
          <w:lang w:val="es-ES"/>
        </w:rPr>
        <w:t xml:space="preserve"> </w:t>
      </w:r>
      <w:r w:rsidRPr="00141590">
        <w:rPr>
          <w:rFonts w:ascii="Verdana" w:hAnsi="Verdana" w:cs="Arial"/>
          <w:color w:val="000000" w:themeColor="text1"/>
          <w:sz w:val="16"/>
          <w:szCs w:val="16"/>
          <w:lang w:val="es-ES"/>
        </w:rPr>
        <w:tab/>
      </w:r>
      <w:r w:rsidRPr="00141590">
        <w:rPr>
          <w:rFonts w:ascii="Verdana" w:hAnsi="Verdana" w:cs="Arial"/>
          <w:i/>
          <w:iCs/>
          <w:color w:val="000000" w:themeColor="text1"/>
          <w:sz w:val="16"/>
          <w:szCs w:val="16"/>
          <w:lang w:val="es-ES"/>
        </w:rPr>
        <w:t>Caso Karimov Vs. Azerbaiyán</w:t>
      </w:r>
      <w:r w:rsidRPr="00141590">
        <w:rPr>
          <w:rFonts w:ascii="Verdana" w:hAnsi="Verdana" w:cs="Arial"/>
          <w:color w:val="000000" w:themeColor="text1"/>
          <w:sz w:val="16"/>
          <w:szCs w:val="16"/>
          <w:lang w:val="es-ES"/>
        </w:rPr>
        <w:t>, 25 de septiembre de 2014, párr. 43.</w:t>
      </w:r>
    </w:p>
  </w:footnote>
  <w:footnote w:id="57">
    <w:p w14:paraId="39A15E89" w14:textId="28C79A05" w:rsidR="00CA403B" w:rsidRPr="00871EA2" w:rsidRDefault="00CA403B" w:rsidP="00871EA2">
      <w:pPr>
        <w:pStyle w:val="ListParagraph"/>
        <w:spacing w:after="0" w:line="240" w:lineRule="auto"/>
        <w:ind w:left="0"/>
        <w:jc w:val="both"/>
        <w:rPr>
          <w:rFonts w:ascii="Verdana" w:hAnsi="Verdana" w:cs="Arial"/>
          <w:color w:val="000000" w:themeColor="text1"/>
          <w:sz w:val="16"/>
          <w:szCs w:val="16"/>
        </w:rPr>
      </w:pPr>
      <w:r w:rsidRPr="00871EA2">
        <w:rPr>
          <w:rStyle w:val="FootnoteReference"/>
          <w:rFonts w:ascii="Verdana" w:hAnsi="Verdana"/>
          <w:color w:val="000000" w:themeColor="text1"/>
          <w:sz w:val="16"/>
          <w:szCs w:val="16"/>
        </w:rPr>
        <w:footnoteRef/>
      </w:r>
      <w:r w:rsidRPr="00141590">
        <w:rPr>
          <w:rFonts w:ascii="Verdana" w:hAnsi="Verdana"/>
          <w:color w:val="000000" w:themeColor="text1"/>
          <w:sz w:val="16"/>
          <w:szCs w:val="16"/>
          <w:lang w:val="es-ES"/>
        </w:rPr>
        <w:t xml:space="preserve"> </w:t>
      </w:r>
      <w:r w:rsidRPr="00141590">
        <w:rPr>
          <w:rFonts w:ascii="Verdana" w:hAnsi="Verdana"/>
          <w:color w:val="000000" w:themeColor="text1"/>
          <w:sz w:val="16"/>
          <w:szCs w:val="16"/>
          <w:lang w:val="es-ES"/>
        </w:rPr>
        <w:tab/>
      </w:r>
      <w:r w:rsidRPr="00141590">
        <w:rPr>
          <w:rFonts w:ascii="Verdana" w:hAnsi="Verdana"/>
          <w:i/>
          <w:color w:val="000000" w:themeColor="text1"/>
          <w:sz w:val="16"/>
          <w:szCs w:val="16"/>
          <w:lang w:val="es-ES"/>
        </w:rPr>
        <w:t xml:space="preserve">Cfr. </w:t>
      </w:r>
      <w:r w:rsidRPr="00141590">
        <w:rPr>
          <w:rFonts w:ascii="Verdana" w:hAnsi="Verdana" w:cs="Arial"/>
          <w:i/>
          <w:iCs/>
          <w:color w:val="000000" w:themeColor="text1"/>
          <w:sz w:val="16"/>
          <w:szCs w:val="16"/>
          <w:lang w:val="es-ES"/>
        </w:rPr>
        <w:t xml:space="preserve">Caso del Partido Laborista de Georgia Vs. </w:t>
      </w:r>
      <w:r w:rsidRPr="00871EA2">
        <w:rPr>
          <w:rFonts w:ascii="Verdana" w:hAnsi="Verdana" w:cs="Arial"/>
          <w:i/>
          <w:iCs/>
          <w:color w:val="000000" w:themeColor="text1"/>
          <w:sz w:val="16"/>
          <w:szCs w:val="16"/>
        </w:rPr>
        <w:t>Georgia</w:t>
      </w:r>
      <w:r w:rsidRPr="00871EA2">
        <w:rPr>
          <w:rFonts w:ascii="Verdana" w:hAnsi="Verdana" w:cs="Arial"/>
          <w:color w:val="000000" w:themeColor="text1"/>
          <w:sz w:val="16"/>
          <w:szCs w:val="16"/>
        </w:rPr>
        <w:t xml:space="preserve">, 8 de julio 2010, párr. 101. </w:t>
      </w:r>
    </w:p>
  </w:footnote>
  <w:footnote w:id="58">
    <w:p w14:paraId="6E75A0D5" w14:textId="4618AA82" w:rsidR="00CA403B" w:rsidRPr="00363551" w:rsidRDefault="00CA403B" w:rsidP="00871EA2">
      <w:pPr>
        <w:spacing w:after="0" w:line="240" w:lineRule="auto"/>
        <w:jc w:val="both"/>
        <w:rPr>
          <w:rFonts w:ascii="Verdana" w:hAnsi="Verdana" w:cs="Arial"/>
          <w:color w:val="000000" w:themeColor="text1"/>
          <w:sz w:val="16"/>
          <w:szCs w:val="16"/>
          <w:lang w:val="pt-BR"/>
        </w:rPr>
      </w:pPr>
      <w:r w:rsidRPr="00871EA2">
        <w:rPr>
          <w:rStyle w:val="FootnoteReference"/>
          <w:rFonts w:ascii="Verdana" w:hAnsi="Verdana"/>
          <w:color w:val="000000" w:themeColor="text1"/>
          <w:sz w:val="16"/>
          <w:szCs w:val="16"/>
        </w:rPr>
        <w:footnoteRef/>
      </w:r>
      <w:r w:rsidRPr="00A61FA1">
        <w:rPr>
          <w:rFonts w:ascii="Verdana" w:hAnsi="Verdana"/>
          <w:color w:val="000000" w:themeColor="text1"/>
          <w:sz w:val="16"/>
          <w:szCs w:val="16"/>
          <w:lang w:val="pt-BR"/>
        </w:rPr>
        <w:t xml:space="preserve"> </w:t>
      </w:r>
      <w:r w:rsidRPr="00A61FA1">
        <w:rPr>
          <w:rFonts w:ascii="Verdana" w:hAnsi="Verdana"/>
          <w:color w:val="000000" w:themeColor="text1"/>
          <w:sz w:val="16"/>
          <w:szCs w:val="16"/>
          <w:lang w:val="pt-BR"/>
        </w:rPr>
        <w:tab/>
      </w:r>
      <w:r w:rsidRPr="00A61FA1">
        <w:rPr>
          <w:rFonts w:ascii="Verdana" w:hAnsi="Verdana"/>
          <w:i/>
          <w:color w:val="000000" w:themeColor="text1"/>
          <w:sz w:val="16"/>
          <w:szCs w:val="16"/>
          <w:lang w:val="pt-BR"/>
        </w:rPr>
        <w:t xml:space="preserve">Cfr. </w:t>
      </w:r>
      <w:r w:rsidRPr="00A61FA1">
        <w:rPr>
          <w:rFonts w:ascii="Verdana" w:hAnsi="Verdana" w:cs="Arial"/>
          <w:i/>
          <w:iCs/>
          <w:color w:val="000000" w:themeColor="text1"/>
          <w:sz w:val="16"/>
          <w:szCs w:val="16"/>
          <w:lang w:val="pt-BR"/>
        </w:rPr>
        <w:t xml:space="preserve">Caso Namat Aliyev Vs. </w:t>
      </w:r>
      <w:r w:rsidRPr="00141590">
        <w:rPr>
          <w:rFonts w:ascii="Verdana" w:hAnsi="Verdana" w:cs="Arial"/>
          <w:i/>
          <w:iCs/>
          <w:color w:val="000000" w:themeColor="text1"/>
          <w:sz w:val="16"/>
          <w:szCs w:val="16"/>
          <w:lang w:val="es-ES"/>
        </w:rPr>
        <w:t>Azerbaiyán</w:t>
      </w:r>
      <w:r w:rsidRPr="00141590">
        <w:rPr>
          <w:rFonts w:ascii="Verdana" w:hAnsi="Verdana" w:cs="Arial"/>
          <w:color w:val="000000" w:themeColor="text1"/>
          <w:sz w:val="16"/>
          <w:szCs w:val="16"/>
          <w:lang w:val="es-ES"/>
        </w:rPr>
        <w:t>, </w:t>
      </w:r>
      <w:r w:rsidRPr="00141590">
        <w:rPr>
          <w:rFonts w:ascii="Verdana" w:hAnsi="Verdana" w:cs="Arial"/>
          <w:i/>
          <w:color w:val="000000" w:themeColor="text1"/>
          <w:sz w:val="16"/>
          <w:szCs w:val="16"/>
          <w:lang w:val="es-ES"/>
        </w:rPr>
        <w:t>supra</w:t>
      </w:r>
      <w:r w:rsidRPr="00141590">
        <w:rPr>
          <w:rFonts w:ascii="Verdana" w:hAnsi="Verdana" w:cs="Arial"/>
          <w:color w:val="000000" w:themeColor="text1"/>
          <w:sz w:val="16"/>
          <w:szCs w:val="16"/>
          <w:lang w:val="es-ES"/>
        </w:rPr>
        <w:t xml:space="preserve">, párr. </w:t>
      </w:r>
      <w:r w:rsidRPr="00363551">
        <w:rPr>
          <w:rFonts w:ascii="Verdana" w:hAnsi="Verdana" w:cs="Arial"/>
          <w:color w:val="000000" w:themeColor="text1"/>
          <w:sz w:val="16"/>
          <w:szCs w:val="16"/>
          <w:lang w:val="pt-BR"/>
        </w:rPr>
        <w:t xml:space="preserve">77. </w:t>
      </w:r>
    </w:p>
  </w:footnote>
  <w:footnote w:id="59">
    <w:p w14:paraId="16302C1F" w14:textId="6E788C1C" w:rsidR="00CA403B" w:rsidRPr="00871EA2" w:rsidRDefault="00CA403B" w:rsidP="00871EA2">
      <w:pPr>
        <w:spacing w:after="0" w:line="240" w:lineRule="auto"/>
        <w:jc w:val="both"/>
        <w:rPr>
          <w:rFonts w:ascii="Verdana" w:hAnsi="Verdana" w:cs="Arial"/>
          <w:color w:val="000000" w:themeColor="text1"/>
          <w:sz w:val="16"/>
          <w:szCs w:val="16"/>
        </w:rPr>
      </w:pPr>
      <w:r w:rsidRPr="00871EA2">
        <w:rPr>
          <w:rStyle w:val="FootnoteReference"/>
          <w:rFonts w:ascii="Verdana" w:hAnsi="Verdana"/>
          <w:color w:val="000000" w:themeColor="text1"/>
          <w:sz w:val="16"/>
          <w:szCs w:val="16"/>
        </w:rPr>
        <w:footnoteRef/>
      </w:r>
      <w:r w:rsidRPr="00363551">
        <w:rPr>
          <w:rFonts w:ascii="Verdana" w:hAnsi="Verdana"/>
          <w:color w:val="000000" w:themeColor="text1"/>
          <w:sz w:val="16"/>
          <w:szCs w:val="16"/>
          <w:lang w:val="pt-BR"/>
        </w:rPr>
        <w:t xml:space="preserve"> </w:t>
      </w:r>
      <w:r w:rsidRPr="00363551">
        <w:rPr>
          <w:rFonts w:ascii="Verdana" w:hAnsi="Verdana"/>
          <w:color w:val="000000" w:themeColor="text1"/>
          <w:sz w:val="16"/>
          <w:szCs w:val="16"/>
          <w:lang w:val="pt-BR"/>
        </w:rPr>
        <w:tab/>
      </w:r>
      <w:r w:rsidRPr="00363551">
        <w:rPr>
          <w:rFonts w:ascii="Verdana" w:hAnsi="Verdana"/>
          <w:i/>
          <w:color w:val="000000" w:themeColor="text1"/>
          <w:sz w:val="16"/>
          <w:szCs w:val="16"/>
          <w:lang w:val="pt-BR"/>
        </w:rPr>
        <w:t xml:space="preserve">Cfr. </w:t>
      </w:r>
      <w:r w:rsidRPr="00363551">
        <w:rPr>
          <w:rFonts w:ascii="Verdana" w:hAnsi="Verdana" w:cs="Arial"/>
          <w:i/>
          <w:iCs/>
          <w:color w:val="000000" w:themeColor="text1"/>
          <w:sz w:val="16"/>
          <w:szCs w:val="16"/>
          <w:lang w:val="pt-BR"/>
        </w:rPr>
        <w:t xml:space="preserve">Caso Karimov Vs. </w:t>
      </w:r>
      <w:r w:rsidRPr="00141590">
        <w:rPr>
          <w:rFonts w:ascii="Verdana" w:hAnsi="Verdana" w:cs="Arial"/>
          <w:i/>
          <w:iCs/>
          <w:color w:val="000000" w:themeColor="text1"/>
          <w:sz w:val="16"/>
          <w:szCs w:val="16"/>
          <w:lang w:val="pt-BR"/>
        </w:rPr>
        <w:t>Azerbaiyán</w:t>
      </w:r>
      <w:r w:rsidRPr="00141590">
        <w:rPr>
          <w:rFonts w:ascii="Verdana" w:hAnsi="Verdana" w:cs="Arial"/>
          <w:color w:val="000000" w:themeColor="text1"/>
          <w:sz w:val="16"/>
          <w:szCs w:val="16"/>
          <w:lang w:val="pt-BR"/>
        </w:rPr>
        <w:t xml:space="preserve">, </w:t>
      </w:r>
      <w:r w:rsidRPr="00141590">
        <w:rPr>
          <w:rFonts w:ascii="Verdana" w:hAnsi="Verdana" w:cs="Arial"/>
          <w:i/>
          <w:color w:val="000000" w:themeColor="text1"/>
          <w:sz w:val="16"/>
          <w:szCs w:val="16"/>
          <w:lang w:val="pt-BR"/>
        </w:rPr>
        <w:t>supra</w:t>
      </w:r>
      <w:r w:rsidRPr="00141590">
        <w:rPr>
          <w:rFonts w:ascii="Verdana" w:hAnsi="Verdana" w:cs="Arial"/>
          <w:color w:val="000000" w:themeColor="text1"/>
          <w:sz w:val="16"/>
          <w:szCs w:val="16"/>
          <w:lang w:val="pt-BR"/>
        </w:rPr>
        <w:t xml:space="preserve">, párr. </w:t>
      </w:r>
      <w:r w:rsidRPr="00871EA2">
        <w:rPr>
          <w:rFonts w:ascii="Verdana" w:hAnsi="Verdana" w:cs="Arial"/>
          <w:color w:val="000000" w:themeColor="text1"/>
          <w:sz w:val="16"/>
          <w:szCs w:val="16"/>
        </w:rPr>
        <w:t>43.</w:t>
      </w:r>
    </w:p>
  </w:footnote>
  <w:footnote w:id="60">
    <w:p w14:paraId="54E5BC0C" w14:textId="35D892B4"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s="Arial"/>
          <w:color w:val="000000" w:themeColor="text1"/>
          <w:sz w:val="16"/>
          <w:szCs w:val="16"/>
        </w:rPr>
        <w:tab/>
      </w:r>
      <w:r w:rsidRPr="00871EA2">
        <w:rPr>
          <w:rFonts w:ascii="Verdana" w:hAnsi="Verdana" w:cs="Arial"/>
          <w:i/>
          <w:iCs/>
          <w:color w:val="000000" w:themeColor="text1"/>
          <w:sz w:val="16"/>
          <w:szCs w:val="16"/>
        </w:rPr>
        <w:t>Partido Comunista de Rusia y otros Vs. Rusia</w:t>
      </w:r>
      <w:r w:rsidRPr="00871EA2">
        <w:rPr>
          <w:rFonts w:ascii="Verdana" w:hAnsi="Verdana" w:cs="Arial"/>
          <w:color w:val="000000" w:themeColor="text1"/>
          <w:sz w:val="16"/>
          <w:szCs w:val="16"/>
        </w:rPr>
        <w:t xml:space="preserve">, 19 de junio de 2012, párr.  108. </w:t>
      </w:r>
    </w:p>
  </w:footnote>
  <w:footnote w:id="61">
    <w:p w14:paraId="22F84E8E" w14:textId="61DF8731"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Pr>
          <w:rFonts w:ascii="Verdana" w:hAnsi="Verdana"/>
          <w:i/>
          <w:color w:val="000000" w:themeColor="text1"/>
          <w:sz w:val="16"/>
          <w:szCs w:val="16"/>
        </w:rPr>
        <w:t xml:space="preserve">Cfr. </w:t>
      </w:r>
      <w:r w:rsidRPr="00871EA2">
        <w:rPr>
          <w:rFonts w:ascii="Verdana" w:hAnsi="Verdana"/>
          <w:i/>
          <w:iCs/>
          <w:color w:val="000000" w:themeColor="text1"/>
          <w:sz w:val="16"/>
          <w:szCs w:val="16"/>
        </w:rPr>
        <w:t xml:space="preserve">Caso </w:t>
      </w:r>
      <w:r w:rsidRPr="00871EA2">
        <w:rPr>
          <w:rFonts w:ascii="Verdana" w:hAnsi="Verdana" w:cs="Arial"/>
          <w:i/>
          <w:iCs/>
          <w:color w:val="000000" w:themeColor="text1"/>
          <w:sz w:val="16"/>
          <w:szCs w:val="16"/>
        </w:rPr>
        <w:t>Davydov y otros Vs.  Rusia</w:t>
      </w:r>
      <w:r w:rsidRPr="00871EA2">
        <w:rPr>
          <w:rFonts w:ascii="Verdana" w:hAnsi="Verdana" w:cs="Arial"/>
          <w:color w:val="000000" w:themeColor="text1"/>
          <w:sz w:val="16"/>
          <w:szCs w:val="16"/>
        </w:rPr>
        <w:t>, 30 de mayo de 2017,</w:t>
      </w:r>
      <w:bookmarkStart w:id="1" w:name="CtInterference"/>
      <w:r w:rsidRPr="00871EA2">
        <w:rPr>
          <w:rFonts w:ascii="Verdana" w:hAnsi="Verdana" w:cs="Arial"/>
          <w:color w:val="000000" w:themeColor="text1"/>
          <w:sz w:val="16"/>
          <w:szCs w:val="16"/>
        </w:rPr>
        <w:t xml:space="preserve"> párr. 285.</w:t>
      </w:r>
      <w:bookmarkEnd w:id="1"/>
      <w:r w:rsidRPr="00871EA2">
        <w:rPr>
          <w:rFonts w:ascii="Verdana" w:hAnsi="Verdana" w:cs="Arial"/>
          <w:color w:val="000000" w:themeColor="text1"/>
          <w:sz w:val="16"/>
          <w:szCs w:val="16"/>
        </w:rPr>
        <w:t> </w:t>
      </w:r>
      <w:r w:rsidRPr="00871EA2">
        <w:rPr>
          <w:rFonts w:ascii="Verdana" w:hAnsi="Verdana"/>
          <w:color w:val="000000" w:themeColor="text1"/>
          <w:sz w:val="16"/>
          <w:szCs w:val="16"/>
        </w:rPr>
        <w:t xml:space="preserve"> </w:t>
      </w:r>
    </w:p>
  </w:footnote>
  <w:footnote w:id="62">
    <w:p w14:paraId="7F730816" w14:textId="6CA9DDF8"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Pr>
          <w:rFonts w:ascii="Verdana" w:hAnsi="Verdana"/>
          <w:i/>
          <w:color w:val="000000" w:themeColor="text1"/>
          <w:sz w:val="16"/>
          <w:szCs w:val="16"/>
        </w:rPr>
        <w:t xml:space="preserve">Cfr. </w:t>
      </w:r>
      <w:r w:rsidRPr="00871EA2">
        <w:rPr>
          <w:rFonts w:ascii="Verdana" w:hAnsi="Verdana"/>
          <w:i/>
          <w:iCs/>
          <w:color w:val="000000" w:themeColor="text1"/>
          <w:sz w:val="16"/>
          <w:szCs w:val="16"/>
        </w:rPr>
        <w:t xml:space="preserve">Caso </w:t>
      </w:r>
      <w:r w:rsidRPr="00871EA2">
        <w:rPr>
          <w:rFonts w:ascii="Verdana" w:hAnsi="Verdana" w:cs="Arial"/>
          <w:i/>
          <w:iCs/>
          <w:color w:val="000000" w:themeColor="text1"/>
          <w:sz w:val="16"/>
          <w:szCs w:val="16"/>
        </w:rPr>
        <w:t>Hirst Vs. Reino</w:t>
      </w:r>
      <w:r w:rsidRPr="00871EA2">
        <w:rPr>
          <w:rFonts w:ascii="Verdana" w:hAnsi="Verdana" w:cs="Arial"/>
          <w:color w:val="000000" w:themeColor="text1"/>
          <w:sz w:val="16"/>
          <w:szCs w:val="16"/>
        </w:rPr>
        <w:t xml:space="preserve">, </w:t>
      </w:r>
      <w:r>
        <w:rPr>
          <w:rFonts w:ascii="Verdana" w:hAnsi="Verdana" w:cs="Arial"/>
          <w:i/>
          <w:color w:val="000000" w:themeColor="text1"/>
          <w:sz w:val="16"/>
          <w:szCs w:val="16"/>
        </w:rPr>
        <w:t>supra</w:t>
      </w:r>
      <w:r w:rsidRPr="00871EA2">
        <w:rPr>
          <w:rFonts w:ascii="Verdana" w:hAnsi="Verdana" w:cs="Arial"/>
          <w:color w:val="000000" w:themeColor="text1"/>
          <w:sz w:val="16"/>
          <w:szCs w:val="16"/>
        </w:rPr>
        <w:t>, párr. 62.</w:t>
      </w:r>
    </w:p>
  </w:footnote>
  <w:footnote w:id="63">
    <w:p w14:paraId="507B9F9B" w14:textId="657AD073"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ab/>
      </w:r>
      <w:r>
        <w:rPr>
          <w:rFonts w:ascii="Verdana" w:hAnsi="Verdana"/>
          <w:i/>
          <w:color w:val="000000" w:themeColor="text1"/>
          <w:sz w:val="16"/>
          <w:szCs w:val="16"/>
        </w:rPr>
        <w:t xml:space="preserve">Cfr. </w:t>
      </w:r>
      <w:r w:rsidRPr="00871EA2">
        <w:rPr>
          <w:rFonts w:ascii="Verdana" w:hAnsi="Verdana"/>
          <w:i/>
          <w:iCs/>
          <w:color w:val="000000" w:themeColor="text1"/>
          <w:sz w:val="16"/>
          <w:szCs w:val="16"/>
        </w:rPr>
        <w:t xml:space="preserve">Caso </w:t>
      </w:r>
      <w:r w:rsidRPr="00871EA2">
        <w:rPr>
          <w:rFonts w:ascii="Verdana" w:hAnsi="Verdana" w:cs="Arial"/>
          <w:i/>
          <w:iCs/>
          <w:color w:val="000000" w:themeColor="text1"/>
          <w:sz w:val="16"/>
          <w:szCs w:val="16"/>
        </w:rPr>
        <w:t>Davydov y otros Vs.  Rusia</w:t>
      </w:r>
      <w:r w:rsidRPr="00871EA2">
        <w:rPr>
          <w:rFonts w:ascii="Verdana" w:hAnsi="Verdana" w:cs="Arial"/>
          <w:color w:val="000000" w:themeColor="text1"/>
          <w:sz w:val="16"/>
          <w:szCs w:val="16"/>
        </w:rPr>
        <w:t xml:space="preserve">, </w:t>
      </w:r>
      <w:r>
        <w:rPr>
          <w:rFonts w:ascii="Verdana" w:hAnsi="Verdana" w:cs="Arial"/>
          <w:i/>
          <w:color w:val="000000" w:themeColor="text1"/>
          <w:sz w:val="16"/>
          <w:szCs w:val="16"/>
        </w:rPr>
        <w:t>supra</w:t>
      </w:r>
      <w:r w:rsidRPr="00871EA2">
        <w:rPr>
          <w:rFonts w:ascii="Verdana" w:hAnsi="Verdana" w:cs="Arial"/>
          <w:color w:val="000000" w:themeColor="text1"/>
          <w:sz w:val="16"/>
          <w:szCs w:val="16"/>
        </w:rPr>
        <w:t xml:space="preserve">, párr. 287. </w:t>
      </w:r>
    </w:p>
  </w:footnote>
  <w:footnote w:id="64">
    <w:p w14:paraId="673FADFE" w14:textId="61E75270"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Pr>
          <w:rFonts w:ascii="Verdana" w:hAnsi="Verdana"/>
          <w:i/>
          <w:color w:val="000000" w:themeColor="text1"/>
          <w:sz w:val="16"/>
          <w:szCs w:val="16"/>
        </w:rPr>
        <w:t xml:space="preserve">Cfr. </w:t>
      </w:r>
      <w:r w:rsidRPr="00871EA2">
        <w:rPr>
          <w:rFonts w:ascii="Verdana" w:hAnsi="Verdana"/>
          <w:i/>
          <w:iCs/>
          <w:color w:val="000000" w:themeColor="text1"/>
          <w:sz w:val="16"/>
          <w:szCs w:val="16"/>
        </w:rPr>
        <w:t xml:space="preserve">Caso </w:t>
      </w:r>
      <w:r w:rsidRPr="00871EA2">
        <w:rPr>
          <w:rFonts w:ascii="Verdana" w:hAnsi="Verdana" w:cs="Arial"/>
          <w:i/>
          <w:iCs/>
          <w:color w:val="000000" w:themeColor="text1"/>
          <w:sz w:val="16"/>
          <w:szCs w:val="16"/>
        </w:rPr>
        <w:t>Davydov y otros Vs.  Rusia</w:t>
      </w:r>
      <w:r w:rsidRPr="00871EA2">
        <w:rPr>
          <w:rFonts w:ascii="Verdana" w:hAnsi="Verdana" w:cs="Arial"/>
          <w:color w:val="000000" w:themeColor="text1"/>
          <w:sz w:val="16"/>
          <w:szCs w:val="16"/>
        </w:rPr>
        <w:t xml:space="preserve">, </w:t>
      </w:r>
      <w:r>
        <w:rPr>
          <w:rFonts w:ascii="Verdana" w:hAnsi="Verdana" w:cs="Arial"/>
          <w:i/>
          <w:color w:val="000000" w:themeColor="text1"/>
          <w:sz w:val="16"/>
          <w:szCs w:val="16"/>
        </w:rPr>
        <w:t>supra</w:t>
      </w:r>
      <w:r w:rsidRPr="00871EA2">
        <w:rPr>
          <w:rFonts w:ascii="Verdana" w:hAnsi="Verdana" w:cs="Arial"/>
          <w:color w:val="000000" w:themeColor="text1"/>
          <w:sz w:val="16"/>
          <w:szCs w:val="16"/>
        </w:rPr>
        <w:t>, párr. 287.</w:t>
      </w:r>
    </w:p>
  </w:footnote>
  <w:footnote w:id="65">
    <w:p w14:paraId="1102E4D5" w14:textId="635FAB3E"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Pr>
          <w:rFonts w:ascii="Verdana" w:hAnsi="Verdana"/>
          <w:i/>
          <w:color w:val="000000" w:themeColor="text1"/>
          <w:sz w:val="16"/>
          <w:szCs w:val="16"/>
        </w:rPr>
        <w:t xml:space="preserve">Cfr. </w:t>
      </w:r>
      <w:r w:rsidRPr="00871EA2">
        <w:rPr>
          <w:rFonts w:ascii="Verdana" w:hAnsi="Verdana"/>
          <w:i/>
          <w:iCs/>
          <w:color w:val="000000" w:themeColor="text1"/>
          <w:sz w:val="16"/>
          <w:szCs w:val="16"/>
        </w:rPr>
        <w:t xml:space="preserve">Caso </w:t>
      </w:r>
      <w:r w:rsidRPr="00871EA2">
        <w:rPr>
          <w:rFonts w:ascii="Verdana" w:hAnsi="Verdana" w:cs="Arial"/>
          <w:i/>
          <w:iCs/>
          <w:color w:val="000000" w:themeColor="text1"/>
          <w:sz w:val="16"/>
          <w:szCs w:val="16"/>
        </w:rPr>
        <w:t>Davydov y otros Vs.  Rusia</w:t>
      </w:r>
      <w:r w:rsidRPr="00871EA2">
        <w:rPr>
          <w:rFonts w:ascii="Verdana" w:hAnsi="Verdana" w:cs="Arial"/>
          <w:color w:val="000000" w:themeColor="text1"/>
          <w:sz w:val="16"/>
          <w:szCs w:val="16"/>
        </w:rPr>
        <w:t xml:space="preserve">, </w:t>
      </w:r>
      <w:r>
        <w:rPr>
          <w:rFonts w:ascii="Verdana" w:hAnsi="Verdana" w:cs="Arial"/>
          <w:i/>
          <w:color w:val="000000" w:themeColor="text1"/>
          <w:sz w:val="16"/>
          <w:szCs w:val="16"/>
        </w:rPr>
        <w:t>supra</w:t>
      </w:r>
      <w:r>
        <w:rPr>
          <w:rFonts w:ascii="Verdana" w:hAnsi="Verdana" w:cs="Arial"/>
          <w:color w:val="000000" w:themeColor="text1"/>
          <w:sz w:val="16"/>
          <w:szCs w:val="16"/>
        </w:rPr>
        <w:t>, párr. 288</w:t>
      </w:r>
      <w:r w:rsidRPr="00871EA2">
        <w:rPr>
          <w:rFonts w:ascii="Verdana" w:hAnsi="Verdana" w:cs="Arial"/>
          <w:color w:val="000000" w:themeColor="text1"/>
          <w:sz w:val="16"/>
          <w:szCs w:val="16"/>
        </w:rPr>
        <w:t>.</w:t>
      </w:r>
    </w:p>
  </w:footnote>
  <w:footnote w:id="66">
    <w:p w14:paraId="36754A71" w14:textId="492D31EE" w:rsidR="00CA403B" w:rsidRPr="00141590" w:rsidRDefault="00CA403B" w:rsidP="00871EA2">
      <w:pPr>
        <w:pStyle w:val="FootnoteText"/>
        <w:jc w:val="both"/>
        <w:rPr>
          <w:rFonts w:ascii="Verdana" w:hAnsi="Verdana"/>
          <w:color w:val="000000" w:themeColor="text1"/>
          <w:sz w:val="16"/>
          <w:szCs w:val="16"/>
          <w:lang w:val="pt-BR"/>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871EA2">
        <w:rPr>
          <w:rFonts w:ascii="Verdana" w:hAnsi="Verdana" w:cs="Arial"/>
          <w:i/>
          <w:iCs/>
          <w:color w:val="000000" w:themeColor="text1"/>
          <w:sz w:val="16"/>
          <w:szCs w:val="16"/>
        </w:rPr>
        <w:t xml:space="preserve">Partido Comunista de Rusia y otros Vs. </w:t>
      </w:r>
      <w:r w:rsidRPr="00141590">
        <w:rPr>
          <w:rFonts w:ascii="Verdana" w:hAnsi="Verdana" w:cs="Arial"/>
          <w:i/>
          <w:iCs/>
          <w:color w:val="000000" w:themeColor="text1"/>
          <w:sz w:val="16"/>
          <w:szCs w:val="16"/>
          <w:lang w:val="pt-BR"/>
        </w:rPr>
        <w:t>Rusia</w:t>
      </w:r>
      <w:r w:rsidRPr="00141590">
        <w:rPr>
          <w:rFonts w:ascii="Verdana" w:hAnsi="Verdana" w:cs="Arial"/>
          <w:color w:val="000000" w:themeColor="text1"/>
          <w:sz w:val="16"/>
          <w:szCs w:val="16"/>
          <w:lang w:val="pt-BR"/>
        </w:rPr>
        <w:t xml:space="preserve">, </w:t>
      </w:r>
      <w:r w:rsidRPr="00141590">
        <w:rPr>
          <w:rFonts w:ascii="Verdana" w:hAnsi="Verdana" w:cs="Arial"/>
          <w:i/>
          <w:color w:val="000000" w:themeColor="text1"/>
          <w:sz w:val="16"/>
          <w:szCs w:val="16"/>
          <w:lang w:val="pt-BR"/>
        </w:rPr>
        <w:t>supra</w:t>
      </w:r>
      <w:r w:rsidRPr="00141590">
        <w:rPr>
          <w:rFonts w:ascii="Verdana" w:hAnsi="Verdana" w:cs="Arial"/>
          <w:color w:val="000000" w:themeColor="text1"/>
          <w:sz w:val="16"/>
          <w:szCs w:val="16"/>
          <w:lang w:val="pt-BR"/>
        </w:rPr>
        <w:t xml:space="preserve">, párr. 51. </w:t>
      </w:r>
    </w:p>
  </w:footnote>
  <w:footnote w:id="67">
    <w:p w14:paraId="70F0D86B" w14:textId="1273FEF0"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olor w:val="000000" w:themeColor="text1"/>
          <w:sz w:val="16"/>
          <w:szCs w:val="16"/>
        </w:rPr>
        <w:footnoteRef/>
      </w:r>
      <w:r w:rsidRPr="00141590">
        <w:rPr>
          <w:rFonts w:ascii="Verdana" w:hAnsi="Verdana"/>
          <w:color w:val="000000" w:themeColor="text1"/>
          <w:sz w:val="16"/>
          <w:szCs w:val="16"/>
          <w:lang w:val="pt-BR"/>
        </w:rPr>
        <w:t xml:space="preserve"> </w:t>
      </w:r>
      <w:r w:rsidRPr="00141590">
        <w:rPr>
          <w:rFonts w:ascii="Verdana" w:hAnsi="Verdana" w:cs="Arial"/>
          <w:color w:val="000000" w:themeColor="text1"/>
          <w:sz w:val="16"/>
          <w:szCs w:val="16"/>
          <w:lang w:val="pt-BR"/>
        </w:rPr>
        <w:tab/>
      </w:r>
      <w:r w:rsidRPr="00141590">
        <w:rPr>
          <w:rFonts w:ascii="Verdana" w:hAnsi="Verdana" w:cs="Arial"/>
          <w:i/>
          <w:color w:val="000000" w:themeColor="text1"/>
          <w:sz w:val="16"/>
          <w:szCs w:val="16"/>
          <w:lang w:val="pt-BR"/>
        </w:rPr>
        <w:t xml:space="preserve">Cfr. </w:t>
      </w:r>
      <w:r w:rsidRPr="00141590">
        <w:rPr>
          <w:rFonts w:ascii="Verdana" w:hAnsi="Verdana" w:cs="Arial"/>
          <w:i/>
          <w:iCs/>
          <w:color w:val="000000" w:themeColor="text1"/>
          <w:sz w:val="16"/>
          <w:szCs w:val="16"/>
          <w:lang w:val="pt-BR"/>
        </w:rPr>
        <w:t xml:space="preserve">Caso Paksas Vs. </w:t>
      </w:r>
      <w:r w:rsidRPr="00871EA2">
        <w:rPr>
          <w:rFonts w:ascii="Verdana" w:hAnsi="Verdana" w:cs="Arial"/>
          <w:i/>
          <w:iCs/>
          <w:color w:val="000000" w:themeColor="text1"/>
          <w:sz w:val="16"/>
          <w:szCs w:val="16"/>
        </w:rPr>
        <w:t>Lituania</w:t>
      </w:r>
      <w:r w:rsidRPr="00871EA2">
        <w:rPr>
          <w:rFonts w:ascii="Verdana" w:hAnsi="Verdana" w:cs="Arial"/>
          <w:color w:val="000000" w:themeColor="text1"/>
          <w:sz w:val="16"/>
          <w:szCs w:val="16"/>
        </w:rPr>
        <w:t xml:space="preserve">, </w:t>
      </w:r>
      <w:r w:rsidRPr="00363551">
        <w:rPr>
          <w:rFonts w:ascii="Verdana" w:hAnsi="Verdana" w:cs="Arial"/>
          <w:i/>
          <w:color w:val="000000" w:themeColor="text1"/>
          <w:sz w:val="16"/>
          <w:szCs w:val="16"/>
        </w:rPr>
        <w:t>6 de enero de 2011</w:t>
      </w:r>
      <w:r w:rsidRPr="00871EA2">
        <w:rPr>
          <w:rFonts w:ascii="Verdana" w:hAnsi="Verdana" w:cs="Arial"/>
          <w:color w:val="000000" w:themeColor="text1"/>
          <w:sz w:val="16"/>
          <w:szCs w:val="16"/>
        </w:rPr>
        <w:t>, párr. 96. </w:t>
      </w:r>
    </w:p>
  </w:footnote>
  <w:footnote w:id="68">
    <w:p w14:paraId="682A6B95" w14:textId="6CCB029E" w:rsidR="00CA403B" w:rsidRPr="00141590" w:rsidRDefault="00CA403B" w:rsidP="00871EA2">
      <w:pPr>
        <w:pStyle w:val="FootnoteText"/>
        <w:jc w:val="both"/>
        <w:rPr>
          <w:rFonts w:ascii="Verdana" w:hAnsi="Verdana" w:cs="Arial"/>
          <w:color w:val="000000" w:themeColor="text1"/>
          <w:sz w:val="16"/>
          <w:szCs w:val="16"/>
          <w:u w:val="single"/>
          <w:lang w:val="pt-BR"/>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871EA2">
        <w:rPr>
          <w:rFonts w:ascii="Verdana" w:hAnsi="Verdana"/>
          <w:i/>
          <w:iCs/>
          <w:color w:val="000000" w:themeColor="text1"/>
          <w:sz w:val="16"/>
          <w:szCs w:val="16"/>
        </w:rPr>
        <w:t xml:space="preserve">Caso </w:t>
      </w:r>
      <w:r w:rsidRPr="00871EA2">
        <w:rPr>
          <w:rFonts w:ascii="Verdana" w:hAnsi="Verdana" w:cs="Arial"/>
          <w:i/>
          <w:iCs/>
          <w:color w:val="000000" w:themeColor="text1"/>
          <w:sz w:val="16"/>
          <w:szCs w:val="16"/>
        </w:rPr>
        <w:t xml:space="preserve">Mathieu-Mohin y Clerfayt Vs. </w:t>
      </w:r>
      <w:r w:rsidRPr="00141590">
        <w:rPr>
          <w:rFonts w:ascii="Verdana" w:hAnsi="Verdana" w:cs="Arial"/>
          <w:i/>
          <w:iCs/>
          <w:color w:val="000000" w:themeColor="text1"/>
          <w:sz w:val="16"/>
          <w:szCs w:val="16"/>
          <w:lang w:val="pt-BR"/>
        </w:rPr>
        <w:t>Bélgica</w:t>
      </w:r>
      <w:r w:rsidRPr="00141590">
        <w:rPr>
          <w:rFonts w:ascii="Verdana" w:hAnsi="Verdana" w:cs="Arial"/>
          <w:color w:val="000000" w:themeColor="text1"/>
          <w:sz w:val="16"/>
          <w:szCs w:val="16"/>
          <w:lang w:val="pt-BR"/>
        </w:rPr>
        <w:t xml:space="preserve">, </w:t>
      </w:r>
      <w:r w:rsidRPr="00141590">
        <w:rPr>
          <w:rFonts w:ascii="Verdana" w:hAnsi="Verdana" w:cs="Arial"/>
          <w:i/>
          <w:color w:val="000000" w:themeColor="text1"/>
          <w:sz w:val="16"/>
          <w:szCs w:val="16"/>
          <w:lang w:val="pt-BR"/>
        </w:rPr>
        <w:t>supra</w:t>
      </w:r>
      <w:r w:rsidRPr="00141590">
        <w:rPr>
          <w:rFonts w:ascii="Verdana" w:hAnsi="Verdana" w:cs="Arial"/>
          <w:color w:val="000000" w:themeColor="text1"/>
          <w:sz w:val="16"/>
          <w:szCs w:val="16"/>
          <w:lang w:val="pt-BR"/>
        </w:rPr>
        <w:t>, párr. 54.</w:t>
      </w:r>
      <w:r w:rsidRPr="00141590">
        <w:rPr>
          <w:rFonts w:ascii="Verdana" w:hAnsi="Verdana" w:cs="Arial"/>
          <w:color w:val="000000" w:themeColor="text1"/>
          <w:sz w:val="16"/>
          <w:szCs w:val="16"/>
          <w:u w:val="single"/>
          <w:lang w:val="pt-BR"/>
        </w:rPr>
        <w:t xml:space="preserve"> </w:t>
      </w:r>
    </w:p>
  </w:footnote>
  <w:footnote w:id="69">
    <w:p w14:paraId="20C8E2B0" w14:textId="525F95C2" w:rsidR="00CA403B" w:rsidRPr="00871EA2" w:rsidRDefault="00CA403B" w:rsidP="00871EA2">
      <w:pPr>
        <w:pStyle w:val="FootnoteText"/>
        <w:jc w:val="both"/>
        <w:rPr>
          <w:rFonts w:ascii="Verdana" w:hAnsi="Verdana" w:cs="Arial"/>
          <w:color w:val="000000" w:themeColor="text1"/>
          <w:sz w:val="16"/>
          <w:szCs w:val="16"/>
        </w:rPr>
      </w:pPr>
      <w:r w:rsidRPr="00871EA2">
        <w:rPr>
          <w:rStyle w:val="FootnoteReference"/>
          <w:rFonts w:ascii="Verdana" w:hAnsi="Verdana"/>
          <w:color w:val="000000" w:themeColor="text1"/>
          <w:sz w:val="16"/>
          <w:szCs w:val="16"/>
        </w:rPr>
        <w:footnoteRef/>
      </w:r>
      <w:r w:rsidRPr="00141590">
        <w:rPr>
          <w:rFonts w:ascii="Verdana" w:hAnsi="Verdana"/>
          <w:color w:val="000000" w:themeColor="text1"/>
          <w:sz w:val="16"/>
          <w:szCs w:val="16"/>
          <w:lang w:val="pt-BR"/>
        </w:rPr>
        <w:t xml:space="preserve"> </w:t>
      </w:r>
      <w:r w:rsidRPr="00141590">
        <w:rPr>
          <w:rFonts w:ascii="Verdana" w:hAnsi="Verdana" w:cs="Arial"/>
          <w:color w:val="000000" w:themeColor="text1"/>
          <w:sz w:val="16"/>
          <w:szCs w:val="16"/>
          <w:lang w:val="pt-BR"/>
        </w:rPr>
        <w:tab/>
      </w:r>
      <w:r w:rsidRPr="00141590">
        <w:rPr>
          <w:rFonts w:ascii="Verdana" w:hAnsi="Verdana" w:cs="Arial"/>
          <w:i/>
          <w:iCs/>
          <w:color w:val="000000" w:themeColor="text1"/>
          <w:sz w:val="16"/>
          <w:szCs w:val="16"/>
          <w:lang w:val="pt-BR"/>
        </w:rPr>
        <w:t xml:space="preserve">Caso Bowman Vs. </w:t>
      </w:r>
      <w:r w:rsidRPr="00871EA2">
        <w:rPr>
          <w:rFonts w:ascii="Verdana" w:hAnsi="Verdana" w:cs="Arial"/>
          <w:i/>
          <w:iCs/>
          <w:color w:val="000000" w:themeColor="text1"/>
          <w:sz w:val="16"/>
          <w:szCs w:val="16"/>
        </w:rPr>
        <w:t>Reino Unido</w:t>
      </w:r>
      <w:r w:rsidRPr="00871EA2">
        <w:rPr>
          <w:rFonts w:ascii="Verdana" w:hAnsi="Verdana" w:cs="Arial"/>
          <w:color w:val="000000" w:themeColor="text1"/>
          <w:sz w:val="16"/>
          <w:szCs w:val="16"/>
        </w:rPr>
        <w:t xml:space="preserve">, 19 de febrero de 1998, párr. 42. </w:t>
      </w:r>
    </w:p>
  </w:footnote>
  <w:footnote w:id="70">
    <w:p w14:paraId="72744D7E" w14:textId="6FED6D56" w:rsidR="00CA403B" w:rsidRPr="00141590" w:rsidRDefault="00CA403B" w:rsidP="00871EA2">
      <w:pPr>
        <w:pStyle w:val="FootnoteText"/>
        <w:jc w:val="both"/>
        <w:rPr>
          <w:rFonts w:ascii="Verdana" w:hAnsi="Verdana"/>
          <w:color w:val="000000" w:themeColor="text1"/>
          <w:sz w:val="16"/>
          <w:szCs w:val="16"/>
          <w:lang w:val="es-ES"/>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871EA2">
        <w:rPr>
          <w:rFonts w:ascii="Verdana" w:hAnsi="Verdana"/>
          <w:i/>
          <w:iCs/>
          <w:color w:val="000000" w:themeColor="text1"/>
          <w:sz w:val="16"/>
          <w:szCs w:val="16"/>
        </w:rPr>
        <w:t xml:space="preserve">Caso </w:t>
      </w:r>
      <w:r w:rsidRPr="00871EA2">
        <w:rPr>
          <w:rFonts w:ascii="Verdana" w:hAnsi="Verdana" w:cs="Arial"/>
          <w:i/>
          <w:iCs/>
          <w:color w:val="000000" w:themeColor="text1"/>
          <w:sz w:val="16"/>
          <w:szCs w:val="16"/>
        </w:rPr>
        <w:t xml:space="preserve">Yumak y Sadak Vs. Turquía, </w:t>
      </w:r>
      <w:r>
        <w:rPr>
          <w:rFonts w:ascii="Verdana" w:hAnsi="Verdana" w:cs="Arial"/>
          <w:i/>
          <w:color w:val="000000" w:themeColor="text1"/>
          <w:sz w:val="16"/>
          <w:szCs w:val="16"/>
        </w:rPr>
        <w:t>supra</w:t>
      </w:r>
      <w:r w:rsidRPr="00871EA2">
        <w:rPr>
          <w:rFonts w:ascii="Verdana" w:hAnsi="Verdana" w:cs="Arial"/>
          <w:color w:val="000000" w:themeColor="text1"/>
          <w:sz w:val="16"/>
          <w:szCs w:val="16"/>
        </w:rPr>
        <w:t xml:space="preserve">, párr. </w:t>
      </w:r>
      <w:r w:rsidRPr="00141590">
        <w:rPr>
          <w:rFonts w:ascii="Verdana" w:hAnsi="Verdana" w:cs="Arial"/>
          <w:color w:val="000000" w:themeColor="text1"/>
          <w:sz w:val="16"/>
          <w:szCs w:val="16"/>
          <w:lang w:val="es-ES"/>
        </w:rPr>
        <w:t xml:space="preserve">50. </w:t>
      </w:r>
    </w:p>
  </w:footnote>
  <w:footnote w:id="71">
    <w:p w14:paraId="7F1C90DE" w14:textId="7A80696D"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rPr>
        <w:footnoteRef/>
      </w:r>
      <w:r w:rsidRPr="00141590">
        <w:rPr>
          <w:rFonts w:ascii="Verdana" w:hAnsi="Verdana"/>
          <w:sz w:val="16"/>
          <w:szCs w:val="16"/>
          <w:lang w:val="es-ES"/>
        </w:rPr>
        <w:t xml:space="preserve"> </w:t>
      </w:r>
      <w:r w:rsidRPr="00141590">
        <w:rPr>
          <w:rFonts w:ascii="Verdana" w:hAnsi="Verdana"/>
          <w:sz w:val="16"/>
          <w:szCs w:val="16"/>
          <w:lang w:val="es-ES"/>
        </w:rPr>
        <w:tab/>
      </w:r>
      <w:r w:rsidRPr="00141590">
        <w:rPr>
          <w:rFonts w:ascii="Verdana" w:hAnsi="Verdana"/>
          <w:i/>
          <w:sz w:val="16"/>
          <w:szCs w:val="16"/>
          <w:lang w:val="es-ES"/>
        </w:rPr>
        <w:t>Cfr.</w:t>
      </w:r>
      <w:r w:rsidRPr="00141590">
        <w:rPr>
          <w:rFonts w:ascii="Verdana" w:hAnsi="Verdana"/>
          <w:i/>
          <w:spacing w:val="-10"/>
          <w:sz w:val="16"/>
          <w:szCs w:val="16"/>
          <w:lang w:val="es-ES"/>
        </w:rPr>
        <w:t xml:space="preserve"> </w:t>
      </w:r>
      <w:r w:rsidRPr="00141590">
        <w:rPr>
          <w:rFonts w:ascii="Verdana" w:hAnsi="Verdana"/>
          <w:i/>
          <w:sz w:val="16"/>
          <w:szCs w:val="16"/>
          <w:lang w:val="es-ES"/>
        </w:rPr>
        <w:t>Caso</w:t>
      </w:r>
      <w:r w:rsidRPr="00141590">
        <w:rPr>
          <w:rFonts w:ascii="Verdana" w:hAnsi="Verdana"/>
          <w:i/>
          <w:spacing w:val="-7"/>
          <w:sz w:val="16"/>
          <w:szCs w:val="16"/>
          <w:lang w:val="es-ES"/>
        </w:rPr>
        <w:t xml:space="preserve"> </w:t>
      </w:r>
      <w:r w:rsidRPr="00141590">
        <w:rPr>
          <w:rFonts w:ascii="Verdana" w:hAnsi="Verdana"/>
          <w:i/>
          <w:sz w:val="16"/>
          <w:szCs w:val="16"/>
          <w:lang w:val="es-ES"/>
        </w:rPr>
        <w:t>Yatama</w:t>
      </w:r>
      <w:r w:rsidRPr="00141590">
        <w:rPr>
          <w:rFonts w:ascii="Verdana" w:hAnsi="Verdana"/>
          <w:i/>
          <w:spacing w:val="-8"/>
          <w:sz w:val="16"/>
          <w:szCs w:val="16"/>
          <w:lang w:val="es-ES"/>
        </w:rPr>
        <w:t xml:space="preserve"> </w:t>
      </w:r>
      <w:r w:rsidRPr="00141590">
        <w:rPr>
          <w:rFonts w:ascii="Verdana" w:hAnsi="Verdana"/>
          <w:i/>
          <w:sz w:val="16"/>
          <w:szCs w:val="16"/>
          <w:lang w:val="es-ES"/>
        </w:rPr>
        <w:t>Vs.</w:t>
      </w:r>
      <w:r w:rsidRPr="00141590">
        <w:rPr>
          <w:rFonts w:ascii="Verdana" w:hAnsi="Verdana"/>
          <w:i/>
          <w:spacing w:val="-7"/>
          <w:sz w:val="16"/>
          <w:szCs w:val="16"/>
          <w:lang w:val="es-ES"/>
        </w:rPr>
        <w:t xml:space="preserve"> </w:t>
      </w:r>
      <w:r w:rsidRPr="00141590">
        <w:rPr>
          <w:rFonts w:ascii="Verdana" w:hAnsi="Verdana"/>
          <w:i/>
          <w:sz w:val="16"/>
          <w:szCs w:val="16"/>
          <w:lang w:val="es-ES"/>
        </w:rPr>
        <w:t>Nicaragua.</w:t>
      </w:r>
      <w:r w:rsidRPr="00141590">
        <w:rPr>
          <w:rFonts w:ascii="Verdana" w:hAnsi="Verdana"/>
          <w:i/>
          <w:spacing w:val="-8"/>
          <w:sz w:val="16"/>
          <w:szCs w:val="16"/>
          <w:lang w:val="es-ES"/>
        </w:rPr>
        <w:t xml:space="preserve"> </w:t>
      </w:r>
      <w:r w:rsidRPr="00871EA2">
        <w:rPr>
          <w:rFonts w:ascii="Verdana" w:hAnsi="Verdana"/>
          <w:i/>
          <w:sz w:val="16"/>
          <w:szCs w:val="16"/>
        </w:rPr>
        <w:t>Excepciones</w:t>
      </w:r>
      <w:r w:rsidRPr="00871EA2">
        <w:rPr>
          <w:rFonts w:ascii="Verdana" w:hAnsi="Verdana"/>
          <w:i/>
          <w:spacing w:val="-7"/>
          <w:sz w:val="16"/>
          <w:szCs w:val="16"/>
        </w:rPr>
        <w:t xml:space="preserve"> </w:t>
      </w:r>
      <w:r w:rsidRPr="00871EA2">
        <w:rPr>
          <w:rFonts w:ascii="Verdana" w:hAnsi="Verdana"/>
          <w:i/>
          <w:sz w:val="16"/>
          <w:szCs w:val="16"/>
        </w:rPr>
        <w:t>Preliminares,</w:t>
      </w:r>
      <w:r w:rsidRPr="00871EA2">
        <w:rPr>
          <w:rFonts w:ascii="Verdana" w:hAnsi="Verdana"/>
          <w:i/>
          <w:spacing w:val="-7"/>
          <w:sz w:val="16"/>
          <w:szCs w:val="16"/>
        </w:rPr>
        <w:t xml:space="preserve"> </w:t>
      </w:r>
      <w:r w:rsidRPr="00871EA2">
        <w:rPr>
          <w:rFonts w:ascii="Verdana" w:hAnsi="Verdana"/>
          <w:i/>
          <w:sz w:val="16"/>
          <w:szCs w:val="16"/>
        </w:rPr>
        <w:t>Fondo,</w:t>
      </w:r>
      <w:r w:rsidRPr="00871EA2">
        <w:rPr>
          <w:rFonts w:ascii="Verdana" w:hAnsi="Verdana"/>
          <w:i/>
          <w:spacing w:val="-6"/>
          <w:sz w:val="16"/>
          <w:szCs w:val="16"/>
        </w:rPr>
        <w:t xml:space="preserve"> </w:t>
      </w:r>
      <w:r w:rsidRPr="00871EA2">
        <w:rPr>
          <w:rFonts w:ascii="Verdana" w:hAnsi="Verdana"/>
          <w:i/>
          <w:sz w:val="16"/>
          <w:szCs w:val="16"/>
        </w:rPr>
        <w:t>Reparaciones</w:t>
      </w:r>
      <w:r w:rsidRPr="00871EA2">
        <w:rPr>
          <w:rFonts w:ascii="Verdana" w:hAnsi="Verdana"/>
          <w:i/>
          <w:spacing w:val="-7"/>
          <w:sz w:val="16"/>
          <w:szCs w:val="16"/>
        </w:rPr>
        <w:t xml:space="preserve"> </w:t>
      </w:r>
      <w:r w:rsidRPr="00871EA2">
        <w:rPr>
          <w:rFonts w:ascii="Verdana" w:hAnsi="Verdana"/>
          <w:i/>
          <w:sz w:val="16"/>
          <w:szCs w:val="16"/>
        </w:rPr>
        <w:t>y</w:t>
      </w:r>
      <w:r w:rsidRPr="00871EA2">
        <w:rPr>
          <w:rFonts w:ascii="Verdana" w:hAnsi="Verdana"/>
          <w:i/>
          <w:spacing w:val="-6"/>
          <w:sz w:val="16"/>
          <w:szCs w:val="16"/>
        </w:rPr>
        <w:t xml:space="preserve"> </w:t>
      </w:r>
      <w:r w:rsidRPr="00871EA2">
        <w:rPr>
          <w:rFonts w:ascii="Verdana" w:hAnsi="Verdana"/>
          <w:i/>
          <w:sz w:val="16"/>
          <w:szCs w:val="16"/>
        </w:rPr>
        <w:t>Costas.</w:t>
      </w:r>
      <w:r w:rsidRPr="00871EA2">
        <w:rPr>
          <w:rFonts w:ascii="Verdana" w:hAnsi="Verdana"/>
          <w:i/>
          <w:spacing w:val="-4"/>
          <w:sz w:val="16"/>
          <w:szCs w:val="16"/>
        </w:rPr>
        <w:t xml:space="preserve"> </w:t>
      </w:r>
      <w:r w:rsidRPr="00871EA2">
        <w:rPr>
          <w:rFonts w:ascii="Verdana" w:hAnsi="Verdana"/>
          <w:sz w:val="16"/>
          <w:szCs w:val="16"/>
        </w:rPr>
        <w:t>Sentencia</w:t>
      </w:r>
      <w:r w:rsidRPr="00871EA2">
        <w:rPr>
          <w:rFonts w:ascii="Verdana" w:hAnsi="Verdana"/>
          <w:spacing w:val="-7"/>
          <w:sz w:val="16"/>
          <w:szCs w:val="16"/>
        </w:rPr>
        <w:t xml:space="preserve"> </w:t>
      </w:r>
      <w:r w:rsidRPr="00871EA2">
        <w:rPr>
          <w:rFonts w:ascii="Verdana" w:hAnsi="Verdana"/>
          <w:sz w:val="16"/>
          <w:szCs w:val="16"/>
        </w:rPr>
        <w:t>de</w:t>
      </w:r>
      <w:r w:rsidRPr="00871EA2">
        <w:rPr>
          <w:rFonts w:ascii="Verdana" w:hAnsi="Verdana"/>
          <w:spacing w:val="-8"/>
          <w:sz w:val="16"/>
          <w:szCs w:val="16"/>
        </w:rPr>
        <w:t xml:space="preserve"> </w:t>
      </w:r>
      <w:r w:rsidRPr="00871EA2">
        <w:rPr>
          <w:rFonts w:ascii="Verdana" w:hAnsi="Verdana"/>
          <w:sz w:val="16"/>
          <w:szCs w:val="16"/>
        </w:rPr>
        <w:t>23</w:t>
      </w:r>
      <w:r w:rsidRPr="00871EA2">
        <w:rPr>
          <w:rFonts w:ascii="Verdana" w:hAnsi="Verdana"/>
          <w:spacing w:val="-7"/>
          <w:sz w:val="16"/>
          <w:szCs w:val="16"/>
        </w:rPr>
        <w:t xml:space="preserve"> </w:t>
      </w:r>
      <w:r w:rsidRPr="00871EA2">
        <w:rPr>
          <w:rFonts w:ascii="Verdana" w:hAnsi="Verdana"/>
          <w:sz w:val="16"/>
          <w:szCs w:val="16"/>
        </w:rPr>
        <w:t>de</w:t>
      </w:r>
      <w:r w:rsidRPr="00871EA2">
        <w:rPr>
          <w:rFonts w:ascii="Verdana" w:hAnsi="Verdana"/>
          <w:spacing w:val="-53"/>
          <w:sz w:val="16"/>
          <w:szCs w:val="16"/>
        </w:rPr>
        <w:t xml:space="preserve"> </w:t>
      </w:r>
      <w:r w:rsidRPr="00871EA2">
        <w:rPr>
          <w:rFonts w:ascii="Verdana" w:hAnsi="Verdana"/>
          <w:spacing w:val="-1"/>
          <w:sz w:val="16"/>
          <w:szCs w:val="16"/>
        </w:rPr>
        <w:t>junio</w:t>
      </w:r>
      <w:r w:rsidRPr="00871EA2">
        <w:rPr>
          <w:rFonts w:ascii="Verdana" w:hAnsi="Verdana"/>
          <w:spacing w:val="-15"/>
          <w:sz w:val="16"/>
          <w:szCs w:val="16"/>
        </w:rPr>
        <w:t xml:space="preserve"> </w:t>
      </w:r>
      <w:r w:rsidRPr="00871EA2">
        <w:rPr>
          <w:rFonts w:ascii="Verdana" w:hAnsi="Verdana"/>
          <w:spacing w:val="-1"/>
          <w:sz w:val="16"/>
          <w:szCs w:val="16"/>
        </w:rPr>
        <w:t>de</w:t>
      </w:r>
      <w:r w:rsidRPr="00871EA2">
        <w:rPr>
          <w:rFonts w:ascii="Verdana" w:hAnsi="Verdana"/>
          <w:spacing w:val="-15"/>
          <w:sz w:val="16"/>
          <w:szCs w:val="16"/>
        </w:rPr>
        <w:t xml:space="preserve"> </w:t>
      </w:r>
      <w:r w:rsidRPr="00871EA2">
        <w:rPr>
          <w:rFonts w:ascii="Verdana" w:hAnsi="Verdana"/>
          <w:spacing w:val="-1"/>
          <w:sz w:val="16"/>
          <w:szCs w:val="16"/>
        </w:rPr>
        <w:t>2005.</w:t>
      </w:r>
      <w:r w:rsidRPr="00871EA2">
        <w:rPr>
          <w:rFonts w:ascii="Verdana" w:hAnsi="Verdana"/>
          <w:spacing w:val="-15"/>
          <w:sz w:val="16"/>
          <w:szCs w:val="16"/>
        </w:rPr>
        <w:t xml:space="preserve"> </w:t>
      </w:r>
      <w:r w:rsidRPr="00871EA2">
        <w:rPr>
          <w:rFonts w:ascii="Verdana" w:hAnsi="Verdana"/>
          <w:spacing w:val="-1"/>
          <w:sz w:val="16"/>
          <w:szCs w:val="16"/>
        </w:rPr>
        <w:t>Serie</w:t>
      </w:r>
      <w:r w:rsidRPr="00871EA2">
        <w:rPr>
          <w:rFonts w:ascii="Verdana" w:hAnsi="Verdana"/>
          <w:spacing w:val="-15"/>
          <w:sz w:val="16"/>
          <w:szCs w:val="16"/>
        </w:rPr>
        <w:t xml:space="preserve"> </w:t>
      </w:r>
      <w:r w:rsidRPr="00871EA2">
        <w:rPr>
          <w:rFonts w:ascii="Verdana" w:hAnsi="Verdana"/>
          <w:spacing w:val="-1"/>
          <w:sz w:val="16"/>
          <w:szCs w:val="16"/>
        </w:rPr>
        <w:t>C</w:t>
      </w:r>
      <w:r w:rsidRPr="00871EA2">
        <w:rPr>
          <w:rFonts w:ascii="Verdana" w:hAnsi="Verdana"/>
          <w:spacing w:val="-13"/>
          <w:sz w:val="16"/>
          <w:szCs w:val="16"/>
        </w:rPr>
        <w:t xml:space="preserve"> </w:t>
      </w:r>
      <w:r w:rsidRPr="00871EA2">
        <w:rPr>
          <w:rFonts w:ascii="Verdana" w:hAnsi="Verdana"/>
          <w:spacing w:val="-1"/>
          <w:sz w:val="16"/>
          <w:szCs w:val="16"/>
        </w:rPr>
        <w:t>No.</w:t>
      </w:r>
      <w:r w:rsidRPr="00871EA2">
        <w:rPr>
          <w:rFonts w:ascii="Verdana" w:hAnsi="Verdana"/>
          <w:spacing w:val="-15"/>
          <w:sz w:val="16"/>
          <w:szCs w:val="16"/>
        </w:rPr>
        <w:t xml:space="preserve"> </w:t>
      </w:r>
      <w:r w:rsidRPr="00871EA2">
        <w:rPr>
          <w:rFonts w:ascii="Verdana" w:hAnsi="Verdana"/>
          <w:spacing w:val="-1"/>
          <w:sz w:val="16"/>
          <w:szCs w:val="16"/>
        </w:rPr>
        <w:t>127,</w:t>
      </w:r>
      <w:r w:rsidRPr="00871EA2">
        <w:rPr>
          <w:rFonts w:ascii="Verdana" w:hAnsi="Verdana"/>
          <w:spacing w:val="-8"/>
          <w:sz w:val="16"/>
          <w:szCs w:val="16"/>
        </w:rPr>
        <w:t xml:space="preserve"> </w:t>
      </w:r>
      <w:r w:rsidRPr="00871EA2">
        <w:rPr>
          <w:rFonts w:ascii="Verdana" w:hAnsi="Verdana"/>
          <w:spacing w:val="-1"/>
          <w:sz w:val="16"/>
          <w:szCs w:val="16"/>
        </w:rPr>
        <w:t>párr.</w:t>
      </w:r>
      <w:r w:rsidRPr="00871EA2">
        <w:rPr>
          <w:rFonts w:ascii="Verdana" w:hAnsi="Verdana"/>
          <w:spacing w:val="-8"/>
          <w:sz w:val="16"/>
          <w:szCs w:val="16"/>
        </w:rPr>
        <w:t xml:space="preserve"> </w:t>
      </w:r>
      <w:r w:rsidRPr="00871EA2">
        <w:rPr>
          <w:rFonts w:ascii="Verdana" w:hAnsi="Verdana"/>
          <w:spacing w:val="-1"/>
          <w:sz w:val="16"/>
          <w:szCs w:val="16"/>
        </w:rPr>
        <w:t>19</w:t>
      </w:r>
      <w:r>
        <w:rPr>
          <w:rFonts w:ascii="Verdana" w:hAnsi="Verdana"/>
          <w:spacing w:val="-1"/>
          <w:sz w:val="16"/>
          <w:szCs w:val="16"/>
        </w:rPr>
        <w:t>6</w:t>
      </w:r>
      <w:r w:rsidRPr="00871EA2">
        <w:rPr>
          <w:rFonts w:ascii="Verdana" w:hAnsi="Verdana"/>
          <w:spacing w:val="-1"/>
          <w:sz w:val="16"/>
          <w:szCs w:val="16"/>
        </w:rPr>
        <w:t xml:space="preserve">. </w:t>
      </w:r>
    </w:p>
  </w:footnote>
  <w:footnote w:id="72">
    <w:p w14:paraId="3DBB262B" w14:textId="5BDBAA06"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rPr>
        <w:tab/>
      </w:r>
      <w:r w:rsidRPr="00141590">
        <w:rPr>
          <w:rFonts w:ascii="Verdana" w:hAnsi="Verdana"/>
          <w:i/>
          <w:sz w:val="16"/>
          <w:szCs w:val="16"/>
          <w:lang w:val="es-ES"/>
        </w:rPr>
        <w:t>Cfr.</w:t>
      </w:r>
      <w:r w:rsidRPr="00141590">
        <w:rPr>
          <w:rFonts w:ascii="Verdana" w:hAnsi="Verdana"/>
          <w:i/>
          <w:spacing w:val="-10"/>
          <w:sz w:val="16"/>
          <w:szCs w:val="16"/>
          <w:lang w:val="es-ES"/>
        </w:rPr>
        <w:t xml:space="preserve"> </w:t>
      </w:r>
      <w:r w:rsidRPr="00141590">
        <w:rPr>
          <w:rFonts w:ascii="Verdana" w:hAnsi="Verdana"/>
          <w:i/>
          <w:sz w:val="16"/>
          <w:szCs w:val="16"/>
          <w:lang w:val="es-ES"/>
        </w:rPr>
        <w:t>Caso</w:t>
      </w:r>
      <w:r w:rsidRPr="00141590">
        <w:rPr>
          <w:rFonts w:ascii="Verdana" w:hAnsi="Verdana"/>
          <w:i/>
          <w:spacing w:val="-7"/>
          <w:sz w:val="16"/>
          <w:szCs w:val="16"/>
          <w:lang w:val="es-ES"/>
        </w:rPr>
        <w:t xml:space="preserve"> </w:t>
      </w:r>
      <w:r w:rsidRPr="00141590">
        <w:rPr>
          <w:rFonts w:ascii="Verdana" w:hAnsi="Verdana"/>
          <w:i/>
          <w:sz w:val="16"/>
          <w:szCs w:val="16"/>
          <w:lang w:val="es-ES"/>
        </w:rPr>
        <w:t>Yatama</w:t>
      </w:r>
      <w:r w:rsidRPr="00141590">
        <w:rPr>
          <w:rFonts w:ascii="Verdana" w:hAnsi="Verdana"/>
          <w:i/>
          <w:spacing w:val="-8"/>
          <w:sz w:val="16"/>
          <w:szCs w:val="16"/>
          <w:lang w:val="es-ES"/>
        </w:rPr>
        <w:t xml:space="preserve"> </w:t>
      </w:r>
      <w:r w:rsidRPr="00141590">
        <w:rPr>
          <w:rFonts w:ascii="Verdana" w:hAnsi="Verdana"/>
          <w:i/>
          <w:sz w:val="16"/>
          <w:szCs w:val="16"/>
          <w:lang w:val="es-ES"/>
        </w:rPr>
        <w:t>Vs.</w:t>
      </w:r>
      <w:r w:rsidRPr="00141590">
        <w:rPr>
          <w:rFonts w:ascii="Verdana" w:hAnsi="Verdana"/>
          <w:i/>
          <w:spacing w:val="-7"/>
          <w:sz w:val="16"/>
          <w:szCs w:val="16"/>
          <w:lang w:val="es-ES"/>
        </w:rPr>
        <w:t xml:space="preserve"> </w:t>
      </w:r>
      <w:r w:rsidRPr="00141590">
        <w:rPr>
          <w:rFonts w:ascii="Verdana" w:hAnsi="Verdana"/>
          <w:i/>
          <w:sz w:val="16"/>
          <w:szCs w:val="16"/>
          <w:lang w:val="es-ES"/>
        </w:rPr>
        <w:t>Nicaragua, supra</w:t>
      </w:r>
      <w:r w:rsidRPr="00871EA2">
        <w:rPr>
          <w:rFonts w:ascii="Verdana" w:hAnsi="Verdana"/>
          <w:i/>
          <w:spacing w:val="-2"/>
          <w:sz w:val="16"/>
          <w:szCs w:val="16"/>
        </w:rPr>
        <w:t xml:space="preserve">, </w:t>
      </w:r>
      <w:r w:rsidRPr="00871EA2">
        <w:rPr>
          <w:rFonts w:ascii="Verdana" w:hAnsi="Verdana"/>
          <w:spacing w:val="-2"/>
          <w:sz w:val="16"/>
          <w:szCs w:val="16"/>
        </w:rPr>
        <w:t>párr.</w:t>
      </w:r>
      <w:r w:rsidRPr="00871EA2">
        <w:rPr>
          <w:rFonts w:ascii="Verdana" w:hAnsi="Verdana"/>
          <w:spacing w:val="-11"/>
          <w:sz w:val="16"/>
          <w:szCs w:val="16"/>
        </w:rPr>
        <w:t xml:space="preserve"> </w:t>
      </w:r>
      <w:r w:rsidRPr="00871EA2">
        <w:rPr>
          <w:rFonts w:ascii="Verdana" w:hAnsi="Verdana"/>
          <w:spacing w:val="-2"/>
          <w:sz w:val="16"/>
          <w:szCs w:val="16"/>
        </w:rPr>
        <w:t>19</w:t>
      </w:r>
      <w:r>
        <w:rPr>
          <w:rFonts w:ascii="Verdana" w:hAnsi="Verdana"/>
          <w:spacing w:val="-2"/>
          <w:sz w:val="16"/>
          <w:szCs w:val="16"/>
        </w:rPr>
        <w:t xml:space="preserve">5. </w:t>
      </w:r>
    </w:p>
  </w:footnote>
  <w:footnote w:id="73">
    <w:p w14:paraId="7C5650E6" w14:textId="3082FF62" w:rsidR="00CA403B" w:rsidRPr="00363551" w:rsidRDefault="00CA403B" w:rsidP="00871EA2">
      <w:pPr>
        <w:tabs>
          <w:tab w:val="left" w:pos="685"/>
        </w:tabs>
        <w:spacing w:after="0" w:line="240" w:lineRule="auto"/>
        <w:ind w:right="119"/>
        <w:jc w:val="both"/>
        <w:rPr>
          <w:rFonts w:ascii="Verdana" w:hAnsi="Verdana"/>
          <w:sz w:val="16"/>
          <w:szCs w:val="16"/>
          <w:lang w:val="es-ES"/>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rPr>
        <w:tab/>
      </w:r>
      <w:r w:rsidRPr="00363551">
        <w:rPr>
          <w:rFonts w:ascii="Verdana" w:hAnsi="Verdana"/>
          <w:i/>
          <w:sz w:val="16"/>
          <w:szCs w:val="16"/>
          <w:lang w:val="es-ES"/>
        </w:rPr>
        <w:t>Cfr.</w:t>
      </w:r>
      <w:r w:rsidRPr="00363551">
        <w:rPr>
          <w:rFonts w:ascii="Verdana" w:hAnsi="Verdana"/>
          <w:i/>
          <w:spacing w:val="-10"/>
          <w:sz w:val="16"/>
          <w:szCs w:val="16"/>
          <w:lang w:val="es-ES"/>
        </w:rPr>
        <w:t xml:space="preserve"> </w:t>
      </w:r>
      <w:r w:rsidRPr="00871EA2">
        <w:rPr>
          <w:rFonts w:ascii="Verdana" w:hAnsi="Verdana"/>
          <w:i/>
          <w:sz w:val="16"/>
          <w:szCs w:val="16"/>
        </w:rPr>
        <w:t>Caso</w:t>
      </w:r>
      <w:r w:rsidRPr="00871EA2">
        <w:rPr>
          <w:rFonts w:ascii="Verdana" w:hAnsi="Verdana"/>
          <w:i/>
          <w:spacing w:val="39"/>
          <w:sz w:val="16"/>
          <w:szCs w:val="16"/>
        </w:rPr>
        <w:t xml:space="preserve"> </w:t>
      </w:r>
      <w:r w:rsidRPr="00871EA2">
        <w:rPr>
          <w:rFonts w:ascii="Verdana" w:hAnsi="Verdana"/>
          <w:i/>
          <w:sz w:val="16"/>
          <w:szCs w:val="16"/>
        </w:rPr>
        <w:t>Castañeda</w:t>
      </w:r>
      <w:r w:rsidRPr="00871EA2">
        <w:rPr>
          <w:rFonts w:ascii="Verdana" w:hAnsi="Verdana"/>
          <w:i/>
          <w:spacing w:val="38"/>
          <w:sz w:val="16"/>
          <w:szCs w:val="16"/>
        </w:rPr>
        <w:t xml:space="preserve"> </w:t>
      </w:r>
      <w:r w:rsidRPr="00871EA2">
        <w:rPr>
          <w:rFonts w:ascii="Verdana" w:hAnsi="Verdana"/>
          <w:i/>
          <w:sz w:val="16"/>
          <w:szCs w:val="16"/>
        </w:rPr>
        <w:t>Gutman</w:t>
      </w:r>
      <w:r w:rsidRPr="00871EA2">
        <w:rPr>
          <w:rFonts w:ascii="Verdana" w:hAnsi="Verdana"/>
          <w:i/>
          <w:spacing w:val="39"/>
          <w:sz w:val="16"/>
          <w:szCs w:val="16"/>
        </w:rPr>
        <w:t xml:space="preserve"> </w:t>
      </w:r>
      <w:r w:rsidRPr="00871EA2">
        <w:rPr>
          <w:rFonts w:ascii="Verdana" w:hAnsi="Verdana"/>
          <w:i/>
          <w:sz w:val="16"/>
          <w:szCs w:val="16"/>
        </w:rPr>
        <w:t>Vs.</w:t>
      </w:r>
      <w:r w:rsidRPr="00871EA2">
        <w:rPr>
          <w:rFonts w:ascii="Verdana" w:hAnsi="Verdana"/>
          <w:i/>
          <w:spacing w:val="39"/>
          <w:sz w:val="16"/>
          <w:szCs w:val="16"/>
        </w:rPr>
        <w:t xml:space="preserve"> </w:t>
      </w:r>
      <w:r w:rsidRPr="00871EA2">
        <w:rPr>
          <w:rFonts w:ascii="Verdana" w:hAnsi="Verdana"/>
          <w:i/>
          <w:sz w:val="16"/>
          <w:szCs w:val="16"/>
        </w:rPr>
        <w:t>México.</w:t>
      </w:r>
      <w:r w:rsidRPr="00871EA2">
        <w:rPr>
          <w:rFonts w:ascii="Verdana" w:hAnsi="Verdana"/>
          <w:i/>
          <w:spacing w:val="38"/>
          <w:sz w:val="16"/>
          <w:szCs w:val="16"/>
        </w:rPr>
        <w:t xml:space="preserve"> </w:t>
      </w:r>
      <w:r w:rsidRPr="00871EA2">
        <w:rPr>
          <w:rFonts w:ascii="Verdana" w:hAnsi="Verdana"/>
          <w:i/>
          <w:sz w:val="16"/>
          <w:szCs w:val="16"/>
        </w:rPr>
        <w:t>Excepciones</w:t>
      </w:r>
      <w:r>
        <w:rPr>
          <w:rFonts w:ascii="Verdana" w:hAnsi="Verdana"/>
          <w:i/>
          <w:sz w:val="16"/>
          <w:szCs w:val="16"/>
        </w:rPr>
        <w:t xml:space="preserve"> </w:t>
      </w:r>
      <w:r w:rsidRPr="00871EA2">
        <w:rPr>
          <w:rFonts w:ascii="Verdana" w:hAnsi="Verdana"/>
          <w:i/>
          <w:sz w:val="16"/>
          <w:szCs w:val="16"/>
        </w:rPr>
        <w:t>Preliminares,</w:t>
      </w:r>
      <w:r w:rsidRPr="00871EA2">
        <w:rPr>
          <w:rFonts w:ascii="Verdana" w:hAnsi="Verdana"/>
          <w:i/>
          <w:spacing w:val="-2"/>
          <w:sz w:val="16"/>
          <w:szCs w:val="16"/>
        </w:rPr>
        <w:t xml:space="preserve"> </w:t>
      </w:r>
      <w:r w:rsidRPr="00871EA2">
        <w:rPr>
          <w:rFonts w:ascii="Verdana" w:hAnsi="Verdana"/>
          <w:i/>
          <w:sz w:val="16"/>
          <w:szCs w:val="16"/>
        </w:rPr>
        <w:t>Fondo,</w:t>
      </w:r>
      <w:r w:rsidRPr="00871EA2">
        <w:rPr>
          <w:rFonts w:ascii="Verdana" w:hAnsi="Verdana"/>
          <w:i/>
          <w:spacing w:val="-1"/>
          <w:sz w:val="16"/>
          <w:szCs w:val="16"/>
        </w:rPr>
        <w:t xml:space="preserve"> </w:t>
      </w:r>
      <w:r w:rsidRPr="00871EA2">
        <w:rPr>
          <w:rFonts w:ascii="Verdana" w:hAnsi="Verdana"/>
          <w:i/>
          <w:sz w:val="16"/>
          <w:szCs w:val="16"/>
        </w:rPr>
        <w:t>Reparaciones</w:t>
      </w:r>
      <w:r w:rsidRPr="00871EA2">
        <w:rPr>
          <w:rFonts w:ascii="Verdana" w:hAnsi="Verdana"/>
          <w:i/>
          <w:spacing w:val="-2"/>
          <w:sz w:val="16"/>
          <w:szCs w:val="16"/>
        </w:rPr>
        <w:t xml:space="preserve"> </w:t>
      </w:r>
      <w:r w:rsidRPr="00871EA2">
        <w:rPr>
          <w:rFonts w:ascii="Verdana" w:hAnsi="Verdana"/>
          <w:i/>
          <w:sz w:val="16"/>
          <w:szCs w:val="16"/>
        </w:rPr>
        <w:t>y</w:t>
      </w:r>
      <w:r w:rsidRPr="00871EA2">
        <w:rPr>
          <w:rFonts w:ascii="Verdana" w:hAnsi="Verdana"/>
          <w:i/>
          <w:spacing w:val="-2"/>
          <w:sz w:val="16"/>
          <w:szCs w:val="16"/>
        </w:rPr>
        <w:t xml:space="preserve"> </w:t>
      </w:r>
      <w:r w:rsidRPr="00871EA2">
        <w:rPr>
          <w:rFonts w:ascii="Verdana" w:hAnsi="Verdana"/>
          <w:i/>
          <w:sz w:val="16"/>
          <w:szCs w:val="16"/>
        </w:rPr>
        <w:t>Costas</w:t>
      </w:r>
      <w:r w:rsidRPr="00871EA2">
        <w:rPr>
          <w:rFonts w:ascii="Verdana" w:hAnsi="Verdana"/>
          <w:sz w:val="16"/>
          <w:szCs w:val="16"/>
        </w:rPr>
        <w:t>.</w:t>
      </w:r>
      <w:r w:rsidRPr="00871EA2">
        <w:rPr>
          <w:rFonts w:ascii="Verdana" w:hAnsi="Verdana"/>
          <w:spacing w:val="-1"/>
          <w:sz w:val="16"/>
          <w:szCs w:val="16"/>
        </w:rPr>
        <w:t xml:space="preserve"> </w:t>
      </w:r>
      <w:r w:rsidRPr="00363551">
        <w:rPr>
          <w:rFonts w:ascii="Verdana" w:hAnsi="Verdana"/>
          <w:sz w:val="16"/>
          <w:szCs w:val="16"/>
          <w:lang w:val="es-ES"/>
        </w:rPr>
        <w:t>Sentencia</w:t>
      </w:r>
      <w:r w:rsidRPr="00363551">
        <w:rPr>
          <w:rFonts w:ascii="Verdana" w:hAnsi="Verdana"/>
          <w:spacing w:val="-1"/>
          <w:sz w:val="16"/>
          <w:szCs w:val="16"/>
          <w:lang w:val="es-ES"/>
        </w:rPr>
        <w:t xml:space="preserve"> </w:t>
      </w:r>
      <w:r w:rsidRPr="00363551">
        <w:rPr>
          <w:rFonts w:ascii="Verdana" w:hAnsi="Verdana"/>
          <w:sz w:val="16"/>
          <w:szCs w:val="16"/>
          <w:lang w:val="es-ES"/>
        </w:rPr>
        <w:t>de</w:t>
      </w:r>
      <w:r w:rsidRPr="00363551">
        <w:rPr>
          <w:rFonts w:ascii="Verdana" w:hAnsi="Verdana"/>
          <w:spacing w:val="-1"/>
          <w:sz w:val="16"/>
          <w:szCs w:val="16"/>
          <w:lang w:val="es-ES"/>
        </w:rPr>
        <w:t xml:space="preserve"> </w:t>
      </w:r>
      <w:r w:rsidRPr="00363551">
        <w:rPr>
          <w:rFonts w:ascii="Verdana" w:hAnsi="Verdana"/>
          <w:sz w:val="16"/>
          <w:szCs w:val="16"/>
          <w:lang w:val="es-ES"/>
        </w:rPr>
        <w:t>6</w:t>
      </w:r>
      <w:r w:rsidRPr="00363551">
        <w:rPr>
          <w:rFonts w:ascii="Verdana" w:hAnsi="Verdana"/>
          <w:spacing w:val="-1"/>
          <w:sz w:val="16"/>
          <w:szCs w:val="16"/>
          <w:lang w:val="es-ES"/>
        </w:rPr>
        <w:t xml:space="preserve"> </w:t>
      </w:r>
      <w:r w:rsidRPr="00363551">
        <w:rPr>
          <w:rFonts w:ascii="Verdana" w:hAnsi="Verdana"/>
          <w:sz w:val="16"/>
          <w:szCs w:val="16"/>
          <w:lang w:val="es-ES"/>
        </w:rPr>
        <w:t>de</w:t>
      </w:r>
      <w:r w:rsidRPr="00363551">
        <w:rPr>
          <w:rFonts w:ascii="Verdana" w:hAnsi="Verdana"/>
          <w:spacing w:val="-2"/>
          <w:sz w:val="16"/>
          <w:szCs w:val="16"/>
          <w:lang w:val="es-ES"/>
        </w:rPr>
        <w:t xml:space="preserve"> </w:t>
      </w:r>
      <w:r w:rsidRPr="00363551">
        <w:rPr>
          <w:rFonts w:ascii="Verdana" w:hAnsi="Verdana"/>
          <w:sz w:val="16"/>
          <w:szCs w:val="16"/>
          <w:lang w:val="es-ES"/>
        </w:rPr>
        <w:t>agosto</w:t>
      </w:r>
      <w:r w:rsidRPr="00363551">
        <w:rPr>
          <w:rFonts w:ascii="Verdana" w:hAnsi="Verdana"/>
          <w:spacing w:val="-1"/>
          <w:sz w:val="16"/>
          <w:szCs w:val="16"/>
          <w:lang w:val="es-ES"/>
        </w:rPr>
        <w:t xml:space="preserve"> </w:t>
      </w:r>
      <w:r w:rsidRPr="00363551">
        <w:rPr>
          <w:rFonts w:ascii="Verdana" w:hAnsi="Verdana"/>
          <w:sz w:val="16"/>
          <w:szCs w:val="16"/>
          <w:lang w:val="es-ES"/>
        </w:rPr>
        <w:t>de</w:t>
      </w:r>
      <w:r w:rsidRPr="00363551">
        <w:rPr>
          <w:rFonts w:ascii="Verdana" w:hAnsi="Verdana"/>
          <w:spacing w:val="-1"/>
          <w:sz w:val="16"/>
          <w:szCs w:val="16"/>
          <w:lang w:val="es-ES"/>
        </w:rPr>
        <w:t xml:space="preserve"> </w:t>
      </w:r>
      <w:r w:rsidRPr="00363551">
        <w:rPr>
          <w:rFonts w:ascii="Verdana" w:hAnsi="Verdana"/>
          <w:sz w:val="16"/>
          <w:szCs w:val="16"/>
          <w:lang w:val="es-ES"/>
        </w:rPr>
        <w:t>2008.</w:t>
      </w:r>
      <w:r w:rsidRPr="00363551">
        <w:rPr>
          <w:rFonts w:ascii="Verdana" w:hAnsi="Verdana"/>
          <w:spacing w:val="-2"/>
          <w:sz w:val="16"/>
          <w:szCs w:val="16"/>
          <w:lang w:val="es-ES"/>
        </w:rPr>
        <w:t xml:space="preserve"> </w:t>
      </w:r>
      <w:r w:rsidRPr="00363551">
        <w:rPr>
          <w:rFonts w:ascii="Verdana" w:hAnsi="Verdana"/>
          <w:sz w:val="16"/>
          <w:szCs w:val="16"/>
          <w:lang w:val="es-ES"/>
        </w:rPr>
        <w:t>Serie</w:t>
      </w:r>
      <w:r w:rsidRPr="00363551">
        <w:rPr>
          <w:rFonts w:ascii="Verdana" w:hAnsi="Verdana"/>
          <w:spacing w:val="-1"/>
          <w:sz w:val="16"/>
          <w:szCs w:val="16"/>
          <w:lang w:val="es-ES"/>
        </w:rPr>
        <w:t xml:space="preserve"> </w:t>
      </w:r>
      <w:r w:rsidRPr="00363551">
        <w:rPr>
          <w:rFonts w:ascii="Verdana" w:hAnsi="Verdana"/>
          <w:sz w:val="16"/>
          <w:szCs w:val="16"/>
          <w:lang w:val="es-ES"/>
        </w:rPr>
        <w:t>C No.</w:t>
      </w:r>
      <w:r w:rsidRPr="00363551">
        <w:rPr>
          <w:rFonts w:ascii="Verdana" w:hAnsi="Verdana"/>
          <w:spacing w:val="-2"/>
          <w:sz w:val="16"/>
          <w:szCs w:val="16"/>
          <w:lang w:val="es-ES"/>
        </w:rPr>
        <w:t xml:space="preserve"> </w:t>
      </w:r>
      <w:r w:rsidRPr="00363551">
        <w:rPr>
          <w:rFonts w:ascii="Verdana" w:hAnsi="Verdana"/>
          <w:sz w:val="16"/>
          <w:szCs w:val="16"/>
          <w:lang w:val="es-ES"/>
        </w:rPr>
        <w:t>184,</w:t>
      </w:r>
      <w:r w:rsidRPr="00363551">
        <w:rPr>
          <w:rFonts w:ascii="Verdana" w:hAnsi="Verdana"/>
          <w:spacing w:val="-2"/>
          <w:sz w:val="16"/>
          <w:szCs w:val="16"/>
          <w:lang w:val="es-ES"/>
        </w:rPr>
        <w:t xml:space="preserve"> </w:t>
      </w:r>
      <w:r w:rsidRPr="00363551">
        <w:rPr>
          <w:rFonts w:ascii="Verdana" w:hAnsi="Verdana"/>
          <w:sz w:val="16"/>
          <w:szCs w:val="16"/>
          <w:lang w:val="es-ES"/>
        </w:rPr>
        <w:t>párr.</w:t>
      </w:r>
      <w:r w:rsidRPr="00363551">
        <w:rPr>
          <w:rFonts w:ascii="Verdana" w:hAnsi="Verdana"/>
          <w:spacing w:val="2"/>
          <w:sz w:val="16"/>
          <w:szCs w:val="16"/>
          <w:lang w:val="es-ES"/>
        </w:rPr>
        <w:t xml:space="preserve"> </w:t>
      </w:r>
      <w:r w:rsidRPr="00363551">
        <w:rPr>
          <w:rFonts w:ascii="Verdana" w:hAnsi="Verdana"/>
          <w:sz w:val="16"/>
          <w:szCs w:val="16"/>
          <w:lang w:val="es-ES"/>
        </w:rPr>
        <w:t xml:space="preserve">146. </w:t>
      </w:r>
    </w:p>
  </w:footnote>
  <w:footnote w:id="74">
    <w:p w14:paraId="3BD01927" w14:textId="5681C027" w:rsidR="00CA403B" w:rsidRPr="00363551"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rPr>
        <w:footnoteRef/>
      </w:r>
      <w:r w:rsidRPr="00363551">
        <w:rPr>
          <w:rFonts w:ascii="Verdana" w:hAnsi="Verdana"/>
          <w:sz w:val="16"/>
          <w:szCs w:val="16"/>
          <w:lang w:val="es-ES"/>
        </w:rPr>
        <w:t xml:space="preserve"> </w:t>
      </w:r>
      <w:r w:rsidRPr="00363551">
        <w:rPr>
          <w:rFonts w:ascii="Verdana" w:hAnsi="Verdana"/>
          <w:sz w:val="16"/>
          <w:szCs w:val="16"/>
          <w:lang w:val="es-ES"/>
        </w:rPr>
        <w:tab/>
      </w:r>
      <w:r w:rsidRPr="00363551">
        <w:rPr>
          <w:rFonts w:ascii="Verdana" w:hAnsi="Verdana"/>
          <w:i/>
          <w:sz w:val="16"/>
          <w:szCs w:val="16"/>
          <w:lang w:val="es-ES"/>
        </w:rPr>
        <w:t>Cfr.</w:t>
      </w:r>
      <w:r w:rsidRPr="00363551">
        <w:rPr>
          <w:rFonts w:ascii="Verdana" w:hAnsi="Verdana"/>
          <w:i/>
          <w:spacing w:val="-10"/>
          <w:sz w:val="16"/>
          <w:szCs w:val="16"/>
          <w:lang w:val="es-ES"/>
        </w:rPr>
        <w:t xml:space="preserve"> </w:t>
      </w:r>
      <w:r w:rsidRPr="00871EA2">
        <w:rPr>
          <w:rFonts w:ascii="Verdana" w:hAnsi="Verdana"/>
          <w:i/>
          <w:sz w:val="16"/>
          <w:szCs w:val="16"/>
        </w:rPr>
        <w:t>Caso</w:t>
      </w:r>
      <w:r w:rsidRPr="00871EA2">
        <w:rPr>
          <w:rFonts w:ascii="Verdana" w:hAnsi="Verdana"/>
          <w:i/>
          <w:spacing w:val="39"/>
          <w:sz w:val="16"/>
          <w:szCs w:val="16"/>
        </w:rPr>
        <w:t xml:space="preserve"> </w:t>
      </w:r>
      <w:r w:rsidRPr="00871EA2">
        <w:rPr>
          <w:rFonts w:ascii="Verdana" w:hAnsi="Verdana"/>
          <w:i/>
          <w:sz w:val="16"/>
          <w:szCs w:val="16"/>
        </w:rPr>
        <w:t>Castañeda</w:t>
      </w:r>
      <w:r w:rsidRPr="00871EA2">
        <w:rPr>
          <w:rFonts w:ascii="Verdana" w:hAnsi="Verdana"/>
          <w:i/>
          <w:spacing w:val="38"/>
          <w:sz w:val="16"/>
          <w:szCs w:val="16"/>
        </w:rPr>
        <w:t xml:space="preserve"> </w:t>
      </w:r>
      <w:r w:rsidRPr="00871EA2">
        <w:rPr>
          <w:rFonts w:ascii="Verdana" w:hAnsi="Verdana"/>
          <w:i/>
          <w:sz w:val="16"/>
          <w:szCs w:val="16"/>
        </w:rPr>
        <w:t>Gutman</w:t>
      </w:r>
      <w:r w:rsidRPr="00871EA2">
        <w:rPr>
          <w:rFonts w:ascii="Verdana" w:hAnsi="Verdana"/>
          <w:i/>
          <w:spacing w:val="39"/>
          <w:sz w:val="16"/>
          <w:szCs w:val="16"/>
        </w:rPr>
        <w:t xml:space="preserve"> </w:t>
      </w:r>
      <w:r w:rsidRPr="00871EA2">
        <w:rPr>
          <w:rFonts w:ascii="Verdana" w:hAnsi="Verdana"/>
          <w:i/>
          <w:sz w:val="16"/>
          <w:szCs w:val="16"/>
        </w:rPr>
        <w:t>Vs.</w:t>
      </w:r>
      <w:r w:rsidRPr="00871EA2">
        <w:rPr>
          <w:rFonts w:ascii="Verdana" w:hAnsi="Verdana"/>
          <w:i/>
          <w:spacing w:val="39"/>
          <w:sz w:val="16"/>
          <w:szCs w:val="16"/>
        </w:rPr>
        <w:t xml:space="preserve"> </w:t>
      </w:r>
      <w:r w:rsidRPr="00871EA2">
        <w:rPr>
          <w:rFonts w:ascii="Verdana" w:hAnsi="Verdana"/>
          <w:i/>
          <w:sz w:val="16"/>
          <w:szCs w:val="16"/>
        </w:rPr>
        <w:t>México</w:t>
      </w:r>
      <w:r>
        <w:rPr>
          <w:rFonts w:ascii="Verdana" w:hAnsi="Verdana"/>
          <w:i/>
          <w:sz w:val="16"/>
          <w:szCs w:val="16"/>
        </w:rPr>
        <w:t>, supra</w:t>
      </w:r>
      <w:r w:rsidRPr="00363551">
        <w:rPr>
          <w:rFonts w:ascii="Verdana" w:hAnsi="Verdana"/>
          <w:sz w:val="16"/>
          <w:szCs w:val="16"/>
          <w:lang w:val="es-ES"/>
        </w:rPr>
        <w:t>, párr.</w:t>
      </w:r>
      <w:r w:rsidRPr="00363551">
        <w:rPr>
          <w:rFonts w:ascii="Verdana" w:hAnsi="Verdana"/>
          <w:spacing w:val="-4"/>
          <w:sz w:val="16"/>
          <w:szCs w:val="16"/>
          <w:lang w:val="es-ES"/>
        </w:rPr>
        <w:t xml:space="preserve"> </w:t>
      </w:r>
      <w:r w:rsidRPr="00363551">
        <w:rPr>
          <w:rFonts w:ascii="Verdana" w:hAnsi="Verdana"/>
          <w:sz w:val="16"/>
          <w:szCs w:val="16"/>
          <w:lang w:val="es-ES"/>
        </w:rPr>
        <w:t>147.</w:t>
      </w:r>
    </w:p>
  </w:footnote>
  <w:footnote w:id="75">
    <w:p w14:paraId="3D106E7C" w14:textId="463241D1"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rPr>
        <w:footnoteRef/>
      </w:r>
      <w:r w:rsidRPr="00363551">
        <w:rPr>
          <w:rFonts w:ascii="Verdana" w:hAnsi="Verdana"/>
          <w:sz w:val="16"/>
          <w:szCs w:val="16"/>
          <w:lang w:val="es-ES"/>
        </w:rPr>
        <w:t xml:space="preserve"> </w:t>
      </w:r>
      <w:r w:rsidRPr="00363551">
        <w:rPr>
          <w:rFonts w:ascii="Verdana" w:hAnsi="Verdana"/>
          <w:sz w:val="16"/>
          <w:szCs w:val="16"/>
          <w:lang w:val="es-ES"/>
        </w:rPr>
        <w:tab/>
      </w:r>
      <w:r w:rsidRPr="00363551">
        <w:rPr>
          <w:rFonts w:ascii="Verdana" w:hAnsi="Verdana"/>
          <w:i/>
          <w:sz w:val="16"/>
          <w:szCs w:val="16"/>
          <w:lang w:val="es-ES"/>
        </w:rPr>
        <w:t>Cfr.</w:t>
      </w:r>
      <w:r w:rsidRPr="00363551">
        <w:rPr>
          <w:rFonts w:ascii="Verdana" w:hAnsi="Verdana"/>
          <w:i/>
          <w:spacing w:val="-10"/>
          <w:sz w:val="16"/>
          <w:szCs w:val="16"/>
          <w:lang w:val="es-ES"/>
        </w:rPr>
        <w:t xml:space="preserve"> </w:t>
      </w:r>
      <w:r w:rsidRPr="00871EA2">
        <w:rPr>
          <w:rFonts w:ascii="Verdana" w:hAnsi="Verdana"/>
          <w:i/>
          <w:sz w:val="16"/>
          <w:szCs w:val="16"/>
        </w:rPr>
        <w:t>Caso</w:t>
      </w:r>
      <w:r w:rsidRPr="00871EA2">
        <w:rPr>
          <w:rFonts w:ascii="Verdana" w:hAnsi="Verdana"/>
          <w:i/>
          <w:spacing w:val="39"/>
          <w:sz w:val="16"/>
          <w:szCs w:val="16"/>
        </w:rPr>
        <w:t xml:space="preserve"> </w:t>
      </w:r>
      <w:r w:rsidRPr="00871EA2">
        <w:rPr>
          <w:rFonts w:ascii="Verdana" w:hAnsi="Verdana"/>
          <w:i/>
          <w:sz w:val="16"/>
          <w:szCs w:val="16"/>
        </w:rPr>
        <w:t>Castañeda</w:t>
      </w:r>
      <w:r w:rsidRPr="00871EA2">
        <w:rPr>
          <w:rFonts w:ascii="Verdana" w:hAnsi="Verdana"/>
          <w:i/>
          <w:spacing w:val="38"/>
          <w:sz w:val="16"/>
          <w:szCs w:val="16"/>
        </w:rPr>
        <w:t xml:space="preserve"> </w:t>
      </w:r>
      <w:r w:rsidRPr="00871EA2">
        <w:rPr>
          <w:rFonts w:ascii="Verdana" w:hAnsi="Verdana"/>
          <w:i/>
          <w:sz w:val="16"/>
          <w:szCs w:val="16"/>
        </w:rPr>
        <w:t>Gutman</w:t>
      </w:r>
      <w:r w:rsidRPr="00871EA2">
        <w:rPr>
          <w:rFonts w:ascii="Verdana" w:hAnsi="Verdana"/>
          <w:i/>
          <w:spacing w:val="39"/>
          <w:sz w:val="16"/>
          <w:szCs w:val="16"/>
        </w:rPr>
        <w:t xml:space="preserve"> </w:t>
      </w:r>
      <w:r w:rsidRPr="00871EA2">
        <w:rPr>
          <w:rFonts w:ascii="Verdana" w:hAnsi="Verdana"/>
          <w:i/>
          <w:sz w:val="16"/>
          <w:szCs w:val="16"/>
        </w:rPr>
        <w:t>Vs.</w:t>
      </w:r>
      <w:r w:rsidRPr="00871EA2">
        <w:rPr>
          <w:rFonts w:ascii="Verdana" w:hAnsi="Verdana"/>
          <w:i/>
          <w:spacing w:val="39"/>
          <w:sz w:val="16"/>
          <w:szCs w:val="16"/>
        </w:rPr>
        <w:t xml:space="preserve"> </w:t>
      </w:r>
      <w:r w:rsidRPr="00871EA2">
        <w:rPr>
          <w:rFonts w:ascii="Verdana" w:hAnsi="Verdana"/>
          <w:i/>
          <w:sz w:val="16"/>
          <w:szCs w:val="16"/>
        </w:rPr>
        <w:t>México</w:t>
      </w:r>
      <w:r>
        <w:rPr>
          <w:rFonts w:ascii="Verdana" w:hAnsi="Verdana"/>
          <w:i/>
          <w:sz w:val="16"/>
          <w:szCs w:val="16"/>
        </w:rPr>
        <w:t>, supra</w:t>
      </w:r>
      <w:r w:rsidRPr="00141590">
        <w:rPr>
          <w:rFonts w:ascii="Verdana" w:hAnsi="Verdana"/>
          <w:sz w:val="16"/>
          <w:szCs w:val="16"/>
          <w:lang w:val="es-ES"/>
        </w:rPr>
        <w:t>, párr.</w:t>
      </w:r>
      <w:r w:rsidRPr="00363551">
        <w:rPr>
          <w:rFonts w:ascii="Verdana" w:hAnsi="Verdana"/>
          <w:spacing w:val="-4"/>
          <w:sz w:val="16"/>
          <w:szCs w:val="16"/>
          <w:lang w:val="es-ES"/>
        </w:rPr>
        <w:t xml:space="preserve"> </w:t>
      </w:r>
      <w:r w:rsidRPr="00871EA2">
        <w:rPr>
          <w:rFonts w:ascii="Verdana" w:hAnsi="Verdana"/>
          <w:sz w:val="16"/>
          <w:szCs w:val="16"/>
        </w:rPr>
        <w:t>148.</w:t>
      </w:r>
    </w:p>
  </w:footnote>
  <w:footnote w:id="76">
    <w:p w14:paraId="4DDB0389" w14:textId="6E2FE170"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rPr>
        <w:tab/>
      </w:r>
      <w:r w:rsidRPr="00363551">
        <w:rPr>
          <w:rFonts w:ascii="Verdana" w:hAnsi="Verdana"/>
          <w:i/>
          <w:sz w:val="16"/>
          <w:szCs w:val="16"/>
          <w:lang w:val="es-ES"/>
        </w:rPr>
        <w:t>Cfr.</w:t>
      </w:r>
      <w:r w:rsidRPr="00363551">
        <w:rPr>
          <w:rFonts w:ascii="Verdana" w:hAnsi="Verdana"/>
          <w:i/>
          <w:spacing w:val="-10"/>
          <w:sz w:val="16"/>
          <w:szCs w:val="16"/>
          <w:lang w:val="es-ES"/>
        </w:rPr>
        <w:t xml:space="preserve"> </w:t>
      </w:r>
      <w:r w:rsidRPr="00871EA2">
        <w:rPr>
          <w:rFonts w:ascii="Verdana" w:hAnsi="Verdana"/>
          <w:i/>
          <w:sz w:val="16"/>
          <w:szCs w:val="16"/>
        </w:rPr>
        <w:t>Caso</w:t>
      </w:r>
      <w:r w:rsidRPr="00871EA2">
        <w:rPr>
          <w:rFonts w:ascii="Verdana" w:hAnsi="Verdana"/>
          <w:i/>
          <w:spacing w:val="39"/>
          <w:sz w:val="16"/>
          <w:szCs w:val="16"/>
        </w:rPr>
        <w:t xml:space="preserve"> </w:t>
      </w:r>
      <w:r w:rsidRPr="00871EA2">
        <w:rPr>
          <w:rFonts w:ascii="Verdana" w:hAnsi="Verdana"/>
          <w:i/>
          <w:sz w:val="16"/>
          <w:szCs w:val="16"/>
        </w:rPr>
        <w:t>Castañeda</w:t>
      </w:r>
      <w:r w:rsidRPr="00871EA2">
        <w:rPr>
          <w:rFonts w:ascii="Verdana" w:hAnsi="Verdana"/>
          <w:i/>
          <w:spacing w:val="38"/>
          <w:sz w:val="16"/>
          <w:szCs w:val="16"/>
        </w:rPr>
        <w:t xml:space="preserve"> </w:t>
      </w:r>
      <w:r w:rsidRPr="00871EA2">
        <w:rPr>
          <w:rFonts w:ascii="Verdana" w:hAnsi="Verdana"/>
          <w:i/>
          <w:sz w:val="16"/>
          <w:szCs w:val="16"/>
        </w:rPr>
        <w:t>Gutman</w:t>
      </w:r>
      <w:r w:rsidRPr="00871EA2">
        <w:rPr>
          <w:rFonts w:ascii="Verdana" w:hAnsi="Verdana"/>
          <w:i/>
          <w:spacing w:val="39"/>
          <w:sz w:val="16"/>
          <w:szCs w:val="16"/>
        </w:rPr>
        <w:t xml:space="preserve"> </w:t>
      </w:r>
      <w:r w:rsidRPr="00871EA2">
        <w:rPr>
          <w:rFonts w:ascii="Verdana" w:hAnsi="Verdana"/>
          <w:i/>
          <w:sz w:val="16"/>
          <w:szCs w:val="16"/>
        </w:rPr>
        <w:t>Vs.</w:t>
      </w:r>
      <w:r w:rsidRPr="00871EA2">
        <w:rPr>
          <w:rFonts w:ascii="Verdana" w:hAnsi="Verdana"/>
          <w:i/>
          <w:spacing w:val="39"/>
          <w:sz w:val="16"/>
          <w:szCs w:val="16"/>
        </w:rPr>
        <w:t xml:space="preserve"> </w:t>
      </w:r>
      <w:r w:rsidRPr="00871EA2">
        <w:rPr>
          <w:rFonts w:ascii="Verdana" w:hAnsi="Verdana"/>
          <w:i/>
          <w:sz w:val="16"/>
          <w:szCs w:val="16"/>
        </w:rPr>
        <w:t>México</w:t>
      </w:r>
      <w:r>
        <w:rPr>
          <w:rFonts w:ascii="Verdana" w:hAnsi="Verdana"/>
          <w:i/>
          <w:sz w:val="16"/>
          <w:szCs w:val="16"/>
        </w:rPr>
        <w:t>, supra, párr. 148.</w:t>
      </w:r>
    </w:p>
  </w:footnote>
  <w:footnote w:id="77">
    <w:p w14:paraId="28BD01C9" w14:textId="743BD4E6" w:rsidR="00CA403B" w:rsidRPr="000507F1" w:rsidRDefault="00CA403B" w:rsidP="00871EA2">
      <w:pPr>
        <w:pStyle w:val="FootnoteText"/>
        <w:jc w:val="both"/>
        <w:rPr>
          <w:rFonts w:ascii="Verdana" w:hAnsi="Verdana"/>
          <w:iCs/>
          <w:sz w:val="16"/>
          <w:szCs w:val="16"/>
          <w:lang w:val="es-ES"/>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rPr>
        <w:tab/>
      </w:r>
      <w:r>
        <w:rPr>
          <w:rFonts w:ascii="Verdana" w:hAnsi="Verdana" w:cs="Arial"/>
          <w:i/>
          <w:iCs/>
          <w:color w:val="000000" w:themeColor="text1"/>
          <w:w w:val="95"/>
          <w:sz w:val="16"/>
          <w:szCs w:val="16"/>
        </w:rPr>
        <w:t xml:space="preserve">Cfr. </w:t>
      </w:r>
      <w:r w:rsidRPr="00363551">
        <w:rPr>
          <w:rFonts w:ascii="Verdana" w:hAnsi="Verdana"/>
          <w:i/>
          <w:sz w:val="16"/>
          <w:szCs w:val="16"/>
        </w:rPr>
        <w:t>Caso Defensor de Derechos Humanos y otros Vs. Guatemala. Excepciones Preliminares, Fondo, Reparaciones y Costas.</w:t>
      </w:r>
      <w:r w:rsidRPr="00363551">
        <w:rPr>
          <w:rFonts w:ascii="Verdana" w:hAnsi="Verdana"/>
          <w:sz w:val="16"/>
          <w:szCs w:val="16"/>
        </w:rPr>
        <w:t xml:space="preserve"> Sentencia de 28 de agosto de 2014. Serie C No. 283, párrs. 185 y 186.</w:t>
      </w:r>
    </w:p>
  </w:footnote>
  <w:footnote w:id="78">
    <w:p w14:paraId="4B6A6E91" w14:textId="738D9834" w:rsidR="00CA403B" w:rsidRPr="000F000A" w:rsidRDefault="00CA403B" w:rsidP="00871EA2">
      <w:pPr>
        <w:pStyle w:val="FootnoteText"/>
        <w:jc w:val="both"/>
        <w:rPr>
          <w:rFonts w:ascii="Verdana" w:hAnsi="Verdana"/>
          <w:sz w:val="16"/>
          <w:szCs w:val="16"/>
          <w:lang w:val="es-ES"/>
        </w:rPr>
      </w:pPr>
      <w:r w:rsidRPr="000F000A">
        <w:rPr>
          <w:rStyle w:val="FootnoteReference"/>
          <w:rFonts w:ascii="Verdana" w:hAnsi="Verdana"/>
          <w:sz w:val="16"/>
          <w:szCs w:val="16"/>
        </w:rPr>
        <w:footnoteRef/>
      </w:r>
      <w:r w:rsidRPr="000F000A">
        <w:rPr>
          <w:rFonts w:ascii="Verdana" w:hAnsi="Verdana"/>
          <w:sz w:val="16"/>
          <w:szCs w:val="16"/>
        </w:rPr>
        <w:t xml:space="preserve"> </w:t>
      </w:r>
      <w:r w:rsidRPr="000F000A">
        <w:rPr>
          <w:rFonts w:ascii="Verdana" w:hAnsi="Verdana"/>
          <w:sz w:val="16"/>
          <w:szCs w:val="16"/>
        </w:rPr>
        <w:tab/>
        <w:t xml:space="preserve">Véase, </w:t>
      </w:r>
      <w:r w:rsidRPr="000F000A">
        <w:rPr>
          <w:rFonts w:ascii="Verdana" w:hAnsi="Verdana"/>
          <w:i/>
          <w:iCs/>
          <w:sz w:val="16"/>
          <w:szCs w:val="16"/>
        </w:rPr>
        <w:t>C</w:t>
      </w:r>
      <w:r w:rsidRPr="000F000A">
        <w:rPr>
          <w:rFonts w:ascii="Verdana" w:hAnsi="Verdana"/>
          <w:i/>
          <w:iCs/>
          <w:sz w:val="16"/>
          <w:szCs w:val="16"/>
          <w:lang w:val="es-MX"/>
        </w:rPr>
        <w:t>aso Pueblos Rama y Kriol, Comunidad Negra Creole Indígena de Bluefields y otros Vs. Nicaragua. Fondo, Reparaciones y Costas.</w:t>
      </w:r>
      <w:r w:rsidRPr="000F000A">
        <w:rPr>
          <w:rFonts w:ascii="Verdana" w:hAnsi="Verdana"/>
          <w:sz w:val="16"/>
          <w:szCs w:val="16"/>
          <w:lang w:val="es-MX"/>
        </w:rPr>
        <w:t xml:space="preserve"> Sentencia de 1 de abril de 2024. Serie C No. 522</w:t>
      </w:r>
      <w:r>
        <w:rPr>
          <w:rFonts w:ascii="Verdana" w:hAnsi="Verdana"/>
          <w:sz w:val="16"/>
          <w:szCs w:val="16"/>
          <w:lang w:val="es-MX"/>
        </w:rPr>
        <w:t>,</w:t>
      </w:r>
      <w:r w:rsidRPr="000F000A">
        <w:rPr>
          <w:rFonts w:ascii="Verdana" w:hAnsi="Verdana"/>
          <w:sz w:val="16"/>
          <w:szCs w:val="16"/>
          <w:lang w:val="es-MX"/>
        </w:rPr>
        <w:t xml:space="preserve"> y </w:t>
      </w:r>
      <w:r w:rsidRPr="000F000A">
        <w:rPr>
          <w:rFonts w:ascii="Verdana" w:hAnsi="Verdana"/>
          <w:i/>
          <w:iCs/>
          <w:sz w:val="16"/>
          <w:szCs w:val="16"/>
          <w:lang w:val="es-MX"/>
        </w:rPr>
        <w:t xml:space="preserve">Caso Yatama Vs. Nicaragua. </w:t>
      </w:r>
      <w:r w:rsidRPr="00363551">
        <w:rPr>
          <w:rFonts w:ascii="Verdana" w:hAnsi="Verdana"/>
          <w:i/>
          <w:iCs/>
          <w:sz w:val="16"/>
          <w:szCs w:val="16"/>
          <w:lang w:val="es-MX"/>
        </w:rPr>
        <w:t>supra</w:t>
      </w:r>
      <w:r w:rsidRPr="000F000A">
        <w:rPr>
          <w:rFonts w:ascii="Verdana" w:hAnsi="Verdana"/>
          <w:sz w:val="16"/>
          <w:szCs w:val="16"/>
          <w:lang w:val="es-MX"/>
        </w:rPr>
        <w:t>. </w:t>
      </w:r>
    </w:p>
  </w:footnote>
  <w:footnote w:id="79">
    <w:p w14:paraId="04C2984F" w14:textId="136A28C2" w:rsidR="00CA403B" w:rsidRPr="000F000A" w:rsidRDefault="00CA403B" w:rsidP="00871EA2">
      <w:pPr>
        <w:pStyle w:val="FootnoteText"/>
        <w:jc w:val="both"/>
        <w:rPr>
          <w:rFonts w:ascii="Verdana" w:hAnsi="Verdana"/>
          <w:iCs/>
          <w:sz w:val="16"/>
          <w:szCs w:val="16"/>
          <w:lang w:val="es-ES"/>
        </w:rPr>
      </w:pPr>
      <w:r w:rsidRPr="000F000A">
        <w:rPr>
          <w:rStyle w:val="FootnoteReference"/>
          <w:rFonts w:ascii="Verdana" w:hAnsi="Verdana"/>
          <w:iCs/>
          <w:sz w:val="16"/>
          <w:szCs w:val="16"/>
        </w:rPr>
        <w:footnoteRef/>
      </w:r>
      <w:r w:rsidRPr="000F000A">
        <w:rPr>
          <w:rFonts w:ascii="Verdana" w:hAnsi="Verdana"/>
          <w:iCs/>
          <w:sz w:val="16"/>
          <w:szCs w:val="16"/>
        </w:rPr>
        <w:t xml:space="preserve"> </w:t>
      </w:r>
      <w:r w:rsidRPr="000F000A">
        <w:rPr>
          <w:rFonts w:ascii="Verdana" w:hAnsi="Verdana"/>
          <w:iCs/>
          <w:sz w:val="16"/>
          <w:szCs w:val="16"/>
        </w:rPr>
        <w:tab/>
        <w:t xml:space="preserve">Véase, </w:t>
      </w:r>
      <w:r w:rsidRPr="000F000A">
        <w:rPr>
          <w:rFonts w:ascii="Verdana" w:hAnsi="Verdana"/>
          <w:i/>
          <w:sz w:val="16"/>
          <w:szCs w:val="16"/>
          <w:lang w:val="es-MX"/>
        </w:rPr>
        <w:t>Caso López Mendoza Vs. Venezuela. Fondo, Reparaciones y Costas</w:t>
      </w:r>
      <w:r w:rsidRPr="000F000A">
        <w:rPr>
          <w:rFonts w:ascii="Verdana" w:hAnsi="Verdana"/>
          <w:iCs/>
          <w:sz w:val="16"/>
          <w:szCs w:val="16"/>
          <w:lang w:val="es-MX"/>
        </w:rPr>
        <w:t>. Sentencia de 1 de septiembre de 2011. Serie C No. 233</w:t>
      </w:r>
      <w:r>
        <w:rPr>
          <w:rFonts w:ascii="Verdana" w:hAnsi="Verdana"/>
          <w:iCs/>
          <w:sz w:val="16"/>
          <w:szCs w:val="16"/>
          <w:lang w:val="es-MX"/>
        </w:rPr>
        <w:t>,</w:t>
      </w:r>
      <w:r w:rsidRPr="000F000A">
        <w:rPr>
          <w:rFonts w:ascii="Verdana" w:hAnsi="Verdana"/>
          <w:iCs/>
          <w:sz w:val="16"/>
          <w:szCs w:val="16"/>
          <w:lang w:val="es-MX"/>
        </w:rPr>
        <w:t xml:space="preserve"> y </w:t>
      </w:r>
      <w:r w:rsidRPr="000F000A">
        <w:rPr>
          <w:rFonts w:ascii="Verdana" w:hAnsi="Verdana"/>
          <w:i/>
          <w:sz w:val="16"/>
          <w:szCs w:val="16"/>
          <w:lang w:val="es-MX"/>
        </w:rPr>
        <w:t>Caso Petro Urrego Vs. Colombia. Excepciones Preliminares, Fondo, Reparaciones y Costas</w:t>
      </w:r>
      <w:r w:rsidRPr="000F000A">
        <w:rPr>
          <w:rFonts w:ascii="Verdana" w:hAnsi="Verdana"/>
          <w:iCs/>
          <w:sz w:val="16"/>
          <w:szCs w:val="16"/>
          <w:lang w:val="es-MX"/>
        </w:rPr>
        <w:t>. Sentencia de 8 de julio de 2020. Serie C No. 406.</w:t>
      </w:r>
    </w:p>
  </w:footnote>
  <w:footnote w:id="80">
    <w:p w14:paraId="7F12DCBA" w14:textId="2A07B59C" w:rsidR="00CA403B" w:rsidRPr="00037D01" w:rsidRDefault="00CA403B" w:rsidP="00871EA2">
      <w:pPr>
        <w:pStyle w:val="FootnoteText"/>
        <w:jc w:val="both"/>
        <w:rPr>
          <w:rFonts w:ascii="Verdana" w:hAnsi="Verdana"/>
          <w:sz w:val="16"/>
          <w:szCs w:val="16"/>
          <w:lang w:val="es-ES"/>
        </w:rPr>
      </w:pPr>
      <w:r w:rsidRPr="000F000A">
        <w:rPr>
          <w:rStyle w:val="FootnoteReference"/>
          <w:rFonts w:ascii="Verdana" w:hAnsi="Verdana"/>
          <w:sz w:val="16"/>
          <w:szCs w:val="16"/>
        </w:rPr>
        <w:footnoteRef/>
      </w:r>
      <w:r w:rsidRPr="000F000A">
        <w:rPr>
          <w:rFonts w:ascii="Verdana" w:hAnsi="Verdana"/>
          <w:sz w:val="16"/>
          <w:szCs w:val="16"/>
        </w:rPr>
        <w:t xml:space="preserve"> </w:t>
      </w:r>
      <w:r w:rsidRPr="000F000A">
        <w:rPr>
          <w:rFonts w:ascii="Verdana" w:hAnsi="Verdana"/>
          <w:sz w:val="16"/>
          <w:szCs w:val="16"/>
        </w:rPr>
        <w:tab/>
        <w:t>Véase</w:t>
      </w:r>
      <w:r w:rsidRPr="004C1491">
        <w:rPr>
          <w:rFonts w:ascii="Verdana" w:hAnsi="Verdana"/>
          <w:sz w:val="16"/>
          <w:szCs w:val="16"/>
        </w:rPr>
        <w:t>,</w:t>
      </w:r>
      <w:r w:rsidRPr="00647EA5">
        <w:rPr>
          <w:rFonts w:ascii="Verdana" w:hAnsi="Verdana"/>
          <w:sz w:val="16"/>
          <w:szCs w:val="16"/>
        </w:rPr>
        <w:t xml:space="preserve"> </w:t>
      </w:r>
      <w:r w:rsidRPr="00647EA5">
        <w:rPr>
          <w:rFonts w:ascii="Verdana" w:hAnsi="Verdana"/>
          <w:i/>
          <w:iCs/>
          <w:sz w:val="16"/>
          <w:szCs w:val="16"/>
          <w:lang w:val="es-MX"/>
        </w:rPr>
        <w:t>Caso San Miguel Sosa y otras Vs. Venezuela</w:t>
      </w:r>
      <w:r>
        <w:rPr>
          <w:rFonts w:ascii="Verdana" w:hAnsi="Verdana"/>
          <w:i/>
          <w:iCs/>
          <w:sz w:val="16"/>
          <w:szCs w:val="16"/>
          <w:lang w:val="es-MX"/>
        </w:rPr>
        <w:t>, supra</w:t>
      </w:r>
      <w:r w:rsidRPr="00037D01">
        <w:rPr>
          <w:rFonts w:ascii="Verdana" w:hAnsi="Verdana"/>
          <w:sz w:val="16"/>
          <w:szCs w:val="16"/>
          <w:lang w:val="es-MX"/>
        </w:rPr>
        <w:t xml:space="preserve">. </w:t>
      </w:r>
    </w:p>
  </w:footnote>
  <w:footnote w:id="81">
    <w:p w14:paraId="77EA19A1" w14:textId="7A919F1B" w:rsidR="00CA403B" w:rsidRPr="006C2E6C" w:rsidRDefault="00CA403B" w:rsidP="00871EA2">
      <w:pPr>
        <w:pStyle w:val="FootnoteText"/>
        <w:jc w:val="both"/>
        <w:rPr>
          <w:rFonts w:ascii="Verdana" w:hAnsi="Verdana"/>
          <w:sz w:val="16"/>
          <w:szCs w:val="16"/>
          <w:lang w:val="es-ES"/>
        </w:rPr>
      </w:pPr>
      <w:r w:rsidRPr="000F000A">
        <w:rPr>
          <w:rStyle w:val="FootnoteReference"/>
          <w:rFonts w:ascii="Verdana" w:hAnsi="Verdana"/>
          <w:sz w:val="16"/>
          <w:szCs w:val="16"/>
        </w:rPr>
        <w:footnoteRef/>
      </w:r>
      <w:r w:rsidRPr="000F000A">
        <w:rPr>
          <w:rFonts w:ascii="Verdana" w:hAnsi="Verdana"/>
          <w:sz w:val="16"/>
          <w:szCs w:val="16"/>
        </w:rPr>
        <w:t xml:space="preserve"> </w:t>
      </w:r>
      <w:r w:rsidRPr="000F000A">
        <w:rPr>
          <w:rFonts w:ascii="Verdana" w:hAnsi="Verdana"/>
          <w:sz w:val="16"/>
          <w:szCs w:val="16"/>
        </w:rPr>
        <w:tab/>
        <w:t>Véase</w:t>
      </w:r>
      <w:r w:rsidRPr="004C1491">
        <w:rPr>
          <w:rFonts w:ascii="Verdana" w:hAnsi="Verdana"/>
          <w:sz w:val="16"/>
          <w:szCs w:val="16"/>
        </w:rPr>
        <w:t>,</w:t>
      </w:r>
      <w:r w:rsidRPr="00647EA5">
        <w:rPr>
          <w:rFonts w:ascii="Verdana" w:hAnsi="Verdana"/>
          <w:sz w:val="16"/>
          <w:szCs w:val="16"/>
        </w:rPr>
        <w:t xml:space="preserve"> </w:t>
      </w:r>
      <w:r w:rsidRPr="00647EA5">
        <w:rPr>
          <w:rFonts w:ascii="Verdana" w:hAnsi="Verdana"/>
          <w:i/>
          <w:iCs/>
          <w:sz w:val="16"/>
          <w:szCs w:val="16"/>
          <w:lang w:val="es-MX"/>
        </w:rPr>
        <w:t>Caso Granier y otros (Radio Caracas Televisión) Vs. Venezuela. Excepciones Preliminares, Fondo, Reparaciones y Costas</w:t>
      </w:r>
      <w:r w:rsidRPr="00037D01">
        <w:rPr>
          <w:rFonts w:ascii="Verdana" w:hAnsi="Verdana"/>
          <w:sz w:val="16"/>
          <w:szCs w:val="16"/>
          <w:lang w:val="es-MX"/>
        </w:rPr>
        <w:t xml:space="preserve">. Sentencia de 22 de junio de 2015. Serie C No. 293 y </w:t>
      </w:r>
      <w:r w:rsidRPr="0080051C">
        <w:rPr>
          <w:rFonts w:ascii="Verdana" w:hAnsi="Verdana"/>
          <w:i/>
          <w:iCs/>
          <w:sz w:val="16"/>
          <w:szCs w:val="16"/>
          <w:lang w:val="es-MX"/>
        </w:rPr>
        <w:t>Caso San Miguel Sosa y otras Vs. Venezuela</w:t>
      </w:r>
      <w:r>
        <w:rPr>
          <w:rFonts w:ascii="Verdana" w:hAnsi="Verdana"/>
          <w:i/>
          <w:iCs/>
          <w:sz w:val="16"/>
          <w:szCs w:val="16"/>
          <w:lang w:val="es-MX"/>
        </w:rPr>
        <w:t>, supra.</w:t>
      </w:r>
    </w:p>
  </w:footnote>
  <w:footnote w:id="82">
    <w:p w14:paraId="24E3F695" w14:textId="3491B5F6" w:rsidR="00CA403B" w:rsidRPr="00647EA5" w:rsidRDefault="00CA403B" w:rsidP="00871EA2">
      <w:pPr>
        <w:pStyle w:val="FootnoteText"/>
        <w:jc w:val="both"/>
        <w:rPr>
          <w:rFonts w:ascii="Verdana" w:hAnsi="Verdana"/>
          <w:sz w:val="16"/>
          <w:szCs w:val="16"/>
          <w:lang w:val="es-ES"/>
        </w:rPr>
      </w:pPr>
      <w:r w:rsidRPr="000F000A">
        <w:rPr>
          <w:rStyle w:val="FootnoteReference"/>
          <w:rFonts w:ascii="Verdana" w:hAnsi="Verdana"/>
          <w:sz w:val="16"/>
          <w:szCs w:val="16"/>
        </w:rPr>
        <w:footnoteRef/>
      </w:r>
      <w:r w:rsidRPr="000F000A">
        <w:rPr>
          <w:rFonts w:ascii="Verdana" w:hAnsi="Verdana"/>
          <w:sz w:val="16"/>
          <w:szCs w:val="16"/>
        </w:rPr>
        <w:t xml:space="preserve"> </w:t>
      </w:r>
      <w:r w:rsidRPr="000F000A">
        <w:rPr>
          <w:rFonts w:ascii="Verdana" w:hAnsi="Verdana"/>
          <w:sz w:val="16"/>
          <w:szCs w:val="16"/>
        </w:rPr>
        <w:tab/>
        <w:t xml:space="preserve">Desde: </w:t>
      </w:r>
      <w:r w:rsidRPr="00363551">
        <w:rPr>
          <w:rFonts w:ascii="Verdana" w:hAnsi="Verdana"/>
          <w:i/>
          <w:sz w:val="16"/>
          <w:szCs w:val="16"/>
          <w:lang w:val="es-MX"/>
        </w:rPr>
        <w:t>Caso Reverón Trujillo Vs. Venezuela. Excepción Preliminar, Fondo, Reparaciones y Costas</w:t>
      </w:r>
      <w:r w:rsidRPr="004C1491">
        <w:rPr>
          <w:rFonts w:ascii="Verdana" w:hAnsi="Verdana"/>
          <w:sz w:val="16"/>
          <w:szCs w:val="16"/>
          <w:lang w:val="es-MX"/>
        </w:rPr>
        <w:t>. S</w:t>
      </w:r>
      <w:r w:rsidRPr="00647EA5">
        <w:rPr>
          <w:rFonts w:ascii="Verdana" w:hAnsi="Verdana"/>
          <w:sz w:val="16"/>
          <w:szCs w:val="16"/>
          <w:lang w:val="es-MX"/>
        </w:rPr>
        <w:t>entencia de 30 de junio de 2009. Serie C No. 197</w:t>
      </w:r>
      <w:r>
        <w:rPr>
          <w:rFonts w:ascii="Verdana" w:hAnsi="Verdana"/>
          <w:sz w:val="16"/>
          <w:szCs w:val="16"/>
          <w:lang w:val="es-MX"/>
        </w:rPr>
        <w:t>,</w:t>
      </w:r>
      <w:r w:rsidRPr="00647EA5">
        <w:rPr>
          <w:rFonts w:ascii="Verdana" w:hAnsi="Verdana"/>
          <w:sz w:val="16"/>
          <w:szCs w:val="16"/>
          <w:lang w:val="es-MX"/>
        </w:rPr>
        <w:t xml:space="preserve"> hasta C</w:t>
      </w:r>
      <w:r w:rsidRPr="00363551">
        <w:rPr>
          <w:rFonts w:ascii="Verdana" w:hAnsi="Verdana"/>
          <w:i/>
          <w:sz w:val="16"/>
          <w:szCs w:val="16"/>
          <w:lang w:val="es-MX"/>
        </w:rPr>
        <w:t>aso Gutiérrez Navas y otros Vs. Honduras. Fondo, Reparaciones y Costas</w:t>
      </w:r>
      <w:r w:rsidRPr="00647EA5">
        <w:rPr>
          <w:rFonts w:ascii="Verdana" w:hAnsi="Verdana"/>
          <w:sz w:val="16"/>
          <w:szCs w:val="16"/>
          <w:lang w:val="es-MX"/>
        </w:rPr>
        <w:t>. Sentencia de 29 de noviembre de 2023. Serie C No. 514.</w:t>
      </w:r>
    </w:p>
  </w:footnote>
  <w:footnote w:id="83">
    <w:p w14:paraId="5C70B07F" w14:textId="58D88888" w:rsidR="00CA403B" w:rsidRPr="00037D01" w:rsidRDefault="00CA403B" w:rsidP="00871EA2">
      <w:pPr>
        <w:pStyle w:val="FootnoteText"/>
        <w:jc w:val="both"/>
        <w:rPr>
          <w:rFonts w:ascii="Verdana" w:hAnsi="Verdana"/>
          <w:color w:val="000000" w:themeColor="text1"/>
          <w:sz w:val="16"/>
          <w:szCs w:val="16"/>
        </w:rPr>
      </w:pPr>
      <w:r w:rsidRPr="000F000A">
        <w:rPr>
          <w:rStyle w:val="FootnoteReference"/>
          <w:rFonts w:ascii="Verdana" w:hAnsi="Verdana"/>
          <w:color w:val="000000" w:themeColor="text1"/>
          <w:sz w:val="16"/>
          <w:szCs w:val="16"/>
        </w:rPr>
        <w:footnoteRef/>
      </w:r>
      <w:r w:rsidRPr="000F000A">
        <w:rPr>
          <w:rFonts w:ascii="Verdana" w:hAnsi="Verdana"/>
          <w:color w:val="000000" w:themeColor="text1"/>
          <w:sz w:val="16"/>
          <w:szCs w:val="16"/>
        </w:rPr>
        <w:t xml:space="preserve"> </w:t>
      </w:r>
      <w:r w:rsidRPr="000F000A">
        <w:rPr>
          <w:rFonts w:ascii="Verdana" w:hAnsi="Verdana"/>
          <w:color w:val="000000" w:themeColor="text1"/>
          <w:sz w:val="16"/>
          <w:szCs w:val="16"/>
        </w:rPr>
        <w:tab/>
        <w:t xml:space="preserve">Véase: </w:t>
      </w:r>
      <w:r w:rsidRPr="000F000A">
        <w:rPr>
          <w:rFonts w:ascii="Verdana" w:hAnsi="Verdana"/>
          <w:i/>
          <w:iCs/>
          <w:color w:val="000000" w:themeColor="text1"/>
          <w:sz w:val="16"/>
          <w:szCs w:val="16"/>
          <w:lang w:val="es-MX"/>
        </w:rPr>
        <w:t>Caso López Mendoza Vs. Venezuela</w:t>
      </w:r>
      <w:r>
        <w:rPr>
          <w:rFonts w:ascii="Verdana" w:hAnsi="Verdana"/>
          <w:i/>
          <w:iCs/>
          <w:color w:val="000000" w:themeColor="text1"/>
          <w:sz w:val="16"/>
          <w:szCs w:val="16"/>
          <w:lang w:val="es-MX"/>
        </w:rPr>
        <w:t>, supra,</w:t>
      </w:r>
      <w:r w:rsidRPr="00647EA5">
        <w:rPr>
          <w:rFonts w:ascii="Verdana" w:hAnsi="Verdana"/>
          <w:color w:val="000000" w:themeColor="text1"/>
          <w:sz w:val="16"/>
          <w:szCs w:val="16"/>
          <w:lang w:val="es-MX"/>
        </w:rPr>
        <w:t xml:space="preserve"> y </w:t>
      </w:r>
      <w:r w:rsidRPr="00647EA5">
        <w:rPr>
          <w:rFonts w:ascii="Verdana" w:hAnsi="Verdana"/>
          <w:i/>
          <w:iCs/>
          <w:color w:val="000000" w:themeColor="text1"/>
          <w:sz w:val="16"/>
          <w:szCs w:val="16"/>
          <w:lang w:val="es-MX"/>
        </w:rPr>
        <w:t>Caso Castañeda Gutman Vs. México</w:t>
      </w:r>
      <w:r>
        <w:rPr>
          <w:rFonts w:ascii="Verdana" w:hAnsi="Verdana"/>
          <w:i/>
          <w:iCs/>
          <w:color w:val="000000" w:themeColor="text1"/>
          <w:sz w:val="16"/>
          <w:szCs w:val="16"/>
          <w:lang w:val="es-MX"/>
        </w:rPr>
        <w:t>, supra.</w:t>
      </w:r>
    </w:p>
  </w:footnote>
  <w:footnote w:id="84">
    <w:p w14:paraId="6A2FE574" w14:textId="5A7473B0" w:rsidR="00CA403B" w:rsidRPr="004C1491" w:rsidRDefault="00CA403B" w:rsidP="00871EA2">
      <w:pPr>
        <w:pStyle w:val="FootnoteText"/>
        <w:jc w:val="both"/>
        <w:rPr>
          <w:rFonts w:ascii="Verdana" w:hAnsi="Verdana"/>
          <w:color w:val="000000" w:themeColor="text1"/>
          <w:sz w:val="16"/>
          <w:szCs w:val="16"/>
        </w:rPr>
      </w:pPr>
      <w:r w:rsidRPr="000F000A">
        <w:rPr>
          <w:rStyle w:val="FootnoteReference"/>
          <w:rFonts w:ascii="Verdana" w:hAnsi="Verdana"/>
          <w:color w:val="000000" w:themeColor="text1"/>
          <w:sz w:val="16"/>
          <w:szCs w:val="16"/>
        </w:rPr>
        <w:footnoteRef/>
      </w:r>
      <w:r w:rsidRPr="000F000A">
        <w:rPr>
          <w:rFonts w:ascii="Verdana" w:hAnsi="Verdana"/>
          <w:color w:val="000000" w:themeColor="text1"/>
          <w:sz w:val="16"/>
          <w:szCs w:val="16"/>
        </w:rPr>
        <w:t xml:space="preserve"> </w:t>
      </w:r>
      <w:r w:rsidRPr="000F000A">
        <w:rPr>
          <w:rFonts w:ascii="Verdana" w:hAnsi="Verdana"/>
          <w:color w:val="000000" w:themeColor="text1"/>
          <w:sz w:val="16"/>
          <w:szCs w:val="16"/>
        </w:rPr>
        <w:tab/>
        <w:t>Párr.</w:t>
      </w:r>
      <w:r w:rsidRPr="004C1491">
        <w:rPr>
          <w:rFonts w:ascii="Verdana" w:hAnsi="Verdana"/>
          <w:color w:val="000000" w:themeColor="text1"/>
          <w:sz w:val="16"/>
          <w:szCs w:val="16"/>
        </w:rPr>
        <w:t xml:space="preserve"> 101 de la sentencia. </w:t>
      </w:r>
    </w:p>
  </w:footnote>
  <w:footnote w:id="85">
    <w:p w14:paraId="30854F23" w14:textId="77777777" w:rsidR="00CA403B" w:rsidRDefault="00CA403B" w:rsidP="00DA01FA">
      <w:pPr>
        <w:pStyle w:val="FootnoteText"/>
      </w:pPr>
      <w:r w:rsidRPr="00363551">
        <w:rPr>
          <w:rStyle w:val="FootnoteReference"/>
          <w:rFonts w:ascii="Verdana" w:hAnsi="Verdana"/>
          <w:sz w:val="16"/>
          <w:szCs w:val="16"/>
        </w:rPr>
        <w:footnoteRef/>
      </w:r>
      <w:r w:rsidRPr="00363551">
        <w:rPr>
          <w:rFonts w:ascii="Verdana" w:hAnsi="Verdana"/>
          <w:sz w:val="16"/>
          <w:szCs w:val="16"/>
        </w:rPr>
        <w:t xml:space="preserve"> </w:t>
      </w:r>
      <w:r w:rsidRPr="00363551">
        <w:rPr>
          <w:rFonts w:ascii="Verdana" w:hAnsi="Verdana"/>
          <w:sz w:val="16"/>
          <w:szCs w:val="16"/>
        </w:rPr>
        <w:tab/>
        <w:t>Párr. 102 de la sentencia.</w:t>
      </w:r>
    </w:p>
  </w:footnote>
  <w:footnote w:id="86">
    <w:p w14:paraId="0E6F87BD" w14:textId="16730307"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t xml:space="preserve">Párr. 102 de la sentencia. </w:t>
      </w:r>
    </w:p>
  </w:footnote>
  <w:footnote w:id="87">
    <w:p w14:paraId="76750DBC" w14:textId="571F6CFA"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871EA2">
        <w:rPr>
          <w:rFonts w:ascii="Verdana" w:hAnsi="Verdana" w:cs="Arial"/>
          <w:i/>
          <w:iCs/>
          <w:color w:val="000000" w:themeColor="text1"/>
          <w:sz w:val="16"/>
          <w:szCs w:val="16"/>
        </w:rPr>
        <w:t>Partido Comunista de Rusia y otros Vs. Rusia</w:t>
      </w:r>
      <w:r w:rsidRPr="00871EA2">
        <w:rPr>
          <w:rFonts w:ascii="Verdana" w:hAnsi="Verdana" w:cs="Arial"/>
          <w:color w:val="000000" w:themeColor="text1"/>
          <w:sz w:val="16"/>
          <w:szCs w:val="16"/>
        </w:rPr>
        <w:t xml:space="preserve">, </w:t>
      </w:r>
      <w:r>
        <w:rPr>
          <w:rFonts w:ascii="Verdana" w:hAnsi="Verdana" w:cs="Arial"/>
          <w:i/>
          <w:color w:val="000000" w:themeColor="text1"/>
          <w:sz w:val="16"/>
          <w:szCs w:val="16"/>
        </w:rPr>
        <w:t>supra</w:t>
      </w:r>
      <w:r w:rsidRPr="00871EA2">
        <w:rPr>
          <w:rFonts w:ascii="Verdana" w:hAnsi="Verdana" w:cs="Arial"/>
          <w:color w:val="000000" w:themeColor="text1"/>
          <w:sz w:val="16"/>
          <w:szCs w:val="16"/>
        </w:rPr>
        <w:t xml:space="preserve">, párr. 52. </w:t>
      </w:r>
    </w:p>
  </w:footnote>
  <w:footnote w:id="88">
    <w:p w14:paraId="039CE521" w14:textId="17F76125"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871EA2">
        <w:rPr>
          <w:rFonts w:ascii="Verdana" w:hAnsi="Verdana" w:cs="Arial"/>
          <w:i/>
          <w:iCs/>
          <w:color w:val="000000" w:themeColor="text1"/>
          <w:sz w:val="16"/>
          <w:szCs w:val="16"/>
        </w:rPr>
        <w:t>Partido Comunista de Rusia y otros Vs. Rusia</w:t>
      </w:r>
      <w:r w:rsidRPr="00871EA2">
        <w:rPr>
          <w:rFonts w:ascii="Verdana" w:hAnsi="Verdana" w:cs="Arial"/>
          <w:color w:val="000000" w:themeColor="text1"/>
          <w:sz w:val="16"/>
          <w:szCs w:val="16"/>
        </w:rPr>
        <w:t xml:space="preserve">, </w:t>
      </w:r>
      <w:r>
        <w:rPr>
          <w:rFonts w:ascii="Verdana" w:hAnsi="Verdana" w:cs="Arial"/>
          <w:i/>
          <w:color w:val="000000" w:themeColor="text1"/>
          <w:sz w:val="16"/>
          <w:szCs w:val="16"/>
        </w:rPr>
        <w:t>supra</w:t>
      </w:r>
      <w:r w:rsidRPr="00871EA2">
        <w:rPr>
          <w:rFonts w:ascii="Verdana" w:hAnsi="Verdana" w:cs="Arial"/>
          <w:color w:val="000000" w:themeColor="text1"/>
          <w:sz w:val="16"/>
          <w:szCs w:val="16"/>
        </w:rPr>
        <w:t xml:space="preserve">, párr. 53. </w:t>
      </w:r>
    </w:p>
  </w:footnote>
  <w:footnote w:id="89">
    <w:p w14:paraId="1499ECAA" w14:textId="56C9DDAE"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Pr>
          <w:rFonts w:ascii="Verdana" w:hAnsi="Verdana" w:cs="Arial"/>
          <w:i/>
          <w:iCs/>
          <w:color w:val="000000" w:themeColor="text1"/>
          <w:sz w:val="16"/>
          <w:szCs w:val="16"/>
        </w:rPr>
        <w:tab/>
      </w:r>
      <w:r w:rsidRPr="00871EA2">
        <w:rPr>
          <w:rFonts w:ascii="Verdana" w:hAnsi="Verdana" w:cs="Arial"/>
          <w:i/>
          <w:iCs/>
          <w:color w:val="000000" w:themeColor="text1"/>
          <w:sz w:val="16"/>
          <w:szCs w:val="16"/>
        </w:rPr>
        <w:t>Partido Comunista de Rusia y otros Vs. Rusia</w:t>
      </w:r>
      <w:r w:rsidRPr="00871EA2">
        <w:rPr>
          <w:rFonts w:ascii="Verdana" w:hAnsi="Verdana" w:cs="Arial"/>
          <w:color w:val="000000" w:themeColor="text1"/>
          <w:sz w:val="16"/>
          <w:szCs w:val="16"/>
        </w:rPr>
        <w:t xml:space="preserve">, </w:t>
      </w:r>
      <w:r>
        <w:rPr>
          <w:rFonts w:ascii="Verdana" w:hAnsi="Verdana" w:cs="Arial"/>
          <w:i/>
          <w:color w:val="000000" w:themeColor="text1"/>
          <w:sz w:val="16"/>
          <w:szCs w:val="16"/>
        </w:rPr>
        <w:t>supra</w:t>
      </w:r>
      <w:r w:rsidRPr="00871EA2">
        <w:rPr>
          <w:rFonts w:ascii="Verdana" w:hAnsi="Verdana" w:cs="Arial"/>
          <w:color w:val="000000" w:themeColor="text1"/>
          <w:sz w:val="16"/>
          <w:szCs w:val="16"/>
        </w:rPr>
        <w:t xml:space="preserve">, párr. 54. </w:t>
      </w:r>
    </w:p>
  </w:footnote>
  <w:footnote w:id="90">
    <w:p w14:paraId="093697C3" w14:textId="3BC20156"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t xml:space="preserve">Párr. 108 de la sentencia. </w:t>
      </w:r>
    </w:p>
  </w:footnote>
  <w:footnote w:id="91">
    <w:p w14:paraId="658236C9" w14:textId="1107DF5C"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t>Párr. 106 de la sentencia.</w:t>
      </w:r>
    </w:p>
  </w:footnote>
  <w:footnote w:id="92">
    <w:p w14:paraId="7B29F6C7" w14:textId="4E7155FC"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t>Párr. 106 de la sentencia.</w:t>
      </w:r>
    </w:p>
  </w:footnote>
  <w:footnote w:id="93">
    <w:p w14:paraId="13ED3166" w14:textId="7B553B03" w:rsidR="00CA403B" w:rsidRPr="00871EA2" w:rsidRDefault="00CA403B" w:rsidP="00871EA2">
      <w:pPr>
        <w:pStyle w:val="FootnoteText"/>
        <w:jc w:val="both"/>
        <w:rPr>
          <w:rFonts w:ascii="Verdana" w:hAnsi="Verdana"/>
          <w:color w:val="000000" w:themeColor="text1"/>
          <w:sz w:val="16"/>
          <w:szCs w:val="16"/>
        </w:rPr>
      </w:pPr>
      <w:r w:rsidRPr="00871EA2">
        <w:rPr>
          <w:rStyle w:val="FootnoteReference"/>
          <w:rFonts w:ascii="Verdana" w:hAnsi="Verdana"/>
          <w:color w:val="000000" w:themeColor="text1"/>
          <w:sz w:val="16"/>
          <w:szCs w:val="16"/>
        </w:rPr>
        <w:footnoteRef/>
      </w:r>
      <w:r w:rsidRPr="00871EA2">
        <w:rPr>
          <w:rFonts w:ascii="Verdana" w:hAnsi="Verdana"/>
          <w:color w:val="000000" w:themeColor="text1"/>
          <w:sz w:val="16"/>
          <w:szCs w:val="16"/>
        </w:rPr>
        <w:t xml:space="preserve">  </w:t>
      </w:r>
      <w:r w:rsidRPr="00871EA2">
        <w:rPr>
          <w:rFonts w:ascii="Verdana" w:hAnsi="Verdana"/>
          <w:color w:val="000000" w:themeColor="text1"/>
          <w:sz w:val="16"/>
          <w:szCs w:val="16"/>
        </w:rPr>
        <w:tab/>
      </w:r>
      <w:r w:rsidRPr="00871EA2">
        <w:rPr>
          <w:rFonts w:ascii="Verdana" w:hAnsi="Verdana"/>
          <w:i/>
          <w:iCs/>
          <w:color w:val="000000" w:themeColor="text1"/>
          <w:sz w:val="16"/>
          <w:szCs w:val="16"/>
        </w:rPr>
        <w:t>Mutatis mutandi</w:t>
      </w:r>
      <w:r w:rsidRPr="00871EA2">
        <w:rPr>
          <w:rFonts w:ascii="Verdana" w:hAnsi="Verdana"/>
          <w:color w:val="000000" w:themeColor="text1"/>
          <w:sz w:val="16"/>
          <w:szCs w:val="16"/>
        </w:rPr>
        <w:t>, Nohlen, D</w:t>
      </w:r>
      <w:r>
        <w:rPr>
          <w:rFonts w:ascii="Verdana" w:hAnsi="Verdana"/>
          <w:color w:val="000000" w:themeColor="text1"/>
          <w:sz w:val="16"/>
          <w:szCs w:val="16"/>
        </w:rPr>
        <w:t>ieter,</w:t>
      </w:r>
      <w:r w:rsidRPr="00871EA2">
        <w:rPr>
          <w:rFonts w:ascii="Verdana" w:hAnsi="Verdana"/>
          <w:color w:val="000000" w:themeColor="text1"/>
          <w:sz w:val="16"/>
          <w:szCs w:val="16"/>
        </w:rPr>
        <w:t xml:space="preserve">“Integridad electoral y Derecho electoral comparado: evaluando evaluaciones”, en </w:t>
      </w:r>
      <w:r w:rsidRPr="00871EA2">
        <w:rPr>
          <w:rFonts w:ascii="Verdana" w:hAnsi="Verdana"/>
          <w:i/>
          <w:iCs/>
          <w:color w:val="000000" w:themeColor="text1"/>
          <w:sz w:val="16"/>
          <w:szCs w:val="16"/>
        </w:rPr>
        <w:t>La democracia, instituciones, conceptos y contexto</w:t>
      </w:r>
      <w:r>
        <w:rPr>
          <w:rFonts w:ascii="Verdana" w:hAnsi="Verdana"/>
          <w:color w:val="000000" w:themeColor="text1"/>
          <w:sz w:val="16"/>
          <w:szCs w:val="16"/>
        </w:rPr>
        <w:t>,</w:t>
      </w:r>
      <w:r w:rsidRPr="00871EA2">
        <w:rPr>
          <w:rFonts w:ascii="Verdana" w:hAnsi="Verdana"/>
          <w:color w:val="000000" w:themeColor="text1"/>
          <w:sz w:val="16"/>
          <w:szCs w:val="16"/>
        </w:rPr>
        <w:t xml:space="preserve"> Ediciones Olejnik</w:t>
      </w:r>
      <w:r>
        <w:rPr>
          <w:rFonts w:ascii="Verdana" w:hAnsi="Verdana"/>
          <w:color w:val="000000" w:themeColor="text1"/>
          <w:sz w:val="16"/>
          <w:szCs w:val="16"/>
        </w:rPr>
        <w:t xml:space="preserve">, 2019, </w:t>
      </w:r>
      <w:r w:rsidRPr="00871EA2">
        <w:rPr>
          <w:rFonts w:ascii="Verdana" w:hAnsi="Verdana"/>
          <w:color w:val="000000" w:themeColor="text1"/>
          <w:sz w:val="16"/>
          <w:szCs w:val="16"/>
        </w:rPr>
        <w:t>p. 271.</w:t>
      </w:r>
    </w:p>
  </w:footnote>
  <w:footnote w:id="94">
    <w:p w14:paraId="12AEC52F" w14:textId="546EDABA" w:rsidR="00CA403B" w:rsidRPr="00C466E7" w:rsidRDefault="00CA403B" w:rsidP="00C32895">
      <w:pPr>
        <w:spacing w:after="0" w:line="240" w:lineRule="auto"/>
        <w:jc w:val="both"/>
        <w:rPr>
          <w:rFonts w:ascii="Verdana" w:eastAsia="Verdana" w:hAnsi="Verdana" w:cs="Verdana"/>
          <w:sz w:val="16"/>
          <w:szCs w:val="16"/>
        </w:rPr>
      </w:pPr>
      <w:r w:rsidRPr="00C466E7">
        <w:rPr>
          <w:rFonts w:ascii="Verdana" w:hAnsi="Verdana"/>
          <w:sz w:val="16"/>
          <w:szCs w:val="16"/>
          <w:vertAlign w:val="superscript"/>
        </w:rPr>
        <w:footnoteRef/>
      </w:r>
      <w:r w:rsidRPr="00C466E7">
        <w:rPr>
          <w:rFonts w:ascii="Verdana" w:hAnsi="Verdana"/>
          <w:sz w:val="16"/>
          <w:szCs w:val="16"/>
          <w:vertAlign w:val="superscript"/>
        </w:rPr>
        <w:t xml:space="preserve"> </w:t>
      </w:r>
      <w:r w:rsidRPr="00C466E7">
        <w:rPr>
          <w:rFonts w:ascii="Verdana" w:hAnsi="Verdana"/>
          <w:sz w:val="16"/>
          <w:szCs w:val="16"/>
        </w:rPr>
        <w:tab/>
      </w:r>
      <w:r>
        <w:rPr>
          <w:rFonts w:ascii="Verdana" w:hAnsi="Verdana"/>
          <w:sz w:val="16"/>
          <w:szCs w:val="16"/>
        </w:rPr>
        <w:t xml:space="preserve">Véase </w:t>
      </w:r>
      <w:r w:rsidRPr="00C466E7">
        <w:rPr>
          <w:rFonts w:ascii="Verdana" w:eastAsia="Verdana" w:hAnsi="Verdana" w:cs="Verdana"/>
          <w:sz w:val="16"/>
          <w:szCs w:val="16"/>
          <w:lang w:val="es"/>
        </w:rPr>
        <w:t xml:space="preserve">Corte Suprema de Justicia de la Nación, Fallos 328:1825, voto de los ministros S. Fayt y Juan Carlos Maqueda, pp. 16-17; </w:t>
      </w:r>
      <w:r w:rsidRPr="00C466E7">
        <w:rPr>
          <w:rFonts w:ascii="Verdana" w:eastAsia="Verdana" w:hAnsi="Verdana" w:cs="Verdana"/>
          <w:sz w:val="16"/>
          <w:szCs w:val="16"/>
        </w:rPr>
        <w:t>Cámara Nacional Electoral,  Acordada Extraordinaria Número Diez del 24 de febrero de 2015, pp. 12-13</w:t>
      </w:r>
      <w:r>
        <w:rPr>
          <w:rFonts w:ascii="Verdana" w:eastAsia="Verdana" w:hAnsi="Verdana" w:cs="Verdana"/>
          <w:sz w:val="16"/>
          <w:szCs w:val="16"/>
        </w:rPr>
        <w:t xml:space="preserve"> y </w:t>
      </w:r>
      <w:r w:rsidRPr="00C466E7">
        <w:rPr>
          <w:rFonts w:ascii="Verdana" w:eastAsia="Verdana" w:hAnsi="Verdana" w:cs="Verdana"/>
          <w:sz w:val="16"/>
          <w:szCs w:val="16"/>
        </w:rPr>
        <w:t>Acordada Extraordinaria Número Cien del 20 de agosto de 2015, pp. 7-8.</w:t>
      </w:r>
    </w:p>
  </w:footnote>
  <w:footnote w:id="95">
    <w:p w14:paraId="55CF5B03" w14:textId="7ABAC796" w:rsidR="00CA403B" w:rsidRPr="00C466E7" w:rsidRDefault="00CA403B" w:rsidP="00C32895">
      <w:pPr>
        <w:spacing w:after="0" w:line="240" w:lineRule="auto"/>
        <w:jc w:val="both"/>
        <w:rPr>
          <w:rFonts w:ascii="Verdana" w:hAnsi="Verdana"/>
          <w:sz w:val="16"/>
          <w:szCs w:val="16"/>
        </w:rPr>
      </w:pPr>
      <w:r w:rsidRPr="00C466E7">
        <w:rPr>
          <w:rFonts w:ascii="Verdana" w:hAnsi="Verdana"/>
          <w:sz w:val="16"/>
          <w:szCs w:val="16"/>
          <w:vertAlign w:val="superscript"/>
        </w:rPr>
        <w:footnoteRef/>
      </w:r>
      <w:r w:rsidRPr="00C466E7">
        <w:rPr>
          <w:rFonts w:ascii="Verdana" w:hAnsi="Verdana"/>
          <w:sz w:val="16"/>
          <w:szCs w:val="16"/>
          <w:vertAlign w:val="superscript"/>
        </w:rPr>
        <w:t xml:space="preserve"> </w:t>
      </w:r>
      <w:r w:rsidRPr="00C466E7">
        <w:rPr>
          <w:rFonts w:ascii="Verdana" w:hAnsi="Verdana"/>
          <w:sz w:val="16"/>
          <w:szCs w:val="16"/>
        </w:rPr>
        <w:tab/>
      </w:r>
      <w:r>
        <w:rPr>
          <w:rFonts w:ascii="Verdana" w:hAnsi="Verdana"/>
          <w:sz w:val="16"/>
          <w:szCs w:val="16"/>
        </w:rPr>
        <w:t xml:space="preserve">Obsérvese </w:t>
      </w:r>
      <w:r w:rsidRPr="00C466E7">
        <w:rPr>
          <w:rFonts w:ascii="Verdana" w:hAnsi="Verdana"/>
          <w:sz w:val="16"/>
          <w:szCs w:val="16"/>
        </w:rPr>
        <w:t>T</w:t>
      </w:r>
      <w:r w:rsidRPr="00C466E7">
        <w:rPr>
          <w:rFonts w:ascii="Verdana" w:eastAsia="Verdana" w:hAnsi="Verdana" w:cs="Verdana"/>
          <w:sz w:val="16"/>
          <w:szCs w:val="16"/>
        </w:rPr>
        <w:t>ribunal Superior Electoral, Apelación Interlocutoria en la Representación Nº 0601666 del 21 de septiembre de 2023, p. 1; y Refrendo sobre la Representación Nº 0601386-41 del 13 de octubre de 2022, p. 5.</w:t>
      </w:r>
    </w:p>
  </w:footnote>
  <w:footnote w:id="96">
    <w:p w14:paraId="0EE3721C" w14:textId="39149C6F" w:rsidR="00CA403B" w:rsidRPr="00C466E7" w:rsidRDefault="00CA403B" w:rsidP="00C32895">
      <w:pPr>
        <w:spacing w:after="0" w:line="240" w:lineRule="auto"/>
        <w:jc w:val="both"/>
        <w:rPr>
          <w:rFonts w:ascii="Verdana" w:hAnsi="Verdana"/>
          <w:sz w:val="16"/>
          <w:szCs w:val="16"/>
        </w:rPr>
      </w:pPr>
      <w:r w:rsidRPr="00C466E7">
        <w:rPr>
          <w:rFonts w:ascii="Verdana" w:hAnsi="Verdana"/>
          <w:sz w:val="16"/>
          <w:szCs w:val="16"/>
          <w:vertAlign w:val="superscript"/>
        </w:rPr>
        <w:footnoteRef/>
      </w:r>
      <w:r w:rsidRPr="00C466E7">
        <w:rPr>
          <w:rFonts w:ascii="Verdana" w:hAnsi="Verdana"/>
          <w:sz w:val="16"/>
          <w:szCs w:val="16"/>
          <w:vertAlign w:val="superscript"/>
        </w:rPr>
        <w:t xml:space="preserve"> </w:t>
      </w:r>
      <w:r w:rsidRPr="00C466E7">
        <w:rPr>
          <w:rFonts w:ascii="Verdana" w:hAnsi="Verdana"/>
          <w:sz w:val="16"/>
          <w:szCs w:val="16"/>
        </w:rPr>
        <w:tab/>
      </w:r>
      <w:r>
        <w:rPr>
          <w:rFonts w:ascii="Verdana" w:hAnsi="Verdana"/>
          <w:sz w:val="16"/>
          <w:szCs w:val="16"/>
        </w:rPr>
        <w:t xml:space="preserve">Revísese </w:t>
      </w:r>
      <w:r w:rsidRPr="00C466E7">
        <w:rPr>
          <w:rFonts w:ascii="Verdana" w:hAnsi="Verdana"/>
          <w:sz w:val="16"/>
          <w:szCs w:val="16"/>
        </w:rPr>
        <w:t>Corte Constitucional de Colombia, C-015/04, p. 16.</w:t>
      </w:r>
    </w:p>
  </w:footnote>
  <w:footnote w:id="97">
    <w:p w14:paraId="469D64DA" w14:textId="4AE4B00A" w:rsidR="00CA403B" w:rsidRPr="00C466E7" w:rsidRDefault="00CA403B" w:rsidP="00C32895">
      <w:pPr>
        <w:spacing w:after="0" w:line="240" w:lineRule="auto"/>
        <w:jc w:val="both"/>
        <w:rPr>
          <w:rFonts w:ascii="Verdana" w:hAnsi="Verdana"/>
          <w:sz w:val="16"/>
          <w:szCs w:val="16"/>
        </w:rPr>
      </w:pPr>
      <w:r w:rsidRPr="00C466E7">
        <w:rPr>
          <w:rFonts w:ascii="Verdana" w:hAnsi="Verdana"/>
          <w:sz w:val="16"/>
          <w:szCs w:val="16"/>
          <w:vertAlign w:val="superscript"/>
        </w:rPr>
        <w:footnoteRef/>
      </w:r>
      <w:r w:rsidRPr="00C466E7">
        <w:rPr>
          <w:rFonts w:ascii="Verdana" w:hAnsi="Verdana"/>
          <w:sz w:val="16"/>
          <w:szCs w:val="16"/>
          <w:vertAlign w:val="superscript"/>
        </w:rPr>
        <w:t xml:space="preserve"> </w:t>
      </w:r>
      <w:r w:rsidRPr="00C466E7">
        <w:rPr>
          <w:rFonts w:ascii="Verdana" w:hAnsi="Verdana"/>
          <w:sz w:val="16"/>
          <w:szCs w:val="16"/>
        </w:rPr>
        <w:tab/>
      </w:r>
      <w:r>
        <w:rPr>
          <w:rFonts w:ascii="Verdana" w:hAnsi="Verdana"/>
          <w:sz w:val="16"/>
          <w:szCs w:val="16"/>
        </w:rPr>
        <w:t>Véase</w:t>
      </w:r>
      <w:r w:rsidRPr="00C466E7">
        <w:rPr>
          <w:rFonts w:ascii="Verdana" w:hAnsi="Verdana"/>
          <w:sz w:val="16"/>
          <w:szCs w:val="16"/>
        </w:rPr>
        <w:t xml:space="preserve"> T</w:t>
      </w:r>
      <w:r w:rsidRPr="00C466E7">
        <w:rPr>
          <w:rFonts w:ascii="Verdana" w:eastAsia="Verdana" w:hAnsi="Verdana" w:cs="Verdana"/>
          <w:sz w:val="16"/>
          <w:szCs w:val="16"/>
        </w:rPr>
        <w:t>ribunal Supremo de Elecciones, Asunto N.º 8084-E8-2017 del 20 de diciembre de 2017 y Asunto N.° 2575-E8-2014 del 21 de julio de 2014.</w:t>
      </w:r>
    </w:p>
  </w:footnote>
  <w:footnote w:id="98">
    <w:p w14:paraId="1F32E061" w14:textId="78B91FED" w:rsidR="00CA403B" w:rsidRPr="00C466E7" w:rsidRDefault="00CA403B" w:rsidP="00C32895">
      <w:pPr>
        <w:spacing w:after="0" w:line="240" w:lineRule="auto"/>
        <w:jc w:val="both"/>
        <w:rPr>
          <w:rFonts w:ascii="Verdana" w:eastAsia="Verdana" w:hAnsi="Verdana" w:cs="Verdana"/>
          <w:sz w:val="16"/>
          <w:szCs w:val="16"/>
        </w:rPr>
      </w:pPr>
      <w:r w:rsidRPr="00C466E7">
        <w:rPr>
          <w:rFonts w:ascii="Verdana" w:hAnsi="Verdana"/>
          <w:sz w:val="16"/>
          <w:szCs w:val="16"/>
          <w:vertAlign w:val="superscript"/>
        </w:rPr>
        <w:footnoteRef/>
      </w:r>
      <w:r w:rsidRPr="00C466E7">
        <w:rPr>
          <w:rFonts w:ascii="Verdana" w:hAnsi="Verdana"/>
          <w:sz w:val="16"/>
          <w:szCs w:val="16"/>
          <w:vertAlign w:val="superscript"/>
        </w:rPr>
        <w:t xml:space="preserve"> </w:t>
      </w:r>
      <w:r w:rsidRPr="00C466E7">
        <w:rPr>
          <w:rFonts w:ascii="Verdana" w:hAnsi="Verdana"/>
          <w:sz w:val="16"/>
          <w:szCs w:val="16"/>
        </w:rPr>
        <w:tab/>
      </w:r>
      <w:r>
        <w:rPr>
          <w:rFonts w:ascii="Verdana" w:hAnsi="Verdana"/>
          <w:sz w:val="16"/>
          <w:szCs w:val="16"/>
        </w:rPr>
        <w:t xml:space="preserve">Consúltese </w:t>
      </w:r>
      <w:r w:rsidRPr="00C466E7">
        <w:rPr>
          <w:rFonts w:ascii="Verdana" w:eastAsia="Verdana" w:hAnsi="Verdana" w:cs="Verdana"/>
          <w:sz w:val="16"/>
          <w:szCs w:val="16"/>
        </w:rPr>
        <w:t xml:space="preserve">Tribunal Contencioso Electoral, Sentencia Apelaciones 128-2009 del 2 de mayo de 2009, p. 4; </w:t>
      </w:r>
      <w:r w:rsidRPr="00437937">
        <w:rPr>
          <w:rFonts w:ascii="Verdana" w:eastAsia="Verdana" w:hAnsi="Verdana" w:cs="Verdana"/>
          <w:sz w:val="16"/>
          <w:szCs w:val="16"/>
        </w:rPr>
        <w:t xml:space="preserve">Sentencia Apelaciones 126-2009 del 11 de mayo de 2009, p. 3; </w:t>
      </w:r>
      <w:r w:rsidRPr="00C466E7">
        <w:rPr>
          <w:rFonts w:ascii="Verdana" w:eastAsia="Verdana" w:hAnsi="Verdana" w:cs="Verdana"/>
          <w:sz w:val="16"/>
          <w:szCs w:val="16"/>
        </w:rPr>
        <w:t>y Sentencia Apelaciones 316-2023 del 24 de abril de 2024, párrs. 36 y 39.</w:t>
      </w:r>
    </w:p>
  </w:footnote>
  <w:footnote w:id="99">
    <w:p w14:paraId="7DD6B344" w14:textId="619185AC" w:rsidR="00CA403B" w:rsidRPr="00C32895" w:rsidRDefault="00CA403B" w:rsidP="00C32895">
      <w:pPr>
        <w:spacing w:after="0" w:line="240" w:lineRule="auto"/>
        <w:jc w:val="both"/>
        <w:rPr>
          <w:rFonts w:ascii="Verdana" w:eastAsia="Verdana" w:hAnsi="Verdana" w:cs="Verdana"/>
          <w:sz w:val="16"/>
          <w:szCs w:val="16"/>
        </w:rPr>
      </w:pPr>
      <w:r w:rsidRPr="00C32895">
        <w:rPr>
          <w:rFonts w:ascii="Verdana" w:hAnsi="Verdana"/>
          <w:sz w:val="16"/>
          <w:szCs w:val="16"/>
        </w:rPr>
        <w:footnoteRef/>
      </w:r>
      <w:r w:rsidRPr="00C32895">
        <w:rPr>
          <w:rFonts w:ascii="Verdana" w:hAnsi="Verdana"/>
          <w:sz w:val="16"/>
          <w:szCs w:val="16"/>
        </w:rPr>
        <w:t xml:space="preserve"> </w:t>
      </w:r>
      <w:r w:rsidRPr="00C32895">
        <w:rPr>
          <w:rFonts w:ascii="Verdana" w:hAnsi="Verdana"/>
          <w:sz w:val="16"/>
          <w:szCs w:val="16"/>
        </w:rPr>
        <w:tab/>
      </w:r>
      <w:r>
        <w:rPr>
          <w:rFonts w:ascii="Verdana" w:hAnsi="Verdana"/>
          <w:sz w:val="16"/>
          <w:szCs w:val="16"/>
        </w:rPr>
        <w:t xml:space="preserve">Véase </w:t>
      </w:r>
      <w:r w:rsidRPr="00C32895">
        <w:rPr>
          <w:rFonts w:ascii="Verdana" w:eastAsia="Verdana" w:hAnsi="Verdana" w:cs="Verdana"/>
          <w:sz w:val="16"/>
          <w:szCs w:val="16"/>
        </w:rPr>
        <w:t>Sala Superior de</w:t>
      </w:r>
      <w:r w:rsidRPr="00C32895">
        <w:rPr>
          <w:rFonts w:ascii="Verdana" w:hAnsi="Verdana"/>
          <w:sz w:val="16"/>
          <w:szCs w:val="16"/>
        </w:rPr>
        <w:t xml:space="preserve">l </w:t>
      </w:r>
      <w:r w:rsidRPr="00C32895">
        <w:rPr>
          <w:rFonts w:ascii="Verdana" w:eastAsia="Verdana" w:hAnsi="Verdana" w:cs="Verdana"/>
          <w:sz w:val="16"/>
          <w:szCs w:val="16"/>
        </w:rPr>
        <w:t>Tribunal Electoral del Poder Judicial de la Federación, Expediente SUP-JE-58/2024, párr. 51; Expediente SUP-REP-39/2024, párrs. 118-121; Expedientes SUP-JE-278/2022 y SUP-JE-279/2022, párrs. 88-90; y Expediente SUP-JE-1/2022, pp. 21-23.</w:t>
      </w:r>
    </w:p>
  </w:footnote>
  <w:footnote w:id="100">
    <w:p w14:paraId="59F45197" w14:textId="6063CE08" w:rsidR="00CA403B" w:rsidRPr="0042072A" w:rsidRDefault="00CA403B">
      <w:pPr>
        <w:pStyle w:val="FootnoteText"/>
        <w:rPr>
          <w:rFonts w:ascii="Verdana" w:hAnsi="Verdana"/>
          <w:sz w:val="16"/>
          <w:szCs w:val="16"/>
          <w:lang w:val="es-ES"/>
        </w:rPr>
      </w:pPr>
      <w:r w:rsidRPr="00BF0290">
        <w:rPr>
          <w:rStyle w:val="FootnoteReference"/>
          <w:rFonts w:ascii="Verdana" w:hAnsi="Verdana"/>
          <w:sz w:val="16"/>
          <w:szCs w:val="16"/>
        </w:rPr>
        <w:footnoteRef/>
      </w:r>
      <w:r w:rsidRPr="00BF0290">
        <w:rPr>
          <w:rFonts w:ascii="Verdana" w:hAnsi="Verdana"/>
          <w:sz w:val="16"/>
          <w:szCs w:val="16"/>
        </w:rPr>
        <w:t xml:space="preserve"> </w:t>
      </w:r>
      <w:r w:rsidRPr="00BF0290">
        <w:rPr>
          <w:rFonts w:ascii="Verdana" w:hAnsi="Verdana"/>
          <w:sz w:val="16"/>
          <w:szCs w:val="16"/>
          <w:lang w:val="es-ES"/>
        </w:rPr>
        <w:tab/>
      </w:r>
      <w:r w:rsidRPr="00BF0290">
        <w:rPr>
          <w:rFonts w:ascii="Verdana" w:hAnsi="Verdana"/>
          <w:i/>
          <w:iCs/>
          <w:sz w:val="16"/>
          <w:szCs w:val="16"/>
          <w:lang w:val="es-ES"/>
        </w:rPr>
        <w:t>Cfr.</w:t>
      </w:r>
      <w:r w:rsidRPr="00BF0290">
        <w:rPr>
          <w:rFonts w:ascii="Verdana" w:hAnsi="Verdana"/>
          <w:sz w:val="16"/>
          <w:szCs w:val="16"/>
          <w:lang w:val="es-ES"/>
        </w:rPr>
        <w:t xml:space="preserve"> párrs. 59 y 60 de este voto razonado.</w:t>
      </w:r>
    </w:p>
  </w:footnote>
  <w:footnote w:id="101">
    <w:p w14:paraId="6AAA9F59" w14:textId="4F65328A" w:rsidR="00CA403B" w:rsidRPr="00363551" w:rsidRDefault="00CA403B">
      <w:pPr>
        <w:pStyle w:val="FootnoteText"/>
        <w:rPr>
          <w:lang w:val="es-ES"/>
        </w:rPr>
      </w:pPr>
      <w:r>
        <w:rPr>
          <w:rStyle w:val="FootnoteReference"/>
        </w:rPr>
        <w:footnoteRef/>
      </w:r>
      <w:r>
        <w:t xml:space="preserve"> </w:t>
      </w:r>
      <w:r>
        <w:rPr>
          <w:lang w:val="es-ES"/>
        </w:rPr>
        <w:tab/>
      </w:r>
      <w:r>
        <w:rPr>
          <w:rFonts w:ascii="Verdana" w:hAnsi="Verdana"/>
          <w:sz w:val="16"/>
          <w:szCs w:val="16"/>
          <w:lang w:val="es-ES"/>
        </w:rPr>
        <w:t>P</w:t>
      </w:r>
      <w:r w:rsidRPr="000F15EB">
        <w:rPr>
          <w:rFonts w:ascii="Verdana" w:hAnsi="Verdana"/>
          <w:sz w:val="16"/>
          <w:szCs w:val="16"/>
          <w:lang w:val="es-ES"/>
        </w:rPr>
        <w:t>árr</w:t>
      </w:r>
      <w:r>
        <w:rPr>
          <w:rFonts w:ascii="Verdana" w:hAnsi="Verdana"/>
          <w:sz w:val="16"/>
          <w:szCs w:val="16"/>
          <w:lang w:val="es-ES"/>
        </w:rPr>
        <w:t>. 203</w:t>
      </w:r>
      <w:r w:rsidRPr="000F15EB">
        <w:rPr>
          <w:rFonts w:ascii="Verdana" w:hAnsi="Verdana"/>
          <w:sz w:val="16"/>
          <w:szCs w:val="16"/>
          <w:lang w:val="es-ES"/>
        </w:rPr>
        <w:t xml:space="preserve"> de la sentencia.</w:t>
      </w:r>
    </w:p>
  </w:footnote>
  <w:footnote w:id="102">
    <w:p w14:paraId="40880061" w14:textId="752841A9" w:rsidR="00CA403B" w:rsidRPr="00871EA2" w:rsidRDefault="00CA403B" w:rsidP="00871EA2">
      <w:pPr>
        <w:pStyle w:val="FootnoteText"/>
        <w:jc w:val="both"/>
        <w:rPr>
          <w:rFonts w:ascii="Verdana" w:hAnsi="Verdana"/>
          <w:sz w:val="16"/>
          <w:szCs w:val="16"/>
          <w:lang w:val="es-ES"/>
        </w:rPr>
      </w:pPr>
      <w:r w:rsidRPr="000F15EB">
        <w:rPr>
          <w:rStyle w:val="FootnoteReference"/>
          <w:rFonts w:ascii="Verdana" w:hAnsi="Verdana"/>
          <w:sz w:val="16"/>
          <w:szCs w:val="16"/>
        </w:rPr>
        <w:footnoteRef/>
      </w:r>
      <w:r w:rsidRPr="000F15EB">
        <w:rPr>
          <w:rFonts w:ascii="Verdana" w:hAnsi="Verdana"/>
          <w:sz w:val="16"/>
          <w:szCs w:val="16"/>
        </w:rPr>
        <w:t xml:space="preserve"> </w:t>
      </w:r>
      <w:r w:rsidRPr="000F15EB">
        <w:rPr>
          <w:rFonts w:ascii="Verdana" w:hAnsi="Verdana"/>
          <w:sz w:val="16"/>
          <w:szCs w:val="16"/>
          <w:lang w:val="es-ES"/>
        </w:rPr>
        <w:tab/>
        <w:t>Véase párr. 101 de la sentencia.</w:t>
      </w:r>
    </w:p>
  </w:footnote>
  <w:footnote w:id="103">
    <w:p w14:paraId="0CE35A2D" w14:textId="4418EEDE" w:rsidR="00CA403B" w:rsidRPr="001017CB"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rPr>
        <w:footnoteRef/>
      </w:r>
      <w:r w:rsidRPr="001017CB">
        <w:rPr>
          <w:rFonts w:ascii="Verdana" w:hAnsi="Verdana"/>
          <w:sz w:val="16"/>
          <w:szCs w:val="16"/>
          <w:lang w:val="es-ES"/>
        </w:rPr>
        <w:t xml:space="preserve"> </w:t>
      </w:r>
      <w:r w:rsidRPr="001017CB">
        <w:rPr>
          <w:rFonts w:ascii="Verdana" w:hAnsi="Verdana"/>
          <w:sz w:val="16"/>
          <w:szCs w:val="16"/>
          <w:lang w:val="es-ES"/>
        </w:rPr>
        <w:tab/>
      </w:r>
      <w:r w:rsidRPr="001017CB">
        <w:rPr>
          <w:rFonts w:ascii="Verdana" w:hAnsi="Verdana"/>
          <w:i/>
          <w:iCs/>
          <w:sz w:val="16"/>
          <w:szCs w:val="16"/>
          <w:lang w:val="es-ES"/>
        </w:rPr>
        <w:t>Cfr.</w:t>
      </w:r>
      <w:r w:rsidRPr="001017CB">
        <w:rPr>
          <w:rFonts w:ascii="Verdana" w:hAnsi="Verdana"/>
          <w:sz w:val="16"/>
          <w:szCs w:val="16"/>
          <w:lang w:val="es-ES"/>
        </w:rPr>
        <w:t xml:space="preserve"> </w:t>
      </w:r>
      <w:r w:rsidRPr="001017CB">
        <w:rPr>
          <w:rFonts w:ascii="Verdana" w:hAnsi="Verdana"/>
          <w:i/>
          <w:iCs/>
          <w:sz w:val="16"/>
          <w:szCs w:val="16"/>
          <w:lang w:val="es-ES"/>
        </w:rPr>
        <w:t>Opinión Consultiva OC-28/21, supr</w:t>
      </w:r>
      <w:r w:rsidRPr="001017CB">
        <w:rPr>
          <w:rFonts w:ascii="Verdana" w:hAnsi="Verdana"/>
          <w:sz w:val="16"/>
          <w:szCs w:val="16"/>
          <w:lang w:val="es-ES"/>
        </w:rPr>
        <w:t>a, párr. 79.</w:t>
      </w:r>
    </w:p>
  </w:footnote>
  <w:footnote w:id="104">
    <w:p w14:paraId="09072DB8" w14:textId="6F17C1CE" w:rsidR="00CA403B" w:rsidRPr="00871EA2" w:rsidRDefault="00CA403B" w:rsidP="00871EA2">
      <w:pPr>
        <w:pStyle w:val="FootnoteText"/>
        <w:jc w:val="both"/>
        <w:rPr>
          <w:rFonts w:ascii="Verdana" w:hAnsi="Verdana"/>
          <w:sz w:val="16"/>
          <w:szCs w:val="16"/>
        </w:rPr>
      </w:pPr>
      <w:r w:rsidRPr="00871EA2">
        <w:rPr>
          <w:rStyle w:val="FootnoteReference"/>
          <w:rFonts w:ascii="Verdana" w:hAnsi="Verdana"/>
          <w:sz w:val="16"/>
          <w:szCs w:val="16"/>
        </w:rPr>
        <w:footnoteRef/>
      </w:r>
      <w:r w:rsidRPr="001017CB">
        <w:rPr>
          <w:rFonts w:ascii="Verdana" w:hAnsi="Verdana"/>
          <w:sz w:val="16"/>
          <w:szCs w:val="16"/>
          <w:lang w:val="es-ES"/>
        </w:rPr>
        <w:t xml:space="preserve"> </w:t>
      </w:r>
      <w:r w:rsidRPr="001017CB">
        <w:rPr>
          <w:rFonts w:ascii="Verdana" w:hAnsi="Verdana"/>
          <w:sz w:val="16"/>
          <w:szCs w:val="16"/>
          <w:lang w:val="es-ES"/>
        </w:rPr>
        <w:tab/>
      </w:r>
      <w:r w:rsidRPr="001017CB">
        <w:rPr>
          <w:rFonts w:ascii="Verdana" w:hAnsi="Verdana"/>
          <w:i/>
          <w:iCs/>
          <w:sz w:val="16"/>
          <w:szCs w:val="16"/>
          <w:lang w:val="es-ES"/>
        </w:rPr>
        <w:t>Cfr.</w:t>
      </w:r>
      <w:r w:rsidRPr="001017CB">
        <w:rPr>
          <w:rFonts w:ascii="Verdana" w:hAnsi="Verdana"/>
          <w:sz w:val="16"/>
          <w:szCs w:val="16"/>
          <w:lang w:val="es-ES"/>
        </w:rPr>
        <w:t xml:space="preserve"> </w:t>
      </w:r>
      <w:r w:rsidRPr="00871EA2">
        <w:rPr>
          <w:rFonts w:ascii="Verdana" w:hAnsi="Verdana"/>
          <w:i/>
          <w:iCs/>
          <w:sz w:val="16"/>
          <w:szCs w:val="16"/>
          <w:lang w:val="es-ES"/>
        </w:rPr>
        <w:t>Opinión Consultiva OC-28/21, supra</w:t>
      </w:r>
      <w:r w:rsidRPr="00871EA2">
        <w:rPr>
          <w:rFonts w:ascii="Verdana" w:hAnsi="Verdana"/>
          <w:sz w:val="16"/>
          <w:szCs w:val="16"/>
          <w:lang w:val="es-ES"/>
        </w:rPr>
        <w:t>, párr</w:t>
      </w:r>
      <w:r>
        <w:rPr>
          <w:rFonts w:ascii="Verdana" w:hAnsi="Verdana"/>
          <w:sz w:val="16"/>
          <w:szCs w:val="16"/>
          <w:lang w:val="es-ES"/>
        </w:rPr>
        <w:t>s</w:t>
      </w:r>
      <w:r w:rsidRPr="00871EA2">
        <w:rPr>
          <w:rFonts w:ascii="Verdana" w:hAnsi="Verdana"/>
          <w:sz w:val="16"/>
          <w:szCs w:val="16"/>
          <w:lang w:val="es-ES"/>
        </w:rPr>
        <w:t>. 70 y 79.</w:t>
      </w:r>
    </w:p>
  </w:footnote>
  <w:footnote w:id="105">
    <w:p w14:paraId="73719640" w14:textId="4452111C" w:rsidR="00CA403B" w:rsidRPr="00871EA2" w:rsidRDefault="00CA403B" w:rsidP="00871EA2">
      <w:pPr>
        <w:pStyle w:val="FootnoteText"/>
        <w:jc w:val="both"/>
        <w:rPr>
          <w:rFonts w:ascii="Verdana" w:hAnsi="Verdana"/>
          <w:sz w:val="16"/>
          <w:szCs w:val="16"/>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rPr>
        <w:tab/>
        <w:t xml:space="preserve">Párr. 103 de la sentencia. Asimismo, </w:t>
      </w:r>
      <w:r w:rsidRPr="00871EA2">
        <w:rPr>
          <w:rFonts w:ascii="Verdana" w:hAnsi="Verdana"/>
          <w:i/>
          <w:iCs/>
          <w:sz w:val="16"/>
          <w:szCs w:val="16"/>
        </w:rPr>
        <w:t>cfr. Caso Petro Urrego Vs. Colombia</w:t>
      </w:r>
      <w:r w:rsidRPr="00871EA2">
        <w:rPr>
          <w:rFonts w:ascii="Verdana" w:hAnsi="Verdana"/>
          <w:sz w:val="16"/>
          <w:szCs w:val="16"/>
        </w:rPr>
        <w:t xml:space="preserve">, </w:t>
      </w:r>
      <w:r w:rsidRPr="00CA403B">
        <w:rPr>
          <w:rFonts w:ascii="Verdana" w:hAnsi="Verdana"/>
          <w:i/>
          <w:sz w:val="16"/>
          <w:szCs w:val="16"/>
        </w:rPr>
        <w:t>supra</w:t>
      </w:r>
      <w:r>
        <w:rPr>
          <w:rFonts w:ascii="Verdana" w:hAnsi="Verdana"/>
          <w:sz w:val="16"/>
          <w:szCs w:val="16"/>
        </w:rPr>
        <w:t xml:space="preserve">, </w:t>
      </w:r>
      <w:r w:rsidRPr="00686CC9">
        <w:rPr>
          <w:rFonts w:ascii="Verdana" w:hAnsi="Verdana"/>
          <w:sz w:val="16"/>
          <w:szCs w:val="16"/>
        </w:rPr>
        <w:t>párr</w:t>
      </w:r>
      <w:r w:rsidRPr="00871EA2">
        <w:rPr>
          <w:rFonts w:ascii="Verdana" w:hAnsi="Verdana"/>
          <w:sz w:val="16"/>
          <w:szCs w:val="16"/>
        </w:rPr>
        <w:t>. 92</w:t>
      </w:r>
      <w:r>
        <w:rPr>
          <w:rFonts w:ascii="Verdana" w:hAnsi="Verdana"/>
          <w:sz w:val="16"/>
          <w:szCs w:val="16"/>
        </w:rPr>
        <w:t>.</w:t>
      </w:r>
    </w:p>
  </w:footnote>
  <w:footnote w:id="106">
    <w:p w14:paraId="209AC31D" w14:textId="77777777"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sidRPr="00871EA2">
        <w:rPr>
          <w:rFonts w:ascii="Verdana" w:hAnsi="Verdana"/>
          <w:i/>
          <w:iCs/>
          <w:sz w:val="16"/>
          <w:szCs w:val="16"/>
          <w:lang w:val="es-ES"/>
        </w:rPr>
        <w:t>Cfr.</w:t>
      </w:r>
      <w:r w:rsidRPr="00871EA2">
        <w:rPr>
          <w:rFonts w:ascii="Verdana" w:hAnsi="Verdana"/>
          <w:sz w:val="16"/>
          <w:szCs w:val="16"/>
          <w:lang w:val="es-ES"/>
        </w:rPr>
        <w:t xml:space="preserve"> Carta Democrática Interamericana. Aprobada en la primera sesión plenaria de la Asamblea General de la OEA, celebrada el 11 de septiembre de 2001.</w:t>
      </w:r>
    </w:p>
  </w:footnote>
  <w:footnote w:id="107">
    <w:p w14:paraId="6C3C05C6" w14:textId="63D18CDE"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sidRPr="00871EA2">
        <w:rPr>
          <w:rFonts w:ascii="Verdana" w:hAnsi="Verdana"/>
          <w:i/>
          <w:iCs/>
          <w:sz w:val="16"/>
          <w:szCs w:val="16"/>
          <w:lang w:val="es-ES"/>
        </w:rPr>
        <w:t xml:space="preserve">Cfr. </w:t>
      </w:r>
      <w:r w:rsidRPr="00871EA2">
        <w:rPr>
          <w:rFonts w:ascii="Verdana" w:hAnsi="Verdana"/>
          <w:sz w:val="16"/>
          <w:szCs w:val="16"/>
          <w:lang w:val="es-ES"/>
        </w:rPr>
        <w:t xml:space="preserve">OEA, </w:t>
      </w:r>
      <w:r w:rsidRPr="00871EA2">
        <w:rPr>
          <w:rFonts w:ascii="Verdana" w:hAnsi="Verdana"/>
          <w:i/>
          <w:iCs/>
          <w:sz w:val="16"/>
          <w:szCs w:val="16"/>
          <w:lang w:val="es-ES"/>
        </w:rPr>
        <w:t>Carta Democrática Interamericana: Documentos e Interpretaciones</w:t>
      </w:r>
      <w:r w:rsidRPr="00871EA2">
        <w:rPr>
          <w:rFonts w:ascii="Verdana" w:hAnsi="Verdana"/>
          <w:sz w:val="16"/>
          <w:szCs w:val="16"/>
          <w:lang w:val="es-ES"/>
        </w:rPr>
        <w:t xml:space="preserve">, OAS official records, OEA/Ser.G/CP-1, </w:t>
      </w:r>
      <w:r>
        <w:rPr>
          <w:rFonts w:ascii="Verdana" w:hAnsi="Verdana"/>
          <w:sz w:val="16"/>
          <w:szCs w:val="16"/>
          <w:lang w:val="es-ES"/>
        </w:rPr>
        <w:t>pp</w:t>
      </w:r>
      <w:r w:rsidRPr="00871EA2">
        <w:rPr>
          <w:rFonts w:ascii="Verdana" w:hAnsi="Verdana"/>
          <w:sz w:val="16"/>
          <w:szCs w:val="16"/>
          <w:lang w:val="es-ES"/>
        </w:rPr>
        <w:t>. 96 y 324</w:t>
      </w:r>
      <w:r>
        <w:rPr>
          <w:rFonts w:ascii="Verdana" w:hAnsi="Verdana"/>
          <w:sz w:val="16"/>
          <w:szCs w:val="16"/>
          <w:lang w:val="es-ES"/>
        </w:rPr>
        <w:t>.</w:t>
      </w:r>
    </w:p>
  </w:footnote>
  <w:footnote w:id="108">
    <w:p w14:paraId="55B67FC1" w14:textId="4CDA7824"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lang w:val="es-ES"/>
        </w:rPr>
        <w:tab/>
      </w:r>
      <w:r>
        <w:rPr>
          <w:rFonts w:ascii="Verdana" w:hAnsi="Verdana"/>
          <w:i/>
          <w:iCs/>
          <w:sz w:val="16"/>
          <w:szCs w:val="16"/>
          <w:lang w:val="es-ES"/>
        </w:rPr>
        <w:t xml:space="preserve">Cfr. </w:t>
      </w:r>
      <w:r w:rsidRPr="00871EA2">
        <w:rPr>
          <w:rFonts w:ascii="Verdana" w:hAnsi="Verdana"/>
          <w:sz w:val="16"/>
          <w:szCs w:val="16"/>
          <w:lang w:val="es-ES"/>
        </w:rPr>
        <w:t>Salas Cruz, Armando, “La Carta Democrática Interamericana y</w:t>
      </w:r>
      <w:r>
        <w:rPr>
          <w:rFonts w:ascii="Verdana" w:hAnsi="Verdana"/>
          <w:sz w:val="16"/>
          <w:szCs w:val="16"/>
          <w:lang w:val="es-ES"/>
        </w:rPr>
        <w:t xml:space="preserve"> </w:t>
      </w:r>
      <w:r w:rsidRPr="00871EA2">
        <w:rPr>
          <w:rFonts w:ascii="Verdana" w:hAnsi="Verdana"/>
          <w:sz w:val="16"/>
          <w:szCs w:val="16"/>
          <w:lang w:val="es-ES"/>
        </w:rPr>
        <w:t xml:space="preserve">La Corte Interamericana de Derechos Humanos”, en </w:t>
      </w:r>
      <w:r w:rsidRPr="00871EA2">
        <w:rPr>
          <w:rFonts w:ascii="Verdana" w:hAnsi="Verdana"/>
          <w:i/>
          <w:iCs/>
          <w:sz w:val="16"/>
          <w:szCs w:val="16"/>
          <w:lang w:val="es-ES"/>
        </w:rPr>
        <w:t>Cuestiones Constitucionales</w:t>
      </w:r>
      <w:r w:rsidRPr="00871EA2">
        <w:rPr>
          <w:rFonts w:ascii="Verdana" w:hAnsi="Verdana"/>
          <w:sz w:val="16"/>
          <w:szCs w:val="16"/>
          <w:lang w:val="es-ES"/>
        </w:rPr>
        <w:t xml:space="preserve">, 2014, p. 209: “Las características propias de la CDI, sin dejar de ser una resolución, la ubican en una situación inusual con un rango superior. A esto contribuye la unanimidad con la que fue adoptada, ya que puede dar lugar a estimarla como la </w:t>
      </w:r>
      <w:r w:rsidRPr="00871EA2">
        <w:rPr>
          <w:rFonts w:ascii="Verdana" w:hAnsi="Verdana"/>
          <w:i/>
          <w:iCs/>
          <w:sz w:val="16"/>
          <w:szCs w:val="16"/>
          <w:lang w:val="es-ES"/>
        </w:rPr>
        <w:t>opinio iuris</w:t>
      </w:r>
      <w:r w:rsidRPr="00871EA2">
        <w:rPr>
          <w:rFonts w:ascii="Verdana" w:hAnsi="Verdana"/>
          <w:sz w:val="16"/>
          <w:szCs w:val="16"/>
          <w:lang w:val="es-ES"/>
        </w:rPr>
        <w:t xml:space="preserve"> en la materia, una categoría relevante al momento de compararla con otras resoluciones emitidas por la misma Asamblea General de la OEA.”</w:t>
      </w:r>
    </w:p>
  </w:footnote>
  <w:footnote w:id="109">
    <w:p w14:paraId="554FEEA5" w14:textId="5C311297"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Amaya, Alejandro, “La Democracia Constituciona</w:t>
      </w:r>
      <w:r>
        <w:rPr>
          <w:rFonts w:ascii="Verdana" w:hAnsi="Verdana"/>
          <w:sz w:val="16"/>
          <w:szCs w:val="16"/>
          <w:lang w:val="es-ES"/>
        </w:rPr>
        <w:t>l e</w:t>
      </w:r>
      <w:r w:rsidRPr="00871EA2">
        <w:rPr>
          <w:rFonts w:ascii="Verdana" w:hAnsi="Verdana"/>
          <w:sz w:val="16"/>
          <w:szCs w:val="16"/>
          <w:lang w:val="es-ES"/>
        </w:rPr>
        <w:t xml:space="preserve">n </w:t>
      </w:r>
      <w:r>
        <w:rPr>
          <w:rFonts w:ascii="Verdana" w:hAnsi="Verdana"/>
          <w:sz w:val="16"/>
          <w:szCs w:val="16"/>
          <w:lang w:val="es-ES"/>
        </w:rPr>
        <w:t>l</w:t>
      </w:r>
      <w:r w:rsidRPr="0089279E">
        <w:rPr>
          <w:rFonts w:ascii="Verdana" w:hAnsi="Verdana"/>
          <w:sz w:val="16"/>
          <w:szCs w:val="16"/>
          <w:lang w:val="es-ES"/>
        </w:rPr>
        <w:t xml:space="preserve">a </w:t>
      </w:r>
      <w:r>
        <w:rPr>
          <w:rFonts w:ascii="Verdana" w:hAnsi="Verdana"/>
          <w:sz w:val="16"/>
          <w:szCs w:val="16"/>
          <w:lang w:val="es-ES"/>
        </w:rPr>
        <w:t>e</w:t>
      </w:r>
      <w:r w:rsidRPr="0089279E">
        <w:rPr>
          <w:rFonts w:ascii="Verdana" w:hAnsi="Verdana"/>
          <w:sz w:val="16"/>
          <w:szCs w:val="16"/>
          <w:lang w:val="es-ES"/>
        </w:rPr>
        <w:t xml:space="preserve">ncrucijada de </w:t>
      </w:r>
      <w:r>
        <w:rPr>
          <w:rFonts w:ascii="Verdana" w:hAnsi="Verdana"/>
          <w:sz w:val="16"/>
          <w:szCs w:val="16"/>
          <w:lang w:val="es-ES"/>
        </w:rPr>
        <w:t>l</w:t>
      </w:r>
      <w:r w:rsidRPr="0089279E">
        <w:rPr>
          <w:rFonts w:ascii="Verdana" w:hAnsi="Verdana"/>
          <w:sz w:val="16"/>
          <w:szCs w:val="16"/>
          <w:lang w:val="es-ES"/>
        </w:rPr>
        <w:t xml:space="preserve">os </w:t>
      </w:r>
      <w:r>
        <w:rPr>
          <w:rFonts w:ascii="Verdana" w:hAnsi="Verdana"/>
          <w:sz w:val="16"/>
          <w:szCs w:val="16"/>
          <w:lang w:val="es-ES"/>
        </w:rPr>
        <w:t>p</w:t>
      </w:r>
      <w:r w:rsidRPr="0089279E">
        <w:rPr>
          <w:rFonts w:ascii="Verdana" w:hAnsi="Verdana"/>
          <w:sz w:val="16"/>
          <w:szCs w:val="16"/>
          <w:lang w:val="es-ES"/>
        </w:rPr>
        <w:t>opulismos</w:t>
      </w:r>
      <w:r>
        <w:rPr>
          <w:rFonts w:ascii="Verdana" w:hAnsi="Verdana"/>
          <w:sz w:val="16"/>
          <w:szCs w:val="16"/>
          <w:lang w:val="es-ES"/>
        </w:rPr>
        <w:t>”</w:t>
      </w:r>
      <w:r w:rsidRPr="00871EA2">
        <w:rPr>
          <w:rFonts w:ascii="Verdana" w:hAnsi="Verdana"/>
          <w:sz w:val="16"/>
          <w:szCs w:val="16"/>
          <w:lang w:val="es-ES"/>
        </w:rPr>
        <w:t xml:space="preserve">, </w:t>
      </w:r>
      <w:r>
        <w:rPr>
          <w:rFonts w:ascii="Verdana" w:hAnsi="Verdana"/>
          <w:sz w:val="16"/>
          <w:szCs w:val="16"/>
          <w:lang w:val="es-ES"/>
        </w:rPr>
        <w:t xml:space="preserve">en </w:t>
      </w:r>
      <w:r w:rsidRPr="00871EA2">
        <w:rPr>
          <w:rFonts w:ascii="Verdana" w:hAnsi="Verdana"/>
          <w:i/>
          <w:iCs/>
          <w:sz w:val="16"/>
          <w:szCs w:val="16"/>
          <w:lang w:val="es-ES"/>
        </w:rPr>
        <w:t>Asuntos Constitucionales</w:t>
      </w:r>
      <w:r w:rsidRPr="00871EA2">
        <w:rPr>
          <w:rFonts w:ascii="Verdana" w:hAnsi="Verdana"/>
          <w:sz w:val="16"/>
          <w:szCs w:val="16"/>
          <w:lang w:val="es-ES"/>
        </w:rPr>
        <w:t>, no. 1, 2021, p. 42.</w:t>
      </w:r>
    </w:p>
  </w:footnote>
  <w:footnote w:id="110">
    <w:p w14:paraId="7683207B" w14:textId="32278BAA"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sidRPr="00871EA2">
        <w:rPr>
          <w:rFonts w:ascii="Verdana" w:hAnsi="Verdana"/>
          <w:i/>
          <w:iCs/>
          <w:sz w:val="16"/>
          <w:szCs w:val="16"/>
          <w:lang w:val="es-ES"/>
        </w:rPr>
        <w:t>Cfr.</w:t>
      </w:r>
      <w:r w:rsidRPr="00871EA2">
        <w:rPr>
          <w:rFonts w:ascii="Verdana" w:hAnsi="Verdana"/>
          <w:sz w:val="16"/>
          <w:szCs w:val="16"/>
          <w:lang w:val="es-ES"/>
        </w:rPr>
        <w:t xml:space="preserve"> </w:t>
      </w:r>
      <w:r w:rsidRPr="00871EA2">
        <w:rPr>
          <w:rFonts w:ascii="Verdana" w:hAnsi="Verdana"/>
          <w:i/>
          <w:iCs/>
          <w:sz w:val="16"/>
          <w:szCs w:val="16"/>
          <w:lang w:val="es-ES"/>
        </w:rPr>
        <w:t>Opinión Consultiva OC-28/21</w:t>
      </w:r>
      <w:r w:rsidRPr="00871EA2">
        <w:rPr>
          <w:rFonts w:ascii="Verdana" w:hAnsi="Verdana"/>
          <w:sz w:val="16"/>
          <w:szCs w:val="16"/>
          <w:lang w:val="es-ES"/>
        </w:rPr>
        <w:t xml:space="preserve">, </w:t>
      </w:r>
      <w:r w:rsidRPr="00871EA2">
        <w:rPr>
          <w:rFonts w:ascii="Verdana" w:hAnsi="Verdana"/>
          <w:i/>
          <w:iCs/>
          <w:sz w:val="16"/>
          <w:szCs w:val="16"/>
          <w:lang w:val="es-ES"/>
        </w:rPr>
        <w:t>supra</w:t>
      </w:r>
      <w:r w:rsidRPr="00871EA2">
        <w:rPr>
          <w:rFonts w:ascii="Verdana" w:hAnsi="Verdana"/>
          <w:sz w:val="16"/>
          <w:szCs w:val="16"/>
          <w:lang w:val="es-ES"/>
        </w:rPr>
        <w:t>, párr. 53.</w:t>
      </w:r>
    </w:p>
  </w:footnote>
  <w:footnote w:id="111">
    <w:p w14:paraId="1F820825" w14:textId="1A90C510" w:rsidR="00CA403B" w:rsidRPr="00871EA2" w:rsidRDefault="00CA403B" w:rsidP="00871EA2">
      <w:pPr>
        <w:pStyle w:val="NoSpacing"/>
        <w:jc w:val="both"/>
        <w:rPr>
          <w:rFonts w:ascii="Verdana" w:hAnsi="Verdana" w:cs="Times New Roman"/>
          <w:sz w:val="16"/>
          <w:szCs w:val="16"/>
          <w:lang w:val="es-ES"/>
        </w:rPr>
      </w:pPr>
      <w:r w:rsidRPr="00871EA2">
        <w:rPr>
          <w:rStyle w:val="FootnoteReference"/>
          <w:rFonts w:ascii="Verdana" w:hAnsi="Verdana" w:cs="Times New Roman"/>
          <w:sz w:val="16"/>
          <w:szCs w:val="16"/>
          <w:lang w:val="es-ES"/>
        </w:rPr>
        <w:footnoteRef/>
      </w:r>
      <w:r w:rsidRPr="00871EA2">
        <w:rPr>
          <w:rFonts w:ascii="Verdana" w:hAnsi="Verdana" w:cs="Times New Roman"/>
          <w:sz w:val="16"/>
          <w:szCs w:val="16"/>
          <w:lang w:val="es-ES"/>
        </w:rPr>
        <w:t xml:space="preserve"> </w:t>
      </w:r>
      <w:r w:rsidRPr="00871EA2">
        <w:rPr>
          <w:rFonts w:ascii="Verdana" w:hAnsi="Verdana" w:cs="Times New Roman"/>
          <w:sz w:val="16"/>
          <w:szCs w:val="16"/>
          <w:lang w:val="es-ES"/>
        </w:rPr>
        <w:tab/>
      </w:r>
      <w:r w:rsidRPr="00871EA2">
        <w:rPr>
          <w:rFonts w:ascii="Verdana" w:hAnsi="Verdana" w:cs="Times New Roman"/>
          <w:i/>
          <w:iCs/>
          <w:sz w:val="16"/>
          <w:szCs w:val="16"/>
          <w:lang w:val="es-ES"/>
        </w:rPr>
        <w:t xml:space="preserve"> </w:t>
      </w:r>
      <w:r>
        <w:rPr>
          <w:rFonts w:ascii="Verdana" w:hAnsi="Verdana" w:cs="Times New Roman"/>
          <w:i/>
          <w:iCs/>
          <w:sz w:val="16"/>
          <w:szCs w:val="16"/>
          <w:lang w:val="es-ES"/>
        </w:rPr>
        <w:t xml:space="preserve">Cfr. </w:t>
      </w:r>
      <w:r w:rsidRPr="00871EA2">
        <w:rPr>
          <w:rFonts w:ascii="Verdana" w:hAnsi="Verdana" w:cs="Times New Roman"/>
          <w:sz w:val="16"/>
          <w:szCs w:val="16"/>
          <w:lang w:val="es-ES"/>
        </w:rPr>
        <w:t xml:space="preserve">“Si bien la Carta Democrática, como resolución de la Asamblea General, carece de carácter inmediatamente vinculante, justamente el mecanismo de imposición normado en ella es considerado como precisión del artículo 9 de la Carta de la OEA al invocar el artículo 31 de la Convención de Viena sobre el Derecho de los Tratados”. </w:t>
      </w:r>
      <w:r w:rsidRPr="00871EA2">
        <w:rPr>
          <w:rFonts w:ascii="Verdana" w:hAnsi="Verdana"/>
          <w:sz w:val="16"/>
          <w:szCs w:val="16"/>
          <w:lang w:val="es-ES"/>
        </w:rPr>
        <w:t xml:space="preserve">Morales Antoniazzi, Mariela, “¿La democracia como principio del </w:t>
      </w:r>
      <w:r w:rsidRPr="00871EA2">
        <w:rPr>
          <w:rFonts w:ascii="Verdana" w:hAnsi="Verdana"/>
          <w:i/>
          <w:iCs/>
          <w:sz w:val="16"/>
          <w:szCs w:val="16"/>
          <w:lang w:val="es-ES"/>
        </w:rPr>
        <w:t>Ius Constitucionale Commune</w:t>
      </w:r>
      <w:r w:rsidRPr="00871EA2">
        <w:rPr>
          <w:rFonts w:ascii="Verdana" w:hAnsi="Verdana"/>
          <w:sz w:val="16"/>
          <w:szCs w:val="16"/>
          <w:lang w:val="es-ES"/>
        </w:rPr>
        <w:t xml:space="preserve"> en América Latina? Construcción, reconstrucción y desafíos actuales para la justicia constitucional”, en </w:t>
      </w:r>
      <w:r w:rsidRPr="00871EA2">
        <w:rPr>
          <w:rFonts w:ascii="Verdana" w:hAnsi="Verdana"/>
          <w:i/>
          <w:iCs/>
          <w:sz w:val="16"/>
          <w:szCs w:val="16"/>
          <w:lang w:val="es-ES"/>
        </w:rPr>
        <w:t xml:space="preserve">La Justicia Constitucional y su internacionalización. ¿Hacia un </w:t>
      </w:r>
      <w:r w:rsidRPr="00871EA2">
        <w:rPr>
          <w:rFonts w:ascii="Verdana" w:hAnsi="Verdana"/>
          <w:sz w:val="16"/>
          <w:szCs w:val="16"/>
          <w:lang w:val="es-ES"/>
        </w:rPr>
        <w:t>Ius Constitutionale Commune</w:t>
      </w:r>
      <w:r w:rsidRPr="00871EA2">
        <w:rPr>
          <w:rFonts w:ascii="Verdana" w:hAnsi="Verdana"/>
          <w:i/>
          <w:iCs/>
          <w:sz w:val="16"/>
          <w:szCs w:val="16"/>
          <w:lang w:val="es-ES"/>
        </w:rPr>
        <w:t xml:space="preserve"> en América Latina?</w:t>
      </w:r>
      <w:r w:rsidRPr="00871EA2">
        <w:rPr>
          <w:rFonts w:ascii="Verdana" w:hAnsi="Verdana"/>
          <w:sz w:val="16"/>
          <w:szCs w:val="16"/>
          <w:lang w:val="es-ES"/>
        </w:rPr>
        <w:t>, Bogdandy, Armin Von, Morales Antoniazzi, Mariela, y Ferrer Mac-Gregor, Eduardo (</w:t>
      </w:r>
      <w:r>
        <w:rPr>
          <w:rFonts w:ascii="Verdana" w:hAnsi="Verdana"/>
          <w:sz w:val="16"/>
          <w:szCs w:val="16"/>
          <w:lang w:val="es-ES"/>
        </w:rPr>
        <w:t>Coords</w:t>
      </w:r>
      <w:r w:rsidRPr="00871EA2">
        <w:rPr>
          <w:rFonts w:ascii="Verdana" w:hAnsi="Verdana"/>
          <w:sz w:val="16"/>
          <w:szCs w:val="16"/>
          <w:lang w:val="es-ES"/>
        </w:rPr>
        <w:t>.), México, UNAM-IIJ-MPI, 2010, tomo 1, pp.</w:t>
      </w:r>
      <w:r>
        <w:rPr>
          <w:rFonts w:ascii="Verdana" w:hAnsi="Verdana"/>
          <w:sz w:val="16"/>
          <w:szCs w:val="16"/>
          <w:lang w:val="es-ES"/>
        </w:rPr>
        <w:t xml:space="preserve"> </w:t>
      </w:r>
      <w:r w:rsidRPr="00871EA2">
        <w:rPr>
          <w:rFonts w:ascii="Verdana" w:hAnsi="Verdana"/>
          <w:sz w:val="16"/>
          <w:szCs w:val="16"/>
          <w:lang w:val="es-ES"/>
        </w:rPr>
        <w:t>199–240</w:t>
      </w:r>
      <w:r>
        <w:rPr>
          <w:rFonts w:ascii="Verdana" w:hAnsi="Verdana"/>
          <w:sz w:val="16"/>
          <w:szCs w:val="16"/>
          <w:lang w:val="es-ES"/>
        </w:rPr>
        <w:t>.</w:t>
      </w:r>
    </w:p>
  </w:footnote>
  <w:footnote w:id="112">
    <w:p w14:paraId="76F8B962" w14:textId="453D89B6"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Morales Antoniazzi, Mariela, “¿La democracia como principio del </w:t>
      </w:r>
      <w:r w:rsidRPr="00871EA2">
        <w:rPr>
          <w:rFonts w:ascii="Verdana" w:hAnsi="Verdana"/>
          <w:i/>
          <w:iCs/>
          <w:sz w:val="16"/>
          <w:szCs w:val="16"/>
          <w:lang w:val="es-ES"/>
        </w:rPr>
        <w:t>Ius Constitucionale Commune</w:t>
      </w:r>
      <w:r w:rsidRPr="00871EA2">
        <w:rPr>
          <w:rFonts w:ascii="Verdana" w:hAnsi="Verdana"/>
          <w:sz w:val="16"/>
          <w:szCs w:val="16"/>
          <w:lang w:val="es-ES"/>
        </w:rPr>
        <w:t xml:space="preserve"> en América Latina? Construcción, reconstrucción y desafíos actuales para la justicia constitucional”</w:t>
      </w:r>
      <w:r>
        <w:rPr>
          <w:rFonts w:ascii="Verdana" w:hAnsi="Verdana"/>
          <w:sz w:val="16"/>
          <w:szCs w:val="16"/>
          <w:lang w:val="es-ES"/>
        </w:rPr>
        <w:t xml:space="preserve">, </w:t>
      </w:r>
      <w:r>
        <w:rPr>
          <w:rFonts w:ascii="Verdana" w:hAnsi="Verdana"/>
          <w:i/>
          <w:iCs/>
          <w:sz w:val="16"/>
          <w:szCs w:val="16"/>
          <w:lang w:val="es-ES"/>
        </w:rPr>
        <w:t>supra</w:t>
      </w:r>
      <w:r w:rsidRPr="00871EA2">
        <w:rPr>
          <w:rFonts w:ascii="Verdana" w:hAnsi="Verdana"/>
          <w:i/>
          <w:iCs/>
          <w:sz w:val="16"/>
          <w:szCs w:val="16"/>
          <w:lang w:val="es-ES"/>
        </w:rPr>
        <w:t xml:space="preserve">, </w:t>
      </w:r>
      <w:r w:rsidRPr="00871EA2">
        <w:rPr>
          <w:rFonts w:ascii="Verdana" w:hAnsi="Verdana"/>
          <w:sz w:val="16"/>
          <w:szCs w:val="16"/>
          <w:lang w:val="es-ES"/>
        </w:rPr>
        <w:t xml:space="preserve">p. 215. </w:t>
      </w:r>
    </w:p>
  </w:footnote>
  <w:footnote w:id="113">
    <w:p w14:paraId="5D8E79D0" w14:textId="569DE968"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sidRPr="0080051C">
        <w:rPr>
          <w:rFonts w:ascii="Verdana" w:hAnsi="Verdana"/>
          <w:sz w:val="16"/>
          <w:szCs w:val="16"/>
          <w:lang w:val="es-ES"/>
        </w:rPr>
        <w:t>Voto Individual Concurrente del Juez Eduardo Vio Grossi</w:t>
      </w:r>
      <w:r w:rsidRPr="00363551">
        <w:rPr>
          <w:rFonts w:ascii="Verdana" w:hAnsi="Verdana"/>
          <w:i/>
          <w:sz w:val="16"/>
          <w:szCs w:val="16"/>
          <w:lang w:val="es-ES"/>
        </w:rPr>
        <w:t>, Caso Granier y otros (Radio Caracas Televisión) Vs. Venezuela</w:t>
      </w:r>
      <w:r>
        <w:rPr>
          <w:rFonts w:ascii="Verdana" w:hAnsi="Verdana"/>
          <w:i/>
          <w:sz w:val="16"/>
          <w:szCs w:val="16"/>
          <w:lang w:val="es-ES"/>
        </w:rPr>
        <w:t>, supra</w:t>
      </w:r>
      <w:r w:rsidRPr="00871EA2">
        <w:rPr>
          <w:rFonts w:ascii="Verdana" w:hAnsi="Verdana"/>
          <w:sz w:val="16"/>
          <w:szCs w:val="16"/>
          <w:lang w:val="es-ES"/>
        </w:rPr>
        <w:t xml:space="preserve">, </w:t>
      </w:r>
      <w:r>
        <w:rPr>
          <w:rFonts w:ascii="Verdana" w:hAnsi="Verdana"/>
          <w:sz w:val="16"/>
          <w:szCs w:val="16"/>
          <w:lang w:val="es-ES"/>
        </w:rPr>
        <w:t>p</w:t>
      </w:r>
      <w:r w:rsidRPr="00871EA2">
        <w:rPr>
          <w:rFonts w:ascii="Verdana" w:hAnsi="Verdana"/>
          <w:sz w:val="16"/>
          <w:szCs w:val="16"/>
          <w:lang w:val="es-ES"/>
        </w:rPr>
        <w:t xml:space="preserve">árr. A.a.2. </w:t>
      </w:r>
    </w:p>
  </w:footnote>
  <w:footnote w:id="114">
    <w:p w14:paraId="3DE415AD" w14:textId="24B75249"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En particular conviene hacer hincapié en el artículo 21 del instrumento: “Cuando la Asamblea General, convocada a un período extraordinario de sesiones, constate que se ha producido la ruptura del orden democrático en un Estado Miembro y que las gestiones diplomáticas han sido infructuosas, conforme a la Carta de la OEA tomará la decisión de suspender a dicho Estado Miembro del ejercicio de su derecho de participación en la OEA con el voto afirmativo de los dos tercios de los Estados Miembros. La suspensión entrará en vigor de inmediato. El Estado Miembro que hubiera sido objeto de suspensión deberá continuar observando el cumplimiento de sus obligaciones como miembro de la Organización, en particular en materia de derechos humanos. Adoptada la decisión de suspender a un gobierno, la Organización mantendrá sus gestiones diplomáticas para el restablecimiento de la democracia en el Estado Miembro afectado</w:t>
      </w:r>
      <w:r>
        <w:rPr>
          <w:rFonts w:ascii="Verdana" w:hAnsi="Verdana"/>
          <w:sz w:val="16"/>
          <w:szCs w:val="16"/>
          <w:lang w:val="es-ES"/>
        </w:rPr>
        <w:t>”</w:t>
      </w:r>
      <w:r w:rsidRPr="00871EA2">
        <w:rPr>
          <w:rFonts w:ascii="Verdana" w:hAnsi="Verdana"/>
          <w:sz w:val="16"/>
          <w:szCs w:val="16"/>
          <w:lang w:val="es-ES"/>
        </w:rPr>
        <w:t>.</w:t>
      </w:r>
    </w:p>
  </w:footnote>
  <w:footnote w:id="115">
    <w:p w14:paraId="596CC411" w14:textId="2A6449A1" w:rsidR="00CA403B" w:rsidRPr="00C466E7" w:rsidRDefault="00CA403B" w:rsidP="00363551">
      <w:pPr>
        <w:pStyle w:val="FootnoteText"/>
        <w:jc w:val="both"/>
        <w:rPr>
          <w:lang w:val="es-ES"/>
        </w:rPr>
      </w:pPr>
      <w:r>
        <w:rPr>
          <w:rStyle w:val="FootnoteReference"/>
        </w:rPr>
        <w:footnoteRef/>
      </w:r>
      <w:r>
        <w:t xml:space="preserve"> </w:t>
      </w:r>
      <w:r>
        <w:rPr>
          <w:lang w:val="es-ES"/>
        </w:rPr>
        <w:tab/>
      </w:r>
      <w:r w:rsidRPr="00C466E7">
        <w:rPr>
          <w:rFonts w:ascii="Verdana" w:hAnsi="Verdana"/>
          <w:sz w:val="16"/>
          <w:szCs w:val="16"/>
          <w:lang w:val="es-ES"/>
        </w:rPr>
        <w:t>En particular conviene enfatizar el artículo 23 que indica que</w:t>
      </w:r>
      <w:r>
        <w:rPr>
          <w:rFonts w:ascii="Verdana" w:hAnsi="Verdana"/>
          <w:sz w:val="16"/>
          <w:szCs w:val="16"/>
          <w:lang w:val="es-ES"/>
        </w:rPr>
        <w:t>:</w:t>
      </w:r>
      <w:r w:rsidRPr="00C466E7">
        <w:rPr>
          <w:rFonts w:ascii="Verdana" w:hAnsi="Verdana"/>
          <w:sz w:val="16"/>
          <w:szCs w:val="16"/>
          <w:lang w:val="es-ES"/>
        </w:rPr>
        <w:t xml:space="preserve"> “[l]os Estados Miembros son los responsables de organizar, llevar a cabo y garantizar procesos electorales libres y justos. [;] Los Estados Miembros, en ejercicio de su soberanía, podrán solicitar a la OEA asesoramiento o asistencia para el fortalecimiento y desarrollo de sus instituciones y procesos electorales, incluido el envío de misiones preliminares para ese propósito</w:t>
      </w:r>
      <w:r>
        <w:rPr>
          <w:rFonts w:ascii="Verdana" w:hAnsi="Verdana"/>
          <w:sz w:val="16"/>
          <w:szCs w:val="16"/>
          <w:lang w:val="es-ES"/>
        </w:rPr>
        <w:t>”</w:t>
      </w:r>
      <w:r w:rsidRPr="00C466E7">
        <w:rPr>
          <w:rFonts w:ascii="Verdana" w:hAnsi="Verdana"/>
          <w:sz w:val="16"/>
          <w:szCs w:val="16"/>
          <w:lang w:val="es-ES"/>
        </w:rPr>
        <w:t>.</w:t>
      </w:r>
    </w:p>
  </w:footnote>
  <w:footnote w:id="116">
    <w:p w14:paraId="72206403" w14:textId="15609FFF"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Que indican lo siguiente</w:t>
      </w:r>
      <w:r>
        <w:rPr>
          <w:rFonts w:ascii="Verdana" w:hAnsi="Verdana"/>
          <w:sz w:val="16"/>
          <w:szCs w:val="16"/>
          <w:lang w:val="es-ES"/>
        </w:rPr>
        <w:t>:</w:t>
      </w:r>
      <w:r w:rsidRPr="00871EA2">
        <w:rPr>
          <w:rFonts w:ascii="Verdana" w:hAnsi="Verdana"/>
          <w:sz w:val="16"/>
          <w:szCs w:val="16"/>
          <w:lang w:val="es-ES"/>
        </w:rPr>
        <w:t xml:space="preserve"> “Cuando la Asamblea General, convocada a un período extraordinario de sesiones, constate que se ha producido la ruptura del orden democrático en un Estado Miembro y que las gestiones diplomáticas han sido infructuosas, conforme a la Carta de la OEA tomará la decisión de suspender a dicho Estado Miembro del ejercicio de su derecho de participación en la OEA con el voto afirmativo de los dos tercios de los Estados Miembros. La suspensión entrará en vigor de inmediato. El Estado Miembro que hubiera sido objeto de suspensión deberá continuar observando el cumplimiento de sus obligaciones como miembro de la Organización, en particular en materia de derechos humanos. Adoptada la decisión de suspender a un gobierno, la Organización mantendrá sus gestiones diplomáticas para el restablecimiento de la democracia en el Estado Miembro afectado”.</w:t>
      </w:r>
    </w:p>
  </w:footnote>
  <w:footnote w:id="117">
    <w:p w14:paraId="2474E766" w14:textId="581CA72F" w:rsidR="00CA403B" w:rsidRPr="00C466E7" w:rsidRDefault="00CA403B" w:rsidP="001D657B">
      <w:pPr>
        <w:pStyle w:val="FootnoteText"/>
        <w:jc w:val="both"/>
        <w:rPr>
          <w:lang w:val="es-ES"/>
        </w:rPr>
      </w:pPr>
      <w:r w:rsidRPr="00C466E7">
        <w:rPr>
          <w:rStyle w:val="FootnoteReference"/>
          <w:lang w:val="es-ES"/>
        </w:rPr>
        <w:footnoteRef/>
      </w:r>
      <w:r w:rsidRPr="00C466E7">
        <w:rPr>
          <w:lang w:val="es-ES"/>
        </w:rPr>
        <w:t xml:space="preserve"> </w:t>
      </w:r>
      <w:r w:rsidRPr="00C466E7">
        <w:rPr>
          <w:lang w:val="es-ES"/>
        </w:rPr>
        <w:tab/>
      </w:r>
      <w:r w:rsidRPr="00AE1551">
        <w:rPr>
          <w:rFonts w:ascii="Verdana" w:hAnsi="Verdana"/>
          <w:i/>
          <w:iCs/>
          <w:sz w:val="16"/>
          <w:szCs w:val="16"/>
          <w:lang w:val="es-ES"/>
        </w:rPr>
        <w:t xml:space="preserve">Cfr. </w:t>
      </w:r>
      <w:r w:rsidRPr="00AE1551">
        <w:rPr>
          <w:rFonts w:ascii="Verdana" w:hAnsi="Verdana"/>
          <w:sz w:val="16"/>
          <w:szCs w:val="16"/>
          <w:lang w:val="es-ES"/>
        </w:rPr>
        <w:t>Voto Individual concurrente del</w:t>
      </w:r>
      <w:r w:rsidRPr="00871EA2">
        <w:rPr>
          <w:rFonts w:ascii="Verdana" w:hAnsi="Verdana"/>
          <w:sz w:val="16"/>
          <w:szCs w:val="16"/>
          <w:lang w:val="es-ES"/>
        </w:rPr>
        <w:t xml:space="preserve"> Juez Eduardo Vio Grossi. </w:t>
      </w:r>
      <w:r w:rsidRPr="00871EA2">
        <w:rPr>
          <w:rFonts w:ascii="Verdana" w:hAnsi="Verdana"/>
          <w:i/>
          <w:iCs/>
          <w:sz w:val="16"/>
          <w:szCs w:val="16"/>
          <w:lang w:val="es-ES"/>
        </w:rPr>
        <w:t>Caso Granier y otros (Radio Caracas Televisión) Vs. Venezuela</w:t>
      </w:r>
      <w:r w:rsidRPr="00871EA2">
        <w:rPr>
          <w:rFonts w:ascii="Verdana" w:hAnsi="Verdana"/>
          <w:sz w:val="16"/>
          <w:szCs w:val="16"/>
          <w:lang w:val="es-ES"/>
        </w:rPr>
        <w:t xml:space="preserve">, supra, </w:t>
      </w:r>
      <w:r>
        <w:rPr>
          <w:rFonts w:ascii="Verdana" w:hAnsi="Verdana"/>
          <w:sz w:val="16"/>
          <w:szCs w:val="16"/>
          <w:lang w:val="es-ES"/>
        </w:rPr>
        <w:t>p</w:t>
      </w:r>
      <w:r w:rsidRPr="00871EA2">
        <w:rPr>
          <w:rFonts w:ascii="Verdana" w:hAnsi="Verdana"/>
          <w:sz w:val="16"/>
          <w:szCs w:val="16"/>
          <w:lang w:val="es-ES"/>
        </w:rPr>
        <w:t>árr. A.b.2</w:t>
      </w:r>
      <w:r>
        <w:rPr>
          <w:rFonts w:ascii="Verdana" w:hAnsi="Verdana"/>
          <w:sz w:val="16"/>
          <w:szCs w:val="16"/>
          <w:lang w:val="es-ES"/>
        </w:rPr>
        <w:t>.</w:t>
      </w:r>
    </w:p>
  </w:footnote>
  <w:footnote w:id="118">
    <w:p w14:paraId="5FA9C2F2" w14:textId="768E12D7"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sidRPr="00871EA2">
        <w:rPr>
          <w:rFonts w:ascii="Verdana" w:hAnsi="Verdana"/>
          <w:i/>
          <w:iCs/>
          <w:sz w:val="16"/>
          <w:szCs w:val="16"/>
          <w:lang w:val="es-ES"/>
        </w:rPr>
        <w:t xml:space="preserve"> </w:t>
      </w:r>
      <w:r w:rsidRPr="00871EA2">
        <w:rPr>
          <w:rFonts w:ascii="Verdana" w:hAnsi="Verdana"/>
          <w:sz w:val="16"/>
          <w:szCs w:val="16"/>
          <w:lang w:val="es-ES"/>
        </w:rPr>
        <w:t xml:space="preserve">Voto Individual concurrente del Juez Eduardo Vio Grossi. </w:t>
      </w:r>
      <w:r w:rsidRPr="00871EA2">
        <w:rPr>
          <w:rFonts w:ascii="Verdana" w:hAnsi="Verdana"/>
          <w:i/>
          <w:iCs/>
          <w:sz w:val="16"/>
          <w:szCs w:val="16"/>
          <w:lang w:val="es-ES"/>
        </w:rPr>
        <w:t>Caso Granier y otros (Radio Caracas Televisión) Vs. Venezuela</w:t>
      </w:r>
      <w:r w:rsidRPr="00871EA2">
        <w:rPr>
          <w:rFonts w:ascii="Verdana" w:hAnsi="Verdana"/>
          <w:sz w:val="16"/>
          <w:szCs w:val="16"/>
          <w:lang w:val="es-ES"/>
        </w:rPr>
        <w:t xml:space="preserve">, supra, </w:t>
      </w:r>
      <w:r>
        <w:rPr>
          <w:rFonts w:ascii="Verdana" w:hAnsi="Verdana"/>
          <w:sz w:val="16"/>
          <w:szCs w:val="16"/>
          <w:lang w:val="es-ES"/>
        </w:rPr>
        <w:t>p</w:t>
      </w:r>
      <w:r w:rsidRPr="00871EA2">
        <w:rPr>
          <w:rFonts w:ascii="Verdana" w:hAnsi="Verdana"/>
          <w:sz w:val="16"/>
          <w:szCs w:val="16"/>
          <w:lang w:val="es-ES"/>
        </w:rPr>
        <w:t xml:space="preserve">árr. A.b.2. </w:t>
      </w:r>
    </w:p>
  </w:footnote>
  <w:footnote w:id="119">
    <w:p w14:paraId="0EA8A17F" w14:textId="483D818B"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Brewer-Carias, Allan R. “Sobre las nuevas tendencias del derecho constitucional: Del reconocimiento del derecho a la Constitución y del derecho a la democracia,” en </w:t>
      </w:r>
      <w:r>
        <w:rPr>
          <w:rFonts w:ascii="Verdana" w:hAnsi="Verdana"/>
          <w:i/>
          <w:iCs/>
          <w:sz w:val="16"/>
          <w:szCs w:val="16"/>
          <w:lang w:val="es-ES"/>
        </w:rPr>
        <w:t>V</w:t>
      </w:r>
      <w:r w:rsidRPr="000F15EB">
        <w:rPr>
          <w:rFonts w:ascii="Verdana" w:hAnsi="Verdana"/>
          <w:i/>
          <w:iCs/>
          <w:sz w:val="16"/>
          <w:szCs w:val="16"/>
          <w:lang w:val="es-ES"/>
        </w:rPr>
        <w:t>niversitas</w:t>
      </w:r>
      <w:r w:rsidRPr="00871EA2">
        <w:rPr>
          <w:rFonts w:ascii="Verdana" w:hAnsi="Verdana"/>
          <w:sz w:val="16"/>
          <w:szCs w:val="16"/>
          <w:lang w:val="es-ES"/>
        </w:rPr>
        <w:t xml:space="preserve">, no. 119, 2009, p. 109. </w:t>
      </w:r>
    </w:p>
  </w:footnote>
  <w:footnote w:id="120">
    <w:p w14:paraId="764847F8" w14:textId="17305F80"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Carta Democrática Interamericana, </w:t>
      </w:r>
      <w:r w:rsidRPr="00871EA2">
        <w:rPr>
          <w:rFonts w:ascii="Verdana" w:hAnsi="Verdana"/>
          <w:i/>
          <w:iCs/>
          <w:sz w:val="16"/>
          <w:szCs w:val="16"/>
          <w:lang w:val="es-ES"/>
        </w:rPr>
        <w:t>supra</w:t>
      </w:r>
      <w:r w:rsidRPr="00871EA2">
        <w:rPr>
          <w:rFonts w:ascii="Verdana" w:hAnsi="Verdana"/>
          <w:sz w:val="16"/>
          <w:szCs w:val="16"/>
          <w:lang w:val="es-ES"/>
        </w:rPr>
        <w:t xml:space="preserve">, Considerando 9º. </w:t>
      </w:r>
    </w:p>
  </w:footnote>
  <w:footnote w:id="121">
    <w:p w14:paraId="5CF118E4" w14:textId="43761763"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Voto concurrente del Juez Diego García Sayán en el </w:t>
      </w:r>
      <w:r w:rsidRPr="00871EA2">
        <w:rPr>
          <w:rFonts w:ascii="Verdana" w:hAnsi="Verdana"/>
          <w:i/>
          <w:iCs/>
          <w:sz w:val="16"/>
          <w:szCs w:val="16"/>
          <w:lang w:val="es-ES"/>
        </w:rPr>
        <w:t>caso Yatama Vs. Nicaragua, supra</w:t>
      </w:r>
      <w:r w:rsidRPr="00871EA2">
        <w:rPr>
          <w:rFonts w:ascii="Verdana" w:hAnsi="Verdana"/>
          <w:sz w:val="16"/>
          <w:szCs w:val="16"/>
          <w:lang w:val="es-ES"/>
        </w:rPr>
        <w:t>, párr. 7.</w:t>
      </w:r>
    </w:p>
  </w:footnote>
  <w:footnote w:id="122">
    <w:p w14:paraId="43BC4067" w14:textId="3BB901F9" w:rsidR="00CA403B" w:rsidRPr="00871EA2" w:rsidRDefault="00CA403B" w:rsidP="00871EA2">
      <w:pPr>
        <w:spacing w:after="0" w:line="240" w:lineRule="auto"/>
        <w:jc w:val="both"/>
        <w:rPr>
          <w:rFonts w:ascii="Verdana" w:eastAsiaTheme="minorHAnsi" w:hAnsi="Verdana" w:cstheme="minorBidi"/>
          <w:kern w:val="2"/>
          <w:sz w:val="16"/>
          <w:szCs w:val="16"/>
          <w:lang w:val="es-ES"/>
          <w14:ligatures w14:val="standardContextual"/>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sidRPr="00871EA2">
        <w:rPr>
          <w:rFonts w:ascii="Verdana" w:hAnsi="Verdana"/>
          <w:i/>
          <w:iCs/>
          <w:sz w:val="16"/>
          <w:szCs w:val="16"/>
          <w:lang w:val="es-ES"/>
        </w:rPr>
        <w:t xml:space="preserve"> </w:t>
      </w:r>
      <w:r w:rsidRPr="00871EA2">
        <w:rPr>
          <w:rFonts w:ascii="Verdana" w:eastAsiaTheme="minorHAnsi" w:hAnsi="Verdana" w:cstheme="minorBidi"/>
          <w:kern w:val="2"/>
          <w:sz w:val="16"/>
          <w:szCs w:val="16"/>
          <w:lang w:val="es-ES"/>
          <w14:ligatures w14:val="standardContextual"/>
        </w:rPr>
        <w:t xml:space="preserve">Brewer-Carias, Allan R. “Sobre Las nuevas tendencias del derecho constitucional: Del Reconocimiento del Derecho a la Constitución y del derecho a la democracia,” </w:t>
      </w:r>
      <w:r>
        <w:rPr>
          <w:rFonts w:ascii="Verdana" w:eastAsiaTheme="minorHAnsi" w:hAnsi="Verdana" w:cstheme="minorBidi"/>
          <w:i/>
          <w:iCs/>
          <w:kern w:val="2"/>
          <w:sz w:val="16"/>
          <w:szCs w:val="16"/>
          <w:lang w:val="es-ES"/>
          <w14:ligatures w14:val="standardContextual"/>
        </w:rPr>
        <w:t>supra</w:t>
      </w:r>
      <w:r w:rsidRPr="00871EA2">
        <w:rPr>
          <w:rFonts w:ascii="Verdana" w:eastAsiaTheme="minorHAnsi" w:hAnsi="Verdana" w:cstheme="minorBidi"/>
          <w:i/>
          <w:iCs/>
          <w:kern w:val="2"/>
          <w:sz w:val="16"/>
          <w:szCs w:val="16"/>
          <w:lang w:val="es-ES"/>
          <w14:ligatures w14:val="standardContextual"/>
        </w:rPr>
        <w:t>,</w:t>
      </w:r>
      <w:r w:rsidRPr="00871EA2">
        <w:rPr>
          <w:rFonts w:ascii="Verdana" w:eastAsiaTheme="minorHAnsi" w:hAnsi="Verdana" w:cstheme="minorBidi"/>
          <w:kern w:val="2"/>
          <w:sz w:val="16"/>
          <w:szCs w:val="16"/>
          <w:lang w:val="es-ES"/>
          <w14:ligatures w14:val="standardContextual"/>
        </w:rPr>
        <w:t xml:space="preserve"> p. 106. </w:t>
      </w:r>
      <w:r w:rsidRPr="00871EA2">
        <w:rPr>
          <w:rFonts w:ascii="Verdana" w:hAnsi="Verdana"/>
          <w:color w:val="000000" w:themeColor="text1"/>
          <w:sz w:val="16"/>
          <w:szCs w:val="16"/>
          <w:lang w:val="es-ES"/>
        </w:rPr>
        <w:t>Según Brewer-Carias, este derecho humano a la democracia comprende “</w:t>
      </w:r>
      <w:r w:rsidRPr="00871EA2">
        <w:rPr>
          <w:rFonts w:ascii="Verdana" w:hAnsi="Verdana"/>
          <w:color w:val="000000" w:themeColor="text1"/>
          <w:sz w:val="16"/>
          <w:szCs w:val="16"/>
        </w:rPr>
        <w:t>al menos tres derechos políticos específicos que se configuran precisamente en los pilares fundamentales del equilibrio entre el Estado y el ciudadano, y que son: en primer lugar, el derecho ciudadano a la separación de poderes; en segundo lugar, el derecho ciudadano a la distribución vertical o territorial del poder para asegurar la participación política, y en tercer lugar, el derecho ciudadano al ejercicio de los recursos judiciales necesarios para controlar el ejercicio del poder y, además, asegurar la vigencia de los derechos humanos y el sometimiento del Estado al derecho”.</w:t>
      </w:r>
    </w:p>
  </w:footnote>
  <w:footnote w:id="123">
    <w:p w14:paraId="5559B361" w14:textId="75ED2BDE"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1017CB">
        <w:rPr>
          <w:rFonts w:ascii="Verdana" w:hAnsi="Verdana"/>
          <w:sz w:val="16"/>
          <w:szCs w:val="16"/>
          <w:lang w:val="en-US"/>
        </w:rPr>
        <w:t xml:space="preserve"> </w:t>
      </w:r>
      <w:r w:rsidRPr="001017CB">
        <w:rPr>
          <w:rFonts w:ascii="Verdana" w:hAnsi="Verdana"/>
          <w:sz w:val="16"/>
          <w:szCs w:val="16"/>
          <w:lang w:val="en-US"/>
        </w:rPr>
        <w:tab/>
        <w:t xml:space="preserve">Informe No. 98/03. Caso 11.204. Fondo. </w:t>
      </w:r>
      <w:r w:rsidRPr="00871EA2">
        <w:rPr>
          <w:rFonts w:ascii="Verdana" w:hAnsi="Verdana"/>
          <w:sz w:val="16"/>
          <w:szCs w:val="16"/>
          <w:lang w:val="en-US"/>
        </w:rPr>
        <w:t xml:space="preserve">Statehood Solidarity Committee. </w:t>
      </w:r>
      <w:r w:rsidRPr="001017CB">
        <w:rPr>
          <w:rFonts w:ascii="Verdana" w:hAnsi="Verdana"/>
          <w:sz w:val="16"/>
          <w:szCs w:val="16"/>
          <w:lang w:val="es-ES"/>
        </w:rPr>
        <w:t xml:space="preserve">Estados Unidos. </w:t>
      </w:r>
      <w:r w:rsidRPr="00871EA2">
        <w:rPr>
          <w:rFonts w:ascii="Verdana" w:hAnsi="Verdana"/>
          <w:sz w:val="16"/>
          <w:szCs w:val="16"/>
          <w:lang w:val="es-ES"/>
        </w:rPr>
        <w:t xml:space="preserve">29 de diciembre de 2003, párr. 86 </w:t>
      </w:r>
      <w:r w:rsidRPr="00871EA2">
        <w:rPr>
          <w:rFonts w:ascii="Verdana" w:hAnsi="Verdana"/>
          <w:i/>
          <w:iCs/>
          <w:sz w:val="16"/>
          <w:szCs w:val="16"/>
          <w:lang w:val="es-ES"/>
        </w:rPr>
        <w:t>in fine</w:t>
      </w:r>
      <w:r w:rsidRPr="00871EA2">
        <w:rPr>
          <w:rFonts w:ascii="Verdana" w:hAnsi="Verdana"/>
          <w:sz w:val="16"/>
          <w:szCs w:val="16"/>
          <w:lang w:val="es-ES"/>
        </w:rPr>
        <w:t xml:space="preserve">; </w:t>
      </w:r>
      <w:r w:rsidRPr="00871EA2">
        <w:rPr>
          <w:rFonts w:ascii="Verdana" w:hAnsi="Verdana"/>
          <w:i/>
          <w:iCs/>
          <w:sz w:val="16"/>
          <w:szCs w:val="16"/>
          <w:lang w:val="es-ES"/>
        </w:rPr>
        <w:t>Vid,</w:t>
      </w:r>
      <w:r w:rsidRPr="00871EA2">
        <w:rPr>
          <w:rFonts w:ascii="Verdana" w:hAnsi="Verdana"/>
          <w:sz w:val="16"/>
          <w:szCs w:val="16"/>
          <w:lang w:val="es-ES"/>
        </w:rPr>
        <w:t xml:space="preserve"> asimismo, Aylwin Azocar y otros c. Chile (Méritos), Caso N° 11.863, Informe N° 137/99, Informe Anual de la CIDH 1999, p. 536.</w:t>
      </w:r>
    </w:p>
  </w:footnote>
  <w:footnote w:id="124">
    <w:p w14:paraId="2137C992" w14:textId="0A4A3C5E" w:rsidR="00CA403B" w:rsidRPr="00871EA2" w:rsidRDefault="00CA403B" w:rsidP="005D598A">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En particular, </w:t>
      </w:r>
      <w:r w:rsidRPr="00871EA2">
        <w:rPr>
          <w:rFonts w:ascii="Verdana" w:hAnsi="Verdana"/>
          <w:i/>
          <w:iCs/>
          <w:sz w:val="16"/>
          <w:szCs w:val="16"/>
          <w:lang w:val="es-ES"/>
        </w:rPr>
        <w:t>Caso Yatama Vs. Nicaragua</w:t>
      </w:r>
      <w:r>
        <w:rPr>
          <w:rFonts w:ascii="Verdana" w:hAnsi="Verdana"/>
          <w:i/>
          <w:iCs/>
          <w:sz w:val="16"/>
          <w:szCs w:val="16"/>
          <w:lang w:val="es-ES"/>
        </w:rPr>
        <w:t>,</w:t>
      </w:r>
      <w:r w:rsidRPr="00871EA2">
        <w:rPr>
          <w:rFonts w:ascii="Verdana" w:hAnsi="Verdana"/>
          <w:i/>
          <w:iCs/>
          <w:sz w:val="16"/>
          <w:szCs w:val="16"/>
          <w:lang w:val="es-ES"/>
        </w:rPr>
        <w:t xml:space="preserve"> </w:t>
      </w:r>
      <w:r>
        <w:rPr>
          <w:rFonts w:ascii="Verdana" w:hAnsi="Verdana"/>
          <w:i/>
          <w:iCs/>
          <w:sz w:val="16"/>
          <w:szCs w:val="16"/>
          <w:lang w:val="es-ES"/>
        </w:rPr>
        <w:t>supra</w:t>
      </w:r>
      <w:r w:rsidRPr="00871EA2">
        <w:rPr>
          <w:rFonts w:ascii="Verdana" w:hAnsi="Verdana"/>
          <w:sz w:val="16"/>
          <w:szCs w:val="16"/>
          <w:lang w:val="es-ES"/>
        </w:rPr>
        <w:t xml:space="preserve">, párr. 193; </w:t>
      </w:r>
      <w:r w:rsidRPr="00871EA2">
        <w:rPr>
          <w:rFonts w:ascii="Verdana" w:hAnsi="Verdana"/>
          <w:i/>
          <w:iCs/>
          <w:sz w:val="16"/>
          <w:szCs w:val="16"/>
          <w:lang w:val="es-ES"/>
        </w:rPr>
        <w:t>Caso Apitz Barbera y otros (“Corte Primera de lo Contencioso Administrativo”) Vs. Venezuela</w:t>
      </w:r>
      <w:r>
        <w:rPr>
          <w:rFonts w:ascii="Verdana" w:hAnsi="Verdana"/>
          <w:i/>
          <w:iCs/>
          <w:sz w:val="16"/>
          <w:szCs w:val="16"/>
          <w:lang w:val="es-ES"/>
        </w:rPr>
        <w:t>,</w:t>
      </w:r>
      <w:r w:rsidRPr="00871EA2">
        <w:rPr>
          <w:rFonts w:ascii="Verdana" w:hAnsi="Verdana"/>
          <w:i/>
          <w:iCs/>
          <w:sz w:val="16"/>
          <w:szCs w:val="16"/>
          <w:lang w:val="es-ES"/>
        </w:rPr>
        <w:t xml:space="preserve"> </w:t>
      </w:r>
      <w:r>
        <w:rPr>
          <w:rFonts w:ascii="Verdana" w:hAnsi="Verdana"/>
          <w:i/>
          <w:iCs/>
          <w:sz w:val="16"/>
          <w:szCs w:val="16"/>
          <w:lang w:val="es-ES"/>
        </w:rPr>
        <w:t>supra</w:t>
      </w:r>
      <w:r w:rsidRPr="00871EA2">
        <w:rPr>
          <w:rFonts w:ascii="Verdana" w:hAnsi="Verdana"/>
          <w:sz w:val="16"/>
          <w:szCs w:val="16"/>
          <w:lang w:val="es-ES"/>
        </w:rPr>
        <w:t>, párr</w:t>
      </w:r>
      <w:r>
        <w:rPr>
          <w:rFonts w:ascii="Verdana" w:hAnsi="Verdana"/>
          <w:sz w:val="16"/>
          <w:szCs w:val="16"/>
          <w:lang w:val="es-ES"/>
        </w:rPr>
        <w:t>s</w:t>
      </w:r>
      <w:r w:rsidRPr="00871EA2">
        <w:rPr>
          <w:rFonts w:ascii="Verdana" w:hAnsi="Verdana"/>
          <w:sz w:val="16"/>
          <w:szCs w:val="16"/>
          <w:lang w:val="es-ES"/>
        </w:rPr>
        <w:t>. 4, 216, 223</w:t>
      </w:r>
      <w:r>
        <w:rPr>
          <w:rFonts w:ascii="Verdana" w:hAnsi="Verdana"/>
          <w:sz w:val="16"/>
          <w:szCs w:val="16"/>
          <w:lang w:val="es-ES"/>
        </w:rPr>
        <w:t xml:space="preserve"> y en particular la nota al pie 230</w:t>
      </w:r>
      <w:r w:rsidRPr="00871EA2">
        <w:rPr>
          <w:rFonts w:ascii="Verdana" w:hAnsi="Verdana"/>
          <w:sz w:val="16"/>
          <w:szCs w:val="16"/>
          <w:lang w:val="es-ES"/>
        </w:rPr>
        <w:t>; C</w:t>
      </w:r>
      <w:r w:rsidRPr="00871EA2">
        <w:rPr>
          <w:rFonts w:ascii="Verdana" w:hAnsi="Verdana"/>
          <w:i/>
          <w:iCs/>
          <w:sz w:val="16"/>
          <w:szCs w:val="16"/>
          <w:lang w:val="es-ES"/>
        </w:rPr>
        <w:t>aso Castañeda Gutman Vs. México</w:t>
      </w:r>
      <w:r>
        <w:rPr>
          <w:rFonts w:ascii="Verdana" w:hAnsi="Verdana"/>
          <w:i/>
          <w:iCs/>
          <w:sz w:val="16"/>
          <w:szCs w:val="16"/>
          <w:lang w:val="es-ES"/>
        </w:rPr>
        <w:t>,</w:t>
      </w:r>
      <w:r w:rsidRPr="00871EA2">
        <w:rPr>
          <w:rFonts w:ascii="Verdana" w:hAnsi="Verdana"/>
          <w:i/>
          <w:iCs/>
          <w:sz w:val="16"/>
          <w:szCs w:val="16"/>
          <w:lang w:val="es-ES"/>
        </w:rPr>
        <w:t xml:space="preserve"> </w:t>
      </w:r>
      <w:r>
        <w:rPr>
          <w:rFonts w:ascii="Verdana" w:hAnsi="Verdana"/>
          <w:i/>
          <w:iCs/>
          <w:sz w:val="16"/>
          <w:szCs w:val="16"/>
          <w:lang w:val="es-ES"/>
        </w:rPr>
        <w:t>supra</w:t>
      </w:r>
      <w:r w:rsidRPr="00871EA2">
        <w:rPr>
          <w:rFonts w:ascii="Verdana" w:hAnsi="Verdana"/>
          <w:sz w:val="16"/>
          <w:szCs w:val="16"/>
          <w:lang w:val="es-ES"/>
        </w:rPr>
        <w:t xml:space="preserve">, párr. 142; </w:t>
      </w:r>
      <w:r w:rsidRPr="00871EA2">
        <w:rPr>
          <w:rFonts w:ascii="Verdana" w:hAnsi="Verdana"/>
          <w:i/>
          <w:iCs/>
          <w:sz w:val="16"/>
          <w:szCs w:val="16"/>
          <w:lang w:val="es-ES"/>
        </w:rPr>
        <w:t>Caso Cepeda Vargas Vs. Colombia. Excepciones Preliminares, Fondo, Reparaciones y Costas</w:t>
      </w:r>
      <w:r w:rsidRPr="00871EA2">
        <w:rPr>
          <w:rFonts w:ascii="Verdana" w:hAnsi="Verdana"/>
          <w:sz w:val="16"/>
          <w:szCs w:val="16"/>
          <w:lang w:val="es-ES"/>
        </w:rPr>
        <w:t xml:space="preserve">. Sentencia de 26 de mayo de 2010. Serie C No. 213, párr. 172 nota al pie 247; </w:t>
      </w:r>
      <w:r w:rsidRPr="00871EA2">
        <w:rPr>
          <w:rFonts w:ascii="Verdana" w:hAnsi="Verdana"/>
          <w:i/>
          <w:iCs/>
          <w:sz w:val="16"/>
          <w:szCs w:val="16"/>
          <w:lang w:val="es-ES"/>
        </w:rPr>
        <w:t>Caso de la Corte Suprema de Justicia (Quintana Coello y otros) Vs. Ecuador. Excepción Preliminar, Fondo, Reparaciones y Costas</w:t>
      </w:r>
      <w:r w:rsidRPr="00871EA2">
        <w:rPr>
          <w:rFonts w:ascii="Verdana" w:hAnsi="Verdana"/>
          <w:sz w:val="16"/>
          <w:szCs w:val="16"/>
          <w:lang w:val="es-ES"/>
        </w:rPr>
        <w:t xml:space="preserve">. Sentencia de 23 de agosto de 2013. Serie C No. 266, párr. 179; </w:t>
      </w:r>
      <w:r w:rsidRPr="00871EA2">
        <w:rPr>
          <w:rFonts w:ascii="Verdana" w:hAnsi="Verdana"/>
          <w:i/>
          <w:iCs/>
          <w:sz w:val="16"/>
          <w:szCs w:val="16"/>
          <w:lang w:val="es-ES"/>
        </w:rPr>
        <w:t>Caso del Tribunal Constitucional (Camba Campos y otros) Vs. Ecuador. Excepciones Preliminares, Fondo, Reparaciones y Costas</w:t>
      </w:r>
      <w:r w:rsidRPr="00871EA2">
        <w:rPr>
          <w:rFonts w:ascii="Verdana" w:hAnsi="Verdana"/>
          <w:sz w:val="16"/>
          <w:szCs w:val="16"/>
          <w:lang w:val="es-ES"/>
        </w:rPr>
        <w:t xml:space="preserve">. Sentencia de 28 de agosto de 2013. Serie C No. 268, párr. 221; </w:t>
      </w:r>
      <w:r w:rsidRPr="00871EA2">
        <w:rPr>
          <w:rFonts w:ascii="Verdana" w:hAnsi="Verdana"/>
          <w:i/>
          <w:iCs/>
          <w:sz w:val="16"/>
          <w:szCs w:val="16"/>
          <w:lang w:val="es-ES"/>
        </w:rPr>
        <w:t xml:space="preserve">Caso Granier y otros (Radio Caracas Televisión) Vs. Venezuela. </w:t>
      </w:r>
      <w:r w:rsidRPr="00363551">
        <w:rPr>
          <w:rFonts w:ascii="Verdana" w:hAnsi="Verdana"/>
          <w:i/>
          <w:iCs/>
          <w:sz w:val="16"/>
          <w:szCs w:val="16"/>
          <w:lang w:val="es-ES"/>
        </w:rPr>
        <w:t>supra</w:t>
      </w:r>
      <w:r w:rsidRPr="00871EA2">
        <w:rPr>
          <w:rFonts w:ascii="Verdana" w:hAnsi="Verdana"/>
          <w:sz w:val="16"/>
          <w:szCs w:val="16"/>
          <w:lang w:val="es-ES"/>
        </w:rPr>
        <w:t xml:space="preserve">, párr. </w:t>
      </w:r>
      <w:r>
        <w:rPr>
          <w:rFonts w:ascii="Verdana" w:hAnsi="Verdana"/>
          <w:sz w:val="16"/>
          <w:szCs w:val="16"/>
          <w:lang w:val="es-ES"/>
        </w:rPr>
        <w:t>140</w:t>
      </w:r>
      <w:r w:rsidRPr="00871EA2">
        <w:rPr>
          <w:rFonts w:ascii="Verdana" w:hAnsi="Verdana"/>
          <w:sz w:val="16"/>
          <w:szCs w:val="16"/>
          <w:lang w:val="es-ES"/>
        </w:rPr>
        <w:t xml:space="preserve">; </w:t>
      </w:r>
      <w:r w:rsidRPr="00871EA2">
        <w:rPr>
          <w:rFonts w:ascii="Verdana" w:hAnsi="Verdana"/>
          <w:i/>
          <w:iCs/>
          <w:sz w:val="16"/>
          <w:szCs w:val="16"/>
          <w:lang w:val="es-ES"/>
        </w:rPr>
        <w:t>Caso López Lone y otros Vs. Honduras. Excepción Preliminar, Fondo, Reparaciones y Costas.</w:t>
      </w:r>
      <w:r w:rsidRPr="00871EA2">
        <w:rPr>
          <w:rFonts w:ascii="Verdana" w:hAnsi="Verdana"/>
          <w:sz w:val="16"/>
          <w:szCs w:val="16"/>
          <w:lang w:val="es-ES"/>
        </w:rPr>
        <w:t xml:space="preserve"> Sentencia de 5 de octubre de 2015. Serie C No. 302, párrs.</w:t>
      </w:r>
      <w:r>
        <w:rPr>
          <w:rFonts w:ascii="Verdana" w:hAnsi="Verdana"/>
          <w:sz w:val="16"/>
          <w:szCs w:val="16"/>
          <w:lang w:val="es-ES"/>
        </w:rPr>
        <w:t xml:space="preserve"> </w:t>
      </w:r>
      <w:r w:rsidRPr="00871EA2">
        <w:rPr>
          <w:rFonts w:ascii="Verdana" w:hAnsi="Verdana"/>
          <w:sz w:val="16"/>
          <w:szCs w:val="16"/>
          <w:lang w:val="es-ES"/>
        </w:rPr>
        <w:t>150, 165 y 201; C</w:t>
      </w:r>
      <w:r w:rsidRPr="00871EA2">
        <w:rPr>
          <w:rFonts w:ascii="Verdana" w:hAnsi="Verdana"/>
          <w:i/>
          <w:iCs/>
          <w:sz w:val="16"/>
          <w:szCs w:val="16"/>
          <w:lang w:val="es-ES"/>
        </w:rPr>
        <w:t>aso Andrade Salmón Vs. Bolivia. Fondo, Reparaciones y Costas.</w:t>
      </w:r>
      <w:r w:rsidRPr="00871EA2">
        <w:rPr>
          <w:rFonts w:ascii="Verdana" w:hAnsi="Verdana"/>
          <w:sz w:val="16"/>
          <w:szCs w:val="16"/>
          <w:lang w:val="es-ES"/>
        </w:rPr>
        <w:t xml:space="preserve"> Sentencia de 1 de diciembre de 2016. Serie C No. 330, párr. 178 </w:t>
      </w:r>
      <w:r>
        <w:rPr>
          <w:rFonts w:ascii="Verdana" w:hAnsi="Verdana"/>
          <w:sz w:val="16"/>
          <w:szCs w:val="16"/>
          <w:lang w:val="es-ES"/>
        </w:rPr>
        <w:t xml:space="preserve">y la </w:t>
      </w:r>
      <w:r w:rsidRPr="00871EA2">
        <w:rPr>
          <w:rFonts w:ascii="Verdana" w:hAnsi="Verdana"/>
          <w:sz w:val="16"/>
          <w:szCs w:val="16"/>
          <w:lang w:val="es-ES"/>
        </w:rPr>
        <w:t xml:space="preserve">nota al pie 217; </w:t>
      </w:r>
      <w:r w:rsidRPr="00871EA2">
        <w:rPr>
          <w:rFonts w:ascii="Verdana" w:hAnsi="Verdana"/>
          <w:i/>
          <w:iCs/>
          <w:sz w:val="16"/>
          <w:szCs w:val="16"/>
          <w:lang w:val="es-ES"/>
        </w:rPr>
        <w:t>Caso Lagos del Campo Vs. Perú. Excepciones Preliminares, Fondo, Reparaciones y Costas.</w:t>
      </w:r>
      <w:r w:rsidRPr="00871EA2">
        <w:rPr>
          <w:rFonts w:ascii="Verdana" w:hAnsi="Verdana"/>
          <w:sz w:val="16"/>
          <w:szCs w:val="16"/>
          <w:lang w:val="es-ES"/>
        </w:rPr>
        <w:t xml:space="preserve"> Sentencia de 31 de agosto de 2017. Serie C No. 340, párr. 90 </w:t>
      </w:r>
      <w:r>
        <w:rPr>
          <w:rFonts w:ascii="Verdana" w:hAnsi="Verdana"/>
          <w:sz w:val="16"/>
          <w:szCs w:val="16"/>
          <w:lang w:val="es-ES"/>
        </w:rPr>
        <w:t xml:space="preserve">y </w:t>
      </w:r>
      <w:r w:rsidRPr="00871EA2">
        <w:rPr>
          <w:rFonts w:ascii="Verdana" w:hAnsi="Verdana"/>
          <w:sz w:val="16"/>
          <w:szCs w:val="16"/>
          <w:lang w:val="es-ES"/>
        </w:rPr>
        <w:t>nota</w:t>
      </w:r>
      <w:r>
        <w:rPr>
          <w:rFonts w:ascii="Verdana" w:hAnsi="Verdana"/>
          <w:sz w:val="16"/>
          <w:szCs w:val="16"/>
          <w:lang w:val="es-ES"/>
        </w:rPr>
        <w:t>s</w:t>
      </w:r>
      <w:r w:rsidRPr="00871EA2">
        <w:rPr>
          <w:rFonts w:ascii="Verdana" w:hAnsi="Verdana"/>
          <w:sz w:val="16"/>
          <w:szCs w:val="16"/>
          <w:lang w:val="es-ES"/>
        </w:rPr>
        <w:t xml:space="preserve"> al pie 11</w:t>
      </w:r>
      <w:r>
        <w:rPr>
          <w:rFonts w:ascii="Verdana" w:hAnsi="Verdana"/>
          <w:sz w:val="16"/>
          <w:szCs w:val="16"/>
          <w:lang w:val="es-ES"/>
        </w:rPr>
        <w:t>1 y</w:t>
      </w:r>
      <w:r w:rsidRPr="00871EA2">
        <w:rPr>
          <w:rFonts w:ascii="Verdana" w:hAnsi="Verdana"/>
          <w:sz w:val="16"/>
          <w:szCs w:val="16"/>
          <w:lang w:val="es-ES"/>
        </w:rPr>
        <w:t xml:space="preserve"> 11</w:t>
      </w:r>
      <w:r>
        <w:rPr>
          <w:rFonts w:ascii="Verdana" w:hAnsi="Verdana"/>
          <w:sz w:val="16"/>
          <w:szCs w:val="16"/>
          <w:lang w:val="es-ES"/>
        </w:rPr>
        <w:t>6</w:t>
      </w:r>
      <w:r w:rsidRPr="00871EA2">
        <w:rPr>
          <w:rFonts w:ascii="Verdana" w:hAnsi="Verdana"/>
          <w:sz w:val="16"/>
          <w:szCs w:val="16"/>
          <w:lang w:val="es-ES"/>
        </w:rPr>
        <w:t xml:space="preserve"> </w:t>
      </w:r>
      <w:r>
        <w:rPr>
          <w:rFonts w:ascii="Verdana" w:hAnsi="Verdana"/>
          <w:sz w:val="16"/>
          <w:szCs w:val="16"/>
          <w:lang w:val="es-ES"/>
        </w:rPr>
        <w:t>y</w:t>
      </w:r>
      <w:r w:rsidRPr="00871EA2">
        <w:rPr>
          <w:rFonts w:ascii="Verdana" w:hAnsi="Verdana"/>
          <w:sz w:val="16"/>
          <w:szCs w:val="16"/>
          <w:lang w:val="es-ES"/>
        </w:rPr>
        <w:t xml:space="preserve"> 145; </w:t>
      </w:r>
      <w:r w:rsidRPr="00871EA2">
        <w:rPr>
          <w:rFonts w:ascii="Verdana" w:hAnsi="Verdana"/>
          <w:i/>
          <w:iCs/>
          <w:sz w:val="16"/>
          <w:szCs w:val="16"/>
          <w:lang w:val="es-ES"/>
        </w:rPr>
        <w:t>Caso Trabajadores Cesados de Petroperú y otros Vs. Perú. Excepciones Preliminares, Fondo, Reparaciones y Costas</w:t>
      </w:r>
      <w:r w:rsidRPr="00871EA2">
        <w:rPr>
          <w:rFonts w:ascii="Verdana" w:hAnsi="Verdana"/>
          <w:sz w:val="16"/>
          <w:szCs w:val="16"/>
          <w:lang w:val="es-ES"/>
        </w:rPr>
        <w:t xml:space="preserve">. Sentencia de 23 de noviembre de 2017. Serie C No. 344, párr. 42 </w:t>
      </w:r>
      <w:r>
        <w:rPr>
          <w:rFonts w:ascii="Verdana" w:hAnsi="Verdana"/>
          <w:sz w:val="16"/>
          <w:szCs w:val="16"/>
          <w:lang w:val="es-ES"/>
        </w:rPr>
        <w:t xml:space="preserve">y </w:t>
      </w:r>
      <w:r w:rsidRPr="00871EA2">
        <w:rPr>
          <w:rFonts w:ascii="Verdana" w:hAnsi="Verdana"/>
          <w:sz w:val="16"/>
          <w:szCs w:val="16"/>
          <w:lang w:val="es-ES"/>
        </w:rPr>
        <w:t>nota al pie 49; Caso San Miguel Sosa y otras Vs. Venezuela</w:t>
      </w:r>
      <w:r>
        <w:rPr>
          <w:rFonts w:ascii="Verdana" w:hAnsi="Verdana"/>
          <w:sz w:val="16"/>
          <w:szCs w:val="16"/>
          <w:lang w:val="es-ES"/>
        </w:rPr>
        <w:t>,</w:t>
      </w:r>
      <w:r w:rsidRPr="00871EA2">
        <w:rPr>
          <w:rFonts w:ascii="Verdana" w:hAnsi="Verdana"/>
          <w:sz w:val="16"/>
          <w:szCs w:val="16"/>
          <w:lang w:val="es-ES"/>
        </w:rPr>
        <w:t xml:space="preserve"> </w:t>
      </w:r>
      <w:r>
        <w:rPr>
          <w:rFonts w:ascii="Verdana" w:hAnsi="Verdana"/>
          <w:i/>
          <w:sz w:val="16"/>
          <w:szCs w:val="16"/>
          <w:lang w:val="es-ES"/>
        </w:rPr>
        <w:t>supra</w:t>
      </w:r>
      <w:r w:rsidRPr="00871EA2">
        <w:rPr>
          <w:rFonts w:ascii="Verdana" w:hAnsi="Verdana"/>
          <w:sz w:val="16"/>
          <w:szCs w:val="16"/>
          <w:lang w:val="es-ES"/>
        </w:rPr>
        <w:t xml:space="preserve">, </w:t>
      </w:r>
      <w:r>
        <w:rPr>
          <w:rFonts w:ascii="Verdana" w:hAnsi="Verdana"/>
          <w:sz w:val="16"/>
          <w:szCs w:val="16"/>
          <w:lang w:val="es-ES"/>
        </w:rPr>
        <w:t xml:space="preserve">párr. </w:t>
      </w:r>
      <w:r w:rsidRPr="00871EA2">
        <w:rPr>
          <w:rFonts w:ascii="Verdana" w:hAnsi="Verdana"/>
          <w:sz w:val="16"/>
          <w:szCs w:val="16"/>
          <w:lang w:val="es-ES"/>
        </w:rPr>
        <w:t xml:space="preserve">115 </w:t>
      </w:r>
      <w:r>
        <w:rPr>
          <w:rFonts w:ascii="Verdana" w:hAnsi="Verdana"/>
          <w:sz w:val="16"/>
          <w:szCs w:val="16"/>
          <w:lang w:val="es-ES"/>
        </w:rPr>
        <w:t xml:space="preserve">y </w:t>
      </w:r>
      <w:r w:rsidRPr="00871EA2">
        <w:rPr>
          <w:rFonts w:ascii="Verdana" w:hAnsi="Verdana"/>
          <w:sz w:val="16"/>
          <w:szCs w:val="16"/>
          <w:lang w:val="es-ES"/>
        </w:rPr>
        <w:t>nota</w:t>
      </w:r>
      <w:r>
        <w:rPr>
          <w:rFonts w:ascii="Verdana" w:hAnsi="Verdana"/>
          <w:sz w:val="16"/>
          <w:szCs w:val="16"/>
          <w:lang w:val="es-ES"/>
        </w:rPr>
        <w:t xml:space="preserve"> </w:t>
      </w:r>
      <w:r w:rsidRPr="00871EA2">
        <w:rPr>
          <w:rFonts w:ascii="Verdana" w:hAnsi="Verdana"/>
          <w:sz w:val="16"/>
          <w:szCs w:val="16"/>
          <w:lang w:val="es-ES"/>
        </w:rPr>
        <w:t>al pie 18</w:t>
      </w:r>
      <w:r>
        <w:rPr>
          <w:rFonts w:ascii="Verdana" w:hAnsi="Verdana"/>
          <w:sz w:val="16"/>
          <w:szCs w:val="16"/>
          <w:lang w:val="es-ES"/>
        </w:rPr>
        <w:t>4</w:t>
      </w:r>
      <w:r w:rsidRPr="00871EA2">
        <w:rPr>
          <w:rFonts w:ascii="Verdana" w:hAnsi="Verdana"/>
          <w:sz w:val="16"/>
          <w:szCs w:val="16"/>
          <w:lang w:val="es-ES"/>
        </w:rPr>
        <w:t xml:space="preserve">; </w:t>
      </w:r>
      <w:r w:rsidRPr="00871EA2">
        <w:rPr>
          <w:rFonts w:ascii="Verdana" w:hAnsi="Verdana"/>
          <w:i/>
          <w:iCs/>
          <w:sz w:val="16"/>
          <w:szCs w:val="16"/>
          <w:lang w:val="es-ES"/>
        </w:rPr>
        <w:t>Caso Mujeres Víctimas de Tortura Sexual en Atenco Vs. México. Excepción Preliminar, Fondo, Reparaciones y Costas</w:t>
      </w:r>
      <w:r w:rsidRPr="00871EA2">
        <w:rPr>
          <w:rFonts w:ascii="Verdana" w:hAnsi="Verdana"/>
          <w:sz w:val="16"/>
          <w:szCs w:val="16"/>
          <w:lang w:val="es-ES"/>
        </w:rPr>
        <w:t xml:space="preserve">. Sentencia de 28 de noviembre de 2018. Serie C No. 371, párr. 54 </w:t>
      </w:r>
      <w:r>
        <w:rPr>
          <w:rFonts w:ascii="Verdana" w:hAnsi="Verdana"/>
          <w:sz w:val="16"/>
          <w:szCs w:val="16"/>
          <w:lang w:val="es-ES"/>
        </w:rPr>
        <w:t xml:space="preserve">y </w:t>
      </w:r>
      <w:r w:rsidRPr="00871EA2">
        <w:rPr>
          <w:rFonts w:ascii="Verdana" w:hAnsi="Verdana"/>
          <w:sz w:val="16"/>
          <w:szCs w:val="16"/>
          <w:lang w:val="es-ES"/>
        </w:rPr>
        <w:t xml:space="preserve">nota al pie 56; </w:t>
      </w:r>
      <w:r w:rsidRPr="00871EA2">
        <w:rPr>
          <w:rFonts w:ascii="Verdana" w:hAnsi="Verdana"/>
          <w:i/>
          <w:iCs/>
          <w:sz w:val="16"/>
          <w:szCs w:val="16"/>
          <w:lang w:val="es-ES"/>
        </w:rPr>
        <w:t>Caso Petro Urrego Vs. Colombia</w:t>
      </w:r>
      <w:r>
        <w:rPr>
          <w:rFonts w:ascii="Verdana" w:hAnsi="Verdana"/>
          <w:iCs/>
          <w:sz w:val="16"/>
          <w:szCs w:val="16"/>
          <w:lang w:val="es-ES"/>
        </w:rPr>
        <w:t xml:space="preserve">, </w:t>
      </w:r>
      <w:r w:rsidRPr="00363551">
        <w:rPr>
          <w:rFonts w:ascii="Verdana" w:hAnsi="Verdana"/>
          <w:i/>
          <w:iCs/>
          <w:sz w:val="16"/>
          <w:szCs w:val="16"/>
          <w:lang w:val="es-ES"/>
        </w:rPr>
        <w:t>supra</w:t>
      </w:r>
      <w:r w:rsidRPr="00871EA2">
        <w:rPr>
          <w:rFonts w:ascii="Verdana" w:hAnsi="Verdana"/>
          <w:sz w:val="16"/>
          <w:szCs w:val="16"/>
          <w:lang w:val="es-ES"/>
        </w:rPr>
        <w:t>, párr.</w:t>
      </w:r>
      <w:r>
        <w:rPr>
          <w:rFonts w:ascii="Verdana" w:hAnsi="Verdana"/>
          <w:sz w:val="16"/>
          <w:szCs w:val="16"/>
          <w:lang w:val="es-ES"/>
        </w:rPr>
        <w:t xml:space="preserve"> 91</w:t>
      </w:r>
      <w:r w:rsidRPr="00871EA2">
        <w:rPr>
          <w:rFonts w:ascii="Verdana" w:hAnsi="Verdana"/>
          <w:sz w:val="16"/>
          <w:szCs w:val="16"/>
          <w:lang w:val="es-ES"/>
        </w:rPr>
        <w:t xml:space="preserve">; </w:t>
      </w:r>
      <w:r w:rsidRPr="00871EA2">
        <w:rPr>
          <w:rFonts w:ascii="Verdana" w:hAnsi="Verdana"/>
          <w:i/>
          <w:iCs/>
          <w:sz w:val="16"/>
          <w:szCs w:val="16"/>
          <w:lang w:val="es-ES"/>
        </w:rPr>
        <w:t>Caso Ríos Avalos y otro Vs. Paraguay. Fondo, Reparaciones y Costas</w:t>
      </w:r>
      <w:r w:rsidRPr="00871EA2">
        <w:rPr>
          <w:rFonts w:ascii="Verdana" w:hAnsi="Verdana"/>
          <w:sz w:val="16"/>
          <w:szCs w:val="16"/>
          <w:lang w:val="es-ES"/>
        </w:rPr>
        <w:t>. Sentencia de 19 de agosto de 2021. Serie C No. 429, párr</w:t>
      </w:r>
      <w:r>
        <w:rPr>
          <w:rFonts w:ascii="Verdana" w:hAnsi="Verdana"/>
          <w:sz w:val="16"/>
          <w:szCs w:val="16"/>
          <w:lang w:val="es-ES"/>
        </w:rPr>
        <w:t>s</w:t>
      </w:r>
      <w:r w:rsidRPr="00871EA2">
        <w:rPr>
          <w:rFonts w:ascii="Verdana" w:hAnsi="Verdana"/>
          <w:sz w:val="16"/>
          <w:szCs w:val="16"/>
          <w:lang w:val="es-ES"/>
        </w:rPr>
        <w:t xml:space="preserve">. 91 y 161; </w:t>
      </w:r>
      <w:r w:rsidRPr="00871EA2">
        <w:rPr>
          <w:rFonts w:ascii="Verdana" w:hAnsi="Verdana"/>
          <w:i/>
          <w:iCs/>
          <w:sz w:val="16"/>
          <w:szCs w:val="16"/>
          <w:lang w:val="es-ES"/>
        </w:rPr>
        <w:t>Caso Palacio Urrutia y otros Vs. Ecuador. Fondo, Reparaciones y Costas</w:t>
      </w:r>
      <w:r w:rsidRPr="00871EA2">
        <w:rPr>
          <w:rFonts w:ascii="Verdana" w:hAnsi="Verdana"/>
          <w:sz w:val="16"/>
          <w:szCs w:val="16"/>
          <w:lang w:val="es-ES"/>
        </w:rPr>
        <w:t xml:space="preserve">. Sentencia de 24 de noviembre de 2021. Serie C No. 446, párr. 88; </w:t>
      </w:r>
      <w:r w:rsidRPr="00871EA2">
        <w:rPr>
          <w:rFonts w:ascii="Verdana" w:hAnsi="Verdana"/>
          <w:i/>
          <w:iCs/>
          <w:sz w:val="16"/>
          <w:szCs w:val="16"/>
          <w:lang w:val="es-ES"/>
        </w:rPr>
        <w:t>Caso Moya Chacón y otro Vs. Costa Rica. Excepciones Preliminares, Fondo, Reparaciones y Costas</w:t>
      </w:r>
      <w:r w:rsidRPr="00871EA2">
        <w:rPr>
          <w:rFonts w:ascii="Verdana" w:hAnsi="Verdana"/>
          <w:sz w:val="16"/>
          <w:szCs w:val="16"/>
          <w:lang w:val="es-ES"/>
        </w:rPr>
        <w:t xml:space="preserve">. Sentencia de 23 de mayo de 2022. Serie C No. 451, párr. 64; </w:t>
      </w:r>
      <w:r w:rsidRPr="00871EA2">
        <w:rPr>
          <w:rFonts w:ascii="Verdana" w:hAnsi="Verdana"/>
          <w:i/>
          <w:iCs/>
          <w:sz w:val="16"/>
          <w:szCs w:val="16"/>
          <w:lang w:val="es-ES"/>
        </w:rPr>
        <w:t>Caso Integrantes y Militantes de la Unión Patriótica Vs. Colombia. Excepciones Preliminares, Fondo, Reparaciones y Costas</w:t>
      </w:r>
      <w:r w:rsidRPr="00871EA2">
        <w:rPr>
          <w:rFonts w:ascii="Verdana" w:hAnsi="Verdana"/>
          <w:sz w:val="16"/>
          <w:szCs w:val="16"/>
          <w:lang w:val="es-ES"/>
        </w:rPr>
        <w:t>. Sentencia de 27 de julio de 2022. Serie C No. 455, párrs. 310</w:t>
      </w:r>
      <w:r>
        <w:rPr>
          <w:rFonts w:ascii="Verdana" w:hAnsi="Verdana"/>
          <w:sz w:val="16"/>
          <w:szCs w:val="16"/>
          <w:lang w:val="es-ES"/>
        </w:rPr>
        <w:t xml:space="preserve"> y</w:t>
      </w:r>
      <w:r w:rsidRPr="00871EA2">
        <w:rPr>
          <w:rFonts w:ascii="Verdana" w:hAnsi="Verdana"/>
          <w:sz w:val="16"/>
          <w:szCs w:val="16"/>
          <w:lang w:val="es-ES"/>
        </w:rPr>
        <w:t xml:space="preserve"> 337; </w:t>
      </w:r>
      <w:r w:rsidRPr="00871EA2">
        <w:rPr>
          <w:rFonts w:ascii="Verdana" w:hAnsi="Verdana"/>
          <w:i/>
          <w:iCs/>
          <w:sz w:val="16"/>
          <w:szCs w:val="16"/>
          <w:lang w:val="es-ES"/>
        </w:rPr>
        <w:t>Caso Baraona Bray Vs. Chile. Excepciones Preliminares, Fondo, Reparaciones y Costas</w:t>
      </w:r>
      <w:r w:rsidRPr="00871EA2">
        <w:rPr>
          <w:rFonts w:ascii="Verdana" w:hAnsi="Verdana"/>
          <w:sz w:val="16"/>
          <w:szCs w:val="16"/>
          <w:lang w:val="es-ES"/>
        </w:rPr>
        <w:t xml:space="preserve">. Sentencia de 24 de noviembre de 2022. Serie C No. 481, párr. 89; </w:t>
      </w:r>
      <w:r w:rsidRPr="00871EA2">
        <w:rPr>
          <w:rFonts w:ascii="Verdana" w:hAnsi="Verdana"/>
          <w:i/>
          <w:iCs/>
          <w:sz w:val="16"/>
          <w:szCs w:val="16"/>
          <w:lang w:val="es-ES"/>
        </w:rPr>
        <w:t>Caso Aguinaga Aillón Vs. Ecuador. Fondo, Reparaciones y Costas</w:t>
      </w:r>
      <w:r w:rsidRPr="00871EA2">
        <w:rPr>
          <w:rFonts w:ascii="Verdana" w:hAnsi="Verdana"/>
          <w:sz w:val="16"/>
          <w:szCs w:val="16"/>
          <w:lang w:val="es-ES"/>
        </w:rPr>
        <w:t>. Sentencia de 30 de enero de 2023. Serie C No. 483, párr</w:t>
      </w:r>
      <w:r>
        <w:rPr>
          <w:rFonts w:ascii="Verdana" w:hAnsi="Verdana"/>
          <w:sz w:val="16"/>
          <w:szCs w:val="16"/>
          <w:lang w:val="es-ES"/>
        </w:rPr>
        <w:t>s.</w:t>
      </w:r>
      <w:r w:rsidRPr="00871EA2">
        <w:rPr>
          <w:rFonts w:ascii="Verdana" w:hAnsi="Verdana"/>
          <w:sz w:val="16"/>
          <w:szCs w:val="16"/>
          <w:lang w:val="es-ES"/>
        </w:rPr>
        <w:t xml:space="preserve"> </w:t>
      </w:r>
      <w:r>
        <w:rPr>
          <w:rFonts w:ascii="Verdana" w:hAnsi="Verdana"/>
          <w:sz w:val="16"/>
          <w:szCs w:val="16"/>
          <w:lang w:val="es-ES"/>
        </w:rPr>
        <w:t xml:space="preserve">68 y </w:t>
      </w:r>
      <w:r w:rsidRPr="00871EA2">
        <w:rPr>
          <w:rFonts w:ascii="Verdana" w:hAnsi="Verdana"/>
          <w:sz w:val="16"/>
          <w:szCs w:val="16"/>
          <w:lang w:val="es-ES"/>
        </w:rPr>
        <w:t>87</w:t>
      </w:r>
      <w:r>
        <w:rPr>
          <w:rFonts w:ascii="Verdana" w:hAnsi="Verdana"/>
          <w:sz w:val="16"/>
          <w:szCs w:val="16"/>
          <w:lang w:val="es-ES"/>
        </w:rPr>
        <w:t>.</w:t>
      </w:r>
    </w:p>
  </w:footnote>
  <w:footnote w:id="125">
    <w:p w14:paraId="743C99F6" w14:textId="04F8BC0C" w:rsidR="00CA403B" w:rsidRPr="00871EA2" w:rsidRDefault="00CA403B" w:rsidP="005D598A">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En particular, </w:t>
      </w:r>
      <w:r w:rsidRPr="00871EA2">
        <w:rPr>
          <w:rFonts w:ascii="Verdana" w:hAnsi="Verdana"/>
          <w:i/>
          <w:iCs/>
          <w:sz w:val="16"/>
          <w:szCs w:val="16"/>
          <w:lang w:val="es-ES"/>
        </w:rPr>
        <w:t>Caso Herrera Ulloa Vs. Costa Rica. Excepciones Preliminares, Fondo, Reparaciones y Costas. Sentencia de 2 de julio de 2004</w:t>
      </w:r>
      <w:r w:rsidRPr="00871EA2">
        <w:rPr>
          <w:rFonts w:ascii="Verdana" w:hAnsi="Verdana"/>
          <w:sz w:val="16"/>
          <w:szCs w:val="16"/>
          <w:lang w:val="es-ES"/>
        </w:rPr>
        <w:t xml:space="preserve">. Serie C No. 107, párrs. 66.d y 115; </w:t>
      </w:r>
      <w:r w:rsidRPr="00871EA2">
        <w:rPr>
          <w:rFonts w:ascii="Verdana" w:hAnsi="Verdana"/>
          <w:i/>
          <w:iCs/>
          <w:sz w:val="16"/>
          <w:szCs w:val="16"/>
          <w:lang w:val="es-ES"/>
        </w:rPr>
        <w:t>Caso Ricardo Canese Vs. Paraguay. Fondo, Reparaciones y Costas</w:t>
      </w:r>
      <w:r w:rsidRPr="00871EA2">
        <w:rPr>
          <w:rFonts w:ascii="Verdana" w:hAnsi="Verdana"/>
          <w:sz w:val="16"/>
          <w:szCs w:val="16"/>
          <w:lang w:val="es-ES"/>
        </w:rPr>
        <w:t>. Sentencia de 31 de agosto de 2004. Serie C No. 111, p</w:t>
      </w:r>
      <w:r>
        <w:rPr>
          <w:rFonts w:ascii="Verdana" w:hAnsi="Verdana"/>
          <w:sz w:val="16"/>
          <w:szCs w:val="16"/>
          <w:lang w:val="es-ES"/>
        </w:rPr>
        <w:t>á</w:t>
      </w:r>
      <w:r w:rsidRPr="00871EA2">
        <w:rPr>
          <w:rFonts w:ascii="Verdana" w:hAnsi="Verdana"/>
          <w:sz w:val="16"/>
          <w:szCs w:val="16"/>
          <w:lang w:val="es-ES"/>
        </w:rPr>
        <w:t xml:space="preserve">rr. 85; </w:t>
      </w:r>
      <w:r w:rsidRPr="00871EA2">
        <w:rPr>
          <w:rFonts w:ascii="Verdana" w:hAnsi="Verdana"/>
          <w:i/>
          <w:iCs/>
          <w:sz w:val="16"/>
          <w:szCs w:val="16"/>
          <w:lang w:val="es-ES"/>
        </w:rPr>
        <w:t>Caso Ríos y otros Vs. Venezuela. Excepciones Preliminares, Fondo, Reparaciones y Costas</w:t>
      </w:r>
      <w:r w:rsidRPr="00871EA2">
        <w:rPr>
          <w:rFonts w:ascii="Verdana" w:hAnsi="Verdana"/>
          <w:sz w:val="16"/>
          <w:szCs w:val="16"/>
          <w:lang w:val="es-ES"/>
        </w:rPr>
        <w:t>. Sentencia de 28 de enero de 2009. Serie C No. 194, párr. 105</w:t>
      </w:r>
      <w:r>
        <w:rPr>
          <w:rFonts w:ascii="Verdana" w:hAnsi="Verdana"/>
          <w:sz w:val="16"/>
          <w:szCs w:val="16"/>
          <w:lang w:val="es-ES"/>
        </w:rPr>
        <w:t xml:space="preserve"> y nota al pie 73</w:t>
      </w:r>
      <w:r w:rsidRPr="00871EA2">
        <w:rPr>
          <w:rFonts w:ascii="Verdana" w:hAnsi="Verdana"/>
          <w:sz w:val="16"/>
          <w:szCs w:val="16"/>
          <w:lang w:val="es-ES"/>
        </w:rPr>
        <w:t xml:space="preserve">; </w:t>
      </w:r>
      <w:r w:rsidRPr="00871EA2">
        <w:rPr>
          <w:rFonts w:ascii="Verdana" w:hAnsi="Verdana"/>
          <w:i/>
          <w:iCs/>
          <w:sz w:val="16"/>
          <w:szCs w:val="16"/>
          <w:lang w:val="es-ES"/>
        </w:rPr>
        <w:t>Caso Perozo y otros Vs. Venezuela. Excepciones Preliminares, Fondo, Reparaciones y Costas.</w:t>
      </w:r>
      <w:r w:rsidRPr="00871EA2">
        <w:rPr>
          <w:rFonts w:ascii="Verdana" w:hAnsi="Verdana"/>
          <w:sz w:val="16"/>
          <w:szCs w:val="16"/>
          <w:lang w:val="es-ES"/>
        </w:rPr>
        <w:t xml:space="preserve"> Sentencia de 28 de enero de 2009. Serie C No. 195, párr. 116 </w:t>
      </w:r>
      <w:r>
        <w:rPr>
          <w:rFonts w:ascii="Verdana" w:hAnsi="Verdana"/>
          <w:sz w:val="16"/>
          <w:szCs w:val="16"/>
          <w:lang w:val="es-ES"/>
        </w:rPr>
        <w:t xml:space="preserve">y </w:t>
      </w:r>
      <w:r w:rsidRPr="00871EA2">
        <w:rPr>
          <w:rFonts w:ascii="Verdana" w:hAnsi="Verdana"/>
          <w:sz w:val="16"/>
          <w:szCs w:val="16"/>
          <w:lang w:val="es-ES"/>
        </w:rPr>
        <w:t>nota al pie 61</w:t>
      </w:r>
      <w:r>
        <w:rPr>
          <w:rFonts w:ascii="Verdana" w:hAnsi="Verdana"/>
          <w:sz w:val="16"/>
          <w:szCs w:val="16"/>
          <w:lang w:val="es-ES"/>
        </w:rPr>
        <w:t xml:space="preserve">; </w:t>
      </w:r>
      <w:r w:rsidRPr="00871EA2">
        <w:rPr>
          <w:rFonts w:ascii="Verdana" w:hAnsi="Verdana"/>
          <w:i/>
          <w:iCs/>
          <w:sz w:val="16"/>
          <w:szCs w:val="16"/>
          <w:lang w:val="es-ES"/>
        </w:rPr>
        <w:t>Caso Granier y otros (Radio Caracas Televisión) Vs. Venezuela</w:t>
      </w:r>
      <w:r>
        <w:rPr>
          <w:rFonts w:ascii="Verdana" w:hAnsi="Verdana"/>
          <w:i/>
          <w:iCs/>
          <w:sz w:val="16"/>
          <w:szCs w:val="16"/>
          <w:lang w:val="es-ES"/>
        </w:rPr>
        <w:t>, supra</w:t>
      </w:r>
      <w:r w:rsidRPr="00871EA2">
        <w:rPr>
          <w:rFonts w:ascii="Verdana" w:hAnsi="Verdana"/>
          <w:sz w:val="16"/>
          <w:szCs w:val="16"/>
          <w:lang w:val="es-ES"/>
        </w:rPr>
        <w:t xml:space="preserve">, párr. </w:t>
      </w:r>
      <w:r>
        <w:rPr>
          <w:rFonts w:ascii="Verdana" w:hAnsi="Verdana"/>
          <w:sz w:val="16"/>
          <w:szCs w:val="16"/>
          <w:lang w:val="es-ES"/>
        </w:rPr>
        <w:t>140</w:t>
      </w:r>
      <w:r w:rsidRPr="00871EA2">
        <w:rPr>
          <w:rFonts w:ascii="Verdana" w:hAnsi="Verdana"/>
          <w:sz w:val="16"/>
          <w:szCs w:val="16"/>
          <w:lang w:val="es-ES"/>
        </w:rPr>
        <w:t xml:space="preserve">; </w:t>
      </w:r>
      <w:r w:rsidRPr="00871EA2">
        <w:rPr>
          <w:rFonts w:ascii="Verdana" w:hAnsi="Verdana"/>
          <w:i/>
          <w:iCs/>
          <w:sz w:val="16"/>
          <w:szCs w:val="16"/>
          <w:lang w:val="es-ES"/>
        </w:rPr>
        <w:t>Caso Comunidad Campesina de Santa Bárbara Vs. Perú. Excepciones Preliminares, Fondo, Reparaciones y Costas</w:t>
      </w:r>
      <w:r w:rsidRPr="00871EA2">
        <w:rPr>
          <w:rFonts w:ascii="Verdana" w:hAnsi="Verdana"/>
          <w:sz w:val="16"/>
          <w:szCs w:val="16"/>
          <w:lang w:val="es-ES"/>
        </w:rPr>
        <w:t>. Sentencia de 1 de septiembre de 2015. Serie C No. 299, párr. 2</w:t>
      </w:r>
      <w:r>
        <w:rPr>
          <w:rFonts w:ascii="Verdana" w:hAnsi="Verdana"/>
          <w:sz w:val="16"/>
          <w:szCs w:val="16"/>
          <w:lang w:val="es-ES"/>
        </w:rPr>
        <w:t>6</w:t>
      </w:r>
      <w:r w:rsidRPr="00871EA2">
        <w:rPr>
          <w:rFonts w:ascii="Verdana" w:hAnsi="Verdana"/>
          <w:sz w:val="16"/>
          <w:szCs w:val="16"/>
          <w:lang w:val="es-ES"/>
        </w:rPr>
        <w:t xml:space="preserve">6; </w:t>
      </w:r>
      <w:r w:rsidRPr="00871EA2">
        <w:rPr>
          <w:rFonts w:ascii="Verdana" w:hAnsi="Verdana"/>
          <w:i/>
          <w:iCs/>
          <w:sz w:val="16"/>
          <w:szCs w:val="16"/>
          <w:lang w:val="es-ES"/>
        </w:rPr>
        <w:t>Caso López Lone y otros Vs. Honduras</w:t>
      </w:r>
      <w:r>
        <w:rPr>
          <w:rFonts w:ascii="Verdana" w:hAnsi="Verdana"/>
          <w:i/>
          <w:iCs/>
          <w:sz w:val="16"/>
          <w:szCs w:val="16"/>
          <w:lang w:val="es-ES"/>
        </w:rPr>
        <w:t>, supra</w:t>
      </w:r>
      <w:r w:rsidRPr="00871EA2">
        <w:rPr>
          <w:rFonts w:ascii="Verdana" w:hAnsi="Verdana"/>
          <w:sz w:val="16"/>
          <w:szCs w:val="16"/>
          <w:lang w:val="es-ES"/>
        </w:rPr>
        <w:t xml:space="preserve">, párr. 165; </w:t>
      </w:r>
      <w:r w:rsidRPr="00871EA2">
        <w:rPr>
          <w:rFonts w:ascii="Verdana" w:hAnsi="Verdana"/>
          <w:i/>
          <w:iCs/>
          <w:sz w:val="16"/>
          <w:szCs w:val="16"/>
          <w:lang w:val="es-ES"/>
        </w:rPr>
        <w:t>Caso Lagos del Campo Vs. Perú</w:t>
      </w:r>
      <w:r>
        <w:rPr>
          <w:rFonts w:ascii="Verdana" w:hAnsi="Verdana"/>
          <w:i/>
          <w:iCs/>
          <w:sz w:val="16"/>
          <w:szCs w:val="16"/>
          <w:lang w:val="es-ES"/>
        </w:rPr>
        <w:t>, supra</w:t>
      </w:r>
      <w:r w:rsidRPr="00871EA2">
        <w:rPr>
          <w:rFonts w:ascii="Verdana" w:hAnsi="Verdana"/>
          <w:sz w:val="16"/>
          <w:szCs w:val="16"/>
          <w:lang w:val="es-ES"/>
        </w:rPr>
        <w:t xml:space="preserve">, párr. 90 </w:t>
      </w:r>
      <w:r>
        <w:rPr>
          <w:rFonts w:ascii="Verdana" w:hAnsi="Verdana"/>
          <w:sz w:val="16"/>
          <w:szCs w:val="16"/>
          <w:lang w:val="es-ES"/>
        </w:rPr>
        <w:t xml:space="preserve">y </w:t>
      </w:r>
      <w:r w:rsidRPr="00871EA2">
        <w:rPr>
          <w:rFonts w:ascii="Verdana" w:hAnsi="Verdana"/>
          <w:sz w:val="16"/>
          <w:szCs w:val="16"/>
          <w:lang w:val="es-ES"/>
        </w:rPr>
        <w:t>nota</w:t>
      </w:r>
      <w:r>
        <w:rPr>
          <w:rFonts w:ascii="Verdana" w:hAnsi="Verdana"/>
          <w:sz w:val="16"/>
          <w:szCs w:val="16"/>
          <w:lang w:val="es-ES"/>
        </w:rPr>
        <w:t>s</w:t>
      </w:r>
      <w:r w:rsidRPr="00871EA2">
        <w:rPr>
          <w:rFonts w:ascii="Verdana" w:hAnsi="Verdana"/>
          <w:sz w:val="16"/>
          <w:szCs w:val="16"/>
          <w:lang w:val="es-ES"/>
        </w:rPr>
        <w:t xml:space="preserve"> al pie 11</w:t>
      </w:r>
      <w:r>
        <w:rPr>
          <w:rFonts w:ascii="Verdana" w:hAnsi="Verdana"/>
          <w:sz w:val="16"/>
          <w:szCs w:val="16"/>
          <w:lang w:val="es-ES"/>
        </w:rPr>
        <w:t xml:space="preserve">1, </w:t>
      </w:r>
      <w:r w:rsidRPr="00871EA2">
        <w:rPr>
          <w:rFonts w:ascii="Verdana" w:hAnsi="Verdana"/>
          <w:sz w:val="16"/>
          <w:szCs w:val="16"/>
          <w:lang w:val="es-ES"/>
        </w:rPr>
        <w:t>11</w:t>
      </w:r>
      <w:r>
        <w:rPr>
          <w:rFonts w:ascii="Verdana" w:hAnsi="Verdana"/>
          <w:sz w:val="16"/>
          <w:szCs w:val="16"/>
          <w:lang w:val="es-ES"/>
        </w:rPr>
        <w:t>6</w:t>
      </w:r>
      <w:r w:rsidRPr="00871EA2">
        <w:rPr>
          <w:rFonts w:ascii="Verdana" w:hAnsi="Verdana"/>
          <w:sz w:val="16"/>
          <w:szCs w:val="16"/>
          <w:lang w:val="es-ES"/>
        </w:rPr>
        <w:t xml:space="preserve"> </w:t>
      </w:r>
      <w:r>
        <w:rPr>
          <w:rFonts w:ascii="Verdana" w:hAnsi="Verdana"/>
          <w:sz w:val="16"/>
          <w:szCs w:val="16"/>
          <w:lang w:val="es-ES"/>
        </w:rPr>
        <w:t>y</w:t>
      </w:r>
      <w:r w:rsidRPr="00871EA2">
        <w:rPr>
          <w:rFonts w:ascii="Verdana" w:hAnsi="Verdana"/>
          <w:sz w:val="16"/>
          <w:szCs w:val="16"/>
          <w:lang w:val="es-ES"/>
        </w:rPr>
        <w:t xml:space="preserve"> 145; </w:t>
      </w:r>
      <w:r w:rsidRPr="00871EA2">
        <w:rPr>
          <w:rFonts w:ascii="Verdana" w:hAnsi="Verdana"/>
          <w:i/>
          <w:iCs/>
          <w:sz w:val="16"/>
          <w:szCs w:val="16"/>
          <w:lang w:val="es-ES"/>
        </w:rPr>
        <w:t>Caso San Miguel Sosa y otras Vs. Venezuela</w:t>
      </w:r>
      <w:r>
        <w:rPr>
          <w:rFonts w:ascii="Verdana" w:hAnsi="Verdana"/>
          <w:i/>
          <w:iCs/>
          <w:sz w:val="16"/>
          <w:szCs w:val="16"/>
          <w:lang w:val="es-ES"/>
        </w:rPr>
        <w:t xml:space="preserve">, supra, </w:t>
      </w:r>
      <w:r>
        <w:rPr>
          <w:rFonts w:ascii="Verdana" w:hAnsi="Verdana"/>
          <w:sz w:val="16"/>
          <w:szCs w:val="16"/>
          <w:lang w:val="es-ES"/>
        </w:rPr>
        <w:t xml:space="preserve">párr. </w:t>
      </w:r>
      <w:r w:rsidRPr="00871EA2">
        <w:rPr>
          <w:rFonts w:ascii="Verdana" w:hAnsi="Verdana"/>
          <w:sz w:val="16"/>
          <w:szCs w:val="16"/>
          <w:lang w:val="es-ES"/>
        </w:rPr>
        <w:t>153</w:t>
      </w:r>
      <w:r>
        <w:rPr>
          <w:rFonts w:ascii="Verdana" w:hAnsi="Verdana"/>
          <w:sz w:val="16"/>
          <w:szCs w:val="16"/>
          <w:lang w:val="es-ES"/>
        </w:rPr>
        <w:t xml:space="preserve"> y nota al pie 208</w:t>
      </w:r>
      <w:r w:rsidRPr="00871EA2">
        <w:rPr>
          <w:rFonts w:ascii="Verdana" w:hAnsi="Verdana"/>
          <w:sz w:val="16"/>
          <w:szCs w:val="16"/>
          <w:lang w:val="es-ES"/>
        </w:rPr>
        <w:t xml:space="preserve">; </w:t>
      </w:r>
      <w:r w:rsidRPr="00871EA2">
        <w:rPr>
          <w:rFonts w:ascii="Verdana" w:hAnsi="Verdana"/>
          <w:i/>
          <w:iCs/>
          <w:sz w:val="16"/>
          <w:szCs w:val="16"/>
          <w:lang w:val="es-ES"/>
        </w:rPr>
        <w:t>Caso Urrutia Laubreaux Vs. Chile. Excepciones Preliminares, Fondo, Reparaciones y Costas</w:t>
      </w:r>
      <w:r w:rsidRPr="00871EA2">
        <w:rPr>
          <w:rFonts w:ascii="Verdana" w:hAnsi="Verdana"/>
          <w:sz w:val="16"/>
          <w:szCs w:val="16"/>
          <w:lang w:val="es-ES"/>
        </w:rPr>
        <w:t xml:space="preserve">. Sentencia de 27 de agosto de 2020. Serie C No. 409, párr. 75; </w:t>
      </w:r>
      <w:r w:rsidRPr="00871EA2">
        <w:rPr>
          <w:rFonts w:ascii="Verdana" w:hAnsi="Verdana"/>
          <w:i/>
          <w:iCs/>
          <w:sz w:val="16"/>
          <w:szCs w:val="16"/>
          <w:lang w:val="es-ES"/>
        </w:rPr>
        <w:t>Caso Pueblos Indígenas Maya Kaqchikel de Sumpango y otros Vs. Guatemala</w:t>
      </w:r>
      <w:r w:rsidRPr="00871EA2">
        <w:rPr>
          <w:rFonts w:ascii="Verdana" w:hAnsi="Verdana"/>
          <w:sz w:val="16"/>
          <w:szCs w:val="16"/>
          <w:lang w:val="es-ES"/>
        </w:rPr>
        <w:t xml:space="preserve">. </w:t>
      </w:r>
      <w:r w:rsidRPr="00871EA2">
        <w:rPr>
          <w:rFonts w:ascii="Verdana" w:hAnsi="Verdana"/>
          <w:i/>
          <w:iCs/>
          <w:sz w:val="16"/>
          <w:szCs w:val="16"/>
          <w:lang w:val="es-ES"/>
        </w:rPr>
        <w:t>Fondo, Reparaciones y Costas</w:t>
      </w:r>
      <w:r w:rsidRPr="00871EA2">
        <w:rPr>
          <w:rFonts w:ascii="Verdana" w:hAnsi="Verdana"/>
          <w:sz w:val="16"/>
          <w:szCs w:val="16"/>
          <w:lang w:val="es-ES"/>
        </w:rPr>
        <w:t xml:space="preserve">. Sentencia de 6 de octubre de 2021. Serie C No. 440, párr. 79 </w:t>
      </w:r>
      <w:r>
        <w:rPr>
          <w:rFonts w:ascii="Verdana" w:hAnsi="Verdana"/>
          <w:sz w:val="16"/>
          <w:szCs w:val="16"/>
          <w:lang w:val="es-ES"/>
        </w:rPr>
        <w:t>y nota al pie 103</w:t>
      </w:r>
      <w:r w:rsidRPr="00871EA2">
        <w:rPr>
          <w:rFonts w:ascii="Verdana" w:hAnsi="Verdana"/>
          <w:sz w:val="16"/>
          <w:szCs w:val="16"/>
          <w:lang w:val="es-ES"/>
        </w:rPr>
        <w:t xml:space="preserve">; </w:t>
      </w:r>
      <w:r w:rsidRPr="00871EA2">
        <w:rPr>
          <w:rFonts w:ascii="Verdana" w:hAnsi="Verdana"/>
          <w:i/>
          <w:iCs/>
          <w:sz w:val="16"/>
          <w:szCs w:val="16"/>
          <w:lang w:val="es-ES"/>
        </w:rPr>
        <w:t>Caso Palacio Urrutia y otros Vs. Ecuador</w:t>
      </w:r>
      <w:r>
        <w:rPr>
          <w:rFonts w:ascii="Verdana" w:hAnsi="Verdana"/>
          <w:i/>
          <w:iCs/>
          <w:sz w:val="16"/>
          <w:szCs w:val="16"/>
          <w:lang w:val="es-ES"/>
        </w:rPr>
        <w:t>, supra</w:t>
      </w:r>
      <w:r w:rsidRPr="00871EA2">
        <w:rPr>
          <w:rFonts w:ascii="Verdana" w:hAnsi="Verdana"/>
          <w:sz w:val="16"/>
          <w:szCs w:val="16"/>
          <w:lang w:val="es-ES"/>
        </w:rPr>
        <w:t xml:space="preserve">, párr. 88; </w:t>
      </w:r>
      <w:r w:rsidRPr="00871EA2">
        <w:rPr>
          <w:rFonts w:ascii="Verdana" w:hAnsi="Verdana"/>
          <w:i/>
          <w:iCs/>
          <w:sz w:val="16"/>
          <w:szCs w:val="16"/>
          <w:lang w:val="es-ES"/>
        </w:rPr>
        <w:t>Caso Moya Chacón y otro Vs. Costa Rica</w:t>
      </w:r>
      <w:r>
        <w:rPr>
          <w:rFonts w:ascii="Verdana" w:hAnsi="Verdana"/>
          <w:i/>
          <w:iCs/>
          <w:sz w:val="16"/>
          <w:szCs w:val="16"/>
          <w:lang w:val="es-ES"/>
        </w:rPr>
        <w:t>, supra</w:t>
      </w:r>
      <w:r w:rsidRPr="00871EA2">
        <w:rPr>
          <w:rFonts w:ascii="Verdana" w:hAnsi="Verdana"/>
          <w:sz w:val="16"/>
          <w:szCs w:val="16"/>
          <w:lang w:val="es-ES"/>
        </w:rPr>
        <w:t xml:space="preserve">, párr. 64; </w:t>
      </w:r>
      <w:r w:rsidRPr="00871EA2">
        <w:rPr>
          <w:rFonts w:ascii="Verdana" w:hAnsi="Verdana"/>
          <w:i/>
          <w:iCs/>
          <w:sz w:val="16"/>
          <w:szCs w:val="16"/>
          <w:lang w:val="es-ES"/>
        </w:rPr>
        <w:t>Caso Integrantes y Militantes de la Unión Patriótica Vs. Colombia. Excepciones Preliminares, Fondo, Reparaciones y Costas</w:t>
      </w:r>
      <w:r>
        <w:rPr>
          <w:rFonts w:ascii="Verdana" w:hAnsi="Verdana"/>
          <w:sz w:val="16"/>
          <w:szCs w:val="16"/>
          <w:lang w:val="es-ES"/>
        </w:rPr>
        <w:t xml:space="preserve">, </w:t>
      </w:r>
      <w:r w:rsidRPr="00363551">
        <w:rPr>
          <w:rFonts w:ascii="Verdana" w:hAnsi="Verdana"/>
          <w:i/>
          <w:sz w:val="16"/>
          <w:szCs w:val="16"/>
          <w:lang w:val="es-ES"/>
        </w:rPr>
        <w:t>supra</w:t>
      </w:r>
      <w:r w:rsidRPr="00871EA2">
        <w:rPr>
          <w:rFonts w:ascii="Verdana" w:hAnsi="Verdana"/>
          <w:sz w:val="16"/>
          <w:szCs w:val="16"/>
          <w:lang w:val="es-ES"/>
        </w:rPr>
        <w:t xml:space="preserve">, párr. 310; </w:t>
      </w:r>
      <w:r w:rsidRPr="00871EA2">
        <w:rPr>
          <w:rFonts w:ascii="Verdana" w:hAnsi="Verdana"/>
          <w:i/>
          <w:iCs/>
          <w:sz w:val="16"/>
          <w:szCs w:val="16"/>
          <w:lang w:val="es-ES"/>
        </w:rPr>
        <w:t>Caso Leguizamón Zaván y otros Vs. Paraguay. Fondo, Reparaciones y Costas</w:t>
      </w:r>
      <w:r w:rsidRPr="00871EA2">
        <w:rPr>
          <w:rFonts w:ascii="Verdana" w:hAnsi="Verdana"/>
          <w:sz w:val="16"/>
          <w:szCs w:val="16"/>
          <w:lang w:val="es-ES"/>
        </w:rPr>
        <w:t xml:space="preserve">. Sentencia de 15 de noviembre de 2022. Serie C No. 473, párr. 58; </w:t>
      </w:r>
      <w:r w:rsidRPr="00871EA2">
        <w:rPr>
          <w:rFonts w:ascii="Verdana" w:hAnsi="Verdana"/>
          <w:i/>
          <w:iCs/>
          <w:sz w:val="16"/>
          <w:szCs w:val="16"/>
          <w:lang w:val="es-ES"/>
        </w:rPr>
        <w:t>Caso Baraona Bray Vs. Chile</w:t>
      </w:r>
      <w:r>
        <w:rPr>
          <w:rFonts w:ascii="Verdana" w:hAnsi="Verdana"/>
          <w:i/>
          <w:iCs/>
          <w:sz w:val="16"/>
          <w:szCs w:val="16"/>
          <w:lang w:val="es-ES"/>
        </w:rPr>
        <w:t>, supra</w:t>
      </w:r>
      <w:r w:rsidRPr="00871EA2">
        <w:rPr>
          <w:rFonts w:ascii="Verdana" w:hAnsi="Verdana"/>
          <w:sz w:val="16"/>
          <w:szCs w:val="16"/>
          <w:lang w:val="es-ES"/>
        </w:rPr>
        <w:t xml:space="preserve">, párr. 89; </w:t>
      </w:r>
      <w:r w:rsidRPr="00871EA2">
        <w:rPr>
          <w:rFonts w:ascii="Verdana" w:hAnsi="Verdana"/>
          <w:i/>
          <w:iCs/>
          <w:sz w:val="16"/>
          <w:szCs w:val="16"/>
          <w:lang w:val="es-ES"/>
        </w:rPr>
        <w:t>Caso Aguinaga Aillón Vs. Ecuador</w:t>
      </w:r>
      <w:r>
        <w:rPr>
          <w:rFonts w:ascii="Verdana" w:hAnsi="Verdana"/>
          <w:iCs/>
          <w:sz w:val="16"/>
          <w:szCs w:val="16"/>
          <w:lang w:val="es-ES"/>
        </w:rPr>
        <w:t xml:space="preserve">, </w:t>
      </w:r>
      <w:r>
        <w:rPr>
          <w:rFonts w:ascii="Verdana" w:hAnsi="Verdana"/>
          <w:i/>
          <w:iCs/>
          <w:sz w:val="16"/>
          <w:szCs w:val="16"/>
          <w:lang w:val="es-ES"/>
        </w:rPr>
        <w:t>supra</w:t>
      </w:r>
      <w:r w:rsidRPr="00871EA2">
        <w:rPr>
          <w:rFonts w:ascii="Verdana" w:hAnsi="Verdana"/>
          <w:sz w:val="16"/>
          <w:szCs w:val="16"/>
          <w:lang w:val="es-ES"/>
        </w:rPr>
        <w:t>, párrs. 68</w:t>
      </w:r>
      <w:r>
        <w:rPr>
          <w:rFonts w:ascii="Verdana" w:hAnsi="Verdana"/>
          <w:sz w:val="16"/>
          <w:szCs w:val="16"/>
          <w:lang w:val="es-ES"/>
        </w:rPr>
        <w:t xml:space="preserve"> y </w:t>
      </w:r>
      <w:r w:rsidRPr="00871EA2">
        <w:rPr>
          <w:rFonts w:ascii="Verdana" w:hAnsi="Verdana"/>
          <w:sz w:val="16"/>
          <w:szCs w:val="16"/>
          <w:lang w:val="es-ES"/>
        </w:rPr>
        <w:t>71</w:t>
      </w:r>
      <w:r>
        <w:rPr>
          <w:rFonts w:ascii="Verdana" w:hAnsi="Verdana"/>
          <w:sz w:val="16"/>
          <w:szCs w:val="16"/>
          <w:lang w:val="es-ES"/>
        </w:rPr>
        <w:t>, y nota al pie 71</w:t>
      </w:r>
      <w:r w:rsidRPr="00871EA2">
        <w:rPr>
          <w:rFonts w:ascii="Verdana" w:hAnsi="Verdana"/>
          <w:sz w:val="16"/>
          <w:szCs w:val="16"/>
          <w:lang w:val="es-ES"/>
        </w:rPr>
        <w:t xml:space="preserve">; </w:t>
      </w:r>
      <w:r w:rsidRPr="00871EA2">
        <w:rPr>
          <w:rFonts w:ascii="Verdana" w:hAnsi="Verdana"/>
          <w:i/>
          <w:iCs/>
          <w:sz w:val="16"/>
          <w:szCs w:val="16"/>
          <w:lang w:val="es-ES"/>
        </w:rPr>
        <w:t>Caso Cajahuanca Vásquez Vs. Perú. Excepciones Preliminares y Fondo</w:t>
      </w:r>
      <w:r w:rsidRPr="00871EA2">
        <w:rPr>
          <w:rFonts w:ascii="Verdana" w:hAnsi="Verdana"/>
          <w:sz w:val="16"/>
          <w:szCs w:val="16"/>
          <w:lang w:val="es-ES"/>
        </w:rPr>
        <w:t xml:space="preserve">. Sentencia de 27 de noviembre de 2023. Serie C No. 509, párr. 95; </w:t>
      </w:r>
      <w:r w:rsidRPr="00871EA2">
        <w:rPr>
          <w:rFonts w:ascii="Verdana" w:hAnsi="Verdana"/>
          <w:i/>
          <w:iCs/>
          <w:sz w:val="16"/>
          <w:szCs w:val="16"/>
          <w:lang w:val="es-ES"/>
        </w:rPr>
        <w:t>Caso Gutiérrez Navas y otros Vs. Honduras. Fondo, Reparaciones y Costas</w:t>
      </w:r>
      <w:r w:rsidRPr="00871EA2">
        <w:rPr>
          <w:rFonts w:ascii="Verdana" w:hAnsi="Verdana"/>
          <w:sz w:val="16"/>
          <w:szCs w:val="16"/>
          <w:lang w:val="es-ES"/>
        </w:rPr>
        <w:t xml:space="preserve">. Sentencia de 29 de noviembre de 2023. Serie C No. 514, párr. 103; </w:t>
      </w:r>
      <w:r w:rsidRPr="00871EA2">
        <w:rPr>
          <w:rFonts w:ascii="Verdana" w:hAnsi="Verdana"/>
          <w:i/>
          <w:iCs/>
          <w:sz w:val="16"/>
          <w:szCs w:val="16"/>
          <w:lang w:val="es-ES"/>
        </w:rPr>
        <w:t>Caso Asociación Civil Memoria Activa Vs. Argentina. Fondo, Reparaciones y Costas.</w:t>
      </w:r>
      <w:r w:rsidRPr="00871EA2">
        <w:rPr>
          <w:rFonts w:ascii="Verdana" w:hAnsi="Verdana"/>
          <w:sz w:val="16"/>
          <w:szCs w:val="16"/>
          <w:lang w:val="es-ES"/>
        </w:rPr>
        <w:t xml:space="preserve"> Sentencia de 26 de enero de 2024. Serie C No. 516, párr. 221.</w:t>
      </w:r>
    </w:p>
  </w:footnote>
  <w:footnote w:id="126">
    <w:p w14:paraId="3EBBA0C3" w14:textId="6919F4ED"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sidRPr="00871EA2">
        <w:rPr>
          <w:rFonts w:ascii="Verdana" w:hAnsi="Verdana"/>
          <w:i/>
          <w:iCs/>
          <w:sz w:val="16"/>
          <w:szCs w:val="16"/>
          <w:lang w:val="es-ES"/>
        </w:rPr>
        <w:t>Caso López Lone y otros Vs. Honduras</w:t>
      </w:r>
      <w:r>
        <w:rPr>
          <w:rFonts w:ascii="Verdana" w:hAnsi="Verdana"/>
          <w:i/>
          <w:iCs/>
          <w:sz w:val="16"/>
          <w:szCs w:val="16"/>
          <w:lang w:val="es-ES"/>
        </w:rPr>
        <w:t>, supra</w:t>
      </w:r>
      <w:r w:rsidRPr="00871EA2">
        <w:rPr>
          <w:rFonts w:ascii="Verdana" w:hAnsi="Verdana"/>
          <w:sz w:val="16"/>
          <w:szCs w:val="16"/>
          <w:lang w:val="es-ES"/>
        </w:rPr>
        <w:t xml:space="preserve">, párr. 153. </w:t>
      </w:r>
    </w:p>
  </w:footnote>
  <w:footnote w:id="127">
    <w:p w14:paraId="3F133228" w14:textId="7B2C0917"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Voto Concurrente del Juez Eduardo Ferrer Mac-Gregor Poisot en el </w:t>
      </w:r>
      <w:r w:rsidRPr="00871EA2">
        <w:rPr>
          <w:rFonts w:ascii="Verdana" w:hAnsi="Verdana"/>
          <w:i/>
          <w:iCs/>
          <w:sz w:val="16"/>
          <w:szCs w:val="16"/>
          <w:lang w:val="es-ES"/>
        </w:rPr>
        <w:t>Caso de la Corte Suprema de Justicia (Quintana Coello y otros) Vs. Ecuador</w:t>
      </w:r>
      <w:r>
        <w:rPr>
          <w:rFonts w:ascii="Verdana" w:hAnsi="Verdana"/>
          <w:iCs/>
          <w:sz w:val="16"/>
          <w:szCs w:val="16"/>
          <w:lang w:val="es-ES"/>
        </w:rPr>
        <w:t xml:space="preserve">, </w:t>
      </w:r>
      <w:r>
        <w:rPr>
          <w:rFonts w:ascii="Verdana" w:hAnsi="Verdana"/>
          <w:i/>
          <w:iCs/>
          <w:sz w:val="16"/>
          <w:szCs w:val="16"/>
          <w:lang w:val="es-ES"/>
        </w:rPr>
        <w:t>supra</w:t>
      </w:r>
      <w:r w:rsidRPr="00871EA2">
        <w:rPr>
          <w:rFonts w:ascii="Verdana" w:hAnsi="Verdana"/>
          <w:sz w:val="16"/>
          <w:szCs w:val="16"/>
          <w:lang w:val="es-ES"/>
        </w:rPr>
        <w:t>, párr. 63.</w:t>
      </w:r>
    </w:p>
  </w:footnote>
  <w:footnote w:id="128">
    <w:p w14:paraId="5E77EFC9" w14:textId="08875D50"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Voto Concurrente del Juez Eduardo Ferrer Mac-Gregor Poisot en el </w:t>
      </w:r>
      <w:r w:rsidRPr="00871EA2">
        <w:rPr>
          <w:rFonts w:ascii="Verdana" w:hAnsi="Verdana"/>
          <w:i/>
          <w:iCs/>
          <w:sz w:val="16"/>
          <w:szCs w:val="16"/>
          <w:lang w:val="es-ES"/>
        </w:rPr>
        <w:t>Caso de la Corte Suprema de Justicia (Quintana Coello y otros) Vs. Ecuador, supra</w:t>
      </w:r>
      <w:r w:rsidRPr="00871EA2">
        <w:rPr>
          <w:rFonts w:ascii="Verdana" w:hAnsi="Verdana"/>
          <w:sz w:val="16"/>
          <w:szCs w:val="16"/>
          <w:lang w:val="es-ES"/>
        </w:rPr>
        <w:t xml:space="preserve">, párr. 13. En un sentido similar se han pronunciado, el Juez Diego García Sayán, en su voto concurrente en el caso </w:t>
      </w:r>
      <w:r w:rsidRPr="00871EA2">
        <w:rPr>
          <w:rFonts w:ascii="Verdana" w:hAnsi="Verdana"/>
          <w:i/>
          <w:iCs/>
          <w:sz w:val="16"/>
          <w:szCs w:val="16"/>
          <w:lang w:val="es-ES"/>
        </w:rPr>
        <w:t>Yatama Vs. Nicaragua</w:t>
      </w:r>
      <w:r>
        <w:rPr>
          <w:rFonts w:ascii="Verdana" w:hAnsi="Verdana"/>
          <w:i/>
          <w:iCs/>
          <w:sz w:val="16"/>
          <w:szCs w:val="16"/>
          <w:lang w:val="es-ES"/>
        </w:rPr>
        <w:t xml:space="preserve">, supra, </w:t>
      </w:r>
      <w:r>
        <w:rPr>
          <w:rFonts w:ascii="Verdana" w:hAnsi="Verdana"/>
          <w:sz w:val="16"/>
          <w:szCs w:val="16"/>
          <w:lang w:val="es-ES"/>
        </w:rPr>
        <w:t>p</w:t>
      </w:r>
      <w:r w:rsidRPr="00871EA2">
        <w:rPr>
          <w:rFonts w:ascii="Verdana" w:hAnsi="Verdana"/>
          <w:sz w:val="16"/>
          <w:szCs w:val="16"/>
          <w:lang w:val="es-ES"/>
        </w:rPr>
        <w:t xml:space="preserve">árr. 7; y los Jueces Eduardo Ferrer Mac-Gregor y Ricardo C. Pérez Manrique en su voto razonado conjunto en el </w:t>
      </w:r>
      <w:r>
        <w:rPr>
          <w:rFonts w:ascii="Verdana" w:hAnsi="Verdana"/>
          <w:i/>
          <w:iCs/>
          <w:sz w:val="16"/>
          <w:szCs w:val="16"/>
          <w:lang w:val="es-ES"/>
        </w:rPr>
        <w:t>C</w:t>
      </w:r>
      <w:r w:rsidRPr="00871EA2">
        <w:rPr>
          <w:rFonts w:ascii="Verdana" w:hAnsi="Verdana"/>
          <w:i/>
          <w:iCs/>
          <w:sz w:val="16"/>
          <w:szCs w:val="16"/>
          <w:lang w:val="es-ES"/>
        </w:rPr>
        <w:t>aso Integrantes y Militantes de la Unión Patriótica Vs. Colombia</w:t>
      </w:r>
      <w:r>
        <w:rPr>
          <w:rFonts w:ascii="Verdana" w:hAnsi="Verdana"/>
          <w:i/>
          <w:iCs/>
          <w:sz w:val="16"/>
          <w:szCs w:val="16"/>
          <w:lang w:val="es-ES"/>
        </w:rPr>
        <w:t>, supra</w:t>
      </w:r>
      <w:r w:rsidRPr="00871EA2">
        <w:rPr>
          <w:rFonts w:ascii="Verdana" w:hAnsi="Verdana"/>
          <w:sz w:val="16"/>
          <w:szCs w:val="16"/>
          <w:lang w:val="es-ES"/>
        </w:rPr>
        <w:t xml:space="preserve">, </w:t>
      </w:r>
      <w:r>
        <w:rPr>
          <w:rFonts w:ascii="Verdana" w:hAnsi="Verdana"/>
          <w:sz w:val="16"/>
          <w:szCs w:val="16"/>
          <w:lang w:val="es-ES"/>
        </w:rPr>
        <w:t>p</w:t>
      </w:r>
      <w:r w:rsidRPr="00871EA2">
        <w:rPr>
          <w:rFonts w:ascii="Verdana" w:hAnsi="Verdana"/>
          <w:sz w:val="16"/>
          <w:szCs w:val="16"/>
          <w:lang w:val="es-ES"/>
        </w:rPr>
        <w:t xml:space="preserve">árrs. 32-34. </w:t>
      </w:r>
    </w:p>
  </w:footnote>
  <w:footnote w:id="129">
    <w:p w14:paraId="25415058" w14:textId="66159159"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Artículo 44: “Cualquier persona o grupo de personas, o entidad no gubernamental legalmente reconocida en uno o más Estados miembros de la Organización, puede presentar a la Comisión peticiones que contengan denuncias o quejas de violación de esta Convención por un Estado parte</w:t>
      </w:r>
      <w:r>
        <w:rPr>
          <w:rFonts w:ascii="Verdana" w:hAnsi="Verdana"/>
          <w:sz w:val="16"/>
          <w:szCs w:val="16"/>
          <w:lang w:val="es-ES"/>
        </w:rPr>
        <w:t>”</w:t>
      </w:r>
      <w:r w:rsidRPr="00871EA2">
        <w:rPr>
          <w:rFonts w:ascii="Verdana" w:hAnsi="Verdana"/>
          <w:sz w:val="16"/>
          <w:szCs w:val="16"/>
          <w:lang w:val="es-ES"/>
        </w:rPr>
        <w:t>.</w:t>
      </w:r>
    </w:p>
  </w:footnote>
  <w:footnote w:id="130">
    <w:p w14:paraId="55B40008" w14:textId="4B0BBB00"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Voto individual concurrente del juez Eduardo Vio Grossi en el </w:t>
      </w:r>
      <w:r w:rsidRPr="00871EA2">
        <w:rPr>
          <w:rFonts w:ascii="Verdana" w:hAnsi="Verdana"/>
          <w:i/>
          <w:iCs/>
          <w:sz w:val="16"/>
          <w:szCs w:val="16"/>
          <w:lang w:val="es-ES"/>
        </w:rPr>
        <w:t>caso de Granier y otros (Radio Caracas Televisión) Vs. Venezuela, supra</w:t>
      </w:r>
      <w:r w:rsidRPr="00871EA2">
        <w:rPr>
          <w:rFonts w:ascii="Verdana" w:hAnsi="Verdana"/>
          <w:sz w:val="16"/>
          <w:szCs w:val="16"/>
          <w:lang w:val="es-ES"/>
        </w:rPr>
        <w:t xml:space="preserve">, párr. A.c.4. </w:t>
      </w:r>
    </w:p>
  </w:footnote>
  <w:footnote w:id="131">
    <w:p w14:paraId="7572185B" w14:textId="1566E9F1"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O en las palabras de la CIDH en Honduras: </w:t>
      </w:r>
      <w:r w:rsidRPr="00871EA2">
        <w:rPr>
          <w:rFonts w:ascii="Verdana" w:hAnsi="Verdana"/>
          <w:i/>
          <w:iCs/>
          <w:sz w:val="16"/>
          <w:szCs w:val="16"/>
          <w:lang w:val="es-ES"/>
        </w:rPr>
        <w:t>Derechos Humanos y golpe de Estado</w:t>
      </w:r>
      <w:r w:rsidRPr="00871EA2">
        <w:rPr>
          <w:rFonts w:ascii="Verdana" w:hAnsi="Verdana"/>
          <w:sz w:val="16"/>
          <w:szCs w:val="16"/>
          <w:lang w:val="es-ES"/>
        </w:rPr>
        <w:t>. OEA/Ser.L/V/II. Doc. 55. 30 diciembre 2009, párr. 207: “el sistema democrático y la vigencia del Estado de derecho son cruciales para la efectiva protección de los derechos humanos y que, en contraposición, la plena garantía de los derechos humanos no es posible sin el reconocimiento efectivo e irrestricto de los derechos políticos</w:t>
      </w:r>
      <w:r>
        <w:rPr>
          <w:rFonts w:ascii="Verdana" w:hAnsi="Verdana"/>
          <w:sz w:val="16"/>
          <w:szCs w:val="16"/>
          <w:lang w:val="es-ES"/>
        </w:rPr>
        <w:t>”</w:t>
      </w:r>
      <w:r w:rsidRPr="00871EA2">
        <w:rPr>
          <w:rFonts w:ascii="Verdana" w:hAnsi="Verdana"/>
          <w:sz w:val="16"/>
          <w:szCs w:val="16"/>
          <w:lang w:val="es-ES"/>
        </w:rPr>
        <w:t>.</w:t>
      </w:r>
    </w:p>
  </w:footnote>
  <w:footnote w:id="132">
    <w:p w14:paraId="351D5904" w14:textId="4B3B11A6"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sidRPr="00871EA2">
        <w:rPr>
          <w:rFonts w:ascii="Verdana" w:hAnsi="Verdana"/>
          <w:i/>
          <w:iCs/>
          <w:sz w:val="16"/>
          <w:szCs w:val="16"/>
          <w:lang w:val="es-ES"/>
        </w:rPr>
        <w:t>Cfr. Tercer Informe sobre la Situación de los Derechos Humanos en Paraguay</w:t>
      </w:r>
      <w:r w:rsidRPr="00871EA2">
        <w:rPr>
          <w:rFonts w:ascii="Verdana" w:hAnsi="Verdana"/>
          <w:sz w:val="16"/>
          <w:szCs w:val="16"/>
          <w:lang w:val="es-ES"/>
        </w:rPr>
        <w:t>. OEA/Ser./L/VII.110. doc. 52. 9 marzo 2001</w:t>
      </w:r>
      <w:r w:rsidRPr="00871EA2">
        <w:rPr>
          <w:rFonts w:ascii="Verdana" w:hAnsi="Verdana"/>
          <w:i/>
          <w:iCs/>
          <w:sz w:val="16"/>
          <w:szCs w:val="16"/>
          <w:lang w:val="es-ES"/>
        </w:rPr>
        <w:t xml:space="preserve">, </w:t>
      </w:r>
      <w:r>
        <w:rPr>
          <w:rFonts w:ascii="Verdana" w:hAnsi="Verdana"/>
          <w:sz w:val="16"/>
          <w:szCs w:val="16"/>
          <w:lang w:val="es-ES"/>
        </w:rPr>
        <w:t>p</w:t>
      </w:r>
      <w:r w:rsidRPr="00871EA2">
        <w:rPr>
          <w:rFonts w:ascii="Verdana" w:hAnsi="Verdana"/>
          <w:sz w:val="16"/>
          <w:szCs w:val="16"/>
          <w:lang w:val="es-ES"/>
        </w:rPr>
        <w:t>árrs. 6-7: “La Comisión estima pertinente agregar que la democracia representativa no puede desligarse de lo señalado en el propio preámbulo de la Convención Americana en el sentido de que ‘ sólo puede realizarse el ideal del ser humano libre, exento del temor y de la miseria, si se crean condiciones que permitan a cada persona gozar de sus derechos económicos, sociales y culturales, tanto como de sus derechos civiles y políticos’; El objetivo no es sólo avanzar hacia una democracia representativa plena, sino velar porque tal sistema de organización política represente para cada persona la posibilidad de lograr el respeto y realización plena de todos sus derechos humanos, tanto civiles y políticos, como económicos, sociales y culturales. Ello, por demás, constituye la mejor garantía para la preservación misma de la democracia como sistema, pues en la medida en que las personas estén convencidas, por su propia experiencia personal, de que ése es efectivamente el mejor modelo de organización política, éstas serán la mejor garantía contra dictaduras tradicionales y contra otras formas autoritarias de gobierno</w:t>
      </w:r>
      <w:r>
        <w:rPr>
          <w:rFonts w:ascii="Verdana" w:hAnsi="Verdana"/>
          <w:sz w:val="16"/>
          <w:szCs w:val="16"/>
          <w:lang w:val="es-ES"/>
        </w:rPr>
        <w:t>”</w:t>
      </w:r>
      <w:r w:rsidRPr="00871EA2">
        <w:rPr>
          <w:rFonts w:ascii="Verdana" w:hAnsi="Verdana"/>
          <w:sz w:val="16"/>
          <w:szCs w:val="16"/>
          <w:lang w:val="es-ES"/>
        </w:rPr>
        <w:t>.</w:t>
      </w:r>
    </w:p>
  </w:footnote>
  <w:footnote w:id="133">
    <w:p w14:paraId="147BD543" w14:textId="434C7AE0" w:rsidR="00CA403B" w:rsidRPr="00C466E7" w:rsidRDefault="00CA403B" w:rsidP="00827203">
      <w:pPr>
        <w:pStyle w:val="FootnoteText"/>
        <w:jc w:val="both"/>
        <w:rPr>
          <w:rFonts w:ascii="Verdana" w:hAnsi="Verdana"/>
          <w:sz w:val="16"/>
          <w:szCs w:val="16"/>
          <w:lang w:val="es-ES"/>
        </w:rPr>
      </w:pPr>
      <w:r>
        <w:rPr>
          <w:rStyle w:val="FootnoteReference"/>
        </w:rPr>
        <w:footnoteRef/>
      </w:r>
      <w:r>
        <w:t xml:space="preserve"> </w:t>
      </w:r>
      <w:r w:rsidRPr="00C466E7">
        <w:rPr>
          <w:lang w:val="es-ES"/>
        </w:rPr>
        <w:tab/>
      </w:r>
      <w:r w:rsidRPr="00C466E7">
        <w:rPr>
          <w:rFonts w:ascii="Verdana" w:hAnsi="Verdana"/>
          <w:sz w:val="16"/>
          <w:szCs w:val="16"/>
          <w:lang w:val="es-ES"/>
        </w:rPr>
        <w:t>Cuyos considerandos 3 y 4 dicen</w:t>
      </w:r>
      <w:r>
        <w:rPr>
          <w:rFonts w:ascii="Verdana" w:hAnsi="Verdana"/>
          <w:sz w:val="16"/>
          <w:szCs w:val="16"/>
          <w:lang w:val="es-ES"/>
        </w:rPr>
        <w:t>:</w:t>
      </w:r>
      <w:r w:rsidRPr="00C466E7">
        <w:rPr>
          <w:rFonts w:ascii="Verdana" w:hAnsi="Verdana"/>
          <w:sz w:val="16"/>
          <w:szCs w:val="16"/>
          <w:lang w:val="es-ES"/>
        </w:rPr>
        <w:t xml:space="preserve"> </w:t>
      </w:r>
      <w:r w:rsidRPr="0053377B">
        <w:rPr>
          <w:rFonts w:ascii="Verdana" w:hAnsi="Verdana"/>
          <w:sz w:val="16"/>
          <w:szCs w:val="16"/>
          <w:lang w:val="es-ES"/>
        </w:rPr>
        <w:t xml:space="preserve">“Ciertos de que </w:t>
      </w:r>
      <w:r w:rsidRPr="00363551">
        <w:rPr>
          <w:rFonts w:ascii="Verdana" w:hAnsi="Verdana"/>
          <w:sz w:val="16"/>
          <w:szCs w:val="16"/>
          <w:lang w:val="es-ES"/>
        </w:rPr>
        <w:t>la democracia representativa es condición indispensable para la estabilidad, la paz y el desarrollo de la región</w:t>
      </w:r>
      <w:r w:rsidRPr="0053377B">
        <w:rPr>
          <w:rFonts w:ascii="Verdana" w:hAnsi="Verdana"/>
          <w:sz w:val="16"/>
          <w:szCs w:val="16"/>
          <w:lang w:val="es-ES"/>
        </w:rPr>
        <w:t xml:space="preserve">; Seguros de que </w:t>
      </w:r>
      <w:r w:rsidRPr="00363551">
        <w:rPr>
          <w:rFonts w:ascii="Verdana" w:hAnsi="Verdana"/>
          <w:sz w:val="16"/>
          <w:szCs w:val="16"/>
          <w:lang w:val="es-ES"/>
        </w:rPr>
        <w:t>el sentido genuino</w:t>
      </w:r>
      <w:r w:rsidRPr="0053377B">
        <w:rPr>
          <w:rFonts w:ascii="Verdana" w:hAnsi="Verdana"/>
          <w:sz w:val="16"/>
          <w:szCs w:val="16"/>
          <w:lang w:val="es-ES"/>
        </w:rPr>
        <w:t xml:space="preserve"> de la solidaridad americana y de la buena vecindad </w:t>
      </w:r>
      <w:r w:rsidRPr="00363551">
        <w:rPr>
          <w:rFonts w:ascii="Verdana" w:hAnsi="Verdana"/>
          <w:sz w:val="16"/>
          <w:szCs w:val="16"/>
          <w:lang w:val="es-ES"/>
        </w:rPr>
        <w:t>no puede ser otro que el de consolidar en este Continente, dentro del marco de las instituciones democráticas,</w:t>
      </w:r>
      <w:r w:rsidRPr="0053377B">
        <w:rPr>
          <w:rFonts w:ascii="Verdana" w:hAnsi="Verdana"/>
          <w:sz w:val="16"/>
          <w:szCs w:val="16"/>
          <w:lang w:val="es-ES"/>
        </w:rPr>
        <w:t xml:space="preserve"> un régimen de libertad individual y de justicia social, fundado en el respeto de los derechos esenciales del hombre”.</w:t>
      </w:r>
    </w:p>
  </w:footnote>
  <w:footnote w:id="134">
    <w:p w14:paraId="41ECAEF7" w14:textId="4ABB67CD" w:rsidR="00CA403B" w:rsidRPr="00871EA2" w:rsidRDefault="00CA403B" w:rsidP="00871EA2">
      <w:pPr>
        <w:pStyle w:val="NoSpacing"/>
        <w:jc w:val="both"/>
        <w:rPr>
          <w:rFonts w:ascii="Verdana" w:hAnsi="Verdana" w:cs="Times New Roman"/>
          <w:sz w:val="16"/>
          <w:szCs w:val="16"/>
          <w:lang w:val="es-ES"/>
        </w:rPr>
      </w:pPr>
      <w:r w:rsidRPr="00871EA2">
        <w:rPr>
          <w:rStyle w:val="FootnoteReference"/>
          <w:rFonts w:ascii="Verdana" w:hAnsi="Verdana" w:cs="Times New Roman"/>
          <w:sz w:val="16"/>
          <w:szCs w:val="16"/>
          <w:lang w:val="es-ES"/>
        </w:rPr>
        <w:footnoteRef/>
      </w:r>
      <w:r w:rsidRPr="00871EA2">
        <w:rPr>
          <w:rFonts w:ascii="Verdana" w:hAnsi="Verdana" w:cs="Times New Roman"/>
          <w:sz w:val="16"/>
          <w:szCs w:val="16"/>
          <w:lang w:val="es-ES"/>
        </w:rPr>
        <w:t xml:space="preserve"> </w:t>
      </w:r>
      <w:r w:rsidRPr="00871EA2">
        <w:rPr>
          <w:rFonts w:ascii="Verdana" w:hAnsi="Verdana" w:cs="Times New Roman"/>
          <w:sz w:val="16"/>
          <w:szCs w:val="16"/>
          <w:lang w:val="es-ES"/>
        </w:rPr>
        <w:tab/>
        <w:t>Cuyo texto reza: “La Organización de los Estados Americanos, para realizar los principios en que se funda y cumplir sus obligaciones regionales de acuerdo con la Carta de las Naciones Unidas, establece los siguientes propósitos esenciales: […] b) Promover y consolidar la democracia representativa dentro del respeto al principio de no intervención; […] g) g) Erradicar la pobreza crítica, que constituye un obstáculo al pleno desarrollo democrático de los pueblos del hemisferio […]”.</w:t>
      </w:r>
    </w:p>
  </w:footnote>
  <w:footnote w:id="135">
    <w:p w14:paraId="300122A2" w14:textId="07AC27A3" w:rsidR="00CA403B" w:rsidRPr="00871EA2" w:rsidRDefault="00CA403B" w:rsidP="00871EA2">
      <w:pPr>
        <w:pStyle w:val="NoSpacing"/>
        <w:jc w:val="both"/>
        <w:rPr>
          <w:rFonts w:ascii="Verdana" w:hAnsi="Verdana" w:cs="Times New Roman"/>
          <w:sz w:val="16"/>
          <w:szCs w:val="16"/>
          <w:lang w:val="es-ES"/>
        </w:rPr>
      </w:pPr>
      <w:r w:rsidRPr="00871EA2">
        <w:rPr>
          <w:rStyle w:val="FootnoteReference"/>
          <w:rFonts w:ascii="Verdana" w:hAnsi="Verdana" w:cs="Times New Roman"/>
          <w:sz w:val="16"/>
          <w:szCs w:val="16"/>
          <w:lang w:val="es-ES"/>
        </w:rPr>
        <w:footnoteRef/>
      </w:r>
      <w:r w:rsidRPr="00871EA2">
        <w:rPr>
          <w:rFonts w:ascii="Verdana" w:hAnsi="Verdana" w:cs="Times New Roman"/>
          <w:sz w:val="16"/>
          <w:szCs w:val="16"/>
          <w:lang w:val="es-ES"/>
        </w:rPr>
        <w:t xml:space="preserve"> </w:t>
      </w:r>
      <w:r w:rsidRPr="00871EA2">
        <w:rPr>
          <w:rFonts w:ascii="Verdana" w:hAnsi="Verdana" w:cs="Times New Roman"/>
          <w:sz w:val="16"/>
          <w:szCs w:val="16"/>
          <w:lang w:val="es-ES"/>
        </w:rPr>
        <w:tab/>
        <w:t>Dice textualmente: “Los Estados americanos reafirman los siguientes principios: […] d) La solidaridad de los Estados americanos y los altos fines que con ella se persiguen, requieren la organización política de los mismos sobre la base del ejercicio efectivo de la democracia representativa. […] f) La eliminación de la pobreza crítica es parte esencial de la promoción y consolidación de la democracia representativa y constituye responsabilidad común y compartida de los Estados americanos</w:t>
      </w:r>
      <w:r>
        <w:rPr>
          <w:rFonts w:ascii="Verdana" w:hAnsi="Verdana" w:cs="Times New Roman"/>
          <w:sz w:val="16"/>
          <w:szCs w:val="16"/>
          <w:lang w:val="es-ES"/>
        </w:rPr>
        <w:t>”.</w:t>
      </w:r>
      <w:r w:rsidRPr="00871EA2">
        <w:rPr>
          <w:rFonts w:ascii="Verdana" w:hAnsi="Verdana" w:cs="Times New Roman"/>
          <w:sz w:val="16"/>
          <w:szCs w:val="16"/>
          <w:lang w:val="es-ES"/>
        </w:rPr>
        <w:t xml:space="preserve"> </w:t>
      </w:r>
    </w:p>
  </w:footnote>
  <w:footnote w:id="136">
    <w:p w14:paraId="369A5FB8" w14:textId="2BF270DA" w:rsidR="00CA403B" w:rsidRPr="00871EA2" w:rsidRDefault="00CA403B" w:rsidP="00871EA2">
      <w:pPr>
        <w:pStyle w:val="NoSpacing"/>
        <w:jc w:val="both"/>
        <w:rPr>
          <w:rFonts w:ascii="Verdana" w:hAnsi="Verdana" w:cs="Times New Roman"/>
          <w:sz w:val="16"/>
          <w:szCs w:val="16"/>
          <w:lang w:val="es-ES"/>
        </w:rPr>
      </w:pPr>
      <w:r w:rsidRPr="00871EA2">
        <w:rPr>
          <w:rStyle w:val="FootnoteReference"/>
          <w:rFonts w:ascii="Verdana" w:hAnsi="Verdana" w:cs="Times New Roman"/>
          <w:sz w:val="16"/>
          <w:szCs w:val="16"/>
          <w:lang w:val="es-ES"/>
        </w:rPr>
        <w:footnoteRef/>
      </w:r>
      <w:r w:rsidRPr="00871EA2">
        <w:rPr>
          <w:rFonts w:ascii="Verdana" w:hAnsi="Verdana" w:cs="Times New Roman"/>
          <w:sz w:val="16"/>
          <w:szCs w:val="16"/>
          <w:lang w:val="es-ES"/>
        </w:rPr>
        <w:t xml:space="preserve"> </w:t>
      </w:r>
      <w:r w:rsidRPr="00871EA2">
        <w:rPr>
          <w:rFonts w:ascii="Verdana" w:hAnsi="Verdana" w:cs="Times New Roman"/>
          <w:sz w:val="16"/>
          <w:szCs w:val="16"/>
          <w:lang w:val="es-ES"/>
        </w:rPr>
        <w:tab/>
        <w:t>Dicho texto señala: “Un miembro de la Organización cuyo gobierno democráticamente constituido sea derrocado por la fuerza podrá ser suspendido del ejercicio del derecho de participación en las sesiones de la Asamblea General, de la Reunión de Consulta, de los Consejos de la Organización y de las Conferencias Especializadas, así como de las comisiones, grupos de trabajo y demás cuerpos que se hayan creado. a)  La facultad de suspensión solamente será ejercida cuando hayan sido infructuosas las gestiones diplomáticas que la Organización hubiera emprendido con el objeto de propiciar el restablecimiento de la democracia representativa en el Estado miembro afectado. b)  La decisión sobre la suspensión deberá ser adoptada en un período extraordinario de sesiones de la Asamblea General, por el voto afirmativo de los dos tercios de los Estados miembros. c)  La suspensión entrará en vigor inmediatamente después de su aprobación por la Asamblea General. d)  La Organización procurará, no obstante la medida de suspensión, emprender nuevas gestiones diplomáticas tendientes a coadyuvar al restablecimiento de la democracia representativa en el Estado miembro afectado. e)  El miembro que hubiere sido objeto de suspensión deberá continuar observando el cumplimiento de sus obligaciones con la Organización. f)   La Asamblea General podrá levantar la suspensión por decisión adoptada con la aprobación de dos tercios de los Estados miembros. g)  Las atribuciones a que se refiere este artículo se ejercerán de conformidad con la presente Carta”.</w:t>
      </w:r>
    </w:p>
  </w:footnote>
  <w:footnote w:id="137">
    <w:p w14:paraId="5B56D887" w14:textId="2BA3A83C" w:rsidR="00CA403B" w:rsidRPr="00871EA2" w:rsidRDefault="00CA403B" w:rsidP="00871EA2">
      <w:pPr>
        <w:pStyle w:val="NoSpacing"/>
        <w:jc w:val="both"/>
        <w:rPr>
          <w:rFonts w:ascii="Verdana" w:hAnsi="Verdana" w:cs="Times New Roman"/>
          <w:sz w:val="16"/>
          <w:szCs w:val="16"/>
          <w:lang w:val="es-ES"/>
        </w:rPr>
      </w:pPr>
      <w:r w:rsidRPr="00871EA2">
        <w:rPr>
          <w:rStyle w:val="FootnoteReference"/>
          <w:rFonts w:ascii="Verdana" w:hAnsi="Verdana" w:cs="Times New Roman"/>
          <w:sz w:val="16"/>
          <w:szCs w:val="16"/>
          <w:lang w:val="es-ES"/>
        </w:rPr>
        <w:footnoteRef/>
      </w:r>
      <w:r w:rsidRPr="00871EA2">
        <w:rPr>
          <w:rFonts w:ascii="Verdana" w:hAnsi="Verdana" w:cs="Times New Roman"/>
          <w:sz w:val="16"/>
          <w:szCs w:val="16"/>
          <w:lang w:val="es-ES"/>
        </w:rPr>
        <w:t xml:space="preserve"> </w:t>
      </w:r>
      <w:r w:rsidRPr="00871EA2">
        <w:rPr>
          <w:rFonts w:ascii="Verdana" w:hAnsi="Verdana" w:cs="Times New Roman"/>
          <w:sz w:val="16"/>
          <w:szCs w:val="16"/>
          <w:lang w:val="es-ES"/>
        </w:rPr>
        <w:tab/>
        <w:t xml:space="preserve">Cuyo texto reza: </w:t>
      </w:r>
      <w:r>
        <w:rPr>
          <w:rFonts w:ascii="Verdana" w:hAnsi="Verdana" w:cs="Times New Roman"/>
          <w:sz w:val="16"/>
          <w:szCs w:val="16"/>
          <w:lang w:val="es-ES"/>
        </w:rPr>
        <w:t>“</w:t>
      </w:r>
      <w:r w:rsidRPr="00871EA2">
        <w:rPr>
          <w:rFonts w:ascii="Verdana" w:hAnsi="Verdana" w:cs="Times New Roman"/>
          <w:sz w:val="16"/>
          <w:szCs w:val="16"/>
          <w:lang w:val="es-ES"/>
        </w:rPr>
        <w:t>La cooperación interamericana para el desarrollo integral es responsabilidad común y solidaria de los Estados miembros en el marco de los principios democráticos y de las instituciones del sistema interamericano. Ella debe comprender los campos económico, social, educacional, cultural, científico y tecnológico, apoyar el logro de los objetivos nacionales de los Estados miembros y respetar las prioridades que se fije cada país en sus planes de desarrollo, sin ataduras ni condiciones de carácter político</w:t>
      </w:r>
      <w:r>
        <w:rPr>
          <w:rFonts w:ascii="Verdana" w:hAnsi="Verdana" w:cs="Times New Roman"/>
          <w:sz w:val="16"/>
          <w:szCs w:val="16"/>
          <w:lang w:val="es-ES"/>
        </w:rPr>
        <w:t>”</w:t>
      </w:r>
      <w:r w:rsidRPr="00871EA2">
        <w:rPr>
          <w:rFonts w:ascii="Verdana" w:hAnsi="Verdana" w:cs="Times New Roman"/>
          <w:sz w:val="16"/>
          <w:szCs w:val="16"/>
          <w:lang w:val="es-ES"/>
        </w:rPr>
        <w:t>.</w:t>
      </w:r>
    </w:p>
  </w:footnote>
  <w:footnote w:id="138">
    <w:p w14:paraId="2DBDA636" w14:textId="4CAD2F51" w:rsidR="00CA403B" w:rsidRPr="00871EA2" w:rsidRDefault="00CA403B" w:rsidP="00871EA2">
      <w:pPr>
        <w:pStyle w:val="NoSpacing"/>
        <w:jc w:val="both"/>
        <w:rPr>
          <w:rFonts w:ascii="Verdana" w:hAnsi="Verdana" w:cs="Times New Roman"/>
          <w:sz w:val="16"/>
          <w:szCs w:val="16"/>
          <w:lang w:val="es-ES"/>
        </w:rPr>
      </w:pPr>
      <w:r w:rsidRPr="00871EA2">
        <w:rPr>
          <w:rStyle w:val="FootnoteReference"/>
          <w:rFonts w:ascii="Verdana" w:hAnsi="Verdana" w:cs="Times New Roman"/>
          <w:sz w:val="16"/>
          <w:szCs w:val="16"/>
          <w:lang w:val="es-ES"/>
        </w:rPr>
        <w:footnoteRef/>
      </w:r>
      <w:r w:rsidRPr="00871EA2">
        <w:rPr>
          <w:rFonts w:ascii="Verdana" w:hAnsi="Verdana" w:cs="Times New Roman"/>
          <w:sz w:val="16"/>
          <w:szCs w:val="16"/>
          <w:lang w:val="es-ES"/>
        </w:rPr>
        <w:t xml:space="preserve"> </w:t>
      </w:r>
      <w:r w:rsidRPr="00871EA2">
        <w:rPr>
          <w:rFonts w:ascii="Verdana" w:hAnsi="Verdana" w:cs="Times New Roman"/>
          <w:sz w:val="16"/>
          <w:szCs w:val="16"/>
          <w:lang w:val="es-ES"/>
        </w:rPr>
        <w:tab/>
        <w:t>Cuyo texto dice: “Los Estados miembros, convencidos de que el hombre sólo puede alcanzar la plena realización de sus aspiraciones dentro de un orden social justo, acompañado de desarrollo económico y verdadera paz, convienen en dedicar sus máximos esfuerzos a la aplicación de los siguientes principios y mecanismos: […] f) La incorporación y creciente participación de los sectores marginales de la población, tanto del campo como de la ciudad, en la vida económica, social, cívica, cultural y política de la nación, a fin de lograr la plena integración de la comunidad nacional, el aceleramiento del proceso de movilidad social y la consolidación del régimen democrático. El estímulo a todo esfuerzo de promoción y cooperación populares que tenga por fin el desarrollo y progreso de la comunidad</w:t>
      </w:r>
      <w:r>
        <w:rPr>
          <w:rFonts w:ascii="Verdana" w:hAnsi="Verdana" w:cs="Times New Roman"/>
          <w:sz w:val="16"/>
          <w:szCs w:val="16"/>
          <w:lang w:val="es-ES"/>
        </w:rPr>
        <w:t>”</w:t>
      </w:r>
      <w:r w:rsidRPr="00871EA2">
        <w:rPr>
          <w:rFonts w:ascii="Verdana" w:hAnsi="Verdana" w:cs="Times New Roman"/>
          <w:sz w:val="16"/>
          <w:szCs w:val="16"/>
          <w:lang w:val="es-ES"/>
        </w:rPr>
        <w:t>.</w:t>
      </w:r>
    </w:p>
  </w:footnote>
  <w:footnote w:id="139">
    <w:p w14:paraId="1229A772" w14:textId="7C2F7F49" w:rsidR="00CA403B" w:rsidRPr="00C466E7" w:rsidRDefault="00CA403B" w:rsidP="007B3CA0">
      <w:pPr>
        <w:pStyle w:val="FootnoteText"/>
        <w:jc w:val="both"/>
        <w:rPr>
          <w:rFonts w:ascii="Verdana" w:hAnsi="Verdana"/>
          <w:sz w:val="16"/>
          <w:szCs w:val="16"/>
          <w:lang w:val="es-ES"/>
        </w:rPr>
      </w:pPr>
      <w:r w:rsidRPr="00C466E7">
        <w:rPr>
          <w:rStyle w:val="FootnoteReference"/>
          <w:rFonts w:ascii="Verdana" w:hAnsi="Verdana"/>
          <w:sz w:val="16"/>
          <w:szCs w:val="16"/>
        </w:rPr>
        <w:footnoteRef/>
      </w:r>
      <w:r w:rsidRPr="00C466E7">
        <w:rPr>
          <w:rFonts w:ascii="Verdana" w:hAnsi="Verdana"/>
          <w:sz w:val="16"/>
          <w:szCs w:val="16"/>
          <w:lang w:val="en-US"/>
        </w:rPr>
        <w:t xml:space="preserve"> </w:t>
      </w:r>
      <w:r w:rsidRPr="00C466E7">
        <w:rPr>
          <w:rFonts w:ascii="Verdana" w:hAnsi="Verdana"/>
          <w:sz w:val="16"/>
          <w:szCs w:val="16"/>
          <w:lang w:val="en-US"/>
        </w:rPr>
        <w:tab/>
      </w:r>
      <w:r w:rsidRPr="00C466E7">
        <w:rPr>
          <w:rFonts w:ascii="Verdana" w:hAnsi="Verdana"/>
          <w:i/>
          <w:iCs/>
          <w:sz w:val="16"/>
          <w:szCs w:val="16"/>
          <w:lang w:val="en-US"/>
        </w:rPr>
        <w:t xml:space="preserve">Cfr. </w:t>
      </w:r>
      <w:r w:rsidRPr="00C466E7">
        <w:rPr>
          <w:rFonts w:ascii="Verdana" w:hAnsi="Verdana"/>
          <w:sz w:val="16"/>
          <w:szCs w:val="16"/>
          <w:lang w:val="en-US"/>
        </w:rPr>
        <w:t xml:space="preserve">Landau, David, “Abusive Constitutionalism”, en </w:t>
      </w:r>
      <w:r w:rsidRPr="00C466E7">
        <w:rPr>
          <w:rFonts w:ascii="Verdana" w:hAnsi="Verdana"/>
          <w:i/>
          <w:iCs/>
          <w:sz w:val="16"/>
          <w:szCs w:val="16"/>
          <w:lang w:val="en-US"/>
        </w:rPr>
        <w:t>U.C. Davis Law Review</w:t>
      </w:r>
      <w:r w:rsidRPr="00C466E7">
        <w:rPr>
          <w:rFonts w:ascii="Verdana" w:hAnsi="Verdana"/>
          <w:sz w:val="16"/>
          <w:szCs w:val="16"/>
          <w:lang w:val="en-US"/>
        </w:rPr>
        <w:t xml:space="preserve">, vol. 47, no. 1, pp. 189-260. </w:t>
      </w:r>
      <w:r w:rsidRPr="00C466E7">
        <w:rPr>
          <w:rFonts w:ascii="Verdana" w:hAnsi="Verdana"/>
          <w:sz w:val="16"/>
          <w:szCs w:val="16"/>
          <w:lang w:val="es-ES"/>
        </w:rPr>
        <w:t>En el cual estudia el uso de mecanismos constitucionales para desfigurar el sistema democrático como tal. Si bien Landau se enfoca específicamente en el uso de reformas y remplazos constitucionales, la figura del constitucionalismo abusivo es propicio a una lectura más amplia que incluye el uso de mecanismos constitucionales ordinarios, amparados por una legitimidad de origen (mayorías necesarias para efectuar cambios legislativos), que at</w:t>
      </w:r>
      <w:r>
        <w:rPr>
          <w:rFonts w:ascii="Verdana" w:hAnsi="Verdana"/>
          <w:sz w:val="16"/>
          <w:szCs w:val="16"/>
          <w:lang w:val="es-ES"/>
        </w:rPr>
        <w:t>e</w:t>
      </w:r>
      <w:r w:rsidRPr="00C466E7">
        <w:rPr>
          <w:rFonts w:ascii="Verdana" w:hAnsi="Verdana"/>
          <w:sz w:val="16"/>
          <w:szCs w:val="16"/>
          <w:lang w:val="es-ES"/>
        </w:rPr>
        <w:t xml:space="preserve">ntan contra elementos torales de la democracia y que, en definitiva, están encaminados para consolidar y concretar el poder. Mermando, así, la posibilidad de que las minorías, en un momento dado, tengan la oportunidad de convertirse en mayorías. </w:t>
      </w:r>
    </w:p>
  </w:footnote>
  <w:footnote w:id="140">
    <w:p w14:paraId="0A05AD90" w14:textId="30449A6D"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Carta Democrática Interamericana, </w:t>
      </w:r>
      <w:r w:rsidRPr="00871EA2">
        <w:rPr>
          <w:rFonts w:ascii="Verdana" w:hAnsi="Verdana"/>
          <w:i/>
          <w:iCs/>
          <w:sz w:val="16"/>
          <w:szCs w:val="16"/>
          <w:lang w:val="es-ES"/>
        </w:rPr>
        <w:t>supra</w:t>
      </w:r>
      <w:r w:rsidRPr="00871EA2">
        <w:rPr>
          <w:rFonts w:ascii="Verdana" w:hAnsi="Verdana"/>
          <w:sz w:val="16"/>
          <w:szCs w:val="16"/>
          <w:lang w:val="es-ES"/>
        </w:rPr>
        <w:t xml:space="preserve">, artículo 2. </w:t>
      </w:r>
    </w:p>
  </w:footnote>
  <w:footnote w:id="141">
    <w:p w14:paraId="16E01866" w14:textId="00E528F9"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lang w:val="es-ES"/>
        </w:rPr>
        <w:tab/>
      </w:r>
      <w:r w:rsidRPr="00871EA2">
        <w:rPr>
          <w:rFonts w:ascii="Verdana" w:hAnsi="Verdana"/>
          <w:i/>
          <w:iCs/>
          <w:sz w:val="16"/>
          <w:szCs w:val="16"/>
          <w:lang w:val="es-ES"/>
        </w:rPr>
        <w:t xml:space="preserve">Cfr. </w:t>
      </w:r>
      <w:r w:rsidRPr="00871EA2">
        <w:rPr>
          <w:rFonts w:ascii="Verdana" w:hAnsi="Verdana"/>
          <w:sz w:val="16"/>
          <w:szCs w:val="16"/>
          <w:lang w:val="es-MX"/>
        </w:rPr>
        <w:t xml:space="preserve">Rodríguez Cuadros, Manuel, “El derecho humano a la democracia”, en </w:t>
      </w:r>
      <w:r w:rsidRPr="00871EA2">
        <w:rPr>
          <w:rFonts w:ascii="Verdana" w:hAnsi="Verdana"/>
          <w:i/>
          <w:iCs/>
          <w:sz w:val="16"/>
          <w:szCs w:val="16"/>
          <w:lang w:val="es-MX"/>
        </w:rPr>
        <w:t>Derecho y Realidad</w:t>
      </w:r>
      <w:r w:rsidRPr="00871EA2">
        <w:rPr>
          <w:rFonts w:ascii="Verdana" w:hAnsi="Verdana"/>
          <w:sz w:val="16"/>
          <w:szCs w:val="16"/>
          <w:lang w:val="es-MX"/>
        </w:rPr>
        <w:t>, Facultad de Derecho y Ciencias Sociales UPTC, no. 23, 2014, p. 215</w:t>
      </w:r>
      <w:r w:rsidRPr="00871EA2">
        <w:rPr>
          <w:rFonts w:ascii="Verdana" w:hAnsi="Verdana"/>
          <w:i/>
          <w:iCs/>
          <w:sz w:val="16"/>
          <w:szCs w:val="16"/>
          <w:lang w:val="es-MX"/>
        </w:rPr>
        <w:t>: “</w:t>
      </w:r>
      <w:r w:rsidRPr="00871EA2">
        <w:rPr>
          <w:rFonts w:ascii="Verdana" w:hAnsi="Verdana"/>
          <w:sz w:val="16"/>
          <w:szCs w:val="16"/>
          <w:lang w:val="es-MX"/>
        </w:rPr>
        <w:t>El derecho a la democracia es un derecho de finalidad y, al mismo tiempo, un derecho subjetivo, individual, exigible al estado. Es de finalidad en el sentido que se proclama la democracia como un valor de interés universal. Al cual deben propender todas las sociedades en el marco de sus especificidades culturales y nacionales. Se crean las bases de una obligación de hacer, conforme a la cual todos los estados deben promover la democracia como régimen político”.</w:t>
      </w:r>
    </w:p>
  </w:footnote>
  <w:footnote w:id="142">
    <w:p w14:paraId="541442B9" w14:textId="01B46F46"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lang w:val="es-ES"/>
        </w:rPr>
        <w:tab/>
        <w:t>Párr. 94 de la sentencia.</w:t>
      </w:r>
    </w:p>
  </w:footnote>
  <w:footnote w:id="143">
    <w:p w14:paraId="2E14C58A" w14:textId="26827556"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sidRPr="00871EA2">
        <w:rPr>
          <w:rFonts w:ascii="Verdana" w:hAnsi="Verdana"/>
          <w:i/>
          <w:iCs/>
          <w:sz w:val="16"/>
          <w:szCs w:val="16"/>
          <w:lang w:val="es-ES"/>
        </w:rPr>
        <w:t>Cfr.</w:t>
      </w:r>
      <w:r w:rsidRPr="00871EA2">
        <w:rPr>
          <w:rFonts w:ascii="Verdana" w:hAnsi="Verdana"/>
          <w:sz w:val="16"/>
          <w:szCs w:val="16"/>
          <w:lang w:val="es-ES"/>
        </w:rPr>
        <w:t xml:space="preserve"> Opinión Consultiva OC-28/21, </w:t>
      </w:r>
      <w:r w:rsidRPr="00871EA2">
        <w:rPr>
          <w:rFonts w:ascii="Verdana" w:hAnsi="Verdana"/>
          <w:i/>
          <w:iCs/>
          <w:sz w:val="16"/>
          <w:szCs w:val="16"/>
          <w:lang w:val="es-ES"/>
        </w:rPr>
        <w:t>supra</w:t>
      </w:r>
      <w:r w:rsidRPr="00871EA2">
        <w:rPr>
          <w:rFonts w:ascii="Verdana" w:hAnsi="Verdana"/>
          <w:sz w:val="16"/>
          <w:szCs w:val="16"/>
          <w:lang w:val="es-ES"/>
        </w:rPr>
        <w:t>, párr. 55.</w:t>
      </w:r>
    </w:p>
  </w:footnote>
  <w:footnote w:id="144">
    <w:p w14:paraId="6DEB19B8" w14:textId="1A22FC13"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sidRPr="00871EA2">
        <w:rPr>
          <w:rFonts w:ascii="Verdana" w:hAnsi="Verdana"/>
          <w:i/>
          <w:iCs/>
          <w:sz w:val="16"/>
          <w:szCs w:val="16"/>
          <w:lang w:val="es-ES"/>
        </w:rPr>
        <w:t>Cfr</w:t>
      </w:r>
      <w:r w:rsidRPr="00871EA2">
        <w:rPr>
          <w:rFonts w:ascii="Verdana" w:hAnsi="Verdana"/>
          <w:sz w:val="16"/>
          <w:szCs w:val="16"/>
          <w:lang w:val="es-ES"/>
        </w:rPr>
        <w:t xml:space="preserve">. Opinión Consultiva OC-26/20, </w:t>
      </w:r>
      <w:r w:rsidRPr="00871EA2">
        <w:rPr>
          <w:rFonts w:ascii="Verdana" w:hAnsi="Verdana"/>
          <w:i/>
          <w:iCs/>
          <w:sz w:val="16"/>
          <w:szCs w:val="16"/>
          <w:lang w:val="es-ES"/>
        </w:rPr>
        <w:t>supra</w:t>
      </w:r>
      <w:r w:rsidRPr="00871EA2">
        <w:rPr>
          <w:rFonts w:ascii="Verdana" w:hAnsi="Verdana"/>
          <w:sz w:val="16"/>
          <w:szCs w:val="16"/>
          <w:lang w:val="es-ES"/>
        </w:rPr>
        <w:t xml:space="preserve">, párr. 72. </w:t>
      </w:r>
    </w:p>
  </w:footnote>
  <w:footnote w:id="145">
    <w:p w14:paraId="6F4698D5" w14:textId="3A99BA07"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sidRPr="00871EA2">
        <w:rPr>
          <w:rFonts w:ascii="Verdana" w:hAnsi="Verdana"/>
          <w:i/>
          <w:iCs/>
          <w:sz w:val="16"/>
          <w:szCs w:val="16"/>
          <w:lang w:val="es-ES"/>
        </w:rPr>
        <w:t>Cfr.</w:t>
      </w:r>
      <w:r w:rsidRPr="00871EA2">
        <w:rPr>
          <w:rFonts w:ascii="Verdana" w:hAnsi="Verdana"/>
          <w:sz w:val="16"/>
          <w:szCs w:val="16"/>
          <w:lang w:val="es-ES"/>
        </w:rPr>
        <w:t xml:space="preserve"> Opinión Consultiva OC-28/21, </w:t>
      </w:r>
      <w:r w:rsidRPr="00871EA2">
        <w:rPr>
          <w:rFonts w:ascii="Verdana" w:hAnsi="Verdana"/>
          <w:i/>
          <w:iCs/>
          <w:sz w:val="16"/>
          <w:szCs w:val="16"/>
          <w:lang w:val="es-ES"/>
        </w:rPr>
        <w:t>supra</w:t>
      </w:r>
      <w:r w:rsidRPr="00871EA2">
        <w:rPr>
          <w:rFonts w:ascii="Verdana" w:hAnsi="Verdana"/>
          <w:sz w:val="16"/>
          <w:szCs w:val="16"/>
          <w:lang w:val="es-ES"/>
        </w:rPr>
        <w:t>, párr. 56.</w:t>
      </w:r>
    </w:p>
  </w:footnote>
  <w:footnote w:id="146">
    <w:p w14:paraId="0262204A" w14:textId="014BCAA3"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Opinión Consultiva OC-6/86, </w:t>
      </w:r>
      <w:r w:rsidRPr="00871EA2">
        <w:rPr>
          <w:rFonts w:ascii="Verdana" w:hAnsi="Verdana"/>
          <w:i/>
          <w:iCs/>
          <w:sz w:val="16"/>
          <w:szCs w:val="16"/>
          <w:lang w:val="es-ES"/>
        </w:rPr>
        <w:t>supra</w:t>
      </w:r>
      <w:r w:rsidRPr="00871EA2">
        <w:rPr>
          <w:rFonts w:ascii="Verdana" w:hAnsi="Verdana"/>
          <w:sz w:val="16"/>
          <w:szCs w:val="16"/>
          <w:lang w:val="es-ES"/>
        </w:rPr>
        <w:t xml:space="preserve">, párr. 34; </w:t>
      </w:r>
      <w:r>
        <w:rPr>
          <w:rFonts w:ascii="Verdana" w:hAnsi="Verdana"/>
          <w:i/>
          <w:sz w:val="16"/>
          <w:szCs w:val="16"/>
          <w:lang w:val="es-ES"/>
        </w:rPr>
        <w:t xml:space="preserve">cfr. </w:t>
      </w:r>
      <w:r w:rsidRPr="00871EA2">
        <w:rPr>
          <w:rFonts w:ascii="Verdana" w:hAnsi="Verdana"/>
          <w:sz w:val="16"/>
          <w:szCs w:val="16"/>
          <w:lang w:val="es-ES"/>
        </w:rPr>
        <w:t xml:space="preserve">Opinión Consultiva OC-26/20, </w:t>
      </w:r>
      <w:r w:rsidRPr="00871EA2">
        <w:rPr>
          <w:rFonts w:ascii="Verdana" w:hAnsi="Verdana"/>
          <w:i/>
          <w:iCs/>
          <w:sz w:val="16"/>
          <w:szCs w:val="16"/>
          <w:lang w:val="es-ES"/>
        </w:rPr>
        <w:t>supra,</w:t>
      </w:r>
      <w:r w:rsidRPr="00871EA2">
        <w:rPr>
          <w:rFonts w:ascii="Verdana" w:hAnsi="Verdana"/>
          <w:sz w:val="16"/>
          <w:szCs w:val="16"/>
          <w:lang w:val="es-ES"/>
        </w:rPr>
        <w:t xml:space="preserve"> párr. 72 y </w:t>
      </w:r>
      <w:r w:rsidRPr="00871EA2">
        <w:rPr>
          <w:rFonts w:ascii="Verdana" w:hAnsi="Verdana"/>
          <w:i/>
          <w:iCs/>
          <w:sz w:val="16"/>
          <w:szCs w:val="16"/>
          <w:lang w:val="es-ES"/>
        </w:rPr>
        <w:t>Caso Petro Urrego Vs. Colombia</w:t>
      </w:r>
      <w:r w:rsidR="006B0D43">
        <w:rPr>
          <w:rFonts w:ascii="Verdana" w:hAnsi="Verdana"/>
          <w:i/>
          <w:iCs/>
          <w:sz w:val="16"/>
          <w:szCs w:val="16"/>
          <w:lang w:val="es-ES"/>
        </w:rPr>
        <w:t>,</w:t>
      </w:r>
      <w:r w:rsidRPr="00871EA2">
        <w:rPr>
          <w:rFonts w:ascii="Verdana" w:hAnsi="Verdana"/>
          <w:i/>
          <w:iCs/>
          <w:sz w:val="16"/>
          <w:szCs w:val="16"/>
          <w:lang w:val="es-ES"/>
        </w:rPr>
        <w:t xml:space="preserve"> </w:t>
      </w:r>
      <w:r>
        <w:rPr>
          <w:rFonts w:ascii="Verdana" w:hAnsi="Verdana"/>
          <w:iCs/>
          <w:sz w:val="16"/>
          <w:szCs w:val="16"/>
          <w:lang w:val="es-ES"/>
        </w:rPr>
        <w:t>supra</w:t>
      </w:r>
      <w:r w:rsidRPr="00871EA2">
        <w:rPr>
          <w:rFonts w:ascii="Verdana" w:hAnsi="Verdana"/>
          <w:sz w:val="16"/>
          <w:szCs w:val="16"/>
          <w:lang w:val="es-ES"/>
        </w:rPr>
        <w:t>, párr. 90.</w:t>
      </w:r>
    </w:p>
  </w:footnote>
  <w:footnote w:id="147">
    <w:p w14:paraId="097D6292" w14:textId="57A23E14"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Opinión Consultiva OC-6/86, supra, párr. 34; </w:t>
      </w:r>
      <w:r w:rsidRPr="00363551">
        <w:rPr>
          <w:rFonts w:ascii="Verdana" w:hAnsi="Verdana"/>
          <w:i/>
          <w:sz w:val="16"/>
          <w:szCs w:val="16"/>
          <w:lang w:val="es-ES"/>
        </w:rPr>
        <w:t>cfr.</w:t>
      </w:r>
      <w:r>
        <w:rPr>
          <w:rFonts w:ascii="Verdana" w:hAnsi="Verdana"/>
          <w:sz w:val="16"/>
          <w:szCs w:val="16"/>
          <w:lang w:val="es-ES"/>
        </w:rPr>
        <w:t xml:space="preserve"> </w:t>
      </w:r>
      <w:r w:rsidRPr="00871EA2">
        <w:rPr>
          <w:rFonts w:ascii="Verdana" w:hAnsi="Verdana"/>
          <w:sz w:val="16"/>
          <w:szCs w:val="16"/>
          <w:lang w:val="es-ES"/>
        </w:rPr>
        <w:t xml:space="preserve">Opinión Consultiva OC-26/20, </w:t>
      </w:r>
      <w:r w:rsidRPr="00363551">
        <w:rPr>
          <w:rFonts w:ascii="Verdana" w:hAnsi="Verdana"/>
          <w:i/>
          <w:sz w:val="16"/>
          <w:szCs w:val="16"/>
          <w:lang w:val="es-ES"/>
        </w:rPr>
        <w:t>supra</w:t>
      </w:r>
      <w:r w:rsidRPr="00871EA2">
        <w:rPr>
          <w:rFonts w:ascii="Verdana" w:hAnsi="Verdana"/>
          <w:sz w:val="16"/>
          <w:szCs w:val="16"/>
          <w:lang w:val="es-ES"/>
        </w:rPr>
        <w:t xml:space="preserve">, párr. 72 y </w:t>
      </w:r>
      <w:r w:rsidRPr="00871EA2">
        <w:rPr>
          <w:rFonts w:ascii="Verdana" w:hAnsi="Verdana"/>
          <w:i/>
          <w:iCs/>
          <w:sz w:val="16"/>
          <w:szCs w:val="16"/>
          <w:lang w:val="es-ES"/>
        </w:rPr>
        <w:t>Caso Mujeres Víctimas de Tortura Sexual en Atenco Vs. México. Excepción Preliminar, Fondo, Reparaciones y Costas</w:t>
      </w:r>
      <w:r w:rsidRPr="00871EA2">
        <w:rPr>
          <w:rFonts w:ascii="Verdana" w:hAnsi="Verdana"/>
          <w:sz w:val="16"/>
          <w:szCs w:val="16"/>
          <w:lang w:val="es-ES"/>
        </w:rPr>
        <w:t>. Sentencia de 28 de noviembre de 2018. Serie C No. 371, párr. 54.</w:t>
      </w:r>
      <w:r>
        <w:rPr>
          <w:rFonts w:ascii="Verdana" w:hAnsi="Verdana"/>
          <w:sz w:val="16"/>
          <w:szCs w:val="16"/>
          <w:lang w:val="es-ES"/>
        </w:rPr>
        <w:t xml:space="preserve"> Asimismo, conviene notar lo indicado por la </w:t>
      </w:r>
      <w:r w:rsidRPr="00205556">
        <w:rPr>
          <w:rFonts w:ascii="Verdana" w:hAnsi="Verdana"/>
          <w:sz w:val="16"/>
          <w:szCs w:val="16"/>
          <w:lang w:val="es-MX"/>
        </w:rPr>
        <w:t>Misión Permanente de Chile ante la OEA, en comento a la CDI, “el párrafo inicial ‘los pueblos de América tienen derecho a la democracia y sus gobiernos la obligación de promoverla y defenderla’, recoge el espíritu que anima todo el documento y es una solemne manifestación del compromiso con la democracia de los países miembros y de su voluntad de consagrarla como único sistema político aceptable en la región. Este artículo resolutivo primero se completa con un segundo párrafo que dice: ‘la democracia es esencial para el desarrollo social, político y económico de los pueblos de las Américas’. Se trata de una declaración que consagra el derecho de los ciudadanos a vivir en un sistema político específico e impone a la autoridad la obligación de mantener vigente ese sistema y garantizar su perfeccionamiento.”</w:t>
      </w:r>
      <w:r>
        <w:rPr>
          <w:rFonts w:ascii="Verdana" w:hAnsi="Verdana"/>
          <w:sz w:val="16"/>
          <w:szCs w:val="16"/>
          <w:lang w:val="es-MX"/>
        </w:rPr>
        <w:t xml:space="preserve"> </w:t>
      </w:r>
      <w:r w:rsidRPr="00CD6A95">
        <w:rPr>
          <w:rFonts w:ascii="Verdana" w:hAnsi="Verdana"/>
          <w:i/>
          <w:iCs/>
          <w:sz w:val="16"/>
          <w:szCs w:val="16"/>
          <w:lang w:val="es-ES"/>
        </w:rPr>
        <w:t xml:space="preserve">Cfr. </w:t>
      </w:r>
      <w:r w:rsidRPr="00CD6A95">
        <w:rPr>
          <w:rFonts w:ascii="Verdana" w:hAnsi="Verdana"/>
          <w:sz w:val="16"/>
          <w:szCs w:val="16"/>
          <w:lang w:val="es-ES"/>
        </w:rPr>
        <w:t xml:space="preserve">OEA, </w:t>
      </w:r>
      <w:r w:rsidRPr="007B3CA0">
        <w:rPr>
          <w:rFonts w:ascii="Verdana" w:hAnsi="Verdana"/>
          <w:i/>
          <w:iCs/>
          <w:sz w:val="16"/>
          <w:szCs w:val="16"/>
          <w:lang w:val="es-ES"/>
        </w:rPr>
        <w:t>Carta Democrática Interamericana: Documentos e Interpretaciones, supra</w:t>
      </w:r>
      <w:r w:rsidRPr="00CD6A95">
        <w:rPr>
          <w:rFonts w:ascii="Verdana" w:hAnsi="Verdana"/>
          <w:sz w:val="16"/>
          <w:szCs w:val="16"/>
          <w:lang w:val="es-ES"/>
        </w:rPr>
        <w:t xml:space="preserve">, </w:t>
      </w:r>
      <w:r>
        <w:rPr>
          <w:rFonts w:ascii="Verdana" w:hAnsi="Verdana"/>
          <w:sz w:val="16"/>
          <w:szCs w:val="16"/>
          <w:lang w:val="es-ES"/>
        </w:rPr>
        <w:t>p</w:t>
      </w:r>
      <w:r w:rsidRPr="00CD6A95">
        <w:rPr>
          <w:rFonts w:ascii="Verdana" w:hAnsi="Verdana"/>
          <w:sz w:val="16"/>
          <w:szCs w:val="16"/>
          <w:lang w:val="es-ES"/>
        </w:rPr>
        <w:t>. 272</w:t>
      </w:r>
      <w:r>
        <w:rPr>
          <w:rFonts w:ascii="Verdana" w:hAnsi="Verdana"/>
          <w:sz w:val="16"/>
          <w:szCs w:val="16"/>
          <w:lang w:val="es-ES"/>
        </w:rPr>
        <w:t>.</w:t>
      </w:r>
    </w:p>
  </w:footnote>
  <w:footnote w:id="148">
    <w:p w14:paraId="2A3B2A8C" w14:textId="48924BA3" w:rsidR="00CA403B" w:rsidRPr="00871EA2" w:rsidRDefault="00CA403B" w:rsidP="00871EA2">
      <w:pPr>
        <w:pStyle w:val="FootnoteText"/>
        <w:jc w:val="both"/>
        <w:rPr>
          <w:rFonts w:ascii="Verdana" w:hAnsi="Verdana"/>
          <w:i/>
          <w:iCs/>
          <w:sz w:val="16"/>
          <w:szCs w:val="16"/>
          <w:lang w:val="es-ES"/>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lang w:val="es-ES"/>
        </w:rPr>
        <w:tab/>
      </w:r>
      <w:r w:rsidRPr="00871EA2">
        <w:rPr>
          <w:rFonts w:ascii="Verdana" w:hAnsi="Verdana" w:cs="Times New Roman"/>
          <w:sz w:val="16"/>
          <w:szCs w:val="16"/>
          <w:lang w:val="es-ES"/>
        </w:rPr>
        <w:t xml:space="preserve">En sentido similar argumenta el ex Juez Interamericano Asdrúbal Aguiar Aranguren. En concreto, expresa lo siguiente: “La Corte, así, concreta el contenido del ordinal d) del artículo 29 de la Convención, a cuyo tenor ‘Ninguna disposición de la presente Convención puede ser interpretada en el sentido de: … excluir o limitar el efecto que puedan producir la Declaración Americana de Derechos y Deberes del Hombre y otros actos internacionales de la misma naturaleza’, como lo es la señalada Carta Democrática. Atiende también, de tal modo, al carácter imperativo de distintas previsiones contenidas en la Convención Americana. Esta, de modo preciso establece en su Preámbulo que los derechos humanos valen y tienen entidad más allá de los Estados parte y sus gobiernos y que su respeto y garantía sólo es posible dentro del cuadro de las instituciones democráticas. Y sus artículos 29.c y 32.2 disponen que los derechos humanos han de interpretarse –al momento de tutelárselos y de determinar sus núcleos pétreos y posibles límites o deberes– a la luz de lo que es inherente a la forma democrática representativa de gobierno y conforme a las justas exigencias del bien común en una democracia. De tal modo, de acuerdo a sus disposiciones convencionales y mediante el asentimiento soberano de los Estados parte en la Convención, éstos de suyo le confían a los órganos convencionales de interpretación y aplicación – la Comisión y la Corte Interamericanas de Derechos Humanos – la competencia de velar, subsidiariamente, por el derecho a la democracia: léase, </w:t>
      </w:r>
      <w:r w:rsidRPr="00871EA2">
        <w:rPr>
          <w:rFonts w:ascii="Verdana" w:hAnsi="Verdana" w:cs="Times New Roman"/>
          <w:i/>
          <w:iCs/>
          <w:sz w:val="16"/>
          <w:szCs w:val="16"/>
          <w:lang w:val="es-ES"/>
        </w:rPr>
        <w:t>in totus</w:t>
      </w:r>
      <w:r w:rsidRPr="00871EA2">
        <w:rPr>
          <w:rFonts w:ascii="Verdana" w:hAnsi="Verdana" w:cs="Times New Roman"/>
          <w:sz w:val="16"/>
          <w:szCs w:val="16"/>
          <w:lang w:val="es-ES"/>
        </w:rPr>
        <w:t xml:space="preserve">, el derecho a los derechos humanos y a sus garantías democráticas; derecho a la democracia que es de los pueblos y han de garantizarlo sus gobiernos, conforme al artículo 1 de la Carta Democrática Interamericana. […] Se trata, como lo precisan las reglas del Derecho y la jurisprudencia internacionales constantes, de un instrumento jurídicamente vinculante, no solo por invocarlo la Convención Americana, sino por ser interpretación auténtica tanto de la Carta de la misma OEA o Pacto de Bogotá, como de la misma Convención.” Aranguren, Asdrúbal, “El Control Judicial de la Carta Democrática interamericana”, </w:t>
      </w:r>
      <w:r w:rsidRPr="00871EA2">
        <w:rPr>
          <w:rFonts w:ascii="Verdana" w:hAnsi="Verdana" w:cs="Times New Roman"/>
          <w:i/>
          <w:iCs/>
          <w:sz w:val="16"/>
          <w:szCs w:val="16"/>
          <w:lang w:val="es-ES"/>
        </w:rPr>
        <w:t>Gralha Azul</w:t>
      </w:r>
      <w:r w:rsidRPr="00871EA2">
        <w:rPr>
          <w:rFonts w:ascii="Verdana" w:hAnsi="Verdana" w:cs="Times New Roman"/>
          <w:sz w:val="16"/>
          <w:szCs w:val="16"/>
          <w:lang w:val="es-ES"/>
        </w:rPr>
        <w:t>, vol. 1, no. 11, 2022, p. 25.</w:t>
      </w:r>
    </w:p>
  </w:footnote>
  <w:footnote w:id="149">
    <w:p w14:paraId="3ADC0D79" w14:textId="6AFC3F9C"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Opinión Consultiva OC-5/85 de 13 de noviembre de 1985</w:t>
      </w:r>
      <w:r>
        <w:rPr>
          <w:rFonts w:ascii="Verdana" w:hAnsi="Verdana"/>
          <w:sz w:val="16"/>
          <w:szCs w:val="16"/>
          <w:lang w:val="es-ES"/>
        </w:rPr>
        <w:t xml:space="preserve">. </w:t>
      </w:r>
      <w:r w:rsidRPr="00871EA2">
        <w:rPr>
          <w:rFonts w:ascii="Verdana" w:hAnsi="Verdana"/>
          <w:sz w:val="16"/>
          <w:szCs w:val="16"/>
          <w:lang w:val="es-ES"/>
        </w:rPr>
        <w:t>La colegiación obligatoria de periodistas (Arts. 13 y 29 Convención Americana sobre Derechos Humanos). Serie A No. 5</w:t>
      </w:r>
      <w:r>
        <w:rPr>
          <w:rFonts w:ascii="Verdana" w:hAnsi="Verdana"/>
          <w:sz w:val="16"/>
          <w:szCs w:val="16"/>
          <w:lang w:val="es-ES"/>
        </w:rPr>
        <w:t>,</w:t>
      </w:r>
      <w:r w:rsidRPr="00871EA2">
        <w:rPr>
          <w:rFonts w:ascii="Verdana" w:hAnsi="Verdana"/>
          <w:sz w:val="16"/>
          <w:szCs w:val="16"/>
          <w:lang w:val="es-ES"/>
        </w:rPr>
        <w:t xml:space="preserve"> </w:t>
      </w:r>
      <w:r>
        <w:rPr>
          <w:rFonts w:ascii="Verdana" w:hAnsi="Verdana"/>
          <w:sz w:val="16"/>
          <w:szCs w:val="16"/>
          <w:lang w:val="es-ES"/>
        </w:rPr>
        <w:t>p</w:t>
      </w:r>
      <w:r w:rsidRPr="00871EA2">
        <w:rPr>
          <w:rFonts w:ascii="Verdana" w:hAnsi="Verdana"/>
          <w:sz w:val="16"/>
          <w:szCs w:val="16"/>
          <w:lang w:val="es-ES"/>
        </w:rPr>
        <w:t xml:space="preserve">árr. 44. </w:t>
      </w:r>
    </w:p>
  </w:footnote>
  <w:footnote w:id="150">
    <w:p w14:paraId="6E543493" w14:textId="30D5AC86"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lang w:val="es-ES"/>
        </w:rPr>
        <w:tab/>
        <w:t xml:space="preserve">Bobbio, Norberto, </w:t>
      </w:r>
      <w:r w:rsidRPr="00871EA2">
        <w:rPr>
          <w:rFonts w:ascii="Verdana" w:hAnsi="Verdana"/>
          <w:i/>
          <w:iCs/>
          <w:sz w:val="16"/>
          <w:szCs w:val="16"/>
          <w:lang w:val="es-ES"/>
        </w:rPr>
        <w:t>Liberalismo y Democracia</w:t>
      </w:r>
      <w:r w:rsidRPr="00871EA2">
        <w:rPr>
          <w:rFonts w:ascii="Verdana" w:hAnsi="Verdana"/>
          <w:sz w:val="16"/>
          <w:szCs w:val="16"/>
          <w:lang w:val="es-ES"/>
        </w:rPr>
        <w:t xml:space="preserve">, </w:t>
      </w:r>
      <w:r w:rsidRPr="00363551">
        <w:rPr>
          <w:rFonts w:ascii="Verdana" w:hAnsi="Verdana"/>
          <w:i/>
          <w:sz w:val="16"/>
          <w:szCs w:val="16"/>
          <w:lang w:val="es-ES"/>
        </w:rPr>
        <w:t>supra</w:t>
      </w:r>
      <w:r w:rsidRPr="00871EA2">
        <w:rPr>
          <w:rFonts w:ascii="Verdana" w:hAnsi="Verdana"/>
          <w:sz w:val="16"/>
          <w:szCs w:val="16"/>
          <w:lang w:val="es-ES"/>
        </w:rPr>
        <w:t>, p</w:t>
      </w:r>
      <w:r>
        <w:rPr>
          <w:rFonts w:ascii="Verdana" w:hAnsi="Verdana"/>
          <w:sz w:val="16"/>
          <w:szCs w:val="16"/>
          <w:lang w:val="es-ES"/>
        </w:rPr>
        <w:t>p</w:t>
      </w:r>
      <w:r w:rsidRPr="00871EA2">
        <w:rPr>
          <w:rFonts w:ascii="Verdana" w:hAnsi="Verdana"/>
          <w:sz w:val="16"/>
          <w:szCs w:val="16"/>
          <w:lang w:val="es-ES"/>
        </w:rPr>
        <w:t xml:space="preserve">. 19-20. </w:t>
      </w:r>
    </w:p>
  </w:footnote>
  <w:footnote w:id="151">
    <w:p w14:paraId="2F71CF6F" w14:textId="26E7CAEA"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rPr>
        <w:footnoteRef/>
      </w:r>
      <w:r w:rsidRPr="00871EA2">
        <w:rPr>
          <w:rFonts w:ascii="Verdana" w:hAnsi="Verdana"/>
          <w:sz w:val="16"/>
          <w:szCs w:val="16"/>
        </w:rPr>
        <w:t xml:space="preserve"> </w:t>
      </w:r>
      <w:r w:rsidRPr="00871EA2">
        <w:rPr>
          <w:rFonts w:ascii="Verdana" w:hAnsi="Verdana"/>
          <w:sz w:val="16"/>
          <w:szCs w:val="16"/>
          <w:lang w:val="es-ES"/>
        </w:rPr>
        <w:tab/>
        <w:t xml:space="preserve">Como lo nota Bobbio, la democracia integra al individuo “a los otros individuos semejantes a él, para que a partir de su unión la sociedad ya no sea recompuesta como un todo orgánico, sino como una asociación de individuos libres”. Lo anterior, como indica </w:t>
      </w:r>
      <w:r w:rsidRPr="00871EA2">
        <w:rPr>
          <w:rFonts w:ascii="Verdana" w:hAnsi="Verdana"/>
          <w:i/>
          <w:iCs/>
          <w:sz w:val="16"/>
          <w:szCs w:val="16"/>
          <w:lang w:val="es-ES"/>
        </w:rPr>
        <w:t xml:space="preserve">in fine, </w:t>
      </w:r>
      <w:r w:rsidRPr="00871EA2">
        <w:rPr>
          <w:rFonts w:ascii="Verdana" w:hAnsi="Verdana"/>
          <w:sz w:val="16"/>
          <w:szCs w:val="16"/>
          <w:lang w:val="es-ES"/>
        </w:rPr>
        <w:t xml:space="preserve">evidenciando “el contractualismo que funda el Estado sobre un instituto jurídico como el contrato, propio de la esfera del derecho privado, donde se encuentran voluntades particulares para la formación de una voluntad común”. Bobbio, Norberto, </w:t>
      </w:r>
      <w:r w:rsidRPr="00871EA2">
        <w:rPr>
          <w:rFonts w:ascii="Verdana" w:hAnsi="Verdana"/>
          <w:i/>
          <w:iCs/>
          <w:sz w:val="16"/>
          <w:szCs w:val="16"/>
          <w:lang w:val="es-ES"/>
        </w:rPr>
        <w:t>Liberalismo y Democracia</w:t>
      </w:r>
      <w:r w:rsidRPr="00871EA2">
        <w:rPr>
          <w:rFonts w:ascii="Verdana" w:hAnsi="Verdana"/>
          <w:sz w:val="16"/>
          <w:szCs w:val="16"/>
          <w:lang w:val="es-ES"/>
        </w:rPr>
        <w:t xml:space="preserve">, </w:t>
      </w:r>
      <w:r w:rsidRPr="00871EA2">
        <w:rPr>
          <w:rFonts w:ascii="Verdana" w:hAnsi="Verdana"/>
          <w:i/>
          <w:iCs/>
          <w:sz w:val="16"/>
          <w:szCs w:val="16"/>
          <w:lang w:val="es-ES"/>
        </w:rPr>
        <w:t>supra</w:t>
      </w:r>
      <w:r w:rsidRPr="00871EA2">
        <w:rPr>
          <w:rFonts w:ascii="Verdana" w:hAnsi="Verdana"/>
          <w:sz w:val="16"/>
          <w:szCs w:val="16"/>
          <w:lang w:val="es-ES"/>
        </w:rPr>
        <w:t>, pp. 51 y 53</w:t>
      </w:r>
      <w:r>
        <w:rPr>
          <w:rFonts w:ascii="Verdana" w:hAnsi="Verdana"/>
          <w:sz w:val="16"/>
          <w:szCs w:val="16"/>
          <w:lang w:val="es-ES"/>
        </w:rPr>
        <w:t>.</w:t>
      </w:r>
      <w:r w:rsidRPr="00871EA2">
        <w:rPr>
          <w:rFonts w:ascii="Verdana" w:hAnsi="Verdana"/>
          <w:sz w:val="16"/>
          <w:szCs w:val="16"/>
          <w:lang w:val="es-ES"/>
        </w:rPr>
        <w:t xml:space="preserve"> </w:t>
      </w:r>
    </w:p>
  </w:footnote>
  <w:footnote w:id="152">
    <w:p w14:paraId="3C2F9BAF" w14:textId="00F12203" w:rsidR="00CA403B" w:rsidRPr="00871EA2" w:rsidRDefault="00CA403B" w:rsidP="00871EA2">
      <w:pPr>
        <w:pStyle w:val="FootnoteText"/>
        <w:jc w:val="both"/>
        <w:rPr>
          <w:rFonts w:ascii="Verdana" w:hAnsi="Verdana"/>
          <w:i/>
          <w:iCs/>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sidRPr="00871EA2">
        <w:rPr>
          <w:rFonts w:ascii="Verdana" w:hAnsi="Verdana"/>
          <w:i/>
          <w:iCs/>
          <w:sz w:val="16"/>
          <w:szCs w:val="16"/>
          <w:lang w:val="es-ES"/>
        </w:rPr>
        <w:t>Cfr. Informe Anual de la Comisión Interamericana de Derechos Humanos</w:t>
      </w:r>
      <w:r w:rsidRPr="00871EA2">
        <w:rPr>
          <w:rFonts w:ascii="Verdana" w:hAnsi="Verdana"/>
          <w:sz w:val="16"/>
          <w:szCs w:val="16"/>
          <w:lang w:val="es-ES"/>
        </w:rPr>
        <w:t>, 2022, Capítulo IV. Cuba Párr. 16: “[…] para la CIDH, el concepto de democracia representativa se asienta sobre el principio de que es el pueblo el titular de la soberanía política y que, en ejercicio de esta soberanía, elige a sus representantes para que ejerzan el poder político. Estos representantes, además, son elegidos por los ciudadanos para aplicar medidas políticas determinadas, lo cual a su vez implica que haya existido un amplio debate sobre la naturaleza de las políticas a aplicar –libertad de expresión– entre grupos políticos organizados –libertad de asociación– que han tenido la oportunidad de expresarse y reunirse públicamente – derecho de reunión–. El ejercicio de los derechos políticos es, por tanto, inseparable de los otros derechos humanos fundamentales”.</w:t>
      </w:r>
    </w:p>
  </w:footnote>
  <w:footnote w:id="153">
    <w:p w14:paraId="0974518F" w14:textId="3F6D6286" w:rsidR="00CA403B" w:rsidRPr="00363551"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sidRPr="00871EA2">
        <w:rPr>
          <w:rFonts w:ascii="Verdana" w:hAnsi="Verdana"/>
          <w:i/>
          <w:iCs/>
          <w:sz w:val="16"/>
          <w:szCs w:val="16"/>
          <w:lang w:val="es-ES"/>
        </w:rPr>
        <w:t>Caso Integrantes y Militantes de la Unión Patriótica Vs. Colombia</w:t>
      </w:r>
      <w:r>
        <w:rPr>
          <w:rFonts w:ascii="Verdana" w:hAnsi="Verdana"/>
          <w:i/>
          <w:iCs/>
          <w:sz w:val="16"/>
          <w:szCs w:val="16"/>
          <w:lang w:val="es-ES"/>
        </w:rPr>
        <w:t>,</w:t>
      </w:r>
      <w:r w:rsidRPr="00871EA2">
        <w:rPr>
          <w:rFonts w:ascii="Verdana" w:hAnsi="Verdana"/>
          <w:i/>
          <w:iCs/>
          <w:sz w:val="16"/>
          <w:szCs w:val="16"/>
          <w:lang w:val="es-ES"/>
        </w:rPr>
        <w:t xml:space="preserve"> </w:t>
      </w:r>
      <w:r w:rsidRPr="00363551">
        <w:rPr>
          <w:rFonts w:ascii="Verdana" w:hAnsi="Verdana"/>
          <w:i/>
          <w:iCs/>
          <w:sz w:val="16"/>
          <w:szCs w:val="16"/>
          <w:lang w:val="es-ES"/>
        </w:rPr>
        <w:t>supra</w:t>
      </w:r>
      <w:r>
        <w:rPr>
          <w:rFonts w:ascii="Verdana" w:hAnsi="Verdana"/>
          <w:iCs/>
          <w:sz w:val="16"/>
          <w:szCs w:val="16"/>
          <w:lang w:val="es-ES"/>
        </w:rPr>
        <w:t xml:space="preserve">, </w:t>
      </w:r>
      <w:r w:rsidRPr="00871EA2">
        <w:rPr>
          <w:rFonts w:ascii="Verdana" w:hAnsi="Verdana"/>
          <w:sz w:val="16"/>
          <w:szCs w:val="16"/>
          <w:lang w:val="es-ES"/>
        </w:rPr>
        <w:t xml:space="preserve">resolutivo 19. </w:t>
      </w:r>
    </w:p>
  </w:footnote>
  <w:footnote w:id="154">
    <w:p w14:paraId="4E698B47" w14:textId="15DC69B2"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sidRPr="00871EA2">
        <w:rPr>
          <w:rFonts w:ascii="Verdana" w:hAnsi="Verdana"/>
          <w:i/>
          <w:iCs/>
          <w:sz w:val="16"/>
          <w:szCs w:val="16"/>
          <w:lang w:val="es-ES"/>
        </w:rPr>
        <w:t>Caso Integrantes y Militantes de la Unión Patriótica Vs. Colombia</w:t>
      </w:r>
      <w:r w:rsidRPr="00871EA2">
        <w:rPr>
          <w:rFonts w:ascii="Verdana" w:hAnsi="Verdana"/>
          <w:sz w:val="16"/>
          <w:szCs w:val="16"/>
          <w:lang w:val="es-ES"/>
        </w:rPr>
        <w:t xml:space="preserve">, </w:t>
      </w:r>
      <w:r w:rsidRPr="00871EA2">
        <w:rPr>
          <w:rFonts w:ascii="Verdana" w:hAnsi="Verdana"/>
          <w:i/>
          <w:iCs/>
          <w:sz w:val="16"/>
          <w:szCs w:val="16"/>
          <w:lang w:val="es-ES"/>
        </w:rPr>
        <w:t>supra</w:t>
      </w:r>
      <w:r w:rsidRPr="00871EA2">
        <w:rPr>
          <w:rFonts w:ascii="Verdana" w:hAnsi="Verdana"/>
          <w:sz w:val="16"/>
          <w:szCs w:val="16"/>
          <w:lang w:val="es-ES"/>
        </w:rPr>
        <w:t xml:space="preserve">, párr. 479. </w:t>
      </w:r>
    </w:p>
  </w:footnote>
  <w:footnote w:id="155">
    <w:p w14:paraId="421102B4" w14:textId="14C26663"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Es decir, no es posible realizar una elección con un individuo sino, en cambio, la propia naturaleza de la elección implica que es el resultado del conjunto de millares de individuos haciendo uso de su derecho individual a la participación en asuntos públicos que, a su vez, implica que todos ellos mantienen un derecho en común de que se lleve el proceso electoral de manera íntegra. Lo anterior a la luz de lo indicado en el párr. 309 del </w:t>
      </w:r>
      <w:r w:rsidRPr="00871EA2">
        <w:rPr>
          <w:rFonts w:ascii="Verdana" w:hAnsi="Verdana"/>
          <w:i/>
          <w:iCs/>
          <w:sz w:val="16"/>
          <w:szCs w:val="16"/>
          <w:lang w:val="es-ES"/>
        </w:rPr>
        <w:t>Caso Integrantes y Militantes de la Unión Patriótica Vs. Colombia, supra,</w:t>
      </w:r>
      <w:r w:rsidRPr="00871EA2">
        <w:rPr>
          <w:rFonts w:ascii="Verdana" w:hAnsi="Verdana"/>
          <w:sz w:val="16"/>
          <w:szCs w:val="16"/>
          <w:lang w:val="es-ES"/>
        </w:rPr>
        <w:t xml:space="preserve"> que señala: “La participación política puede incluir amplias y diversas actividades que las personas realizan individualmente u organizadas, con el propósito de intervenir en la designación de quienes gobernarán un Estado o se encargarán de la dirección de los asuntos públicos, así como influir en la formación de la política estatal a través de mecanismos de participación directa o, en general, para intervenir en asuntos de interés público, como por ejemplo </w:t>
      </w:r>
      <w:r w:rsidRPr="00871EA2">
        <w:rPr>
          <w:rFonts w:ascii="Verdana" w:hAnsi="Verdana"/>
          <w:i/>
          <w:iCs/>
          <w:sz w:val="16"/>
          <w:szCs w:val="16"/>
          <w:lang w:val="es-ES"/>
        </w:rPr>
        <w:t>la defensa de la democracia</w:t>
      </w:r>
      <w:r w:rsidRPr="00871EA2">
        <w:rPr>
          <w:rFonts w:ascii="Verdana" w:hAnsi="Verdana"/>
          <w:sz w:val="16"/>
          <w:szCs w:val="16"/>
          <w:lang w:val="es-ES"/>
        </w:rPr>
        <w:t xml:space="preserve">”. </w:t>
      </w:r>
    </w:p>
  </w:footnote>
  <w:footnote w:id="156">
    <w:p w14:paraId="21A17A0D" w14:textId="7EDE4306"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 xml:space="preserve">A ello es lo que se está refiriendo el Secretario de Asuntos Jurídicos de la OEA Jean-Michel Arrighi, cuando enfatizó lo siguiente: “No me refiero a la situación en que en un país se restrinja por ejemplo la libertad de expresión u otro derecho, ya que ello por supuesto ha sido, y es, objeto de informes de la Comisión sobre la situación en tal o cual país o son objeto de informes de sus distintas relatorías; no, me estoy refiriendo al caso de una petición individual”, en </w:t>
      </w:r>
      <w:r w:rsidRPr="00871EA2">
        <w:rPr>
          <w:rFonts w:ascii="Verdana" w:hAnsi="Verdana"/>
          <w:i/>
          <w:iCs/>
          <w:sz w:val="16"/>
          <w:szCs w:val="16"/>
          <w:lang w:val="es-ES"/>
        </w:rPr>
        <w:t>Democracia y derechos humanos en</w:t>
      </w:r>
      <w:r>
        <w:rPr>
          <w:rFonts w:ascii="Verdana" w:hAnsi="Verdana"/>
          <w:i/>
          <w:iCs/>
          <w:sz w:val="16"/>
          <w:szCs w:val="16"/>
          <w:lang w:val="es-ES"/>
        </w:rPr>
        <w:t xml:space="preserve"> </w:t>
      </w:r>
      <w:r w:rsidRPr="00871EA2">
        <w:rPr>
          <w:rFonts w:ascii="Verdana" w:hAnsi="Verdana"/>
          <w:i/>
          <w:iCs/>
          <w:sz w:val="16"/>
          <w:szCs w:val="16"/>
          <w:lang w:val="es-ES"/>
        </w:rPr>
        <w:t>la Carta Democrática Interamericana</w:t>
      </w:r>
      <w:r w:rsidRPr="00871EA2">
        <w:rPr>
          <w:rFonts w:ascii="Verdana" w:hAnsi="Verdana"/>
          <w:sz w:val="16"/>
          <w:szCs w:val="16"/>
          <w:lang w:val="es-ES"/>
        </w:rPr>
        <w:t xml:space="preserve">,” </w:t>
      </w:r>
      <w:r w:rsidRPr="00871EA2">
        <w:rPr>
          <w:rFonts w:ascii="Verdana" w:hAnsi="Verdana"/>
          <w:i/>
          <w:iCs/>
          <w:sz w:val="16"/>
          <w:szCs w:val="16"/>
          <w:lang w:val="es-ES"/>
        </w:rPr>
        <w:t>supra,</w:t>
      </w:r>
      <w:r w:rsidRPr="00871EA2">
        <w:rPr>
          <w:rFonts w:ascii="Verdana" w:hAnsi="Verdana"/>
          <w:sz w:val="16"/>
          <w:szCs w:val="16"/>
          <w:lang w:val="es-ES"/>
        </w:rPr>
        <w:t xml:space="preserve"> p. 206.</w:t>
      </w:r>
    </w:p>
  </w:footnote>
  <w:footnote w:id="157">
    <w:p w14:paraId="0FA957C5" w14:textId="714FF2DC" w:rsidR="00CA403B" w:rsidRPr="00C466E7" w:rsidRDefault="00CA403B" w:rsidP="00677BE2">
      <w:pPr>
        <w:pStyle w:val="FootnoteText"/>
        <w:jc w:val="both"/>
        <w:rPr>
          <w:rFonts w:ascii="Verdana" w:hAnsi="Verdana"/>
          <w:sz w:val="16"/>
          <w:szCs w:val="16"/>
          <w:lang w:val="es-ES"/>
        </w:rPr>
      </w:pPr>
      <w:r w:rsidRPr="00C466E7">
        <w:rPr>
          <w:rStyle w:val="FootnoteReference"/>
          <w:rFonts w:ascii="Verdana" w:hAnsi="Verdana"/>
          <w:sz w:val="16"/>
          <w:szCs w:val="16"/>
          <w:lang w:val="es-ES"/>
        </w:rPr>
        <w:footnoteRef/>
      </w:r>
      <w:r w:rsidRPr="00C466E7">
        <w:rPr>
          <w:rFonts w:ascii="Verdana" w:hAnsi="Verdana"/>
          <w:sz w:val="16"/>
          <w:szCs w:val="16"/>
          <w:lang w:val="es-ES"/>
        </w:rPr>
        <w:t xml:space="preserve"> </w:t>
      </w:r>
      <w:r w:rsidRPr="00C466E7">
        <w:rPr>
          <w:rFonts w:ascii="Verdana" w:hAnsi="Verdana"/>
          <w:sz w:val="16"/>
          <w:szCs w:val="16"/>
          <w:lang w:val="es-ES"/>
        </w:rPr>
        <w:tab/>
        <w:t xml:space="preserve">El concepto de coherencia sistémica es derivado del principio de </w:t>
      </w:r>
      <w:r w:rsidRPr="00C466E7">
        <w:rPr>
          <w:rFonts w:ascii="Verdana" w:hAnsi="Verdana"/>
          <w:i/>
          <w:iCs/>
          <w:sz w:val="16"/>
          <w:szCs w:val="16"/>
          <w:lang w:val="es-ES"/>
        </w:rPr>
        <w:t xml:space="preserve">coherencia pragmática </w:t>
      </w:r>
      <w:r w:rsidRPr="00C466E7">
        <w:rPr>
          <w:rFonts w:ascii="Verdana" w:hAnsi="Verdana"/>
          <w:sz w:val="16"/>
          <w:szCs w:val="16"/>
          <w:lang w:val="es-ES"/>
        </w:rPr>
        <w:t xml:space="preserve">esbozada por Oliver Roales Buján, que, en su libro </w:t>
      </w:r>
      <w:r w:rsidRPr="00C466E7">
        <w:rPr>
          <w:rFonts w:ascii="Verdana" w:hAnsi="Verdana"/>
          <w:i/>
          <w:iCs/>
          <w:sz w:val="16"/>
          <w:szCs w:val="16"/>
          <w:lang w:val="es-ES"/>
        </w:rPr>
        <w:t>Constituciones Inconstitucionales</w:t>
      </w:r>
      <w:r w:rsidRPr="00C466E7">
        <w:rPr>
          <w:rFonts w:ascii="Verdana" w:hAnsi="Verdana"/>
          <w:sz w:val="16"/>
          <w:szCs w:val="16"/>
          <w:lang w:val="es-ES"/>
        </w:rPr>
        <w:t>, cuyo objeto no es establecer, de manera habermasiana, una serie de criterios que identifiquen lo universalmente legítimo, sino que “</w:t>
      </w:r>
      <w:r w:rsidRPr="00C466E7">
        <w:rPr>
          <w:rFonts w:ascii="Verdana" w:hAnsi="Verdana"/>
          <w:sz w:val="16"/>
          <w:szCs w:val="16"/>
          <w:lang w:val="es-MX"/>
        </w:rPr>
        <w:t xml:space="preserve">identifique meramente lo inconsistente— es decir o auto refutativo— dentro de un determinado sistema con reglas que sirven para reconocer lo que es legítimo y que no.” Roales Buján, Oliver, </w:t>
      </w:r>
      <w:r w:rsidRPr="00C466E7">
        <w:rPr>
          <w:rFonts w:ascii="Verdana" w:hAnsi="Verdana"/>
          <w:i/>
          <w:iCs/>
          <w:sz w:val="16"/>
          <w:szCs w:val="16"/>
          <w:lang w:val="es-MX"/>
        </w:rPr>
        <w:t>Constituciones inconstitucionales, Soberanos Limitados</w:t>
      </w:r>
      <w:r w:rsidRPr="00C466E7">
        <w:rPr>
          <w:rFonts w:ascii="Verdana" w:hAnsi="Verdana"/>
          <w:sz w:val="16"/>
          <w:szCs w:val="16"/>
          <w:lang w:val="es-MX"/>
        </w:rPr>
        <w:t>, A</w:t>
      </w:r>
      <w:r>
        <w:rPr>
          <w:rFonts w:ascii="Verdana" w:hAnsi="Verdana"/>
          <w:sz w:val="16"/>
          <w:szCs w:val="16"/>
          <w:lang w:val="es-MX"/>
        </w:rPr>
        <w:t>thenaica</w:t>
      </w:r>
      <w:r w:rsidRPr="00C466E7">
        <w:rPr>
          <w:rFonts w:ascii="Verdana" w:hAnsi="Verdana"/>
          <w:sz w:val="16"/>
          <w:szCs w:val="16"/>
          <w:lang w:val="es-MX"/>
        </w:rPr>
        <w:t xml:space="preserve"> Ediciones, Sevilla, España, 2023, p. 21. </w:t>
      </w:r>
    </w:p>
  </w:footnote>
  <w:footnote w:id="158">
    <w:p w14:paraId="4AD40336" w14:textId="7CC9FB8E" w:rsidR="00CA403B" w:rsidRPr="00871EA2" w:rsidRDefault="00CA403B" w:rsidP="00871EA2">
      <w:pPr>
        <w:pStyle w:val="FootnoteText"/>
        <w:jc w:val="both"/>
        <w:rPr>
          <w:rFonts w:ascii="Verdana" w:hAnsi="Verdana"/>
          <w:i/>
          <w:iCs/>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Opinión Consultiva OC-8/87 de 30 de enero de 1987</w:t>
      </w:r>
      <w:r>
        <w:rPr>
          <w:rFonts w:ascii="Verdana" w:hAnsi="Verdana"/>
          <w:sz w:val="16"/>
          <w:szCs w:val="16"/>
          <w:lang w:val="es-ES"/>
        </w:rPr>
        <w:t xml:space="preserve">. </w:t>
      </w:r>
      <w:r w:rsidRPr="00871EA2">
        <w:rPr>
          <w:rFonts w:ascii="Verdana" w:hAnsi="Verdana"/>
          <w:i/>
          <w:iCs/>
          <w:sz w:val="16"/>
          <w:szCs w:val="16"/>
          <w:lang w:val="es-ES"/>
        </w:rPr>
        <w:t>El hábeas corpus bajo suspensión de garantías (Arts. 27.2, 25.1 y 7.6 Convención Americana sobre Derechos Humanos).</w:t>
      </w:r>
      <w:r w:rsidRPr="00871EA2">
        <w:rPr>
          <w:rFonts w:ascii="Verdana" w:hAnsi="Verdana"/>
          <w:sz w:val="16"/>
          <w:szCs w:val="16"/>
          <w:lang w:val="es-ES"/>
        </w:rPr>
        <w:t xml:space="preserve"> Serie A No. 8, párrs. 24 y 26.</w:t>
      </w:r>
    </w:p>
  </w:footnote>
  <w:footnote w:id="159">
    <w:p w14:paraId="08D2EAED" w14:textId="32D718AA" w:rsidR="00CA403B" w:rsidRPr="00C466E7" w:rsidRDefault="00CA403B" w:rsidP="00677BE2">
      <w:pPr>
        <w:spacing w:after="0"/>
        <w:jc w:val="both"/>
        <w:rPr>
          <w:rFonts w:ascii="Verdana" w:hAnsi="Verdana"/>
          <w:sz w:val="16"/>
          <w:szCs w:val="16"/>
        </w:rPr>
      </w:pPr>
      <w:r w:rsidRPr="00C466E7">
        <w:rPr>
          <w:rStyle w:val="FootnoteReference"/>
          <w:rFonts w:ascii="Verdana" w:hAnsi="Verdana"/>
          <w:sz w:val="16"/>
          <w:szCs w:val="16"/>
        </w:rPr>
        <w:footnoteRef/>
      </w:r>
      <w:r w:rsidRPr="00C466E7">
        <w:rPr>
          <w:rFonts w:ascii="Verdana" w:hAnsi="Verdana"/>
          <w:sz w:val="16"/>
          <w:szCs w:val="16"/>
        </w:rPr>
        <w:t xml:space="preserve"> </w:t>
      </w:r>
      <w:r w:rsidRPr="00C466E7">
        <w:rPr>
          <w:rFonts w:ascii="Verdana" w:hAnsi="Verdana"/>
          <w:sz w:val="16"/>
          <w:szCs w:val="16"/>
        </w:rPr>
        <w:tab/>
      </w:r>
      <w:r w:rsidRPr="00C466E7">
        <w:rPr>
          <w:rFonts w:ascii="Verdana" w:hAnsi="Verdana"/>
          <w:i/>
          <w:iCs/>
          <w:sz w:val="16"/>
          <w:szCs w:val="16"/>
        </w:rPr>
        <w:t>Cfr. Inter alia,</w:t>
      </w:r>
      <w:r w:rsidRPr="00C466E7">
        <w:rPr>
          <w:rFonts w:ascii="Verdana" w:hAnsi="Verdana"/>
          <w:sz w:val="16"/>
          <w:szCs w:val="16"/>
        </w:rPr>
        <w:t xml:space="preserve"> </w:t>
      </w:r>
      <w:r w:rsidRPr="00363551">
        <w:rPr>
          <w:rFonts w:ascii="Verdana" w:hAnsi="Verdana"/>
          <w:i/>
          <w:sz w:val="16"/>
          <w:szCs w:val="16"/>
          <w:lang w:val="es-ES"/>
        </w:rPr>
        <w:t>Caso del Tribunal Constitucional Vs. Perú</w:t>
      </w:r>
      <w:r>
        <w:rPr>
          <w:rFonts w:ascii="Verdana" w:hAnsi="Verdana"/>
          <w:i/>
          <w:sz w:val="16"/>
          <w:szCs w:val="16"/>
          <w:lang w:val="es-ES"/>
        </w:rPr>
        <w:t>, supra</w:t>
      </w:r>
      <w:r>
        <w:rPr>
          <w:rFonts w:ascii="Verdana" w:hAnsi="Verdana"/>
          <w:sz w:val="16"/>
          <w:szCs w:val="16"/>
          <w:lang w:val="es-ES"/>
        </w:rPr>
        <w:t xml:space="preserve">, </w:t>
      </w:r>
      <w:r w:rsidRPr="00C466E7">
        <w:rPr>
          <w:rFonts w:ascii="Verdana" w:hAnsi="Verdana"/>
          <w:sz w:val="16"/>
          <w:szCs w:val="16"/>
        </w:rPr>
        <w:t xml:space="preserve">párr. 73; </w:t>
      </w:r>
      <w:r w:rsidRPr="00363551">
        <w:rPr>
          <w:rFonts w:ascii="Verdana" w:hAnsi="Verdana"/>
          <w:i/>
          <w:sz w:val="16"/>
          <w:szCs w:val="16"/>
          <w:lang w:val="es-ES"/>
        </w:rPr>
        <w:t>Caso del Tribunal Constitucional (Camba Campos y otros) Vs. Ecuador</w:t>
      </w:r>
      <w:r>
        <w:rPr>
          <w:rFonts w:ascii="Verdana" w:hAnsi="Verdana"/>
          <w:i/>
          <w:sz w:val="16"/>
          <w:szCs w:val="16"/>
          <w:lang w:val="es-ES"/>
        </w:rPr>
        <w:t xml:space="preserve">, supra, </w:t>
      </w:r>
      <w:r w:rsidRPr="00C466E7">
        <w:rPr>
          <w:rFonts w:ascii="Verdana" w:hAnsi="Verdana"/>
          <w:sz w:val="16"/>
          <w:szCs w:val="16"/>
        </w:rPr>
        <w:t>párr. 188.</w:t>
      </w:r>
    </w:p>
  </w:footnote>
  <w:footnote w:id="160">
    <w:p w14:paraId="1E8B4D95" w14:textId="12869655" w:rsidR="00CA403B" w:rsidRPr="00677BE2" w:rsidRDefault="00CA403B" w:rsidP="00677BE2">
      <w:pPr>
        <w:pStyle w:val="FootnoteText"/>
        <w:jc w:val="both"/>
        <w:rPr>
          <w:rFonts w:ascii="Verdana" w:hAnsi="Verdana"/>
          <w:sz w:val="16"/>
          <w:szCs w:val="16"/>
          <w:lang w:val="es-ES"/>
        </w:rPr>
      </w:pPr>
      <w:r w:rsidRPr="00C466E7">
        <w:rPr>
          <w:rStyle w:val="FootnoteReference"/>
          <w:rFonts w:ascii="Verdana" w:hAnsi="Verdana"/>
          <w:sz w:val="16"/>
          <w:szCs w:val="16"/>
        </w:rPr>
        <w:footnoteRef/>
      </w:r>
      <w:r w:rsidRPr="00C466E7">
        <w:rPr>
          <w:rFonts w:ascii="Verdana" w:hAnsi="Verdana"/>
          <w:sz w:val="16"/>
          <w:szCs w:val="16"/>
        </w:rPr>
        <w:t xml:space="preserve"> </w:t>
      </w:r>
      <w:r w:rsidRPr="00C466E7">
        <w:rPr>
          <w:rFonts w:ascii="Verdana" w:hAnsi="Verdana"/>
          <w:sz w:val="16"/>
          <w:szCs w:val="16"/>
        </w:rPr>
        <w:tab/>
      </w:r>
      <w:r w:rsidRPr="00677BE2">
        <w:rPr>
          <w:rFonts w:ascii="Verdana" w:hAnsi="Verdana"/>
          <w:i/>
          <w:iCs/>
          <w:sz w:val="16"/>
          <w:szCs w:val="16"/>
          <w:lang w:val="es-ES"/>
        </w:rPr>
        <w:t>Caso Aguinaga Aillón Vs. Ecuador</w:t>
      </w:r>
      <w:r>
        <w:rPr>
          <w:rFonts w:ascii="Verdana" w:hAnsi="Verdana"/>
          <w:i/>
          <w:iCs/>
          <w:sz w:val="16"/>
          <w:szCs w:val="16"/>
          <w:lang w:val="es-ES"/>
        </w:rPr>
        <w:t>, supra</w:t>
      </w:r>
      <w:r w:rsidRPr="00C466E7">
        <w:rPr>
          <w:rFonts w:ascii="Verdana" w:hAnsi="Verdana"/>
          <w:sz w:val="16"/>
          <w:szCs w:val="16"/>
          <w:lang w:val="es-ES"/>
        </w:rPr>
        <w:t>, párr. 68.</w:t>
      </w:r>
    </w:p>
  </w:footnote>
  <w:footnote w:id="161">
    <w:p w14:paraId="428C1B30" w14:textId="6D5FC823" w:rsidR="00CA403B" w:rsidRPr="00871EA2" w:rsidRDefault="00CA403B" w:rsidP="00871EA2">
      <w:pPr>
        <w:pStyle w:val="FootnoteText"/>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r>
      <w:r>
        <w:rPr>
          <w:rFonts w:ascii="Verdana" w:hAnsi="Verdana"/>
          <w:sz w:val="16"/>
          <w:szCs w:val="16"/>
          <w:lang w:val="es-ES"/>
        </w:rPr>
        <w:t xml:space="preserve">CIDH. </w:t>
      </w:r>
      <w:r w:rsidRPr="00871EA2">
        <w:rPr>
          <w:rFonts w:ascii="Verdana" w:hAnsi="Verdana"/>
          <w:i/>
          <w:iCs/>
          <w:sz w:val="16"/>
          <w:szCs w:val="16"/>
          <w:lang w:val="es-ES"/>
        </w:rPr>
        <w:t>Informes temáticos Pandemia y Derechos Humanos.</w:t>
      </w:r>
      <w:r w:rsidRPr="00871EA2">
        <w:rPr>
          <w:rFonts w:ascii="Verdana" w:hAnsi="Verdana"/>
          <w:sz w:val="16"/>
          <w:szCs w:val="16"/>
          <w:lang w:val="es-ES"/>
        </w:rPr>
        <w:t xml:space="preserve"> </w:t>
      </w:r>
      <w:r w:rsidRPr="00363551">
        <w:rPr>
          <w:rFonts w:ascii="Verdana" w:hAnsi="Verdana"/>
          <w:sz w:val="16"/>
          <w:szCs w:val="16"/>
          <w:lang w:val="es-ES"/>
        </w:rPr>
        <w:t xml:space="preserve">OEA/Ser.L/V/II. Doc. 396. </w:t>
      </w:r>
      <w:r w:rsidRPr="00871EA2">
        <w:rPr>
          <w:rFonts w:ascii="Verdana" w:hAnsi="Verdana"/>
          <w:sz w:val="16"/>
          <w:szCs w:val="16"/>
          <w:lang w:val="es-ES"/>
        </w:rPr>
        <w:t>9 de septiembre de 2022, párrs. 24 y 25: “La CIDH ha entendido la institucionalidad democrática y la institucionalidad en derechos humanos como ejes transversales a través de los cuales se verifican los avances y retrocesos para el ejercicio de derechos y libertades políticas, derecho de asociación y reunión, de libertad de expresión y difusión del pensamiento, como así también los retos que enfrentan los sistemas democráticos. Asimismo, comprende el seguimiento de las instancias donde se diseñan, se ejecutan y se controlan las políticas públicas, en particular aquellas relacionadas con la promoción, protección y transversalización de los derechos humanos”; “A través de estos ejes también se pretende verificar los mecanismos de participación social con el objetivo de comprender, desde la perspectiva de los derechos humanos, la necesaria relación de la población con los espacios formales para reclamar al Estado el resguardo efectivo de sus derechos; las estrategias estatales para incentivar la participación social en la elaboración, implementación y seguimiento de las políticas públicas; y la previsión de instancias permanentes de diálogo con la sociedad civil, respectando su autonomía, libre funcionamiento e independencia, entre otros aspectos.”</w:t>
      </w:r>
    </w:p>
  </w:footnote>
  <w:footnote w:id="162">
    <w:p w14:paraId="1B604923" w14:textId="017BA26F" w:rsidR="00CA403B" w:rsidRPr="00580F4A" w:rsidRDefault="00CA403B">
      <w:pPr>
        <w:pStyle w:val="FootnoteText"/>
      </w:pPr>
      <w:r>
        <w:rPr>
          <w:rStyle w:val="FootnoteReference"/>
        </w:rPr>
        <w:footnoteRef/>
      </w:r>
      <w:r>
        <w:t xml:space="preserve"> </w:t>
      </w:r>
      <w:r>
        <w:tab/>
      </w:r>
      <w:r>
        <w:rPr>
          <w:rFonts w:ascii="Verdana" w:hAnsi="Verdana"/>
          <w:i/>
          <w:iCs/>
          <w:sz w:val="16"/>
          <w:szCs w:val="16"/>
          <w:lang w:val="es-ES"/>
        </w:rPr>
        <w:t xml:space="preserve">Cfr. </w:t>
      </w:r>
      <w:r w:rsidRPr="004D6980">
        <w:rPr>
          <w:rFonts w:ascii="Verdana" w:hAnsi="Verdana"/>
          <w:i/>
          <w:iCs/>
          <w:sz w:val="16"/>
          <w:szCs w:val="16"/>
          <w:lang w:val="es-ES"/>
        </w:rPr>
        <w:t>Opinión Consultiva OC 28/21</w:t>
      </w:r>
      <w:r w:rsidRPr="004D6980">
        <w:rPr>
          <w:rFonts w:ascii="Verdana" w:hAnsi="Verdana"/>
          <w:sz w:val="16"/>
          <w:szCs w:val="16"/>
          <w:lang w:val="es-ES"/>
        </w:rPr>
        <w:t xml:space="preserve">, </w:t>
      </w:r>
      <w:r w:rsidRPr="00EE70C6">
        <w:rPr>
          <w:rFonts w:ascii="Verdana" w:hAnsi="Verdana"/>
          <w:i/>
          <w:sz w:val="16"/>
          <w:szCs w:val="16"/>
          <w:lang w:val="es-ES"/>
        </w:rPr>
        <w:t>supra</w:t>
      </w:r>
      <w:r>
        <w:rPr>
          <w:rFonts w:ascii="Verdana" w:hAnsi="Verdana"/>
          <w:sz w:val="16"/>
          <w:szCs w:val="16"/>
          <w:lang w:val="es-ES"/>
        </w:rPr>
        <w:t xml:space="preserve">, </w:t>
      </w:r>
      <w:r w:rsidRPr="00EE70C6">
        <w:rPr>
          <w:rFonts w:ascii="Verdana" w:hAnsi="Verdana"/>
          <w:sz w:val="16"/>
          <w:szCs w:val="16"/>
          <w:lang w:val="es-ES"/>
        </w:rPr>
        <w:t>párrs</w:t>
      </w:r>
      <w:r w:rsidRPr="004D6980">
        <w:rPr>
          <w:rFonts w:ascii="Verdana" w:hAnsi="Verdana"/>
          <w:sz w:val="16"/>
          <w:szCs w:val="16"/>
          <w:lang w:val="es-ES"/>
        </w:rPr>
        <w:t xml:space="preserve">. </w:t>
      </w:r>
      <w:r>
        <w:rPr>
          <w:rFonts w:ascii="Verdana" w:hAnsi="Verdana"/>
          <w:sz w:val="16"/>
          <w:szCs w:val="16"/>
          <w:lang w:val="es-ES"/>
        </w:rPr>
        <w:t>45</w:t>
      </w:r>
      <w:r w:rsidRPr="004D6980">
        <w:rPr>
          <w:rFonts w:ascii="Verdana" w:hAnsi="Verdana"/>
          <w:sz w:val="16"/>
          <w:szCs w:val="16"/>
          <w:lang w:val="es-ES"/>
        </w:rPr>
        <w:t xml:space="preserve"> y </w:t>
      </w:r>
      <w:r>
        <w:rPr>
          <w:rFonts w:ascii="Verdana" w:hAnsi="Verdana"/>
          <w:sz w:val="16"/>
          <w:szCs w:val="16"/>
          <w:lang w:val="es-ES"/>
        </w:rPr>
        <w:t>46.</w:t>
      </w:r>
    </w:p>
  </w:footnote>
  <w:footnote w:id="163">
    <w:p w14:paraId="3D10C4D1" w14:textId="15E74BC2" w:rsidR="00CA403B" w:rsidRPr="004D6980" w:rsidRDefault="00CA403B" w:rsidP="00580F4A">
      <w:pPr>
        <w:pStyle w:val="FootnoteText"/>
        <w:jc w:val="both"/>
        <w:rPr>
          <w:rFonts w:ascii="Verdana" w:hAnsi="Verdana"/>
          <w:sz w:val="16"/>
          <w:szCs w:val="16"/>
          <w:lang w:val="es-ES"/>
        </w:rPr>
      </w:pPr>
      <w:r w:rsidRPr="004D6980">
        <w:rPr>
          <w:rStyle w:val="FootnoteReference"/>
          <w:rFonts w:ascii="Verdana" w:hAnsi="Verdana"/>
          <w:sz w:val="16"/>
          <w:szCs w:val="16"/>
        </w:rPr>
        <w:footnoteRef/>
      </w:r>
      <w:r w:rsidRPr="004D6980">
        <w:rPr>
          <w:rFonts w:ascii="Verdana" w:hAnsi="Verdana"/>
          <w:sz w:val="16"/>
          <w:szCs w:val="16"/>
        </w:rPr>
        <w:t xml:space="preserve"> </w:t>
      </w:r>
      <w:r w:rsidRPr="004D6980">
        <w:rPr>
          <w:rFonts w:ascii="Verdana" w:hAnsi="Verdana"/>
          <w:sz w:val="16"/>
          <w:szCs w:val="16"/>
          <w:lang w:val="es-ES"/>
        </w:rPr>
        <w:tab/>
      </w:r>
      <w:r>
        <w:rPr>
          <w:rFonts w:ascii="Verdana" w:hAnsi="Verdana"/>
          <w:i/>
          <w:sz w:val="16"/>
          <w:szCs w:val="16"/>
          <w:lang w:val="es-ES"/>
        </w:rPr>
        <w:t xml:space="preserve">Cfr. </w:t>
      </w:r>
      <w:r w:rsidRPr="004D6980">
        <w:rPr>
          <w:rFonts w:ascii="Verdana" w:hAnsi="Verdana"/>
          <w:sz w:val="16"/>
          <w:szCs w:val="16"/>
          <w:lang w:val="es-ES"/>
        </w:rPr>
        <w:t>árr. 94 de la sentencia</w:t>
      </w:r>
      <w:r>
        <w:rPr>
          <w:rFonts w:ascii="Verdana" w:hAnsi="Verdana"/>
          <w:sz w:val="16"/>
          <w:szCs w:val="16"/>
          <w:lang w:val="es-ES"/>
        </w:rPr>
        <w:t>;</w:t>
      </w:r>
      <w:r w:rsidRPr="004D6980">
        <w:rPr>
          <w:rFonts w:ascii="Verdana" w:hAnsi="Verdana"/>
          <w:sz w:val="16"/>
          <w:szCs w:val="16"/>
          <w:lang w:val="es-ES"/>
        </w:rPr>
        <w:t xml:space="preserve"> </w:t>
      </w:r>
      <w:r w:rsidRPr="004D6980">
        <w:rPr>
          <w:rFonts w:ascii="Verdana" w:hAnsi="Verdana"/>
          <w:i/>
          <w:iCs/>
          <w:sz w:val="16"/>
          <w:szCs w:val="16"/>
          <w:lang w:val="es-ES"/>
        </w:rPr>
        <w:t>Opinión Consultiva OC 28/21</w:t>
      </w:r>
      <w:r w:rsidRPr="004D6980">
        <w:rPr>
          <w:rFonts w:ascii="Verdana" w:hAnsi="Verdana"/>
          <w:sz w:val="16"/>
          <w:szCs w:val="16"/>
          <w:lang w:val="es-ES"/>
        </w:rPr>
        <w:t xml:space="preserve">, </w:t>
      </w:r>
      <w:r w:rsidRPr="00EE70C6">
        <w:rPr>
          <w:rFonts w:ascii="Verdana" w:hAnsi="Verdana"/>
          <w:i/>
          <w:sz w:val="16"/>
          <w:szCs w:val="16"/>
          <w:lang w:val="es-ES"/>
        </w:rPr>
        <w:t>supra</w:t>
      </w:r>
      <w:r>
        <w:rPr>
          <w:rFonts w:ascii="Verdana" w:hAnsi="Verdana"/>
          <w:sz w:val="16"/>
          <w:szCs w:val="16"/>
          <w:lang w:val="es-ES"/>
        </w:rPr>
        <w:t xml:space="preserve">, </w:t>
      </w:r>
      <w:r w:rsidRPr="00EE70C6">
        <w:rPr>
          <w:rFonts w:ascii="Verdana" w:hAnsi="Verdana"/>
          <w:sz w:val="16"/>
          <w:szCs w:val="16"/>
          <w:lang w:val="es-ES"/>
        </w:rPr>
        <w:t>párrs</w:t>
      </w:r>
      <w:r w:rsidRPr="004D6980">
        <w:rPr>
          <w:rFonts w:ascii="Verdana" w:hAnsi="Verdana"/>
          <w:sz w:val="16"/>
          <w:szCs w:val="16"/>
          <w:lang w:val="es-ES"/>
        </w:rPr>
        <w:t xml:space="preserve">. 55 y 56; </w:t>
      </w:r>
      <w:r w:rsidRPr="005E4082">
        <w:rPr>
          <w:rFonts w:ascii="Verdana" w:hAnsi="Verdana"/>
          <w:i/>
          <w:iCs/>
          <w:sz w:val="16"/>
          <w:szCs w:val="16"/>
          <w:lang w:val="es-ES"/>
        </w:rPr>
        <w:t>Caso San Miguel Sosa y otras Vs. Venezuela</w:t>
      </w:r>
      <w:r>
        <w:rPr>
          <w:rFonts w:ascii="Verdana" w:hAnsi="Verdana"/>
          <w:sz w:val="16"/>
          <w:szCs w:val="16"/>
          <w:lang w:val="es-ES"/>
        </w:rPr>
        <w:t xml:space="preserve">, </w:t>
      </w:r>
      <w:r w:rsidRPr="00EE70C6">
        <w:rPr>
          <w:rFonts w:ascii="Verdana" w:hAnsi="Verdana"/>
          <w:i/>
          <w:sz w:val="16"/>
          <w:szCs w:val="16"/>
          <w:lang w:val="es-ES"/>
        </w:rPr>
        <w:t>supra</w:t>
      </w:r>
      <w:r>
        <w:rPr>
          <w:rFonts w:ascii="Verdana" w:hAnsi="Verdana"/>
          <w:sz w:val="16"/>
          <w:szCs w:val="16"/>
          <w:lang w:val="es-ES"/>
        </w:rPr>
        <w:t xml:space="preserve">, </w:t>
      </w:r>
      <w:r w:rsidRPr="00EE70C6">
        <w:rPr>
          <w:rFonts w:ascii="Verdana" w:hAnsi="Verdana"/>
          <w:sz w:val="16"/>
          <w:szCs w:val="16"/>
          <w:lang w:val="es-ES"/>
        </w:rPr>
        <w:t>párr</w:t>
      </w:r>
      <w:r w:rsidRPr="00854A39">
        <w:rPr>
          <w:rFonts w:ascii="Verdana" w:hAnsi="Verdana"/>
          <w:sz w:val="16"/>
          <w:szCs w:val="16"/>
          <w:lang w:val="es-ES"/>
        </w:rPr>
        <w:t xml:space="preserve">. </w:t>
      </w:r>
      <w:r>
        <w:rPr>
          <w:rFonts w:ascii="Verdana" w:hAnsi="Verdana"/>
          <w:sz w:val="16"/>
          <w:szCs w:val="16"/>
          <w:lang w:val="es-ES"/>
        </w:rPr>
        <w:t>114</w:t>
      </w:r>
      <w:r w:rsidRPr="004D6980">
        <w:rPr>
          <w:rFonts w:ascii="Verdana" w:hAnsi="Verdana"/>
          <w:sz w:val="16"/>
          <w:szCs w:val="16"/>
          <w:lang w:val="es-ES"/>
        </w:rPr>
        <w:t xml:space="preserve">; OC 26/20, </w:t>
      </w:r>
      <w:r w:rsidRPr="00EE70C6">
        <w:rPr>
          <w:rFonts w:ascii="Verdana" w:hAnsi="Verdana"/>
          <w:i/>
          <w:sz w:val="16"/>
          <w:szCs w:val="16"/>
          <w:lang w:val="es-ES"/>
        </w:rPr>
        <w:t>supra</w:t>
      </w:r>
      <w:r>
        <w:rPr>
          <w:rFonts w:ascii="Verdana" w:hAnsi="Verdana"/>
          <w:sz w:val="16"/>
          <w:szCs w:val="16"/>
          <w:lang w:val="es-ES"/>
        </w:rPr>
        <w:t xml:space="preserve">, </w:t>
      </w:r>
      <w:r w:rsidRPr="00EE70C6">
        <w:rPr>
          <w:rFonts w:ascii="Verdana" w:hAnsi="Verdana"/>
          <w:sz w:val="16"/>
          <w:szCs w:val="16"/>
          <w:lang w:val="es-ES"/>
        </w:rPr>
        <w:t>párr</w:t>
      </w:r>
      <w:r w:rsidRPr="004D6980">
        <w:rPr>
          <w:rFonts w:ascii="Verdana" w:hAnsi="Verdana"/>
          <w:sz w:val="16"/>
          <w:szCs w:val="16"/>
          <w:lang w:val="es-ES"/>
        </w:rPr>
        <w:t>. 72.</w:t>
      </w:r>
    </w:p>
  </w:footnote>
  <w:footnote w:id="164">
    <w:p w14:paraId="72BE8C70" w14:textId="2803A6AA" w:rsidR="00CA403B" w:rsidRPr="00363551" w:rsidRDefault="00CA403B">
      <w:pPr>
        <w:pStyle w:val="FootnoteText"/>
        <w:rPr>
          <w:lang w:val="es-ES"/>
        </w:rPr>
      </w:pPr>
      <w:r>
        <w:rPr>
          <w:rStyle w:val="FootnoteReference"/>
        </w:rPr>
        <w:footnoteRef/>
      </w:r>
      <w:r>
        <w:t xml:space="preserve"> </w:t>
      </w:r>
      <w:r>
        <w:rPr>
          <w:lang w:val="es-ES"/>
        </w:rPr>
        <w:tab/>
      </w:r>
      <w:r w:rsidRPr="00871EA2">
        <w:rPr>
          <w:rFonts w:ascii="Verdana" w:hAnsi="Verdana"/>
          <w:sz w:val="16"/>
          <w:szCs w:val="16"/>
        </w:rPr>
        <w:t>Párr. 144 de la sentencia</w:t>
      </w:r>
    </w:p>
  </w:footnote>
  <w:footnote w:id="165">
    <w:p w14:paraId="596633AA" w14:textId="0F477207" w:rsidR="00CA403B" w:rsidRPr="00752534" w:rsidRDefault="00CA403B" w:rsidP="00752534">
      <w:pPr>
        <w:pStyle w:val="FootnoteText"/>
        <w:jc w:val="both"/>
        <w:rPr>
          <w:rFonts w:ascii="Verdana" w:hAnsi="Verdana"/>
          <w:sz w:val="16"/>
          <w:szCs w:val="16"/>
        </w:rPr>
      </w:pPr>
      <w:r w:rsidRPr="00752534">
        <w:rPr>
          <w:rStyle w:val="FootnoteReference"/>
          <w:rFonts w:ascii="Verdana" w:hAnsi="Verdana"/>
          <w:sz w:val="16"/>
          <w:szCs w:val="16"/>
        </w:rPr>
        <w:footnoteRef/>
      </w:r>
      <w:r w:rsidRPr="00752534">
        <w:rPr>
          <w:rFonts w:ascii="Verdana" w:hAnsi="Verdana"/>
          <w:sz w:val="16"/>
          <w:szCs w:val="16"/>
        </w:rPr>
        <w:t xml:space="preserve"> </w:t>
      </w:r>
      <w:r w:rsidRPr="00752534">
        <w:rPr>
          <w:rFonts w:ascii="Verdana" w:hAnsi="Verdana"/>
          <w:sz w:val="16"/>
          <w:szCs w:val="16"/>
        </w:rPr>
        <w:tab/>
        <w:t xml:space="preserve">En mi voto concurrente en el </w:t>
      </w:r>
      <w:r w:rsidRPr="00752534">
        <w:rPr>
          <w:rFonts w:ascii="Verdana" w:hAnsi="Verdana"/>
          <w:i/>
          <w:iCs/>
          <w:sz w:val="16"/>
          <w:szCs w:val="16"/>
        </w:rPr>
        <w:t>Caso Quintana Coello y otros Vs. Ecuador de 2013</w:t>
      </w:r>
      <w:r w:rsidRPr="00752534">
        <w:rPr>
          <w:rFonts w:ascii="Verdana" w:hAnsi="Verdana"/>
          <w:sz w:val="16"/>
          <w:szCs w:val="16"/>
        </w:rPr>
        <w:t xml:space="preserve">, consideré </w:t>
      </w:r>
      <w:r>
        <w:rPr>
          <w:rFonts w:ascii="Verdana" w:hAnsi="Verdana"/>
          <w:sz w:val="16"/>
          <w:szCs w:val="16"/>
        </w:rPr>
        <w:t xml:space="preserve">la posibilidad de configuración </w:t>
      </w:r>
      <w:r w:rsidRPr="00752534">
        <w:rPr>
          <w:rFonts w:ascii="Verdana" w:hAnsi="Verdana"/>
          <w:sz w:val="16"/>
          <w:szCs w:val="16"/>
        </w:rPr>
        <w:t>de un “</w:t>
      </w:r>
      <w:r w:rsidRPr="007A0641">
        <w:rPr>
          <w:rFonts w:ascii="Verdana" w:hAnsi="Verdana"/>
          <w:i/>
          <w:iCs/>
          <w:sz w:val="16"/>
          <w:szCs w:val="16"/>
        </w:rPr>
        <w:t>derecho de los justiciables a condiciones democráticas de las instituciones públicas</w:t>
      </w:r>
      <w:r w:rsidRPr="00752534">
        <w:rPr>
          <w:rFonts w:ascii="Verdana" w:hAnsi="Verdana"/>
          <w:sz w:val="16"/>
          <w:szCs w:val="16"/>
        </w:rPr>
        <w:t>”</w:t>
      </w:r>
      <w:r>
        <w:rPr>
          <w:rFonts w:ascii="Verdana" w:hAnsi="Verdana"/>
          <w:sz w:val="16"/>
          <w:szCs w:val="16"/>
        </w:rPr>
        <w:t xml:space="preserve">, lo cual se traduce, a un </w:t>
      </w:r>
      <w:r w:rsidRPr="007A0641">
        <w:rPr>
          <w:rFonts w:ascii="Verdana" w:hAnsi="Verdana"/>
          <w:i/>
          <w:iCs/>
          <w:sz w:val="16"/>
          <w:szCs w:val="16"/>
        </w:rPr>
        <w:t>derecho a la democracia</w:t>
      </w:r>
      <w:r>
        <w:rPr>
          <w:rFonts w:ascii="Verdana" w:hAnsi="Verdana"/>
          <w:sz w:val="16"/>
          <w:szCs w:val="16"/>
        </w:rPr>
        <w:t>,</w:t>
      </w:r>
      <w:r w:rsidRPr="00752534">
        <w:rPr>
          <w:rFonts w:ascii="Verdana" w:hAnsi="Verdana"/>
          <w:sz w:val="16"/>
          <w:szCs w:val="16"/>
        </w:rPr>
        <w:t xml:space="preserve"> </w:t>
      </w:r>
      <w:r>
        <w:rPr>
          <w:rFonts w:ascii="Verdana" w:hAnsi="Verdana"/>
          <w:i/>
          <w:iCs/>
          <w:sz w:val="16"/>
          <w:szCs w:val="16"/>
        </w:rPr>
        <w:t xml:space="preserve">supra, </w:t>
      </w:r>
      <w:r w:rsidRPr="00752534">
        <w:rPr>
          <w:rFonts w:ascii="Verdana" w:hAnsi="Verdana"/>
          <w:sz w:val="16"/>
          <w:szCs w:val="16"/>
        </w:rPr>
        <w:t>párr. 63</w:t>
      </w:r>
      <w:r>
        <w:rPr>
          <w:rFonts w:ascii="Verdana" w:hAnsi="Verdana"/>
          <w:sz w:val="16"/>
          <w:szCs w:val="16"/>
        </w:rPr>
        <w:t>.</w:t>
      </w:r>
    </w:p>
  </w:footnote>
  <w:footnote w:id="166">
    <w:p w14:paraId="66E08A9F" w14:textId="6E17230E" w:rsidR="00CA403B" w:rsidRPr="00752534" w:rsidRDefault="00CA403B" w:rsidP="00752534">
      <w:pPr>
        <w:pStyle w:val="FootnoteText"/>
        <w:jc w:val="both"/>
        <w:rPr>
          <w:rFonts w:ascii="Verdana" w:hAnsi="Verdana"/>
          <w:sz w:val="16"/>
          <w:szCs w:val="16"/>
        </w:rPr>
      </w:pPr>
      <w:r w:rsidRPr="00752534">
        <w:rPr>
          <w:rStyle w:val="FootnoteReference"/>
          <w:rFonts w:ascii="Verdana" w:hAnsi="Verdana"/>
          <w:sz w:val="16"/>
          <w:szCs w:val="16"/>
        </w:rPr>
        <w:footnoteRef/>
      </w:r>
      <w:r w:rsidRPr="00752534">
        <w:rPr>
          <w:rFonts w:ascii="Verdana" w:hAnsi="Verdana"/>
          <w:sz w:val="16"/>
          <w:szCs w:val="16"/>
        </w:rPr>
        <w:t xml:space="preserve"> </w:t>
      </w:r>
      <w:r w:rsidRPr="00752534">
        <w:rPr>
          <w:rFonts w:ascii="Verdana" w:hAnsi="Verdana"/>
          <w:sz w:val="16"/>
          <w:szCs w:val="16"/>
        </w:rPr>
        <w:tab/>
        <w:t>Párr. 193 de la sentencia.</w:t>
      </w:r>
    </w:p>
  </w:footnote>
  <w:footnote w:id="167">
    <w:p w14:paraId="231713A9" w14:textId="16589DCC" w:rsidR="00CA403B" w:rsidRPr="00F65829" w:rsidRDefault="00CA403B" w:rsidP="00F65829">
      <w:pPr>
        <w:pStyle w:val="FootnoteText"/>
        <w:jc w:val="both"/>
        <w:rPr>
          <w:rFonts w:ascii="Verdana" w:hAnsi="Verdana"/>
          <w:i/>
          <w:iCs/>
          <w:sz w:val="16"/>
          <w:szCs w:val="16"/>
        </w:rPr>
      </w:pPr>
      <w:r w:rsidRPr="00752534">
        <w:rPr>
          <w:rStyle w:val="FootnoteReference"/>
          <w:rFonts w:ascii="Verdana" w:hAnsi="Verdana"/>
          <w:sz w:val="16"/>
          <w:szCs w:val="16"/>
        </w:rPr>
        <w:footnoteRef/>
      </w:r>
      <w:r w:rsidRPr="00752534">
        <w:rPr>
          <w:rFonts w:ascii="Verdana" w:hAnsi="Verdana"/>
          <w:sz w:val="16"/>
          <w:szCs w:val="16"/>
        </w:rPr>
        <w:t xml:space="preserve"> </w:t>
      </w:r>
      <w:r w:rsidRPr="00752534">
        <w:rPr>
          <w:rFonts w:ascii="Verdana" w:hAnsi="Verdana"/>
          <w:sz w:val="16"/>
          <w:szCs w:val="16"/>
        </w:rPr>
        <w:tab/>
        <w:t>Párr. 193 de la sentencia.</w:t>
      </w:r>
    </w:p>
  </w:footnote>
  <w:footnote w:id="168">
    <w:p w14:paraId="66243FC0" w14:textId="6059444E" w:rsidR="00CA403B" w:rsidRPr="000F15EB" w:rsidRDefault="00CA403B" w:rsidP="000F15EB">
      <w:pPr>
        <w:pStyle w:val="ListParagraph"/>
        <w:spacing w:after="0" w:line="240" w:lineRule="auto"/>
        <w:ind w:left="0"/>
        <w:jc w:val="both"/>
        <w:rPr>
          <w:rFonts w:ascii="Verdana" w:hAnsi="Verdana"/>
          <w:color w:val="000000" w:themeColor="text1"/>
          <w:sz w:val="16"/>
          <w:szCs w:val="16"/>
          <w:lang w:val="es-ES"/>
        </w:rPr>
      </w:pPr>
      <w:r w:rsidRPr="00025E1F">
        <w:rPr>
          <w:rStyle w:val="FootnoteReference"/>
          <w:rFonts w:ascii="Verdana" w:hAnsi="Verdana"/>
          <w:sz w:val="16"/>
          <w:szCs w:val="16"/>
        </w:rPr>
        <w:footnoteRef/>
      </w:r>
      <w:r w:rsidRPr="00025E1F">
        <w:rPr>
          <w:rFonts w:ascii="Verdana" w:hAnsi="Verdana"/>
          <w:sz w:val="16"/>
          <w:szCs w:val="16"/>
        </w:rPr>
        <w:t xml:space="preserve"> </w:t>
      </w:r>
      <w:r w:rsidRPr="00025E1F">
        <w:rPr>
          <w:rFonts w:ascii="Verdana" w:hAnsi="Verdana"/>
          <w:sz w:val="16"/>
          <w:szCs w:val="16"/>
        </w:rPr>
        <w:tab/>
      </w:r>
      <w:r w:rsidRPr="00025E1F">
        <w:rPr>
          <w:rFonts w:ascii="Verdana" w:hAnsi="Verdana"/>
          <w:color w:val="000000" w:themeColor="text1"/>
          <w:sz w:val="16"/>
          <w:szCs w:val="16"/>
          <w:lang w:val="es-ES"/>
        </w:rPr>
        <w:t xml:space="preserve">Como lo ha expresado la Corte IDH en </w:t>
      </w:r>
      <w:r>
        <w:rPr>
          <w:rFonts w:ascii="Verdana" w:hAnsi="Verdana"/>
          <w:color w:val="000000" w:themeColor="text1"/>
          <w:sz w:val="16"/>
          <w:szCs w:val="16"/>
          <w:lang w:val="es-ES"/>
        </w:rPr>
        <w:t>dos casos recientes:</w:t>
      </w:r>
      <w:r w:rsidRPr="00025E1F">
        <w:rPr>
          <w:rFonts w:ascii="Verdana" w:hAnsi="Verdana"/>
          <w:color w:val="000000" w:themeColor="text1"/>
          <w:sz w:val="16"/>
          <w:szCs w:val="16"/>
          <w:lang w:val="es-ES"/>
        </w:rPr>
        <w:t xml:space="preserve"> “La protección de la independencia judicial adquiere una relevancia </w:t>
      </w:r>
      <w:r>
        <w:rPr>
          <w:rFonts w:ascii="Verdana" w:hAnsi="Verdana"/>
          <w:color w:val="000000" w:themeColor="text1"/>
          <w:sz w:val="16"/>
          <w:szCs w:val="16"/>
          <w:lang w:val="es-ES"/>
        </w:rPr>
        <w:t>e</w:t>
      </w:r>
      <w:r w:rsidRPr="00025E1F">
        <w:rPr>
          <w:rFonts w:ascii="Verdana" w:hAnsi="Verdana"/>
          <w:color w:val="000000" w:themeColor="text1"/>
          <w:sz w:val="16"/>
          <w:szCs w:val="16"/>
          <w:lang w:val="es-ES"/>
        </w:rPr>
        <w:t>special en el conte</w:t>
      </w:r>
      <w:r>
        <w:rPr>
          <w:rFonts w:ascii="Verdana" w:hAnsi="Verdana"/>
          <w:color w:val="000000" w:themeColor="text1"/>
          <w:sz w:val="16"/>
          <w:szCs w:val="16"/>
          <w:lang w:val="es-ES"/>
        </w:rPr>
        <w:t>x</w:t>
      </w:r>
      <w:r w:rsidRPr="00025E1F">
        <w:rPr>
          <w:rFonts w:ascii="Verdana" w:hAnsi="Verdana"/>
          <w:color w:val="000000" w:themeColor="text1"/>
          <w:sz w:val="16"/>
          <w:szCs w:val="16"/>
          <w:lang w:val="es-ES"/>
        </w:rPr>
        <w:t xml:space="preserve">to mundial y regional actual de </w:t>
      </w:r>
      <w:r w:rsidRPr="00025E1F">
        <w:rPr>
          <w:rFonts w:ascii="Verdana" w:hAnsi="Verdana"/>
          <w:i/>
          <w:iCs/>
          <w:color w:val="000000" w:themeColor="text1"/>
          <w:sz w:val="16"/>
          <w:szCs w:val="16"/>
          <w:lang w:val="es-ES"/>
        </w:rPr>
        <w:t>erosión de la democracia</w:t>
      </w:r>
      <w:r w:rsidRPr="00025E1F">
        <w:rPr>
          <w:rFonts w:ascii="Verdana" w:hAnsi="Verdana"/>
          <w:color w:val="000000" w:themeColor="text1"/>
          <w:sz w:val="16"/>
          <w:szCs w:val="16"/>
          <w:lang w:val="es-ES"/>
        </w:rPr>
        <w:t>, en donde se utilizan los poderes formales para promover valores antidemocráticos, vaciando de contenido las instituciones y dejando solo su mera apariencia.</w:t>
      </w:r>
      <w:r>
        <w:rPr>
          <w:rFonts w:ascii="Verdana" w:hAnsi="Verdana"/>
          <w:color w:val="000000" w:themeColor="text1"/>
          <w:sz w:val="16"/>
          <w:szCs w:val="16"/>
          <w:lang w:val="es-ES"/>
        </w:rPr>
        <w:t xml:space="preserve"> Véanse: </w:t>
      </w:r>
      <w:r w:rsidRPr="000F15EB">
        <w:rPr>
          <w:rFonts w:ascii="Verdana" w:hAnsi="Verdana"/>
          <w:i/>
          <w:sz w:val="16"/>
        </w:rPr>
        <w:t>Caso</w:t>
      </w:r>
      <w:r w:rsidRPr="000F15EB">
        <w:rPr>
          <w:rFonts w:ascii="Verdana" w:hAnsi="Verdana"/>
          <w:i/>
          <w:spacing w:val="-1"/>
          <w:sz w:val="16"/>
        </w:rPr>
        <w:t xml:space="preserve"> </w:t>
      </w:r>
      <w:r w:rsidRPr="000F15EB">
        <w:rPr>
          <w:rFonts w:ascii="Verdana" w:hAnsi="Verdana"/>
          <w:i/>
          <w:sz w:val="16"/>
        </w:rPr>
        <w:t>Aguinaga</w:t>
      </w:r>
      <w:r w:rsidRPr="000F15EB">
        <w:rPr>
          <w:rFonts w:ascii="Verdana" w:hAnsi="Verdana"/>
          <w:i/>
          <w:spacing w:val="-4"/>
          <w:sz w:val="16"/>
        </w:rPr>
        <w:t xml:space="preserve"> </w:t>
      </w:r>
      <w:r w:rsidRPr="000F15EB">
        <w:rPr>
          <w:rFonts w:ascii="Verdana" w:hAnsi="Verdana"/>
          <w:i/>
          <w:sz w:val="16"/>
        </w:rPr>
        <w:t>Aillón</w:t>
      </w:r>
      <w:r w:rsidRPr="000F15EB">
        <w:rPr>
          <w:rFonts w:ascii="Verdana" w:hAnsi="Verdana"/>
          <w:i/>
          <w:spacing w:val="-1"/>
          <w:sz w:val="16"/>
        </w:rPr>
        <w:t xml:space="preserve"> </w:t>
      </w:r>
      <w:r w:rsidRPr="000F15EB">
        <w:rPr>
          <w:rFonts w:ascii="Verdana" w:hAnsi="Verdana"/>
          <w:i/>
          <w:sz w:val="16"/>
        </w:rPr>
        <w:t>vs.</w:t>
      </w:r>
      <w:r w:rsidRPr="000F15EB">
        <w:rPr>
          <w:rFonts w:ascii="Verdana" w:hAnsi="Verdana"/>
          <w:i/>
          <w:spacing w:val="-7"/>
          <w:sz w:val="16"/>
        </w:rPr>
        <w:t xml:space="preserve"> </w:t>
      </w:r>
      <w:r w:rsidRPr="000F15EB">
        <w:rPr>
          <w:rFonts w:ascii="Verdana" w:hAnsi="Verdana"/>
          <w:i/>
          <w:sz w:val="16"/>
        </w:rPr>
        <w:t>Ecuador,</w:t>
      </w:r>
      <w:r w:rsidRPr="000F15EB">
        <w:rPr>
          <w:rFonts w:ascii="Verdana" w:hAnsi="Verdana"/>
          <w:i/>
          <w:spacing w:val="-2"/>
          <w:sz w:val="16"/>
        </w:rPr>
        <w:t xml:space="preserve"> </w:t>
      </w:r>
      <w:r w:rsidRPr="000F15EB">
        <w:rPr>
          <w:rFonts w:ascii="Verdana" w:hAnsi="Verdana"/>
          <w:i/>
          <w:sz w:val="16"/>
        </w:rPr>
        <w:t>supra</w:t>
      </w:r>
      <w:r w:rsidRPr="000F15EB">
        <w:rPr>
          <w:rFonts w:ascii="Verdana" w:hAnsi="Verdana"/>
          <w:sz w:val="16"/>
        </w:rPr>
        <w:t>,</w:t>
      </w:r>
      <w:r w:rsidRPr="000F15EB">
        <w:rPr>
          <w:rFonts w:ascii="Verdana" w:hAnsi="Verdana"/>
          <w:spacing w:val="-4"/>
          <w:sz w:val="16"/>
        </w:rPr>
        <w:t xml:space="preserve"> </w:t>
      </w:r>
      <w:r w:rsidRPr="000F15EB">
        <w:rPr>
          <w:rFonts w:ascii="Verdana" w:hAnsi="Verdana"/>
          <w:sz w:val="16"/>
        </w:rPr>
        <w:t>párr.</w:t>
      </w:r>
      <w:r w:rsidRPr="000F15EB">
        <w:rPr>
          <w:rFonts w:ascii="Verdana" w:hAnsi="Verdana"/>
          <w:spacing w:val="-4"/>
          <w:sz w:val="16"/>
        </w:rPr>
        <w:t xml:space="preserve"> </w:t>
      </w:r>
      <w:r w:rsidRPr="000F15EB">
        <w:rPr>
          <w:rFonts w:ascii="Verdana" w:hAnsi="Verdana"/>
          <w:spacing w:val="-5"/>
          <w:sz w:val="16"/>
        </w:rPr>
        <w:t xml:space="preserve">71, y </w:t>
      </w:r>
      <w:r w:rsidRPr="000F15EB">
        <w:rPr>
          <w:rFonts w:ascii="Verdana" w:hAnsi="Verdana"/>
          <w:i/>
          <w:iCs/>
          <w:spacing w:val="-5"/>
          <w:sz w:val="16"/>
        </w:rPr>
        <w:t>Caso Gutiérrez Navas y otros Vs. Honduras</w:t>
      </w:r>
      <w:r w:rsidRPr="000F15EB">
        <w:rPr>
          <w:rFonts w:ascii="Verdana" w:hAnsi="Verdana"/>
          <w:spacing w:val="-5"/>
          <w:sz w:val="16"/>
        </w:rPr>
        <w:t xml:space="preserve">, </w:t>
      </w:r>
      <w:r w:rsidRPr="00FF08E3">
        <w:rPr>
          <w:rFonts w:ascii="Verdana" w:hAnsi="Verdana"/>
          <w:i/>
          <w:iCs/>
          <w:spacing w:val="-5"/>
          <w:sz w:val="16"/>
        </w:rPr>
        <w:t>supra</w:t>
      </w:r>
      <w:r>
        <w:rPr>
          <w:rFonts w:ascii="Verdana" w:hAnsi="Verdana"/>
          <w:spacing w:val="-5"/>
          <w:sz w:val="16"/>
        </w:rPr>
        <w:t xml:space="preserve">, </w:t>
      </w:r>
      <w:r w:rsidRPr="000F15EB">
        <w:rPr>
          <w:rFonts w:ascii="Verdana" w:hAnsi="Verdana"/>
          <w:spacing w:val="-5"/>
          <w:sz w:val="16"/>
        </w:rPr>
        <w:t>párr. 103.</w:t>
      </w:r>
    </w:p>
  </w:footnote>
  <w:footnote w:id="169">
    <w:p w14:paraId="56F6B592" w14:textId="252B39BE" w:rsidR="00CA403B" w:rsidRPr="00042E4C" w:rsidRDefault="00CA403B" w:rsidP="00042E4C">
      <w:pPr>
        <w:pStyle w:val="FootnoteText"/>
        <w:jc w:val="both"/>
        <w:rPr>
          <w:rFonts w:ascii="Verdana" w:hAnsi="Verdana"/>
          <w:sz w:val="16"/>
          <w:szCs w:val="16"/>
        </w:rPr>
      </w:pPr>
      <w:r w:rsidRPr="00042E4C">
        <w:rPr>
          <w:rStyle w:val="FootnoteReference"/>
          <w:rFonts w:ascii="Verdana" w:hAnsi="Verdana"/>
          <w:sz w:val="16"/>
          <w:szCs w:val="16"/>
        </w:rPr>
        <w:footnoteRef/>
      </w:r>
      <w:r w:rsidRPr="00042E4C">
        <w:rPr>
          <w:rFonts w:ascii="Verdana" w:hAnsi="Verdana"/>
          <w:sz w:val="16"/>
          <w:szCs w:val="16"/>
        </w:rPr>
        <w:t xml:space="preserve"> </w:t>
      </w:r>
      <w:r w:rsidRPr="00042E4C">
        <w:rPr>
          <w:rFonts w:ascii="Verdana" w:hAnsi="Verdana"/>
          <w:sz w:val="16"/>
          <w:szCs w:val="16"/>
        </w:rPr>
        <w:tab/>
      </w:r>
      <w:r w:rsidRPr="00042E4C">
        <w:rPr>
          <w:rFonts w:ascii="Verdana" w:hAnsi="Verdana"/>
          <w:color w:val="000000"/>
          <w:sz w:val="16"/>
          <w:szCs w:val="16"/>
        </w:rPr>
        <w:t xml:space="preserve">Bogdandy, </w:t>
      </w:r>
      <w:r>
        <w:rPr>
          <w:rFonts w:ascii="Verdana" w:hAnsi="Verdana"/>
          <w:color w:val="000000"/>
          <w:sz w:val="16"/>
          <w:szCs w:val="16"/>
        </w:rPr>
        <w:t xml:space="preserve">Armin von, “El mandato transformador del Sistema Interamericano de Derechos Humanos. Legalidad y legitimidad de un proceso iurisgenerativo extraordinario”, en </w:t>
      </w:r>
      <w:r w:rsidRPr="00042E4C">
        <w:rPr>
          <w:rFonts w:ascii="Verdana" w:hAnsi="Verdana"/>
          <w:i/>
          <w:iCs/>
          <w:color w:val="000000"/>
          <w:sz w:val="16"/>
          <w:szCs w:val="16"/>
        </w:rPr>
        <w:t>Transformaciones del derecho público. Fenómenos internacionales, supranacionales y nacionales</w:t>
      </w:r>
      <w:r w:rsidRPr="00042E4C">
        <w:rPr>
          <w:rFonts w:ascii="Verdana" w:hAnsi="Verdana"/>
          <w:color w:val="000000"/>
          <w:sz w:val="16"/>
          <w:szCs w:val="16"/>
        </w:rPr>
        <w:t xml:space="preserve">, </w:t>
      </w:r>
      <w:r>
        <w:rPr>
          <w:rFonts w:ascii="Verdana" w:hAnsi="Verdana"/>
          <w:color w:val="000000"/>
          <w:sz w:val="16"/>
          <w:szCs w:val="16"/>
        </w:rPr>
        <w:t>IIJ-UNAM/</w:t>
      </w:r>
      <w:r w:rsidRPr="00042E4C">
        <w:rPr>
          <w:rFonts w:ascii="Verdana" w:hAnsi="Verdana"/>
          <w:color w:val="000000"/>
          <w:sz w:val="16"/>
          <w:szCs w:val="16"/>
        </w:rPr>
        <w:t>Instituto Max Planck de Derecho Público Comparado y Derecho Internacional Público, Instituto de Estudios Constitucionales del Estado de</w:t>
      </w:r>
      <w:r>
        <w:rPr>
          <w:rFonts w:ascii="Verdana" w:hAnsi="Verdana"/>
          <w:color w:val="000000"/>
          <w:sz w:val="16"/>
          <w:szCs w:val="16"/>
        </w:rPr>
        <w:t xml:space="preserve"> Querétaro</w:t>
      </w:r>
      <w:r w:rsidRPr="00042E4C">
        <w:rPr>
          <w:rFonts w:ascii="Verdana" w:hAnsi="Verdana"/>
          <w:color w:val="000000"/>
          <w:sz w:val="16"/>
          <w:szCs w:val="16"/>
        </w:rPr>
        <w:t>, México, 2020, p</w:t>
      </w:r>
      <w:r>
        <w:rPr>
          <w:rFonts w:ascii="Verdana" w:hAnsi="Verdana"/>
          <w:color w:val="000000"/>
          <w:sz w:val="16"/>
          <w:szCs w:val="16"/>
        </w:rPr>
        <w:t>p</w:t>
      </w:r>
      <w:r w:rsidRPr="00042E4C">
        <w:rPr>
          <w:rFonts w:ascii="Verdana" w:hAnsi="Verdana"/>
          <w:color w:val="000000"/>
          <w:sz w:val="16"/>
          <w:szCs w:val="16"/>
        </w:rPr>
        <w:t xml:space="preserve">. 95 y </w:t>
      </w:r>
      <w:r w:rsidRPr="00363551">
        <w:rPr>
          <w:rFonts w:ascii="Verdana" w:hAnsi="Verdana"/>
          <w:i/>
          <w:color w:val="000000"/>
          <w:sz w:val="16"/>
          <w:szCs w:val="16"/>
        </w:rPr>
        <w:t>ss</w:t>
      </w:r>
      <w:r w:rsidRPr="00042E4C">
        <w:rPr>
          <w:rFonts w:ascii="Verdana" w:hAnsi="Verdana"/>
          <w:color w:val="000000"/>
          <w:sz w:val="16"/>
          <w:szCs w:val="16"/>
        </w:rPr>
        <w:t>.</w:t>
      </w:r>
    </w:p>
  </w:footnote>
  <w:footnote w:id="170">
    <w:p w14:paraId="0F859607" w14:textId="036CF227" w:rsidR="00CA403B" w:rsidRPr="00871EA2" w:rsidRDefault="00CA403B" w:rsidP="000F15EB">
      <w:pPr>
        <w:spacing w:after="0" w:line="240" w:lineRule="auto"/>
        <w:jc w:val="both"/>
        <w:rPr>
          <w:rFonts w:ascii="Verdana" w:hAnsi="Verdana"/>
          <w:sz w:val="16"/>
          <w:szCs w:val="16"/>
          <w:lang w:val="es-ES"/>
        </w:rPr>
      </w:pPr>
      <w:r w:rsidRPr="00871EA2">
        <w:rPr>
          <w:rStyle w:val="FootnoteReference"/>
          <w:rFonts w:ascii="Verdana" w:hAnsi="Verdana"/>
          <w:sz w:val="16"/>
          <w:szCs w:val="16"/>
          <w:lang w:val="es-ES"/>
        </w:rPr>
        <w:footnoteRef/>
      </w:r>
      <w:r w:rsidRPr="00871EA2">
        <w:rPr>
          <w:rFonts w:ascii="Verdana" w:hAnsi="Verdana"/>
          <w:sz w:val="16"/>
          <w:szCs w:val="16"/>
          <w:lang w:val="es-ES"/>
        </w:rPr>
        <w:t xml:space="preserve"> </w:t>
      </w:r>
      <w:r w:rsidRPr="00871EA2">
        <w:rPr>
          <w:rFonts w:ascii="Verdana" w:hAnsi="Verdana"/>
          <w:sz w:val="16"/>
          <w:szCs w:val="16"/>
          <w:lang w:val="es-ES"/>
        </w:rPr>
        <w:tab/>
        <w:t>Cançado Trindade, Ant</w:t>
      </w:r>
      <w:r w:rsidRPr="005436D5">
        <w:rPr>
          <w:rFonts w:ascii="Verdana" w:hAnsi="Verdana"/>
          <w:sz w:val="16"/>
          <w:szCs w:val="16"/>
          <w:lang w:val="es-ES"/>
        </w:rPr>
        <w:t>ô</w:t>
      </w:r>
      <w:r w:rsidRPr="00871EA2">
        <w:rPr>
          <w:rFonts w:ascii="Verdana" w:hAnsi="Verdana"/>
          <w:sz w:val="16"/>
          <w:szCs w:val="16"/>
          <w:lang w:val="es-ES"/>
        </w:rPr>
        <w:t xml:space="preserve">nio A., “Democracia y derechos humanos: el régimen emergente de la promoción internacional de la democracia y del Estado de </w:t>
      </w:r>
      <w:r>
        <w:rPr>
          <w:rFonts w:ascii="Verdana" w:hAnsi="Verdana"/>
          <w:sz w:val="16"/>
          <w:szCs w:val="16"/>
          <w:lang w:val="es-ES"/>
        </w:rPr>
        <w:t>D</w:t>
      </w:r>
      <w:r w:rsidRPr="00871EA2">
        <w:rPr>
          <w:rFonts w:ascii="Verdana" w:hAnsi="Verdana"/>
          <w:sz w:val="16"/>
          <w:szCs w:val="16"/>
          <w:lang w:val="es-ES"/>
        </w:rPr>
        <w:t xml:space="preserve">erecho”, en </w:t>
      </w:r>
      <w:r w:rsidRPr="00871EA2">
        <w:rPr>
          <w:rFonts w:ascii="Verdana" w:hAnsi="Verdana"/>
          <w:i/>
          <w:iCs/>
          <w:sz w:val="16"/>
          <w:szCs w:val="16"/>
          <w:lang w:val="es-ES"/>
        </w:rPr>
        <w:t>Corte Interamericana de Derechos Humanos. La Corte y el sistema interamericano de derechos humanos</w:t>
      </w:r>
      <w:r w:rsidRPr="00871EA2">
        <w:rPr>
          <w:rFonts w:ascii="Verdana" w:hAnsi="Verdana"/>
          <w:sz w:val="16"/>
          <w:szCs w:val="16"/>
          <w:lang w:val="es-ES"/>
        </w:rPr>
        <w:t>, San José, 1994, pp. 516-517</w:t>
      </w:r>
      <w:r>
        <w:rPr>
          <w:rFonts w:ascii="Verdana" w:hAnsi="Verdana"/>
          <w:sz w:val="16"/>
          <w:szCs w:val="16"/>
          <w:lang w:val="es-ES"/>
        </w:rPr>
        <w:t>,</w:t>
      </w:r>
      <w:r w:rsidRPr="00871EA2">
        <w:rPr>
          <w:rFonts w:ascii="Verdana" w:hAnsi="Verdana"/>
          <w:sz w:val="16"/>
          <w:szCs w:val="16"/>
          <w:lang w:val="es-ES"/>
        </w:rPr>
        <w:t xml:space="preserve"> </w:t>
      </w:r>
      <w:r>
        <w:rPr>
          <w:rFonts w:ascii="Verdana" w:hAnsi="Verdana"/>
          <w:sz w:val="16"/>
          <w:szCs w:val="16"/>
          <w:lang w:val="es-ES"/>
        </w:rPr>
        <w:t xml:space="preserve">y en </w:t>
      </w:r>
      <w:r>
        <w:rPr>
          <w:rFonts w:ascii="Verdana" w:hAnsi="Verdana"/>
          <w:i/>
          <w:iCs/>
          <w:sz w:val="16"/>
          <w:szCs w:val="16"/>
          <w:lang w:val="es-ES"/>
        </w:rPr>
        <w:t xml:space="preserve">Revista do Instituto Brasileiro de Direitos Humanos, </w:t>
      </w:r>
      <w:r w:rsidRPr="00C466E7">
        <w:rPr>
          <w:rFonts w:ascii="Verdana" w:hAnsi="Verdana"/>
          <w:sz w:val="16"/>
          <w:szCs w:val="16"/>
          <w:lang w:val="es-ES"/>
        </w:rPr>
        <w:t>vol.</w:t>
      </w:r>
      <w:r>
        <w:rPr>
          <w:rFonts w:ascii="Verdana" w:hAnsi="Verdana"/>
          <w:i/>
          <w:iCs/>
          <w:sz w:val="16"/>
          <w:szCs w:val="16"/>
          <w:lang w:val="es-ES"/>
        </w:rPr>
        <w:t xml:space="preserve"> </w:t>
      </w:r>
      <w:r>
        <w:rPr>
          <w:rFonts w:ascii="Verdana" w:hAnsi="Verdana"/>
          <w:sz w:val="16"/>
          <w:szCs w:val="16"/>
          <w:lang w:val="es-ES"/>
        </w:rPr>
        <w:t xml:space="preserve">1, no. 1, 1999, p. 14.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3A1C"/>
    <w:multiLevelType w:val="hybridMultilevel"/>
    <w:tmpl w:val="1C02BD3C"/>
    <w:lvl w:ilvl="0" w:tplc="040A000F">
      <w:start w:val="7"/>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08887E61"/>
    <w:multiLevelType w:val="hybridMultilevel"/>
    <w:tmpl w:val="33DAB00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BA97D22"/>
    <w:multiLevelType w:val="multilevel"/>
    <w:tmpl w:val="9E24574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5715E"/>
    <w:multiLevelType w:val="hybridMultilevel"/>
    <w:tmpl w:val="53F8DE2E"/>
    <w:lvl w:ilvl="0" w:tplc="040A000F">
      <w:start w:val="7"/>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15:restartNumberingAfterBreak="0">
    <w:nsid w:val="15AB673F"/>
    <w:multiLevelType w:val="hybridMultilevel"/>
    <w:tmpl w:val="15B8A208"/>
    <w:lvl w:ilvl="0" w:tplc="7B1EB478">
      <w:start w:val="4"/>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8901194"/>
    <w:multiLevelType w:val="hybridMultilevel"/>
    <w:tmpl w:val="C0FAF270"/>
    <w:lvl w:ilvl="0" w:tplc="040A000F">
      <w:start w:val="99"/>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6" w15:restartNumberingAfterBreak="0">
    <w:nsid w:val="1DD954DB"/>
    <w:multiLevelType w:val="hybridMultilevel"/>
    <w:tmpl w:val="FED85F2A"/>
    <w:lvl w:ilvl="0" w:tplc="C5086CA8">
      <w:start w:val="100"/>
      <w:numFmt w:val="decimal"/>
      <w:lvlText w:val="%1."/>
      <w:lvlJc w:val="left"/>
      <w:pPr>
        <w:ind w:left="1027" w:hanging="4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7" w15:restartNumberingAfterBreak="0">
    <w:nsid w:val="21197682"/>
    <w:multiLevelType w:val="hybridMultilevel"/>
    <w:tmpl w:val="341EE092"/>
    <w:lvl w:ilvl="0" w:tplc="64D24AF6">
      <w:start w:val="103"/>
      <w:numFmt w:val="decimal"/>
      <w:lvlText w:val="%1."/>
      <w:lvlJc w:val="left"/>
      <w:pPr>
        <w:ind w:left="1027" w:hanging="4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8" w15:restartNumberingAfterBreak="0">
    <w:nsid w:val="26555427"/>
    <w:multiLevelType w:val="hybridMultilevel"/>
    <w:tmpl w:val="B9046F7A"/>
    <w:lvl w:ilvl="0" w:tplc="080A000F">
      <w:start w:val="2"/>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9FF5E30"/>
    <w:multiLevelType w:val="hybridMultilevel"/>
    <w:tmpl w:val="F30223E0"/>
    <w:lvl w:ilvl="0" w:tplc="080A000F">
      <w:start w:val="2"/>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AA53321"/>
    <w:multiLevelType w:val="hybridMultilevel"/>
    <w:tmpl w:val="80E0A9D6"/>
    <w:lvl w:ilvl="0" w:tplc="040A000F">
      <w:start w:val="84"/>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1" w15:restartNumberingAfterBreak="0">
    <w:nsid w:val="2FDD7D45"/>
    <w:multiLevelType w:val="hybridMultilevel"/>
    <w:tmpl w:val="4BF2D294"/>
    <w:lvl w:ilvl="0" w:tplc="8C5AFB88">
      <w:start w:val="115"/>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37A1D7F"/>
    <w:multiLevelType w:val="hybridMultilevel"/>
    <w:tmpl w:val="6232B516"/>
    <w:lvl w:ilvl="0" w:tplc="93BE4DAE">
      <w:start w:val="1"/>
      <w:numFmt w:val="decimal"/>
      <w:lvlText w:val="%1."/>
      <w:lvlJc w:val="left"/>
      <w:pPr>
        <w:ind w:left="360" w:hanging="360"/>
      </w:pPr>
      <w:rPr>
        <w:rFonts w:ascii="Verdana" w:hAnsi="Verdana" w:hint="default"/>
        <w:b w:val="0"/>
        <w:bCs w:val="0"/>
        <w:i w:val="0"/>
        <w:iCs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0E229F"/>
    <w:multiLevelType w:val="hybridMultilevel"/>
    <w:tmpl w:val="816ED66A"/>
    <w:lvl w:ilvl="0" w:tplc="040A000F">
      <w:start w:val="84"/>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4" w15:restartNumberingAfterBreak="0">
    <w:nsid w:val="3FBF3AB8"/>
    <w:multiLevelType w:val="hybridMultilevel"/>
    <w:tmpl w:val="C7964D0C"/>
    <w:lvl w:ilvl="0" w:tplc="526A46B0">
      <w:start w:val="1"/>
      <w:numFmt w:val="decimal"/>
      <w:lvlText w:val="%1."/>
      <w:lvlJc w:val="left"/>
      <w:pPr>
        <w:ind w:left="118" w:hanging="568"/>
      </w:pPr>
      <w:rPr>
        <w:rFonts w:ascii="Verdana" w:eastAsia="Verdana" w:hAnsi="Verdana" w:cs="Verdana" w:hint="default"/>
        <w:b w:val="0"/>
        <w:bCs w:val="0"/>
        <w:i w:val="0"/>
        <w:iCs w:val="0"/>
        <w:spacing w:val="-1"/>
        <w:w w:val="100"/>
        <w:sz w:val="20"/>
        <w:szCs w:val="20"/>
      </w:rPr>
    </w:lvl>
    <w:lvl w:ilvl="1" w:tplc="5356632C">
      <w:start w:val="1"/>
      <w:numFmt w:val="lowerRoman"/>
      <w:lvlText w:val="%2)"/>
      <w:lvlJc w:val="left"/>
      <w:pPr>
        <w:ind w:left="686" w:hanging="567"/>
      </w:pPr>
      <w:rPr>
        <w:rFonts w:ascii="Verdana" w:eastAsia="Verdana" w:hAnsi="Verdana" w:cs="Verdana" w:hint="default"/>
        <w:b w:val="0"/>
        <w:bCs w:val="0"/>
        <w:i w:val="0"/>
        <w:iCs w:val="0"/>
        <w:spacing w:val="0"/>
        <w:w w:val="100"/>
        <w:sz w:val="18"/>
        <w:szCs w:val="18"/>
      </w:rPr>
    </w:lvl>
    <w:lvl w:ilvl="2" w:tplc="FCD88030">
      <w:numFmt w:val="bullet"/>
      <w:lvlText w:val="•"/>
      <w:lvlJc w:val="left"/>
      <w:pPr>
        <w:ind w:left="1675" w:hanging="567"/>
      </w:pPr>
      <w:rPr>
        <w:rFonts w:hint="default"/>
      </w:rPr>
    </w:lvl>
    <w:lvl w:ilvl="3" w:tplc="107483F6">
      <w:numFmt w:val="bullet"/>
      <w:lvlText w:val="•"/>
      <w:lvlJc w:val="left"/>
      <w:pPr>
        <w:ind w:left="2671" w:hanging="567"/>
      </w:pPr>
      <w:rPr>
        <w:rFonts w:hint="default"/>
      </w:rPr>
    </w:lvl>
    <w:lvl w:ilvl="4" w:tplc="F37A4CC0">
      <w:numFmt w:val="bullet"/>
      <w:lvlText w:val="•"/>
      <w:lvlJc w:val="left"/>
      <w:pPr>
        <w:ind w:left="3666" w:hanging="567"/>
      </w:pPr>
      <w:rPr>
        <w:rFonts w:hint="default"/>
      </w:rPr>
    </w:lvl>
    <w:lvl w:ilvl="5" w:tplc="DC4C0C84">
      <w:numFmt w:val="bullet"/>
      <w:lvlText w:val="•"/>
      <w:lvlJc w:val="left"/>
      <w:pPr>
        <w:ind w:left="4662" w:hanging="567"/>
      </w:pPr>
      <w:rPr>
        <w:rFonts w:hint="default"/>
      </w:rPr>
    </w:lvl>
    <w:lvl w:ilvl="6" w:tplc="8ACC17B0">
      <w:numFmt w:val="bullet"/>
      <w:lvlText w:val="•"/>
      <w:lvlJc w:val="left"/>
      <w:pPr>
        <w:ind w:left="5657" w:hanging="567"/>
      </w:pPr>
      <w:rPr>
        <w:rFonts w:hint="default"/>
      </w:rPr>
    </w:lvl>
    <w:lvl w:ilvl="7" w:tplc="F9189370">
      <w:numFmt w:val="bullet"/>
      <w:lvlText w:val="•"/>
      <w:lvlJc w:val="left"/>
      <w:pPr>
        <w:ind w:left="6653" w:hanging="567"/>
      </w:pPr>
      <w:rPr>
        <w:rFonts w:hint="default"/>
      </w:rPr>
    </w:lvl>
    <w:lvl w:ilvl="8" w:tplc="B7EA36E0">
      <w:numFmt w:val="bullet"/>
      <w:lvlText w:val="•"/>
      <w:lvlJc w:val="left"/>
      <w:pPr>
        <w:ind w:left="7648" w:hanging="567"/>
      </w:pPr>
      <w:rPr>
        <w:rFonts w:hint="default"/>
      </w:rPr>
    </w:lvl>
  </w:abstractNum>
  <w:abstractNum w:abstractNumId="15" w15:restartNumberingAfterBreak="0">
    <w:nsid w:val="4A707696"/>
    <w:multiLevelType w:val="hybridMultilevel"/>
    <w:tmpl w:val="B906A798"/>
    <w:lvl w:ilvl="0" w:tplc="D6E0EE4E">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EBD5D3D"/>
    <w:multiLevelType w:val="hybridMultilevel"/>
    <w:tmpl w:val="03DA04CA"/>
    <w:lvl w:ilvl="0" w:tplc="F55A12E0">
      <w:start w:val="1"/>
      <w:numFmt w:val="decimal"/>
      <w:lvlText w:val="%1."/>
      <w:lvlJc w:val="left"/>
      <w:pPr>
        <w:ind w:left="540" w:hanging="360"/>
      </w:pPr>
      <w:rPr>
        <w:rFonts w:ascii="Verdana" w:hAnsi="Verdana" w:hint="default"/>
        <w:b w:val="0"/>
        <w:i w:val="0"/>
        <w:iCs w:val="0"/>
        <w:strike w:val="0"/>
        <w:color w:val="000000" w:themeColor="text1"/>
        <w:sz w:val="20"/>
        <w:szCs w:val="2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1D22932"/>
    <w:multiLevelType w:val="hybridMultilevel"/>
    <w:tmpl w:val="1026D956"/>
    <w:lvl w:ilvl="0" w:tplc="040A000F">
      <w:start w:val="5"/>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5A320E9"/>
    <w:multiLevelType w:val="hybridMultilevel"/>
    <w:tmpl w:val="7C460070"/>
    <w:lvl w:ilvl="0" w:tplc="040A000F">
      <w:start w:val="97"/>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5D111ABE"/>
    <w:multiLevelType w:val="hybridMultilevel"/>
    <w:tmpl w:val="0764FDF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AC4C6B"/>
    <w:multiLevelType w:val="hybridMultilevel"/>
    <w:tmpl w:val="F0CECC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9AE0A02"/>
    <w:multiLevelType w:val="hybridMultilevel"/>
    <w:tmpl w:val="32AE9578"/>
    <w:lvl w:ilvl="0" w:tplc="0A9AF2DA">
      <w:start w:val="1"/>
      <w:numFmt w:val="low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77387E82"/>
    <w:multiLevelType w:val="hybridMultilevel"/>
    <w:tmpl w:val="7C984B3A"/>
    <w:lvl w:ilvl="0" w:tplc="04090019">
      <w:start w:val="1"/>
      <w:numFmt w:val="lowerLetter"/>
      <w:lvlText w:val="%1."/>
      <w:lvlJc w:val="left"/>
      <w:pPr>
        <w:ind w:left="720" w:hanging="360"/>
      </w:pPr>
      <w:rPr>
        <w:rFonts w:hint="default"/>
        <w:b w:val="0"/>
        <w:i w:val="0"/>
        <w:iCs w:val="0"/>
        <w:strike w:val="0"/>
        <w:color w:val="000000" w:themeColor="text1"/>
        <w:sz w:val="20"/>
        <w:szCs w:val="20"/>
      </w:rPr>
    </w:lvl>
    <w:lvl w:ilvl="1" w:tplc="FFFFFFFF">
      <w:start w:val="1"/>
      <w:numFmt w:val="lowerLetter"/>
      <w:lvlText w:val="%2."/>
      <w:lvlJc w:val="left"/>
      <w:pPr>
        <w:ind w:left="-3162" w:hanging="360"/>
      </w:pPr>
    </w:lvl>
    <w:lvl w:ilvl="2" w:tplc="FFFFFFFF">
      <w:start w:val="1"/>
      <w:numFmt w:val="lowerRoman"/>
      <w:lvlText w:val="%3."/>
      <w:lvlJc w:val="right"/>
      <w:pPr>
        <w:ind w:left="-2442" w:hanging="180"/>
      </w:pPr>
    </w:lvl>
    <w:lvl w:ilvl="3" w:tplc="FFFFFFFF" w:tentative="1">
      <w:start w:val="1"/>
      <w:numFmt w:val="decimal"/>
      <w:lvlText w:val="%4."/>
      <w:lvlJc w:val="left"/>
      <w:pPr>
        <w:ind w:left="-1722" w:hanging="360"/>
      </w:pPr>
    </w:lvl>
    <w:lvl w:ilvl="4" w:tplc="FFFFFFFF" w:tentative="1">
      <w:start w:val="1"/>
      <w:numFmt w:val="lowerLetter"/>
      <w:lvlText w:val="%5."/>
      <w:lvlJc w:val="left"/>
      <w:pPr>
        <w:ind w:left="-1002" w:hanging="360"/>
      </w:pPr>
    </w:lvl>
    <w:lvl w:ilvl="5" w:tplc="FFFFFFFF" w:tentative="1">
      <w:start w:val="1"/>
      <w:numFmt w:val="lowerRoman"/>
      <w:lvlText w:val="%6."/>
      <w:lvlJc w:val="right"/>
      <w:pPr>
        <w:ind w:left="-282" w:hanging="180"/>
      </w:pPr>
    </w:lvl>
    <w:lvl w:ilvl="6" w:tplc="FFFFFFFF" w:tentative="1">
      <w:start w:val="1"/>
      <w:numFmt w:val="decimal"/>
      <w:lvlText w:val="%7."/>
      <w:lvlJc w:val="left"/>
      <w:pPr>
        <w:ind w:left="438" w:hanging="360"/>
      </w:pPr>
    </w:lvl>
    <w:lvl w:ilvl="7" w:tplc="FFFFFFFF" w:tentative="1">
      <w:start w:val="1"/>
      <w:numFmt w:val="lowerLetter"/>
      <w:lvlText w:val="%8."/>
      <w:lvlJc w:val="left"/>
      <w:pPr>
        <w:ind w:left="1158" w:hanging="360"/>
      </w:pPr>
    </w:lvl>
    <w:lvl w:ilvl="8" w:tplc="FFFFFFFF" w:tentative="1">
      <w:start w:val="1"/>
      <w:numFmt w:val="lowerRoman"/>
      <w:lvlText w:val="%9."/>
      <w:lvlJc w:val="right"/>
      <w:pPr>
        <w:ind w:left="1878" w:hanging="180"/>
      </w:pPr>
    </w:lvl>
  </w:abstractNum>
  <w:num w:numId="1" w16cid:durableId="1694651995">
    <w:abstractNumId w:val="16"/>
  </w:num>
  <w:num w:numId="2" w16cid:durableId="516775801">
    <w:abstractNumId w:val="22"/>
  </w:num>
  <w:num w:numId="3" w16cid:durableId="2040814059">
    <w:abstractNumId w:val="1"/>
  </w:num>
  <w:num w:numId="4" w16cid:durableId="113716723">
    <w:abstractNumId w:val="12"/>
  </w:num>
  <w:num w:numId="5" w16cid:durableId="1711959311">
    <w:abstractNumId w:val="21"/>
  </w:num>
  <w:num w:numId="6" w16cid:durableId="1667897070">
    <w:abstractNumId w:val="15"/>
  </w:num>
  <w:num w:numId="7" w16cid:durableId="295765634">
    <w:abstractNumId w:val="19"/>
  </w:num>
  <w:num w:numId="8" w16cid:durableId="1486897276">
    <w:abstractNumId w:val="2"/>
  </w:num>
  <w:num w:numId="9" w16cid:durableId="546453530">
    <w:abstractNumId w:val="9"/>
  </w:num>
  <w:num w:numId="10" w16cid:durableId="394594304">
    <w:abstractNumId w:val="8"/>
  </w:num>
  <w:num w:numId="11" w16cid:durableId="729964654">
    <w:abstractNumId w:val="17"/>
  </w:num>
  <w:num w:numId="12" w16cid:durableId="1737359495">
    <w:abstractNumId w:val="0"/>
  </w:num>
  <w:num w:numId="13" w16cid:durableId="321931937">
    <w:abstractNumId w:val="3"/>
  </w:num>
  <w:num w:numId="14" w16cid:durableId="133329347">
    <w:abstractNumId w:val="14"/>
  </w:num>
  <w:num w:numId="15" w16cid:durableId="538711779">
    <w:abstractNumId w:val="10"/>
  </w:num>
  <w:num w:numId="16" w16cid:durableId="1459832315">
    <w:abstractNumId w:val="13"/>
  </w:num>
  <w:num w:numId="17" w16cid:durableId="72702457">
    <w:abstractNumId w:val="4"/>
  </w:num>
  <w:num w:numId="18" w16cid:durableId="2059740192">
    <w:abstractNumId w:val="18"/>
  </w:num>
  <w:num w:numId="19" w16cid:durableId="1286690992">
    <w:abstractNumId w:val="5"/>
  </w:num>
  <w:num w:numId="20" w16cid:durableId="1752388964">
    <w:abstractNumId w:val="6"/>
  </w:num>
  <w:num w:numId="21" w16cid:durableId="292296720">
    <w:abstractNumId w:val="7"/>
  </w:num>
  <w:num w:numId="22" w16cid:durableId="215044900">
    <w:abstractNumId w:val="20"/>
  </w:num>
  <w:num w:numId="23" w16cid:durableId="393992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A5"/>
    <w:rsid w:val="00005BC4"/>
    <w:rsid w:val="000146A3"/>
    <w:rsid w:val="00025E1F"/>
    <w:rsid w:val="0003172C"/>
    <w:rsid w:val="00035CA6"/>
    <w:rsid w:val="00037D01"/>
    <w:rsid w:val="00042C7D"/>
    <w:rsid w:val="00042E4C"/>
    <w:rsid w:val="000507F1"/>
    <w:rsid w:val="00055AC4"/>
    <w:rsid w:val="000679FB"/>
    <w:rsid w:val="00092E75"/>
    <w:rsid w:val="00094765"/>
    <w:rsid w:val="000A1E56"/>
    <w:rsid w:val="000A32B9"/>
    <w:rsid w:val="000C1B48"/>
    <w:rsid w:val="000C1FFB"/>
    <w:rsid w:val="000C2E79"/>
    <w:rsid w:val="000C7C89"/>
    <w:rsid w:val="000D3B07"/>
    <w:rsid w:val="000E0350"/>
    <w:rsid w:val="000E1141"/>
    <w:rsid w:val="000E1E61"/>
    <w:rsid w:val="000E241D"/>
    <w:rsid w:val="000E3100"/>
    <w:rsid w:val="000E4996"/>
    <w:rsid w:val="000F000A"/>
    <w:rsid w:val="000F15EB"/>
    <w:rsid w:val="000F49BD"/>
    <w:rsid w:val="001017CB"/>
    <w:rsid w:val="00107241"/>
    <w:rsid w:val="00107901"/>
    <w:rsid w:val="00107B28"/>
    <w:rsid w:val="00111C73"/>
    <w:rsid w:val="001342A1"/>
    <w:rsid w:val="00141590"/>
    <w:rsid w:val="0015432B"/>
    <w:rsid w:val="00161E4C"/>
    <w:rsid w:val="00182A28"/>
    <w:rsid w:val="00187436"/>
    <w:rsid w:val="001C53EF"/>
    <w:rsid w:val="001D657B"/>
    <w:rsid w:val="001E6B25"/>
    <w:rsid w:val="002052D4"/>
    <w:rsid w:val="00210DF3"/>
    <w:rsid w:val="002142BF"/>
    <w:rsid w:val="00216B50"/>
    <w:rsid w:val="00222C1D"/>
    <w:rsid w:val="002304A1"/>
    <w:rsid w:val="002522E1"/>
    <w:rsid w:val="00267B70"/>
    <w:rsid w:val="00272436"/>
    <w:rsid w:val="00274175"/>
    <w:rsid w:val="002743B1"/>
    <w:rsid w:val="00281657"/>
    <w:rsid w:val="0028470B"/>
    <w:rsid w:val="002A22D2"/>
    <w:rsid w:val="002B3BF7"/>
    <w:rsid w:val="002D4F38"/>
    <w:rsid w:val="003041B0"/>
    <w:rsid w:val="0031013C"/>
    <w:rsid w:val="003124D7"/>
    <w:rsid w:val="00312C3A"/>
    <w:rsid w:val="00313405"/>
    <w:rsid w:val="003249BE"/>
    <w:rsid w:val="003268DC"/>
    <w:rsid w:val="00330E54"/>
    <w:rsid w:val="00363551"/>
    <w:rsid w:val="00371144"/>
    <w:rsid w:val="0038172E"/>
    <w:rsid w:val="003933E3"/>
    <w:rsid w:val="003A1989"/>
    <w:rsid w:val="003C336E"/>
    <w:rsid w:val="003F3ACC"/>
    <w:rsid w:val="00405418"/>
    <w:rsid w:val="00414D32"/>
    <w:rsid w:val="0042072A"/>
    <w:rsid w:val="00421928"/>
    <w:rsid w:val="00424F27"/>
    <w:rsid w:val="00442EA5"/>
    <w:rsid w:val="0044368D"/>
    <w:rsid w:val="00452683"/>
    <w:rsid w:val="00452BDB"/>
    <w:rsid w:val="00467986"/>
    <w:rsid w:val="00474CE6"/>
    <w:rsid w:val="00476A52"/>
    <w:rsid w:val="00476D55"/>
    <w:rsid w:val="004835E5"/>
    <w:rsid w:val="004A73B0"/>
    <w:rsid w:val="004C1491"/>
    <w:rsid w:val="004D6980"/>
    <w:rsid w:val="004D7A70"/>
    <w:rsid w:val="004E0396"/>
    <w:rsid w:val="004F6F91"/>
    <w:rsid w:val="00503327"/>
    <w:rsid w:val="0050587A"/>
    <w:rsid w:val="00512C76"/>
    <w:rsid w:val="00520C2E"/>
    <w:rsid w:val="00522170"/>
    <w:rsid w:val="00531530"/>
    <w:rsid w:val="0053377B"/>
    <w:rsid w:val="00541E4A"/>
    <w:rsid w:val="005436D5"/>
    <w:rsid w:val="005455CE"/>
    <w:rsid w:val="0054703E"/>
    <w:rsid w:val="005523EA"/>
    <w:rsid w:val="005574A4"/>
    <w:rsid w:val="00557A84"/>
    <w:rsid w:val="00573319"/>
    <w:rsid w:val="0057620B"/>
    <w:rsid w:val="00577017"/>
    <w:rsid w:val="00580F4A"/>
    <w:rsid w:val="00582F53"/>
    <w:rsid w:val="00583CBF"/>
    <w:rsid w:val="005A7390"/>
    <w:rsid w:val="005B2577"/>
    <w:rsid w:val="005D598A"/>
    <w:rsid w:val="005D68F8"/>
    <w:rsid w:val="005E2560"/>
    <w:rsid w:val="005E4082"/>
    <w:rsid w:val="005F4837"/>
    <w:rsid w:val="005F7AA5"/>
    <w:rsid w:val="006059FB"/>
    <w:rsid w:val="00610EE0"/>
    <w:rsid w:val="00613B85"/>
    <w:rsid w:val="00627556"/>
    <w:rsid w:val="006331C2"/>
    <w:rsid w:val="00647EA5"/>
    <w:rsid w:val="00660BAB"/>
    <w:rsid w:val="006643B9"/>
    <w:rsid w:val="00675D0D"/>
    <w:rsid w:val="00677BE2"/>
    <w:rsid w:val="00686CC9"/>
    <w:rsid w:val="00691C17"/>
    <w:rsid w:val="00695F31"/>
    <w:rsid w:val="00696BF9"/>
    <w:rsid w:val="0069777F"/>
    <w:rsid w:val="006A4CC0"/>
    <w:rsid w:val="006B0D43"/>
    <w:rsid w:val="006B4489"/>
    <w:rsid w:val="006B594D"/>
    <w:rsid w:val="006C2E6C"/>
    <w:rsid w:val="006E6879"/>
    <w:rsid w:val="006F1BF2"/>
    <w:rsid w:val="006F74F5"/>
    <w:rsid w:val="0070642A"/>
    <w:rsid w:val="00706540"/>
    <w:rsid w:val="00706FBB"/>
    <w:rsid w:val="00707077"/>
    <w:rsid w:val="00707AA0"/>
    <w:rsid w:val="00731E3A"/>
    <w:rsid w:val="0073275D"/>
    <w:rsid w:val="00732DD3"/>
    <w:rsid w:val="007366BE"/>
    <w:rsid w:val="00752534"/>
    <w:rsid w:val="007717DA"/>
    <w:rsid w:val="0078014C"/>
    <w:rsid w:val="00784E6F"/>
    <w:rsid w:val="00787698"/>
    <w:rsid w:val="00790FBC"/>
    <w:rsid w:val="007A0641"/>
    <w:rsid w:val="007A0C67"/>
    <w:rsid w:val="007A39FC"/>
    <w:rsid w:val="007B3CA0"/>
    <w:rsid w:val="007B4502"/>
    <w:rsid w:val="007B4E01"/>
    <w:rsid w:val="007C0637"/>
    <w:rsid w:val="007F023B"/>
    <w:rsid w:val="007F27A8"/>
    <w:rsid w:val="0080051C"/>
    <w:rsid w:val="00801A52"/>
    <w:rsid w:val="00805046"/>
    <w:rsid w:val="00807B78"/>
    <w:rsid w:val="00814D3E"/>
    <w:rsid w:val="0082572E"/>
    <w:rsid w:val="00827203"/>
    <w:rsid w:val="00834F28"/>
    <w:rsid w:val="00840107"/>
    <w:rsid w:val="00854A39"/>
    <w:rsid w:val="008565A1"/>
    <w:rsid w:val="00856D08"/>
    <w:rsid w:val="00857A7F"/>
    <w:rsid w:val="008628DD"/>
    <w:rsid w:val="00871B72"/>
    <w:rsid w:val="00871D7D"/>
    <w:rsid w:val="00871EA2"/>
    <w:rsid w:val="008762CD"/>
    <w:rsid w:val="00882FA8"/>
    <w:rsid w:val="00884CE4"/>
    <w:rsid w:val="0088610F"/>
    <w:rsid w:val="00891599"/>
    <w:rsid w:val="0089279E"/>
    <w:rsid w:val="008A3201"/>
    <w:rsid w:val="008A320B"/>
    <w:rsid w:val="008C2ED4"/>
    <w:rsid w:val="008C4D54"/>
    <w:rsid w:val="008D3AA5"/>
    <w:rsid w:val="008D729D"/>
    <w:rsid w:val="008D7C70"/>
    <w:rsid w:val="008F2F1E"/>
    <w:rsid w:val="008F2F64"/>
    <w:rsid w:val="008F3296"/>
    <w:rsid w:val="00902A1F"/>
    <w:rsid w:val="00904514"/>
    <w:rsid w:val="0090532A"/>
    <w:rsid w:val="009126DD"/>
    <w:rsid w:val="00913875"/>
    <w:rsid w:val="00915C43"/>
    <w:rsid w:val="009371C0"/>
    <w:rsid w:val="009478AB"/>
    <w:rsid w:val="00950D71"/>
    <w:rsid w:val="009653F4"/>
    <w:rsid w:val="009760E6"/>
    <w:rsid w:val="00982792"/>
    <w:rsid w:val="00997858"/>
    <w:rsid w:val="009C522B"/>
    <w:rsid w:val="009C5919"/>
    <w:rsid w:val="009C744B"/>
    <w:rsid w:val="009D668F"/>
    <w:rsid w:val="009D77FC"/>
    <w:rsid w:val="009E46BD"/>
    <w:rsid w:val="009F512A"/>
    <w:rsid w:val="00A1369B"/>
    <w:rsid w:val="00A14204"/>
    <w:rsid w:val="00A21686"/>
    <w:rsid w:val="00A3138F"/>
    <w:rsid w:val="00A36152"/>
    <w:rsid w:val="00A44D2B"/>
    <w:rsid w:val="00A45D44"/>
    <w:rsid w:val="00A61FA1"/>
    <w:rsid w:val="00A724EE"/>
    <w:rsid w:val="00A95A1D"/>
    <w:rsid w:val="00AA6EFA"/>
    <w:rsid w:val="00AC3B15"/>
    <w:rsid w:val="00AC4DAD"/>
    <w:rsid w:val="00AE0105"/>
    <w:rsid w:val="00AE0D38"/>
    <w:rsid w:val="00AE2B95"/>
    <w:rsid w:val="00AF3511"/>
    <w:rsid w:val="00B10F54"/>
    <w:rsid w:val="00B1105E"/>
    <w:rsid w:val="00B12360"/>
    <w:rsid w:val="00B16E6D"/>
    <w:rsid w:val="00B34A46"/>
    <w:rsid w:val="00B71637"/>
    <w:rsid w:val="00B7622E"/>
    <w:rsid w:val="00B96323"/>
    <w:rsid w:val="00BA04C5"/>
    <w:rsid w:val="00BA1BA0"/>
    <w:rsid w:val="00BA77AA"/>
    <w:rsid w:val="00BB6944"/>
    <w:rsid w:val="00BE33EF"/>
    <w:rsid w:val="00BE54D8"/>
    <w:rsid w:val="00BF0290"/>
    <w:rsid w:val="00C25259"/>
    <w:rsid w:val="00C32895"/>
    <w:rsid w:val="00C34183"/>
    <w:rsid w:val="00C41972"/>
    <w:rsid w:val="00C8622D"/>
    <w:rsid w:val="00C8635A"/>
    <w:rsid w:val="00C86E53"/>
    <w:rsid w:val="00C91211"/>
    <w:rsid w:val="00C9719C"/>
    <w:rsid w:val="00CA172D"/>
    <w:rsid w:val="00CA18F7"/>
    <w:rsid w:val="00CA403B"/>
    <w:rsid w:val="00CA4651"/>
    <w:rsid w:val="00CA6F0D"/>
    <w:rsid w:val="00CB2B32"/>
    <w:rsid w:val="00CB2E30"/>
    <w:rsid w:val="00CB4F2D"/>
    <w:rsid w:val="00CC444C"/>
    <w:rsid w:val="00CE1A5A"/>
    <w:rsid w:val="00CE4417"/>
    <w:rsid w:val="00CF737D"/>
    <w:rsid w:val="00D006FF"/>
    <w:rsid w:val="00D01A57"/>
    <w:rsid w:val="00D10BDA"/>
    <w:rsid w:val="00D11F58"/>
    <w:rsid w:val="00D15D47"/>
    <w:rsid w:val="00D15F93"/>
    <w:rsid w:val="00D17E6B"/>
    <w:rsid w:val="00D242DA"/>
    <w:rsid w:val="00D26373"/>
    <w:rsid w:val="00D51AC0"/>
    <w:rsid w:val="00D5711A"/>
    <w:rsid w:val="00D621D4"/>
    <w:rsid w:val="00D763B2"/>
    <w:rsid w:val="00D875AA"/>
    <w:rsid w:val="00D87A88"/>
    <w:rsid w:val="00D87AFC"/>
    <w:rsid w:val="00D92A79"/>
    <w:rsid w:val="00DA01FA"/>
    <w:rsid w:val="00DB0892"/>
    <w:rsid w:val="00DB64BA"/>
    <w:rsid w:val="00DB72CB"/>
    <w:rsid w:val="00DC2DBE"/>
    <w:rsid w:val="00DC75FC"/>
    <w:rsid w:val="00DE7016"/>
    <w:rsid w:val="00DF54F4"/>
    <w:rsid w:val="00DF5533"/>
    <w:rsid w:val="00E106C8"/>
    <w:rsid w:val="00E110CA"/>
    <w:rsid w:val="00E37AB4"/>
    <w:rsid w:val="00E532C3"/>
    <w:rsid w:val="00E6614C"/>
    <w:rsid w:val="00E70DDF"/>
    <w:rsid w:val="00E713CB"/>
    <w:rsid w:val="00EA1803"/>
    <w:rsid w:val="00EB29CD"/>
    <w:rsid w:val="00EB38E3"/>
    <w:rsid w:val="00ED1402"/>
    <w:rsid w:val="00ED375C"/>
    <w:rsid w:val="00ED708C"/>
    <w:rsid w:val="00EE1929"/>
    <w:rsid w:val="00EE70C6"/>
    <w:rsid w:val="00EF4219"/>
    <w:rsid w:val="00F20320"/>
    <w:rsid w:val="00F4417E"/>
    <w:rsid w:val="00F51E7C"/>
    <w:rsid w:val="00F638A7"/>
    <w:rsid w:val="00F65829"/>
    <w:rsid w:val="00F84843"/>
    <w:rsid w:val="00F9574B"/>
    <w:rsid w:val="00FA7C4D"/>
    <w:rsid w:val="00FB440F"/>
    <w:rsid w:val="00FE214B"/>
    <w:rsid w:val="00FE5E55"/>
    <w:rsid w:val="00FF08E3"/>
    <w:rsid w:val="00FF25B5"/>
    <w:rsid w:val="00FF78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0C9D"/>
  <w15:docId w15:val="{00CEF995-8207-CA4E-89DB-32BAF3A2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A5"/>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árrafo de lista1,List Paragraph1,Colorful List - Accent 11,List Paragraph2,Lista vistosa - Énfasis 11,Subtle Emphasis1,Footnote1,List Paragraph11,Parrafos,Cuadrícula clara - Énfasis 31,Lista clara - Énfasis 51,Párrafo de lista2"/>
    <w:basedOn w:val="Normal"/>
    <w:link w:val="ListParagraphChar"/>
    <w:uiPriority w:val="1"/>
    <w:qFormat/>
    <w:rsid w:val="008D3AA5"/>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Ca,FA Fu?notentext,C,ft"/>
    <w:basedOn w:val="Normal"/>
    <w:link w:val="FootnoteTextChar"/>
    <w:uiPriority w:val="99"/>
    <w:unhideWhenUsed/>
    <w:qFormat/>
    <w:rsid w:val="008D3AA5"/>
    <w:pPr>
      <w:spacing w:after="0" w:line="240" w:lineRule="auto"/>
    </w:pPr>
    <w:rPr>
      <w:rFonts w:asciiTheme="minorHAnsi" w:eastAsiaTheme="minorHAnsi" w:hAnsiTheme="minorHAnsi" w:cstheme="minorBidi"/>
      <w:kern w:val="2"/>
      <w:sz w:val="20"/>
      <w:szCs w:val="20"/>
      <w:lang w:val="es-CR"/>
      <w14:ligatures w14:val="standardContextual"/>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C Char"/>
    <w:basedOn w:val="DefaultParagraphFont"/>
    <w:link w:val="FootnoteText"/>
    <w:uiPriority w:val="99"/>
    <w:qFormat/>
    <w:rsid w:val="008D3AA5"/>
    <w:rPr>
      <w:kern w:val="2"/>
      <w:sz w:val="20"/>
      <w:szCs w:val="20"/>
      <w:lang w:val="es-CR"/>
      <w14:ligatures w14:val="standardContextual"/>
    </w:rPr>
  </w:style>
  <w:style w:type="character" w:styleId="FootnoteReference">
    <w:name w:val="footnote reference"/>
    <w:aliases w:val="Footnotes refss,Texto de nota al pie,Appel note de bas de page,Footnote number,referencia nota al pie,BVI fnr,f,Ref. de nota al pie.,4_G,16 Point,Superscript 6 Point,Footnote symbol,Footnote,Texto nota al pie,Footnote Reference Char3"/>
    <w:basedOn w:val="DefaultParagraphFont"/>
    <w:link w:val="4GChar"/>
    <w:uiPriority w:val="99"/>
    <w:unhideWhenUsed/>
    <w:qFormat/>
    <w:rsid w:val="008D3AA5"/>
    <w:rPr>
      <w:vertAlign w:val="superscript"/>
    </w:rPr>
  </w:style>
  <w:style w:type="character" w:styleId="CommentReference">
    <w:name w:val="annotation reference"/>
    <w:basedOn w:val="DefaultParagraphFont"/>
    <w:uiPriority w:val="99"/>
    <w:unhideWhenUsed/>
    <w:rsid w:val="008D3AA5"/>
    <w:rPr>
      <w:sz w:val="16"/>
      <w:szCs w:val="16"/>
    </w:rPr>
  </w:style>
  <w:style w:type="character" w:styleId="Hyperlink">
    <w:name w:val="Hyperlink"/>
    <w:basedOn w:val="DefaultParagraphFont"/>
    <w:uiPriority w:val="99"/>
    <w:unhideWhenUsed/>
    <w:rsid w:val="008D3AA5"/>
    <w:rPr>
      <w:color w:val="0563C1" w:themeColor="hyperlink"/>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8D3AA5"/>
    <w:pPr>
      <w:spacing w:after="0" w:line="240" w:lineRule="auto"/>
      <w:jc w:val="both"/>
    </w:pPr>
    <w:rPr>
      <w:rFonts w:asciiTheme="minorHAnsi" w:eastAsiaTheme="minorHAnsi" w:hAnsiTheme="minorHAnsi" w:cstheme="minorBidi"/>
      <w:sz w:val="24"/>
      <w:szCs w:val="24"/>
      <w:vertAlign w:val="superscript"/>
      <w:lang w:val="es-ES"/>
    </w:rPr>
  </w:style>
  <w:style w:type="character" w:customStyle="1" w:styleId="ListParagraphChar">
    <w:name w:val="List Paragraph Char"/>
    <w:aliases w:val="Párrafo de lista1 Char,List Paragraph1 Char,Colorful List - Accent 11 Char,List Paragraph2 Char,Lista vistosa - Énfasis 11 Char,Subtle Emphasis1 Char,Footnote1 Char,List Paragraph11 Char,Parrafos Char,Lista clara - Énfasis 51 Char"/>
    <w:link w:val="ListParagraph"/>
    <w:uiPriority w:val="99"/>
    <w:rsid w:val="008D3AA5"/>
    <w:rPr>
      <w:rFonts w:ascii="Calibri" w:eastAsia="Calibri" w:hAnsi="Calibri" w:cs="Times New Roman"/>
      <w:sz w:val="22"/>
      <w:szCs w:val="22"/>
      <w:lang w:val="es-MX"/>
    </w:rPr>
  </w:style>
  <w:style w:type="paragraph" w:styleId="NoSpacing">
    <w:name w:val="No Spacing"/>
    <w:link w:val="NoSpacingChar"/>
    <w:uiPriority w:val="1"/>
    <w:qFormat/>
    <w:rsid w:val="008D3AA5"/>
    <w:rPr>
      <w:rFonts w:eastAsia="MS Mincho"/>
      <w:sz w:val="22"/>
      <w:szCs w:val="22"/>
      <w:lang w:val="en-US"/>
    </w:rPr>
  </w:style>
  <w:style w:type="character" w:customStyle="1" w:styleId="NoSpacingChar">
    <w:name w:val="No Spacing Char"/>
    <w:basedOn w:val="DefaultParagraphFont"/>
    <w:link w:val="NoSpacing"/>
    <w:uiPriority w:val="1"/>
    <w:rsid w:val="008D3AA5"/>
    <w:rPr>
      <w:rFonts w:eastAsia="MS Mincho"/>
      <w:sz w:val="22"/>
      <w:szCs w:val="22"/>
      <w:lang w:val="en-US"/>
    </w:rPr>
  </w:style>
  <w:style w:type="character" w:customStyle="1" w:styleId="cf01">
    <w:name w:val="cf01"/>
    <w:basedOn w:val="DefaultParagraphFont"/>
    <w:rsid w:val="008D3AA5"/>
    <w:rPr>
      <w:rFonts w:ascii="Segoe UI" w:hAnsi="Segoe UI" w:cs="Segoe UI" w:hint="default"/>
      <w:sz w:val="18"/>
      <w:szCs w:val="18"/>
    </w:rPr>
  </w:style>
  <w:style w:type="character" w:customStyle="1" w:styleId="oypena">
    <w:name w:val="oypena"/>
    <w:basedOn w:val="DefaultParagraphFont"/>
    <w:rsid w:val="008D3AA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es-MX"/>
    </w:rPr>
  </w:style>
  <w:style w:type="character" w:customStyle="1" w:styleId="apple-converted-space">
    <w:name w:val="apple-converted-space"/>
    <w:basedOn w:val="DefaultParagraphFont"/>
    <w:rsid w:val="00913875"/>
  </w:style>
  <w:style w:type="paragraph" w:styleId="NormalWeb">
    <w:name w:val="Normal (Web)"/>
    <w:aliases w:val="Normal (Web) Char1,Normal (Web) Char Char,Normal (Web) Char1 Char,Normal (Web) Char Char Char"/>
    <w:basedOn w:val="Normal"/>
    <w:uiPriority w:val="99"/>
    <w:unhideWhenUsed/>
    <w:rsid w:val="00913875"/>
    <w:pPr>
      <w:spacing w:before="100" w:beforeAutospacing="1" w:after="100" w:afterAutospacing="1" w:line="240" w:lineRule="auto"/>
    </w:pPr>
    <w:rPr>
      <w:rFonts w:ascii="Times New Roman" w:eastAsia="Times New Roman" w:hAnsi="Times New Roman"/>
      <w:sz w:val="24"/>
      <w:szCs w:val="24"/>
      <w:lang w:eastAsia="es-MX"/>
    </w:rPr>
  </w:style>
  <w:style w:type="character" w:styleId="Strong">
    <w:name w:val="Strong"/>
    <w:basedOn w:val="DefaultParagraphFont"/>
    <w:uiPriority w:val="22"/>
    <w:qFormat/>
    <w:rsid w:val="00913875"/>
    <w:rPr>
      <w:b/>
      <w:bCs/>
    </w:rPr>
  </w:style>
  <w:style w:type="character" w:customStyle="1" w:styleId="normaltextrun">
    <w:name w:val="normaltextrun"/>
    <w:basedOn w:val="DefaultParagraphFont"/>
    <w:rsid w:val="00913875"/>
  </w:style>
  <w:style w:type="paragraph" w:styleId="Footer">
    <w:name w:val="footer"/>
    <w:basedOn w:val="Normal"/>
    <w:link w:val="FooterChar"/>
    <w:uiPriority w:val="99"/>
    <w:unhideWhenUsed/>
    <w:rsid w:val="000A32B9"/>
    <w:pPr>
      <w:tabs>
        <w:tab w:val="center" w:pos="4252"/>
        <w:tab w:val="right" w:pos="8504"/>
      </w:tabs>
      <w:spacing w:after="0" w:line="240" w:lineRule="auto"/>
    </w:pPr>
  </w:style>
  <w:style w:type="character" w:customStyle="1" w:styleId="FooterChar">
    <w:name w:val="Footer Char"/>
    <w:basedOn w:val="DefaultParagraphFont"/>
    <w:link w:val="Footer"/>
    <w:uiPriority w:val="99"/>
    <w:rsid w:val="000A32B9"/>
    <w:rPr>
      <w:rFonts w:ascii="Calibri" w:eastAsia="Calibri" w:hAnsi="Calibri" w:cs="Times New Roman"/>
      <w:sz w:val="22"/>
      <w:szCs w:val="22"/>
      <w:lang w:val="es-MX"/>
    </w:rPr>
  </w:style>
  <w:style w:type="character" w:styleId="PageNumber">
    <w:name w:val="page number"/>
    <w:basedOn w:val="DefaultParagraphFont"/>
    <w:uiPriority w:val="99"/>
    <w:semiHidden/>
    <w:unhideWhenUsed/>
    <w:rsid w:val="000A32B9"/>
  </w:style>
  <w:style w:type="paragraph" w:styleId="BodyText">
    <w:name w:val="Body Text"/>
    <w:basedOn w:val="Normal"/>
    <w:link w:val="BodyTextChar"/>
    <w:uiPriority w:val="1"/>
    <w:qFormat/>
    <w:rsid w:val="00C91211"/>
    <w:pPr>
      <w:widowControl w:val="0"/>
      <w:autoSpaceDE w:val="0"/>
      <w:autoSpaceDN w:val="0"/>
      <w:spacing w:after="0" w:line="240" w:lineRule="auto"/>
    </w:pPr>
    <w:rPr>
      <w:rFonts w:ascii="Verdana" w:eastAsia="Verdana" w:hAnsi="Verdana" w:cs="Verdana"/>
      <w:sz w:val="20"/>
      <w:szCs w:val="20"/>
      <w:lang w:val="en-US"/>
    </w:rPr>
  </w:style>
  <w:style w:type="character" w:customStyle="1" w:styleId="BodyTextChar">
    <w:name w:val="Body Text Char"/>
    <w:basedOn w:val="DefaultParagraphFont"/>
    <w:link w:val="BodyText"/>
    <w:uiPriority w:val="1"/>
    <w:rsid w:val="00C91211"/>
    <w:rPr>
      <w:rFonts w:ascii="Verdana" w:eastAsia="Verdana" w:hAnsi="Verdana" w:cs="Verdana"/>
      <w:sz w:val="20"/>
      <w:szCs w:val="20"/>
      <w:lang w:val="en-US"/>
    </w:rPr>
  </w:style>
  <w:style w:type="paragraph" w:styleId="CommentSubject">
    <w:name w:val="annotation subject"/>
    <w:basedOn w:val="CommentText"/>
    <w:next w:val="CommentText"/>
    <w:link w:val="CommentSubjectChar"/>
    <w:uiPriority w:val="99"/>
    <w:semiHidden/>
    <w:unhideWhenUsed/>
    <w:rsid w:val="00902A1F"/>
    <w:rPr>
      <w:b/>
      <w:bCs/>
    </w:rPr>
  </w:style>
  <w:style w:type="character" w:customStyle="1" w:styleId="CommentSubjectChar">
    <w:name w:val="Comment Subject Char"/>
    <w:basedOn w:val="CommentTextChar"/>
    <w:link w:val="CommentSubject"/>
    <w:uiPriority w:val="99"/>
    <w:semiHidden/>
    <w:rsid w:val="00902A1F"/>
    <w:rPr>
      <w:rFonts w:ascii="Calibri" w:eastAsia="Calibri" w:hAnsi="Calibri" w:cs="Times New Roman"/>
      <w:b/>
      <w:bCs/>
      <w:sz w:val="20"/>
      <w:szCs w:val="20"/>
      <w:lang w:val="es-MX"/>
    </w:rPr>
  </w:style>
  <w:style w:type="paragraph" w:styleId="BalloonText">
    <w:name w:val="Balloon Text"/>
    <w:basedOn w:val="Normal"/>
    <w:link w:val="BalloonTextChar"/>
    <w:uiPriority w:val="99"/>
    <w:semiHidden/>
    <w:unhideWhenUsed/>
    <w:rsid w:val="00DC2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DBE"/>
    <w:rPr>
      <w:rFonts w:ascii="Segoe UI" w:eastAsia="Calibri" w:hAnsi="Segoe UI" w:cs="Segoe UI"/>
      <w:sz w:val="18"/>
      <w:szCs w:val="18"/>
      <w:lang w:val="es-MX"/>
    </w:rPr>
  </w:style>
  <w:style w:type="paragraph" w:styleId="Revision">
    <w:name w:val="Revision"/>
    <w:hidden/>
    <w:uiPriority w:val="99"/>
    <w:semiHidden/>
    <w:rsid w:val="00CA172D"/>
    <w:rPr>
      <w:rFonts w:ascii="Calibri" w:eastAsia="Calibri" w:hAnsi="Calibri" w:cs="Times New Roman"/>
      <w:sz w:val="22"/>
      <w:szCs w:val="22"/>
      <w:lang w:val="es-MX"/>
    </w:rPr>
  </w:style>
  <w:style w:type="paragraph" w:styleId="Header">
    <w:name w:val="header"/>
    <w:basedOn w:val="Normal"/>
    <w:link w:val="HeaderChar"/>
    <w:uiPriority w:val="99"/>
    <w:unhideWhenUsed/>
    <w:rsid w:val="00D10BDA"/>
    <w:pPr>
      <w:tabs>
        <w:tab w:val="center" w:pos="4419"/>
        <w:tab w:val="right" w:pos="8838"/>
      </w:tabs>
      <w:spacing w:after="0" w:line="240" w:lineRule="auto"/>
    </w:pPr>
  </w:style>
  <w:style w:type="character" w:customStyle="1" w:styleId="HeaderChar">
    <w:name w:val="Header Char"/>
    <w:basedOn w:val="DefaultParagraphFont"/>
    <w:link w:val="Header"/>
    <w:uiPriority w:val="99"/>
    <w:rsid w:val="00D10BDA"/>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061388">
      <w:bodyDiv w:val="1"/>
      <w:marLeft w:val="0"/>
      <w:marRight w:val="0"/>
      <w:marTop w:val="0"/>
      <w:marBottom w:val="0"/>
      <w:divBdr>
        <w:top w:val="none" w:sz="0" w:space="0" w:color="auto"/>
        <w:left w:val="none" w:sz="0" w:space="0" w:color="auto"/>
        <w:bottom w:val="none" w:sz="0" w:space="0" w:color="auto"/>
        <w:right w:val="none" w:sz="0" w:space="0" w:color="auto"/>
      </w:divBdr>
      <w:divsChild>
        <w:div w:id="1822651996">
          <w:marLeft w:val="0"/>
          <w:marRight w:val="0"/>
          <w:marTop w:val="0"/>
          <w:marBottom w:val="0"/>
          <w:divBdr>
            <w:top w:val="none" w:sz="0" w:space="0" w:color="auto"/>
            <w:left w:val="none" w:sz="0" w:space="0" w:color="auto"/>
            <w:bottom w:val="none" w:sz="0" w:space="0" w:color="auto"/>
            <w:right w:val="none" w:sz="0" w:space="0" w:color="auto"/>
          </w:divBdr>
          <w:divsChild>
            <w:div w:id="702704520">
              <w:marLeft w:val="0"/>
              <w:marRight w:val="0"/>
              <w:marTop w:val="0"/>
              <w:marBottom w:val="0"/>
              <w:divBdr>
                <w:top w:val="none" w:sz="0" w:space="0" w:color="auto"/>
                <w:left w:val="none" w:sz="0" w:space="0" w:color="auto"/>
                <w:bottom w:val="none" w:sz="0" w:space="0" w:color="auto"/>
                <w:right w:val="none" w:sz="0" w:space="0" w:color="auto"/>
              </w:divBdr>
              <w:divsChild>
                <w:div w:id="156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404584">
      <w:bodyDiv w:val="1"/>
      <w:marLeft w:val="0"/>
      <w:marRight w:val="0"/>
      <w:marTop w:val="0"/>
      <w:marBottom w:val="0"/>
      <w:divBdr>
        <w:top w:val="none" w:sz="0" w:space="0" w:color="auto"/>
        <w:left w:val="none" w:sz="0" w:space="0" w:color="auto"/>
        <w:bottom w:val="none" w:sz="0" w:space="0" w:color="auto"/>
        <w:right w:val="none" w:sz="0" w:space="0" w:color="auto"/>
      </w:divBdr>
    </w:div>
    <w:div w:id="1910532556">
      <w:bodyDiv w:val="1"/>
      <w:marLeft w:val="0"/>
      <w:marRight w:val="0"/>
      <w:marTop w:val="0"/>
      <w:marBottom w:val="0"/>
      <w:divBdr>
        <w:top w:val="none" w:sz="0" w:space="0" w:color="auto"/>
        <w:left w:val="none" w:sz="0" w:space="0" w:color="auto"/>
        <w:bottom w:val="none" w:sz="0" w:space="0" w:color="auto"/>
        <w:right w:val="none" w:sz="0" w:space="0" w:color="auto"/>
      </w:divBdr>
    </w:div>
    <w:div w:id="2061662668">
      <w:bodyDiv w:val="1"/>
      <w:marLeft w:val="0"/>
      <w:marRight w:val="0"/>
      <w:marTop w:val="0"/>
      <w:marBottom w:val="0"/>
      <w:divBdr>
        <w:top w:val="none" w:sz="0" w:space="0" w:color="auto"/>
        <w:left w:val="none" w:sz="0" w:space="0" w:color="auto"/>
        <w:bottom w:val="none" w:sz="0" w:space="0" w:color="auto"/>
        <w:right w:val="none" w:sz="0" w:space="0" w:color="auto"/>
      </w:divBdr>
      <w:divsChild>
        <w:div w:id="789975368">
          <w:marLeft w:val="0"/>
          <w:marRight w:val="0"/>
          <w:marTop w:val="0"/>
          <w:marBottom w:val="0"/>
          <w:divBdr>
            <w:top w:val="none" w:sz="0" w:space="0" w:color="auto"/>
            <w:left w:val="none" w:sz="0" w:space="0" w:color="auto"/>
            <w:bottom w:val="none" w:sz="0" w:space="0" w:color="auto"/>
            <w:right w:val="none" w:sz="0" w:space="0" w:color="auto"/>
          </w:divBdr>
          <w:divsChild>
            <w:div w:id="1595893682">
              <w:marLeft w:val="0"/>
              <w:marRight w:val="0"/>
              <w:marTop w:val="0"/>
              <w:marBottom w:val="0"/>
              <w:divBdr>
                <w:top w:val="none" w:sz="0" w:space="0" w:color="auto"/>
                <w:left w:val="none" w:sz="0" w:space="0" w:color="auto"/>
                <w:bottom w:val="none" w:sz="0" w:space="0" w:color="auto"/>
                <w:right w:val="none" w:sz="0" w:space="0" w:color="auto"/>
              </w:divBdr>
              <w:divsChild>
                <w:div w:id="14226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cidh.org/countryrep/Argentina80sp/indice.htm" TargetMode="External"/><Relationship Id="rId1" Type="http://schemas.openxmlformats.org/officeDocument/2006/relationships/hyperlink" Target="https://www.icc-cpi.int/sites/default/files/NR/rdonlyres/A851490E-6514-4E91-BD45-AD9A216CF47E/283786/ElementsOfCrimesSPAWeb.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E58B3-5974-432A-BBED-72986C82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14997</Words>
  <Characters>79188</Characters>
  <Application>Microsoft Office Word</Application>
  <DocSecurity>0</DocSecurity>
  <Lines>1256</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 IDH</dc:creator>
  <cp:keywords/>
  <dc:description/>
  <cp:lastModifiedBy>L.F L.F</cp:lastModifiedBy>
  <cp:revision>2</cp:revision>
  <dcterms:created xsi:type="dcterms:W3CDTF">2026-01-12T23:45:00Z</dcterms:created>
  <dcterms:modified xsi:type="dcterms:W3CDTF">2026-01-12T23:45:00Z</dcterms:modified>
</cp:coreProperties>
</file>