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EA734" w14:textId="77777777" w:rsidR="00927CEE" w:rsidRDefault="00EE4216"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Pr>
          <w:rFonts w:ascii="Garamond" w:hAnsi="Garamond"/>
          <w:b/>
          <w:bCs/>
          <w:i/>
          <w:iCs/>
          <w:color w:val="000000" w:themeColor="text1"/>
          <w:sz w:val="22"/>
          <w:szCs w:val="22"/>
          <w:lang w:val="en-US"/>
        </w:rPr>
        <w:t xml:space="preserve">Case Title: </w:t>
      </w:r>
      <w:r w:rsidR="00E90C62" w:rsidRPr="00E90C62">
        <w:rPr>
          <w:rFonts w:ascii="Garamond" w:hAnsi="Garamond"/>
          <w:b/>
          <w:bCs/>
          <w:i/>
          <w:iCs/>
          <w:color w:val="000000" w:themeColor="text1"/>
          <w:sz w:val="22"/>
          <w:szCs w:val="22"/>
        </w:rPr>
        <w:t xml:space="preserve">Amazon EU </w:t>
      </w:r>
      <w:proofErr w:type="spellStart"/>
      <w:r w:rsidR="00E90C62" w:rsidRPr="00E90C62">
        <w:rPr>
          <w:rFonts w:ascii="Garamond" w:hAnsi="Garamond"/>
          <w:b/>
          <w:bCs/>
          <w:i/>
          <w:iCs/>
          <w:color w:val="000000" w:themeColor="text1"/>
          <w:sz w:val="22"/>
          <w:szCs w:val="22"/>
        </w:rPr>
        <w:t>Sàrl</w:t>
      </w:r>
      <w:proofErr w:type="spellEnd"/>
      <w:r w:rsidR="00E90C62">
        <w:rPr>
          <w:rFonts w:ascii="Garamond" w:hAnsi="Garamond"/>
          <w:b/>
          <w:bCs/>
          <w:i/>
          <w:iCs/>
          <w:color w:val="000000" w:themeColor="text1"/>
          <w:sz w:val="22"/>
          <w:szCs w:val="22"/>
        </w:rPr>
        <w:t xml:space="preserve"> v European Commission, </w:t>
      </w:r>
      <w:r w:rsidR="00927CEE" w:rsidRPr="00927CEE">
        <w:rPr>
          <w:rFonts w:ascii="Garamond" w:hAnsi="Garamond"/>
          <w:b/>
          <w:bCs/>
          <w:color w:val="000000" w:themeColor="text1"/>
          <w:sz w:val="22"/>
          <w:szCs w:val="22"/>
        </w:rPr>
        <w:t>Case T</w:t>
      </w:r>
      <w:r w:rsidR="00927CEE" w:rsidRPr="00927CEE">
        <w:rPr>
          <w:rFonts w:ascii="Garamond" w:hAnsi="Garamond"/>
          <w:b/>
          <w:bCs/>
          <w:color w:val="000000" w:themeColor="text1"/>
          <w:sz w:val="22"/>
          <w:szCs w:val="22"/>
        </w:rPr>
        <w:noBreakHyphen/>
        <w:t>367/23</w:t>
      </w:r>
      <w:r w:rsidR="00927CEE">
        <w:rPr>
          <w:rFonts w:ascii="Garamond" w:hAnsi="Garamond"/>
          <w:b/>
          <w:bCs/>
          <w:color w:val="000000" w:themeColor="text1"/>
          <w:sz w:val="22"/>
          <w:szCs w:val="22"/>
          <w:lang w:val="en-US"/>
        </w:rPr>
        <w:t xml:space="preserve"> before the General Court of the Court of Justice of the European Union</w:t>
      </w:r>
    </w:p>
    <w:p w14:paraId="44AD3616" w14:textId="1E3A67D9"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1A22FDFE"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r w:rsidR="002F3864" w:rsidRPr="002F3864">
        <w:rPr>
          <w:rFonts w:ascii="Garamond" w:hAnsi="Garamond"/>
          <w:sz w:val="22"/>
          <w:szCs w:val="22"/>
        </w:rPr>
        <w:t>T</w:t>
      </w:r>
      <w:r w:rsidR="002F3864" w:rsidRPr="002F3864">
        <w:rPr>
          <w:rFonts w:ascii="Garamond" w:hAnsi="Garamond"/>
          <w:sz w:val="22"/>
          <w:szCs w:val="22"/>
        </w:rPr>
        <w:noBreakHyphen/>
        <w:t>367/23</w:t>
      </w:r>
    </w:p>
    <w:p w14:paraId="66D44C8F" w14:textId="2C3D611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r w:rsidR="002F3864">
        <w:rPr>
          <w:rFonts w:ascii="Garamond" w:hAnsi="Garamond"/>
          <w:sz w:val="22"/>
          <w:szCs w:val="22"/>
          <w:lang w:val="en-US"/>
        </w:rPr>
        <w:t>1</w:t>
      </w:r>
      <w:r w:rsidR="007D548B">
        <w:rPr>
          <w:rFonts w:ascii="Garamond" w:hAnsi="Garamond"/>
          <w:sz w:val="22"/>
          <w:szCs w:val="22"/>
          <w:lang w:val="en-US"/>
        </w:rPr>
        <w:t>9</w:t>
      </w:r>
      <w:r w:rsidR="002F3864">
        <w:rPr>
          <w:rFonts w:ascii="Garamond" w:hAnsi="Garamond"/>
          <w:sz w:val="22"/>
          <w:szCs w:val="22"/>
          <w:lang w:val="en-US"/>
        </w:rPr>
        <w:t xml:space="preserve"> November 2025</w:t>
      </w:r>
    </w:p>
    <w:p w14:paraId="7989E895" w14:textId="7777777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085B461C"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r w:rsidR="002D17DD">
        <w:rPr>
          <w:rFonts w:ascii="Garamond" w:hAnsi="Garamond"/>
          <w:sz w:val="22"/>
          <w:szCs w:val="22"/>
          <w:lang w:val="en-US"/>
        </w:rPr>
        <w:t>Europe</w:t>
      </w:r>
    </w:p>
    <w:p w14:paraId="079501A2" w14:textId="57721D73"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p>
    <w:p w14:paraId="7A6C4B43" w14:textId="1EDB3643" w:rsidR="00BB2804" w:rsidRPr="006B6407" w:rsidRDefault="00BB2804" w:rsidP="00BB2804">
      <w:pPr>
        <w:pStyle w:val="ListParagraph"/>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r w:rsidR="002D17DD">
        <w:rPr>
          <w:rFonts w:ascii="Garamond" w:hAnsi="Garamond"/>
          <w:sz w:val="22"/>
          <w:szCs w:val="22"/>
          <w:lang w:val="en-US"/>
        </w:rPr>
        <w:t>O</w:t>
      </w:r>
      <w:r w:rsidR="005A606D">
        <w:rPr>
          <w:rFonts w:ascii="Garamond" w:hAnsi="Garamond"/>
          <w:sz w:val="22"/>
          <w:szCs w:val="22"/>
          <w:lang w:val="en-US"/>
        </w:rPr>
        <w:t>nline intermediary services, content on online platforms</w:t>
      </w:r>
    </w:p>
    <w:p w14:paraId="27903803" w14:textId="15E91763"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r w:rsidR="00E767DE" w:rsidRPr="00E767DE">
        <w:rPr>
          <w:rFonts w:ascii="Garamond" w:hAnsi="Garamond"/>
          <w:sz w:val="22"/>
          <w:szCs w:val="22"/>
        </w:rPr>
        <w:t>Court of Justice of the European Union (CJEU)</w:t>
      </w:r>
    </w:p>
    <w:p w14:paraId="62C18981" w14:textId="596DE22E" w:rsidR="00BB2804" w:rsidRPr="005A606D" w:rsidRDefault="00BB2804" w:rsidP="00A66518">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Type of law</w:t>
      </w:r>
      <w:r w:rsidRPr="00973001">
        <w:rPr>
          <w:rFonts w:ascii="Garamond" w:hAnsi="Garamond"/>
          <w:sz w:val="22"/>
          <w:szCs w:val="22"/>
          <w:lang w:val="en-US"/>
        </w:rPr>
        <w:t xml:space="preserve">: </w:t>
      </w:r>
      <w:r w:rsidR="005A606D">
        <w:rPr>
          <w:rFonts w:ascii="Garamond" w:hAnsi="Garamond"/>
          <w:sz w:val="22"/>
          <w:szCs w:val="22"/>
          <w:lang w:val="en-US"/>
        </w:rPr>
        <w:t xml:space="preserve">EU law, </w:t>
      </w:r>
      <w:r w:rsidR="00A66518" w:rsidRPr="005A606D">
        <w:rPr>
          <w:rFonts w:ascii="Garamond" w:hAnsi="Garamond"/>
          <w:sz w:val="22"/>
          <w:szCs w:val="22"/>
          <w:lang w:val="en-US"/>
        </w:rPr>
        <w:t>Administrative La</w:t>
      </w:r>
      <w:r w:rsidR="00A66518" w:rsidRPr="005A606D">
        <w:rPr>
          <w:rFonts w:ascii="Garamond" w:hAnsi="Garamond"/>
          <w:sz w:val="22"/>
          <w:szCs w:val="22"/>
          <w:lang w:val="en-US"/>
        </w:rPr>
        <w:t>w</w:t>
      </w:r>
    </w:p>
    <w:p w14:paraId="35C4FF78" w14:textId="700DDE6D" w:rsidR="00BB2804" w:rsidRPr="00FA42AF" w:rsidRDefault="00BB2804" w:rsidP="00BB2804">
      <w:pPr>
        <w:pStyle w:val="ListParagraph"/>
        <w:numPr>
          <w:ilvl w:val="0"/>
          <w:numId w:val="1"/>
        </w:numPr>
        <w:spacing w:line="276" w:lineRule="auto"/>
        <w:jc w:val="both"/>
        <w:rPr>
          <w:rFonts w:ascii="Garamond" w:hAnsi="Garamond"/>
          <w:sz w:val="22"/>
          <w:szCs w:val="22"/>
          <w:lang w:val="en-US"/>
        </w:rPr>
      </w:pPr>
      <w:r w:rsidRPr="00FA42AF">
        <w:rPr>
          <w:rFonts w:ascii="Garamond" w:hAnsi="Garamond"/>
          <w:b/>
          <w:bCs/>
          <w:sz w:val="22"/>
          <w:szCs w:val="22"/>
          <w:lang w:val="en-US"/>
        </w:rPr>
        <w:t>Main Themes</w:t>
      </w:r>
      <w:r w:rsidRPr="00FA42AF">
        <w:rPr>
          <w:rFonts w:ascii="Garamond" w:hAnsi="Garamond"/>
          <w:sz w:val="22"/>
          <w:szCs w:val="22"/>
          <w:lang w:val="en-US"/>
        </w:rPr>
        <w:t>:</w:t>
      </w:r>
      <w:r w:rsidR="00FA42AF" w:rsidRPr="00FA42AF">
        <w:rPr>
          <w:rFonts w:ascii="Garamond" w:hAnsi="Garamond"/>
          <w:sz w:val="22"/>
          <w:szCs w:val="22"/>
          <w:lang w:val="en-US"/>
        </w:rPr>
        <w:t xml:space="preserve"> </w:t>
      </w:r>
      <w:r w:rsidR="00AE3D67">
        <w:rPr>
          <w:rFonts w:ascii="Garamond" w:hAnsi="Garamond"/>
          <w:sz w:val="22"/>
          <w:szCs w:val="22"/>
          <w:lang w:val="en-US"/>
        </w:rPr>
        <w:t>Obligations on online platforms under EU law</w:t>
      </w:r>
    </w:p>
    <w:p w14:paraId="61895DC2" w14:textId="31AE221A" w:rsidR="00BB2804" w:rsidRPr="00272504" w:rsidRDefault="00BB2804" w:rsidP="00BB2804">
      <w:pPr>
        <w:pStyle w:val="ListParagraph"/>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r w:rsidR="002D17DD">
        <w:rPr>
          <w:rFonts w:ascii="Garamond" w:hAnsi="Garamond"/>
          <w:sz w:val="22"/>
          <w:szCs w:val="22"/>
          <w:lang w:val="en-US"/>
        </w:rPr>
        <w:t>D</w:t>
      </w:r>
      <w:r w:rsidR="00C6040D">
        <w:rPr>
          <w:rFonts w:ascii="Garamond" w:hAnsi="Garamond"/>
          <w:sz w:val="22"/>
          <w:szCs w:val="22"/>
          <w:lang w:val="en-US"/>
        </w:rPr>
        <w:t>ismissal of action for annulment of a decision of the European Commission</w:t>
      </w:r>
    </w:p>
    <w:p w14:paraId="6DDEBA09" w14:textId="58B3CB3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 xml:space="preserve">:  </w:t>
      </w:r>
    </w:p>
    <w:p w14:paraId="1493CDF4" w14:textId="3B1889D3" w:rsidR="00BB2804" w:rsidRPr="00456B21" w:rsidRDefault="00BB2804" w:rsidP="00BB2804">
      <w:pPr>
        <w:pStyle w:val="ListParagraph"/>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r w:rsidR="002D17DD">
        <w:rPr>
          <w:rFonts w:ascii="Garamond" w:hAnsi="Garamond"/>
          <w:sz w:val="22"/>
          <w:szCs w:val="22"/>
          <w:lang w:val="en-US"/>
        </w:rPr>
        <w:t xml:space="preserve">Digital Services Act, </w:t>
      </w:r>
      <w:r w:rsidR="00EB25EC">
        <w:rPr>
          <w:rFonts w:ascii="Garamond" w:hAnsi="Garamond"/>
          <w:sz w:val="22"/>
          <w:szCs w:val="22"/>
          <w:lang w:val="en-US"/>
        </w:rPr>
        <w:t>Systemic Risks, Designation of Very Large Online Platforms</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Pr="00A95811"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689556F6" w14:textId="77777777" w:rsidR="00BB2804" w:rsidRDefault="00BB2804" w:rsidP="00BB2804">
      <w:pPr>
        <w:pStyle w:val="ListParagraph"/>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697C1F76" w14:textId="66DB58B0" w:rsidR="00000FA8" w:rsidRDefault="00000FA8" w:rsidP="00000FA8">
      <w:pPr>
        <w:spacing w:line="276" w:lineRule="auto"/>
        <w:jc w:val="both"/>
        <w:rPr>
          <w:rFonts w:ascii="Garamond" w:hAnsi="Garamond"/>
          <w:sz w:val="22"/>
          <w:szCs w:val="22"/>
        </w:rPr>
      </w:pPr>
      <w:r>
        <w:rPr>
          <w:rFonts w:ascii="Garamond" w:hAnsi="Garamond"/>
          <w:sz w:val="22"/>
          <w:szCs w:val="22"/>
          <w:lang w:val="en-US"/>
        </w:rPr>
        <w:t xml:space="preserve">The Court of Justice of the European Union (CJEU) </w:t>
      </w:r>
      <w:r w:rsidR="00B131C1">
        <w:rPr>
          <w:rFonts w:ascii="Garamond" w:hAnsi="Garamond"/>
          <w:sz w:val="22"/>
          <w:szCs w:val="22"/>
          <w:lang w:val="en-US"/>
        </w:rPr>
        <w:t xml:space="preserve">dismissed Amazon’s action </w:t>
      </w:r>
      <w:r w:rsidR="00304375">
        <w:rPr>
          <w:rFonts w:ascii="Garamond" w:hAnsi="Garamond"/>
          <w:sz w:val="22"/>
          <w:szCs w:val="22"/>
          <w:lang w:val="en-US"/>
        </w:rPr>
        <w:t xml:space="preserve">contesting the provision of the Digital Services Act (DSA) </w:t>
      </w:r>
      <w:r w:rsidR="00345E8A">
        <w:rPr>
          <w:rFonts w:ascii="Garamond" w:hAnsi="Garamond"/>
          <w:sz w:val="22"/>
          <w:szCs w:val="22"/>
          <w:lang w:val="en-US"/>
        </w:rPr>
        <w:t xml:space="preserve">that the European Commission relied on to designate </w:t>
      </w:r>
      <w:r w:rsidR="00B01B67">
        <w:rPr>
          <w:rFonts w:ascii="Garamond" w:hAnsi="Garamond"/>
          <w:sz w:val="22"/>
          <w:szCs w:val="22"/>
          <w:lang w:val="en-US"/>
        </w:rPr>
        <w:t xml:space="preserve">the platform Amazon Store as a ‘very large online platform’. </w:t>
      </w:r>
      <w:r w:rsidR="00BE2682" w:rsidRPr="00BE2682">
        <w:rPr>
          <w:rFonts w:ascii="Garamond" w:hAnsi="Garamond"/>
          <w:sz w:val="22"/>
          <w:szCs w:val="22"/>
        </w:rPr>
        <w:t>The DSA imposes specific obligations on providers of certain services designated by the European Commission as 'very large online platforms' or 'very large online search engines' once they exceed the threshold of 45 million users in the European Union (</w:t>
      </w:r>
      <w:r w:rsidR="00905572">
        <w:rPr>
          <w:rFonts w:ascii="Garamond" w:hAnsi="Garamond"/>
          <w:sz w:val="22"/>
          <w:szCs w:val="22"/>
        </w:rPr>
        <w:t>corresponding to</w:t>
      </w:r>
      <w:r w:rsidR="00BE2682" w:rsidRPr="00BE2682">
        <w:rPr>
          <w:rFonts w:ascii="Garamond" w:hAnsi="Garamond"/>
          <w:sz w:val="22"/>
          <w:szCs w:val="22"/>
        </w:rPr>
        <w:t xml:space="preserve"> 10% of the Union population).</w:t>
      </w:r>
      <w:r w:rsidR="00D15179">
        <w:rPr>
          <w:rFonts w:ascii="Garamond" w:hAnsi="Garamond"/>
          <w:sz w:val="22"/>
          <w:szCs w:val="22"/>
        </w:rPr>
        <w:t xml:space="preserve"> When this threshold is met, </w:t>
      </w:r>
      <w:r w:rsidR="009B5673">
        <w:rPr>
          <w:rFonts w:ascii="Garamond" w:hAnsi="Garamond"/>
          <w:sz w:val="22"/>
          <w:szCs w:val="22"/>
        </w:rPr>
        <w:t xml:space="preserve">the relevant services are considered to pose ‘systemic risks’ and their providers are subject to risk management obligations. </w:t>
      </w:r>
    </w:p>
    <w:p w14:paraId="699F4260" w14:textId="28E1C199" w:rsidR="00510144" w:rsidRDefault="005578C0" w:rsidP="00000FA8">
      <w:pPr>
        <w:spacing w:line="276" w:lineRule="auto"/>
        <w:jc w:val="both"/>
        <w:rPr>
          <w:rFonts w:ascii="Garamond" w:hAnsi="Garamond"/>
          <w:sz w:val="22"/>
          <w:szCs w:val="22"/>
        </w:rPr>
      </w:pPr>
      <w:r w:rsidRPr="005578C0">
        <w:rPr>
          <w:rFonts w:ascii="Garamond" w:hAnsi="Garamond"/>
          <w:sz w:val="22"/>
          <w:szCs w:val="22"/>
        </w:rPr>
        <w:t xml:space="preserve">According to Amazon, </w:t>
      </w:r>
      <w:r w:rsidR="00F77957">
        <w:rPr>
          <w:rFonts w:ascii="Garamond" w:hAnsi="Garamond"/>
          <w:sz w:val="22"/>
          <w:szCs w:val="22"/>
        </w:rPr>
        <w:t>the contested</w:t>
      </w:r>
      <w:r w:rsidRPr="005578C0">
        <w:rPr>
          <w:rFonts w:ascii="Garamond" w:hAnsi="Garamond"/>
          <w:sz w:val="22"/>
          <w:szCs w:val="22"/>
        </w:rPr>
        <w:t xml:space="preserve"> provision infringe</w:t>
      </w:r>
      <w:r w:rsidR="00F77957">
        <w:rPr>
          <w:rFonts w:ascii="Garamond" w:hAnsi="Garamond"/>
          <w:sz w:val="22"/>
          <w:szCs w:val="22"/>
        </w:rPr>
        <w:t>d</w:t>
      </w:r>
      <w:r w:rsidRPr="005578C0">
        <w:rPr>
          <w:rFonts w:ascii="Garamond" w:hAnsi="Garamond"/>
          <w:sz w:val="22"/>
          <w:szCs w:val="22"/>
        </w:rPr>
        <w:t xml:space="preserve"> several fundamental rights guaranteed by the Charter of Fundamental Rights of the European Union, including the freedom to conduct a business, the right to property, the principle of equality before the law, freedom of expression and information, and the right to private life and the protection of confidential information. </w:t>
      </w:r>
    </w:p>
    <w:p w14:paraId="405EE6D0" w14:textId="64361C42" w:rsidR="00B22BAC" w:rsidRDefault="00F77957" w:rsidP="00F77957">
      <w:pPr>
        <w:spacing w:line="276" w:lineRule="auto"/>
        <w:jc w:val="both"/>
        <w:rPr>
          <w:rFonts w:ascii="Garamond" w:hAnsi="Garamond"/>
          <w:sz w:val="22"/>
          <w:szCs w:val="22"/>
          <w:lang w:val="en-US"/>
        </w:rPr>
      </w:pPr>
      <w:r w:rsidRPr="00F77957">
        <w:rPr>
          <w:rFonts w:ascii="Garamond" w:hAnsi="Garamond"/>
          <w:sz w:val="22"/>
          <w:szCs w:val="22"/>
          <w:lang w:val="en-US"/>
        </w:rPr>
        <w:t xml:space="preserve">The General Court of the European Union dismissed Amazon’s action in its entirety. </w:t>
      </w:r>
      <w:r w:rsidR="00B22BAC">
        <w:rPr>
          <w:rFonts w:ascii="Garamond" w:hAnsi="Garamond"/>
          <w:sz w:val="22"/>
          <w:szCs w:val="22"/>
          <w:lang w:val="en-US"/>
        </w:rPr>
        <w:t>It rule</w:t>
      </w:r>
      <w:r w:rsidR="00D947F9">
        <w:rPr>
          <w:rFonts w:ascii="Garamond" w:hAnsi="Garamond"/>
          <w:sz w:val="22"/>
          <w:szCs w:val="22"/>
          <w:lang w:val="en-US"/>
        </w:rPr>
        <w:t>d</w:t>
      </w:r>
      <w:r w:rsidR="00B22BAC">
        <w:rPr>
          <w:rFonts w:ascii="Garamond" w:hAnsi="Garamond"/>
          <w:sz w:val="22"/>
          <w:szCs w:val="22"/>
          <w:lang w:val="en-US"/>
        </w:rPr>
        <w:t xml:space="preserve"> that</w:t>
      </w:r>
      <w:r w:rsidR="005F728D">
        <w:rPr>
          <w:rFonts w:ascii="Garamond" w:hAnsi="Garamond"/>
          <w:sz w:val="22"/>
          <w:szCs w:val="22"/>
          <w:lang w:val="en-US"/>
        </w:rPr>
        <w:t xml:space="preserve">, while the DSA interferes with the freedom to conduct a business of the applicant, </w:t>
      </w:r>
      <w:r w:rsidR="00B86105">
        <w:rPr>
          <w:rFonts w:ascii="Garamond" w:hAnsi="Garamond"/>
          <w:sz w:val="22"/>
          <w:szCs w:val="22"/>
          <w:lang w:val="en-US"/>
        </w:rPr>
        <w:t xml:space="preserve">the interference is legitimate under EU law. In this regard, it held that </w:t>
      </w:r>
      <w:r w:rsidR="001E7ED2">
        <w:rPr>
          <w:rFonts w:ascii="Garamond" w:hAnsi="Garamond"/>
          <w:sz w:val="22"/>
          <w:szCs w:val="22"/>
          <w:lang w:val="en-US"/>
        </w:rPr>
        <w:t xml:space="preserve">the platform Amazon Store can be considered as posing systemic risks to society, and that the EU legislature did not commit a manifest error in laying down criteria </w:t>
      </w:r>
      <w:r w:rsidR="00D15179">
        <w:rPr>
          <w:rFonts w:ascii="Garamond" w:hAnsi="Garamond"/>
          <w:sz w:val="22"/>
          <w:szCs w:val="22"/>
          <w:lang w:val="en-US"/>
        </w:rPr>
        <w:t xml:space="preserve">that designate it as a very large online platform. </w:t>
      </w:r>
      <w:r w:rsidR="001A2836">
        <w:rPr>
          <w:rFonts w:ascii="Garamond" w:hAnsi="Garamond"/>
          <w:sz w:val="22"/>
          <w:szCs w:val="22"/>
          <w:lang w:val="en-US"/>
        </w:rPr>
        <w:t xml:space="preserve">It also ruled that the contested provision does not violate the right to property of the applicant, the principle of equality, </w:t>
      </w:r>
      <w:r w:rsidR="00AC3463">
        <w:rPr>
          <w:rFonts w:ascii="Garamond" w:hAnsi="Garamond"/>
          <w:sz w:val="22"/>
          <w:szCs w:val="22"/>
          <w:lang w:val="en-US"/>
        </w:rPr>
        <w:t xml:space="preserve">the right to freedom of expression and information, </w:t>
      </w:r>
      <w:r w:rsidR="004507C4">
        <w:rPr>
          <w:rFonts w:ascii="Garamond" w:hAnsi="Garamond"/>
          <w:sz w:val="22"/>
          <w:szCs w:val="22"/>
          <w:lang w:val="en-US"/>
        </w:rPr>
        <w:t xml:space="preserve">and the right to private life and the protection of confidential information. </w:t>
      </w:r>
    </w:p>
    <w:p w14:paraId="74BC2B75" w14:textId="77777777" w:rsidR="00F77957" w:rsidRPr="00F77957" w:rsidRDefault="00F77957" w:rsidP="00F77957">
      <w:pPr>
        <w:spacing w:line="276" w:lineRule="auto"/>
        <w:jc w:val="both"/>
        <w:rPr>
          <w:rFonts w:ascii="Garamond" w:hAnsi="Garamond"/>
          <w:vanish/>
          <w:sz w:val="22"/>
          <w:szCs w:val="22"/>
          <w:lang w:val="en-US"/>
        </w:rPr>
      </w:pPr>
      <w:r w:rsidRPr="00F77957">
        <w:rPr>
          <w:rFonts w:ascii="Garamond" w:hAnsi="Garamond"/>
          <w:vanish/>
          <w:sz w:val="22"/>
          <w:szCs w:val="22"/>
          <w:lang w:val="en-US"/>
        </w:rPr>
        <w:t>Top of Form</w:t>
      </w:r>
    </w:p>
    <w:p w14:paraId="71DC1C77" w14:textId="77777777" w:rsidR="00F77957" w:rsidRPr="00F77957" w:rsidRDefault="00F77957" w:rsidP="00F77957">
      <w:pPr>
        <w:spacing w:line="276" w:lineRule="auto"/>
        <w:jc w:val="both"/>
        <w:rPr>
          <w:rFonts w:ascii="Garamond" w:hAnsi="Garamond"/>
          <w:vanish/>
          <w:sz w:val="22"/>
          <w:szCs w:val="22"/>
          <w:lang w:val="en-US"/>
        </w:rPr>
      </w:pPr>
      <w:r w:rsidRPr="00F77957">
        <w:rPr>
          <w:rFonts w:ascii="Garamond" w:hAnsi="Garamond"/>
          <w:vanish/>
          <w:sz w:val="22"/>
          <w:szCs w:val="22"/>
          <w:lang w:val="en-US"/>
        </w:rPr>
        <w:t>Bottom of Form</w:t>
      </w:r>
    </w:p>
    <w:p w14:paraId="079861E2" w14:textId="641ACFD4" w:rsidR="00C93369" w:rsidRPr="0029093B" w:rsidRDefault="00F77957" w:rsidP="0029093B">
      <w:pPr>
        <w:spacing w:line="276" w:lineRule="auto"/>
        <w:jc w:val="both"/>
        <w:rPr>
          <w:rFonts w:ascii="Garamond" w:hAnsi="Garamond"/>
          <w:sz w:val="22"/>
          <w:szCs w:val="22"/>
          <w:lang w:val="en-US"/>
        </w:rPr>
      </w:pPr>
      <w:r>
        <w:rPr>
          <w:rFonts w:ascii="Garamond" w:hAnsi="Garamond"/>
          <w:sz w:val="22"/>
          <w:szCs w:val="22"/>
          <w:lang w:val="en-US"/>
        </w:rPr>
        <w:t xml:space="preserve"> </w:t>
      </w:r>
    </w:p>
    <w:p w14:paraId="4CFEB09E" w14:textId="69EC1B48" w:rsidR="00527B86" w:rsidRPr="002B658F" w:rsidRDefault="00BB2804" w:rsidP="002B658F">
      <w:pPr>
        <w:pStyle w:val="ListParagraph"/>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4AA8F32D" w14:textId="63002DA1" w:rsidR="00F257CA" w:rsidRPr="00F405D1" w:rsidRDefault="00F405D1" w:rsidP="00F405D1">
      <w:pPr>
        <w:spacing w:line="276" w:lineRule="auto"/>
        <w:jc w:val="both"/>
        <w:rPr>
          <w:rFonts w:ascii="Garamond" w:hAnsi="Garamond"/>
          <w:sz w:val="22"/>
          <w:szCs w:val="22"/>
          <w:lang w:val="en-US"/>
        </w:rPr>
      </w:pPr>
      <w:r w:rsidRPr="00F405D1">
        <w:rPr>
          <w:rFonts w:ascii="Garamond" w:hAnsi="Garamond"/>
          <w:sz w:val="22"/>
          <w:szCs w:val="22"/>
        </w:rPr>
        <w:t xml:space="preserve">The case concerns Amazon EU </w:t>
      </w:r>
      <w:proofErr w:type="spellStart"/>
      <w:r w:rsidRPr="00F405D1">
        <w:rPr>
          <w:rFonts w:ascii="Garamond" w:hAnsi="Garamond"/>
          <w:sz w:val="22"/>
          <w:szCs w:val="22"/>
        </w:rPr>
        <w:t>Sàrl</w:t>
      </w:r>
      <w:proofErr w:type="spellEnd"/>
      <w:r w:rsidRPr="00F405D1">
        <w:rPr>
          <w:rFonts w:ascii="Garamond" w:hAnsi="Garamond"/>
          <w:sz w:val="22"/>
          <w:szCs w:val="22"/>
        </w:rPr>
        <w:t xml:space="preserve">, a company established in Luxembourg that operates the </w:t>
      </w:r>
      <w:r w:rsidRPr="00F405D1">
        <w:rPr>
          <w:rFonts w:ascii="Garamond" w:hAnsi="Garamond"/>
          <w:i/>
          <w:iCs/>
          <w:sz w:val="22"/>
          <w:szCs w:val="22"/>
        </w:rPr>
        <w:t>Amazon Store</w:t>
      </w:r>
      <w:r w:rsidRPr="00F405D1">
        <w:rPr>
          <w:rFonts w:ascii="Garamond" w:hAnsi="Garamond"/>
          <w:sz w:val="22"/>
          <w:szCs w:val="22"/>
        </w:rPr>
        <w:t xml:space="preserve"> online marketplace across several EU country websites. In April 2023 the European Commission issued a decision under the Digital Services Act (DSA) designating the Amazon Store as a very large online platform (VLOP) because it had more than 45 million average monthly active recipients in the EU, exceeding the threshold set by the regulation. Prior to that designation, Amazon itself had published data showing that its platform’s monthly active users in the EU exceeded the threshold. After the Commission communicated its preliminary findings and informed Luxembourg of its intention to designate the platform as a VLOP, Luxembourg raised no objections. Amazon did submit observations but did not dispute that it met the numerical threshold for designation. Nevertheless, Amazon brought an action before the General Court of the European Union seeking annulment of the Commission’s decision, arguing that the provision of the DSA under which it was designated and the related obligations imposed on platforms like Amazon were unlawful. The company also sought, alternatively, annulment of specific obligations imposed on it, such as the requirement to provide a non-profiling recommender option and to compile and publish an advertising repository. The applicant was supported in its case by the German e-commerce association </w:t>
      </w:r>
      <w:r>
        <w:rPr>
          <w:rFonts w:ascii="Garamond" w:hAnsi="Garamond"/>
          <w:sz w:val="22"/>
          <w:szCs w:val="22"/>
        </w:rPr>
        <w:t>BEVH</w:t>
      </w:r>
      <w:r w:rsidRPr="00F405D1">
        <w:rPr>
          <w:rFonts w:ascii="Garamond" w:hAnsi="Garamond"/>
          <w:sz w:val="22"/>
          <w:szCs w:val="22"/>
        </w:rPr>
        <w:t xml:space="preserve">, while the European Commission, the European Parliament and the Council of the European Union defended the </w:t>
      </w:r>
      <w:r w:rsidRPr="00F405D1">
        <w:rPr>
          <w:rFonts w:ascii="Garamond" w:hAnsi="Garamond"/>
          <w:sz w:val="22"/>
          <w:szCs w:val="22"/>
        </w:rPr>
        <w:lastRenderedPageBreak/>
        <w:t xml:space="preserve">contested decision. The </w:t>
      </w:r>
      <w:r w:rsidRPr="00F405D1">
        <w:rPr>
          <w:rFonts w:ascii="Garamond" w:hAnsi="Garamond"/>
          <w:i/>
          <w:iCs/>
          <w:sz w:val="22"/>
          <w:szCs w:val="22"/>
        </w:rPr>
        <w:t xml:space="preserve">Bureau </w:t>
      </w:r>
      <w:proofErr w:type="spellStart"/>
      <w:r w:rsidRPr="00F405D1">
        <w:rPr>
          <w:rFonts w:ascii="Garamond" w:hAnsi="Garamond"/>
          <w:i/>
          <w:iCs/>
          <w:sz w:val="22"/>
          <w:szCs w:val="22"/>
        </w:rPr>
        <w:t>européen</w:t>
      </w:r>
      <w:proofErr w:type="spellEnd"/>
      <w:r w:rsidRPr="00F405D1">
        <w:rPr>
          <w:rFonts w:ascii="Garamond" w:hAnsi="Garamond"/>
          <w:i/>
          <w:iCs/>
          <w:sz w:val="22"/>
          <w:szCs w:val="22"/>
        </w:rPr>
        <w:t xml:space="preserve"> des unions de </w:t>
      </w:r>
      <w:proofErr w:type="spellStart"/>
      <w:r w:rsidRPr="00F405D1">
        <w:rPr>
          <w:rFonts w:ascii="Garamond" w:hAnsi="Garamond"/>
          <w:i/>
          <w:iCs/>
          <w:sz w:val="22"/>
          <w:szCs w:val="22"/>
        </w:rPr>
        <w:t>consommateurs</w:t>
      </w:r>
      <w:proofErr w:type="spellEnd"/>
      <w:r w:rsidRPr="00F405D1">
        <w:rPr>
          <w:rFonts w:ascii="Garamond" w:hAnsi="Garamond"/>
          <w:sz w:val="22"/>
          <w:szCs w:val="22"/>
        </w:rPr>
        <w:t xml:space="preserve"> (BEUC) also intervened in support of the Commission’s position. The General Court delivered its judgment on 19 November 2025 in Case T-367/23, dismissing Amazon’s action.</w:t>
      </w:r>
      <w:r>
        <w:rPr>
          <w:rFonts w:ascii="Garamond" w:hAnsi="Garamond"/>
          <w:sz w:val="22"/>
          <w:szCs w:val="22"/>
        </w:rPr>
        <w:t xml:space="preserve"> </w:t>
      </w:r>
    </w:p>
    <w:p w14:paraId="3373C374" w14:textId="77777777" w:rsidR="00D46357" w:rsidRPr="00D46357" w:rsidRDefault="00D46357" w:rsidP="00D46357">
      <w:pPr>
        <w:pStyle w:val="ListParagraph"/>
        <w:spacing w:line="276" w:lineRule="auto"/>
        <w:ind w:left="360"/>
        <w:jc w:val="both"/>
        <w:rPr>
          <w:rFonts w:ascii="Garamond" w:hAnsi="Garamond"/>
          <w:sz w:val="22"/>
          <w:szCs w:val="22"/>
          <w:lang w:val="en-US"/>
        </w:rPr>
      </w:pPr>
    </w:p>
    <w:p w14:paraId="010BA86B" w14:textId="77777777" w:rsidR="00BB2804" w:rsidRPr="00936DC8" w:rsidRDefault="00BB2804" w:rsidP="00BB2804">
      <w:pPr>
        <w:pStyle w:val="ListParagraph"/>
        <w:numPr>
          <w:ilvl w:val="0"/>
          <w:numId w:val="4"/>
        </w:numPr>
        <w:spacing w:line="276" w:lineRule="auto"/>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6ED3A8DD" w14:textId="463A95DD" w:rsidR="004E7842" w:rsidRDefault="004E7842" w:rsidP="00355691">
      <w:pPr>
        <w:spacing w:line="276" w:lineRule="auto"/>
        <w:jc w:val="both"/>
        <w:rPr>
          <w:rFonts w:ascii="Garamond" w:hAnsi="Garamond"/>
          <w:sz w:val="22"/>
          <w:szCs w:val="22"/>
          <w:lang w:val="en-US"/>
        </w:rPr>
      </w:pPr>
      <w:r>
        <w:rPr>
          <w:rFonts w:ascii="Garamond" w:hAnsi="Garamond"/>
          <w:sz w:val="22"/>
          <w:szCs w:val="22"/>
          <w:lang w:val="en-US"/>
        </w:rPr>
        <w:t xml:space="preserve">After </w:t>
      </w:r>
      <w:r w:rsidR="004B6CCF">
        <w:rPr>
          <w:rFonts w:ascii="Garamond" w:hAnsi="Garamond"/>
          <w:sz w:val="22"/>
          <w:szCs w:val="22"/>
          <w:lang w:val="en-US"/>
        </w:rPr>
        <w:t>rejecting</w:t>
      </w:r>
      <w:r>
        <w:rPr>
          <w:rFonts w:ascii="Garamond" w:hAnsi="Garamond"/>
          <w:sz w:val="22"/>
          <w:szCs w:val="22"/>
          <w:lang w:val="en-US"/>
        </w:rPr>
        <w:t xml:space="preserve"> two </w:t>
      </w:r>
      <w:r w:rsidR="004B6CCF">
        <w:rPr>
          <w:rFonts w:ascii="Garamond" w:hAnsi="Garamond"/>
          <w:sz w:val="22"/>
          <w:szCs w:val="22"/>
          <w:lang w:val="en-US"/>
        </w:rPr>
        <w:t>pleas of inadmissibility of the action of annulment submitted</w:t>
      </w:r>
      <w:r w:rsidR="00931B75">
        <w:rPr>
          <w:rFonts w:ascii="Garamond" w:hAnsi="Garamond"/>
          <w:sz w:val="22"/>
          <w:szCs w:val="22"/>
          <w:lang w:val="en-US"/>
        </w:rPr>
        <w:t xml:space="preserve"> by the Council, the European Commission and BEUC, the CJEU examined the different pleas submitted by the applicant </w:t>
      </w:r>
      <w:r w:rsidR="00F107A5">
        <w:rPr>
          <w:rFonts w:ascii="Garamond" w:hAnsi="Garamond"/>
          <w:sz w:val="22"/>
          <w:szCs w:val="22"/>
          <w:lang w:val="en-US"/>
        </w:rPr>
        <w:t xml:space="preserve">in relation to the alleged </w:t>
      </w:r>
      <w:r w:rsidR="002C10B9">
        <w:rPr>
          <w:rFonts w:ascii="Garamond" w:hAnsi="Garamond"/>
          <w:sz w:val="22"/>
          <w:szCs w:val="22"/>
          <w:lang w:val="en-US"/>
        </w:rPr>
        <w:t xml:space="preserve">illegality of Article 33(1) of the DSA. The applicant argued that this provision, laying down the criteria for the designation of Amazon Store as a very large online platform, </w:t>
      </w:r>
      <w:r w:rsidR="00DB52C2">
        <w:rPr>
          <w:rFonts w:ascii="Garamond" w:hAnsi="Garamond"/>
          <w:sz w:val="22"/>
          <w:szCs w:val="22"/>
          <w:lang w:val="en-US"/>
        </w:rPr>
        <w:t xml:space="preserve">is illegal as it infringes multiple fundamental rights </w:t>
      </w:r>
      <w:r w:rsidR="00530458">
        <w:rPr>
          <w:rFonts w:ascii="Garamond" w:hAnsi="Garamond"/>
          <w:sz w:val="22"/>
          <w:szCs w:val="22"/>
          <w:lang w:val="en-US"/>
        </w:rPr>
        <w:t xml:space="preserve">protected under the Charter. In its reasoning, the CJEU examined separately the </w:t>
      </w:r>
      <w:r w:rsidR="001E0D6E">
        <w:rPr>
          <w:rFonts w:ascii="Garamond" w:hAnsi="Garamond"/>
          <w:sz w:val="22"/>
          <w:szCs w:val="22"/>
          <w:lang w:val="en-US"/>
        </w:rPr>
        <w:t xml:space="preserve">alleged illegality with each of the fundamental rights indicated by the applicant. </w:t>
      </w:r>
    </w:p>
    <w:p w14:paraId="5BD63946" w14:textId="010A3940" w:rsidR="003668DD" w:rsidRDefault="00355691" w:rsidP="00355691">
      <w:pPr>
        <w:spacing w:line="276" w:lineRule="auto"/>
        <w:jc w:val="both"/>
        <w:rPr>
          <w:rFonts w:ascii="Garamond" w:hAnsi="Garamond"/>
          <w:sz w:val="22"/>
          <w:szCs w:val="22"/>
          <w:lang w:val="en-US"/>
        </w:rPr>
      </w:pPr>
      <w:r w:rsidRPr="00355691">
        <w:rPr>
          <w:rFonts w:ascii="Garamond" w:hAnsi="Garamond"/>
          <w:sz w:val="22"/>
          <w:szCs w:val="22"/>
          <w:lang w:val="en-US"/>
        </w:rPr>
        <w:t xml:space="preserve">As regards the freedom to conduct a business, the Court acknowledged that the obligations imposed by the DSA interfere with that freedom, since they may involve significant costs, affect the </w:t>
      </w:r>
      <w:proofErr w:type="spellStart"/>
      <w:r w:rsidRPr="00355691">
        <w:rPr>
          <w:rFonts w:ascii="Garamond" w:hAnsi="Garamond"/>
          <w:sz w:val="22"/>
          <w:szCs w:val="22"/>
          <w:lang w:val="en-US"/>
        </w:rPr>
        <w:t>organisation</w:t>
      </w:r>
      <w:proofErr w:type="spellEnd"/>
      <w:r w:rsidRPr="00355691">
        <w:rPr>
          <w:rFonts w:ascii="Garamond" w:hAnsi="Garamond"/>
          <w:sz w:val="22"/>
          <w:szCs w:val="22"/>
          <w:lang w:val="en-US"/>
        </w:rPr>
        <w:t xml:space="preserve"> of activities and require complex technical solutions. However, the Court held that this interference is provided for by law, does not affect the essence of the freedom, and is justified by the objectives pursued.</w:t>
      </w:r>
      <w:r w:rsidR="00300CD6">
        <w:rPr>
          <w:rFonts w:ascii="Garamond" w:hAnsi="Garamond"/>
          <w:sz w:val="22"/>
          <w:szCs w:val="22"/>
          <w:lang w:val="en-US"/>
        </w:rPr>
        <w:t xml:space="preserve"> According to the CJEU t</w:t>
      </w:r>
      <w:r w:rsidR="00300CD6" w:rsidRPr="00300CD6">
        <w:rPr>
          <w:rFonts w:ascii="Garamond" w:hAnsi="Garamond"/>
          <w:sz w:val="22"/>
          <w:szCs w:val="22"/>
          <w:lang w:val="en-US"/>
        </w:rPr>
        <w:t>he EU legislature, which enjoys a wide margin of discretion, did not make a manifest error in finding that very large online platforms, including marketplaces with more than 45 million users, are capable of creating systemic risks for society. Those risks include, in particular, the spread of illegal content and the infringement of fundamental rights, such as consumer protection. The obligations imposed on those platforms, including the requirement to offer a recommender system not based on profiling, to maintain a public advertising repository, and to grant researchers access to certain data, are designed to address those risks, even though they may involve substantial financial costs for the platforms concerned.</w:t>
      </w:r>
    </w:p>
    <w:p w14:paraId="47C169E5" w14:textId="662E6EEA" w:rsidR="00403669" w:rsidRPr="00403669" w:rsidRDefault="00403669" w:rsidP="00403669">
      <w:pPr>
        <w:spacing w:line="276" w:lineRule="auto"/>
        <w:jc w:val="both"/>
        <w:rPr>
          <w:rFonts w:ascii="Garamond" w:hAnsi="Garamond"/>
          <w:sz w:val="22"/>
          <w:szCs w:val="22"/>
          <w:lang w:val="en-US"/>
        </w:rPr>
      </w:pPr>
      <w:r w:rsidRPr="00403669">
        <w:rPr>
          <w:rFonts w:ascii="Garamond" w:hAnsi="Garamond"/>
          <w:sz w:val="22"/>
          <w:szCs w:val="22"/>
          <w:lang w:val="en-US"/>
        </w:rPr>
        <w:t xml:space="preserve">With </w:t>
      </w:r>
      <w:r>
        <w:rPr>
          <w:rFonts w:ascii="Garamond" w:hAnsi="Garamond"/>
          <w:sz w:val="22"/>
          <w:szCs w:val="22"/>
          <w:lang w:val="en-US"/>
        </w:rPr>
        <w:t>regard</w:t>
      </w:r>
      <w:r w:rsidRPr="00403669">
        <w:rPr>
          <w:rFonts w:ascii="Garamond" w:hAnsi="Garamond"/>
          <w:sz w:val="22"/>
          <w:szCs w:val="22"/>
          <w:lang w:val="en-US"/>
        </w:rPr>
        <w:t xml:space="preserve"> to the right to property, the Court observe</w:t>
      </w:r>
      <w:r>
        <w:rPr>
          <w:rFonts w:ascii="Garamond" w:hAnsi="Garamond"/>
          <w:sz w:val="22"/>
          <w:szCs w:val="22"/>
          <w:lang w:val="en-US"/>
        </w:rPr>
        <w:t>d</w:t>
      </w:r>
      <w:r w:rsidRPr="00403669">
        <w:rPr>
          <w:rFonts w:ascii="Garamond" w:hAnsi="Garamond"/>
          <w:sz w:val="22"/>
          <w:szCs w:val="22"/>
          <w:lang w:val="en-US"/>
        </w:rPr>
        <w:t xml:space="preserve"> that the obligations imposed by the DSA primarily amount to administrative requirements and do not deprive providers of very large online platforms of ownership of their platforms. Moreover, even if those obligations were regarded as an interference with the right to property, such interference would be justified by the EU legislature’s objective of preventing systemic risks.</w:t>
      </w:r>
    </w:p>
    <w:p w14:paraId="62083FD8" w14:textId="2BE2F0C4" w:rsidR="00403669" w:rsidRPr="00403669" w:rsidRDefault="001B00FD" w:rsidP="00403669">
      <w:pPr>
        <w:spacing w:line="276" w:lineRule="auto"/>
        <w:jc w:val="both"/>
        <w:rPr>
          <w:rFonts w:ascii="Garamond" w:hAnsi="Garamond"/>
          <w:sz w:val="22"/>
          <w:szCs w:val="22"/>
          <w:lang w:val="en-US"/>
        </w:rPr>
      </w:pPr>
      <w:r>
        <w:rPr>
          <w:rFonts w:ascii="Garamond" w:hAnsi="Garamond"/>
          <w:sz w:val="22"/>
          <w:szCs w:val="22"/>
          <w:lang w:val="en-US"/>
        </w:rPr>
        <w:t>In relation to</w:t>
      </w:r>
      <w:r w:rsidR="00403669" w:rsidRPr="00403669">
        <w:rPr>
          <w:rFonts w:ascii="Garamond" w:hAnsi="Garamond"/>
          <w:sz w:val="22"/>
          <w:szCs w:val="22"/>
          <w:lang w:val="en-US"/>
        </w:rPr>
        <w:t xml:space="preserve"> the principle of equality, the Court note</w:t>
      </w:r>
      <w:r>
        <w:rPr>
          <w:rFonts w:ascii="Garamond" w:hAnsi="Garamond"/>
          <w:sz w:val="22"/>
          <w:szCs w:val="22"/>
          <w:lang w:val="en-US"/>
        </w:rPr>
        <w:t>d</w:t>
      </w:r>
      <w:r w:rsidR="00403669" w:rsidRPr="00403669">
        <w:rPr>
          <w:rFonts w:ascii="Garamond" w:hAnsi="Garamond"/>
          <w:sz w:val="22"/>
          <w:szCs w:val="22"/>
          <w:lang w:val="en-US"/>
        </w:rPr>
        <w:t xml:space="preserve"> that the EU legislature enjoyed a broad margin of discretion in treating all very large online platforms, including marketplaces, in the same way, since those platforms may also give rise to systemic risks for society. In addition, the distinction drawn by the DSA on the basis of the number of users is </w:t>
      </w:r>
      <w:r>
        <w:rPr>
          <w:rFonts w:ascii="Garamond" w:hAnsi="Garamond"/>
          <w:sz w:val="22"/>
          <w:szCs w:val="22"/>
          <w:lang w:val="en-US"/>
        </w:rPr>
        <w:t>not</w:t>
      </w:r>
      <w:r w:rsidR="00403669" w:rsidRPr="00403669">
        <w:rPr>
          <w:rFonts w:ascii="Garamond" w:hAnsi="Garamond"/>
          <w:sz w:val="22"/>
          <w:szCs w:val="22"/>
          <w:lang w:val="en-US"/>
        </w:rPr>
        <w:t xml:space="preserve"> arbitrary nor manifestly inappropriate</w:t>
      </w:r>
      <w:r>
        <w:rPr>
          <w:rFonts w:ascii="Garamond" w:hAnsi="Garamond"/>
          <w:sz w:val="22"/>
          <w:szCs w:val="22"/>
          <w:lang w:val="en-US"/>
        </w:rPr>
        <w:t>, taking into consideration</w:t>
      </w:r>
      <w:r w:rsidR="00403669" w:rsidRPr="00403669">
        <w:rPr>
          <w:rFonts w:ascii="Garamond" w:hAnsi="Garamond"/>
          <w:sz w:val="22"/>
          <w:szCs w:val="22"/>
          <w:lang w:val="en-US"/>
        </w:rPr>
        <w:t xml:space="preserve"> the aim of preventing </w:t>
      </w:r>
      <w:r>
        <w:rPr>
          <w:rFonts w:ascii="Garamond" w:hAnsi="Garamond"/>
          <w:sz w:val="22"/>
          <w:szCs w:val="22"/>
          <w:lang w:val="en-US"/>
        </w:rPr>
        <w:t>systemic</w:t>
      </w:r>
      <w:r w:rsidR="00403669" w:rsidRPr="00403669">
        <w:rPr>
          <w:rFonts w:ascii="Garamond" w:hAnsi="Garamond"/>
          <w:sz w:val="22"/>
          <w:szCs w:val="22"/>
          <w:lang w:val="en-US"/>
        </w:rPr>
        <w:t xml:space="preserve"> risks, given that platforms with more than 45 million users are capable of exposing a large number of individuals to illegal content.</w:t>
      </w:r>
    </w:p>
    <w:p w14:paraId="71863083" w14:textId="5D4DB445" w:rsidR="00403669" w:rsidRPr="00403669" w:rsidRDefault="00403669" w:rsidP="00403669">
      <w:pPr>
        <w:spacing w:line="276" w:lineRule="auto"/>
        <w:jc w:val="both"/>
        <w:rPr>
          <w:rFonts w:ascii="Garamond" w:hAnsi="Garamond"/>
          <w:sz w:val="22"/>
          <w:szCs w:val="22"/>
          <w:lang w:val="en-US"/>
        </w:rPr>
      </w:pPr>
      <w:r w:rsidRPr="00403669">
        <w:rPr>
          <w:rFonts w:ascii="Garamond" w:hAnsi="Garamond"/>
          <w:sz w:val="22"/>
          <w:szCs w:val="22"/>
          <w:lang w:val="en-US"/>
        </w:rPr>
        <w:t>With regard to freedom of expression and information, the Court state</w:t>
      </w:r>
      <w:r w:rsidR="00116BE3">
        <w:rPr>
          <w:rFonts w:ascii="Garamond" w:hAnsi="Garamond"/>
          <w:sz w:val="22"/>
          <w:szCs w:val="22"/>
          <w:lang w:val="en-US"/>
        </w:rPr>
        <w:t>d</w:t>
      </w:r>
      <w:r w:rsidRPr="00403669">
        <w:rPr>
          <w:rFonts w:ascii="Garamond" w:hAnsi="Garamond"/>
          <w:sz w:val="22"/>
          <w:szCs w:val="22"/>
          <w:lang w:val="en-US"/>
        </w:rPr>
        <w:t xml:space="preserve"> that the obligation requiring very large online platforms to provide a recommender system option not based on profiling may limit the manner in which products are displayed on those platforms. However, that interference is justified, as the measure is laid down by law, does not undermine the essence of the freedom of expression, and pursues the legitimate objective of consumer protection. The EU legislature was therefore entitled, without exceeding its broad discretion, to balance the commercial freedom of expression of those platforms against the need to protect consumers.</w:t>
      </w:r>
    </w:p>
    <w:p w14:paraId="256D7357" w14:textId="04E1E053" w:rsidR="00A73113" w:rsidRDefault="00403669" w:rsidP="00355691">
      <w:pPr>
        <w:spacing w:line="276" w:lineRule="auto"/>
        <w:jc w:val="both"/>
        <w:rPr>
          <w:rFonts w:ascii="Garamond" w:hAnsi="Garamond"/>
          <w:sz w:val="22"/>
          <w:szCs w:val="22"/>
          <w:lang w:val="en-US"/>
        </w:rPr>
      </w:pPr>
      <w:r w:rsidRPr="00403669">
        <w:rPr>
          <w:rFonts w:ascii="Garamond" w:hAnsi="Garamond"/>
          <w:sz w:val="22"/>
          <w:szCs w:val="22"/>
          <w:lang w:val="en-US"/>
        </w:rPr>
        <w:t xml:space="preserve">Finally, concerning the right to private life and the protection of confidential information, the Court </w:t>
      </w:r>
      <w:r w:rsidR="00116BE3">
        <w:rPr>
          <w:rFonts w:ascii="Garamond" w:hAnsi="Garamond"/>
          <w:sz w:val="22"/>
          <w:szCs w:val="22"/>
          <w:lang w:val="en-US"/>
        </w:rPr>
        <w:t>found</w:t>
      </w:r>
      <w:r w:rsidRPr="00403669">
        <w:rPr>
          <w:rFonts w:ascii="Garamond" w:hAnsi="Garamond"/>
          <w:sz w:val="22"/>
          <w:szCs w:val="22"/>
          <w:lang w:val="en-US"/>
        </w:rPr>
        <w:t xml:space="preserve"> that the obligations relating to advertising transparency and researchers’ access to certain data do interfere with that right. Nevertheless, those interferences are provided for by law, proportionate, and justified by an objective of general interest, namely the prevention of systemic risks, including the attainment of a high level of consumer protection. The Court underlines that the public advertising repository is subject to strict regulation and that researchers’ access to data is governed by stringent security and confidentiality safeguards.</w:t>
      </w:r>
    </w:p>
    <w:p w14:paraId="66EC60C0" w14:textId="28D62F24" w:rsidR="00116BE3" w:rsidRPr="00355691" w:rsidRDefault="00AE5C7A" w:rsidP="00355691">
      <w:pPr>
        <w:spacing w:line="276" w:lineRule="auto"/>
        <w:jc w:val="both"/>
        <w:rPr>
          <w:rFonts w:ascii="Garamond" w:hAnsi="Garamond"/>
          <w:sz w:val="22"/>
          <w:szCs w:val="22"/>
          <w:lang w:val="en-US"/>
        </w:rPr>
      </w:pPr>
      <w:r>
        <w:rPr>
          <w:rFonts w:ascii="Garamond" w:hAnsi="Garamond"/>
          <w:sz w:val="22"/>
          <w:szCs w:val="22"/>
          <w:lang w:val="en-US"/>
        </w:rPr>
        <w:t xml:space="preserve">Based on all the considerations made above, the CJEU rejected the first plea in law submitted by the applicant. </w:t>
      </w:r>
      <w:r w:rsidR="00043530">
        <w:rPr>
          <w:rFonts w:ascii="Garamond" w:hAnsi="Garamond"/>
          <w:sz w:val="22"/>
          <w:szCs w:val="22"/>
          <w:lang w:val="en-US"/>
        </w:rPr>
        <w:t xml:space="preserve">It also rejected the second and third pleas in law, which were dependent on the </w:t>
      </w:r>
      <w:r w:rsidR="00230430">
        <w:rPr>
          <w:rFonts w:ascii="Garamond" w:hAnsi="Garamond"/>
          <w:sz w:val="22"/>
          <w:szCs w:val="22"/>
          <w:lang w:val="en-US"/>
        </w:rPr>
        <w:t xml:space="preserve">outcome of the ruling on the first plea in law. </w:t>
      </w:r>
      <w:r w:rsidR="009356D2">
        <w:rPr>
          <w:rFonts w:ascii="Garamond" w:hAnsi="Garamond"/>
          <w:sz w:val="22"/>
          <w:szCs w:val="22"/>
          <w:lang w:val="en-US"/>
        </w:rPr>
        <w:t xml:space="preserve">The CJEU </w:t>
      </w:r>
      <w:r w:rsidR="0003478E">
        <w:rPr>
          <w:rFonts w:ascii="Garamond" w:hAnsi="Garamond"/>
          <w:sz w:val="22"/>
          <w:szCs w:val="22"/>
          <w:lang w:val="en-US"/>
        </w:rPr>
        <w:t xml:space="preserve">consequently dismissed the action for annulment in its entirety. </w:t>
      </w:r>
    </w:p>
    <w:p w14:paraId="789E578E" w14:textId="77777777" w:rsidR="006E46D2" w:rsidRPr="0011450B" w:rsidRDefault="006E46D2" w:rsidP="0011450B">
      <w:pPr>
        <w:pStyle w:val="ListParagraph"/>
        <w:spacing w:line="276" w:lineRule="auto"/>
        <w:ind w:left="360"/>
        <w:jc w:val="both"/>
        <w:rPr>
          <w:rFonts w:ascii="Garamond" w:hAnsi="Garamond"/>
          <w:sz w:val="22"/>
          <w:szCs w:val="22"/>
          <w:lang w:val="en-US"/>
        </w:rPr>
      </w:pPr>
    </w:p>
    <w:p w14:paraId="66E0BDC8" w14:textId="77777777" w:rsidR="00BB2804" w:rsidRPr="00420273" w:rsidRDefault="00BB2804" w:rsidP="00BB2804">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1AEF5DB3" w14:textId="26810991" w:rsidR="00DD3620" w:rsidRDefault="00BB2804" w:rsidP="00DD3620">
      <w:pPr>
        <w:pStyle w:val="ListParagraph"/>
        <w:numPr>
          <w:ilvl w:val="0"/>
          <w:numId w:val="4"/>
        </w:numPr>
        <w:spacing w:line="276" w:lineRule="auto"/>
        <w:jc w:val="both"/>
        <w:rPr>
          <w:rFonts w:ascii="Garamond" w:hAnsi="Garamond"/>
          <w:sz w:val="22"/>
          <w:szCs w:val="22"/>
          <w:lang w:val="en-US"/>
        </w:rPr>
      </w:pPr>
      <w:r w:rsidRPr="00420273">
        <w:rPr>
          <w:rFonts w:ascii="Garamond" w:hAnsi="Garamond"/>
          <w:b/>
          <w:bCs/>
          <w:sz w:val="22"/>
          <w:szCs w:val="22"/>
          <w:lang w:val="en-US"/>
        </w:rPr>
        <w:t>Outcome</w:t>
      </w:r>
      <w:r w:rsidRPr="00420273">
        <w:rPr>
          <w:rFonts w:ascii="Garamond" w:hAnsi="Garamond"/>
          <w:sz w:val="22"/>
          <w:szCs w:val="22"/>
          <w:lang w:val="en-US"/>
        </w:rPr>
        <w:t xml:space="preserve">: </w:t>
      </w:r>
      <w:r w:rsidR="00F766D8">
        <w:rPr>
          <w:rFonts w:ascii="Garamond" w:hAnsi="Garamond"/>
          <w:sz w:val="22"/>
          <w:szCs w:val="22"/>
          <w:lang w:val="en-US"/>
        </w:rPr>
        <w:t>Mixed Outcome</w:t>
      </w:r>
    </w:p>
    <w:p w14:paraId="4BC34F79" w14:textId="6D64F3D6" w:rsidR="00DD3620" w:rsidRPr="00DD3620" w:rsidRDefault="00DD3620" w:rsidP="00DD3620">
      <w:pPr>
        <w:pStyle w:val="ListParagraph"/>
        <w:spacing w:line="276" w:lineRule="auto"/>
        <w:ind w:left="360"/>
        <w:jc w:val="both"/>
        <w:rPr>
          <w:rFonts w:ascii="Garamond" w:hAnsi="Garamond"/>
          <w:sz w:val="22"/>
          <w:szCs w:val="22"/>
          <w:lang w:val="en-US"/>
        </w:rPr>
      </w:pPr>
      <w:r w:rsidRPr="00DD3620">
        <w:rPr>
          <w:rFonts w:ascii="Garamond" w:hAnsi="Garamond"/>
          <w:sz w:val="22"/>
          <w:szCs w:val="22"/>
          <w:lang w:val="en-US"/>
        </w:rPr>
        <w:t xml:space="preserve">The relevance of the judgement for freedom of expression is indirect, though significant, and </w:t>
      </w:r>
      <w:r>
        <w:rPr>
          <w:rFonts w:ascii="Garamond" w:hAnsi="Garamond"/>
          <w:sz w:val="22"/>
          <w:szCs w:val="22"/>
          <w:lang w:val="en-US"/>
        </w:rPr>
        <w:t xml:space="preserve">it can lead to </w:t>
      </w:r>
      <w:r w:rsidR="001C27A4">
        <w:rPr>
          <w:rFonts w:ascii="Garamond" w:hAnsi="Garamond"/>
          <w:sz w:val="22"/>
          <w:szCs w:val="22"/>
          <w:lang w:val="en-US"/>
        </w:rPr>
        <w:t>both an expansion or contraction of expression. The judgement provides clarifications on the interpretation of the notion of ‘systemic risk’ under the DSA, which is a central notion to the DSA risk management regime for large online platforms and search engines.</w:t>
      </w:r>
      <w:r w:rsidR="00C47A80">
        <w:rPr>
          <w:rFonts w:ascii="Garamond" w:hAnsi="Garamond"/>
          <w:sz w:val="22"/>
          <w:szCs w:val="22"/>
          <w:lang w:val="en-US"/>
        </w:rPr>
        <w:t xml:space="preserve"> The systemic risk management regime of the DSA can be the basis of action by regulated entities to both protect free speech and to constrain free speech, the latter case potentially </w:t>
      </w:r>
      <w:r w:rsidR="00A223CA">
        <w:rPr>
          <w:rFonts w:ascii="Garamond" w:hAnsi="Garamond"/>
          <w:sz w:val="22"/>
          <w:szCs w:val="22"/>
          <w:lang w:val="en-US"/>
        </w:rPr>
        <w:t>occurring when online content poses systemic risks.</w:t>
      </w:r>
      <w:r w:rsidR="001C27A4">
        <w:rPr>
          <w:rFonts w:ascii="Garamond" w:hAnsi="Garamond"/>
          <w:sz w:val="22"/>
          <w:szCs w:val="22"/>
          <w:lang w:val="en-US"/>
        </w:rPr>
        <w:t xml:space="preserve"> </w:t>
      </w:r>
      <w:r w:rsidR="00301920">
        <w:rPr>
          <w:rFonts w:ascii="Garamond" w:hAnsi="Garamond"/>
          <w:sz w:val="22"/>
          <w:szCs w:val="22"/>
          <w:lang w:val="en-US"/>
        </w:rPr>
        <w:t xml:space="preserve">As this is the first judgement where the DSA clarifies, at least in part, the meaning of </w:t>
      </w:r>
      <w:r w:rsidR="00A223CA">
        <w:rPr>
          <w:rFonts w:ascii="Garamond" w:hAnsi="Garamond"/>
          <w:sz w:val="22"/>
          <w:szCs w:val="22"/>
          <w:lang w:val="en-US"/>
        </w:rPr>
        <w:t>the notion ‘systemic risk’</w:t>
      </w:r>
      <w:r w:rsidR="00301920">
        <w:rPr>
          <w:rFonts w:ascii="Garamond" w:hAnsi="Garamond"/>
          <w:sz w:val="22"/>
          <w:szCs w:val="22"/>
          <w:lang w:val="en-US"/>
        </w:rPr>
        <w:t xml:space="preserve">, </w:t>
      </w:r>
      <w:r w:rsidR="00A223CA">
        <w:rPr>
          <w:rFonts w:ascii="Garamond" w:hAnsi="Garamond"/>
          <w:sz w:val="22"/>
          <w:szCs w:val="22"/>
          <w:lang w:val="en-US"/>
        </w:rPr>
        <w:t xml:space="preserve">it can be considered a significant judicial development for the implementation of the systemic risk management regime of the DSA vis-à-vis protected speech. In particular, </w:t>
      </w:r>
      <w:r w:rsidR="001356A6">
        <w:rPr>
          <w:rFonts w:ascii="Garamond" w:hAnsi="Garamond"/>
          <w:sz w:val="22"/>
          <w:szCs w:val="22"/>
          <w:lang w:val="en-US"/>
        </w:rPr>
        <w:t>with</w:t>
      </w:r>
      <w:r w:rsidR="00A223CA">
        <w:rPr>
          <w:rFonts w:ascii="Garamond" w:hAnsi="Garamond"/>
          <w:sz w:val="22"/>
          <w:szCs w:val="22"/>
          <w:lang w:val="en-US"/>
        </w:rPr>
        <w:t xml:space="preserve"> the judgement the CJEU </w:t>
      </w:r>
      <w:r w:rsidR="006B2AA9">
        <w:rPr>
          <w:rFonts w:ascii="Garamond" w:hAnsi="Garamond"/>
          <w:sz w:val="22"/>
          <w:szCs w:val="22"/>
          <w:lang w:val="en-US"/>
        </w:rPr>
        <w:t xml:space="preserve">stated that </w:t>
      </w:r>
      <w:r w:rsidR="00DB1EBF">
        <w:rPr>
          <w:rFonts w:ascii="Garamond" w:hAnsi="Garamond"/>
          <w:sz w:val="22"/>
          <w:szCs w:val="22"/>
          <w:lang w:val="en-US"/>
        </w:rPr>
        <w:t xml:space="preserve">systemic risks are </w:t>
      </w:r>
      <w:r w:rsidR="00DB1EBF">
        <w:rPr>
          <w:rFonts w:ascii="Garamond" w:hAnsi="Garamond"/>
          <w:sz w:val="22"/>
          <w:szCs w:val="22"/>
          <w:lang w:val="en-US"/>
        </w:rPr>
        <w:lastRenderedPageBreak/>
        <w:t xml:space="preserve">not those posed by a ‘system’, but rather </w:t>
      </w:r>
      <w:r w:rsidR="00275088">
        <w:rPr>
          <w:rFonts w:ascii="Garamond" w:hAnsi="Garamond"/>
          <w:sz w:val="22"/>
          <w:szCs w:val="22"/>
          <w:lang w:val="en-US"/>
        </w:rPr>
        <w:t xml:space="preserve">those arising to </w:t>
      </w:r>
      <w:r w:rsidR="00275088">
        <w:rPr>
          <w:rFonts w:ascii="Garamond" w:hAnsi="Garamond"/>
          <w:sz w:val="22"/>
          <w:szCs w:val="22"/>
        </w:rPr>
        <w:t>‘</w:t>
      </w:r>
      <w:r w:rsidR="00275088" w:rsidRPr="00275088">
        <w:rPr>
          <w:rFonts w:ascii="Garamond" w:hAnsi="Garamond"/>
          <w:sz w:val="22"/>
          <w:szCs w:val="22"/>
        </w:rPr>
        <w:t>society as a whole in so far as they could affect a significant part of the population of the European Union</w:t>
      </w:r>
      <w:r w:rsidR="00275088">
        <w:rPr>
          <w:rFonts w:ascii="Garamond" w:hAnsi="Garamond"/>
          <w:sz w:val="22"/>
          <w:szCs w:val="22"/>
        </w:rPr>
        <w:t>’</w:t>
      </w:r>
      <w:r w:rsidR="00FE1E57">
        <w:rPr>
          <w:rFonts w:ascii="Garamond" w:hAnsi="Garamond"/>
          <w:sz w:val="22"/>
          <w:szCs w:val="22"/>
        </w:rPr>
        <w:t xml:space="preserve">. This </w:t>
      </w:r>
      <w:r w:rsidR="000814A5">
        <w:rPr>
          <w:rFonts w:ascii="Garamond" w:hAnsi="Garamond"/>
          <w:sz w:val="22"/>
          <w:szCs w:val="22"/>
        </w:rPr>
        <w:t xml:space="preserve">interpretation, combined with other clarifications of the CJEU </w:t>
      </w:r>
      <w:r w:rsidR="00184F2D">
        <w:rPr>
          <w:rFonts w:ascii="Garamond" w:hAnsi="Garamond"/>
          <w:sz w:val="22"/>
          <w:szCs w:val="22"/>
        </w:rPr>
        <w:t xml:space="preserve">regarding the ability of Amazon Store to pose systemic risks, </w:t>
      </w:r>
      <w:r w:rsidR="000E0D24">
        <w:rPr>
          <w:rFonts w:ascii="Garamond" w:hAnsi="Garamond"/>
          <w:sz w:val="22"/>
          <w:szCs w:val="22"/>
        </w:rPr>
        <w:t xml:space="preserve">enables to better define the scope of application of </w:t>
      </w:r>
      <w:r w:rsidR="00BB5674">
        <w:rPr>
          <w:rFonts w:ascii="Garamond" w:hAnsi="Garamond"/>
          <w:sz w:val="22"/>
          <w:szCs w:val="22"/>
        </w:rPr>
        <w:t xml:space="preserve">the provisions on systemic risk management of the DSA. </w:t>
      </w:r>
    </w:p>
    <w:p w14:paraId="6732539A" w14:textId="77777777" w:rsidR="00835092" w:rsidRPr="00835092" w:rsidRDefault="00835092" w:rsidP="00835092">
      <w:pPr>
        <w:pStyle w:val="ListParagraph"/>
        <w:rPr>
          <w:rFonts w:ascii="Garamond" w:hAnsi="Garamond"/>
          <w:sz w:val="22"/>
          <w:szCs w:val="22"/>
          <w:lang w:val="en-US"/>
        </w:rPr>
      </w:pPr>
    </w:p>
    <w:p w14:paraId="4BB21925" w14:textId="27BE6E36" w:rsidR="00BB2804" w:rsidRPr="00FE6E56" w:rsidRDefault="00BB2804" w:rsidP="00835092">
      <w:pPr>
        <w:pStyle w:val="ListParagraph"/>
        <w:spacing w:line="276" w:lineRule="auto"/>
        <w:ind w:left="360"/>
        <w:jc w:val="both"/>
        <w:rPr>
          <w:rFonts w:ascii="Garamond" w:hAnsi="Garamond"/>
          <w:sz w:val="22"/>
          <w:szCs w:val="22"/>
          <w:lang w:val="en-US"/>
        </w:rPr>
      </w:pPr>
      <w:r w:rsidRPr="00FE6E56">
        <w:rPr>
          <w:rFonts w:ascii="Garamond" w:hAnsi="Garamond"/>
          <w:sz w:val="22"/>
          <w:szCs w:val="22"/>
          <w:lang w:val="en-US"/>
        </w:rPr>
        <w:t xml:space="preserve"> </w:t>
      </w: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4574DA79" w14:textId="01A8D1FC" w:rsidR="00BB2804" w:rsidRPr="00634BC1" w:rsidRDefault="00BB2804" w:rsidP="00BD7FAA">
      <w:pPr>
        <w:pStyle w:val="ListParagraph"/>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448C69DE" w14:textId="2D950A68" w:rsidR="00634BC1" w:rsidRPr="00F304E9" w:rsidRDefault="003357F3" w:rsidP="009672E6">
      <w:pPr>
        <w:pStyle w:val="ListParagraph"/>
        <w:spacing w:line="276" w:lineRule="auto"/>
        <w:ind w:left="501"/>
        <w:jc w:val="both"/>
        <w:rPr>
          <w:rFonts w:ascii="Garamond" w:hAnsi="Garamond"/>
          <w:sz w:val="22"/>
          <w:szCs w:val="22"/>
          <w:u w:val="single"/>
        </w:rPr>
      </w:pPr>
      <w:r>
        <w:rPr>
          <w:rFonts w:ascii="Garamond" w:hAnsi="Garamond"/>
          <w:b/>
          <w:bCs/>
          <w:sz w:val="22"/>
          <w:szCs w:val="22"/>
          <w:u w:val="single"/>
          <w:lang w:val="en-US"/>
        </w:rPr>
        <w:t>Example</w:t>
      </w:r>
      <w:r w:rsidR="009672E6">
        <w:rPr>
          <w:rFonts w:ascii="Garamond" w:hAnsi="Garamond"/>
          <w:b/>
          <w:bCs/>
          <w:sz w:val="22"/>
          <w:szCs w:val="22"/>
          <w:u w:val="single"/>
          <w:lang w:val="en-US"/>
        </w:rPr>
        <w:t>:</w:t>
      </w:r>
    </w:p>
    <w:p w14:paraId="362203F1" w14:textId="1E7821B0" w:rsidR="004B739B" w:rsidRPr="004B739B" w:rsidRDefault="004B739B" w:rsidP="00BD7FAA">
      <w:pPr>
        <w:pStyle w:val="ListParagraph"/>
        <w:spacing w:line="276" w:lineRule="auto"/>
        <w:ind w:left="360"/>
        <w:jc w:val="both"/>
        <w:rPr>
          <w:rFonts w:ascii="Garamond" w:hAnsi="Garamond"/>
          <w:sz w:val="22"/>
          <w:szCs w:val="22"/>
          <w:lang w:val="de-DE"/>
        </w:rPr>
      </w:pPr>
      <w:hyperlink r:id="rId5" w:history="1">
        <w:r w:rsidRPr="004B739B">
          <w:rPr>
            <w:rStyle w:val="Hyperlink"/>
            <w:rFonts w:ascii="Garamond" w:hAnsi="Garamond"/>
            <w:sz w:val="22"/>
            <w:szCs w:val="22"/>
            <w:lang w:val="de-DE"/>
          </w:rPr>
          <w:t>ECHR, art. 1</w:t>
        </w:r>
      </w:hyperlink>
      <w:r>
        <w:rPr>
          <w:rFonts w:ascii="Garamond" w:hAnsi="Garamond"/>
          <w:sz w:val="22"/>
          <w:szCs w:val="22"/>
          <w:lang w:val="de-DE"/>
        </w:rPr>
        <w:t>;</w:t>
      </w:r>
    </w:p>
    <w:p w14:paraId="761946A4" w14:textId="4F8B82B4" w:rsidR="00132F3E" w:rsidRPr="004B739B" w:rsidRDefault="00132F3E" w:rsidP="00BD7FAA">
      <w:pPr>
        <w:pStyle w:val="ListParagraph"/>
        <w:spacing w:line="276" w:lineRule="auto"/>
        <w:ind w:left="360"/>
        <w:jc w:val="both"/>
        <w:rPr>
          <w:rFonts w:ascii="Garamond" w:hAnsi="Garamond"/>
          <w:sz w:val="22"/>
          <w:szCs w:val="22"/>
          <w:lang w:val="de-DE"/>
        </w:rPr>
      </w:pPr>
      <w:hyperlink r:id="rId6" w:history="1">
        <w:r w:rsidRPr="004B739B">
          <w:rPr>
            <w:rStyle w:val="Hyperlink"/>
            <w:rFonts w:ascii="Garamond" w:hAnsi="Garamond"/>
            <w:sz w:val="22"/>
            <w:szCs w:val="22"/>
            <w:lang w:val="de-DE"/>
          </w:rPr>
          <w:t>ECHR, art. 8</w:t>
        </w:r>
      </w:hyperlink>
      <w:r w:rsidRPr="004B739B">
        <w:rPr>
          <w:rFonts w:ascii="Garamond" w:hAnsi="Garamond"/>
          <w:sz w:val="22"/>
          <w:szCs w:val="22"/>
          <w:lang w:val="de-DE"/>
        </w:rPr>
        <w:t>;</w:t>
      </w:r>
    </w:p>
    <w:p w14:paraId="016E8C81" w14:textId="5B25C4FC" w:rsidR="00BD7FAA" w:rsidRPr="004B739B" w:rsidRDefault="00BD7FAA" w:rsidP="00BD7FAA">
      <w:pPr>
        <w:pStyle w:val="ListParagraph"/>
        <w:spacing w:line="276" w:lineRule="auto"/>
        <w:ind w:left="360"/>
        <w:jc w:val="both"/>
        <w:rPr>
          <w:rFonts w:ascii="Garamond" w:hAnsi="Garamond"/>
          <w:sz w:val="22"/>
          <w:szCs w:val="22"/>
          <w:lang w:val="de-DE"/>
        </w:rPr>
      </w:pPr>
      <w:hyperlink r:id="rId7" w:history="1">
        <w:r w:rsidRPr="004B739B">
          <w:rPr>
            <w:rStyle w:val="Hyperlink"/>
            <w:rFonts w:ascii="Garamond" w:hAnsi="Garamond"/>
            <w:sz w:val="22"/>
            <w:szCs w:val="22"/>
            <w:lang w:val="de-DE"/>
          </w:rPr>
          <w:t>ECHR, art. 10</w:t>
        </w:r>
      </w:hyperlink>
    </w:p>
    <w:p w14:paraId="69511AC4" w14:textId="77777777" w:rsidR="00BB2804" w:rsidRDefault="00BB2804" w:rsidP="00BB2804">
      <w:pPr>
        <w:spacing w:line="276" w:lineRule="auto"/>
        <w:jc w:val="both"/>
        <w:rPr>
          <w:rFonts w:ascii="Garamond" w:hAnsi="Garamond"/>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6A1BEE00" w14:textId="40EBAFFF" w:rsidR="000F1FCB" w:rsidRDefault="00BB2804" w:rsidP="00BB2804">
      <w:pPr>
        <w:pStyle w:val="ListParagraph"/>
        <w:numPr>
          <w:ilvl w:val="0"/>
          <w:numId w:val="2"/>
        </w:numPr>
        <w:spacing w:line="276" w:lineRule="auto"/>
        <w:jc w:val="both"/>
        <w:rPr>
          <w:rFonts w:ascii="Garamond" w:hAnsi="Garamond"/>
          <w:sz w:val="22"/>
          <w:szCs w:val="22"/>
          <w:lang w:val="en-US"/>
        </w:rPr>
      </w:pPr>
      <w:r w:rsidRPr="00827D5A">
        <w:rPr>
          <w:rFonts w:ascii="Garamond" w:hAnsi="Garamond"/>
          <w:b/>
          <w:bCs/>
          <w:sz w:val="22"/>
          <w:szCs w:val="22"/>
          <w:lang w:val="en-US"/>
        </w:rPr>
        <w:t xml:space="preserve">Decision establishes </w:t>
      </w:r>
      <w:r w:rsidR="00376D76">
        <w:rPr>
          <w:rFonts w:ascii="Garamond" w:hAnsi="Garamond"/>
          <w:b/>
          <w:bCs/>
          <w:sz w:val="22"/>
          <w:szCs w:val="22"/>
          <w:lang w:val="en-US"/>
        </w:rPr>
        <w:t>influential</w:t>
      </w:r>
      <w:r w:rsidRPr="00827D5A">
        <w:rPr>
          <w:rFonts w:ascii="Garamond" w:hAnsi="Garamond"/>
          <w:b/>
          <w:bCs/>
          <w:sz w:val="22"/>
          <w:szCs w:val="22"/>
          <w:lang w:val="en-US"/>
        </w:rPr>
        <w:t xml:space="preserve"> precedent </w:t>
      </w:r>
      <w:r w:rsidR="00196D60">
        <w:rPr>
          <w:rFonts w:ascii="Garamond" w:hAnsi="Garamond"/>
          <w:b/>
          <w:bCs/>
          <w:sz w:val="22"/>
          <w:szCs w:val="22"/>
          <w:lang w:val="en-US"/>
        </w:rPr>
        <w:t>within</w:t>
      </w:r>
      <w:r w:rsidRPr="00827D5A">
        <w:rPr>
          <w:rFonts w:ascii="Garamond" w:hAnsi="Garamond"/>
          <w:b/>
          <w:bCs/>
          <w:sz w:val="22"/>
          <w:szCs w:val="22"/>
          <w:lang w:val="en-US"/>
        </w:rPr>
        <w:t xml:space="preserve"> jurisdiction</w:t>
      </w:r>
      <w:r w:rsidRPr="00827D5A">
        <w:rPr>
          <w:rFonts w:ascii="Garamond" w:hAnsi="Garamond"/>
          <w:sz w:val="22"/>
          <w:szCs w:val="22"/>
          <w:lang w:val="en-US"/>
        </w:rPr>
        <w:t xml:space="preserve">; </w:t>
      </w:r>
    </w:p>
    <w:p w14:paraId="3A0759A0" w14:textId="59EFF14F" w:rsidR="00BB2804" w:rsidRDefault="00BB2804" w:rsidP="000F1FCB">
      <w:pPr>
        <w:pStyle w:val="ListParagraph"/>
        <w:spacing w:line="276" w:lineRule="auto"/>
        <w:ind w:left="360"/>
        <w:jc w:val="both"/>
        <w:rPr>
          <w:rFonts w:ascii="Garamond" w:hAnsi="Garamond"/>
          <w:sz w:val="22"/>
          <w:szCs w:val="22"/>
          <w:lang w:val="en-US"/>
        </w:rPr>
      </w:pPr>
      <w:r w:rsidRPr="00827D5A">
        <w:rPr>
          <w:rFonts w:ascii="Garamond" w:hAnsi="Garamond"/>
          <w:b/>
          <w:bCs/>
          <w:sz w:val="22"/>
          <w:szCs w:val="22"/>
          <w:lang w:val="en-US"/>
        </w:rPr>
        <w:t>Explanation</w:t>
      </w:r>
      <w:r w:rsidRPr="00827D5A">
        <w:rPr>
          <w:rFonts w:ascii="Garamond" w:hAnsi="Garamond"/>
          <w:sz w:val="22"/>
          <w:szCs w:val="22"/>
          <w:lang w:val="en-US"/>
        </w:rPr>
        <w:t xml:space="preserve">: </w:t>
      </w:r>
      <w:r w:rsidR="000F1FCB">
        <w:rPr>
          <w:rFonts w:ascii="Garamond" w:hAnsi="Garamond"/>
          <w:sz w:val="22"/>
          <w:szCs w:val="22"/>
          <w:lang w:val="en-US"/>
        </w:rPr>
        <w:t xml:space="preserve">The judgement is binding upon parties to the proceedings and, though not binding in subsequent </w:t>
      </w:r>
      <w:r w:rsidR="00376D76">
        <w:rPr>
          <w:rFonts w:ascii="Garamond" w:hAnsi="Garamond"/>
          <w:sz w:val="22"/>
          <w:szCs w:val="22"/>
          <w:lang w:val="en-US"/>
        </w:rPr>
        <w:t xml:space="preserve">proceedings, it establishes an influential precedent that the Court of Justice of the European Union is likely to refer to in future </w:t>
      </w:r>
      <w:r w:rsidR="00103DA8">
        <w:rPr>
          <w:rFonts w:ascii="Garamond" w:hAnsi="Garamond"/>
          <w:sz w:val="22"/>
          <w:szCs w:val="22"/>
          <w:lang w:val="en-US"/>
        </w:rPr>
        <w:t xml:space="preserve">cases. </w:t>
      </w:r>
    </w:p>
    <w:p w14:paraId="71BD8A64" w14:textId="77777777" w:rsidR="00BB2804" w:rsidRDefault="00BB2804" w:rsidP="00BB2804">
      <w:pPr>
        <w:spacing w:line="276" w:lineRule="auto"/>
        <w:jc w:val="both"/>
        <w:rPr>
          <w:rFonts w:ascii="Garamond" w:hAnsi="Garamond"/>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4EB4B5BC" w14:textId="77777777" w:rsidR="00BB2804" w:rsidRPr="000C5D04" w:rsidRDefault="00BB2804" w:rsidP="000C5D04">
      <w:pPr>
        <w:spacing w:line="276" w:lineRule="auto"/>
        <w:jc w:val="both"/>
        <w:rPr>
          <w:rFonts w:ascii="Garamond" w:hAnsi="Garamond"/>
          <w:sz w:val="22"/>
          <w:szCs w:val="22"/>
        </w:rPr>
      </w:pPr>
      <w:r w:rsidRPr="000C5D04">
        <w:rPr>
          <w:rFonts w:ascii="Garamond" w:hAnsi="Garamond"/>
          <w:b/>
          <w:bCs/>
          <w:sz w:val="22"/>
          <w:szCs w:val="22"/>
        </w:rPr>
        <w:t>Official Case Documents</w:t>
      </w:r>
      <w:r w:rsidRPr="000C5D04">
        <w:rPr>
          <w:rFonts w:ascii="Garamond" w:hAnsi="Garamond"/>
          <w:sz w:val="22"/>
          <w:szCs w:val="22"/>
        </w:rPr>
        <w:t xml:space="preserve">: </w:t>
      </w:r>
    </w:p>
    <w:p w14:paraId="1C1B2ACA" w14:textId="249C590A" w:rsidR="00BB2804" w:rsidRPr="000C5D04" w:rsidRDefault="000C5D04" w:rsidP="000C5D04">
      <w:pPr>
        <w:pStyle w:val="ListParagraph"/>
        <w:numPr>
          <w:ilvl w:val="0"/>
          <w:numId w:val="11"/>
        </w:numPr>
        <w:spacing w:line="276" w:lineRule="auto"/>
        <w:jc w:val="both"/>
        <w:rPr>
          <w:rFonts w:ascii="Garamond" w:hAnsi="Garamond"/>
          <w:b/>
          <w:bCs/>
          <w:sz w:val="22"/>
          <w:szCs w:val="22"/>
        </w:rPr>
      </w:pPr>
      <w:r w:rsidRPr="000C5D04">
        <w:rPr>
          <w:rFonts w:ascii="Garamond" w:hAnsi="Garamond"/>
          <w:b/>
          <w:bCs/>
          <w:sz w:val="22"/>
          <w:szCs w:val="22"/>
        </w:rPr>
        <w:t>Judgement</w:t>
      </w:r>
      <w:r w:rsidR="00C96AF3">
        <w:rPr>
          <w:rFonts w:ascii="Garamond" w:hAnsi="Garamond"/>
          <w:b/>
          <w:bCs/>
          <w:sz w:val="22"/>
          <w:szCs w:val="22"/>
        </w:rPr>
        <w:t>:</w:t>
      </w:r>
    </w:p>
    <w:p w14:paraId="63DB930F" w14:textId="4CC3CF80" w:rsidR="000C5D04" w:rsidRPr="000C5D04" w:rsidRDefault="00C96AF3" w:rsidP="000C5D04">
      <w:pPr>
        <w:pStyle w:val="ListParagraph"/>
        <w:spacing w:line="276" w:lineRule="auto"/>
        <w:jc w:val="both"/>
        <w:rPr>
          <w:rFonts w:ascii="Garamond" w:hAnsi="Garamond"/>
          <w:sz w:val="22"/>
          <w:szCs w:val="22"/>
        </w:rPr>
      </w:pPr>
      <w:hyperlink r:id="rId8" w:history="1">
        <w:r w:rsidRPr="00C96AF3">
          <w:rPr>
            <w:rStyle w:val="Hyperlink"/>
            <w:rFonts w:ascii="Garamond" w:hAnsi="Garamond"/>
            <w:sz w:val="22"/>
            <w:szCs w:val="22"/>
          </w:rPr>
          <w:t>CURIA - Documents</w:t>
        </w:r>
      </w:hyperlink>
    </w:p>
    <w:p w14:paraId="577E387D" w14:textId="77777777" w:rsidR="00C35AA4" w:rsidRDefault="00C35AA4"/>
    <w:sectPr w:rsidR="00C35AA4" w:rsidSect="00936D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06C31449"/>
    <w:multiLevelType w:val="multilevel"/>
    <w:tmpl w:val="C57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020AC"/>
    <w:multiLevelType w:val="hybridMultilevel"/>
    <w:tmpl w:val="F9CA46C6"/>
    <w:lvl w:ilvl="0" w:tplc="0813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3A6D6F"/>
    <w:multiLevelType w:val="hybridMultilevel"/>
    <w:tmpl w:val="FC087F68"/>
    <w:lvl w:ilvl="0" w:tplc="0813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3121B0"/>
    <w:multiLevelType w:val="hybridMultilevel"/>
    <w:tmpl w:val="1068B3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54074002">
    <w:abstractNumId w:val="0"/>
  </w:num>
  <w:num w:numId="2" w16cid:durableId="973172807">
    <w:abstractNumId w:val="7"/>
  </w:num>
  <w:num w:numId="3" w16cid:durableId="696464102">
    <w:abstractNumId w:val="5"/>
  </w:num>
  <w:num w:numId="4" w16cid:durableId="238100815">
    <w:abstractNumId w:val="3"/>
  </w:num>
  <w:num w:numId="5" w16cid:durableId="1542673725">
    <w:abstractNumId w:val="6"/>
  </w:num>
  <w:num w:numId="6" w16cid:durableId="123547032">
    <w:abstractNumId w:val="9"/>
  </w:num>
  <w:num w:numId="7" w16cid:durableId="1944796748">
    <w:abstractNumId w:val="4"/>
  </w:num>
  <w:num w:numId="8" w16cid:durableId="1635671809">
    <w:abstractNumId w:val="1"/>
  </w:num>
  <w:num w:numId="9" w16cid:durableId="919559388">
    <w:abstractNumId w:val="8"/>
  </w:num>
  <w:num w:numId="10" w16cid:durableId="1659067026">
    <w:abstractNumId w:val="2"/>
  </w:num>
  <w:num w:numId="11" w16cid:durableId="12670797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0FA8"/>
    <w:rsid w:val="0000359C"/>
    <w:rsid w:val="000047BA"/>
    <w:rsid w:val="00022513"/>
    <w:rsid w:val="00030EB8"/>
    <w:rsid w:val="0003478E"/>
    <w:rsid w:val="0003559C"/>
    <w:rsid w:val="00035C43"/>
    <w:rsid w:val="00043530"/>
    <w:rsid w:val="00061C55"/>
    <w:rsid w:val="00065F2C"/>
    <w:rsid w:val="00071036"/>
    <w:rsid w:val="00074D3D"/>
    <w:rsid w:val="00080D1E"/>
    <w:rsid w:val="000814A5"/>
    <w:rsid w:val="000964E6"/>
    <w:rsid w:val="000A0596"/>
    <w:rsid w:val="000A50A1"/>
    <w:rsid w:val="000C1EDA"/>
    <w:rsid w:val="000C3530"/>
    <w:rsid w:val="000C5D04"/>
    <w:rsid w:val="000D31D2"/>
    <w:rsid w:val="000E0D24"/>
    <w:rsid w:val="000E729A"/>
    <w:rsid w:val="000F1FCB"/>
    <w:rsid w:val="00103DA8"/>
    <w:rsid w:val="0011450B"/>
    <w:rsid w:val="00116BE3"/>
    <w:rsid w:val="00132F3E"/>
    <w:rsid w:val="001356A6"/>
    <w:rsid w:val="00144E0C"/>
    <w:rsid w:val="00153CD8"/>
    <w:rsid w:val="00154C52"/>
    <w:rsid w:val="00156AEC"/>
    <w:rsid w:val="001650DC"/>
    <w:rsid w:val="00176CCA"/>
    <w:rsid w:val="00181333"/>
    <w:rsid w:val="00184F2D"/>
    <w:rsid w:val="001967B3"/>
    <w:rsid w:val="00196D60"/>
    <w:rsid w:val="001A2836"/>
    <w:rsid w:val="001A2EAE"/>
    <w:rsid w:val="001A31DB"/>
    <w:rsid w:val="001B00FD"/>
    <w:rsid w:val="001C27A4"/>
    <w:rsid w:val="001C3575"/>
    <w:rsid w:val="001C6655"/>
    <w:rsid w:val="001C6C14"/>
    <w:rsid w:val="001E0D6E"/>
    <w:rsid w:val="001E0E1C"/>
    <w:rsid w:val="001E4D3A"/>
    <w:rsid w:val="001E7ED2"/>
    <w:rsid w:val="001F2A39"/>
    <w:rsid w:val="001F4DBE"/>
    <w:rsid w:val="00203474"/>
    <w:rsid w:val="00204CF3"/>
    <w:rsid w:val="00204E90"/>
    <w:rsid w:val="002132BB"/>
    <w:rsid w:val="00213E27"/>
    <w:rsid w:val="002168F9"/>
    <w:rsid w:val="00226488"/>
    <w:rsid w:val="00230430"/>
    <w:rsid w:val="00233076"/>
    <w:rsid w:val="00234AAC"/>
    <w:rsid w:val="002416CF"/>
    <w:rsid w:val="00261E48"/>
    <w:rsid w:val="0027019F"/>
    <w:rsid w:val="00272504"/>
    <w:rsid w:val="00272BE9"/>
    <w:rsid w:val="00275088"/>
    <w:rsid w:val="0027612A"/>
    <w:rsid w:val="00276D37"/>
    <w:rsid w:val="00281F90"/>
    <w:rsid w:val="00284E3E"/>
    <w:rsid w:val="0029093B"/>
    <w:rsid w:val="00293AC4"/>
    <w:rsid w:val="00293B37"/>
    <w:rsid w:val="0029421B"/>
    <w:rsid w:val="0029491E"/>
    <w:rsid w:val="002B07E6"/>
    <w:rsid w:val="002B658F"/>
    <w:rsid w:val="002C10B9"/>
    <w:rsid w:val="002D17DD"/>
    <w:rsid w:val="002E1E37"/>
    <w:rsid w:val="002F3864"/>
    <w:rsid w:val="002F4414"/>
    <w:rsid w:val="00300CD6"/>
    <w:rsid w:val="00301920"/>
    <w:rsid w:val="00303E85"/>
    <w:rsid w:val="00304375"/>
    <w:rsid w:val="003131E0"/>
    <w:rsid w:val="00316D50"/>
    <w:rsid w:val="00330BF5"/>
    <w:rsid w:val="003357F3"/>
    <w:rsid w:val="00337DE0"/>
    <w:rsid w:val="00345E8A"/>
    <w:rsid w:val="00347B3D"/>
    <w:rsid w:val="0035234D"/>
    <w:rsid w:val="003548C7"/>
    <w:rsid w:val="00355691"/>
    <w:rsid w:val="003623ED"/>
    <w:rsid w:val="003637D3"/>
    <w:rsid w:val="003645D2"/>
    <w:rsid w:val="003668DD"/>
    <w:rsid w:val="00376D76"/>
    <w:rsid w:val="003A3DFD"/>
    <w:rsid w:val="003D040E"/>
    <w:rsid w:val="003D4308"/>
    <w:rsid w:val="003E37DB"/>
    <w:rsid w:val="003F53A4"/>
    <w:rsid w:val="0040049B"/>
    <w:rsid w:val="00403669"/>
    <w:rsid w:val="00420273"/>
    <w:rsid w:val="0043475D"/>
    <w:rsid w:val="004507C4"/>
    <w:rsid w:val="0045189F"/>
    <w:rsid w:val="00456B21"/>
    <w:rsid w:val="00457776"/>
    <w:rsid w:val="00463D53"/>
    <w:rsid w:val="00466503"/>
    <w:rsid w:val="00466F1E"/>
    <w:rsid w:val="004A1BDF"/>
    <w:rsid w:val="004A7672"/>
    <w:rsid w:val="004B4C61"/>
    <w:rsid w:val="004B6CCF"/>
    <w:rsid w:val="004B739B"/>
    <w:rsid w:val="004C0014"/>
    <w:rsid w:val="004E7842"/>
    <w:rsid w:val="004F7BF2"/>
    <w:rsid w:val="00501621"/>
    <w:rsid w:val="0050392C"/>
    <w:rsid w:val="0050752A"/>
    <w:rsid w:val="00510144"/>
    <w:rsid w:val="005115F0"/>
    <w:rsid w:val="005247F0"/>
    <w:rsid w:val="00527B86"/>
    <w:rsid w:val="00530458"/>
    <w:rsid w:val="0055359D"/>
    <w:rsid w:val="005578C0"/>
    <w:rsid w:val="00557BD4"/>
    <w:rsid w:val="00566306"/>
    <w:rsid w:val="00577A00"/>
    <w:rsid w:val="005812CC"/>
    <w:rsid w:val="00590F4B"/>
    <w:rsid w:val="00592B60"/>
    <w:rsid w:val="005A35E0"/>
    <w:rsid w:val="005A5A4A"/>
    <w:rsid w:val="005A606D"/>
    <w:rsid w:val="005C7A1B"/>
    <w:rsid w:val="005E02B8"/>
    <w:rsid w:val="005F1627"/>
    <w:rsid w:val="005F728D"/>
    <w:rsid w:val="00602515"/>
    <w:rsid w:val="00633C98"/>
    <w:rsid w:val="00634034"/>
    <w:rsid w:val="00634BC1"/>
    <w:rsid w:val="006408C1"/>
    <w:rsid w:val="00657C10"/>
    <w:rsid w:val="00657F02"/>
    <w:rsid w:val="0067278E"/>
    <w:rsid w:val="006728AB"/>
    <w:rsid w:val="00694086"/>
    <w:rsid w:val="006B0349"/>
    <w:rsid w:val="006B0A1D"/>
    <w:rsid w:val="006B2AA9"/>
    <w:rsid w:val="006B338A"/>
    <w:rsid w:val="006B5D5E"/>
    <w:rsid w:val="006B6407"/>
    <w:rsid w:val="006C6D8A"/>
    <w:rsid w:val="006C7838"/>
    <w:rsid w:val="006E24C0"/>
    <w:rsid w:val="006E46D2"/>
    <w:rsid w:val="006F332B"/>
    <w:rsid w:val="007030C7"/>
    <w:rsid w:val="00720AED"/>
    <w:rsid w:val="00752DEE"/>
    <w:rsid w:val="00764F98"/>
    <w:rsid w:val="00765864"/>
    <w:rsid w:val="0076783F"/>
    <w:rsid w:val="00773C17"/>
    <w:rsid w:val="00775F8B"/>
    <w:rsid w:val="007904D4"/>
    <w:rsid w:val="007A2093"/>
    <w:rsid w:val="007A4ACA"/>
    <w:rsid w:val="007A64D7"/>
    <w:rsid w:val="007A6790"/>
    <w:rsid w:val="007B0257"/>
    <w:rsid w:val="007B2E1E"/>
    <w:rsid w:val="007B49C1"/>
    <w:rsid w:val="007D548B"/>
    <w:rsid w:val="007E1185"/>
    <w:rsid w:val="00802B46"/>
    <w:rsid w:val="00807461"/>
    <w:rsid w:val="0081345B"/>
    <w:rsid w:val="00815BEA"/>
    <w:rsid w:val="00825720"/>
    <w:rsid w:val="00835092"/>
    <w:rsid w:val="00836DCE"/>
    <w:rsid w:val="00841510"/>
    <w:rsid w:val="00856E66"/>
    <w:rsid w:val="00895437"/>
    <w:rsid w:val="00896BA9"/>
    <w:rsid w:val="008B4318"/>
    <w:rsid w:val="008B75EF"/>
    <w:rsid w:val="008D2D3A"/>
    <w:rsid w:val="008D7484"/>
    <w:rsid w:val="008E2A34"/>
    <w:rsid w:val="008E3672"/>
    <w:rsid w:val="008E72E0"/>
    <w:rsid w:val="008F12DD"/>
    <w:rsid w:val="00905572"/>
    <w:rsid w:val="009223B6"/>
    <w:rsid w:val="00927CEE"/>
    <w:rsid w:val="00931B75"/>
    <w:rsid w:val="00931F43"/>
    <w:rsid w:val="009356D2"/>
    <w:rsid w:val="00936DC8"/>
    <w:rsid w:val="00940621"/>
    <w:rsid w:val="009410BF"/>
    <w:rsid w:val="009417D1"/>
    <w:rsid w:val="009447D6"/>
    <w:rsid w:val="009672E6"/>
    <w:rsid w:val="00970093"/>
    <w:rsid w:val="009728E2"/>
    <w:rsid w:val="009771B5"/>
    <w:rsid w:val="00980A87"/>
    <w:rsid w:val="009812DC"/>
    <w:rsid w:val="00982334"/>
    <w:rsid w:val="00992D0C"/>
    <w:rsid w:val="0099379F"/>
    <w:rsid w:val="009B5673"/>
    <w:rsid w:val="009C55CB"/>
    <w:rsid w:val="009D2399"/>
    <w:rsid w:val="009E0F9D"/>
    <w:rsid w:val="009F2E26"/>
    <w:rsid w:val="009F37CB"/>
    <w:rsid w:val="009F6322"/>
    <w:rsid w:val="00A028CD"/>
    <w:rsid w:val="00A035F1"/>
    <w:rsid w:val="00A12238"/>
    <w:rsid w:val="00A17622"/>
    <w:rsid w:val="00A223CA"/>
    <w:rsid w:val="00A3014A"/>
    <w:rsid w:val="00A31AF3"/>
    <w:rsid w:val="00A66518"/>
    <w:rsid w:val="00A676C2"/>
    <w:rsid w:val="00A71789"/>
    <w:rsid w:val="00A73113"/>
    <w:rsid w:val="00A777D1"/>
    <w:rsid w:val="00A81B37"/>
    <w:rsid w:val="00AA2220"/>
    <w:rsid w:val="00AA495D"/>
    <w:rsid w:val="00AA5060"/>
    <w:rsid w:val="00AB29C4"/>
    <w:rsid w:val="00AB46C7"/>
    <w:rsid w:val="00AC3463"/>
    <w:rsid w:val="00AE3130"/>
    <w:rsid w:val="00AE3D67"/>
    <w:rsid w:val="00AE4079"/>
    <w:rsid w:val="00AE5C7A"/>
    <w:rsid w:val="00AF61DD"/>
    <w:rsid w:val="00AF6D94"/>
    <w:rsid w:val="00B01B67"/>
    <w:rsid w:val="00B078E9"/>
    <w:rsid w:val="00B11702"/>
    <w:rsid w:val="00B131C1"/>
    <w:rsid w:val="00B136F6"/>
    <w:rsid w:val="00B177B5"/>
    <w:rsid w:val="00B22BAC"/>
    <w:rsid w:val="00B621FF"/>
    <w:rsid w:val="00B82CB8"/>
    <w:rsid w:val="00B86105"/>
    <w:rsid w:val="00B94368"/>
    <w:rsid w:val="00BA1F3D"/>
    <w:rsid w:val="00BA4C8A"/>
    <w:rsid w:val="00BB2804"/>
    <w:rsid w:val="00BB5674"/>
    <w:rsid w:val="00BC1EFF"/>
    <w:rsid w:val="00BD6835"/>
    <w:rsid w:val="00BD7FAA"/>
    <w:rsid w:val="00BE2682"/>
    <w:rsid w:val="00BF243D"/>
    <w:rsid w:val="00C00B36"/>
    <w:rsid w:val="00C06FBA"/>
    <w:rsid w:val="00C21E7B"/>
    <w:rsid w:val="00C32C62"/>
    <w:rsid w:val="00C35AA4"/>
    <w:rsid w:val="00C42519"/>
    <w:rsid w:val="00C47A80"/>
    <w:rsid w:val="00C50B66"/>
    <w:rsid w:val="00C6040D"/>
    <w:rsid w:val="00C711C1"/>
    <w:rsid w:val="00C8712D"/>
    <w:rsid w:val="00C93369"/>
    <w:rsid w:val="00C96AF3"/>
    <w:rsid w:val="00CA06DB"/>
    <w:rsid w:val="00CD2DD6"/>
    <w:rsid w:val="00CF049C"/>
    <w:rsid w:val="00CF6D58"/>
    <w:rsid w:val="00D00061"/>
    <w:rsid w:val="00D03E5E"/>
    <w:rsid w:val="00D13FDB"/>
    <w:rsid w:val="00D15179"/>
    <w:rsid w:val="00D46357"/>
    <w:rsid w:val="00D678DA"/>
    <w:rsid w:val="00D82DB0"/>
    <w:rsid w:val="00D86804"/>
    <w:rsid w:val="00D947F9"/>
    <w:rsid w:val="00DA459F"/>
    <w:rsid w:val="00DB1EBF"/>
    <w:rsid w:val="00DB4440"/>
    <w:rsid w:val="00DB52C2"/>
    <w:rsid w:val="00DB5833"/>
    <w:rsid w:val="00DC1A95"/>
    <w:rsid w:val="00DC6899"/>
    <w:rsid w:val="00DD0605"/>
    <w:rsid w:val="00DD3620"/>
    <w:rsid w:val="00DD38F7"/>
    <w:rsid w:val="00E03B60"/>
    <w:rsid w:val="00E246E8"/>
    <w:rsid w:val="00E24E8D"/>
    <w:rsid w:val="00E34B5B"/>
    <w:rsid w:val="00E34C99"/>
    <w:rsid w:val="00E37BBC"/>
    <w:rsid w:val="00E37F9A"/>
    <w:rsid w:val="00E41D52"/>
    <w:rsid w:val="00E45C18"/>
    <w:rsid w:val="00E767DE"/>
    <w:rsid w:val="00E777DA"/>
    <w:rsid w:val="00E85E1B"/>
    <w:rsid w:val="00E90C62"/>
    <w:rsid w:val="00E94A71"/>
    <w:rsid w:val="00E960ED"/>
    <w:rsid w:val="00EA1AEB"/>
    <w:rsid w:val="00EB046F"/>
    <w:rsid w:val="00EB25EC"/>
    <w:rsid w:val="00EC1B6E"/>
    <w:rsid w:val="00EC3F14"/>
    <w:rsid w:val="00ED43D7"/>
    <w:rsid w:val="00EE2C33"/>
    <w:rsid w:val="00EE3129"/>
    <w:rsid w:val="00EE4216"/>
    <w:rsid w:val="00EF49FE"/>
    <w:rsid w:val="00F02DB7"/>
    <w:rsid w:val="00F0462C"/>
    <w:rsid w:val="00F1049B"/>
    <w:rsid w:val="00F107A5"/>
    <w:rsid w:val="00F10C5E"/>
    <w:rsid w:val="00F13F07"/>
    <w:rsid w:val="00F24C22"/>
    <w:rsid w:val="00F24FD4"/>
    <w:rsid w:val="00F257CA"/>
    <w:rsid w:val="00F304E9"/>
    <w:rsid w:val="00F405D1"/>
    <w:rsid w:val="00F54349"/>
    <w:rsid w:val="00F67803"/>
    <w:rsid w:val="00F766D8"/>
    <w:rsid w:val="00F77957"/>
    <w:rsid w:val="00FA42AF"/>
    <w:rsid w:val="00FB7E0F"/>
    <w:rsid w:val="00FD0540"/>
    <w:rsid w:val="00FD1C8E"/>
    <w:rsid w:val="00FD3F26"/>
    <w:rsid w:val="00FD7C55"/>
    <w:rsid w:val="00FD7FD8"/>
    <w:rsid w:val="00FE1E57"/>
    <w:rsid w:val="00FE6E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4259">
      <w:bodyDiv w:val="1"/>
      <w:marLeft w:val="0"/>
      <w:marRight w:val="0"/>
      <w:marTop w:val="0"/>
      <w:marBottom w:val="0"/>
      <w:divBdr>
        <w:top w:val="none" w:sz="0" w:space="0" w:color="auto"/>
        <w:left w:val="none" w:sz="0" w:space="0" w:color="auto"/>
        <w:bottom w:val="none" w:sz="0" w:space="0" w:color="auto"/>
        <w:right w:val="none" w:sz="0" w:space="0" w:color="auto"/>
      </w:divBdr>
      <w:divsChild>
        <w:div w:id="211157505">
          <w:marLeft w:val="0"/>
          <w:marRight w:val="0"/>
          <w:marTop w:val="0"/>
          <w:marBottom w:val="0"/>
          <w:divBdr>
            <w:top w:val="none" w:sz="0" w:space="0" w:color="auto"/>
            <w:left w:val="none" w:sz="0" w:space="0" w:color="auto"/>
            <w:bottom w:val="none" w:sz="0" w:space="0" w:color="auto"/>
            <w:right w:val="none" w:sz="0" w:space="0" w:color="auto"/>
          </w:divBdr>
          <w:divsChild>
            <w:div w:id="1427193647">
              <w:marLeft w:val="0"/>
              <w:marRight w:val="0"/>
              <w:marTop w:val="0"/>
              <w:marBottom w:val="0"/>
              <w:divBdr>
                <w:top w:val="none" w:sz="0" w:space="0" w:color="auto"/>
                <w:left w:val="none" w:sz="0" w:space="0" w:color="auto"/>
                <w:bottom w:val="none" w:sz="0" w:space="0" w:color="auto"/>
                <w:right w:val="none" w:sz="0" w:space="0" w:color="auto"/>
              </w:divBdr>
              <w:divsChild>
                <w:div w:id="890462460">
                  <w:marLeft w:val="0"/>
                  <w:marRight w:val="0"/>
                  <w:marTop w:val="0"/>
                  <w:marBottom w:val="0"/>
                  <w:divBdr>
                    <w:top w:val="none" w:sz="0" w:space="0" w:color="auto"/>
                    <w:left w:val="none" w:sz="0" w:space="0" w:color="auto"/>
                    <w:bottom w:val="none" w:sz="0" w:space="0" w:color="auto"/>
                    <w:right w:val="none" w:sz="0" w:space="0" w:color="auto"/>
                  </w:divBdr>
                  <w:divsChild>
                    <w:div w:id="657808912">
                      <w:marLeft w:val="0"/>
                      <w:marRight w:val="0"/>
                      <w:marTop w:val="0"/>
                      <w:marBottom w:val="0"/>
                      <w:divBdr>
                        <w:top w:val="none" w:sz="0" w:space="0" w:color="auto"/>
                        <w:left w:val="none" w:sz="0" w:space="0" w:color="auto"/>
                        <w:bottom w:val="none" w:sz="0" w:space="0" w:color="auto"/>
                        <w:right w:val="none" w:sz="0" w:space="0" w:color="auto"/>
                      </w:divBdr>
                      <w:divsChild>
                        <w:div w:id="1704205538">
                          <w:marLeft w:val="0"/>
                          <w:marRight w:val="0"/>
                          <w:marTop w:val="0"/>
                          <w:marBottom w:val="0"/>
                          <w:divBdr>
                            <w:top w:val="none" w:sz="0" w:space="0" w:color="auto"/>
                            <w:left w:val="none" w:sz="0" w:space="0" w:color="auto"/>
                            <w:bottom w:val="none" w:sz="0" w:space="0" w:color="auto"/>
                            <w:right w:val="none" w:sz="0" w:space="0" w:color="auto"/>
                          </w:divBdr>
                          <w:divsChild>
                            <w:div w:id="1414085932">
                              <w:marLeft w:val="0"/>
                              <w:marRight w:val="0"/>
                              <w:marTop w:val="0"/>
                              <w:marBottom w:val="0"/>
                              <w:divBdr>
                                <w:top w:val="none" w:sz="0" w:space="0" w:color="auto"/>
                                <w:left w:val="none" w:sz="0" w:space="0" w:color="auto"/>
                                <w:bottom w:val="none" w:sz="0" w:space="0" w:color="auto"/>
                                <w:right w:val="none" w:sz="0" w:space="0" w:color="auto"/>
                              </w:divBdr>
                              <w:divsChild>
                                <w:div w:id="1338997120">
                                  <w:marLeft w:val="0"/>
                                  <w:marRight w:val="0"/>
                                  <w:marTop w:val="0"/>
                                  <w:marBottom w:val="0"/>
                                  <w:divBdr>
                                    <w:top w:val="none" w:sz="0" w:space="0" w:color="auto"/>
                                    <w:left w:val="none" w:sz="0" w:space="0" w:color="auto"/>
                                    <w:bottom w:val="none" w:sz="0" w:space="0" w:color="auto"/>
                                    <w:right w:val="none" w:sz="0" w:space="0" w:color="auto"/>
                                  </w:divBdr>
                                  <w:divsChild>
                                    <w:div w:id="16099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182350">
          <w:marLeft w:val="0"/>
          <w:marRight w:val="0"/>
          <w:marTop w:val="0"/>
          <w:marBottom w:val="0"/>
          <w:divBdr>
            <w:top w:val="none" w:sz="0" w:space="0" w:color="auto"/>
            <w:left w:val="none" w:sz="0" w:space="0" w:color="auto"/>
            <w:bottom w:val="none" w:sz="0" w:space="0" w:color="auto"/>
            <w:right w:val="none" w:sz="0" w:space="0" w:color="auto"/>
          </w:divBdr>
          <w:divsChild>
            <w:div w:id="142703395">
              <w:marLeft w:val="0"/>
              <w:marRight w:val="0"/>
              <w:marTop w:val="0"/>
              <w:marBottom w:val="0"/>
              <w:divBdr>
                <w:top w:val="none" w:sz="0" w:space="0" w:color="auto"/>
                <w:left w:val="none" w:sz="0" w:space="0" w:color="auto"/>
                <w:bottom w:val="none" w:sz="0" w:space="0" w:color="auto"/>
                <w:right w:val="none" w:sz="0" w:space="0" w:color="auto"/>
              </w:divBdr>
              <w:divsChild>
                <w:div w:id="26569639">
                  <w:marLeft w:val="0"/>
                  <w:marRight w:val="0"/>
                  <w:marTop w:val="0"/>
                  <w:marBottom w:val="0"/>
                  <w:divBdr>
                    <w:top w:val="none" w:sz="0" w:space="0" w:color="auto"/>
                    <w:left w:val="none" w:sz="0" w:space="0" w:color="auto"/>
                    <w:bottom w:val="none" w:sz="0" w:space="0" w:color="auto"/>
                    <w:right w:val="none" w:sz="0" w:space="0" w:color="auto"/>
                  </w:divBdr>
                  <w:divsChild>
                    <w:div w:id="1872527125">
                      <w:marLeft w:val="0"/>
                      <w:marRight w:val="0"/>
                      <w:marTop w:val="0"/>
                      <w:marBottom w:val="0"/>
                      <w:divBdr>
                        <w:top w:val="none" w:sz="0" w:space="0" w:color="auto"/>
                        <w:left w:val="none" w:sz="0" w:space="0" w:color="auto"/>
                        <w:bottom w:val="none" w:sz="0" w:space="0" w:color="auto"/>
                        <w:right w:val="none" w:sz="0" w:space="0" w:color="auto"/>
                      </w:divBdr>
                      <w:divsChild>
                        <w:div w:id="15977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09568">
      <w:bodyDiv w:val="1"/>
      <w:marLeft w:val="0"/>
      <w:marRight w:val="0"/>
      <w:marTop w:val="0"/>
      <w:marBottom w:val="0"/>
      <w:divBdr>
        <w:top w:val="none" w:sz="0" w:space="0" w:color="auto"/>
        <w:left w:val="none" w:sz="0" w:space="0" w:color="auto"/>
        <w:bottom w:val="none" w:sz="0" w:space="0" w:color="auto"/>
        <w:right w:val="none" w:sz="0" w:space="0" w:color="auto"/>
      </w:divBdr>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15660">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97720">
      <w:bodyDiv w:val="1"/>
      <w:marLeft w:val="0"/>
      <w:marRight w:val="0"/>
      <w:marTop w:val="0"/>
      <w:marBottom w:val="0"/>
      <w:divBdr>
        <w:top w:val="none" w:sz="0" w:space="0" w:color="auto"/>
        <w:left w:val="none" w:sz="0" w:space="0" w:color="auto"/>
        <w:bottom w:val="none" w:sz="0" w:space="0" w:color="auto"/>
        <w:right w:val="none" w:sz="0" w:space="0" w:color="auto"/>
      </w:divBdr>
      <w:divsChild>
        <w:div w:id="559750665">
          <w:marLeft w:val="0"/>
          <w:marRight w:val="0"/>
          <w:marTop w:val="0"/>
          <w:marBottom w:val="0"/>
          <w:divBdr>
            <w:top w:val="none" w:sz="0" w:space="0" w:color="auto"/>
            <w:left w:val="none" w:sz="0" w:space="0" w:color="auto"/>
            <w:bottom w:val="none" w:sz="0" w:space="0" w:color="auto"/>
            <w:right w:val="none" w:sz="0" w:space="0" w:color="auto"/>
          </w:divBdr>
          <w:divsChild>
            <w:div w:id="155610224">
              <w:marLeft w:val="0"/>
              <w:marRight w:val="0"/>
              <w:marTop w:val="0"/>
              <w:marBottom w:val="0"/>
              <w:divBdr>
                <w:top w:val="none" w:sz="0" w:space="0" w:color="auto"/>
                <w:left w:val="none" w:sz="0" w:space="0" w:color="auto"/>
                <w:bottom w:val="none" w:sz="0" w:space="0" w:color="auto"/>
                <w:right w:val="none" w:sz="0" w:space="0" w:color="auto"/>
              </w:divBdr>
              <w:divsChild>
                <w:div w:id="1319576448">
                  <w:marLeft w:val="0"/>
                  <w:marRight w:val="0"/>
                  <w:marTop w:val="0"/>
                  <w:marBottom w:val="0"/>
                  <w:divBdr>
                    <w:top w:val="none" w:sz="0" w:space="0" w:color="auto"/>
                    <w:left w:val="none" w:sz="0" w:space="0" w:color="auto"/>
                    <w:bottom w:val="none" w:sz="0" w:space="0" w:color="auto"/>
                    <w:right w:val="none" w:sz="0" w:space="0" w:color="auto"/>
                  </w:divBdr>
                  <w:divsChild>
                    <w:div w:id="1092237068">
                      <w:marLeft w:val="0"/>
                      <w:marRight w:val="0"/>
                      <w:marTop w:val="0"/>
                      <w:marBottom w:val="0"/>
                      <w:divBdr>
                        <w:top w:val="none" w:sz="0" w:space="0" w:color="auto"/>
                        <w:left w:val="none" w:sz="0" w:space="0" w:color="auto"/>
                        <w:bottom w:val="none" w:sz="0" w:space="0" w:color="auto"/>
                        <w:right w:val="none" w:sz="0" w:space="0" w:color="auto"/>
                      </w:divBdr>
                      <w:divsChild>
                        <w:div w:id="543177951">
                          <w:marLeft w:val="0"/>
                          <w:marRight w:val="0"/>
                          <w:marTop w:val="0"/>
                          <w:marBottom w:val="0"/>
                          <w:divBdr>
                            <w:top w:val="none" w:sz="0" w:space="0" w:color="auto"/>
                            <w:left w:val="none" w:sz="0" w:space="0" w:color="auto"/>
                            <w:bottom w:val="none" w:sz="0" w:space="0" w:color="auto"/>
                            <w:right w:val="none" w:sz="0" w:space="0" w:color="auto"/>
                          </w:divBdr>
                          <w:divsChild>
                            <w:div w:id="1119298336">
                              <w:marLeft w:val="0"/>
                              <w:marRight w:val="0"/>
                              <w:marTop w:val="0"/>
                              <w:marBottom w:val="0"/>
                              <w:divBdr>
                                <w:top w:val="none" w:sz="0" w:space="0" w:color="auto"/>
                                <w:left w:val="none" w:sz="0" w:space="0" w:color="auto"/>
                                <w:bottom w:val="none" w:sz="0" w:space="0" w:color="auto"/>
                                <w:right w:val="none" w:sz="0" w:space="0" w:color="auto"/>
                              </w:divBdr>
                              <w:divsChild>
                                <w:div w:id="4303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0194">
      <w:bodyDiv w:val="1"/>
      <w:marLeft w:val="0"/>
      <w:marRight w:val="0"/>
      <w:marTop w:val="0"/>
      <w:marBottom w:val="0"/>
      <w:divBdr>
        <w:top w:val="none" w:sz="0" w:space="0" w:color="auto"/>
        <w:left w:val="none" w:sz="0" w:space="0" w:color="auto"/>
        <w:bottom w:val="none" w:sz="0" w:space="0" w:color="auto"/>
        <w:right w:val="none" w:sz="0" w:space="0" w:color="auto"/>
      </w:divBdr>
      <w:divsChild>
        <w:div w:id="1072125266">
          <w:marLeft w:val="0"/>
          <w:marRight w:val="0"/>
          <w:marTop w:val="0"/>
          <w:marBottom w:val="0"/>
          <w:divBdr>
            <w:top w:val="none" w:sz="0" w:space="0" w:color="auto"/>
            <w:left w:val="none" w:sz="0" w:space="0" w:color="auto"/>
            <w:bottom w:val="none" w:sz="0" w:space="0" w:color="auto"/>
            <w:right w:val="none" w:sz="0" w:space="0" w:color="auto"/>
          </w:divBdr>
          <w:divsChild>
            <w:div w:id="1292370205">
              <w:marLeft w:val="0"/>
              <w:marRight w:val="0"/>
              <w:marTop w:val="0"/>
              <w:marBottom w:val="0"/>
              <w:divBdr>
                <w:top w:val="none" w:sz="0" w:space="0" w:color="auto"/>
                <w:left w:val="none" w:sz="0" w:space="0" w:color="auto"/>
                <w:bottom w:val="none" w:sz="0" w:space="0" w:color="auto"/>
                <w:right w:val="none" w:sz="0" w:space="0" w:color="auto"/>
              </w:divBdr>
              <w:divsChild>
                <w:div w:id="772480818">
                  <w:marLeft w:val="0"/>
                  <w:marRight w:val="0"/>
                  <w:marTop w:val="0"/>
                  <w:marBottom w:val="0"/>
                  <w:divBdr>
                    <w:top w:val="none" w:sz="0" w:space="0" w:color="auto"/>
                    <w:left w:val="none" w:sz="0" w:space="0" w:color="auto"/>
                    <w:bottom w:val="none" w:sz="0" w:space="0" w:color="auto"/>
                    <w:right w:val="none" w:sz="0" w:space="0" w:color="auto"/>
                  </w:divBdr>
                  <w:divsChild>
                    <w:div w:id="838472706">
                      <w:marLeft w:val="0"/>
                      <w:marRight w:val="0"/>
                      <w:marTop w:val="0"/>
                      <w:marBottom w:val="0"/>
                      <w:divBdr>
                        <w:top w:val="none" w:sz="0" w:space="0" w:color="auto"/>
                        <w:left w:val="none" w:sz="0" w:space="0" w:color="auto"/>
                        <w:bottom w:val="none" w:sz="0" w:space="0" w:color="auto"/>
                        <w:right w:val="none" w:sz="0" w:space="0" w:color="auto"/>
                      </w:divBdr>
                      <w:divsChild>
                        <w:div w:id="141893075">
                          <w:marLeft w:val="0"/>
                          <w:marRight w:val="0"/>
                          <w:marTop w:val="0"/>
                          <w:marBottom w:val="0"/>
                          <w:divBdr>
                            <w:top w:val="none" w:sz="0" w:space="0" w:color="auto"/>
                            <w:left w:val="none" w:sz="0" w:space="0" w:color="auto"/>
                            <w:bottom w:val="none" w:sz="0" w:space="0" w:color="auto"/>
                            <w:right w:val="none" w:sz="0" w:space="0" w:color="auto"/>
                          </w:divBdr>
                          <w:divsChild>
                            <w:div w:id="1772699703">
                              <w:marLeft w:val="0"/>
                              <w:marRight w:val="0"/>
                              <w:marTop w:val="0"/>
                              <w:marBottom w:val="0"/>
                              <w:divBdr>
                                <w:top w:val="none" w:sz="0" w:space="0" w:color="auto"/>
                                <w:left w:val="none" w:sz="0" w:space="0" w:color="auto"/>
                                <w:bottom w:val="none" w:sz="0" w:space="0" w:color="auto"/>
                                <w:right w:val="none" w:sz="0" w:space="0" w:color="auto"/>
                              </w:divBdr>
                              <w:divsChild>
                                <w:div w:id="1248735935">
                                  <w:marLeft w:val="0"/>
                                  <w:marRight w:val="0"/>
                                  <w:marTop w:val="0"/>
                                  <w:marBottom w:val="0"/>
                                  <w:divBdr>
                                    <w:top w:val="none" w:sz="0" w:space="0" w:color="auto"/>
                                    <w:left w:val="none" w:sz="0" w:space="0" w:color="auto"/>
                                    <w:bottom w:val="none" w:sz="0" w:space="0" w:color="auto"/>
                                    <w:right w:val="none" w:sz="0" w:space="0" w:color="auto"/>
                                  </w:divBdr>
                                  <w:divsChild>
                                    <w:div w:id="2043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730793">
          <w:marLeft w:val="0"/>
          <w:marRight w:val="0"/>
          <w:marTop w:val="0"/>
          <w:marBottom w:val="0"/>
          <w:divBdr>
            <w:top w:val="none" w:sz="0" w:space="0" w:color="auto"/>
            <w:left w:val="none" w:sz="0" w:space="0" w:color="auto"/>
            <w:bottom w:val="none" w:sz="0" w:space="0" w:color="auto"/>
            <w:right w:val="none" w:sz="0" w:space="0" w:color="auto"/>
          </w:divBdr>
          <w:divsChild>
            <w:div w:id="655111297">
              <w:marLeft w:val="0"/>
              <w:marRight w:val="0"/>
              <w:marTop w:val="0"/>
              <w:marBottom w:val="0"/>
              <w:divBdr>
                <w:top w:val="none" w:sz="0" w:space="0" w:color="auto"/>
                <w:left w:val="none" w:sz="0" w:space="0" w:color="auto"/>
                <w:bottom w:val="none" w:sz="0" w:space="0" w:color="auto"/>
                <w:right w:val="none" w:sz="0" w:space="0" w:color="auto"/>
              </w:divBdr>
              <w:divsChild>
                <w:div w:id="1474297987">
                  <w:marLeft w:val="0"/>
                  <w:marRight w:val="0"/>
                  <w:marTop w:val="0"/>
                  <w:marBottom w:val="0"/>
                  <w:divBdr>
                    <w:top w:val="none" w:sz="0" w:space="0" w:color="auto"/>
                    <w:left w:val="none" w:sz="0" w:space="0" w:color="auto"/>
                    <w:bottom w:val="none" w:sz="0" w:space="0" w:color="auto"/>
                    <w:right w:val="none" w:sz="0" w:space="0" w:color="auto"/>
                  </w:divBdr>
                  <w:divsChild>
                    <w:div w:id="1159542423">
                      <w:marLeft w:val="0"/>
                      <w:marRight w:val="0"/>
                      <w:marTop w:val="0"/>
                      <w:marBottom w:val="0"/>
                      <w:divBdr>
                        <w:top w:val="none" w:sz="0" w:space="0" w:color="auto"/>
                        <w:left w:val="none" w:sz="0" w:space="0" w:color="auto"/>
                        <w:bottom w:val="none" w:sz="0" w:space="0" w:color="auto"/>
                        <w:right w:val="none" w:sz="0" w:space="0" w:color="auto"/>
                      </w:divBdr>
                      <w:divsChild>
                        <w:div w:id="12576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14782">
      <w:bodyDiv w:val="1"/>
      <w:marLeft w:val="0"/>
      <w:marRight w:val="0"/>
      <w:marTop w:val="0"/>
      <w:marBottom w:val="0"/>
      <w:divBdr>
        <w:top w:val="none" w:sz="0" w:space="0" w:color="auto"/>
        <w:left w:val="none" w:sz="0" w:space="0" w:color="auto"/>
        <w:bottom w:val="none" w:sz="0" w:space="0" w:color="auto"/>
        <w:right w:val="none" w:sz="0" w:space="0" w:color="auto"/>
      </w:divBdr>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690795954">
      <w:bodyDiv w:val="1"/>
      <w:marLeft w:val="0"/>
      <w:marRight w:val="0"/>
      <w:marTop w:val="0"/>
      <w:marBottom w:val="0"/>
      <w:divBdr>
        <w:top w:val="none" w:sz="0" w:space="0" w:color="auto"/>
        <w:left w:val="none" w:sz="0" w:space="0" w:color="auto"/>
        <w:bottom w:val="none" w:sz="0" w:space="0" w:color="auto"/>
        <w:right w:val="none" w:sz="0" w:space="0" w:color="auto"/>
      </w:divBdr>
      <w:divsChild>
        <w:div w:id="7608721">
          <w:marLeft w:val="0"/>
          <w:marRight w:val="0"/>
          <w:marTop w:val="0"/>
          <w:marBottom w:val="0"/>
          <w:divBdr>
            <w:top w:val="none" w:sz="0" w:space="0" w:color="auto"/>
            <w:left w:val="none" w:sz="0" w:space="0" w:color="auto"/>
            <w:bottom w:val="none" w:sz="0" w:space="0" w:color="auto"/>
            <w:right w:val="none" w:sz="0" w:space="0" w:color="auto"/>
          </w:divBdr>
          <w:divsChild>
            <w:div w:id="95374628">
              <w:marLeft w:val="0"/>
              <w:marRight w:val="0"/>
              <w:marTop w:val="0"/>
              <w:marBottom w:val="0"/>
              <w:divBdr>
                <w:top w:val="none" w:sz="0" w:space="0" w:color="auto"/>
                <w:left w:val="none" w:sz="0" w:space="0" w:color="auto"/>
                <w:bottom w:val="none" w:sz="0" w:space="0" w:color="auto"/>
                <w:right w:val="none" w:sz="0" w:space="0" w:color="auto"/>
              </w:divBdr>
              <w:divsChild>
                <w:div w:id="1518420413">
                  <w:marLeft w:val="0"/>
                  <w:marRight w:val="0"/>
                  <w:marTop w:val="0"/>
                  <w:marBottom w:val="0"/>
                  <w:divBdr>
                    <w:top w:val="none" w:sz="0" w:space="0" w:color="auto"/>
                    <w:left w:val="none" w:sz="0" w:space="0" w:color="auto"/>
                    <w:bottom w:val="none" w:sz="0" w:space="0" w:color="auto"/>
                    <w:right w:val="none" w:sz="0" w:space="0" w:color="auto"/>
                  </w:divBdr>
                  <w:divsChild>
                    <w:div w:id="1914386872">
                      <w:marLeft w:val="0"/>
                      <w:marRight w:val="0"/>
                      <w:marTop w:val="0"/>
                      <w:marBottom w:val="0"/>
                      <w:divBdr>
                        <w:top w:val="none" w:sz="0" w:space="0" w:color="auto"/>
                        <w:left w:val="none" w:sz="0" w:space="0" w:color="auto"/>
                        <w:bottom w:val="none" w:sz="0" w:space="0" w:color="auto"/>
                        <w:right w:val="none" w:sz="0" w:space="0" w:color="auto"/>
                      </w:divBdr>
                      <w:divsChild>
                        <w:div w:id="216017662">
                          <w:marLeft w:val="0"/>
                          <w:marRight w:val="0"/>
                          <w:marTop w:val="0"/>
                          <w:marBottom w:val="0"/>
                          <w:divBdr>
                            <w:top w:val="none" w:sz="0" w:space="0" w:color="auto"/>
                            <w:left w:val="none" w:sz="0" w:space="0" w:color="auto"/>
                            <w:bottom w:val="none" w:sz="0" w:space="0" w:color="auto"/>
                            <w:right w:val="none" w:sz="0" w:space="0" w:color="auto"/>
                          </w:divBdr>
                          <w:divsChild>
                            <w:div w:id="334655136">
                              <w:marLeft w:val="0"/>
                              <w:marRight w:val="0"/>
                              <w:marTop w:val="0"/>
                              <w:marBottom w:val="0"/>
                              <w:divBdr>
                                <w:top w:val="none" w:sz="0" w:space="0" w:color="auto"/>
                                <w:left w:val="none" w:sz="0" w:space="0" w:color="auto"/>
                                <w:bottom w:val="none" w:sz="0" w:space="0" w:color="auto"/>
                                <w:right w:val="none" w:sz="0" w:space="0" w:color="auto"/>
                              </w:divBdr>
                              <w:divsChild>
                                <w:div w:id="2080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49267">
      <w:bodyDiv w:val="1"/>
      <w:marLeft w:val="0"/>
      <w:marRight w:val="0"/>
      <w:marTop w:val="0"/>
      <w:marBottom w:val="0"/>
      <w:divBdr>
        <w:top w:val="none" w:sz="0" w:space="0" w:color="auto"/>
        <w:left w:val="none" w:sz="0" w:space="0" w:color="auto"/>
        <w:bottom w:val="none" w:sz="0" w:space="0" w:color="auto"/>
        <w:right w:val="none" w:sz="0" w:space="0" w:color="auto"/>
      </w:divBdr>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uris/document/document.jsf?text=&amp;docid=306323&amp;pageIndex=0&amp;doclang=EN&amp;mode=lst&amp;dir=&amp;occ=first&amp;part=1&amp;cid=20393029" TargetMode="External"/><Relationship Id="rId3" Type="http://schemas.openxmlformats.org/officeDocument/2006/relationships/settings" Target="settings.xml"/><Relationship Id="rId7" Type="http://schemas.openxmlformats.org/officeDocument/2006/relationships/hyperlink" Target="https://www.echr.coe.int/Documents/Convention_E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hr.coe.int/Documents/Convention_ENG.pdf" TargetMode="External"/><Relationship Id="rId5" Type="http://schemas.openxmlformats.org/officeDocument/2006/relationships/hyperlink" Target="https://www.echr.coe.int/Documents/Convention_ENG.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1704</Words>
  <Characters>9376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Andrea Palumbo</cp:lastModifiedBy>
  <cp:revision>93</cp:revision>
  <dcterms:created xsi:type="dcterms:W3CDTF">2026-01-06T13:19:00Z</dcterms:created>
  <dcterms:modified xsi:type="dcterms:W3CDTF">2026-01-06T16:41:00Z</dcterms:modified>
</cp:coreProperties>
</file>