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36DEA" w14:textId="77777777" w:rsidR="004D7046" w:rsidRDefault="004D704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42" w:rightFromText="142" w:vertAnchor="page" w:horzAnchor="page" w:tblpX="1134" w:tblpY="284"/>
        <w:tblW w:w="9193" w:type="dxa"/>
        <w:tblLayout w:type="fixed"/>
        <w:tblLook w:val="0000" w:firstRow="0" w:lastRow="0" w:firstColumn="0" w:lastColumn="0" w:noHBand="0" w:noVBand="0"/>
      </w:tblPr>
      <w:tblGrid>
        <w:gridCol w:w="1276"/>
        <w:gridCol w:w="2268"/>
        <w:gridCol w:w="3260"/>
        <w:gridCol w:w="2389"/>
      </w:tblGrid>
      <w:tr w:rsidR="004D7046" w14:paraId="42EA5A02" w14:textId="77777777">
        <w:trPr>
          <w:cantSplit/>
          <w:trHeight w:val="694"/>
        </w:trPr>
        <w:tc>
          <w:tcPr>
            <w:tcW w:w="1276" w:type="dxa"/>
            <w:tcBorders>
              <w:bottom w:val="single" w:sz="4" w:space="0" w:color="000000"/>
            </w:tcBorders>
            <w:vAlign w:val="bottom"/>
          </w:tcPr>
          <w:p w14:paraId="3BDC6D5E" w14:textId="77777777" w:rsidR="004D7046" w:rsidRDefault="004D7046">
            <w:pPr>
              <w:spacing w:after="80"/>
            </w:pPr>
          </w:p>
        </w:tc>
        <w:tc>
          <w:tcPr>
            <w:tcW w:w="2268" w:type="dxa"/>
            <w:tcBorders>
              <w:bottom w:val="single" w:sz="4" w:space="0" w:color="000000"/>
            </w:tcBorders>
            <w:vAlign w:val="bottom"/>
          </w:tcPr>
          <w:p w14:paraId="125C944E" w14:textId="77777777" w:rsidR="004D7046" w:rsidRDefault="004D7046">
            <w:pPr>
              <w:spacing w:after="80" w:line="300" w:lineRule="auto"/>
              <w:rPr>
                <w:b/>
                <w:bCs/>
                <w:sz w:val="24"/>
                <w:szCs w:val="24"/>
              </w:rPr>
            </w:pPr>
          </w:p>
        </w:tc>
        <w:tc>
          <w:tcPr>
            <w:tcW w:w="5649" w:type="dxa"/>
            <w:gridSpan w:val="2"/>
            <w:tcBorders>
              <w:bottom w:val="single" w:sz="4" w:space="0" w:color="000000"/>
            </w:tcBorders>
            <w:vAlign w:val="bottom"/>
          </w:tcPr>
          <w:p w14:paraId="04B2300F" w14:textId="77777777" w:rsidR="004D7046" w:rsidRDefault="00000000">
            <w:pPr>
              <w:ind w:left="330"/>
              <w:jc w:val="right"/>
            </w:pPr>
            <w:r>
              <w:rPr>
                <w:sz w:val="40"/>
                <w:szCs w:val="40"/>
              </w:rPr>
              <w:t>CCPR</w:t>
            </w:r>
            <w:r>
              <w:t>/C/143/D/3195/2018</w:t>
            </w:r>
          </w:p>
        </w:tc>
      </w:tr>
      <w:tr w:rsidR="004D7046" w14:paraId="39867550" w14:textId="77777777">
        <w:trPr>
          <w:cantSplit/>
          <w:trHeight w:val="2226"/>
        </w:trPr>
        <w:tc>
          <w:tcPr>
            <w:tcW w:w="1276" w:type="dxa"/>
            <w:tcBorders>
              <w:top w:val="single" w:sz="4" w:space="0" w:color="000000"/>
              <w:bottom w:val="single" w:sz="12" w:space="0" w:color="000000"/>
            </w:tcBorders>
          </w:tcPr>
          <w:p w14:paraId="338BDF29" w14:textId="77777777" w:rsidR="004D7046" w:rsidRDefault="004D7046">
            <w:pPr>
              <w:spacing w:before="120"/>
            </w:pPr>
          </w:p>
        </w:tc>
        <w:tc>
          <w:tcPr>
            <w:tcW w:w="5528" w:type="dxa"/>
            <w:gridSpan w:val="2"/>
            <w:tcBorders>
              <w:top w:val="single" w:sz="4" w:space="0" w:color="000000"/>
              <w:bottom w:val="single" w:sz="12" w:space="0" w:color="000000"/>
            </w:tcBorders>
          </w:tcPr>
          <w:p w14:paraId="17FCF8F8" w14:textId="77777777" w:rsidR="004D7046" w:rsidRDefault="004D7046">
            <w:pPr>
              <w:spacing w:before="120" w:line="380" w:lineRule="auto"/>
              <w:rPr>
                <w:b/>
                <w:bCs/>
                <w:sz w:val="34"/>
                <w:szCs w:val="34"/>
              </w:rPr>
            </w:pPr>
          </w:p>
          <w:p w14:paraId="5EE80A19" w14:textId="77777777" w:rsidR="004D7046" w:rsidRDefault="004D7046">
            <w:pPr>
              <w:spacing w:before="120" w:line="380" w:lineRule="auto"/>
              <w:rPr>
                <w:b/>
                <w:bCs/>
                <w:sz w:val="34"/>
                <w:szCs w:val="34"/>
              </w:rPr>
            </w:pPr>
          </w:p>
          <w:p w14:paraId="06D85048" w14:textId="77777777" w:rsidR="004D7046" w:rsidRDefault="00000000">
            <w:pPr>
              <w:spacing w:before="120" w:line="380" w:lineRule="auto"/>
              <w:rPr>
                <w:sz w:val="34"/>
                <w:szCs w:val="34"/>
              </w:rPr>
            </w:pPr>
            <w:r>
              <w:rPr>
                <w:b/>
                <w:bCs/>
                <w:sz w:val="34"/>
                <w:szCs w:val="34"/>
              </w:rPr>
              <w:t>Advance unedited version</w:t>
            </w:r>
          </w:p>
        </w:tc>
        <w:tc>
          <w:tcPr>
            <w:tcW w:w="2389" w:type="dxa"/>
            <w:tcBorders>
              <w:top w:val="single" w:sz="4" w:space="0" w:color="000000"/>
              <w:bottom w:val="single" w:sz="12" w:space="0" w:color="000000"/>
            </w:tcBorders>
          </w:tcPr>
          <w:p w14:paraId="338C7C8D" w14:textId="77777777" w:rsidR="004D7046" w:rsidRDefault="00000000">
            <w:pPr>
              <w:spacing w:before="240" w:line="240" w:lineRule="auto"/>
            </w:pPr>
            <w:r>
              <w:t>Distr.: General</w:t>
            </w:r>
          </w:p>
          <w:p w14:paraId="2F92EF03" w14:textId="77777777" w:rsidR="004D7046" w:rsidRDefault="00000000">
            <w:pPr>
              <w:spacing w:line="240" w:lineRule="auto"/>
            </w:pPr>
            <w:r>
              <w:t>14 March 2025</w:t>
            </w:r>
          </w:p>
          <w:p w14:paraId="32E80C00" w14:textId="77777777" w:rsidR="004D7046" w:rsidRDefault="004D7046">
            <w:pPr>
              <w:spacing w:line="240" w:lineRule="auto"/>
            </w:pPr>
          </w:p>
          <w:p w14:paraId="0B212189" w14:textId="77777777" w:rsidR="004D7046" w:rsidRDefault="00000000">
            <w:r>
              <w:t xml:space="preserve">English </w:t>
            </w:r>
          </w:p>
          <w:p w14:paraId="11104DD4" w14:textId="77777777" w:rsidR="004D7046" w:rsidRDefault="004D7046">
            <w:pPr>
              <w:spacing w:line="240" w:lineRule="auto"/>
            </w:pPr>
          </w:p>
        </w:tc>
      </w:tr>
    </w:tbl>
    <w:p w14:paraId="764F59D9" w14:textId="77777777" w:rsidR="004D7046" w:rsidRDefault="00000000">
      <w:pPr>
        <w:rPr>
          <w:b/>
          <w:bCs/>
          <w:sz w:val="24"/>
          <w:szCs w:val="24"/>
        </w:rPr>
      </w:pPr>
      <w:r>
        <w:rPr>
          <w:b/>
          <w:bCs/>
          <w:sz w:val="24"/>
          <w:szCs w:val="24"/>
        </w:rPr>
        <w:t>Human Rights Committee</w:t>
      </w:r>
    </w:p>
    <w:p w14:paraId="5D36C73A" w14:textId="77777777" w:rsidR="004D7046" w:rsidRDefault="00000000">
      <w:pPr>
        <w:rPr>
          <w:b/>
          <w:bCs/>
          <w:sz w:val="24"/>
          <w:szCs w:val="24"/>
        </w:rPr>
      </w:pPr>
      <w:r>
        <w:rPr>
          <w:b/>
          <w:bCs/>
          <w:sz w:val="24"/>
          <w:szCs w:val="24"/>
        </w:rPr>
        <w:br/>
      </w:r>
    </w:p>
    <w:p w14:paraId="1985DD68" w14:textId="77777777" w:rsidR="004D7046" w:rsidRDefault="00000000">
      <w:pPr>
        <w:keepNext/>
        <w:keepLines/>
        <w:pBdr>
          <w:top w:val="nil"/>
          <w:left w:val="nil"/>
          <w:bottom w:val="nil"/>
          <w:right w:val="nil"/>
          <w:between w:val="nil"/>
        </w:pBdr>
        <w:tabs>
          <w:tab w:val="right" w:pos="851"/>
        </w:tabs>
        <w:spacing w:before="360" w:after="240" w:line="300" w:lineRule="auto"/>
        <w:ind w:left="1134" w:right="1134" w:hanging="1134"/>
        <w:rPr>
          <w:b/>
          <w:bCs/>
          <w:color w:val="000000"/>
          <w:sz w:val="28"/>
          <w:szCs w:val="28"/>
        </w:rPr>
      </w:pPr>
      <w:r>
        <w:rPr>
          <w:b/>
          <w:bCs/>
          <w:color w:val="000000"/>
          <w:sz w:val="28"/>
          <w:szCs w:val="28"/>
        </w:rPr>
        <w:tab/>
      </w:r>
      <w:r>
        <w:rPr>
          <w:b/>
          <w:bCs/>
          <w:color w:val="000000"/>
          <w:sz w:val="28"/>
          <w:szCs w:val="28"/>
        </w:rPr>
        <w:tab/>
        <w:t>Views adopted by the Committee under article 5 (4) of the Optional Protocol, concerning communications No. 3195/2018</w:t>
      </w:r>
      <w:r>
        <w:rPr>
          <w:color w:val="000000"/>
          <w:vertAlign w:val="superscript"/>
        </w:rPr>
        <w:footnoteReference w:id="1"/>
      </w:r>
      <w:r>
        <w:rPr>
          <w:rFonts w:ascii="Symbol" w:eastAsia="Symbol" w:hAnsi="Symbol" w:cs="Symbol"/>
          <w:color w:val="000000"/>
        </w:rPr>
        <w:t>*</w:t>
      </w:r>
      <w:r>
        <w:rPr>
          <w:b/>
          <w:bCs/>
          <w:color w:val="000000"/>
          <w:vertAlign w:val="superscript"/>
        </w:rPr>
        <w:t>,</w:t>
      </w:r>
      <w:r>
        <w:rPr>
          <w:color w:val="000000"/>
          <w:vertAlign w:val="superscript"/>
        </w:rPr>
        <w:footnoteReference w:id="2"/>
      </w:r>
      <w:r>
        <w:rPr>
          <w:rFonts w:ascii="Symbol" w:eastAsia="Symbol" w:hAnsi="Symbol" w:cs="Symbol"/>
          <w:color w:val="000000"/>
        </w:rPr>
        <w:t>**</w:t>
      </w:r>
    </w:p>
    <w:p w14:paraId="3F8B9062"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Communication submitted by:</w:t>
      </w:r>
      <w:r>
        <w:rPr>
          <w:color w:val="000000"/>
        </w:rPr>
        <w:tab/>
        <w:t xml:space="preserve">Cholpon </w:t>
      </w:r>
      <w:r>
        <w:rPr>
          <w:color w:val="1A1A1A"/>
        </w:rPr>
        <w:t xml:space="preserve">Djakupova and </w:t>
      </w:r>
      <w:proofErr w:type="spellStart"/>
      <w:r>
        <w:rPr>
          <w:color w:val="1A1A1A"/>
        </w:rPr>
        <w:t>Narynbek</w:t>
      </w:r>
      <w:proofErr w:type="spellEnd"/>
      <w:r>
        <w:rPr>
          <w:color w:val="1A1A1A"/>
        </w:rPr>
        <w:t xml:space="preserve"> Idinov </w:t>
      </w:r>
      <w:r>
        <w:rPr>
          <w:color w:val="000000"/>
        </w:rPr>
        <w:t>(represented by counsel, Timur Sultanov)</w:t>
      </w:r>
    </w:p>
    <w:p w14:paraId="682EE2E1"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Alleged victims:</w:t>
      </w:r>
      <w:r>
        <w:rPr>
          <w:color w:val="000000"/>
        </w:rPr>
        <w:tab/>
        <w:t>The authors</w:t>
      </w:r>
    </w:p>
    <w:p w14:paraId="69C2C56D"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State party:</w:t>
      </w:r>
      <w:r>
        <w:rPr>
          <w:color w:val="000000"/>
        </w:rPr>
        <w:tab/>
        <w:t>Kyrgyzstan</w:t>
      </w:r>
    </w:p>
    <w:p w14:paraId="701CD1D1"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Date of communication:</w:t>
      </w:r>
      <w:r>
        <w:rPr>
          <w:color w:val="000000"/>
        </w:rPr>
        <w:tab/>
        <w:t>27 April 2018 (initial submission)</w:t>
      </w:r>
    </w:p>
    <w:p w14:paraId="1CAA3C5C"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Document references:</w:t>
      </w:r>
      <w:r>
        <w:rPr>
          <w:color w:val="000000"/>
        </w:rPr>
        <w:tab/>
        <w:t>Decision taken pursuant to rule 92 of the Committee’s rules of procedure, transmitted to the State party on 14 September 2018</w:t>
      </w:r>
    </w:p>
    <w:p w14:paraId="49DA4B72" w14:textId="77777777" w:rsidR="004D7046" w:rsidRDefault="00000000">
      <w:pPr>
        <w:pBdr>
          <w:top w:val="nil"/>
          <w:left w:val="nil"/>
          <w:bottom w:val="nil"/>
          <w:right w:val="nil"/>
          <w:between w:val="nil"/>
        </w:pBdr>
        <w:spacing w:after="120"/>
        <w:ind w:left="4536" w:right="1134" w:hanging="3402"/>
        <w:rPr>
          <w:i/>
          <w:iCs/>
          <w:color w:val="000000"/>
        </w:rPr>
      </w:pPr>
      <w:r>
        <w:rPr>
          <w:i/>
          <w:iCs/>
          <w:color w:val="000000"/>
        </w:rPr>
        <w:t>Date of adoption of Views:</w:t>
      </w:r>
      <w:r>
        <w:rPr>
          <w:color w:val="000000"/>
        </w:rPr>
        <w:tab/>
        <w:t>14 March 2025</w:t>
      </w:r>
    </w:p>
    <w:p w14:paraId="568D2CD4"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Subject matter:</w:t>
      </w:r>
      <w:r>
        <w:rPr>
          <w:color w:val="000000"/>
        </w:rPr>
        <w:tab/>
        <w:t>Defamation of the head of state</w:t>
      </w:r>
    </w:p>
    <w:p w14:paraId="00FDA7BF"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 xml:space="preserve">Procedural issue: </w:t>
      </w:r>
      <w:r>
        <w:rPr>
          <w:i/>
          <w:iCs/>
          <w:color w:val="000000"/>
        </w:rPr>
        <w:tab/>
      </w:r>
      <w:r>
        <w:rPr>
          <w:color w:val="000000"/>
        </w:rPr>
        <w:t>None</w:t>
      </w:r>
    </w:p>
    <w:p w14:paraId="1E18FEFD"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 xml:space="preserve">Substantive issues: </w:t>
      </w:r>
      <w:r>
        <w:rPr>
          <w:i/>
          <w:iCs/>
          <w:color w:val="000000"/>
        </w:rPr>
        <w:tab/>
      </w:r>
      <w:r>
        <w:rPr>
          <w:color w:val="000000"/>
        </w:rPr>
        <w:t>Freedom of expression; freedom of movement</w:t>
      </w:r>
    </w:p>
    <w:p w14:paraId="3FFAF705"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Articles of the Covenant:</w:t>
      </w:r>
      <w:r>
        <w:rPr>
          <w:color w:val="000000"/>
        </w:rPr>
        <w:t xml:space="preserve"> </w:t>
      </w:r>
      <w:r>
        <w:rPr>
          <w:color w:val="000000"/>
        </w:rPr>
        <w:tab/>
        <w:t xml:space="preserve">12 (2), 14 (1) and 19 (2) </w:t>
      </w:r>
    </w:p>
    <w:p w14:paraId="19E34842" w14:textId="77777777" w:rsidR="004D7046" w:rsidRDefault="00000000">
      <w:pPr>
        <w:pBdr>
          <w:top w:val="nil"/>
          <w:left w:val="nil"/>
          <w:bottom w:val="nil"/>
          <w:right w:val="nil"/>
          <w:between w:val="nil"/>
        </w:pBdr>
        <w:spacing w:after="120"/>
        <w:ind w:left="4536" w:right="1134" w:hanging="3402"/>
        <w:rPr>
          <w:color w:val="000000"/>
        </w:rPr>
      </w:pPr>
      <w:r>
        <w:rPr>
          <w:i/>
          <w:iCs/>
          <w:color w:val="000000"/>
        </w:rPr>
        <w:t>Articles of the Optional Protocol:</w:t>
      </w:r>
      <w:r>
        <w:rPr>
          <w:i/>
          <w:iCs/>
          <w:color w:val="000000"/>
        </w:rPr>
        <w:tab/>
      </w:r>
      <w:r>
        <w:rPr>
          <w:color w:val="000000"/>
        </w:rPr>
        <w:t>2</w:t>
      </w:r>
    </w:p>
    <w:p w14:paraId="3F57C825" w14:textId="77777777" w:rsidR="004D7046" w:rsidRDefault="00000000">
      <w:pPr>
        <w:pBdr>
          <w:top w:val="nil"/>
          <w:left w:val="nil"/>
          <w:bottom w:val="nil"/>
          <w:right w:val="nil"/>
          <w:between w:val="nil"/>
        </w:pBdr>
        <w:spacing w:before="240" w:after="120"/>
        <w:ind w:left="1134" w:right="1134"/>
        <w:jc w:val="both"/>
        <w:rPr>
          <w:color w:val="000000"/>
        </w:rPr>
      </w:pPr>
      <w:r>
        <w:rPr>
          <w:color w:val="000000"/>
        </w:rPr>
        <w:t>1.</w:t>
      </w:r>
      <w:r>
        <w:rPr>
          <w:color w:val="000000"/>
        </w:rPr>
        <w:tab/>
        <w:t xml:space="preserve">The authors of the communication are Cholpon </w:t>
      </w:r>
      <w:proofErr w:type="spellStart"/>
      <w:r>
        <w:rPr>
          <w:color w:val="000000"/>
        </w:rPr>
        <w:t>Djakupova</w:t>
      </w:r>
      <w:proofErr w:type="spellEnd"/>
      <w:r>
        <w:rPr>
          <w:color w:val="000000"/>
        </w:rPr>
        <w:t xml:space="preserve"> and </w:t>
      </w:r>
      <w:proofErr w:type="spellStart"/>
      <w:r>
        <w:rPr>
          <w:color w:val="000000"/>
        </w:rPr>
        <w:t>Narynbek</w:t>
      </w:r>
      <w:proofErr w:type="spellEnd"/>
      <w:r>
        <w:rPr>
          <w:color w:val="000000"/>
        </w:rPr>
        <w:t xml:space="preserve"> Idinov, both nationals of Kyrgyzstan born in 1959 and 1952, respectively. They claim that the State party has violated their rights under articles 12 (2), 14 (1) and 19 (2) of the Covenant. The Optional Protocol entered into force for the State party on 7 January 1995. The authors are represented by counsel.</w:t>
      </w:r>
    </w:p>
    <w:p w14:paraId="25A607D0" w14:textId="77777777" w:rsidR="004D7046" w:rsidRDefault="00000000">
      <w:pPr>
        <w:keepNext/>
        <w:keepLines/>
        <w:pBdr>
          <w:top w:val="nil"/>
          <w:left w:val="nil"/>
          <w:bottom w:val="nil"/>
          <w:right w:val="nil"/>
          <w:between w:val="nil"/>
        </w:pBdr>
        <w:tabs>
          <w:tab w:val="right" w:pos="851"/>
        </w:tabs>
        <w:spacing w:before="240" w:after="120" w:line="240" w:lineRule="auto"/>
        <w:ind w:left="1134" w:right="1134" w:hanging="1134"/>
        <w:rPr>
          <w:b/>
          <w:bCs/>
          <w:color w:val="000000"/>
        </w:rPr>
      </w:pPr>
      <w:r>
        <w:rPr>
          <w:b/>
          <w:bCs/>
          <w:color w:val="000000"/>
        </w:rPr>
        <w:tab/>
      </w:r>
      <w:r>
        <w:rPr>
          <w:b/>
          <w:bCs/>
          <w:color w:val="000000"/>
        </w:rPr>
        <w:tab/>
        <w:t xml:space="preserve">Facts as submitted by the authors </w:t>
      </w:r>
    </w:p>
    <w:p w14:paraId="6D867E44"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2.1</w:t>
      </w:r>
      <w:r>
        <w:rPr>
          <w:color w:val="000000"/>
        </w:rPr>
        <w:tab/>
        <w:t xml:space="preserve">The authors submit that since 2016, Kyrgyzstan has witnessed a marked increase in state-driven pressure on freedom of expression. In 2016, the security </w:t>
      </w:r>
      <w:proofErr w:type="gramStart"/>
      <w:r>
        <w:rPr>
          <w:color w:val="000000"/>
        </w:rPr>
        <w:t>agencies initiated</w:t>
      </w:r>
      <w:proofErr w:type="gramEnd"/>
      <w:r>
        <w:rPr>
          <w:color w:val="000000"/>
        </w:rPr>
        <w:t xml:space="preserve"> investigations of social networks for material critical of then-President </w:t>
      </w:r>
      <w:proofErr w:type="spellStart"/>
      <w:r>
        <w:rPr>
          <w:color w:val="000000"/>
        </w:rPr>
        <w:t>Atambaev</w:t>
      </w:r>
      <w:proofErr w:type="spellEnd"/>
      <w:r>
        <w:rPr>
          <w:color w:val="000000"/>
        </w:rPr>
        <w:t xml:space="preserve"> and interrogated the authors of such publications about their posts. In March 2017, the Prosecutor General initiated 4 lawsuits against different media outlets, journalists and human rights </w:t>
      </w:r>
      <w:r>
        <w:rPr>
          <w:color w:val="000000"/>
        </w:rPr>
        <w:lastRenderedPageBreak/>
        <w:t>defenders on behalf of the President under the domestic legislation that protects the president’s honour and dignity,</w:t>
      </w:r>
      <w:r>
        <w:rPr>
          <w:color w:val="000000"/>
          <w:sz w:val="18"/>
          <w:szCs w:val="18"/>
          <w:vertAlign w:val="superscript"/>
        </w:rPr>
        <w:footnoteReference w:id="3"/>
      </w:r>
      <w:r>
        <w:rPr>
          <w:color w:val="000000"/>
        </w:rPr>
        <w:t xml:space="preserve"> seeking compensation in the amount of 48 million Kyrgyzstani </w:t>
      </w:r>
      <w:proofErr w:type="spellStart"/>
      <w:r>
        <w:rPr>
          <w:color w:val="000000"/>
        </w:rPr>
        <w:t>soms</w:t>
      </w:r>
      <w:proofErr w:type="spellEnd"/>
      <w:r>
        <w:rPr>
          <w:color w:val="000000"/>
        </w:rPr>
        <w:t xml:space="preserve">. During his public speeches, President </w:t>
      </w:r>
      <w:proofErr w:type="spellStart"/>
      <w:r>
        <w:rPr>
          <w:color w:val="000000"/>
        </w:rPr>
        <w:t>Atambaev</w:t>
      </w:r>
      <w:proofErr w:type="spellEnd"/>
      <w:r>
        <w:rPr>
          <w:color w:val="000000"/>
        </w:rPr>
        <w:t xml:space="preserve"> harshly criticized independent media as well as condemned the activities of human rights defenders representing the interests of journalists and media.</w:t>
      </w:r>
      <w:r>
        <w:rPr>
          <w:color w:val="000000"/>
          <w:sz w:val="18"/>
          <w:szCs w:val="18"/>
          <w:vertAlign w:val="superscript"/>
        </w:rPr>
        <w:footnoteReference w:id="4"/>
      </w:r>
      <w:r>
        <w:rPr>
          <w:color w:val="000000"/>
        </w:rPr>
        <w:t xml:space="preserve"> </w:t>
      </w:r>
    </w:p>
    <w:p w14:paraId="5BA6F063"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2.2</w:t>
      </w:r>
      <w:r>
        <w:rPr>
          <w:color w:val="000000"/>
        </w:rPr>
        <w:tab/>
        <w:t xml:space="preserve">Both authors are civil activists and are well-known in Kyrgyzstan for their public engagement in the protection of human rights. Ms. Djakupova, a director of the legal clinic “Adilet” and a former deputy of the Kyrgyz parliament, agreed to represent the defendants in all 4 civil cases initiated by the Prosecutor General. On 30 March 2017, the Ombudsman organized a round table on freedom of assembly and freedom of speech to facilitate a discussion between the civil society and Kyrgyz authorities. During the roundtable, Ms. </w:t>
      </w:r>
      <w:proofErr w:type="spellStart"/>
      <w:r>
        <w:rPr>
          <w:color w:val="000000"/>
        </w:rPr>
        <w:t>Djakupova</w:t>
      </w:r>
      <w:proofErr w:type="spellEnd"/>
      <w:r>
        <w:rPr>
          <w:color w:val="000000"/>
        </w:rPr>
        <w:t xml:space="preserve"> took the floor and delivered a critical speech in which she condemned the actions of the authorities and President </w:t>
      </w:r>
      <w:proofErr w:type="spellStart"/>
      <w:r>
        <w:rPr>
          <w:color w:val="000000"/>
        </w:rPr>
        <w:t>Atambaev</w:t>
      </w:r>
      <w:proofErr w:type="spellEnd"/>
      <w:r>
        <w:rPr>
          <w:color w:val="000000"/>
        </w:rPr>
        <w:t xml:space="preserve"> for interfering with the freedom of expression and information in the country.</w:t>
      </w:r>
      <w:r>
        <w:rPr>
          <w:color w:val="000000"/>
          <w:sz w:val="18"/>
          <w:szCs w:val="18"/>
          <w:vertAlign w:val="superscript"/>
        </w:rPr>
        <w:footnoteReference w:id="5"/>
      </w:r>
      <w:r>
        <w:rPr>
          <w:color w:val="000000"/>
        </w:rPr>
        <w:t xml:space="preserve"> On the same day, Mr. Idinov, a journalist and co-founder of the Internet news portal </w:t>
      </w:r>
      <w:proofErr w:type="spellStart"/>
      <w:r>
        <w:rPr>
          <w:i/>
          <w:iCs/>
          <w:color w:val="000000"/>
        </w:rPr>
        <w:t>Zanoza</w:t>
      </w:r>
      <w:proofErr w:type="spellEnd"/>
      <w:r>
        <w:rPr>
          <w:i/>
          <w:iCs/>
          <w:color w:val="000000"/>
        </w:rPr>
        <w:t>,</w:t>
      </w:r>
      <w:r>
        <w:rPr>
          <w:color w:val="000000"/>
        </w:rPr>
        <w:t xml:space="preserve"> published an article containing Ms. Djakupova’s speech on his website.</w:t>
      </w:r>
    </w:p>
    <w:p w14:paraId="2E60DF3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2.3</w:t>
      </w:r>
      <w:r>
        <w:rPr>
          <w:color w:val="000000"/>
        </w:rPr>
        <w:tab/>
        <w:t xml:space="preserve">On 20 April 2017, the Prosecutor General, relying on the provisions of article 4 of the Law on the Guarantees of Activities of the President of Kyrgyzstan and article 18 of the Civil Code, which guarantees protection of a person’s honour, dignity and professional reputation, filed a civil suit for the protection of the honour and dignity of the President and seeking moral compensation in the amount of 3 million </w:t>
      </w:r>
      <w:proofErr w:type="spellStart"/>
      <w:r>
        <w:rPr>
          <w:color w:val="000000"/>
        </w:rPr>
        <w:t>soms</w:t>
      </w:r>
      <w:proofErr w:type="spellEnd"/>
      <w:r>
        <w:rPr>
          <w:color w:val="000000"/>
        </w:rPr>
        <w:t xml:space="preserve"> from each of the authors.</w:t>
      </w:r>
      <w:r>
        <w:rPr>
          <w:color w:val="000000"/>
          <w:sz w:val="18"/>
          <w:szCs w:val="18"/>
          <w:vertAlign w:val="superscript"/>
        </w:rPr>
        <w:footnoteReference w:id="6"/>
      </w:r>
      <w:r>
        <w:rPr>
          <w:color w:val="000000"/>
        </w:rPr>
        <w:t xml:space="preserve"> The lawsuit also named another individual and a public foundation as co-defendants in the case. The authors claim that such a large amount of compensation is unprecedented in the judicial history of Kyrgyzstan and, for example, for Mr. </w:t>
      </w:r>
      <w:proofErr w:type="spellStart"/>
      <w:r>
        <w:rPr>
          <w:color w:val="000000"/>
        </w:rPr>
        <w:t>Idinov</w:t>
      </w:r>
      <w:proofErr w:type="spellEnd"/>
      <w:r>
        <w:rPr>
          <w:color w:val="000000"/>
        </w:rPr>
        <w:t xml:space="preserve"> to pay such an amount would require him to surrender his entire income for the next 31 years. They also note that in 2017, the average amount of compensation for non-pecuniary damages awarded by domestic courts, for example in cases of murder or rape, was in the 100,000 – 200,000 </w:t>
      </w:r>
      <w:proofErr w:type="spellStart"/>
      <w:r>
        <w:rPr>
          <w:color w:val="000000"/>
        </w:rPr>
        <w:t>soms</w:t>
      </w:r>
      <w:proofErr w:type="spellEnd"/>
      <w:r>
        <w:rPr>
          <w:color w:val="000000"/>
        </w:rPr>
        <w:t xml:space="preserve"> range. The Prosecutor General also requested the court to declare parts of Ms. Djakupova’s speech as untrue and to order the removal of the article from Mr. Idinov’s website. The lawsuit alleged that Ms. Djakupova’s speech was inappropriate and contained emotionally expressive elements, irony and sarcasm </w:t>
      </w:r>
      <w:proofErr w:type="gramStart"/>
      <w:r>
        <w:rPr>
          <w:color w:val="000000"/>
        </w:rPr>
        <w:t>in order to</w:t>
      </w:r>
      <w:proofErr w:type="gramEnd"/>
      <w:r>
        <w:rPr>
          <w:color w:val="000000"/>
        </w:rPr>
        <w:t xml:space="preserve"> create negative public opinion affecting the reputation of the President.</w:t>
      </w:r>
    </w:p>
    <w:p w14:paraId="555FB48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2.4</w:t>
      </w:r>
      <w:r>
        <w:rPr>
          <w:color w:val="000000"/>
        </w:rPr>
        <w:tab/>
        <w:t xml:space="preserve">On 26 April 2017, at the request of the Prosecutor General, the Oktyabrsky District Court of Bishkek City issued an injunction prohibiting the authors from leaving the country before the end of the court proceedings and ordered to temporarily seize their assets to secure a payout of potential damages. As a result of the injunction order, court bailiffs arrested a bank account and a house belonging to Ms. Djakupova. The court considered these measures necessary to ensure that nothing would hinder or make impossible the implementation of the court’s final decision. The authors appealed the injunction measures to the Bishkek City </w:t>
      </w:r>
      <w:proofErr w:type="gramStart"/>
      <w:r>
        <w:rPr>
          <w:color w:val="000000"/>
        </w:rPr>
        <w:t>Court,</w:t>
      </w:r>
      <w:proofErr w:type="gramEnd"/>
      <w:r>
        <w:rPr>
          <w:color w:val="000000"/>
        </w:rPr>
        <w:t xml:space="preserve"> however their appeal was denied on 18 May 2017. The authors also filed an appeal for a supervisory review to the Supreme Court, which was dismissed on 19 June 2017. </w:t>
      </w:r>
    </w:p>
    <w:p w14:paraId="539E0C7D"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2.5</w:t>
      </w:r>
      <w:r>
        <w:rPr>
          <w:color w:val="000000"/>
        </w:rPr>
        <w:tab/>
        <w:t xml:space="preserve">On 30 June 2017, the Oktyabrsky District Court ruled that in her speech Ms. </w:t>
      </w:r>
      <w:proofErr w:type="spellStart"/>
      <w:r>
        <w:rPr>
          <w:color w:val="000000"/>
        </w:rPr>
        <w:t>Djakupova</w:t>
      </w:r>
      <w:proofErr w:type="spellEnd"/>
      <w:r>
        <w:rPr>
          <w:color w:val="000000"/>
        </w:rPr>
        <w:t xml:space="preserve"> defamed the honour and dignity of President </w:t>
      </w:r>
      <w:proofErr w:type="spellStart"/>
      <w:r>
        <w:rPr>
          <w:color w:val="000000"/>
        </w:rPr>
        <w:t>Atambaev</w:t>
      </w:r>
      <w:proofErr w:type="spellEnd"/>
      <w:r>
        <w:rPr>
          <w:color w:val="000000"/>
        </w:rPr>
        <w:t xml:space="preserve"> and ordered to delete the </w:t>
      </w:r>
      <w:r>
        <w:rPr>
          <w:color w:val="000000"/>
        </w:rPr>
        <w:lastRenderedPageBreak/>
        <w:t xml:space="preserve">article containing her speech from Mr. Idinov’s website.  Even though the lawsuit was filed against 4 defendants, the trial lasted only 2 days and was conducted with numerous violations of procedural and substantive law. The authors’ counsels were not given sufficient time to examine case materials or to prepare legal arguments, the presiding judge interrupted the defendants' testimonies, indicating that they exceeded their time limit, and the authors’ motions for a linguistic expert testimony and additional time to prepare for closing arguments were dismissed without substantiation. The court ordered both authors to pay President </w:t>
      </w:r>
      <w:proofErr w:type="spellStart"/>
      <w:r>
        <w:rPr>
          <w:color w:val="000000"/>
        </w:rPr>
        <w:t>Atambaev</w:t>
      </w:r>
      <w:proofErr w:type="spellEnd"/>
      <w:r>
        <w:rPr>
          <w:color w:val="000000"/>
        </w:rPr>
        <w:t xml:space="preserve"> non-pecuniary damages in the amount of 3 million </w:t>
      </w:r>
      <w:proofErr w:type="spellStart"/>
      <w:r>
        <w:rPr>
          <w:color w:val="000000"/>
        </w:rPr>
        <w:t>soms</w:t>
      </w:r>
      <w:proofErr w:type="spellEnd"/>
      <w:r>
        <w:rPr>
          <w:color w:val="000000"/>
        </w:rPr>
        <w:t xml:space="preserve"> each as requested by the Prosecutor General. On 17 August 2017, the Bishkek City Court denied the authors’ appeal. On an unspecified date, the authors lodged a cassation appeal to the Supreme Court that was dismissed on 30 November 2017.</w:t>
      </w:r>
    </w:p>
    <w:p w14:paraId="71520900"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2.6</w:t>
      </w:r>
      <w:r>
        <w:rPr>
          <w:color w:val="000000"/>
        </w:rPr>
        <w:tab/>
        <w:t xml:space="preserve">On 6 December 2017, the authors requested the Oktyabrsky District Court to approve an instalment plan for executing the court’s decision by way of withholding 50 per cent of their monthly income until the entire amount is paid. The authors provided the court with detailed information about their income and showed that they would not be able to pay the awarded damages at once. On 19 December 2017, the Oktyabrsky District Court denied the authors’ request. The authors appealed the decision to the Bishkek City </w:t>
      </w:r>
      <w:proofErr w:type="gramStart"/>
      <w:r>
        <w:rPr>
          <w:color w:val="000000"/>
        </w:rPr>
        <w:t>Court</w:t>
      </w:r>
      <w:proofErr w:type="gramEnd"/>
      <w:r>
        <w:rPr>
          <w:color w:val="000000"/>
        </w:rPr>
        <w:t xml:space="preserve"> but their appeal was denied on 7 February 2018. </w:t>
      </w:r>
    </w:p>
    <w:p w14:paraId="73302CEC"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2.7</w:t>
      </w:r>
      <w:r>
        <w:rPr>
          <w:color w:val="000000"/>
        </w:rPr>
        <w:tab/>
        <w:t xml:space="preserve">On 12 January 2018, a legal representative of President </w:t>
      </w:r>
      <w:proofErr w:type="spellStart"/>
      <w:r>
        <w:rPr>
          <w:color w:val="000000"/>
        </w:rPr>
        <w:t>Atambaev</w:t>
      </w:r>
      <w:proofErr w:type="spellEnd"/>
      <w:r>
        <w:rPr>
          <w:color w:val="000000"/>
        </w:rPr>
        <w:t xml:space="preserve"> requested the Oktyabrsky District Court to execute the court’s final decision by initiating the foreclosure proceedings of the </w:t>
      </w:r>
      <w:proofErr w:type="gramStart"/>
      <w:r>
        <w:rPr>
          <w:color w:val="000000"/>
        </w:rPr>
        <w:t>authors’</w:t>
      </w:r>
      <w:proofErr w:type="gramEnd"/>
      <w:r>
        <w:rPr>
          <w:color w:val="000000"/>
        </w:rPr>
        <w:t xml:space="preserve"> seized property for subsequent sale. On 14 February 2018, this request was granted in relation to Ms. Djakupova’s property. At the time of the submission of this communication, the foreclosure proceedings were in process.</w:t>
      </w:r>
    </w:p>
    <w:p w14:paraId="1A38578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2.8</w:t>
      </w:r>
      <w:r>
        <w:rPr>
          <w:color w:val="000000"/>
        </w:rPr>
        <w:tab/>
        <w:t>The authors submit that they have exhausted all available domestic remedies.</w:t>
      </w:r>
      <w:r>
        <w:rPr>
          <w:color w:val="000000"/>
        </w:rPr>
        <w:tab/>
      </w:r>
    </w:p>
    <w:p w14:paraId="7E832212" w14:textId="77777777" w:rsidR="004D7046" w:rsidRDefault="00000000">
      <w:pPr>
        <w:keepNext/>
        <w:keepLines/>
        <w:pBdr>
          <w:top w:val="nil"/>
          <w:left w:val="nil"/>
          <w:bottom w:val="nil"/>
          <w:right w:val="nil"/>
          <w:between w:val="nil"/>
        </w:pBdr>
        <w:tabs>
          <w:tab w:val="right" w:pos="851"/>
        </w:tabs>
        <w:spacing w:before="240" w:after="120" w:line="240" w:lineRule="auto"/>
        <w:ind w:left="1134" w:right="1134" w:hanging="1134"/>
        <w:rPr>
          <w:b/>
          <w:bCs/>
          <w:color w:val="000000"/>
        </w:rPr>
      </w:pPr>
      <w:r>
        <w:rPr>
          <w:b/>
          <w:bCs/>
          <w:color w:val="000000"/>
        </w:rPr>
        <w:tab/>
      </w:r>
      <w:r>
        <w:rPr>
          <w:b/>
          <w:bCs/>
          <w:color w:val="000000"/>
        </w:rPr>
        <w:tab/>
        <w:t>Complaint</w:t>
      </w:r>
    </w:p>
    <w:p w14:paraId="07BEFDAF"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3.1</w:t>
      </w:r>
      <w:r>
        <w:rPr>
          <w:color w:val="000000"/>
        </w:rPr>
        <w:tab/>
        <w:t xml:space="preserve">The authors claim that the State party has violated their rights under articles 12 (2), 14 (1) and 19 (2) of the Covenant. </w:t>
      </w:r>
    </w:p>
    <w:p w14:paraId="4516E0B1"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3.2</w:t>
      </w:r>
      <w:r>
        <w:rPr>
          <w:color w:val="000000"/>
        </w:rPr>
        <w:tab/>
        <w:t>The authors claim that by imposing on them a travel ban, the State party has violated their rights under article 12 (2) of the Covenant.</w:t>
      </w:r>
      <w:r>
        <w:rPr>
          <w:color w:val="000000"/>
          <w:vertAlign w:val="superscript"/>
        </w:rPr>
        <w:t xml:space="preserve"> </w:t>
      </w:r>
      <w:r>
        <w:rPr>
          <w:color w:val="000000"/>
        </w:rPr>
        <w:t>The authors note that the Committee has held that while restrictive measures are admissible under certain circumstances provided by article 12 (3), those restrictive measures must conform with the principle of proportionality, must be appropriate to achieve their protective function and proportionate to the interest to be protected.</w:t>
      </w:r>
      <w:r>
        <w:rPr>
          <w:color w:val="000000"/>
          <w:sz w:val="18"/>
          <w:szCs w:val="18"/>
          <w:vertAlign w:val="superscript"/>
        </w:rPr>
        <w:footnoteReference w:id="7"/>
      </w:r>
      <w:r>
        <w:rPr>
          <w:color w:val="000000"/>
        </w:rPr>
        <w:t xml:space="preserve"> The authors submit that the travel ban resulted in the inability for both of them to fully pursue their professional activity given that both of them, as part of their work, had to travel abroad. The authors note that the travel ban remained in force after the decision of the court of first instance pending full payment of the awarded damages.</w:t>
      </w:r>
    </w:p>
    <w:p w14:paraId="19B6B008"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3.3</w:t>
      </w:r>
      <w:r>
        <w:rPr>
          <w:color w:val="000000"/>
        </w:rPr>
        <w:tab/>
        <w:t>The authors also consider that their rights under article 14 (1) of the Covenant have been violated because of procedural irregularities and the violation of the principle of equality of arms. The authors claim that the domestic courts did not give them sufficient time to prepare their defence, did not allow them to fully present their arguments, and summarily dismissed their motions, thus failing to ensure that each side is given the opportunity to contest all arguments and evidence adduced by the other party.</w:t>
      </w:r>
      <w:r>
        <w:rPr>
          <w:color w:val="000000"/>
          <w:sz w:val="18"/>
          <w:szCs w:val="18"/>
          <w:vertAlign w:val="superscript"/>
        </w:rPr>
        <w:footnoteReference w:id="8"/>
      </w:r>
      <w:r>
        <w:rPr>
          <w:color w:val="000000"/>
        </w:rPr>
        <w:t xml:space="preserve"> They also note that the proceedings took place in a general environment of shrinking space for freedom of expression that included public officials openly criticizing human rights defenders and journalists. In particular, the President repeatedly criticized local media outlets in his speeches and condemned the activities of human rights defenders. The authors consider that the President influenced the Prosecutor General to start legal proceedings against them.</w:t>
      </w:r>
    </w:p>
    <w:p w14:paraId="108BF28F"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3.4</w:t>
      </w:r>
      <w:r>
        <w:rPr>
          <w:color w:val="000000"/>
        </w:rPr>
        <w:tab/>
        <w:t xml:space="preserve">Referring to article 19 (2) of the Covenant, the authors submit that the restriction imposed on them was not provided for by law and was neither necessary in a democratic society, nor proportionate to the aim pursued. The authors claim that the Kyrgyz authorities </w:t>
      </w:r>
      <w:r>
        <w:rPr>
          <w:color w:val="000000"/>
        </w:rPr>
        <w:lastRenderedPageBreak/>
        <w:t xml:space="preserve">failed to take into consideration that Ms. Djakupova’s speech was of public interest and mainly urged government officials to uphold the standards of the Constitution and the rule of law in general, while Mr. </w:t>
      </w:r>
      <w:proofErr w:type="spellStart"/>
      <w:r>
        <w:rPr>
          <w:color w:val="000000"/>
        </w:rPr>
        <w:t>Idinov</w:t>
      </w:r>
      <w:proofErr w:type="spellEnd"/>
      <w:r>
        <w:rPr>
          <w:color w:val="000000"/>
        </w:rPr>
        <w:t xml:space="preserve"> simply reproduced and critically reported a political event. The authors note that the courts did not consider that public figures, especially the President, should be subject to the highest level of scrutiny, and failed to establish any pressing social need for placing the protection of the President’s reputation above their own freedom of expression. The authors also argue that the </w:t>
      </w:r>
      <w:proofErr w:type="gramStart"/>
      <w:r>
        <w:rPr>
          <w:color w:val="000000"/>
        </w:rPr>
        <w:t>amount</w:t>
      </w:r>
      <w:proofErr w:type="gramEnd"/>
      <w:r>
        <w:rPr>
          <w:color w:val="000000"/>
        </w:rPr>
        <w:t xml:space="preserve"> of damages awarded by the domestic courts is void of any logic or explanation as to how this amount has been calculated. </w:t>
      </w:r>
    </w:p>
    <w:p w14:paraId="63E50EA5" w14:textId="77777777" w:rsidR="004D7046" w:rsidRDefault="00000000">
      <w:pPr>
        <w:keepNext/>
        <w:keepLines/>
        <w:pBdr>
          <w:top w:val="nil"/>
          <w:left w:val="nil"/>
          <w:bottom w:val="nil"/>
          <w:right w:val="nil"/>
          <w:between w:val="nil"/>
        </w:pBdr>
        <w:tabs>
          <w:tab w:val="right" w:pos="851"/>
        </w:tabs>
        <w:spacing w:before="240" w:after="120" w:line="240" w:lineRule="auto"/>
        <w:ind w:left="1134" w:right="36" w:hanging="1134"/>
        <w:rPr>
          <w:b/>
          <w:bCs/>
          <w:color w:val="000000"/>
        </w:rPr>
      </w:pPr>
      <w:bookmarkStart w:id="2" w:name="_heading=h.frosjqssn97h" w:colFirst="0" w:colLast="0"/>
      <w:bookmarkEnd w:id="2"/>
      <w:r>
        <w:rPr>
          <w:b/>
          <w:bCs/>
          <w:color w:val="000000"/>
        </w:rPr>
        <w:tab/>
      </w:r>
      <w:r>
        <w:rPr>
          <w:b/>
          <w:bCs/>
          <w:color w:val="000000"/>
        </w:rPr>
        <w:tab/>
        <w:t xml:space="preserve">State party’s observations on the merits </w:t>
      </w:r>
    </w:p>
    <w:p w14:paraId="656FC0B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4.1</w:t>
      </w:r>
      <w:r>
        <w:rPr>
          <w:color w:val="000000"/>
        </w:rPr>
        <w:tab/>
        <w:t xml:space="preserve">By note verbale dated 20 December 2018, the State party submitted its observations on the merits of the communication. The State party notes that at a public event held on 30 March 2017, Ms. </w:t>
      </w:r>
      <w:proofErr w:type="spellStart"/>
      <w:r>
        <w:rPr>
          <w:color w:val="000000"/>
        </w:rPr>
        <w:t>Djakupova</w:t>
      </w:r>
      <w:proofErr w:type="spellEnd"/>
      <w:r>
        <w:rPr>
          <w:color w:val="000000"/>
        </w:rPr>
        <w:t xml:space="preserve"> affirmatively voiced </w:t>
      </w:r>
      <w:proofErr w:type="gramStart"/>
      <w:r>
        <w:rPr>
          <w:color w:val="000000"/>
        </w:rPr>
        <w:t>a number of</w:t>
      </w:r>
      <w:proofErr w:type="gramEnd"/>
      <w:r>
        <w:rPr>
          <w:color w:val="000000"/>
        </w:rPr>
        <w:t xml:space="preserve"> statements and accusations that discredited and degraded the honour, dignity and reputation of President Atambaev. In particular, she, without providing any evidence or facts, stated that the President persecuted the media out of personal revenge and interfered in the administration of justice, effectively accusing him of committing a crime of abuse of office. She publicly accused the President of ignorance of the Constitution and laws and of abusing his authority as the head of the state. She also condemned the President for creating a situation in which a coup and a civil war could occur, for having a “mania for revenge” and has called him “a sacred body”, “someone with manic personalities” and “having sick tendencies”.   </w:t>
      </w:r>
    </w:p>
    <w:p w14:paraId="0B40C7C2"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4.2</w:t>
      </w:r>
      <w:r>
        <w:rPr>
          <w:color w:val="000000"/>
        </w:rPr>
        <w:tab/>
        <w:t xml:space="preserve">The State party submits that on the same day, </w:t>
      </w:r>
      <w:proofErr w:type="spellStart"/>
      <w:r>
        <w:rPr>
          <w:i/>
          <w:iCs/>
          <w:color w:val="000000"/>
        </w:rPr>
        <w:t>Zanoza</w:t>
      </w:r>
      <w:proofErr w:type="spellEnd"/>
      <w:r>
        <w:rPr>
          <w:color w:val="000000"/>
        </w:rPr>
        <w:t xml:space="preserve"> published an article entitled “Cholpon Djakupova: It’s time to reprimand a person with manic tendencies” that contained Ms. Djakupova’s speech, which was reproduced without any prior fact-checking. It also submits that the article distorted some of Ms. Djakupova’s statements to strengthen the negative presentation of the information to the public, such as adding the phrase “It’s time to reprimand…” in the heading of the article as if it was said by the speaker when in fact Ms. </w:t>
      </w:r>
      <w:proofErr w:type="spellStart"/>
      <w:r>
        <w:rPr>
          <w:color w:val="000000"/>
        </w:rPr>
        <w:t>Djakupova</w:t>
      </w:r>
      <w:proofErr w:type="spellEnd"/>
      <w:r>
        <w:rPr>
          <w:color w:val="000000"/>
        </w:rPr>
        <w:t xml:space="preserve"> did not use such a phrase in her speech. The State party notes that a linguistics expert from the State Forensic Centre under the Ministry of Justice conducted a forensic linguistic examination of the videotape and transcript of Ms. Djakupova’s speech, which revealed that it contained emotionally expressive elements, irony and sarcasm. According to the Centre’s report, by characterizing the President’s ethical and moral standards negatively, Ms. </w:t>
      </w:r>
      <w:proofErr w:type="spellStart"/>
      <w:r>
        <w:rPr>
          <w:color w:val="000000"/>
        </w:rPr>
        <w:t>Djakupova</w:t>
      </w:r>
      <w:proofErr w:type="spellEnd"/>
      <w:r>
        <w:rPr>
          <w:color w:val="000000"/>
        </w:rPr>
        <w:t xml:space="preserve"> had undermined his status and tarnished his professional reputation and public image, degrading his honour and dignity.</w:t>
      </w:r>
    </w:p>
    <w:p w14:paraId="4F3C1573"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4.3</w:t>
      </w:r>
      <w:r>
        <w:rPr>
          <w:color w:val="000000"/>
        </w:rPr>
        <w:tab/>
        <w:t xml:space="preserve">The State party submits that on 20 April 2017, the Prosecutor General filed a lawsuit to the Oktyabrsky District Court to protect the honour and dignity of the President and requested to remove the article containing Ms. Djakupova’s speech from the </w:t>
      </w:r>
      <w:proofErr w:type="spellStart"/>
      <w:r>
        <w:rPr>
          <w:i/>
          <w:iCs/>
          <w:color w:val="000000"/>
        </w:rPr>
        <w:t>Zanoza</w:t>
      </w:r>
      <w:proofErr w:type="spellEnd"/>
      <w:r>
        <w:rPr>
          <w:color w:val="000000"/>
        </w:rPr>
        <w:t xml:space="preserve"> website. She also asked to award non-pecuniary damages in the amount of 3 million </w:t>
      </w:r>
      <w:proofErr w:type="spellStart"/>
      <w:r>
        <w:rPr>
          <w:color w:val="000000"/>
        </w:rPr>
        <w:t>soms</w:t>
      </w:r>
      <w:proofErr w:type="spellEnd"/>
      <w:r>
        <w:rPr>
          <w:color w:val="000000"/>
        </w:rPr>
        <w:t xml:space="preserve"> from each of the defendants.  </w:t>
      </w:r>
    </w:p>
    <w:p w14:paraId="4F0FAA8D"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4.4</w:t>
      </w:r>
      <w:r>
        <w:rPr>
          <w:color w:val="000000"/>
        </w:rPr>
        <w:tab/>
        <w:t>With regard to the authors’ claim that the injunction measures violated their rights under the Covenant, the State party submits that the Code of Civil Procedure provides for injunction measures in the form of temporarily seizing the defendant’s assets to guarantee the payment of damages in case the defendant is unable to pay the amount of court awarded compensation. The State party further notes that the travel ban was imposed by the trial court at the request of the Prosecutor General given the authors’ frequent trips abroad due to the nature of their work and that their departure before consideration of the case on the merits could complicate and delay the trial. The State party notes that at the time the lawsuit was submitted, article 46 (8) of the Law on external migration provided for the possibility of a temporary travel ban in case of a pending civil lawsuit. However, on 30 May 2018, the Constitutional Chamber of the Supreme Court held that the abovementioned article was contrary to the Constitution of Kyrgyzstan.</w:t>
      </w:r>
    </w:p>
    <w:p w14:paraId="270ED1E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4.5</w:t>
      </w:r>
      <w:r>
        <w:rPr>
          <w:color w:val="000000"/>
        </w:rPr>
        <w:tab/>
        <w:t xml:space="preserve">With regard to the proportionality of the damages sought by the Prosecutor General, the State party notes that when determining the amount of monetary compensation to be recovered from the authors, several factors were taken into account, including the nature and content of the public statements, the method and duration of the publication, the degree of </w:t>
      </w:r>
      <w:r>
        <w:rPr>
          <w:color w:val="000000"/>
        </w:rPr>
        <w:lastRenderedPageBreak/>
        <w:t>influence of statements and publications on forming negative public opinion about the victim, the extent to which his dignity, social status and business reputation were affected, as well as other negative consequences that he had faced. At the same time, it notes that the current legislation does not provide an established methodology that would help to determine the amount of monetary compensation for non-pecuniary damages in such cases. It considers that the domestic courts have complied with the requirements of reasonableness, fairness and proportionality in determining the amount of compensation for moral damages.</w:t>
      </w:r>
    </w:p>
    <w:p w14:paraId="7E96FC87"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4.6</w:t>
      </w:r>
      <w:r>
        <w:rPr>
          <w:color w:val="000000"/>
        </w:rPr>
        <w:tab/>
        <w:t xml:space="preserve">The State party submits that on 23 May 2018, President </w:t>
      </w:r>
      <w:proofErr w:type="spellStart"/>
      <w:r>
        <w:rPr>
          <w:color w:val="000000"/>
        </w:rPr>
        <w:t>Atambaev</w:t>
      </w:r>
      <w:proofErr w:type="spellEnd"/>
      <w:r>
        <w:rPr>
          <w:color w:val="000000"/>
        </w:rPr>
        <w:t xml:space="preserve"> waived part of his claim for non-pecuniary damages and requested the Oktyabrsky District Court to lift the injunction measures issued by the court on 26 April 2017. On 4 June 2018, the Oktyabrsky District Court granted the request and lifted all injunction measures against the authors. The State party submits that the waiver of non-pecuniary damages by President </w:t>
      </w:r>
      <w:proofErr w:type="spellStart"/>
      <w:r>
        <w:rPr>
          <w:color w:val="000000"/>
        </w:rPr>
        <w:t>Atambaev</w:t>
      </w:r>
      <w:proofErr w:type="spellEnd"/>
      <w:r>
        <w:rPr>
          <w:color w:val="000000"/>
        </w:rPr>
        <w:t xml:space="preserve"> rendered the decisions of the domestic courts devoid of any legal consequences. Moreover, on 17 October 2018, the Constitutional Chamber of the Supreme Court ruled that the provisions of article 4 of the Law on the Guarantees of Activities of the President of Kyrgyzstan were contrary to the Constitution insofar as it allows for the protection of the President’s honour and dignity and determination of the amount of moral compensation by the Prosecutor General without the President’s explicit consent. </w:t>
      </w:r>
    </w:p>
    <w:p w14:paraId="0162CC0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4.7</w:t>
      </w:r>
      <w:r>
        <w:rPr>
          <w:color w:val="000000"/>
        </w:rPr>
        <w:tab/>
        <w:t>As to the procedural irregularities and the violation of the principle of equality of arms alleged by the authors, the State party considers that the trial court maintained its objectivity and impartiality throughout the process, providing all necessary conditions for a comprehensive and full examination of evidence and correct application of the domestic law in resolving the case. It notes that the trial was open to the public, and the rights of all parties involved in the case were fully observed by the court.</w:t>
      </w:r>
    </w:p>
    <w:p w14:paraId="463A855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4.8</w:t>
      </w:r>
      <w:r>
        <w:rPr>
          <w:color w:val="000000"/>
        </w:rPr>
        <w:tab/>
        <w:t xml:space="preserve">Finally, </w:t>
      </w:r>
      <w:proofErr w:type="gramStart"/>
      <w:r>
        <w:rPr>
          <w:color w:val="000000"/>
        </w:rPr>
        <w:t>with regard to</w:t>
      </w:r>
      <w:proofErr w:type="gramEnd"/>
      <w:r>
        <w:rPr>
          <w:color w:val="000000"/>
        </w:rPr>
        <w:t xml:space="preserve"> the authors’ claim under article 19 of the Covenant, the State party notes that in accordance with article 29 of the Constitution, everyone, including the President, has the right to protection of honour and dignity. Also, article 12 of the Universal Declaration states that no one shall be subjected to attacks upon his honour and </w:t>
      </w:r>
      <w:proofErr w:type="gramStart"/>
      <w:r>
        <w:rPr>
          <w:color w:val="000000"/>
        </w:rPr>
        <w:t>reputation</w:t>
      </w:r>
      <w:proofErr w:type="gramEnd"/>
      <w:r>
        <w:rPr>
          <w:color w:val="000000"/>
        </w:rPr>
        <w:t xml:space="preserve"> and everyone has the right to the protection of the law against such attacks. Moreover, article 8 of the Declaration provides that everyone has the right to an effective remedy by the competent national tribunals for acts violating the fundamental rights granted him by the constitution or by law. The State party refers to the jurisprudence of the European Court of Human Rights where the court has held that despite the role that the press plays in a state governed by the rule of law, it is obliged to adhere to certain frameworks set by the law.</w:t>
      </w:r>
      <w:r>
        <w:rPr>
          <w:color w:val="000000"/>
          <w:sz w:val="18"/>
          <w:szCs w:val="18"/>
          <w:vertAlign w:val="superscript"/>
        </w:rPr>
        <w:footnoteReference w:id="9"/>
      </w:r>
      <w:r>
        <w:rPr>
          <w:color w:val="000000"/>
        </w:rPr>
        <w:t xml:space="preserve"> Therefore, the State party argues that the judgments of the domestic courts were based on the relevant provisions of Kyrgyz legislation, and their application pursued the legitimate aim of the protection of the reputation or rights of others, namely President Atambaev.</w:t>
      </w:r>
    </w:p>
    <w:p w14:paraId="4E1AD936" w14:textId="77777777" w:rsidR="004D7046" w:rsidRDefault="00000000">
      <w:pPr>
        <w:keepNext/>
        <w:keepLines/>
        <w:pBdr>
          <w:top w:val="nil"/>
          <w:left w:val="nil"/>
          <w:bottom w:val="nil"/>
          <w:right w:val="nil"/>
          <w:between w:val="nil"/>
        </w:pBdr>
        <w:tabs>
          <w:tab w:val="right" w:pos="851"/>
        </w:tabs>
        <w:spacing w:before="240" w:after="120" w:line="240" w:lineRule="auto"/>
        <w:ind w:left="1134" w:right="36" w:hanging="1134"/>
        <w:rPr>
          <w:color w:val="000000"/>
        </w:rPr>
      </w:pPr>
      <w:r>
        <w:rPr>
          <w:b/>
          <w:bCs/>
          <w:color w:val="000000"/>
        </w:rPr>
        <w:tab/>
      </w:r>
      <w:r>
        <w:rPr>
          <w:b/>
          <w:bCs/>
          <w:color w:val="000000"/>
        </w:rPr>
        <w:tab/>
        <w:t>Authors’ comments on the State party’s observations on the merits</w:t>
      </w:r>
    </w:p>
    <w:p w14:paraId="770BDA29"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5.1</w:t>
      </w:r>
      <w:r>
        <w:rPr>
          <w:color w:val="000000"/>
        </w:rPr>
        <w:tab/>
        <w:t xml:space="preserve">On 25 February 2019, the authors provided their comments to the State party’s observations on the merits. The authors reject the legality and the legal sufficiency of the forensics linguistic examination of Ms. Djakupova’s speech because it was appointed and conducted not </w:t>
      </w:r>
      <w:proofErr w:type="gramStart"/>
      <w:r>
        <w:rPr>
          <w:color w:val="000000"/>
        </w:rPr>
        <w:t>on the basis of</w:t>
      </w:r>
      <w:proofErr w:type="gramEnd"/>
      <w:r>
        <w:rPr>
          <w:color w:val="000000"/>
        </w:rPr>
        <w:t xml:space="preserve"> an independent court decision but rather ordered by the Office of the Prosecutor General, which was one of the parties in the case. The authors note that in accordance with the national legislation, if forensic examination is ordered by a court, each of the parties has the right to petition the court to include their questions for the consideration of experts or to give objections on issues proposed by the other party to the court process. However, </w:t>
      </w:r>
      <w:proofErr w:type="gramStart"/>
      <w:r>
        <w:rPr>
          <w:color w:val="000000"/>
        </w:rPr>
        <w:t>due to the fact that</w:t>
      </w:r>
      <w:proofErr w:type="gramEnd"/>
      <w:r>
        <w:rPr>
          <w:color w:val="000000"/>
        </w:rPr>
        <w:t xml:space="preserve"> the linguistic examination was ordered by the Office of the Prosecutor General, they were deprived of this opportunity. </w:t>
      </w:r>
    </w:p>
    <w:p w14:paraId="1CBD462A"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5.2</w:t>
      </w:r>
      <w:r>
        <w:rPr>
          <w:color w:val="000000"/>
        </w:rPr>
        <w:tab/>
        <w:t xml:space="preserve">The authors reject the State party’s submission that the trial court maintained its objectivity and impartiality throughout the process and provided necessary conditions for a comprehensive and full examination of evidence in the case. They note that the trial court did </w:t>
      </w:r>
      <w:r>
        <w:rPr>
          <w:color w:val="000000"/>
        </w:rPr>
        <w:lastRenderedPageBreak/>
        <w:t xml:space="preserve">not grant their lawyers sufficient time to examine case materials and to properly prepare their arguments. During their cassation appeal, it took the Supreme Court only 30 minutes to hear 3 separate appeals of the 3 co-defendants in the case. The authors note that they were repeatedly and rudely interrupted by the court and reminded about time constraints. </w:t>
      </w:r>
    </w:p>
    <w:p w14:paraId="2439890F"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5.3</w:t>
      </w:r>
      <w:r>
        <w:rPr>
          <w:color w:val="000000"/>
        </w:rPr>
        <w:tab/>
        <w:t xml:space="preserve">The authors argue that the Prosecutor General demanded that the authors pay an excessively high amount for compensation of moral damages in violation of the principle of reasonableness and proportionality, knowing that the authors would not be able to pay it. This has resulted in other violations of the authors’ rights, such as prolonged arrest of their property and freezing of their bank accounts. The authors note that throughout the domestic proceedings, they repeatedly drew the courts’ attention to the fact that President </w:t>
      </w:r>
      <w:proofErr w:type="spellStart"/>
      <w:r>
        <w:rPr>
          <w:color w:val="000000"/>
        </w:rPr>
        <w:t>Atambaev</w:t>
      </w:r>
      <w:proofErr w:type="spellEnd"/>
      <w:r>
        <w:rPr>
          <w:color w:val="000000"/>
        </w:rPr>
        <w:t xml:space="preserve"> hadn’t given formal consent to the Prosecutor General to file a lawsuit protecting his honour and dignity or approved the amount of the compensation sought. Later, after the authors complained to the Constitutional Chamber of the Supreme Court, it held that the provision of the law that had allowed the Prosecutor General to file a lawsuit against the authors without the president’s consent was unconstitutional. </w:t>
      </w:r>
    </w:p>
    <w:p w14:paraId="4E4BC91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5.4</w:t>
      </w:r>
      <w:r>
        <w:rPr>
          <w:color w:val="000000"/>
        </w:rPr>
        <w:tab/>
        <w:t xml:space="preserve">The authors disagree with the arguments of the State party on the reasonableness and proportionality of imposing a travel restriction when filing and considering claims for the protection of honour and dignity. They note that they never missed or delayed a court hearing in their case, and the courts did not have any reason to believe that they would obstruct or delay the consideration of the case. Moreover, they submit that their case was the first one in the history of Kyrgyzstan when such an injunction measure was applied to defendants in a case concerning the protection of honour and dignity. The authors note that they had to appeal the unconstitutionality of the travel ban, and on 30 May 2018, the Constitutional Chamber of the Supreme Court concluded that a travel ban as an injunction measure in civil cases is inconsistent with the principles of proportionality and exceeds the limits of restriction of the rights protected by the Constitution since there are other judicial mechanisms available to courts aimed at forcing defendants to participate in a trial. Only after President </w:t>
      </w:r>
      <w:proofErr w:type="spellStart"/>
      <w:r>
        <w:rPr>
          <w:color w:val="000000"/>
        </w:rPr>
        <w:t>Atambaev</w:t>
      </w:r>
      <w:proofErr w:type="spellEnd"/>
      <w:r>
        <w:rPr>
          <w:color w:val="000000"/>
        </w:rPr>
        <w:t xml:space="preserve"> waived part of his claim for non-pecuniary damages and requested the court to lift the injunction measures, on 4 June 2018, the Oktyabrsky District Court lifted the authors’ travel ban. The authors submit that they had to cancel several trips abroad during the duration of their travel ban between 26 April 2017 and 4 June 2018, which had a negative effect on their professional work. </w:t>
      </w:r>
    </w:p>
    <w:p w14:paraId="4C6E1327"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5.5</w:t>
      </w:r>
      <w:r>
        <w:rPr>
          <w:color w:val="000000"/>
        </w:rPr>
        <w:tab/>
        <w:t xml:space="preserve">The authors reject the State party’s submission that the domestic courts have complied with the requirements of reasonableness, fairness and proportionality in determining the amount of compensation for moral damage. They note that neither the Prosecutor General nor the court of first instance provided the methodology based on which they calculated the amount of compensation. They note that in 2017, Ms. Djakupova’s monthly income was 104,795 </w:t>
      </w:r>
      <w:proofErr w:type="spellStart"/>
      <w:r>
        <w:rPr>
          <w:color w:val="000000"/>
        </w:rPr>
        <w:t>soms</w:t>
      </w:r>
      <w:proofErr w:type="spellEnd"/>
      <w:r>
        <w:rPr>
          <w:color w:val="000000"/>
        </w:rPr>
        <w:t xml:space="preserve"> while Mr. </w:t>
      </w:r>
      <w:proofErr w:type="spellStart"/>
      <w:r>
        <w:rPr>
          <w:color w:val="000000"/>
        </w:rPr>
        <w:t>Idinov</w:t>
      </w:r>
      <w:proofErr w:type="spellEnd"/>
      <w:r>
        <w:rPr>
          <w:color w:val="000000"/>
        </w:rPr>
        <w:t xml:space="preserve"> was making only 8,000 </w:t>
      </w:r>
      <w:proofErr w:type="spellStart"/>
      <w:r>
        <w:rPr>
          <w:color w:val="000000"/>
        </w:rPr>
        <w:t>soms</w:t>
      </w:r>
      <w:proofErr w:type="spellEnd"/>
      <w:r>
        <w:rPr>
          <w:color w:val="000000"/>
        </w:rPr>
        <w:t xml:space="preserve"> a month and this information was provided to the trial court. They also note that the median monthly salary in Bishkek in 2016 was 18,311 </w:t>
      </w:r>
      <w:proofErr w:type="spellStart"/>
      <w:r>
        <w:rPr>
          <w:color w:val="000000"/>
        </w:rPr>
        <w:t>soms</w:t>
      </w:r>
      <w:proofErr w:type="spellEnd"/>
      <w:r>
        <w:rPr>
          <w:color w:val="000000"/>
        </w:rPr>
        <w:t xml:space="preserve"> according to the National Statistics Committee. </w:t>
      </w:r>
    </w:p>
    <w:p w14:paraId="35E1A7E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5.6</w:t>
      </w:r>
      <w:r>
        <w:rPr>
          <w:color w:val="000000"/>
        </w:rPr>
        <w:tab/>
        <w:t xml:space="preserve">With regard to the State party’s observations on the violation of article 19 of the Covenant, the authors note that the 2 cases referenced by the State party in its submission substantially differ from the case of the authors and cannot be used as precedents for a number reasons, including because those exercising the highest political authority such as heads of state are legitimately subject to criticism and political opposition. They submit that amid repeated attacks against human rights defenders and mass media outlets in Kyrgyzstan at the time of the events in question, the State party’s legal actions must be interpreted as an attempt to interfere with and suppress expression contradicting official views. The authors note that in 2017, the Prosecutor General filed 5 different lawsuits against independent journalists and human rights defenders to defend the honour and dignity of President Atambaev, including the case against them. </w:t>
      </w:r>
    </w:p>
    <w:p w14:paraId="2CF3B9AA" w14:textId="77777777" w:rsidR="004D7046" w:rsidRDefault="00000000">
      <w:pPr>
        <w:keepNext/>
        <w:keepLines/>
        <w:pBdr>
          <w:top w:val="nil"/>
          <w:left w:val="nil"/>
          <w:bottom w:val="nil"/>
          <w:right w:val="nil"/>
          <w:between w:val="nil"/>
        </w:pBdr>
        <w:tabs>
          <w:tab w:val="right" w:pos="851"/>
        </w:tabs>
        <w:spacing w:before="240" w:after="120" w:line="240" w:lineRule="auto"/>
        <w:ind w:left="1134" w:right="36" w:hanging="1134"/>
        <w:rPr>
          <w:color w:val="000000"/>
        </w:rPr>
      </w:pPr>
      <w:r>
        <w:rPr>
          <w:b/>
          <w:bCs/>
          <w:color w:val="000000"/>
        </w:rPr>
        <w:lastRenderedPageBreak/>
        <w:tab/>
      </w:r>
      <w:r>
        <w:rPr>
          <w:b/>
          <w:bCs/>
          <w:color w:val="000000"/>
        </w:rPr>
        <w:tab/>
        <w:t>Issues and proceedings before the Committee</w:t>
      </w:r>
    </w:p>
    <w:p w14:paraId="1D2679B0" w14:textId="77777777" w:rsidR="004D7046" w:rsidRDefault="00000000">
      <w:pPr>
        <w:keepNext/>
        <w:keepLines/>
        <w:pBdr>
          <w:top w:val="nil"/>
          <w:left w:val="nil"/>
          <w:bottom w:val="nil"/>
          <w:right w:val="nil"/>
          <w:between w:val="nil"/>
        </w:pBdr>
        <w:tabs>
          <w:tab w:val="right" w:pos="851"/>
        </w:tabs>
        <w:spacing w:before="240" w:after="120" w:line="240" w:lineRule="auto"/>
        <w:ind w:left="1134" w:right="36" w:hanging="1134"/>
        <w:rPr>
          <w:color w:val="000000"/>
        </w:rPr>
      </w:pPr>
      <w:r>
        <w:rPr>
          <w:i/>
          <w:iCs/>
          <w:color w:val="000000"/>
        </w:rPr>
        <w:tab/>
      </w:r>
      <w:r>
        <w:rPr>
          <w:i/>
          <w:iCs/>
          <w:color w:val="000000"/>
        </w:rPr>
        <w:tab/>
        <w:t>Consideration of admissibility</w:t>
      </w:r>
    </w:p>
    <w:p w14:paraId="681720FD"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6.1</w:t>
      </w:r>
      <w:r>
        <w:rPr>
          <w:color w:val="000000"/>
        </w:rPr>
        <w:tab/>
        <w:t>Before considering any claim contained in a communication, the Committee must decide, in accordance with rule 97 of its rules of procedure, whether the communication is admissible under the Optional Protocol.</w:t>
      </w:r>
    </w:p>
    <w:p w14:paraId="5A5971C2"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6.2</w:t>
      </w:r>
      <w:r>
        <w:rPr>
          <w:color w:val="000000"/>
        </w:rPr>
        <w:tab/>
        <w:t>The Committee has ascertained, as required under article 5 (2) (a) of the Optional Protocol, that the same matter is not being examined under another procedure of international investigation or settlement.</w:t>
      </w:r>
    </w:p>
    <w:p w14:paraId="346E163D"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6.3</w:t>
      </w:r>
      <w:r>
        <w:rPr>
          <w:color w:val="000000"/>
        </w:rPr>
        <w:tab/>
        <w:t>The Committee notes the authors’ submission that they have exhausted all effective domestic remedies available to them. In the absence of any objection by the State party in that regard, the Committee considers that it is not precluded from examining the communication under article 5 (2) (b) of the Optional Protocol.</w:t>
      </w:r>
    </w:p>
    <w:p w14:paraId="7E57F82D"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6.4</w:t>
      </w:r>
      <w:r>
        <w:rPr>
          <w:color w:val="000000"/>
        </w:rPr>
        <w:tab/>
        <w:t>The Committee observes in this regard that the authors’ claims under article 14 (1) of the Covenant refer primarily to the appraisal of evidence adduced during the court proceedings and the application of domestic legislation, matters falling in principle to the national courts, unless the evaluation of evidence was clearly arbitrary or amounted to a manifest error or denial of justice, or the court otherwise violated its obligation of independence and impartiality.</w:t>
      </w:r>
      <w:r>
        <w:rPr>
          <w:color w:val="000000"/>
          <w:sz w:val="18"/>
          <w:szCs w:val="18"/>
          <w:vertAlign w:val="superscript"/>
        </w:rPr>
        <w:footnoteReference w:id="10"/>
      </w:r>
      <w:r>
        <w:rPr>
          <w:color w:val="000000"/>
        </w:rPr>
        <w:t xml:space="preserve"> In the present case, the Committee is of the view that the authors have failed to demonstrate, for the purposes of admissibility, that the conduct of the proceedings in their case was clearly arbitrary or amounted to a manifest error or denial of justice, or provided evidence that the courts otherwise violated their obligation of independence and impartiality. The Committee consequently considers that this part of the communication has not been sufficiently substantiated and thus finds it inadmissible under article 2 of the Optional Protocol.</w:t>
      </w:r>
    </w:p>
    <w:p w14:paraId="0FD8C44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6.5</w:t>
      </w:r>
      <w:r>
        <w:rPr>
          <w:color w:val="000000"/>
        </w:rPr>
        <w:tab/>
        <w:t>The Committee considers that the authors have sufficiently substantiated their claims under articles 12 (2) and 19 (2) of the Covenant for the purposes of admissibility. The Committee therefore declares the communication admissible and proceeds to consideration of the merits.</w:t>
      </w:r>
    </w:p>
    <w:p w14:paraId="09EE5087" w14:textId="77777777" w:rsidR="004D7046" w:rsidRDefault="00000000">
      <w:pPr>
        <w:keepNext/>
        <w:keepLines/>
        <w:pBdr>
          <w:top w:val="nil"/>
          <w:left w:val="nil"/>
          <w:bottom w:val="nil"/>
          <w:right w:val="nil"/>
          <w:between w:val="nil"/>
        </w:pBdr>
        <w:tabs>
          <w:tab w:val="right" w:pos="851"/>
        </w:tabs>
        <w:spacing w:before="240" w:after="120" w:line="240" w:lineRule="auto"/>
        <w:ind w:left="1134" w:right="36" w:hanging="1134"/>
        <w:rPr>
          <w:i/>
          <w:iCs/>
          <w:color w:val="000000"/>
        </w:rPr>
      </w:pPr>
      <w:r>
        <w:rPr>
          <w:i/>
          <w:iCs/>
          <w:color w:val="000000"/>
        </w:rPr>
        <w:tab/>
      </w:r>
      <w:r>
        <w:rPr>
          <w:i/>
          <w:iCs/>
          <w:color w:val="000000"/>
        </w:rPr>
        <w:tab/>
        <w:t xml:space="preserve">Consideration of the merits </w:t>
      </w:r>
    </w:p>
    <w:p w14:paraId="16940D22"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7.1</w:t>
      </w:r>
      <w:r>
        <w:rPr>
          <w:color w:val="000000"/>
        </w:rPr>
        <w:tab/>
        <w:t xml:space="preserve">The Committee has considered the communication in the light of all the information submitted to it by the parties, as required under article 5 (1) of the Optional Protocol. </w:t>
      </w:r>
    </w:p>
    <w:p w14:paraId="48C88CC5"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7.2</w:t>
      </w:r>
      <w:r>
        <w:rPr>
          <w:color w:val="000000"/>
        </w:rPr>
        <w:tab/>
        <w:t xml:space="preserve">The Committee notes the authors’ claim that the decisions of the domestic courts ordering the removal of the article containing Ms. Djakupova’s speech from the website co-founded by Mr. </w:t>
      </w:r>
      <w:proofErr w:type="spellStart"/>
      <w:r>
        <w:rPr>
          <w:color w:val="000000"/>
        </w:rPr>
        <w:t>Idinov</w:t>
      </w:r>
      <w:proofErr w:type="spellEnd"/>
      <w:r>
        <w:rPr>
          <w:color w:val="000000"/>
        </w:rPr>
        <w:t xml:space="preserve"> and imposing excessive non-pecuniary damages, as well as the injunction measures in the form of a travel ban and asset freezes, constituted a restriction on the authors’ right to freedom of expression, as guaranteed by article 19 (2) of the Covenant. The Committee must therefore examine whether the imposed restrictions were justified under the criteria provided by article 19 (3) of the Covenant.</w:t>
      </w:r>
    </w:p>
    <w:p w14:paraId="50CD3CFA"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7.3</w:t>
      </w:r>
      <w:r>
        <w:rPr>
          <w:color w:val="000000"/>
        </w:rPr>
        <w:tab/>
        <w:t xml:space="preserve">The Committee refers to its general comment No. 34 on freedom of opinion and expression (2011), according to which freedom of opinion and expression are essential for any society and constitute the foundation stone of every free and democratic society (para. 2). According to article 19 (3) of the Covenant, the right to freedom of expression can be subject to certain restrictions, but only such as are provided by law and are necessary: (a) for respect for the rights or reputations of others; or (b) for the protection of national security or public order, or of public health or morals (para. 28). All restrictions imposed on freedom of expression must be provided by law. They may only be imposed on the grounds set out in subparagraphs (a) and (b) of article 19 (3) and they must conform to the strict tests of necessity and proportionality. Furthermore, the Committee recalls that a free, uncensored and unhindered press or other media, including internet news portals, as in this case, is essential </w:t>
      </w:r>
      <w:r>
        <w:rPr>
          <w:color w:val="000000"/>
        </w:rPr>
        <w:lastRenderedPageBreak/>
        <w:t>in any society to ensure freedom of opinion and expression and the enjoyment of other Covenant rights. That implies a free press and other media able to comment on public issues without censorship or restraint and to inform public opinion. It constitutes one of the cornerstones of a democratic society (para. 13).</w:t>
      </w:r>
    </w:p>
    <w:p w14:paraId="6CA933BC"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7.4</w:t>
      </w:r>
      <w:r>
        <w:rPr>
          <w:color w:val="000000"/>
        </w:rPr>
        <w:tab/>
        <w:t xml:space="preserve">The Committee notes that in the present case, the relevant provisions of the Law on the Guarantees of Activities of the President of Kyrgyzstan and the Kyrgyz Civil Code were applied with the legitimate aim of protecting the reputation or rights of others. Therefore, the restriction imposed on the authors was provided for by law. The Committee shall now determine whether the restriction on the authors’ right to freedom of expression was necessary and proportionate. </w:t>
      </w:r>
    </w:p>
    <w:p w14:paraId="3232A93C"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7.5</w:t>
      </w:r>
      <w:r>
        <w:rPr>
          <w:color w:val="000000"/>
        </w:rPr>
        <w:tab/>
        <w:t>As the Committee noted in paragraph 35 of its general comment No. 34 (2011), when a State party invokes a legitimate ground for restriction of freedom of expression, it must demonstrate in specific and individualized fashion why the specific action taken was necessary and proportionate.</w:t>
      </w:r>
      <w:r>
        <w:rPr>
          <w:color w:val="000000"/>
          <w:sz w:val="18"/>
          <w:szCs w:val="18"/>
          <w:vertAlign w:val="superscript"/>
        </w:rPr>
        <w:footnoteReference w:id="11"/>
      </w:r>
      <w:r>
        <w:rPr>
          <w:color w:val="000000"/>
        </w:rPr>
        <w:t xml:space="preserve"> The Committee notes that Ms. </w:t>
      </w:r>
      <w:proofErr w:type="spellStart"/>
      <w:r>
        <w:rPr>
          <w:color w:val="000000"/>
        </w:rPr>
        <w:t>Djakupova</w:t>
      </w:r>
      <w:proofErr w:type="spellEnd"/>
      <w:r>
        <w:rPr>
          <w:color w:val="000000"/>
        </w:rPr>
        <w:t xml:space="preserve"> delivered her speech during a roundtable between representatives of civil society and Kyrgyz authorities where she criticized the then-president and the government for interfering with the freedom of expression and information in the country. Therefore, her critique of the perceived interference with people’s constitutional rights was a matter of public interest. The Committee recalls in that respect that to meet the test of necessity any restriction on the right to freedom of expression which seeks to protect the reputation of others must be shown to be appropriate to achieve its protective function; must be the least intrusive instrument among those which might achieve their protective function; and must be proportionate to the interest to be protected.</w:t>
      </w:r>
      <w:r>
        <w:rPr>
          <w:color w:val="000000"/>
          <w:sz w:val="18"/>
          <w:szCs w:val="18"/>
          <w:vertAlign w:val="superscript"/>
        </w:rPr>
        <w:footnoteReference w:id="12"/>
      </w:r>
      <w:r>
        <w:rPr>
          <w:color w:val="000000"/>
        </w:rPr>
        <w:t xml:space="preserve"> In any event, a public interest in the subject matter of the criticism should be recognized as a defence and care should be taken by States parties to avoid excessively punitive measures and penalties.</w:t>
      </w:r>
      <w:r>
        <w:rPr>
          <w:color w:val="000000"/>
          <w:sz w:val="18"/>
          <w:szCs w:val="18"/>
          <w:vertAlign w:val="superscript"/>
        </w:rPr>
        <w:footnoteReference w:id="13"/>
      </w:r>
      <w:r>
        <w:rPr>
          <w:color w:val="000000"/>
        </w:rPr>
        <w:t xml:space="preserve"> Where relevant, States parties should place reasonable limits on the requirement for a defendant to reimburse the expenses of the successful party. The Committee recalls that in circumstances of public debate concerning public figures in the political domain and public institutions, the value placed by the Covenant upon uninhibited expression is particularly high.</w:t>
      </w:r>
      <w:r>
        <w:rPr>
          <w:color w:val="000000"/>
          <w:sz w:val="18"/>
          <w:szCs w:val="18"/>
          <w:vertAlign w:val="superscript"/>
        </w:rPr>
        <w:footnoteReference w:id="14"/>
      </w:r>
      <w:r>
        <w:rPr>
          <w:color w:val="000000"/>
        </w:rPr>
        <w:t xml:space="preserve"> Moreover, all public figures, including those exercising the highest political authority such as heads of State, are legitimately subject to criticism and political opposition.</w:t>
      </w:r>
      <w:r>
        <w:rPr>
          <w:color w:val="000000"/>
          <w:sz w:val="18"/>
          <w:szCs w:val="18"/>
          <w:vertAlign w:val="superscript"/>
        </w:rPr>
        <w:footnoteReference w:id="15"/>
      </w:r>
      <w:r>
        <w:rPr>
          <w:color w:val="000000"/>
        </w:rPr>
        <w:t xml:space="preserve"> Thus, the mere fact that forms of expression are considered to be insulting to a public figure is not sufficient to justify the imposition of penalties, albeit public figures may also benefit from the provisions of the Covenant.</w:t>
      </w:r>
      <w:r>
        <w:rPr>
          <w:color w:val="000000"/>
          <w:sz w:val="18"/>
          <w:szCs w:val="18"/>
          <w:vertAlign w:val="superscript"/>
        </w:rPr>
        <w:footnoteReference w:id="16"/>
      </w:r>
      <w:r>
        <w:rPr>
          <w:color w:val="000000"/>
        </w:rPr>
        <w:t xml:space="preserve"> </w:t>
      </w:r>
    </w:p>
    <w:p w14:paraId="5C9338E3"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7.6</w:t>
      </w:r>
      <w:r>
        <w:rPr>
          <w:color w:val="000000"/>
        </w:rPr>
        <w:tab/>
        <w:t xml:space="preserve">The Committee observes that, to protect the reputation of the then-president, the authors were ordered to remove the article containing Ms. Djakupova’s speech from the </w:t>
      </w:r>
      <w:proofErr w:type="spellStart"/>
      <w:r>
        <w:rPr>
          <w:i/>
          <w:iCs/>
          <w:color w:val="000000"/>
        </w:rPr>
        <w:t>Zanoza</w:t>
      </w:r>
      <w:proofErr w:type="spellEnd"/>
      <w:r>
        <w:rPr>
          <w:color w:val="000000"/>
        </w:rPr>
        <w:t xml:space="preserve"> website and to pay non-pecuniary damages in the amount of 3 million </w:t>
      </w:r>
      <w:proofErr w:type="spellStart"/>
      <w:r>
        <w:rPr>
          <w:color w:val="000000"/>
        </w:rPr>
        <w:t>soms</w:t>
      </w:r>
      <w:proofErr w:type="spellEnd"/>
      <w:r>
        <w:rPr>
          <w:color w:val="000000"/>
        </w:rPr>
        <w:t xml:space="preserve"> each. The Committee notes that authors’ arguments that based on their income, for Mr. </w:t>
      </w:r>
      <w:proofErr w:type="spellStart"/>
      <w:r>
        <w:rPr>
          <w:color w:val="000000"/>
        </w:rPr>
        <w:t>Idinov</w:t>
      </w:r>
      <w:proofErr w:type="spellEnd"/>
      <w:r>
        <w:rPr>
          <w:color w:val="000000"/>
        </w:rPr>
        <w:t xml:space="preserve"> to pay such an amount would require him to surrender all his earnings for the next 31 years, and for Ms. </w:t>
      </w:r>
      <w:proofErr w:type="spellStart"/>
      <w:r>
        <w:rPr>
          <w:color w:val="000000"/>
        </w:rPr>
        <w:t>Djakupova</w:t>
      </w:r>
      <w:proofErr w:type="spellEnd"/>
      <w:r>
        <w:rPr>
          <w:color w:val="000000"/>
        </w:rPr>
        <w:t xml:space="preserve"> it would take 2,5 years. At the same time, the Committee notes that neither domestic courts nor the State party provided any explanation as to why such a hefty amount of non-pecuniary damages was awarded by the courts in addition to the order to remove the article. </w:t>
      </w:r>
    </w:p>
    <w:p w14:paraId="16FA515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7.7</w:t>
      </w:r>
      <w:r>
        <w:rPr>
          <w:color w:val="000000"/>
        </w:rPr>
        <w:tab/>
        <w:t xml:space="preserve">The Committee disagrees with the State party’s objection that the waiver of non-pecuniary damages by the former President rendered the decisions of the domestic courts devoid of any legal consequences. Even though the proceedings against the author were formally civil, the amount of non-pecuniary damages clearly indicates the punitive nature of the measure applied. The court’s judgment became final and enforceable, and the sole reason for which the compensation part of the judgments was not claimed was a personal decision </w:t>
      </w:r>
      <w:r>
        <w:rPr>
          <w:color w:val="000000"/>
        </w:rPr>
        <w:lastRenderedPageBreak/>
        <w:t xml:space="preserve">of the then-president, which was an unpredictable factor, rather than a result of a regular legal procedure. </w:t>
      </w:r>
    </w:p>
    <w:p w14:paraId="1C0FD153"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7.8</w:t>
      </w:r>
      <w:r>
        <w:rPr>
          <w:color w:val="000000"/>
        </w:rPr>
        <w:tab/>
        <w:t xml:space="preserve">In view of the above, the Committee concludes that the restriction imposed on the authors’ right to freedom of expression was neither necessary nor proportionate. Therefore, the Committee is of the view that the facts before it </w:t>
      </w:r>
      <w:proofErr w:type="gramStart"/>
      <w:r>
        <w:rPr>
          <w:color w:val="000000"/>
        </w:rPr>
        <w:t>disclose</w:t>
      </w:r>
      <w:proofErr w:type="gramEnd"/>
      <w:r>
        <w:rPr>
          <w:color w:val="000000"/>
        </w:rPr>
        <w:t xml:space="preserve"> a violation of article 19 (2) of the Covenant.</w:t>
      </w:r>
    </w:p>
    <w:p w14:paraId="25DE18A6"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7.9</w:t>
      </w:r>
      <w:r>
        <w:rPr>
          <w:color w:val="000000"/>
        </w:rPr>
        <w:tab/>
        <w:t>The Committee notes the authors’ claim that by imposing on them a travel ban, the State party has violated their rights under article 12 (2) of the Covenant. The Committee recalls that liberty of movement is an indispensable condition for the free development of a person.</w:t>
      </w:r>
      <w:r>
        <w:rPr>
          <w:color w:val="000000"/>
          <w:sz w:val="18"/>
          <w:szCs w:val="18"/>
          <w:vertAlign w:val="superscript"/>
        </w:rPr>
        <w:footnoteReference w:id="17"/>
      </w:r>
      <w:r>
        <w:rPr>
          <w:color w:val="000000"/>
        </w:rPr>
        <w:t xml:space="preserve"> However, the Committee also recalls that the rights under article 12 of the Covenant are not absolute. Article 12 (3) provides for exceptional cases in which the exercise of rights covered by article 12 may be restricted. In accordance with the provisions of that paragraph, a </w:t>
      </w:r>
      <w:proofErr w:type="gramStart"/>
      <w:r>
        <w:rPr>
          <w:color w:val="000000"/>
        </w:rPr>
        <w:t>State</w:t>
      </w:r>
      <w:proofErr w:type="gramEnd"/>
      <w:r>
        <w:rPr>
          <w:color w:val="000000"/>
        </w:rPr>
        <w:t xml:space="preserve"> party may restrict the exercise of those rights only if the restrictions are provided by law, are necessary to protect national security, public order, public health or morals or the rights and freedoms of others and are consistent with the other rights recognized in the Covenant. In its general comment No. 27 (1999), the Committee noted that restrictive measures must conform with the principle of proportionality, must be appropriate to achieve their protective function and proportionate to the interest to be protected.</w:t>
      </w:r>
      <w:r>
        <w:rPr>
          <w:color w:val="000000"/>
          <w:sz w:val="18"/>
          <w:szCs w:val="18"/>
          <w:vertAlign w:val="superscript"/>
        </w:rPr>
        <w:footnoteReference w:id="18"/>
      </w:r>
      <w:r>
        <w:rPr>
          <w:color w:val="000000"/>
        </w:rPr>
        <w:t xml:space="preserve"> </w:t>
      </w:r>
    </w:p>
    <w:p w14:paraId="54645452"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7.10</w:t>
      </w:r>
      <w:r>
        <w:rPr>
          <w:color w:val="000000"/>
        </w:rPr>
        <w:tab/>
        <w:t xml:space="preserve">In the present case, the Committee observes that on 26 April 2017, at the request of the Prosecutor General, the Oktyabrsky District Court issued an injunction prohibiting the authors from leaving the country before the end of the court proceedings. The Committee notes the State party’s submission that the travel ban was imposed by the trial court given the authors’ frequent trips abroad due to the nature of their work and that their departure before consideration of the case on the merits could complicate and delay the trial. It notes that the restriction was based on article 46 (8) of the Law on external migration provided for the possibility of a temporary travel ban in case of a pending civil lawsuit. However, the Committee observes that the travel ban remained in force even after the decision of the court of first instance until 4 June 2018, when the then-president waived part of his claim for non-pecuniary damages and requested the Oktyabrsky District Court to lift the injunction measures issued by the court on 26 April 2017. </w:t>
      </w:r>
    </w:p>
    <w:p w14:paraId="2803BA96"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7.11</w:t>
      </w:r>
      <w:r>
        <w:rPr>
          <w:color w:val="000000"/>
        </w:rPr>
        <w:tab/>
        <w:t>The Committee also notes the authors’ arguments that they never missed or delayed a court hearing in their case, and the courts did not have any reason to believe that they would obstruct or delay the consideration of the case. According to the authors, their case was the first one in the history of Kyrgyzstan when such an injunction measure was applied to defendants in a case concerning the protection of honour and dignity. The Committee observes that the State party has not provided any information that would address the authors’ arguments, point to the necessity of the restriction, or provide any justification as to its proportionality. Moreover, the Committee notes that on 30 May 2018, the Constitutional Chamber of the Supreme Court held that a travel ban as an injunction measure in civil cases is inconsistent with the principles of proportionality and exceeds the limits of restriction of the rights protected by the Constitution since there are other judicial mechanisms available to courts aimed at forcing defendants to participate in a trial. Accordingly, the Committee considers that the State party has failed to justify the restrictions imposed on the authors as required by article 12 (3) of the Covenant. The Committee concludes that imposing a travel ban on the authors was contrary to the freedom movement and therefore amounted to a violation of their rights under article 12 (2) of the Covenant.</w:t>
      </w:r>
    </w:p>
    <w:p w14:paraId="3219DC71"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8.</w:t>
      </w:r>
      <w:r>
        <w:rPr>
          <w:color w:val="000000"/>
        </w:rPr>
        <w:tab/>
        <w:t xml:space="preserve">The Committee, acting under article 5 (4) of the Optional Protocol, is of the view that the facts before it </w:t>
      </w:r>
      <w:proofErr w:type="gramStart"/>
      <w:r>
        <w:rPr>
          <w:color w:val="000000"/>
        </w:rPr>
        <w:t>disclose</w:t>
      </w:r>
      <w:proofErr w:type="gramEnd"/>
      <w:r>
        <w:rPr>
          <w:color w:val="000000"/>
        </w:rPr>
        <w:t xml:space="preserve"> a violation of the authors’ rights under articles 12 (2) and 19 (2) of the Covenant.</w:t>
      </w:r>
    </w:p>
    <w:p w14:paraId="252AADA0"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9.</w:t>
      </w:r>
      <w:r>
        <w:rPr>
          <w:color w:val="000000"/>
        </w:rPr>
        <w:tab/>
        <w:t xml:space="preserve">In accordance with article 2 (3) (a) of the Covenant, the State party is under an obligation to provide the author with an effective remedy. This requires it to make full </w:t>
      </w:r>
      <w:r>
        <w:rPr>
          <w:color w:val="000000"/>
        </w:rPr>
        <w:lastRenderedPageBreak/>
        <w:t>reparation to individuals whose Covenant rights have been violated. Accordingly, the State party is obligated: 1) to reimburse any legal costs and court fees paid by the authors, as well as any expenses incurred by the authors in connection with the travel ban, and 2) to provide the authors with adequate compensation. The State party is also under an obligation to take all steps necessary to prevent similar violations from occurring in the future. In this connection, the Committee reiterates that, pursuant to its obligations under article 2 (2) of the Covenant, the State party should review its legislation with a view to ensuring that the rights under article 19 (2) of the Covenant may be fully enjoyed in the State party.</w:t>
      </w:r>
    </w:p>
    <w:p w14:paraId="71538D0B" w14:textId="77777777" w:rsidR="004D7046" w:rsidRDefault="00000000">
      <w:pPr>
        <w:pBdr>
          <w:top w:val="nil"/>
          <w:left w:val="nil"/>
          <w:bottom w:val="nil"/>
          <w:right w:val="nil"/>
          <w:between w:val="nil"/>
        </w:pBdr>
        <w:tabs>
          <w:tab w:val="left" w:pos="1701"/>
        </w:tabs>
        <w:spacing w:after="120"/>
        <w:ind w:left="1134" w:right="1134"/>
        <w:jc w:val="both"/>
        <w:rPr>
          <w:color w:val="000000"/>
        </w:rPr>
      </w:pPr>
      <w:r>
        <w:rPr>
          <w:color w:val="000000"/>
        </w:rPr>
        <w:t>10.</w:t>
      </w:r>
      <w:r>
        <w:rPr>
          <w:color w:val="000000"/>
        </w:rPr>
        <w:tab/>
        <w:t>Bearing in mind that, by becoming a party to the Optional Protocol, the State party has recognized the competence of the Committee to determine whether there has been a violation of the Covenant and that, pursuant to article 2 of the Covenant, the State party has undertaken to ensure to all individuals within its territory and subject to its jurisdiction the rights recognized in the Covenant and to provide an effective and enforceable remedy when it has been determined that a violation has occurred, the Committee wishes to receive from the State party, within 180 days, information about the measures taken to give effect to the Committee’s Views. The State party is also requested to publish the present Views and disseminate them broadly in the official languages of the State party.</w:t>
      </w:r>
    </w:p>
    <w:p w14:paraId="2D56C87F" w14:textId="77777777" w:rsidR="004D7046" w:rsidRDefault="00000000">
      <w:pPr>
        <w:spacing w:before="240"/>
        <w:ind w:left="1134" w:right="1134"/>
        <w:jc w:val="center"/>
        <w:rPr>
          <w:u w:val="single"/>
        </w:rPr>
      </w:pPr>
      <w:r>
        <w:rPr>
          <w:u w:val="single"/>
        </w:rPr>
        <w:tab/>
      </w:r>
      <w:r>
        <w:rPr>
          <w:u w:val="single"/>
        </w:rPr>
        <w:tab/>
      </w:r>
      <w:r>
        <w:rPr>
          <w:u w:val="single"/>
        </w:rPr>
        <w:tab/>
      </w:r>
    </w:p>
    <w:sectPr w:rsidR="004D7046">
      <w:headerReference w:type="even" r:id="rId7"/>
      <w:headerReference w:type="default" r:id="rId8"/>
      <w:footerReference w:type="even" r:id="rId9"/>
      <w:footerReference w:type="default" r:id="rId10"/>
      <w:footerReference w:type="first" r:id="rId11"/>
      <w:pgSz w:w="11907" w:h="16840"/>
      <w:pgMar w:top="1418" w:right="1134" w:bottom="1134" w:left="1134" w:header="68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BBC52" w14:textId="77777777" w:rsidR="00225B6D" w:rsidRDefault="00225B6D">
      <w:pPr>
        <w:spacing w:line="240" w:lineRule="auto"/>
      </w:pPr>
      <w:r>
        <w:separator/>
      </w:r>
    </w:p>
  </w:endnote>
  <w:endnote w:type="continuationSeparator" w:id="0">
    <w:p w14:paraId="2170BA30" w14:textId="77777777" w:rsidR="00225B6D" w:rsidRDefault="00225B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C3FEF96-E83B-B14E-A9FC-88143AE14F50}"/>
    <w:embedBold r:id="rId2" w:fontKey="{3AE07766-F62C-CE4C-83FD-21FC243D911A}"/>
    <w:embedItalic r:id="rId3" w:fontKey="{9BEEBF06-5A22-CF4A-9D93-F28200BF344E}"/>
  </w:font>
  <w:font w:name="Calibri">
    <w:panose1 w:val="020F0502020204030204"/>
    <w:charset w:val="00"/>
    <w:family w:val="swiss"/>
    <w:pitch w:val="variable"/>
    <w:sig w:usb0="E0002AFF" w:usb1="C000ACFF" w:usb2="00000009" w:usb3="00000000" w:csb0="000001FF" w:csb1="00000000"/>
    <w:embedRegular r:id="rId4" w:fontKey="{8EFD50D5-ABA4-9142-83B4-2392BDED9CBA}"/>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0E2A051-DA3A-374C-A5BD-6CAABC8B72F0}"/>
  </w:font>
  <w:font w:name="Georgia">
    <w:panose1 w:val="02040502050405020303"/>
    <w:charset w:val="00"/>
    <w:family w:val="roman"/>
    <w:pitch w:val="variable"/>
    <w:sig w:usb0="00000287" w:usb1="00000000" w:usb2="00000000" w:usb3="00000000" w:csb0="0000009F" w:csb1="00000000"/>
    <w:embedItalic r:id="rId6" w:fontKey="{B0E267EB-890A-C443-8E1E-650D56523697}"/>
  </w:font>
  <w:font w:name="Arial">
    <w:panose1 w:val="020B0604020202020204"/>
    <w:charset w:val="00"/>
    <w:family w:val="swiss"/>
    <w:pitch w:val="variable"/>
    <w:sig w:usb0="E0002AFF" w:usb1="C0007843" w:usb2="00000009" w:usb3="00000000" w:csb0="000001FF" w:csb1="00000000"/>
    <w:embedRegular r:id="rId7" w:fontKey="{9B6A532F-8944-1943-BC13-E4BE6A7331DD}"/>
  </w:font>
  <w:font w:name="Symbol">
    <w:panose1 w:val="05050102010706020507"/>
    <w:charset w:val="02"/>
    <w:family w:val="decorative"/>
    <w:pitch w:val="variable"/>
    <w:sig w:usb0="00000000" w:usb1="10000000" w:usb2="00000000" w:usb3="00000000" w:csb0="80000000" w:csb1="00000000"/>
    <w:embedRegular r:id="rId8" w:fontKey="{C84A06CB-79CF-9A42-A45F-6699FB6DF3A8}"/>
  </w:font>
  <w:font w:name="Calibri Light">
    <w:panose1 w:val="020F0302020204030204"/>
    <w:charset w:val="00"/>
    <w:family w:val="swiss"/>
    <w:pitch w:val="variable"/>
    <w:sig w:usb0="E0002AFF" w:usb1="C000247B" w:usb2="00000009" w:usb3="00000000" w:csb0="000001FF" w:csb1="00000000"/>
    <w:embedRegular r:id="rId9" w:fontKey="{8DB372E3-BF7B-5048-BEAC-36A042C62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DB5C" w14:textId="05F5DC73" w:rsidR="004D7046" w:rsidRDefault="00000000">
    <w:pPr>
      <w:pBdr>
        <w:top w:val="nil"/>
        <w:left w:val="nil"/>
        <w:bottom w:val="nil"/>
        <w:right w:val="nil"/>
        <w:between w:val="nil"/>
      </w:pBdr>
      <w:tabs>
        <w:tab w:val="right" w:pos="9598"/>
      </w:tabs>
      <w:spacing w:line="240" w:lineRule="auto"/>
      <w:rPr>
        <w:b/>
        <w:bCs/>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7D6277">
      <w:rPr>
        <w:b/>
        <w:bCs/>
        <w:noProof/>
        <w:color w:val="000000"/>
        <w:sz w:val="18"/>
        <w:szCs w:val="18"/>
      </w:rPr>
      <w:t>2</w:t>
    </w:r>
    <w:r>
      <w:rPr>
        <w:b/>
        <w:bC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F4A53" w14:textId="4416CA8B" w:rsidR="004D7046" w:rsidRDefault="00000000">
    <w:pPr>
      <w:pBdr>
        <w:top w:val="nil"/>
        <w:left w:val="nil"/>
        <w:bottom w:val="nil"/>
        <w:right w:val="nil"/>
        <w:between w:val="nil"/>
      </w:pBdr>
      <w:spacing w:line="240" w:lineRule="auto"/>
      <w:jc w:val="right"/>
      <w:rPr>
        <w:b/>
        <w:bCs/>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7D6277">
      <w:rPr>
        <w:b/>
        <w:bCs/>
        <w:noProof/>
        <w:color w:val="000000"/>
        <w:sz w:val="18"/>
        <w:szCs w:val="18"/>
      </w:rPr>
      <w:t>3</w:t>
    </w:r>
    <w:r>
      <w:rPr>
        <w:b/>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D4EE" w14:textId="77777777" w:rsidR="004D7046" w:rsidRDefault="00000000">
    <w:pPr>
      <w:pBdr>
        <w:top w:val="nil"/>
        <w:left w:val="nil"/>
        <w:bottom w:val="nil"/>
        <w:right w:val="nil"/>
        <w:between w:val="nil"/>
      </w:pBdr>
      <w:spacing w:line="240" w:lineRule="auto"/>
      <w:ind w:right="1134"/>
      <w:rPr>
        <w:color w:val="000000"/>
      </w:rPr>
    </w:pPr>
    <w:r>
      <w:rPr>
        <w:noProof/>
      </w:rPr>
      <w:drawing>
        <wp:anchor distT="0" distB="0" distL="114300" distR="114300" simplePos="0" relativeHeight="251658240" behindDoc="0" locked="0" layoutInCell="1" hidden="0" allowOverlap="1" wp14:anchorId="0F0AEA6A" wp14:editId="30CFAA31">
          <wp:simplePos x="0" y="0"/>
          <wp:positionH relativeFrom="column">
            <wp:posOffset>4558030</wp:posOffset>
          </wp:positionH>
          <wp:positionV relativeFrom="paragraph">
            <wp:posOffset>0</wp:posOffset>
          </wp:positionV>
          <wp:extent cx="932400" cy="230400"/>
          <wp:effectExtent l="0" t="0" r="0" b="0"/>
          <wp:wrapNone/>
          <wp:docPr id="6" name="image1.png" descr="Please recycle logo"/>
          <wp:cNvGraphicFramePr/>
          <a:graphic xmlns:a="http://schemas.openxmlformats.org/drawingml/2006/main">
            <a:graphicData uri="http://schemas.openxmlformats.org/drawingml/2006/picture">
              <pic:pic xmlns:pic="http://schemas.openxmlformats.org/drawingml/2006/picture">
                <pic:nvPicPr>
                  <pic:cNvPr id="0" name="image1.png" descr="Please recycle logo"/>
                  <pic:cNvPicPr preferRelativeResize="0"/>
                </pic:nvPicPr>
                <pic:blipFill>
                  <a:blip r:embed="rId1"/>
                  <a:srcRect/>
                  <a:stretch>
                    <a:fillRect/>
                  </a:stretch>
                </pic:blipFill>
                <pic:spPr>
                  <a:xfrm>
                    <a:off x="0" y="0"/>
                    <a:ext cx="932400" cy="2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65541" w14:textId="77777777" w:rsidR="00225B6D" w:rsidRDefault="00225B6D">
      <w:pPr>
        <w:spacing w:line="240" w:lineRule="auto"/>
      </w:pPr>
      <w:r>
        <w:separator/>
      </w:r>
    </w:p>
  </w:footnote>
  <w:footnote w:type="continuationSeparator" w:id="0">
    <w:p w14:paraId="23CC9C1C" w14:textId="77777777" w:rsidR="00225B6D" w:rsidRDefault="00225B6D">
      <w:pPr>
        <w:spacing w:line="240" w:lineRule="auto"/>
      </w:pPr>
      <w:r>
        <w:continuationSeparator/>
      </w:r>
    </w:p>
  </w:footnote>
  <w:footnote w:id="1">
    <w:p w14:paraId="29C0F0CB"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rFonts w:ascii="Symbol" w:eastAsia="Symbol" w:hAnsi="Symbol" w:cs="Symbol"/>
          <w:color w:val="000000"/>
          <w:sz w:val="18"/>
          <w:szCs w:val="18"/>
        </w:rPr>
        <w:t>*</w:t>
      </w:r>
      <w:r>
        <w:rPr>
          <w:color w:val="000000"/>
          <w:sz w:val="18"/>
          <w:szCs w:val="18"/>
        </w:rPr>
        <w:t xml:space="preserve"> </w:t>
      </w:r>
      <w:r>
        <w:rPr>
          <w:color w:val="000000"/>
          <w:sz w:val="18"/>
          <w:szCs w:val="18"/>
        </w:rPr>
        <w:tab/>
        <w:t>Adopted by the Committee at its 143rd session (3-28 March 2025).</w:t>
      </w:r>
    </w:p>
    <w:bookmarkStart w:id="0" w:name="_heading=h.dzn28a96da7m" w:colFirst="0" w:colLast="0"/>
    <w:bookmarkEnd w:id="0"/>
  </w:footnote>
  <w:footnote w:id="2">
    <w:p w14:paraId="69E2712A"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bookmarkStart w:id="1" w:name="_heading=h.dzn28a96da7m" w:colFirst="0" w:colLast="0"/>
      <w:bookmarkEnd w:id="1"/>
      <w:r>
        <w:rPr>
          <w:rStyle w:val="FootnoteReference"/>
        </w:rPr>
        <w:footnoteRef/>
      </w:r>
      <w:r>
        <w:rPr>
          <w:color w:val="000000"/>
          <w:sz w:val="18"/>
          <w:szCs w:val="18"/>
        </w:rPr>
        <w:tab/>
      </w:r>
      <w:r>
        <w:rPr>
          <w:rFonts w:ascii="Symbol" w:eastAsia="Symbol" w:hAnsi="Symbol" w:cs="Symbol"/>
          <w:color w:val="000000"/>
          <w:sz w:val="18"/>
          <w:szCs w:val="18"/>
        </w:rPr>
        <w:t>**</w:t>
      </w:r>
      <w:r>
        <w:rPr>
          <w:color w:val="000000"/>
          <w:sz w:val="18"/>
          <w:szCs w:val="18"/>
        </w:rPr>
        <w:t xml:space="preserve"> </w:t>
      </w:r>
      <w:r>
        <w:rPr>
          <w:color w:val="000000"/>
          <w:sz w:val="18"/>
          <w:szCs w:val="18"/>
        </w:rPr>
        <w:tab/>
        <w:t xml:space="preserve">The following members of the Committee participated in the examination of the communication: </w:t>
      </w:r>
      <w:hyperlink r:id="rId1">
        <w:r>
          <w:rPr>
            <w:color w:val="000000"/>
            <w:sz w:val="18"/>
            <w:szCs w:val="18"/>
          </w:rPr>
          <w:t>Tania María Abdo Rocholl,</w:t>
        </w:r>
      </w:hyperlink>
      <w:r>
        <w:rPr>
          <w:color w:val="000000"/>
          <w:sz w:val="18"/>
          <w:szCs w:val="18"/>
        </w:rPr>
        <w:t xml:space="preserve"> Wafaa Ashraf Moharram Bassim, Rodrigo A. Carazo, Yvonne Donders, Mahjoub El Haiba, Carlos Ramón Fernández Liesa, Laurence R. Helfer, Konstantin Korkelia, Dalia </w:t>
      </w:r>
      <w:proofErr w:type="spellStart"/>
      <w:r>
        <w:rPr>
          <w:color w:val="000000"/>
          <w:sz w:val="18"/>
          <w:szCs w:val="18"/>
        </w:rPr>
        <w:t>Leinarte</w:t>
      </w:r>
      <w:proofErr w:type="spellEnd"/>
      <w:r>
        <w:rPr>
          <w:color w:val="000000"/>
          <w:sz w:val="18"/>
          <w:szCs w:val="18"/>
        </w:rPr>
        <w:t xml:space="preserve">, </w:t>
      </w:r>
      <w:proofErr w:type="spellStart"/>
      <w:r>
        <w:rPr>
          <w:color w:val="000000"/>
          <w:sz w:val="18"/>
          <w:szCs w:val="18"/>
        </w:rPr>
        <w:t>Bacre</w:t>
      </w:r>
      <w:proofErr w:type="spellEnd"/>
      <w:r>
        <w:rPr>
          <w:color w:val="000000"/>
          <w:sz w:val="18"/>
          <w:szCs w:val="18"/>
        </w:rPr>
        <w:t xml:space="preserve"> Waly Ndiaye, Hernan Quezada Cabrera, Akmal </w:t>
      </w:r>
      <w:proofErr w:type="spellStart"/>
      <w:r>
        <w:rPr>
          <w:color w:val="000000"/>
          <w:sz w:val="18"/>
          <w:szCs w:val="18"/>
        </w:rPr>
        <w:t>Kholmatovich</w:t>
      </w:r>
      <w:proofErr w:type="spellEnd"/>
      <w:r>
        <w:rPr>
          <w:color w:val="000000"/>
          <w:sz w:val="18"/>
          <w:szCs w:val="18"/>
        </w:rPr>
        <w:t xml:space="preserve"> Saidov, Ivan Šimonović, </w:t>
      </w:r>
      <w:proofErr w:type="spellStart"/>
      <w:r>
        <w:rPr>
          <w:color w:val="000000"/>
          <w:sz w:val="18"/>
          <w:szCs w:val="18"/>
        </w:rPr>
        <w:t>Changrok</w:t>
      </w:r>
      <w:proofErr w:type="spellEnd"/>
      <w:r>
        <w:rPr>
          <w:color w:val="000000"/>
          <w:sz w:val="18"/>
          <w:szCs w:val="18"/>
        </w:rPr>
        <w:t xml:space="preserve"> Soh, Koji Teraya, Hélène Tigroudja and </w:t>
      </w:r>
      <w:proofErr w:type="spellStart"/>
      <w:r>
        <w:rPr>
          <w:color w:val="000000"/>
          <w:sz w:val="18"/>
          <w:szCs w:val="18"/>
        </w:rPr>
        <w:t>Imeru</w:t>
      </w:r>
      <w:proofErr w:type="spellEnd"/>
      <w:r>
        <w:rPr>
          <w:color w:val="000000"/>
          <w:sz w:val="18"/>
          <w:szCs w:val="18"/>
        </w:rPr>
        <w:t xml:space="preserve"> </w:t>
      </w:r>
      <w:proofErr w:type="spellStart"/>
      <w:r>
        <w:rPr>
          <w:color w:val="000000"/>
          <w:sz w:val="18"/>
          <w:szCs w:val="18"/>
        </w:rPr>
        <w:t>Tamerat</w:t>
      </w:r>
      <w:proofErr w:type="spellEnd"/>
      <w:r>
        <w:rPr>
          <w:color w:val="000000"/>
          <w:sz w:val="18"/>
          <w:szCs w:val="18"/>
        </w:rPr>
        <w:t xml:space="preserve"> </w:t>
      </w:r>
      <w:proofErr w:type="spellStart"/>
      <w:r>
        <w:rPr>
          <w:color w:val="000000"/>
          <w:sz w:val="18"/>
          <w:szCs w:val="18"/>
        </w:rPr>
        <w:t>Yigezu</w:t>
      </w:r>
      <w:proofErr w:type="spellEnd"/>
    </w:p>
  </w:footnote>
  <w:footnote w:id="3">
    <w:p w14:paraId="2F1C34CC"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The Law on the Guarantees of Activities of the President of Kyrgyzstan.</w:t>
      </w:r>
    </w:p>
  </w:footnote>
  <w:footnote w:id="4">
    <w:p w14:paraId="68223619"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The authors refer to the president’s meeting with several ambassadors to Kyrgyzstan where he complained that some journalists had sold out Kyrgyzstan for money and called them “rotten”. The text of his speech is available in Russian at https://kaktus.media/doc/354121_chto_govoril_prezident_atambaev_poslam_vystypaia_na_kyrgyzskom.html</w:t>
      </w:r>
    </w:p>
  </w:footnote>
  <w:footnote w:id="5">
    <w:p w14:paraId="03823B92" w14:textId="77777777" w:rsidR="004D7046" w:rsidRDefault="00000000">
      <w:pPr>
        <w:pBdr>
          <w:top w:val="nil"/>
          <w:left w:val="nil"/>
          <w:bottom w:val="nil"/>
          <w:right w:val="nil"/>
          <w:between w:val="nil"/>
        </w:pBdr>
        <w:tabs>
          <w:tab w:val="right" w:pos="1021"/>
        </w:tabs>
        <w:spacing w:line="220" w:lineRule="auto"/>
        <w:ind w:left="1134" w:right="1134" w:hanging="1134"/>
        <w:jc w:val="both"/>
        <w:rPr>
          <w:color w:val="000000"/>
          <w:sz w:val="18"/>
          <w:szCs w:val="18"/>
        </w:rPr>
      </w:pPr>
      <w:r>
        <w:rPr>
          <w:rStyle w:val="FootnoteReference"/>
        </w:rPr>
        <w:footnoteRef/>
      </w:r>
      <w:r>
        <w:rPr>
          <w:color w:val="000000"/>
          <w:sz w:val="18"/>
          <w:szCs w:val="18"/>
        </w:rPr>
        <w:tab/>
      </w:r>
      <w:r>
        <w:rPr>
          <w:color w:val="000000"/>
          <w:sz w:val="18"/>
          <w:szCs w:val="18"/>
        </w:rPr>
        <w:tab/>
        <w:t>The authors note that the most critical part of Ms. Djakupova’s speech was: “I express the harshest indignation, because I have the impression that the whole country and many media are becoming and became hostages of personal revenge of a man who simply has the mania to avenge the death of his mother and so on. We became hostages of this situation, and this is illustrated when the President says in his speeches “I will never forgive the media given that my mother died because of them and I will not withdraw the claims until I get the money”. He has already decided for the courts. Dear first person of the State, please bear in mind that you have no right to dictate to courts their decisions, excuse me, but this is a direct example of political pressure on the judicial system”.</w:t>
      </w:r>
    </w:p>
  </w:footnote>
  <w:footnote w:id="6">
    <w:p w14:paraId="36340564"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Approximately 43,500 USD.</w:t>
      </w:r>
    </w:p>
  </w:footnote>
  <w:footnote w:id="7">
    <w:p w14:paraId="04BF8D65" w14:textId="77777777" w:rsidR="004D7046" w:rsidRDefault="00000000">
      <w:pPr>
        <w:pBdr>
          <w:top w:val="nil"/>
          <w:left w:val="nil"/>
          <w:bottom w:val="nil"/>
          <w:right w:val="nil"/>
          <w:between w:val="nil"/>
        </w:pBdr>
        <w:tabs>
          <w:tab w:val="right" w:pos="1021"/>
        </w:tabs>
        <w:spacing w:line="220" w:lineRule="auto"/>
        <w:ind w:left="1134" w:right="1134" w:hanging="1134"/>
        <w:jc w:val="both"/>
        <w:rPr>
          <w:color w:val="000000"/>
          <w:sz w:val="18"/>
          <w:szCs w:val="18"/>
        </w:rPr>
      </w:pPr>
      <w:r>
        <w:rPr>
          <w:rStyle w:val="FootnoteReference"/>
        </w:rPr>
        <w:footnoteRef/>
      </w:r>
      <w:r>
        <w:rPr>
          <w:color w:val="000000"/>
          <w:sz w:val="18"/>
          <w:szCs w:val="18"/>
        </w:rPr>
        <w:tab/>
      </w:r>
      <w:r>
        <w:rPr>
          <w:color w:val="000000"/>
          <w:sz w:val="18"/>
          <w:szCs w:val="18"/>
        </w:rPr>
        <w:tab/>
        <w:t>General comment No. 27 on freedom of movement (1999), para. 14.</w:t>
      </w:r>
    </w:p>
  </w:footnote>
  <w:footnote w:id="8">
    <w:p w14:paraId="43A01AC8" w14:textId="77777777" w:rsidR="004D7046" w:rsidRDefault="00000000">
      <w:pPr>
        <w:pBdr>
          <w:top w:val="nil"/>
          <w:left w:val="nil"/>
          <w:bottom w:val="nil"/>
          <w:right w:val="nil"/>
          <w:between w:val="nil"/>
        </w:pBdr>
        <w:tabs>
          <w:tab w:val="right" w:pos="1021"/>
        </w:tabs>
        <w:spacing w:line="220" w:lineRule="auto"/>
        <w:ind w:left="1134" w:right="1134" w:hanging="1134"/>
        <w:jc w:val="both"/>
        <w:rPr>
          <w:color w:val="000000"/>
          <w:sz w:val="18"/>
          <w:szCs w:val="18"/>
        </w:rPr>
      </w:pPr>
      <w:r>
        <w:rPr>
          <w:rStyle w:val="FootnoteReference"/>
        </w:rPr>
        <w:footnoteRef/>
      </w:r>
      <w:r>
        <w:rPr>
          <w:color w:val="000000"/>
          <w:sz w:val="18"/>
          <w:szCs w:val="18"/>
        </w:rPr>
        <w:tab/>
      </w:r>
      <w:r>
        <w:rPr>
          <w:color w:val="000000"/>
          <w:sz w:val="18"/>
          <w:szCs w:val="18"/>
        </w:rPr>
        <w:tab/>
        <w:t>General comment No. 32 on the right to equality before courts and tribunals and to fair trial (2007), para. 13.</w:t>
      </w:r>
    </w:p>
  </w:footnote>
  <w:footnote w:id="9">
    <w:p w14:paraId="7030423F"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 xml:space="preserve">The State party refers to </w:t>
      </w:r>
      <w:r>
        <w:rPr>
          <w:i/>
          <w:iCs/>
          <w:color w:val="000000"/>
          <w:sz w:val="18"/>
          <w:szCs w:val="18"/>
        </w:rPr>
        <w:t xml:space="preserve">Prager and </w:t>
      </w:r>
      <w:proofErr w:type="spellStart"/>
      <w:r>
        <w:rPr>
          <w:i/>
          <w:iCs/>
          <w:color w:val="000000"/>
          <w:sz w:val="18"/>
          <w:szCs w:val="18"/>
        </w:rPr>
        <w:t>Oberschlick</w:t>
      </w:r>
      <w:proofErr w:type="spellEnd"/>
      <w:r>
        <w:rPr>
          <w:i/>
          <w:iCs/>
          <w:color w:val="000000"/>
          <w:sz w:val="18"/>
          <w:szCs w:val="18"/>
        </w:rPr>
        <w:t xml:space="preserve"> v. Austria</w:t>
      </w:r>
      <w:r>
        <w:rPr>
          <w:color w:val="000000"/>
          <w:sz w:val="18"/>
          <w:szCs w:val="18"/>
        </w:rPr>
        <w:t xml:space="preserve">, Application No. 15974/90, 26 April 1995; and </w:t>
      </w:r>
      <w:r>
        <w:rPr>
          <w:i/>
          <w:iCs/>
          <w:color w:val="000000"/>
          <w:sz w:val="18"/>
          <w:szCs w:val="18"/>
        </w:rPr>
        <w:t>Flux v. Moldova (No. 6)</w:t>
      </w:r>
      <w:r>
        <w:rPr>
          <w:color w:val="000000"/>
          <w:sz w:val="18"/>
          <w:szCs w:val="18"/>
        </w:rPr>
        <w:t xml:space="preserve">, Application 22824/04, 29 July 2008. </w:t>
      </w:r>
    </w:p>
  </w:footnote>
  <w:footnote w:id="10">
    <w:p w14:paraId="066A51B1"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 xml:space="preserve">General comment No. 32, para. 26. See also </w:t>
      </w:r>
      <w:proofErr w:type="spellStart"/>
      <w:r>
        <w:rPr>
          <w:i/>
          <w:iCs/>
          <w:color w:val="000000"/>
          <w:sz w:val="18"/>
          <w:szCs w:val="18"/>
        </w:rPr>
        <w:t>Kurakbaev</w:t>
      </w:r>
      <w:proofErr w:type="spellEnd"/>
      <w:r>
        <w:rPr>
          <w:i/>
          <w:iCs/>
          <w:color w:val="000000"/>
          <w:sz w:val="18"/>
          <w:szCs w:val="18"/>
        </w:rPr>
        <w:t xml:space="preserve"> and </w:t>
      </w:r>
      <w:proofErr w:type="spellStart"/>
      <w:r>
        <w:rPr>
          <w:i/>
          <w:iCs/>
          <w:color w:val="000000"/>
          <w:sz w:val="18"/>
          <w:szCs w:val="18"/>
        </w:rPr>
        <w:t>Sabdikenova</w:t>
      </w:r>
      <w:proofErr w:type="spellEnd"/>
      <w:r>
        <w:rPr>
          <w:i/>
          <w:iCs/>
          <w:color w:val="000000"/>
          <w:sz w:val="18"/>
          <w:szCs w:val="18"/>
        </w:rPr>
        <w:t xml:space="preserve"> v. Kazakhstan</w:t>
      </w:r>
      <w:r>
        <w:rPr>
          <w:color w:val="000000"/>
          <w:sz w:val="18"/>
          <w:szCs w:val="18"/>
        </w:rPr>
        <w:t xml:space="preserve"> (CCPR/C/132/D/2509/2014), para. 10.9.</w:t>
      </w:r>
    </w:p>
  </w:footnote>
  <w:footnote w:id="11">
    <w:p w14:paraId="37CCAEDF" w14:textId="77777777" w:rsidR="004D7046" w:rsidRPr="007D6277" w:rsidRDefault="00000000">
      <w:pPr>
        <w:pBdr>
          <w:top w:val="nil"/>
          <w:left w:val="nil"/>
          <w:bottom w:val="nil"/>
          <w:right w:val="nil"/>
          <w:between w:val="nil"/>
        </w:pBdr>
        <w:tabs>
          <w:tab w:val="right" w:pos="1021"/>
        </w:tabs>
        <w:spacing w:line="220" w:lineRule="auto"/>
        <w:ind w:left="1134" w:right="1134" w:hanging="1134"/>
        <w:rPr>
          <w:color w:val="000000"/>
          <w:sz w:val="18"/>
          <w:szCs w:val="18"/>
          <w:highlight w:val="white"/>
          <w:lang w:val="es-AR"/>
        </w:rPr>
      </w:pPr>
      <w:r>
        <w:rPr>
          <w:rStyle w:val="FootnoteReference"/>
        </w:rPr>
        <w:footnoteRef/>
      </w:r>
      <w:r>
        <w:rPr>
          <w:color w:val="000000"/>
          <w:sz w:val="18"/>
          <w:szCs w:val="18"/>
        </w:rPr>
        <w:tab/>
      </w:r>
      <w:r>
        <w:rPr>
          <w:color w:val="000000"/>
          <w:sz w:val="18"/>
          <w:szCs w:val="18"/>
          <w:highlight w:val="white"/>
        </w:rPr>
        <w:tab/>
        <w:t xml:space="preserve">See also </w:t>
      </w:r>
      <w:r>
        <w:rPr>
          <w:i/>
          <w:iCs/>
          <w:color w:val="000000"/>
          <w:sz w:val="18"/>
          <w:szCs w:val="18"/>
          <w:highlight w:val="white"/>
        </w:rPr>
        <w:t>Shin v. Republic of Korea</w:t>
      </w:r>
      <w:r>
        <w:rPr>
          <w:color w:val="000000"/>
          <w:sz w:val="18"/>
          <w:szCs w:val="18"/>
          <w:highlight w:val="white"/>
        </w:rPr>
        <w:t xml:space="preserve"> (CCPR/C/80/D/926/2000), para. </w:t>
      </w:r>
      <w:r w:rsidRPr="007D6277">
        <w:rPr>
          <w:color w:val="000000"/>
          <w:sz w:val="18"/>
          <w:szCs w:val="18"/>
          <w:highlight w:val="white"/>
          <w:lang w:val="es-AR"/>
        </w:rPr>
        <w:t xml:space="preserve">7.3; </w:t>
      </w:r>
      <w:r w:rsidRPr="007D6277">
        <w:rPr>
          <w:i/>
          <w:iCs/>
          <w:color w:val="000000"/>
          <w:sz w:val="18"/>
          <w:szCs w:val="18"/>
          <w:highlight w:val="white"/>
          <w:lang w:val="es-AR"/>
        </w:rPr>
        <w:t>Kozlov v. Belarus</w:t>
      </w:r>
      <w:r w:rsidRPr="007D6277">
        <w:rPr>
          <w:color w:val="000000"/>
          <w:sz w:val="18"/>
          <w:szCs w:val="18"/>
          <w:highlight w:val="white"/>
          <w:lang w:val="es-AR"/>
        </w:rPr>
        <w:t xml:space="preserve"> (CCPR/C/111/D/1986/2010), para. 7.4.</w:t>
      </w:r>
    </w:p>
  </w:footnote>
  <w:footnote w:id="12">
    <w:p w14:paraId="425D63FF"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highlight w:val="white"/>
        </w:rPr>
      </w:pPr>
      <w:r>
        <w:rPr>
          <w:rStyle w:val="FootnoteReference"/>
        </w:rPr>
        <w:footnoteRef/>
      </w:r>
      <w:r w:rsidRPr="007D6277">
        <w:rPr>
          <w:color w:val="000000"/>
          <w:sz w:val="18"/>
          <w:szCs w:val="18"/>
          <w:highlight w:val="white"/>
          <w:lang w:val="es-AR"/>
        </w:rPr>
        <w:tab/>
      </w:r>
      <w:r w:rsidRPr="007D6277">
        <w:rPr>
          <w:color w:val="000000"/>
          <w:sz w:val="18"/>
          <w:szCs w:val="18"/>
          <w:highlight w:val="white"/>
          <w:lang w:val="es-AR"/>
        </w:rPr>
        <w:tab/>
        <w:t xml:space="preserve">General comment No. 34, para. </w:t>
      </w:r>
      <w:r>
        <w:rPr>
          <w:color w:val="000000"/>
          <w:sz w:val="18"/>
          <w:szCs w:val="18"/>
          <w:highlight w:val="white"/>
        </w:rPr>
        <w:t xml:space="preserve">38. See also </w:t>
      </w:r>
      <w:r>
        <w:rPr>
          <w:i/>
          <w:iCs/>
          <w:color w:val="000000"/>
          <w:sz w:val="18"/>
          <w:szCs w:val="18"/>
          <w:highlight w:val="white"/>
        </w:rPr>
        <w:t>Kozlov v. Belarus</w:t>
      </w:r>
      <w:r>
        <w:rPr>
          <w:color w:val="000000"/>
          <w:sz w:val="18"/>
          <w:szCs w:val="18"/>
          <w:highlight w:val="white"/>
        </w:rPr>
        <w:t>, para. 7.6</w:t>
      </w:r>
    </w:p>
  </w:footnote>
  <w:footnote w:id="13">
    <w:p w14:paraId="13D21651"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highlight w:val="white"/>
        </w:rPr>
      </w:pPr>
      <w:r>
        <w:rPr>
          <w:rStyle w:val="FootnoteReference"/>
        </w:rPr>
        <w:footnoteRef/>
      </w:r>
      <w:r>
        <w:rPr>
          <w:color w:val="000000"/>
          <w:sz w:val="18"/>
          <w:szCs w:val="18"/>
        </w:rPr>
        <w:tab/>
      </w:r>
      <w:r>
        <w:rPr>
          <w:color w:val="000000"/>
          <w:sz w:val="18"/>
          <w:szCs w:val="18"/>
        </w:rPr>
        <w:tab/>
      </w:r>
      <w:r>
        <w:rPr>
          <w:color w:val="000000"/>
          <w:sz w:val="18"/>
          <w:szCs w:val="18"/>
          <w:highlight w:val="white"/>
        </w:rPr>
        <w:t>General comment No. 34, para. 47.</w:t>
      </w:r>
    </w:p>
  </w:footnote>
  <w:footnote w:id="14">
    <w:p w14:paraId="7DAECB62"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highlight w:val="white"/>
        </w:rPr>
      </w:pPr>
      <w:r>
        <w:rPr>
          <w:rStyle w:val="FootnoteReference"/>
        </w:rPr>
        <w:footnoteRef/>
      </w:r>
      <w:r>
        <w:rPr>
          <w:color w:val="000000"/>
          <w:sz w:val="18"/>
          <w:szCs w:val="18"/>
        </w:rPr>
        <w:tab/>
      </w:r>
      <w:r>
        <w:rPr>
          <w:color w:val="000000"/>
          <w:sz w:val="18"/>
          <w:szCs w:val="18"/>
        </w:rPr>
        <w:tab/>
        <w:t>See also</w:t>
      </w:r>
      <w:r>
        <w:rPr>
          <w:color w:val="000000"/>
          <w:sz w:val="18"/>
          <w:szCs w:val="18"/>
          <w:highlight w:val="yellow"/>
        </w:rPr>
        <w:t xml:space="preserve"> </w:t>
      </w:r>
      <w:proofErr w:type="spellStart"/>
      <w:r>
        <w:rPr>
          <w:i/>
          <w:iCs/>
          <w:color w:val="000000"/>
          <w:sz w:val="18"/>
          <w:szCs w:val="18"/>
          <w:highlight w:val="white"/>
        </w:rPr>
        <w:t>Bodrozic</w:t>
      </w:r>
      <w:proofErr w:type="spellEnd"/>
      <w:r>
        <w:rPr>
          <w:i/>
          <w:iCs/>
          <w:color w:val="000000"/>
          <w:sz w:val="18"/>
          <w:szCs w:val="18"/>
          <w:highlight w:val="white"/>
        </w:rPr>
        <w:t xml:space="preserve"> v. Serbia and Montenegro </w:t>
      </w:r>
      <w:r>
        <w:rPr>
          <w:color w:val="000000"/>
          <w:sz w:val="18"/>
          <w:szCs w:val="18"/>
          <w:highlight w:val="white"/>
        </w:rPr>
        <w:t>(CCPR/C/85/D/1180/2003), para. 7.2.</w:t>
      </w:r>
    </w:p>
  </w:footnote>
  <w:footnote w:id="15">
    <w:p w14:paraId="35BD6404"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 xml:space="preserve">General comment No. 34, para. 38. </w:t>
      </w:r>
    </w:p>
  </w:footnote>
  <w:footnote w:id="16">
    <w:p w14:paraId="3DB2B935"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r>
      <w:r>
        <w:rPr>
          <w:i/>
          <w:iCs/>
          <w:color w:val="000000"/>
          <w:sz w:val="18"/>
          <w:szCs w:val="18"/>
        </w:rPr>
        <w:t>Ibid</w:t>
      </w:r>
      <w:r>
        <w:rPr>
          <w:color w:val="000000"/>
          <w:sz w:val="18"/>
          <w:szCs w:val="18"/>
        </w:rPr>
        <w:t>.</w:t>
      </w:r>
    </w:p>
  </w:footnote>
  <w:footnote w:id="17">
    <w:p w14:paraId="0C77F23C" w14:textId="77777777" w:rsidR="004D7046" w:rsidRDefault="00000000">
      <w:pPr>
        <w:pBdr>
          <w:top w:val="nil"/>
          <w:left w:val="nil"/>
          <w:bottom w:val="nil"/>
          <w:right w:val="nil"/>
          <w:between w:val="nil"/>
        </w:pBdr>
        <w:tabs>
          <w:tab w:val="right" w:pos="1021"/>
        </w:tabs>
        <w:spacing w:line="220" w:lineRule="auto"/>
        <w:ind w:left="1134" w:right="1134" w:hanging="1134"/>
        <w:rPr>
          <w:color w:val="000000"/>
          <w:sz w:val="18"/>
          <w:szCs w:val="18"/>
        </w:rPr>
      </w:pPr>
      <w:r>
        <w:rPr>
          <w:rStyle w:val="FootnoteReference"/>
        </w:rPr>
        <w:footnoteRef/>
      </w:r>
      <w:r>
        <w:rPr>
          <w:color w:val="000000"/>
          <w:sz w:val="18"/>
          <w:szCs w:val="18"/>
        </w:rPr>
        <w:tab/>
      </w:r>
      <w:r>
        <w:rPr>
          <w:color w:val="000000"/>
          <w:sz w:val="18"/>
          <w:szCs w:val="18"/>
        </w:rPr>
        <w:tab/>
        <w:t xml:space="preserve">General comment No. 27, para. 1. See also, </w:t>
      </w:r>
      <w:proofErr w:type="spellStart"/>
      <w:r>
        <w:rPr>
          <w:i/>
          <w:iCs/>
          <w:color w:val="000000"/>
          <w:sz w:val="18"/>
          <w:szCs w:val="18"/>
        </w:rPr>
        <w:t>Ruzimatov</w:t>
      </w:r>
      <w:proofErr w:type="spellEnd"/>
      <w:r>
        <w:rPr>
          <w:i/>
          <w:iCs/>
          <w:color w:val="000000"/>
          <w:sz w:val="18"/>
          <w:szCs w:val="18"/>
        </w:rPr>
        <w:t xml:space="preserve"> et al. v. Turkmenistan</w:t>
      </w:r>
      <w:r>
        <w:rPr>
          <w:color w:val="000000"/>
          <w:sz w:val="18"/>
          <w:szCs w:val="18"/>
        </w:rPr>
        <w:t xml:space="preserve"> (CCPR/C/136/D/3285/2019), para. 6.2.</w:t>
      </w:r>
    </w:p>
  </w:footnote>
  <w:footnote w:id="18">
    <w:p w14:paraId="7094A250" w14:textId="77777777" w:rsidR="004D7046" w:rsidRDefault="00000000">
      <w:pPr>
        <w:pBdr>
          <w:top w:val="nil"/>
          <w:left w:val="nil"/>
          <w:bottom w:val="nil"/>
          <w:right w:val="nil"/>
          <w:between w:val="nil"/>
        </w:pBdr>
        <w:tabs>
          <w:tab w:val="right" w:pos="1021"/>
        </w:tabs>
        <w:spacing w:line="220" w:lineRule="auto"/>
        <w:ind w:left="1134" w:right="1134" w:hanging="1134"/>
        <w:jc w:val="both"/>
        <w:rPr>
          <w:color w:val="000000"/>
          <w:sz w:val="18"/>
          <w:szCs w:val="18"/>
        </w:rPr>
      </w:pPr>
      <w:r>
        <w:rPr>
          <w:rStyle w:val="FootnoteReference"/>
        </w:rPr>
        <w:footnoteRef/>
      </w:r>
      <w:r>
        <w:rPr>
          <w:color w:val="000000"/>
          <w:sz w:val="18"/>
          <w:szCs w:val="18"/>
        </w:rPr>
        <w:tab/>
      </w:r>
      <w:r>
        <w:rPr>
          <w:color w:val="000000"/>
          <w:sz w:val="18"/>
          <w:szCs w:val="18"/>
        </w:rPr>
        <w:tab/>
        <w:t>General comment No. 27, para.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E6E6" w14:textId="77777777" w:rsidR="004D7046" w:rsidRDefault="00000000">
    <w:pPr>
      <w:pBdr>
        <w:top w:val="nil"/>
        <w:left w:val="nil"/>
        <w:bottom w:val="single" w:sz="4" w:space="4" w:color="000000"/>
        <w:right w:val="nil"/>
        <w:between w:val="nil"/>
      </w:pBdr>
      <w:spacing w:line="240" w:lineRule="auto"/>
      <w:rPr>
        <w:b/>
        <w:bCs/>
        <w:color w:val="000000"/>
        <w:sz w:val="18"/>
        <w:szCs w:val="18"/>
      </w:rPr>
    </w:pPr>
    <w:r>
      <w:rPr>
        <w:b/>
        <w:bCs/>
        <w:color w:val="000000"/>
        <w:sz w:val="18"/>
        <w:szCs w:val="18"/>
      </w:rPr>
      <w:t>CCPR/C/143/D/3195/2018 Advance unedited version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609E1" w14:textId="77777777" w:rsidR="004D7046" w:rsidRDefault="00000000">
    <w:pPr>
      <w:pBdr>
        <w:top w:val="nil"/>
        <w:left w:val="nil"/>
        <w:bottom w:val="single" w:sz="4" w:space="4" w:color="000000"/>
        <w:right w:val="nil"/>
        <w:between w:val="nil"/>
      </w:pBdr>
      <w:spacing w:line="240" w:lineRule="auto"/>
      <w:jc w:val="right"/>
      <w:rPr>
        <w:b/>
        <w:bCs/>
        <w:color w:val="000000"/>
        <w:sz w:val="18"/>
        <w:szCs w:val="18"/>
      </w:rPr>
    </w:pPr>
    <w:r>
      <w:rPr>
        <w:b/>
        <w:bCs/>
        <w:color w:val="000000"/>
        <w:sz w:val="18"/>
        <w:szCs w:val="18"/>
      </w:rPr>
      <w:t>Advance unedited version CCPR/C/143/D/3195/2018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046"/>
    <w:rsid w:val="00225B6D"/>
    <w:rsid w:val="004D7046"/>
    <w:rsid w:val="007D6277"/>
    <w:rsid w:val="009E2937"/>
  </w:rsids>
  <m:mathPr>
    <m:mathFont m:val="Cambria Math"/>
    <m:brkBin m:val="before"/>
    <m:brkBinSub m:val="--"/>
    <m:smallFrac m:val="0"/>
    <m:dispDef/>
    <m:lMargin m:val="0"/>
    <m:rMargin m:val="0"/>
    <m:defJc m:val="centerGroup"/>
    <m:wrapIndent m:val="1440"/>
    <m:intLim m:val="subSup"/>
    <m:naryLim m:val="undOvr"/>
  </m:mathPr>
  <w:themeFontLang w:val="en-AR"/>
  <w:clrSchemeMapping w:bg1="light1" w:t1="dark1" w:bg2="light2" w:t2="dark2" w:accent1="accent1" w:accent2="accent2" w:accent3="accent3" w:accent4="accent4" w:accent5="accent5" w:accent6="accent6" w:hyperlink="hyperlink" w:followedHyperlink="followedHyperlink"/>
  <w:decimalSymbol w:val=","/>
  <w:listSeparator w:val=","/>
  <w14:docId w14:val="1B1A6708"/>
  <w15:docId w15:val="{09C484EE-80DF-914F-80CD-070F0CD69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spacing w:line="240" w:lineRule="auto"/>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ingleTxtG">
    <w:name w:val="_ Single Txt_G"/>
    <w:basedOn w:val="Normal"/>
    <w:link w:val="SingleTxtGChar"/>
    <w:qFormat/>
    <w:rsid w:val="00326C8B"/>
    <w:pPr>
      <w:spacing w:after="120"/>
      <w:ind w:left="1134" w:right="1134"/>
      <w:jc w:val="both"/>
    </w:pPr>
  </w:style>
  <w:style w:type="paragraph" w:customStyle="1" w:styleId="HChG">
    <w:name w:val="_ H _Ch_G"/>
    <w:basedOn w:val="Normal"/>
    <w:next w:val="Normal"/>
    <w:qFormat/>
    <w:rsid w:val="00326C8B"/>
    <w:pPr>
      <w:keepNext/>
      <w:keepLines/>
      <w:tabs>
        <w:tab w:val="right" w:pos="851"/>
      </w:tabs>
      <w:spacing w:before="360" w:after="240" w:line="300" w:lineRule="exact"/>
      <w:ind w:left="1134" w:right="1134" w:hanging="1134"/>
    </w:pPr>
    <w:rPr>
      <w:b/>
      <w:sz w:val="28"/>
    </w:rPr>
  </w:style>
  <w:style w:type="paragraph" w:styleId="Header">
    <w:name w:val="header"/>
    <w:aliases w:val="6_G"/>
    <w:basedOn w:val="Normal"/>
    <w:link w:val="HeaderChar"/>
    <w:uiPriority w:val="99"/>
    <w:qFormat/>
    <w:rsid w:val="00326C8B"/>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uiPriority w:val="99"/>
    <w:rsid w:val="00326C8B"/>
    <w:rPr>
      <w:rFonts w:ascii="Times New Roman" w:eastAsia="Times New Roman" w:hAnsi="Times New Roman" w:cs="Times New Roman"/>
      <w:b/>
      <w:sz w:val="18"/>
      <w:szCs w:val="20"/>
    </w:rPr>
  </w:style>
  <w:style w:type="paragraph" w:styleId="FootnoteText">
    <w:name w:val="footnote text"/>
    <w:aliases w:val="5_G,Footnote Text Char Char Char Char Char,Footnote Text Char Char Char Char,Footnote reference,FA Fu,Footnote Text Char Char Char,Footnote Reference1, Char,Char,ft,Style 27,Char Char Char Char Char,Style 11, Char Char Char,Char Char Char"/>
    <w:basedOn w:val="Normal"/>
    <w:link w:val="FootnoteTextChar1"/>
    <w:qFormat/>
    <w:rsid w:val="00DF0B8A"/>
    <w:pPr>
      <w:tabs>
        <w:tab w:val="right" w:pos="1021"/>
      </w:tabs>
      <w:spacing w:line="220" w:lineRule="exact"/>
      <w:ind w:left="1134" w:right="1134" w:hanging="1134"/>
    </w:pPr>
    <w:rPr>
      <w:sz w:val="18"/>
    </w:rPr>
  </w:style>
  <w:style w:type="character" w:customStyle="1" w:styleId="FootnoteTextChar">
    <w:name w:val="Footnote Text Char"/>
    <w:basedOn w:val="DefaultParagraphFont"/>
    <w:rsid w:val="00326C8B"/>
    <w:rPr>
      <w:rFonts w:ascii="Times New Roman" w:eastAsia="Times New Roman" w:hAnsi="Times New Roman" w:cs="Times New Roman"/>
      <w:sz w:val="20"/>
      <w:szCs w:val="20"/>
    </w:rPr>
  </w:style>
  <w:style w:type="character" w:styleId="FootnoteReference">
    <w:name w:val="footnote reference"/>
    <w:aliases w:val="4_G,Footnote number,ftref,Footnotes refss,Style 10,referencia nota al pie,BVI fnr,Footnote text,4_Footnote text,callout,Fago Fußnotenzeichen,16 Point,Superscript 6 Point,Footnote,Footnote symbol,f,Ref,4_,SUPERS,Appel note de bas de p."/>
    <w:basedOn w:val="DefaultParagraphFont"/>
    <w:link w:val="Appelnotedebasde"/>
    <w:qFormat/>
    <w:rsid w:val="00326C8B"/>
    <w:rPr>
      <w:rFonts w:ascii="Times New Roman" w:hAnsi="Times New Roman"/>
      <w:sz w:val="18"/>
      <w:vertAlign w:val="superscript"/>
    </w:rPr>
  </w:style>
  <w:style w:type="paragraph" w:styleId="Footer">
    <w:name w:val="footer"/>
    <w:aliases w:val="3_G"/>
    <w:basedOn w:val="Normal"/>
    <w:link w:val="FooterChar"/>
    <w:uiPriority w:val="99"/>
    <w:qFormat/>
    <w:rsid w:val="00326C8B"/>
    <w:pPr>
      <w:spacing w:line="240" w:lineRule="auto"/>
    </w:pPr>
    <w:rPr>
      <w:sz w:val="16"/>
    </w:rPr>
  </w:style>
  <w:style w:type="character" w:customStyle="1" w:styleId="FooterChar">
    <w:name w:val="Footer Char"/>
    <w:aliases w:val="3_G Char"/>
    <w:basedOn w:val="DefaultParagraphFont"/>
    <w:link w:val="Footer"/>
    <w:uiPriority w:val="99"/>
    <w:rsid w:val="00326C8B"/>
    <w:rPr>
      <w:rFonts w:ascii="Times New Roman" w:eastAsia="Times New Roman" w:hAnsi="Times New Roman" w:cs="Times New Roman"/>
      <w:sz w:val="16"/>
      <w:szCs w:val="20"/>
    </w:rPr>
  </w:style>
  <w:style w:type="paragraph" w:customStyle="1" w:styleId="H23G">
    <w:name w:val="_ H_2/3_G"/>
    <w:basedOn w:val="Normal"/>
    <w:next w:val="Normal"/>
    <w:uiPriority w:val="99"/>
    <w:qFormat/>
    <w:rsid w:val="00326C8B"/>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326C8B"/>
    <w:pPr>
      <w:keepNext/>
      <w:keepLines/>
      <w:tabs>
        <w:tab w:val="right" w:pos="851"/>
      </w:tabs>
      <w:spacing w:before="240" w:after="120" w:line="240" w:lineRule="exact"/>
      <w:ind w:left="1134" w:right="1134" w:hanging="1134"/>
    </w:pPr>
    <w:rPr>
      <w:i/>
    </w:rPr>
  </w:style>
  <w:style w:type="character" w:customStyle="1" w:styleId="FootnoteTextChar1">
    <w:name w:val="Footnote Text Char1"/>
    <w:aliases w:val="5_G Char,Footnote Text Char Char Char Char Char Char,Footnote Text Char Char Char Char Char1,Footnote reference Char,FA Fu Char,Footnote Text Char Char Char Char1,Footnote Reference1 Char, Char Char,Char Char,ft Char,Style 27 Char"/>
    <w:link w:val="FootnoteText"/>
    <w:locked/>
    <w:rsid w:val="00DF0B8A"/>
    <w:rPr>
      <w:rFonts w:ascii="Times New Roman" w:eastAsia="Times New Roman" w:hAnsi="Times New Roman" w:cs="Times New Roman"/>
      <w:sz w:val="18"/>
      <w:szCs w:val="20"/>
    </w:rPr>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link w:val="FootnoteReference"/>
    <w:rsid w:val="00326C8B"/>
    <w:pPr>
      <w:spacing w:before="120" w:after="120" w:line="240" w:lineRule="auto"/>
    </w:pPr>
    <w:rPr>
      <w:rFonts w:eastAsiaTheme="minorHAnsi" w:cstheme="minorBidi"/>
      <w:sz w:val="18"/>
      <w:szCs w:val="22"/>
      <w:vertAlign w:val="superscript"/>
    </w:rPr>
  </w:style>
  <w:style w:type="character" w:customStyle="1" w:styleId="SingleTxtGChar">
    <w:name w:val="_ Single Txt_G Char"/>
    <w:link w:val="SingleTxtG"/>
    <w:locked/>
    <w:rsid w:val="00326C8B"/>
    <w:rPr>
      <w:rFonts w:ascii="Times New Roman" w:eastAsia="Times New Roman" w:hAnsi="Times New Roman" w:cs="Times New Roman"/>
      <w:sz w:val="20"/>
      <w:szCs w:val="20"/>
    </w:rPr>
  </w:style>
  <w:style w:type="character" w:styleId="CommentReference">
    <w:name w:val="annotation reference"/>
    <w:basedOn w:val="DefaultParagraphFont"/>
    <w:uiPriority w:val="99"/>
    <w:unhideWhenUsed/>
    <w:rsid w:val="00326C8B"/>
    <w:rPr>
      <w:sz w:val="16"/>
      <w:szCs w:val="16"/>
    </w:rPr>
  </w:style>
  <w:style w:type="paragraph" w:styleId="CommentText">
    <w:name w:val="annotation text"/>
    <w:basedOn w:val="Normal"/>
    <w:link w:val="CommentTextChar"/>
    <w:uiPriority w:val="99"/>
    <w:unhideWhenUsed/>
    <w:rsid w:val="00326C8B"/>
    <w:pPr>
      <w:spacing w:line="240" w:lineRule="auto"/>
    </w:pPr>
    <w:rPr>
      <w:rFonts w:eastAsia="MS Mincho"/>
      <w:lang w:val="en-US" w:bidi="he-IL"/>
    </w:rPr>
  </w:style>
  <w:style w:type="character" w:customStyle="1" w:styleId="CommentTextChar">
    <w:name w:val="Comment Text Char"/>
    <w:basedOn w:val="DefaultParagraphFont"/>
    <w:link w:val="CommentText"/>
    <w:uiPriority w:val="99"/>
    <w:rsid w:val="00326C8B"/>
    <w:rPr>
      <w:rFonts w:ascii="Times New Roman" w:eastAsia="MS Mincho" w:hAnsi="Times New Roman" w:cs="Times New Roman"/>
      <w:sz w:val="20"/>
      <w:szCs w:val="20"/>
      <w:lang w:val="en-US" w:bidi="he-IL"/>
    </w:rPr>
  </w:style>
  <w:style w:type="character" w:customStyle="1" w:styleId="Heading3Char">
    <w:name w:val="Heading 3 Char"/>
    <w:basedOn w:val="DefaultParagraphFont"/>
    <w:link w:val="Heading3"/>
    <w:uiPriority w:val="9"/>
    <w:rsid w:val="006A67D4"/>
    <w:rPr>
      <w:rFonts w:ascii="Times New Roman" w:eastAsia="Times New Roman" w:hAnsi="Times New Roman" w:cs="Times New Roman"/>
      <w:b/>
      <w:bCs/>
      <w:sz w:val="27"/>
      <w:szCs w:val="27"/>
      <w:lang w:val="en-US"/>
    </w:rPr>
  </w:style>
  <w:style w:type="paragraph" w:styleId="Revision">
    <w:name w:val="Revision"/>
    <w:hidden/>
    <w:uiPriority w:val="99"/>
    <w:semiHidden/>
    <w:rsid w:val="00355038"/>
    <w:pPr>
      <w:spacing w:line="240" w:lineRule="auto"/>
    </w:pPr>
  </w:style>
  <w:style w:type="paragraph" w:styleId="CommentSubject">
    <w:name w:val="annotation subject"/>
    <w:basedOn w:val="CommentText"/>
    <w:next w:val="CommentText"/>
    <w:link w:val="CommentSubjectChar"/>
    <w:uiPriority w:val="99"/>
    <w:semiHidden/>
    <w:unhideWhenUsed/>
    <w:rsid w:val="00355038"/>
    <w:pPr>
      <w:suppressAutoHyphens/>
    </w:pPr>
    <w:rPr>
      <w:rFonts w:eastAsia="Times New Roman"/>
      <w:b/>
      <w:bCs/>
      <w:lang w:val="en-GB" w:bidi="ar-SA"/>
    </w:rPr>
  </w:style>
  <w:style w:type="character" w:customStyle="1" w:styleId="CommentSubjectChar">
    <w:name w:val="Comment Subject Char"/>
    <w:basedOn w:val="CommentTextChar"/>
    <w:link w:val="CommentSubject"/>
    <w:uiPriority w:val="99"/>
    <w:semiHidden/>
    <w:rsid w:val="00355038"/>
    <w:rPr>
      <w:rFonts w:ascii="Times New Roman" w:eastAsia="Times New Roman" w:hAnsi="Times New Roman" w:cs="Times New Roman"/>
      <w:b/>
      <w:bCs/>
      <w:sz w:val="20"/>
      <w:szCs w:val="20"/>
      <w:lang w:val="en-US" w:bidi="he-IL"/>
    </w:rPr>
  </w:style>
  <w:style w:type="character" w:customStyle="1" w:styleId="cf01">
    <w:name w:val="cf01"/>
    <w:basedOn w:val="DefaultParagraphFont"/>
    <w:rsid w:val="00677DA4"/>
    <w:rPr>
      <w:rFonts w:ascii="Segoe UI" w:hAnsi="Segoe UI" w:cs="Segoe UI" w:hint="default"/>
      <w:sz w:val="18"/>
      <w:szCs w:val="18"/>
    </w:rPr>
  </w:style>
  <w:style w:type="character" w:styleId="Hyperlink">
    <w:name w:val="Hyperlink"/>
    <w:basedOn w:val="DefaultParagraphFont"/>
    <w:unhideWhenUsed/>
    <w:rsid w:val="001D6123"/>
    <w:rPr>
      <w:color w:val="0563C1" w:themeColor="hyperlink"/>
      <w:u w:val="single"/>
    </w:rPr>
  </w:style>
  <w:style w:type="character" w:styleId="FollowedHyperlink">
    <w:name w:val="FollowedHyperlink"/>
    <w:basedOn w:val="DefaultParagraphFont"/>
    <w:uiPriority w:val="99"/>
    <w:semiHidden/>
    <w:unhideWhenUsed/>
    <w:rsid w:val="004C3490"/>
    <w:rPr>
      <w:color w:val="954F72" w:themeColor="followedHyperlink"/>
      <w:u w:val="single"/>
    </w:rPr>
  </w:style>
  <w:style w:type="paragraph" w:customStyle="1" w:styleId="paragraph">
    <w:name w:val="paragraph"/>
    <w:basedOn w:val="Normal"/>
    <w:rsid w:val="00FF26CB"/>
    <w:pPr>
      <w:spacing w:before="100" w:beforeAutospacing="1" w:after="100" w:afterAutospacing="1" w:line="240" w:lineRule="auto"/>
    </w:pPr>
    <w:rPr>
      <w:sz w:val="24"/>
      <w:szCs w:val="24"/>
      <w:lang w:val="en-US"/>
    </w:rPr>
  </w:style>
  <w:style w:type="character" w:customStyle="1" w:styleId="normaltextrun">
    <w:name w:val="normaltextrun"/>
    <w:basedOn w:val="DefaultParagraphFont"/>
    <w:rsid w:val="00FF26CB"/>
  </w:style>
  <w:style w:type="character" w:customStyle="1" w:styleId="eop">
    <w:name w:val="eop"/>
    <w:basedOn w:val="DefaultParagraphFont"/>
    <w:rsid w:val="00FF26CB"/>
  </w:style>
  <w:style w:type="character" w:customStyle="1" w:styleId="scxw117434984">
    <w:name w:val="scxw117434984"/>
    <w:basedOn w:val="DefaultParagraphFont"/>
    <w:rsid w:val="00FF26CB"/>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Documents/HRBodies/CCPR/Membership/CV_ABDO_ROCHOLL.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UXWCjYl2ipX3L/UX0pbdkUzQJw==">CgMxLjAyDmguZnJvc2pxc3NuOTdoMg5oLmR6bjI4YTk2ZGE3bTgAciExY0h1MkM0c2tlN0JydG9GU05HRXBrb2F5NDJFTlh6cEQ=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5557</Words>
  <Characters>31675</Characters>
  <Application>Microsoft Office Word</Application>
  <DocSecurity>0</DocSecurity>
  <Lines>263</Lines>
  <Paragraphs>74</Paragraphs>
  <ScaleCrop>false</ScaleCrop>
  <Company/>
  <LinksUpToDate>false</LinksUpToDate>
  <CharactersWithSpaces>37158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 Giltsoff</dc:creator>
  <cp:lastModifiedBy>L.F L.F</cp:lastModifiedBy>
  <cp:revision>2</cp:revision>
  <dcterms:created xsi:type="dcterms:W3CDTF">2025-11-11T18:00:00Z</dcterms:created>
  <dcterms:modified xsi:type="dcterms:W3CDTF">2025-11-11T18:00:00Z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0x010100F8785221ADBDE248AF0BB097DEBF0CEB</vt:lpwstr>
  </property>
  <property fmtid="{D5CDD505-2E9C-101B-9397-08002B2CF9AE}" pid="3" name="DocID">
    <vt:r8>14952</vt:r8>
  </property>
  <property fmtid="{D5CDD505-2E9C-101B-9397-08002B2CF9AE}" pid="4" name="Lang">
    <vt:lpwstr>E</vt:lpwstr>
  </property>
  <property fmtid="{D5CDD505-2E9C-101B-9397-08002B2CF9AE}" pid="5" name="Source">
    <vt:lpwstr>MS</vt:lpwstr>
  </property>
  <property fmtid="{D5CDD505-2E9C-101B-9397-08002B2CF9AE}" pid="6" name="DocUniqueID">
    <vt:lpwstr>65982676-1043-4024-bc0b-ed487b891e32</vt:lpwstr>
  </property>
  <property fmtid="{D5CDD505-2E9C-101B-9397-08002B2CF9AE}" pid="7" name="CycleNumber">
    <vt:r8>3</vt:r8>
  </property>
  <property fmtid="{D5CDD505-2E9C-101B-9397-08002B2CF9AE}" pid="8" name="eMemo">
    <vt:r8>0</vt:r8>
  </property>
  <property fmtid="{D5CDD505-2E9C-101B-9397-08002B2CF9AE}" pid="9" name="DocDescription">
    <vt:lpwstr>3039_2017_Sadykova v  KZ (Human Rights Treaties - Petitions   Inquiries)</vt:lpwstr>
  </property>
  <property fmtid="{D5CDD505-2E9C-101B-9397-08002B2CF9AE}" pid="10" name="Drafter">
    <vt:lpwstr>1282</vt:lpwstr>
  </property>
  <property fmtid="{D5CDD505-2E9C-101B-9397-08002B2CF9AE}" pid="11" name="RelatedDocumentsURL">
    <vt:lpwstr>https://memostore-ohchr.msappproxy.net/SupportingDocuments.aspx?DocId=14952, https://memostore-ohchr.msappproxy.net/SupportingDocuments.aspx?DocId=14952</vt:lpwstr>
  </property>
  <property fmtid="{D5CDD505-2E9C-101B-9397-08002B2CF9AE}" pid="12" name="NeedsAditionalReview">
    <vt:bool>true</vt:bool>
  </property>
  <property fmtid="{D5CDD505-2E9C-101B-9397-08002B2CF9AE}" pid="13" name="3Signatures1stGroup">
    <vt:lpwstr>1203</vt:lpwstr>
  </property>
  <property fmtid="{D5CDD505-2E9C-101B-9397-08002B2CF9AE}" pid="14" name="IsVisible">
    <vt:bool>false</vt:bool>
  </property>
  <property fmtid="{D5CDD505-2E9C-101B-9397-08002B2CF9AE}" pid="15" name="3Signatures1stGroupDateTime">
    <vt:filetime>2024-01-09T23:00:00Z</vt:filetime>
  </property>
  <property fmtid="{D5CDD505-2E9C-101B-9397-08002B2CF9AE}" pid="16" name="3Signatures1stGroupNotified">
    <vt:lpwstr>1224</vt:lpwstr>
  </property>
  <property fmtid="{D5CDD505-2E9C-101B-9397-08002B2CF9AE}" pid="17" name="Accept_WF_3SA_CTMD HRTB PUAS CCPR">
    <vt:lpwstr>,</vt:lpwstr>
  </property>
  <property fmtid="{D5CDD505-2E9C-101B-9397-08002B2CF9AE}" pid="18" name="Notify_WF_3SA_CTMD HRTB PUAS CCPR">
    <vt:lpwstr>https://eclearance.ohchr.org/_layouts/15/wrkstat.aspx?List=4e2a6322-35be-4516-8809-9481ced96d76&amp;WorkflowInstanceName=c22a28fd-f694-4712-8cbf-34dcc9c50844, Pending First Signature Approval</vt:lpwstr>
  </property>
  <property fmtid="{D5CDD505-2E9C-101B-9397-08002B2CF9AE}" pid="19" name="Reject_WF_3SA_CTMD HRTB PUAS CCPR">
    <vt:lpwstr>https://eclearance.ohchr.org/_layouts/15/wrkstat.aspx?List=4e2a6322-35be-4516-8809-9481ced96d76&amp;WorkflowInstanceName=791e8735-32da-4ba3-8589-c782b87af5e1, First Signature Approval Stage</vt:lpwstr>
  </property>
  <property fmtid="{D5CDD505-2E9C-101B-9397-08002B2CF9AE}" pid="20" name="3Signatures1stGroupApprover">
    <vt:lpwstr>1224</vt:lpwstr>
  </property>
  <property fmtid="{D5CDD505-2E9C-101B-9397-08002B2CF9AE}" pid="21" name="GrammarlyDocumentId">
    <vt:lpwstr>2dcf455ab6d7b770b3a89c95cbec86fb85799b81fded9b0da8fa25222ba8562b</vt:lpwstr>
  </property>
  <property fmtid="{D5CDD505-2E9C-101B-9397-08002B2CF9AE}" pid="22" name="MediaServiceImageTags">
    <vt:lpwstr/>
  </property>
</Properties>
</file>