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81940" w:rsidP="00681940" w:rsidRDefault="00681940">
      <w:pPr>
        <w:widowControl/>
        <w:suppressAutoHyphens w:val="0"/>
        <w:spacing w:after="200"/>
        <w:ind w:start="283" w:end="283" w:firstLine="567"/>
        <w:jc w:val="both"/>
        <w:rPr>
          <w:b/>
          <w:color w:val="010000"/>
          <w:sz w:val="28"/>
        </w:rPr>
      </w:pPr>
    </w:p>
    <w:p w:rsidR="00681940" w:rsidP="00681940" w:rsidRDefault="00681940">
      <w:pPr>
        <w:widowControl/>
        <w:suppressAutoHyphens w:val="0"/>
        <w:spacing w:after="200"/>
        <w:ind w:start="283" w:end="283" w:firstLine="567"/>
        <w:jc w:val="both"/>
        <w:rPr>
          <w:b/>
          <w:color w:val="010000"/>
          <w:sz w:val="28"/>
        </w:rPr>
      </w:pPr>
    </w:p>
    <w:p w:rsidR="00681940" w:rsidP="00681940" w:rsidRDefault="00681940">
      <w:pPr>
        <w:widowControl/>
        <w:suppressAutoHyphens w:val="0"/>
        <w:spacing w:after="200"/>
        <w:ind w:start="283" w:end="283" w:firstLine="567"/>
        <w:jc w:val="both"/>
        <w:rPr>
          <w:b/>
          <w:color w:val="010000"/>
          <w:sz w:val="28"/>
        </w:rPr>
      </w:pPr>
    </w:p>
    <w:p w:rsidR="00681940" w:rsidP="00681940" w:rsidRDefault="00681940">
      <w:pPr>
        <w:widowControl/>
        <w:suppressAutoHyphens w:val="0"/>
        <w:spacing w:after="200"/>
        <w:ind w:start="283" w:end="283" w:firstLine="567"/>
        <w:jc w:val="both"/>
        <w:rPr>
          <w:b/>
          <w:color w:val="010000"/>
          <w:sz w:val="28"/>
        </w:rPr>
      </w:pPr>
    </w:p>
    <w:tbl>
      <w:tblPr>
        <w:tblW w:w="0" w:type="auto"/>
        <w:jc w:val="center"/>
        <w:tblLayout w:type="fixed"/>
        <w:tblCellMar>
          <w:left w:w="70" w:type="dxa"/>
          <w:right w:w="70" w:type="dxa"/>
        </w:tblCellMar>
        <w:tblLook w:val="0000"/>
      </w:tblPr>
      <w:tblGrid>
        <w:gridCol w:w="9072"/>
      </w:tblGrid>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b/>
                <w:color w:val="010000"/>
                <w:sz w:val="28"/>
              </w:rPr>
            </w:pPr>
            <w:r>
              <w:rPr>
                <w:b/>
                <w:color w:val="010000"/>
                <w:sz w:val="28"/>
              </w:rPr>
              <w:t xml:space="preserve">REPUBLIC OF TURKEY</w:t>
            </w:r>
          </w:p>
        </w:tc>
      </w:tr>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b/>
                <w:color w:val="010000"/>
                <w:sz w:val="32"/>
              </w:rPr>
            </w:pPr>
            <w:r>
              <w:rPr>
                <w:b/>
                <w:color w:val="010000"/>
                <w:sz w:val="32"/>
              </w:rPr>
              <w:t xml:space="preserve">CONSTITUTIONAL COURT</w:t>
            </w:r>
          </w:p>
        </w:tc>
      </w:tr>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b/>
                <w:color w:val="010000"/>
              </w:rPr>
            </w:pPr>
          </w:p>
        </w:tc>
      </w:tr>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b/>
                <w:color w:val="010000"/>
              </w:rPr>
            </w:pPr>
          </w:p>
        </w:tc>
      </w:tr>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b/>
                <w:color w:val="010000"/>
              </w:rPr>
            </w:pPr>
            <w:r>
              <w:rPr>
                <w:b/>
                <w:color w:val="010000"/>
              </w:rPr>
              <w:t xml:space="preserve">SECOND SECTION</w:t>
            </w:r>
          </w:p>
        </w:tc>
      </w:tr>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b/>
                <w:color w:val="010000"/>
              </w:rPr>
            </w:pPr>
          </w:p>
        </w:tc>
      </w:tr>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b/>
                <w:color w:val="010000"/>
              </w:rPr>
            </w:pPr>
            <w:r>
              <w:rPr>
                <w:b/>
                <w:color w:val="010000"/>
              </w:rPr>
              <w:t xml:space="preserve">DECISION</w:t>
            </w:r>
          </w:p>
        </w:tc>
      </w:tr>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b/>
                <w:color w:val="010000"/>
              </w:rPr>
            </w:pPr>
          </w:p>
        </w:tc>
      </w:tr>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b/>
                <w:color w:val="010000"/>
              </w:rPr>
            </w:pPr>
            <w:r>
              <w:rPr>
                <w:b/>
                <w:color w:val="010000"/>
              </w:rPr>
              <w:t xml:space="preserve">YAMAN AKDENİZ APPLICATION (3)</w:t>
            </w:r>
          </w:p>
        </w:tc>
      </w:tr>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color w:val="010000"/>
              </w:rPr>
            </w:pPr>
            <w:r>
              <w:rPr>
                <w:color w:val="010000"/>
              </w:rPr>
              <w:t xml:space="preserve">(Application Number: 2022/4380)</w:t>
            </w:r>
          </w:p>
        </w:tc>
      </w:tr>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b/>
                <w:color w:val="010000"/>
              </w:rPr>
            </w:pPr>
          </w:p>
        </w:tc>
      </w:tr>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color w:val="010000"/>
              </w:rPr>
            </w:pPr>
            <w:r>
              <w:rPr>
                <w:color w:val="010000"/>
              </w:rPr>
              <w:t xml:space="preserve">Date of Decision: 2/7/2025</w:t>
            </w:r>
          </w:p>
        </w:tc>
      </w:tr>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color w:val="010000"/>
              </w:rPr>
            </w:pPr>
          </w:p>
        </w:tc>
      </w:tr>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b/>
                <w:color w:val="010000"/>
              </w:rPr>
            </w:pPr>
          </w:p>
        </w:tc>
      </w:tr>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b/>
                <w:color w:val="010000"/>
              </w:rPr>
            </w:pPr>
          </w:p>
        </w:tc>
      </w:tr>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b/>
                <w:color w:val="010000"/>
              </w:rPr>
            </w:pPr>
          </w:p>
        </w:tc>
      </w:tr>
      <w:tr w:rsidRPr="00681940" w:rsidR="00681940" w:rsidTr="00681940">
        <w:tblPrEx>
          <w:tblCellMar>
            <w:top w:w="0" w:type="dxa"/>
            <w:bottom w:w="0" w:type="dxa"/>
          </w:tblCellMar>
        </w:tblPrEx>
        <w:trPr>
          <w:trHeight w:val="500"/>
          <w:jc w:val="center"/>
        </w:trPr>
        <w:tc>
          <w:tcPr>
            <w:tcW w:w="9072" w:type="dxa"/>
            <w:vAlign w:val="center"/>
          </w:tcPr>
          <w:p w:rsidRPr="00681940" w:rsidR="00681940" w:rsidP="00681940" w:rsidRDefault="00681940">
            <w:pPr>
              <w:widowControl/>
              <w:suppressAutoHyphens w:val="0"/>
              <w:spacing w:after="200"/>
              <w:ind w:end="283"/>
              <w:jc w:val="center"/>
              <w:rPr>
                <w:b/>
                <w:color w:val="010000"/>
              </w:rPr>
            </w:pPr>
          </w:p>
        </w:tc>
      </w:tr>
    </w:tbl>
    <w:p w:rsidR="00681940" w:rsidP="00681940" w:rsidRDefault="00681940">
      <w:pPr>
        <w:widowControl/>
        <w:suppressAutoHyphens w:val="0"/>
        <w:spacing w:after="200"/>
        <w:ind w:start="283" w:end="283" w:firstLine="567"/>
        <w:jc w:val="both"/>
        <w:rPr>
          <w:b/>
          <w:color w:val="010000"/>
        </w:rPr>
        <w:sectPr w:rsidR="00681940" w:rsidSect="00681940">
          <w:headerReference w:type="default" r:id="rId6"/>
          <w:footerReference w:type="default" r:id="rId7"/>
          <w:pgSz w:w="11906" w:h="16838"/>
          <w:pgMar w:top="976" w:right="1417" w:bottom="941" w:left="1417" w:header="400" w:footer="400" w:gutter="0"/>
          <w:cols w:space="708"/>
          <w:titlePg/>
          <w:docGrid w:linePitch="326"/>
        </w:sectPr>
      </w:pPr>
    </w:p>
    <w:p w:rsidR="00681940" w:rsidP="00681940" w:rsidRDefault="00681940">
      <w:pPr>
        <w:widowControl/>
        <w:suppressAutoHyphens w:val="0"/>
        <w:spacing w:after="200"/>
        <w:ind w:start="283" w:end="283" w:firstLine="567"/>
        <w:jc w:val="both"/>
        <w:rPr>
          <w:b/>
          <w:color w:val="010000"/>
        </w:rPr>
      </w:pPr>
    </w:p>
    <w:p w:rsidRPr="00681940" w:rsidR="001624C3" w:rsidP="00681940" w:rsidRDefault="00FF3C6C">
      <w:pPr>
        <w:widowControl/>
        <w:suppressAutoHyphens w:val="0"/>
        <w:spacing w:after="200"/>
        <w:ind w:start="283" w:end="283" w:firstLine="1"/>
        <w:jc w:val="center"/>
        <w:rPr>
          <w:color w:val="010000"/>
        </w:rPr>
      </w:pPr>
      <w:r w:rsidRPr="00681940">
        <w:rPr>
          <w:b/>
          <w:color w:val="010000"/>
        </w:rPr>
        <w:t xml:space="preserve">SECOND SECTION</w:t>
      </w:r>
    </w:p>
    <w:p w:rsidRPr="00681940" w:rsidR="001624C3" w:rsidP="00681940" w:rsidRDefault="00FF3C6C">
      <w:pPr>
        <w:widowControl/>
        <w:suppressAutoHyphens w:val="0"/>
        <w:spacing w:after="200"/>
        <w:ind w:start="283" w:end="283" w:firstLine="1"/>
        <w:jc w:val="center"/>
        <w:rPr>
          <w:color w:val="010000"/>
        </w:rPr>
      </w:pPr>
      <w:r w:rsidRPr="00681940">
        <w:rPr>
          <w:b/>
          <w:color w:val="010000"/>
        </w:rPr>
        <w:t xml:space="preserve">DECISION</w:t>
      </w:r>
    </w:p>
    <w:p w:rsidR="00681940" w:rsidP="00681940" w:rsidRDefault="00681940">
      <w:pPr>
        <w:pStyle w:val="edf1450279197849"/>
        <w:widowControl/>
        <w:suppressAutoHyphens w:val="0"/>
        <w:spacing w:after="200"/>
        <w:ind w:start="283" w:end="283" w:firstLine="567"/>
        <w:jc w:val="both"/>
        <w:rPr>
          <w:rFonts w:cs="Times New Roman"/>
          <w:b/>
          <w:color w:val="010000"/>
        </w:rPr>
      </w:pPr>
    </w:p>
    <w:tbl>
      <w:tblPr>
        <w:tblW w:w="0" w:type="auto"/>
        <w:tblInd w:w="800" w:type="dxa"/>
        <w:tblLayout w:type="fixed"/>
        <w:tblCellMar>
          <w:left w:w="70" w:type="dxa"/>
          <w:right w:w="70" w:type="dxa"/>
        </w:tblCellMar>
        <w:tblLook w:val="0000"/>
      </w:tblPr>
      <w:tblGrid>
        <w:gridCol w:w="2400"/>
        <w:gridCol w:w="200"/>
        <w:gridCol w:w="5400"/>
      </w:tblGrid>
      <w:tr w:rsidRPr="00681940" w:rsidR="00681940" w:rsidTr="00681940">
        <w:tblPrEx>
          <w:tblCellMar>
            <w:top w:w="0" w:type="dxa"/>
            <w:bottom w:w="0" w:type="dxa"/>
          </w:tblCellMar>
        </w:tblPrEx>
        <w:trPr>
          <w:trHeight w:val="454"/>
        </w:trPr>
        <w:tc>
          <w:tcPr>
            <w:tcW w:w="2400" w:type="dxa"/>
          </w:tcPr>
          <w:p w:rsidRPr="00681940" w:rsidR="00681940" w:rsidP="00681940" w:rsidRDefault="00681940">
            <w:pPr>
              <w:pStyle w:val="edf1450279197849"/>
              <w:widowControl/>
              <w:suppressAutoHyphens w:val="0"/>
              <w:rPr>
                <w:rFonts w:cs="Times New Roman"/>
                <w:b/>
                <w:color w:val="010000"/>
              </w:rPr>
            </w:pPr>
            <w:r w:rsidRPr="00681940">
              <w:rPr>
                <w:rFonts w:cs="Times New Roman"/>
                <w:b/>
                <w:color w:val="010000"/>
              </w:rPr>
              <w:t xml:space="preserve">Chairman</w:t>
            </w:r>
          </w:p>
        </w:tc>
        <w:tc>
          <w:tcPr>
            <w:tcW w:w="200" w:type="dxa"/>
          </w:tcPr>
          <w:p w:rsidRPr="00681940" w:rsidR="00681940" w:rsidP="00681940" w:rsidRDefault="00681940">
            <w:pPr>
              <w:pStyle w:val="edf1450279197849"/>
              <w:widowControl/>
              <w:suppressAutoHyphens w:val="0"/>
              <w:rPr>
                <w:rFonts w:cs="Times New Roman"/>
                <w:b/>
                <w:color w:val="010000"/>
              </w:rPr>
            </w:pPr>
            <w:r w:rsidRPr="00681940">
              <w:rPr>
                <w:rFonts w:cs="Times New Roman"/>
                <w:b/>
                <w:color w:val="010000"/>
              </w:rPr>
              <w:t xml:space="preserve">:</w:t>
            </w:r>
          </w:p>
        </w:tc>
        <w:tc>
          <w:tcPr>
            <w:tcW w:w="5400" w:type="dxa"/>
          </w:tcPr>
          <w:p w:rsidRPr="00681940" w:rsidR="00681940" w:rsidP="00681940" w:rsidRDefault="00681940">
            <w:pPr>
              <w:pStyle w:val="edf1450279197849"/>
              <w:widowControl/>
              <w:suppressAutoHyphens w:val="0"/>
              <w:rPr>
                <w:rFonts w:cs="Times New Roman"/>
                <w:color w:val="010000"/>
              </w:rPr>
            </w:pPr>
            <w:r w:rsidRPr="00681940">
              <w:rPr>
                <w:rFonts w:cs="Times New Roman"/>
                <w:color w:val="010000"/>
              </w:rPr>
              <w:t xml:space="preserve">Basri BAĞCI</w:t>
            </w:r>
          </w:p>
        </w:tc>
      </w:tr>
      <w:tr w:rsidRPr="00681940" w:rsidR="00681940" w:rsidTr="00681940">
        <w:tblPrEx>
          <w:tblCellMar>
            <w:top w:w="0" w:type="dxa"/>
            <w:bottom w:w="0" w:type="dxa"/>
          </w:tblCellMar>
        </w:tblPrEx>
        <w:trPr>
          <w:trHeight w:val="454"/>
        </w:trPr>
        <w:tc>
          <w:tcPr>
            <w:tcW w:w="2400" w:type="dxa"/>
          </w:tcPr>
          <w:p w:rsidRPr="00681940" w:rsidR="00681940" w:rsidP="00681940" w:rsidRDefault="00681940">
            <w:pPr>
              <w:pStyle w:val="edf1450279197849"/>
              <w:widowControl/>
              <w:suppressAutoHyphens w:val="0"/>
              <w:rPr>
                <w:rFonts w:cs="Times New Roman"/>
                <w:b/>
                <w:color w:val="010000"/>
              </w:rPr>
            </w:pPr>
            <w:r w:rsidRPr="00681940">
              <w:rPr>
                <w:rFonts w:cs="Times New Roman"/>
                <w:b/>
                <w:color w:val="010000"/>
              </w:rPr>
              <w:t xml:space="preserve">Members</w:t>
            </w:r>
          </w:p>
        </w:tc>
        <w:tc>
          <w:tcPr>
            <w:tcW w:w="200" w:type="dxa"/>
          </w:tcPr>
          <w:p w:rsidRPr="00681940" w:rsidR="00681940" w:rsidP="00681940" w:rsidRDefault="00681940">
            <w:pPr>
              <w:pStyle w:val="edf1450279197849"/>
              <w:widowControl/>
              <w:suppressAutoHyphens w:val="0"/>
              <w:rPr>
                <w:rFonts w:cs="Times New Roman"/>
                <w:b/>
                <w:color w:val="010000"/>
              </w:rPr>
            </w:pPr>
            <w:r w:rsidRPr="00681940">
              <w:rPr>
                <w:rFonts w:cs="Times New Roman"/>
                <w:b/>
                <w:color w:val="010000"/>
              </w:rPr>
              <w:t xml:space="preserve">:</w:t>
            </w:r>
          </w:p>
        </w:tc>
        <w:tc>
          <w:tcPr>
            <w:tcW w:w="5400" w:type="dxa"/>
          </w:tcPr>
          <w:p w:rsidRPr="00681940" w:rsidR="00681940" w:rsidP="00681940" w:rsidRDefault="00681940">
            <w:pPr>
              <w:pStyle w:val="edf1450279197849"/>
              <w:widowControl/>
              <w:suppressAutoHyphens w:val="0"/>
              <w:rPr>
                <w:rFonts w:cs="Times New Roman"/>
                <w:color w:val="010000"/>
              </w:rPr>
            </w:pPr>
            <w:r w:rsidRPr="00681940">
              <w:rPr>
                <w:rFonts w:cs="Times New Roman"/>
                <w:color w:val="010000"/>
              </w:rPr>
              <w:t xml:space="preserve">Yıldız SEFERİNOĞLU</w:t>
            </w:r>
          </w:p>
        </w:tc>
      </w:tr>
      <w:tr w:rsidRPr="00681940" w:rsidR="00681940" w:rsidTr="00681940">
        <w:tblPrEx>
          <w:tblCellMar>
            <w:top w:w="0" w:type="dxa"/>
            <w:bottom w:w="0" w:type="dxa"/>
          </w:tblCellMar>
        </w:tblPrEx>
        <w:trPr>
          <w:trHeight w:val="454"/>
        </w:trPr>
        <w:tc>
          <w:tcPr>
            <w:tcW w:w="2400" w:type="dxa"/>
          </w:tcPr>
          <w:p w:rsidRPr="00681940" w:rsidR="00681940" w:rsidP="00681940" w:rsidRDefault="00681940">
            <w:pPr>
              <w:pStyle w:val="edf1450279197849"/>
              <w:widowControl/>
              <w:suppressAutoHyphens w:val="0"/>
              <w:rPr>
                <w:rFonts w:cs="Times New Roman"/>
                <w:b/>
                <w:color w:val="010000"/>
              </w:rPr>
            </w:pPr>
          </w:p>
        </w:tc>
        <w:tc>
          <w:tcPr>
            <w:tcW w:w="200" w:type="dxa"/>
          </w:tcPr>
          <w:p w:rsidRPr="00681940" w:rsidR="00681940" w:rsidP="00681940" w:rsidRDefault="00681940">
            <w:pPr>
              <w:pStyle w:val="edf1450279197849"/>
              <w:widowControl/>
              <w:suppressAutoHyphens w:val="0"/>
              <w:rPr>
                <w:rFonts w:cs="Times New Roman"/>
                <w:b/>
                <w:color w:val="010000"/>
              </w:rPr>
            </w:pPr>
          </w:p>
        </w:tc>
        <w:tc>
          <w:tcPr>
            <w:tcW w:w="5400" w:type="dxa"/>
          </w:tcPr>
          <w:p w:rsidRPr="00681940" w:rsidR="00681940" w:rsidP="00681940" w:rsidRDefault="00681940">
            <w:pPr>
              <w:pStyle w:val="edf1450279197849"/>
              <w:widowControl/>
              <w:suppressAutoHyphens w:val="0"/>
              <w:rPr>
                <w:rFonts w:cs="Times New Roman"/>
                <w:color w:val="010000"/>
              </w:rPr>
            </w:pPr>
            <w:r w:rsidRPr="00681940">
              <w:rPr>
                <w:rFonts w:cs="Times New Roman"/>
                <w:color w:val="010000"/>
              </w:rPr>
              <w:t xml:space="preserve">Kenan YAŞAR</w:t>
            </w:r>
          </w:p>
        </w:tc>
      </w:tr>
      <w:tr w:rsidRPr="00681940" w:rsidR="00681940" w:rsidTr="00681940">
        <w:tblPrEx>
          <w:tblCellMar>
            <w:top w:w="0" w:type="dxa"/>
            <w:bottom w:w="0" w:type="dxa"/>
          </w:tblCellMar>
        </w:tblPrEx>
        <w:trPr>
          <w:trHeight w:val="454"/>
        </w:trPr>
        <w:tc>
          <w:tcPr>
            <w:tcW w:w="2400" w:type="dxa"/>
          </w:tcPr>
          <w:p w:rsidRPr="00681940" w:rsidR="00681940" w:rsidP="00681940" w:rsidRDefault="00681940">
            <w:pPr>
              <w:pStyle w:val="edf1450279197849"/>
              <w:widowControl/>
              <w:suppressAutoHyphens w:val="0"/>
              <w:rPr>
                <w:rFonts w:cs="Times New Roman"/>
                <w:b/>
                <w:color w:val="010000"/>
              </w:rPr>
            </w:pPr>
          </w:p>
        </w:tc>
        <w:tc>
          <w:tcPr>
            <w:tcW w:w="200" w:type="dxa"/>
          </w:tcPr>
          <w:p w:rsidRPr="00681940" w:rsidR="00681940" w:rsidP="00681940" w:rsidRDefault="00681940">
            <w:pPr>
              <w:pStyle w:val="edf1450279197849"/>
              <w:widowControl/>
              <w:suppressAutoHyphens w:val="0"/>
              <w:rPr>
                <w:rFonts w:cs="Times New Roman"/>
                <w:b/>
                <w:color w:val="010000"/>
              </w:rPr>
            </w:pPr>
          </w:p>
        </w:tc>
        <w:tc>
          <w:tcPr>
            <w:tcW w:w="5400" w:type="dxa"/>
          </w:tcPr>
          <w:p w:rsidRPr="00681940" w:rsidR="00681940" w:rsidP="00681940" w:rsidRDefault="00681940">
            <w:pPr>
              <w:pStyle w:val="edf1450279197849"/>
              <w:widowControl/>
              <w:suppressAutoHyphens w:val="0"/>
              <w:rPr>
                <w:rFonts w:cs="Times New Roman"/>
                <w:color w:val="010000"/>
              </w:rPr>
            </w:pPr>
            <w:r w:rsidRPr="00681940">
              <w:rPr>
                <w:rFonts w:cs="Times New Roman"/>
                <w:color w:val="010000"/>
              </w:rPr>
              <w:t xml:space="preserve">Ömer ÇINAR</w:t>
            </w:r>
          </w:p>
        </w:tc>
      </w:tr>
      <w:tr w:rsidRPr="00681940" w:rsidR="00681940" w:rsidTr="00681940">
        <w:tblPrEx>
          <w:tblCellMar>
            <w:top w:w="0" w:type="dxa"/>
            <w:bottom w:w="0" w:type="dxa"/>
          </w:tblCellMar>
        </w:tblPrEx>
        <w:trPr>
          <w:trHeight w:val="454"/>
        </w:trPr>
        <w:tc>
          <w:tcPr>
            <w:tcW w:w="2400" w:type="dxa"/>
          </w:tcPr>
          <w:p w:rsidRPr="00681940" w:rsidR="00681940" w:rsidP="00681940" w:rsidRDefault="00681940">
            <w:pPr>
              <w:pStyle w:val="edf1450279197849"/>
              <w:widowControl/>
              <w:suppressAutoHyphens w:val="0"/>
              <w:rPr>
                <w:rFonts w:cs="Times New Roman"/>
                <w:b/>
                <w:color w:val="010000"/>
              </w:rPr>
            </w:pPr>
          </w:p>
        </w:tc>
        <w:tc>
          <w:tcPr>
            <w:tcW w:w="200" w:type="dxa"/>
          </w:tcPr>
          <w:p w:rsidRPr="00681940" w:rsidR="00681940" w:rsidP="00681940" w:rsidRDefault="00681940">
            <w:pPr>
              <w:pStyle w:val="edf1450279197849"/>
              <w:widowControl/>
              <w:suppressAutoHyphens w:val="0"/>
              <w:rPr>
                <w:rFonts w:cs="Times New Roman"/>
                <w:b/>
                <w:color w:val="010000"/>
              </w:rPr>
            </w:pPr>
          </w:p>
        </w:tc>
        <w:tc>
          <w:tcPr>
            <w:tcW w:w="5400" w:type="dxa"/>
          </w:tcPr>
          <w:p w:rsidRPr="00681940" w:rsidR="00681940" w:rsidP="00681940" w:rsidRDefault="00681940">
            <w:pPr>
              <w:pStyle w:val="edf1450279197849"/>
              <w:widowControl/>
              <w:suppressAutoHyphens w:val="0"/>
              <w:rPr>
                <w:rFonts w:cs="Times New Roman"/>
                <w:color w:val="010000"/>
              </w:rPr>
            </w:pPr>
            <w:r w:rsidRPr="00681940">
              <w:rPr>
                <w:rFonts w:cs="Times New Roman"/>
                <w:color w:val="010000"/>
              </w:rPr>
              <w:t xml:space="preserve">Metin KIRATLI</w:t>
            </w:r>
          </w:p>
        </w:tc>
      </w:tr>
      <w:tr w:rsidRPr="00681940" w:rsidR="00681940" w:rsidTr="00681940">
        <w:tblPrEx>
          <w:tblCellMar>
            <w:top w:w="0" w:type="dxa"/>
            <w:bottom w:w="0" w:type="dxa"/>
          </w:tblCellMar>
        </w:tblPrEx>
        <w:trPr>
          <w:trHeight w:val="454"/>
        </w:trPr>
        <w:tc>
          <w:tcPr>
            <w:tcW w:w="2400" w:type="dxa"/>
          </w:tcPr>
          <w:p w:rsidRPr="00681940" w:rsidR="00681940" w:rsidP="00681940" w:rsidRDefault="00681940">
            <w:pPr>
              <w:pStyle w:val="edf1450279197849"/>
              <w:widowControl/>
              <w:suppressAutoHyphens w:val="0"/>
              <w:rPr>
                <w:rFonts w:cs="Times New Roman"/>
                <w:b/>
                <w:color w:val="010000"/>
              </w:rPr>
            </w:pPr>
            <w:r w:rsidRPr="00681940">
              <w:rPr>
                <w:rFonts w:cs="Times New Roman"/>
                <w:b/>
                <w:color w:val="010000"/>
              </w:rPr>
              <w:t xml:space="preserve">Rapporteur</w:t>
            </w:r>
          </w:p>
        </w:tc>
        <w:tc>
          <w:tcPr>
            <w:tcW w:w="200" w:type="dxa"/>
          </w:tcPr>
          <w:p w:rsidRPr="00681940" w:rsidR="00681940" w:rsidP="00681940" w:rsidRDefault="00681940">
            <w:pPr>
              <w:pStyle w:val="edf1450279197849"/>
              <w:widowControl/>
              <w:suppressAutoHyphens w:val="0"/>
              <w:rPr>
                <w:rFonts w:cs="Times New Roman"/>
                <w:b/>
                <w:color w:val="010000"/>
              </w:rPr>
            </w:pPr>
            <w:r w:rsidRPr="00681940">
              <w:rPr>
                <w:rFonts w:cs="Times New Roman"/>
                <w:b/>
                <w:color w:val="010000"/>
              </w:rPr>
              <w:t xml:space="preserve">:</w:t>
            </w:r>
          </w:p>
        </w:tc>
        <w:tc>
          <w:tcPr>
            <w:tcW w:w="5400" w:type="dxa"/>
          </w:tcPr>
          <w:p w:rsidRPr="00681940" w:rsidR="00681940" w:rsidP="00681940" w:rsidRDefault="00681940">
            <w:pPr>
              <w:pStyle w:val="edf1450279197849"/>
              <w:widowControl/>
              <w:suppressAutoHyphens w:val="0"/>
              <w:rPr>
                <w:rFonts w:cs="Times New Roman"/>
                <w:color w:val="010000"/>
              </w:rPr>
            </w:pPr>
            <w:r w:rsidRPr="00681940">
              <w:rPr>
                <w:rFonts w:cs="Times New Roman"/>
                <w:color w:val="010000"/>
              </w:rPr>
              <w:t xml:space="preserve">Şeyda Nur ÜN</w:t>
            </w:r>
          </w:p>
        </w:tc>
      </w:tr>
      <w:tr w:rsidRPr="00681940" w:rsidR="00681940" w:rsidTr="00681940">
        <w:tblPrEx>
          <w:tblCellMar>
            <w:top w:w="0" w:type="dxa"/>
            <w:bottom w:w="0" w:type="dxa"/>
          </w:tblCellMar>
        </w:tblPrEx>
        <w:trPr>
          <w:trHeight w:val="454"/>
        </w:trPr>
        <w:tc>
          <w:tcPr>
            <w:tcW w:w="2400" w:type="dxa"/>
          </w:tcPr>
          <w:p w:rsidRPr="00681940" w:rsidR="00681940" w:rsidP="00681940" w:rsidRDefault="00681940">
            <w:pPr>
              <w:pStyle w:val="edf1450279197849"/>
              <w:widowControl/>
              <w:suppressAutoHyphens w:val="0"/>
              <w:rPr>
                <w:rFonts w:cs="Times New Roman"/>
                <w:b/>
                <w:color w:val="010000"/>
              </w:rPr>
            </w:pPr>
            <w:r w:rsidRPr="00681940">
              <w:rPr>
                <w:rFonts w:cs="Times New Roman"/>
                <w:b/>
                <w:color w:val="010000"/>
              </w:rPr>
              <w:t xml:space="preserve">Applicant</w:t>
            </w:r>
          </w:p>
        </w:tc>
        <w:tc>
          <w:tcPr>
            <w:tcW w:w="200" w:type="dxa"/>
          </w:tcPr>
          <w:p w:rsidRPr="00681940" w:rsidR="00681940" w:rsidP="00681940" w:rsidRDefault="00681940">
            <w:pPr>
              <w:pStyle w:val="edf1450279197849"/>
              <w:widowControl/>
              <w:suppressAutoHyphens w:val="0"/>
              <w:rPr>
                <w:rFonts w:cs="Times New Roman"/>
                <w:b/>
                <w:color w:val="010000"/>
              </w:rPr>
            </w:pPr>
            <w:r w:rsidRPr="00681940">
              <w:rPr>
                <w:rFonts w:cs="Times New Roman"/>
                <w:b/>
                <w:color w:val="010000"/>
              </w:rPr>
              <w:t xml:space="preserve">:</w:t>
            </w:r>
          </w:p>
        </w:tc>
        <w:tc>
          <w:tcPr>
            <w:tcW w:w="5400" w:type="dxa"/>
          </w:tcPr>
          <w:p w:rsidRPr="00681940" w:rsidR="00681940" w:rsidP="00681940" w:rsidRDefault="00681940">
            <w:pPr>
              <w:pStyle w:val="edf1450279197849"/>
              <w:widowControl/>
              <w:suppressAutoHyphens w:val="0"/>
              <w:rPr>
                <w:rFonts w:cs="Times New Roman"/>
                <w:color w:val="010000"/>
              </w:rPr>
            </w:pPr>
            <w:r w:rsidRPr="00681940">
              <w:rPr>
                <w:rFonts w:cs="Times New Roman"/>
                <w:color w:val="010000"/>
              </w:rPr>
              <w:t xml:space="preserve">Yaman AKDENİZ</w:t>
            </w:r>
          </w:p>
        </w:tc>
      </w:tr>
      <w:tr w:rsidRPr="00681940" w:rsidR="00681940" w:rsidTr="00681940">
        <w:tblPrEx>
          <w:tblCellMar>
            <w:top w:w="0" w:type="dxa"/>
            <w:bottom w:w="0" w:type="dxa"/>
          </w:tblCellMar>
        </w:tblPrEx>
        <w:trPr>
          <w:trHeight w:val="454"/>
        </w:trPr>
        <w:tc>
          <w:tcPr>
            <w:tcW w:w="2400" w:type="dxa"/>
          </w:tcPr>
          <w:p w:rsidRPr="00681940" w:rsidR="00681940" w:rsidP="00681940" w:rsidRDefault="00681940">
            <w:pPr>
              <w:pStyle w:val="edf1450279197849"/>
              <w:widowControl/>
              <w:suppressAutoHyphens w:val="0"/>
              <w:rPr>
                <w:rFonts w:cs="Times New Roman"/>
                <w:b/>
                <w:color w:val="010000"/>
              </w:rPr>
            </w:pPr>
            <w:r w:rsidRPr="00681940">
              <w:rPr>
                <w:rFonts w:cs="Times New Roman"/>
                <w:b/>
                <w:color w:val="010000"/>
              </w:rPr>
              <w:t xml:space="preserve">Representative</w:t>
            </w:r>
          </w:p>
        </w:tc>
        <w:tc>
          <w:tcPr>
            <w:tcW w:w="200" w:type="dxa"/>
          </w:tcPr>
          <w:p w:rsidRPr="00681940" w:rsidR="00681940" w:rsidP="00681940" w:rsidRDefault="00681940">
            <w:pPr>
              <w:pStyle w:val="edf1450279197849"/>
              <w:widowControl/>
              <w:suppressAutoHyphens w:val="0"/>
              <w:rPr>
                <w:rFonts w:cs="Times New Roman"/>
                <w:b/>
                <w:color w:val="010000"/>
              </w:rPr>
            </w:pPr>
            <w:r w:rsidRPr="00681940">
              <w:rPr>
                <w:rFonts w:cs="Times New Roman"/>
                <w:b/>
                <w:color w:val="010000"/>
              </w:rPr>
              <w:t xml:space="preserve">:</w:t>
            </w:r>
          </w:p>
        </w:tc>
        <w:tc>
          <w:tcPr>
            <w:tcW w:w="5400" w:type="dxa"/>
          </w:tcPr>
          <w:p w:rsidRPr="00681940" w:rsidR="00681940" w:rsidP="00681940" w:rsidRDefault="00681940">
            <w:pPr>
              <w:pStyle w:val="edf1450279197849"/>
              <w:widowControl/>
              <w:suppressAutoHyphens w:val="0"/>
              <w:rPr>
                <w:rFonts w:cs="Times New Roman"/>
                <w:color w:val="010000"/>
              </w:rPr>
            </w:pPr>
            <w:r w:rsidRPr="00681940">
              <w:rPr>
                <w:rFonts w:cs="Times New Roman"/>
                <w:color w:val="010000"/>
              </w:rPr>
              <w:t xml:space="preserve">Attorney Sevgi KALAN GÜVERCİN</w:t>
            </w:r>
          </w:p>
        </w:tc>
      </w:tr>
    </w:tbl>
    <w:p w:rsidR="00681940" w:rsidP="00681940" w:rsidRDefault="00681940">
      <w:pPr>
        <w:pStyle w:val="edf1450279197849"/>
        <w:widowControl/>
        <w:suppressAutoHyphens w:val="0"/>
        <w:spacing w:after="200"/>
        <w:ind w:start="283" w:end="283" w:firstLine="567"/>
        <w:jc w:val="both"/>
        <w:rPr>
          <w:rFonts w:cs="Times New Roman"/>
          <w:b/>
          <w:color w:val="010000"/>
        </w:rPr>
      </w:pP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bookmarkStart w:name="_GoBack" w:id="0"/>
      <w:bookmarkEnd w:id="0"/>
      <w:r w:rsidRPr="00681940">
        <w:rPr>
          <w:rFonts w:cs="Times New Roman"/>
          <w:b/>
          <w:color w:val="010000"/>
        </w:rPr>
        <w:t xml:space="preserve">I. </w:t>
      </w:r>
      <w:r w:rsidRPr="00681940">
        <w:rPr>
          <w:rFonts w:cs="Times New Roman"/>
          <w:b/>
          <w:color w:val="010000"/>
        </w:rPr>
        <w:t xml:space="preserve">SUMMARY OF THE APPLICATION</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1. </w:t>
      </w:r>
      <w:r w:rsidRPr="00681940">
        <w:rPr>
          <w:rFonts w:cs="Times New Roman"/>
          <w:color w:val="010000"/>
        </w:rPr>
        <w:t xml:space="preserve">The application concerns the alleged violation of freedom of expression due to the rejection of a request for information regarding statistics on certain crimes, despite a final court decision.</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2. </w:t>
      </w:r>
      <w:r w:rsidRPr="00681940">
        <w:rPr>
          <w:rFonts w:cs="Times New Roman"/>
          <w:color w:val="010000"/>
        </w:rPr>
        <w:t xml:space="preserve">The applicant is a faculty member at Istanbul Bilgi University's Faculty of Law and conducts research in the fields of internet law and human rights. The applicant </w:t>
      </w:r>
      <w:r w:rsidRPr="00681940">
        <w:rPr>
          <w:rFonts w:cs="Times New Roman"/>
          <w:color w:val="010000"/>
        </w:rPr>
        <w:t xml:space="preserve">is </w:t>
      </w:r>
      <w:r w:rsidRPr="00681940">
        <w:rPr>
          <w:rFonts w:cs="Times New Roman"/>
          <w:color w:val="010000"/>
        </w:rPr>
        <w:t xml:space="preserve">also </w:t>
      </w:r>
      <w:r w:rsidRPr="00681940">
        <w:rPr>
          <w:rFonts w:cs="Times New Roman"/>
          <w:color w:val="010000"/>
        </w:rPr>
        <w:t xml:space="preserve">the founder of</w:t>
      </w:r>
      <w:r w:rsidRPr="00681940">
        <w:rPr>
          <w:rFonts w:cs="Times New Roman"/>
          <w:color w:val="010000"/>
        </w:rPr>
        <w:t xml:space="preserve"> the non-profit civil society organisation </w:t>
      </w:r>
      <w:r w:rsidRPr="00681940">
        <w:rPr>
          <w:rFonts w:cs="Times New Roman"/>
          <w:i/>
          <w:iCs/>
          <w:color w:val="010000"/>
        </w:rPr>
        <w:t xml:space="preserve">cyber-rights.org </w:t>
      </w:r>
      <w:r w:rsidRPr="00681940">
        <w:rPr>
          <w:rFonts w:cs="Times New Roman"/>
          <w:color w:val="010000"/>
        </w:rPr>
        <w:t xml:space="preserve">and the website </w:t>
      </w:r>
      <w:r w:rsidRPr="00681940">
        <w:rPr>
          <w:rFonts w:cs="Times New Roman"/>
          <w:i/>
          <w:iCs/>
          <w:color w:val="010000"/>
        </w:rPr>
        <w:t xml:space="preserve">bilgiedinmehakki.org </w:t>
      </w:r>
      <w:r w:rsidRPr="00681940">
        <w:rPr>
          <w:rFonts w:cs="Times New Roman"/>
          <w:color w:val="010000"/>
        </w:rPr>
        <w:t xml:space="preserve">(</w:t>
      </w:r>
      <w:r w:rsidRPr="00681940">
        <w:rPr>
          <w:rFonts w:cs="Times New Roman"/>
          <w:i/>
          <w:iCs/>
          <w:color w:val="010000"/>
        </w:rPr>
        <w:t xml:space="preserve">Yaman Akdeniz (2) </w:t>
      </w:r>
      <w:r w:rsidRPr="00681940">
        <w:rPr>
          <w:rFonts w:cs="Times New Roman"/>
          <w:color w:val="010000"/>
        </w:rPr>
        <w:t xml:space="preserve">[GK], B. No: 2016/6815, 15/2/2023, § 6). </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3. </w:t>
      </w:r>
      <w:r w:rsidRPr="00681940">
        <w:rPr>
          <w:rFonts w:cs="Times New Roman"/>
          <w:color w:val="010000"/>
        </w:rPr>
        <w:t xml:space="preserve">On 17 December 2019, the applicant submitted an application for information to the General Directorate of Criminal Affairs of the Ministry of Justice via the Presidential Communication Centre (CİMER). In his petition, the applicant stated that "</w:t>
      </w:r>
      <w:r w:rsidRPr="00681940">
        <w:rPr>
          <w:rFonts w:cs="Times New Roman"/>
          <w:i/>
          <w:iCs/>
          <w:color w:val="010000"/>
        </w:rPr>
        <w:t xml:space="preserve">the prosecution of the offence of 'insulting the Turkish nation, the Republic of Turkey, and the institutions and organs of the State' as regulated in Article 301 of the Turkish Penal Code (TCK) and the offence of 'insulting the President' as regulated in Article 299 of the TCK 'Insulting the President' as stipulated in Article 299 of the TCK</w:t>
      </w:r>
      <w:r w:rsidRPr="00681940">
        <w:rPr>
          <w:rFonts w:cs="Times New Roman"/>
          <w:color w:val="010000"/>
        </w:rPr>
        <w:t xml:space="preserve">,</w:t>
      </w:r>
      <w:r w:rsidRPr="00681940">
        <w:rPr>
          <w:rFonts w:cs="Times New Roman"/>
          <w:i/>
          <w:iCs/>
          <w:color w:val="010000"/>
        </w:rPr>
        <w:t xml:space="preserve"> is subject to the permission of the Minister of Justice</w:t>
      </w:r>
      <w:r w:rsidRPr="00681940">
        <w:rPr>
          <w:rFonts w:cs="Times New Roman"/>
          <w:color w:val="010000"/>
        </w:rPr>
        <w:t xml:space="preserve">,</w:t>
      </w:r>
      <w:r w:rsidRPr="00681940">
        <w:rPr>
          <w:rFonts w:cs="Times New Roman"/>
          <w:i/>
          <w:iCs/>
          <w:color w:val="010000"/>
        </w:rPr>
        <w:t xml:space="preserve">" </w:t>
      </w:r>
      <w:r w:rsidRPr="00681940">
        <w:rPr>
          <w:rFonts w:cs="Times New Roman"/>
          <w:color w:val="010000"/>
        </w:rPr>
        <w:t xml:space="preserve">the applicant requested the following information from the General Directorate of Criminal Affairs:</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i/>
          <w:iCs/>
          <w:color w:val="010000"/>
          <w:sz w:val="22"/>
        </w:rPr>
        <w:t xml:space="preserve">"i. Between 2014 and 2018, how many requests for 'prosecution' under Article 299 of the TCK were submitted to the Ministry of Justice for permission, and how many of these requests were granted?</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i/>
          <w:iCs/>
          <w:color w:val="010000"/>
          <w:sz w:val="22"/>
        </w:rPr>
        <w:t xml:space="preserve">ii. To date, how many requests for permission to conduct an investigation under Article 301 of the Turkish Penal Code have been submitted to the Ministry of Justice, and how many of these requests have been granted?"</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4. </w:t>
      </w:r>
      <w:r w:rsidRPr="00681940">
        <w:rPr>
          <w:rFonts w:cs="Times New Roman"/>
          <w:color w:val="010000"/>
        </w:rPr>
        <w:t xml:space="preserve">In its response dated 31/12/2019, the General Directorate of Criminal Affairs stated </w:t>
      </w:r>
      <w:r w:rsidRPr="00681940">
        <w:rPr>
          <w:rFonts w:cs="Times New Roman"/>
          <w:color w:val="010000"/>
        </w:rPr>
        <w:t xml:space="preserve">that, pursuant to Articles 7 and 8 of the Right to Information Act No. 4982 dated 9/10/2003 and the Regulation on the Principles and Procedures for the Implementation of the Right to Information Act published in the Official Gazette No. 25445 dated 27/4/2004 and </w:t>
      </w:r>
      <w:r w:rsidRPr="00681940">
        <w:rPr>
          <w:rFonts w:cs="Times New Roman"/>
          <w:color w:val="010000"/>
        </w:rPr>
        <w:t xml:space="preserve">published </w:t>
      </w:r>
      <w:r w:rsidRPr="00681940">
        <w:rPr>
          <w:rFonts w:cs="Times New Roman"/>
          <w:color w:val="010000"/>
        </w:rPr>
        <w:t xml:space="preserve">in the</w:t>
      </w:r>
      <w:r w:rsidRPr="00681940">
        <w:rPr>
          <w:rFonts w:cs="Times New Roman"/>
          <w:color w:val="010000"/>
        </w:rPr>
        <w:t xml:space="preserve"> Official </w:t>
      </w:r>
      <w:r w:rsidRPr="00681940">
        <w:rPr>
          <w:rFonts w:cs="Times New Roman"/>
          <w:color w:val="010000"/>
        </w:rPr>
        <w:t xml:space="preserve">Gazette</w:t>
      </w:r>
      <w:r w:rsidRPr="00681940">
        <w:rPr>
          <w:rFonts w:cs="Times New Roman"/>
          <w:color w:val="010000"/>
        </w:rPr>
        <w:t xml:space="preserve"> dated 27/4/2004 and numbered 25445</w:t>
      </w:r>
      <w:r w:rsidRPr="00681940">
        <w:rPr>
          <w:rFonts w:cs="Times New Roman"/>
          <w:i/>
          <w:iCs/>
          <w:color w:val="010000"/>
        </w:rPr>
        <w:t xml:space="preserve">,</w:t>
      </w:r>
      <w:r w:rsidRPr="00681940">
        <w:rPr>
          <w:rFonts w:cs="Times New Roman"/>
          <w:color w:val="010000"/>
        </w:rPr>
        <w:t xml:space="preserve"> stating </w:t>
      </w:r>
      <w:r w:rsidRPr="00681940">
        <w:rPr>
          <w:rFonts w:cs="Times New Roman"/>
          <w:i/>
          <w:iCs/>
          <w:color w:val="010000"/>
        </w:rPr>
        <w:t xml:space="preserve">that "</w:t>
      </w:r>
      <w:r w:rsidRPr="00681940">
        <w:rPr>
          <w:rFonts w:cs="Times New Roman"/>
          <w:color w:val="010000"/>
        </w:rPr>
        <w:t xml:space="preserve">Since </w:t>
      </w:r>
      <w:r w:rsidRPr="00681940">
        <w:rPr>
          <w:rFonts w:cs="Times New Roman"/>
          <w:i/>
          <w:iCs/>
          <w:color w:val="010000"/>
        </w:rPr>
        <w:t xml:space="preserve">the matters requested in your application require separate or special work, </w:t>
      </w:r>
      <w:r w:rsidRPr="00681940">
        <w:rPr>
          <w:rFonts w:cs="Times New Roman"/>
          <w:color w:val="010000"/>
        </w:rPr>
        <w:t xml:space="preserve">and that, </w:t>
      </w:r>
      <w:r w:rsidRPr="00681940">
        <w:rPr>
          <w:rFonts w:cs="Times New Roman"/>
          <w:i/>
          <w:iCs/>
          <w:color w:val="010000"/>
        </w:rPr>
        <w:t xml:space="preserve">as the provision of information within this scope is left to the discretion of the institutions by law, </w:t>
      </w:r>
      <w:r w:rsidRPr="00681940">
        <w:rPr>
          <w:rFonts w:cs="Times New Roman"/>
          <w:i/>
          <w:iCs/>
          <w:color w:val="010000"/>
        </w:rPr>
        <w:t xml:space="preserve">a response cannot be provided under the Right to Information Act, exercising the right of discretion</w:t>
      </w:r>
      <w:r w:rsidRPr="00681940">
        <w:rPr>
          <w:rFonts w:cs="Times New Roman"/>
          <w:i/>
          <w:iCs/>
          <w:color w:val="010000"/>
        </w:rPr>
        <w:lastRenderedPageBreak/>
      </w:r>
      <w:r w:rsidRPr="00681940">
        <w:rPr>
          <w:rFonts w:cs="Times New Roman"/>
          <w:i/>
          <w:iCs/>
          <w:color w:val="010000"/>
        </w:rPr>
        <w:t xml:space="preserve"> </w:t>
      </w:r>
      <w:r w:rsidRPr="00681940">
        <w:rPr>
          <w:rFonts w:cs="Times New Roman"/>
          <w:color w:val="010000"/>
        </w:rPr>
        <w:t xml:space="preserve">.</w:t>
      </w:r>
      <w:r w:rsidRPr="00681940">
        <w:rPr>
          <w:rFonts w:cs="Times New Roman"/>
          <w:i/>
          <w:iCs/>
          <w:color w:val="010000"/>
        </w:rPr>
        <w:t xml:space="preserve">" </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5. </w:t>
      </w:r>
      <w:r w:rsidRPr="00681940">
        <w:rPr>
          <w:rFonts w:cs="Times New Roman"/>
          <w:color w:val="010000"/>
        </w:rPr>
        <w:t xml:space="preserve">Following the rejection of the applicant's request for information, the applicant filed an application with the Public Ombudsman Institution of the Grand National Assembly of Turkey on 27 February 2020. On 24 August 2020, the Public Ombudsman Institution </w:t>
      </w:r>
      <w:r w:rsidRPr="00681940">
        <w:rPr>
          <w:rFonts w:cs="Times New Roman"/>
          <w:color w:val="010000"/>
        </w:rPr>
        <w:t xml:space="preserve">stated that</w:t>
      </w:r>
      <w:r w:rsidRPr="00681940">
        <w:rPr>
          <w:rFonts w:cs="Times New Roman"/>
          <w:i/>
          <w:iCs/>
          <w:color w:val="010000"/>
        </w:rPr>
        <w:t xml:space="preserve"> "it has been assessed that the numerical data requested by the applicant from the administration are information/documents that can be provided under Law No. 4982, and it has been concluded that the Ministry of Justice should be advised to take the necessary administrative and technical measures to ensure that the information request is processed effectively, promptly and accurately, and to reassess the request based on the results of the work to be carried out," </w:t>
      </w:r>
      <w:r w:rsidRPr="00681940">
        <w:rPr>
          <w:rFonts w:cs="Times New Roman"/>
          <w:color w:val="010000"/>
        </w:rPr>
        <w:t xml:space="preserve">and issued a recommendation decision. </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6. </w:t>
      </w:r>
      <w:r w:rsidRPr="00681940">
        <w:rPr>
          <w:rFonts w:cs="Times New Roman"/>
          <w:color w:val="010000"/>
        </w:rPr>
        <w:t xml:space="preserve">Following this recommendation, the applicant reapplied to the General Directorate of Criminal Affairs on 19/10/2020. On 11/11/2020, the General Directorate of Criminal Affairs </w:t>
      </w:r>
      <w:r w:rsidRPr="00681940">
        <w:rPr>
          <w:rFonts w:cs="Times New Roman"/>
          <w:color w:val="010000"/>
        </w:rPr>
        <w:t xml:space="preserve">stated that </w:t>
      </w:r>
      <w:r w:rsidRPr="00681940">
        <w:rPr>
          <w:rFonts w:cs="Times New Roman"/>
          <w:color w:val="010000"/>
        </w:rPr>
        <w:t xml:space="preserve">"</w:t>
      </w:r>
      <w:r w:rsidRPr="00681940">
        <w:rPr>
          <w:rFonts w:cs="Times New Roman"/>
          <w:i/>
          <w:iCs/>
          <w:color w:val="010000"/>
        </w:rPr>
        <w:t xml:space="preserve">... it could not be fulfilled due to the lack of administrative and technical structure in our General Directorate to obtain the necessary statistical data and because this matter required separate and special work" </w:t>
      </w:r>
      <w:r w:rsidRPr="00681940">
        <w:rPr>
          <w:rFonts w:cs="Times New Roman"/>
          <w:color w:val="010000"/>
        </w:rPr>
        <w:t xml:space="preserve">and decided to reject the request. </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7. </w:t>
      </w:r>
      <w:r w:rsidRPr="00681940">
        <w:rPr>
          <w:rFonts w:cs="Times New Roman"/>
          <w:color w:val="010000"/>
        </w:rPr>
        <w:t xml:space="preserve">Consequently, the applicant filed a lawsuit with the administrative court on 18 November 2020, requesting the annulment of the relevant decision of the General Directorate of Criminal Affairs. The Ankara 23rd Administrative Court (Administrative Court), where the case was heard, decided to dismiss the case on 14 April 2021. The relevant part of the reasoned decision is as follows:</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i/>
          <w:iCs/>
          <w:color w:val="010000"/>
          <w:sz w:val="22"/>
        </w:rPr>
        <w:t xml:space="preserve">"...Upon examination of the part concerning the rejection of the plaintiff's request for information from the administration regarding 'how many prosecutions were requested from the Ministry of Justice under Article 299 of the Turkish Penal Code between 2014 and 2018 and how many were granted'; it is seen that, although it falls within the scope of the defendant administration's duties, the defendant administration did not establish the technical infrastructure to provide the information requested by the plaintiff and therefore could not provide the information. It is understood that the administration has been granted discretionary power by introducing a regulation stating that information not in the possession of the administration and which can only be obtained through special work cannot be provided to those requesting it, with the reason being explained, thereby striking a balance between the public interest that would be served by disclosing the information and the burden that establishing the infrastructure to obtain the information would entail. </w:t>
      </w:r>
      <w:r w:rsidRPr="00681940">
        <w:rPr>
          <w:rFonts w:cs="Times New Roman"/>
          <w:i/>
          <w:iCs/>
          <w:color w:val="010000"/>
          <w:sz w:val="22"/>
        </w:rPr>
        <w:t xml:space="preserve">Since it is not</w:t>
      </w:r>
      <w:r w:rsidRPr="00681940">
        <w:rPr>
          <w:rFonts w:cs="Times New Roman"/>
          <w:i/>
          <w:iCs/>
          <w:color w:val="010000"/>
          <w:sz w:val="22"/>
        </w:rPr>
        <w:t xml:space="preserve"> possible to directly provide the claimant with information that the administration does not currently possess but could be obtained through the establishment of infrastructure</w:t>
      </w:r>
      <w:r w:rsidRPr="00681940">
        <w:rPr>
          <w:rFonts w:cs="Times New Roman"/>
          <w:i/>
          <w:iCs/>
          <w:color w:val="010000"/>
          <w:sz w:val="22"/>
        </w:rPr>
        <w:t xml:space="preserve">, </w:t>
      </w:r>
      <w:r w:rsidRPr="00681940">
        <w:rPr>
          <w:rFonts w:cs="Times New Roman"/>
          <w:i/>
          <w:iCs/>
          <w:color w:val="010000"/>
          <w:sz w:val="22"/>
        </w:rPr>
        <w:t xml:space="preserve">there is no legal violation in the decision to reject</w:t>
      </w:r>
      <w:r w:rsidRPr="00681940">
        <w:rPr>
          <w:rFonts w:cs="Times New Roman"/>
          <w:i/>
          <w:iCs/>
          <w:color w:val="010000"/>
          <w:sz w:val="22"/>
        </w:rPr>
        <w:t xml:space="preserve"> the request</w:t>
      </w:r>
      <w:r w:rsidRPr="00681940">
        <w:rPr>
          <w:rFonts w:cs="Times New Roman"/>
          <w:i/>
          <w:iCs/>
          <w:color w:val="010000"/>
          <w:sz w:val="22"/>
        </w:rPr>
        <w:t xml:space="preserve">.</w:t>
      </w:r>
    </w:p>
    <w:p w:rsidRPr="00681940" w:rsidR="001624C3" w:rsidP="00681940" w:rsidRDefault="00FF3C6C">
      <w:pPr>
        <w:pStyle w:val="edf1447254221507"/>
        <w:widowControl/>
        <w:suppressAutoHyphens w:val="0"/>
        <w:spacing w:after="200"/>
        <w:ind w:start="283" w:end="283" w:firstLine="567"/>
        <w:jc w:val="both"/>
        <w:rPr>
          <w:rFonts w:cs="Times New Roman"/>
          <w:i/>
          <w:iCs/>
          <w:color w:val="010000"/>
          <w:sz w:val="22"/>
        </w:rPr>
      </w:pPr>
      <w:r w:rsidRPr="00681940">
        <w:rPr>
          <w:rFonts w:cs="Times New Roman"/>
          <w:i/>
          <w:iCs/>
          <w:color w:val="010000"/>
          <w:sz w:val="22"/>
        </w:rPr>
        <w:t xml:space="preserve">Upon examination of the rejection of the claimant's second request to the administration, namely 'how many requests for permission have been made to the Ministry of Justice to conduct investigations under Article 301 of the Turkish Penal Code to date and how many of these requests have been granted', it is seen that it is not possible for the administration to respond to the claimant due to the length of time covered by the request and the fact that no statistics are kept. In order to fulfil the right to obtain information introduced by Law No. 4982, the administration must provide the information in its possession to the relevant parties. However, in the case of requests for information requiring special work and statistics, the administration may refuse to provide the information, as it has been regulated that it has the discretion to do so. Therefore, there is no legal violation in the use of the discretion mentioned in the grounds for the action by the defendant administration. </w:t>
      </w:r>
    </w:p>
    <w:p w:rsidRPr="00681940" w:rsidR="001624C3" w:rsidP="00681940" w:rsidRDefault="00FF3C6C">
      <w:pPr>
        <w:pStyle w:val="edf1571989668670"/>
        <w:widowControl/>
        <w:suppressAutoHyphens w:val="0"/>
        <w:spacing w:after="200"/>
        <w:ind w:start="283" w:end="283" w:firstLine="567"/>
        <w:jc w:val="both"/>
        <w:rPr>
          <w:rFonts w:cs="Times New Roman"/>
          <w:color w:val="010000"/>
        </w:rPr>
      </w:pPr>
      <w:r w:rsidRPr="00681940">
        <w:rPr>
          <w:rFonts w:cs="Times New Roman"/>
          <w:i/>
          <w:iCs/>
          <w:color w:val="010000"/>
          <w:sz w:val="22"/>
        </w:rPr>
        <w:t xml:space="preserve">In this case, although the information requested by the plaintiff falls within the scope of the defendant administration's duties, since both of the plaintiff's requests require special work and statistics to be fulfilled by the administration, and the requested information is dependent on work to be carried out on the administration's records, no legal violation has been found in the decision to reject the application made under the right to obtain information.</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8. </w:t>
      </w:r>
      <w:r w:rsidRPr="00681940">
        <w:rPr>
          <w:rFonts w:cs="Times New Roman"/>
          <w:color w:val="010000"/>
        </w:rPr>
        <w:t xml:space="preserve">Upon the applicant's appeal against the aforementioned decision, the Ankara Regional Administrative Court, 12th Administrative Chamber (Regional Administrative Court), on 14/10/2021, ruled definitively to accept the case, overturn the first-instance court's decision, and annul the contested administrative act. The relevant part of the reasoned decision is as follows:</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i/>
          <w:iCs/>
          <w:color w:val="010000"/>
          <w:sz w:val="22"/>
        </w:rPr>
        <w:lastRenderedPageBreak/>
      </w:r>
      <w:r w:rsidRPr="00681940">
        <w:rPr>
          <w:rFonts w:cs="Times New Roman"/>
          <w:i/>
          <w:iCs/>
          <w:color w:val="010000"/>
          <w:sz w:val="22"/>
        </w:rPr>
        <w:t xml:space="preserve">"...Article 7 of Law No. 4982 states: '...If the requested information or document is located elsewhere than the institution or organisation to which the application was made, the application letter shall be sent to that institution or organisation and the situation shall be notified to the applicant in writing...'</w:t>
      </w:r>
    </w:p>
    <w:p w:rsidRPr="00681940" w:rsidR="001624C3" w:rsidP="00681940" w:rsidRDefault="00FF3C6C">
      <w:pPr>
        <w:pStyle w:val="edf1447254221507"/>
        <w:widowControl/>
        <w:suppressAutoHyphens w:val="0"/>
        <w:spacing w:after="200"/>
        <w:ind w:start="283" w:end="283" w:firstLine="567"/>
        <w:jc w:val="both"/>
        <w:rPr>
          <w:rFonts w:cs="Times New Roman"/>
          <w:color w:val="010000"/>
        </w:rPr>
      </w:pPr>
      <w:r w:rsidRPr="00681940">
        <w:rPr>
          <w:rFonts w:cs="Times New Roman"/>
          <w:i/>
          <w:iCs/>
          <w:color w:val="010000"/>
          <w:sz w:val="22"/>
        </w:rPr>
        <w:t xml:space="preserve">Article 44 of the Presidential Decree on the Organisation of the Presidency states: 'The duties and powers of the General Directorate of Judicial Records and Statistics are as follows: </w:t>
      </w:r>
    </w:p>
    <w:p w:rsidRPr="00681940" w:rsidR="001624C3" w:rsidP="00681940" w:rsidRDefault="00FF3C6C">
      <w:pPr>
        <w:pStyle w:val="edf1447254221507"/>
        <w:widowControl/>
        <w:suppressAutoHyphens w:val="0"/>
        <w:spacing w:after="200"/>
        <w:ind w:start="283" w:end="283" w:firstLine="567"/>
        <w:jc w:val="both"/>
        <w:rPr>
          <w:rFonts w:cs="Times New Roman"/>
          <w:color w:val="010000"/>
        </w:rPr>
      </w:pPr>
      <w:r w:rsidRPr="00681940">
        <w:rPr>
          <w:rFonts w:cs="Times New Roman"/>
          <w:i/>
          <w:iCs/>
          <w:color w:val="010000"/>
          <w:sz w:val="22"/>
        </w:rPr>
        <w:t xml:space="preserve">a) Maintaining the judicial record,</w:t>
      </w:r>
    </w:p>
    <w:p w:rsidRPr="00681940" w:rsidR="001624C3" w:rsidP="00681940" w:rsidRDefault="00FF3C6C">
      <w:pPr>
        <w:pStyle w:val="edf1447254221507"/>
        <w:widowControl/>
        <w:suppressAutoHyphens w:val="0"/>
        <w:spacing w:after="200"/>
        <w:ind w:start="283" w:end="283" w:firstLine="567"/>
        <w:jc w:val="both"/>
        <w:rPr>
          <w:rFonts w:cs="Times New Roman"/>
          <w:color w:val="010000"/>
        </w:rPr>
      </w:pPr>
      <w:r w:rsidRPr="00681940">
        <w:rPr>
          <w:rFonts w:cs="Times New Roman"/>
          <w:i/>
          <w:iCs/>
          <w:color w:val="010000"/>
          <w:sz w:val="22"/>
        </w:rPr>
        <w:t xml:space="preserve">b) To carry out services related to the determination, collection, classification, and evaluation of statistical information on matters falling within the scope of the Ministry's duties and authorities,</w:t>
      </w:r>
    </w:p>
    <w:p w:rsidRPr="00681940" w:rsidR="001624C3" w:rsidP="00681940" w:rsidRDefault="00FF3C6C">
      <w:pPr>
        <w:pStyle w:val="edf1447254221507"/>
        <w:widowControl/>
        <w:suppressAutoHyphens w:val="0"/>
        <w:spacing w:after="200"/>
        <w:ind w:start="283" w:end="283" w:firstLine="567"/>
        <w:jc w:val="both"/>
        <w:rPr>
          <w:rFonts w:cs="Times New Roman"/>
          <w:color w:val="010000"/>
        </w:rPr>
      </w:pPr>
      <w:r w:rsidRPr="00681940">
        <w:rPr>
          <w:rFonts w:cs="Times New Roman"/>
          <w:i/>
          <w:iCs/>
          <w:color w:val="010000"/>
          <w:sz w:val="22"/>
        </w:rPr>
        <w:t xml:space="preserve">c) Establishing and developing an information processing system for the performance of judicial records and judicial statistics services,</w:t>
      </w:r>
    </w:p>
    <w:p w:rsidRPr="00681940" w:rsidR="001624C3" w:rsidP="00681940" w:rsidRDefault="00FF3C6C">
      <w:pPr>
        <w:pStyle w:val="edf1447254221507"/>
        <w:widowControl/>
        <w:suppressAutoHyphens w:val="0"/>
        <w:spacing w:after="200"/>
        <w:ind w:start="283" w:end="283" w:firstLine="567"/>
        <w:jc w:val="both"/>
        <w:rPr>
          <w:rFonts w:cs="Times New Roman"/>
          <w:color w:val="010000"/>
        </w:rPr>
      </w:pPr>
      <w:r w:rsidRPr="00681940">
        <w:rPr>
          <w:rFonts w:cs="Times New Roman"/>
          <w:i/>
          <w:iCs/>
          <w:color w:val="010000"/>
          <w:sz w:val="22"/>
        </w:rPr>
        <w:t xml:space="preserve">ç) To perform other duties assigned by the Minister."</w:t>
      </w:r>
    </w:p>
    <w:p w:rsidRPr="00681940" w:rsidR="001624C3" w:rsidP="00681940" w:rsidRDefault="00FF3C6C">
      <w:pPr>
        <w:pStyle w:val="edf1447254221507"/>
        <w:widowControl/>
        <w:suppressAutoHyphens w:val="0"/>
        <w:spacing w:after="200"/>
        <w:ind w:start="283" w:end="283" w:firstLine="567"/>
        <w:jc w:val="both"/>
        <w:rPr>
          <w:rFonts w:cs="Times New Roman"/>
          <w:color w:val="010000"/>
        </w:rPr>
      </w:pPr>
      <w:r w:rsidRPr="00681940">
        <w:rPr>
          <w:rFonts w:cs="Times New Roman"/>
          <w:i/>
          <w:iCs/>
          <w:color w:val="010000"/>
          <w:sz w:val="22"/>
        </w:rPr>
        <w:t xml:space="preserve">...Article 12 of the Regulation on the Principles and Procedures for the Implementation of the Right to Information Act states: 'Requests for information shall relate to information or documents held by the institutions and organisations to which the request is made or which they are required to hold in the course of their duties. Institutions and organisations may respond negatively to requests for information or documents that could be created as a result of separate or special work, research, investigation or analysis, or to requests for information or documents relating to an incomplete process...'</w:t>
      </w:r>
    </w:p>
    <w:p w:rsidRPr="00681940" w:rsidR="001624C3" w:rsidP="00681940" w:rsidRDefault="00FF3C6C">
      <w:pPr>
        <w:pStyle w:val="edf1447254221507"/>
        <w:widowControl/>
        <w:suppressAutoHyphens w:val="0"/>
        <w:spacing w:after="200"/>
        <w:ind w:start="283" w:end="283" w:firstLine="567"/>
        <w:jc w:val="both"/>
        <w:rPr>
          <w:rFonts w:cs="Times New Roman"/>
          <w:color w:val="010000"/>
        </w:rPr>
      </w:pPr>
      <w:r w:rsidRPr="00681940">
        <w:rPr>
          <w:rFonts w:cs="Times New Roman"/>
          <w:i/>
          <w:iCs/>
          <w:color w:val="010000"/>
          <w:sz w:val="22"/>
        </w:rPr>
        <w:t xml:space="preserve">...</w:t>
      </w:r>
    </w:p>
    <w:p w:rsidRPr="00681940" w:rsidR="001624C3" w:rsidP="00681940" w:rsidRDefault="00FF3C6C">
      <w:pPr>
        <w:pStyle w:val="edf1447254221507"/>
        <w:widowControl/>
        <w:suppressAutoHyphens w:val="0"/>
        <w:spacing w:after="200"/>
        <w:ind w:start="283" w:end="283" w:firstLine="567"/>
        <w:jc w:val="both"/>
        <w:rPr>
          <w:rFonts w:cs="Times New Roman"/>
          <w:color w:val="010000"/>
        </w:rPr>
      </w:pPr>
      <w:r w:rsidRPr="00681940">
        <w:rPr>
          <w:rFonts w:cs="Times New Roman"/>
          <w:i/>
          <w:iCs/>
          <w:color w:val="010000"/>
          <w:sz w:val="22"/>
        </w:rPr>
        <w:t xml:space="preserve">The Administrative Court ruled to dismiss the case on the grounds of...</w:t>
      </w:r>
    </w:p>
    <w:p w:rsidRPr="00681940" w:rsidR="001624C3" w:rsidP="00681940" w:rsidRDefault="00FF3C6C">
      <w:pPr>
        <w:pStyle w:val="edf1447254221507"/>
        <w:widowControl/>
        <w:suppressAutoHyphens w:val="0"/>
        <w:spacing w:after="200"/>
        <w:ind w:start="283" w:end="283" w:firstLine="567"/>
        <w:jc w:val="both"/>
        <w:rPr>
          <w:rFonts w:cs="Times New Roman"/>
          <w:color w:val="010000"/>
        </w:rPr>
      </w:pPr>
      <w:r w:rsidRPr="00681940">
        <w:rPr>
          <w:rFonts w:cs="Times New Roman"/>
          <w:i/>
          <w:iCs/>
          <w:color w:val="010000"/>
          <w:sz w:val="22"/>
        </w:rPr>
        <w:t xml:space="preserve">The plaintiff requested information within the framework of the legislation on 'how many requests for permission were made to the Ministry of Justice to conduct prosecutions under Article 299 of the Turkish Penal Code between 2014 and 2018 and how many of these requests were granted' and 'how many requests for permission to conduct investigations under Article 301 of the Turkish Penal Code had been submitted to the Ministry of Justice to date and how many of these requests had been granted. Although the requested information was not available at the General Directorate of Criminal Affairs of the Ministry of Justice, pursuant to Article 44 of the Presidential Decree on the Organisation of the Presidency; the information and documents requested are those that the General Directorate of Judicial Records and Statistics is required to hold as part of its duties. Pursuant to Article 7 of Law No. 4982 on the Right to Obtain Information, if the requested information or document is located elsewhere than the institution or organisation to which the request was submitted, the application letter must be sent to that institution or organisation and the situation must be notified to the relevant party in writing. Therefore, the court found that the action in question, namely the rejection of the plaintiff's application by the General Directorate of Criminal Affairs of the Ministry of Justice, was not in accordance with the law and that the court's decision was legally incorrect.</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9. </w:t>
      </w:r>
      <w:r w:rsidRPr="00681940">
        <w:rPr>
          <w:rFonts w:cs="Times New Roman"/>
          <w:color w:val="010000"/>
        </w:rPr>
        <w:t xml:space="preserve">Based on the final court decision, the applicant submitted a request for information to the Ministry of Justice's General Directorate of Judicial Records and Statistics on 15/11/2021. On 15/12/2021</w:t>
      </w:r>
      <w:r w:rsidRPr="00681940">
        <w:rPr>
          <w:rFonts w:cs="Times New Roman"/>
          <w:i/>
          <w:iCs/>
          <w:color w:val="010000"/>
        </w:rPr>
        <w:t xml:space="preserve">,</w:t>
      </w:r>
      <w:r w:rsidRPr="00681940">
        <w:rPr>
          <w:rFonts w:cs="Times New Roman"/>
          <w:color w:val="010000"/>
        </w:rPr>
        <w:t xml:space="preserve"> the General Directorate of Judicial Records and Statistics </w:t>
      </w:r>
      <w:r w:rsidRPr="00681940">
        <w:rPr>
          <w:rFonts w:cs="Times New Roman"/>
          <w:i/>
          <w:iCs/>
          <w:color w:val="010000"/>
        </w:rPr>
        <w:t xml:space="preserve">stated that "the requested information in detail is of a nature that can only be obtained through separate and specific work, research, investigation and analysis, and therefore the requested statistical information cannot be provided. On the other hand, data on justice statistics covered by Articles 299 and 301 of the Turkish Penal Code, compiled and evaluated annually from UYAP records, are published on the website http://www.adlisicil.adalet.gov.tr, and that statistics for 2021 are planned to be published in 2022 based on the period from 1 January 2021 to 31 December 2021, and that an objection may be lodged with the Information Access Evaluation Board against the aforementioned response letter," </w:t>
      </w:r>
      <w:r w:rsidRPr="00681940">
        <w:rPr>
          <w:rFonts w:cs="Times New Roman"/>
          <w:color w:val="010000"/>
        </w:rPr>
        <w:t xml:space="preserve">thereby rejecting the applicant's request.</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10. </w:t>
      </w:r>
      <w:r w:rsidRPr="00681940">
        <w:rPr>
          <w:rFonts w:cs="Times New Roman"/>
          <w:color w:val="010000"/>
        </w:rPr>
        <w:t xml:space="preserve">After learning of the final decision on 27 December 2021, the applicant filed an individual application on 13 January 2022.</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lastRenderedPageBreak/>
      </w:r>
      <w:r w:rsidRPr="00681940">
        <w:rPr>
          <w:rFonts w:cs="Times New Roman"/>
          <w:color w:val="010000"/>
        </w:rPr>
        <w:t xml:space="preserve">11. </w:t>
      </w:r>
      <w:r w:rsidRPr="00681940">
        <w:rPr>
          <w:rFonts w:cs="Times New Roman"/>
          <w:color w:val="010000"/>
        </w:rPr>
        <w:t xml:space="preserve">It was decided that the admissibility and merits review of the application would be conducted by the Chamber.</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b/>
          <w:color w:val="010000"/>
        </w:rPr>
        <w:t xml:space="preserve">II. </w:t>
      </w:r>
      <w:r w:rsidRPr="00681940">
        <w:rPr>
          <w:rFonts w:cs="Times New Roman"/>
          <w:b/>
          <w:color w:val="010000"/>
        </w:rPr>
        <w:t xml:space="preserve">ASSESSMENT</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12. </w:t>
      </w:r>
      <w:r w:rsidRPr="00681940">
        <w:rPr>
          <w:rFonts w:cs="Times New Roman"/>
          <w:color w:val="010000"/>
        </w:rPr>
        <w:t xml:space="preserve">The applicant raised the following complaints:</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i. </w:t>
      </w:r>
      <w:r w:rsidRPr="00681940">
        <w:rPr>
          <w:rFonts w:cs="Times New Roman"/>
          <w:color w:val="010000"/>
        </w:rPr>
        <w:t xml:space="preserve">That he had exhausted the ordinary legal remedies for his request for information, that there was a final judicial decision on his request, that the final judicial decision had not been enforced for various reasons, </w:t>
      </w:r>
      <w:r w:rsidRPr="00681940">
        <w:rPr>
          <w:rFonts w:cs="Times New Roman"/>
          <w:color w:val="010000"/>
        </w:rPr>
        <w:t xml:space="preserve">that there was no other legal remedy to remedy</w:t>
      </w:r>
      <w:r w:rsidRPr="00681940">
        <w:rPr>
          <w:rFonts w:cs="Times New Roman"/>
          <w:color w:val="010000"/>
        </w:rPr>
        <w:t xml:space="preserve"> the</w:t>
      </w:r>
      <w:r w:rsidRPr="00681940">
        <w:rPr>
          <w:rFonts w:cs="Times New Roman"/>
          <w:color w:val="010000"/>
        </w:rPr>
        <w:t xml:space="preserve"> violation</w:t>
      </w:r>
      <w:r w:rsidRPr="00681940">
        <w:rPr>
          <w:rFonts w:cs="Times New Roman"/>
          <w:color w:val="010000"/>
        </w:rPr>
        <w:t xml:space="preserve">, and that his right to enforcement of the decision had been violated due to the non-enforcement of the final judicial decision. </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ii. That, </w:t>
      </w:r>
      <w:r w:rsidRPr="00681940">
        <w:rPr>
          <w:rFonts w:cs="Times New Roman"/>
          <w:color w:val="010000"/>
        </w:rPr>
        <w:t xml:space="preserve">in light of</w:t>
      </w:r>
      <w:r w:rsidRPr="00681940">
        <w:rPr>
          <w:rFonts w:cs="Times New Roman"/>
          <w:color w:val="010000"/>
        </w:rPr>
        <w:t xml:space="preserve"> the case law of the European Court of Human Rights (ECHR) and the Constitutional Court</w:t>
      </w:r>
      <w:r w:rsidRPr="00681940">
        <w:rPr>
          <w:rFonts w:cs="Times New Roman"/>
          <w:color w:val="010000"/>
        </w:rPr>
        <w:t xml:space="preserve">, the request for information falls within the scope of the European Convention on Human Rights, that he has submitted a request for information that will generate strong debate on a matter of social and legal interest to the public, and that he is acting as a watchdog for the public in this regard,</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iii. </w:t>
      </w:r>
      <w:r w:rsidRPr="00681940">
        <w:rPr>
          <w:rFonts w:cs="Times New Roman"/>
          <w:color w:val="010000"/>
        </w:rPr>
        <w:t xml:space="preserve">The investigation and prosecution of the types of crimes covered by the request for information are subject to the permission of the Ministry, and the permission procedure is carried out in accordance with a specific procedure through official correspondence and the National Judicial Network Information System (UYAP) records, and therefore no special work is required in relation to the request in question, Moreover</w:t>
      </w:r>
      <w:r w:rsidRPr="00681940">
        <w:rPr>
          <w:rFonts w:cs="Times New Roman"/>
          <w:color w:val="010000"/>
        </w:rPr>
        <w:t xml:space="preserve">,</w:t>
      </w:r>
      <w:r w:rsidRPr="00681940">
        <w:rPr>
          <w:rFonts w:cs="Times New Roman"/>
          <w:color w:val="010000"/>
        </w:rPr>
        <w:t xml:space="preserve"> statistics on the number of investigations and cases opened regarding the types of crimes subject to the request for information </w:t>
      </w:r>
      <w:r w:rsidRPr="00681940">
        <w:rPr>
          <w:rFonts w:cs="Times New Roman"/>
          <w:color w:val="010000"/>
        </w:rPr>
        <w:t xml:space="preserve">are published by</w:t>
      </w:r>
      <w:r w:rsidRPr="00681940">
        <w:rPr>
          <w:rFonts w:cs="Times New Roman"/>
          <w:color w:val="010000"/>
        </w:rPr>
        <w:t xml:space="preserve"> the General Directorate of Judicial Records and Statistics </w:t>
      </w:r>
      <w:r w:rsidRPr="00681940">
        <w:rPr>
          <w:rFonts w:cs="Times New Roman"/>
          <w:color w:val="010000"/>
        </w:rPr>
        <w:t xml:space="preserve">under </w:t>
      </w:r>
      <w:r w:rsidRPr="00681940">
        <w:rPr>
          <w:rFonts w:cs="Times New Roman"/>
          <w:color w:val="010000"/>
        </w:rPr>
        <w:t xml:space="preserve">"</w:t>
      </w:r>
      <w:r w:rsidRPr="00681940">
        <w:rPr>
          <w:rFonts w:cs="Times New Roman"/>
          <w:i/>
          <w:iCs/>
          <w:color w:val="010000"/>
        </w:rPr>
        <w:t xml:space="preserve">Judicial Statistics</w:t>
      </w:r>
      <w:r w:rsidRPr="00681940">
        <w:rPr>
          <w:rFonts w:cs="Times New Roman"/>
          <w:color w:val="010000"/>
        </w:rPr>
        <w:t xml:space="preserve">.</w:t>
      </w:r>
      <w:r w:rsidRPr="00681940">
        <w:rPr>
          <w:rFonts w:cs="Times New Roman"/>
          <w:i/>
          <w:iCs/>
          <w:color w:val="010000"/>
        </w:rPr>
        <w:t xml:space="preserve">" </w:t>
      </w:r>
      <w:r w:rsidRPr="00681940">
        <w:rPr>
          <w:rFonts w:cs="Times New Roman"/>
          <w:color w:val="010000"/>
        </w:rPr>
        <w:t xml:space="preserve">The information requested is merely preliminary information regarding the published statistics, and the next stage cannot be proceeded to without collecting this information. As such, the aforementioned information is already available within the administration.</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iv. </w:t>
      </w:r>
      <w:r w:rsidRPr="00681940">
        <w:rPr>
          <w:rFonts w:cs="Times New Roman"/>
          <w:color w:val="010000"/>
        </w:rPr>
        <w:t xml:space="preserve">Even if it is accepted that compiling the data subject to the request for information requires separate and specific work, the public benefit provided by the disclosure of the said information should prevail over the public burden required to compile this information.</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13. </w:t>
      </w:r>
      <w:r w:rsidRPr="00681940">
        <w:rPr>
          <w:rFonts w:cs="Times New Roman"/>
          <w:color w:val="010000"/>
        </w:rPr>
        <w:t xml:space="preserve">In the opinion of the Ministry of Justice (the Ministry); it is stated that the applicant, who claims that the information requested from the General Directorate of Judicial Records and Statistics was refused, should have filed a new lawsuit before the administrative courts seeking the cancellation of this decision and, depending on the outcome of this lawsuit, should have filed an individual application. However, the applicant directly appealed to the Constitutional Court on the grounds that the final judicial decision was not implemented, and therefore the ordinary application channels were not exhausted. Furthermore, the Ministry's opinion stated that the applicant's complaints that the requested information had not been provided to him despite a final court decision were clearly unfounded, as they essentially consisted of a request for the data contained in the statistics published on an annual basis to be compiled and provided to him. In its statement opposing the Ministry's opinion, the applicant essentially reiterated the claims made in the individual application form and stated that it did not accept the points made in the opinion. </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14. </w:t>
      </w:r>
      <w:r w:rsidRPr="00681940">
        <w:rPr>
          <w:rFonts w:cs="Times New Roman"/>
          <w:color w:val="010000"/>
        </w:rPr>
        <w:t xml:space="preserve">The application was examined within the scope of freedom of expression.</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15. </w:t>
      </w:r>
      <w:r w:rsidRPr="00681940">
        <w:rPr>
          <w:rFonts w:cs="Times New Roman"/>
          <w:color w:val="010000"/>
        </w:rPr>
        <w:t xml:space="preserve">It must be concluded that the claim of a violation of freedom of expression is admissible, as it is not manifestly unfounded and there are no other reasons to deem it inadmissible.</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16. </w:t>
      </w:r>
      <w:r w:rsidRPr="00681940">
        <w:rPr>
          <w:rFonts w:cs="Times New Roman"/>
          <w:color w:val="010000"/>
        </w:rPr>
        <w:t xml:space="preserve">The subject of the right to obtain information may be a request for access to data held by official authorities about oneself or others</w:t>
      </w:r>
      <w:r w:rsidRPr="00681940">
        <w:rPr>
          <w:rFonts w:cs="Times New Roman"/>
          <w:color w:val="010000"/>
        </w:rPr>
        <w:t xml:space="preserve">, or it may be information held by</w:t>
      </w:r>
      <w:r w:rsidRPr="00681940">
        <w:rPr>
          <w:rFonts w:cs="Times New Roman"/>
          <w:color w:val="010000"/>
        </w:rPr>
        <w:t xml:space="preserve"> official authorities</w:t>
      </w:r>
      <w:r w:rsidRPr="00681940">
        <w:rPr>
          <w:rFonts w:cs="Times New Roman"/>
          <w:color w:val="010000"/>
        </w:rPr>
        <w:lastRenderedPageBreak/>
      </w:r>
      <w:r w:rsidRPr="00681940">
        <w:rPr>
          <w:rFonts w:cs="Times New Roman"/>
          <w:color w:val="010000"/>
        </w:rPr>
        <w:t xml:space="preserve"> that does not concern oneself but is in the public interest. According to the Constitutional Court, the right to obtain information, which may be linked to most fundamental rights and freedoms in terms of its scope, serves as a crucial tool for enabling those governed to monitor those who govern, thereby ensuring the rule of law. The Constitutional Court has stated that the right to obtain information plays an important role in developing the democratic nature of the state and protecting the fundamental rights and freedoms of individuals, and therefore constitutes an indispensable right in a democratic state governed by the rule of law (AYM, E.2013/114, K.2014/184, 4/12/2014). </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17. </w:t>
      </w:r>
      <w:r w:rsidRPr="00681940">
        <w:rPr>
          <w:rFonts w:cs="Times New Roman"/>
          <w:color w:val="010000"/>
        </w:rPr>
        <w:t xml:space="preserve">The right to obtain information in the Turkish legal system has been given legal basis by Law No. 4982. Article 1 of Law No. 4982 </w:t>
      </w:r>
      <w:r w:rsidRPr="00681940">
        <w:rPr>
          <w:rFonts w:cs="Times New Roman"/>
          <w:color w:val="010000"/>
        </w:rPr>
        <w:t xml:space="preserve">states that</w:t>
      </w:r>
      <w:r w:rsidRPr="00681940">
        <w:rPr>
          <w:rFonts w:cs="Times New Roman"/>
          <w:color w:val="010000"/>
        </w:rPr>
        <w:t xml:space="preserve"> the purpose of the law </w:t>
      </w:r>
      <w:r w:rsidRPr="00681940">
        <w:rPr>
          <w:rFonts w:cs="Times New Roman"/>
          <w:color w:val="010000"/>
        </w:rPr>
        <w:t xml:space="preserve">is "</w:t>
      </w:r>
      <w:r w:rsidRPr="00681940">
        <w:rPr>
          <w:rFonts w:cs="Times New Roman"/>
          <w:i/>
          <w:iCs/>
          <w:color w:val="010000"/>
        </w:rPr>
        <w:t xml:space="preserve">to regulate the principles and procedures for individuals to exercise their right to obtain information in accordance with the principles of equality, impartiality and transparency required for democratic and transparent governance</w:t>
      </w:r>
      <w:r w:rsidRPr="00681940">
        <w:rPr>
          <w:rFonts w:cs="Times New Roman"/>
          <w:color w:val="010000"/>
        </w:rPr>
        <w:t xml:space="preserve">.</w:t>
      </w:r>
      <w:r w:rsidRPr="00681940">
        <w:rPr>
          <w:rFonts w:cs="Times New Roman"/>
          <w:i/>
          <w:iCs/>
          <w:color w:val="010000"/>
        </w:rPr>
        <w:t xml:space="preserve">" </w:t>
      </w:r>
      <w:r w:rsidRPr="00681940">
        <w:rPr>
          <w:rFonts w:cs="Times New Roman"/>
          <w:color w:val="010000"/>
        </w:rPr>
        <w:t xml:space="preserve">and its scope </w:t>
      </w:r>
      <w:r w:rsidRPr="00681940">
        <w:rPr>
          <w:rFonts w:cs="Times New Roman"/>
          <w:color w:val="010000"/>
        </w:rPr>
        <w:t xml:space="preserve">is defined </w:t>
      </w:r>
      <w:r w:rsidRPr="00681940">
        <w:rPr>
          <w:rFonts w:cs="Times New Roman"/>
          <w:color w:val="010000"/>
        </w:rPr>
        <w:t xml:space="preserve">in Article 2 of the Law </w:t>
      </w:r>
      <w:r w:rsidRPr="00681940">
        <w:rPr>
          <w:rFonts w:cs="Times New Roman"/>
          <w:color w:val="010000"/>
        </w:rPr>
        <w:t xml:space="preserve">as</w:t>
      </w:r>
      <w:r w:rsidRPr="00681940">
        <w:rPr>
          <w:rFonts w:cs="Times New Roman"/>
          <w:i/>
          <w:iCs/>
          <w:color w:val="010000"/>
        </w:rPr>
        <w:t xml:space="preserve"> "the activities of public institutions and organisations and professional organisations with the status of public institutions</w:t>
      </w:r>
      <w:r w:rsidRPr="00681940">
        <w:rPr>
          <w:rFonts w:cs="Times New Roman"/>
          <w:color w:val="010000"/>
        </w:rPr>
        <w:t xml:space="preserve">.</w:t>
      </w:r>
      <w:r w:rsidRPr="00681940">
        <w:rPr>
          <w:rFonts w:cs="Times New Roman"/>
          <w:i/>
          <w:iCs/>
          <w:color w:val="010000"/>
        </w:rPr>
        <w:t xml:space="preserve">" </w:t>
      </w:r>
      <w:r w:rsidRPr="00681940">
        <w:rPr>
          <w:rFonts w:cs="Times New Roman"/>
          <w:color w:val="010000"/>
        </w:rPr>
        <w:t xml:space="preserve">According to Article 5 of the Law, institutions and organisations are obliged to make any information or document, except for those covered by the exceptions in this Law, available to applicants and to take the necessary administrative and technical measures to ensure that requests for information are processed effectively, promptly and accurately (</w:t>
      </w:r>
      <w:r w:rsidRPr="00681940">
        <w:rPr>
          <w:rFonts w:cs="Times New Roman"/>
          <w:i/>
          <w:iCs/>
          <w:color w:val="010000"/>
        </w:rPr>
        <w:t xml:space="preserve">Yaman Akdeniz (2), </w:t>
      </w:r>
      <w:r w:rsidRPr="00681940">
        <w:rPr>
          <w:rFonts w:cs="Times New Roman"/>
          <w:color w:val="010000"/>
        </w:rPr>
        <w:t xml:space="preserve">§§ 46-47). </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18. </w:t>
      </w:r>
      <w:r w:rsidRPr="00681940">
        <w:rPr>
          <w:rFonts w:cs="Times New Roman"/>
          <w:color w:val="010000"/>
        </w:rPr>
        <w:t xml:space="preserve">The right to obtain information was also constitutionally guaranteed by the fourth paragraph added to Article 74 of the 1982 Constitution in 2010. The explanatory memorandum to the bill proposing amendments to certain articles of the Constitution of the Republic of Turkey dated 7/11/1982 and numbered 2709 summarises the purpose of the constitutional amendment as follows: Although the right to obtain information, which is of great importance in terms of individuals obtaining information about the work and procedures carried out by public institutions and organisations and ensuring transparency in public administration, is regulated by a special law, whereas the Constitution does not contain a clear provision directly regulating this right. Considering the importance of this right in today's society, it was concluded that guaranteeing this right would be a step forward (</w:t>
      </w:r>
      <w:r w:rsidRPr="00681940">
        <w:rPr>
          <w:rFonts w:cs="Times New Roman"/>
          <w:i/>
          <w:iCs/>
          <w:color w:val="010000"/>
        </w:rPr>
        <w:t xml:space="preserve">Yaman Akdeniz (2)</w:t>
      </w:r>
      <w:r w:rsidRPr="00681940">
        <w:rPr>
          <w:rFonts w:cs="Times New Roman"/>
          <w:color w:val="010000"/>
        </w:rPr>
        <w:t xml:space="preserve">, § 48).</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19. </w:t>
      </w:r>
      <w:r w:rsidRPr="00681940">
        <w:rPr>
          <w:rFonts w:cs="Times New Roman"/>
          <w:color w:val="010000"/>
        </w:rPr>
        <w:t xml:space="preserve">On the other hand, it should not be forgotten that the free investigation, acquisition and learning of news, thoughts and information, which are prerequisites for freedom of expression, depend on the accessibility of news and information sources. Individuals engage in the process of forming their opinions based on information obtained through various means. Given its position within the public order and its superiority in the relationship it establishes with individuals, the state is a primary source for obtaining first-hand, raw and unadulterated information. It is clear that access to objective information is often only possible through the availability of information and documents held by official authorities. In this sense, the right to obtain information serves the realisation of freedom of expression (</w:t>
      </w:r>
      <w:r w:rsidRPr="00681940">
        <w:rPr>
          <w:rFonts w:cs="Times New Roman"/>
          <w:i/>
          <w:iCs/>
          <w:color w:val="010000"/>
        </w:rPr>
        <w:t xml:space="preserve">Yaman Akdeniz (2), </w:t>
      </w:r>
      <w:r w:rsidRPr="00681940">
        <w:rPr>
          <w:rFonts w:cs="Times New Roman"/>
          <w:color w:val="010000"/>
        </w:rPr>
        <w:t xml:space="preserve">§ 51).</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20. </w:t>
      </w:r>
      <w:r w:rsidRPr="00681940">
        <w:rPr>
          <w:rFonts w:cs="Times New Roman"/>
          <w:color w:val="010000"/>
        </w:rPr>
        <w:t xml:space="preserve">In its decision in </w:t>
      </w:r>
      <w:r w:rsidRPr="00681940">
        <w:rPr>
          <w:rFonts w:cs="Times New Roman"/>
          <w:i/>
          <w:iCs/>
          <w:color w:val="010000"/>
        </w:rPr>
        <w:t xml:space="preserve">Yaman Akdeniz (2)</w:t>
      </w:r>
      <w:r w:rsidRPr="00681940">
        <w:rPr>
          <w:rFonts w:cs="Times New Roman"/>
          <w:color w:val="010000"/>
        </w:rPr>
        <w:t xml:space="preserve">, the Constitutional Court </w:t>
      </w:r>
      <w:r w:rsidRPr="00681940">
        <w:rPr>
          <w:rFonts w:cs="Times New Roman"/>
          <w:color w:val="010000"/>
        </w:rPr>
        <w:t xml:space="preserve">determined the circumstances under which information and documents requested from official authorities within the scope of the right to obtain information could be examined under Article 26 of the Constitution. Accordingly, the Constitutional Court stated that Article 26 of the Constitution cannot be understood as granting individuals a general right to access information held by official authorities and imposing on the state an obligation to provide information about the data and documents in its possession and/or to collect the requested information. However, the aforementioned decision also emphasised that, taking into account the case law of the European Court of Human Rights on this matter, the refusal of a request for information could only constitute an interference with freedom of expression in two situations. These two situations </w:t>
      </w:r>
      <w:r w:rsidRPr="00681940">
        <w:rPr>
          <w:rFonts w:cs="Times New Roman"/>
          <w:color w:val="010000"/>
        </w:rPr>
        <w:t xml:space="preserve">are</w:t>
      </w:r>
      <w:r w:rsidRPr="00681940">
        <w:rPr>
          <w:rFonts w:cs="Times New Roman"/>
          <w:color w:val="010000"/>
        </w:rPr>
        <w:t xml:space="preserve">: the imposition of an obligation on the state to provide information by a final court decision</w:t>
      </w:r>
      <w:r w:rsidRPr="00681940">
        <w:rPr>
          <w:rFonts w:cs="Times New Roman"/>
          <w:color w:val="010000"/>
        </w:rPr>
        <w:t xml:space="preserve">,</w:t>
      </w:r>
      <w:r w:rsidRPr="00681940">
        <w:rPr>
          <w:rFonts w:cs="Times New Roman"/>
          <w:color w:val="010000"/>
        </w:rPr>
        <w:t xml:space="preserve"> and access to data held by official authorities </w:t>
      </w:r>
      <w:r w:rsidRPr="00681940">
        <w:rPr>
          <w:rFonts w:cs="Times New Roman"/>
          <w:color w:val="010000"/>
        </w:rPr>
        <w:t xml:space="preserve">serving an</w:t>
      </w:r>
      <w:r w:rsidRPr="00681940">
        <w:rPr>
          <w:rFonts w:cs="Times New Roman"/>
          <w:color w:val="010000"/>
        </w:rPr>
        <w:t xml:space="preserve"> instrumental </w:t>
      </w:r>
      <w:r w:rsidRPr="00681940">
        <w:rPr>
          <w:rFonts w:cs="Times New Roman"/>
          <w:color w:val="010000"/>
        </w:rPr>
        <w:t xml:space="preserve">function </w:t>
      </w:r>
      <w:r w:rsidRPr="00681940">
        <w:rPr>
          <w:rFonts w:cs="Times New Roman"/>
          <w:color w:val="010000"/>
        </w:rPr>
        <w:t xml:space="preserve">in the exercise of the freedom to express one's opinion </w:t>
      </w:r>
      <w:r w:rsidRPr="00681940">
        <w:rPr>
          <w:rFonts w:cs="Times New Roman"/>
          <w:color w:val="010000"/>
        </w:rPr>
        <w:t xml:space="preserve">(see § 52 of the same decision).</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lastRenderedPageBreak/>
      </w:r>
      <w:r w:rsidRPr="00681940">
        <w:rPr>
          <w:rFonts w:cs="Times New Roman"/>
          <w:color w:val="010000"/>
        </w:rPr>
        <w:t xml:space="preserve">21. </w:t>
      </w:r>
      <w:r w:rsidRPr="00681940">
        <w:rPr>
          <w:rFonts w:cs="Times New Roman"/>
          <w:color w:val="010000"/>
        </w:rPr>
        <w:t xml:space="preserve">In this regard, the first situation imposing a duty on the state to provide information within the context of Article 26 of the Constitution is the imposition of an obligation to provide information to the state by a final judicial decision. In such a case, the failure of the official authorities to comply with the request for information would constitute an interference with freedom of expression within the meaning of Article 26 of the Constitution.</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22. </w:t>
      </w:r>
      <w:r w:rsidRPr="00681940">
        <w:rPr>
          <w:rFonts w:cs="Times New Roman"/>
          <w:color w:val="010000"/>
        </w:rPr>
        <w:t xml:space="preserve">In the present case, it is observed that the applicant's request for information regarding certain types of offences under the Turkish Criminal Code No. 5237 of 26 September 2004 was not fulfilled despite the existence of a final judicial decision. Therefore, despite the obligation imposed on the state to provide information by a final court decision, the rejection of the request in question constitutes an interference with the freedom of expression guaranteed by Article 26 of the Constitution. Although it is understood that Article 7 of Law No. 4982, which forms the basis of the interference, meets the criteria for restriction by law, it is not clear from the reasons given by the administrative authorities what legitimate aim the interference is intended to protect. However, given the circumstances of the present application, it was considered more appropriate to reach a final decision by examining whether the interference is based on a legitimate aim, together with an examination of whether it is compatible with the requirements of a democratic society. </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23. </w:t>
      </w:r>
      <w:r w:rsidRPr="00681940">
        <w:rPr>
          <w:rFonts w:cs="Times New Roman"/>
          <w:color w:val="010000"/>
        </w:rPr>
        <w:t xml:space="preserve">For </w:t>
      </w:r>
      <w:r w:rsidRPr="00681940">
        <w:rPr>
          <w:rFonts w:cs="Times New Roman"/>
          <w:color w:val="010000"/>
        </w:rPr>
        <w:t xml:space="preserve">an interference with fundamental rights and freedoms </w:t>
      </w:r>
      <w:r w:rsidRPr="00681940">
        <w:rPr>
          <w:rFonts w:cs="Times New Roman"/>
          <w:color w:val="010000"/>
        </w:rPr>
        <w:t xml:space="preserve">to be considered </w:t>
      </w:r>
      <w:r w:rsidRPr="00681940">
        <w:rPr>
          <w:rFonts w:cs="Times New Roman"/>
          <w:i/>
          <w:iCs/>
          <w:color w:val="010000"/>
        </w:rPr>
        <w:t xml:space="preserve">compatible with</w:t>
      </w:r>
      <w:r w:rsidRPr="00681940">
        <w:rPr>
          <w:rFonts w:cs="Times New Roman"/>
          <w:color w:val="010000"/>
        </w:rPr>
        <w:t xml:space="preserve"> the requirements of a democratic society</w:t>
      </w:r>
      <w:r w:rsidRPr="00681940">
        <w:rPr>
          <w:rFonts w:cs="Times New Roman"/>
          <w:color w:val="010000"/>
        </w:rPr>
        <w:t xml:space="preserve">, it must meet a pressing social need and be proportionate (</w:t>
      </w:r>
      <w:r w:rsidRPr="00681940">
        <w:rPr>
          <w:rFonts w:cs="Times New Roman"/>
          <w:i/>
          <w:iCs/>
          <w:color w:val="010000"/>
        </w:rPr>
        <w:t xml:space="preserve">Ferhat Üstündağ </w:t>
      </w:r>
      <w:r w:rsidRPr="00681940">
        <w:rPr>
          <w:rFonts w:cs="Times New Roman"/>
          <w:color w:val="010000"/>
        </w:rPr>
        <w:t xml:space="preserve">[1st Chamber], Application No. 2014/15428, 17 July 2018, § 45; </w:t>
      </w:r>
      <w:r w:rsidRPr="00681940">
        <w:rPr>
          <w:rFonts w:cs="Times New Roman"/>
          <w:i/>
          <w:iCs/>
          <w:color w:val="010000"/>
        </w:rPr>
        <w:t xml:space="preserve">Mehmet Ali Gündoğdu and Mustafa Demirsoy [</w:t>
      </w:r>
      <w:r w:rsidRPr="00681940">
        <w:rPr>
          <w:rFonts w:cs="Times New Roman"/>
          <w:color w:val="010000"/>
        </w:rPr>
        <w:t xml:space="preserve">1st Chamber], Case No. 2015/8147, 8 May 2019, § 41; </w:t>
      </w:r>
      <w:r w:rsidRPr="00681940">
        <w:rPr>
          <w:rFonts w:cs="Times New Roman"/>
          <w:i/>
          <w:iCs/>
          <w:color w:val="010000"/>
        </w:rPr>
        <w:t xml:space="preserve">Levon </w:t>
      </w:r>
      <w:r w:rsidRPr="00681940">
        <w:rPr>
          <w:rFonts w:cs="Times New Roman"/>
          <w:i/>
          <w:iCs/>
          <w:color w:val="010000"/>
        </w:rPr>
        <w:t xml:space="preserve">Berç </w:t>
      </w:r>
      <w:r w:rsidRPr="00681940">
        <w:rPr>
          <w:rFonts w:cs="Times New Roman"/>
          <w:i/>
          <w:iCs/>
          <w:color w:val="010000"/>
        </w:rPr>
        <w:t xml:space="preserve">Kuzukoğlu </w:t>
      </w:r>
      <w:r w:rsidRPr="00681940">
        <w:rPr>
          <w:rFonts w:cs="Times New Roman"/>
          <w:i/>
          <w:iCs/>
          <w:color w:val="010000"/>
        </w:rPr>
        <w:t xml:space="preserve">and </w:t>
      </w:r>
      <w:r w:rsidRPr="00681940">
        <w:rPr>
          <w:rFonts w:cs="Times New Roman"/>
          <w:i/>
          <w:iCs/>
          <w:color w:val="010000"/>
        </w:rPr>
        <w:t xml:space="preserve">Ohannes </w:t>
      </w:r>
      <w:r w:rsidRPr="00681940">
        <w:rPr>
          <w:rFonts w:cs="Times New Roman"/>
          <w:i/>
          <w:iCs/>
          <w:color w:val="010000"/>
        </w:rPr>
        <w:t xml:space="preserve">Garbis </w:t>
      </w:r>
      <w:r w:rsidRPr="00681940">
        <w:rPr>
          <w:rFonts w:cs="Times New Roman"/>
          <w:i/>
          <w:iCs/>
          <w:color w:val="010000"/>
        </w:rPr>
        <w:t xml:space="preserve">Balmumciyan </w:t>
      </w:r>
      <w:r w:rsidRPr="00681940">
        <w:rPr>
          <w:rFonts w:cs="Times New Roman"/>
          <w:color w:val="010000"/>
        </w:rPr>
        <w:t xml:space="preserve">[GK], B. No: 2014/17354, 22/5/2019, § 89). For the measure constituting the interference to be accepted as meeting a pressing social need, it must be suitable for achieving the aim, be the last resort and be the least intrusive measure available. An intervention that does not help achieve the objective or is manifestly disproportionate to the objective sought cannot be said to meet a pressing social need (</w:t>
      </w:r>
      <w:r w:rsidRPr="00681940">
        <w:rPr>
          <w:rFonts w:cs="Times New Roman"/>
          <w:i/>
          <w:iCs/>
          <w:color w:val="010000"/>
        </w:rPr>
        <w:t xml:space="preserve">Wikimedia </w:t>
      </w:r>
      <w:r w:rsidRPr="00681940">
        <w:rPr>
          <w:rFonts w:cs="Times New Roman"/>
          <w:i/>
          <w:iCs/>
          <w:color w:val="010000"/>
        </w:rPr>
        <w:t xml:space="preserve">Foundation </w:t>
      </w:r>
      <w:r w:rsidRPr="00681940">
        <w:rPr>
          <w:rFonts w:cs="Times New Roman"/>
          <w:i/>
          <w:iCs/>
          <w:color w:val="010000"/>
        </w:rPr>
        <w:t xml:space="preserve">Inc. </w:t>
      </w:r>
      <w:r w:rsidRPr="00681940">
        <w:rPr>
          <w:rFonts w:cs="Times New Roman"/>
          <w:i/>
          <w:iCs/>
          <w:color w:val="010000"/>
        </w:rPr>
        <w:t xml:space="preserve">and Others </w:t>
      </w:r>
      <w:r w:rsidRPr="00681940">
        <w:rPr>
          <w:rFonts w:cs="Times New Roman"/>
          <w:color w:val="010000"/>
        </w:rPr>
        <w:t xml:space="preserve">[GK], B. No: 2017/22355, 26/12/2019, § 65; </w:t>
      </w:r>
      <w:r w:rsidRPr="00681940">
        <w:rPr>
          <w:rFonts w:cs="Times New Roman"/>
          <w:i/>
          <w:iCs/>
          <w:color w:val="010000"/>
        </w:rPr>
        <w:t xml:space="preserve">Ferhat Üstündağ, </w:t>
      </w:r>
      <w:r w:rsidRPr="00681940">
        <w:rPr>
          <w:rFonts w:cs="Times New Roman"/>
          <w:color w:val="010000"/>
        </w:rPr>
        <w:t xml:space="preserve">§ 46; </w:t>
      </w:r>
      <w:r w:rsidRPr="00681940">
        <w:rPr>
          <w:rFonts w:cs="Times New Roman"/>
          <w:i/>
          <w:iCs/>
          <w:color w:val="010000"/>
        </w:rPr>
        <w:t xml:space="preserve">Bekir Coşkun </w:t>
      </w:r>
      <w:r w:rsidRPr="00681940">
        <w:rPr>
          <w:rFonts w:cs="Times New Roman"/>
          <w:color w:val="010000"/>
        </w:rPr>
        <w:t xml:space="preserve">[GK], B. No: 2014/12151, 4/6/2015, § 51; </w:t>
      </w:r>
      <w:r w:rsidRPr="00681940">
        <w:rPr>
          <w:rFonts w:cs="Times New Roman"/>
          <w:i/>
          <w:iCs/>
          <w:color w:val="010000"/>
        </w:rPr>
        <w:t xml:space="preserve">Mehmet Ali Aydın </w:t>
      </w:r>
      <w:r w:rsidRPr="00681940">
        <w:rPr>
          <w:rFonts w:cs="Times New Roman"/>
          <w:color w:val="010000"/>
        </w:rPr>
        <w:t xml:space="preserve">[GK], B. No: 2013/9343, 4/6/2015, § 68; </w:t>
      </w:r>
      <w:r w:rsidRPr="00681940">
        <w:rPr>
          <w:rFonts w:cs="Times New Roman"/>
          <w:i/>
          <w:iCs/>
          <w:color w:val="010000"/>
        </w:rPr>
        <w:t xml:space="preserve">Tansel Çölaşan </w:t>
      </w:r>
      <w:r w:rsidRPr="00681940">
        <w:rPr>
          <w:rFonts w:cs="Times New Roman"/>
          <w:color w:val="010000"/>
        </w:rPr>
        <w:t xml:space="preserve">[1st B.], B. No: 2014/6128, 7/7/2015, § 51).</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24. </w:t>
      </w:r>
      <w:r w:rsidRPr="00681940">
        <w:rPr>
          <w:rFonts w:cs="Times New Roman"/>
          <w:color w:val="010000"/>
        </w:rPr>
        <w:t xml:space="preserve">In the present case, the applicant requested data from the administrative authorities regarding the prosecution under Article 299 and the investigation under Article 301 of Law No. 5237. The General Directorate of Criminal Affairs rejected the request, stating that the data in question required separate and special work. The applicant first appealed to the Public Ombudsman Institution and then to the administrative courts, and ultimately, the Regional Administrative Court accepted the case and ruled to annul the administrative act. Following the final court decision, the General Directorate of Judicial Records and Statistics, again relying on Article 7 of Law No. 4982, decided to reject the request on the grounds that the requested information required special examination and research. </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Article 7 of Law No. 4982 states that requests for information relate to information and documents held by institutions and organisations. Paragraph 2 of Article 7 of the Law stipulates that requests for information or documents that can only be produced as a result of separate or special work, research, investigation or analysis may be refused. Paragraph 3 of Article 7 of the Law states that if the requested information or document is located elsewhere than the institution or organisation to which the request is made, the request letter shall be forwarded to that institution or organisation and the situation shall be notified to the applicant in writing.</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lastRenderedPageBreak/>
      </w:r>
      <w:r w:rsidRPr="00681940">
        <w:rPr>
          <w:rFonts w:cs="Times New Roman"/>
          <w:color w:val="010000"/>
        </w:rPr>
        <w:t xml:space="preserve">In the grounds for its decision to accept the case, the</w:t>
      </w:r>
      <w:r w:rsidRPr="00681940">
        <w:rPr>
          <w:rFonts w:cs="Times New Roman"/>
          <w:color w:val="010000"/>
        </w:rPr>
        <w:t xml:space="preserve"> 26th </w:t>
      </w:r>
      <w:r w:rsidRPr="00681940">
        <w:rPr>
          <w:rFonts w:cs="Times New Roman"/>
          <w:color w:val="010000"/>
        </w:rPr>
        <w:t xml:space="preserve">Regional Administrative Court referred to the duties of the General Directorate of Judicial Records and Statistics as set out in the relevant legislation and </w:t>
      </w:r>
      <w:r w:rsidRPr="00681940">
        <w:rPr>
          <w:rFonts w:cs="Times New Roman"/>
          <w:color w:val="010000"/>
        </w:rPr>
        <w:t xml:space="preserve">stated that</w:t>
      </w:r>
      <w:r w:rsidRPr="00681940">
        <w:rPr>
          <w:rFonts w:cs="Times New Roman"/>
          <w:i/>
          <w:iCs/>
          <w:color w:val="010000"/>
        </w:rPr>
        <w:t xml:space="preserve"> "the provision of services</w:t>
      </w:r>
      <w:r w:rsidRPr="00681940">
        <w:rPr>
          <w:rFonts w:cs="Times New Roman"/>
          <w:i/>
          <w:iCs/>
          <w:color w:val="010000"/>
        </w:rPr>
        <w:t xml:space="preserve"> relating to the determination, collection, classification and evaluation of statistical information on matters falling within the scope of the Ministry's duties and powers</w:t>
      </w:r>
      <w:r w:rsidRPr="00681940">
        <w:rPr>
          <w:rFonts w:cs="Times New Roman"/>
          <w:i/>
          <w:iCs/>
          <w:color w:val="010000"/>
        </w:rPr>
        <w:t xml:space="preserve">" </w:t>
      </w:r>
      <w:r w:rsidRPr="00681940">
        <w:rPr>
          <w:rFonts w:cs="Times New Roman"/>
          <w:color w:val="010000"/>
        </w:rPr>
        <w:t xml:space="preserve">falls within the remit of the General Directorate. Furthermore, the Regional Administrative Court stated that that the information requested by the applicant was information and documentation that the General Directorate of Judicial Records and Statistics was required to hold as part of its duties and that, in this context, the General Directorate of Criminal Affairs was required to notify the General Directorate of Judicial Records and Statistics of the applicant's request, in accordance with the third paragraph of Article 7 of Law No. 4982.</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27. </w:t>
      </w:r>
      <w:r w:rsidRPr="00681940">
        <w:rPr>
          <w:rFonts w:cs="Times New Roman"/>
          <w:color w:val="010000"/>
        </w:rPr>
        <w:t xml:space="preserve">One of the duties of the General Directorate of Judicial Records and Statistics under the relevant legislation </w:t>
      </w:r>
      <w:r w:rsidRPr="00681940">
        <w:rPr>
          <w:rFonts w:cs="Times New Roman"/>
          <w:color w:val="010000"/>
        </w:rPr>
        <w:t xml:space="preserve">is </w:t>
      </w:r>
      <w:r w:rsidRPr="00681940">
        <w:rPr>
          <w:rFonts w:cs="Times New Roman"/>
          <w:i/>
          <w:iCs/>
          <w:color w:val="010000"/>
        </w:rPr>
        <w:t xml:space="preserve">"to determine, collect, classify and </w:t>
      </w:r>
      <w:r w:rsidRPr="00681940">
        <w:rPr>
          <w:rFonts w:cs="Times New Roman"/>
          <w:i/>
          <w:iCs/>
          <w:color w:val="010000"/>
        </w:rPr>
        <w:t xml:space="preserve">evaluate</w:t>
      </w:r>
      <w:r w:rsidRPr="00681940">
        <w:rPr>
          <w:rFonts w:cs="Times New Roman"/>
          <w:i/>
          <w:iCs/>
          <w:color w:val="010000"/>
        </w:rPr>
        <w:t xml:space="preserve"> statistical information on matters falling within the scope of the Ministry's duties and powers</w:t>
      </w:r>
      <w:r w:rsidRPr="00681940">
        <w:rPr>
          <w:rFonts w:cs="Times New Roman"/>
          <w:i/>
          <w:iCs/>
          <w:color w:val="010000"/>
        </w:rPr>
        <w:t xml:space="preserve">"</w:t>
      </w:r>
      <w:r w:rsidRPr="00681940">
        <w:rPr>
          <w:rFonts w:cs="Times New Roman"/>
          <w:color w:val="010000"/>
        </w:rPr>
        <w:t xml:space="preserve">. Furthermore, in accordance with the Turkish Statistics Law No. 5429 dated 10/11/2005, it is stated on the official website that keeping and publishing crime and justice statistics in accordance with the Official Statistics Programme falls within the scope of the Directorate General's duties. </w:t>
      </w:r>
      <w:r w:rsidRPr="00681940">
        <w:rPr>
          <w:rFonts w:cs="Times New Roman"/>
          <w:color w:val="010000"/>
        </w:rPr>
        <w:t xml:space="preserve">It has </w:t>
      </w:r>
      <w:r w:rsidRPr="00681940">
        <w:rPr>
          <w:rFonts w:cs="Times New Roman"/>
          <w:color w:val="010000"/>
        </w:rPr>
        <w:t xml:space="preserve">also </w:t>
      </w:r>
      <w:r w:rsidRPr="00681940">
        <w:rPr>
          <w:rFonts w:cs="Times New Roman"/>
          <w:color w:val="010000"/>
        </w:rPr>
        <w:t xml:space="preserve">been observed that</w:t>
      </w:r>
      <w:r w:rsidRPr="00681940">
        <w:rPr>
          <w:rFonts w:cs="Times New Roman"/>
          <w:color w:val="010000"/>
        </w:rPr>
        <w:t xml:space="preserve"> among the objectives of the General Directorate in the production of judicial statistics </w:t>
      </w:r>
      <w:r w:rsidRPr="00681940">
        <w:rPr>
          <w:rFonts w:cs="Times New Roman"/>
          <w:color w:val="010000"/>
        </w:rPr>
        <w:t xml:space="preserve">is</w:t>
      </w:r>
      <w:r w:rsidRPr="00681940">
        <w:rPr>
          <w:rFonts w:cs="Times New Roman"/>
          <w:i/>
          <w:iCs/>
          <w:color w:val="010000"/>
        </w:rPr>
        <w:t xml:space="preserve"> "monitoring the progress of court cases, crime and criminal activity, and their distribution throughout the country</w:t>
      </w:r>
      <w:r w:rsidRPr="00681940">
        <w:rPr>
          <w:rFonts w:cs="Times New Roman"/>
          <w:color w:val="010000"/>
        </w:rPr>
        <w:t xml:space="preserve">." Indeed, when examining the official statistics and judicial statistics data of the General Directorate, it is evident that it produces highly detailed statistics on virtually every matter falling within the scope of the Ministry's duties and authority. </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28. </w:t>
      </w:r>
      <w:r w:rsidRPr="00681940">
        <w:rPr>
          <w:rFonts w:cs="Times New Roman"/>
          <w:color w:val="010000"/>
        </w:rPr>
        <w:t xml:space="preserve">In this context, it is difficult to say that the statistical data regarding the prosecution and investigation permits related to Articles 299 and 301 of Law No. 5237, which is the subject of the applicant's request, are not available at the General Directorate of Judicial Records and Statistics. Indeed, upon examination of the "2021 Judicial Statistics Report" published on the Directorate General's official website, it is seen that </w:t>
      </w:r>
      <w:r w:rsidRPr="00681940">
        <w:rPr>
          <w:rFonts w:cs="Times New Roman"/>
          <w:i/>
          <w:iCs/>
          <w:color w:val="010000"/>
        </w:rPr>
        <w:t xml:space="preserve">it contains sections on </w:t>
      </w:r>
      <w:r w:rsidRPr="00681940">
        <w:rPr>
          <w:rFonts w:cs="Times New Roman"/>
          <w:i/>
          <w:iCs/>
          <w:color w:val="010000"/>
        </w:rPr>
        <w:t xml:space="preserve">"Number of Personnel, Judicial Judiciary (under the heading of Judicial Judiciary; there are headings such as Public Prosecutor's Offices, Criminal Courts, Regional Courts of Appeal, Court of Cassation), Administrative Justice (</w:t>
      </w:r>
      <w:r w:rsidRPr="00681940">
        <w:rPr>
          <w:rFonts w:cs="Times New Roman"/>
          <w:color w:val="010000"/>
        </w:rPr>
        <w:t xml:space="preserve">under the heading of</w:t>
      </w:r>
      <w:r w:rsidRPr="00681940">
        <w:rPr>
          <w:rFonts w:cs="Times New Roman"/>
          <w:i/>
          <w:iCs/>
          <w:color w:val="010000"/>
        </w:rPr>
        <w:t xml:space="preserve"> Administrative </w:t>
      </w:r>
      <w:r w:rsidRPr="00681940">
        <w:rPr>
          <w:rFonts w:cs="Times New Roman"/>
          <w:color w:val="010000"/>
        </w:rPr>
        <w:t xml:space="preserve">Justice</w:t>
      </w:r>
      <w:r w:rsidRPr="00681940">
        <w:rPr>
          <w:rFonts w:cs="Times New Roman"/>
          <w:i/>
          <w:iCs/>
          <w:color w:val="010000"/>
        </w:rPr>
        <w:t xml:space="preserve">, there are </w:t>
      </w:r>
      <w:r w:rsidRPr="00681940">
        <w:rPr>
          <w:rFonts w:cs="Times New Roman"/>
          <w:color w:val="010000"/>
        </w:rPr>
        <w:t xml:space="preserve">headings</w:t>
      </w:r>
      <w:r w:rsidRPr="00681940">
        <w:rPr>
          <w:rFonts w:cs="Times New Roman"/>
          <w:i/>
          <w:iCs/>
          <w:color w:val="010000"/>
        </w:rPr>
        <w:t xml:space="preserve"> such as Administrative Courts, Tax Courts, Regional Administrative Courts, and the Council of State), Constitutional Court, Court of Disputes, High Arbitration Board, Forensic Medicine Institution, Bar Associations, and Notaries," </w:t>
      </w:r>
      <w:r w:rsidRPr="00681940">
        <w:rPr>
          <w:rFonts w:cs="Times New Roman"/>
          <w:color w:val="010000"/>
        </w:rPr>
        <w:t xml:space="preserve">it can be seen that more than a hundred data points are presented. Moreover</w:t>
      </w:r>
      <w:r w:rsidRPr="00681940">
        <w:rPr>
          <w:rFonts w:cs="Times New Roman"/>
          <w:color w:val="010000"/>
        </w:rPr>
        <w:t xml:space="preserve">, under the heading</w:t>
      </w:r>
      <w:r w:rsidRPr="00681940">
        <w:rPr>
          <w:rFonts w:cs="Times New Roman"/>
          <w:i/>
          <w:iCs/>
          <w:color w:val="010000"/>
        </w:rPr>
        <w:t xml:space="preserve"> "Distribution of the Number of Crimes in Investigations Concluded in Accordance with the Turkish Penal Code by Decision and Type of Crime"</w:t>
      </w:r>
      <w:r w:rsidRPr="00681940">
        <w:rPr>
          <w:rFonts w:cs="Times New Roman"/>
          <w:color w:val="010000"/>
        </w:rPr>
        <w:t xml:space="preserve"> in the Public Prosecutor's Offices section</w:t>
      </w:r>
      <w:r w:rsidRPr="00681940">
        <w:rPr>
          <w:rFonts w:cs="Times New Roman"/>
          <w:color w:val="010000"/>
        </w:rPr>
        <w:t xml:space="preserve">, the number and ratio of decisions not to prosecute for crimes regulated in Articles 299 to 301 of Law No. 5237, decisions to initiate public prosecution, and the number and percentage of other decisions. In this context, it is understood that the statistical data requested by the applicant is actually available in the General Directorate's database, albeit not in terms of content but in terms of subject matter and in a more expanded form. </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29. </w:t>
      </w:r>
      <w:r w:rsidRPr="00681940">
        <w:rPr>
          <w:rFonts w:cs="Times New Roman"/>
          <w:color w:val="010000"/>
        </w:rPr>
        <w:t xml:space="preserve">That being the case, </w:t>
      </w:r>
      <w:r w:rsidRPr="00681940">
        <w:rPr>
          <w:rFonts w:cs="Times New Roman"/>
          <w:color w:val="010000"/>
        </w:rPr>
        <w:t xml:space="preserve">the justification that</w:t>
      </w:r>
      <w:r w:rsidRPr="00681940">
        <w:rPr>
          <w:rFonts w:cs="Times New Roman"/>
          <w:i/>
          <w:iCs/>
          <w:color w:val="010000"/>
        </w:rPr>
        <w:t xml:space="preserve"> "the information in question requires special examination and research"</w:t>
      </w:r>
      <w:r w:rsidRPr="00681940">
        <w:rPr>
          <w:rFonts w:cs="Times New Roman"/>
          <w:color w:val="010000"/>
        </w:rPr>
        <w:t xml:space="preserve"> for the administrative authorities not to provide the information requested by the applicant, despite the final court decision</w:t>
      </w:r>
      <w:r w:rsidRPr="00681940">
        <w:rPr>
          <w:rFonts w:cs="Times New Roman"/>
          <w:color w:val="010000"/>
        </w:rPr>
        <w:t xml:space="preserve">, is not relevant and sufficient in terms of the intervention subject to the application, nor can it be said that it requires special examination and research in accordance with the findings set out above. </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30. </w:t>
      </w:r>
      <w:r w:rsidRPr="00681940">
        <w:rPr>
          <w:rFonts w:cs="Times New Roman"/>
          <w:color w:val="010000"/>
        </w:rPr>
        <w:t xml:space="preserve">Moreover, the applicant is a faculty member working in the field of internet and human rights at a university's law faculty, as well as a founder, president, and member of several civil society organisations working on freedom of expression in Turkey. Considering that the applicant plays an active role in civil society organisations that aim to defend freedom of thought and expression, combat censorship through the media and the internet, promote access to information, and support diversity of opinion and the right to dissent, and that he regularly informs the public through his research, articles, and reports prepared by the applicant, </w:t>
      </w:r>
      <w:r w:rsidRPr="00681940">
        <w:rPr>
          <w:rFonts w:cs="Times New Roman"/>
          <w:color w:val="010000"/>
        </w:rPr>
        <w:t xml:space="preserve">as well as his regular updates to the public via social media and the press at</w:t>
      </w:r>
      <w:r w:rsidRPr="00681940">
        <w:rPr>
          <w:rFonts w:cs="Times New Roman"/>
          <w:color w:val="010000"/>
        </w:rPr>
        <w:lastRenderedPageBreak/>
      </w:r>
      <w:r w:rsidRPr="00681940">
        <w:rPr>
          <w:rFonts w:cs="Times New Roman"/>
          <w:color w:val="010000"/>
        </w:rPr>
        <w:t xml:space="preserve"> , there is no doubt that the statistics relating to the types of offences covered by the application fall within the applicant's field of interest (see, mutatis mutandis, </w:t>
      </w:r>
      <w:r w:rsidRPr="00681940">
        <w:rPr>
          <w:rFonts w:cs="Times New Roman"/>
          <w:i/>
          <w:iCs/>
          <w:color w:val="010000"/>
        </w:rPr>
        <w:t xml:space="preserve">Yaman Akdeniz (2), </w:t>
      </w:r>
      <w:r w:rsidRPr="00681940">
        <w:rPr>
          <w:rFonts w:cs="Times New Roman"/>
          <w:color w:val="010000"/>
        </w:rPr>
        <w:t xml:space="preserve">§ 56). On the other hand, when the nature of the requested information is examined, it is a matter of public interest; indeed, it is an undeniable fact that the offences regulated in Articles 299 and 301 of Law No. 5237 contain elements that are closely related to freedom of expression and are always relevant. Moreover, </w:t>
      </w:r>
      <w:r w:rsidRPr="00681940">
        <w:rPr>
          <w:rFonts w:cs="Times New Roman"/>
          <w:color w:val="010000"/>
        </w:rPr>
        <w:t xml:space="preserve">given</w:t>
      </w:r>
      <w:r w:rsidRPr="00681940">
        <w:rPr>
          <w:rFonts w:cs="Times New Roman"/>
          <w:color w:val="010000"/>
        </w:rPr>
        <w:t xml:space="preserve"> the</w:t>
      </w:r>
      <w:r w:rsidRPr="00681940">
        <w:rPr>
          <w:rFonts w:cs="Times New Roman"/>
          <w:color w:val="010000"/>
        </w:rPr>
        <w:t xml:space="preserve"> applicant's role in the public sphere</w:t>
      </w:r>
      <w:r w:rsidRPr="00681940">
        <w:rPr>
          <w:rFonts w:cs="Times New Roman"/>
          <w:color w:val="010000"/>
        </w:rPr>
        <w:t xml:space="preserve">, the sharing of accurate information with the public will also play an important role in combating disinformation.</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31. </w:t>
      </w:r>
      <w:r w:rsidRPr="00681940">
        <w:rPr>
          <w:rFonts w:cs="Times New Roman"/>
          <w:color w:val="010000"/>
        </w:rPr>
        <w:t xml:space="preserve">As previously stated, it should be reiterated that Article 26 of the Constitution does not grant individuals a general right to access information held by official authorities, nor does it impose an obligation on the state to provide information regarding the data and documents in its possession. However, considering the above assessments as a whole in the context of the specific circumstances of the case, the administrative authorities failed to demonstrate that the intervention rejecting the applicant's request for information had a legitimate purpose. it has been observed that the reasons put forward by the administrative authorities for rejecting the request for information, despite the existence of a final court decision on the matter, are not relevant and sufficient in terms of interference with the applicant's freedom of expression. Accordingly, it has been concluded that the interference in question does not meet a pressing social need and is therefore not in accordance with the requirements of a democratic society.</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32. </w:t>
      </w:r>
      <w:r w:rsidRPr="00681940">
        <w:rPr>
          <w:rFonts w:cs="Times New Roman"/>
          <w:color w:val="010000"/>
        </w:rPr>
        <w:t xml:space="preserve">Based on the reasons explained, it must be concluded that the freedom of expression guaranteed by Article 26 of the Constitution has been violated.</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b/>
          <w:color w:val="010000"/>
        </w:rPr>
        <w:t xml:space="preserve">III. </w:t>
      </w:r>
      <w:r w:rsidRPr="00681940">
        <w:rPr>
          <w:rFonts w:cs="Times New Roman"/>
          <w:b/>
          <w:color w:val="010000"/>
        </w:rPr>
        <w:t xml:space="preserve">REMEDY</w:t>
      </w:r>
    </w:p>
    <w:p w:rsidRPr="00681940" w:rsidR="001624C3" w:rsidP="00681940" w:rsidRDefault="00FF3C6C">
      <w:pPr>
        <w:widowControl/>
        <w:suppressAutoHyphens w:val="0"/>
        <w:spacing w:after="200"/>
        <w:ind w:start="283" w:end="283" w:firstLine="567"/>
        <w:jc w:val="both"/>
        <w:rPr>
          <w:color w:val="010000"/>
        </w:rPr>
      </w:pPr>
      <w:r w:rsidRPr="00681940">
        <w:rPr>
          <w:color w:val="010000"/>
        </w:rPr>
        <w:t xml:space="preserve">33. </w:t>
      </w:r>
      <w:r w:rsidRPr="00681940">
        <w:rPr>
          <w:color w:val="010000"/>
        </w:rPr>
        <w:t xml:space="preserve">The applicant has requested the determination of the violation and 50,000 TL in non-pecuniary damages.</w:t>
      </w:r>
    </w:p>
    <w:p w:rsidRPr="00681940" w:rsidR="001624C3" w:rsidP="00681940" w:rsidRDefault="00FF3C6C">
      <w:pPr>
        <w:widowControl/>
        <w:suppressAutoHyphens w:val="0"/>
        <w:spacing w:after="200"/>
        <w:ind w:start="283" w:end="283" w:firstLine="567"/>
        <w:jc w:val="both"/>
        <w:rPr>
          <w:color w:val="010000"/>
        </w:rPr>
      </w:pPr>
      <w:r w:rsidRPr="00681940">
        <w:rPr>
          <w:color w:val="010000"/>
        </w:rPr>
        <w:t xml:space="preserve">34. </w:t>
      </w:r>
      <w:r w:rsidRPr="00681940">
        <w:rPr>
          <w:color w:val="010000"/>
        </w:rPr>
        <w:t xml:space="preserve">In the present case, it is understood that the violation stems from an administrative act. Therefore, </w:t>
      </w:r>
      <w:r w:rsidRPr="00681940">
        <w:rPr>
          <w:color w:val="010000"/>
        </w:rPr>
        <w:t xml:space="preserve">in order to</w:t>
      </w:r>
      <w:r w:rsidRPr="00681940">
        <w:rPr>
          <w:color w:val="010000"/>
        </w:rPr>
        <w:t xml:space="preserve"> eliminate the consequences of the violation and </w:t>
      </w:r>
      <w:r w:rsidRPr="00681940">
        <w:rPr>
          <w:color w:val="010000"/>
        </w:rPr>
        <w:t xml:space="preserve">to satisfy the applicant's request for information</w:t>
      </w:r>
      <w:r w:rsidRPr="00681940">
        <w:rPr>
          <w:color w:val="010000"/>
        </w:rPr>
        <w:t xml:space="preserve">, </w:t>
      </w:r>
      <w:r w:rsidRPr="00681940">
        <w:rPr>
          <w:color w:val="010000"/>
        </w:rPr>
        <w:t xml:space="preserve">taking into account</w:t>
      </w:r>
      <w:r w:rsidRPr="00681940">
        <w:rPr>
          <w:color w:val="010000"/>
        </w:rPr>
        <w:t xml:space="preserve"> the decision of the Regional Administrative Court, </w:t>
      </w:r>
      <w:r w:rsidRPr="00681940">
        <w:rPr>
          <w:color w:val="010000"/>
        </w:rPr>
        <w:t xml:space="preserve">the decision must be sent to the General Directorate of Judicial Records and Statistics.</w:t>
      </w:r>
    </w:p>
    <w:p w:rsidRPr="00681940" w:rsidR="001624C3" w:rsidP="00681940" w:rsidRDefault="00FF3C6C">
      <w:pPr>
        <w:widowControl/>
        <w:suppressAutoHyphens w:val="0"/>
        <w:spacing w:after="200"/>
        <w:ind w:start="283" w:end="283" w:firstLine="567"/>
        <w:jc w:val="both"/>
        <w:rPr>
          <w:color w:val="010000"/>
        </w:rPr>
      </w:pPr>
      <w:r w:rsidRPr="00681940">
        <w:rPr>
          <w:color w:val="010000"/>
        </w:rPr>
        <w:t xml:space="preserve">35. </w:t>
      </w:r>
      <w:r w:rsidRPr="00681940">
        <w:rPr>
          <w:color w:val="010000"/>
        </w:rPr>
        <w:t xml:space="preserve">Furthermore, it is necessary to decide that the applicant be paid net 34,000 TL in moral damages.</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b/>
          <w:color w:val="010000"/>
        </w:rPr>
        <w:t xml:space="preserve">IV. </w:t>
      </w:r>
      <w:r w:rsidRPr="00681940">
        <w:rPr>
          <w:rFonts w:cs="Times New Roman"/>
          <w:b/>
          <w:color w:val="010000"/>
        </w:rPr>
        <w:t xml:space="preserve">JUDGMENT</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Based on the aforementioned reasons;</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A. </w:t>
      </w:r>
      <w:r w:rsidRPr="00681940">
        <w:rPr>
          <w:rFonts w:cs="Times New Roman"/>
          <w:color w:val="010000"/>
        </w:rPr>
        <w:t xml:space="preserve">The claim that freedom of expression has been violated is ADMISSIBLE,</w:t>
      </w:r>
    </w:p>
    <w:p w:rsidRPr="00681940" w:rsidR="001624C3" w:rsidP="00681940" w:rsidRDefault="00FF3C6C">
      <w:pPr>
        <w:pStyle w:val="edf1450279197849"/>
        <w:widowControl/>
        <w:suppressAutoHyphens w:val="0"/>
        <w:spacing w:after="200"/>
        <w:ind w:start="283" w:end="283" w:firstLine="567"/>
        <w:jc w:val="both"/>
        <w:rPr>
          <w:rFonts w:cs="Times New Roman"/>
          <w:color w:val="010000"/>
        </w:rPr>
      </w:pPr>
      <w:r w:rsidRPr="00681940">
        <w:rPr>
          <w:rFonts w:cs="Times New Roman"/>
          <w:color w:val="010000"/>
        </w:rPr>
        <w:t xml:space="preserve">B. </w:t>
      </w:r>
      <w:r w:rsidRPr="00681940">
        <w:rPr>
          <w:rFonts w:cs="Times New Roman"/>
          <w:color w:val="010000"/>
        </w:rPr>
        <w:t xml:space="preserve">That the freedom of expression guaranteed by Article 26 of the Constitution has been VIOLATED,</w:t>
      </w:r>
    </w:p>
    <w:p w:rsidRPr="00681940" w:rsidR="001624C3" w:rsidP="00681940" w:rsidRDefault="00FF3C6C">
      <w:pPr>
        <w:widowControl/>
        <w:suppressAutoHyphens w:val="0"/>
        <w:spacing w:after="200"/>
        <w:ind w:start="283" w:end="283" w:firstLine="567"/>
        <w:jc w:val="both"/>
        <w:rPr>
          <w:color w:val="010000"/>
        </w:rPr>
      </w:pPr>
      <w:r w:rsidRPr="00681940">
        <w:rPr>
          <w:color w:val="010000"/>
        </w:rPr>
        <w:t xml:space="preserve">C. </w:t>
      </w:r>
      <w:r w:rsidRPr="00681940">
        <w:rPr>
          <w:color w:val="010000"/>
        </w:rPr>
        <w:t xml:space="preserve">A copy of the decision shall be SENT to the General Directorate of Judicial Records and Statistics for the purpose of eliminating the consequences of the violation of freedom of expression,</w:t>
      </w:r>
    </w:p>
    <w:p w:rsidRPr="00681940" w:rsidR="001624C3" w:rsidP="00681940" w:rsidRDefault="00FF3C6C">
      <w:pPr>
        <w:widowControl/>
        <w:suppressAutoHyphens w:val="0"/>
        <w:spacing w:after="200"/>
        <w:ind w:start="283" w:end="283" w:firstLine="567"/>
        <w:jc w:val="both"/>
        <w:rPr>
          <w:color w:val="010000"/>
        </w:rPr>
      </w:pPr>
      <w:r w:rsidRPr="00681940">
        <w:rPr>
          <w:color w:val="010000"/>
        </w:rPr>
        <w:t xml:space="preserve">D. </w:t>
      </w:r>
      <w:r w:rsidRPr="00681940">
        <w:rPr>
          <w:color w:val="010000"/>
        </w:rPr>
        <w:t xml:space="preserve">That the applicant be paid a net amount of 34,000 TL in non-pecuniary damages,</w:t>
      </w:r>
    </w:p>
    <w:p w:rsidRPr="00681940" w:rsidR="001624C3" w:rsidP="00681940" w:rsidRDefault="00FF3C6C">
      <w:pPr>
        <w:widowControl/>
        <w:suppressAutoHyphens w:val="0"/>
        <w:spacing w:after="200"/>
        <w:ind w:start="283" w:end="283" w:firstLine="567"/>
        <w:jc w:val="both"/>
        <w:rPr>
          <w:color w:val="010000"/>
        </w:rPr>
      </w:pPr>
      <w:r w:rsidRPr="00681940">
        <w:rPr>
          <w:color w:val="010000"/>
        </w:rPr>
        <w:t xml:space="preserve">E. </w:t>
      </w:r>
      <w:r w:rsidRPr="00681940">
        <w:rPr>
          <w:color w:val="010000"/>
        </w:rPr>
        <w:t xml:space="preserve">The total litigation costs of 30,664.10 TL, consisting of 664.10 TL in fees and 30,000 TL in attorney's fees, shall be paid to the applicant,</w:t>
      </w:r>
    </w:p>
    <w:p w:rsidRPr="00681940" w:rsidR="001624C3" w:rsidP="00681940" w:rsidRDefault="00FF3C6C">
      <w:pPr>
        <w:widowControl/>
        <w:suppressAutoHyphens w:val="0"/>
        <w:spacing w:after="200"/>
        <w:ind w:start="283" w:end="283" w:firstLine="567"/>
        <w:jc w:val="both"/>
        <w:rPr>
          <w:color w:val="010000"/>
        </w:rPr>
      </w:pPr>
      <w:r w:rsidRPr="00681940">
        <w:rPr>
          <w:color w:val="010000"/>
        </w:rPr>
        <w:lastRenderedPageBreak/>
      </w:r>
      <w:r w:rsidRPr="00681940">
        <w:rPr>
          <w:color w:val="010000"/>
        </w:rPr>
        <w:t xml:space="preserve">F. </w:t>
      </w:r>
      <w:r w:rsidRPr="00681940">
        <w:rPr>
          <w:color w:val="010000"/>
        </w:rPr>
        <w:t xml:space="preserve">Payments shall be made within four months from the date of application to the Ministry of Treasury and Finance following notification of the decision. In the event of a delay in payment, statutory INTEREST SHALL BE APPLIED for the period from the date of expiry of this period to the date of payment.</w:t>
      </w:r>
    </w:p>
    <w:p w:rsidRPr="00681940" w:rsidR="001624C3" w:rsidP="00681940" w:rsidRDefault="00FF3C6C">
      <w:pPr>
        <w:widowControl/>
        <w:suppressAutoHyphens w:val="0"/>
        <w:spacing w:after="200"/>
        <w:ind w:start="283" w:end="283" w:firstLine="567"/>
        <w:jc w:val="both"/>
        <w:rPr>
          <w:color w:val="010000"/>
        </w:rPr>
      </w:pPr>
      <w:r w:rsidRPr="00681940">
        <w:rPr>
          <w:color w:val="010000"/>
        </w:rPr>
        <w:t xml:space="preserve">G. </w:t>
      </w:r>
      <w:r w:rsidRPr="00681940">
        <w:rPr>
          <w:color w:val="010000"/>
        </w:rPr>
        <w:t xml:space="preserve">A copy of the decision shall be SENT to the Ministry of Justice. It was decided unanimously on 2/7/2025.</w:t>
      </w:r>
    </w:p>
    <w:sectPr w:rsidRPr="00681940" w:rsidR="001624C3" w:rsidSect="00681940">
      <w:pgSz w:w="11906" w:h="16838"/>
      <w:pgMar w:top="976" w:right="1417" w:bottom="941" w:left="1417" w:header="400" w:footer="40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4C3" w:rsidRDefault="00FF3C6C">
      <w:r>
        <w:separator/>
      </w:r>
    </w:p>
  </w:endnote>
  <w:endnote w:type="continuationSeparator" w:id="0">
    <w:p w:rsidR="001624C3" w:rsidRDefault="00FF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ndale Sans UI">
    <w:altName w:val="Calibri"/>
    <w:charset w:val="A2"/>
    <w:family w:val="auto"/>
    <w:pitch w:val="variable"/>
  </w:font>
  <w:font w:name="Arial">
    <w:panose1 w:val="020B0604020202020204"/>
    <w:charset w:val="A2"/>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Dialog">
    <w:charset w:val="A2"/>
    <w:family w:val="auto"/>
    <w:pitch w:val="default"/>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4C3" w:rsidRDefault="00FF3C6C">
    <w:pPr>
      <w:pStyle w:val="AltBilgi"/>
      <w:jc w:val="right"/>
    </w:pPr>
    <w:r>
      <w:rPr>
        <w:color w:val="000000"/>
        <w:sz w:val="22"/>
      </w:rPr>
      <w:fldChar w:fldCharType="begin"/>
    </w:r>
    <w:r>
      <w:rPr>
        <w:color w:val="000000"/>
        <w:sz w:val="22"/>
      </w:rPr>
      <w:instrText xml:space="preserve"> PAGE </w:instrText>
    </w:r>
    <w:r>
      <w:rPr>
        <w:color w:val="000000"/>
        <w:sz w:val="22"/>
      </w:rPr>
      <w:fldChar w:fldCharType="separate"/>
    </w:r>
    <w:r>
      <w:rPr>
        <w:color w:val="000000"/>
        <w:sz w:val="22"/>
      </w:rPr>
      <w:t>10</w:t>
    </w:r>
    <w:r>
      <w:rPr>
        <w:color w:val="000000"/>
        <w:sz w:val="22"/>
      </w:rPr>
      <w:fldChar w:fldCharType="end"/>
    </w:r>
  </w:p>
  <w:p w:rsidR="001624C3" w:rsidRDefault="001624C3">
    <w:pPr>
      <w:pStyle w:val="AltBilgi"/>
      <w:spacing w:line="288"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4C3" w:rsidRDefault="00FF3C6C">
      <w:r>
        <w:separator/>
      </w:r>
    </w:p>
  </w:footnote>
  <w:footnote w:type="continuationSeparator" w:id="0">
    <w:p w:rsidR="001624C3" w:rsidRDefault="00FF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4C3" w:rsidRDefault="00FF3C6C">
    <w:pPr>
      <w:pStyle w:val="stBilgi"/>
      <w:tabs>
        <w:tab w:val="left" w:pos="2020"/>
      </w:tabs>
      <w:spacing w:line="288" w:lineRule="exact"/>
    </w:pPr>
    <w:r>
      <w:t xml:space="preserve">Application Number</w:t>
    </w:r>
    <w:r>
      <w:tab/>
    </w:r>
    <w:r>
      <w:t xml:space="preserve">: 2022/4380</w:t>
    </w:r>
  </w:p>
  <w:p w:rsidR="001624C3" w:rsidP="00681940" w:rsidRDefault="00FF3C6C">
    <w:pPr>
      <w:pStyle w:val="stBilgi"/>
      <w:tabs>
        <w:tab w:val="left" w:pos="2020"/>
      </w:tabs>
      <w:spacing w:line="288" w:lineRule="exact"/>
    </w:pPr>
    <w:r>
      <w:t xml:space="preserve">Decision Date</w:t>
    </w:r>
    <w:r>
      <w:tab/>
    </w:r>
    <w:r>
      <w:t xml:space="preserve">: 2/7/2025 </w:t>
    </w:r>
  </w:p>
  <w:p w:rsidR="00681940" w:rsidP="00681940" w:rsidRDefault="00681940">
    <w:pPr>
      <w:pStyle w:val="stBilgi"/>
      <w:tabs>
        <w:tab w:val="left" w:pos="2020"/>
      </w:tabs>
      <w:spacing w:line="288"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44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6C"/>
    <w:rsid w:val="001624C3"/>
    <w:rsid w:val="00681940"/>
    <w:rsid w:val="00FF3C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0E1AD8B5"/>
  <w15:chartTrackingRefBased/>
  <w15:docId w15:val="{03C39822-4B3C-4F21-B2B1-634A5EAA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Andale Sans UI"/>
      <w:kern w:val="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S PGothic" w:hAnsi="Arial" w:cs="Tahoma"/>
      <w:sz w:val="28"/>
      <w:szCs w:val="28"/>
    </w:rPr>
  </w:style>
  <w:style w:type="paragraph" w:styleId="GvdeMetni">
    <w:name w:val="Body Text"/>
    <w:basedOn w:val="Normal"/>
    <w:pPr>
      <w:spacing w:after="120"/>
    </w:pPr>
  </w:style>
  <w:style w:type="paragraph" w:styleId="KonuBal">
    <w:name w:val="Title"/>
    <w:basedOn w:val="Normal"/>
    <w:qFormat/>
    <w:pPr>
      <w:suppressLineNumbers/>
      <w:spacing w:before="120" w:after="120"/>
    </w:pPr>
    <w:rPr>
      <w:rFonts w:cs="Tahoma"/>
      <w:i/>
      <w:iCs/>
    </w:rPr>
  </w:style>
  <w:style w:type="paragraph" w:styleId="Altyaz">
    <w:name w:val="Subtitle"/>
    <w:basedOn w:val="KonuBal"/>
    <w:next w:val="GvdeMetni"/>
    <w:qFormat/>
    <w:pPr>
      <w:jc w:val="center"/>
    </w:pPr>
    <w:rPr>
      <w:sz w:val="28"/>
      <w:szCs w:val="28"/>
    </w:rPr>
  </w:style>
  <w:style w:type="paragraph" w:styleId="Liste">
    <w:name w:val="List"/>
    <w:basedOn w:val="GvdeMetni"/>
    <w:rPr>
      <w:rFonts w:cs="Tahoma"/>
    </w:rPr>
  </w:style>
  <w:style w:type="paragraph" w:customStyle="1" w:styleId="Dizin">
    <w:name w:val="Dizin"/>
    <w:basedOn w:val="Normal"/>
    <w:pPr>
      <w:suppressLineNumbers/>
    </w:pPr>
    <w:rPr>
      <w:rFonts w:cs="Tahoma"/>
    </w:rPr>
  </w:style>
  <w:style w:type="paragraph" w:customStyle="1" w:styleId="edf1393440552765">
    <w:name w:val="edf_1393440552765"/>
    <w:pPr>
      <w:widowControl w:val="0"/>
      <w:suppressAutoHyphens/>
    </w:pPr>
    <w:rPr>
      <w:rFonts w:eastAsia="Andale Sans UI" w:cs="Tahoma"/>
      <w:kern w:val="1"/>
      <w:sz w:val="24"/>
      <w:szCs w:val="24"/>
      <w:lang w:eastAsia="fa-IR" w:bidi="fa-IR"/>
    </w:rPr>
  </w:style>
  <w:style w:type="paragraph" w:customStyle="1" w:styleId="edf1502193073266">
    <w:name w:val="edf_1502193073266"/>
    <w:pPr>
      <w:widowControl w:val="0"/>
      <w:suppressAutoHyphens/>
    </w:pPr>
    <w:rPr>
      <w:rFonts w:eastAsia="Andale Sans UI" w:cs="Tahoma"/>
      <w:kern w:val="1"/>
      <w:sz w:val="24"/>
      <w:szCs w:val="24"/>
      <w:lang w:eastAsia="fa-IR" w:bidi="fa-IR"/>
    </w:rPr>
  </w:style>
  <w:style w:type="paragraph" w:customStyle="1" w:styleId="edf1393440766750">
    <w:name w:val="edf_1393440766750"/>
    <w:pPr>
      <w:widowControl w:val="0"/>
      <w:suppressAutoHyphens/>
    </w:pPr>
    <w:rPr>
      <w:rFonts w:eastAsia="Andale Sans UI" w:cs="Tahoma"/>
      <w:kern w:val="1"/>
      <w:sz w:val="24"/>
      <w:szCs w:val="24"/>
      <w:lang w:eastAsia="fa-IR" w:bidi="fa-IR"/>
    </w:rPr>
  </w:style>
  <w:style w:type="paragraph" w:customStyle="1" w:styleId="edf1419594272479">
    <w:name w:val="edf_1419594272479"/>
    <w:pPr>
      <w:widowControl w:val="0"/>
      <w:suppressAutoHyphens/>
    </w:pPr>
    <w:rPr>
      <w:rFonts w:eastAsia="Andale Sans UI" w:cs="Tahoma"/>
      <w:kern w:val="1"/>
      <w:sz w:val="24"/>
      <w:szCs w:val="24"/>
      <w:lang w:eastAsia="fa-IR" w:bidi="fa-IR"/>
    </w:rPr>
  </w:style>
  <w:style w:type="paragraph" w:customStyle="1" w:styleId="edf1393440831590">
    <w:name w:val="edf_1393440831590"/>
    <w:pPr>
      <w:widowControl w:val="0"/>
      <w:suppressAutoHyphens/>
    </w:pPr>
    <w:rPr>
      <w:rFonts w:eastAsia="Andale Sans UI" w:cs="Tahoma"/>
      <w:kern w:val="1"/>
      <w:sz w:val="24"/>
      <w:szCs w:val="24"/>
      <w:lang w:eastAsia="fa-IR" w:bidi="fa-IR"/>
    </w:rPr>
  </w:style>
  <w:style w:type="paragraph" w:customStyle="1" w:styleId="edf1450279197849">
    <w:name w:val="edf_1450279197849"/>
    <w:pPr>
      <w:widowControl w:val="0"/>
      <w:suppressAutoHyphens/>
    </w:pPr>
    <w:rPr>
      <w:rFonts w:eastAsia="Andale Sans UI" w:cs="Tahoma"/>
      <w:kern w:val="1"/>
      <w:sz w:val="24"/>
      <w:szCs w:val="24"/>
      <w:lang w:eastAsia="fa-IR" w:bidi="fa-IR"/>
    </w:rPr>
  </w:style>
  <w:style w:type="paragraph" w:customStyle="1" w:styleId="default">
    <w:name w:val="default"/>
    <w:pPr>
      <w:widowControl w:val="0"/>
      <w:suppressAutoHyphens/>
    </w:pPr>
    <w:rPr>
      <w:rFonts w:ascii="Dialog" w:eastAsia="Andale Sans UI" w:hAnsi="Dialog" w:cs="Tahoma"/>
      <w:color w:val="333333"/>
      <w:kern w:val="1"/>
      <w:sz w:val="24"/>
      <w:szCs w:val="24"/>
      <w:lang w:eastAsia="fa-IR" w:bidi="fa-IR"/>
    </w:rPr>
  </w:style>
  <w:style w:type="paragraph" w:customStyle="1" w:styleId="edf1430655924914">
    <w:name w:val="edf_1430655924914"/>
    <w:pPr>
      <w:widowControl w:val="0"/>
      <w:suppressAutoHyphens/>
    </w:pPr>
    <w:rPr>
      <w:rFonts w:eastAsia="Andale Sans UI" w:cs="Tahoma"/>
      <w:kern w:val="1"/>
      <w:sz w:val="24"/>
      <w:szCs w:val="24"/>
      <w:lang w:eastAsia="fa-IR" w:bidi="fa-IR"/>
    </w:rPr>
  </w:style>
  <w:style w:type="paragraph" w:customStyle="1" w:styleId="edf1511959760111">
    <w:name w:val="edf_1511959760111"/>
    <w:pPr>
      <w:widowControl w:val="0"/>
      <w:suppressAutoHyphens/>
    </w:pPr>
    <w:rPr>
      <w:rFonts w:eastAsia="Andale Sans UI" w:cs="Tahoma"/>
      <w:kern w:val="1"/>
      <w:sz w:val="24"/>
      <w:szCs w:val="24"/>
      <w:lang w:eastAsia="fa-IR" w:bidi="fa-IR"/>
    </w:rPr>
  </w:style>
  <w:style w:type="paragraph" w:customStyle="1" w:styleId="edf1391432591385">
    <w:name w:val="edf_1391432591385"/>
    <w:pPr>
      <w:widowControl w:val="0"/>
      <w:suppressAutoHyphens/>
    </w:pPr>
    <w:rPr>
      <w:rFonts w:eastAsia="Andale Sans UI" w:cs="Tahoma"/>
      <w:kern w:val="1"/>
      <w:sz w:val="24"/>
      <w:szCs w:val="24"/>
      <w:lang w:eastAsia="fa-IR" w:bidi="fa-IR"/>
    </w:rPr>
  </w:style>
  <w:style w:type="paragraph" w:customStyle="1" w:styleId="edf1449419213507">
    <w:name w:val="edf_1449419213507"/>
    <w:pPr>
      <w:widowControl w:val="0"/>
      <w:suppressAutoHyphens/>
    </w:pPr>
    <w:rPr>
      <w:rFonts w:eastAsia="Andale Sans UI" w:cs="Tahoma"/>
      <w:kern w:val="1"/>
      <w:sz w:val="24"/>
      <w:szCs w:val="24"/>
      <w:lang w:eastAsia="fa-IR" w:bidi="fa-IR"/>
    </w:rPr>
  </w:style>
  <w:style w:type="paragraph" w:customStyle="1" w:styleId="edf1447254221507">
    <w:name w:val="edf_1447254221507"/>
    <w:pPr>
      <w:widowControl w:val="0"/>
      <w:suppressAutoHyphens/>
    </w:pPr>
    <w:rPr>
      <w:rFonts w:eastAsia="Andale Sans UI" w:cs="Tahoma"/>
      <w:kern w:val="1"/>
      <w:sz w:val="24"/>
      <w:szCs w:val="24"/>
      <w:lang w:eastAsia="fa-IR" w:bidi="fa-IR"/>
    </w:rPr>
  </w:style>
  <w:style w:type="paragraph" w:customStyle="1" w:styleId="edf1634653588328">
    <w:name w:val="edf_1634653588328"/>
    <w:pPr>
      <w:widowControl w:val="0"/>
      <w:suppressAutoHyphens/>
    </w:pPr>
    <w:rPr>
      <w:rFonts w:eastAsia="Andale Sans UI" w:cs="Tahoma"/>
      <w:kern w:val="1"/>
      <w:sz w:val="24"/>
      <w:szCs w:val="24"/>
      <w:lang w:eastAsia="fa-IR" w:bidi="fa-IR"/>
    </w:rPr>
  </w:style>
  <w:style w:type="paragraph" w:customStyle="1" w:styleId="edf1450279197847">
    <w:name w:val="edf_1450279197847"/>
    <w:pPr>
      <w:widowControl w:val="0"/>
      <w:suppressAutoHyphens/>
    </w:pPr>
    <w:rPr>
      <w:rFonts w:eastAsia="Andale Sans UI" w:cs="Tahoma"/>
      <w:kern w:val="1"/>
      <w:sz w:val="24"/>
      <w:szCs w:val="24"/>
      <w:lang w:eastAsia="fa-IR" w:bidi="fa-IR"/>
    </w:rPr>
  </w:style>
  <w:style w:type="paragraph" w:customStyle="1" w:styleId="hvl-default">
    <w:name w:val="hvl-default"/>
    <w:pPr>
      <w:widowControl w:val="0"/>
      <w:suppressAutoHyphens/>
    </w:pPr>
    <w:rPr>
      <w:rFonts w:eastAsia="Andale Sans UI" w:cs="Tahoma"/>
      <w:kern w:val="1"/>
      <w:sz w:val="24"/>
      <w:szCs w:val="24"/>
      <w:lang w:eastAsia="fa-IR" w:bidi="fa-IR"/>
    </w:rPr>
  </w:style>
  <w:style w:type="paragraph" w:customStyle="1" w:styleId="edf1430656170103">
    <w:name w:val="edf_1430656170103"/>
    <w:pPr>
      <w:widowControl w:val="0"/>
      <w:suppressAutoHyphens/>
    </w:pPr>
    <w:rPr>
      <w:rFonts w:eastAsia="Andale Sans UI" w:cs="Tahoma"/>
      <w:kern w:val="1"/>
      <w:sz w:val="24"/>
      <w:szCs w:val="24"/>
      <w:lang w:eastAsia="fa-IR" w:bidi="fa-IR"/>
    </w:rPr>
  </w:style>
  <w:style w:type="paragraph" w:customStyle="1" w:styleId="edf1394616296584">
    <w:name w:val="edf_1394616296584"/>
    <w:pPr>
      <w:widowControl w:val="0"/>
      <w:suppressAutoHyphens/>
    </w:pPr>
    <w:rPr>
      <w:rFonts w:eastAsia="Andale Sans UI" w:cs="Tahoma"/>
      <w:kern w:val="1"/>
      <w:sz w:val="24"/>
      <w:szCs w:val="24"/>
      <w:lang w:eastAsia="fa-IR" w:bidi="fa-IR"/>
    </w:rPr>
  </w:style>
  <w:style w:type="paragraph" w:customStyle="1" w:styleId="edf1419597503565">
    <w:name w:val="edf_1419597503565"/>
    <w:pPr>
      <w:widowControl w:val="0"/>
      <w:suppressAutoHyphens/>
    </w:pPr>
    <w:rPr>
      <w:rFonts w:eastAsia="Andale Sans UI" w:cs="Tahoma"/>
      <w:kern w:val="1"/>
      <w:sz w:val="24"/>
      <w:szCs w:val="24"/>
      <w:lang w:eastAsia="fa-IR" w:bidi="fa-IR"/>
    </w:rPr>
  </w:style>
  <w:style w:type="paragraph" w:customStyle="1" w:styleId="edf1571989668670">
    <w:name w:val="edf_1571989668670"/>
    <w:pPr>
      <w:widowControl w:val="0"/>
      <w:suppressAutoHyphens/>
    </w:pPr>
    <w:rPr>
      <w:rFonts w:eastAsia="Andale Sans UI" w:cs="Tahoma"/>
      <w:kern w:val="1"/>
      <w:sz w:val="24"/>
      <w:szCs w:val="24"/>
      <w:lang w:eastAsia="fa-IR" w:bidi="fa-IR"/>
    </w:rPr>
  </w:style>
  <w:style w:type="paragraph" w:customStyle="1" w:styleId="edf1561011580686">
    <w:name w:val="edf_1561011580686"/>
    <w:pPr>
      <w:widowControl w:val="0"/>
      <w:suppressAutoHyphens/>
    </w:pPr>
    <w:rPr>
      <w:rFonts w:eastAsia="Andale Sans UI" w:cs="Tahoma"/>
      <w:kern w:val="1"/>
      <w:sz w:val="24"/>
      <w:szCs w:val="24"/>
      <w:lang w:eastAsia="fa-IR" w:bidi="fa-IR"/>
    </w:rPr>
  </w:style>
  <w:style w:type="paragraph" w:styleId="stBilgi">
    <w:name w:val="header"/>
    <w:pPr>
      <w:widowControl w:val="0"/>
      <w:suppressAutoHyphens/>
    </w:pPr>
    <w:rPr>
      <w:rFonts w:eastAsia="Andale Sans UI" w:cs="Tahoma"/>
      <w:kern w:val="1"/>
      <w:sz w:val="24"/>
      <w:szCs w:val="24"/>
      <w:lang w:eastAsia="fa-IR" w:bidi="fa-IR"/>
    </w:rPr>
  </w:style>
  <w:style w:type="paragraph" w:styleId="AltBilgi">
    <w:name w:val="footer"/>
    <w:pPr>
      <w:widowControl w:val="0"/>
      <w:suppressAutoHyphens/>
    </w:pPr>
    <w:rPr>
      <w:rFonts w:eastAsia="Andale Sans UI" w:cs="Tahoma"/>
      <w:kern w:val="1"/>
      <w:sz w:val="24"/>
      <w:szCs w:val="24"/>
      <w:lang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4331</Words>
  <Characters>24692</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 KAVUN</dc:creator>
  <keywords>, docId:3B125E828B675DA13E9C760518FE1653</keywords>
  <lastModifiedBy>Sibel YÖNDEM</lastModifiedBy>
  <revision>3</revision>
  <lastPrinted>1899-12-31T21:00:00.0000000Z</lastPrinted>
  <dcterms:created xsi:type="dcterms:W3CDTF">2025-11-04T06:35:00.0000000Z</dcterms:created>
  <dcterms:modified xsi:type="dcterms:W3CDTF">2025-11-05T07:32:00.0000000Z</dcterms:modified>
</coreProperties>
</file>