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165C15" w14:paraId="5FE5C675" w14:textId="77777777" w:rsidTr="00CA1AEA">
        <w:trPr>
          <w:cantSplit/>
          <w:trHeight w:hRule="exact" w:val="851"/>
        </w:trPr>
        <w:tc>
          <w:tcPr>
            <w:tcW w:w="1276" w:type="dxa"/>
            <w:tcBorders>
              <w:bottom w:val="single" w:sz="4" w:space="0" w:color="auto"/>
            </w:tcBorders>
            <w:vAlign w:val="bottom"/>
          </w:tcPr>
          <w:p w14:paraId="6485F0E6" w14:textId="77777777" w:rsidR="00165C15" w:rsidRPr="00A00187" w:rsidRDefault="00165C15" w:rsidP="00CA1AEA">
            <w:pPr>
              <w:spacing w:after="80"/>
              <w:rPr>
                <w:lang w:val="ru-RU"/>
              </w:rPr>
            </w:pPr>
          </w:p>
        </w:tc>
        <w:tc>
          <w:tcPr>
            <w:tcW w:w="2268" w:type="dxa"/>
            <w:tcBorders>
              <w:bottom w:val="single" w:sz="4" w:space="0" w:color="auto"/>
            </w:tcBorders>
            <w:vAlign w:val="bottom"/>
          </w:tcPr>
          <w:p w14:paraId="017783F2" w14:textId="05CCA2A2" w:rsidR="00165C15" w:rsidRPr="00B97172" w:rsidRDefault="00165C15" w:rsidP="00CA1AEA">
            <w:pPr>
              <w:spacing w:after="80" w:line="300" w:lineRule="exact"/>
              <w:rPr>
                <w:b/>
                <w:sz w:val="24"/>
                <w:szCs w:val="24"/>
              </w:rPr>
            </w:pPr>
          </w:p>
        </w:tc>
        <w:tc>
          <w:tcPr>
            <w:tcW w:w="6095" w:type="dxa"/>
            <w:gridSpan w:val="2"/>
            <w:tcBorders>
              <w:bottom w:val="single" w:sz="4" w:space="0" w:color="auto"/>
            </w:tcBorders>
            <w:vAlign w:val="bottom"/>
          </w:tcPr>
          <w:p w14:paraId="610D8CF7" w14:textId="1687E530" w:rsidR="00165C15" w:rsidRPr="00D734A0" w:rsidRDefault="00342D59" w:rsidP="00D71750">
            <w:pPr>
              <w:suppressAutoHyphens w:val="0"/>
              <w:spacing w:after="20"/>
              <w:jc w:val="right"/>
              <w:rPr>
                <w:lang w:val="ru-RU"/>
              </w:rPr>
            </w:pPr>
            <w:r w:rsidRPr="00342D59">
              <w:rPr>
                <w:sz w:val="40"/>
              </w:rPr>
              <w:t>CCPR</w:t>
            </w:r>
            <w:r>
              <w:t>/C/</w:t>
            </w:r>
            <w:r w:rsidR="002E7C38">
              <w:t>1</w:t>
            </w:r>
            <w:r w:rsidR="00F35859">
              <w:t>4</w:t>
            </w:r>
            <w:r w:rsidR="00BC7B73">
              <w:t>3</w:t>
            </w:r>
            <w:r>
              <w:t>/</w:t>
            </w:r>
            <w:r w:rsidRPr="00676B08">
              <w:t>D/</w:t>
            </w:r>
            <w:r w:rsidR="003D2896">
              <w:rPr>
                <w:lang w:val="en-US"/>
              </w:rPr>
              <w:t>3054</w:t>
            </w:r>
            <w:r w:rsidRPr="00676B08">
              <w:t>/</w:t>
            </w:r>
            <w:r w:rsidR="002E7C38" w:rsidRPr="00676B08">
              <w:t>201</w:t>
            </w:r>
            <w:r w:rsidR="003D2896">
              <w:t>7</w:t>
            </w:r>
          </w:p>
        </w:tc>
      </w:tr>
      <w:tr w:rsidR="00165C15" w14:paraId="44FE5AA9" w14:textId="77777777" w:rsidTr="00CA1AEA">
        <w:trPr>
          <w:cantSplit/>
          <w:trHeight w:hRule="exact" w:val="2835"/>
        </w:trPr>
        <w:tc>
          <w:tcPr>
            <w:tcW w:w="1276" w:type="dxa"/>
            <w:tcBorders>
              <w:top w:val="single" w:sz="4" w:space="0" w:color="auto"/>
              <w:bottom w:val="single" w:sz="12" w:space="0" w:color="auto"/>
            </w:tcBorders>
          </w:tcPr>
          <w:p w14:paraId="0CFB5CEF" w14:textId="76702F16" w:rsidR="00165C15" w:rsidRDefault="00165C15" w:rsidP="00CA1AEA">
            <w:pPr>
              <w:spacing w:before="120"/>
            </w:pPr>
          </w:p>
        </w:tc>
        <w:tc>
          <w:tcPr>
            <w:tcW w:w="5528" w:type="dxa"/>
            <w:gridSpan w:val="2"/>
            <w:tcBorders>
              <w:top w:val="single" w:sz="4" w:space="0" w:color="auto"/>
              <w:bottom w:val="single" w:sz="12" w:space="0" w:color="auto"/>
            </w:tcBorders>
          </w:tcPr>
          <w:p w14:paraId="1BF4E03A" w14:textId="2C44AB94" w:rsidR="00165C15" w:rsidRDefault="00165C15" w:rsidP="00CA1AEA">
            <w:pPr>
              <w:spacing w:before="120" w:line="380" w:lineRule="exact"/>
              <w:rPr>
                <w:b/>
                <w:sz w:val="34"/>
                <w:szCs w:val="40"/>
              </w:rPr>
            </w:pPr>
          </w:p>
          <w:p w14:paraId="6D075E5A" w14:textId="77777777" w:rsidR="00874BBB" w:rsidRDefault="00874BBB" w:rsidP="00CA1AEA">
            <w:pPr>
              <w:spacing w:before="120" w:line="380" w:lineRule="exact"/>
              <w:rPr>
                <w:b/>
                <w:sz w:val="34"/>
                <w:szCs w:val="40"/>
              </w:rPr>
            </w:pPr>
          </w:p>
          <w:p w14:paraId="094D3C79" w14:textId="01FFC543" w:rsidR="00E510D2" w:rsidRDefault="00E510D2" w:rsidP="00CA1AEA">
            <w:pPr>
              <w:spacing w:before="120" w:line="380" w:lineRule="exact"/>
              <w:rPr>
                <w:b/>
                <w:sz w:val="34"/>
                <w:szCs w:val="40"/>
              </w:rPr>
            </w:pPr>
            <w:r w:rsidRPr="00481B6E">
              <w:rPr>
                <w:b/>
                <w:sz w:val="34"/>
              </w:rPr>
              <w:t>Advance unedited version</w:t>
            </w:r>
          </w:p>
          <w:p w14:paraId="2228FBEA" w14:textId="7AD036EC" w:rsidR="00874BBB" w:rsidRPr="00903764" w:rsidRDefault="00874BBB" w:rsidP="00CA1AEA">
            <w:pPr>
              <w:spacing w:before="120" w:line="380" w:lineRule="exact"/>
              <w:rPr>
                <w:sz w:val="34"/>
                <w:lang w:val="en-US"/>
              </w:rPr>
            </w:pPr>
          </w:p>
        </w:tc>
        <w:tc>
          <w:tcPr>
            <w:tcW w:w="2835" w:type="dxa"/>
            <w:tcBorders>
              <w:top w:val="single" w:sz="4" w:space="0" w:color="auto"/>
              <w:bottom w:val="single" w:sz="12" w:space="0" w:color="auto"/>
            </w:tcBorders>
          </w:tcPr>
          <w:p w14:paraId="1955179A" w14:textId="1FAAAE66" w:rsidR="00165C15" w:rsidRDefault="00342D59" w:rsidP="00342D59">
            <w:pPr>
              <w:suppressAutoHyphens w:val="0"/>
              <w:spacing w:before="240"/>
            </w:pPr>
            <w:r>
              <w:t xml:space="preserve">Distr.: </w:t>
            </w:r>
            <w:r w:rsidR="00CB446E">
              <w:t>General</w:t>
            </w:r>
          </w:p>
          <w:p w14:paraId="70772F62" w14:textId="51F2061D" w:rsidR="00342D59" w:rsidRPr="00700D36" w:rsidRDefault="00CB446E" w:rsidP="00342D59">
            <w:pPr>
              <w:suppressAutoHyphens w:val="0"/>
            </w:pPr>
            <w:r>
              <w:t xml:space="preserve">17 </w:t>
            </w:r>
            <w:r w:rsidR="00B21DA2">
              <w:t>March</w:t>
            </w:r>
            <w:r w:rsidR="00765CFC" w:rsidRPr="00700D36">
              <w:t xml:space="preserve"> </w:t>
            </w:r>
            <w:r w:rsidR="00B21DA2" w:rsidRPr="00700D36">
              <w:t>202</w:t>
            </w:r>
            <w:r w:rsidR="00B21DA2">
              <w:t>5</w:t>
            </w:r>
          </w:p>
          <w:p w14:paraId="2761A489" w14:textId="77777777" w:rsidR="00342D59" w:rsidRPr="00700D36" w:rsidRDefault="00342D59" w:rsidP="00342D59">
            <w:pPr>
              <w:suppressAutoHyphens w:val="0"/>
            </w:pPr>
          </w:p>
          <w:p w14:paraId="2BE0A069" w14:textId="77777777" w:rsidR="00342D59" w:rsidRDefault="00342D59" w:rsidP="00342D59">
            <w:pPr>
              <w:suppressAutoHyphens w:val="0"/>
            </w:pPr>
            <w:r>
              <w:t>Original: English</w:t>
            </w:r>
          </w:p>
          <w:p w14:paraId="67F1DED4" w14:textId="4CE16D43" w:rsidR="000E1C4E" w:rsidRDefault="000E1C4E" w:rsidP="00342D59">
            <w:pPr>
              <w:suppressAutoHyphens w:val="0"/>
            </w:pPr>
          </w:p>
        </w:tc>
      </w:tr>
    </w:tbl>
    <w:p w14:paraId="217E8C83" w14:textId="77777777" w:rsidR="00D43B04" w:rsidRDefault="00D43B04" w:rsidP="00D43B04">
      <w:pPr>
        <w:spacing w:before="120"/>
        <w:rPr>
          <w:b/>
          <w:bCs/>
          <w:sz w:val="24"/>
        </w:rPr>
      </w:pPr>
      <w:r w:rsidRPr="007E2028">
        <w:rPr>
          <w:b/>
          <w:bCs/>
          <w:sz w:val="24"/>
        </w:rPr>
        <w:t>Human Rights Committee</w:t>
      </w:r>
    </w:p>
    <w:p w14:paraId="63E984F5" w14:textId="7664B8EA" w:rsidR="002E7C38" w:rsidRPr="00984056" w:rsidRDefault="002E7C38" w:rsidP="002E7C38"/>
    <w:p w14:paraId="2A9CD759" w14:textId="32E19810" w:rsidR="00D43B04" w:rsidRPr="008E4465" w:rsidRDefault="00D43B04" w:rsidP="009A7626">
      <w:pPr>
        <w:pStyle w:val="HChG"/>
        <w:rPr>
          <w:lang w:val="en-US"/>
        </w:rPr>
      </w:pPr>
      <w:r w:rsidRPr="00676B08">
        <w:tab/>
      </w:r>
      <w:r w:rsidRPr="00676B08">
        <w:tab/>
      </w:r>
      <w:r w:rsidR="00947686" w:rsidRPr="008464D0">
        <w:t xml:space="preserve">Views adopted by the Committee under article 5 (4) of the Optional Protocol, concerning </w:t>
      </w:r>
      <w:r w:rsidR="00947686">
        <w:t>c</w:t>
      </w:r>
      <w:r w:rsidRPr="00676B08">
        <w:t xml:space="preserve">ommunication No. </w:t>
      </w:r>
      <w:r w:rsidR="003D2896">
        <w:t>3054</w:t>
      </w:r>
      <w:r w:rsidR="00500C3F" w:rsidRPr="00676B08">
        <w:t>/201</w:t>
      </w:r>
      <w:r w:rsidR="003D2896">
        <w:t>7</w:t>
      </w:r>
      <w:r w:rsidR="00B61474" w:rsidRPr="00CB4AC3">
        <w:rPr>
          <w:rStyle w:val="FootnoteReference"/>
          <w:sz w:val="20"/>
          <w:vertAlign w:val="baseline"/>
        </w:rPr>
        <w:footnoteReference w:customMarkFollows="1" w:id="2"/>
        <w:t>*</w:t>
      </w:r>
      <w:r w:rsidR="00B61474" w:rsidRPr="00CB4AC3">
        <w:rPr>
          <w:sz w:val="20"/>
          <w:vertAlign w:val="superscript"/>
        </w:rPr>
        <w:t>,</w:t>
      </w:r>
      <w:r w:rsidR="00B61474" w:rsidRPr="00CB4AC3">
        <w:rPr>
          <w:rStyle w:val="FootnoteReference"/>
          <w:sz w:val="20"/>
          <w:vertAlign w:val="baseline"/>
        </w:rPr>
        <w:footnoteReference w:customMarkFollows="1" w:id="3"/>
        <w:t>**</w:t>
      </w:r>
    </w:p>
    <w:p w14:paraId="2F6E4C7B" w14:textId="7A9898A4" w:rsidR="00AE7DAA" w:rsidRPr="00266F35" w:rsidRDefault="00AE7DAA" w:rsidP="00D66BCD">
      <w:pPr>
        <w:pStyle w:val="SingleTxtG"/>
        <w:ind w:left="4536" w:hanging="3402"/>
        <w:jc w:val="left"/>
        <w:rPr>
          <w:lang w:val="en-US"/>
        </w:rPr>
      </w:pPr>
      <w:r w:rsidRPr="00676B08">
        <w:rPr>
          <w:i/>
        </w:rPr>
        <w:t>Communication submitted by:</w:t>
      </w:r>
      <w:r w:rsidRPr="00676B08">
        <w:rPr>
          <w:i/>
        </w:rPr>
        <w:tab/>
      </w:r>
      <w:r w:rsidR="0085531D">
        <w:t xml:space="preserve">Pavel </w:t>
      </w:r>
      <w:proofErr w:type="spellStart"/>
      <w:r w:rsidR="0085531D">
        <w:t>Tolmachev</w:t>
      </w:r>
      <w:proofErr w:type="spellEnd"/>
      <w:r w:rsidR="0085531D">
        <w:t xml:space="preserve"> (represented by counsel, Sergei </w:t>
      </w:r>
      <w:proofErr w:type="spellStart"/>
      <w:r w:rsidR="0085531D">
        <w:t>Podu</w:t>
      </w:r>
      <w:r w:rsidR="007E058C">
        <w:t>zov</w:t>
      </w:r>
      <w:proofErr w:type="spellEnd"/>
      <w:r w:rsidR="007E058C">
        <w:t>)</w:t>
      </w:r>
    </w:p>
    <w:p w14:paraId="3578DCBB" w14:textId="7EFDDC68" w:rsidR="00AE7DAA" w:rsidRPr="00676B08" w:rsidRDefault="00AE7DAA" w:rsidP="00D66BCD">
      <w:pPr>
        <w:pStyle w:val="SingleTxtG"/>
        <w:ind w:left="4536" w:hanging="3402"/>
        <w:jc w:val="left"/>
        <w:rPr>
          <w:iCs/>
        </w:rPr>
      </w:pPr>
      <w:r w:rsidRPr="00676B08">
        <w:rPr>
          <w:i/>
        </w:rPr>
        <w:t>Alleged victim:</w:t>
      </w:r>
      <w:r w:rsidRPr="00676B08">
        <w:rPr>
          <w:i/>
        </w:rPr>
        <w:tab/>
      </w:r>
      <w:r w:rsidRPr="00676B08">
        <w:t>The author</w:t>
      </w:r>
    </w:p>
    <w:p w14:paraId="78B8C7CC" w14:textId="26CC319C" w:rsidR="00AE7DAA" w:rsidRPr="00676B08" w:rsidRDefault="00AE7DAA" w:rsidP="00D66BCD">
      <w:pPr>
        <w:pStyle w:val="SingleTxtG"/>
        <w:ind w:left="4536" w:hanging="3402"/>
        <w:jc w:val="left"/>
      </w:pPr>
      <w:r w:rsidRPr="00676B08">
        <w:rPr>
          <w:i/>
        </w:rPr>
        <w:t>State party:</w:t>
      </w:r>
      <w:r w:rsidRPr="00676B08">
        <w:rPr>
          <w:i/>
        </w:rPr>
        <w:tab/>
      </w:r>
      <w:r w:rsidR="00D71750">
        <w:t>Russian Federation</w:t>
      </w:r>
    </w:p>
    <w:p w14:paraId="63D5E374" w14:textId="3D59643F" w:rsidR="00AE7DAA" w:rsidRPr="00676B08" w:rsidRDefault="00AE7DAA" w:rsidP="00D66BCD">
      <w:pPr>
        <w:pStyle w:val="SingleTxtG"/>
        <w:ind w:left="4536" w:hanging="3402"/>
        <w:jc w:val="left"/>
      </w:pPr>
      <w:r w:rsidRPr="00676B08">
        <w:rPr>
          <w:i/>
        </w:rPr>
        <w:t>Date of communication:</w:t>
      </w:r>
      <w:r w:rsidRPr="00676B08">
        <w:rPr>
          <w:i/>
        </w:rPr>
        <w:tab/>
      </w:r>
      <w:r w:rsidR="00F35859">
        <w:t>1</w:t>
      </w:r>
      <w:r w:rsidR="007E058C">
        <w:t xml:space="preserve"> June</w:t>
      </w:r>
      <w:r w:rsidR="00500C3F" w:rsidRPr="00676B08">
        <w:t xml:space="preserve"> 20</w:t>
      </w:r>
      <w:r w:rsidR="00266F35">
        <w:t>1</w:t>
      </w:r>
      <w:r w:rsidR="007E058C">
        <w:t>7</w:t>
      </w:r>
      <w:r w:rsidRPr="00676B08">
        <w:t xml:space="preserve"> (initial submission)</w:t>
      </w:r>
    </w:p>
    <w:p w14:paraId="1F83CD35" w14:textId="53849A6E" w:rsidR="00AE7DAA" w:rsidRPr="00676B08" w:rsidRDefault="00AE7DAA" w:rsidP="00D66BCD">
      <w:pPr>
        <w:pStyle w:val="SingleTxtG"/>
        <w:ind w:left="4536" w:hanging="3402"/>
        <w:jc w:val="left"/>
      </w:pPr>
      <w:r w:rsidRPr="00676B08">
        <w:rPr>
          <w:i/>
        </w:rPr>
        <w:t>Document references:</w:t>
      </w:r>
      <w:r w:rsidRPr="00676B08">
        <w:rPr>
          <w:i/>
        </w:rPr>
        <w:tab/>
      </w:r>
      <w:r w:rsidRPr="00676B08">
        <w:t xml:space="preserve">Decision taken pursuant to rule 92 of the Committee’s rules of procedure, transmitted to the State party on </w:t>
      </w:r>
      <w:r w:rsidR="00F35859">
        <w:t>2</w:t>
      </w:r>
      <w:r w:rsidR="00706B2D">
        <w:t>8 November</w:t>
      </w:r>
      <w:r w:rsidR="00500C3F" w:rsidRPr="00676B08">
        <w:t xml:space="preserve"> 201</w:t>
      </w:r>
      <w:r w:rsidR="007E058C">
        <w:t>7</w:t>
      </w:r>
      <w:r w:rsidRPr="00676B08">
        <w:t xml:space="preserve"> (not issued in</w:t>
      </w:r>
      <w:r w:rsidR="00D66BCD" w:rsidRPr="00676B08">
        <w:t xml:space="preserve"> </w:t>
      </w:r>
      <w:r w:rsidRPr="00676B08">
        <w:t>document form)</w:t>
      </w:r>
    </w:p>
    <w:p w14:paraId="1E642B98" w14:textId="015D1EC5" w:rsidR="00AE7DAA" w:rsidRPr="00F35859" w:rsidRDefault="00AE7DAA" w:rsidP="00D66BCD">
      <w:pPr>
        <w:pStyle w:val="SingleTxtG"/>
        <w:ind w:left="4536" w:hanging="3402"/>
        <w:jc w:val="left"/>
        <w:rPr>
          <w:iCs/>
        </w:rPr>
      </w:pPr>
      <w:r w:rsidRPr="00676B08">
        <w:rPr>
          <w:i/>
        </w:rPr>
        <w:t>Date of adoption of Views</w:t>
      </w:r>
      <w:r w:rsidR="00B61505" w:rsidRPr="00676B08">
        <w:rPr>
          <w:i/>
        </w:rPr>
        <w:t>:</w:t>
      </w:r>
      <w:r w:rsidR="00B61505">
        <w:rPr>
          <w:i/>
        </w:rPr>
        <w:tab/>
      </w:r>
      <w:r w:rsidR="00D4002C" w:rsidRPr="00D4002C">
        <w:rPr>
          <w:iCs/>
          <w:lang w:val="en-US"/>
        </w:rPr>
        <w:t>17</w:t>
      </w:r>
      <w:r w:rsidR="00F35859">
        <w:rPr>
          <w:iCs/>
        </w:rPr>
        <w:t xml:space="preserve"> </w:t>
      </w:r>
      <w:r w:rsidR="00706B2D">
        <w:rPr>
          <w:iCs/>
        </w:rPr>
        <w:t>March</w:t>
      </w:r>
      <w:r w:rsidR="00F35859">
        <w:rPr>
          <w:iCs/>
        </w:rPr>
        <w:t xml:space="preserve"> 202</w:t>
      </w:r>
      <w:r w:rsidR="00706B2D">
        <w:rPr>
          <w:iCs/>
        </w:rPr>
        <w:t>5</w:t>
      </w:r>
    </w:p>
    <w:p w14:paraId="03E928AF" w14:textId="4C92694B" w:rsidR="00AE7DAA" w:rsidRPr="00267A2B" w:rsidRDefault="00AE7DAA" w:rsidP="00D66BCD">
      <w:pPr>
        <w:pStyle w:val="SingleTxtG"/>
        <w:ind w:left="4536" w:hanging="3402"/>
        <w:jc w:val="left"/>
      </w:pPr>
      <w:r w:rsidRPr="00676B08">
        <w:rPr>
          <w:i/>
          <w:iCs/>
        </w:rPr>
        <w:t>Subject matter:</w:t>
      </w:r>
      <w:r w:rsidRPr="00676B08">
        <w:rPr>
          <w:i/>
        </w:rPr>
        <w:tab/>
      </w:r>
      <w:r w:rsidR="00FC4333">
        <w:t>Sanction</w:t>
      </w:r>
      <w:r w:rsidR="00FC4333">
        <w:rPr>
          <w:lang w:val="en-US"/>
        </w:rPr>
        <w:t>s</w:t>
      </w:r>
      <w:r w:rsidR="00FC4333">
        <w:t xml:space="preserve"> for criticising the government</w:t>
      </w:r>
    </w:p>
    <w:p w14:paraId="22CA7979" w14:textId="029AAA54" w:rsidR="00AE7DAA" w:rsidRPr="005B5953" w:rsidRDefault="00AE7DAA" w:rsidP="00D66BCD">
      <w:pPr>
        <w:pStyle w:val="SingleTxtG"/>
        <w:ind w:left="4536" w:hanging="3402"/>
        <w:jc w:val="left"/>
      </w:pPr>
      <w:r w:rsidRPr="00676B08">
        <w:rPr>
          <w:i/>
          <w:iCs/>
        </w:rPr>
        <w:t>Procedural issue</w:t>
      </w:r>
      <w:r w:rsidR="00B61505">
        <w:rPr>
          <w:i/>
          <w:iCs/>
        </w:rPr>
        <w:t>s</w:t>
      </w:r>
      <w:r w:rsidRPr="00676B08">
        <w:rPr>
          <w:i/>
        </w:rPr>
        <w:t>:</w:t>
      </w:r>
      <w:r w:rsidRPr="00676B08">
        <w:rPr>
          <w:i/>
          <w:iCs/>
        </w:rPr>
        <w:tab/>
      </w:r>
      <w:r w:rsidR="009E41DB" w:rsidRPr="00E014F8">
        <w:t>E</w:t>
      </w:r>
      <w:r w:rsidR="009E41DB" w:rsidRPr="00E014F8">
        <w:rPr>
          <w:iCs/>
        </w:rPr>
        <w:t xml:space="preserve">xhaustion of domestic remedies; </w:t>
      </w:r>
      <w:r w:rsidR="009E41DB" w:rsidRPr="00E014F8">
        <w:t>non-substantiation of claims</w:t>
      </w:r>
    </w:p>
    <w:p w14:paraId="4CA2DDC4" w14:textId="23FF166C" w:rsidR="00AE7DAA" w:rsidRPr="00EC6814" w:rsidRDefault="00AE7DAA" w:rsidP="00D66BCD">
      <w:pPr>
        <w:pStyle w:val="SingleTxtG"/>
        <w:ind w:left="4536" w:hanging="3402"/>
        <w:jc w:val="left"/>
      </w:pPr>
      <w:r w:rsidRPr="00676B08">
        <w:rPr>
          <w:i/>
          <w:iCs/>
        </w:rPr>
        <w:t>Substantive issues:</w:t>
      </w:r>
      <w:r w:rsidRPr="00676B08">
        <w:rPr>
          <w:i/>
          <w:iCs/>
        </w:rPr>
        <w:tab/>
      </w:r>
      <w:r w:rsidR="009E41DB">
        <w:t>Right to privacy</w:t>
      </w:r>
      <w:r w:rsidR="00E24CAB">
        <w:t>; freedom of expression</w:t>
      </w:r>
    </w:p>
    <w:p w14:paraId="1F2274A2" w14:textId="0199FB29" w:rsidR="00AE7DAA" w:rsidRDefault="00AE7DAA" w:rsidP="00D66BCD">
      <w:pPr>
        <w:pStyle w:val="SingleTxtG"/>
        <w:ind w:left="4536" w:hanging="3402"/>
        <w:jc w:val="left"/>
      </w:pPr>
      <w:r w:rsidRPr="00F35423">
        <w:rPr>
          <w:i/>
          <w:iCs/>
        </w:rPr>
        <w:t xml:space="preserve">Articles </w:t>
      </w:r>
      <w:r>
        <w:rPr>
          <w:i/>
          <w:iCs/>
        </w:rPr>
        <w:t>of the Covenant</w:t>
      </w:r>
      <w:r w:rsidRPr="00E613A9">
        <w:rPr>
          <w:i/>
        </w:rPr>
        <w:t>:</w:t>
      </w:r>
      <w:r>
        <w:rPr>
          <w:i/>
          <w:iCs/>
        </w:rPr>
        <w:tab/>
      </w:r>
      <w:r w:rsidR="00E24CAB">
        <w:t>17 (1) and 19 (2)</w:t>
      </w:r>
    </w:p>
    <w:p w14:paraId="07E128D2" w14:textId="2E3E2AD1" w:rsidR="00AE7DAA" w:rsidRPr="002475CB" w:rsidRDefault="00AE7DAA" w:rsidP="00D66BCD">
      <w:pPr>
        <w:pStyle w:val="SingleTxtG"/>
        <w:ind w:left="4536" w:hanging="3402"/>
        <w:jc w:val="left"/>
        <w:rPr>
          <w:lang w:val="en-US"/>
        </w:rPr>
      </w:pPr>
      <w:r>
        <w:rPr>
          <w:i/>
          <w:iCs/>
        </w:rPr>
        <w:t>Article</w:t>
      </w:r>
      <w:r w:rsidR="00EC1F7D">
        <w:rPr>
          <w:i/>
          <w:iCs/>
        </w:rPr>
        <w:t>s</w:t>
      </w:r>
      <w:r>
        <w:rPr>
          <w:i/>
          <w:iCs/>
        </w:rPr>
        <w:t xml:space="preserve"> of the Optional Protocol:</w:t>
      </w:r>
      <w:r>
        <w:rPr>
          <w:i/>
          <w:iCs/>
        </w:rPr>
        <w:tab/>
      </w:r>
      <w:r w:rsidR="004431F4" w:rsidRPr="00B61505">
        <w:rPr>
          <w:iCs/>
        </w:rPr>
        <w:t>2</w:t>
      </w:r>
      <w:r w:rsidR="001B292A">
        <w:rPr>
          <w:iCs/>
        </w:rPr>
        <w:t xml:space="preserve"> </w:t>
      </w:r>
      <w:r w:rsidR="0088063C">
        <w:rPr>
          <w:iCs/>
        </w:rPr>
        <w:t>and</w:t>
      </w:r>
      <w:r w:rsidR="00B61505">
        <w:rPr>
          <w:iCs/>
        </w:rPr>
        <w:t xml:space="preserve"> 5 (2) (b)</w:t>
      </w:r>
    </w:p>
    <w:p w14:paraId="5ED21F6C" w14:textId="3167DAEF" w:rsidR="00D66BCD" w:rsidRDefault="00D66BCD" w:rsidP="007006EA">
      <w:pPr>
        <w:pStyle w:val="SingleTxtG"/>
      </w:pPr>
      <w:r w:rsidRPr="00676B08">
        <w:t>1.</w:t>
      </w:r>
      <w:r w:rsidRPr="00676B08">
        <w:tab/>
      </w:r>
      <w:r w:rsidR="00A77503" w:rsidRPr="00DB09B7">
        <w:t xml:space="preserve">The author of the communication is </w:t>
      </w:r>
      <w:r w:rsidR="00A77503">
        <w:t xml:space="preserve">Pavel </w:t>
      </w:r>
      <w:proofErr w:type="spellStart"/>
      <w:r w:rsidR="00A77503">
        <w:t>Tolmachev</w:t>
      </w:r>
      <w:proofErr w:type="spellEnd"/>
      <w:r w:rsidR="00A77503" w:rsidRPr="00DB09B7">
        <w:t xml:space="preserve">, a citizen </w:t>
      </w:r>
      <w:r w:rsidR="007A4BD1">
        <w:t xml:space="preserve">of the Russian Federation </w:t>
      </w:r>
      <w:r w:rsidR="00A77503" w:rsidRPr="00DB09B7">
        <w:t>born in 19</w:t>
      </w:r>
      <w:r w:rsidR="00A77503">
        <w:t xml:space="preserve">88. He </w:t>
      </w:r>
      <w:r w:rsidR="00A77503" w:rsidRPr="00DB09B7">
        <w:t xml:space="preserve">claims </w:t>
      </w:r>
      <w:r w:rsidR="00A77503">
        <w:t xml:space="preserve">that </w:t>
      </w:r>
      <w:r w:rsidR="00A77503" w:rsidRPr="00700D36">
        <w:t>the</w:t>
      </w:r>
      <w:r w:rsidR="00A77503">
        <w:t xml:space="preserve"> </w:t>
      </w:r>
      <w:r w:rsidR="007A4BD1">
        <w:t xml:space="preserve">State </w:t>
      </w:r>
      <w:r w:rsidR="002C1802">
        <w:t>p</w:t>
      </w:r>
      <w:r w:rsidR="007A4BD1">
        <w:t>arty has</w:t>
      </w:r>
      <w:r w:rsidR="00A77503">
        <w:t xml:space="preserve"> violated his rights under articles 17 (1) and 19 (2) of the Covenant. </w:t>
      </w:r>
      <w:r w:rsidR="00A77503" w:rsidRPr="00DB09B7">
        <w:t xml:space="preserve">The Optional Protocol entered into force for </w:t>
      </w:r>
      <w:r w:rsidR="00A77503">
        <w:t xml:space="preserve">the </w:t>
      </w:r>
      <w:r w:rsidR="002C1802">
        <w:t>State party</w:t>
      </w:r>
      <w:r w:rsidR="00A77503" w:rsidRPr="00DB09B7">
        <w:t xml:space="preserve"> on 1 January 1992</w:t>
      </w:r>
      <w:r w:rsidRPr="00676B08">
        <w:t xml:space="preserve">. </w:t>
      </w:r>
      <w:r w:rsidR="002C1802" w:rsidRPr="00DB09B7">
        <w:t>The author is</w:t>
      </w:r>
      <w:r w:rsidR="002C1802">
        <w:t xml:space="preserve"> </w:t>
      </w:r>
      <w:r w:rsidR="002C1802" w:rsidRPr="00DB09B7">
        <w:t>represented</w:t>
      </w:r>
      <w:r w:rsidR="002C1802">
        <w:t xml:space="preserve"> by counsel</w:t>
      </w:r>
      <w:r w:rsidRPr="00676B08">
        <w:t>.</w:t>
      </w:r>
    </w:p>
    <w:p w14:paraId="104983C8" w14:textId="46944956" w:rsidR="009563E7" w:rsidRPr="00C346A0" w:rsidRDefault="00500C3F" w:rsidP="009563E7">
      <w:pPr>
        <w:pStyle w:val="H23G"/>
      </w:pPr>
      <w:r>
        <w:tab/>
      </w:r>
      <w:r>
        <w:tab/>
      </w:r>
      <w:r w:rsidR="00F35859">
        <w:t>F</w:t>
      </w:r>
      <w:r w:rsidR="009563E7" w:rsidRPr="00C346A0">
        <w:t>acts as submitted by the author</w:t>
      </w:r>
    </w:p>
    <w:p w14:paraId="53DACEC0" w14:textId="2C8ED619" w:rsidR="00E61C59" w:rsidRDefault="00C52837" w:rsidP="00C52837">
      <w:pPr>
        <w:pStyle w:val="SingleTxtG"/>
      </w:pPr>
      <w:r w:rsidRPr="004E6343">
        <w:t>2.1</w:t>
      </w:r>
      <w:r w:rsidRPr="004E6343">
        <w:tab/>
      </w:r>
      <w:r w:rsidR="00D044B1">
        <w:t>B</w:t>
      </w:r>
      <w:r w:rsidR="001D1164">
        <w:t xml:space="preserve">etween 2011 and 2013, </w:t>
      </w:r>
      <w:r w:rsidR="00D044B1">
        <w:t>t</w:t>
      </w:r>
      <w:r w:rsidR="001D1164">
        <w:t xml:space="preserve">he </w:t>
      </w:r>
      <w:r w:rsidR="00D044B1">
        <w:t>author was actively</w:t>
      </w:r>
      <w:r w:rsidR="008A7815" w:rsidRPr="008A7815">
        <w:t xml:space="preserve"> </w:t>
      </w:r>
      <w:r w:rsidR="008A7815">
        <w:rPr>
          <w:lang w:val="en-US"/>
        </w:rPr>
        <w:t xml:space="preserve">engaged in social activities in the Mari El Republic and </w:t>
      </w:r>
      <w:r w:rsidR="00E57126">
        <w:rPr>
          <w:lang w:val="en-US"/>
        </w:rPr>
        <w:t>organized public meeting</w:t>
      </w:r>
      <w:r w:rsidR="008D7F3D">
        <w:rPr>
          <w:lang w:val="en-US"/>
        </w:rPr>
        <w:t>s</w:t>
      </w:r>
      <w:r w:rsidR="00E57126">
        <w:rPr>
          <w:lang w:val="en-US"/>
        </w:rPr>
        <w:t xml:space="preserve"> where he criticized the work of the local government.</w:t>
      </w:r>
      <w:r w:rsidR="00D044B1">
        <w:t xml:space="preserve"> </w:t>
      </w:r>
      <w:r w:rsidR="008170E8">
        <w:t>On 8 September 2012, in his speech at a public meeting (less than 30 participants)</w:t>
      </w:r>
      <w:r w:rsidR="00B47687">
        <w:t xml:space="preserve"> in Yoshkar-Ola city</w:t>
      </w:r>
      <w:r w:rsidR="008170E8">
        <w:t xml:space="preserve">, the author called </w:t>
      </w:r>
      <w:r w:rsidR="009C41FF">
        <w:t xml:space="preserve">Mr. </w:t>
      </w:r>
      <w:r w:rsidR="00D6488F">
        <w:t>M</w:t>
      </w:r>
      <w:r w:rsidR="009C41FF">
        <w:t xml:space="preserve">, </w:t>
      </w:r>
      <w:r w:rsidR="008170E8">
        <w:t xml:space="preserve">the </w:t>
      </w:r>
      <w:r w:rsidR="001F5439">
        <w:t>head</w:t>
      </w:r>
      <w:r w:rsidR="008170E8">
        <w:t xml:space="preserve"> of </w:t>
      </w:r>
      <w:r w:rsidR="001F5439">
        <w:t xml:space="preserve">the </w:t>
      </w:r>
      <w:r w:rsidR="008170E8">
        <w:t>Mari El Republic</w:t>
      </w:r>
      <w:r w:rsidR="002A2393">
        <w:t>,</w:t>
      </w:r>
      <w:r w:rsidR="008170E8">
        <w:t xml:space="preserve"> a </w:t>
      </w:r>
      <w:r w:rsidR="00E84F43">
        <w:t>“</w:t>
      </w:r>
      <w:r w:rsidR="008170E8">
        <w:t>bandit</w:t>
      </w:r>
      <w:r w:rsidR="00E84F43">
        <w:t>”</w:t>
      </w:r>
      <w:r w:rsidR="008170E8">
        <w:t>, and stated that he ha</w:t>
      </w:r>
      <w:r w:rsidR="00E84F43">
        <w:t>d</w:t>
      </w:r>
      <w:r w:rsidR="008170E8">
        <w:t xml:space="preserve"> committed several criminal offences but </w:t>
      </w:r>
      <w:r w:rsidR="00E84F43">
        <w:t xml:space="preserve">could not </w:t>
      </w:r>
      <w:r w:rsidR="008170E8">
        <w:t xml:space="preserve">be </w:t>
      </w:r>
      <w:r w:rsidR="008170E8">
        <w:lastRenderedPageBreak/>
        <w:t xml:space="preserve">prosecuted because of </w:t>
      </w:r>
      <w:r w:rsidR="009373B3">
        <w:t>his</w:t>
      </w:r>
      <w:r w:rsidR="008170E8">
        <w:t xml:space="preserve"> </w:t>
      </w:r>
      <w:r w:rsidR="00DA3E50">
        <w:t xml:space="preserve">functional </w:t>
      </w:r>
      <w:r w:rsidR="008170E8">
        <w:t>immunity. On 2 October 2012, a criminal investigation against the author was opened under article 128.1</w:t>
      </w:r>
      <w:r w:rsidR="00F02070">
        <w:t xml:space="preserve"> </w:t>
      </w:r>
      <w:r w:rsidR="008170E8">
        <w:t>(2) of the Criminal Code (slander in public speech, publicly displayed piece of work, or in mass media). On 24 July 2013</w:t>
      </w:r>
      <w:r w:rsidR="00E61C59">
        <w:t>,</w:t>
      </w:r>
      <w:r w:rsidR="008170E8">
        <w:t xml:space="preserve"> the author was found guilty of slander by </w:t>
      </w:r>
      <w:r w:rsidR="001D7AA5">
        <w:t>Justice</w:t>
      </w:r>
      <w:r w:rsidR="00E07EDE">
        <w:t xml:space="preserve"> of the </w:t>
      </w:r>
      <w:r w:rsidR="001D7AA5">
        <w:t>Peace</w:t>
      </w:r>
      <w:r w:rsidR="008170E8">
        <w:t xml:space="preserve"> of the Yoshkar-Ola judicial district No.2</w:t>
      </w:r>
      <w:r w:rsidR="00E61C59">
        <w:t xml:space="preserve"> and </w:t>
      </w:r>
      <w:r w:rsidR="008170E8">
        <w:t>sentenced to 80 hours of compulsory works</w:t>
      </w:r>
      <w:r w:rsidRPr="004E6343">
        <w:t>.</w:t>
      </w:r>
    </w:p>
    <w:p w14:paraId="7E0EECB4" w14:textId="775F3BC3" w:rsidR="005E6FCC" w:rsidRDefault="00C52837" w:rsidP="00C52837">
      <w:pPr>
        <w:pStyle w:val="SingleTxtG"/>
      </w:pPr>
      <w:r w:rsidRPr="004E6343">
        <w:t>2.2</w:t>
      </w:r>
      <w:r w:rsidRPr="004E6343">
        <w:tab/>
      </w:r>
      <w:r w:rsidR="00CE13EE">
        <w:t xml:space="preserve">On 2 </w:t>
      </w:r>
      <w:r w:rsidR="00B645FD">
        <w:t xml:space="preserve">August </w:t>
      </w:r>
      <w:r w:rsidR="00CE13EE">
        <w:t xml:space="preserve">2013, the author appealed to the Yoshkar-Ola City Court. He claimed that he </w:t>
      </w:r>
      <w:r w:rsidR="00FB06C3">
        <w:t>had</w:t>
      </w:r>
      <w:r w:rsidR="00CE13EE">
        <w:t xml:space="preserve"> criticiz</w:t>
      </w:r>
      <w:r w:rsidR="00FB06C3">
        <w:t>ed</w:t>
      </w:r>
      <w:r w:rsidR="00CE13EE">
        <w:t xml:space="preserve"> the actions of </w:t>
      </w:r>
      <w:r w:rsidR="002A2393">
        <w:t>Mr</w:t>
      </w:r>
      <w:r w:rsidR="007A5D83">
        <w:t>.</w:t>
      </w:r>
      <w:r w:rsidR="002A2393">
        <w:t xml:space="preserve"> </w:t>
      </w:r>
      <w:r w:rsidR="00D6488F">
        <w:t>M</w:t>
      </w:r>
      <w:r w:rsidR="002A2393">
        <w:t xml:space="preserve"> </w:t>
      </w:r>
      <w:r w:rsidR="00B16D0A">
        <w:t xml:space="preserve">as </w:t>
      </w:r>
      <w:r w:rsidR="00CE13EE">
        <w:t xml:space="preserve">the </w:t>
      </w:r>
      <w:r w:rsidR="00FB06C3">
        <w:t>head</w:t>
      </w:r>
      <w:r w:rsidR="00CE13EE">
        <w:t xml:space="preserve"> of the </w:t>
      </w:r>
      <w:r w:rsidR="00B86895">
        <w:t xml:space="preserve">Mari El </w:t>
      </w:r>
      <w:r w:rsidR="00CE13EE">
        <w:t xml:space="preserve">Republic, and not him personally, that his conclusions </w:t>
      </w:r>
      <w:r w:rsidR="00894F3E">
        <w:t>were based on the</w:t>
      </w:r>
      <w:r w:rsidR="00CE13EE">
        <w:t xml:space="preserve"> information he read in mass media and heard from </w:t>
      </w:r>
      <w:r w:rsidR="00931090">
        <w:t>third persons</w:t>
      </w:r>
      <w:r w:rsidR="00CE13EE">
        <w:t>, and that he did not intend to damage the reputation or dignity</w:t>
      </w:r>
      <w:r w:rsidR="00B86895">
        <w:t xml:space="preserve"> of </w:t>
      </w:r>
      <w:r w:rsidR="00626D70">
        <w:t xml:space="preserve">Mr. </w:t>
      </w:r>
      <w:r w:rsidR="00D6488F">
        <w:t>M</w:t>
      </w:r>
      <w:r w:rsidR="00CE13EE">
        <w:t>.</w:t>
      </w:r>
      <w:r w:rsidR="00931090">
        <w:t xml:space="preserve"> He noted that he had </w:t>
      </w:r>
      <w:r w:rsidR="009F7572">
        <w:t xml:space="preserve">publicly </w:t>
      </w:r>
      <w:r w:rsidR="00931090">
        <w:t xml:space="preserve">apologized to Mr. M </w:t>
      </w:r>
      <w:r w:rsidR="0072036B">
        <w:t xml:space="preserve">for his remarks </w:t>
      </w:r>
      <w:r w:rsidR="00E356B7">
        <w:rPr>
          <w:lang w:val="en-US"/>
        </w:rPr>
        <w:t xml:space="preserve">and notified </w:t>
      </w:r>
      <w:r w:rsidR="00E15C5F">
        <w:rPr>
          <w:lang w:val="en-US"/>
        </w:rPr>
        <w:t xml:space="preserve">the </w:t>
      </w:r>
      <w:r w:rsidR="00DC2365">
        <w:rPr>
          <w:lang w:val="en-US"/>
        </w:rPr>
        <w:t>latter’s press service.</w:t>
      </w:r>
      <w:r w:rsidR="00CE13EE">
        <w:t xml:space="preserve"> </w:t>
      </w:r>
      <w:r w:rsidR="00B86895">
        <w:t xml:space="preserve">On </w:t>
      </w:r>
      <w:r w:rsidR="00CE13EE">
        <w:t>17 September 2013</w:t>
      </w:r>
      <w:r w:rsidR="00B86895">
        <w:t xml:space="preserve">, the Yoshkar-Ola City Court </w:t>
      </w:r>
      <w:r w:rsidR="004B7D1D">
        <w:t>denied</w:t>
      </w:r>
      <w:r w:rsidR="005E6FCC">
        <w:t xml:space="preserve"> the author’s appeal</w:t>
      </w:r>
      <w:r w:rsidR="00CE13EE">
        <w:t xml:space="preserve">. </w:t>
      </w:r>
    </w:p>
    <w:p w14:paraId="272279B8" w14:textId="255A3FAB" w:rsidR="00C52837" w:rsidRPr="004E6343" w:rsidRDefault="005E6FCC" w:rsidP="00C52837">
      <w:pPr>
        <w:pStyle w:val="SingleTxtG"/>
      </w:pPr>
      <w:r>
        <w:t>2.3</w:t>
      </w:r>
      <w:r>
        <w:tab/>
        <w:t xml:space="preserve">On </w:t>
      </w:r>
      <w:r w:rsidR="00F734A1">
        <w:t>27 September 2013</w:t>
      </w:r>
      <w:r>
        <w:t>, t</w:t>
      </w:r>
      <w:r w:rsidR="00CE13EE">
        <w:t>he author</w:t>
      </w:r>
      <w:r>
        <w:t xml:space="preserve"> submitted a</w:t>
      </w:r>
      <w:r w:rsidR="00CE13EE">
        <w:t xml:space="preserve"> cassation appeal </w:t>
      </w:r>
      <w:r w:rsidR="00183B82">
        <w:t>to the Yoshkar-Ola City Court</w:t>
      </w:r>
      <w:r w:rsidR="00F734A1">
        <w:t>. On 3 October 2013</w:t>
      </w:r>
      <w:r w:rsidR="00CE13EE">
        <w:t xml:space="preserve">, the Yoshkar-Ola City Court </w:t>
      </w:r>
      <w:r w:rsidR="004B7D1D">
        <w:t>dismissed the appeal for lack of jurisdiction</w:t>
      </w:r>
      <w:r w:rsidR="00C52837" w:rsidRPr="004E6343">
        <w:t xml:space="preserve">. </w:t>
      </w:r>
      <w:r w:rsidR="002E4686">
        <w:t>In its ruling, the Court explained that the cassation appeal needed to be submitted to the Supreme Court of the Mari El Republic.</w:t>
      </w:r>
    </w:p>
    <w:p w14:paraId="1C3DA512" w14:textId="004E93F6" w:rsidR="00E27DEC" w:rsidRPr="002A5C0F" w:rsidRDefault="00C52837" w:rsidP="00C52837">
      <w:pPr>
        <w:pStyle w:val="SingleTxtG"/>
        <w:rPr>
          <w:lang w:val="en-US"/>
        </w:rPr>
      </w:pPr>
      <w:r w:rsidRPr="004E6343">
        <w:t>2.</w:t>
      </w:r>
      <w:r w:rsidR="00C874BB">
        <w:t>4</w:t>
      </w:r>
      <w:r w:rsidRPr="004E6343">
        <w:tab/>
      </w:r>
      <w:r w:rsidR="00E27DEC">
        <w:t xml:space="preserve">On an unspecified date, after his conviction, </w:t>
      </w:r>
      <w:r w:rsidR="00EE7316">
        <w:t xml:space="preserve">during </w:t>
      </w:r>
      <w:r w:rsidR="0047039D">
        <w:rPr>
          <w:lang w:val="en-US"/>
        </w:rPr>
        <w:t>the review of the evidentiary materials in his criminal case</w:t>
      </w:r>
      <w:r w:rsidR="00D57B6E">
        <w:rPr>
          <w:lang w:val="en-US"/>
        </w:rPr>
        <w:t>,</w:t>
      </w:r>
      <w:r w:rsidR="00A211D7">
        <w:rPr>
          <w:lang w:val="en-US"/>
        </w:rPr>
        <w:t xml:space="preserve"> </w:t>
      </w:r>
      <w:r w:rsidR="00A211D7">
        <w:t xml:space="preserve">the author and his counsel </w:t>
      </w:r>
      <w:r w:rsidR="00EE7316">
        <w:t xml:space="preserve">discovered </w:t>
      </w:r>
      <w:r w:rsidR="00AB2C64">
        <w:t xml:space="preserve">that </w:t>
      </w:r>
      <w:r w:rsidR="00FC18B6">
        <w:t>on 6 April 2012</w:t>
      </w:r>
      <w:r w:rsidR="003B146C">
        <w:t xml:space="preserve">, </w:t>
      </w:r>
      <w:r w:rsidR="00AB2C64">
        <w:t xml:space="preserve">a judge of the Supreme Court of the Mari El Republic had authorized </w:t>
      </w:r>
      <w:r w:rsidR="003977CF">
        <w:t xml:space="preserve">the </w:t>
      </w:r>
      <w:r w:rsidR="00EE7316">
        <w:t>wiretapp</w:t>
      </w:r>
      <w:r w:rsidR="003977CF">
        <w:t>ing of his personal telephone</w:t>
      </w:r>
      <w:r w:rsidR="00D32058">
        <w:t>.</w:t>
      </w:r>
      <w:r w:rsidR="003B146C">
        <w:t xml:space="preserve"> Later, on 12 Se</w:t>
      </w:r>
      <w:r w:rsidR="00F43B37">
        <w:t xml:space="preserve">ptember 2012, the Supreme Court issued another authorization to </w:t>
      </w:r>
      <w:r w:rsidR="00F43B37">
        <w:rPr>
          <w:lang w:val="en-US"/>
        </w:rPr>
        <w:t xml:space="preserve">the Counter-terrorism Center of the Ministry of Internal Affairs of the Mari El Republic to </w:t>
      </w:r>
      <w:r w:rsidR="00B07A9F">
        <w:rPr>
          <w:lang w:val="en-US"/>
        </w:rPr>
        <w:t>wiretap the author’s telephone.</w:t>
      </w:r>
      <w:r w:rsidR="00D32058">
        <w:t xml:space="preserve"> </w:t>
      </w:r>
      <w:r w:rsidR="00B07A9F">
        <w:t>The</w:t>
      </w:r>
      <w:r w:rsidR="001E0E58">
        <w:t xml:space="preserve"> author</w:t>
      </w:r>
      <w:r w:rsidR="00FA24EB">
        <w:t xml:space="preserve"> notes that he did not know that his telephone was wiretapped</w:t>
      </w:r>
      <w:r w:rsidR="001E0E58">
        <w:t xml:space="preserve"> until after the trial</w:t>
      </w:r>
      <w:r w:rsidR="00FE2675">
        <w:t>.</w:t>
      </w:r>
      <w:r w:rsidR="00FA24EB">
        <w:t xml:space="preserve"> </w:t>
      </w:r>
      <w:r w:rsidR="00FE2675">
        <w:t xml:space="preserve">He also notes that </w:t>
      </w:r>
      <w:r w:rsidR="004C3479">
        <w:t>under</w:t>
      </w:r>
      <w:r w:rsidR="007D705E">
        <w:t xml:space="preserve"> domestic law, </w:t>
      </w:r>
      <w:r w:rsidR="000F0C3E">
        <w:t xml:space="preserve">judicial </w:t>
      </w:r>
      <w:r w:rsidR="00887657">
        <w:t>decisions authorizing</w:t>
      </w:r>
      <w:r w:rsidR="000F0C3E">
        <w:t xml:space="preserve"> wiretapping and </w:t>
      </w:r>
      <w:r w:rsidR="009E74CC">
        <w:t xml:space="preserve">related </w:t>
      </w:r>
      <w:r w:rsidR="00DE4AC2">
        <w:t>documents are</w:t>
      </w:r>
      <w:r w:rsidR="00FF2C76">
        <w:t xml:space="preserve"> considered </w:t>
      </w:r>
      <w:r w:rsidR="00136EAD">
        <w:t xml:space="preserve">confidential </w:t>
      </w:r>
      <w:r w:rsidR="001B0A6F">
        <w:t>and</w:t>
      </w:r>
      <w:r w:rsidR="00DE4AC2">
        <w:t xml:space="preserve"> </w:t>
      </w:r>
      <w:r w:rsidR="00136EAD">
        <w:t xml:space="preserve">can be </w:t>
      </w:r>
      <w:r w:rsidR="00EF5EE1">
        <w:t xml:space="preserve">kept only by those law enforcement authorities that </w:t>
      </w:r>
      <w:r w:rsidR="00285929">
        <w:t>conduct t</w:t>
      </w:r>
      <w:r w:rsidR="00DA45B7">
        <w:t xml:space="preserve">he wiretapping. </w:t>
      </w:r>
      <w:r w:rsidR="0012254E">
        <w:t>The author submits that on 10 November 2012, he petitioned the Sup</w:t>
      </w:r>
      <w:r w:rsidR="003179F4">
        <w:t xml:space="preserve">reme Court of the Mari El Republic to provide information about </w:t>
      </w:r>
      <w:r w:rsidR="006C01F8">
        <w:t xml:space="preserve">any </w:t>
      </w:r>
      <w:r w:rsidR="00E45F6A">
        <w:t xml:space="preserve">authorizations given by domestic courts to conduct </w:t>
      </w:r>
      <w:r w:rsidR="00FF120F">
        <w:t xml:space="preserve">operative </w:t>
      </w:r>
      <w:r w:rsidR="00887575">
        <w:t>and surveillance ac</w:t>
      </w:r>
      <w:r w:rsidR="00D907F3">
        <w:t xml:space="preserve">tivities against him. </w:t>
      </w:r>
      <w:r w:rsidR="001A49D3">
        <w:t xml:space="preserve">On 23 November 2012, the Deputy Chairman of the Supreme Court of the Mari El Republic </w:t>
      </w:r>
      <w:r w:rsidR="0007103A">
        <w:t>informed</w:t>
      </w:r>
      <w:r w:rsidR="00585830">
        <w:t xml:space="preserve"> the author that the Supreme Court of the Mari El Republic </w:t>
      </w:r>
      <w:r w:rsidR="0030459F">
        <w:t>did not have</w:t>
      </w:r>
      <w:r w:rsidR="00A60F7B">
        <w:t xml:space="preserve"> such information and that </w:t>
      </w:r>
      <w:r w:rsidR="00A91F09">
        <w:t xml:space="preserve">a decision by </w:t>
      </w:r>
      <w:r w:rsidR="00443F53">
        <w:t>the court authoriz</w:t>
      </w:r>
      <w:r w:rsidR="0030459F">
        <w:t>ing</w:t>
      </w:r>
      <w:r w:rsidR="00443F53">
        <w:t xml:space="preserve"> </w:t>
      </w:r>
      <w:r w:rsidR="0030459F">
        <w:t>surveillance</w:t>
      </w:r>
      <w:r w:rsidR="00443F53">
        <w:t xml:space="preserve"> is considered confidential</w:t>
      </w:r>
      <w:r w:rsidR="00C03793">
        <w:t xml:space="preserve"> and</w:t>
      </w:r>
      <w:r w:rsidR="0032571C">
        <w:t xml:space="preserve"> </w:t>
      </w:r>
      <w:r w:rsidR="00443F53">
        <w:t xml:space="preserve">is issued </w:t>
      </w:r>
      <w:r w:rsidR="0032571C">
        <w:t xml:space="preserve">in a single </w:t>
      </w:r>
      <w:r w:rsidR="002A5C0F">
        <w:rPr>
          <w:lang w:val="en-US"/>
        </w:rPr>
        <w:t xml:space="preserve">copy </w:t>
      </w:r>
      <w:r w:rsidR="00865B40">
        <w:rPr>
          <w:lang w:val="en-US"/>
        </w:rPr>
        <w:t xml:space="preserve">only to the </w:t>
      </w:r>
      <w:r w:rsidR="00B62F72">
        <w:rPr>
          <w:lang w:val="en-US"/>
        </w:rPr>
        <w:t xml:space="preserve">authority initiating </w:t>
      </w:r>
      <w:r w:rsidR="00AF4959">
        <w:rPr>
          <w:lang w:val="en-US"/>
        </w:rPr>
        <w:t>it</w:t>
      </w:r>
      <w:r w:rsidR="00781994">
        <w:rPr>
          <w:lang w:val="en-US"/>
        </w:rPr>
        <w:t xml:space="preserve">. </w:t>
      </w:r>
    </w:p>
    <w:p w14:paraId="70A4540B" w14:textId="431D7E48" w:rsidR="00C52837" w:rsidRPr="004E6343" w:rsidRDefault="00C03793" w:rsidP="00C52837">
      <w:pPr>
        <w:pStyle w:val="SingleTxtG"/>
      </w:pPr>
      <w:r>
        <w:t>2.</w:t>
      </w:r>
      <w:r w:rsidR="00C874BB">
        <w:t>5</w:t>
      </w:r>
      <w:r>
        <w:tab/>
      </w:r>
      <w:r w:rsidR="00102141">
        <w:t xml:space="preserve">The author </w:t>
      </w:r>
      <w:r>
        <w:t>submits</w:t>
      </w:r>
      <w:r w:rsidR="00102141">
        <w:t xml:space="preserve"> that there are no effective remedies available to him </w:t>
      </w:r>
      <w:r w:rsidR="00EE47F3">
        <w:t xml:space="preserve">to appeal the </w:t>
      </w:r>
      <w:r w:rsidR="004C3479">
        <w:t xml:space="preserve">Supreme Court’s </w:t>
      </w:r>
      <w:r w:rsidR="00EE47F3">
        <w:t>decision authorizing the wire</w:t>
      </w:r>
      <w:r w:rsidR="00102141">
        <w:t xml:space="preserve">tapping due to the secret nature of the </w:t>
      </w:r>
      <w:r w:rsidR="00EE47F3">
        <w:t>decision</w:t>
      </w:r>
      <w:r w:rsidR="00102141">
        <w:t xml:space="preserve">. </w:t>
      </w:r>
      <w:r>
        <w:t>Therefore, h</w:t>
      </w:r>
      <w:r w:rsidR="00102141">
        <w:t xml:space="preserve">e claims </w:t>
      </w:r>
      <w:r>
        <w:t xml:space="preserve">to have </w:t>
      </w:r>
      <w:r w:rsidR="00102141">
        <w:t>exhausted all domestic remedies</w:t>
      </w:r>
      <w:r w:rsidR="00C52837" w:rsidRPr="004E6343">
        <w:t xml:space="preserve">. </w:t>
      </w:r>
    </w:p>
    <w:p w14:paraId="4214ED98" w14:textId="04483235" w:rsidR="00AA33F7" w:rsidRPr="00415BA0" w:rsidRDefault="00AA33F7" w:rsidP="00AA33F7">
      <w:pPr>
        <w:pStyle w:val="H23G"/>
      </w:pPr>
      <w:r>
        <w:tab/>
      </w:r>
      <w:r>
        <w:tab/>
        <w:t>C</w:t>
      </w:r>
      <w:r w:rsidRPr="00415BA0">
        <w:t>omplaint</w:t>
      </w:r>
    </w:p>
    <w:p w14:paraId="4E0CC64A" w14:textId="7E2B050F" w:rsidR="00562C1D" w:rsidRPr="004E6343" w:rsidRDefault="00562C1D" w:rsidP="00562C1D">
      <w:pPr>
        <w:pStyle w:val="SingleTxtG"/>
      </w:pPr>
      <w:r w:rsidRPr="004E6343">
        <w:t>3.1</w:t>
      </w:r>
      <w:r w:rsidRPr="004E6343">
        <w:tab/>
      </w:r>
      <w:r w:rsidR="009564F4" w:rsidRPr="00483F91">
        <w:t xml:space="preserve">The author claims that his rights under article 17 (1) of the Covenant were violated by the State party </w:t>
      </w:r>
      <w:r w:rsidR="00A67640" w:rsidRPr="00483F91">
        <w:t>due to</w:t>
      </w:r>
      <w:r w:rsidR="009564F4" w:rsidRPr="00483F91">
        <w:t xml:space="preserve"> </w:t>
      </w:r>
      <w:r w:rsidR="001C307D" w:rsidRPr="00483F91">
        <w:t>illegal wire</w:t>
      </w:r>
      <w:r w:rsidR="009564F4" w:rsidRPr="00483F91">
        <w:t>tapping</w:t>
      </w:r>
      <w:r w:rsidR="00483F91">
        <w:t xml:space="preserve"> being an </w:t>
      </w:r>
      <w:r w:rsidR="00845307">
        <w:t>arbitrary interference with his private life</w:t>
      </w:r>
      <w:r w:rsidRPr="004E6343">
        <w:t>.</w:t>
      </w:r>
    </w:p>
    <w:p w14:paraId="5B1FE41E" w14:textId="32DA35D6" w:rsidR="00562C1D" w:rsidRPr="004E6343" w:rsidRDefault="00562C1D" w:rsidP="00562C1D">
      <w:pPr>
        <w:pStyle w:val="SingleTxtG"/>
      </w:pPr>
      <w:r w:rsidRPr="004E6343">
        <w:t>3.2</w:t>
      </w:r>
      <w:r w:rsidRPr="004E6343">
        <w:tab/>
      </w:r>
      <w:r w:rsidR="00936A0E">
        <w:t xml:space="preserve">He claims that his rights under article 19 (2) of the Covenant were violated </w:t>
      </w:r>
      <w:r w:rsidR="00552D83">
        <w:t>because he was</w:t>
      </w:r>
      <w:r w:rsidR="00936A0E">
        <w:t xml:space="preserve"> </w:t>
      </w:r>
      <w:r w:rsidR="00E74ECE">
        <w:t xml:space="preserve">subjected to criminal prosecution and </w:t>
      </w:r>
      <w:r w:rsidR="00936A0E">
        <w:t>sanction</w:t>
      </w:r>
      <w:r w:rsidR="00E74ECE">
        <w:t xml:space="preserve">ed solely on the basis of the </w:t>
      </w:r>
      <w:r w:rsidR="00483F91">
        <w:t xml:space="preserve">position </w:t>
      </w:r>
      <w:r w:rsidR="0038519C">
        <w:t xml:space="preserve">of Mr. </w:t>
      </w:r>
      <w:r w:rsidR="00D6488F">
        <w:t>M</w:t>
      </w:r>
      <w:r w:rsidR="0038519C">
        <w:t xml:space="preserve"> </w:t>
      </w:r>
      <w:r w:rsidR="00FE6D29">
        <w:t xml:space="preserve">as </w:t>
      </w:r>
      <w:r w:rsidR="0038519C">
        <w:t>the head of the Mari El Republic and not as a</w:t>
      </w:r>
      <w:r w:rsidR="00071AEB">
        <w:t>n ordinary citizen</w:t>
      </w:r>
      <w:r w:rsidR="004D556D">
        <w:t xml:space="preserve">. </w:t>
      </w:r>
      <w:r w:rsidR="004323C6">
        <w:t xml:space="preserve">The author submits that </w:t>
      </w:r>
      <w:r w:rsidR="009C0B8C">
        <w:t>as the head of the Mari El Republic</w:t>
      </w:r>
      <w:r w:rsidR="00190230">
        <w:t>,</w:t>
      </w:r>
      <w:r w:rsidR="009C0B8C">
        <w:t xml:space="preserve"> </w:t>
      </w:r>
      <w:r w:rsidR="004323C6">
        <w:t xml:space="preserve">Mr. </w:t>
      </w:r>
      <w:r w:rsidR="00D6488F">
        <w:t xml:space="preserve">M </w:t>
      </w:r>
      <w:r w:rsidR="00190230">
        <w:t xml:space="preserve">was legitimately subject to heightened </w:t>
      </w:r>
      <w:r w:rsidR="005D5799">
        <w:t xml:space="preserve">criticism, and </w:t>
      </w:r>
      <w:r w:rsidR="005F5FCF">
        <w:t xml:space="preserve">that </w:t>
      </w:r>
      <w:r w:rsidR="00D6488F">
        <w:t xml:space="preserve">by charging him with slander, </w:t>
      </w:r>
      <w:r w:rsidR="00BA30FA">
        <w:t xml:space="preserve">the </w:t>
      </w:r>
      <w:r w:rsidR="00D71B3E">
        <w:t xml:space="preserve">domestic courts took his </w:t>
      </w:r>
      <w:r w:rsidR="00BA30FA">
        <w:t xml:space="preserve">public </w:t>
      </w:r>
      <w:r w:rsidR="00D1384A">
        <w:t xml:space="preserve">remarks </w:t>
      </w:r>
      <w:r w:rsidR="00BA30FA">
        <w:t>completely out of context.</w:t>
      </w:r>
    </w:p>
    <w:p w14:paraId="5057DB1F" w14:textId="2640F329" w:rsidR="00A732B0" w:rsidRPr="00415BA0" w:rsidRDefault="00041648" w:rsidP="00190230">
      <w:pPr>
        <w:pStyle w:val="H23G"/>
        <w:tabs>
          <w:tab w:val="left" w:pos="1134"/>
          <w:tab w:val="left" w:pos="1701"/>
          <w:tab w:val="left" w:pos="2268"/>
          <w:tab w:val="left" w:pos="2835"/>
          <w:tab w:val="left" w:pos="3402"/>
          <w:tab w:val="left" w:pos="3969"/>
          <w:tab w:val="left" w:pos="4536"/>
          <w:tab w:val="left" w:pos="7035"/>
        </w:tabs>
        <w:ind w:left="0" w:firstLine="0"/>
      </w:pPr>
      <w:r>
        <w:tab/>
      </w:r>
      <w:r>
        <w:tab/>
      </w:r>
      <w:r w:rsidR="00A732B0" w:rsidRPr="00415BA0">
        <w:t xml:space="preserve">State party’s observations on </w:t>
      </w:r>
      <w:r w:rsidR="006219AA">
        <w:t xml:space="preserve">admissibility and </w:t>
      </w:r>
      <w:r w:rsidR="009B3798">
        <w:t>the merits</w:t>
      </w:r>
    </w:p>
    <w:p w14:paraId="3A851EAF" w14:textId="6ECE0C71" w:rsidR="006973FB" w:rsidRDefault="00A732B0" w:rsidP="006973FB">
      <w:pPr>
        <w:pStyle w:val="SingleTxtG"/>
        <w:rPr>
          <w:lang w:val="en-US"/>
        </w:rPr>
      </w:pPr>
      <w:r w:rsidRPr="009A4361">
        <w:t>4.</w:t>
      </w:r>
      <w:r>
        <w:t>1</w:t>
      </w:r>
      <w:r w:rsidRPr="009A4361">
        <w:tab/>
        <w:t xml:space="preserve">On </w:t>
      </w:r>
      <w:r w:rsidR="009A3578">
        <w:t>21</w:t>
      </w:r>
      <w:r w:rsidR="00A60B0B">
        <w:t xml:space="preserve"> June</w:t>
      </w:r>
      <w:r>
        <w:t xml:space="preserve"> 20</w:t>
      </w:r>
      <w:r w:rsidR="009A3578">
        <w:t>18</w:t>
      </w:r>
      <w:r w:rsidRPr="009A4361">
        <w:t xml:space="preserve">, the </w:t>
      </w:r>
      <w:r>
        <w:t xml:space="preserve">State party submitted its observations on </w:t>
      </w:r>
      <w:r w:rsidR="009A3578">
        <w:t xml:space="preserve">admissibility and </w:t>
      </w:r>
      <w:r w:rsidR="00A60B0B">
        <w:t>the merits</w:t>
      </w:r>
      <w:r>
        <w:t xml:space="preserve"> of the communication. </w:t>
      </w:r>
      <w:r w:rsidR="009D53EC">
        <w:rPr>
          <w:lang w:val="en-US"/>
        </w:rPr>
        <w:t xml:space="preserve">The State party </w:t>
      </w:r>
      <w:r w:rsidR="00FF7427">
        <w:rPr>
          <w:lang w:val="en-US"/>
        </w:rPr>
        <w:t>notes that</w:t>
      </w:r>
      <w:r w:rsidR="00C327C5">
        <w:rPr>
          <w:lang w:val="en-US"/>
        </w:rPr>
        <w:t xml:space="preserve"> the Federal Law </w:t>
      </w:r>
      <w:r w:rsidR="00D54828">
        <w:rPr>
          <w:lang w:val="en-US"/>
        </w:rPr>
        <w:t xml:space="preserve">on operative and investigative activities </w:t>
      </w:r>
      <w:r w:rsidR="003C7951">
        <w:rPr>
          <w:lang w:val="en-US"/>
        </w:rPr>
        <w:t xml:space="preserve">allows for </w:t>
      </w:r>
      <w:r w:rsidR="00CC1582">
        <w:rPr>
          <w:lang w:val="en-US"/>
        </w:rPr>
        <w:t xml:space="preserve">a telephone tapping </w:t>
      </w:r>
      <w:r w:rsidR="000C791D">
        <w:rPr>
          <w:lang w:val="en-US"/>
        </w:rPr>
        <w:t>based on</w:t>
      </w:r>
      <w:r w:rsidR="00B03E8A">
        <w:rPr>
          <w:lang w:val="en-US"/>
        </w:rPr>
        <w:t xml:space="preserve"> a court </w:t>
      </w:r>
      <w:r w:rsidR="00900237">
        <w:rPr>
          <w:lang w:val="en-US"/>
        </w:rPr>
        <w:t xml:space="preserve">order if there is information </w:t>
      </w:r>
      <w:r w:rsidR="009D256E">
        <w:rPr>
          <w:lang w:val="en-US"/>
        </w:rPr>
        <w:t>about</w:t>
      </w:r>
      <w:r w:rsidR="00E60122">
        <w:rPr>
          <w:lang w:val="en-US"/>
        </w:rPr>
        <w:t xml:space="preserve"> </w:t>
      </w:r>
      <w:r w:rsidR="00887CD7">
        <w:rPr>
          <w:lang w:val="en-US"/>
        </w:rPr>
        <w:t xml:space="preserve">1) </w:t>
      </w:r>
      <w:r w:rsidR="00E60122">
        <w:rPr>
          <w:lang w:val="en-US"/>
        </w:rPr>
        <w:t>a</w:t>
      </w:r>
      <w:r w:rsidR="00EA7AF9">
        <w:rPr>
          <w:lang w:val="en-US"/>
        </w:rPr>
        <w:t xml:space="preserve"> crime </w:t>
      </w:r>
      <w:r w:rsidR="009D256E">
        <w:rPr>
          <w:lang w:val="en-US"/>
        </w:rPr>
        <w:t xml:space="preserve">that </w:t>
      </w:r>
      <w:r w:rsidR="00EA7AF9">
        <w:rPr>
          <w:lang w:val="en-US"/>
        </w:rPr>
        <w:t xml:space="preserve">is being or has been committed that requires a </w:t>
      </w:r>
      <w:r w:rsidR="00971B03">
        <w:rPr>
          <w:lang w:val="en-US"/>
        </w:rPr>
        <w:t>preliminary investigation,</w:t>
      </w:r>
      <w:r w:rsidR="009D256E">
        <w:rPr>
          <w:lang w:val="en-US"/>
        </w:rPr>
        <w:t xml:space="preserve"> </w:t>
      </w:r>
      <w:r w:rsidR="00887CD7">
        <w:rPr>
          <w:lang w:val="en-US"/>
        </w:rPr>
        <w:t>2)</w:t>
      </w:r>
      <w:r w:rsidR="009D256E">
        <w:rPr>
          <w:lang w:val="en-US"/>
        </w:rPr>
        <w:t xml:space="preserve"> </w:t>
      </w:r>
      <w:r w:rsidR="006717D1">
        <w:rPr>
          <w:lang w:val="en-US"/>
        </w:rPr>
        <w:t xml:space="preserve">persons </w:t>
      </w:r>
      <w:r w:rsidR="008C2661">
        <w:rPr>
          <w:lang w:val="en-US"/>
        </w:rPr>
        <w:t xml:space="preserve">who are preparing to commit or have committed </w:t>
      </w:r>
      <w:r w:rsidR="005C6F10">
        <w:rPr>
          <w:lang w:val="en-US"/>
        </w:rPr>
        <w:t>a</w:t>
      </w:r>
      <w:r w:rsidR="008C2661">
        <w:rPr>
          <w:lang w:val="en-US"/>
        </w:rPr>
        <w:t xml:space="preserve"> crime</w:t>
      </w:r>
      <w:r w:rsidR="005C6F10">
        <w:rPr>
          <w:lang w:val="en-US"/>
        </w:rPr>
        <w:t>,</w:t>
      </w:r>
      <w:r w:rsidR="00887CD7">
        <w:rPr>
          <w:lang w:val="en-US"/>
        </w:rPr>
        <w:t xml:space="preserve"> or 3) events or actions </w:t>
      </w:r>
      <w:r w:rsidR="00972206">
        <w:rPr>
          <w:lang w:val="en-US"/>
        </w:rPr>
        <w:t xml:space="preserve">that create a threat to </w:t>
      </w:r>
      <w:r w:rsidR="009D2198">
        <w:rPr>
          <w:lang w:val="en-US"/>
        </w:rPr>
        <w:t>the state, military, economic, information or environmental security of the Russian Federation.</w:t>
      </w:r>
      <w:r w:rsidR="006301B0">
        <w:rPr>
          <w:lang w:val="en-US"/>
        </w:rPr>
        <w:t xml:space="preserve"> It f</w:t>
      </w:r>
      <w:r w:rsidR="0085729E">
        <w:rPr>
          <w:lang w:val="en-US"/>
        </w:rPr>
        <w:t>urther notes that a person who believes</w:t>
      </w:r>
      <w:r w:rsidR="0090245B">
        <w:rPr>
          <w:lang w:val="en-US"/>
        </w:rPr>
        <w:t xml:space="preserve"> that </w:t>
      </w:r>
      <w:r w:rsidR="001C4E3F">
        <w:rPr>
          <w:lang w:val="en-US"/>
        </w:rPr>
        <w:t xml:space="preserve">the </w:t>
      </w:r>
      <w:r w:rsidR="000C0C45">
        <w:rPr>
          <w:lang w:val="en-US"/>
        </w:rPr>
        <w:t xml:space="preserve">wiretapping against him has </w:t>
      </w:r>
      <w:r w:rsidR="00CA3B3F">
        <w:rPr>
          <w:lang w:val="en-US"/>
        </w:rPr>
        <w:t xml:space="preserve">violated his or her rights and freedoms has the right to appeal such actions to a higher investigative authority, or to a prosecutor or </w:t>
      </w:r>
      <w:r w:rsidR="00781E7B">
        <w:rPr>
          <w:lang w:val="en-US"/>
        </w:rPr>
        <w:t>court</w:t>
      </w:r>
      <w:r w:rsidR="00F60500">
        <w:rPr>
          <w:lang w:val="en-US"/>
        </w:rPr>
        <w:t xml:space="preserve"> in </w:t>
      </w:r>
      <w:r w:rsidR="00F60500">
        <w:rPr>
          <w:lang w:val="en-US"/>
        </w:rPr>
        <w:lastRenderedPageBreak/>
        <w:t>accordance with article 125 of the Code of Criminal Procedure</w:t>
      </w:r>
      <w:r w:rsidR="00781E7B">
        <w:rPr>
          <w:lang w:val="en-US"/>
        </w:rPr>
        <w:t>.</w:t>
      </w:r>
      <w:r w:rsidR="00CE6063">
        <w:rPr>
          <w:lang w:val="en-US"/>
        </w:rPr>
        <w:t xml:space="preserve"> </w:t>
      </w:r>
      <w:r w:rsidR="006973FB">
        <w:rPr>
          <w:lang w:val="en-US"/>
        </w:rPr>
        <w:t>The State party submits that</w:t>
      </w:r>
      <w:r w:rsidR="00A46026">
        <w:rPr>
          <w:lang w:val="en-US"/>
        </w:rPr>
        <w:t xml:space="preserve"> it doesn’t appear from the submitted documents that the author </w:t>
      </w:r>
      <w:r w:rsidR="00671653">
        <w:rPr>
          <w:lang w:val="en-US"/>
        </w:rPr>
        <w:t xml:space="preserve">filed a complaint </w:t>
      </w:r>
      <w:r w:rsidR="00577283">
        <w:rPr>
          <w:lang w:val="en-US"/>
        </w:rPr>
        <w:t xml:space="preserve">against unlawful or unjustified wiretapping upon learning </w:t>
      </w:r>
      <w:r w:rsidR="005B50CF">
        <w:rPr>
          <w:lang w:val="en-US"/>
        </w:rPr>
        <w:t xml:space="preserve">about it </w:t>
      </w:r>
      <w:r w:rsidR="00782FB2">
        <w:rPr>
          <w:lang w:val="en-US"/>
        </w:rPr>
        <w:t xml:space="preserve">during the review of </w:t>
      </w:r>
      <w:r w:rsidR="00924CAF">
        <w:rPr>
          <w:lang w:val="en-US"/>
        </w:rPr>
        <w:t>the evidentiary materials in his criminal case.</w:t>
      </w:r>
      <w:r w:rsidR="006C3E0D">
        <w:rPr>
          <w:lang w:val="en-US"/>
        </w:rPr>
        <w:t xml:space="preserve"> Therefore, the author’s </w:t>
      </w:r>
      <w:r w:rsidR="004F0669">
        <w:rPr>
          <w:lang w:val="en-US"/>
        </w:rPr>
        <w:t>claim under article 17 (1) of the Covenant</w:t>
      </w:r>
      <w:r w:rsidR="006C3E0D">
        <w:rPr>
          <w:lang w:val="en-US"/>
        </w:rPr>
        <w:t xml:space="preserve"> is inadmissible</w:t>
      </w:r>
      <w:r w:rsidR="00924CAF">
        <w:rPr>
          <w:lang w:val="en-US"/>
        </w:rPr>
        <w:t xml:space="preserve"> </w:t>
      </w:r>
      <w:r w:rsidR="004F0669">
        <w:rPr>
          <w:lang w:val="en-US"/>
        </w:rPr>
        <w:t xml:space="preserve">for </w:t>
      </w:r>
      <w:r w:rsidR="003448AF">
        <w:rPr>
          <w:lang w:val="en-US"/>
        </w:rPr>
        <w:t>the failure to exhaust domestic remedies.</w:t>
      </w:r>
    </w:p>
    <w:p w14:paraId="240155F2" w14:textId="78501234" w:rsidR="003448AF" w:rsidRDefault="003448AF" w:rsidP="006973FB">
      <w:pPr>
        <w:pStyle w:val="SingleTxtG"/>
        <w:rPr>
          <w:lang w:val="en-US"/>
        </w:rPr>
      </w:pPr>
      <w:r>
        <w:rPr>
          <w:lang w:val="en-US"/>
        </w:rPr>
        <w:t>4.2</w:t>
      </w:r>
      <w:r>
        <w:rPr>
          <w:lang w:val="en-US"/>
        </w:rPr>
        <w:tab/>
      </w:r>
      <w:r w:rsidR="000E449E">
        <w:rPr>
          <w:lang w:val="en-US"/>
        </w:rPr>
        <w:t xml:space="preserve">The State party notes that </w:t>
      </w:r>
      <w:r w:rsidR="005D2426">
        <w:rPr>
          <w:lang w:val="en-US"/>
        </w:rPr>
        <w:t xml:space="preserve">in accordance with article 401.2 (1) of the Code of Criminal Procedure, </w:t>
      </w:r>
      <w:r w:rsidR="008A1A54">
        <w:rPr>
          <w:lang w:val="en-US"/>
        </w:rPr>
        <w:t xml:space="preserve">court decisions that have entered into force can be appealed </w:t>
      </w:r>
      <w:r w:rsidR="00C74839">
        <w:rPr>
          <w:lang w:val="en-US"/>
        </w:rPr>
        <w:t>to the courts of cassation.</w:t>
      </w:r>
      <w:r w:rsidR="00A44DFA">
        <w:rPr>
          <w:lang w:val="en-US"/>
        </w:rPr>
        <w:t xml:space="preserve"> </w:t>
      </w:r>
      <w:r w:rsidR="00C74839">
        <w:rPr>
          <w:lang w:val="en-US"/>
        </w:rPr>
        <w:t xml:space="preserve"> </w:t>
      </w:r>
      <w:r w:rsidR="00E3221F">
        <w:rPr>
          <w:lang w:val="en-US"/>
        </w:rPr>
        <w:t xml:space="preserve">It further notes that the author has not submitted a cassation appeal against the </w:t>
      </w:r>
      <w:r w:rsidR="00A67846">
        <w:t xml:space="preserve">decision of </w:t>
      </w:r>
      <w:r w:rsidR="00A67846">
        <w:rPr>
          <w:lang w:val="en-US"/>
        </w:rPr>
        <w:t xml:space="preserve">the </w:t>
      </w:r>
      <w:r w:rsidR="00A67846">
        <w:t>Justice of the Peace of the Yoshkar-Ola judicial district No.2</w:t>
      </w:r>
      <w:r w:rsidR="00AB600A">
        <w:t xml:space="preserve"> </w:t>
      </w:r>
      <w:r w:rsidR="00DC4289">
        <w:rPr>
          <w:lang w:val="en-US"/>
        </w:rPr>
        <w:t xml:space="preserve">and the appellate decision </w:t>
      </w:r>
      <w:r w:rsidR="00E967C2">
        <w:rPr>
          <w:lang w:val="en-US"/>
        </w:rPr>
        <w:t xml:space="preserve">of the </w:t>
      </w:r>
      <w:r w:rsidR="00E967C2">
        <w:t xml:space="preserve">Yoshkar-Ola City Court. </w:t>
      </w:r>
      <w:r w:rsidR="007F6533">
        <w:t xml:space="preserve">According to the State party, </w:t>
      </w:r>
      <w:r w:rsidR="0026193D">
        <w:t xml:space="preserve">on 3 October 2013, </w:t>
      </w:r>
      <w:r w:rsidR="007F6533">
        <w:t xml:space="preserve">the </w:t>
      </w:r>
      <w:r w:rsidR="0026193D">
        <w:t xml:space="preserve">Yoshkar-Ola City Court </w:t>
      </w:r>
      <w:r w:rsidR="003725A7">
        <w:t>dismissed</w:t>
      </w:r>
      <w:r w:rsidR="0026193D">
        <w:t xml:space="preserve"> the </w:t>
      </w:r>
      <w:r w:rsidR="007F6533">
        <w:t xml:space="preserve">author’s </w:t>
      </w:r>
      <w:r w:rsidR="00920958">
        <w:t>cassation appeal</w:t>
      </w:r>
      <w:r w:rsidR="002E6C00">
        <w:t xml:space="preserve"> because</w:t>
      </w:r>
      <w:r w:rsidR="00203FD1">
        <w:t xml:space="preserve"> article 401.3 of the Code of Criminal Procedure require</w:t>
      </w:r>
      <w:r w:rsidR="005D72B1">
        <w:t xml:space="preserve">d that it </w:t>
      </w:r>
      <w:r w:rsidR="00140B3B">
        <w:t>be</w:t>
      </w:r>
      <w:r w:rsidR="005D72B1">
        <w:t xml:space="preserve"> submitted to the </w:t>
      </w:r>
      <w:r w:rsidR="000E0985">
        <w:t xml:space="preserve">presidium </w:t>
      </w:r>
      <w:r w:rsidR="005D72B1">
        <w:t xml:space="preserve">Supreme Court of the </w:t>
      </w:r>
      <w:r w:rsidR="00F37D5F">
        <w:t xml:space="preserve">Mari El </w:t>
      </w:r>
      <w:r w:rsidR="005D72B1">
        <w:t>Republic</w:t>
      </w:r>
      <w:r w:rsidR="00140B3B">
        <w:t xml:space="preserve"> instead of the Yoshkar-Ola City Court.</w:t>
      </w:r>
      <w:r w:rsidR="001F469B">
        <w:t xml:space="preserve"> However, </w:t>
      </w:r>
      <w:r w:rsidR="003725A7">
        <w:t xml:space="preserve">despite the dismissal, the author never re-submitted his cassation appeal to the correct court. </w:t>
      </w:r>
      <w:r w:rsidR="00683C40">
        <w:t xml:space="preserve">Therefore, the State party </w:t>
      </w:r>
      <w:r w:rsidR="00C33239">
        <w:t>argues</w:t>
      </w:r>
      <w:r w:rsidR="00683C40">
        <w:t xml:space="preserve"> that </w:t>
      </w:r>
      <w:r w:rsidR="008367A1">
        <w:t xml:space="preserve">the author’s claim under article 19 (2) of the Covenant is also inadmissible </w:t>
      </w:r>
      <w:r w:rsidR="008367A1">
        <w:rPr>
          <w:lang w:val="en-US"/>
        </w:rPr>
        <w:t>for the failure to exhaust domestic remedies.</w:t>
      </w:r>
    </w:p>
    <w:p w14:paraId="1A04EEA0" w14:textId="06A11B05" w:rsidR="008367A1" w:rsidRPr="00AC5761" w:rsidRDefault="008367A1" w:rsidP="006973FB">
      <w:pPr>
        <w:pStyle w:val="SingleTxtG"/>
      </w:pPr>
      <w:r>
        <w:rPr>
          <w:lang w:val="en-US"/>
        </w:rPr>
        <w:t>4.3</w:t>
      </w:r>
      <w:r>
        <w:rPr>
          <w:lang w:val="en-US"/>
        </w:rPr>
        <w:tab/>
      </w:r>
      <w:r w:rsidR="005A4E3F">
        <w:rPr>
          <w:lang w:val="en-US"/>
        </w:rPr>
        <w:t xml:space="preserve">With </w:t>
      </w:r>
      <w:r w:rsidR="00C33239">
        <w:rPr>
          <w:lang w:val="en-US"/>
        </w:rPr>
        <w:t>regard</w:t>
      </w:r>
      <w:r w:rsidR="005A4E3F">
        <w:rPr>
          <w:lang w:val="en-US"/>
        </w:rPr>
        <w:t xml:space="preserve"> to the merits of the communication, the State party submits that </w:t>
      </w:r>
      <w:r w:rsidR="00C33239">
        <w:rPr>
          <w:lang w:val="en-US"/>
        </w:rPr>
        <w:t xml:space="preserve">the author </w:t>
      </w:r>
      <w:r w:rsidR="007C7333">
        <w:rPr>
          <w:lang w:val="en-US"/>
        </w:rPr>
        <w:t>was found guilty of</w:t>
      </w:r>
      <w:r w:rsidR="00D74991">
        <w:rPr>
          <w:lang w:val="en-US"/>
        </w:rPr>
        <w:t xml:space="preserve"> willfully disseminating know</w:t>
      </w:r>
      <w:r w:rsidR="00551104">
        <w:rPr>
          <w:lang w:val="en-US"/>
        </w:rPr>
        <w:t xml:space="preserve">ingly false information </w:t>
      </w:r>
      <w:r w:rsidR="001002BC">
        <w:rPr>
          <w:lang w:val="en-US"/>
        </w:rPr>
        <w:t xml:space="preserve">during his </w:t>
      </w:r>
      <w:r w:rsidR="0006681F">
        <w:rPr>
          <w:lang w:val="en-US"/>
        </w:rPr>
        <w:t xml:space="preserve">speech at a public meeting </w:t>
      </w:r>
      <w:r w:rsidR="00551104">
        <w:rPr>
          <w:lang w:val="en-US"/>
        </w:rPr>
        <w:t>about</w:t>
      </w:r>
      <w:r w:rsidR="00EF46BC">
        <w:rPr>
          <w:lang w:val="en-US"/>
        </w:rPr>
        <w:t xml:space="preserve"> </w:t>
      </w:r>
      <w:r w:rsidR="00BA6672">
        <w:rPr>
          <w:lang w:val="en-US"/>
        </w:rPr>
        <w:t xml:space="preserve">the Mari El Republic </w:t>
      </w:r>
      <w:r w:rsidR="001002BC">
        <w:rPr>
          <w:lang w:val="en-US"/>
        </w:rPr>
        <w:t xml:space="preserve">head’s alleged </w:t>
      </w:r>
      <w:r w:rsidR="00EF46BC">
        <w:rPr>
          <w:lang w:val="en-US"/>
        </w:rPr>
        <w:t xml:space="preserve">affiliation </w:t>
      </w:r>
      <w:r w:rsidR="001002BC">
        <w:rPr>
          <w:lang w:val="en-US"/>
        </w:rPr>
        <w:t xml:space="preserve">with </w:t>
      </w:r>
      <w:r w:rsidR="00EF46BC">
        <w:rPr>
          <w:lang w:val="en-US"/>
        </w:rPr>
        <w:t xml:space="preserve">organized crime </w:t>
      </w:r>
      <w:r w:rsidR="001002BC">
        <w:rPr>
          <w:lang w:val="en-US"/>
        </w:rPr>
        <w:t>groups</w:t>
      </w:r>
      <w:r w:rsidR="00973901">
        <w:rPr>
          <w:lang w:val="en-US"/>
        </w:rPr>
        <w:t xml:space="preserve">. </w:t>
      </w:r>
      <w:r w:rsidR="00007D0C">
        <w:rPr>
          <w:lang w:val="en-US"/>
        </w:rPr>
        <w:t xml:space="preserve">During the author’s trial, the court heard the </w:t>
      </w:r>
      <w:r w:rsidR="009C0059">
        <w:rPr>
          <w:lang w:val="en-US"/>
        </w:rPr>
        <w:t xml:space="preserve">testimony </w:t>
      </w:r>
      <w:r w:rsidR="00621E2A">
        <w:rPr>
          <w:lang w:val="en-US"/>
        </w:rPr>
        <w:t xml:space="preserve">given during the pre-trial investigation by Mr. </w:t>
      </w:r>
      <w:r w:rsidR="00D6488F">
        <w:rPr>
          <w:lang w:val="en-US"/>
        </w:rPr>
        <w:t>M</w:t>
      </w:r>
      <w:r w:rsidR="00621E2A">
        <w:rPr>
          <w:lang w:val="en-US"/>
        </w:rPr>
        <w:t xml:space="preserve">, the head of the Mari El Republic, </w:t>
      </w:r>
      <w:r w:rsidR="00DA0415">
        <w:rPr>
          <w:lang w:val="en-US"/>
        </w:rPr>
        <w:t xml:space="preserve">in which he </w:t>
      </w:r>
      <w:r w:rsidR="00307D87">
        <w:rPr>
          <w:lang w:val="en-US"/>
        </w:rPr>
        <w:t>testified that th</w:t>
      </w:r>
      <w:r w:rsidR="006310C1">
        <w:rPr>
          <w:lang w:val="en-US"/>
        </w:rPr>
        <w:t xml:space="preserve">e </w:t>
      </w:r>
      <w:r w:rsidR="00865BE8">
        <w:rPr>
          <w:lang w:val="en-US"/>
        </w:rPr>
        <w:t xml:space="preserve">author’s </w:t>
      </w:r>
      <w:r w:rsidR="000A3DEE">
        <w:rPr>
          <w:lang w:val="en-US"/>
        </w:rPr>
        <w:t xml:space="preserve">public </w:t>
      </w:r>
      <w:r w:rsidR="009C78DF">
        <w:rPr>
          <w:lang w:val="en-US"/>
        </w:rPr>
        <w:t xml:space="preserve">speech </w:t>
      </w:r>
      <w:r w:rsidR="003233CD" w:rsidRPr="003233CD">
        <w:rPr>
          <w:lang w:val="en-US"/>
        </w:rPr>
        <w:t>defame</w:t>
      </w:r>
      <w:r w:rsidR="003233CD">
        <w:rPr>
          <w:lang w:val="en-US"/>
        </w:rPr>
        <w:t>d</w:t>
      </w:r>
      <w:r w:rsidR="003233CD" w:rsidRPr="003233CD">
        <w:rPr>
          <w:lang w:val="en-US"/>
        </w:rPr>
        <w:t xml:space="preserve"> his </w:t>
      </w:r>
      <w:proofErr w:type="spellStart"/>
      <w:r w:rsidR="003233CD" w:rsidRPr="003233CD">
        <w:rPr>
          <w:lang w:val="en-US"/>
        </w:rPr>
        <w:t>hono</w:t>
      </w:r>
      <w:r w:rsidR="00030494">
        <w:rPr>
          <w:lang w:val="en-US"/>
        </w:rPr>
        <w:t>u</w:t>
      </w:r>
      <w:r w:rsidR="003233CD" w:rsidRPr="003233CD">
        <w:rPr>
          <w:lang w:val="en-US"/>
        </w:rPr>
        <w:t>r</w:t>
      </w:r>
      <w:proofErr w:type="spellEnd"/>
      <w:r w:rsidR="003233CD" w:rsidRPr="003233CD">
        <w:rPr>
          <w:lang w:val="en-US"/>
        </w:rPr>
        <w:t xml:space="preserve"> and dignity and undermine</w:t>
      </w:r>
      <w:r w:rsidR="003233CD">
        <w:rPr>
          <w:lang w:val="en-US"/>
        </w:rPr>
        <w:t>d</w:t>
      </w:r>
      <w:r w:rsidR="003233CD" w:rsidRPr="003233CD">
        <w:rPr>
          <w:lang w:val="en-US"/>
        </w:rPr>
        <w:t xml:space="preserve"> his business reputation</w:t>
      </w:r>
      <w:r w:rsidR="003233CD">
        <w:rPr>
          <w:lang w:val="en-US"/>
        </w:rPr>
        <w:t xml:space="preserve">. </w:t>
      </w:r>
      <w:r w:rsidR="00217A13">
        <w:rPr>
          <w:lang w:val="en-US"/>
        </w:rPr>
        <w:t xml:space="preserve">The State party submits that other witnesses testified at the trial that they had heard the author </w:t>
      </w:r>
      <w:r w:rsidR="00C13312">
        <w:rPr>
          <w:lang w:val="en-US"/>
        </w:rPr>
        <w:t xml:space="preserve">calling Mr. </w:t>
      </w:r>
      <w:r w:rsidR="00D6488F">
        <w:rPr>
          <w:lang w:val="en-US"/>
        </w:rPr>
        <w:t xml:space="preserve">M </w:t>
      </w:r>
      <w:r w:rsidR="00C13312">
        <w:rPr>
          <w:lang w:val="en-US"/>
        </w:rPr>
        <w:t xml:space="preserve">a “bandit”. </w:t>
      </w:r>
      <w:r w:rsidR="00C6327F">
        <w:rPr>
          <w:lang w:val="en-US"/>
        </w:rPr>
        <w:t>The event was recorded on video</w:t>
      </w:r>
      <w:r w:rsidR="00E018E7">
        <w:rPr>
          <w:lang w:val="en-US"/>
        </w:rPr>
        <w:t>,</w:t>
      </w:r>
      <w:r w:rsidR="00C6327F">
        <w:rPr>
          <w:lang w:val="en-US"/>
        </w:rPr>
        <w:t xml:space="preserve"> and the author did not oppose the content of </w:t>
      </w:r>
      <w:r w:rsidR="00E018E7">
        <w:rPr>
          <w:lang w:val="en-US"/>
        </w:rPr>
        <w:t xml:space="preserve">the recording at the trial. </w:t>
      </w:r>
      <w:r w:rsidR="009E6EE3">
        <w:rPr>
          <w:lang w:val="en-US"/>
        </w:rPr>
        <w:t xml:space="preserve">The State party notes that the </w:t>
      </w:r>
      <w:r w:rsidR="0060507E">
        <w:rPr>
          <w:lang w:val="en-US"/>
        </w:rPr>
        <w:t xml:space="preserve">linguistic examination concluded that the author’s speech contained </w:t>
      </w:r>
      <w:r w:rsidR="00AB622B">
        <w:rPr>
          <w:lang w:val="en-US"/>
        </w:rPr>
        <w:t xml:space="preserve">allegations of Mr. </w:t>
      </w:r>
      <w:r w:rsidR="00D6488F">
        <w:rPr>
          <w:lang w:val="en-US"/>
        </w:rPr>
        <w:t>M</w:t>
      </w:r>
      <w:r w:rsidR="00AB622B">
        <w:rPr>
          <w:lang w:val="en-US"/>
        </w:rPr>
        <w:t xml:space="preserve">’s </w:t>
      </w:r>
      <w:r w:rsidR="001C536B">
        <w:rPr>
          <w:lang w:val="en-US"/>
        </w:rPr>
        <w:t xml:space="preserve">contacts with organized crime and </w:t>
      </w:r>
      <w:r w:rsidR="00B6110E">
        <w:rPr>
          <w:lang w:val="en-US"/>
        </w:rPr>
        <w:t xml:space="preserve">criminal cases initiated against him. </w:t>
      </w:r>
      <w:r w:rsidR="00104671">
        <w:rPr>
          <w:lang w:val="en-US"/>
        </w:rPr>
        <w:t xml:space="preserve">The State party also notes that during the pre-trial investigation, the author </w:t>
      </w:r>
      <w:r w:rsidR="007F4156">
        <w:rPr>
          <w:lang w:val="en-US"/>
        </w:rPr>
        <w:t>testified that he had used the word “bandit” t</w:t>
      </w:r>
      <w:r w:rsidR="008E3373">
        <w:rPr>
          <w:lang w:val="en-US"/>
        </w:rPr>
        <w:t xml:space="preserve">o generalize the characteristics of Mr. </w:t>
      </w:r>
      <w:r w:rsidR="00D6488F">
        <w:rPr>
          <w:lang w:val="en-US"/>
        </w:rPr>
        <w:t>M</w:t>
      </w:r>
      <w:r w:rsidR="008E3373">
        <w:rPr>
          <w:lang w:val="en-US"/>
        </w:rPr>
        <w:t xml:space="preserve">’s personality </w:t>
      </w:r>
      <w:r w:rsidR="009A500F">
        <w:rPr>
          <w:lang w:val="en-US"/>
        </w:rPr>
        <w:t xml:space="preserve">and his </w:t>
      </w:r>
      <w:proofErr w:type="spellStart"/>
      <w:r w:rsidR="009A500F">
        <w:rPr>
          <w:lang w:val="en-US"/>
        </w:rPr>
        <w:t>behavio</w:t>
      </w:r>
      <w:r w:rsidR="00030494">
        <w:rPr>
          <w:lang w:val="en-US"/>
        </w:rPr>
        <w:t>u</w:t>
      </w:r>
      <w:r w:rsidR="009A500F">
        <w:rPr>
          <w:lang w:val="en-US"/>
        </w:rPr>
        <w:t>r</w:t>
      </w:r>
      <w:proofErr w:type="spellEnd"/>
      <w:r w:rsidR="009A500F">
        <w:rPr>
          <w:lang w:val="en-US"/>
        </w:rPr>
        <w:t xml:space="preserve"> in the society. </w:t>
      </w:r>
      <w:r w:rsidR="001137F6">
        <w:rPr>
          <w:lang w:val="en-US"/>
        </w:rPr>
        <w:t xml:space="preserve">According to the author, he </w:t>
      </w:r>
      <w:r w:rsidR="005340E5">
        <w:rPr>
          <w:lang w:val="en-US"/>
        </w:rPr>
        <w:t>formed this opinion</w:t>
      </w:r>
      <w:r w:rsidR="0011560C">
        <w:rPr>
          <w:lang w:val="en-US"/>
        </w:rPr>
        <w:t xml:space="preserve"> as a result of communicating with a large number of people known to him who spoke negatively about Mr. </w:t>
      </w:r>
      <w:r w:rsidR="00D6488F">
        <w:rPr>
          <w:lang w:val="en-US"/>
        </w:rPr>
        <w:t>M</w:t>
      </w:r>
      <w:r w:rsidR="0011560C">
        <w:rPr>
          <w:lang w:val="en-US"/>
        </w:rPr>
        <w:t xml:space="preserve">. </w:t>
      </w:r>
      <w:r w:rsidR="007146CE">
        <w:rPr>
          <w:lang w:val="en-US"/>
        </w:rPr>
        <w:t xml:space="preserve">The State party notes that </w:t>
      </w:r>
      <w:r w:rsidR="00CF7AD0">
        <w:rPr>
          <w:lang w:val="en-US"/>
        </w:rPr>
        <w:t xml:space="preserve">the law enforcement authorities are not aware of </w:t>
      </w:r>
      <w:r w:rsidR="007146CE">
        <w:rPr>
          <w:lang w:val="en-US"/>
        </w:rPr>
        <w:t xml:space="preserve">information that </w:t>
      </w:r>
      <w:r w:rsidR="00F14FD7">
        <w:rPr>
          <w:lang w:val="en-US"/>
        </w:rPr>
        <w:t xml:space="preserve">would </w:t>
      </w:r>
      <w:r w:rsidR="001B4267">
        <w:rPr>
          <w:lang w:val="en-US"/>
        </w:rPr>
        <w:t xml:space="preserve">implicate Mr. </w:t>
      </w:r>
      <w:r w:rsidR="00D6488F">
        <w:rPr>
          <w:lang w:val="en-US"/>
        </w:rPr>
        <w:t>M</w:t>
      </w:r>
      <w:r w:rsidR="002504A1">
        <w:rPr>
          <w:lang w:val="en-US"/>
        </w:rPr>
        <w:t>’s involvement with organized crime groups.</w:t>
      </w:r>
      <w:r w:rsidR="00AF29B7">
        <w:rPr>
          <w:lang w:val="en-US"/>
        </w:rPr>
        <w:t xml:space="preserve"> </w:t>
      </w:r>
      <w:r w:rsidR="00484412">
        <w:rPr>
          <w:lang w:val="en-US"/>
        </w:rPr>
        <w:t xml:space="preserve">The State party concludes that the author’s </w:t>
      </w:r>
      <w:r w:rsidR="00AC5761">
        <w:rPr>
          <w:lang w:val="en-US"/>
        </w:rPr>
        <w:t>rights under article 19 of the Covenant</w:t>
      </w:r>
      <w:r w:rsidR="00484412">
        <w:rPr>
          <w:lang w:val="en-US"/>
        </w:rPr>
        <w:t xml:space="preserve"> </w:t>
      </w:r>
      <w:r w:rsidR="0042746D">
        <w:rPr>
          <w:lang w:val="en-US"/>
        </w:rPr>
        <w:t>were</w:t>
      </w:r>
      <w:r w:rsidR="00484412">
        <w:rPr>
          <w:lang w:val="en-US"/>
        </w:rPr>
        <w:t xml:space="preserve"> not violated </w:t>
      </w:r>
      <w:r w:rsidR="00226091">
        <w:rPr>
          <w:lang w:val="en-US"/>
        </w:rPr>
        <w:t xml:space="preserve">because his criminal conviction was not due to the </w:t>
      </w:r>
      <w:r w:rsidR="00132DCC">
        <w:rPr>
          <w:lang w:val="en-US"/>
        </w:rPr>
        <w:t xml:space="preserve">critical assessment of the work of </w:t>
      </w:r>
      <w:r w:rsidR="00865195">
        <w:rPr>
          <w:lang w:val="en-US"/>
        </w:rPr>
        <w:t xml:space="preserve">Mr. </w:t>
      </w:r>
      <w:r w:rsidR="00D6488F">
        <w:rPr>
          <w:lang w:val="en-US"/>
        </w:rPr>
        <w:t>M</w:t>
      </w:r>
      <w:r w:rsidR="00865195">
        <w:rPr>
          <w:lang w:val="en-US"/>
        </w:rPr>
        <w:t xml:space="preserve"> </w:t>
      </w:r>
      <w:r w:rsidR="000D34BC">
        <w:rPr>
          <w:lang w:val="en-US"/>
        </w:rPr>
        <w:t xml:space="preserve">as </w:t>
      </w:r>
      <w:r w:rsidR="00132DCC">
        <w:rPr>
          <w:lang w:val="en-US"/>
        </w:rPr>
        <w:t xml:space="preserve">the head of the Mari El Republic but rather for </w:t>
      </w:r>
      <w:r w:rsidR="00BA4B97">
        <w:rPr>
          <w:lang w:val="en-US"/>
        </w:rPr>
        <w:t xml:space="preserve">disseminating knowingly false information </w:t>
      </w:r>
      <w:r w:rsidR="00932AEA">
        <w:rPr>
          <w:lang w:val="en-US"/>
        </w:rPr>
        <w:t xml:space="preserve">about </w:t>
      </w:r>
      <w:r w:rsidR="00865195">
        <w:rPr>
          <w:lang w:val="en-US"/>
        </w:rPr>
        <w:t>his</w:t>
      </w:r>
      <w:r w:rsidR="00932AEA">
        <w:rPr>
          <w:lang w:val="en-US"/>
        </w:rPr>
        <w:t xml:space="preserve"> </w:t>
      </w:r>
      <w:r w:rsidR="002140AC">
        <w:rPr>
          <w:lang w:val="en-US"/>
        </w:rPr>
        <w:t>connection to organized crime</w:t>
      </w:r>
      <w:r w:rsidR="00865195">
        <w:rPr>
          <w:lang w:val="en-US"/>
        </w:rPr>
        <w:t xml:space="preserve"> groups</w:t>
      </w:r>
      <w:r w:rsidR="002140AC">
        <w:rPr>
          <w:lang w:val="en-US"/>
        </w:rPr>
        <w:t xml:space="preserve">. </w:t>
      </w:r>
      <w:r w:rsidR="008C17A4">
        <w:rPr>
          <w:lang w:val="en-US"/>
        </w:rPr>
        <w:t>The State party argues that</w:t>
      </w:r>
      <w:r w:rsidR="007F423D">
        <w:rPr>
          <w:lang w:val="en-US"/>
        </w:rPr>
        <w:t xml:space="preserve"> </w:t>
      </w:r>
      <w:r w:rsidR="008A05F2">
        <w:rPr>
          <w:lang w:val="en-US"/>
        </w:rPr>
        <w:t>the exercise of the right</w:t>
      </w:r>
      <w:r w:rsidR="00B95DA2">
        <w:rPr>
          <w:lang w:val="en-US"/>
        </w:rPr>
        <w:t xml:space="preserve">s </w:t>
      </w:r>
      <w:r w:rsidR="002E63EB">
        <w:rPr>
          <w:lang w:val="en-US"/>
        </w:rPr>
        <w:t>provided for in paragraph 2 of article 19</w:t>
      </w:r>
      <w:r w:rsidR="00C34BD3">
        <w:rPr>
          <w:lang w:val="en-US"/>
        </w:rPr>
        <w:t xml:space="preserve"> may be subject to restrictions</w:t>
      </w:r>
      <w:r w:rsidR="008C17A4">
        <w:rPr>
          <w:lang w:val="en-US"/>
        </w:rPr>
        <w:t>, including</w:t>
      </w:r>
      <w:r w:rsidR="00C34BD3">
        <w:rPr>
          <w:lang w:val="en-US"/>
        </w:rPr>
        <w:t xml:space="preserve"> </w:t>
      </w:r>
      <w:r w:rsidR="00B534E3">
        <w:rPr>
          <w:lang w:val="en-US"/>
        </w:rPr>
        <w:t xml:space="preserve">to protect the rights </w:t>
      </w:r>
      <w:r w:rsidR="006D0D4E">
        <w:rPr>
          <w:lang w:val="en-US"/>
        </w:rPr>
        <w:t>or reputations of others.</w:t>
      </w:r>
    </w:p>
    <w:p w14:paraId="7A8E51F4" w14:textId="3B70F6CB" w:rsidR="00560E89" w:rsidRPr="007F423D" w:rsidRDefault="00855FBE" w:rsidP="006973FB">
      <w:pPr>
        <w:pStyle w:val="SingleTxtG"/>
        <w:rPr>
          <w:lang w:val="en-US"/>
        </w:rPr>
      </w:pPr>
      <w:r>
        <w:rPr>
          <w:lang w:val="en-US"/>
        </w:rPr>
        <w:t>4.4</w:t>
      </w:r>
      <w:r>
        <w:rPr>
          <w:lang w:val="en-US"/>
        </w:rPr>
        <w:tab/>
      </w:r>
      <w:r w:rsidR="006742AE">
        <w:rPr>
          <w:lang w:val="en-US"/>
        </w:rPr>
        <w:t xml:space="preserve">As to the author’s allegations concerning </w:t>
      </w:r>
      <w:r w:rsidR="001C008D">
        <w:rPr>
          <w:lang w:val="en-US"/>
        </w:rPr>
        <w:t xml:space="preserve">unlawful interference </w:t>
      </w:r>
      <w:r w:rsidR="002813EA">
        <w:rPr>
          <w:lang w:val="en-US"/>
        </w:rPr>
        <w:t>in</w:t>
      </w:r>
      <w:r w:rsidR="001C008D">
        <w:rPr>
          <w:lang w:val="en-US"/>
        </w:rPr>
        <w:t xml:space="preserve"> his private life</w:t>
      </w:r>
      <w:r w:rsidR="002813EA">
        <w:rPr>
          <w:lang w:val="en-US"/>
        </w:rPr>
        <w:t xml:space="preserve"> due to wiretapping, the State party submits that in 2012-2013</w:t>
      </w:r>
      <w:r w:rsidR="001F52C1">
        <w:rPr>
          <w:lang w:val="en-US"/>
        </w:rPr>
        <w:t xml:space="preserve">, the Counter-terrorism Center of the Ministry of </w:t>
      </w:r>
      <w:r w:rsidR="00AE0688">
        <w:rPr>
          <w:lang w:val="en-US"/>
        </w:rPr>
        <w:t xml:space="preserve">Internal Affairs of the Mari El Republic conducted an inquiry into </w:t>
      </w:r>
      <w:r w:rsidR="002355A8">
        <w:rPr>
          <w:lang w:val="en-US"/>
        </w:rPr>
        <w:t xml:space="preserve">information </w:t>
      </w:r>
      <w:r w:rsidR="00DD242F">
        <w:rPr>
          <w:lang w:val="en-US"/>
        </w:rPr>
        <w:t xml:space="preserve">about </w:t>
      </w:r>
      <w:r w:rsidR="00E2680A">
        <w:rPr>
          <w:lang w:val="en-US"/>
        </w:rPr>
        <w:t>the author</w:t>
      </w:r>
      <w:r w:rsidR="00DD242F">
        <w:rPr>
          <w:lang w:val="en-US"/>
        </w:rPr>
        <w:t xml:space="preserve">’s possible involvement </w:t>
      </w:r>
      <w:r w:rsidR="005E013D">
        <w:rPr>
          <w:lang w:val="en-US"/>
        </w:rPr>
        <w:t>in</w:t>
      </w:r>
      <w:r w:rsidR="00DD242F">
        <w:rPr>
          <w:lang w:val="en-US"/>
        </w:rPr>
        <w:t xml:space="preserve"> several crimes.</w:t>
      </w:r>
      <w:r w:rsidR="005E013D">
        <w:rPr>
          <w:lang w:val="en-US"/>
        </w:rPr>
        <w:t xml:space="preserve"> </w:t>
      </w:r>
      <w:r w:rsidR="00B25840">
        <w:rPr>
          <w:lang w:val="en-US"/>
        </w:rPr>
        <w:t xml:space="preserve">On 4 April and 11 September 2012, </w:t>
      </w:r>
      <w:r w:rsidR="00212A44">
        <w:rPr>
          <w:lang w:val="en-US"/>
        </w:rPr>
        <w:t>the Supreme Court of the Mari El Republic</w:t>
      </w:r>
      <w:r w:rsidR="00D4322E">
        <w:rPr>
          <w:lang w:val="en-US"/>
        </w:rPr>
        <w:t xml:space="preserve"> </w:t>
      </w:r>
      <w:r w:rsidR="00746946">
        <w:rPr>
          <w:lang w:val="en-US"/>
        </w:rPr>
        <w:t>authorized the wiretapping of the author’s telephone</w:t>
      </w:r>
      <w:r w:rsidR="00DD0E33">
        <w:rPr>
          <w:lang w:val="en-US"/>
        </w:rPr>
        <w:t xml:space="preserve">. </w:t>
      </w:r>
      <w:r w:rsidR="00185861">
        <w:rPr>
          <w:lang w:val="en-US"/>
        </w:rPr>
        <w:t>The State party notes that</w:t>
      </w:r>
      <w:r w:rsidR="00E56186">
        <w:rPr>
          <w:lang w:val="en-US"/>
        </w:rPr>
        <w:t xml:space="preserve"> when authorized by courts,</w:t>
      </w:r>
      <w:r w:rsidR="00185861">
        <w:rPr>
          <w:lang w:val="en-US"/>
        </w:rPr>
        <w:t xml:space="preserve"> </w:t>
      </w:r>
      <w:r w:rsidR="008A5304">
        <w:rPr>
          <w:lang w:val="en-US"/>
        </w:rPr>
        <w:t xml:space="preserve">the domestic law allows </w:t>
      </w:r>
      <w:r w:rsidR="00B63FA1">
        <w:rPr>
          <w:lang w:val="en-US"/>
        </w:rPr>
        <w:t>wiretappin</w:t>
      </w:r>
      <w:r w:rsidR="008A5304">
        <w:rPr>
          <w:lang w:val="en-US"/>
        </w:rPr>
        <w:t>g</w:t>
      </w:r>
      <w:r w:rsidR="00E56186">
        <w:rPr>
          <w:lang w:val="en-US"/>
        </w:rPr>
        <w:t xml:space="preserve"> </w:t>
      </w:r>
      <w:r w:rsidR="007C474F">
        <w:rPr>
          <w:lang w:val="en-US"/>
        </w:rPr>
        <w:t xml:space="preserve">of individuals suspected of committing </w:t>
      </w:r>
      <w:r w:rsidR="0097122B">
        <w:rPr>
          <w:lang w:val="en-US"/>
        </w:rPr>
        <w:t>crimes of medium gravity</w:t>
      </w:r>
      <w:r w:rsidR="00114E81">
        <w:rPr>
          <w:lang w:val="en-US"/>
        </w:rPr>
        <w:t xml:space="preserve">, as </w:t>
      </w:r>
      <w:r w:rsidR="001D463F">
        <w:rPr>
          <w:lang w:val="en-US"/>
        </w:rPr>
        <w:t xml:space="preserve">well as grave and especially grave crimes. In the case of the author, he </w:t>
      </w:r>
      <w:r w:rsidR="005F3FE9">
        <w:rPr>
          <w:lang w:val="en-US"/>
        </w:rPr>
        <w:t xml:space="preserve">was suspected </w:t>
      </w:r>
      <w:r w:rsidR="0080279D">
        <w:rPr>
          <w:lang w:val="en-US"/>
        </w:rPr>
        <w:t xml:space="preserve">of </w:t>
      </w:r>
      <w:r w:rsidR="00954922">
        <w:rPr>
          <w:lang w:val="en-US"/>
        </w:rPr>
        <w:t xml:space="preserve">making public calls </w:t>
      </w:r>
      <w:r w:rsidR="00127D53">
        <w:rPr>
          <w:lang w:val="en-US"/>
        </w:rPr>
        <w:t xml:space="preserve">to commit </w:t>
      </w:r>
      <w:r w:rsidR="008F63F6">
        <w:rPr>
          <w:lang w:val="en-US"/>
        </w:rPr>
        <w:t>terrorist activities, justif</w:t>
      </w:r>
      <w:r w:rsidR="009341ED">
        <w:rPr>
          <w:lang w:val="en-US"/>
        </w:rPr>
        <w:t>ication of</w:t>
      </w:r>
      <w:r w:rsidR="008F63F6">
        <w:rPr>
          <w:lang w:val="en-US"/>
        </w:rPr>
        <w:t xml:space="preserve"> terrorism </w:t>
      </w:r>
      <w:r w:rsidR="00772AC9">
        <w:rPr>
          <w:lang w:val="en-US"/>
        </w:rPr>
        <w:t xml:space="preserve">or its propaganda, which are qualified as crimes of medium gravity under article 205.2 (2) of the Criminal Code. </w:t>
      </w:r>
      <w:r w:rsidR="008A5304">
        <w:rPr>
          <w:lang w:val="en-US"/>
        </w:rPr>
        <w:t xml:space="preserve"> </w:t>
      </w:r>
      <w:r w:rsidR="00AA724D">
        <w:rPr>
          <w:lang w:val="en-US"/>
        </w:rPr>
        <w:t xml:space="preserve"> </w:t>
      </w:r>
    </w:p>
    <w:p w14:paraId="08225C4D" w14:textId="5B4EDD0F" w:rsidR="00E626B5" w:rsidRPr="00F636A6" w:rsidRDefault="00E626B5" w:rsidP="00E626B5">
      <w:pPr>
        <w:pStyle w:val="H23G"/>
      </w:pPr>
      <w:r>
        <w:tab/>
      </w:r>
      <w:r>
        <w:tab/>
      </w:r>
      <w:r w:rsidRPr="00F636A6">
        <w:t xml:space="preserve">Author’s comments on the State party’s observations on </w:t>
      </w:r>
      <w:r w:rsidR="00647EB5">
        <w:t xml:space="preserve">admissibility and </w:t>
      </w:r>
      <w:r w:rsidR="003D6924">
        <w:t>the merits</w:t>
      </w:r>
    </w:p>
    <w:p w14:paraId="50E537AD" w14:textId="29468B60" w:rsidR="001061C1" w:rsidRDefault="00E626B5" w:rsidP="00E626B5">
      <w:pPr>
        <w:pStyle w:val="SingleTxtG"/>
      </w:pPr>
      <w:r>
        <w:t>5.1</w:t>
      </w:r>
      <w:r>
        <w:tab/>
        <w:t xml:space="preserve">In a </w:t>
      </w:r>
      <w:r>
        <w:rPr>
          <w:bCs/>
        </w:rPr>
        <w:t>l</w:t>
      </w:r>
      <w:r w:rsidRPr="00415BA0">
        <w:rPr>
          <w:bCs/>
        </w:rPr>
        <w:t xml:space="preserve">etter </w:t>
      </w:r>
      <w:r>
        <w:t>dated</w:t>
      </w:r>
      <w:r w:rsidRPr="00415BA0">
        <w:t xml:space="preserve"> </w:t>
      </w:r>
      <w:r w:rsidR="00C31368">
        <w:t>22 October</w:t>
      </w:r>
      <w:r>
        <w:t xml:space="preserve"> </w:t>
      </w:r>
      <w:r>
        <w:rPr>
          <w:bCs/>
        </w:rPr>
        <w:t>20</w:t>
      </w:r>
      <w:r w:rsidR="00C31368">
        <w:rPr>
          <w:bCs/>
        </w:rPr>
        <w:t>18</w:t>
      </w:r>
      <w:r w:rsidRPr="00415BA0">
        <w:rPr>
          <w:bCs/>
        </w:rPr>
        <w:t xml:space="preserve">, </w:t>
      </w:r>
      <w:r w:rsidRPr="00FE7356">
        <w:rPr>
          <w:bCs/>
        </w:rPr>
        <w:t>the author</w:t>
      </w:r>
      <w:r w:rsidRPr="00415BA0">
        <w:rPr>
          <w:bCs/>
        </w:rPr>
        <w:t xml:space="preserve"> </w:t>
      </w:r>
      <w:r w:rsidR="00007A36">
        <w:rPr>
          <w:bCs/>
          <w:lang w:val="en-US"/>
        </w:rPr>
        <w:t>rejects</w:t>
      </w:r>
      <w:r w:rsidR="00A46B2E">
        <w:rPr>
          <w:bCs/>
          <w:lang w:val="en-US"/>
        </w:rPr>
        <w:t xml:space="preserve"> the State party’s </w:t>
      </w:r>
      <w:r w:rsidR="00007A36">
        <w:rPr>
          <w:bCs/>
          <w:lang w:val="en-US"/>
        </w:rPr>
        <w:t xml:space="preserve">arguments </w:t>
      </w:r>
      <w:r w:rsidR="00447567">
        <w:rPr>
          <w:bCs/>
          <w:lang w:val="en-US"/>
        </w:rPr>
        <w:t xml:space="preserve">that he could have </w:t>
      </w:r>
      <w:r w:rsidR="005F32C8">
        <w:rPr>
          <w:bCs/>
          <w:lang w:val="en-US"/>
        </w:rPr>
        <w:t xml:space="preserve">submitted </w:t>
      </w:r>
      <w:r w:rsidR="005F32C8">
        <w:rPr>
          <w:lang w:val="en-US"/>
        </w:rPr>
        <w:t>a complaint against</w:t>
      </w:r>
      <w:r w:rsidR="00B01A8E">
        <w:rPr>
          <w:lang w:val="en-US"/>
        </w:rPr>
        <w:t xml:space="preserve"> the</w:t>
      </w:r>
      <w:r w:rsidR="005F32C8">
        <w:rPr>
          <w:lang w:val="en-US"/>
        </w:rPr>
        <w:t xml:space="preserve"> unlawful wiretapping upon learning about it during the review of the evidentiary materials in his criminal case.</w:t>
      </w:r>
      <w:r w:rsidR="00FA15AC">
        <w:rPr>
          <w:lang w:val="en-US"/>
        </w:rPr>
        <w:t xml:space="preserve"> He argues that </w:t>
      </w:r>
      <w:r w:rsidR="00084AF3">
        <w:rPr>
          <w:lang w:val="en-US"/>
        </w:rPr>
        <w:t>he did not learn about the wiretapping until after the trial court had already rendered a verdict in his case</w:t>
      </w:r>
      <w:r w:rsidR="00767142">
        <w:rPr>
          <w:lang w:val="en-US"/>
        </w:rPr>
        <w:t xml:space="preserve">. He notes that in accordance with article 125 of the Code of Criminal Procedure, </w:t>
      </w:r>
      <w:r w:rsidR="00BE0429">
        <w:rPr>
          <w:lang w:val="en-US"/>
        </w:rPr>
        <w:t xml:space="preserve">once </w:t>
      </w:r>
      <w:r w:rsidR="005F6CFC">
        <w:rPr>
          <w:lang w:val="en-US"/>
        </w:rPr>
        <w:t>the pre-</w:t>
      </w:r>
      <w:r w:rsidR="00591031">
        <w:rPr>
          <w:lang w:val="en-US"/>
        </w:rPr>
        <w:t xml:space="preserve">trial investigation </w:t>
      </w:r>
      <w:r w:rsidR="00435DF1">
        <w:rPr>
          <w:lang w:val="en-US"/>
        </w:rPr>
        <w:t>is</w:t>
      </w:r>
      <w:r w:rsidR="00591031">
        <w:rPr>
          <w:lang w:val="en-US"/>
        </w:rPr>
        <w:t xml:space="preserve"> completed</w:t>
      </w:r>
      <w:r w:rsidR="00DC035E">
        <w:rPr>
          <w:lang w:val="en-US"/>
        </w:rPr>
        <w:t xml:space="preserve">, </w:t>
      </w:r>
      <w:r w:rsidR="00435DF1">
        <w:rPr>
          <w:lang w:val="en-US"/>
        </w:rPr>
        <w:t xml:space="preserve">one can </w:t>
      </w:r>
      <w:r w:rsidR="00F028F5">
        <w:rPr>
          <w:lang w:val="en-US"/>
        </w:rPr>
        <w:t>a</w:t>
      </w:r>
      <w:r w:rsidR="00451A27">
        <w:rPr>
          <w:lang w:val="en-US"/>
        </w:rPr>
        <w:t xml:space="preserve">ppeal </w:t>
      </w:r>
      <w:r w:rsidR="00F028F5">
        <w:rPr>
          <w:lang w:val="en-US"/>
        </w:rPr>
        <w:t>a</w:t>
      </w:r>
      <w:r w:rsidR="00451A27">
        <w:rPr>
          <w:lang w:val="en-US"/>
        </w:rPr>
        <w:t xml:space="preserve"> </w:t>
      </w:r>
      <w:r w:rsidR="00C3266A">
        <w:rPr>
          <w:lang w:val="en-US"/>
        </w:rPr>
        <w:t>decision authorizing wiretapping</w:t>
      </w:r>
      <w:r w:rsidR="00F028F5">
        <w:rPr>
          <w:lang w:val="en-US"/>
        </w:rPr>
        <w:t xml:space="preserve"> </w:t>
      </w:r>
      <w:r w:rsidR="00F028F5">
        <w:rPr>
          <w:lang w:val="en-US"/>
        </w:rPr>
        <w:lastRenderedPageBreak/>
        <w:t xml:space="preserve">only </w:t>
      </w:r>
      <w:r w:rsidR="00D01B19">
        <w:rPr>
          <w:lang w:val="en-US"/>
        </w:rPr>
        <w:t>during the trial or as a part of the regular or cassation appeal</w:t>
      </w:r>
      <w:r w:rsidR="00B42BB6">
        <w:rPr>
          <w:lang w:val="en-US"/>
        </w:rPr>
        <w:t>.</w:t>
      </w:r>
      <w:r w:rsidR="00DE6444">
        <w:rPr>
          <w:lang w:val="en-US"/>
        </w:rPr>
        <w:t xml:space="preserve"> </w:t>
      </w:r>
      <w:r w:rsidR="0043476E">
        <w:rPr>
          <w:lang w:val="en-US"/>
        </w:rPr>
        <w:t>The author</w:t>
      </w:r>
      <w:r w:rsidR="00B03AE8">
        <w:rPr>
          <w:lang w:val="en-US"/>
        </w:rPr>
        <w:t xml:space="preserve"> also notes that </w:t>
      </w:r>
      <w:r w:rsidR="00B03AE8">
        <w:t xml:space="preserve">the Deputy Chairman of the Supreme Court of the Mari El Republic informed </w:t>
      </w:r>
      <w:r w:rsidR="000F19A2">
        <w:t xml:space="preserve">him </w:t>
      </w:r>
      <w:r w:rsidR="00B03AE8">
        <w:t xml:space="preserve">that the Supreme Court did not have </w:t>
      </w:r>
      <w:r w:rsidR="000F19A2">
        <w:t xml:space="preserve">any </w:t>
      </w:r>
      <w:r w:rsidR="00B03AE8">
        <w:t xml:space="preserve">information </w:t>
      </w:r>
      <w:r w:rsidR="001061C1">
        <w:t xml:space="preserve">about </w:t>
      </w:r>
      <w:r w:rsidR="000F19A2">
        <w:t>wiretapping</w:t>
      </w:r>
      <w:r w:rsidR="00BC0B61">
        <w:t xml:space="preserve"> (para. 2.</w:t>
      </w:r>
      <w:r w:rsidR="00483F91">
        <w:t>4</w:t>
      </w:r>
      <w:r w:rsidR="00BC0B61">
        <w:t xml:space="preserve">), and since he did not have any evidence that his telephone was tapped, he could not </w:t>
      </w:r>
      <w:r w:rsidR="001061C1">
        <w:t>appeal</w:t>
      </w:r>
      <w:r w:rsidR="00BC0B61">
        <w:t xml:space="preserve"> it.</w:t>
      </w:r>
    </w:p>
    <w:p w14:paraId="4CF7F798" w14:textId="785B6E40" w:rsidR="000B6870" w:rsidRDefault="00B30FB9" w:rsidP="000B6870">
      <w:pPr>
        <w:pStyle w:val="SingleTxtG"/>
      </w:pPr>
      <w:r>
        <w:rPr>
          <w:lang w:val="en-US"/>
        </w:rPr>
        <w:t>5.2</w:t>
      </w:r>
      <w:r>
        <w:rPr>
          <w:lang w:val="en-US"/>
        </w:rPr>
        <w:tab/>
      </w:r>
      <w:r w:rsidR="002509C4">
        <w:rPr>
          <w:lang w:val="en-US"/>
        </w:rPr>
        <w:t xml:space="preserve">With </w:t>
      </w:r>
      <w:r w:rsidR="00293D97">
        <w:rPr>
          <w:lang w:val="en-US"/>
        </w:rPr>
        <w:t>regard</w:t>
      </w:r>
      <w:r w:rsidR="002B72B1">
        <w:rPr>
          <w:lang w:val="en-US"/>
        </w:rPr>
        <w:t xml:space="preserve"> to the State party’s submission that </w:t>
      </w:r>
      <w:r w:rsidR="002509C4">
        <w:rPr>
          <w:lang w:val="en-US"/>
        </w:rPr>
        <w:t>court decisions that have entered into force can be appealed to the courts of cassation instance</w:t>
      </w:r>
      <w:r w:rsidR="002715B5">
        <w:rPr>
          <w:lang w:val="en-US"/>
        </w:rPr>
        <w:t xml:space="preserve">, the author argues that the cassation appeal </w:t>
      </w:r>
      <w:r w:rsidR="00352375">
        <w:rPr>
          <w:lang w:val="en-US"/>
        </w:rPr>
        <w:t xml:space="preserve">cannot be considered </w:t>
      </w:r>
      <w:r w:rsidR="00B95C34">
        <w:rPr>
          <w:lang w:val="en-US"/>
        </w:rPr>
        <w:t xml:space="preserve">an </w:t>
      </w:r>
      <w:r w:rsidR="00803F41">
        <w:rPr>
          <w:lang w:val="en-US"/>
        </w:rPr>
        <w:t>effective domestic remed</w:t>
      </w:r>
      <w:r w:rsidR="00B95C34">
        <w:rPr>
          <w:lang w:val="en-US"/>
        </w:rPr>
        <w:t>y</w:t>
      </w:r>
      <w:r w:rsidR="00803F41">
        <w:rPr>
          <w:lang w:val="en-US"/>
        </w:rPr>
        <w:t xml:space="preserve">. The author notes that </w:t>
      </w:r>
      <w:r w:rsidR="00B87994">
        <w:rPr>
          <w:lang w:val="en-US"/>
        </w:rPr>
        <w:t xml:space="preserve">the cassation procedure does </w:t>
      </w:r>
      <w:r w:rsidR="00275903">
        <w:rPr>
          <w:lang w:val="en-US"/>
        </w:rPr>
        <w:t xml:space="preserve">not </w:t>
      </w:r>
      <w:r w:rsidR="004D1B63">
        <w:rPr>
          <w:lang w:val="en-US"/>
        </w:rPr>
        <w:t>provide for a</w:t>
      </w:r>
      <w:r w:rsidR="00EA0451">
        <w:rPr>
          <w:lang w:val="en-US"/>
        </w:rPr>
        <w:t xml:space="preserve"> direct</w:t>
      </w:r>
      <w:r w:rsidR="0000086D">
        <w:rPr>
          <w:lang w:val="en-US"/>
        </w:rPr>
        <w:t xml:space="preserve"> examination of the merits of </w:t>
      </w:r>
      <w:r w:rsidR="004F78A4">
        <w:rPr>
          <w:lang w:val="en-US"/>
        </w:rPr>
        <w:t xml:space="preserve">the </w:t>
      </w:r>
      <w:r w:rsidR="0000086D">
        <w:rPr>
          <w:lang w:val="en-US"/>
        </w:rPr>
        <w:t>case</w:t>
      </w:r>
      <w:r w:rsidR="00B87994">
        <w:rPr>
          <w:lang w:val="en-US"/>
        </w:rPr>
        <w:t xml:space="preserve">, and </w:t>
      </w:r>
      <w:r w:rsidR="00B87994">
        <w:t>concerns the revision, on points of law only, of court decisions that have entered into force</w:t>
      </w:r>
      <w:r w:rsidR="0000086D">
        <w:rPr>
          <w:lang w:val="en-US"/>
        </w:rPr>
        <w:t>.</w:t>
      </w:r>
      <w:r w:rsidR="00647911">
        <w:rPr>
          <w:lang w:val="en-US"/>
        </w:rPr>
        <w:t xml:space="preserve"> </w:t>
      </w:r>
      <w:r w:rsidR="00A72968">
        <w:rPr>
          <w:lang w:val="en-US"/>
        </w:rPr>
        <w:t xml:space="preserve">Moreover, in order for the cassation court </w:t>
      </w:r>
      <w:r w:rsidR="00FA1F9C">
        <w:rPr>
          <w:lang w:val="en-US"/>
        </w:rPr>
        <w:t xml:space="preserve">in its full composition </w:t>
      </w:r>
      <w:r w:rsidR="00A72968">
        <w:rPr>
          <w:lang w:val="en-US"/>
        </w:rPr>
        <w:t xml:space="preserve">to review </w:t>
      </w:r>
      <w:r w:rsidR="000E3132">
        <w:rPr>
          <w:lang w:val="en-US"/>
        </w:rPr>
        <w:t xml:space="preserve">the case, </w:t>
      </w:r>
      <w:r w:rsidR="00FA1F9C">
        <w:rPr>
          <w:lang w:val="en-US"/>
        </w:rPr>
        <w:t xml:space="preserve">one of the judges </w:t>
      </w:r>
      <w:r w:rsidR="000E3132">
        <w:rPr>
          <w:lang w:val="en-US"/>
        </w:rPr>
        <w:t xml:space="preserve">of the cassation court </w:t>
      </w:r>
      <w:r w:rsidR="003F4A8F">
        <w:rPr>
          <w:lang w:val="en-US"/>
        </w:rPr>
        <w:t xml:space="preserve">must first </w:t>
      </w:r>
      <w:r w:rsidR="005336C1">
        <w:rPr>
          <w:lang w:val="en-US"/>
        </w:rPr>
        <w:t xml:space="preserve">agree </w:t>
      </w:r>
      <w:r w:rsidR="005F2EBB">
        <w:rPr>
          <w:lang w:val="en-US"/>
        </w:rPr>
        <w:t xml:space="preserve">with the arguments </w:t>
      </w:r>
      <w:r w:rsidR="00FA1F9C">
        <w:rPr>
          <w:lang w:val="en-US"/>
        </w:rPr>
        <w:t xml:space="preserve">submitted </w:t>
      </w:r>
      <w:r w:rsidR="005F2EBB">
        <w:rPr>
          <w:lang w:val="en-US"/>
        </w:rPr>
        <w:t xml:space="preserve">in the cassation appeal and allow for it to be examined by the </w:t>
      </w:r>
      <w:r w:rsidR="00956602">
        <w:rPr>
          <w:lang w:val="en-US"/>
        </w:rPr>
        <w:t>full court</w:t>
      </w:r>
      <w:r w:rsidR="00FA1F9C">
        <w:rPr>
          <w:lang w:val="en-US"/>
        </w:rPr>
        <w:t xml:space="preserve">. Therefore, cassation appeals are in practice </w:t>
      </w:r>
      <w:r w:rsidR="0087107E">
        <w:rPr>
          <w:lang w:val="en-US"/>
        </w:rPr>
        <w:t xml:space="preserve">subject </w:t>
      </w:r>
      <w:r w:rsidR="00720F2A">
        <w:rPr>
          <w:lang w:val="en-US"/>
        </w:rPr>
        <w:t>to</w:t>
      </w:r>
      <w:r w:rsidR="0087107E">
        <w:t xml:space="preserve"> the discretionary power of a </w:t>
      </w:r>
      <w:r w:rsidR="00065672">
        <w:t xml:space="preserve">single </w:t>
      </w:r>
      <w:r w:rsidR="0087107E">
        <w:t>judge</w:t>
      </w:r>
      <w:r w:rsidR="00956602">
        <w:rPr>
          <w:lang w:val="en-US"/>
        </w:rPr>
        <w:t xml:space="preserve">. </w:t>
      </w:r>
      <w:r w:rsidR="00A344E2">
        <w:rPr>
          <w:lang w:val="en-US"/>
        </w:rPr>
        <w:t xml:space="preserve">The author notes that </w:t>
      </w:r>
      <w:r w:rsidR="00D82A5A">
        <w:rPr>
          <w:lang w:val="en-US"/>
        </w:rPr>
        <w:t xml:space="preserve">on 27 September 2013, </w:t>
      </w:r>
      <w:r w:rsidR="00A344E2">
        <w:rPr>
          <w:lang w:val="en-US"/>
        </w:rPr>
        <w:t xml:space="preserve">he </w:t>
      </w:r>
      <w:r w:rsidR="00997E08">
        <w:rPr>
          <w:lang w:val="en-US"/>
        </w:rPr>
        <w:t xml:space="preserve">submitted a </w:t>
      </w:r>
      <w:r w:rsidR="002C141E">
        <w:rPr>
          <w:lang w:val="en-US"/>
        </w:rPr>
        <w:t>cassation appeal addressed to the Supreme Court of the Mari El Republic, however</w:t>
      </w:r>
      <w:r w:rsidR="00D82A5A">
        <w:rPr>
          <w:lang w:val="en-US"/>
        </w:rPr>
        <w:t>, on 3 October 2013, his appeal was returned without examin</w:t>
      </w:r>
      <w:r w:rsidR="000B6870">
        <w:rPr>
          <w:lang w:val="en-US"/>
        </w:rPr>
        <w:t xml:space="preserve">ation by the </w:t>
      </w:r>
      <w:r w:rsidR="000B6870">
        <w:t>Yoshkar-Ola City Court</w:t>
      </w:r>
      <w:r w:rsidR="00A25F70">
        <w:t xml:space="preserve">. </w:t>
      </w:r>
    </w:p>
    <w:p w14:paraId="47174097" w14:textId="66B297C1" w:rsidR="00A25F70" w:rsidRDefault="00A25F70" w:rsidP="000B6870">
      <w:pPr>
        <w:pStyle w:val="SingleTxtG"/>
      </w:pPr>
      <w:r>
        <w:t>5.3</w:t>
      </w:r>
      <w:r>
        <w:tab/>
        <w:t xml:space="preserve">The author further notes that </w:t>
      </w:r>
      <w:r w:rsidR="00DE03FE">
        <w:t xml:space="preserve">in  </w:t>
      </w:r>
      <w:r w:rsidR="00DE03FE" w:rsidRPr="00DE03FE">
        <w:rPr>
          <w:i/>
          <w:iCs/>
        </w:rPr>
        <w:t>Kashlan v. Russia</w:t>
      </w:r>
      <w:r w:rsidR="00DE03FE">
        <w:t>, the European Court of Human Rights came to the conclusion that the new cassation review procedure under the Russian Code of Criminal Procedure, as amended in 2014, did not constitute an ordinary remedy within the meaning of Article 35, paragraph 1, of the European Convention on Human Rights and therefore did not have to be exhausted by the applicants before lodging a complaint with the Court.</w:t>
      </w:r>
      <w:r w:rsidR="006056F3">
        <w:rPr>
          <w:rStyle w:val="FootnoteReference"/>
        </w:rPr>
        <w:footnoteReference w:id="4"/>
      </w:r>
    </w:p>
    <w:p w14:paraId="7702FDE5" w14:textId="4D56E721" w:rsidR="00F63187" w:rsidRPr="00B25EF7" w:rsidRDefault="00F63187" w:rsidP="000B6870">
      <w:pPr>
        <w:pStyle w:val="SingleTxtG"/>
      </w:pPr>
      <w:r>
        <w:t>5.4</w:t>
      </w:r>
      <w:r>
        <w:tab/>
        <w:t xml:space="preserve">Finally, the author </w:t>
      </w:r>
      <w:r w:rsidR="00873EAD">
        <w:t xml:space="preserve">rejects </w:t>
      </w:r>
      <w:r w:rsidR="0029021C">
        <w:t>the State party’s argu</w:t>
      </w:r>
      <w:r w:rsidR="007E521E">
        <w:t xml:space="preserve">ment that the law enforcement authorities </w:t>
      </w:r>
      <w:r w:rsidR="00A00187">
        <w:rPr>
          <w:lang w:val="en-US"/>
        </w:rPr>
        <w:t xml:space="preserve">acted </w:t>
      </w:r>
      <w:r w:rsidR="00283176">
        <w:t xml:space="preserve">lawfully when </w:t>
      </w:r>
      <w:r w:rsidR="008D6387">
        <w:t>wiretapping his telephone</w:t>
      </w:r>
      <w:r w:rsidR="001245F9">
        <w:t xml:space="preserve"> and notes that he was never </w:t>
      </w:r>
      <w:r w:rsidR="00726A29">
        <w:t xml:space="preserve">suspected, charged or accused </w:t>
      </w:r>
      <w:r w:rsidR="00AD0A7C">
        <w:t xml:space="preserve">under </w:t>
      </w:r>
      <w:r w:rsidR="00AD0A7C">
        <w:rPr>
          <w:lang w:val="en-US"/>
        </w:rPr>
        <w:t>article 205.2 (2) of the Criminal Code</w:t>
      </w:r>
      <w:r w:rsidR="00426D4D">
        <w:rPr>
          <w:lang w:val="en-US"/>
        </w:rPr>
        <w:t xml:space="preserve"> as submitted by the State party</w:t>
      </w:r>
      <w:r w:rsidR="00AD0A7C">
        <w:rPr>
          <w:lang w:val="en-US"/>
        </w:rPr>
        <w:t xml:space="preserve">, i.e. </w:t>
      </w:r>
      <w:r w:rsidR="00726A29">
        <w:rPr>
          <w:lang w:val="en-US"/>
        </w:rPr>
        <w:t>making public calls to commit terrorist activities, justification of terrorism or its propaganda</w:t>
      </w:r>
      <w:r w:rsidR="00AD0A7C">
        <w:rPr>
          <w:lang w:val="en-US"/>
        </w:rPr>
        <w:t xml:space="preserve">. He </w:t>
      </w:r>
      <w:r w:rsidR="000F1E68">
        <w:rPr>
          <w:lang w:val="en-US"/>
        </w:rPr>
        <w:t>suggests</w:t>
      </w:r>
      <w:r w:rsidR="00AD0A7C">
        <w:rPr>
          <w:lang w:val="en-US"/>
        </w:rPr>
        <w:t xml:space="preserve"> that the State party is </w:t>
      </w:r>
      <w:r w:rsidR="00F7747B">
        <w:rPr>
          <w:lang w:val="en-US"/>
        </w:rPr>
        <w:t xml:space="preserve">intentionally </w:t>
      </w:r>
      <w:r w:rsidR="00F66F95">
        <w:rPr>
          <w:lang w:val="en-US"/>
        </w:rPr>
        <w:t xml:space="preserve">trying to </w:t>
      </w:r>
      <w:r w:rsidR="00B25EF7">
        <w:rPr>
          <w:lang w:val="en-US"/>
        </w:rPr>
        <w:t xml:space="preserve">mislead the Committee </w:t>
      </w:r>
      <w:r w:rsidR="005B2FB0">
        <w:rPr>
          <w:lang w:val="en-US"/>
        </w:rPr>
        <w:t>to</w:t>
      </w:r>
      <w:r w:rsidR="00B25EF7">
        <w:rPr>
          <w:lang w:val="en-US"/>
        </w:rPr>
        <w:t xml:space="preserve"> justify </w:t>
      </w:r>
      <w:r w:rsidR="00FE636D">
        <w:rPr>
          <w:lang w:val="en-US"/>
        </w:rPr>
        <w:t xml:space="preserve">the length of </w:t>
      </w:r>
      <w:r w:rsidR="000F1E68">
        <w:rPr>
          <w:lang w:val="en-US"/>
        </w:rPr>
        <w:t xml:space="preserve">the </w:t>
      </w:r>
      <w:r w:rsidR="00F7747B">
        <w:rPr>
          <w:lang w:val="en-US"/>
        </w:rPr>
        <w:t>wiretapping authorized by the domestic courts.</w:t>
      </w:r>
      <w:r w:rsidR="000F1E68">
        <w:rPr>
          <w:lang w:val="en-US"/>
        </w:rPr>
        <w:t xml:space="preserve"> </w:t>
      </w:r>
    </w:p>
    <w:p w14:paraId="4964CA37" w14:textId="241B8F5E" w:rsidR="00EE0B62" w:rsidRPr="00C346A0" w:rsidRDefault="00EE0B62" w:rsidP="00A732B0">
      <w:pPr>
        <w:pStyle w:val="H23G"/>
      </w:pPr>
      <w:r w:rsidRPr="00C346A0">
        <w:tab/>
      </w:r>
      <w:r w:rsidRPr="00C346A0">
        <w:tab/>
      </w:r>
      <w:r w:rsidRPr="00C346A0">
        <w:tab/>
        <w:t>Issues and proceedings before the Committee</w:t>
      </w:r>
    </w:p>
    <w:p w14:paraId="78BB6E9A" w14:textId="2BD88FF4" w:rsidR="00B36A27" w:rsidRDefault="00B36A27" w:rsidP="00B36A27">
      <w:pPr>
        <w:pStyle w:val="H4G"/>
      </w:pPr>
      <w:r>
        <w:tab/>
      </w:r>
      <w:r>
        <w:tab/>
        <w:t xml:space="preserve">Consideration of </w:t>
      </w:r>
      <w:r w:rsidR="00397145">
        <w:t>admissibility</w:t>
      </w:r>
    </w:p>
    <w:p w14:paraId="498EF40B" w14:textId="654E14A0" w:rsidR="00B36A27" w:rsidRDefault="00655AEC" w:rsidP="00B36A27">
      <w:pPr>
        <w:pStyle w:val="SingleTxtG"/>
      </w:pPr>
      <w:r>
        <w:t>6</w:t>
      </w:r>
      <w:r w:rsidR="00B36A27">
        <w:t>.1</w:t>
      </w:r>
      <w:r w:rsidR="00B36A27">
        <w:tab/>
      </w:r>
      <w:r w:rsidR="00A671CC">
        <w:t>Before considering any claim contained in a communication, the Committee must decide, in accordance with rule 97 of its rules of procedure, whether the communication is admissible under the Optional Protocol</w:t>
      </w:r>
      <w:r w:rsidR="00B36A27">
        <w:t>.</w:t>
      </w:r>
    </w:p>
    <w:p w14:paraId="6752B385" w14:textId="77777777" w:rsidR="00422DD6" w:rsidRPr="00D21ECF" w:rsidRDefault="00422DD6" w:rsidP="00422DD6">
      <w:pPr>
        <w:pStyle w:val="SingleTxtG"/>
      </w:pPr>
      <w:r w:rsidRPr="00D21ECF">
        <w:t>6.2</w:t>
      </w:r>
      <w:r w:rsidRPr="00D21ECF">
        <w:tab/>
        <w:t>The Committee has ascertained, as required under article 5 (2) (a) of the Optional Protocol, that the same matter is not being examined under another procedure of international investigation or settlement.</w:t>
      </w:r>
    </w:p>
    <w:p w14:paraId="5F00A826" w14:textId="090AF581" w:rsidR="000D6AEC" w:rsidRDefault="00943EE1" w:rsidP="005768DD">
      <w:pPr>
        <w:pStyle w:val="SingleTxtG"/>
      </w:pPr>
      <w:r w:rsidRPr="00B4248E">
        <w:rPr>
          <w:rFonts w:eastAsia="Times New Roman"/>
          <w:lang w:eastAsia="en-US"/>
        </w:rPr>
        <w:t>6.3</w:t>
      </w:r>
      <w:r w:rsidRPr="00B4248E">
        <w:rPr>
          <w:rFonts w:eastAsia="Times New Roman"/>
          <w:lang w:eastAsia="en-US"/>
        </w:rPr>
        <w:tab/>
      </w:r>
      <w:r w:rsidR="002B4F34" w:rsidRPr="00B4248E">
        <w:t>In accordance with article 5 (2) (b) of the Optional Protocol, the Committee shall not consider any communication from an individual unless it has ascertained that the individual has exhausted all available domestic remedies</w:t>
      </w:r>
      <w:r w:rsidR="00D74526" w:rsidRPr="00B4248E">
        <w:t xml:space="preserve">. </w:t>
      </w:r>
      <w:r w:rsidR="00F84C0A" w:rsidRPr="00B4248E">
        <w:t xml:space="preserve">The Committee notes the State party’s submission that, with regard to his claim under article 17 of the Covenant, the author has not exhausted all available domestic remedies, as he has not appealed the decision authorizing the wiretapping of his telephone </w:t>
      </w:r>
      <w:r w:rsidR="00F84C0A" w:rsidRPr="00B4248E">
        <w:rPr>
          <w:lang w:val="en-US"/>
        </w:rPr>
        <w:t xml:space="preserve">to a higher investigative authority, prosecutor or court in accordance with article 125 of the Code of Criminal Procedure. </w:t>
      </w:r>
      <w:r w:rsidR="00667BFF" w:rsidRPr="00B4248E">
        <w:t xml:space="preserve">The Committee </w:t>
      </w:r>
      <w:r w:rsidR="00836004">
        <w:t xml:space="preserve">also </w:t>
      </w:r>
      <w:r w:rsidR="00667BFF" w:rsidRPr="00B4248E">
        <w:t>notes the author</w:t>
      </w:r>
      <w:r w:rsidR="00836004">
        <w:t xml:space="preserve">’s submission </w:t>
      </w:r>
      <w:r w:rsidR="000751FC" w:rsidRPr="004F794B">
        <w:rPr>
          <w:lang w:val="en-US"/>
        </w:rPr>
        <w:t xml:space="preserve">that </w:t>
      </w:r>
      <w:r w:rsidR="000751FC" w:rsidRPr="004F794B">
        <w:t xml:space="preserve">the Deputy Chairman of the Supreme Court of the Mari El Republic informed </w:t>
      </w:r>
      <w:r w:rsidR="00C63ACF">
        <w:t>the author</w:t>
      </w:r>
      <w:r w:rsidR="000751FC" w:rsidRPr="004F794B">
        <w:t xml:space="preserve"> that the Supreme Court did not have any information about wiretapping</w:t>
      </w:r>
      <w:r w:rsidR="009A0151">
        <w:t xml:space="preserve"> </w:t>
      </w:r>
      <w:r w:rsidR="009A0151" w:rsidRPr="004F794B">
        <w:t xml:space="preserve">and that a decision by the court authorizing surveillance is considered confidential and is issued in a single </w:t>
      </w:r>
      <w:r w:rsidR="009A0151" w:rsidRPr="004F794B">
        <w:rPr>
          <w:lang w:val="en-US"/>
        </w:rPr>
        <w:t>copy only to the authority initiating it</w:t>
      </w:r>
      <w:r w:rsidR="009A0151">
        <w:rPr>
          <w:lang w:val="en-US"/>
        </w:rPr>
        <w:t xml:space="preserve">. </w:t>
      </w:r>
      <w:r w:rsidR="00751373">
        <w:rPr>
          <w:lang w:val="en-US"/>
        </w:rPr>
        <w:t xml:space="preserve">According to the author, since he </w:t>
      </w:r>
      <w:r w:rsidR="00751373" w:rsidRPr="004F794B">
        <w:rPr>
          <w:lang w:val="en-US"/>
        </w:rPr>
        <w:t>learn</w:t>
      </w:r>
      <w:r w:rsidR="00DF5CB0">
        <w:rPr>
          <w:lang w:val="en-US"/>
        </w:rPr>
        <w:t>ed</w:t>
      </w:r>
      <w:r w:rsidR="00751373" w:rsidRPr="004F794B">
        <w:rPr>
          <w:lang w:val="en-US"/>
        </w:rPr>
        <w:t xml:space="preserve"> about the wiretapping </w:t>
      </w:r>
      <w:r w:rsidR="00751373">
        <w:rPr>
          <w:lang w:val="en-US"/>
        </w:rPr>
        <w:t>only</w:t>
      </w:r>
      <w:r w:rsidR="00751373" w:rsidRPr="004F794B">
        <w:rPr>
          <w:lang w:val="en-US"/>
        </w:rPr>
        <w:t xml:space="preserve"> after the trial court had already rendered a verdict in his case</w:t>
      </w:r>
      <w:r w:rsidR="00216C56">
        <w:rPr>
          <w:lang w:val="en-US"/>
        </w:rPr>
        <w:t xml:space="preserve">, he </w:t>
      </w:r>
      <w:r w:rsidR="00DF5CB0">
        <w:rPr>
          <w:lang w:val="en-US"/>
        </w:rPr>
        <w:t xml:space="preserve">wasn’t able to </w:t>
      </w:r>
      <w:r w:rsidR="0021311D">
        <w:rPr>
          <w:lang w:val="en-US"/>
        </w:rPr>
        <w:t>submit</w:t>
      </w:r>
      <w:r w:rsidR="00DF5CB0">
        <w:rPr>
          <w:lang w:val="en-US"/>
        </w:rPr>
        <w:t xml:space="preserve"> </w:t>
      </w:r>
      <w:r w:rsidR="0021311D">
        <w:rPr>
          <w:lang w:val="en-US"/>
        </w:rPr>
        <w:t>a</w:t>
      </w:r>
      <w:r w:rsidR="00DF5CB0">
        <w:rPr>
          <w:lang w:val="en-US"/>
        </w:rPr>
        <w:t xml:space="preserve"> </w:t>
      </w:r>
      <w:r w:rsidR="008F22FF">
        <w:rPr>
          <w:lang w:val="en-US"/>
        </w:rPr>
        <w:t xml:space="preserve">complaint about its illegality </w:t>
      </w:r>
      <w:r w:rsidR="0021311D">
        <w:rPr>
          <w:lang w:val="en-US"/>
        </w:rPr>
        <w:t>to</w:t>
      </w:r>
      <w:r w:rsidR="008F22FF">
        <w:rPr>
          <w:lang w:val="en-US"/>
        </w:rPr>
        <w:t xml:space="preserve"> the prosecutor’s office or </w:t>
      </w:r>
      <w:r w:rsidR="0021311D">
        <w:rPr>
          <w:lang w:val="en-US"/>
        </w:rPr>
        <w:t>the tri</w:t>
      </w:r>
      <w:r w:rsidR="007F33B0">
        <w:rPr>
          <w:lang w:val="en-US"/>
        </w:rPr>
        <w:t>a</w:t>
      </w:r>
      <w:r w:rsidR="0021311D">
        <w:rPr>
          <w:lang w:val="en-US"/>
        </w:rPr>
        <w:t>l court, as suggested by the State party</w:t>
      </w:r>
      <w:r w:rsidR="00751373">
        <w:rPr>
          <w:lang w:val="en-US"/>
        </w:rPr>
        <w:t>.</w:t>
      </w:r>
      <w:r w:rsidR="00E8260F">
        <w:rPr>
          <w:lang w:val="en-US"/>
        </w:rPr>
        <w:t xml:space="preserve"> </w:t>
      </w:r>
      <w:r w:rsidR="00032569" w:rsidRPr="00032569">
        <w:t xml:space="preserve">In this regard, the Committee has consistently held that the State party must describe in detail which legal remedies would have been available to an author in the specific case and provide evidence </w:t>
      </w:r>
      <w:r w:rsidR="00032569" w:rsidRPr="00032569">
        <w:lastRenderedPageBreak/>
        <w:t>that there would be a reasonable prospect that such remedies would be effective.</w:t>
      </w:r>
      <w:r w:rsidR="00032569">
        <w:rPr>
          <w:rStyle w:val="FootnoteReference"/>
        </w:rPr>
        <w:footnoteReference w:id="5"/>
      </w:r>
      <w:r w:rsidR="00032569" w:rsidRPr="00032569">
        <w:t xml:space="preserve"> The Committee notes that the State party has failed to explain which judicial and administrative avenues could have provided redress in respect of the author</w:t>
      </w:r>
      <w:r w:rsidR="00B86B92">
        <w:t>’</w:t>
      </w:r>
      <w:r w:rsidR="00032569" w:rsidRPr="00032569">
        <w:t>s claim in the present case</w:t>
      </w:r>
      <w:r w:rsidR="004A63A1">
        <w:t xml:space="preserve">, when </w:t>
      </w:r>
      <w:r w:rsidR="00FE1829">
        <w:t xml:space="preserve">he was </w:t>
      </w:r>
      <w:r w:rsidR="00884EF5">
        <w:t xml:space="preserve">refused access to </w:t>
      </w:r>
      <w:r w:rsidR="00993C80">
        <w:t>the court decision that he</w:t>
      </w:r>
      <w:r w:rsidR="00BB0A3B">
        <w:t xml:space="preserve"> wanted to appeal, due to its </w:t>
      </w:r>
      <w:r w:rsidR="00DC0B72">
        <w:t xml:space="preserve">alleged </w:t>
      </w:r>
      <w:r w:rsidR="003E0623">
        <w:t xml:space="preserve">confidentiality. In view of the above, the </w:t>
      </w:r>
      <w:r w:rsidR="005768DD" w:rsidRPr="005768DD">
        <w:t xml:space="preserve">Committee concludes that there were no effective remedies that the author could have pursued concerning </w:t>
      </w:r>
      <w:r w:rsidR="00B86B92">
        <w:t>his</w:t>
      </w:r>
      <w:r w:rsidR="005768DD" w:rsidRPr="005768DD">
        <w:t xml:space="preserve"> claim under article</w:t>
      </w:r>
      <w:r w:rsidR="00B176BD">
        <w:t xml:space="preserve"> 17 of the Covenant. </w:t>
      </w:r>
    </w:p>
    <w:p w14:paraId="4C182B98" w14:textId="7550194B" w:rsidR="00737E43" w:rsidRDefault="001A79E1" w:rsidP="00E57ED2">
      <w:pPr>
        <w:pStyle w:val="SingleTxtG"/>
      </w:pPr>
      <w:r>
        <w:rPr>
          <w:rFonts w:eastAsia="Times New Roman"/>
          <w:lang w:eastAsia="en-US"/>
        </w:rPr>
        <w:t>6.4</w:t>
      </w:r>
      <w:r>
        <w:rPr>
          <w:rFonts w:eastAsia="Times New Roman"/>
          <w:lang w:eastAsia="en-US"/>
        </w:rPr>
        <w:tab/>
        <w:t xml:space="preserve">At the same time, the Committee notes </w:t>
      </w:r>
      <w:r w:rsidR="0040081D">
        <w:rPr>
          <w:rFonts w:eastAsia="Times New Roman"/>
          <w:lang w:eastAsia="en-US"/>
        </w:rPr>
        <w:t xml:space="preserve">the State party’s submission </w:t>
      </w:r>
      <w:r w:rsidR="00E924F0">
        <w:rPr>
          <w:lang w:val="en-US"/>
        </w:rPr>
        <w:t xml:space="preserve">that </w:t>
      </w:r>
      <w:r w:rsidR="00C64655">
        <w:rPr>
          <w:lang w:val="en-US"/>
        </w:rPr>
        <w:t>on 4 April and 11 September 2012</w:t>
      </w:r>
      <w:r w:rsidR="00E924F0">
        <w:rPr>
          <w:lang w:val="en-US"/>
        </w:rPr>
        <w:t xml:space="preserve">, </w:t>
      </w:r>
      <w:r w:rsidR="00DA71DD">
        <w:rPr>
          <w:lang w:val="en-US"/>
        </w:rPr>
        <w:t xml:space="preserve"> due to </w:t>
      </w:r>
      <w:r w:rsidR="00E924F0">
        <w:rPr>
          <w:lang w:val="en-US"/>
        </w:rPr>
        <w:t>the Counter-terrorism Center</w:t>
      </w:r>
      <w:r w:rsidR="002A6F45">
        <w:rPr>
          <w:lang w:val="en-US"/>
        </w:rPr>
        <w:t>’s</w:t>
      </w:r>
      <w:r w:rsidR="00E924F0">
        <w:rPr>
          <w:lang w:val="en-US"/>
        </w:rPr>
        <w:t xml:space="preserve"> inquiry into information about the author’s possible involvement in several crimes</w:t>
      </w:r>
      <w:r w:rsidR="002A6F45">
        <w:rPr>
          <w:lang w:val="en-US"/>
        </w:rPr>
        <w:t xml:space="preserve">, </w:t>
      </w:r>
      <w:r w:rsidR="00E924F0">
        <w:rPr>
          <w:lang w:val="en-US"/>
        </w:rPr>
        <w:t xml:space="preserve">the Supreme Court of the Mari El Republic authorized the wiretapping of the author’s telephone. </w:t>
      </w:r>
      <w:r w:rsidR="009A0910">
        <w:rPr>
          <w:lang w:val="en-US"/>
        </w:rPr>
        <w:t>According to t</w:t>
      </w:r>
      <w:r w:rsidR="00E924F0">
        <w:rPr>
          <w:lang w:val="en-US"/>
        </w:rPr>
        <w:t>he State party</w:t>
      </w:r>
      <w:r w:rsidR="009A0910">
        <w:rPr>
          <w:lang w:val="en-US"/>
        </w:rPr>
        <w:t>,</w:t>
      </w:r>
      <w:r w:rsidR="00E924F0">
        <w:rPr>
          <w:lang w:val="en-US"/>
        </w:rPr>
        <w:t xml:space="preserve"> when authorized by courts, the domestic law allows wiretapping of individuals suspected of committing crimes of medium gravity, as well as grave and especially grave crimes. In the case of the author, he was suspected of making public calls to commit terrorist activities, justification of terrorism or its propaganda, which are qualified as crimes of medium gravity under article 205.2 (2) of the Criminal Code.</w:t>
      </w:r>
      <w:r w:rsidR="00E57ED2">
        <w:rPr>
          <w:lang w:val="en-US"/>
        </w:rPr>
        <w:t xml:space="preserve"> </w:t>
      </w:r>
      <w:r w:rsidR="00737E43">
        <w:t xml:space="preserve">Since the author </w:t>
      </w:r>
      <w:r w:rsidR="00737E43" w:rsidRPr="00677DA4">
        <w:t xml:space="preserve">has not provided any other information that would lead the Committee to conclude that </w:t>
      </w:r>
      <w:r w:rsidR="00737E43" w:rsidRPr="00522DB4">
        <w:t>the interference with his privacy, family and home was arbitrary</w:t>
      </w:r>
      <w:r w:rsidR="00737E43" w:rsidRPr="00677DA4">
        <w:t>, the Committee considers that his claim under article 17 is not sufficiently substantiated and finds</w:t>
      </w:r>
      <w:r w:rsidR="00737E43">
        <w:t xml:space="preserve"> it inadmissible under article 2 of the Optional Protocol</w:t>
      </w:r>
    </w:p>
    <w:p w14:paraId="18FE0B66" w14:textId="16698F61" w:rsidR="0069730A" w:rsidRDefault="00970D96" w:rsidP="00943EE1">
      <w:pPr>
        <w:pStyle w:val="SingleTxtG"/>
      </w:pPr>
      <w:r>
        <w:t>6.</w:t>
      </w:r>
      <w:r w:rsidR="00C047B7">
        <w:t>5</w:t>
      </w:r>
      <w:r>
        <w:tab/>
      </w:r>
      <w:r w:rsidR="0010057E">
        <w:t xml:space="preserve">The Committee further notes the State party’s submission that, with regard to his claim under article </w:t>
      </w:r>
      <w:r w:rsidR="00567A32">
        <w:t>19</w:t>
      </w:r>
      <w:r w:rsidR="0010057E">
        <w:t xml:space="preserve"> of the Covenant, the author has not exhausted all available domestic remedies as he has not appealed the </w:t>
      </w:r>
      <w:r w:rsidR="00567A32">
        <w:t xml:space="preserve">decision of </w:t>
      </w:r>
      <w:r w:rsidR="001450FA">
        <w:rPr>
          <w:lang w:val="en-US"/>
        </w:rPr>
        <w:t xml:space="preserve">the </w:t>
      </w:r>
      <w:r w:rsidR="001450FA">
        <w:t xml:space="preserve">Justice of the Peace of the Yoshkar-Ola judicial district No.2 </w:t>
      </w:r>
      <w:r w:rsidR="0010057E">
        <w:t xml:space="preserve">dated </w:t>
      </w:r>
      <w:r w:rsidR="001450FA">
        <w:t>24 July 2013</w:t>
      </w:r>
      <w:r w:rsidR="0010057E">
        <w:t xml:space="preserve"> and the appellate decision of </w:t>
      </w:r>
      <w:r w:rsidR="001450FA">
        <w:t xml:space="preserve">the Yoshkar-Ola City Court </w:t>
      </w:r>
      <w:r w:rsidR="0010057E">
        <w:t xml:space="preserve">dated </w:t>
      </w:r>
      <w:r w:rsidR="001450FA">
        <w:t>17 September 2013</w:t>
      </w:r>
      <w:r w:rsidR="0010057E">
        <w:t xml:space="preserve"> to </w:t>
      </w:r>
      <w:r w:rsidR="00B645FD">
        <w:t xml:space="preserve">the </w:t>
      </w:r>
      <w:r w:rsidR="000E0985">
        <w:t xml:space="preserve">presidium of the </w:t>
      </w:r>
      <w:r w:rsidR="00B645FD">
        <w:t>Supreme Court of the Mari El Republic</w:t>
      </w:r>
      <w:r w:rsidR="0010057E">
        <w:t xml:space="preserve"> under the cassation procedure. The Committee also notes the author’s argument that the cassation appeal procedure is not an effective legal remedy because it does </w:t>
      </w:r>
      <w:r w:rsidR="00720F2A">
        <w:rPr>
          <w:lang w:val="en-US"/>
        </w:rPr>
        <w:t>not provide for a direct examination of the merits of the case</w:t>
      </w:r>
      <w:r w:rsidR="004C3C93">
        <w:rPr>
          <w:lang w:val="en-US"/>
        </w:rPr>
        <w:t xml:space="preserve"> and </w:t>
      </w:r>
      <w:r w:rsidR="004C3C93">
        <w:t>concerns the revision, on points of law only, of court decisions that have entered into force</w:t>
      </w:r>
      <w:r w:rsidR="00720F2A">
        <w:rPr>
          <w:lang w:val="en-US"/>
        </w:rPr>
        <w:t xml:space="preserve">. Moreover, </w:t>
      </w:r>
      <w:r w:rsidR="00702508">
        <w:rPr>
          <w:lang w:val="en-US"/>
        </w:rPr>
        <w:t>for</w:t>
      </w:r>
      <w:r w:rsidR="00720F2A">
        <w:rPr>
          <w:lang w:val="en-US"/>
        </w:rPr>
        <w:t xml:space="preserve"> the cassation court to review the case, a judge of the cassation court must first agree with the arguments in the cassation appeal and allow for it to be examined by the full court, thus </w:t>
      </w:r>
      <w:r w:rsidR="00702508">
        <w:rPr>
          <w:lang w:val="en-US"/>
        </w:rPr>
        <w:t xml:space="preserve">the entire procedure is </w:t>
      </w:r>
      <w:r w:rsidR="00720F2A">
        <w:rPr>
          <w:lang w:val="en-US"/>
        </w:rPr>
        <w:t>subject to</w:t>
      </w:r>
      <w:r w:rsidR="00720F2A">
        <w:t xml:space="preserve"> the discretionary power of a</w:t>
      </w:r>
      <w:r w:rsidR="00065672">
        <w:t xml:space="preserve"> single</w:t>
      </w:r>
      <w:r w:rsidR="00720F2A">
        <w:t xml:space="preserve"> judge</w:t>
      </w:r>
      <w:r w:rsidR="004C3C93">
        <w:t>.</w:t>
      </w:r>
      <w:r w:rsidR="00220462">
        <w:t xml:space="preserve"> These characteristics lead the Committee to believe that the cassation review contains elements of an extraordinary remedy. The State party must therefore show that there is a reasonable prospect that such a procedure would provide an effective remedy in the circumstances of the case.</w:t>
      </w:r>
      <w:r w:rsidR="00B06B6E">
        <w:rPr>
          <w:rStyle w:val="FootnoteReference"/>
        </w:rPr>
        <w:footnoteReference w:id="6"/>
      </w:r>
      <w:r w:rsidR="00B06B6E">
        <w:t xml:space="preserve"> However, the Committee notes that, in the present case, the State party has not </w:t>
      </w:r>
      <w:r w:rsidR="007B4722">
        <w:t>provided any information</w:t>
      </w:r>
      <w:r w:rsidR="00B06B6E">
        <w:t xml:space="preserve"> on the effectiveness of the cassation review procedure in cases similar to the present one</w:t>
      </w:r>
      <w:r w:rsidR="007B4722">
        <w:t xml:space="preserve">. </w:t>
      </w:r>
      <w:r w:rsidR="007C2EFA">
        <w:t>In these circumstances and in the absence of any further relevant information,</w:t>
      </w:r>
      <w:r w:rsidR="00B06B6E">
        <w:t xml:space="preserve"> the Committee finds that it is not precluded by article 5 (2) (b) of the Optional Protocol from examining the claim under article </w:t>
      </w:r>
      <w:r w:rsidR="00BC0DC4">
        <w:t>19</w:t>
      </w:r>
      <w:r w:rsidR="00B06B6E">
        <w:t xml:space="preserve"> of the Covenant.</w:t>
      </w:r>
    </w:p>
    <w:p w14:paraId="1233EEB3" w14:textId="6AAE364E" w:rsidR="00445607" w:rsidRDefault="00445607" w:rsidP="00943EE1">
      <w:pPr>
        <w:pStyle w:val="SingleTxtG"/>
      </w:pPr>
      <w:r>
        <w:t>6.</w:t>
      </w:r>
      <w:r w:rsidR="00C047B7">
        <w:t>6</w:t>
      </w:r>
      <w:r>
        <w:tab/>
      </w:r>
      <w:r w:rsidR="0075725B">
        <w:t>The Committee considers that the author has sufficiently substantiated his claim under article 19 of the Covenant, for purposes of admissibility, declares it admissible and proceeds to its examination on the merits.</w:t>
      </w:r>
    </w:p>
    <w:p w14:paraId="78FD6560" w14:textId="453537C9" w:rsidR="00397145" w:rsidRDefault="00397145" w:rsidP="00397145">
      <w:pPr>
        <w:pStyle w:val="H4G"/>
      </w:pPr>
      <w:r>
        <w:tab/>
      </w:r>
      <w:r>
        <w:tab/>
        <w:t>Consideration of the merits</w:t>
      </w:r>
    </w:p>
    <w:p w14:paraId="2C271248" w14:textId="785D4496" w:rsidR="00397145" w:rsidRDefault="00171FA6" w:rsidP="00397145">
      <w:pPr>
        <w:pStyle w:val="SingleTxtG"/>
      </w:pPr>
      <w:r>
        <w:t>7</w:t>
      </w:r>
      <w:r w:rsidR="00397145">
        <w:t>.1</w:t>
      </w:r>
      <w:r w:rsidR="00397145">
        <w:tab/>
        <w:t>The Committee has considered the communication in the light of all the information submitted to it by the parties, in accordance with article 5 (1) of the Optional Protocol.</w:t>
      </w:r>
    </w:p>
    <w:p w14:paraId="71F5181D" w14:textId="0E1C0618" w:rsidR="00397145" w:rsidRDefault="00171FA6" w:rsidP="00397145">
      <w:pPr>
        <w:pStyle w:val="SingleTxtG"/>
      </w:pPr>
      <w:r>
        <w:t>7</w:t>
      </w:r>
      <w:r w:rsidR="00397145" w:rsidRPr="00D21ECF">
        <w:t>.2</w:t>
      </w:r>
      <w:r w:rsidR="00397145" w:rsidRPr="00D21ECF">
        <w:tab/>
      </w:r>
      <w:r w:rsidR="00C26DBA">
        <w:t xml:space="preserve">The Committee notes that the decision of the domestic courts sentencing the author to </w:t>
      </w:r>
      <w:r w:rsidR="00A7619C">
        <w:t>80 hours of compulsory works</w:t>
      </w:r>
      <w:r w:rsidR="00C26DBA">
        <w:t xml:space="preserve"> </w:t>
      </w:r>
      <w:r w:rsidR="0053096E">
        <w:t xml:space="preserve">for slander </w:t>
      </w:r>
      <w:r w:rsidR="00C26DBA">
        <w:t>constituted a restriction on the author’s right to freedom of expression, as guaranteed by article 19 (2) of the Covenant. The Committee must therefore examine whether the imposed restriction was justified under the criteria provided by article 19 (3) of the Covenant</w:t>
      </w:r>
      <w:r w:rsidR="0053096E">
        <w:t>.</w:t>
      </w:r>
    </w:p>
    <w:p w14:paraId="39FFE96E" w14:textId="39EFAD94" w:rsidR="0053096E" w:rsidRDefault="0053096E" w:rsidP="00397145">
      <w:pPr>
        <w:pStyle w:val="SingleTxtG"/>
      </w:pPr>
      <w:r>
        <w:t>7.3</w:t>
      </w:r>
      <w:r>
        <w:tab/>
      </w:r>
      <w:r w:rsidR="009030E5">
        <w:t xml:space="preserve">The Committee refers to its general comment No. 34 (2011), according to which freedom of opinion and expression </w:t>
      </w:r>
      <w:r w:rsidR="009C68F6">
        <w:t>is</w:t>
      </w:r>
      <w:r w:rsidR="009030E5">
        <w:t xml:space="preserve"> essential for any society and </w:t>
      </w:r>
      <w:r w:rsidR="009C68F6">
        <w:t>constitutes</w:t>
      </w:r>
      <w:r w:rsidR="009030E5">
        <w:t xml:space="preserve"> the foundation </w:t>
      </w:r>
      <w:r w:rsidR="009030E5">
        <w:lastRenderedPageBreak/>
        <w:t xml:space="preserve">stone of every free and democratic society (para. 2). According to article 19 (3) of the Covenant, the right to freedom of expression can be subject to certain restrictions, but only such as are provided by law and are necessary: (a) for respect for the rights or reputations of others; or (b) for the protection of national security or public order, or of public health or morals (para. 28). All restrictions imposed on freedom of expression must be provided by law. They may only be imposed on the grounds set out in subparagraphs (a) and (b) of article 19 (3) and they must conform to the strict tests of necessity and proportionality. </w:t>
      </w:r>
    </w:p>
    <w:p w14:paraId="18D84911" w14:textId="386645C6" w:rsidR="00A27277" w:rsidRDefault="00A27277" w:rsidP="00A27277">
      <w:pPr>
        <w:pStyle w:val="SingleTxtG"/>
      </w:pPr>
      <w:r>
        <w:t>7.4</w:t>
      </w:r>
      <w:r>
        <w:tab/>
        <w:t xml:space="preserve">In the present case, the Committee notes the State party’s argument that the judgments of the domestic courts were based on the relevant provisions of the Russian legislation, and their application pursued the legitimate aim of the protection of the reputation or rights of others, namely Mr. M. Therefore, the restriction imposed on the author was provided for by law. The Committee </w:t>
      </w:r>
      <w:r w:rsidR="00F67C75">
        <w:t>must therefore</w:t>
      </w:r>
      <w:r>
        <w:t xml:space="preserve"> decide whether the limitation of the author’s right to freedom of expression, as provided by the Russian Criminal Code, was necessary and proportionate.</w:t>
      </w:r>
    </w:p>
    <w:p w14:paraId="774A8318" w14:textId="1D672CBA" w:rsidR="005350DE" w:rsidRDefault="004819EE" w:rsidP="00B36A27">
      <w:pPr>
        <w:pStyle w:val="SingleTxtG"/>
        <w:rPr>
          <w:lang w:val="en-US"/>
        </w:rPr>
      </w:pPr>
      <w:r>
        <w:t>7.</w:t>
      </w:r>
      <w:r w:rsidR="0030353E">
        <w:t>5</w:t>
      </w:r>
      <w:r>
        <w:tab/>
      </w:r>
      <w:r w:rsidR="004A2328">
        <w:t xml:space="preserve">The Committee notes the author’s argument that he was subjected to criminal prosecution and sanctioned solely on the basis of the </w:t>
      </w:r>
      <w:r w:rsidR="003C737B">
        <w:t xml:space="preserve">position </w:t>
      </w:r>
      <w:r w:rsidR="004A2328">
        <w:t xml:space="preserve">of Mr. </w:t>
      </w:r>
      <w:r w:rsidR="00D6488F">
        <w:t>M</w:t>
      </w:r>
      <w:r w:rsidR="004A2328">
        <w:t xml:space="preserve"> </w:t>
      </w:r>
      <w:r w:rsidR="00264708">
        <w:t xml:space="preserve">as </w:t>
      </w:r>
      <w:r w:rsidR="004A2328">
        <w:t xml:space="preserve">the head of the Mari El Republic and not as an ordinary citizen. </w:t>
      </w:r>
      <w:r w:rsidR="00C04B96">
        <w:t xml:space="preserve">The Committee recalls </w:t>
      </w:r>
      <w:r w:rsidR="00C620EC">
        <w:t xml:space="preserve">that in circumstances of public </w:t>
      </w:r>
      <w:r w:rsidR="00264708">
        <w:t xml:space="preserve">and political </w:t>
      </w:r>
      <w:r w:rsidR="00C620EC">
        <w:t>debate concerning public figures and public institutions, the value placed by the Covenant upon uninhibited expression is particularly high.</w:t>
      </w:r>
      <w:r w:rsidR="00F51F8C">
        <w:rPr>
          <w:rStyle w:val="FootnoteReference"/>
        </w:rPr>
        <w:footnoteReference w:id="7"/>
      </w:r>
      <w:r w:rsidR="00C620EC">
        <w:t xml:space="preserve"> The mere fact that forms of expression are considered to be insulting to a public figure is not sufficient to justify the imposition of penalties, albeit public figures may also benefit from the provisions of the Covenant</w:t>
      </w:r>
      <w:r w:rsidR="00251DF5">
        <w:t>.</w:t>
      </w:r>
      <w:r w:rsidR="0081390C">
        <w:rPr>
          <w:rStyle w:val="FootnoteReference"/>
        </w:rPr>
        <w:footnoteReference w:id="8"/>
      </w:r>
      <w:r w:rsidR="00251DF5">
        <w:t xml:space="preserve"> </w:t>
      </w:r>
      <w:r w:rsidR="00C70E01">
        <w:t xml:space="preserve">The Committee </w:t>
      </w:r>
      <w:r w:rsidR="00C52744">
        <w:t>considers</w:t>
      </w:r>
      <w:r w:rsidR="00C70E01">
        <w:t xml:space="preserve"> that defamation laws must be crafted with care to ensure that they comply with article 19 (3) of the Covenant and that they do not serve, in practice, to stifle freedom of expression.</w:t>
      </w:r>
      <w:r w:rsidR="0081390C">
        <w:rPr>
          <w:rStyle w:val="FootnoteReference"/>
        </w:rPr>
        <w:footnoteReference w:id="9"/>
      </w:r>
      <w:r w:rsidR="00C70E01">
        <w:t xml:space="preserve"> With regard to comments about public figures, </w:t>
      </w:r>
      <w:r w:rsidR="002D0718">
        <w:t xml:space="preserve">States parties should consider not </w:t>
      </w:r>
      <w:r w:rsidR="00C70E01">
        <w:t>penalizing or otherwise rendering unlawful untrue statements that have been published in error but without malice.</w:t>
      </w:r>
      <w:r w:rsidR="0021382F">
        <w:rPr>
          <w:rStyle w:val="FootnoteReference"/>
        </w:rPr>
        <w:footnoteReference w:id="10"/>
      </w:r>
      <w:r w:rsidR="00C70E01">
        <w:t xml:space="preserve"> </w:t>
      </w:r>
      <w:r w:rsidR="005350DE">
        <w:t xml:space="preserve">In this regard, the Committee notes </w:t>
      </w:r>
      <w:r w:rsidR="004C443A">
        <w:t>t</w:t>
      </w:r>
      <w:r w:rsidR="005350DE">
        <w:t>he author</w:t>
      </w:r>
      <w:r w:rsidR="004C443A">
        <w:t>’s submission that his remarks</w:t>
      </w:r>
      <w:r w:rsidR="005350DE">
        <w:t xml:space="preserve"> were based on the information he read </w:t>
      </w:r>
      <w:r w:rsidR="00190254">
        <w:t xml:space="preserve">about </w:t>
      </w:r>
      <w:r w:rsidR="005350DE">
        <w:t xml:space="preserve">in mass media and heard from third persons </w:t>
      </w:r>
      <w:r w:rsidR="00D308BB">
        <w:t xml:space="preserve">and that </w:t>
      </w:r>
      <w:r w:rsidR="005350DE">
        <w:t xml:space="preserve">he publicly apologized to Mr. M for his remarks </w:t>
      </w:r>
      <w:r w:rsidR="005350DE">
        <w:rPr>
          <w:lang w:val="en-US"/>
        </w:rPr>
        <w:t>and notified the latter’s press service</w:t>
      </w:r>
      <w:r w:rsidR="00D308BB">
        <w:rPr>
          <w:lang w:val="en-US"/>
        </w:rPr>
        <w:t xml:space="preserve">. </w:t>
      </w:r>
    </w:p>
    <w:p w14:paraId="250FCE91" w14:textId="2D95FF95" w:rsidR="00FE1361" w:rsidRDefault="00FE1361" w:rsidP="00230A82">
      <w:pPr>
        <w:pStyle w:val="SingleTxtG"/>
      </w:pPr>
      <w:r>
        <w:rPr>
          <w:lang w:val="en-US"/>
        </w:rPr>
        <w:t>7.6</w:t>
      </w:r>
      <w:r>
        <w:rPr>
          <w:lang w:val="en-US"/>
        </w:rPr>
        <w:tab/>
      </w:r>
      <w:r>
        <w:t xml:space="preserve">The Committee </w:t>
      </w:r>
      <w:r w:rsidR="00DB526C">
        <w:t xml:space="preserve">further </w:t>
      </w:r>
      <w:r>
        <w:t xml:space="preserve">observes that the </w:t>
      </w:r>
      <w:r w:rsidR="00EE6233">
        <w:t>author made</w:t>
      </w:r>
      <w:r w:rsidR="00230A82" w:rsidRPr="00230A82">
        <w:t xml:space="preserve"> his contested speech </w:t>
      </w:r>
      <w:r>
        <w:t>during a public event with less than 30 people in attendance, any damage to M</w:t>
      </w:r>
      <w:r w:rsidR="00DA1DCE">
        <w:t>r</w:t>
      </w:r>
      <w:r>
        <w:t xml:space="preserve">. M’s reputation was only of a limited nature. The Committee further observes that the State party has advanced no justification that, under those circumstances, </w:t>
      </w:r>
      <w:r w:rsidR="005C615B">
        <w:t xml:space="preserve">bringing </w:t>
      </w:r>
      <w:r w:rsidR="00530F21">
        <w:t>criminal</w:t>
      </w:r>
      <w:r>
        <w:t xml:space="preserve"> charges</w:t>
      </w:r>
      <w:r w:rsidR="005C615B">
        <w:t xml:space="preserve"> against the author</w:t>
      </w:r>
      <w:r w:rsidR="00A77023">
        <w:t xml:space="preserve"> </w:t>
      </w:r>
      <w:r w:rsidR="00F203CF">
        <w:t xml:space="preserve">for slander </w:t>
      </w:r>
      <w:r w:rsidR="00A77023">
        <w:t>and sen</w:t>
      </w:r>
      <w:r w:rsidR="00F203CF">
        <w:t>tencing him to perform compulsory works</w:t>
      </w:r>
      <w:r>
        <w:t xml:space="preserve"> was necessary. Neither has the State party explained why no other means were available to protect M</w:t>
      </w:r>
      <w:r w:rsidR="00DA1DCE">
        <w:t>r</w:t>
      </w:r>
      <w:r>
        <w:t xml:space="preserve">. M’s reputation. </w:t>
      </w:r>
      <w:r w:rsidR="00075548">
        <w:t xml:space="preserve">Taking into account the nature of the penalty imposed on the author in the present case and considering the impact and the context of the remarks </w:t>
      </w:r>
      <w:r w:rsidR="002416C6">
        <w:t>made by the author</w:t>
      </w:r>
      <w:r w:rsidR="00075548">
        <w:t xml:space="preserve">, the restriction of his right to freedom of expression has not been shown to be a </w:t>
      </w:r>
      <w:r w:rsidR="00D91489">
        <w:t xml:space="preserve">necessary and </w:t>
      </w:r>
      <w:r w:rsidR="00075548">
        <w:t>proportionate measure to protect the honour and the reputation of others</w:t>
      </w:r>
      <w:r w:rsidR="00530F21">
        <w:t>.</w:t>
      </w:r>
      <w:r w:rsidR="00692F0B">
        <w:rPr>
          <w:rStyle w:val="FootnoteReference"/>
        </w:rPr>
        <w:footnoteReference w:id="11"/>
      </w:r>
      <w:r w:rsidR="00530F21">
        <w:t xml:space="preserve"> </w:t>
      </w:r>
      <w:r w:rsidR="00981658">
        <w:t>Accordingly, the Committee concludes that the facts before it disclose a violation of the author’s rights under article 19 (2) of the Covenant.</w:t>
      </w:r>
    </w:p>
    <w:p w14:paraId="45480B09" w14:textId="102535AB" w:rsidR="00F63F9B" w:rsidRDefault="00417C4F" w:rsidP="00F63F9B">
      <w:pPr>
        <w:pStyle w:val="SingleTxtG"/>
        <w:rPr>
          <w:lang w:eastAsia="en-US"/>
        </w:rPr>
      </w:pPr>
      <w:r>
        <w:t>8</w:t>
      </w:r>
      <w:r w:rsidR="00F63F9B">
        <w:t>.</w:t>
      </w:r>
      <w:r w:rsidR="00F63F9B">
        <w:tab/>
        <w:t>The Human Rights Committee, acting under article 5</w:t>
      </w:r>
      <w:r w:rsidR="007A5FDC">
        <w:t xml:space="preserve"> </w:t>
      </w:r>
      <w:r w:rsidR="00F63F9B">
        <w:t xml:space="preserve">(4) of the Optional Protocol, is of the view that the information before it discloses a violation by the State party of the author’s rights under article </w:t>
      </w:r>
      <w:r w:rsidR="003F75D6">
        <w:t>1</w:t>
      </w:r>
      <w:r>
        <w:t>9</w:t>
      </w:r>
      <w:r w:rsidR="003F75D6">
        <w:t xml:space="preserve"> (</w:t>
      </w:r>
      <w:r>
        <w:t>2</w:t>
      </w:r>
      <w:r w:rsidR="003F75D6">
        <w:t xml:space="preserve">) </w:t>
      </w:r>
      <w:r w:rsidR="009C61A2" w:rsidRPr="008E0288">
        <w:t>of the Covenant</w:t>
      </w:r>
      <w:r w:rsidR="00F63F9B">
        <w:t>.</w:t>
      </w:r>
    </w:p>
    <w:p w14:paraId="77DC357A" w14:textId="754596A6" w:rsidR="00F63F9B" w:rsidRDefault="00464B6D" w:rsidP="00F63F9B">
      <w:pPr>
        <w:pStyle w:val="SingleTxtG"/>
      </w:pPr>
      <w:r>
        <w:t>9</w:t>
      </w:r>
      <w:r w:rsidR="00F63F9B">
        <w:t>.</w:t>
      </w:r>
      <w:r w:rsidR="00F63F9B">
        <w:tab/>
        <w:t>In accordance with article 2</w:t>
      </w:r>
      <w:r w:rsidR="00DD397F">
        <w:t xml:space="preserve"> </w:t>
      </w:r>
      <w:r w:rsidR="00F63F9B">
        <w:t>(3)</w:t>
      </w:r>
      <w:r w:rsidR="00DD397F">
        <w:t xml:space="preserve"> </w:t>
      </w:r>
      <w:r w:rsidR="00F63F9B">
        <w:t>(a) of the Covenant, the State party is under an obligation to provide the author with an effective remedy. That requires it to make full reparation to individuals whose Covenant rights have been violated. In the present case, the State party is under an obligation</w:t>
      </w:r>
      <w:r>
        <w:t xml:space="preserve"> to</w:t>
      </w:r>
      <w:r w:rsidR="009C61A2">
        <w:rPr>
          <w:lang w:eastAsia="de-DE"/>
        </w:rPr>
        <w:t xml:space="preserve"> </w:t>
      </w:r>
      <w:r w:rsidR="007A5FDC">
        <w:t>provide the author</w:t>
      </w:r>
      <w:r w:rsidR="009C61A2">
        <w:t xml:space="preserve"> with adequate compensation</w:t>
      </w:r>
      <w:r w:rsidR="00DD7209">
        <w:t xml:space="preserve">. </w:t>
      </w:r>
      <w:r w:rsidR="00F63F9B">
        <w:t>The State party is also under an obligation to take all steps necessary to prevent similar violations from occurring in the future</w:t>
      </w:r>
      <w:r w:rsidR="007A5FDC">
        <w:t>.</w:t>
      </w:r>
    </w:p>
    <w:p w14:paraId="55FC8806" w14:textId="61A32687" w:rsidR="00F63F9B" w:rsidRDefault="00464B6D" w:rsidP="00F63F9B">
      <w:pPr>
        <w:pStyle w:val="SingleTxtG"/>
      </w:pPr>
      <w:r>
        <w:lastRenderedPageBreak/>
        <w:t>10</w:t>
      </w:r>
      <w:r w:rsidR="00F63F9B">
        <w:t>.</w:t>
      </w:r>
      <w:r w:rsidR="00F63F9B">
        <w:tab/>
        <w:t xml:space="preserve">Bearing in mind that, by becoming a party to the Optional Protocol, the State party has recognized the competence of the Committee to determine whether there has been a violation of the Covenant and that, pursuant to article 2 of the Covenant, the State party has undertaken to ensure to all individuals within its territory </w:t>
      </w:r>
      <w:r w:rsidR="00DD7209">
        <w:t>and</w:t>
      </w:r>
      <w:r w:rsidR="00F63F9B">
        <w:t xml:space="preserve"> subject to its jurisdiction the rights recognized in the Covenant and to provide an effective and enforceable remedy when it has been determined that a violation has occurred, the Committee wishes to receive from the State party, within 180 days, information about the measures taken to give effect to the Committee’s Views. The State party is also requested to publish the present Views and </w:t>
      </w:r>
      <w:r w:rsidR="00F63F9B">
        <w:rPr>
          <w:lang w:val="en-US"/>
        </w:rPr>
        <w:t>to have them widely disseminated in the official language of the State party</w:t>
      </w:r>
      <w:r w:rsidR="00F63F9B">
        <w:t>.</w:t>
      </w:r>
    </w:p>
    <w:p w14:paraId="3BAA64A8" w14:textId="1CFE2D67" w:rsidR="00D66BCD" w:rsidRDefault="00733D13" w:rsidP="00733D13">
      <w:pPr>
        <w:pStyle w:val="SingleTxtG"/>
        <w:jc w:val="center"/>
      </w:pPr>
      <w:r>
        <w:rPr>
          <w:u w:val="single"/>
        </w:rPr>
        <w:tab/>
      </w:r>
      <w:r>
        <w:rPr>
          <w:u w:val="single"/>
        </w:rPr>
        <w:tab/>
      </w:r>
      <w:r>
        <w:rPr>
          <w:u w:val="single"/>
        </w:rPr>
        <w:tab/>
      </w:r>
    </w:p>
    <w:sectPr w:rsidR="00D66BCD" w:rsidSect="00472FED">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F0B1" w14:textId="77777777" w:rsidR="00A93B34" w:rsidRPr="00B903E5" w:rsidRDefault="00A93B34" w:rsidP="00B903E5">
      <w:pPr>
        <w:pStyle w:val="Footer"/>
      </w:pPr>
    </w:p>
  </w:endnote>
  <w:endnote w:type="continuationSeparator" w:id="0">
    <w:p w14:paraId="2B718AE4" w14:textId="77777777" w:rsidR="00A93B34" w:rsidRPr="00B903E5" w:rsidRDefault="00A93B34" w:rsidP="00B903E5">
      <w:pPr>
        <w:pStyle w:val="Footer"/>
      </w:pPr>
    </w:p>
  </w:endnote>
  <w:endnote w:type="continuationNotice" w:id="1">
    <w:p w14:paraId="578D25D0" w14:textId="77777777" w:rsidR="00A93B34" w:rsidRDefault="00A93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F1B9" w14:textId="7984FEDD" w:rsidR="00B3336D" w:rsidRDefault="00B3336D" w:rsidP="009A7626">
    <w:pPr>
      <w:pStyle w:val="Footer"/>
      <w:tabs>
        <w:tab w:val="right" w:pos="9638"/>
      </w:tabs>
    </w:pPr>
    <w:r w:rsidRPr="00342D59">
      <w:rPr>
        <w:b/>
        <w:bCs/>
        <w:sz w:val="18"/>
      </w:rPr>
      <w:fldChar w:fldCharType="begin"/>
    </w:r>
    <w:r w:rsidRPr="00342D59">
      <w:rPr>
        <w:b/>
        <w:bCs/>
        <w:sz w:val="18"/>
      </w:rPr>
      <w:instrText xml:space="preserve"> PAGE  \* MERGEFORMAT </w:instrText>
    </w:r>
    <w:r w:rsidRPr="00342D59">
      <w:rPr>
        <w:b/>
        <w:bCs/>
        <w:sz w:val="18"/>
      </w:rPr>
      <w:fldChar w:fldCharType="separate"/>
    </w:r>
    <w:r w:rsidR="00444072">
      <w:rPr>
        <w:b/>
        <w:bCs/>
        <w:noProof/>
        <w:sz w:val="18"/>
      </w:rPr>
      <w:t>6</w:t>
    </w:r>
    <w:r w:rsidRPr="00342D59">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F054" w14:textId="7B3ADCC4" w:rsidR="00B3336D" w:rsidRDefault="00B3336D" w:rsidP="00342D59">
    <w:pPr>
      <w:pStyle w:val="Footer"/>
      <w:tabs>
        <w:tab w:val="right" w:pos="9638"/>
      </w:tabs>
    </w:pPr>
    <w:r>
      <w:tab/>
    </w:r>
    <w:r w:rsidRPr="00342D59">
      <w:rPr>
        <w:b/>
        <w:bCs/>
        <w:sz w:val="18"/>
      </w:rPr>
      <w:fldChar w:fldCharType="begin"/>
    </w:r>
    <w:r w:rsidRPr="00342D59">
      <w:rPr>
        <w:b/>
        <w:bCs/>
        <w:sz w:val="18"/>
      </w:rPr>
      <w:instrText xml:space="preserve"> PAGE  \* MERGEFORMAT </w:instrText>
    </w:r>
    <w:r w:rsidRPr="00342D59">
      <w:rPr>
        <w:b/>
        <w:bCs/>
        <w:sz w:val="18"/>
      </w:rPr>
      <w:fldChar w:fldCharType="separate"/>
    </w:r>
    <w:r w:rsidR="00444072">
      <w:rPr>
        <w:b/>
        <w:bCs/>
        <w:noProof/>
        <w:sz w:val="18"/>
      </w:rPr>
      <w:t>5</w:t>
    </w:r>
    <w:r w:rsidRPr="00342D59">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9CC8" w14:textId="5B95097E" w:rsidR="00C12D56" w:rsidRDefault="00C12D56" w:rsidP="00C12D56">
    <w:pPr>
      <w:pStyle w:val="Footer"/>
    </w:pPr>
    <w:r w:rsidRPr="0027112F">
      <w:rPr>
        <w:noProof/>
        <w:lang w:val="en-US"/>
      </w:rPr>
      <w:drawing>
        <wp:anchor distT="0" distB="0" distL="114300" distR="114300" simplePos="0" relativeHeight="251660288" behindDoc="0" locked="1" layoutInCell="1" allowOverlap="1" wp14:anchorId="7F9A0016" wp14:editId="5202399D">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7FFF" w14:textId="77777777" w:rsidR="00A93B34" w:rsidRPr="00B903E5" w:rsidRDefault="00A93B34" w:rsidP="00B903E5">
      <w:pPr>
        <w:tabs>
          <w:tab w:val="right" w:pos="2155"/>
        </w:tabs>
        <w:spacing w:after="80" w:line="240" w:lineRule="auto"/>
        <w:ind w:left="680"/>
      </w:pPr>
      <w:r>
        <w:rPr>
          <w:u w:val="single"/>
        </w:rPr>
        <w:tab/>
      </w:r>
    </w:p>
  </w:footnote>
  <w:footnote w:type="continuationSeparator" w:id="0">
    <w:p w14:paraId="010AC880" w14:textId="77777777" w:rsidR="00A93B34" w:rsidRPr="00B903E5" w:rsidRDefault="00A93B34" w:rsidP="00B903E5">
      <w:pPr>
        <w:tabs>
          <w:tab w:val="right" w:pos="2155"/>
        </w:tabs>
        <w:spacing w:after="80" w:line="240" w:lineRule="auto"/>
        <w:ind w:left="680"/>
      </w:pPr>
      <w:r>
        <w:rPr>
          <w:u w:val="single"/>
        </w:rPr>
        <w:tab/>
      </w:r>
    </w:p>
  </w:footnote>
  <w:footnote w:type="continuationNotice" w:id="1">
    <w:p w14:paraId="2EEA7D67" w14:textId="77777777" w:rsidR="00A93B34" w:rsidRDefault="00A93B34">
      <w:pPr>
        <w:spacing w:line="240" w:lineRule="auto"/>
      </w:pPr>
    </w:p>
  </w:footnote>
  <w:footnote w:id="2">
    <w:p w14:paraId="3E213E5D" w14:textId="466054A8" w:rsidR="00B61474" w:rsidRPr="00CB4AC3" w:rsidRDefault="00B61474">
      <w:pPr>
        <w:pStyle w:val="FootnoteText"/>
        <w:rPr>
          <w:lang w:val="en-US"/>
        </w:rPr>
      </w:pPr>
      <w:r>
        <w:rPr>
          <w:rStyle w:val="FootnoteReference"/>
        </w:rPr>
        <w:tab/>
      </w:r>
      <w:r w:rsidRPr="00CB4AC3">
        <w:rPr>
          <w:rStyle w:val="FootnoteReference"/>
          <w:sz w:val="20"/>
          <w:vertAlign w:val="baseline"/>
        </w:rPr>
        <w:t>*</w:t>
      </w:r>
      <w:r>
        <w:rPr>
          <w:rStyle w:val="FootnoteReference"/>
          <w:sz w:val="20"/>
          <w:vertAlign w:val="baseline"/>
        </w:rPr>
        <w:tab/>
      </w:r>
      <w:r w:rsidR="00BA44B1" w:rsidRPr="001B391F">
        <w:rPr>
          <w:bCs/>
        </w:rPr>
        <w:t xml:space="preserve">Adopted by the Committee at its </w:t>
      </w:r>
      <w:r w:rsidR="00BA44B1">
        <w:rPr>
          <w:bCs/>
        </w:rPr>
        <w:t>143rd</w:t>
      </w:r>
      <w:r w:rsidR="00BA44B1" w:rsidRPr="001B391F">
        <w:rPr>
          <w:bCs/>
        </w:rPr>
        <w:t xml:space="preserve"> session (</w:t>
      </w:r>
      <w:r w:rsidR="00BA44B1">
        <w:rPr>
          <w:bCs/>
        </w:rPr>
        <w:t>3-28 March 2025</w:t>
      </w:r>
      <w:r w:rsidR="00BA44B1" w:rsidRPr="001B391F">
        <w:rPr>
          <w:bCs/>
        </w:rPr>
        <w:t>).</w:t>
      </w:r>
    </w:p>
  </w:footnote>
  <w:footnote w:id="3">
    <w:p w14:paraId="0D48A31D" w14:textId="3387D1D3" w:rsidR="00B61474" w:rsidRPr="00CB4AC3" w:rsidRDefault="00B61474">
      <w:pPr>
        <w:pStyle w:val="FootnoteText"/>
        <w:rPr>
          <w:lang w:val="en-US"/>
        </w:rPr>
      </w:pPr>
      <w:r>
        <w:rPr>
          <w:rStyle w:val="FootnoteReference"/>
        </w:rPr>
        <w:tab/>
      </w:r>
      <w:r w:rsidRPr="00CB4AC3">
        <w:rPr>
          <w:rStyle w:val="FootnoteReference"/>
          <w:sz w:val="20"/>
          <w:vertAlign w:val="baseline"/>
        </w:rPr>
        <w:t>**</w:t>
      </w:r>
      <w:r>
        <w:rPr>
          <w:rStyle w:val="FootnoteReference"/>
          <w:sz w:val="20"/>
          <w:vertAlign w:val="baseline"/>
        </w:rPr>
        <w:tab/>
      </w:r>
      <w:r w:rsidR="00874BBB" w:rsidRPr="00BC73F8">
        <w:rPr>
          <w:bCs/>
        </w:rPr>
        <w:t>The following members of the Committee participated in the examination of the communication:</w:t>
      </w:r>
      <w:r w:rsidR="00874BBB" w:rsidRPr="001B391F">
        <w:rPr>
          <w:bCs/>
        </w:rPr>
        <w:t xml:space="preserve"> </w:t>
      </w:r>
      <w:hyperlink r:id="rId1" w:history="1">
        <w:r w:rsidR="00874BBB" w:rsidRPr="00CB4AC3">
          <w:t>Tania María Abdo Rocholl,</w:t>
        </w:r>
      </w:hyperlink>
      <w:r w:rsidR="00874BBB" w:rsidRPr="001B391F">
        <w:rPr>
          <w:bCs/>
        </w:rPr>
        <w:t xml:space="preserve"> Wafaa Ashraf Moharram Bassim, </w:t>
      </w:r>
      <w:r w:rsidR="00874BBB" w:rsidRPr="001B391F">
        <w:rPr>
          <w:bCs/>
          <w:lang w:val="en-US"/>
        </w:rPr>
        <w:t xml:space="preserve">Rodrigo A. Carazo, Yvonne Donders, Mahjoub El Haiba, </w:t>
      </w:r>
      <w:r w:rsidR="00874BBB">
        <w:rPr>
          <w:bCs/>
          <w:lang w:val="en-US"/>
        </w:rPr>
        <w:t xml:space="preserve">Carlos Ramón Fernández Liesa, </w:t>
      </w:r>
      <w:r w:rsidR="00874BBB" w:rsidRPr="001B391F">
        <w:rPr>
          <w:bCs/>
        </w:rPr>
        <w:t xml:space="preserve">Laurence R. Helfer, </w:t>
      </w:r>
      <w:r w:rsidR="00874BBB">
        <w:rPr>
          <w:bCs/>
          <w:lang w:val="en-US"/>
        </w:rPr>
        <w:t xml:space="preserve">Konstantin </w:t>
      </w:r>
      <w:proofErr w:type="spellStart"/>
      <w:r w:rsidR="00874BBB">
        <w:rPr>
          <w:bCs/>
          <w:lang w:val="en-US"/>
        </w:rPr>
        <w:t>Korkelia</w:t>
      </w:r>
      <w:proofErr w:type="spellEnd"/>
      <w:r w:rsidR="00874BBB" w:rsidRPr="001B391F">
        <w:rPr>
          <w:bCs/>
          <w:lang w:val="en-US"/>
        </w:rPr>
        <w:t xml:space="preserve">, </w:t>
      </w:r>
      <w:r w:rsidR="00874BBB">
        <w:rPr>
          <w:bCs/>
          <w:lang w:val="en-US"/>
        </w:rPr>
        <w:t xml:space="preserve">Dalia Leinarte, </w:t>
      </w:r>
      <w:r w:rsidR="00874BBB" w:rsidRPr="001B391F">
        <w:rPr>
          <w:bCs/>
          <w:lang w:val="en-US"/>
        </w:rPr>
        <w:t xml:space="preserve">Bacre Waly Ndiaye, </w:t>
      </w:r>
      <w:bookmarkStart w:id="0" w:name="_Hlk150850104"/>
      <w:r w:rsidR="00874BBB" w:rsidRPr="001B391F">
        <w:rPr>
          <w:bCs/>
          <w:lang w:val="en-US"/>
        </w:rPr>
        <w:t>Hernan Quezada Cabrera</w:t>
      </w:r>
      <w:bookmarkEnd w:id="0"/>
      <w:r w:rsidR="00874BBB" w:rsidRPr="001B391F">
        <w:rPr>
          <w:bCs/>
          <w:lang w:val="en-US"/>
        </w:rPr>
        <w:t xml:space="preserve">, </w:t>
      </w:r>
      <w:r w:rsidR="00874BBB">
        <w:rPr>
          <w:bCs/>
          <w:lang w:val="en-US"/>
        </w:rPr>
        <w:t xml:space="preserve">Akmal </w:t>
      </w:r>
      <w:proofErr w:type="spellStart"/>
      <w:r w:rsidR="00874BBB">
        <w:rPr>
          <w:bCs/>
          <w:lang w:val="en-US"/>
        </w:rPr>
        <w:t>Kholmatovich</w:t>
      </w:r>
      <w:proofErr w:type="spellEnd"/>
      <w:r w:rsidR="00874BBB">
        <w:rPr>
          <w:bCs/>
          <w:lang w:val="en-US"/>
        </w:rPr>
        <w:t xml:space="preserve"> Saidov</w:t>
      </w:r>
      <w:r w:rsidR="00874BBB" w:rsidRPr="001B391F">
        <w:rPr>
          <w:bCs/>
          <w:lang w:val="en-US"/>
        </w:rPr>
        <w:t xml:space="preserve">, </w:t>
      </w:r>
      <w:r w:rsidR="00874BBB">
        <w:rPr>
          <w:bCs/>
        </w:rPr>
        <w:t xml:space="preserve">Ivan </w:t>
      </w:r>
      <w:proofErr w:type="spellStart"/>
      <w:r w:rsidR="00874BBB">
        <w:rPr>
          <w:bCs/>
        </w:rPr>
        <w:t>Šimonović</w:t>
      </w:r>
      <w:proofErr w:type="spellEnd"/>
      <w:r w:rsidR="00874BBB">
        <w:rPr>
          <w:bCs/>
        </w:rPr>
        <w:t xml:space="preserve">, </w:t>
      </w:r>
      <w:r w:rsidR="00874BBB" w:rsidRPr="008464D0">
        <w:rPr>
          <w:bCs/>
        </w:rPr>
        <w:t>Changrok Soh</w:t>
      </w:r>
      <w:r w:rsidR="00874BBB">
        <w:rPr>
          <w:bCs/>
        </w:rPr>
        <w:t>,</w:t>
      </w:r>
      <w:r w:rsidR="00874BBB" w:rsidRPr="008464D0">
        <w:rPr>
          <w:bCs/>
        </w:rPr>
        <w:t xml:space="preserve"> </w:t>
      </w:r>
      <w:r w:rsidR="00874BBB" w:rsidRPr="001B391F">
        <w:rPr>
          <w:bCs/>
          <w:lang w:val="en-US"/>
        </w:rPr>
        <w:t>Koji Teraya, Hélène Tigroudja and Imeru Tamerat Yigezu</w:t>
      </w:r>
      <w:r w:rsidR="00EC6E04">
        <w:rPr>
          <w:bCs/>
          <w:lang w:val="en-US"/>
        </w:rPr>
        <w:t>.</w:t>
      </w:r>
    </w:p>
  </w:footnote>
  <w:footnote w:id="4">
    <w:p w14:paraId="472BD439" w14:textId="4BCDE953" w:rsidR="006056F3" w:rsidRPr="006056F3" w:rsidRDefault="007B5E2E">
      <w:pPr>
        <w:pStyle w:val="FootnoteText"/>
        <w:rPr>
          <w:lang w:val="en-US"/>
        </w:rPr>
      </w:pPr>
      <w:r>
        <w:tab/>
      </w:r>
      <w:r w:rsidR="006056F3">
        <w:rPr>
          <w:rStyle w:val="FootnoteReference"/>
        </w:rPr>
        <w:footnoteRef/>
      </w:r>
      <w:r w:rsidR="006056F3">
        <w:t xml:space="preserve"> </w:t>
      </w:r>
      <w:r>
        <w:tab/>
      </w:r>
      <w:r>
        <w:tab/>
      </w:r>
      <w:r w:rsidR="006056F3">
        <w:rPr>
          <w:lang w:val="en-US"/>
        </w:rPr>
        <w:t xml:space="preserve">The author refers to </w:t>
      </w:r>
      <w:r w:rsidRPr="007B5E2E">
        <w:rPr>
          <w:i/>
          <w:iCs/>
        </w:rPr>
        <w:t>Kashlan v. Russia</w:t>
      </w:r>
      <w:r>
        <w:t>, application No. 60189/15, 19 April 2016, para. 29.</w:t>
      </w:r>
    </w:p>
  </w:footnote>
  <w:footnote w:id="5">
    <w:p w14:paraId="02E80722" w14:textId="0F78B0DC" w:rsidR="00032569" w:rsidRPr="00821003" w:rsidRDefault="00821003" w:rsidP="00821003">
      <w:pPr>
        <w:pStyle w:val="FootnoteText"/>
        <w:rPr>
          <w:lang w:val="en-US"/>
        </w:rPr>
      </w:pPr>
      <w:r>
        <w:tab/>
      </w:r>
      <w:r w:rsidR="00032569">
        <w:rPr>
          <w:rStyle w:val="FootnoteReference"/>
        </w:rPr>
        <w:footnoteRef/>
      </w:r>
      <w:r w:rsidR="00032569">
        <w:t xml:space="preserve"> </w:t>
      </w:r>
      <w:r>
        <w:tab/>
      </w:r>
      <w:r>
        <w:tab/>
      </w:r>
      <w:proofErr w:type="spellStart"/>
      <w:r w:rsidR="00551412" w:rsidRPr="00821003">
        <w:rPr>
          <w:i/>
          <w:iCs/>
        </w:rPr>
        <w:t>Bratsylo</w:t>
      </w:r>
      <w:proofErr w:type="spellEnd"/>
      <w:r w:rsidR="00551412" w:rsidRPr="00821003">
        <w:rPr>
          <w:i/>
          <w:iCs/>
        </w:rPr>
        <w:t xml:space="preserve"> v. Russian Federation</w:t>
      </w:r>
      <w:r w:rsidR="00551412">
        <w:t xml:space="preserve"> (</w:t>
      </w:r>
      <w:r w:rsidRPr="00821003">
        <w:t>CCPR/C/140/D/3022/2017</w:t>
      </w:r>
      <w:r>
        <w:t>), para. 7.6.</w:t>
      </w:r>
    </w:p>
  </w:footnote>
  <w:footnote w:id="6">
    <w:p w14:paraId="732B76B7" w14:textId="2427DAA0" w:rsidR="00B06B6E" w:rsidRPr="00BF3B8E" w:rsidRDefault="00BF3B8E">
      <w:pPr>
        <w:pStyle w:val="FootnoteText"/>
      </w:pPr>
      <w:r>
        <w:tab/>
      </w:r>
      <w:r w:rsidR="00B06B6E">
        <w:rPr>
          <w:rStyle w:val="FootnoteReference"/>
        </w:rPr>
        <w:footnoteRef/>
      </w:r>
      <w:r w:rsidR="00B06B6E">
        <w:t xml:space="preserve"> </w:t>
      </w:r>
      <w:r>
        <w:tab/>
      </w:r>
      <w:r w:rsidRPr="00BF3B8E">
        <w:rPr>
          <w:i/>
          <w:iCs/>
        </w:rPr>
        <w:tab/>
      </w:r>
      <w:r w:rsidR="00B06B6E" w:rsidRPr="00BF3B8E">
        <w:rPr>
          <w:i/>
          <w:iCs/>
        </w:rPr>
        <w:t>Voronkov v. Russian Federation</w:t>
      </w:r>
      <w:r w:rsidR="00B06B6E">
        <w:t xml:space="preserve"> (</w:t>
      </w:r>
      <w:r w:rsidR="00B06B6E" w:rsidRPr="00B06B6E">
        <w:t>CCPR/C/1</w:t>
      </w:r>
      <w:r w:rsidR="00A50B27">
        <w:t>36</w:t>
      </w:r>
      <w:r w:rsidR="00B06B6E" w:rsidRPr="00B06B6E">
        <w:t>/D/2</w:t>
      </w:r>
      <w:r>
        <w:t>951</w:t>
      </w:r>
      <w:r w:rsidR="00B06B6E" w:rsidRPr="00B06B6E">
        <w:t>/201</w:t>
      </w:r>
      <w:r>
        <w:t>7</w:t>
      </w:r>
      <w:r w:rsidR="00B06B6E" w:rsidRPr="00B06B6E">
        <w:t xml:space="preserve">), para. </w:t>
      </w:r>
      <w:r>
        <w:t>9.3.</w:t>
      </w:r>
    </w:p>
  </w:footnote>
  <w:footnote w:id="7">
    <w:p w14:paraId="72A07D97" w14:textId="0ABA27B4" w:rsidR="00F51F8C" w:rsidRPr="009B0830" w:rsidRDefault="00BB044F">
      <w:pPr>
        <w:pStyle w:val="FootnoteText"/>
      </w:pPr>
      <w:r>
        <w:tab/>
      </w:r>
      <w:r w:rsidR="00F51F8C">
        <w:rPr>
          <w:rStyle w:val="FootnoteReference"/>
        </w:rPr>
        <w:footnoteRef/>
      </w:r>
      <w:r w:rsidR="00F51F8C">
        <w:t xml:space="preserve"> </w:t>
      </w:r>
      <w:r>
        <w:tab/>
      </w:r>
      <w:r>
        <w:tab/>
        <w:t xml:space="preserve">General comment No. 34 (2011), para. </w:t>
      </w:r>
      <w:r w:rsidRPr="009B0830">
        <w:t>38.</w:t>
      </w:r>
    </w:p>
  </w:footnote>
  <w:footnote w:id="8">
    <w:p w14:paraId="14B20492" w14:textId="549850E8" w:rsidR="0081390C" w:rsidRPr="007006EA" w:rsidRDefault="0081390C">
      <w:pPr>
        <w:pStyle w:val="FootnoteText"/>
      </w:pPr>
      <w:r w:rsidRPr="009B0830">
        <w:tab/>
      </w:r>
      <w:r>
        <w:rPr>
          <w:rStyle w:val="FootnoteReference"/>
        </w:rPr>
        <w:footnoteRef/>
      </w:r>
      <w:r w:rsidRPr="009B0830">
        <w:t xml:space="preserve"> </w:t>
      </w:r>
      <w:r w:rsidRPr="009B0830">
        <w:tab/>
      </w:r>
      <w:r w:rsidRPr="009B0830">
        <w:tab/>
      </w:r>
      <w:r w:rsidRPr="009B0830">
        <w:rPr>
          <w:i/>
          <w:iCs/>
        </w:rPr>
        <w:t>Ibid</w:t>
      </w:r>
      <w:r w:rsidRPr="009B0830">
        <w:t>.</w:t>
      </w:r>
      <w:r w:rsidR="00692F0B" w:rsidRPr="009B0830">
        <w:t xml:space="preserve"> Also, </w:t>
      </w:r>
      <w:proofErr w:type="spellStart"/>
      <w:r w:rsidR="00DA4FEF" w:rsidRPr="009B0830">
        <w:rPr>
          <w:i/>
          <w:iCs/>
          <w:lang w:val="en-US"/>
        </w:rPr>
        <w:t>Akhmedyarov</w:t>
      </w:r>
      <w:proofErr w:type="spellEnd"/>
      <w:r w:rsidR="00DA4FEF" w:rsidRPr="009B0830">
        <w:rPr>
          <w:i/>
          <w:iCs/>
          <w:lang w:val="en-US"/>
        </w:rPr>
        <w:t xml:space="preserve"> v. Kazakhstan</w:t>
      </w:r>
      <w:r w:rsidR="00692F0B" w:rsidRPr="007006EA">
        <w:t xml:space="preserve"> (CCPR/C/1</w:t>
      </w:r>
      <w:r w:rsidR="005443DC">
        <w:t>2</w:t>
      </w:r>
      <w:r w:rsidR="00692F0B" w:rsidRPr="007006EA">
        <w:t>9/D/</w:t>
      </w:r>
      <w:r w:rsidR="005443DC">
        <w:t>2535</w:t>
      </w:r>
      <w:r w:rsidR="00692F0B" w:rsidRPr="007006EA">
        <w:t>/201</w:t>
      </w:r>
      <w:r w:rsidR="005443DC">
        <w:t>5</w:t>
      </w:r>
      <w:r w:rsidR="00692F0B" w:rsidRPr="007006EA">
        <w:t xml:space="preserve">), para. </w:t>
      </w:r>
      <w:r w:rsidR="005443DC">
        <w:t>9.8</w:t>
      </w:r>
      <w:r w:rsidR="00692F0B" w:rsidRPr="007006EA">
        <w:t>.</w:t>
      </w:r>
    </w:p>
  </w:footnote>
  <w:footnote w:id="9">
    <w:p w14:paraId="1B85DE39" w14:textId="7264AA25" w:rsidR="0081390C" w:rsidRPr="007006EA" w:rsidRDefault="0081390C">
      <w:pPr>
        <w:pStyle w:val="FootnoteText"/>
      </w:pPr>
      <w:r w:rsidRPr="007006EA">
        <w:tab/>
      </w:r>
      <w:r>
        <w:rPr>
          <w:rStyle w:val="FootnoteReference"/>
        </w:rPr>
        <w:footnoteRef/>
      </w:r>
      <w:r w:rsidRPr="009B0830">
        <w:t xml:space="preserve"> </w:t>
      </w:r>
      <w:r w:rsidRPr="009B0830">
        <w:tab/>
      </w:r>
      <w:r w:rsidRPr="009B0830">
        <w:tab/>
      </w:r>
      <w:r w:rsidR="00D91489">
        <w:t>General comment No. 34 (2011)</w:t>
      </w:r>
      <w:r w:rsidRPr="007006EA">
        <w:t>, para. 47.</w:t>
      </w:r>
    </w:p>
  </w:footnote>
  <w:footnote w:id="10">
    <w:p w14:paraId="010C7B58" w14:textId="7640D18B" w:rsidR="0021382F" w:rsidRPr="00C047B7" w:rsidRDefault="0021382F">
      <w:pPr>
        <w:pStyle w:val="FootnoteText"/>
        <w:rPr>
          <w:lang w:val="pt-BR"/>
        </w:rPr>
      </w:pPr>
      <w:r w:rsidRPr="007006EA">
        <w:tab/>
      </w:r>
      <w:r>
        <w:rPr>
          <w:rStyle w:val="FootnoteReference"/>
        </w:rPr>
        <w:footnoteRef/>
      </w:r>
      <w:r w:rsidRPr="009B0830">
        <w:t xml:space="preserve"> </w:t>
      </w:r>
      <w:r w:rsidRPr="009B0830">
        <w:tab/>
      </w:r>
      <w:r w:rsidRPr="009B0830">
        <w:tab/>
      </w:r>
      <w:r w:rsidRPr="009B0830">
        <w:rPr>
          <w:i/>
          <w:iCs/>
        </w:rPr>
        <w:t>Ibid</w:t>
      </w:r>
      <w:r w:rsidRPr="009B0830">
        <w:t>.</w:t>
      </w:r>
      <w:r w:rsidR="00845307" w:rsidRPr="009B0830">
        <w:t xml:space="preserve"> </w:t>
      </w:r>
      <w:proofErr w:type="spellStart"/>
      <w:r w:rsidR="003F692C" w:rsidRPr="00837586">
        <w:rPr>
          <w:i/>
          <w:iCs/>
          <w:lang w:val="en-US"/>
        </w:rPr>
        <w:t>Akhmedyarov</w:t>
      </w:r>
      <w:proofErr w:type="spellEnd"/>
      <w:r w:rsidR="003F692C" w:rsidRPr="00837586">
        <w:rPr>
          <w:i/>
          <w:iCs/>
          <w:lang w:val="en-US"/>
        </w:rPr>
        <w:t xml:space="preserve"> v. Kazakhstan</w:t>
      </w:r>
      <w:r w:rsidR="003F692C">
        <w:rPr>
          <w:i/>
          <w:iCs/>
          <w:lang w:val="en-US"/>
        </w:rPr>
        <w:t xml:space="preserve">, </w:t>
      </w:r>
      <w:r w:rsidR="003F692C" w:rsidRPr="009B0830">
        <w:rPr>
          <w:lang w:val="en-US"/>
        </w:rPr>
        <w:t xml:space="preserve">para. </w:t>
      </w:r>
      <w:r w:rsidR="003F692C" w:rsidRPr="009B0830">
        <w:rPr>
          <w:lang w:val="pt-BR"/>
        </w:rPr>
        <w:t>9.8.</w:t>
      </w:r>
    </w:p>
  </w:footnote>
  <w:footnote w:id="11">
    <w:p w14:paraId="500F3291" w14:textId="7871D03D" w:rsidR="00692F0B" w:rsidRPr="009B0830" w:rsidRDefault="00692F0B">
      <w:pPr>
        <w:pStyle w:val="FootnoteText"/>
        <w:rPr>
          <w:lang w:val="es-ES"/>
        </w:rPr>
      </w:pPr>
      <w:r w:rsidRPr="00C047B7">
        <w:rPr>
          <w:lang w:val="pt-BR"/>
        </w:rPr>
        <w:tab/>
      </w:r>
      <w:r>
        <w:rPr>
          <w:rStyle w:val="FootnoteReference"/>
        </w:rPr>
        <w:footnoteRef/>
      </w:r>
      <w:r w:rsidRPr="00C047B7">
        <w:rPr>
          <w:lang w:val="pt-BR"/>
        </w:rPr>
        <w:t xml:space="preserve"> </w:t>
      </w:r>
      <w:r w:rsidRPr="00C047B7">
        <w:rPr>
          <w:lang w:val="pt-BR"/>
        </w:rPr>
        <w:tab/>
      </w:r>
      <w:r w:rsidRPr="00C047B7">
        <w:rPr>
          <w:lang w:val="pt-BR"/>
        </w:rPr>
        <w:tab/>
      </w:r>
      <w:r w:rsidRPr="00C047B7">
        <w:rPr>
          <w:i/>
          <w:iCs/>
          <w:lang w:val="pt-BR"/>
        </w:rPr>
        <w:t>Kozlov v. Belarus</w:t>
      </w:r>
      <w:r w:rsidRPr="00C047B7">
        <w:rPr>
          <w:lang w:val="pt-BR"/>
        </w:rPr>
        <w:t xml:space="preserve"> (CCPR/C/111/D/1986/2010), para. </w:t>
      </w:r>
      <w:r w:rsidRPr="009B0830">
        <w:rPr>
          <w:lang w:val="es-ES"/>
        </w:rPr>
        <w:t>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7CCB" w14:textId="6E7AC59D" w:rsidR="00B3336D" w:rsidRPr="00BB3264" w:rsidRDefault="00B3336D" w:rsidP="00342D59">
    <w:pPr>
      <w:pStyle w:val="Header"/>
    </w:pPr>
    <w:r w:rsidRPr="00BB3264">
      <w:t>CCPR/C/1</w:t>
    </w:r>
    <w:r w:rsidR="0057322C" w:rsidRPr="00BB3264">
      <w:t>4</w:t>
    </w:r>
    <w:r w:rsidR="003A2633" w:rsidRPr="00BB3264">
      <w:t>3</w:t>
    </w:r>
    <w:r w:rsidR="00700D36" w:rsidRPr="00BB3264">
      <w:t>/</w:t>
    </w:r>
    <w:r w:rsidRPr="00BB3264">
      <w:t>D/</w:t>
    </w:r>
    <w:r w:rsidR="003A2633" w:rsidRPr="00BB3264">
      <w:t>3054</w:t>
    </w:r>
    <w:r w:rsidRPr="00BB3264">
      <w:t>/201</w:t>
    </w:r>
    <w:r w:rsidR="003A2633" w:rsidRPr="00BB3264">
      <w:t>7</w:t>
    </w:r>
    <w:r w:rsidR="00E510D2" w:rsidRPr="00E510D2">
      <w:rPr>
        <w:sz w:val="34"/>
      </w:rPr>
      <w:t xml:space="preserve"> </w:t>
    </w:r>
    <w:r w:rsidR="00E510D2" w:rsidRPr="00CB4AC3">
      <w:t>Advance unedited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F01D" w14:textId="76FC0F5B" w:rsidR="00B3336D" w:rsidRDefault="00537564" w:rsidP="00342D59">
    <w:pPr>
      <w:pStyle w:val="Header"/>
      <w:jc w:val="right"/>
    </w:pPr>
    <w:r w:rsidRPr="00CB4AC3">
      <w:t>Advance unedited version</w:t>
    </w:r>
    <w:r>
      <w:t xml:space="preserve"> </w:t>
    </w:r>
    <w:r w:rsidR="00B3336D">
      <w:t>CCPR/C/1</w:t>
    </w:r>
    <w:r w:rsidR="0057322C">
      <w:t>4</w:t>
    </w:r>
    <w:r w:rsidR="003A2633">
      <w:t>3</w:t>
    </w:r>
    <w:r w:rsidR="00B3336D">
      <w:t>/D/</w:t>
    </w:r>
    <w:r w:rsidR="003A2633">
      <w:t>3054</w:t>
    </w:r>
    <w:r w:rsidR="00B3336D">
      <w:t>/201</w:t>
    </w:r>
    <w:r w:rsidR="003A2633">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93D6312"/>
    <w:multiLevelType w:val="multilevel"/>
    <w:tmpl w:val="03FE7532"/>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26190695">
    <w:abstractNumId w:val="3"/>
  </w:num>
  <w:num w:numId="2" w16cid:durableId="671883084">
    <w:abstractNumId w:val="2"/>
  </w:num>
  <w:num w:numId="3" w16cid:durableId="192617929">
    <w:abstractNumId w:val="0"/>
  </w:num>
  <w:num w:numId="4" w16cid:durableId="1687321732">
    <w:abstractNumId w:val="4"/>
  </w:num>
  <w:num w:numId="5" w16cid:durableId="823164776">
    <w:abstractNumId w:val="5"/>
  </w:num>
  <w:num w:numId="6" w16cid:durableId="388574075">
    <w:abstractNumId w:val="6"/>
  </w:num>
  <w:num w:numId="7" w16cid:durableId="2077629674">
    <w:abstractNumId w:val="1"/>
  </w:num>
  <w:num w:numId="8" w16cid:durableId="972909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BR"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BR" w:vendorID="64" w:dllVersion="0" w:nlCheck="1" w:checkStyle="0"/>
  <w:proofState w:spelling="clean"/>
  <w:defaultTabStop w:val="567"/>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2F"/>
    <w:rsid w:val="0000086D"/>
    <w:rsid w:val="0000112F"/>
    <w:rsid w:val="00002414"/>
    <w:rsid w:val="00002827"/>
    <w:rsid w:val="00002E41"/>
    <w:rsid w:val="00003399"/>
    <w:rsid w:val="000039E9"/>
    <w:rsid w:val="00004B5D"/>
    <w:rsid w:val="00006B79"/>
    <w:rsid w:val="00007A36"/>
    <w:rsid w:val="00007D0C"/>
    <w:rsid w:val="00007D3D"/>
    <w:rsid w:val="00011E55"/>
    <w:rsid w:val="00013F27"/>
    <w:rsid w:val="0001419E"/>
    <w:rsid w:val="0001711C"/>
    <w:rsid w:val="00020396"/>
    <w:rsid w:val="0002100F"/>
    <w:rsid w:val="00021807"/>
    <w:rsid w:val="00023294"/>
    <w:rsid w:val="000244E7"/>
    <w:rsid w:val="00024A0F"/>
    <w:rsid w:val="00025ACD"/>
    <w:rsid w:val="0002715B"/>
    <w:rsid w:val="00030494"/>
    <w:rsid w:val="000316D6"/>
    <w:rsid w:val="00032569"/>
    <w:rsid w:val="00032864"/>
    <w:rsid w:val="00033791"/>
    <w:rsid w:val="000361BE"/>
    <w:rsid w:val="0003700D"/>
    <w:rsid w:val="00041648"/>
    <w:rsid w:val="00042213"/>
    <w:rsid w:val="00042954"/>
    <w:rsid w:val="00042DAA"/>
    <w:rsid w:val="0004315B"/>
    <w:rsid w:val="0004535A"/>
    <w:rsid w:val="00046E92"/>
    <w:rsid w:val="00047D16"/>
    <w:rsid w:val="000500CD"/>
    <w:rsid w:val="00054EBB"/>
    <w:rsid w:val="00056B3D"/>
    <w:rsid w:val="00061BEF"/>
    <w:rsid w:val="00062125"/>
    <w:rsid w:val="00062DAA"/>
    <w:rsid w:val="00064344"/>
    <w:rsid w:val="0006523D"/>
    <w:rsid w:val="00065479"/>
    <w:rsid w:val="00065672"/>
    <w:rsid w:val="0006681F"/>
    <w:rsid w:val="0007024D"/>
    <w:rsid w:val="00070F8D"/>
    <w:rsid w:val="0007103A"/>
    <w:rsid w:val="00071150"/>
    <w:rsid w:val="00071AEB"/>
    <w:rsid w:val="0007282D"/>
    <w:rsid w:val="00072891"/>
    <w:rsid w:val="00073951"/>
    <w:rsid w:val="00074D96"/>
    <w:rsid w:val="000751FC"/>
    <w:rsid w:val="00075548"/>
    <w:rsid w:val="00081024"/>
    <w:rsid w:val="00081978"/>
    <w:rsid w:val="00081EB4"/>
    <w:rsid w:val="00083378"/>
    <w:rsid w:val="00084AF3"/>
    <w:rsid w:val="00084C01"/>
    <w:rsid w:val="00086765"/>
    <w:rsid w:val="00091661"/>
    <w:rsid w:val="00093E69"/>
    <w:rsid w:val="000947CF"/>
    <w:rsid w:val="00094A1F"/>
    <w:rsid w:val="00095810"/>
    <w:rsid w:val="000959A5"/>
    <w:rsid w:val="000A137E"/>
    <w:rsid w:val="000A247C"/>
    <w:rsid w:val="000A3890"/>
    <w:rsid w:val="000A3DEE"/>
    <w:rsid w:val="000A4402"/>
    <w:rsid w:val="000B15CC"/>
    <w:rsid w:val="000B1C76"/>
    <w:rsid w:val="000B23A2"/>
    <w:rsid w:val="000B2490"/>
    <w:rsid w:val="000B2D3B"/>
    <w:rsid w:val="000B61F7"/>
    <w:rsid w:val="000B655E"/>
    <w:rsid w:val="000B6870"/>
    <w:rsid w:val="000B68DE"/>
    <w:rsid w:val="000B7B25"/>
    <w:rsid w:val="000B7CCA"/>
    <w:rsid w:val="000C00AD"/>
    <w:rsid w:val="000C0C45"/>
    <w:rsid w:val="000C148E"/>
    <w:rsid w:val="000C2BF7"/>
    <w:rsid w:val="000C3C0A"/>
    <w:rsid w:val="000C791D"/>
    <w:rsid w:val="000D06D0"/>
    <w:rsid w:val="000D2236"/>
    <w:rsid w:val="000D2C7F"/>
    <w:rsid w:val="000D34BC"/>
    <w:rsid w:val="000D37AD"/>
    <w:rsid w:val="000D3AA2"/>
    <w:rsid w:val="000D51F0"/>
    <w:rsid w:val="000D67A7"/>
    <w:rsid w:val="000D6A71"/>
    <w:rsid w:val="000D6AEC"/>
    <w:rsid w:val="000E00D0"/>
    <w:rsid w:val="000E0985"/>
    <w:rsid w:val="000E0C2B"/>
    <w:rsid w:val="000E1009"/>
    <w:rsid w:val="000E1C4E"/>
    <w:rsid w:val="000E3132"/>
    <w:rsid w:val="000E449E"/>
    <w:rsid w:val="000E4BD8"/>
    <w:rsid w:val="000E54E5"/>
    <w:rsid w:val="000E6E5A"/>
    <w:rsid w:val="000E6ED1"/>
    <w:rsid w:val="000E7C1C"/>
    <w:rsid w:val="000F0C3E"/>
    <w:rsid w:val="000F110B"/>
    <w:rsid w:val="000F19A2"/>
    <w:rsid w:val="000F1E68"/>
    <w:rsid w:val="000F3446"/>
    <w:rsid w:val="000F35C9"/>
    <w:rsid w:val="000F55EE"/>
    <w:rsid w:val="000F79EC"/>
    <w:rsid w:val="000F7D86"/>
    <w:rsid w:val="001002BC"/>
    <w:rsid w:val="0010057E"/>
    <w:rsid w:val="001016A3"/>
    <w:rsid w:val="00101DDB"/>
    <w:rsid w:val="00102141"/>
    <w:rsid w:val="00102FCC"/>
    <w:rsid w:val="0010366A"/>
    <w:rsid w:val="00104671"/>
    <w:rsid w:val="00104947"/>
    <w:rsid w:val="00105020"/>
    <w:rsid w:val="001061C1"/>
    <w:rsid w:val="001064CA"/>
    <w:rsid w:val="00107D43"/>
    <w:rsid w:val="001137F6"/>
    <w:rsid w:val="00114E81"/>
    <w:rsid w:val="0011560C"/>
    <w:rsid w:val="00116C19"/>
    <w:rsid w:val="0012254E"/>
    <w:rsid w:val="001245F9"/>
    <w:rsid w:val="001267B5"/>
    <w:rsid w:val="00126F49"/>
    <w:rsid w:val="00126FAC"/>
    <w:rsid w:val="001275BB"/>
    <w:rsid w:val="00127CFC"/>
    <w:rsid w:val="00127D53"/>
    <w:rsid w:val="001302CC"/>
    <w:rsid w:val="00130D64"/>
    <w:rsid w:val="00131D7A"/>
    <w:rsid w:val="00132205"/>
    <w:rsid w:val="0013269F"/>
    <w:rsid w:val="00132C53"/>
    <w:rsid w:val="00132DCC"/>
    <w:rsid w:val="00133714"/>
    <w:rsid w:val="00134454"/>
    <w:rsid w:val="00135C5C"/>
    <w:rsid w:val="00136EAD"/>
    <w:rsid w:val="001376B4"/>
    <w:rsid w:val="00140B3B"/>
    <w:rsid w:val="00145050"/>
    <w:rsid w:val="001450FA"/>
    <w:rsid w:val="00146AA8"/>
    <w:rsid w:val="00146CCC"/>
    <w:rsid w:val="00150F57"/>
    <w:rsid w:val="0015229E"/>
    <w:rsid w:val="001545A6"/>
    <w:rsid w:val="00155BA8"/>
    <w:rsid w:val="00157333"/>
    <w:rsid w:val="00160DDD"/>
    <w:rsid w:val="00162A64"/>
    <w:rsid w:val="00165C15"/>
    <w:rsid w:val="00165ED5"/>
    <w:rsid w:val="00167AE5"/>
    <w:rsid w:val="00170977"/>
    <w:rsid w:val="00170D31"/>
    <w:rsid w:val="00171FA6"/>
    <w:rsid w:val="001801C6"/>
    <w:rsid w:val="00181611"/>
    <w:rsid w:val="00181776"/>
    <w:rsid w:val="00183047"/>
    <w:rsid w:val="00183B82"/>
    <w:rsid w:val="00183C96"/>
    <w:rsid w:val="00185547"/>
    <w:rsid w:val="00185861"/>
    <w:rsid w:val="00185933"/>
    <w:rsid w:val="00190230"/>
    <w:rsid w:val="00190254"/>
    <w:rsid w:val="00191D47"/>
    <w:rsid w:val="00192B1B"/>
    <w:rsid w:val="00193451"/>
    <w:rsid w:val="00194EEA"/>
    <w:rsid w:val="00195D6D"/>
    <w:rsid w:val="001972FA"/>
    <w:rsid w:val="001A222B"/>
    <w:rsid w:val="001A4250"/>
    <w:rsid w:val="001A45B7"/>
    <w:rsid w:val="001A49D3"/>
    <w:rsid w:val="001A4DCE"/>
    <w:rsid w:val="001A79E1"/>
    <w:rsid w:val="001B0579"/>
    <w:rsid w:val="001B097D"/>
    <w:rsid w:val="001B0A6F"/>
    <w:rsid w:val="001B1377"/>
    <w:rsid w:val="001B292A"/>
    <w:rsid w:val="001B4267"/>
    <w:rsid w:val="001B4A8B"/>
    <w:rsid w:val="001B5F96"/>
    <w:rsid w:val="001C008D"/>
    <w:rsid w:val="001C1443"/>
    <w:rsid w:val="001C307D"/>
    <w:rsid w:val="001C4E3F"/>
    <w:rsid w:val="001C536B"/>
    <w:rsid w:val="001D1164"/>
    <w:rsid w:val="001D2466"/>
    <w:rsid w:val="001D3AEE"/>
    <w:rsid w:val="001D41F4"/>
    <w:rsid w:val="001D463F"/>
    <w:rsid w:val="001D5093"/>
    <w:rsid w:val="001D5B94"/>
    <w:rsid w:val="001D7AA5"/>
    <w:rsid w:val="001E0E58"/>
    <w:rsid w:val="001E1574"/>
    <w:rsid w:val="001E3ABC"/>
    <w:rsid w:val="001E56ED"/>
    <w:rsid w:val="001E56EE"/>
    <w:rsid w:val="001E5D92"/>
    <w:rsid w:val="001E6628"/>
    <w:rsid w:val="001F2596"/>
    <w:rsid w:val="001F2B3D"/>
    <w:rsid w:val="001F30D8"/>
    <w:rsid w:val="001F42AA"/>
    <w:rsid w:val="001F4457"/>
    <w:rsid w:val="001F462E"/>
    <w:rsid w:val="001F469B"/>
    <w:rsid w:val="001F52C1"/>
    <w:rsid w:val="001F5439"/>
    <w:rsid w:val="001F62EF"/>
    <w:rsid w:val="001F66E1"/>
    <w:rsid w:val="001F7D42"/>
    <w:rsid w:val="00200028"/>
    <w:rsid w:val="00202862"/>
    <w:rsid w:val="00202D5A"/>
    <w:rsid w:val="00203FD1"/>
    <w:rsid w:val="002043F5"/>
    <w:rsid w:val="0020473E"/>
    <w:rsid w:val="00204BB7"/>
    <w:rsid w:val="002062A0"/>
    <w:rsid w:val="002107FE"/>
    <w:rsid w:val="00212A44"/>
    <w:rsid w:val="0021311D"/>
    <w:rsid w:val="0021382F"/>
    <w:rsid w:val="002140AC"/>
    <w:rsid w:val="00214F22"/>
    <w:rsid w:val="0021522E"/>
    <w:rsid w:val="00216C56"/>
    <w:rsid w:val="00216F2C"/>
    <w:rsid w:val="00217A13"/>
    <w:rsid w:val="00220462"/>
    <w:rsid w:val="00220902"/>
    <w:rsid w:val="00221B47"/>
    <w:rsid w:val="002226A0"/>
    <w:rsid w:val="002232B9"/>
    <w:rsid w:val="00226091"/>
    <w:rsid w:val="00226752"/>
    <w:rsid w:val="00230A82"/>
    <w:rsid w:val="002355A8"/>
    <w:rsid w:val="00236CDA"/>
    <w:rsid w:val="0024104B"/>
    <w:rsid w:val="00241111"/>
    <w:rsid w:val="002416C6"/>
    <w:rsid w:val="00243341"/>
    <w:rsid w:val="00244C7C"/>
    <w:rsid w:val="002451C1"/>
    <w:rsid w:val="0024633F"/>
    <w:rsid w:val="002475CB"/>
    <w:rsid w:val="00247C45"/>
    <w:rsid w:val="00247E2C"/>
    <w:rsid w:val="002504A1"/>
    <w:rsid w:val="002509C4"/>
    <w:rsid w:val="00251DF5"/>
    <w:rsid w:val="002528E8"/>
    <w:rsid w:val="002543CE"/>
    <w:rsid w:val="00254621"/>
    <w:rsid w:val="00257933"/>
    <w:rsid w:val="0026013A"/>
    <w:rsid w:val="00261114"/>
    <w:rsid w:val="0026193D"/>
    <w:rsid w:val="00262200"/>
    <w:rsid w:val="0026319B"/>
    <w:rsid w:val="00263C8D"/>
    <w:rsid w:val="002641F9"/>
    <w:rsid w:val="00264708"/>
    <w:rsid w:val="002666B5"/>
    <w:rsid w:val="00266F35"/>
    <w:rsid w:val="00267A2B"/>
    <w:rsid w:val="0027128C"/>
    <w:rsid w:val="002715B5"/>
    <w:rsid w:val="002745B0"/>
    <w:rsid w:val="002755CE"/>
    <w:rsid w:val="00275903"/>
    <w:rsid w:val="00277305"/>
    <w:rsid w:val="002778F2"/>
    <w:rsid w:val="00277A5D"/>
    <w:rsid w:val="002805FE"/>
    <w:rsid w:val="00281343"/>
    <w:rsid w:val="002813EA"/>
    <w:rsid w:val="00283176"/>
    <w:rsid w:val="00285395"/>
    <w:rsid w:val="00285929"/>
    <w:rsid w:val="002879C9"/>
    <w:rsid w:val="0029021C"/>
    <w:rsid w:val="00290E13"/>
    <w:rsid w:val="0029275B"/>
    <w:rsid w:val="00293D97"/>
    <w:rsid w:val="002A2393"/>
    <w:rsid w:val="002A3667"/>
    <w:rsid w:val="002A4F12"/>
    <w:rsid w:val="002A5C0F"/>
    <w:rsid w:val="002A686C"/>
    <w:rsid w:val="002A6F45"/>
    <w:rsid w:val="002B13A7"/>
    <w:rsid w:val="002B3353"/>
    <w:rsid w:val="002B4B5A"/>
    <w:rsid w:val="002B4F34"/>
    <w:rsid w:val="002B5F2D"/>
    <w:rsid w:val="002B6B0D"/>
    <w:rsid w:val="002B6B4D"/>
    <w:rsid w:val="002B72B1"/>
    <w:rsid w:val="002B7A42"/>
    <w:rsid w:val="002C141E"/>
    <w:rsid w:val="002C1802"/>
    <w:rsid w:val="002C1E61"/>
    <w:rsid w:val="002C271C"/>
    <w:rsid w:val="002C56BA"/>
    <w:rsid w:val="002C58A2"/>
    <w:rsid w:val="002C63AB"/>
    <w:rsid w:val="002D0718"/>
    <w:rsid w:val="002D109A"/>
    <w:rsid w:val="002D12EB"/>
    <w:rsid w:val="002D2429"/>
    <w:rsid w:val="002D4850"/>
    <w:rsid w:val="002D4F05"/>
    <w:rsid w:val="002D60D2"/>
    <w:rsid w:val="002D6C53"/>
    <w:rsid w:val="002D7D99"/>
    <w:rsid w:val="002E219F"/>
    <w:rsid w:val="002E2226"/>
    <w:rsid w:val="002E4686"/>
    <w:rsid w:val="002E4AE6"/>
    <w:rsid w:val="002E63EB"/>
    <w:rsid w:val="002E6C00"/>
    <w:rsid w:val="002E7C38"/>
    <w:rsid w:val="002F02AD"/>
    <w:rsid w:val="002F24E4"/>
    <w:rsid w:val="002F5595"/>
    <w:rsid w:val="002F6A71"/>
    <w:rsid w:val="00300A8C"/>
    <w:rsid w:val="00302E3A"/>
    <w:rsid w:val="0030353E"/>
    <w:rsid w:val="00303575"/>
    <w:rsid w:val="00303A84"/>
    <w:rsid w:val="0030459F"/>
    <w:rsid w:val="00304943"/>
    <w:rsid w:val="00307790"/>
    <w:rsid w:val="00307A92"/>
    <w:rsid w:val="00307D87"/>
    <w:rsid w:val="00307EC4"/>
    <w:rsid w:val="003106D0"/>
    <w:rsid w:val="0031082E"/>
    <w:rsid w:val="00316C09"/>
    <w:rsid w:val="00317168"/>
    <w:rsid w:val="003179F4"/>
    <w:rsid w:val="00317FC9"/>
    <w:rsid w:val="003217F1"/>
    <w:rsid w:val="003233CD"/>
    <w:rsid w:val="0032571C"/>
    <w:rsid w:val="003258AF"/>
    <w:rsid w:val="003274F8"/>
    <w:rsid w:val="0033148B"/>
    <w:rsid w:val="003316C0"/>
    <w:rsid w:val="003326F8"/>
    <w:rsid w:val="003332DC"/>
    <w:rsid w:val="0033368B"/>
    <w:rsid w:val="00334F6A"/>
    <w:rsid w:val="00335758"/>
    <w:rsid w:val="0033738B"/>
    <w:rsid w:val="00340A1E"/>
    <w:rsid w:val="00340CA3"/>
    <w:rsid w:val="00341EB9"/>
    <w:rsid w:val="00342AC8"/>
    <w:rsid w:val="00342D59"/>
    <w:rsid w:val="003438FB"/>
    <w:rsid w:val="003448AF"/>
    <w:rsid w:val="00344FD7"/>
    <w:rsid w:val="00345857"/>
    <w:rsid w:val="003472B6"/>
    <w:rsid w:val="003512BF"/>
    <w:rsid w:val="00352375"/>
    <w:rsid w:val="003525EE"/>
    <w:rsid w:val="00353B1A"/>
    <w:rsid w:val="00355159"/>
    <w:rsid w:val="003551EE"/>
    <w:rsid w:val="0035568E"/>
    <w:rsid w:val="00355869"/>
    <w:rsid w:val="00355B64"/>
    <w:rsid w:val="003560F5"/>
    <w:rsid w:val="00356484"/>
    <w:rsid w:val="00360617"/>
    <w:rsid w:val="00360BCA"/>
    <w:rsid w:val="00361AB2"/>
    <w:rsid w:val="00362349"/>
    <w:rsid w:val="00366800"/>
    <w:rsid w:val="00367763"/>
    <w:rsid w:val="003725A7"/>
    <w:rsid w:val="00374D54"/>
    <w:rsid w:val="00375471"/>
    <w:rsid w:val="00380BA4"/>
    <w:rsid w:val="00381203"/>
    <w:rsid w:val="00381B2B"/>
    <w:rsid w:val="00382493"/>
    <w:rsid w:val="00384F19"/>
    <w:rsid w:val="0038519C"/>
    <w:rsid w:val="00386866"/>
    <w:rsid w:val="00387DFF"/>
    <w:rsid w:val="00393D05"/>
    <w:rsid w:val="00393E31"/>
    <w:rsid w:val="00397145"/>
    <w:rsid w:val="003977CF"/>
    <w:rsid w:val="00397D42"/>
    <w:rsid w:val="003A2633"/>
    <w:rsid w:val="003A2B56"/>
    <w:rsid w:val="003A35D2"/>
    <w:rsid w:val="003A4CD9"/>
    <w:rsid w:val="003A5CF2"/>
    <w:rsid w:val="003A5FDD"/>
    <w:rsid w:val="003A60E0"/>
    <w:rsid w:val="003A7A5A"/>
    <w:rsid w:val="003B146C"/>
    <w:rsid w:val="003B27EE"/>
    <w:rsid w:val="003B28B1"/>
    <w:rsid w:val="003B4550"/>
    <w:rsid w:val="003B50F5"/>
    <w:rsid w:val="003B5235"/>
    <w:rsid w:val="003B5DE8"/>
    <w:rsid w:val="003C2569"/>
    <w:rsid w:val="003C25FA"/>
    <w:rsid w:val="003C39B1"/>
    <w:rsid w:val="003C4584"/>
    <w:rsid w:val="003C4A08"/>
    <w:rsid w:val="003C4F83"/>
    <w:rsid w:val="003C737B"/>
    <w:rsid w:val="003C7951"/>
    <w:rsid w:val="003D0999"/>
    <w:rsid w:val="003D2896"/>
    <w:rsid w:val="003D598D"/>
    <w:rsid w:val="003D6272"/>
    <w:rsid w:val="003D6494"/>
    <w:rsid w:val="003D6924"/>
    <w:rsid w:val="003D74C0"/>
    <w:rsid w:val="003E0623"/>
    <w:rsid w:val="003E14A2"/>
    <w:rsid w:val="003E2906"/>
    <w:rsid w:val="003E32C1"/>
    <w:rsid w:val="003E349E"/>
    <w:rsid w:val="003E3932"/>
    <w:rsid w:val="003E4D01"/>
    <w:rsid w:val="003E4DB6"/>
    <w:rsid w:val="003E6932"/>
    <w:rsid w:val="003F061F"/>
    <w:rsid w:val="003F1F3C"/>
    <w:rsid w:val="003F2E0B"/>
    <w:rsid w:val="003F3932"/>
    <w:rsid w:val="003F4A8F"/>
    <w:rsid w:val="003F5119"/>
    <w:rsid w:val="003F692C"/>
    <w:rsid w:val="003F75D6"/>
    <w:rsid w:val="0040081D"/>
    <w:rsid w:val="00400A79"/>
    <w:rsid w:val="0040430B"/>
    <w:rsid w:val="00405988"/>
    <w:rsid w:val="00406587"/>
    <w:rsid w:val="00406641"/>
    <w:rsid w:val="00410989"/>
    <w:rsid w:val="0041210B"/>
    <w:rsid w:val="0041424C"/>
    <w:rsid w:val="00414DCD"/>
    <w:rsid w:val="004156F2"/>
    <w:rsid w:val="00417C4F"/>
    <w:rsid w:val="00420CB4"/>
    <w:rsid w:val="004224D1"/>
    <w:rsid w:val="00422DCB"/>
    <w:rsid w:val="00422DD6"/>
    <w:rsid w:val="00422E27"/>
    <w:rsid w:val="00425B2D"/>
    <w:rsid w:val="00426D4D"/>
    <w:rsid w:val="0042746D"/>
    <w:rsid w:val="00427617"/>
    <w:rsid w:val="00427D58"/>
    <w:rsid w:val="00430167"/>
    <w:rsid w:val="004323C6"/>
    <w:rsid w:val="0043476E"/>
    <w:rsid w:val="00434C9C"/>
    <w:rsid w:val="00435DF1"/>
    <w:rsid w:val="00436DC3"/>
    <w:rsid w:val="0044037E"/>
    <w:rsid w:val="00440E58"/>
    <w:rsid w:val="004423AB"/>
    <w:rsid w:val="004431F4"/>
    <w:rsid w:val="00443F53"/>
    <w:rsid w:val="00444072"/>
    <w:rsid w:val="00444647"/>
    <w:rsid w:val="00445607"/>
    <w:rsid w:val="00446163"/>
    <w:rsid w:val="004467CF"/>
    <w:rsid w:val="00447567"/>
    <w:rsid w:val="00447AB7"/>
    <w:rsid w:val="00450D53"/>
    <w:rsid w:val="004517F3"/>
    <w:rsid w:val="004519C9"/>
    <w:rsid w:val="00451A27"/>
    <w:rsid w:val="0045303C"/>
    <w:rsid w:val="004532BA"/>
    <w:rsid w:val="00455DD8"/>
    <w:rsid w:val="00460866"/>
    <w:rsid w:val="00461253"/>
    <w:rsid w:val="00461421"/>
    <w:rsid w:val="0046150D"/>
    <w:rsid w:val="00464B6D"/>
    <w:rsid w:val="00466047"/>
    <w:rsid w:val="0047039D"/>
    <w:rsid w:val="00472FED"/>
    <w:rsid w:val="00474F93"/>
    <w:rsid w:val="00475305"/>
    <w:rsid w:val="004759F6"/>
    <w:rsid w:val="004774F6"/>
    <w:rsid w:val="0047789D"/>
    <w:rsid w:val="004819EE"/>
    <w:rsid w:val="00482429"/>
    <w:rsid w:val="00483849"/>
    <w:rsid w:val="00483F91"/>
    <w:rsid w:val="00484412"/>
    <w:rsid w:val="00487D33"/>
    <w:rsid w:val="004908A5"/>
    <w:rsid w:val="004921E4"/>
    <w:rsid w:val="00495884"/>
    <w:rsid w:val="00497010"/>
    <w:rsid w:val="00497986"/>
    <w:rsid w:val="00497F84"/>
    <w:rsid w:val="004A062E"/>
    <w:rsid w:val="004A137E"/>
    <w:rsid w:val="004A2328"/>
    <w:rsid w:val="004A26DE"/>
    <w:rsid w:val="004A353A"/>
    <w:rsid w:val="004A63A1"/>
    <w:rsid w:val="004A6443"/>
    <w:rsid w:val="004B3FC5"/>
    <w:rsid w:val="004B689B"/>
    <w:rsid w:val="004B76D3"/>
    <w:rsid w:val="004B7BCD"/>
    <w:rsid w:val="004B7D1D"/>
    <w:rsid w:val="004C07E0"/>
    <w:rsid w:val="004C2EC5"/>
    <w:rsid w:val="004C3479"/>
    <w:rsid w:val="004C3C93"/>
    <w:rsid w:val="004C443A"/>
    <w:rsid w:val="004D0E19"/>
    <w:rsid w:val="004D1B63"/>
    <w:rsid w:val="004D237E"/>
    <w:rsid w:val="004D2506"/>
    <w:rsid w:val="004D28E7"/>
    <w:rsid w:val="004D556D"/>
    <w:rsid w:val="004D6412"/>
    <w:rsid w:val="004D7CAE"/>
    <w:rsid w:val="004D7D6E"/>
    <w:rsid w:val="004E1A04"/>
    <w:rsid w:val="004E1EB1"/>
    <w:rsid w:val="004E2CD2"/>
    <w:rsid w:val="004E2F5B"/>
    <w:rsid w:val="004E56B2"/>
    <w:rsid w:val="004F0669"/>
    <w:rsid w:val="004F1A3B"/>
    <w:rsid w:val="004F2163"/>
    <w:rsid w:val="004F73B5"/>
    <w:rsid w:val="004F78A4"/>
    <w:rsid w:val="00500C3F"/>
    <w:rsid w:val="0050150C"/>
    <w:rsid w:val="005015D4"/>
    <w:rsid w:val="00501CF2"/>
    <w:rsid w:val="00501EB3"/>
    <w:rsid w:val="005029C4"/>
    <w:rsid w:val="005031A4"/>
    <w:rsid w:val="005042C2"/>
    <w:rsid w:val="005109A7"/>
    <w:rsid w:val="005112A3"/>
    <w:rsid w:val="00512DCD"/>
    <w:rsid w:val="00513160"/>
    <w:rsid w:val="00515909"/>
    <w:rsid w:val="00516FE0"/>
    <w:rsid w:val="00522982"/>
    <w:rsid w:val="0052326D"/>
    <w:rsid w:val="0052440A"/>
    <w:rsid w:val="0052577F"/>
    <w:rsid w:val="005279D4"/>
    <w:rsid w:val="0053096E"/>
    <w:rsid w:val="00530992"/>
    <w:rsid w:val="00530F21"/>
    <w:rsid w:val="005311F2"/>
    <w:rsid w:val="005322A1"/>
    <w:rsid w:val="005336C1"/>
    <w:rsid w:val="005340E3"/>
    <w:rsid w:val="005340E5"/>
    <w:rsid w:val="005342F9"/>
    <w:rsid w:val="005350DE"/>
    <w:rsid w:val="00536753"/>
    <w:rsid w:val="00537564"/>
    <w:rsid w:val="00537589"/>
    <w:rsid w:val="00541516"/>
    <w:rsid w:val="005443DC"/>
    <w:rsid w:val="0054474A"/>
    <w:rsid w:val="00545F7A"/>
    <w:rsid w:val="00546B3F"/>
    <w:rsid w:val="0055037F"/>
    <w:rsid w:val="00550CEA"/>
    <w:rsid w:val="00551104"/>
    <w:rsid w:val="00551412"/>
    <w:rsid w:val="00552D83"/>
    <w:rsid w:val="005531AA"/>
    <w:rsid w:val="00553940"/>
    <w:rsid w:val="005555CE"/>
    <w:rsid w:val="00560E33"/>
    <w:rsid w:val="00560E89"/>
    <w:rsid w:val="00562C1D"/>
    <w:rsid w:val="00563660"/>
    <w:rsid w:val="00567A32"/>
    <w:rsid w:val="00567D95"/>
    <w:rsid w:val="00567E44"/>
    <w:rsid w:val="00567E93"/>
    <w:rsid w:val="0057167D"/>
    <w:rsid w:val="0057322C"/>
    <w:rsid w:val="00573D6F"/>
    <w:rsid w:val="00574E5B"/>
    <w:rsid w:val="00575282"/>
    <w:rsid w:val="005768DD"/>
    <w:rsid w:val="00577283"/>
    <w:rsid w:val="00581D4C"/>
    <w:rsid w:val="00581D69"/>
    <w:rsid w:val="00583BBB"/>
    <w:rsid w:val="00584394"/>
    <w:rsid w:val="00584FCB"/>
    <w:rsid w:val="0058573E"/>
    <w:rsid w:val="00585830"/>
    <w:rsid w:val="00586DF4"/>
    <w:rsid w:val="00591031"/>
    <w:rsid w:val="0059166E"/>
    <w:rsid w:val="00592D7C"/>
    <w:rsid w:val="00592EE6"/>
    <w:rsid w:val="0059307C"/>
    <w:rsid w:val="00595411"/>
    <w:rsid w:val="00597591"/>
    <w:rsid w:val="005A07E8"/>
    <w:rsid w:val="005A2023"/>
    <w:rsid w:val="005A4E3F"/>
    <w:rsid w:val="005A6472"/>
    <w:rsid w:val="005B102B"/>
    <w:rsid w:val="005B1A97"/>
    <w:rsid w:val="005B1E13"/>
    <w:rsid w:val="005B2A22"/>
    <w:rsid w:val="005B2C8E"/>
    <w:rsid w:val="005B2FB0"/>
    <w:rsid w:val="005B3282"/>
    <w:rsid w:val="005B50CF"/>
    <w:rsid w:val="005B5953"/>
    <w:rsid w:val="005B5D34"/>
    <w:rsid w:val="005B7A7E"/>
    <w:rsid w:val="005C190F"/>
    <w:rsid w:val="005C615B"/>
    <w:rsid w:val="005C6F10"/>
    <w:rsid w:val="005C7CBA"/>
    <w:rsid w:val="005D1B67"/>
    <w:rsid w:val="005D1DFC"/>
    <w:rsid w:val="005D2426"/>
    <w:rsid w:val="005D5799"/>
    <w:rsid w:val="005D597A"/>
    <w:rsid w:val="005D6527"/>
    <w:rsid w:val="005D65FD"/>
    <w:rsid w:val="005D6947"/>
    <w:rsid w:val="005D7173"/>
    <w:rsid w:val="005D72B1"/>
    <w:rsid w:val="005E013D"/>
    <w:rsid w:val="005E017B"/>
    <w:rsid w:val="005E160E"/>
    <w:rsid w:val="005E1CB9"/>
    <w:rsid w:val="005E6FCC"/>
    <w:rsid w:val="005F2EB6"/>
    <w:rsid w:val="005F2EBB"/>
    <w:rsid w:val="005F32C8"/>
    <w:rsid w:val="005F3FE9"/>
    <w:rsid w:val="005F5D09"/>
    <w:rsid w:val="005F5FCF"/>
    <w:rsid w:val="005F63C3"/>
    <w:rsid w:val="005F6CFC"/>
    <w:rsid w:val="005F78B1"/>
    <w:rsid w:val="005F7D34"/>
    <w:rsid w:val="005F7FD8"/>
    <w:rsid w:val="006035FC"/>
    <w:rsid w:val="0060507E"/>
    <w:rsid w:val="006056F3"/>
    <w:rsid w:val="00605E97"/>
    <w:rsid w:val="0060639A"/>
    <w:rsid w:val="00606487"/>
    <w:rsid w:val="0060655A"/>
    <w:rsid w:val="00607F88"/>
    <w:rsid w:val="00611D75"/>
    <w:rsid w:val="00612A2F"/>
    <w:rsid w:val="00612DA1"/>
    <w:rsid w:val="00613BDF"/>
    <w:rsid w:val="00616D78"/>
    <w:rsid w:val="00617F6C"/>
    <w:rsid w:val="00621172"/>
    <w:rsid w:val="006219AA"/>
    <w:rsid w:val="00621E2A"/>
    <w:rsid w:val="00625A9A"/>
    <w:rsid w:val="00626D70"/>
    <w:rsid w:val="006301B0"/>
    <w:rsid w:val="006310C1"/>
    <w:rsid w:val="0063616C"/>
    <w:rsid w:val="0063667B"/>
    <w:rsid w:val="006376CC"/>
    <w:rsid w:val="0064057F"/>
    <w:rsid w:val="00641640"/>
    <w:rsid w:val="0064206B"/>
    <w:rsid w:val="0064216B"/>
    <w:rsid w:val="00642EDD"/>
    <w:rsid w:val="00643762"/>
    <w:rsid w:val="006438B8"/>
    <w:rsid w:val="006451E1"/>
    <w:rsid w:val="00645AE5"/>
    <w:rsid w:val="00646844"/>
    <w:rsid w:val="00647911"/>
    <w:rsid w:val="00647EB5"/>
    <w:rsid w:val="006536D5"/>
    <w:rsid w:val="006546DE"/>
    <w:rsid w:val="00655436"/>
    <w:rsid w:val="00655AEC"/>
    <w:rsid w:val="0065689B"/>
    <w:rsid w:val="00657390"/>
    <w:rsid w:val="00660073"/>
    <w:rsid w:val="00660E54"/>
    <w:rsid w:val="006644DE"/>
    <w:rsid w:val="00664909"/>
    <w:rsid w:val="00666AE3"/>
    <w:rsid w:val="00667BFF"/>
    <w:rsid w:val="00671529"/>
    <w:rsid w:val="00671629"/>
    <w:rsid w:val="00671653"/>
    <w:rsid w:val="006717D1"/>
    <w:rsid w:val="00671D75"/>
    <w:rsid w:val="006742AE"/>
    <w:rsid w:val="00675B5B"/>
    <w:rsid w:val="00676B08"/>
    <w:rsid w:val="0067757D"/>
    <w:rsid w:val="006800D5"/>
    <w:rsid w:val="00681B4C"/>
    <w:rsid w:val="006837E5"/>
    <w:rsid w:val="00683C40"/>
    <w:rsid w:val="00683E65"/>
    <w:rsid w:val="0068429A"/>
    <w:rsid w:val="00684F92"/>
    <w:rsid w:val="00685713"/>
    <w:rsid w:val="00686A5A"/>
    <w:rsid w:val="00691D78"/>
    <w:rsid w:val="00692F0B"/>
    <w:rsid w:val="00695287"/>
    <w:rsid w:val="006956C5"/>
    <w:rsid w:val="00696AF1"/>
    <w:rsid w:val="0069730A"/>
    <w:rsid w:val="006973FB"/>
    <w:rsid w:val="00697662"/>
    <w:rsid w:val="00697A4B"/>
    <w:rsid w:val="006A17E4"/>
    <w:rsid w:val="006A28F7"/>
    <w:rsid w:val="006A4035"/>
    <w:rsid w:val="006A6335"/>
    <w:rsid w:val="006A6564"/>
    <w:rsid w:val="006A7E28"/>
    <w:rsid w:val="006B1287"/>
    <w:rsid w:val="006B2F36"/>
    <w:rsid w:val="006B34B5"/>
    <w:rsid w:val="006B530D"/>
    <w:rsid w:val="006B5975"/>
    <w:rsid w:val="006B5CEE"/>
    <w:rsid w:val="006B6F5F"/>
    <w:rsid w:val="006C01F8"/>
    <w:rsid w:val="006C249E"/>
    <w:rsid w:val="006C379B"/>
    <w:rsid w:val="006C3D28"/>
    <w:rsid w:val="006C3E0D"/>
    <w:rsid w:val="006C4A28"/>
    <w:rsid w:val="006D0D4E"/>
    <w:rsid w:val="006D5334"/>
    <w:rsid w:val="006D5C58"/>
    <w:rsid w:val="006E2F77"/>
    <w:rsid w:val="006E6B77"/>
    <w:rsid w:val="006E745E"/>
    <w:rsid w:val="006E7738"/>
    <w:rsid w:val="006F37B4"/>
    <w:rsid w:val="006F40C8"/>
    <w:rsid w:val="006F47C9"/>
    <w:rsid w:val="006F5D2A"/>
    <w:rsid w:val="006F632C"/>
    <w:rsid w:val="007006EA"/>
    <w:rsid w:val="00700D36"/>
    <w:rsid w:val="00701061"/>
    <w:rsid w:val="007020F2"/>
    <w:rsid w:val="00702508"/>
    <w:rsid w:val="00706B2D"/>
    <w:rsid w:val="00711BBE"/>
    <w:rsid w:val="00711F36"/>
    <w:rsid w:val="0071435D"/>
    <w:rsid w:val="007146CE"/>
    <w:rsid w:val="007148D4"/>
    <w:rsid w:val="00716876"/>
    <w:rsid w:val="007172B9"/>
    <w:rsid w:val="0072029C"/>
    <w:rsid w:val="0072036B"/>
    <w:rsid w:val="0072070B"/>
    <w:rsid w:val="00720F2A"/>
    <w:rsid w:val="00722B10"/>
    <w:rsid w:val="007243CC"/>
    <w:rsid w:val="007268F9"/>
    <w:rsid w:val="00726A29"/>
    <w:rsid w:val="00730829"/>
    <w:rsid w:val="00730F60"/>
    <w:rsid w:val="00731614"/>
    <w:rsid w:val="007327A0"/>
    <w:rsid w:val="00733D13"/>
    <w:rsid w:val="007341FE"/>
    <w:rsid w:val="00735594"/>
    <w:rsid w:val="00737BB8"/>
    <w:rsid w:val="00737E43"/>
    <w:rsid w:val="00737F51"/>
    <w:rsid w:val="00740027"/>
    <w:rsid w:val="00741703"/>
    <w:rsid w:val="0074203F"/>
    <w:rsid w:val="00742E86"/>
    <w:rsid w:val="007433D6"/>
    <w:rsid w:val="00743794"/>
    <w:rsid w:val="00744A01"/>
    <w:rsid w:val="00744B2B"/>
    <w:rsid w:val="00746946"/>
    <w:rsid w:val="00750FF8"/>
    <w:rsid w:val="00751373"/>
    <w:rsid w:val="00751536"/>
    <w:rsid w:val="007525F3"/>
    <w:rsid w:val="007526CB"/>
    <w:rsid w:val="007560C7"/>
    <w:rsid w:val="0075725B"/>
    <w:rsid w:val="00757A5E"/>
    <w:rsid w:val="007615ED"/>
    <w:rsid w:val="00763424"/>
    <w:rsid w:val="00765C26"/>
    <w:rsid w:val="00765CFC"/>
    <w:rsid w:val="00767142"/>
    <w:rsid w:val="0077014F"/>
    <w:rsid w:val="007703C8"/>
    <w:rsid w:val="007704FA"/>
    <w:rsid w:val="00772AC9"/>
    <w:rsid w:val="007730F2"/>
    <w:rsid w:val="00773EE0"/>
    <w:rsid w:val="00774667"/>
    <w:rsid w:val="007776DF"/>
    <w:rsid w:val="00780123"/>
    <w:rsid w:val="00780796"/>
    <w:rsid w:val="00780A03"/>
    <w:rsid w:val="00781803"/>
    <w:rsid w:val="00781994"/>
    <w:rsid w:val="00781C5E"/>
    <w:rsid w:val="00781E7B"/>
    <w:rsid w:val="0078243B"/>
    <w:rsid w:val="00782830"/>
    <w:rsid w:val="00782FB2"/>
    <w:rsid w:val="00783F57"/>
    <w:rsid w:val="007851F7"/>
    <w:rsid w:val="00787BCF"/>
    <w:rsid w:val="00792E3D"/>
    <w:rsid w:val="00793226"/>
    <w:rsid w:val="00793545"/>
    <w:rsid w:val="00794256"/>
    <w:rsid w:val="007A4BD1"/>
    <w:rsid w:val="007A5054"/>
    <w:rsid w:val="007A56F6"/>
    <w:rsid w:val="007A5D83"/>
    <w:rsid w:val="007A5FDC"/>
    <w:rsid w:val="007A7A8E"/>
    <w:rsid w:val="007B2662"/>
    <w:rsid w:val="007B4722"/>
    <w:rsid w:val="007B5B51"/>
    <w:rsid w:val="007B5E2E"/>
    <w:rsid w:val="007C1847"/>
    <w:rsid w:val="007C257A"/>
    <w:rsid w:val="007C2EFA"/>
    <w:rsid w:val="007C474F"/>
    <w:rsid w:val="007C4EC4"/>
    <w:rsid w:val="007C52B0"/>
    <w:rsid w:val="007C63CD"/>
    <w:rsid w:val="007C70A8"/>
    <w:rsid w:val="007C7333"/>
    <w:rsid w:val="007D1EDD"/>
    <w:rsid w:val="007D2E2C"/>
    <w:rsid w:val="007D51DB"/>
    <w:rsid w:val="007D6CB9"/>
    <w:rsid w:val="007D705E"/>
    <w:rsid w:val="007E058C"/>
    <w:rsid w:val="007E1C55"/>
    <w:rsid w:val="007E49B3"/>
    <w:rsid w:val="007E521E"/>
    <w:rsid w:val="007E7812"/>
    <w:rsid w:val="007F2465"/>
    <w:rsid w:val="007F33B0"/>
    <w:rsid w:val="007F4156"/>
    <w:rsid w:val="007F41B3"/>
    <w:rsid w:val="007F423D"/>
    <w:rsid w:val="007F6533"/>
    <w:rsid w:val="0080279D"/>
    <w:rsid w:val="008029DB"/>
    <w:rsid w:val="00803DFB"/>
    <w:rsid w:val="00803F41"/>
    <w:rsid w:val="0080517B"/>
    <w:rsid w:val="00805EF4"/>
    <w:rsid w:val="00806EB0"/>
    <w:rsid w:val="008074B2"/>
    <w:rsid w:val="008076D0"/>
    <w:rsid w:val="0080773A"/>
    <w:rsid w:val="008100F5"/>
    <w:rsid w:val="00810A62"/>
    <w:rsid w:val="0081390C"/>
    <w:rsid w:val="00813B0F"/>
    <w:rsid w:val="00815177"/>
    <w:rsid w:val="0081603B"/>
    <w:rsid w:val="008164E0"/>
    <w:rsid w:val="00816D9C"/>
    <w:rsid w:val="008170E8"/>
    <w:rsid w:val="008171E7"/>
    <w:rsid w:val="00817E57"/>
    <w:rsid w:val="00821003"/>
    <w:rsid w:val="0082188E"/>
    <w:rsid w:val="00831B5B"/>
    <w:rsid w:val="00832B2B"/>
    <w:rsid w:val="00834DB8"/>
    <w:rsid w:val="00836004"/>
    <w:rsid w:val="008360E2"/>
    <w:rsid w:val="008367A1"/>
    <w:rsid w:val="00837B78"/>
    <w:rsid w:val="00840DB2"/>
    <w:rsid w:val="0084222B"/>
    <w:rsid w:val="00842633"/>
    <w:rsid w:val="00845307"/>
    <w:rsid w:val="00845CF4"/>
    <w:rsid w:val="00852E42"/>
    <w:rsid w:val="00853D45"/>
    <w:rsid w:val="0085531D"/>
    <w:rsid w:val="0085566B"/>
    <w:rsid w:val="00855FBE"/>
    <w:rsid w:val="00856E32"/>
    <w:rsid w:val="0085729E"/>
    <w:rsid w:val="0086258C"/>
    <w:rsid w:val="0086278D"/>
    <w:rsid w:val="008640EB"/>
    <w:rsid w:val="0086471D"/>
    <w:rsid w:val="00865195"/>
    <w:rsid w:val="00865B40"/>
    <w:rsid w:val="00865B4B"/>
    <w:rsid w:val="00865BE8"/>
    <w:rsid w:val="0087107E"/>
    <w:rsid w:val="00871BB7"/>
    <w:rsid w:val="00873EAD"/>
    <w:rsid w:val="00873F2E"/>
    <w:rsid w:val="00874BBB"/>
    <w:rsid w:val="00877ED7"/>
    <w:rsid w:val="0088063C"/>
    <w:rsid w:val="00881316"/>
    <w:rsid w:val="00883CCE"/>
    <w:rsid w:val="00884EF5"/>
    <w:rsid w:val="008856F3"/>
    <w:rsid w:val="00887575"/>
    <w:rsid w:val="00887657"/>
    <w:rsid w:val="00887765"/>
    <w:rsid w:val="00887CD7"/>
    <w:rsid w:val="00894C67"/>
    <w:rsid w:val="00894F3E"/>
    <w:rsid w:val="0089583D"/>
    <w:rsid w:val="0089631F"/>
    <w:rsid w:val="008A05F2"/>
    <w:rsid w:val="008A0BFB"/>
    <w:rsid w:val="008A1A54"/>
    <w:rsid w:val="008A1C05"/>
    <w:rsid w:val="008A3305"/>
    <w:rsid w:val="008A3D3F"/>
    <w:rsid w:val="008A5304"/>
    <w:rsid w:val="008A6DBF"/>
    <w:rsid w:val="008A736F"/>
    <w:rsid w:val="008A7815"/>
    <w:rsid w:val="008A782D"/>
    <w:rsid w:val="008A786C"/>
    <w:rsid w:val="008A7FF3"/>
    <w:rsid w:val="008B02CA"/>
    <w:rsid w:val="008B145C"/>
    <w:rsid w:val="008B22E2"/>
    <w:rsid w:val="008B568B"/>
    <w:rsid w:val="008B67D4"/>
    <w:rsid w:val="008C0BBB"/>
    <w:rsid w:val="008C0EBE"/>
    <w:rsid w:val="008C17A4"/>
    <w:rsid w:val="008C1BB9"/>
    <w:rsid w:val="008C2661"/>
    <w:rsid w:val="008C2B0A"/>
    <w:rsid w:val="008C41A8"/>
    <w:rsid w:val="008C6486"/>
    <w:rsid w:val="008C676C"/>
    <w:rsid w:val="008D335D"/>
    <w:rsid w:val="008D3450"/>
    <w:rsid w:val="008D44F7"/>
    <w:rsid w:val="008D5308"/>
    <w:rsid w:val="008D5EBC"/>
    <w:rsid w:val="008D6387"/>
    <w:rsid w:val="008D7165"/>
    <w:rsid w:val="008D7458"/>
    <w:rsid w:val="008D7F3D"/>
    <w:rsid w:val="008E1BB8"/>
    <w:rsid w:val="008E3373"/>
    <w:rsid w:val="008E3CFE"/>
    <w:rsid w:val="008E4465"/>
    <w:rsid w:val="008E5008"/>
    <w:rsid w:val="008E556D"/>
    <w:rsid w:val="008E556F"/>
    <w:rsid w:val="008F14C8"/>
    <w:rsid w:val="008F1E95"/>
    <w:rsid w:val="008F22FF"/>
    <w:rsid w:val="008F63F6"/>
    <w:rsid w:val="008F6E69"/>
    <w:rsid w:val="008F72AF"/>
    <w:rsid w:val="00900237"/>
    <w:rsid w:val="00900C6B"/>
    <w:rsid w:val="0090245B"/>
    <w:rsid w:val="009030E5"/>
    <w:rsid w:val="00903764"/>
    <w:rsid w:val="009045B9"/>
    <w:rsid w:val="00905524"/>
    <w:rsid w:val="00905BD6"/>
    <w:rsid w:val="0090643E"/>
    <w:rsid w:val="009104E4"/>
    <w:rsid w:val="00915257"/>
    <w:rsid w:val="009163CD"/>
    <w:rsid w:val="0091666E"/>
    <w:rsid w:val="00916C14"/>
    <w:rsid w:val="00920958"/>
    <w:rsid w:val="00922FCF"/>
    <w:rsid w:val="00923DC2"/>
    <w:rsid w:val="00924CAF"/>
    <w:rsid w:val="0092544A"/>
    <w:rsid w:val="00930B07"/>
    <w:rsid w:val="00931090"/>
    <w:rsid w:val="00932AEA"/>
    <w:rsid w:val="00933F28"/>
    <w:rsid w:val="009341ED"/>
    <w:rsid w:val="009350CC"/>
    <w:rsid w:val="00935BDC"/>
    <w:rsid w:val="00936284"/>
    <w:rsid w:val="009367CF"/>
    <w:rsid w:val="00936A0E"/>
    <w:rsid w:val="009373B3"/>
    <w:rsid w:val="00940149"/>
    <w:rsid w:val="009411B4"/>
    <w:rsid w:val="00943741"/>
    <w:rsid w:val="00943EE1"/>
    <w:rsid w:val="00944391"/>
    <w:rsid w:val="00944A71"/>
    <w:rsid w:val="00946CA5"/>
    <w:rsid w:val="00946FB4"/>
    <w:rsid w:val="00947061"/>
    <w:rsid w:val="00947686"/>
    <w:rsid w:val="009543E6"/>
    <w:rsid w:val="00954922"/>
    <w:rsid w:val="009553D7"/>
    <w:rsid w:val="009558AD"/>
    <w:rsid w:val="009563E7"/>
    <w:rsid w:val="009564F4"/>
    <w:rsid w:val="00956602"/>
    <w:rsid w:val="009578A7"/>
    <w:rsid w:val="00964FE6"/>
    <w:rsid w:val="0096764E"/>
    <w:rsid w:val="00970D96"/>
    <w:rsid w:val="0097122B"/>
    <w:rsid w:val="00971B03"/>
    <w:rsid w:val="00971C19"/>
    <w:rsid w:val="00971FE3"/>
    <w:rsid w:val="00972206"/>
    <w:rsid w:val="00973901"/>
    <w:rsid w:val="009767E2"/>
    <w:rsid w:val="00976F08"/>
    <w:rsid w:val="00981658"/>
    <w:rsid w:val="00981C70"/>
    <w:rsid w:val="0098270C"/>
    <w:rsid w:val="00983737"/>
    <w:rsid w:val="0098517A"/>
    <w:rsid w:val="00986B7F"/>
    <w:rsid w:val="009871AB"/>
    <w:rsid w:val="00990529"/>
    <w:rsid w:val="00990A8F"/>
    <w:rsid w:val="00991BB9"/>
    <w:rsid w:val="00992334"/>
    <w:rsid w:val="00993C80"/>
    <w:rsid w:val="00997E08"/>
    <w:rsid w:val="009A0151"/>
    <w:rsid w:val="009A0910"/>
    <w:rsid w:val="009A105A"/>
    <w:rsid w:val="009A21FA"/>
    <w:rsid w:val="009A3578"/>
    <w:rsid w:val="009A500F"/>
    <w:rsid w:val="009A601E"/>
    <w:rsid w:val="009A63BF"/>
    <w:rsid w:val="009A7626"/>
    <w:rsid w:val="009B0830"/>
    <w:rsid w:val="009B0918"/>
    <w:rsid w:val="009B22B1"/>
    <w:rsid w:val="009B3798"/>
    <w:rsid w:val="009B45AE"/>
    <w:rsid w:val="009B4F20"/>
    <w:rsid w:val="009B6377"/>
    <w:rsid w:val="009C0059"/>
    <w:rsid w:val="009C0B8C"/>
    <w:rsid w:val="009C3159"/>
    <w:rsid w:val="009C34E3"/>
    <w:rsid w:val="009C370E"/>
    <w:rsid w:val="009C41FF"/>
    <w:rsid w:val="009C48A0"/>
    <w:rsid w:val="009C61A2"/>
    <w:rsid w:val="009C68F6"/>
    <w:rsid w:val="009C78DF"/>
    <w:rsid w:val="009D0139"/>
    <w:rsid w:val="009D1172"/>
    <w:rsid w:val="009D1977"/>
    <w:rsid w:val="009D212E"/>
    <w:rsid w:val="009D2198"/>
    <w:rsid w:val="009D256E"/>
    <w:rsid w:val="009D49AB"/>
    <w:rsid w:val="009D53EC"/>
    <w:rsid w:val="009D67EF"/>
    <w:rsid w:val="009D78E1"/>
    <w:rsid w:val="009E3318"/>
    <w:rsid w:val="009E41DB"/>
    <w:rsid w:val="009E6EE3"/>
    <w:rsid w:val="009E74CC"/>
    <w:rsid w:val="009F2EE7"/>
    <w:rsid w:val="009F39F6"/>
    <w:rsid w:val="009F5CDC"/>
    <w:rsid w:val="009F7521"/>
    <w:rsid w:val="009F7572"/>
    <w:rsid w:val="00A00187"/>
    <w:rsid w:val="00A05964"/>
    <w:rsid w:val="00A0598D"/>
    <w:rsid w:val="00A0653C"/>
    <w:rsid w:val="00A076B8"/>
    <w:rsid w:val="00A10049"/>
    <w:rsid w:val="00A117C5"/>
    <w:rsid w:val="00A13CE7"/>
    <w:rsid w:val="00A15818"/>
    <w:rsid w:val="00A16443"/>
    <w:rsid w:val="00A206D5"/>
    <w:rsid w:val="00A211D7"/>
    <w:rsid w:val="00A23459"/>
    <w:rsid w:val="00A2364E"/>
    <w:rsid w:val="00A25F65"/>
    <w:rsid w:val="00A25F70"/>
    <w:rsid w:val="00A26237"/>
    <w:rsid w:val="00A27277"/>
    <w:rsid w:val="00A321A9"/>
    <w:rsid w:val="00A344E2"/>
    <w:rsid w:val="00A3642C"/>
    <w:rsid w:val="00A36BA6"/>
    <w:rsid w:val="00A40D0A"/>
    <w:rsid w:val="00A41D4F"/>
    <w:rsid w:val="00A441B8"/>
    <w:rsid w:val="00A446A2"/>
    <w:rsid w:val="00A44DFA"/>
    <w:rsid w:val="00A46026"/>
    <w:rsid w:val="00A462D9"/>
    <w:rsid w:val="00A462F2"/>
    <w:rsid w:val="00A46767"/>
    <w:rsid w:val="00A46B2E"/>
    <w:rsid w:val="00A47265"/>
    <w:rsid w:val="00A502DC"/>
    <w:rsid w:val="00A5071C"/>
    <w:rsid w:val="00A50B27"/>
    <w:rsid w:val="00A50C0D"/>
    <w:rsid w:val="00A51FC2"/>
    <w:rsid w:val="00A55164"/>
    <w:rsid w:val="00A60B0B"/>
    <w:rsid w:val="00A60F7B"/>
    <w:rsid w:val="00A61477"/>
    <w:rsid w:val="00A61B89"/>
    <w:rsid w:val="00A62662"/>
    <w:rsid w:val="00A63A8B"/>
    <w:rsid w:val="00A64547"/>
    <w:rsid w:val="00A6545D"/>
    <w:rsid w:val="00A654BB"/>
    <w:rsid w:val="00A65DAA"/>
    <w:rsid w:val="00A66C40"/>
    <w:rsid w:val="00A671CC"/>
    <w:rsid w:val="00A67376"/>
    <w:rsid w:val="00A67640"/>
    <w:rsid w:val="00A67846"/>
    <w:rsid w:val="00A71D27"/>
    <w:rsid w:val="00A723E3"/>
    <w:rsid w:val="00A72968"/>
    <w:rsid w:val="00A732B0"/>
    <w:rsid w:val="00A73E1A"/>
    <w:rsid w:val="00A74110"/>
    <w:rsid w:val="00A7619C"/>
    <w:rsid w:val="00A76C4A"/>
    <w:rsid w:val="00A76CF2"/>
    <w:rsid w:val="00A77023"/>
    <w:rsid w:val="00A77503"/>
    <w:rsid w:val="00A775CF"/>
    <w:rsid w:val="00A817FD"/>
    <w:rsid w:val="00A83119"/>
    <w:rsid w:val="00A83B15"/>
    <w:rsid w:val="00A854CF"/>
    <w:rsid w:val="00A85DA7"/>
    <w:rsid w:val="00A907C0"/>
    <w:rsid w:val="00A907C3"/>
    <w:rsid w:val="00A91304"/>
    <w:rsid w:val="00A91F09"/>
    <w:rsid w:val="00A9336E"/>
    <w:rsid w:val="00A93473"/>
    <w:rsid w:val="00A93B34"/>
    <w:rsid w:val="00A93FE5"/>
    <w:rsid w:val="00A9783B"/>
    <w:rsid w:val="00AA11F8"/>
    <w:rsid w:val="00AA3305"/>
    <w:rsid w:val="00AA33F7"/>
    <w:rsid w:val="00AA5F1F"/>
    <w:rsid w:val="00AA61AE"/>
    <w:rsid w:val="00AA6ECB"/>
    <w:rsid w:val="00AA724D"/>
    <w:rsid w:val="00AB074C"/>
    <w:rsid w:val="00AB228B"/>
    <w:rsid w:val="00AB2B6D"/>
    <w:rsid w:val="00AB2C64"/>
    <w:rsid w:val="00AB2C69"/>
    <w:rsid w:val="00AB3A32"/>
    <w:rsid w:val="00AB600A"/>
    <w:rsid w:val="00AB622B"/>
    <w:rsid w:val="00AB6F86"/>
    <w:rsid w:val="00AC0F04"/>
    <w:rsid w:val="00AC2EDF"/>
    <w:rsid w:val="00AC49BC"/>
    <w:rsid w:val="00AC5761"/>
    <w:rsid w:val="00AC584A"/>
    <w:rsid w:val="00AC5AF5"/>
    <w:rsid w:val="00AC6030"/>
    <w:rsid w:val="00AC692F"/>
    <w:rsid w:val="00AC6ABE"/>
    <w:rsid w:val="00AD0A7C"/>
    <w:rsid w:val="00AD1E73"/>
    <w:rsid w:val="00AD243A"/>
    <w:rsid w:val="00AD44DF"/>
    <w:rsid w:val="00AD578B"/>
    <w:rsid w:val="00AD5BDC"/>
    <w:rsid w:val="00AE0688"/>
    <w:rsid w:val="00AE1A2B"/>
    <w:rsid w:val="00AE2848"/>
    <w:rsid w:val="00AE48D8"/>
    <w:rsid w:val="00AE7DAA"/>
    <w:rsid w:val="00AF07FF"/>
    <w:rsid w:val="00AF1142"/>
    <w:rsid w:val="00AF18C0"/>
    <w:rsid w:val="00AF22D5"/>
    <w:rsid w:val="00AF29B7"/>
    <w:rsid w:val="00AF35A9"/>
    <w:rsid w:val="00AF4959"/>
    <w:rsid w:val="00AF5E31"/>
    <w:rsid w:val="00AF6526"/>
    <w:rsid w:val="00B00914"/>
    <w:rsid w:val="00B00F9C"/>
    <w:rsid w:val="00B01A8E"/>
    <w:rsid w:val="00B01DCE"/>
    <w:rsid w:val="00B03AE8"/>
    <w:rsid w:val="00B03E8A"/>
    <w:rsid w:val="00B045BE"/>
    <w:rsid w:val="00B06045"/>
    <w:rsid w:val="00B06B39"/>
    <w:rsid w:val="00B06B6E"/>
    <w:rsid w:val="00B071CC"/>
    <w:rsid w:val="00B07404"/>
    <w:rsid w:val="00B07A9F"/>
    <w:rsid w:val="00B112B2"/>
    <w:rsid w:val="00B12607"/>
    <w:rsid w:val="00B144A7"/>
    <w:rsid w:val="00B14787"/>
    <w:rsid w:val="00B15261"/>
    <w:rsid w:val="00B16C0C"/>
    <w:rsid w:val="00B16D0A"/>
    <w:rsid w:val="00B16FAD"/>
    <w:rsid w:val="00B176BD"/>
    <w:rsid w:val="00B206C1"/>
    <w:rsid w:val="00B21657"/>
    <w:rsid w:val="00B21DA2"/>
    <w:rsid w:val="00B227FD"/>
    <w:rsid w:val="00B22AAE"/>
    <w:rsid w:val="00B23AE3"/>
    <w:rsid w:val="00B24427"/>
    <w:rsid w:val="00B24724"/>
    <w:rsid w:val="00B248B9"/>
    <w:rsid w:val="00B25840"/>
    <w:rsid w:val="00B25EF7"/>
    <w:rsid w:val="00B26782"/>
    <w:rsid w:val="00B26B42"/>
    <w:rsid w:val="00B27233"/>
    <w:rsid w:val="00B27BF8"/>
    <w:rsid w:val="00B27D9E"/>
    <w:rsid w:val="00B3036A"/>
    <w:rsid w:val="00B3098C"/>
    <w:rsid w:val="00B30FB9"/>
    <w:rsid w:val="00B31852"/>
    <w:rsid w:val="00B31C6B"/>
    <w:rsid w:val="00B31D5D"/>
    <w:rsid w:val="00B3336D"/>
    <w:rsid w:val="00B36A27"/>
    <w:rsid w:val="00B40D67"/>
    <w:rsid w:val="00B41C6B"/>
    <w:rsid w:val="00B4248E"/>
    <w:rsid w:val="00B42BB6"/>
    <w:rsid w:val="00B43900"/>
    <w:rsid w:val="00B44056"/>
    <w:rsid w:val="00B44078"/>
    <w:rsid w:val="00B44DE8"/>
    <w:rsid w:val="00B4585A"/>
    <w:rsid w:val="00B46F65"/>
    <w:rsid w:val="00B47687"/>
    <w:rsid w:val="00B47A27"/>
    <w:rsid w:val="00B534E3"/>
    <w:rsid w:val="00B53AA5"/>
    <w:rsid w:val="00B57116"/>
    <w:rsid w:val="00B6110E"/>
    <w:rsid w:val="00B61111"/>
    <w:rsid w:val="00B61474"/>
    <w:rsid w:val="00B61505"/>
    <w:rsid w:val="00B618BB"/>
    <w:rsid w:val="00B61DA0"/>
    <w:rsid w:val="00B62F72"/>
    <w:rsid w:val="00B63FA1"/>
    <w:rsid w:val="00B645FD"/>
    <w:rsid w:val="00B64BEB"/>
    <w:rsid w:val="00B660F4"/>
    <w:rsid w:val="00B6634F"/>
    <w:rsid w:val="00B72E01"/>
    <w:rsid w:val="00B73861"/>
    <w:rsid w:val="00B74998"/>
    <w:rsid w:val="00B759EC"/>
    <w:rsid w:val="00B773C3"/>
    <w:rsid w:val="00B77F6F"/>
    <w:rsid w:val="00B84127"/>
    <w:rsid w:val="00B8414D"/>
    <w:rsid w:val="00B84E17"/>
    <w:rsid w:val="00B85992"/>
    <w:rsid w:val="00B86895"/>
    <w:rsid w:val="00B86B92"/>
    <w:rsid w:val="00B87896"/>
    <w:rsid w:val="00B87994"/>
    <w:rsid w:val="00B87B18"/>
    <w:rsid w:val="00B903E5"/>
    <w:rsid w:val="00B904F9"/>
    <w:rsid w:val="00B90EAE"/>
    <w:rsid w:val="00B93759"/>
    <w:rsid w:val="00B9413E"/>
    <w:rsid w:val="00B95C34"/>
    <w:rsid w:val="00B95DA2"/>
    <w:rsid w:val="00B97D23"/>
    <w:rsid w:val="00BA2733"/>
    <w:rsid w:val="00BA2C67"/>
    <w:rsid w:val="00BA30FA"/>
    <w:rsid w:val="00BA4258"/>
    <w:rsid w:val="00BA44B1"/>
    <w:rsid w:val="00BA4B97"/>
    <w:rsid w:val="00BA6672"/>
    <w:rsid w:val="00BA66F5"/>
    <w:rsid w:val="00BA6733"/>
    <w:rsid w:val="00BA6ACD"/>
    <w:rsid w:val="00BA6D96"/>
    <w:rsid w:val="00BB044F"/>
    <w:rsid w:val="00BB0A3B"/>
    <w:rsid w:val="00BB221C"/>
    <w:rsid w:val="00BB30AD"/>
    <w:rsid w:val="00BB3264"/>
    <w:rsid w:val="00BC0B61"/>
    <w:rsid w:val="00BC0DC4"/>
    <w:rsid w:val="00BC1E69"/>
    <w:rsid w:val="00BC2CBE"/>
    <w:rsid w:val="00BC2FB2"/>
    <w:rsid w:val="00BC3893"/>
    <w:rsid w:val="00BC6405"/>
    <w:rsid w:val="00BC6F0B"/>
    <w:rsid w:val="00BC726A"/>
    <w:rsid w:val="00BC79F4"/>
    <w:rsid w:val="00BC7B73"/>
    <w:rsid w:val="00BD48D4"/>
    <w:rsid w:val="00BD53E9"/>
    <w:rsid w:val="00BD7C32"/>
    <w:rsid w:val="00BE0429"/>
    <w:rsid w:val="00BE3755"/>
    <w:rsid w:val="00BE3A16"/>
    <w:rsid w:val="00BE3B56"/>
    <w:rsid w:val="00BE6D4B"/>
    <w:rsid w:val="00BF0391"/>
    <w:rsid w:val="00BF243A"/>
    <w:rsid w:val="00BF3B8E"/>
    <w:rsid w:val="00BF4947"/>
    <w:rsid w:val="00BF5531"/>
    <w:rsid w:val="00BF5BD3"/>
    <w:rsid w:val="00C00C16"/>
    <w:rsid w:val="00C01A43"/>
    <w:rsid w:val="00C03793"/>
    <w:rsid w:val="00C047B7"/>
    <w:rsid w:val="00C04B96"/>
    <w:rsid w:val="00C050DD"/>
    <w:rsid w:val="00C057F0"/>
    <w:rsid w:val="00C076F1"/>
    <w:rsid w:val="00C12D56"/>
    <w:rsid w:val="00C13312"/>
    <w:rsid w:val="00C13B36"/>
    <w:rsid w:val="00C1404B"/>
    <w:rsid w:val="00C14267"/>
    <w:rsid w:val="00C15E96"/>
    <w:rsid w:val="00C16227"/>
    <w:rsid w:val="00C165EB"/>
    <w:rsid w:val="00C16B61"/>
    <w:rsid w:val="00C179DC"/>
    <w:rsid w:val="00C17D56"/>
    <w:rsid w:val="00C235E5"/>
    <w:rsid w:val="00C242BD"/>
    <w:rsid w:val="00C248DA"/>
    <w:rsid w:val="00C26005"/>
    <w:rsid w:val="00C26DBA"/>
    <w:rsid w:val="00C278EC"/>
    <w:rsid w:val="00C30990"/>
    <w:rsid w:val="00C30AF2"/>
    <w:rsid w:val="00C31368"/>
    <w:rsid w:val="00C317A3"/>
    <w:rsid w:val="00C3266A"/>
    <w:rsid w:val="00C327C5"/>
    <w:rsid w:val="00C33239"/>
    <w:rsid w:val="00C345AB"/>
    <w:rsid w:val="00C345F7"/>
    <w:rsid w:val="00C34BD3"/>
    <w:rsid w:val="00C358AF"/>
    <w:rsid w:val="00C359C9"/>
    <w:rsid w:val="00C35A27"/>
    <w:rsid w:val="00C373C1"/>
    <w:rsid w:val="00C37A5A"/>
    <w:rsid w:val="00C418CB"/>
    <w:rsid w:val="00C41B4A"/>
    <w:rsid w:val="00C42C5C"/>
    <w:rsid w:val="00C43B02"/>
    <w:rsid w:val="00C458E3"/>
    <w:rsid w:val="00C4631E"/>
    <w:rsid w:val="00C47DDA"/>
    <w:rsid w:val="00C5183C"/>
    <w:rsid w:val="00C52744"/>
    <w:rsid w:val="00C52837"/>
    <w:rsid w:val="00C52A15"/>
    <w:rsid w:val="00C5353C"/>
    <w:rsid w:val="00C54276"/>
    <w:rsid w:val="00C54933"/>
    <w:rsid w:val="00C54F42"/>
    <w:rsid w:val="00C55A97"/>
    <w:rsid w:val="00C603B8"/>
    <w:rsid w:val="00C60A65"/>
    <w:rsid w:val="00C61846"/>
    <w:rsid w:val="00C61E48"/>
    <w:rsid w:val="00C620EC"/>
    <w:rsid w:val="00C6271D"/>
    <w:rsid w:val="00C6327F"/>
    <w:rsid w:val="00C63ACF"/>
    <w:rsid w:val="00C64655"/>
    <w:rsid w:val="00C64E0F"/>
    <w:rsid w:val="00C6643A"/>
    <w:rsid w:val="00C70E01"/>
    <w:rsid w:val="00C71337"/>
    <w:rsid w:val="00C72D3C"/>
    <w:rsid w:val="00C74839"/>
    <w:rsid w:val="00C752FE"/>
    <w:rsid w:val="00C759F9"/>
    <w:rsid w:val="00C75CC0"/>
    <w:rsid w:val="00C75CF7"/>
    <w:rsid w:val="00C80F37"/>
    <w:rsid w:val="00C8295F"/>
    <w:rsid w:val="00C83F40"/>
    <w:rsid w:val="00C83FA2"/>
    <w:rsid w:val="00C85A04"/>
    <w:rsid w:val="00C874BB"/>
    <w:rsid w:val="00C92527"/>
    <w:rsid w:val="00C933C4"/>
    <w:rsid w:val="00C943CC"/>
    <w:rsid w:val="00C9491C"/>
    <w:rsid w:val="00C959F2"/>
    <w:rsid w:val="00C97C9B"/>
    <w:rsid w:val="00CA1A50"/>
    <w:rsid w:val="00CA1AEA"/>
    <w:rsid w:val="00CA3139"/>
    <w:rsid w:val="00CA3429"/>
    <w:rsid w:val="00CA3B3F"/>
    <w:rsid w:val="00CA7293"/>
    <w:rsid w:val="00CA7C6F"/>
    <w:rsid w:val="00CB14D4"/>
    <w:rsid w:val="00CB17D4"/>
    <w:rsid w:val="00CB1F58"/>
    <w:rsid w:val="00CB446E"/>
    <w:rsid w:val="00CB4AC3"/>
    <w:rsid w:val="00CB50D3"/>
    <w:rsid w:val="00CB5D7B"/>
    <w:rsid w:val="00CB6D45"/>
    <w:rsid w:val="00CB6DE4"/>
    <w:rsid w:val="00CB784C"/>
    <w:rsid w:val="00CC1582"/>
    <w:rsid w:val="00CC4A2E"/>
    <w:rsid w:val="00CC5180"/>
    <w:rsid w:val="00CC719B"/>
    <w:rsid w:val="00CC7DFD"/>
    <w:rsid w:val="00CD1324"/>
    <w:rsid w:val="00CD3128"/>
    <w:rsid w:val="00CD3D29"/>
    <w:rsid w:val="00CD6DC1"/>
    <w:rsid w:val="00CE0B5C"/>
    <w:rsid w:val="00CE13EE"/>
    <w:rsid w:val="00CE205F"/>
    <w:rsid w:val="00CE2CE3"/>
    <w:rsid w:val="00CE2EFE"/>
    <w:rsid w:val="00CE4EEA"/>
    <w:rsid w:val="00CE6063"/>
    <w:rsid w:val="00CE7E68"/>
    <w:rsid w:val="00CF04D9"/>
    <w:rsid w:val="00CF0EE3"/>
    <w:rsid w:val="00CF11EF"/>
    <w:rsid w:val="00CF121D"/>
    <w:rsid w:val="00CF1C40"/>
    <w:rsid w:val="00CF3BE9"/>
    <w:rsid w:val="00CF7AD0"/>
    <w:rsid w:val="00D00031"/>
    <w:rsid w:val="00D01463"/>
    <w:rsid w:val="00D01A0A"/>
    <w:rsid w:val="00D01B19"/>
    <w:rsid w:val="00D02233"/>
    <w:rsid w:val="00D02CEA"/>
    <w:rsid w:val="00D03D60"/>
    <w:rsid w:val="00D044B1"/>
    <w:rsid w:val="00D10A39"/>
    <w:rsid w:val="00D12989"/>
    <w:rsid w:val="00D1384A"/>
    <w:rsid w:val="00D15301"/>
    <w:rsid w:val="00D15E54"/>
    <w:rsid w:val="00D161E1"/>
    <w:rsid w:val="00D178E4"/>
    <w:rsid w:val="00D20861"/>
    <w:rsid w:val="00D21379"/>
    <w:rsid w:val="00D213D7"/>
    <w:rsid w:val="00D21BF4"/>
    <w:rsid w:val="00D22EFE"/>
    <w:rsid w:val="00D23EC0"/>
    <w:rsid w:val="00D242AE"/>
    <w:rsid w:val="00D24500"/>
    <w:rsid w:val="00D2470C"/>
    <w:rsid w:val="00D24B38"/>
    <w:rsid w:val="00D25D43"/>
    <w:rsid w:val="00D308BB"/>
    <w:rsid w:val="00D31B73"/>
    <w:rsid w:val="00D32058"/>
    <w:rsid w:val="00D335F0"/>
    <w:rsid w:val="00D34A4F"/>
    <w:rsid w:val="00D34BF0"/>
    <w:rsid w:val="00D35B57"/>
    <w:rsid w:val="00D35F7D"/>
    <w:rsid w:val="00D36952"/>
    <w:rsid w:val="00D3697B"/>
    <w:rsid w:val="00D37920"/>
    <w:rsid w:val="00D4002C"/>
    <w:rsid w:val="00D4322E"/>
    <w:rsid w:val="00D43B04"/>
    <w:rsid w:val="00D44D30"/>
    <w:rsid w:val="00D46C37"/>
    <w:rsid w:val="00D52169"/>
    <w:rsid w:val="00D53149"/>
    <w:rsid w:val="00D54828"/>
    <w:rsid w:val="00D54A70"/>
    <w:rsid w:val="00D551C0"/>
    <w:rsid w:val="00D55C57"/>
    <w:rsid w:val="00D56012"/>
    <w:rsid w:val="00D57B6E"/>
    <w:rsid w:val="00D60F8B"/>
    <w:rsid w:val="00D61411"/>
    <w:rsid w:val="00D64720"/>
    <w:rsid w:val="00D6488F"/>
    <w:rsid w:val="00D6489D"/>
    <w:rsid w:val="00D655A4"/>
    <w:rsid w:val="00D66BCD"/>
    <w:rsid w:val="00D67089"/>
    <w:rsid w:val="00D67BCA"/>
    <w:rsid w:val="00D7087F"/>
    <w:rsid w:val="00D71373"/>
    <w:rsid w:val="00D71750"/>
    <w:rsid w:val="00D71895"/>
    <w:rsid w:val="00D71B3E"/>
    <w:rsid w:val="00D71F9A"/>
    <w:rsid w:val="00D72526"/>
    <w:rsid w:val="00D729AB"/>
    <w:rsid w:val="00D73188"/>
    <w:rsid w:val="00D734A0"/>
    <w:rsid w:val="00D74526"/>
    <w:rsid w:val="00D74991"/>
    <w:rsid w:val="00D74A89"/>
    <w:rsid w:val="00D80C1A"/>
    <w:rsid w:val="00D82A5A"/>
    <w:rsid w:val="00D8327C"/>
    <w:rsid w:val="00D838AE"/>
    <w:rsid w:val="00D84177"/>
    <w:rsid w:val="00D86280"/>
    <w:rsid w:val="00D87AB6"/>
    <w:rsid w:val="00D87ECB"/>
    <w:rsid w:val="00D907F3"/>
    <w:rsid w:val="00D90A2C"/>
    <w:rsid w:val="00D9109E"/>
    <w:rsid w:val="00D91489"/>
    <w:rsid w:val="00D91856"/>
    <w:rsid w:val="00D923D0"/>
    <w:rsid w:val="00D928D4"/>
    <w:rsid w:val="00D92CF5"/>
    <w:rsid w:val="00D934F1"/>
    <w:rsid w:val="00D9407E"/>
    <w:rsid w:val="00D942BB"/>
    <w:rsid w:val="00D94838"/>
    <w:rsid w:val="00D94BBE"/>
    <w:rsid w:val="00D95444"/>
    <w:rsid w:val="00D96F39"/>
    <w:rsid w:val="00D9714C"/>
    <w:rsid w:val="00DA0415"/>
    <w:rsid w:val="00DA1947"/>
    <w:rsid w:val="00DA1DCE"/>
    <w:rsid w:val="00DA3E50"/>
    <w:rsid w:val="00DA45B7"/>
    <w:rsid w:val="00DA4CB6"/>
    <w:rsid w:val="00DA4FEF"/>
    <w:rsid w:val="00DA573C"/>
    <w:rsid w:val="00DA5E1D"/>
    <w:rsid w:val="00DA71DD"/>
    <w:rsid w:val="00DA7227"/>
    <w:rsid w:val="00DB227C"/>
    <w:rsid w:val="00DB34F4"/>
    <w:rsid w:val="00DB3C50"/>
    <w:rsid w:val="00DB526C"/>
    <w:rsid w:val="00DB7EAD"/>
    <w:rsid w:val="00DC035E"/>
    <w:rsid w:val="00DC0659"/>
    <w:rsid w:val="00DC0B72"/>
    <w:rsid w:val="00DC2365"/>
    <w:rsid w:val="00DC32A4"/>
    <w:rsid w:val="00DC41AE"/>
    <w:rsid w:val="00DC4289"/>
    <w:rsid w:val="00DC47D0"/>
    <w:rsid w:val="00DD0B79"/>
    <w:rsid w:val="00DD0E33"/>
    <w:rsid w:val="00DD15A0"/>
    <w:rsid w:val="00DD2021"/>
    <w:rsid w:val="00DD242F"/>
    <w:rsid w:val="00DD397F"/>
    <w:rsid w:val="00DD44BA"/>
    <w:rsid w:val="00DD46AE"/>
    <w:rsid w:val="00DD64B2"/>
    <w:rsid w:val="00DD6C3B"/>
    <w:rsid w:val="00DD7209"/>
    <w:rsid w:val="00DE03FE"/>
    <w:rsid w:val="00DE09AE"/>
    <w:rsid w:val="00DE0CBE"/>
    <w:rsid w:val="00DE2869"/>
    <w:rsid w:val="00DE3572"/>
    <w:rsid w:val="00DE4AC2"/>
    <w:rsid w:val="00DE502A"/>
    <w:rsid w:val="00DE5070"/>
    <w:rsid w:val="00DE6444"/>
    <w:rsid w:val="00DE6B78"/>
    <w:rsid w:val="00DE6CC3"/>
    <w:rsid w:val="00DE7127"/>
    <w:rsid w:val="00DE7669"/>
    <w:rsid w:val="00DF09A4"/>
    <w:rsid w:val="00DF3627"/>
    <w:rsid w:val="00DF37D4"/>
    <w:rsid w:val="00DF3F69"/>
    <w:rsid w:val="00DF5CB0"/>
    <w:rsid w:val="00DF720E"/>
    <w:rsid w:val="00E01283"/>
    <w:rsid w:val="00E0131D"/>
    <w:rsid w:val="00E016D8"/>
    <w:rsid w:val="00E018E7"/>
    <w:rsid w:val="00E02C2B"/>
    <w:rsid w:val="00E02E7F"/>
    <w:rsid w:val="00E04CD6"/>
    <w:rsid w:val="00E05715"/>
    <w:rsid w:val="00E05B51"/>
    <w:rsid w:val="00E0620C"/>
    <w:rsid w:val="00E06E55"/>
    <w:rsid w:val="00E07EDE"/>
    <w:rsid w:val="00E12ABA"/>
    <w:rsid w:val="00E12AEA"/>
    <w:rsid w:val="00E138A2"/>
    <w:rsid w:val="00E15C5F"/>
    <w:rsid w:val="00E16631"/>
    <w:rsid w:val="00E17C1C"/>
    <w:rsid w:val="00E17CE6"/>
    <w:rsid w:val="00E21DBF"/>
    <w:rsid w:val="00E22059"/>
    <w:rsid w:val="00E24B8E"/>
    <w:rsid w:val="00E24CAB"/>
    <w:rsid w:val="00E25308"/>
    <w:rsid w:val="00E2680A"/>
    <w:rsid w:val="00E26AA3"/>
    <w:rsid w:val="00E27DEC"/>
    <w:rsid w:val="00E3137D"/>
    <w:rsid w:val="00E3221F"/>
    <w:rsid w:val="00E34436"/>
    <w:rsid w:val="00E348DD"/>
    <w:rsid w:val="00E34B26"/>
    <w:rsid w:val="00E352A4"/>
    <w:rsid w:val="00E356B7"/>
    <w:rsid w:val="00E40FF1"/>
    <w:rsid w:val="00E42110"/>
    <w:rsid w:val="00E42B86"/>
    <w:rsid w:val="00E44A40"/>
    <w:rsid w:val="00E44AC6"/>
    <w:rsid w:val="00E45F6A"/>
    <w:rsid w:val="00E47024"/>
    <w:rsid w:val="00E47082"/>
    <w:rsid w:val="00E510D2"/>
    <w:rsid w:val="00E52445"/>
    <w:rsid w:val="00E54C29"/>
    <w:rsid w:val="00E54E30"/>
    <w:rsid w:val="00E56186"/>
    <w:rsid w:val="00E57126"/>
    <w:rsid w:val="00E5755C"/>
    <w:rsid w:val="00E57940"/>
    <w:rsid w:val="00E57ED2"/>
    <w:rsid w:val="00E60122"/>
    <w:rsid w:val="00E60B7B"/>
    <w:rsid w:val="00E616FF"/>
    <w:rsid w:val="00E61B72"/>
    <w:rsid w:val="00E61C59"/>
    <w:rsid w:val="00E6241E"/>
    <w:rsid w:val="00E626B5"/>
    <w:rsid w:val="00E62933"/>
    <w:rsid w:val="00E64C1E"/>
    <w:rsid w:val="00E66F10"/>
    <w:rsid w:val="00E66F7B"/>
    <w:rsid w:val="00E67185"/>
    <w:rsid w:val="00E70554"/>
    <w:rsid w:val="00E70F9F"/>
    <w:rsid w:val="00E71AE7"/>
    <w:rsid w:val="00E7322C"/>
    <w:rsid w:val="00E73AA8"/>
    <w:rsid w:val="00E74ECE"/>
    <w:rsid w:val="00E75DD5"/>
    <w:rsid w:val="00E763D0"/>
    <w:rsid w:val="00E77F93"/>
    <w:rsid w:val="00E8260F"/>
    <w:rsid w:val="00E84F43"/>
    <w:rsid w:val="00E85B4B"/>
    <w:rsid w:val="00E86BA1"/>
    <w:rsid w:val="00E906BF"/>
    <w:rsid w:val="00E9070B"/>
    <w:rsid w:val="00E90791"/>
    <w:rsid w:val="00E9116C"/>
    <w:rsid w:val="00E924F0"/>
    <w:rsid w:val="00E9360D"/>
    <w:rsid w:val="00E938C2"/>
    <w:rsid w:val="00E93C31"/>
    <w:rsid w:val="00E94ABB"/>
    <w:rsid w:val="00E94D9E"/>
    <w:rsid w:val="00E95111"/>
    <w:rsid w:val="00E967C2"/>
    <w:rsid w:val="00E97964"/>
    <w:rsid w:val="00EA0451"/>
    <w:rsid w:val="00EA0D38"/>
    <w:rsid w:val="00EA1796"/>
    <w:rsid w:val="00EA18C9"/>
    <w:rsid w:val="00EA45A8"/>
    <w:rsid w:val="00EA7AF9"/>
    <w:rsid w:val="00EB1A1A"/>
    <w:rsid w:val="00EB22B9"/>
    <w:rsid w:val="00EB68E3"/>
    <w:rsid w:val="00EC00F3"/>
    <w:rsid w:val="00EC01C1"/>
    <w:rsid w:val="00EC1F7D"/>
    <w:rsid w:val="00EC29D1"/>
    <w:rsid w:val="00EC2C50"/>
    <w:rsid w:val="00EC4B86"/>
    <w:rsid w:val="00EC5DEF"/>
    <w:rsid w:val="00EC6814"/>
    <w:rsid w:val="00EC6D4E"/>
    <w:rsid w:val="00EC6E04"/>
    <w:rsid w:val="00ED0382"/>
    <w:rsid w:val="00ED1636"/>
    <w:rsid w:val="00ED2E12"/>
    <w:rsid w:val="00ED3A28"/>
    <w:rsid w:val="00ED3B1E"/>
    <w:rsid w:val="00ED3EDE"/>
    <w:rsid w:val="00ED6241"/>
    <w:rsid w:val="00ED6C48"/>
    <w:rsid w:val="00EE0B62"/>
    <w:rsid w:val="00EE117D"/>
    <w:rsid w:val="00EE39B7"/>
    <w:rsid w:val="00EE47F3"/>
    <w:rsid w:val="00EE4FF5"/>
    <w:rsid w:val="00EE520D"/>
    <w:rsid w:val="00EE6233"/>
    <w:rsid w:val="00EE724C"/>
    <w:rsid w:val="00EE72CF"/>
    <w:rsid w:val="00EE7316"/>
    <w:rsid w:val="00EF0837"/>
    <w:rsid w:val="00EF0FFD"/>
    <w:rsid w:val="00EF1A84"/>
    <w:rsid w:val="00EF2E5D"/>
    <w:rsid w:val="00EF2E7D"/>
    <w:rsid w:val="00EF46BC"/>
    <w:rsid w:val="00EF4BDE"/>
    <w:rsid w:val="00EF5EE1"/>
    <w:rsid w:val="00F000AA"/>
    <w:rsid w:val="00F0140A"/>
    <w:rsid w:val="00F0162B"/>
    <w:rsid w:val="00F018A8"/>
    <w:rsid w:val="00F02070"/>
    <w:rsid w:val="00F028F5"/>
    <w:rsid w:val="00F0300B"/>
    <w:rsid w:val="00F039A0"/>
    <w:rsid w:val="00F075DC"/>
    <w:rsid w:val="00F12DB7"/>
    <w:rsid w:val="00F13BDB"/>
    <w:rsid w:val="00F14FD7"/>
    <w:rsid w:val="00F1554E"/>
    <w:rsid w:val="00F16C62"/>
    <w:rsid w:val="00F2034E"/>
    <w:rsid w:val="00F203CF"/>
    <w:rsid w:val="00F22E0B"/>
    <w:rsid w:val="00F2313D"/>
    <w:rsid w:val="00F23DB9"/>
    <w:rsid w:val="00F24DFD"/>
    <w:rsid w:val="00F27A68"/>
    <w:rsid w:val="00F30734"/>
    <w:rsid w:val="00F313FC"/>
    <w:rsid w:val="00F320B6"/>
    <w:rsid w:val="00F35423"/>
    <w:rsid w:val="00F35535"/>
    <w:rsid w:val="00F355BD"/>
    <w:rsid w:val="00F355FC"/>
    <w:rsid w:val="00F35859"/>
    <w:rsid w:val="00F36479"/>
    <w:rsid w:val="00F37D5F"/>
    <w:rsid w:val="00F41374"/>
    <w:rsid w:val="00F41F0F"/>
    <w:rsid w:val="00F41F39"/>
    <w:rsid w:val="00F43624"/>
    <w:rsid w:val="00F43B37"/>
    <w:rsid w:val="00F46420"/>
    <w:rsid w:val="00F46F66"/>
    <w:rsid w:val="00F51F8C"/>
    <w:rsid w:val="00F533C7"/>
    <w:rsid w:val="00F53924"/>
    <w:rsid w:val="00F54064"/>
    <w:rsid w:val="00F55989"/>
    <w:rsid w:val="00F57F35"/>
    <w:rsid w:val="00F60500"/>
    <w:rsid w:val="00F60D98"/>
    <w:rsid w:val="00F617E6"/>
    <w:rsid w:val="00F618F5"/>
    <w:rsid w:val="00F63187"/>
    <w:rsid w:val="00F63A55"/>
    <w:rsid w:val="00F63F9B"/>
    <w:rsid w:val="00F64B88"/>
    <w:rsid w:val="00F65F5D"/>
    <w:rsid w:val="00F66F95"/>
    <w:rsid w:val="00F67556"/>
    <w:rsid w:val="00F67C75"/>
    <w:rsid w:val="00F70642"/>
    <w:rsid w:val="00F706B9"/>
    <w:rsid w:val="00F713A6"/>
    <w:rsid w:val="00F734A1"/>
    <w:rsid w:val="00F7747B"/>
    <w:rsid w:val="00F77F5D"/>
    <w:rsid w:val="00F800C0"/>
    <w:rsid w:val="00F81601"/>
    <w:rsid w:val="00F82ACC"/>
    <w:rsid w:val="00F847A1"/>
    <w:rsid w:val="00F84C0A"/>
    <w:rsid w:val="00F85724"/>
    <w:rsid w:val="00F85B5F"/>
    <w:rsid w:val="00F85DB8"/>
    <w:rsid w:val="00F86A3A"/>
    <w:rsid w:val="00F906B2"/>
    <w:rsid w:val="00F937DA"/>
    <w:rsid w:val="00F9593A"/>
    <w:rsid w:val="00F96486"/>
    <w:rsid w:val="00F96C45"/>
    <w:rsid w:val="00FA0C8F"/>
    <w:rsid w:val="00FA0DD8"/>
    <w:rsid w:val="00FA15AC"/>
    <w:rsid w:val="00FA1F9C"/>
    <w:rsid w:val="00FA24EB"/>
    <w:rsid w:val="00FB06C3"/>
    <w:rsid w:val="00FB33B3"/>
    <w:rsid w:val="00FB4C06"/>
    <w:rsid w:val="00FB556D"/>
    <w:rsid w:val="00FB6C48"/>
    <w:rsid w:val="00FC18B6"/>
    <w:rsid w:val="00FC4333"/>
    <w:rsid w:val="00FC55C2"/>
    <w:rsid w:val="00FC55F8"/>
    <w:rsid w:val="00FC60B5"/>
    <w:rsid w:val="00FC6636"/>
    <w:rsid w:val="00FC7E39"/>
    <w:rsid w:val="00FD3B00"/>
    <w:rsid w:val="00FE1361"/>
    <w:rsid w:val="00FE1829"/>
    <w:rsid w:val="00FE2675"/>
    <w:rsid w:val="00FE384B"/>
    <w:rsid w:val="00FE636D"/>
    <w:rsid w:val="00FE69C9"/>
    <w:rsid w:val="00FE6D29"/>
    <w:rsid w:val="00FE75E5"/>
    <w:rsid w:val="00FF0286"/>
    <w:rsid w:val="00FF0F5A"/>
    <w:rsid w:val="00FF1160"/>
    <w:rsid w:val="00FF120F"/>
    <w:rsid w:val="00FF2C76"/>
    <w:rsid w:val="00FF30E3"/>
    <w:rsid w:val="00FF4F41"/>
    <w:rsid w:val="00FF52C7"/>
    <w:rsid w:val="00FF74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8A579"/>
  <w15:docId w15:val="{6302FCB7-51F4-4EA8-BE3D-3FF5F7F0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qFormat/>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Footnote Reference1, Char,Char,ft,Style 27,Char Char Char Char Char,Style 11, Char Char Char,Char Char Char"/>
    <w:basedOn w:val="Normal"/>
    <w:link w:val="FootnoteTextChar"/>
    <w:qFormat/>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1,FA Fu Char,Footnote Text Char Char Char Char2,Footnote Reference1 Char1, Char Char1,Char Char1,ft Char1"/>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Footnote number,ftref,Footnotes refss,Style 10,referencia nota al pie,BVI fnr,Footnote text,4_Footnote text,callout,Fago Fußnotenzeichen,16 Point,Superscript 6 Point,Footnote,Footnote symbol,f,Ref,SUPERS,Appel note de bas de p.,4_"/>
    <w:link w:val="Appelnotedebasde"/>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65C15"/>
    <w:rPr>
      <w:rFonts w:ascii="Tahoma" w:eastAsia="Times New Roman" w:hAnsi="Tahoma" w:cs="Tahoma"/>
      <w:sz w:val="16"/>
      <w:szCs w:val="16"/>
      <w:lang w:eastAsia="en-US"/>
    </w:rPr>
  </w:style>
  <w:style w:type="character" w:customStyle="1" w:styleId="SingleTxtGChar">
    <w:name w:val="_ Single Txt_G Char"/>
    <w:basedOn w:val="DefaultParagraphFont"/>
    <w:link w:val="SingleTxtG"/>
    <w:locked/>
    <w:rsid w:val="00AE7DAA"/>
    <w:rPr>
      <w:rFonts w:ascii="Times New Roman" w:hAnsi="Times New Roman" w:cs="Times New Roman"/>
      <w:sz w:val="20"/>
      <w:szCs w:val="20"/>
    </w:rPr>
  </w:style>
  <w:style w:type="character" w:customStyle="1" w:styleId="FootnoteTextChar1">
    <w:name w:val="Footnote Text Char1"/>
    <w:aliases w:val="5_G Char1,Footnote Text Char Char Char Char Char Char1,Footnote Text Char Char Char Char Char2,Footnote reference Char,FA Fu Char1,Footnote Text Char Char Char Char1,Footnote Reference1 Char, Char Char,Char Char,ft Char,Style 27 Char"/>
    <w:locked/>
    <w:rsid w:val="00AA33F7"/>
    <w:rPr>
      <w:rFonts w:eastAsia="SimSun"/>
      <w:sz w:val="18"/>
      <w:szCs w:val="20"/>
      <w:lang w:val="en-US" w:eastAsia="zh-CN"/>
    </w:rPr>
  </w:style>
  <w:style w:type="character" w:styleId="CommentReference">
    <w:name w:val="annotation reference"/>
    <w:basedOn w:val="DefaultParagraphFont"/>
    <w:rsid w:val="00AA33F7"/>
    <w:rPr>
      <w:rFonts w:cs="Times New Roman"/>
      <w:sz w:val="16"/>
    </w:rPr>
  </w:style>
  <w:style w:type="paragraph" w:styleId="CommentText">
    <w:name w:val="annotation text"/>
    <w:basedOn w:val="Normal"/>
    <w:link w:val="CommentTextChar"/>
    <w:rsid w:val="00AA33F7"/>
    <w:rPr>
      <w:rFonts w:eastAsia="MS Mincho"/>
    </w:rPr>
  </w:style>
  <w:style w:type="character" w:customStyle="1" w:styleId="CommentTextChar">
    <w:name w:val="Comment Text Char"/>
    <w:basedOn w:val="DefaultParagraphFont"/>
    <w:link w:val="CommentText"/>
    <w:rsid w:val="00AA33F7"/>
    <w:rPr>
      <w:rFonts w:ascii="Times New Roman" w:eastAsia="MS Mincho" w:hAnsi="Times New Roman" w:cs="Times New Roman"/>
      <w:sz w:val="20"/>
      <w:szCs w:val="20"/>
      <w:lang w:eastAsia="en-US"/>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rsid w:val="002543CE"/>
    <w:pPr>
      <w:suppressAutoHyphens w:val="0"/>
      <w:spacing w:before="120" w:after="120" w:line="240" w:lineRule="auto"/>
    </w:pPr>
    <w:rPr>
      <w:rFonts w:eastAsia="SimSun" w:cstheme="minorBidi"/>
      <w:sz w:val="18"/>
      <w:szCs w:val="22"/>
      <w:vertAlign w:val="superscript"/>
      <w:lang w:eastAsia="zh-CN"/>
    </w:rPr>
  </w:style>
  <w:style w:type="paragraph" w:styleId="CommentSubject">
    <w:name w:val="annotation subject"/>
    <w:basedOn w:val="CommentText"/>
    <w:next w:val="CommentText"/>
    <w:link w:val="CommentSubjectChar"/>
    <w:uiPriority w:val="99"/>
    <w:semiHidden/>
    <w:unhideWhenUsed/>
    <w:rsid w:val="002C271C"/>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2C271C"/>
    <w:rPr>
      <w:rFonts w:ascii="Times New Roman" w:eastAsia="Times New Roman" w:hAnsi="Times New Roman" w:cs="Times New Roman"/>
      <w:b/>
      <w:bCs/>
      <w:sz w:val="20"/>
      <w:szCs w:val="20"/>
      <w:lang w:eastAsia="en-US"/>
    </w:rPr>
  </w:style>
  <w:style w:type="paragraph" w:styleId="HTMLPreformatted">
    <w:name w:val="HTML Preformatted"/>
    <w:basedOn w:val="Normal"/>
    <w:link w:val="HTMLPreformattedChar"/>
    <w:uiPriority w:val="99"/>
    <w:semiHidden/>
    <w:unhideWhenUsed/>
    <w:rsid w:val="00F5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F533C7"/>
    <w:rPr>
      <w:rFonts w:ascii="Courier New" w:eastAsia="Times New Roman" w:hAnsi="Courier New" w:cs="Courier New"/>
      <w:sz w:val="20"/>
      <w:szCs w:val="20"/>
      <w:lang w:eastAsia="en-GB"/>
    </w:rPr>
  </w:style>
  <w:style w:type="character" w:customStyle="1" w:styleId="sb8d990e2">
    <w:name w:val="sb8d990e2"/>
    <w:basedOn w:val="DefaultParagraphFont"/>
    <w:rsid w:val="00483849"/>
  </w:style>
  <w:style w:type="paragraph" w:styleId="Revision">
    <w:name w:val="Revision"/>
    <w:hidden/>
    <w:uiPriority w:val="99"/>
    <w:semiHidden/>
    <w:rsid w:val="00007D3D"/>
    <w:pPr>
      <w:spacing w:after="0" w:line="240" w:lineRule="auto"/>
    </w:pPr>
    <w:rPr>
      <w:rFonts w:ascii="Times New Roman" w:eastAsia="Times New Roman" w:hAnsi="Times New Roman" w:cs="Times New Roman"/>
      <w:sz w:val="20"/>
      <w:szCs w:val="20"/>
      <w:lang w:eastAsia="en-US"/>
    </w:rPr>
  </w:style>
  <w:style w:type="character" w:styleId="Hyperlink">
    <w:name w:val="Hyperlink"/>
    <w:basedOn w:val="DefaultParagraphFont"/>
    <w:unhideWhenUsed/>
    <w:rsid w:val="0082188E"/>
    <w:rPr>
      <w:color w:val="0000FF" w:themeColor="hyperlink"/>
      <w:u w:val="single"/>
    </w:rPr>
  </w:style>
  <w:style w:type="paragraph" w:customStyle="1" w:styleId="paragraph">
    <w:name w:val="paragraph"/>
    <w:basedOn w:val="Normal"/>
    <w:rsid w:val="007E1C55"/>
    <w:pPr>
      <w:suppressAutoHyphens w:val="0"/>
      <w:spacing w:before="100" w:beforeAutospacing="1" w:after="100" w:afterAutospacing="1" w:line="240" w:lineRule="auto"/>
    </w:pPr>
    <w:rPr>
      <w:sz w:val="24"/>
      <w:szCs w:val="24"/>
      <w:lang w:val="en-US"/>
    </w:rPr>
  </w:style>
  <w:style w:type="character" w:customStyle="1" w:styleId="normaltextrun">
    <w:name w:val="normaltextrun"/>
    <w:basedOn w:val="DefaultParagraphFont"/>
    <w:rsid w:val="007E1C55"/>
  </w:style>
  <w:style w:type="character" w:customStyle="1" w:styleId="eop">
    <w:name w:val="eop"/>
    <w:basedOn w:val="DefaultParagraphFont"/>
    <w:rsid w:val="007E1C55"/>
  </w:style>
  <w:style w:type="character" w:customStyle="1" w:styleId="scxw117434984">
    <w:name w:val="scxw117434984"/>
    <w:basedOn w:val="DefaultParagraphFont"/>
    <w:rsid w:val="007E1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360">
      <w:bodyDiv w:val="1"/>
      <w:marLeft w:val="0"/>
      <w:marRight w:val="0"/>
      <w:marTop w:val="0"/>
      <w:marBottom w:val="0"/>
      <w:divBdr>
        <w:top w:val="none" w:sz="0" w:space="0" w:color="auto"/>
        <w:left w:val="none" w:sz="0" w:space="0" w:color="auto"/>
        <w:bottom w:val="none" w:sz="0" w:space="0" w:color="auto"/>
        <w:right w:val="none" w:sz="0" w:space="0" w:color="auto"/>
      </w:divBdr>
    </w:div>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347609826">
      <w:bodyDiv w:val="1"/>
      <w:marLeft w:val="0"/>
      <w:marRight w:val="0"/>
      <w:marTop w:val="0"/>
      <w:marBottom w:val="0"/>
      <w:divBdr>
        <w:top w:val="none" w:sz="0" w:space="0" w:color="auto"/>
        <w:left w:val="none" w:sz="0" w:space="0" w:color="auto"/>
        <w:bottom w:val="none" w:sz="0" w:space="0" w:color="auto"/>
        <w:right w:val="none" w:sz="0" w:space="0" w:color="auto"/>
      </w:divBdr>
    </w:div>
    <w:div w:id="532229098">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904875848">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1775202050">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HRBodies/CCPR/Membership/CV_ABDO_ROCHO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85221ADBDE248AF0BB097DEBF0CEB" ma:contentTypeVersion="15" ma:contentTypeDescription="Create a new document." ma:contentTypeScope="" ma:versionID="28b904ba5b4d94885f38e6e4b523b028">
  <xsd:schema xmlns:xsd="http://www.w3.org/2001/XMLSchema" xmlns:xs="http://www.w3.org/2001/XMLSchema" xmlns:p="http://schemas.microsoft.com/office/2006/metadata/properties" xmlns:ns2="26f64be0-bbb7-4b08-87cb-17d7462398e0" xmlns:ns3="11a6fe0c-d8de-4390-afb3-d9c7c54181f0" xmlns:ns4="985ec44e-1bab-4c0b-9df0-6ba128686fc9" targetNamespace="http://schemas.microsoft.com/office/2006/metadata/properties" ma:root="true" ma:fieldsID="705156ab9574522c5f0afeb0db9b9a5e" ns2:_="" ns3:_="" ns4:_="">
    <xsd:import namespace="26f64be0-bbb7-4b08-87cb-17d7462398e0"/>
    <xsd:import namespace="11a6fe0c-d8de-4390-afb3-d9c7c54181f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64be0-bbb7-4b08-87cb-17d746239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23ee95-c171-4790-839f-a7a22323ee5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26f64be0-bbb7-4b08-87cb-17d7462398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B6FB78-EB68-4E71-8503-0629D023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64be0-bbb7-4b08-87cb-17d7462398e0"/>
    <ds:schemaRef ds:uri="11a6fe0c-d8de-4390-afb3-d9c7c54181f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63FAB-7D12-44A3-A3E4-24F98A83D875}">
  <ds:schemaRefs>
    <ds:schemaRef ds:uri="http://schemas.openxmlformats.org/officeDocument/2006/bibliography"/>
  </ds:schemaRefs>
</ds:datastoreItem>
</file>

<file path=customXml/itemProps3.xml><?xml version="1.0" encoding="utf-8"?>
<ds:datastoreItem xmlns:ds="http://schemas.openxmlformats.org/officeDocument/2006/customXml" ds:itemID="{636CE2DF-1D9B-4A4C-AD03-AA852763A4F5}">
  <ds:schemaRefs>
    <ds:schemaRef ds:uri="http://schemas.microsoft.com/sharepoint/v3/contenttype/forms"/>
  </ds:schemaRefs>
</ds:datastoreItem>
</file>

<file path=customXml/itemProps4.xml><?xml version="1.0" encoding="utf-8"?>
<ds:datastoreItem xmlns:ds="http://schemas.openxmlformats.org/officeDocument/2006/customXml" ds:itemID="{B0ADF35D-4BFB-4BF6-8C2B-D56D5736D574}">
  <ds:schemaRefs>
    <ds:schemaRef ds:uri="http://schemas.microsoft.com/office/2006/metadata/properties"/>
    <ds:schemaRef ds:uri="http://schemas.microsoft.com/office/infopath/2007/PartnerControls"/>
    <ds:schemaRef ds:uri="985ec44e-1bab-4c0b-9df0-6ba128686fc9"/>
    <ds:schemaRef ds:uri="26f64be0-bbb7-4b08-87cb-17d7462398e0"/>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3740</Words>
  <Characters>21318</Characters>
  <Application>Microsoft Office Word</Application>
  <DocSecurity>0</DocSecurity>
  <Lines>177</Lines>
  <Paragraphs>50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CCPR/C/143/DR/3054/2017</vt:lpstr>
      <vt:lpstr>CCPR/C/WG/SS/DR/####/YYYY</vt:lpstr>
      <vt:lpstr>CCPR/C/WG/SS/DR/####/YYYY</vt:lpstr>
    </vt:vector>
  </TitlesOfParts>
  <Company>DCM</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CCPR/C/143/DR/3054/2017</dc:title>
  <dc:subject>2503696</dc:subject>
  <dc:creator>pae</dc:creator>
  <cp:keywords/>
  <dc:description>REVISED TEMPLATE FOR CCPR PRE-SESSION DRAFT COMMUNICATIONS</dc:description>
  <cp:lastModifiedBy>Mohamed Abdelazim</cp:lastModifiedBy>
  <cp:revision>2</cp:revision>
  <cp:lastPrinted>2025-02-28T10:01:00Z</cp:lastPrinted>
  <dcterms:created xsi:type="dcterms:W3CDTF">2025-04-11T12:03:00Z</dcterms:created>
  <dcterms:modified xsi:type="dcterms:W3CDTF">2025-04-11T12:03:00Z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e891e70d99c710a89e7a2319c7c200eb965cf147f694d239ac71a9cc7488cc44</vt:lpwstr>
  </property>
  <property fmtid="{D5CDD505-2E9C-101B-9397-08002B2CF9AE}" pid="3" name="ContentTypeId">
    <vt:lpwstr>0x010100F8785221ADBDE248AF0BB097DEBF0CEB</vt:lpwstr>
  </property>
  <property fmtid="{D5CDD505-2E9C-101B-9397-08002B2CF9AE}" pid="4" name="MediaServiceImageTags">
    <vt:lpwstr/>
  </property>
</Properties>
</file>