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E653" w14:textId="77777777" w:rsidR="00F37220" w:rsidRPr="00A84E88" w:rsidRDefault="00F37220" w:rsidP="00A3742D">
      <w:pPr>
        <w:jc w:val="both"/>
        <w:rPr>
          <w:rFonts w:asciiTheme="minorBidi" w:hAnsiTheme="minorBidi" w:cstheme="minorBidi"/>
          <w:bCs/>
          <w:iCs/>
        </w:rPr>
      </w:pPr>
    </w:p>
    <w:p w14:paraId="00000005" w14:textId="5EF82602" w:rsidR="00CA6AD1" w:rsidRPr="00A84E88" w:rsidRDefault="00F83A9F" w:rsidP="00721FBD">
      <w:pPr>
        <w:jc w:val="center"/>
        <w:rPr>
          <w:rFonts w:asciiTheme="minorBidi" w:hAnsiTheme="minorBidi" w:cstheme="minorBidi"/>
          <w:bCs/>
          <w:iCs/>
          <w:sz w:val="24"/>
          <w:szCs w:val="24"/>
        </w:rPr>
      </w:pPr>
      <w:r w:rsidRPr="00A84E88">
        <w:rPr>
          <w:rFonts w:asciiTheme="minorBidi" w:hAnsiTheme="minorBidi" w:cstheme="minorBidi"/>
          <w:bCs/>
          <w:iCs/>
          <w:sz w:val="24"/>
          <w:szCs w:val="24"/>
        </w:rPr>
        <w:t xml:space="preserve">President and Fellows of Harvard College v. </w:t>
      </w:r>
      <w:r w:rsidR="00620DD0">
        <w:rPr>
          <w:rFonts w:asciiTheme="minorBidi" w:hAnsiTheme="minorBidi" w:cstheme="minorBidi"/>
          <w:bCs/>
          <w:iCs/>
          <w:sz w:val="24"/>
          <w:szCs w:val="24"/>
        </w:rPr>
        <w:t xml:space="preserve">the </w:t>
      </w:r>
      <w:r w:rsidRPr="00A84E88">
        <w:rPr>
          <w:rFonts w:asciiTheme="minorBidi" w:hAnsiTheme="minorBidi" w:cstheme="minorBidi"/>
          <w:bCs/>
          <w:iCs/>
          <w:sz w:val="24"/>
          <w:szCs w:val="24"/>
        </w:rPr>
        <w:t>Department of H</w:t>
      </w:r>
      <w:r w:rsidR="00721FBD">
        <w:rPr>
          <w:rFonts w:asciiTheme="minorBidi" w:hAnsiTheme="minorBidi" w:cstheme="minorBidi"/>
          <w:bCs/>
          <w:iCs/>
          <w:sz w:val="24"/>
          <w:szCs w:val="24"/>
        </w:rPr>
        <w:t>ealth and Human Services</w:t>
      </w:r>
    </w:p>
    <w:p w14:paraId="2ABA3EA7" w14:textId="4BEC12E4" w:rsidR="00406AD4" w:rsidRPr="00A84E88" w:rsidRDefault="00F37220" w:rsidP="00721FBD">
      <w:pPr>
        <w:jc w:val="center"/>
        <w:rPr>
          <w:rFonts w:asciiTheme="minorBidi" w:hAnsiTheme="minorBidi" w:cstheme="minorBidi"/>
          <w:bCs/>
          <w:iCs/>
          <w:sz w:val="24"/>
          <w:szCs w:val="24"/>
        </w:rPr>
      </w:pPr>
      <w:r w:rsidRPr="00A84E88">
        <w:rPr>
          <w:rFonts w:asciiTheme="minorBidi" w:hAnsiTheme="minorBidi" w:cstheme="minorBidi"/>
          <w:bCs/>
          <w:iCs/>
          <w:sz w:val="24"/>
          <w:szCs w:val="24"/>
        </w:rPr>
        <w:t xml:space="preserve">District of </w:t>
      </w:r>
      <w:r w:rsidR="00F83A9F" w:rsidRPr="00A84E88">
        <w:rPr>
          <w:rFonts w:asciiTheme="minorBidi" w:hAnsiTheme="minorBidi" w:cstheme="minorBidi"/>
          <w:bCs/>
          <w:iCs/>
          <w:sz w:val="24"/>
          <w:szCs w:val="24"/>
        </w:rPr>
        <w:t>Massachusetts</w:t>
      </w:r>
      <w:r w:rsidRPr="00A84E88">
        <w:rPr>
          <w:rFonts w:asciiTheme="minorBidi" w:hAnsiTheme="minorBidi" w:cstheme="minorBidi"/>
          <w:bCs/>
          <w:iCs/>
          <w:sz w:val="24"/>
          <w:szCs w:val="24"/>
        </w:rPr>
        <w:t xml:space="preserve"> U.S. Federal District Court</w:t>
      </w:r>
    </w:p>
    <w:p w14:paraId="29A9AFA8" w14:textId="63B46998" w:rsidR="00F37220" w:rsidRPr="00A84E88" w:rsidRDefault="00F37220" w:rsidP="00721FBD">
      <w:pPr>
        <w:jc w:val="center"/>
        <w:rPr>
          <w:rFonts w:asciiTheme="minorBidi" w:hAnsiTheme="minorBidi" w:cstheme="minorBidi"/>
          <w:bCs/>
          <w:iCs/>
          <w:sz w:val="24"/>
          <w:szCs w:val="24"/>
        </w:rPr>
      </w:pPr>
      <w:r w:rsidRPr="00A84E88">
        <w:rPr>
          <w:rFonts w:asciiTheme="minorBidi" w:hAnsiTheme="minorBidi" w:cstheme="minorBidi"/>
          <w:bCs/>
          <w:iCs/>
          <w:sz w:val="24"/>
          <w:szCs w:val="24"/>
        </w:rPr>
        <w:t xml:space="preserve">Memorandum Order of </w:t>
      </w:r>
      <w:r w:rsidR="00CF1A2B">
        <w:rPr>
          <w:rFonts w:asciiTheme="minorBidi" w:hAnsiTheme="minorBidi" w:cstheme="minorBidi"/>
          <w:bCs/>
          <w:iCs/>
          <w:sz w:val="24"/>
          <w:szCs w:val="24"/>
        </w:rPr>
        <w:t>3 Sep</w:t>
      </w:r>
      <w:r w:rsidR="00CF1A2B" w:rsidRPr="00A84E88">
        <w:rPr>
          <w:rFonts w:asciiTheme="minorBidi" w:hAnsiTheme="minorBidi" w:cstheme="minorBidi"/>
          <w:bCs/>
          <w:iCs/>
          <w:sz w:val="24"/>
          <w:szCs w:val="24"/>
        </w:rPr>
        <w:t xml:space="preserve"> 2025</w:t>
      </w:r>
    </w:p>
    <w:p w14:paraId="644604DB" w14:textId="77777777" w:rsidR="00406AD4" w:rsidRPr="00A84E88" w:rsidRDefault="00406AD4" w:rsidP="00A3742D">
      <w:pPr>
        <w:jc w:val="both"/>
        <w:rPr>
          <w:rFonts w:asciiTheme="minorBidi" w:hAnsiTheme="minorBidi" w:cstheme="minorBidi"/>
          <w:b/>
          <w:iCs/>
        </w:rPr>
      </w:pPr>
    </w:p>
    <w:p w14:paraId="6A9E8798" w14:textId="77777777" w:rsidR="00697CAB" w:rsidRPr="00A84E88" w:rsidRDefault="00697CAB" w:rsidP="00A3742D">
      <w:pPr>
        <w:pStyle w:val="Heading1"/>
        <w:jc w:val="both"/>
        <w:rPr>
          <w:rFonts w:asciiTheme="minorBidi" w:hAnsiTheme="minorBidi" w:cstheme="minorBidi"/>
          <w:sz w:val="22"/>
          <w:szCs w:val="22"/>
        </w:rPr>
      </w:pPr>
      <w:bookmarkStart w:id="0" w:name="_qq7nvtrsg9k2" w:colFirst="0" w:colLast="0"/>
      <w:bookmarkEnd w:id="0"/>
    </w:p>
    <w:p w14:paraId="00000006" w14:textId="04667B8D" w:rsidR="00CA6AD1" w:rsidRPr="00A84E88" w:rsidRDefault="00000000" w:rsidP="00A3742D">
      <w:pPr>
        <w:pStyle w:val="Heading1"/>
        <w:jc w:val="both"/>
        <w:rPr>
          <w:rFonts w:asciiTheme="minorBidi" w:hAnsiTheme="minorBidi" w:cstheme="minorBidi"/>
          <w:sz w:val="22"/>
          <w:szCs w:val="22"/>
        </w:rPr>
      </w:pPr>
      <w:r w:rsidRPr="00A84E88">
        <w:rPr>
          <w:rFonts w:asciiTheme="minorBidi" w:hAnsiTheme="minorBidi" w:cstheme="minorBidi"/>
          <w:sz w:val="22"/>
          <w:szCs w:val="22"/>
        </w:rPr>
        <w:t>Case Summary and Outcome</w:t>
      </w:r>
    </w:p>
    <w:p w14:paraId="00000007" w14:textId="77777777" w:rsidR="00CA6AD1" w:rsidRPr="00A84E88" w:rsidRDefault="00CA6AD1" w:rsidP="00A3742D">
      <w:pPr>
        <w:jc w:val="both"/>
        <w:rPr>
          <w:rFonts w:asciiTheme="minorBidi" w:hAnsiTheme="minorBidi" w:cstheme="minorBidi"/>
        </w:rPr>
      </w:pPr>
    </w:p>
    <w:p w14:paraId="3BA0019F" w14:textId="7DF0685A" w:rsidR="008A2F79" w:rsidRDefault="00D41E7B" w:rsidP="00693A3D">
      <w:pPr>
        <w:jc w:val="both"/>
        <w:rPr>
          <w:rFonts w:asciiTheme="minorBidi" w:eastAsia="Times New Roman" w:hAnsiTheme="minorBidi" w:cstheme="minorBidi"/>
          <w:lang w:val="en-US"/>
        </w:rPr>
      </w:pPr>
      <w:r w:rsidRPr="00D41E7B">
        <w:rPr>
          <w:rFonts w:asciiTheme="minorBidi" w:eastAsia="Times New Roman" w:hAnsiTheme="minorBidi" w:cstheme="minorBidi"/>
          <w:lang w:val="en-US"/>
        </w:rPr>
        <w:t>The</w:t>
      </w:r>
      <w:r w:rsidR="00391C17" w:rsidRPr="00391C17">
        <w:rPr>
          <w:rFonts w:asciiTheme="minorBidi" w:eastAsia="Times New Roman" w:hAnsiTheme="minorBidi" w:cstheme="minorBidi"/>
          <w:lang w:val="en-US"/>
        </w:rPr>
        <w:t xml:space="preserve"> United States District Court for the District of Massachusetts held that multiple federal agencies unlawfully froze and terminated over $2 billion in federal grants awarded to a prominent research university and its affiliated organizational plaintiffs. The Court found that the agencies’ actions violated the First Amendment</w:t>
      </w:r>
      <w:r w:rsidR="00620DD0">
        <w:rPr>
          <w:rFonts w:asciiTheme="minorBidi" w:eastAsia="Times New Roman" w:hAnsiTheme="minorBidi" w:cstheme="minorBidi"/>
          <w:lang w:val="en-US"/>
        </w:rPr>
        <w:t xml:space="preserve"> of the U.S. constitution</w:t>
      </w:r>
      <w:r w:rsidR="00391C17" w:rsidRPr="00391C17">
        <w:rPr>
          <w:rFonts w:asciiTheme="minorBidi" w:eastAsia="Times New Roman" w:hAnsiTheme="minorBidi" w:cstheme="minorBidi"/>
          <w:lang w:val="en-US"/>
        </w:rPr>
        <w:t>, which protects freedoms such as speech</w:t>
      </w:r>
      <w:r w:rsidR="00620DD0">
        <w:rPr>
          <w:rFonts w:asciiTheme="minorBidi" w:eastAsia="Times New Roman" w:hAnsiTheme="minorBidi" w:cstheme="minorBidi"/>
          <w:lang w:val="en-US"/>
        </w:rPr>
        <w:t xml:space="preserve"> and</w:t>
      </w:r>
      <w:r w:rsidR="00391C17" w:rsidRPr="00391C17">
        <w:rPr>
          <w:rFonts w:asciiTheme="minorBidi" w:eastAsia="Times New Roman" w:hAnsiTheme="minorBidi" w:cstheme="minorBidi"/>
          <w:lang w:val="en-US"/>
        </w:rPr>
        <w:t xml:space="preserve"> academic expression, and Title VI of the Civil Rights Act of 1964, which prohibits discrimination, and were also arbitrary and capricious under the Administrative Procedure Act</w:t>
      </w:r>
      <w:r w:rsidR="00391C17">
        <w:rPr>
          <w:rFonts w:asciiTheme="minorBidi" w:eastAsia="Times New Roman" w:hAnsiTheme="minorBidi" w:cstheme="minorBidi"/>
          <w:lang w:val="en-US"/>
        </w:rPr>
        <w:t xml:space="preserve"> (APA)</w:t>
      </w:r>
      <w:r w:rsidR="00391C17" w:rsidRPr="00391C17">
        <w:rPr>
          <w:rFonts w:asciiTheme="minorBidi" w:eastAsia="Times New Roman" w:hAnsiTheme="minorBidi" w:cstheme="minorBidi"/>
          <w:lang w:val="en-US"/>
        </w:rPr>
        <w:t xml:space="preserve">. The dispute arose after heightened concerns about antisemitism on campus prompted a federal multi-agency task force to issue letters in early 2025 conditioning continued funding on sweeping governance reforms, increased “viewpoint diversity,” and the elimination of certain diversity, equity, and inclusion initiatives. The university rejected these demands, denouncing them as intrusions on academic freedom and as attempts at governmental control. Within hours, the </w:t>
      </w:r>
      <w:proofErr w:type="gramStart"/>
      <w:r w:rsidR="00391C17" w:rsidRPr="00391C17">
        <w:rPr>
          <w:rFonts w:asciiTheme="minorBidi" w:eastAsia="Times New Roman" w:hAnsiTheme="minorBidi" w:cstheme="minorBidi"/>
          <w:lang w:val="en-US"/>
        </w:rPr>
        <w:t>agencies imposed</w:t>
      </w:r>
      <w:proofErr w:type="gramEnd"/>
      <w:r w:rsidR="00391C17" w:rsidRPr="00391C17">
        <w:rPr>
          <w:rFonts w:asciiTheme="minorBidi" w:eastAsia="Times New Roman" w:hAnsiTheme="minorBidi" w:cstheme="minorBidi"/>
          <w:lang w:val="en-US"/>
        </w:rPr>
        <w:t xml:space="preserve"> grant freezes and issued termination letters, abruptly halting research projects across medical, scientific, and technological fields. The Court determined that these actions constituted unconstitutional retaliation for the university’s refusal to accept viewpoint-based conditions and for filing litigation to defend its academic freedom, characterizing the government’s invocation of antisemitism as a pretext for an ideologically driven campaign. It further held that the agencies failed to comply with Title VI’s procedural safeguards</w:t>
      </w:r>
      <w:r w:rsidR="00693A3D">
        <w:rPr>
          <w:rFonts w:asciiTheme="minorBidi" w:eastAsia="Times New Roman" w:hAnsiTheme="minorBidi" w:cstheme="minorBidi"/>
          <w:lang w:val="en-US"/>
        </w:rPr>
        <w:t xml:space="preserve">, </w:t>
      </w:r>
      <w:r w:rsidR="00391C17" w:rsidRPr="00391C17">
        <w:rPr>
          <w:rFonts w:asciiTheme="minorBidi" w:eastAsia="Times New Roman" w:hAnsiTheme="minorBidi" w:cstheme="minorBidi"/>
          <w:lang w:val="en-US"/>
        </w:rPr>
        <w:t>such as notice, voluntary compliance efforts, and hearings</w:t>
      </w:r>
      <w:r w:rsidR="00693A3D">
        <w:rPr>
          <w:rFonts w:asciiTheme="minorBidi" w:eastAsia="Times New Roman" w:hAnsiTheme="minorBidi" w:cstheme="minorBidi"/>
          <w:lang w:val="en-US"/>
        </w:rPr>
        <w:t xml:space="preserve">, </w:t>
      </w:r>
      <w:r w:rsidR="00391C17" w:rsidRPr="00391C17">
        <w:rPr>
          <w:rFonts w:asciiTheme="minorBidi" w:eastAsia="Times New Roman" w:hAnsiTheme="minorBidi" w:cstheme="minorBidi"/>
          <w:lang w:val="en-US"/>
        </w:rPr>
        <w:t>before cutting off funding. The Court also found the Freeze Orders arbitrary and capricious because the agencies failed to explain how freezing grants would address antisemitism, ignored the broader societal costs of halting critical research, and disregarded reliance interests developed over decades of federal support. Accordingly, the Court vacated the Freeze Orders and Termination Letters as unconstitutional, set aside the Freeze Orders as arbitrary and capricious, invalidated the Termination Letters for noncompliance with Title VI, and permanently enjoined the agencies from reimposing the vacated measures or taking any future funding actions in retaliation for protected speech or without adherence to Title VI</w:t>
      </w:r>
      <w:r w:rsidRPr="00D41E7B">
        <w:rPr>
          <w:rFonts w:asciiTheme="minorBidi" w:eastAsia="Times New Roman" w:hAnsiTheme="minorBidi" w:cstheme="minorBidi"/>
          <w:lang w:val="en-US"/>
        </w:rPr>
        <w:t>.</w:t>
      </w:r>
    </w:p>
    <w:p w14:paraId="3DBC05EB" w14:textId="77777777" w:rsidR="00D41E7B" w:rsidRPr="00D41E7B" w:rsidRDefault="00D41E7B" w:rsidP="00D41E7B">
      <w:pPr>
        <w:rPr>
          <w:rFonts w:asciiTheme="minorBidi" w:eastAsia="Times New Roman" w:hAnsiTheme="minorBidi" w:cstheme="minorBidi"/>
          <w:lang w:val="en-US"/>
        </w:rPr>
      </w:pPr>
    </w:p>
    <w:p w14:paraId="77486640" w14:textId="59C13904" w:rsidR="00C15D45" w:rsidRPr="00A84E88" w:rsidRDefault="00000000" w:rsidP="00A3742D">
      <w:pPr>
        <w:jc w:val="both"/>
        <w:rPr>
          <w:rFonts w:asciiTheme="minorBidi" w:hAnsiTheme="minorBidi" w:cstheme="minorBidi"/>
          <w:b/>
        </w:rPr>
      </w:pPr>
      <w:r w:rsidRPr="00A84E88">
        <w:rPr>
          <w:rFonts w:asciiTheme="minorBidi" w:hAnsiTheme="minorBidi" w:cstheme="minorBidi"/>
          <w:b/>
        </w:rPr>
        <w:t>Facts</w:t>
      </w:r>
      <w:r w:rsidR="00123EF2" w:rsidRPr="00A84E88">
        <w:rPr>
          <w:rFonts w:asciiTheme="minorBidi" w:hAnsiTheme="minorBidi" w:cstheme="minorBidi"/>
          <w:b/>
        </w:rPr>
        <w:t xml:space="preserve"> </w:t>
      </w:r>
    </w:p>
    <w:p w14:paraId="18416F9B" w14:textId="77777777" w:rsidR="00826626" w:rsidRPr="00A84E88" w:rsidRDefault="00826626" w:rsidP="00A3742D">
      <w:pPr>
        <w:jc w:val="both"/>
        <w:rPr>
          <w:rFonts w:asciiTheme="minorBidi" w:hAnsiTheme="minorBidi" w:cstheme="minorBidi"/>
          <w:b/>
        </w:rPr>
      </w:pPr>
    </w:p>
    <w:p w14:paraId="3B7277A5" w14:textId="45410CF7" w:rsidR="00721FBD" w:rsidRDefault="00721FBD" w:rsidP="00721FBD">
      <w:pPr>
        <w:jc w:val="both"/>
        <w:rPr>
          <w:rFonts w:asciiTheme="minorBidi" w:hAnsiTheme="minorBidi" w:cstheme="minorBidi"/>
          <w:lang w:val="en-US"/>
        </w:rPr>
      </w:pPr>
      <w:r w:rsidRPr="00721FBD">
        <w:rPr>
          <w:rFonts w:asciiTheme="minorBidi" w:hAnsiTheme="minorBidi" w:cstheme="minorBidi"/>
          <w:lang w:val="en-US"/>
        </w:rPr>
        <w:t xml:space="preserve">Harvard University, recognized as the oldest institution of higher education in the United States and a leading research university, was, as of April 14, 2025, the recipient of ongoing federal grant funding from multiple agencies, including the National Institutes of Health (NIH), the Department of Health and Human Services (HHS), the National Science Foundation (NSF), the Department of Justice (DOJ), the Department of Defense (DoD), </w:t>
      </w:r>
      <w:r w:rsidR="005F5EDC">
        <w:rPr>
          <w:rFonts w:asciiTheme="minorBidi" w:hAnsiTheme="minorBidi" w:cstheme="minorBidi"/>
          <w:lang w:val="en-US"/>
        </w:rPr>
        <w:t xml:space="preserve">the </w:t>
      </w:r>
      <w:r w:rsidR="005F5EDC" w:rsidRPr="005F5EDC">
        <w:rPr>
          <w:rFonts w:asciiTheme="minorBidi" w:hAnsiTheme="minorBidi" w:cstheme="minorBidi"/>
          <w:lang w:val="en-US"/>
        </w:rPr>
        <w:t>Department of Housing and Urban Development (HUD)</w:t>
      </w:r>
      <w:r w:rsidR="005F5EDC">
        <w:rPr>
          <w:rFonts w:asciiTheme="minorBidi" w:hAnsiTheme="minorBidi" w:cstheme="minorBidi"/>
          <w:lang w:val="en-US"/>
        </w:rPr>
        <w:t>,</w:t>
      </w:r>
      <w:r w:rsidR="005C2F88">
        <w:rPr>
          <w:rFonts w:asciiTheme="minorBidi" w:hAnsiTheme="minorBidi" w:cstheme="minorBidi"/>
          <w:lang w:val="en-US"/>
        </w:rPr>
        <w:t xml:space="preserve"> </w:t>
      </w:r>
      <w:r w:rsidR="0090625E">
        <w:rPr>
          <w:rFonts w:asciiTheme="minorBidi" w:hAnsiTheme="minorBidi" w:cstheme="minorBidi"/>
          <w:lang w:val="en-US"/>
        </w:rPr>
        <w:t xml:space="preserve">the National Endowment of the Arts, </w:t>
      </w:r>
      <w:r w:rsidR="005C2F88">
        <w:rPr>
          <w:rFonts w:asciiTheme="minorBidi" w:hAnsiTheme="minorBidi" w:cstheme="minorBidi"/>
          <w:lang w:val="en-US"/>
        </w:rPr>
        <w:t>the Office of Personnel Manag</w:t>
      </w:r>
      <w:r w:rsidR="0090625E">
        <w:rPr>
          <w:rFonts w:asciiTheme="minorBidi" w:hAnsiTheme="minorBidi" w:cstheme="minorBidi"/>
          <w:lang w:val="en-US"/>
        </w:rPr>
        <w:t>ement,</w:t>
      </w:r>
      <w:r w:rsidR="005F5EDC">
        <w:rPr>
          <w:rFonts w:asciiTheme="minorBidi" w:hAnsiTheme="minorBidi" w:cstheme="minorBidi"/>
          <w:lang w:val="en-US"/>
        </w:rPr>
        <w:t xml:space="preserve"> </w:t>
      </w:r>
      <w:r w:rsidR="005C2F88">
        <w:rPr>
          <w:rFonts w:asciiTheme="minorBidi" w:hAnsiTheme="minorBidi" w:cstheme="minorBidi"/>
          <w:lang w:val="en-US"/>
        </w:rPr>
        <w:t xml:space="preserve">the Department of Education (DoE), </w:t>
      </w:r>
      <w:r w:rsidR="005F5EDC">
        <w:rPr>
          <w:rFonts w:asciiTheme="minorBidi" w:hAnsiTheme="minorBidi" w:cstheme="minorBidi"/>
          <w:lang w:val="en-US"/>
        </w:rPr>
        <w:t>the Department of Agriculture (USDA), the Department of Energy (Energy)</w:t>
      </w:r>
      <w:r w:rsidR="005F5EDC" w:rsidRPr="005F5EDC">
        <w:rPr>
          <w:rFonts w:asciiTheme="minorBidi" w:hAnsiTheme="minorBidi" w:cstheme="minorBidi"/>
          <w:lang w:val="en-US"/>
        </w:rPr>
        <w:t xml:space="preserve"> </w:t>
      </w:r>
      <w:r w:rsidRPr="00721FBD">
        <w:rPr>
          <w:rFonts w:asciiTheme="minorBidi" w:hAnsiTheme="minorBidi" w:cstheme="minorBidi"/>
          <w:lang w:val="en-US"/>
        </w:rPr>
        <w:t>and the National Aeronautics and Space Administration (NASA). These grants support essential research initiatives that cultivate future leaders and contribute to discoveries of significant societal impact.</w:t>
      </w:r>
    </w:p>
    <w:p w14:paraId="6CDFBFDA" w14:textId="77777777" w:rsidR="00721FBD" w:rsidRPr="00721FBD" w:rsidRDefault="00721FBD" w:rsidP="00721FBD">
      <w:pPr>
        <w:jc w:val="both"/>
        <w:rPr>
          <w:rFonts w:asciiTheme="minorBidi" w:hAnsiTheme="minorBidi" w:cstheme="minorBidi"/>
          <w:lang w:val="en-US"/>
        </w:rPr>
      </w:pPr>
    </w:p>
    <w:p w14:paraId="3164C5B7" w14:textId="77777777" w:rsidR="00721FBD" w:rsidRDefault="00721FBD" w:rsidP="00721FBD">
      <w:pPr>
        <w:jc w:val="both"/>
        <w:rPr>
          <w:rFonts w:asciiTheme="minorBidi" w:hAnsiTheme="minorBidi" w:cstheme="minorBidi"/>
          <w:lang w:val="en-US"/>
        </w:rPr>
      </w:pPr>
      <w:r w:rsidRPr="00721FBD">
        <w:rPr>
          <w:rFonts w:asciiTheme="minorBidi" w:hAnsiTheme="minorBidi" w:cstheme="minorBidi"/>
          <w:lang w:val="en-US"/>
        </w:rPr>
        <w:lastRenderedPageBreak/>
        <w:t>Following the October 7, 2023, attack by Hamas against Israeli civilians, Harvard experienced heightened tensions and acts of hostility directed at members of its Jewish community. In response, Harvard President Alan Garber established in January 2024 the Presidential Task Force on Combatting Antisemitism and Anti-Israeli Bias (Harvard Task Force), mandated to investigate the causes of such bias-based conduct and to recommend appropriate measures. Harvard further implemented a series of policy and programmatic reforms, including the imposition of disciplinary action on students and faculty, the expansion of programs addressing bias, the adoption of new accountability mechanisms, the prohibition of unauthorized campus encampments and displays, and the refinement of misconduct reporting procedures.</w:t>
      </w:r>
    </w:p>
    <w:p w14:paraId="64035470" w14:textId="77777777" w:rsidR="00B61097" w:rsidRDefault="00B61097" w:rsidP="00721FBD">
      <w:pPr>
        <w:jc w:val="both"/>
        <w:rPr>
          <w:rFonts w:asciiTheme="minorBidi" w:hAnsiTheme="minorBidi" w:cstheme="minorBidi"/>
          <w:lang w:val="en-US"/>
        </w:rPr>
      </w:pPr>
    </w:p>
    <w:p w14:paraId="7E5D52FF" w14:textId="697959E8" w:rsidR="00721FBD" w:rsidRDefault="00721FBD" w:rsidP="00A84C06">
      <w:pPr>
        <w:jc w:val="both"/>
        <w:rPr>
          <w:rFonts w:asciiTheme="minorBidi" w:hAnsiTheme="minorBidi" w:cstheme="minorBidi"/>
          <w:lang w:val="en-US"/>
        </w:rPr>
      </w:pPr>
      <w:r w:rsidRPr="00721FBD">
        <w:rPr>
          <w:rFonts w:asciiTheme="minorBidi" w:hAnsiTheme="minorBidi" w:cstheme="minorBidi"/>
          <w:lang w:val="en-US"/>
        </w:rPr>
        <w:t xml:space="preserve">On January 29, 2025, President Trump executed Executive Order </w:t>
      </w:r>
      <w:r w:rsidR="00872085">
        <w:rPr>
          <w:rFonts w:asciiTheme="minorBidi" w:hAnsiTheme="minorBidi" w:cstheme="minorBidi"/>
          <w:lang w:val="en-US"/>
        </w:rPr>
        <w:t xml:space="preserve">(EO) </w:t>
      </w:r>
      <w:r w:rsidRPr="00721FBD">
        <w:rPr>
          <w:rFonts w:asciiTheme="minorBidi" w:hAnsiTheme="minorBidi" w:cstheme="minorBidi"/>
          <w:lang w:val="en-US"/>
        </w:rPr>
        <w:t xml:space="preserve">14188, </w:t>
      </w:r>
      <w:r>
        <w:rPr>
          <w:rFonts w:asciiTheme="minorBidi" w:hAnsiTheme="minorBidi" w:cstheme="minorBidi"/>
          <w:lang w:val="en-US"/>
        </w:rPr>
        <w:t>“</w:t>
      </w:r>
      <w:r w:rsidRPr="00721FBD">
        <w:rPr>
          <w:rFonts w:asciiTheme="minorBidi" w:hAnsiTheme="minorBidi" w:cstheme="minorBidi"/>
          <w:lang w:val="en-US"/>
        </w:rPr>
        <w:t>Additional Measures to Combat Anti-Semitism,</w:t>
      </w:r>
      <w:r>
        <w:rPr>
          <w:rFonts w:asciiTheme="minorBidi" w:hAnsiTheme="minorBidi" w:cstheme="minorBidi"/>
          <w:lang w:val="en-US"/>
        </w:rPr>
        <w:t>”</w:t>
      </w:r>
      <w:r w:rsidRPr="00721FBD">
        <w:rPr>
          <w:rFonts w:asciiTheme="minorBidi" w:hAnsiTheme="minorBidi" w:cstheme="minorBidi"/>
          <w:lang w:val="en-US"/>
        </w:rPr>
        <w:t xml:space="preserve"> directing executive agencies to identify available authorities to curb antisemitism and to assess complaints lodged against institutions of higher education concerning post-October 7, </w:t>
      </w:r>
      <w:proofErr w:type="gramStart"/>
      <w:r w:rsidRPr="00721FBD">
        <w:rPr>
          <w:rFonts w:asciiTheme="minorBidi" w:hAnsiTheme="minorBidi" w:cstheme="minorBidi"/>
          <w:lang w:val="en-US"/>
        </w:rPr>
        <w:t>2023</w:t>
      </w:r>
      <w:proofErr w:type="gramEnd"/>
      <w:r w:rsidR="0058533F">
        <w:rPr>
          <w:rFonts w:asciiTheme="minorBidi" w:hAnsiTheme="minorBidi" w:cstheme="minorBidi"/>
          <w:lang w:val="en-US"/>
        </w:rPr>
        <w:t xml:space="preserve"> </w:t>
      </w:r>
      <w:r w:rsidRPr="00721FBD">
        <w:rPr>
          <w:rFonts w:asciiTheme="minorBidi" w:hAnsiTheme="minorBidi" w:cstheme="minorBidi"/>
          <w:lang w:val="en-US"/>
        </w:rPr>
        <w:t xml:space="preserve">incidents of campus antisemitism. The </w:t>
      </w:r>
      <w:r w:rsidR="00872085">
        <w:rPr>
          <w:rFonts w:asciiTheme="minorBidi" w:hAnsiTheme="minorBidi" w:cstheme="minorBidi"/>
          <w:lang w:val="en-US"/>
        </w:rPr>
        <w:t xml:space="preserve">EO </w:t>
      </w:r>
      <w:r w:rsidRPr="00721FBD">
        <w:rPr>
          <w:rFonts w:asciiTheme="minorBidi" w:hAnsiTheme="minorBidi" w:cstheme="minorBidi"/>
          <w:lang w:val="en-US"/>
        </w:rPr>
        <w:t>reaffirmed reliance on enforcement of Title VI</w:t>
      </w:r>
      <w:r>
        <w:rPr>
          <w:rFonts w:asciiTheme="minorBidi" w:hAnsiTheme="minorBidi" w:cstheme="minorBidi"/>
          <w:lang w:val="en-US"/>
        </w:rPr>
        <w:t xml:space="preserve"> </w:t>
      </w:r>
      <w:r w:rsidR="002D3673" w:rsidRPr="002D3673">
        <w:rPr>
          <w:rFonts w:asciiTheme="minorBidi" w:hAnsiTheme="minorBidi" w:cstheme="minorBidi"/>
          <w:lang w:val="en-US"/>
        </w:rPr>
        <w:t xml:space="preserve">of the Civil Rights Act of 1964 </w:t>
      </w:r>
      <w:r>
        <w:rPr>
          <w:rFonts w:asciiTheme="minorBidi" w:hAnsiTheme="minorBidi" w:cstheme="minorBidi"/>
          <w:lang w:val="en-US"/>
        </w:rPr>
        <w:t>(</w:t>
      </w:r>
      <w:r w:rsidRPr="00721FBD">
        <w:rPr>
          <w:rFonts w:asciiTheme="minorBidi" w:hAnsiTheme="minorBidi" w:cstheme="minorBidi"/>
          <w:lang w:val="en-US"/>
        </w:rPr>
        <w:t xml:space="preserve">which prohibits discrimination </w:t>
      </w:r>
      <w:proofErr w:type="gramStart"/>
      <w:r w:rsidRPr="00721FBD">
        <w:rPr>
          <w:rFonts w:asciiTheme="minorBidi" w:hAnsiTheme="minorBidi" w:cstheme="minorBidi"/>
          <w:lang w:val="en-US"/>
        </w:rPr>
        <w:t>on the basis of</w:t>
      </w:r>
      <w:proofErr w:type="gramEnd"/>
      <w:r w:rsidRPr="00721FBD">
        <w:rPr>
          <w:rFonts w:asciiTheme="minorBidi" w:hAnsiTheme="minorBidi" w:cstheme="minorBidi"/>
          <w:lang w:val="en-US"/>
        </w:rPr>
        <w:t xml:space="preserve"> race, color, or national origin in programs or activities receiving federal financial assistance</w:t>
      </w:r>
      <w:r>
        <w:rPr>
          <w:rFonts w:asciiTheme="minorBidi" w:hAnsiTheme="minorBidi" w:cstheme="minorBidi"/>
          <w:lang w:val="en-US"/>
        </w:rPr>
        <w:t>).</w:t>
      </w:r>
      <w:r w:rsidR="00A84C06">
        <w:rPr>
          <w:rFonts w:asciiTheme="minorBidi" w:hAnsiTheme="minorBidi" w:cstheme="minorBidi"/>
          <w:lang w:val="en-US"/>
        </w:rPr>
        <w:t xml:space="preserve"> </w:t>
      </w:r>
      <w:r w:rsidRPr="00721FBD">
        <w:rPr>
          <w:rFonts w:asciiTheme="minorBidi" w:hAnsiTheme="minorBidi" w:cstheme="minorBidi"/>
          <w:lang w:val="en-US"/>
        </w:rPr>
        <w:t xml:space="preserve">Pursuant to this </w:t>
      </w:r>
      <w:r w:rsidR="00872085">
        <w:rPr>
          <w:rFonts w:asciiTheme="minorBidi" w:hAnsiTheme="minorBidi" w:cstheme="minorBidi"/>
          <w:lang w:val="en-US"/>
        </w:rPr>
        <w:t>EO</w:t>
      </w:r>
      <w:r w:rsidRPr="00721FBD">
        <w:rPr>
          <w:rFonts w:asciiTheme="minorBidi" w:hAnsiTheme="minorBidi" w:cstheme="minorBidi"/>
          <w:lang w:val="en-US"/>
        </w:rPr>
        <w:t>, on February 3, 2025, the Department of Justice (DOJ) announced the establishment of a multi-agency Task Force to Combat Antisemitism (Federal Task Force), to be led by Senior Counsel to the Assistant Attorney General for Civil Rights, Leo Terrell. Terrell had previously declared, on October 20, 2024, that “Harvard will lose much more effective January 2025.” [p. 6]</w:t>
      </w:r>
    </w:p>
    <w:p w14:paraId="0B97BF5B" w14:textId="77777777" w:rsidR="00872085" w:rsidRPr="00872085" w:rsidRDefault="00872085" w:rsidP="00872085">
      <w:pPr>
        <w:jc w:val="both"/>
        <w:rPr>
          <w:rFonts w:asciiTheme="minorBidi" w:hAnsiTheme="minorBidi" w:cstheme="minorBidi"/>
          <w:lang w:val="en-US"/>
        </w:rPr>
      </w:pPr>
    </w:p>
    <w:p w14:paraId="49728371" w14:textId="3B36BF1A" w:rsidR="00872085" w:rsidRDefault="00872085" w:rsidP="00F674CA">
      <w:pPr>
        <w:jc w:val="both"/>
        <w:rPr>
          <w:rFonts w:asciiTheme="minorBidi" w:hAnsiTheme="minorBidi" w:cstheme="minorBidi"/>
          <w:lang w:val="en-US"/>
        </w:rPr>
      </w:pPr>
      <w:r w:rsidRPr="00872085">
        <w:rPr>
          <w:rFonts w:asciiTheme="minorBidi" w:hAnsiTheme="minorBidi" w:cstheme="minorBidi"/>
          <w:lang w:val="en-US"/>
        </w:rPr>
        <w:t xml:space="preserve">On March 31, 2025, Harvard received correspondence from the Federal Task Force (March 31 Letter) advising of a “review” of more than $8.7 billion in federal funding, associating such funding with allegations of antisemitism occurring on Harvard’s campus. The </w:t>
      </w:r>
      <w:r w:rsidR="00F674CA">
        <w:rPr>
          <w:rFonts w:asciiTheme="minorBidi" w:hAnsiTheme="minorBidi" w:cstheme="minorBidi"/>
          <w:lang w:val="en-US"/>
        </w:rPr>
        <w:t xml:space="preserve">HHS, the </w:t>
      </w:r>
      <w:r w:rsidRPr="00872085">
        <w:rPr>
          <w:rFonts w:asciiTheme="minorBidi" w:hAnsiTheme="minorBidi" w:cstheme="minorBidi"/>
          <w:lang w:val="en-US"/>
        </w:rPr>
        <w:t>DoE, and the General Services Administration (GSA) publicly announced their review of Harvard’s federal funding on grounds of its alleged failure to adequately address antisemitism.</w:t>
      </w:r>
    </w:p>
    <w:p w14:paraId="1456EBD3" w14:textId="77777777" w:rsidR="00721FBD" w:rsidRDefault="00721FBD" w:rsidP="00721FBD">
      <w:pPr>
        <w:jc w:val="both"/>
        <w:rPr>
          <w:rFonts w:asciiTheme="minorBidi" w:hAnsiTheme="minorBidi" w:cstheme="minorBidi"/>
          <w:lang w:val="en-US"/>
        </w:rPr>
      </w:pPr>
    </w:p>
    <w:p w14:paraId="7E5B653D" w14:textId="77777777" w:rsidR="00721FBD" w:rsidRDefault="00721FBD" w:rsidP="00721FBD">
      <w:pPr>
        <w:jc w:val="both"/>
        <w:rPr>
          <w:rFonts w:asciiTheme="minorBidi" w:hAnsiTheme="minorBidi" w:cstheme="minorBidi"/>
          <w:lang w:val="en-US"/>
        </w:rPr>
      </w:pPr>
      <w:r w:rsidRPr="00721FBD">
        <w:rPr>
          <w:rFonts w:asciiTheme="minorBidi" w:hAnsiTheme="minorBidi" w:cstheme="minorBidi"/>
          <w:lang w:val="en-US"/>
        </w:rPr>
        <w:t xml:space="preserve">On April 3, 2025, the Federal Task Force issued an official notice (April 3 Letter) setting forth pre-conditions for Harvard’s continued eligibility for federal funding. The April 3 Letter required governance reforms, oversight mechanisms for allegedly biased programs, measures to enhance viewpoint diversity, and the termination of DEI initiatives. Relying on Title VI, the Federal Task Force alleged that Harvard had failed to adequately protect students and faculty from antisemitic conduct and demanded immediate cooperation as a condition for maintaining federal financial support. The notice did not acknowledge measures Harvard had already undertaken, nor did it cite </w:t>
      </w:r>
      <w:proofErr w:type="gramStart"/>
      <w:r w:rsidRPr="00721FBD">
        <w:rPr>
          <w:rFonts w:asciiTheme="minorBidi" w:hAnsiTheme="minorBidi" w:cstheme="minorBidi"/>
          <w:lang w:val="en-US"/>
        </w:rPr>
        <w:t>particular incidents</w:t>
      </w:r>
      <w:proofErr w:type="gramEnd"/>
      <w:r w:rsidRPr="00721FBD">
        <w:rPr>
          <w:rFonts w:asciiTheme="minorBidi" w:hAnsiTheme="minorBidi" w:cstheme="minorBidi"/>
          <w:lang w:val="en-US"/>
        </w:rPr>
        <w:t xml:space="preserve"> of antisemitism or explain the </w:t>
      </w:r>
      <w:proofErr w:type="gramStart"/>
      <w:r w:rsidRPr="00721FBD">
        <w:rPr>
          <w:rFonts w:asciiTheme="minorBidi" w:hAnsiTheme="minorBidi" w:cstheme="minorBidi"/>
          <w:lang w:val="en-US"/>
        </w:rPr>
        <w:t>manner in which</w:t>
      </w:r>
      <w:proofErr w:type="gramEnd"/>
      <w:r w:rsidRPr="00721FBD">
        <w:rPr>
          <w:rFonts w:asciiTheme="minorBidi" w:hAnsiTheme="minorBidi" w:cstheme="minorBidi"/>
          <w:lang w:val="en-US"/>
        </w:rPr>
        <w:t xml:space="preserve"> Title VI had been violated. An annex imposed further requirements, including changes in departmental leadership, the potential appointment of a receiver, and the creation of a senior secured </w:t>
      </w:r>
      <w:proofErr w:type="gramStart"/>
      <w:r w:rsidRPr="00721FBD">
        <w:rPr>
          <w:rFonts w:asciiTheme="minorBidi" w:hAnsiTheme="minorBidi" w:cstheme="minorBidi"/>
          <w:lang w:val="en-US"/>
        </w:rPr>
        <w:t>lien</w:t>
      </w:r>
      <w:proofErr w:type="gramEnd"/>
      <w:r w:rsidRPr="00721FBD">
        <w:rPr>
          <w:rFonts w:asciiTheme="minorBidi" w:hAnsiTheme="minorBidi" w:cstheme="minorBidi"/>
          <w:lang w:val="en-US"/>
        </w:rPr>
        <w:t xml:space="preserve"> over Harvard’s assets as security for compliance.</w:t>
      </w:r>
    </w:p>
    <w:p w14:paraId="6FB11F8E" w14:textId="77777777" w:rsidR="00872085" w:rsidRDefault="00872085" w:rsidP="00721FBD">
      <w:pPr>
        <w:jc w:val="both"/>
        <w:rPr>
          <w:rFonts w:asciiTheme="minorBidi" w:hAnsiTheme="minorBidi" w:cstheme="minorBidi"/>
          <w:lang w:val="en-US"/>
        </w:rPr>
      </w:pPr>
    </w:p>
    <w:p w14:paraId="7ECCB7E1" w14:textId="0DC3E08A" w:rsidR="00872085" w:rsidRDefault="00872085" w:rsidP="00872085">
      <w:pPr>
        <w:jc w:val="both"/>
        <w:rPr>
          <w:rFonts w:asciiTheme="minorBidi" w:hAnsiTheme="minorBidi" w:cstheme="minorBidi"/>
          <w:lang w:val="en-US"/>
        </w:rPr>
      </w:pPr>
      <w:r w:rsidRPr="00872085">
        <w:rPr>
          <w:rFonts w:asciiTheme="minorBidi" w:hAnsiTheme="minorBidi" w:cstheme="minorBidi"/>
        </w:rPr>
        <w:t xml:space="preserve">On April 11, 2025, HHS, GSA, and DoE issued a second notice (April 11 Letter), expressly superseding the April 3 Letter. The April 11 Letter alleged that Harvard had failed to comply with civil rights obligations and imposed additional conditions for continued federal funding. These included commissioning an independent audit on viewpoint diversity, eliminating ideological criteria in admissions and hiring, recruiting a significant number of faculty and students to ensure balance of perspectives, restructuring governance to diminish the influence of students and untenured faculty, and terminating all DEI programs. The </w:t>
      </w:r>
      <w:r w:rsidR="00EA0601">
        <w:rPr>
          <w:rFonts w:asciiTheme="minorBidi" w:hAnsiTheme="minorBidi" w:cstheme="minorBidi"/>
        </w:rPr>
        <w:t>G</w:t>
      </w:r>
      <w:r w:rsidRPr="00872085">
        <w:rPr>
          <w:rFonts w:asciiTheme="minorBidi" w:hAnsiTheme="minorBidi" w:cstheme="minorBidi"/>
        </w:rPr>
        <w:t xml:space="preserve">overnment also reserved authority to conduct compliance audits through 2028. As with the prior notice, the </w:t>
      </w:r>
      <w:r w:rsidRPr="00872085">
        <w:rPr>
          <w:rFonts w:asciiTheme="minorBidi" w:hAnsiTheme="minorBidi" w:cstheme="minorBidi"/>
        </w:rPr>
        <w:lastRenderedPageBreak/>
        <w:t>April 11 Letter neither credited Harvard’s prior reforms, nor identified specific incidents of antisemitism, nor explained how Title VI had been breached.</w:t>
      </w:r>
    </w:p>
    <w:p w14:paraId="44B1B20B" w14:textId="77777777" w:rsidR="00721FBD" w:rsidRDefault="00721FBD" w:rsidP="00721FBD">
      <w:pPr>
        <w:jc w:val="both"/>
        <w:rPr>
          <w:rFonts w:asciiTheme="minorBidi" w:hAnsiTheme="minorBidi" w:cstheme="minorBidi"/>
          <w:lang w:val="en-US"/>
        </w:rPr>
      </w:pPr>
    </w:p>
    <w:p w14:paraId="652CE2E8" w14:textId="781F5649" w:rsidR="00721FBD" w:rsidRDefault="00721FBD" w:rsidP="00721FBD">
      <w:pPr>
        <w:jc w:val="both"/>
        <w:rPr>
          <w:rFonts w:asciiTheme="minorBidi" w:hAnsiTheme="minorBidi" w:cstheme="minorBidi"/>
          <w:lang w:val="en-US"/>
        </w:rPr>
      </w:pPr>
      <w:r w:rsidRPr="00721FBD">
        <w:rPr>
          <w:rFonts w:asciiTheme="minorBidi" w:hAnsiTheme="minorBidi" w:cstheme="minorBidi"/>
          <w:lang w:val="en-US"/>
        </w:rPr>
        <w:t xml:space="preserve">On April 14, 2025, Harvard issued a letter rejecting the terms proposed by the </w:t>
      </w:r>
      <w:r w:rsidR="00191277">
        <w:rPr>
          <w:rFonts w:asciiTheme="minorBidi" w:hAnsiTheme="minorBidi" w:cstheme="minorBidi"/>
          <w:lang w:val="en-US"/>
        </w:rPr>
        <w:t>Government</w:t>
      </w:r>
      <w:r w:rsidRPr="00721FBD">
        <w:rPr>
          <w:rFonts w:asciiTheme="minorBidi" w:hAnsiTheme="minorBidi" w:cstheme="minorBidi"/>
          <w:lang w:val="en-US"/>
        </w:rPr>
        <w:t>. In its response, Harvard reaffirmed its commitment to addressing antisemitism and identified “substantial policy and programmatic measures” [p. 10] already undertaken. Harvard objected that the demands contained in the April 11 Letter disregarded its prior efforts and infringed upon “university freedoms long recognized by the Supreme Court” [</w:t>
      </w:r>
      <w:commentRangeStart w:id="1"/>
      <w:r w:rsidRPr="00721FBD">
        <w:rPr>
          <w:rFonts w:asciiTheme="minorBidi" w:hAnsiTheme="minorBidi" w:cstheme="minorBidi"/>
          <w:lang w:val="en-US"/>
        </w:rPr>
        <w:t>p. 10</w:t>
      </w:r>
      <w:commentRangeEnd w:id="1"/>
      <w:r w:rsidR="006135F0">
        <w:rPr>
          <w:rStyle w:val="CommentReference"/>
        </w:rPr>
        <w:commentReference w:id="1"/>
      </w:r>
      <w:r w:rsidRPr="00721FBD">
        <w:rPr>
          <w:rFonts w:asciiTheme="minorBidi" w:hAnsiTheme="minorBidi" w:cstheme="minorBidi"/>
          <w:lang w:val="en-US"/>
        </w:rPr>
        <w:t xml:space="preserve">], further asserting that it would not accept conditions it viewed as exceeding the lawful authority of the federal </w:t>
      </w:r>
      <w:r w:rsidR="00191277" w:rsidRPr="00721FBD">
        <w:rPr>
          <w:rFonts w:asciiTheme="minorBidi" w:hAnsiTheme="minorBidi" w:cstheme="minorBidi"/>
          <w:lang w:val="en-US"/>
        </w:rPr>
        <w:t>Government</w:t>
      </w:r>
      <w:r w:rsidRPr="00721FBD">
        <w:rPr>
          <w:rFonts w:asciiTheme="minorBidi" w:hAnsiTheme="minorBidi" w:cstheme="minorBidi"/>
          <w:lang w:val="en-US"/>
        </w:rPr>
        <w:t xml:space="preserve">. President Garber subsequently released a public statement reiterating Harvard’s position, emphasizing that the bulk of the </w:t>
      </w:r>
      <w:r w:rsidR="00191277" w:rsidRPr="00721FBD">
        <w:rPr>
          <w:rFonts w:asciiTheme="minorBidi" w:hAnsiTheme="minorBidi" w:cstheme="minorBidi"/>
          <w:lang w:val="en-US"/>
        </w:rPr>
        <w:t xml:space="preserve">Government’s </w:t>
      </w:r>
      <w:r w:rsidRPr="00721FBD">
        <w:rPr>
          <w:rFonts w:asciiTheme="minorBidi" w:hAnsiTheme="minorBidi" w:cstheme="minorBidi"/>
          <w:lang w:val="en-US"/>
        </w:rPr>
        <w:t xml:space="preserve">requirements amounted to direct regulation of the intellectual environment of the university, and underscoring that decisions concerning curriculum, admissions, and faculty appointments must remain within the university’s discretion rather than be subjected to </w:t>
      </w:r>
      <w:r w:rsidR="00191277" w:rsidRPr="00721FBD">
        <w:rPr>
          <w:rFonts w:asciiTheme="minorBidi" w:hAnsiTheme="minorBidi" w:cstheme="minorBidi"/>
          <w:lang w:val="en-US"/>
        </w:rPr>
        <w:t xml:space="preserve">Governmental </w:t>
      </w:r>
      <w:r w:rsidRPr="00721FBD">
        <w:rPr>
          <w:rFonts w:asciiTheme="minorBidi" w:hAnsiTheme="minorBidi" w:cstheme="minorBidi"/>
          <w:lang w:val="en-US"/>
        </w:rPr>
        <w:t>control.</w:t>
      </w:r>
    </w:p>
    <w:p w14:paraId="26124954" w14:textId="77777777" w:rsidR="00721FBD" w:rsidRPr="00721FBD" w:rsidRDefault="00721FBD" w:rsidP="00721FBD">
      <w:pPr>
        <w:jc w:val="both"/>
        <w:rPr>
          <w:rFonts w:asciiTheme="minorBidi" w:hAnsiTheme="minorBidi" w:cstheme="minorBidi"/>
          <w:lang w:val="en-US"/>
        </w:rPr>
      </w:pPr>
    </w:p>
    <w:p w14:paraId="0609C1F1" w14:textId="6BD1C1ED" w:rsidR="00721FBD" w:rsidRDefault="00721FBD" w:rsidP="00721FBD">
      <w:pPr>
        <w:jc w:val="both"/>
        <w:rPr>
          <w:rFonts w:asciiTheme="minorBidi" w:hAnsiTheme="minorBidi" w:cstheme="minorBidi"/>
          <w:lang w:val="en-US"/>
        </w:rPr>
      </w:pPr>
      <w:r>
        <w:rPr>
          <w:rFonts w:asciiTheme="minorBidi" w:hAnsiTheme="minorBidi" w:cstheme="minorBidi"/>
          <w:lang w:val="en-US"/>
        </w:rPr>
        <w:t>Within the same day</w:t>
      </w:r>
      <w:r w:rsidRPr="00721FBD">
        <w:rPr>
          <w:rFonts w:asciiTheme="minorBidi" w:hAnsiTheme="minorBidi" w:cstheme="minorBidi"/>
          <w:lang w:val="en-US"/>
        </w:rPr>
        <w:t xml:space="preserve"> of Harvard’s rejection, the Federal Task Force issued an order “</w:t>
      </w:r>
      <w:proofErr w:type="spellStart"/>
      <w:r w:rsidRPr="00721FBD">
        <w:rPr>
          <w:rFonts w:asciiTheme="minorBidi" w:hAnsiTheme="minorBidi" w:cstheme="minorBidi"/>
          <w:lang w:val="en-US"/>
        </w:rPr>
        <w:t>announc</w:t>
      </w:r>
      <w:proofErr w:type="spellEnd"/>
      <w:r w:rsidRPr="00721FBD">
        <w:rPr>
          <w:rFonts w:asciiTheme="minorBidi" w:hAnsiTheme="minorBidi" w:cstheme="minorBidi"/>
          <w:lang w:val="en-US"/>
        </w:rPr>
        <w:t>[</w:t>
      </w:r>
      <w:proofErr w:type="spellStart"/>
      <w:r w:rsidRPr="00721FBD">
        <w:rPr>
          <w:rFonts w:asciiTheme="minorBidi" w:hAnsiTheme="minorBidi" w:cstheme="minorBidi"/>
          <w:lang w:val="en-US"/>
        </w:rPr>
        <w:t>ing</w:t>
      </w:r>
      <w:proofErr w:type="spellEnd"/>
      <w:r w:rsidRPr="00721FBD">
        <w:rPr>
          <w:rFonts w:asciiTheme="minorBidi" w:hAnsiTheme="minorBidi" w:cstheme="minorBidi"/>
          <w:lang w:val="en-US"/>
        </w:rPr>
        <w:t>] a freeze on $2.2 billion in multi-year grants and $60M in multi-year contract value” (April 14 Freeze Order). The order cited “Harvard’s statement today,” “the harassment of Jewish students,” and a “troubling entitlement mindset” within universities.</w:t>
      </w:r>
      <w:r>
        <w:rPr>
          <w:rFonts w:asciiTheme="minorBidi" w:hAnsiTheme="minorBidi" w:cstheme="minorBidi"/>
          <w:lang w:val="en-US"/>
        </w:rPr>
        <w:t xml:space="preserve"> [p. 11]</w:t>
      </w:r>
      <w:r w:rsidRPr="00721FBD">
        <w:rPr>
          <w:rFonts w:asciiTheme="minorBidi" w:hAnsiTheme="minorBidi" w:cstheme="minorBidi"/>
          <w:lang w:val="en-US"/>
        </w:rPr>
        <w:t xml:space="preserve"> It did not, however, acknowledge Harvard’s prior communication regarding reforms, identify specific instances of antisemitism, or specify the </w:t>
      </w:r>
      <w:proofErr w:type="gramStart"/>
      <w:r w:rsidRPr="00721FBD">
        <w:rPr>
          <w:rFonts w:asciiTheme="minorBidi" w:hAnsiTheme="minorBidi" w:cstheme="minorBidi"/>
          <w:lang w:val="en-US"/>
        </w:rPr>
        <w:t>manner in which</w:t>
      </w:r>
      <w:proofErr w:type="gramEnd"/>
      <w:r w:rsidRPr="00721FBD">
        <w:rPr>
          <w:rFonts w:asciiTheme="minorBidi" w:hAnsiTheme="minorBidi" w:cstheme="minorBidi"/>
          <w:lang w:val="en-US"/>
        </w:rPr>
        <w:t xml:space="preserve"> Harvard had violated Title VI. The order was issued without hearing or</w:t>
      </w:r>
      <w:r w:rsidR="006427D8">
        <w:rPr>
          <w:rFonts w:asciiTheme="minorBidi" w:hAnsiTheme="minorBidi" w:cstheme="minorBidi"/>
          <w:lang w:val="en-US"/>
        </w:rPr>
        <w:t xml:space="preserve"> a</w:t>
      </w:r>
      <w:r w:rsidRPr="00721FBD">
        <w:rPr>
          <w:rFonts w:asciiTheme="minorBidi" w:hAnsiTheme="minorBidi" w:cstheme="minorBidi"/>
          <w:lang w:val="en-US"/>
        </w:rPr>
        <w:t xml:space="preserve"> report to Congress.</w:t>
      </w:r>
    </w:p>
    <w:p w14:paraId="1A69EEC0" w14:textId="77777777" w:rsidR="00721FBD" w:rsidRPr="00721FBD" w:rsidRDefault="00721FBD" w:rsidP="00721FBD">
      <w:pPr>
        <w:jc w:val="both"/>
        <w:rPr>
          <w:rFonts w:asciiTheme="minorBidi" w:hAnsiTheme="minorBidi" w:cstheme="minorBidi"/>
          <w:lang w:val="en-US"/>
        </w:rPr>
      </w:pPr>
    </w:p>
    <w:p w14:paraId="3F61DDFE" w14:textId="7F72FBB5" w:rsidR="00721FBD" w:rsidRPr="00721FBD" w:rsidRDefault="00721FBD" w:rsidP="00721FBD">
      <w:pPr>
        <w:jc w:val="both"/>
        <w:rPr>
          <w:rFonts w:asciiTheme="minorBidi" w:hAnsiTheme="minorBidi" w:cstheme="minorBidi"/>
          <w:lang w:val="en-US"/>
        </w:rPr>
      </w:pPr>
      <w:r w:rsidRPr="00721FBD">
        <w:rPr>
          <w:rFonts w:asciiTheme="minorBidi" w:hAnsiTheme="minorBidi" w:cstheme="minorBidi"/>
          <w:lang w:val="en-US"/>
        </w:rPr>
        <w:t xml:space="preserve">Immediately following the April 14 Freeze Order, stop-work orders were disseminated for multiple projects. HHS suspended payments on NIH grants totaling $2.172 billion across 658 awards. DHS terminated two grants exceeding $2.7 million. NIH officials were instructed not to engage in communications with affected institutions regarding the freezes. NSF terminated six awards valued at $3.287 million. The Freeze Order was accompanied by an intensifying campaign of public criticism from President Trump, who declared on social media that Harvard should lose its tax-exempt status if it continued “pushing political, ideological, and terrorist inspired/supporting ‘Sickness?’” </w:t>
      </w:r>
      <w:r w:rsidR="00B81161">
        <w:rPr>
          <w:rFonts w:asciiTheme="minorBidi" w:hAnsiTheme="minorBidi" w:cstheme="minorBidi"/>
          <w:lang w:val="en-US"/>
        </w:rPr>
        <w:t xml:space="preserve">[p. 12] </w:t>
      </w:r>
      <w:r w:rsidRPr="00721FBD">
        <w:rPr>
          <w:rFonts w:asciiTheme="minorBidi" w:hAnsiTheme="minorBidi" w:cstheme="minorBidi"/>
          <w:lang w:val="en-US"/>
        </w:rPr>
        <w:t>He further condemned Harvard for “hiring almost all woke, Radical Left, idiots,” and asserted that it “should no longer receive Federal Funds.</w:t>
      </w:r>
      <w:r w:rsidR="00B81161">
        <w:rPr>
          <w:rFonts w:asciiTheme="minorBidi" w:hAnsiTheme="minorBidi" w:cstheme="minorBidi"/>
          <w:lang w:val="en-US"/>
        </w:rPr>
        <w:t>” [p. 12]</w:t>
      </w:r>
    </w:p>
    <w:p w14:paraId="35301A2A" w14:textId="77777777" w:rsidR="00721FBD" w:rsidRDefault="00721FBD" w:rsidP="00721FBD">
      <w:pPr>
        <w:jc w:val="both"/>
        <w:rPr>
          <w:rFonts w:asciiTheme="minorBidi" w:hAnsiTheme="minorBidi" w:cstheme="minorBidi"/>
          <w:lang w:val="en-US"/>
        </w:rPr>
      </w:pPr>
    </w:p>
    <w:p w14:paraId="7A7F0C13" w14:textId="3AB3D8B8" w:rsidR="00872085" w:rsidRDefault="00872085" w:rsidP="00872085">
      <w:pPr>
        <w:jc w:val="both"/>
        <w:rPr>
          <w:rFonts w:asciiTheme="minorBidi" w:hAnsiTheme="minorBidi" w:cstheme="minorBidi"/>
          <w:lang w:val="en-US"/>
        </w:rPr>
      </w:pPr>
      <w:r w:rsidRPr="00872085">
        <w:rPr>
          <w:rFonts w:asciiTheme="minorBidi" w:hAnsiTheme="minorBidi" w:cstheme="minorBidi"/>
        </w:rPr>
        <w:t xml:space="preserve">On April 29, 2025, the Harvard Task Force released its final report, comprising 311 pages, which acknowledged the existence of an “alienating and hostile atmosphere” </w:t>
      </w:r>
      <w:r w:rsidR="00063EFA">
        <w:rPr>
          <w:rFonts w:asciiTheme="minorBidi" w:hAnsiTheme="minorBidi" w:cstheme="minorBidi"/>
        </w:rPr>
        <w:t xml:space="preserve">[p. 12] </w:t>
      </w:r>
      <w:r w:rsidRPr="00872085">
        <w:rPr>
          <w:rFonts w:asciiTheme="minorBidi" w:hAnsiTheme="minorBidi" w:cstheme="minorBidi"/>
        </w:rPr>
        <w:t xml:space="preserve">for many Jewish and Israeli students, and found that certain administrators and faculty had failed to uphold principles of open inquiry. The report recommended comprehensive reforms to “campus culture and student experience” and to “governance,” </w:t>
      </w:r>
      <w:r w:rsidR="00FA3519">
        <w:rPr>
          <w:rFonts w:asciiTheme="minorBidi" w:hAnsiTheme="minorBidi" w:cstheme="minorBidi"/>
        </w:rPr>
        <w:t xml:space="preserve">[p. 13] </w:t>
      </w:r>
      <w:r w:rsidRPr="00872085">
        <w:rPr>
          <w:rFonts w:asciiTheme="minorBidi" w:hAnsiTheme="minorBidi" w:cstheme="minorBidi"/>
        </w:rPr>
        <w:t xml:space="preserve">including the creation of a dedicated leadership role addressing antisemitism, the expansion of educational opportunities concerning Jewish history and antisemitism, the establishment of grievance channels, the assurance of consistent disciplinary procedures, and increased oversight of educational programs by tenured faculty. The report stressed that such reforms must originate internally, cautioning that external compulsion would impair Harvard’s capacity for self-correction. President Garber publicly committed the university to implementing the report’s recommendations. Harvard has since undertaken steps to centralize and strengthen disciplinary procedures, and </w:t>
      </w:r>
      <w:r w:rsidR="00620DD0">
        <w:rPr>
          <w:rFonts w:asciiTheme="minorBidi" w:hAnsiTheme="minorBidi" w:cstheme="minorBidi"/>
        </w:rPr>
        <w:t>its a</w:t>
      </w:r>
      <w:r w:rsidRPr="00872085">
        <w:rPr>
          <w:rFonts w:asciiTheme="minorBidi" w:hAnsiTheme="minorBidi" w:cstheme="minorBidi"/>
        </w:rPr>
        <w:t xml:space="preserve">cademic </w:t>
      </w:r>
      <w:r w:rsidR="00620DD0">
        <w:rPr>
          <w:rFonts w:asciiTheme="minorBidi" w:hAnsiTheme="minorBidi" w:cstheme="minorBidi"/>
        </w:rPr>
        <w:t>c</w:t>
      </w:r>
      <w:r w:rsidRPr="00872085">
        <w:rPr>
          <w:rFonts w:asciiTheme="minorBidi" w:hAnsiTheme="minorBidi" w:cstheme="minorBidi"/>
        </w:rPr>
        <w:t>ouncil has advanced new recommendations.</w:t>
      </w:r>
    </w:p>
    <w:p w14:paraId="016E089F" w14:textId="77777777" w:rsidR="00721FBD" w:rsidRPr="00721FBD" w:rsidRDefault="00721FBD" w:rsidP="00721FBD">
      <w:pPr>
        <w:jc w:val="both"/>
        <w:rPr>
          <w:rFonts w:asciiTheme="minorBidi" w:hAnsiTheme="minorBidi" w:cstheme="minorBidi"/>
          <w:lang w:val="en-US"/>
        </w:rPr>
      </w:pPr>
    </w:p>
    <w:p w14:paraId="69496465" w14:textId="2743E715" w:rsidR="00872085" w:rsidRDefault="00872085" w:rsidP="00872085">
      <w:pPr>
        <w:jc w:val="both"/>
        <w:rPr>
          <w:rFonts w:asciiTheme="minorBidi" w:hAnsiTheme="minorBidi" w:cstheme="minorBidi"/>
          <w:lang w:val="en-US"/>
        </w:rPr>
      </w:pPr>
      <w:r w:rsidRPr="00872085">
        <w:rPr>
          <w:rFonts w:asciiTheme="minorBidi" w:hAnsiTheme="minorBidi" w:cstheme="minorBidi"/>
          <w:lang w:val="en-US"/>
        </w:rPr>
        <w:t xml:space="preserve">On May 5, 2025, the Secretary of </w:t>
      </w:r>
      <w:proofErr w:type="gramStart"/>
      <w:r w:rsidRPr="00872085">
        <w:rPr>
          <w:rFonts w:asciiTheme="minorBidi" w:hAnsiTheme="minorBidi" w:cstheme="minorBidi"/>
          <w:lang w:val="en-US"/>
        </w:rPr>
        <w:t xml:space="preserve">Education </w:t>
      </w:r>
      <w:r w:rsidR="00620DD0">
        <w:rPr>
          <w:rFonts w:asciiTheme="minorBidi" w:hAnsiTheme="minorBidi" w:cstheme="minorBidi"/>
          <w:lang w:val="en-US"/>
        </w:rPr>
        <w:t xml:space="preserve"> Linda</w:t>
      </w:r>
      <w:proofErr w:type="gramEnd"/>
      <w:r w:rsidR="00620DD0">
        <w:rPr>
          <w:rFonts w:asciiTheme="minorBidi" w:hAnsiTheme="minorBidi" w:cstheme="minorBidi"/>
          <w:lang w:val="en-US"/>
        </w:rPr>
        <w:t xml:space="preserve"> McMahon </w:t>
      </w:r>
      <w:r w:rsidRPr="00872085">
        <w:rPr>
          <w:rFonts w:asciiTheme="minorBidi" w:hAnsiTheme="minorBidi" w:cstheme="minorBidi"/>
          <w:lang w:val="en-US"/>
        </w:rPr>
        <w:t xml:space="preserve">transmitted a further order (May 5 Freeze Order), asserting that Harvard had “failed to abide by its legal obligations” and </w:t>
      </w:r>
      <w:r w:rsidRPr="00872085">
        <w:rPr>
          <w:rFonts w:asciiTheme="minorBidi" w:hAnsiTheme="minorBidi" w:cstheme="minorBidi"/>
          <w:lang w:val="en-US"/>
        </w:rPr>
        <w:lastRenderedPageBreak/>
        <w:t xml:space="preserve">declaring that Harvard “should no longer seek GRANTS from the </w:t>
      </w:r>
      <w:r w:rsidR="00191277">
        <w:rPr>
          <w:rFonts w:asciiTheme="minorBidi" w:hAnsiTheme="minorBidi" w:cstheme="minorBidi"/>
          <w:lang w:val="en-US"/>
        </w:rPr>
        <w:t>G</w:t>
      </w:r>
      <w:r w:rsidRPr="00872085">
        <w:rPr>
          <w:rFonts w:asciiTheme="minorBidi" w:hAnsiTheme="minorBidi" w:cstheme="minorBidi"/>
          <w:lang w:val="en-US"/>
        </w:rPr>
        <w:t>overnment, since none will be provided,” thereby effectively precluding the issuance of new federal grants.</w:t>
      </w:r>
      <w:r w:rsidR="006135F0">
        <w:rPr>
          <w:rFonts w:asciiTheme="minorBidi" w:hAnsiTheme="minorBidi" w:cstheme="minorBidi"/>
          <w:lang w:val="en-US"/>
        </w:rPr>
        <w:t xml:space="preserve"> [p. 14]</w:t>
      </w:r>
      <w:r w:rsidRPr="00872085">
        <w:rPr>
          <w:rFonts w:asciiTheme="minorBidi" w:hAnsiTheme="minorBidi" w:cstheme="minorBidi"/>
          <w:lang w:val="en-US"/>
        </w:rPr>
        <w:t xml:space="preserve"> The </w:t>
      </w:r>
      <w:r w:rsidR="002529B0">
        <w:rPr>
          <w:rFonts w:asciiTheme="minorBidi" w:hAnsiTheme="minorBidi" w:cstheme="minorBidi"/>
          <w:lang w:val="en-US"/>
        </w:rPr>
        <w:t xml:space="preserve">May 5 Freeze </w:t>
      </w:r>
      <w:r w:rsidR="002529B0" w:rsidRPr="00872085">
        <w:rPr>
          <w:rFonts w:asciiTheme="minorBidi" w:hAnsiTheme="minorBidi" w:cstheme="minorBidi"/>
          <w:lang w:val="en-US"/>
        </w:rPr>
        <w:t xml:space="preserve">Order </w:t>
      </w:r>
      <w:r w:rsidRPr="00872085">
        <w:rPr>
          <w:rFonts w:asciiTheme="minorBidi" w:hAnsiTheme="minorBidi" w:cstheme="minorBidi"/>
          <w:lang w:val="en-US"/>
        </w:rPr>
        <w:t>reiterated earlier demands, including concerns regarding viewpoint imbalances in Harvard’s governance, and confirmed that “[t]he Administration’s priorities have not changed.”</w:t>
      </w:r>
      <w:r w:rsidR="00547B40">
        <w:rPr>
          <w:rFonts w:asciiTheme="minorBidi" w:hAnsiTheme="minorBidi" w:cstheme="minorBidi"/>
          <w:lang w:val="en-US"/>
        </w:rPr>
        <w:t xml:space="preserve"> [p. 14]</w:t>
      </w:r>
      <w:r w:rsidRPr="00872085">
        <w:rPr>
          <w:rFonts w:asciiTheme="minorBidi" w:hAnsiTheme="minorBidi" w:cstheme="minorBidi"/>
          <w:lang w:val="en-US"/>
        </w:rPr>
        <w:t xml:space="preserve"> The May 5 Freeze Order, like its predecessors, neither credited Harvard’s reforms nor identified </w:t>
      </w:r>
      <w:proofErr w:type="gramStart"/>
      <w:r w:rsidRPr="00872085">
        <w:rPr>
          <w:rFonts w:asciiTheme="minorBidi" w:hAnsiTheme="minorBidi" w:cstheme="minorBidi"/>
          <w:lang w:val="en-US"/>
        </w:rPr>
        <w:t>particular incidents</w:t>
      </w:r>
      <w:proofErr w:type="gramEnd"/>
      <w:r w:rsidRPr="00872085">
        <w:rPr>
          <w:rFonts w:asciiTheme="minorBidi" w:hAnsiTheme="minorBidi" w:cstheme="minorBidi"/>
          <w:lang w:val="en-US"/>
        </w:rPr>
        <w:t xml:space="preserve"> of antisemitism, nor did it articulate a violation of Title VI. The order was again issued without hearing or </w:t>
      </w:r>
      <w:proofErr w:type="gramStart"/>
      <w:r w:rsidRPr="00872085">
        <w:rPr>
          <w:rFonts w:asciiTheme="minorBidi" w:hAnsiTheme="minorBidi" w:cstheme="minorBidi"/>
          <w:lang w:val="en-US"/>
        </w:rPr>
        <w:t>report</w:t>
      </w:r>
      <w:proofErr w:type="gramEnd"/>
      <w:r w:rsidRPr="00872085">
        <w:rPr>
          <w:rFonts w:asciiTheme="minorBidi" w:hAnsiTheme="minorBidi" w:cstheme="minorBidi"/>
          <w:lang w:val="en-US"/>
        </w:rPr>
        <w:t xml:space="preserve"> to Congress.</w:t>
      </w:r>
    </w:p>
    <w:p w14:paraId="280A0A46" w14:textId="77777777" w:rsidR="006135F0" w:rsidRPr="00872085" w:rsidRDefault="006135F0" w:rsidP="00872085">
      <w:pPr>
        <w:jc w:val="both"/>
        <w:rPr>
          <w:rFonts w:asciiTheme="minorBidi" w:hAnsiTheme="minorBidi" w:cstheme="minorBidi"/>
          <w:lang w:val="en-US"/>
        </w:rPr>
      </w:pPr>
    </w:p>
    <w:p w14:paraId="3F9D5972" w14:textId="15E663A3" w:rsidR="00872085" w:rsidRDefault="005F5EDC" w:rsidP="00872085">
      <w:pPr>
        <w:jc w:val="both"/>
        <w:rPr>
          <w:rFonts w:asciiTheme="minorBidi" w:hAnsiTheme="minorBidi" w:cstheme="minorBidi"/>
          <w:lang w:val="en-US"/>
        </w:rPr>
      </w:pPr>
      <w:r>
        <w:rPr>
          <w:rFonts w:asciiTheme="minorBidi" w:hAnsiTheme="minorBidi" w:cstheme="minorBidi"/>
          <w:lang w:val="en-US"/>
        </w:rPr>
        <w:t>E</w:t>
      </w:r>
      <w:r w:rsidR="00872085" w:rsidRPr="00872085">
        <w:rPr>
          <w:rFonts w:asciiTheme="minorBidi" w:hAnsiTheme="minorBidi" w:cstheme="minorBidi"/>
          <w:lang w:val="en-US"/>
        </w:rPr>
        <w:t>fforts to identify and terminate Harvard’s grants were underway, coordinated by GSA, which circulated templates described as “the form the WH wants to see it in.”</w:t>
      </w:r>
      <w:r w:rsidR="00412A2C">
        <w:rPr>
          <w:rFonts w:asciiTheme="minorBidi" w:hAnsiTheme="minorBidi" w:cstheme="minorBidi"/>
          <w:lang w:val="en-US"/>
        </w:rPr>
        <w:t xml:space="preserve"> [p. 16]</w:t>
      </w:r>
      <w:r w:rsidR="00872085" w:rsidRPr="00872085">
        <w:rPr>
          <w:rFonts w:asciiTheme="minorBidi" w:hAnsiTheme="minorBidi" w:cstheme="minorBidi"/>
          <w:lang w:val="en-US"/>
        </w:rPr>
        <w:t xml:space="preserve"> Harvard subsequently received termination notices (Termination Letters) from NIH, USDA, Energy, DoD, NSF, HUD, DoE, Commerce, and C</w:t>
      </w:r>
      <w:r>
        <w:rPr>
          <w:rFonts w:asciiTheme="minorBidi" w:hAnsiTheme="minorBidi" w:cstheme="minorBidi"/>
          <w:lang w:val="en-US"/>
        </w:rPr>
        <w:t xml:space="preserve">enters for </w:t>
      </w:r>
      <w:r w:rsidR="00872085" w:rsidRPr="00872085">
        <w:rPr>
          <w:rFonts w:asciiTheme="minorBidi" w:hAnsiTheme="minorBidi" w:cstheme="minorBidi"/>
          <w:lang w:val="en-US"/>
        </w:rPr>
        <w:t>D</w:t>
      </w:r>
      <w:r>
        <w:rPr>
          <w:rFonts w:asciiTheme="minorBidi" w:hAnsiTheme="minorBidi" w:cstheme="minorBidi"/>
          <w:lang w:val="en-US"/>
        </w:rPr>
        <w:t xml:space="preserve">isease </w:t>
      </w:r>
      <w:r w:rsidR="00872085" w:rsidRPr="00872085">
        <w:rPr>
          <w:rFonts w:asciiTheme="minorBidi" w:hAnsiTheme="minorBidi" w:cstheme="minorBidi"/>
          <w:lang w:val="en-US"/>
        </w:rPr>
        <w:t>C</w:t>
      </w:r>
      <w:r>
        <w:rPr>
          <w:rFonts w:asciiTheme="minorBidi" w:hAnsiTheme="minorBidi" w:cstheme="minorBidi"/>
          <w:lang w:val="en-US"/>
        </w:rPr>
        <w:t>ontrol and Prevention</w:t>
      </w:r>
      <w:r w:rsidR="00872085" w:rsidRPr="00872085">
        <w:rPr>
          <w:rFonts w:asciiTheme="minorBidi" w:hAnsiTheme="minorBidi" w:cstheme="minorBidi"/>
          <w:lang w:val="en-US"/>
        </w:rPr>
        <w:t xml:space="preserve">. These Termination Letters encompassed a broad range of medical, scientific, and technological research, including breast cancer detection, biological threat response, antibiotic resistance, and treatments for pediatric cancer survivors and radiation exposure. Most Termination Letters invoked 2 C.F.R. § 200.340(a)(4) </w:t>
      </w:r>
      <w:r w:rsidR="00412A2C">
        <w:rPr>
          <w:rFonts w:asciiTheme="minorBidi" w:hAnsiTheme="minorBidi" w:cstheme="minorBidi"/>
          <w:lang w:val="en-US"/>
        </w:rPr>
        <w:t xml:space="preserve">which specifies a condition for terminating a federal grant where </w:t>
      </w:r>
      <w:r w:rsidR="00872085" w:rsidRPr="00872085">
        <w:rPr>
          <w:rFonts w:asciiTheme="minorBidi" w:hAnsiTheme="minorBidi" w:cstheme="minorBidi"/>
          <w:lang w:val="en-US"/>
        </w:rPr>
        <w:t>“changed program goals or agency priorities”</w:t>
      </w:r>
      <w:r w:rsidR="00412A2C">
        <w:rPr>
          <w:rFonts w:asciiTheme="minorBidi" w:hAnsiTheme="minorBidi" w:cstheme="minorBidi"/>
          <w:lang w:val="en-US"/>
        </w:rPr>
        <w:t xml:space="preserve"> occur,</w:t>
      </w:r>
      <w:r w:rsidR="00872085" w:rsidRPr="00872085">
        <w:rPr>
          <w:rFonts w:asciiTheme="minorBidi" w:hAnsiTheme="minorBidi" w:cstheme="minorBidi"/>
          <w:lang w:val="en-US"/>
        </w:rPr>
        <w:t xml:space="preserve"> while further referencing “recent events at Harvard University involving antisemitic action,” “Harvard’s ongoing inaction,” and its “</w:t>
      </w:r>
      <w:proofErr w:type="spellStart"/>
      <w:r w:rsidR="00872085" w:rsidRPr="00872085">
        <w:rPr>
          <w:rFonts w:asciiTheme="minorBidi" w:hAnsiTheme="minorBidi" w:cstheme="minorBidi"/>
          <w:lang w:val="en-US"/>
        </w:rPr>
        <w:t>refus</w:t>
      </w:r>
      <w:proofErr w:type="spellEnd"/>
      <w:r w:rsidR="00872085" w:rsidRPr="00872085">
        <w:rPr>
          <w:rFonts w:asciiTheme="minorBidi" w:hAnsiTheme="minorBidi" w:cstheme="minorBidi"/>
          <w:lang w:val="en-US"/>
        </w:rPr>
        <w:t xml:space="preserve">[al] to take appropriate action … or implement necessary reforms.” </w:t>
      </w:r>
      <w:r w:rsidR="00412A2C">
        <w:rPr>
          <w:rFonts w:asciiTheme="minorBidi" w:hAnsiTheme="minorBidi" w:cstheme="minorBidi"/>
          <w:lang w:val="en-US"/>
        </w:rPr>
        <w:t xml:space="preserve">[p. 17] </w:t>
      </w:r>
      <w:r w:rsidR="00872085" w:rsidRPr="00872085">
        <w:rPr>
          <w:rFonts w:asciiTheme="minorBidi" w:hAnsiTheme="minorBidi" w:cstheme="minorBidi"/>
          <w:lang w:val="en-US"/>
        </w:rPr>
        <w:t>With one exception, none identified specific antisemitic incidents, established a violation of Title VI, or demonstrated compliance with Title VI procedural requirements.</w:t>
      </w:r>
    </w:p>
    <w:p w14:paraId="00114601" w14:textId="77777777" w:rsidR="005F5EDC" w:rsidRDefault="005F5EDC" w:rsidP="00872085">
      <w:pPr>
        <w:jc w:val="both"/>
        <w:rPr>
          <w:rFonts w:asciiTheme="minorBidi" w:hAnsiTheme="minorBidi" w:cstheme="minorBidi"/>
          <w:lang w:val="en-US"/>
        </w:rPr>
      </w:pPr>
    </w:p>
    <w:p w14:paraId="6CE89FE2" w14:textId="2E2090E0" w:rsidR="005F5EDC" w:rsidRDefault="005F5EDC" w:rsidP="005F5EDC">
      <w:pPr>
        <w:jc w:val="both"/>
        <w:rPr>
          <w:rFonts w:asciiTheme="minorBidi" w:hAnsiTheme="minorBidi" w:cstheme="minorBidi"/>
          <w:lang w:val="en-US"/>
        </w:rPr>
      </w:pPr>
      <w:r w:rsidRPr="005F5EDC">
        <w:rPr>
          <w:rFonts w:asciiTheme="minorBidi" w:hAnsiTheme="minorBidi" w:cstheme="minorBidi"/>
          <w:lang w:val="en-US"/>
        </w:rPr>
        <w:t xml:space="preserve">On May 13, 2025, the Federal Task Force issued a press release alleging that Harvard had consistently failed to address widespread race discrimination and antisemitic harassment, and it endorsed the suspension of federal funding. The </w:t>
      </w:r>
      <w:r w:rsidR="00EA0601" w:rsidRPr="005F5EDC">
        <w:rPr>
          <w:rFonts w:asciiTheme="minorBidi" w:hAnsiTheme="minorBidi" w:cstheme="minorBidi"/>
          <w:lang w:val="en-US"/>
        </w:rPr>
        <w:t xml:space="preserve">Government </w:t>
      </w:r>
      <w:r w:rsidRPr="005F5EDC">
        <w:rPr>
          <w:rFonts w:asciiTheme="minorBidi" w:hAnsiTheme="minorBidi" w:cstheme="minorBidi"/>
          <w:lang w:val="en-US"/>
        </w:rPr>
        <w:t xml:space="preserve">did not acknowledge Harvard’s prior reforms or its compliance with Title VI procedures. Among the projects terminated were research on tuberculosis, development of advanced chip technology to mitigate radiation risks for NASA astronauts, studies on Lou Gehrig’s disease, and predictive modeling for suicide prevention among veterans. The Assured Microbial Preservation in Harsh or Remote Areas </w:t>
      </w:r>
      <w:r>
        <w:rPr>
          <w:rFonts w:asciiTheme="minorBidi" w:hAnsiTheme="minorBidi" w:cstheme="minorBidi"/>
          <w:lang w:val="en-US"/>
        </w:rPr>
        <w:t>(</w:t>
      </w:r>
      <w:r w:rsidRPr="005F5EDC">
        <w:rPr>
          <w:rFonts w:asciiTheme="minorBidi" w:hAnsiTheme="minorBidi" w:cstheme="minorBidi"/>
          <w:lang w:val="en-US"/>
        </w:rPr>
        <w:t>AMPHORA</w:t>
      </w:r>
      <w:r>
        <w:rPr>
          <w:rFonts w:asciiTheme="minorBidi" w:hAnsiTheme="minorBidi" w:cstheme="minorBidi"/>
          <w:lang w:val="en-US"/>
        </w:rPr>
        <w:t>)</w:t>
      </w:r>
      <w:r w:rsidRPr="005F5EDC">
        <w:rPr>
          <w:rFonts w:asciiTheme="minorBidi" w:hAnsiTheme="minorBidi" w:cstheme="minorBidi"/>
          <w:lang w:val="en-US"/>
        </w:rPr>
        <w:t xml:space="preserve"> Program, </w:t>
      </w:r>
      <w:r>
        <w:rPr>
          <w:rFonts w:asciiTheme="minorBidi" w:hAnsiTheme="minorBidi" w:cstheme="minorBidi"/>
          <w:lang w:val="en-US"/>
        </w:rPr>
        <w:t xml:space="preserve">a DoD’s </w:t>
      </w:r>
      <w:r w:rsidRPr="005F5EDC">
        <w:rPr>
          <w:rFonts w:asciiTheme="minorBidi" w:hAnsiTheme="minorBidi" w:cstheme="minorBidi"/>
          <w:lang w:val="en-US"/>
        </w:rPr>
        <w:t>Defense Advanced Research Projects Agency</w:t>
      </w:r>
      <w:r>
        <w:rPr>
          <w:rFonts w:asciiTheme="minorBidi" w:hAnsiTheme="minorBidi" w:cstheme="minorBidi"/>
          <w:lang w:val="en-US"/>
        </w:rPr>
        <w:t xml:space="preserve"> (DARPA)</w:t>
      </w:r>
      <w:r w:rsidRPr="005F5EDC">
        <w:rPr>
          <w:rFonts w:asciiTheme="minorBidi" w:hAnsiTheme="minorBidi" w:cstheme="minorBidi"/>
          <w:lang w:val="en-US"/>
        </w:rPr>
        <w:t xml:space="preserve">-led initiative on emerging biological threats, was also discontinued notwithstanding DARPA’s own assessment that Harvard’s team had been the top performer and that its technology constituted a significant advancement. Despite the termination order, DARPA </w:t>
      </w:r>
      <w:proofErr w:type="gramStart"/>
      <w:r w:rsidRPr="005F5EDC">
        <w:rPr>
          <w:rFonts w:asciiTheme="minorBidi" w:hAnsiTheme="minorBidi" w:cstheme="minorBidi"/>
          <w:lang w:val="en-US"/>
        </w:rPr>
        <w:t>staff</w:t>
      </w:r>
      <w:r>
        <w:rPr>
          <w:rFonts w:asciiTheme="minorBidi" w:hAnsiTheme="minorBidi" w:cstheme="minorBidi"/>
          <w:lang w:val="en-US"/>
        </w:rPr>
        <w:t xml:space="preserve"> </w:t>
      </w:r>
      <w:r w:rsidRPr="005F5EDC">
        <w:rPr>
          <w:rFonts w:asciiTheme="minorBidi" w:hAnsiTheme="minorBidi" w:cstheme="minorBidi"/>
          <w:lang w:val="en-US"/>
        </w:rPr>
        <w:t>maintained</w:t>
      </w:r>
      <w:proofErr w:type="gramEnd"/>
      <w:r w:rsidRPr="005F5EDC">
        <w:rPr>
          <w:rFonts w:asciiTheme="minorBidi" w:hAnsiTheme="minorBidi" w:cstheme="minorBidi"/>
          <w:lang w:val="en-US"/>
        </w:rPr>
        <w:t xml:space="preserve"> engagement with Harvard researchers, and Harvard ultimately received full </w:t>
      </w:r>
      <w:proofErr w:type="gramStart"/>
      <w:r w:rsidRPr="005F5EDC">
        <w:rPr>
          <w:rFonts w:asciiTheme="minorBidi" w:hAnsiTheme="minorBidi" w:cstheme="minorBidi"/>
          <w:lang w:val="en-US"/>
        </w:rPr>
        <w:t xml:space="preserve">compensation </w:t>
      </w:r>
      <w:r w:rsidR="000137C8">
        <w:rPr>
          <w:rFonts w:asciiTheme="minorBidi" w:hAnsiTheme="minorBidi" w:cstheme="minorBidi"/>
          <w:lang w:val="en-US"/>
        </w:rPr>
        <w:t xml:space="preserve"> from</w:t>
      </w:r>
      <w:proofErr w:type="gramEnd"/>
      <w:r w:rsidR="000137C8">
        <w:rPr>
          <w:rFonts w:asciiTheme="minorBidi" w:hAnsiTheme="minorBidi" w:cstheme="minorBidi"/>
          <w:lang w:val="en-US"/>
        </w:rPr>
        <w:t xml:space="preserve"> DARPA </w:t>
      </w:r>
      <w:r w:rsidRPr="005F5EDC">
        <w:rPr>
          <w:rFonts w:asciiTheme="minorBidi" w:hAnsiTheme="minorBidi" w:cstheme="minorBidi"/>
          <w:lang w:val="en-US"/>
        </w:rPr>
        <w:t>for work completed after the termination notice.</w:t>
      </w:r>
    </w:p>
    <w:p w14:paraId="194EB68D" w14:textId="77777777" w:rsidR="006135F0" w:rsidRPr="00872085" w:rsidRDefault="006135F0" w:rsidP="00872085">
      <w:pPr>
        <w:jc w:val="both"/>
        <w:rPr>
          <w:rFonts w:asciiTheme="minorBidi" w:hAnsiTheme="minorBidi" w:cstheme="minorBidi"/>
          <w:lang w:val="en-US"/>
        </w:rPr>
      </w:pPr>
    </w:p>
    <w:p w14:paraId="6D0068A4" w14:textId="7304C5C0" w:rsidR="00872085" w:rsidRDefault="00872085" w:rsidP="00872085">
      <w:pPr>
        <w:jc w:val="both"/>
        <w:rPr>
          <w:rFonts w:asciiTheme="minorBidi" w:hAnsiTheme="minorBidi" w:cstheme="minorBidi"/>
          <w:lang w:val="en-US"/>
        </w:rPr>
      </w:pPr>
      <w:r w:rsidRPr="00872085">
        <w:rPr>
          <w:rFonts w:asciiTheme="minorBidi" w:hAnsiTheme="minorBidi" w:cstheme="minorBidi"/>
          <w:lang w:val="en-US"/>
        </w:rPr>
        <w:t xml:space="preserve">The campaign of reductions persisted. On May 20, 2025, HHS suspended an additional $60 million in grants, and on May 27, 2025, GSA targeted $100 million in contracts. In total, more than 950 federal research projects were terminated. President Trump publicly proposed diverting “$Three Billion Dollars” from “a very antisemitic Harvard” to fund “TRADE SCHOOLS.” </w:t>
      </w:r>
      <w:r w:rsidR="00DC344F">
        <w:rPr>
          <w:rFonts w:asciiTheme="minorBidi" w:hAnsiTheme="minorBidi" w:cstheme="minorBidi"/>
          <w:lang w:val="en-US"/>
        </w:rPr>
        <w:t xml:space="preserve">[p. 21] </w:t>
      </w:r>
      <w:r w:rsidR="00191277">
        <w:rPr>
          <w:rFonts w:asciiTheme="minorBidi" w:hAnsiTheme="minorBidi" w:cstheme="minorBidi"/>
          <w:lang w:val="en-US"/>
        </w:rPr>
        <w:t xml:space="preserve">Secretary </w:t>
      </w:r>
      <w:r w:rsidRPr="00872085">
        <w:rPr>
          <w:rFonts w:asciiTheme="minorBidi" w:hAnsiTheme="minorBidi" w:cstheme="minorBidi"/>
          <w:lang w:val="en-US"/>
        </w:rPr>
        <w:t xml:space="preserve">McMahon acknowledged that Harvard’s lawsuit was the catalyst for internal </w:t>
      </w:r>
      <w:r w:rsidR="00191277" w:rsidRPr="00872085">
        <w:rPr>
          <w:rFonts w:asciiTheme="minorBidi" w:hAnsiTheme="minorBidi" w:cstheme="minorBidi"/>
          <w:lang w:val="en-US"/>
        </w:rPr>
        <w:t xml:space="preserve">Government </w:t>
      </w:r>
      <w:r w:rsidRPr="00872085">
        <w:rPr>
          <w:rFonts w:asciiTheme="minorBidi" w:hAnsiTheme="minorBidi" w:cstheme="minorBidi"/>
          <w:lang w:val="en-US"/>
        </w:rPr>
        <w:t>discussions, while President Trump declared that Harvard was “hurting [itself]” by “fighting,” and was losing money “every time” it resisted.</w:t>
      </w:r>
    </w:p>
    <w:p w14:paraId="4261FFB3" w14:textId="77777777" w:rsidR="006135F0" w:rsidRPr="00872085" w:rsidRDefault="006135F0" w:rsidP="00872085">
      <w:pPr>
        <w:jc w:val="both"/>
        <w:rPr>
          <w:rFonts w:asciiTheme="minorBidi" w:hAnsiTheme="minorBidi" w:cstheme="minorBidi"/>
          <w:lang w:val="en-US"/>
        </w:rPr>
      </w:pPr>
    </w:p>
    <w:p w14:paraId="5F6ABA75" w14:textId="28506ABF" w:rsidR="00FB0226" w:rsidRDefault="000137C8" w:rsidP="00FB0226">
      <w:pPr>
        <w:jc w:val="both"/>
        <w:rPr>
          <w:rFonts w:asciiTheme="minorBidi" w:hAnsiTheme="minorBidi" w:cstheme="minorBidi"/>
        </w:rPr>
      </w:pPr>
      <w:r w:rsidRPr="000137C8">
        <w:rPr>
          <w:rFonts w:asciiTheme="minorBidi" w:hAnsiTheme="minorBidi" w:cstheme="minorBidi"/>
          <w:lang w:val="en-US"/>
        </w:rPr>
        <w:t>The American Association of University Professors (AAUP), the AAUP–Harvard Faculty Chapter (AAUP-Harvard), the International Union, United Automobile, Aerospace and Agricultural Implement Workers of America (UAW), the Harvard Graduate Students Union (HGSU–UAW), and Harvard Academic Workers (HAW–UAW)</w:t>
      </w:r>
      <w:r>
        <w:rPr>
          <w:rFonts w:asciiTheme="minorBidi" w:hAnsiTheme="minorBidi" w:cstheme="minorBidi"/>
          <w:lang w:val="en-US"/>
        </w:rPr>
        <w:t xml:space="preserve"> (</w:t>
      </w:r>
      <w:r w:rsidRPr="000137C8">
        <w:rPr>
          <w:rFonts w:asciiTheme="minorBidi" w:hAnsiTheme="minorBidi" w:cstheme="minorBidi"/>
          <w:lang w:val="en-US"/>
        </w:rPr>
        <w:t>collectively the Organizational Plaintiffs</w:t>
      </w:r>
      <w:r>
        <w:rPr>
          <w:rFonts w:asciiTheme="minorBidi" w:hAnsiTheme="minorBidi" w:cstheme="minorBidi"/>
          <w:lang w:val="en-US"/>
        </w:rPr>
        <w:t>)</w:t>
      </w:r>
      <w:r w:rsidRPr="000137C8">
        <w:rPr>
          <w:rFonts w:asciiTheme="minorBidi" w:hAnsiTheme="minorBidi" w:cstheme="minorBidi"/>
          <w:lang w:val="en-US"/>
        </w:rPr>
        <w:t>, initiated action by filing a complaint and a motion for a temporary restraining order on April 11, 2025</w:t>
      </w:r>
      <w:r w:rsidR="00FB0226" w:rsidRPr="00FB0226">
        <w:t xml:space="preserve"> </w:t>
      </w:r>
      <w:r w:rsidR="00FB0226" w:rsidRPr="00FB0226">
        <w:rPr>
          <w:rFonts w:asciiTheme="minorBidi" w:hAnsiTheme="minorBidi" w:cstheme="minorBidi"/>
        </w:rPr>
        <w:t xml:space="preserve">Subsequently, the President and Fellows of Harvard College (Harvard) filed </w:t>
      </w:r>
      <w:r w:rsidR="00FB0226" w:rsidRPr="00FB0226">
        <w:rPr>
          <w:rFonts w:asciiTheme="minorBidi" w:hAnsiTheme="minorBidi" w:cstheme="minorBidi"/>
        </w:rPr>
        <w:lastRenderedPageBreak/>
        <w:t>its own action on April 21, 2025. These two related lawsuits, brought against various federal agencies and agency heads, challenged the decision to freeze and ultimately terminate nearly $2.2 billion in federal grants to Harvard (</w:t>
      </w:r>
      <w:commentRangeStart w:id="2"/>
      <w:r w:rsidR="00FB0226">
        <w:rPr>
          <w:rFonts w:asciiTheme="minorBidi" w:hAnsiTheme="minorBidi" w:cstheme="minorBidi"/>
        </w:rPr>
        <w:t>collectively</w:t>
      </w:r>
      <w:r w:rsidR="00FB0226" w:rsidRPr="00FB0226">
        <w:rPr>
          <w:rFonts w:asciiTheme="minorBidi" w:hAnsiTheme="minorBidi" w:cstheme="minorBidi"/>
        </w:rPr>
        <w:t xml:space="preserve"> with the Organizational Plaintiffs, Plaintiffs</w:t>
      </w:r>
      <w:commentRangeEnd w:id="2"/>
      <w:r w:rsidR="00FB0226">
        <w:rPr>
          <w:rStyle w:val="CommentReference"/>
        </w:rPr>
        <w:commentReference w:id="2"/>
      </w:r>
      <w:r w:rsidR="00FB0226" w:rsidRPr="00FB0226">
        <w:rPr>
          <w:rFonts w:asciiTheme="minorBidi" w:hAnsiTheme="minorBidi" w:cstheme="minorBidi"/>
        </w:rPr>
        <w:t>).</w:t>
      </w:r>
    </w:p>
    <w:p w14:paraId="7B20CFC3" w14:textId="77777777" w:rsidR="00253679" w:rsidRDefault="00253679" w:rsidP="00FB0226">
      <w:pPr>
        <w:jc w:val="both"/>
        <w:rPr>
          <w:rFonts w:asciiTheme="minorBidi" w:hAnsiTheme="minorBidi" w:cstheme="minorBidi"/>
          <w:lang w:val="en-US"/>
        </w:rPr>
      </w:pPr>
    </w:p>
    <w:p w14:paraId="351F5CA6" w14:textId="1AD1C066" w:rsidR="00872085" w:rsidRPr="00872085" w:rsidRDefault="000137C8" w:rsidP="00FB0226">
      <w:pPr>
        <w:jc w:val="both"/>
        <w:rPr>
          <w:rFonts w:asciiTheme="minorBidi" w:hAnsiTheme="minorBidi" w:cstheme="minorBidi"/>
          <w:lang w:val="en-US"/>
        </w:rPr>
      </w:pPr>
      <w:r w:rsidRPr="000137C8">
        <w:rPr>
          <w:rFonts w:asciiTheme="minorBidi" w:hAnsiTheme="minorBidi" w:cstheme="minorBidi"/>
          <w:lang w:val="en-US"/>
        </w:rPr>
        <w:t xml:space="preserve">The Organizational Plaintiffs later withdrew their motion for a temporary restraining order </w:t>
      </w:r>
      <w:r w:rsidR="00BD4335">
        <w:rPr>
          <w:rFonts w:asciiTheme="minorBidi" w:hAnsiTheme="minorBidi" w:cstheme="minorBidi"/>
          <w:lang w:val="en-US"/>
        </w:rPr>
        <w:t xml:space="preserve">(TRO) </w:t>
      </w:r>
      <w:r w:rsidRPr="000137C8">
        <w:rPr>
          <w:rFonts w:asciiTheme="minorBidi" w:hAnsiTheme="minorBidi" w:cstheme="minorBidi"/>
          <w:lang w:val="en-US"/>
        </w:rPr>
        <w:t>on April 15, 2025, and filed two amended complaints on May 5 and May 20, 2025. Harvard filed its amended complaint on May 13, 2025. A status conference was held on April 28, 2025, during which the parties elected to proceed directly to summary judgment</w:t>
      </w:r>
      <w:r w:rsidR="002F753B">
        <w:rPr>
          <w:rFonts w:asciiTheme="minorBidi" w:hAnsiTheme="minorBidi" w:cstheme="minorBidi"/>
          <w:lang w:val="en-US"/>
        </w:rPr>
        <w:t xml:space="preserve"> (</w:t>
      </w:r>
      <w:r w:rsidR="002F753B" w:rsidRPr="002F753B">
        <w:rPr>
          <w:rFonts w:asciiTheme="minorBidi" w:hAnsiTheme="minorBidi" w:cstheme="minorBidi"/>
          <w:lang w:val="en-US"/>
        </w:rPr>
        <w:t>a ruling granted without trial when the court determines there are no material factual disputes and one party is entitled to judgment as a matter of law</w:t>
      </w:r>
      <w:r w:rsidR="002F753B">
        <w:rPr>
          <w:rFonts w:asciiTheme="minorBidi" w:hAnsiTheme="minorBidi" w:cstheme="minorBidi"/>
          <w:lang w:val="en-US"/>
        </w:rPr>
        <w:t>)</w:t>
      </w:r>
      <w:r w:rsidRPr="000137C8">
        <w:rPr>
          <w:rFonts w:asciiTheme="minorBidi" w:hAnsiTheme="minorBidi" w:cstheme="minorBidi"/>
          <w:lang w:val="en-US"/>
        </w:rPr>
        <w:t xml:space="preserve">. Plaintiffs filed their motions for summary judgment on June 2, 2025; </w:t>
      </w:r>
      <w:r w:rsidR="00FA1B48">
        <w:rPr>
          <w:rFonts w:asciiTheme="minorBidi" w:hAnsiTheme="minorBidi" w:cstheme="minorBidi"/>
          <w:lang w:val="en-US"/>
        </w:rPr>
        <w:t>the Government</w:t>
      </w:r>
      <w:r w:rsidRPr="000137C8">
        <w:rPr>
          <w:rFonts w:asciiTheme="minorBidi" w:hAnsiTheme="minorBidi" w:cstheme="minorBidi"/>
          <w:lang w:val="en-US"/>
        </w:rPr>
        <w:t xml:space="preserve"> filed their opposition and cross-motions on June 16, 2025; Plaintiffs submitted their replies on June 30, 2025; and </w:t>
      </w:r>
      <w:r w:rsidR="00FA1B48">
        <w:rPr>
          <w:rFonts w:asciiTheme="minorBidi" w:hAnsiTheme="minorBidi" w:cstheme="minorBidi"/>
          <w:lang w:val="en-US"/>
        </w:rPr>
        <w:t>the Government</w:t>
      </w:r>
      <w:r w:rsidRPr="000137C8">
        <w:rPr>
          <w:rFonts w:asciiTheme="minorBidi" w:hAnsiTheme="minorBidi" w:cstheme="minorBidi"/>
          <w:lang w:val="en-US"/>
        </w:rPr>
        <w:t xml:space="preserve"> filed their final replies on July 14, 2025. The hearing on this matter was held following the completion of briefing on July 14, 2025.</w:t>
      </w:r>
      <w:r>
        <w:rPr>
          <w:rFonts w:asciiTheme="minorBidi" w:hAnsiTheme="minorBidi" w:cstheme="minorBidi"/>
          <w:lang w:val="en-US"/>
        </w:rPr>
        <w:t xml:space="preserve"> </w:t>
      </w:r>
      <w:r w:rsidR="00872085" w:rsidRPr="00872085">
        <w:rPr>
          <w:rFonts w:asciiTheme="minorBidi" w:hAnsiTheme="minorBidi" w:cstheme="minorBidi"/>
          <w:lang w:val="en-US"/>
        </w:rPr>
        <w:t xml:space="preserve">On September 3, 2025, the Court issued its </w:t>
      </w:r>
      <w:r w:rsidRPr="00872085">
        <w:rPr>
          <w:rFonts w:asciiTheme="minorBidi" w:hAnsiTheme="minorBidi" w:cstheme="minorBidi"/>
          <w:lang w:val="en-US"/>
        </w:rPr>
        <w:t xml:space="preserve">memorandum </w:t>
      </w:r>
      <w:r w:rsidR="00872085" w:rsidRPr="00872085">
        <w:rPr>
          <w:rFonts w:asciiTheme="minorBidi" w:hAnsiTheme="minorBidi" w:cstheme="minorBidi"/>
          <w:lang w:val="en-US"/>
        </w:rPr>
        <w:t xml:space="preserve">and </w:t>
      </w:r>
      <w:r w:rsidRPr="00872085">
        <w:rPr>
          <w:rFonts w:asciiTheme="minorBidi" w:hAnsiTheme="minorBidi" w:cstheme="minorBidi"/>
          <w:lang w:val="en-US"/>
        </w:rPr>
        <w:t>order</w:t>
      </w:r>
      <w:r w:rsidR="00872085" w:rsidRPr="00872085">
        <w:rPr>
          <w:rFonts w:asciiTheme="minorBidi" w:hAnsiTheme="minorBidi" w:cstheme="minorBidi"/>
          <w:lang w:val="en-US"/>
        </w:rPr>
        <w:t>.</w:t>
      </w:r>
    </w:p>
    <w:p w14:paraId="67414CD9" w14:textId="644C0B49" w:rsidR="00DF5CCA" w:rsidRPr="00A84E88" w:rsidRDefault="00DF5CCA" w:rsidP="00A3742D">
      <w:pPr>
        <w:jc w:val="both"/>
        <w:rPr>
          <w:rFonts w:asciiTheme="minorBidi" w:hAnsiTheme="minorBidi" w:cstheme="minorBidi"/>
          <w:lang w:val="en-US"/>
        </w:rPr>
      </w:pPr>
    </w:p>
    <w:p w14:paraId="17D6A4B1" w14:textId="292AB365" w:rsidR="00F37220" w:rsidRPr="00A84E88" w:rsidRDefault="00000000" w:rsidP="00A3742D">
      <w:pPr>
        <w:pStyle w:val="Heading1"/>
        <w:jc w:val="both"/>
        <w:rPr>
          <w:rFonts w:asciiTheme="minorBidi" w:hAnsiTheme="minorBidi" w:cstheme="minorBidi"/>
          <w:sz w:val="22"/>
          <w:szCs w:val="22"/>
        </w:rPr>
      </w:pPr>
      <w:r w:rsidRPr="00A84E88">
        <w:rPr>
          <w:rFonts w:asciiTheme="minorBidi" w:hAnsiTheme="minorBidi" w:cstheme="minorBidi"/>
          <w:sz w:val="22"/>
          <w:szCs w:val="22"/>
        </w:rPr>
        <w:t>Decision Overview</w:t>
      </w:r>
    </w:p>
    <w:p w14:paraId="4EB3D631" w14:textId="464BE76E" w:rsidR="00DF7B16" w:rsidRDefault="00DF7B16" w:rsidP="00FA1B48">
      <w:pPr>
        <w:spacing w:before="240" w:after="240"/>
        <w:jc w:val="both"/>
        <w:rPr>
          <w:rFonts w:asciiTheme="minorBidi" w:hAnsiTheme="minorBidi" w:cstheme="minorBidi"/>
          <w:lang w:val="en-US"/>
        </w:rPr>
      </w:pPr>
      <w:r w:rsidRPr="00A84E88">
        <w:rPr>
          <w:rFonts w:asciiTheme="minorBidi" w:hAnsiTheme="minorBidi" w:cstheme="minorBidi"/>
          <w:lang w:val="en-US"/>
        </w:rPr>
        <w:t>Judge Burroughs of the United States District of Massachusetts delivered the memorandum and order.</w:t>
      </w:r>
      <w:r w:rsidR="002139D4">
        <w:rPr>
          <w:rFonts w:asciiTheme="minorBidi" w:hAnsiTheme="minorBidi" w:cstheme="minorBidi"/>
          <w:lang w:val="en-US"/>
        </w:rPr>
        <w:t xml:space="preserve"> </w:t>
      </w:r>
      <w:r w:rsidR="00CE2F69" w:rsidRPr="00CE2F69">
        <w:rPr>
          <w:rFonts w:asciiTheme="minorBidi" w:hAnsiTheme="minorBidi" w:cstheme="minorBidi"/>
          <w:lang w:val="en-US"/>
        </w:rPr>
        <w:t xml:space="preserve">The central issues before the Court were whether the Government's decision to freeze and ultimately terminate federal grants to Harvard violated </w:t>
      </w:r>
      <w:r w:rsidR="006D1CA8">
        <w:rPr>
          <w:rFonts w:asciiTheme="minorBidi" w:hAnsiTheme="minorBidi" w:cstheme="minorBidi"/>
          <w:lang w:val="en-US"/>
        </w:rPr>
        <w:t>its</w:t>
      </w:r>
      <w:r w:rsidR="00CE2F69" w:rsidRPr="00CE2F69">
        <w:rPr>
          <w:rFonts w:asciiTheme="minorBidi" w:hAnsiTheme="minorBidi" w:cstheme="minorBidi"/>
          <w:lang w:val="en-US"/>
        </w:rPr>
        <w:t xml:space="preserve"> First Amendment </w:t>
      </w:r>
      <w:r w:rsidR="00620DD0" w:rsidRPr="00CE2F69">
        <w:rPr>
          <w:rFonts w:asciiTheme="minorBidi" w:hAnsiTheme="minorBidi" w:cstheme="minorBidi"/>
          <w:lang w:val="en-US"/>
        </w:rPr>
        <w:t xml:space="preserve">rights </w:t>
      </w:r>
      <w:r w:rsidR="00620DD0">
        <w:rPr>
          <w:rFonts w:asciiTheme="minorBidi" w:hAnsiTheme="minorBidi" w:cstheme="minorBidi"/>
          <w:lang w:val="en-US"/>
        </w:rPr>
        <w:t>of the U.S. constitution</w:t>
      </w:r>
      <w:r w:rsidR="00620DD0" w:rsidRPr="004A7AC2">
        <w:rPr>
          <w:rFonts w:asciiTheme="minorBidi" w:hAnsiTheme="minorBidi" w:cstheme="minorBidi"/>
          <w:lang w:val="en-US"/>
        </w:rPr>
        <w:t xml:space="preserve"> </w:t>
      </w:r>
      <w:r w:rsidR="00620DD0" w:rsidRPr="0020624D">
        <w:rPr>
          <w:rFonts w:asciiTheme="minorBidi" w:hAnsiTheme="minorBidi" w:cstheme="minorBidi"/>
          <w:lang w:val="en-US"/>
        </w:rPr>
        <w:t>(the constitutional provision protecting freedoms such as speech</w:t>
      </w:r>
      <w:r w:rsidR="00620DD0">
        <w:rPr>
          <w:rFonts w:asciiTheme="minorBidi" w:hAnsiTheme="minorBidi" w:cstheme="minorBidi"/>
          <w:lang w:val="en-US"/>
        </w:rPr>
        <w:t xml:space="preserve"> and academic expression) </w:t>
      </w:r>
      <w:r w:rsidR="00CE2F69" w:rsidRPr="00CE2F69">
        <w:rPr>
          <w:rFonts w:asciiTheme="minorBidi" w:hAnsiTheme="minorBidi" w:cstheme="minorBidi"/>
          <w:lang w:val="en-US"/>
        </w:rPr>
        <w:t xml:space="preserve">by retaliating against the institution and imposing content- and viewpoint-based funding conditions, </w:t>
      </w:r>
      <w:r w:rsidR="006D1CA8">
        <w:rPr>
          <w:rFonts w:asciiTheme="minorBidi" w:hAnsiTheme="minorBidi" w:cstheme="minorBidi"/>
          <w:lang w:val="en-US"/>
        </w:rPr>
        <w:t xml:space="preserve">whether it </w:t>
      </w:r>
      <w:r w:rsidR="00CE2F69" w:rsidRPr="00CE2F69">
        <w:rPr>
          <w:rFonts w:asciiTheme="minorBidi" w:hAnsiTheme="minorBidi" w:cstheme="minorBidi"/>
          <w:lang w:val="en-US"/>
        </w:rPr>
        <w:t xml:space="preserve">failed to comply with the procedural requirements of Title VI of the Civil Rights Act of 1964, </w:t>
      </w:r>
      <w:r w:rsidR="004D6363">
        <w:rPr>
          <w:rFonts w:asciiTheme="minorBidi" w:hAnsiTheme="minorBidi" w:cstheme="minorBidi"/>
          <w:lang w:val="en-US"/>
        </w:rPr>
        <w:t xml:space="preserve">and whether it </w:t>
      </w:r>
      <w:r w:rsidR="00CE2F69" w:rsidRPr="00CE2F69">
        <w:rPr>
          <w:rFonts w:asciiTheme="minorBidi" w:hAnsiTheme="minorBidi" w:cstheme="minorBidi"/>
          <w:lang w:val="en-US"/>
        </w:rPr>
        <w:t>was arbitrary and capricious under the Administrative Procedure Act due to a lack of reasoned explanation, failure to weigh the importance of the grants, and disregard for reliance interests.</w:t>
      </w:r>
    </w:p>
    <w:p w14:paraId="32322A39" w14:textId="79F3B0A9" w:rsidR="004A7AC2" w:rsidRPr="004A7AC2" w:rsidRDefault="004A7AC2" w:rsidP="004A7AC2">
      <w:pPr>
        <w:spacing w:before="240" w:after="240"/>
        <w:jc w:val="both"/>
        <w:rPr>
          <w:rFonts w:asciiTheme="minorBidi" w:hAnsiTheme="minorBidi" w:cstheme="minorBidi"/>
          <w:lang w:val="en-US"/>
        </w:rPr>
      </w:pPr>
      <w:r w:rsidRPr="004A7AC2">
        <w:rPr>
          <w:rFonts w:asciiTheme="minorBidi" w:hAnsiTheme="minorBidi" w:cstheme="minorBidi"/>
          <w:lang w:val="en-US"/>
        </w:rPr>
        <w:t>Harvard argued that the Government violated its First Amendment</w:t>
      </w:r>
      <w:r w:rsidR="0020624D">
        <w:rPr>
          <w:rFonts w:asciiTheme="minorBidi" w:hAnsiTheme="minorBidi" w:cstheme="minorBidi"/>
          <w:lang w:val="en-US"/>
        </w:rPr>
        <w:t xml:space="preserve"> </w:t>
      </w:r>
      <w:r w:rsidRPr="004A7AC2">
        <w:rPr>
          <w:rFonts w:asciiTheme="minorBidi" w:hAnsiTheme="minorBidi" w:cstheme="minorBidi"/>
          <w:lang w:val="en-US"/>
        </w:rPr>
        <w:t xml:space="preserve">rights in two ways: first, by retaliating against Harvard’s protected expression, and second, by imposing content- and viewpoint-based conditions on funding unrelated to any legitimate interest in combating antisemitism. Harvard sought to have the Freeze Orders and Termination Letters vacated, and any similar future actions permanently enjoined. The Organizational Plaintiffs advanced the same two theories and added a third, asserting unconstitutional coercion. They argued their members suffered direct </w:t>
      </w:r>
      <w:proofErr w:type="gramStart"/>
      <w:r w:rsidRPr="004A7AC2">
        <w:rPr>
          <w:rFonts w:asciiTheme="minorBidi" w:hAnsiTheme="minorBidi" w:cstheme="minorBidi"/>
          <w:lang w:val="en-US"/>
        </w:rPr>
        <w:t>harms</w:t>
      </w:r>
      <w:proofErr w:type="gramEnd"/>
      <w:r w:rsidRPr="004A7AC2">
        <w:rPr>
          <w:rFonts w:asciiTheme="minorBidi" w:hAnsiTheme="minorBidi" w:cstheme="minorBidi"/>
          <w:lang w:val="en-US"/>
        </w:rPr>
        <w:t xml:space="preserve"> from halted research projects and imminent funding losses, while also experiencing a chilling effect on academic freedom and protected speech. They contended that avoiding certain research topics or moderating expression to preserve funding undermined their organizational mission of safeguarding academic freedom and shared governance.</w:t>
      </w:r>
    </w:p>
    <w:p w14:paraId="05CD33B6" w14:textId="653384C0" w:rsidR="004A7AC2" w:rsidRDefault="004A7AC2" w:rsidP="00B941CF">
      <w:pPr>
        <w:spacing w:before="240" w:after="240"/>
        <w:jc w:val="both"/>
        <w:rPr>
          <w:rFonts w:asciiTheme="minorBidi" w:hAnsiTheme="minorBidi" w:cstheme="minorBidi"/>
          <w:lang w:val="en-US"/>
        </w:rPr>
      </w:pPr>
      <w:r w:rsidRPr="004A7AC2">
        <w:rPr>
          <w:rFonts w:asciiTheme="minorBidi" w:hAnsiTheme="minorBidi" w:cstheme="minorBidi"/>
          <w:lang w:val="en-US"/>
        </w:rPr>
        <w:t>On Title VI, Plaintiffs argued the Government failed to follow the statute’s explicit procedural requirements before freezing or terminating funding. These unmet obligations included: advising relevant officials of noncompliance, attempting voluntary resolution, holding a hearing, making findings on the record, limiting termination to the specific noncompliant program, and filing a report with Congress 30 days before action. Plaintiffs claimed this entitled them to summary judgment. They further argued that the Freeze Orders and Termination Letters were arbitrary and capricious</w:t>
      </w:r>
      <w:r w:rsidR="00910279">
        <w:rPr>
          <w:rFonts w:asciiTheme="minorBidi" w:hAnsiTheme="minorBidi" w:cstheme="minorBidi"/>
          <w:lang w:val="en-US"/>
        </w:rPr>
        <w:t xml:space="preserve"> </w:t>
      </w:r>
      <w:r w:rsidR="00910279" w:rsidRPr="00910279">
        <w:rPr>
          <w:rFonts w:asciiTheme="minorBidi" w:hAnsiTheme="minorBidi" w:cstheme="minorBidi"/>
          <w:lang w:val="en-US"/>
        </w:rPr>
        <w:t>(an action that lacks a rational basis, relies on improper factors, overlooks a material aspect of the issue, or rests on an implausible or unsupported rationale)</w:t>
      </w:r>
      <w:r w:rsidRPr="004A7AC2">
        <w:rPr>
          <w:rFonts w:asciiTheme="minorBidi" w:hAnsiTheme="minorBidi" w:cstheme="minorBidi"/>
          <w:lang w:val="en-US"/>
        </w:rPr>
        <w:t xml:space="preserve"> </w:t>
      </w:r>
      <w:r w:rsidR="00910279">
        <w:rPr>
          <w:rFonts w:asciiTheme="minorBidi" w:hAnsiTheme="minorBidi" w:cstheme="minorBidi"/>
          <w:lang w:val="en-US"/>
        </w:rPr>
        <w:t>as</w:t>
      </w:r>
      <w:r w:rsidRPr="004A7AC2">
        <w:rPr>
          <w:rFonts w:asciiTheme="minorBidi" w:hAnsiTheme="minorBidi" w:cstheme="minorBidi"/>
          <w:lang w:val="en-US"/>
        </w:rPr>
        <w:t xml:space="preserve"> the Government (1) gave no reasoned explanation for halting Harvard’s funding, (2) failed to weigh whether any purported benefits outweighed the costs of terminating vital research, and (3) disregarded serious reliance interests built up over decades.</w:t>
      </w:r>
      <w:r>
        <w:rPr>
          <w:rFonts w:asciiTheme="minorBidi" w:hAnsiTheme="minorBidi" w:cstheme="minorBidi"/>
          <w:lang w:val="en-US"/>
        </w:rPr>
        <w:t xml:space="preserve"> </w:t>
      </w:r>
      <w:r w:rsidRPr="004A7AC2">
        <w:rPr>
          <w:rFonts w:asciiTheme="minorBidi" w:hAnsiTheme="minorBidi" w:cstheme="minorBidi"/>
          <w:lang w:val="en-US"/>
        </w:rPr>
        <w:t xml:space="preserve">On ultra vires </w:t>
      </w:r>
      <w:r w:rsidRPr="004A7AC2">
        <w:rPr>
          <w:rFonts w:asciiTheme="minorBidi" w:hAnsiTheme="minorBidi" w:cstheme="minorBidi"/>
          <w:lang w:val="en-US"/>
        </w:rPr>
        <w:lastRenderedPageBreak/>
        <w:t>claims</w:t>
      </w:r>
      <w:r w:rsidR="008B6752">
        <w:rPr>
          <w:rFonts w:asciiTheme="minorBidi" w:hAnsiTheme="minorBidi" w:cstheme="minorBidi"/>
          <w:lang w:val="en-US"/>
        </w:rPr>
        <w:t xml:space="preserve"> </w:t>
      </w:r>
      <w:r w:rsidR="005C5248" w:rsidRPr="005C5248">
        <w:rPr>
          <w:rFonts w:asciiTheme="minorBidi" w:hAnsiTheme="minorBidi" w:cstheme="minorBidi"/>
          <w:lang w:val="en-US"/>
        </w:rPr>
        <w:t>(alleging that an authority acted beyond the scope of its lawful powers)</w:t>
      </w:r>
      <w:r w:rsidRPr="004A7AC2">
        <w:rPr>
          <w:rFonts w:asciiTheme="minorBidi" w:hAnsiTheme="minorBidi" w:cstheme="minorBidi"/>
          <w:lang w:val="en-US"/>
        </w:rPr>
        <w:t xml:space="preserve">, the Organizational Plaintiffs folded their </w:t>
      </w:r>
      <w:r w:rsidR="00D54A6C" w:rsidRPr="00D54A6C">
        <w:rPr>
          <w:rFonts w:asciiTheme="minorBidi" w:hAnsiTheme="minorBidi" w:cstheme="minorBidi"/>
          <w:lang w:val="en-US"/>
        </w:rPr>
        <w:t>equitable cause of action into their arguments under the Administrative Procedure Act (which authorizes judicial review of federal agency actions to ensure they are not arbitrary, capricious, or contrary to law)</w:t>
      </w:r>
      <w:r w:rsidR="003C2F22">
        <w:rPr>
          <w:rFonts w:asciiTheme="minorBidi" w:hAnsiTheme="minorBidi" w:cstheme="minorBidi"/>
          <w:lang w:val="en-US"/>
        </w:rPr>
        <w:t xml:space="preserve">, </w:t>
      </w:r>
      <w:r w:rsidRPr="004A7AC2">
        <w:rPr>
          <w:rFonts w:asciiTheme="minorBidi" w:hAnsiTheme="minorBidi" w:cstheme="minorBidi"/>
          <w:lang w:val="en-US"/>
        </w:rPr>
        <w:t xml:space="preserve">while Harvard raised them as an alternative, asserting the Government “flagrantly” violated the First Amendment and “ignored </w:t>
      </w:r>
      <w:r w:rsidR="00911619">
        <w:rPr>
          <w:rFonts w:asciiTheme="minorBidi" w:hAnsiTheme="minorBidi" w:cstheme="minorBidi"/>
          <w:lang w:val="en-US"/>
        </w:rPr>
        <w:t xml:space="preserve">the </w:t>
      </w:r>
      <w:r w:rsidRPr="004A7AC2">
        <w:rPr>
          <w:rFonts w:asciiTheme="minorBidi" w:hAnsiTheme="minorBidi" w:cstheme="minorBidi"/>
          <w:lang w:val="en-US"/>
        </w:rPr>
        <w:t>mandatory statutory requirements.”</w:t>
      </w:r>
      <w:r w:rsidR="00402565">
        <w:rPr>
          <w:rFonts w:asciiTheme="minorBidi" w:hAnsiTheme="minorBidi" w:cstheme="minorBidi"/>
          <w:lang w:val="en-US"/>
        </w:rPr>
        <w:t xml:space="preserve"> </w:t>
      </w:r>
      <w:proofErr w:type="gramStart"/>
      <w:r w:rsidR="00402565">
        <w:rPr>
          <w:rFonts w:asciiTheme="minorBidi" w:hAnsiTheme="minorBidi" w:cstheme="minorBidi"/>
          <w:lang w:val="en-US"/>
        </w:rPr>
        <w:t>[p. 75]</w:t>
      </w:r>
      <w:r w:rsidRPr="004A7AC2">
        <w:rPr>
          <w:rFonts w:asciiTheme="minorBidi" w:hAnsiTheme="minorBidi" w:cstheme="minorBidi"/>
          <w:lang w:val="en-US"/>
        </w:rPr>
        <w:t xml:space="preserve"> For</w:t>
      </w:r>
      <w:proofErr w:type="gramEnd"/>
      <w:r w:rsidRPr="004A7AC2">
        <w:rPr>
          <w:rFonts w:asciiTheme="minorBidi" w:hAnsiTheme="minorBidi" w:cstheme="minorBidi"/>
          <w:lang w:val="en-US"/>
        </w:rPr>
        <w:t xml:space="preserve"> due process, the Organizational Plaintiffs did not seek summary judgment but opposed the Government’s motion, asserting a protected liberty interest rooted in the First Amendment. </w:t>
      </w:r>
      <w:r w:rsidR="00402565">
        <w:rPr>
          <w:rFonts w:asciiTheme="minorBidi" w:hAnsiTheme="minorBidi" w:cstheme="minorBidi"/>
          <w:lang w:val="en-US"/>
        </w:rPr>
        <w:t>O</w:t>
      </w:r>
      <w:r w:rsidRPr="004A7AC2">
        <w:rPr>
          <w:rFonts w:asciiTheme="minorBidi" w:hAnsiTheme="minorBidi" w:cstheme="minorBidi"/>
          <w:lang w:val="en-US"/>
        </w:rPr>
        <w:t>n separation</w:t>
      </w:r>
      <w:r w:rsidR="00F06C1C">
        <w:rPr>
          <w:rFonts w:asciiTheme="minorBidi" w:hAnsiTheme="minorBidi" w:cstheme="minorBidi"/>
          <w:lang w:val="en-US"/>
        </w:rPr>
        <w:t xml:space="preserve"> </w:t>
      </w:r>
      <w:r w:rsidRPr="004A7AC2">
        <w:rPr>
          <w:rFonts w:asciiTheme="minorBidi" w:hAnsiTheme="minorBidi" w:cstheme="minorBidi"/>
          <w:lang w:val="en-US"/>
        </w:rPr>
        <w:t>of</w:t>
      </w:r>
      <w:r w:rsidR="00F06C1C">
        <w:rPr>
          <w:rFonts w:asciiTheme="minorBidi" w:hAnsiTheme="minorBidi" w:cstheme="minorBidi"/>
          <w:lang w:val="en-US"/>
        </w:rPr>
        <w:t xml:space="preserve"> </w:t>
      </w:r>
      <w:r w:rsidRPr="004A7AC2">
        <w:rPr>
          <w:rFonts w:asciiTheme="minorBidi" w:hAnsiTheme="minorBidi" w:cstheme="minorBidi"/>
          <w:lang w:val="en-US"/>
        </w:rPr>
        <w:t xml:space="preserve">powers </w:t>
      </w:r>
      <w:r w:rsidR="0019212D" w:rsidRPr="00684662">
        <w:rPr>
          <w:rFonts w:asciiTheme="minorBidi" w:hAnsiTheme="minorBidi" w:cstheme="minorBidi"/>
          <w:lang w:val="en-US"/>
        </w:rPr>
        <w:t>(alleging that the Executive Branch exceeded its constitutional authority and encroached on powers reserved to Congress or the Judiciary)</w:t>
      </w:r>
      <w:r w:rsidR="0019212D">
        <w:rPr>
          <w:rFonts w:asciiTheme="minorBidi" w:hAnsiTheme="minorBidi" w:cstheme="minorBidi"/>
          <w:lang w:val="en-US"/>
        </w:rPr>
        <w:t xml:space="preserve"> </w:t>
      </w:r>
      <w:r w:rsidRPr="004A7AC2">
        <w:rPr>
          <w:rFonts w:asciiTheme="minorBidi" w:hAnsiTheme="minorBidi" w:cstheme="minorBidi"/>
          <w:lang w:val="en-US"/>
        </w:rPr>
        <w:t xml:space="preserve">and </w:t>
      </w:r>
      <w:r w:rsidR="00F06C1C">
        <w:rPr>
          <w:rFonts w:asciiTheme="minorBidi" w:hAnsiTheme="minorBidi" w:cstheme="minorBidi"/>
          <w:lang w:val="en-US"/>
        </w:rPr>
        <w:t>s</w:t>
      </w:r>
      <w:r w:rsidRPr="004A7AC2">
        <w:rPr>
          <w:rFonts w:asciiTheme="minorBidi" w:hAnsiTheme="minorBidi" w:cstheme="minorBidi"/>
          <w:lang w:val="en-US"/>
        </w:rPr>
        <w:t xml:space="preserve">pending </w:t>
      </w:r>
      <w:r w:rsidR="00F06C1C">
        <w:rPr>
          <w:rFonts w:asciiTheme="minorBidi" w:hAnsiTheme="minorBidi" w:cstheme="minorBidi"/>
          <w:lang w:val="en-US"/>
        </w:rPr>
        <w:t>c</w:t>
      </w:r>
      <w:r w:rsidRPr="004A7AC2">
        <w:rPr>
          <w:rFonts w:asciiTheme="minorBidi" w:hAnsiTheme="minorBidi" w:cstheme="minorBidi"/>
          <w:lang w:val="en-US"/>
        </w:rPr>
        <w:t>lause claims</w:t>
      </w:r>
      <w:r w:rsidR="00682FFE">
        <w:rPr>
          <w:rFonts w:asciiTheme="minorBidi" w:hAnsiTheme="minorBidi" w:cstheme="minorBidi"/>
          <w:lang w:val="en-US"/>
        </w:rPr>
        <w:t xml:space="preserve"> (</w:t>
      </w:r>
      <w:r w:rsidR="00682FFE" w:rsidRPr="00682FFE">
        <w:rPr>
          <w:rFonts w:asciiTheme="minorBidi" w:hAnsiTheme="minorBidi" w:cstheme="minorBidi"/>
          <w:lang w:val="en-US"/>
        </w:rPr>
        <w:t>challenges to conditions Congress or the Executive place on federal funding, arguing they exceed constitutional limits or coerce recipients)</w:t>
      </w:r>
      <w:r w:rsidRPr="004A7AC2">
        <w:rPr>
          <w:rFonts w:asciiTheme="minorBidi" w:hAnsiTheme="minorBidi" w:cstheme="minorBidi"/>
          <w:lang w:val="en-US"/>
        </w:rPr>
        <w:t>, they argued that the Executive Branch lacked express or implied authority to unilaterally terminate individual grants.</w:t>
      </w:r>
    </w:p>
    <w:p w14:paraId="2B74B609" w14:textId="38A1D5BB" w:rsidR="003B4573" w:rsidRPr="003B4573" w:rsidRDefault="003B4573" w:rsidP="003B4573">
      <w:pPr>
        <w:spacing w:before="240" w:after="240"/>
        <w:jc w:val="both"/>
        <w:rPr>
          <w:rFonts w:asciiTheme="minorBidi" w:hAnsiTheme="minorBidi" w:cstheme="minorBidi"/>
          <w:lang w:val="en-US"/>
        </w:rPr>
      </w:pPr>
      <w:r w:rsidRPr="003B4573">
        <w:rPr>
          <w:rFonts w:asciiTheme="minorBidi" w:hAnsiTheme="minorBidi" w:cstheme="minorBidi"/>
          <w:lang w:val="en-US"/>
        </w:rPr>
        <w:t>The Government maintained that the Court lacked jurisdiction because the claims belonged in the Court of Federal Claims (</w:t>
      </w:r>
      <w:r>
        <w:rPr>
          <w:rFonts w:asciiTheme="minorBidi" w:hAnsiTheme="minorBidi" w:cstheme="minorBidi"/>
          <w:lang w:val="en-US"/>
        </w:rPr>
        <w:t xml:space="preserve">a </w:t>
      </w:r>
      <w:r w:rsidRPr="003B4573">
        <w:rPr>
          <w:rFonts w:asciiTheme="minorBidi" w:hAnsiTheme="minorBidi" w:cstheme="minorBidi"/>
          <w:lang w:val="en-US"/>
        </w:rPr>
        <w:t>federal court that adjudicates monetary claims against the United States) pursuant to the Tucker Act (statute conferring the Court of Federal Claims jurisdiction over certain monetary claims against the United States), accusing Plaintiffs of “artful pleading”</w:t>
      </w:r>
      <w:r w:rsidR="00804DAF">
        <w:rPr>
          <w:rFonts w:asciiTheme="minorBidi" w:hAnsiTheme="minorBidi" w:cstheme="minorBidi"/>
          <w:lang w:val="en-US"/>
        </w:rPr>
        <w:t xml:space="preserve"> [p. 25]</w:t>
      </w:r>
      <w:r w:rsidRPr="003B4573">
        <w:rPr>
          <w:rFonts w:asciiTheme="minorBidi" w:hAnsiTheme="minorBidi" w:cstheme="minorBidi"/>
          <w:lang w:val="en-US"/>
        </w:rPr>
        <w:t xml:space="preserve"> to recast contract-like money claims as constitutional or statutory violations. On the merits of the First Amendment theories, the Government argued Harvard</w:t>
      </w:r>
      <w:r w:rsidR="00927A93">
        <w:rPr>
          <w:rFonts w:asciiTheme="minorBidi" w:hAnsiTheme="minorBidi" w:cstheme="minorBidi"/>
          <w:lang w:val="en-US"/>
        </w:rPr>
        <w:t xml:space="preserve">, </w:t>
      </w:r>
      <w:r w:rsidRPr="003B4573">
        <w:rPr>
          <w:rFonts w:asciiTheme="minorBidi" w:hAnsiTheme="minorBidi" w:cstheme="minorBidi"/>
          <w:lang w:val="en-US"/>
        </w:rPr>
        <w:t>by virtue of receiving federal grants</w:t>
      </w:r>
      <w:r w:rsidR="00927A93">
        <w:rPr>
          <w:rFonts w:asciiTheme="minorBidi" w:hAnsiTheme="minorBidi" w:cstheme="minorBidi"/>
          <w:lang w:val="en-US"/>
        </w:rPr>
        <w:t xml:space="preserve">, </w:t>
      </w:r>
      <w:r w:rsidRPr="003B4573">
        <w:rPr>
          <w:rFonts w:asciiTheme="minorBidi" w:hAnsiTheme="minorBidi" w:cstheme="minorBidi"/>
          <w:lang w:val="en-US"/>
        </w:rPr>
        <w:t xml:space="preserve">should be treated as a government contractor subject to Pickering balancing, that Harvard’s rejection of the April 11 Letter was a non-express “legal act extinguishing the original offer,” </w:t>
      </w:r>
      <w:r w:rsidR="00F06C1C">
        <w:rPr>
          <w:rFonts w:asciiTheme="minorBidi" w:hAnsiTheme="minorBidi" w:cstheme="minorBidi"/>
          <w:lang w:val="en-US"/>
        </w:rPr>
        <w:t xml:space="preserve">[p. 50] </w:t>
      </w:r>
      <w:r w:rsidRPr="003B4573">
        <w:rPr>
          <w:rFonts w:asciiTheme="minorBidi" w:hAnsiTheme="minorBidi" w:cstheme="minorBidi"/>
          <w:lang w:val="en-US"/>
        </w:rPr>
        <w:t xml:space="preserve">and that Harvard’s speech was not a substantial or motivating factor in the terminations; the Government contended the terminations were non-retaliatory and undertaken to combat antisemitism. It further disputed the applicability of the unconstitutional-conditions doctrine to settlement negotiations, distinguished this case from coercion precedent, and argued </w:t>
      </w:r>
      <w:proofErr w:type="gramStart"/>
      <w:r w:rsidRPr="003B4573">
        <w:rPr>
          <w:rFonts w:asciiTheme="minorBidi" w:hAnsiTheme="minorBidi" w:cstheme="minorBidi"/>
          <w:lang w:val="en-US"/>
        </w:rPr>
        <w:t>Plaintiffs’</w:t>
      </w:r>
      <w:proofErr w:type="gramEnd"/>
      <w:r w:rsidRPr="003B4573">
        <w:rPr>
          <w:rFonts w:asciiTheme="minorBidi" w:hAnsiTheme="minorBidi" w:cstheme="minorBidi"/>
          <w:lang w:val="en-US"/>
        </w:rPr>
        <w:t xml:space="preserve"> alleged subjective chill did not establish standing because harms were not </w:t>
      </w:r>
      <w:proofErr w:type="gramStart"/>
      <w:r w:rsidRPr="003B4573">
        <w:rPr>
          <w:rFonts w:asciiTheme="minorBidi" w:hAnsiTheme="minorBidi" w:cstheme="minorBidi"/>
          <w:lang w:val="en-US"/>
        </w:rPr>
        <w:t>fairly traceable</w:t>
      </w:r>
      <w:proofErr w:type="gramEnd"/>
      <w:r w:rsidRPr="003B4573">
        <w:rPr>
          <w:rFonts w:asciiTheme="minorBidi" w:hAnsiTheme="minorBidi" w:cstheme="minorBidi"/>
          <w:lang w:val="en-US"/>
        </w:rPr>
        <w:t xml:space="preserve"> to Government action.</w:t>
      </w:r>
    </w:p>
    <w:p w14:paraId="3C21A84F" w14:textId="6829572C" w:rsidR="003B4573" w:rsidRDefault="003B4573" w:rsidP="003B4573">
      <w:pPr>
        <w:spacing w:before="240" w:after="240"/>
        <w:jc w:val="both"/>
        <w:rPr>
          <w:rFonts w:asciiTheme="minorBidi" w:hAnsiTheme="minorBidi" w:cstheme="minorBidi"/>
          <w:lang w:val="en-US"/>
        </w:rPr>
      </w:pPr>
      <w:r w:rsidRPr="003B4573">
        <w:rPr>
          <w:rFonts w:asciiTheme="minorBidi" w:hAnsiTheme="minorBidi" w:cstheme="minorBidi"/>
          <w:lang w:val="en-US"/>
        </w:rPr>
        <w:t>On Title VI and administrative</w:t>
      </w:r>
      <w:r w:rsidR="00F906BD">
        <w:rPr>
          <w:rFonts w:asciiTheme="minorBidi" w:hAnsiTheme="minorBidi" w:cstheme="minorBidi"/>
          <w:lang w:val="en-US"/>
        </w:rPr>
        <w:t xml:space="preserve"> </w:t>
      </w:r>
      <w:r w:rsidRPr="003B4573">
        <w:rPr>
          <w:rFonts w:asciiTheme="minorBidi" w:hAnsiTheme="minorBidi" w:cstheme="minorBidi"/>
          <w:lang w:val="en-US"/>
        </w:rPr>
        <w:t>law claims, the Government asserted it was not required to follow Title VI’s procedures and lawfully terminated awards under 2 C.F.R. § 200.340(a)(4)</w:t>
      </w:r>
      <w:r w:rsidR="003E323C">
        <w:rPr>
          <w:rFonts w:asciiTheme="minorBidi" w:hAnsiTheme="minorBidi" w:cstheme="minorBidi"/>
          <w:lang w:val="en-US"/>
        </w:rPr>
        <w:t xml:space="preserve">. </w:t>
      </w:r>
      <w:r w:rsidRPr="003B4573">
        <w:rPr>
          <w:rFonts w:asciiTheme="minorBidi" w:hAnsiTheme="minorBidi" w:cstheme="minorBidi"/>
          <w:lang w:val="en-US"/>
        </w:rPr>
        <w:t>In response to arbitrary</w:t>
      </w:r>
      <w:r w:rsidR="00F06C1C">
        <w:rPr>
          <w:rFonts w:asciiTheme="minorBidi" w:hAnsiTheme="minorBidi" w:cstheme="minorBidi"/>
          <w:lang w:val="en-US"/>
        </w:rPr>
        <w:t xml:space="preserve"> </w:t>
      </w:r>
      <w:r w:rsidRPr="003B4573">
        <w:rPr>
          <w:rFonts w:asciiTheme="minorBidi" w:hAnsiTheme="minorBidi" w:cstheme="minorBidi"/>
          <w:lang w:val="en-US"/>
        </w:rPr>
        <w:t>and</w:t>
      </w:r>
      <w:r w:rsidR="00F06C1C">
        <w:rPr>
          <w:rFonts w:asciiTheme="minorBidi" w:hAnsiTheme="minorBidi" w:cstheme="minorBidi"/>
          <w:lang w:val="en-US"/>
        </w:rPr>
        <w:t xml:space="preserve"> </w:t>
      </w:r>
      <w:r w:rsidRPr="003B4573">
        <w:rPr>
          <w:rFonts w:asciiTheme="minorBidi" w:hAnsiTheme="minorBidi" w:cstheme="minorBidi"/>
          <w:lang w:val="en-US"/>
        </w:rPr>
        <w:t>capricious allegations, the Government contended the freezes followed a comprehensive review, that it considered research costs, and that reliance interests were limited where awards are discretionary under the cited regulation. It also argued Harvard had waived any ultra vires theory by failing to engage the standard, noted Title VI provides for judicial review, and maintained that the Organizational Plaintiffs lacked a protected property interest for due</w:t>
      </w:r>
      <w:r w:rsidR="00F06C1C">
        <w:rPr>
          <w:rFonts w:asciiTheme="minorBidi" w:hAnsiTheme="minorBidi" w:cstheme="minorBidi"/>
          <w:lang w:val="en-US"/>
        </w:rPr>
        <w:t xml:space="preserve"> </w:t>
      </w:r>
      <w:r w:rsidRPr="003B4573">
        <w:rPr>
          <w:rFonts w:asciiTheme="minorBidi" w:hAnsiTheme="minorBidi" w:cstheme="minorBidi"/>
          <w:lang w:val="en-US"/>
        </w:rPr>
        <w:t>process purposes</w:t>
      </w:r>
      <w:r w:rsidR="00F06C1C">
        <w:rPr>
          <w:rFonts w:asciiTheme="minorBidi" w:hAnsiTheme="minorBidi" w:cstheme="minorBidi"/>
          <w:lang w:val="en-US"/>
        </w:rPr>
        <w:t xml:space="preserve">, </w:t>
      </w:r>
      <w:r w:rsidRPr="003B4573">
        <w:rPr>
          <w:rFonts w:asciiTheme="minorBidi" w:hAnsiTheme="minorBidi" w:cstheme="minorBidi"/>
          <w:lang w:val="en-US"/>
        </w:rPr>
        <w:t>and that vagueness attacks apply only to statutes</w:t>
      </w:r>
      <w:r w:rsidR="00F906BD">
        <w:rPr>
          <w:rFonts w:asciiTheme="minorBidi" w:hAnsiTheme="minorBidi" w:cstheme="minorBidi"/>
          <w:lang w:val="en-US"/>
        </w:rPr>
        <w:t xml:space="preserve"> or </w:t>
      </w:r>
      <w:r w:rsidRPr="003B4573">
        <w:rPr>
          <w:rFonts w:asciiTheme="minorBidi" w:hAnsiTheme="minorBidi" w:cstheme="minorBidi"/>
          <w:lang w:val="en-US"/>
        </w:rPr>
        <w:t>regulations governing primary conduct. Finally, on separation</w:t>
      </w:r>
      <w:r w:rsidR="00F906BD">
        <w:rPr>
          <w:rFonts w:asciiTheme="minorBidi" w:hAnsiTheme="minorBidi" w:cstheme="minorBidi"/>
          <w:lang w:val="en-US"/>
        </w:rPr>
        <w:t xml:space="preserve"> </w:t>
      </w:r>
      <w:r w:rsidRPr="003B4573">
        <w:rPr>
          <w:rFonts w:asciiTheme="minorBidi" w:hAnsiTheme="minorBidi" w:cstheme="minorBidi"/>
          <w:lang w:val="en-US"/>
        </w:rPr>
        <w:t>of</w:t>
      </w:r>
      <w:r w:rsidR="00F906BD">
        <w:rPr>
          <w:rFonts w:asciiTheme="minorBidi" w:hAnsiTheme="minorBidi" w:cstheme="minorBidi"/>
          <w:lang w:val="en-US"/>
        </w:rPr>
        <w:t xml:space="preserve"> </w:t>
      </w:r>
      <w:r w:rsidRPr="003B4573">
        <w:rPr>
          <w:rFonts w:asciiTheme="minorBidi" w:hAnsiTheme="minorBidi" w:cstheme="minorBidi"/>
          <w:lang w:val="en-US"/>
        </w:rPr>
        <w:t>powers and spending</w:t>
      </w:r>
      <w:r w:rsidR="00F06C1C">
        <w:rPr>
          <w:rFonts w:asciiTheme="minorBidi" w:hAnsiTheme="minorBidi" w:cstheme="minorBidi"/>
          <w:lang w:val="en-US"/>
        </w:rPr>
        <w:t xml:space="preserve"> c</w:t>
      </w:r>
      <w:r w:rsidRPr="003B4573">
        <w:rPr>
          <w:rFonts w:asciiTheme="minorBidi" w:hAnsiTheme="minorBidi" w:cstheme="minorBidi"/>
          <w:lang w:val="en-US"/>
        </w:rPr>
        <w:t>lause claims, the Government asserted express and implied executive authority to terminate individual grants and urged that any equitable relief be narrowly tailored to remedy improper agency action while preserving Executive Branch discretion going forward; it did not contest that loss of First Amendment freedoms can be irreparable but opposed the breadth of Plaintiffs’ requested relief.</w:t>
      </w:r>
    </w:p>
    <w:p w14:paraId="66ACD6A2" w14:textId="23EA8D2D" w:rsidR="00AB4BB1" w:rsidRDefault="009B65C7" w:rsidP="00E669F8">
      <w:pPr>
        <w:spacing w:before="240" w:after="240"/>
        <w:jc w:val="both"/>
        <w:rPr>
          <w:rFonts w:asciiTheme="minorBidi" w:hAnsiTheme="minorBidi" w:cstheme="minorBidi"/>
          <w:lang w:val="en-US"/>
        </w:rPr>
      </w:pPr>
      <w:r w:rsidRPr="009B65C7">
        <w:rPr>
          <w:rFonts w:asciiTheme="minorBidi" w:hAnsiTheme="minorBidi" w:cstheme="minorBidi"/>
          <w:lang w:val="en-US"/>
        </w:rPr>
        <w:t>The Court first addressed the Government’s jurisdictional challenge that the claims belonged exclusively to the Court of Federal Claims under the Tucker Act.</w:t>
      </w:r>
      <w:r>
        <w:rPr>
          <w:rFonts w:asciiTheme="minorBidi" w:hAnsiTheme="minorBidi" w:cstheme="minorBidi"/>
          <w:lang w:val="en-US"/>
        </w:rPr>
        <w:t xml:space="preserve"> </w:t>
      </w:r>
      <w:r w:rsidR="00AB4BB1" w:rsidRPr="00AB4BB1">
        <w:rPr>
          <w:rFonts w:asciiTheme="minorBidi" w:hAnsiTheme="minorBidi" w:cstheme="minorBidi"/>
          <w:lang w:val="en-US"/>
        </w:rPr>
        <w:t xml:space="preserve">Although the Government framed the dispute as a money-focused, contractual claim for undisbursed funds, the Court adopted a nuanced approach: it treated the Freeze Orders as agency guidance reviewable in the district court under the APA’s arbitrary and capricious standard, while deeming the Termination Letters the sort of monetary or contract-like decisions properly within the Court of Federal Claims’ province. The Court nonetheless retained jurisdiction over Plaintiffs’ First </w:t>
      </w:r>
      <w:r w:rsidR="00AB4BB1" w:rsidRPr="00AB4BB1">
        <w:rPr>
          <w:rFonts w:asciiTheme="minorBidi" w:hAnsiTheme="minorBidi" w:cstheme="minorBidi"/>
          <w:lang w:val="en-US"/>
        </w:rPr>
        <w:lastRenderedPageBreak/>
        <w:t>Amendment and Title VI claims, explaining that the Tucker Act does not confer jurisdiction over non</w:t>
      </w:r>
      <w:proofErr w:type="gramStart"/>
      <w:r>
        <w:rPr>
          <w:rFonts w:asciiTheme="minorBidi" w:hAnsiTheme="minorBidi" w:cstheme="minorBidi"/>
          <w:lang w:val="en-US"/>
        </w:rPr>
        <w:t>-</w:t>
      </w:r>
      <w:r w:rsidRPr="00AB4BB1">
        <w:rPr>
          <w:rFonts w:asciiTheme="minorBidi" w:hAnsiTheme="minorBidi" w:cstheme="minorBidi"/>
          <w:lang w:val="en-US"/>
        </w:rPr>
        <w:t>“</w:t>
      </w:r>
      <w:proofErr w:type="gramEnd"/>
      <w:r w:rsidR="00AB4BB1" w:rsidRPr="00AB4BB1">
        <w:rPr>
          <w:rFonts w:asciiTheme="minorBidi" w:hAnsiTheme="minorBidi" w:cstheme="minorBidi"/>
          <w:lang w:val="en-US"/>
        </w:rPr>
        <w:t xml:space="preserve">money-mandating” First Amendment claims, whereas Title VI expressly authorizes judicial review; the district court also has the equitable powers to grant prospective injunctive relief. Because a single First Amendment or Title VI ruling could invalidate both sets of actions and the Title VI issues were tied to the terminations, the Court concluded that a bright-line bifurcation of jurisdiction would be inappropriate and therefore heard those challenges while limiting arbitrary and capricious review to the Freeze Orders. On standing, the Court held that the Organizational Plaintiffs satisfied </w:t>
      </w:r>
      <w:r w:rsidR="00AB4BB1" w:rsidRPr="009B65C7">
        <w:rPr>
          <w:rFonts w:asciiTheme="minorBidi" w:hAnsiTheme="minorBidi" w:cstheme="minorBidi"/>
          <w:i/>
          <w:iCs/>
          <w:lang w:val="en-US"/>
        </w:rPr>
        <w:t xml:space="preserve">Hunt v. Washington State Apple Advertising Commission </w:t>
      </w:r>
      <w:r w:rsidR="00AB4BB1" w:rsidRPr="00AB4BB1">
        <w:rPr>
          <w:rFonts w:asciiTheme="minorBidi" w:hAnsiTheme="minorBidi" w:cstheme="minorBidi"/>
          <w:lang w:val="en-US"/>
        </w:rPr>
        <w:t>associational-standing test: members suffered concrete injuries, halted research, imminent funding shortfalls, and a chilling effect on academic freedom and speech, and the loss of federal peer-reviewed grants (which bear on tenure and reputation) was fairly traceable to the Government’s actions. The Court found the asserted interests germane to the organizations’ missions and concluded that the broad injunctive and declaratory relief sought did not require individualized member participation.</w:t>
      </w:r>
    </w:p>
    <w:p w14:paraId="1C14058D" w14:textId="660CDEE5" w:rsidR="00156AC3" w:rsidRDefault="00156AC3" w:rsidP="00E669F8">
      <w:pPr>
        <w:spacing w:before="240" w:after="240"/>
        <w:jc w:val="both"/>
        <w:rPr>
          <w:rFonts w:asciiTheme="minorBidi" w:hAnsiTheme="minorBidi" w:cstheme="minorBidi"/>
          <w:lang w:val="en-US"/>
        </w:rPr>
      </w:pPr>
      <w:r w:rsidRPr="00156AC3">
        <w:rPr>
          <w:rFonts w:asciiTheme="minorBidi" w:hAnsiTheme="minorBidi" w:cstheme="minorBidi"/>
          <w:lang w:val="en-US"/>
        </w:rPr>
        <w:t xml:space="preserve">The Court </w:t>
      </w:r>
      <w:r>
        <w:rPr>
          <w:rFonts w:asciiTheme="minorBidi" w:hAnsiTheme="minorBidi" w:cstheme="minorBidi"/>
          <w:lang w:val="en-US"/>
        </w:rPr>
        <w:t xml:space="preserve">also </w:t>
      </w:r>
      <w:r w:rsidRPr="00156AC3">
        <w:rPr>
          <w:rFonts w:asciiTheme="minorBidi" w:hAnsiTheme="minorBidi" w:cstheme="minorBidi"/>
          <w:lang w:val="en-US"/>
        </w:rPr>
        <w:t xml:space="preserve">determined that both the April 14 and May 5 Freeze Orders constituted “final agency action” </w:t>
      </w:r>
      <w:r w:rsidR="003B7F98" w:rsidRPr="003B7F98">
        <w:rPr>
          <w:rFonts w:asciiTheme="minorBidi" w:hAnsiTheme="minorBidi" w:cstheme="minorBidi"/>
          <w:lang w:val="en-US"/>
        </w:rPr>
        <w:t>(meaning the decision was definitive, had legal consequences, and was subject to judicial review)</w:t>
      </w:r>
      <w:r w:rsidR="003B7F98" w:rsidRPr="003B7F98">
        <w:rPr>
          <w:rFonts w:asciiTheme="minorBidi" w:hAnsiTheme="minorBidi" w:cstheme="minorBidi"/>
          <w:lang w:val="en-US"/>
        </w:rPr>
        <w:t xml:space="preserve"> </w:t>
      </w:r>
      <w:r w:rsidR="007940E1">
        <w:rPr>
          <w:rFonts w:asciiTheme="minorBidi" w:hAnsiTheme="minorBidi" w:cstheme="minorBidi"/>
          <w:lang w:val="en-US"/>
        </w:rPr>
        <w:t xml:space="preserve">under </w:t>
      </w:r>
      <w:r w:rsidRPr="00156AC3">
        <w:rPr>
          <w:rFonts w:asciiTheme="minorBidi" w:hAnsiTheme="minorBidi" w:cstheme="minorBidi"/>
          <w:lang w:val="en-US"/>
        </w:rPr>
        <w:t xml:space="preserve">the APA and were therefore reviewable. Applying the </w:t>
      </w:r>
      <w:r w:rsidRPr="007940E1">
        <w:rPr>
          <w:rFonts w:asciiTheme="minorBidi" w:hAnsiTheme="minorBidi" w:cstheme="minorBidi"/>
          <w:i/>
          <w:iCs/>
          <w:lang w:val="en-US"/>
        </w:rPr>
        <w:t xml:space="preserve">Bennett v. Spear </w:t>
      </w:r>
      <w:r w:rsidRPr="00156AC3">
        <w:rPr>
          <w:rFonts w:asciiTheme="minorBidi" w:hAnsiTheme="minorBidi" w:cstheme="minorBidi"/>
          <w:lang w:val="en-US"/>
        </w:rPr>
        <w:t xml:space="preserve">framework, the Court explained that the Orders marked the consummation of the agency’s </w:t>
      </w:r>
      <w:proofErr w:type="spellStart"/>
      <w:r w:rsidRPr="00156AC3">
        <w:rPr>
          <w:rFonts w:asciiTheme="minorBidi" w:hAnsiTheme="minorBidi" w:cstheme="minorBidi"/>
          <w:lang w:val="en-US"/>
        </w:rPr>
        <w:t>decisionmaking</w:t>
      </w:r>
      <w:proofErr w:type="spellEnd"/>
      <w:r w:rsidRPr="00156AC3">
        <w:rPr>
          <w:rFonts w:asciiTheme="minorBidi" w:hAnsiTheme="minorBidi" w:cstheme="minorBidi"/>
          <w:lang w:val="en-US"/>
        </w:rPr>
        <w:t xml:space="preserve"> process, using prescriptive and mandatory language that left no discretion. Moreover, immediate legal consequences flowed from them, as Harvard was promptly issued stop-work directives and termination letters. In reaching this conclusion, the Court drew support from </w:t>
      </w:r>
      <w:r w:rsidRPr="00F906BD">
        <w:rPr>
          <w:rFonts w:asciiTheme="minorBidi" w:hAnsiTheme="minorBidi" w:cstheme="minorBidi"/>
          <w:i/>
          <w:iCs/>
          <w:lang w:val="en-US"/>
        </w:rPr>
        <w:t>New York v. Trump</w:t>
      </w:r>
      <w:r w:rsidRPr="00156AC3">
        <w:rPr>
          <w:rFonts w:asciiTheme="minorBidi" w:hAnsiTheme="minorBidi" w:cstheme="minorBidi"/>
          <w:lang w:val="en-US"/>
        </w:rPr>
        <w:t>, where a federal funding freeze was likewise held to be a final agency action. This finding established the Court’s jurisdiction to evaluate the Freeze Orders under the APA’s narrow standard of review, which allows agency actions to be set aside if they are arbitrary, capricious, or otherwise contrary to law.</w:t>
      </w:r>
    </w:p>
    <w:p w14:paraId="36C2EB69" w14:textId="3C9A5AB5" w:rsidR="00AA33D9" w:rsidRDefault="00DF7B16" w:rsidP="00156AC3">
      <w:pPr>
        <w:spacing w:before="240" w:after="240"/>
        <w:jc w:val="both"/>
        <w:rPr>
          <w:rFonts w:asciiTheme="minorBidi" w:hAnsiTheme="minorBidi" w:cstheme="minorBidi"/>
          <w:lang w:val="en-US"/>
        </w:rPr>
      </w:pPr>
      <w:r w:rsidRPr="00DF7B16">
        <w:rPr>
          <w:rFonts w:asciiTheme="minorBidi" w:hAnsiTheme="minorBidi" w:cstheme="minorBidi"/>
          <w:lang w:val="en-US"/>
        </w:rPr>
        <w:t xml:space="preserve">Turning to the merits of the First Amendment claims, the Court granted summary judgment to Plaintiffs on retaliation, unconstitutional conditions, and unconstitutional coercion. For retaliation, the Court rejected </w:t>
      </w:r>
      <w:r w:rsidR="009B65C7">
        <w:rPr>
          <w:rFonts w:asciiTheme="minorBidi" w:hAnsiTheme="minorBidi" w:cstheme="minorBidi"/>
          <w:lang w:val="en-US"/>
        </w:rPr>
        <w:t>the Government</w:t>
      </w:r>
      <w:r w:rsidRPr="00DF7B16">
        <w:rPr>
          <w:rFonts w:asciiTheme="minorBidi" w:hAnsiTheme="minorBidi" w:cstheme="minorBidi"/>
          <w:lang w:val="en-US"/>
        </w:rPr>
        <w:t>'</w:t>
      </w:r>
      <w:r w:rsidR="009B65C7">
        <w:rPr>
          <w:rFonts w:asciiTheme="minorBidi" w:hAnsiTheme="minorBidi" w:cstheme="minorBidi"/>
          <w:lang w:val="en-US"/>
        </w:rPr>
        <w:t>s</w:t>
      </w:r>
      <w:r w:rsidRPr="00DF7B16">
        <w:rPr>
          <w:rFonts w:asciiTheme="minorBidi" w:hAnsiTheme="minorBidi" w:cstheme="minorBidi"/>
          <w:lang w:val="en-US"/>
        </w:rPr>
        <w:t xml:space="preserve"> argument that Harvard should be treated as a </w:t>
      </w:r>
      <w:r w:rsidR="006433EF">
        <w:rPr>
          <w:rFonts w:asciiTheme="minorBidi" w:hAnsiTheme="minorBidi" w:cstheme="minorBidi"/>
          <w:lang w:val="en-US"/>
        </w:rPr>
        <w:t>“</w:t>
      </w:r>
      <w:r w:rsidRPr="00DF7B16">
        <w:rPr>
          <w:rFonts w:asciiTheme="minorBidi" w:hAnsiTheme="minorBidi" w:cstheme="minorBidi"/>
          <w:lang w:val="en-US"/>
        </w:rPr>
        <w:t>government contractor</w:t>
      </w:r>
      <w:r w:rsidR="006433EF">
        <w:rPr>
          <w:rFonts w:asciiTheme="minorBidi" w:hAnsiTheme="minorBidi" w:cstheme="minorBidi"/>
          <w:lang w:val="en-US"/>
        </w:rPr>
        <w:t>”</w:t>
      </w:r>
      <w:r w:rsidRPr="00DF7B16">
        <w:rPr>
          <w:rFonts w:asciiTheme="minorBidi" w:hAnsiTheme="minorBidi" w:cstheme="minorBidi"/>
          <w:lang w:val="en-US"/>
        </w:rPr>
        <w:t xml:space="preserve"> under </w:t>
      </w:r>
      <w:r w:rsidRPr="009B65C7">
        <w:rPr>
          <w:rFonts w:asciiTheme="minorBidi" w:hAnsiTheme="minorBidi" w:cstheme="minorBidi"/>
          <w:i/>
          <w:iCs/>
          <w:lang w:val="en-US"/>
        </w:rPr>
        <w:t>Pickering v. Board of Education</w:t>
      </w:r>
      <w:r w:rsidRPr="00DF7B16">
        <w:rPr>
          <w:rFonts w:asciiTheme="minorBidi" w:hAnsiTheme="minorBidi" w:cstheme="minorBidi"/>
          <w:lang w:val="en-US"/>
        </w:rPr>
        <w:t xml:space="preserve">, citing the </w:t>
      </w:r>
      <w:r w:rsidR="00620DD0">
        <w:rPr>
          <w:rFonts w:asciiTheme="minorBidi" w:hAnsiTheme="minorBidi" w:cstheme="minorBidi"/>
          <w:lang w:val="en-US"/>
        </w:rPr>
        <w:t>“</w:t>
      </w:r>
      <w:r w:rsidRPr="00DF7B16">
        <w:rPr>
          <w:rFonts w:asciiTheme="minorBidi" w:hAnsiTheme="minorBidi" w:cstheme="minorBidi"/>
          <w:lang w:val="en-US"/>
        </w:rPr>
        <w:t>additional constitutional interests</w:t>
      </w:r>
      <w:r w:rsidR="00620DD0">
        <w:rPr>
          <w:rFonts w:asciiTheme="minorBidi" w:hAnsiTheme="minorBidi" w:cstheme="minorBidi"/>
          <w:lang w:val="en-US"/>
        </w:rPr>
        <w:t>”</w:t>
      </w:r>
      <w:r w:rsidRPr="00DF7B16">
        <w:rPr>
          <w:rFonts w:asciiTheme="minorBidi" w:hAnsiTheme="minorBidi" w:cstheme="minorBidi"/>
          <w:lang w:val="en-US"/>
        </w:rPr>
        <w:t xml:space="preserve"> of academic freedom. Instead, the Court applied the standard for private citizens, requiring </w:t>
      </w:r>
      <w:r w:rsidR="005C7BB0">
        <w:rPr>
          <w:rFonts w:asciiTheme="minorBidi" w:hAnsiTheme="minorBidi" w:cstheme="minorBidi"/>
          <w:lang w:val="en-US"/>
        </w:rPr>
        <w:t>that</w:t>
      </w:r>
      <w:r w:rsidR="004F558F">
        <w:rPr>
          <w:rFonts w:asciiTheme="minorBidi" w:hAnsiTheme="minorBidi" w:cstheme="minorBidi"/>
          <w:lang w:val="en-US"/>
        </w:rPr>
        <w:t xml:space="preserve"> Harvard establish that </w:t>
      </w:r>
      <w:r w:rsidR="004F558F" w:rsidRPr="00310C78">
        <w:rPr>
          <w:rFonts w:asciiTheme="minorBidi" w:hAnsiTheme="minorBidi" w:cstheme="minorBidi"/>
          <w:i/>
          <w:iCs/>
          <w:lang w:val="en-US"/>
        </w:rPr>
        <w:t>(</w:t>
      </w:r>
      <w:proofErr w:type="spellStart"/>
      <w:r w:rsidR="004F558F" w:rsidRPr="00310C78">
        <w:rPr>
          <w:rFonts w:asciiTheme="minorBidi" w:hAnsiTheme="minorBidi" w:cstheme="minorBidi"/>
          <w:i/>
          <w:iCs/>
          <w:lang w:val="en-US"/>
        </w:rPr>
        <w:t>i</w:t>
      </w:r>
      <w:proofErr w:type="spellEnd"/>
      <w:r w:rsidR="004F558F" w:rsidRPr="00310C78">
        <w:rPr>
          <w:rFonts w:asciiTheme="minorBidi" w:hAnsiTheme="minorBidi" w:cstheme="minorBidi"/>
          <w:i/>
          <w:iCs/>
          <w:lang w:val="en-US"/>
        </w:rPr>
        <w:t>)</w:t>
      </w:r>
      <w:r w:rsidR="004F558F">
        <w:rPr>
          <w:rFonts w:asciiTheme="minorBidi" w:hAnsiTheme="minorBidi" w:cstheme="minorBidi"/>
          <w:lang w:val="en-US"/>
        </w:rPr>
        <w:t xml:space="preserve"> it </w:t>
      </w:r>
      <w:r w:rsidR="00CA3787">
        <w:rPr>
          <w:rFonts w:asciiTheme="minorBidi" w:hAnsiTheme="minorBidi" w:cstheme="minorBidi"/>
          <w:lang w:val="en-US"/>
        </w:rPr>
        <w:t>“engaged in First Amendment-</w:t>
      </w:r>
      <w:r w:rsidRPr="00DF7B16">
        <w:rPr>
          <w:rFonts w:asciiTheme="minorBidi" w:hAnsiTheme="minorBidi" w:cstheme="minorBidi"/>
          <w:lang w:val="en-US"/>
        </w:rPr>
        <w:t>protected conduct,</w:t>
      </w:r>
      <w:r w:rsidR="00CA3787">
        <w:rPr>
          <w:rFonts w:asciiTheme="minorBidi" w:hAnsiTheme="minorBidi" w:cstheme="minorBidi"/>
          <w:lang w:val="en-US"/>
        </w:rPr>
        <w:t>”</w:t>
      </w:r>
      <w:r w:rsidRPr="00DF7B16">
        <w:rPr>
          <w:rFonts w:asciiTheme="minorBidi" w:hAnsiTheme="minorBidi" w:cstheme="minorBidi"/>
          <w:lang w:val="en-US"/>
        </w:rPr>
        <w:t xml:space="preserve"> </w:t>
      </w:r>
      <w:r w:rsidR="00CA3787" w:rsidRPr="00310C78">
        <w:rPr>
          <w:rFonts w:asciiTheme="minorBidi" w:hAnsiTheme="minorBidi" w:cstheme="minorBidi"/>
          <w:i/>
          <w:iCs/>
          <w:lang w:val="en-US"/>
        </w:rPr>
        <w:t>(ii)</w:t>
      </w:r>
      <w:r w:rsidR="00CA3787">
        <w:rPr>
          <w:rFonts w:asciiTheme="minorBidi" w:hAnsiTheme="minorBidi" w:cstheme="minorBidi"/>
          <w:lang w:val="en-US"/>
        </w:rPr>
        <w:t xml:space="preserve"> </w:t>
      </w:r>
      <w:r w:rsidR="00310C78">
        <w:rPr>
          <w:rFonts w:asciiTheme="minorBidi" w:hAnsiTheme="minorBidi" w:cstheme="minorBidi"/>
          <w:lang w:val="en-US"/>
        </w:rPr>
        <w:t>“</w:t>
      </w:r>
      <w:r w:rsidR="00CA3787">
        <w:rPr>
          <w:rFonts w:asciiTheme="minorBidi" w:hAnsiTheme="minorBidi" w:cstheme="minorBidi"/>
          <w:lang w:val="en-US"/>
        </w:rPr>
        <w:t xml:space="preserve">it suffered an </w:t>
      </w:r>
      <w:r w:rsidRPr="00DF7B16">
        <w:rPr>
          <w:rFonts w:asciiTheme="minorBidi" w:hAnsiTheme="minorBidi" w:cstheme="minorBidi"/>
          <w:lang w:val="en-US"/>
        </w:rPr>
        <w:t>adverse action,</w:t>
      </w:r>
      <w:r w:rsidR="00310C78">
        <w:rPr>
          <w:rFonts w:asciiTheme="minorBidi" w:hAnsiTheme="minorBidi" w:cstheme="minorBidi"/>
          <w:lang w:val="en-US"/>
        </w:rPr>
        <w:t>”</w:t>
      </w:r>
      <w:r w:rsidRPr="00DF7B16">
        <w:rPr>
          <w:rFonts w:asciiTheme="minorBidi" w:hAnsiTheme="minorBidi" w:cstheme="minorBidi"/>
          <w:lang w:val="en-US"/>
        </w:rPr>
        <w:t xml:space="preserve"> </w:t>
      </w:r>
      <w:r w:rsidR="00310C78" w:rsidRPr="00310C78">
        <w:rPr>
          <w:rFonts w:asciiTheme="minorBidi" w:hAnsiTheme="minorBidi" w:cstheme="minorBidi"/>
          <w:i/>
          <w:iCs/>
          <w:lang w:val="en-US"/>
        </w:rPr>
        <w:t>(iii)</w:t>
      </w:r>
      <w:r w:rsidR="00310C78">
        <w:rPr>
          <w:rFonts w:asciiTheme="minorBidi" w:hAnsiTheme="minorBidi" w:cstheme="minorBidi"/>
          <w:lang w:val="en-US"/>
        </w:rPr>
        <w:t xml:space="preserve"> </w:t>
      </w:r>
      <w:r w:rsidRPr="00DF7B16">
        <w:rPr>
          <w:rFonts w:asciiTheme="minorBidi" w:hAnsiTheme="minorBidi" w:cstheme="minorBidi"/>
          <w:lang w:val="en-US"/>
        </w:rPr>
        <w:t xml:space="preserve">and a </w:t>
      </w:r>
      <w:r w:rsidR="006E1E9F">
        <w:rPr>
          <w:rFonts w:asciiTheme="minorBidi" w:hAnsiTheme="minorBidi" w:cstheme="minorBidi"/>
          <w:lang w:val="en-US"/>
        </w:rPr>
        <w:t>“</w:t>
      </w:r>
      <w:r w:rsidRPr="00DF7B16">
        <w:rPr>
          <w:rFonts w:asciiTheme="minorBidi" w:hAnsiTheme="minorBidi" w:cstheme="minorBidi"/>
          <w:lang w:val="en-US"/>
        </w:rPr>
        <w:t>substantial or motivating</w:t>
      </w:r>
      <w:r w:rsidR="006E1E9F">
        <w:rPr>
          <w:rFonts w:asciiTheme="minorBidi" w:hAnsiTheme="minorBidi" w:cstheme="minorBidi"/>
          <w:lang w:val="en-US"/>
        </w:rPr>
        <w:t xml:space="preserve">” </w:t>
      </w:r>
      <w:r w:rsidRPr="00DF7B16">
        <w:rPr>
          <w:rFonts w:asciiTheme="minorBidi" w:hAnsiTheme="minorBidi" w:cstheme="minorBidi"/>
          <w:lang w:val="en-US"/>
        </w:rPr>
        <w:t xml:space="preserve">causal link. </w:t>
      </w:r>
      <w:r w:rsidR="005C1B74">
        <w:rPr>
          <w:rFonts w:asciiTheme="minorBidi" w:hAnsiTheme="minorBidi" w:cstheme="minorBidi"/>
          <w:lang w:val="en-US"/>
        </w:rPr>
        <w:t xml:space="preserve">[p. 48] </w:t>
      </w:r>
      <w:r w:rsidRPr="00DF7B16">
        <w:rPr>
          <w:rFonts w:asciiTheme="minorBidi" w:hAnsiTheme="minorBidi" w:cstheme="minorBidi"/>
          <w:lang w:val="en-US"/>
        </w:rPr>
        <w:t xml:space="preserve">The </w:t>
      </w:r>
      <w:r w:rsidR="00F906BD" w:rsidRPr="00DF7B16">
        <w:rPr>
          <w:rFonts w:asciiTheme="minorBidi" w:hAnsiTheme="minorBidi" w:cstheme="minorBidi"/>
          <w:lang w:val="en-US"/>
        </w:rPr>
        <w:t xml:space="preserve">Court </w:t>
      </w:r>
      <w:r w:rsidRPr="00DF7B16">
        <w:rPr>
          <w:rFonts w:asciiTheme="minorBidi" w:hAnsiTheme="minorBidi" w:cstheme="minorBidi"/>
          <w:lang w:val="en-US"/>
        </w:rPr>
        <w:t xml:space="preserve">relied on </w:t>
      </w:r>
      <w:r w:rsidRPr="00342FAD">
        <w:rPr>
          <w:rFonts w:asciiTheme="minorBidi" w:hAnsiTheme="minorBidi" w:cstheme="minorBidi"/>
          <w:i/>
          <w:iCs/>
          <w:lang w:val="en-US"/>
        </w:rPr>
        <w:t>Berge v. School Committee of Gloucester</w:t>
      </w:r>
      <w:r w:rsidRPr="00DF7B16">
        <w:rPr>
          <w:rFonts w:asciiTheme="minorBidi" w:hAnsiTheme="minorBidi" w:cstheme="minorBidi"/>
          <w:lang w:val="en-US"/>
        </w:rPr>
        <w:t xml:space="preserve"> and </w:t>
      </w:r>
      <w:r w:rsidRPr="00F906BD">
        <w:rPr>
          <w:rFonts w:asciiTheme="minorBidi" w:hAnsiTheme="minorBidi" w:cstheme="minorBidi"/>
          <w:i/>
          <w:iCs/>
          <w:lang w:val="en-US"/>
        </w:rPr>
        <w:t>D.B. ex rel. Elizabeth B. v. Esposito</w:t>
      </w:r>
      <w:r w:rsidR="0024511C">
        <w:rPr>
          <w:rFonts w:asciiTheme="minorBidi" w:hAnsiTheme="minorBidi" w:cstheme="minorBidi"/>
          <w:lang w:val="en-US"/>
        </w:rPr>
        <w:t xml:space="preserve"> </w:t>
      </w:r>
      <w:r w:rsidRPr="00DF7B16">
        <w:rPr>
          <w:rFonts w:asciiTheme="minorBidi" w:hAnsiTheme="minorBidi" w:cstheme="minorBidi"/>
          <w:lang w:val="en-US"/>
        </w:rPr>
        <w:t xml:space="preserve">for this framework. </w:t>
      </w:r>
      <w:r w:rsidR="005C1B74">
        <w:rPr>
          <w:rFonts w:asciiTheme="minorBidi" w:hAnsiTheme="minorBidi" w:cstheme="minorBidi"/>
          <w:lang w:val="en-US"/>
        </w:rPr>
        <w:t xml:space="preserve">The Court noted that </w:t>
      </w:r>
      <w:r w:rsidRPr="00DF7B16">
        <w:rPr>
          <w:rFonts w:asciiTheme="minorBidi" w:hAnsiTheme="minorBidi" w:cstheme="minorBidi"/>
          <w:lang w:val="en-US"/>
        </w:rPr>
        <w:t xml:space="preserve">Harvard engaged in protected conduct by refusing the terms of the April 11 Letter, which sought to control viewpoints and overhaul its governance, hiring, and academic programs to comport with the government's ideology, and by filing the lawsuit itself. Harvard's rejection was an </w:t>
      </w:r>
      <w:r w:rsidR="00F906BD">
        <w:rPr>
          <w:rFonts w:asciiTheme="minorBidi" w:hAnsiTheme="minorBidi" w:cstheme="minorBidi"/>
          <w:lang w:val="en-US"/>
        </w:rPr>
        <w:t>“</w:t>
      </w:r>
      <w:r w:rsidRPr="00DF7B16">
        <w:rPr>
          <w:rFonts w:asciiTheme="minorBidi" w:hAnsiTheme="minorBidi" w:cstheme="minorBidi"/>
          <w:lang w:val="en-US"/>
        </w:rPr>
        <w:t>unequivocal expression of core First Amendment values</w:t>
      </w:r>
      <w:r w:rsidR="00F906BD">
        <w:rPr>
          <w:rFonts w:asciiTheme="minorBidi" w:hAnsiTheme="minorBidi" w:cstheme="minorBidi"/>
          <w:lang w:val="en-US"/>
        </w:rPr>
        <w:t>”</w:t>
      </w:r>
      <w:r w:rsidRPr="00DF7B16">
        <w:rPr>
          <w:rFonts w:asciiTheme="minorBidi" w:hAnsiTheme="minorBidi" w:cstheme="minorBidi"/>
          <w:lang w:val="en-US"/>
        </w:rPr>
        <w:t xml:space="preserve"> against government overreach, stating, </w:t>
      </w:r>
      <w:r w:rsidR="00316666">
        <w:rPr>
          <w:rFonts w:asciiTheme="minorBidi" w:hAnsiTheme="minorBidi" w:cstheme="minorBidi"/>
          <w:lang w:val="en-US"/>
        </w:rPr>
        <w:t>“</w:t>
      </w:r>
      <w:r w:rsidR="008301F3">
        <w:rPr>
          <w:rFonts w:asciiTheme="minorBidi" w:hAnsiTheme="minorBidi" w:cstheme="minorBidi"/>
          <w:lang w:val="en-US"/>
        </w:rPr>
        <w:t>[t]</w:t>
      </w:r>
      <w:r w:rsidRPr="00DF7B16">
        <w:rPr>
          <w:rFonts w:asciiTheme="minorBidi" w:hAnsiTheme="minorBidi" w:cstheme="minorBidi"/>
          <w:lang w:val="en-US"/>
        </w:rPr>
        <w:t>he university will not surrender its independence or relinquish its constitutional rights.</w:t>
      </w:r>
      <w:r w:rsidR="00E5099E">
        <w:rPr>
          <w:rFonts w:asciiTheme="minorBidi" w:hAnsiTheme="minorBidi" w:cstheme="minorBidi"/>
          <w:lang w:val="en-US"/>
        </w:rPr>
        <w:t>”</w:t>
      </w:r>
      <w:r w:rsidRPr="00DF7B16">
        <w:rPr>
          <w:rFonts w:asciiTheme="minorBidi" w:hAnsiTheme="minorBidi" w:cstheme="minorBidi"/>
          <w:lang w:val="en-US"/>
        </w:rPr>
        <w:t xml:space="preserve"> </w:t>
      </w:r>
      <w:r w:rsidR="00BF69DC">
        <w:rPr>
          <w:rFonts w:asciiTheme="minorBidi" w:hAnsiTheme="minorBidi" w:cstheme="minorBidi"/>
          <w:lang w:val="en-US"/>
        </w:rPr>
        <w:t xml:space="preserve">[p. 51] </w:t>
      </w:r>
      <w:r w:rsidRPr="00DF7B16">
        <w:rPr>
          <w:rFonts w:asciiTheme="minorBidi" w:hAnsiTheme="minorBidi" w:cstheme="minorBidi"/>
          <w:lang w:val="en-US"/>
        </w:rPr>
        <w:t xml:space="preserve">The Court found a clear causal link, noting the April 14 Freeze Order came hours after Harvard's rejection and explicitly referenced </w:t>
      </w:r>
      <w:r w:rsidR="00E5099E">
        <w:rPr>
          <w:rFonts w:asciiTheme="minorBidi" w:hAnsiTheme="minorBidi" w:cstheme="minorBidi"/>
          <w:lang w:val="en-US"/>
        </w:rPr>
        <w:t>“</w:t>
      </w:r>
      <w:r w:rsidRPr="00DF7B16">
        <w:rPr>
          <w:rFonts w:asciiTheme="minorBidi" w:hAnsiTheme="minorBidi" w:cstheme="minorBidi"/>
          <w:lang w:val="en-US"/>
        </w:rPr>
        <w:t>Harvard’s statement today</w:t>
      </w:r>
      <w:r w:rsidR="00E5099E">
        <w:rPr>
          <w:rFonts w:asciiTheme="minorBidi" w:hAnsiTheme="minorBidi" w:cstheme="minorBidi"/>
          <w:lang w:val="en-US"/>
        </w:rPr>
        <w:t>”</w:t>
      </w:r>
      <w:r w:rsidRPr="00DF7B16">
        <w:rPr>
          <w:rFonts w:asciiTheme="minorBidi" w:hAnsiTheme="minorBidi" w:cstheme="minorBidi"/>
          <w:lang w:val="en-US"/>
        </w:rPr>
        <w:t xml:space="preserve"> [p. 52]. </w:t>
      </w:r>
    </w:p>
    <w:p w14:paraId="7AE78072" w14:textId="39FB2A09" w:rsidR="00DF7B16" w:rsidRPr="00DF7B16" w:rsidRDefault="00E5099E" w:rsidP="00156AC3">
      <w:pPr>
        <w:spacing w:before="240" w:after="240"/>
        <w:jc w:val="both"/>
        <w:rPr>
          <w:rFonts w:asciiTheme="minorBidi" w:hAnsiTheme="minorBidi" w:cstheme="minorBidi"/>
          <w:lang w:val="en-US"/>
        </w:rPr>
      </w:pPr>
      <w:r>
        <w:rPr>
          <w:rFonts w:asciiTheme="minorBidi" w:hAnsiTheme="minorBidi" w:cstheme="minorBidi"/>
          <w:lang w:val="en-US"/>
        </w:rPr>
        <w:t xml:space="preserve">The Government’s </w:t>
      </w:r>
      <w:r w:rsidR="00DF7B16" w:rsidRPr="00DF7B16">
        <w:rPr>
          <w:rFonts w:asciiTheme="minorBidi" w:hAnsiTheme="minorBidi" w:cstheme="minorBidi"/>
          <w:lang w:val="en-US"/>
        </w:rPr>
        <w:t xml:space="preserve">purported non-retaliatory purpose of </w:t>
      </w:r>
      <w:r>
        <w:rPr>
          <w:rFonts w:asciiTheme="minorBidi" w:hAnsiTheme="minorBidi" w:cstheme="minorBidi"/>
          <w:lang w:val="en-US"/>
        </w:rPr>
        <w:t>“</w:t>
      </w:r>
      <w:r w:rsidR="00DF7B16" w:rsidRPr="00DF7B16">
        <w:rPr>
          <w:rFonts w:asciiTheme="minorBidi" w:hAnsiTheme="minorBidi" w:cstheme="minorBidi"/>
          <w:lang w:val="en-US"/>
        </w:rPr>
        <w:t>opposing antisemitism</w:t>
      </w:r>
      <w:r>
        <w:rPr>
          <w:rFonts w:asciiTheme="minorBidi" w:hAnsiTheme="minorBidi" w:cstheme="minorBidi"/>
          <w:lang w:val="en-US"/>
        </w:rPr>
        <w:t>”</w:t>
      </w:r>
      <w:r w:rsidR="00DF7B16" w:rsidRPr="00DF7B16">
        <w:rPr>
          <w:rFonts w:asciiTheme="minorBidi" w:hAnsiTheme="minorBidi" w:cstheme="minorBidi"/>
          <w:lang w:val="en-US"/>
        </w:rPr>
        <w:t xml:space="preserve"> was rebutted by the record, which showed the April 11 Letter containing only one antisemitism-related demand among six ideological</w:t>
      </w:r>
      <w:r w:rsidR="006433EF">
        <w:rPr>
          <w:rFonts w:asciiTheme="minorBidi" w:hAnsiTheme="minorBidi" w:cstheme="minorBidi"/>
          <w:lang w:val="en-US"/>
        </w:rPr>
        <w:t xml:space="preserve"> or </w:t>
      </w:r>
      <w:r w:rsidR="00DF7B16" w:rsidRPr="00DF7B16">
        <w:rPr>
          <w:rFonts w:asciiTheme="minorBidi" w:hAnsiTheme="minorBidi" w:cstheme="minorBidi"/>
          <w:lang w:val="en-US"/>
        </w:rPr>
        <w:t xml:space="preserve">pedagogical ones, and that </w:t>
      </w:r>
      <w:r>
        <w:rPr>
          <w:rFonts w:asciiTheme="minorBidi" w:hAnsiTheme="minorBidi" w:cstheme="minorBidi"/>
          <w:lang w:val="en-US"/>
        </w:rPr>
        <w:t xml:space="preserve">the Government </w:t>
      </w:r>
      <w:r w:rsidR="00DF7B16" w:rsidRPr="00DF7B16">
        <w:rPr>
          <w:rFonts w:asciiTheme="minorBidi" w:hAnsiTheme="minorBidi" w:cstheme="minorBidi"/>
          <w:lang w:val="en-US"/>
        </w:rPr>
        <w:t>acted without gathering data on antisemitism at Harvard or considering Harvard's ongoing effort</w:t>
      </w:r>
      <w:r w:rsidR="00BA4EB9">
        <w:rPr>
          <w:rFonts w:asciiTheme="minorBidi" w:hAnsiTheme="minorBidi" w:cstheme="minorBidi"/>
          <w:lang w:val="en-US"/>
        </w:rPr>
        <w:t xml:space="preserve">s, the Court </w:t>
      </w:r>
      <w:r w:rsidR="00AA33D9">
        <w:rPr>
          <w:rFonts w:asciiTheme="minorBidi" w:hAnsiTheme="minorBidi" w:cstheme="minorBidi"/>
          <w:lang w:val="en-US"/>
        </w:rPr>
        <w:t xml:space="preserve">highlighted </w:t>
      </w:r>
      <w:r w:rsidR="00BA4EB9">
        <w:rPr>
          <w:rFonts w:asciiTheme="minorBidi" w:hAnsiTheme="minorBidi" w:cstheme="minorBidi"/>
          <w:lang w:val="en-US"/>
        </w:rPr>
        <w:t>tha</w:t>
      </w:r>
      <w:r w:rsidR="00CA0D1E">
        <w:rPr>
          <w:rFonts w:asciiTheme="minorBidi" w:hAnsiTheme="minorBidi" w:cstheme="minorBidi"/>
          <w:lang w:val="en-US"/>
        </w:rPr>
        <w:t>t “</w:t>
      </w:r>
      <w:r w:rsidR="00AA33D9">
        <w:rPr>
          <w:rFonts w:asciiTheme="minorBidi" w:hAnsiTheme="minorBidi" w:cstheme="minorBidi"/>
          <w:lang w:val="en-US"/>
        </w:rPr>
        <w:t>[t]</w:t>
      </w:r>
      <w:r w:rsidR="00AA33D9" w:rsidRPr="00AA33D9">
        <w:rPr>
          <w:rFonts w:asciiTheme="minorBidi" w:hAnsiTheme="minorBidi" w:cstheme="minorBidi"/>
          <w:lang w:val="en-US"/>
        </w:rPr>
        <w:t xml:space="preserve">he fact that Defendants’ swift and sudden decision to terminate funding, ostensibly motivated by antisemitism, was made before they learned anything about antisemitism on campus or what was being done in response, leads the Court to conclude that </w:t>
      </w:r>
      <w:r w:rsidR="00AA33D9" w:rsidRPr="00AA33D9">
        <w:rPr>
          <w:rFonts w:asciiTheme="minorBidi" w:hAnsiTheme="minorBidi" w:cstheme="minorBidi"/>
          <w:lang w:val="en-US"/>
        </w:rPr>
        <w:lastRenderedPageBreak/>
        <w:t xml:space="preserve">the sudden focus on antisemitism was, at best </w:t>
      </w:r>
      <w:r w:rsidR="00AA33D9">
        <w:rPr>
          <w:rFonts w:asciiTheme="minorBidi" w:hAnsiTheme="minorBidi" w:cstheme="minorBidi"/>
          <w:lang w:val="en-US"/>
        </w:rPr>
        <w:t xml:space="preserve">[…] </w:t>
      </w:r>
      <w:r w:rsidR="00AA33D9" w:rsidRPr="00AA33D9">
        <w:rPr>
          <w:rFonts w:asciiTheme="minorBidi" w:hAnsiTheme="minorBidi" w:cstheme="minorBidi"/>
          <w:lang w:val="en-US"/>
        </w:rPr>
        <w:t>arbitrary and, at worst, pretextual.</w:t>
      </w:r>
      <w:r w:rsidR="00AA33D9">
        <w:rPr>
          <w:rFonts w:asciiTheme="minorBidi" w:hAnsiTheme="minorBidi" w:cstheme="minorBidi"/>
          <w:lang w:val="en-US"/>
        </w:rPr>
        <w:t>” [p. 54]</w:t>
      </w:r>
      <w:r w:rsidR="00DF7B16" w:rsidRPr="00DF7B16">
        <w:rPr>
          <w:rFonts w:asciiTheme="minorBidi" w:hAnsiTheme="minorBidi" w:cstheme="minorBidi"/>
          <w:lang w:val="en-US"/>
        </w:rPr>
        <w:t xml:space="preserve"> </w:t>
      </w:r>
      <w:r w:rsidR="00AA33D9">
        <w:rPr>
          <w:rFonts w:asciiTheme="minorBidi" w:hAnsiTheme="minorBidi" w:cstheme="minorBidi"/>
          <w:lang w:val="en-US"/>
        </w:rPr>
        <w:t>The Court observed that the p</w:t>
      </w:r>
      <w:r w:rsidR="00DF7B16" w:rsidRPr="00DF7B16">
        <w:rPr>
          <w:rFonts w:asciiTheme="minorBidi" w:hAnsiTheme="minorBidi" w:cstheme="minorBidi"/>
          <w:lang w:val="en-US"/>
        </w:rPr>
        <w:t>ublic statements by President Trump</w:t>
      </w:r>
      <w:r w:rsidR="00011002">
        <w:rPr>
          <w:rFonts w:asciiTheme="minorBidi" w:hAnsiTheme="minorBidi" w:cstheme="minorBidi"/>
          <w:lang w:val="en-US"/>
        </w:rPr>
        <w:t xml:space="preserve"> s</w:t>
      </w:r>
      <w:r w:rsidR="00C53023">
        <w:rPr>
          <w:rFonts w:asciiTheme="minorBidi" w:hAnsiTheme="minorBidi" w:cstheme="minorBidi"/>
          <w:lang w:val="en-US"/>
        </w:rPr>
        <w:t xml:space="preserve">tating that “Harvard is a “a JOKE” that “should no longer receive Federal </w:t>
      </w:r>
      <w:proofErr w:type="gramStart"/>
      <w:r w:rsidR="002102A3">
        <w:rPr>
          <w:rFonts w:asciiTheme="minorBidi" w:hAnsiTheme="minorBidi" w:cstheme="minorBidi"/>
          <w:lang w:val="en-US"/>
        </w:rPr>
        <w:t>Funds[</w:t>
      </w:r>
      <w:proofErr w:type="gramEnd"/>
      <w:r w:rsidR="00C53023">
        <w:rPr>
          <w:rFonts w:asciiTheme="minorBidi" w:hAnsiTheme="minorBidi" w:cstheme="minorBidi"/>
          <w:lang w:val="en-US"/>
        </w:rPr>
        <w:t>,]””</w:t>
      </w:r>
      <w:r w:rsidR="00DF7B16" w:rsidRPr="00DF7B16">
        <w:rPr>
          <w:rFonts w:asciiTheme="minorBidi" w:hAnsiTheme="minorBidi" w:cstheme="minorBidi"/>
          <w:lang w:val="en-US"/>
        </w:rPr>
        <w:t xml:space="preserve"> </w:t>
      </w:r>
      <w:r w:rsidR="00EA2467">
        <w:rPr>
          <w:rFonts w:asciiTheme="minorBidi" w:hAnsiTheme="minorBidi" w:cstheme="minorBidi"/>
          <w:lang w:val="en-US"/>
        </w:rPr>
        <w:t xml:space="preserve">[p. 55] </w:t>
      </w:r>
      <w:r w:rsidR="00DF7B16" w:rsidRPr="00DF7B16">
        <w:rPr>
          <w:rFonts w:asciiTheme="minorBidi" w:hAnsiTheme="minorBidi" w:cstheme="minorBidi"/>
          <w:lang w:val="en-US"/>
        </w:rPr>
        <w:t xml:space="preserve">and </w:t>
      </w:r>
      <w:r>
        <w:rPr>
          <w:rFonts w:asciiTheme="minorBidi" w:hAnsiTheme="minorBidi" w:cstheme="minorBidi"/>
          <w:lang w:val="en-US"/>
        </w:rPr>
        <w:t xml:space="preserve">his </w:t>
      </w:r>
      <w:r w:rsidR="00DF7B16" w:rsidRPr="00DF7B16">
        <w:rPr>
          <w:rFonts w:asciiTheme="minorBidi" w:hAnsiTheme="minorBidi" w:cstheme="minorBidi"/>
          <w:lang w:val="en-US"/>
        </w:rPr>
        <w:t xml:space="preserve">Administration officials further corroborated a retaliatory motive, linking funding cuts to Harvard's decision to </w:t>
      </w:r>
      <w:r>
        <w:rPr>
          <w:rFonts w:asciiTheme="minorBidi" w:hAnsiTheme="minorBidi" w:cstheme="minorBidi"/>
          <w:lang w:val="en-US"/>
        </w:rPr>
        <w:t>“</w:t>
      </w:r>
      <w:r w:rsidR="00DF7B16" w:rsidRPr="00DF7B16">
        <w:rPr>
          <w:rFonts w:asciiTheme="minorBidi" w:hAnsiTheme="minorBidi" w:cstheme="minorBidi"/>
          <w:lang w:val="en-US"/>
        </w:rPr>
        <w:t>fight</w:t>
      </w:r>
      <w:r>
        <w:rPr>
          <w:rFonts w:asciiTheme="minorBidi" w:hAnsiTheme="minorBidi" w:cstheme="minorBidi"/>
          <w:lang w:val="en-US"/>
        </w:rPr>
        <w:t>”</w:t>
      </w:r>
      <w:r w:rsidR="00DF7B16" w:rsidRPr="00DF7B16">
        <w:rPr>
          <w:rFonts w:asciiTheme="minorBidi" w:hAnsiTheme="minorBidi" w:cstheme="minorBidi"/>
          <w:lang w:val="en-US"/>
        </w:rPr>
        <w:t xml:space="preserve"> and its perceived ideological stance.</w:t>
      </w:r>
      <w:r w:rsidR="005D781D">
        <w:rPr>
          <w:rFonts w:asciiTheme="minorBidi" w:hAnsiTheme="minorBidi" w:cstheme="minorBidi"/>
          <w:lang w:val="en-US"/>
        </w:rPr>
        <w:t xml:space="preserve"> Accordingly, the Court found that </w:t>
      </w:r>
      <w:r w:rsidR="00105DCD">
        <w:rPr>
          <w:rFonts w:asciiTheme="minorBidi" w:hAnsiTheme="minorBidi" w:cstheme="minorBidi"/>
          <w:lang w:val="en-US"/>
        </w:rPr>
        <w:t>the Plaintiffs are entitled to summary judgment</w:t>
      </w:r>
      <w:r w:rsidR="00525287">
        <w:rPr>
          <w:rFonts w:asciiTheme="minorBidi" w:hAnsiTheme="minorBidi" w:cstheme="minorBidi"/>
          <w:lang w:val="en-US"/>
        </w:rPr>
        <w:t xml:space="preserve"> on their First Amendment retaliation claims.</w:t>
      </w:r>
    </w:p>
    <w:p w14:paraId="54542D14" w14:textId="53F910BE" w:rsidR="00DF7B16" w:rsidRPr="00DF7B16" w:rsidRDefault="00DF7B16" w:rsidP="009F42D5">
      <w:pPr>
        <w:spacing w:before="240" w:after="240"/>
        <w:jc w:val="both"/>
        <w:rPr>
          <w:rFonts w:asciiTheme="minorBidi" w:hAnsiTheme="minorBidi" w:cstheme="minorBidi"/>
          <w:lang w:val="en-US"/>
        </w:rPr>
      </w:pPr>
      <w:r w:rsidRPr="00DF7B16">
        <w:rPr>
          <w:rFonts w:asciiTheme="minorBidi" w:hAnsiTheme="minorBidi" w:cstheme="minorBidi"/>
          <w:lang w:val="en-US"/>
        </w:rPr>
        <w:t xml:space="preserve">On unconstitutional conditions, </w:t>
      </w:r>
      <w:r w:rsidR="00B2643A">
        <w:rPr>
          <w:rFonts w:asciiTheme="minorBidi" w:hAnsiTheme="minorBidi" w:cstheme="minorBidi"/>
          <w:lang w:val="en-US"/>
        </w:rPr>
        <w:t>t</w:t>
      </w:r>
      <w:r w:rsidRPr="00DF7B16">
        <w:rPr>
          <w:rFonts w:asciiTheme="minorBidi" w:hAnsiTheme="minorBidi" w:cstheme="minorBidi"/>
          <w:lang w:val="en-US"/>
        </w:rPr>
        <w:t xml:space="preserve">he </w:t>
      </w:r>
      <w:r w:rsidR="00B2643A">
        <w:rPr>
          <w:rFonts w:asciiTheme="minorBidi" w:hAnsiTheme="minorBidi" w:cstheme="minorBidi"/>
          <w:lang w:val="en-US"/>
        </w:rPr>
        <w:t xml:space="preserve">Court noted that the </w:t>
      </w:r>
      <w:r w:rsidR="007B207E" w:rsidRPr="00DF7B16">
        <w:rPr>
          <w:rFonts w:asciiTheme="minorBidi" w:hAnsiTheme="minorBidi" w:cstheme="minorBidi"/>
          <w:lang w:val="en-US"/>
        </w:rPr>
        <w:t xml:space="preserve">Government </w:t>
      </w:r>
      <w:r w:rsidR="000E44F1">
        <w:rPr>
          <w:rFonts w:asciiTheme="minorBidi" w:hAnsiTheme="minorBidi" w:cstheme="minorBidi"/>
          <w:lang w:val="en-US"/>
        </w:rPr>
        <w:t>“</w:t>
      </w:r>
      <w:r w:rsidRPr="00DF7B16">
        <w:rPr>
          <w:rFonts w:asciiTheme="minorBidi" w:hAnsiTheme="minorBidi" w:cstheme="minorBidi"/>
          <w:lang w:val="en-US"/>
        </w:rPr>
        <w:t xml:space="preserve">may not deny a benefit to a person on a basis that infringes </w:t>
      </w:r>
      <w:r w:rsidR="000E44F1">
        <w:rPr>
          <w:rFonts w:asciiTheme="minorBidi" w:hAnsiTheme="minorBidi" w:cstheme="minorBidi"/>
          <w:lang w:val="en-US"/>
        </w:rPr>
        <w:t xml:space="preserve">… </w:t>
      </w:r>
      <w:r w:rsidRPr="00DF7B16">
        <w:rPr>
          <w:rFonts w:asciiTheme="minorBidi" w:hAnsiTheme="minorBidi" w:cstheme="minorBidi"/>
          <w:lang w:val="en-US"/>
        </w:rPr>
        <w:t>his interest in freedom of speec</w:t>
      </w:r>
      <w:r w:rsidR="00F47BF7">
        <w:rPr>
          <w:rFonts w:asciiTheme="minorBidi" w:hAnsiTheme="minorBidi" w:cstheme="minorBidi"/>
          <w:lang w:val="en-US"/>
        </w:rPr>
        <w:t>h.”</w:t>
      </w:r>
      <w:r w:rsidRPr="00DF7B16">
        <w:rPr>
          <w:rFonts w:asciiTheme="minorBidi" w:hAnsiTheme="minorBidi" w:cstheme="minorBidi"/>
          <w:lang w:val="en-US"/>
        </w:rPr>
        <w:t xml:space="preserve"> [p.</w:t>
      </w:r>
      <w:r w:rsidR="00592020">
        <w:rPr>
          <w:rFonts w:asciiTheme="minorBidi" w:hAnsiTheme="minorBidi" w:cstheme="minorBidi"/>
          <w:lang w:val="en-US"/>
        </w:rPr>
        <w:t xml:space="preserve"> </w:t>
      </w:r>
      <w:r w:rsidRPr="00DF7B16">
        <w:rPr>
          <w:rFonts w:asciiTheme="minorBidi" w:hAnsiTheme="minorBidi" w:cstheme="minorBidi"/>
          <w:lang w:val="en-US"/>
        </w:rPr>
        <w:t>57]</w:t>
      </w:r>
      <w:r w:rsidR="007B207E">
        <w:rPr>
          <w:rFonts w:asciiTheme="minorBidi" w:hAnsiTheme="minorBidi" w:cstheme="minorBidi"/>
          <w:lang w:val="en-US"/>
        </w:rPr>
        <w:t xml:space="preserve"> </w:t>
      </w:r>
      <w:r w:rsidR="00B2643A">
        <w:rPr>
          <w:rFonts w:asciiTheme="minorBidi" w:hAnsiTheme="minorBidi" w:cstheme="minorBidi"/>
          <w:lang w:val="en-US"/>
        </w:rPr>
        <w:t>Fo</w:t>
      </w:r>
      <w:r w:rsidR="009F42D5">
        <w:rPr>
          <w:rFonts w:asciiTheme="minorBidi" w:hAnsiTheme="minorBidi" w:cstheme="minorBidi"/>
          <w:lang w:val="en-US"/>
        </w:rPr>
        <w:t>r Harvard, t</w:t>
      </w:r>
      <w:r w:rsidRPr="00DF7B16">
        <w:rPr>
          <w:rFonts w:asciiTheme="minorBidi" w:hAnsiTheme="minorBidi" w:cstheme="minorBidi"/>
          <w:lang w:val="en-US"/>
        </w:rPr>
        <w:t xml:space="preserve">he conditions were </w:t>
      </w:r>
      <w:r w:rsidR="007B207E">
        <w:rPr>
          <w:rFonts w:asciiTheme="minorBidi" w:hAnsiTheme="minorBidi" w:cstheme="minorBidi"/>
          <w:lang w:val="en-US"/>
        </w:rPr>
        <w:t>“</w:t>
      </w:r>
      <w:r w:rsidRPr="00DF7B16">
        <w:rPr>
          <w:rFonts w:asciiTheme="minorBidi" w:hAnsiTheme="minorBidi" w:cstheme="minorBidi"/>
          <w:lang w:val="en-US"/>
        </w:rPr>
        <w:t>particularly concerning</w:t>
      </w:r>
      <w:r w:rsidR="007B207E">
        <w:rPr>
          <w:rFonts w:asciiTheme="minorBidi" w:hAnsiTheme="minorBidi" w:cstheme="minorBidi"/>
          <w:lang w:val="en-US"/>
        </w:rPr>
        <w:t>”</w:t>
      </w:r>
      <w:r w:rsidRPr="00DF7B16">
        <w:rPr>
          <w:rFonts w:asciiTheme="minorBidi" w:hAnsiTheme="minorBidi" w:cstheme="minorBidi"/>
          <w:lang w:val="en-US"/>
        </w:rPr>
        <w:t xml:space="preserve"> because they were based on Harvard's "particular beliefs" and sought to dictate the </w:t>
      </w:r>
      <w:r w:rsidR="00935FCE">
        <w:rPr>
          <w:rFonts w:asciiTheme="minorBidi" w:hAnsiTheme="minorBidi" w:cstheme="minorBidi"/>
          <w:lang w:val="en-US"/>
        </w:rPr>
        <w:t>“</w:t>
      </w:r>
      <w:r w:rsidRPr="00DF7B16">
        <w:rPr>
          <w:rFonts w:asciiTheme="minorBidi" w:hAnsiTheme="minorBidi" w:cstheme="minorBidi"/>
          <w:lang w:val="en-US"/>
        </w:rPr>
        <w:t>content of speech</w:t>
      </w:r>
      <w:r w:rsidR="009F42D5">
        <w:rPr>
          <w:rFonts w:asciiTheme="minorBidi" w:hAnsiTheme="minorBidi" w:cstheme="minorBidi"/>
          <w:lang w:val="en-US"/>
        </w:rPr>
        <w:t>.</w:t>
      </w:r>
      <w:r w:rsidR="00935FCE">
        <w:rPr>
          <w:rFonts w:asciiTheme="minorBidi" w:hAnsiTheme="minorBidi" w:cstheme="minorBidi"/>
          <w:lang w:val="en-US"/>
        </w:rPr>
        <w:t>”</w:t>
      </w:r>
      <w:r w:rsidRPr="00DF7B16">
        <w:rPr>
          <w:rFonts w:asciiTheme="minorBidi" w:hAnsiTheme="minorBidi" w:cstheme="minorBidi"/>
          <w:lang w:val="en-US"/>
        </w:rPr>
        <w:t xml:space="preserve"> [p. 58]</w:t>
      </w:r>
      <w:r w:rsidR="007537BC">
        <w:rPr>
          <w:rFonts w:asciiTheme="minorBidi" w:hAnsiTheme="minorBidi" w:cstheme="minorBidi"/>
          <w:lang w:val="en-US"/>
        </w:rPr>
        <w:t xml:space="preserve"> </w:t>
      </w:r>
      <w:r w:rsidR="009F42D5" w:rsidRPr="00DF7B16">
        <w:rPr>
          <w:rFonts w:asciiTheme="minorBidi" w:hAnsiTheme="minorBidi" w:cstheme="minorBidi"/>
          <w:lang w:val="en-US"/>
        </w:rPr>
        <w:t xml:space="preserve">The Court found that </w:t>
      </w:r>
      <w:r w:rsidR="009F42D5">
        <w:rPr>
          <w:rFonts w:asciiTheme="minorBidi" w:hAnsiTheme="minorBidi" w:cstheme="minorBidi"/>
          <w:lang w:val="en-US"/>
        </w:rPr>
        <w:t xml:space="preserve">the Government </w:t>
      </w:r>
      <w:r w:rsidR="009F42D5" w:rsidRPr="00DF7B16">
        <w:rPr>
          <w:rFonts w:asciiTheme="minorBidi" w:hAnsiTheme="minorBidi" w:cstheme="minorBidi"/>
          <w:lang w:val="en-US"/>
        </w:rPr>
        <w:t>impermissibly imposed conditions on Harvard's funding.</w:t>
      </w:r>
      <w:r w:rsidR="009F42D5">
        <w:rPr>
          <w:rFonts w:asciiTheme="minorBidi" w:hAnsiTheme="minorBidi" w:cstheme="minorBidi"/>
          <w:lang w:val="en-US"/>
        </w:rPr>
        <w:t xml:space="preserve"> </w:t>
      </w:r>
      <w:r w:rsidRPr="00DF7B16">
        <w:rPr>
          <w:rFonts w:asciiTheme="minorBidi" w:hAnsiTheme="minorBidi" w:cstheme="minorBidi"/>
          <w:lang w:val="en-US"/>
        </w:rPr>
        <w:t xml:space="preserve">For unconstitutional coercion, the </w:t>
      </w:r>
      <w:r w:rsidR="003C3A08">
        <w:rPr>
          <w:rFonts w:asciiTheme="minorBidi" w:hAnsiTheme="minorBidi" w:cstheme="minorBidi"/>
          <w:lang w:val="en-US"/>
        </w:rPr>
        <w:t xml:space="preserve">Organizational Plaintiffs asserted </w:t>
      </w:r>
      <w:r w:rsidRPr="00DF7B16">
        <w:rPr>
          <w:rFonts w:asciiTheme="minorBidi" w:hAnsiTheme="minorBidi" w:cstheme="minorBidi"/>
          <w:i/>
          <w:iCs/>
          <w:lang w:val="en-US"/>
        </w:rPr>
        <w:t>National Rifle Association of America v. Vullo</w:t>
      </w:r>
      <w:r w:rsidR="003C3A08">
        <w:rPr>
          <w:rFonts w:asciiTheme="minorBidi" w:hAnsiTheme="minorBidi" w:cstheme="minorBidi"/>
          <w:lang w:val="en-US"/>
        </w:rPr>
        <w:t xml:space="preserve">, which the </w:t>
      </w:r>
      <w:r w:rsidR="003C3A08" w:rsidRPr="00DF7B16">
        <w:rPr>
          <w:rFonts w:asciiTheme="minorBidi" w:hAnsiTheme="minorBidi" w:cstheme="minorBidi"/>
          <w:lang w:val="en-US"/>
        </w:rPr>
        <w:t xml:space="preserve">Court found </w:t>
      </w:r>
      <w:r w:rsidRPr="00DF7B16">
        <w:rPr>
          <w:rFonts w:asciiTheme="minorBidi" w:hAnsiTheme="minorBidi" w:cstheme="minorBidi"/>
          <w:lang w:val="en-US"/>
        </w:rPr>
        <w:t xml:space="preserve">to be </w:t>
      </w:r>
      <w:r w:rsidR="00935FCE">
        <w:rPr>
          <w:rFonts w:asciiTheme="minorBidi" w:hAnsiTheme="minorBidi" w:cstheme="minorBidi"/>
          <w:lang w:val="en-US"/>
        </w:rPr>
        <w:t>“</w:t>
      </w:r>
      <w:r w:rsidRPr="00DF7B16">
        <w:rPr>
          <w:rFonts w:asciiTheme="minorBidi" w:hAnsiTheme="minorBidi" w:cstheme="minorBidi"/>
          <w:lang w:val="en-US"/>
        </w:rPr>
        <w:t>instructive</w:t>
      </w:r>
      <w:r w:rsidR="00DB0FF0">
        <w:rPr>
          <w:rFonts w:asciiTheme="minorBidi" w:hAnsiTheme="minorBidi" w:cstheme="minorBidi"/>
          <w:lang w:val="en-US"/>
        </w:rPr>
        <w:t xml:space="preserve"> on this issue, if not determinative.</w:t>
      </w:r>
      <w:r w:rsidR="00935FCE">
        <w:rPr>
          <w:rFonts w:asciiTheme="minorBidi" w:hAnsiTheme="minorBidi" w:cstheme="minorBidi"/>
          <w:lang w:val="en-US"/>
        </w:rPr>
        <w:t>”</w:t>
      </w:r>
      <w:r w:rsidR="00DB0FF0">
        <w:rPr>
          <w:rFonts w:asciiTheme="minorBidi" w:hAnsiTheme="minorBidi" w:cstheme="minorBidi"/>
          <w:lang w:val="en-US"/>
        </w:rPr>
        <w:t xml:space="preserve"> [p. 59]</w:t>
      </w:r>
      <w:r w:rsidRPr="00DF7B16">
        <w:rPr>
          <w:rFonts w:asciiTheme="minorBidi" w:hAnsiTheme="minorBidi" w:cstheme="minorBidi"/>
          <w:lang w:val="en-US"/>
        </w:rPr>
        <w:t xml:space="preserve"> </w:t>
      </w:r>
      <w:r w:rsidR="003C3A08">
        <w:rPr>
          <w:rFonts w:asciiTheme="minorBidi" w:hAnsiTheme="minorBidi" w:cstheme="minorBidi"/>
          <w:lang w:val="en-US"/>
        </w:rPr>
        <w:t xml:space="preserve">It confirmed </w:t>
      </w:r>
      <w:r w:rsidRPr="00DF7B16">
        <w:rPr>
          <w:rFonts w:asciiTheme="minorBidi" w:hAnsiTheme="minorBidi" w:cstheme="minorBidi"/>
          <w:lang w:val="en-US"/>
        </w:rPr>
        <w:t xml:space="preserve">that government officials </w:t>
      </w:r>
      <w:r w:rsidR="00FC4E33">
        <w:rPr>
          <w:rFonts w:asciiTheme="minorBidi" w:hAnsiTheme="minorBidi" w:cstheme="minorBidi"/>
          <w:lang w:val="en-US"/>
        </w:rPr>
        <w:t>“</w:t>
      </w:r>
      <w:r w:rsidRPr="00DF7B16">
        <w:rPr>
          <w:rFonts w:asciiTheme="minorBidi" w:hAnsiTheme="minorBidi" w:cstheme="minorBidi"/>
          <w:lang w:val="en-US"/>
        </w:rPr>
        <w:t>cannot directly or indirectly coerce a private party to punish or suppress disfavored speech on her behal</w:t>
      </w:r>
      <w:r w:rsidRPr="00FC4E33">
        <w:rPr>
          <w:rFonts w:asciiTheme="minorBidi" w:hAnsiTheme="minorBidi" w:cstheme="minorBidi"/>
          <w:lang w:val="en-US"/>
        </w:rPr>
        <w:t>f</w:t>
      </w:r>
      <w:r w:rsidR="009F42D5">
        <w:rPr>
          <w:rFonts w:asciiTheme="minorBidi" w:hAnsiTheme="minorBidi" w:cstheme="minorBidi"/>
          <w:lang w:val="en-US"/>
        </w:rPr>
        <w:t>.</w:t>
      </w:r>
      <w:r w:rsidR="00FC4E33">
        <w:rPr>
          <w:rFonts w:asciiTheme="minorBidi" w:hAnsiTheme="minorBidi" w:cstheme="minorBidi"/>
          <w:lang w:val="en-US"/>
        </w:rPr>
        <w:t>”</w:t>
      </w:r>
      <w:r w:rsidRPr="00DF7B16">
        <w:rPr>
          <w:rFonts w:asciiTheme="minorBidi" w:hAnsiTheme="minorBidi" w:cstheme="minorBidi"/>
          <w:lang w:val="en-US"/>
        </w:rPr>
        <w:t xml:space="preserve"> [p. 59] </w:t>
      </w:r>
      <w:r w:rsidR="009F42D5">
        <w:rPr>
          <w:rFonts w:asciiTheme="minorBidi" w:hAnsiTheme="minorBidi" w:cstheme="minorBidi"/>
          <w:lang w:val="en-US"/>
        </w:rPr>
        <w:t>The Government</w:t>
      </w:r>
      <w:r w:rsidRPr="00DF7B16">
        <w:rPr>
          <w:rFonts w:asciiTheme="minorBidi" w:hAnsiTheme="minorBidi" w:cstheme="minorBidi"/>
          <w:lang w:val="en-US"/>
        </w:rPr>
        <w:t xml:space="preserve">, like the official in </w:t>
      </w:r>
      <w:r w:rsidRPr="00DF7B16">
        <w:rPr>
          <w:rFonts w:asciiTheme="minorBidi" w:hAnsiTheme="minorBidi" w:cstheme="minorBidi"/>
          <w:i/>
          <w:iCs/>
          <w:lang w:val="en-US"/>
        </w:rPr>
        <w:t>Vullo</w:t>
      </w:r>
      <w:r w:rsidRPr="00DF7B16">
        <w:rPr>
          <w:rFonts w:asciiTheme="minorBidi" w:hAnsiTheme="minorBidi" w:cstheme="minorBidi"/>
          <w:lang w:val="en-US"/>
        </w:rPr>
        <w:t xml:space="preserve">, sought to force Harvard to align with the </w:t>
      </w:r>
      <w:r w:rsidR="006433EF" w:rsidRPr="00DF7B16">
        <w:rPr>
          <w:rFonts w:asciiTheme="minorBidi" w:hAnsiTheme="minorBidi" w:cstheme="minorBidi"/>
          <w:lang w:val="en-US"/>
        </w:rPr>
        <w:t xml:space="preserve">Government's </w:t>
      </w:r>
      <w:r w:rsidRPr="00DF7B16">
        <w:rPr>
          <w:rFonts w:asciiTheme="minorBidi" w:hAnsiTheme="minorBidi" w:cstheme="minorBidi"/>
          <w:lang w:val="en-US"/>
        </w:rPr>
        <w:t>favored worldview through hiring and curricula choices, thereby suppressing the views of professors and researchers.</w:t>
      </w:r>
      <w:r w:rsidR="00D32D7E">
        <w:rPr>
          <w:rFonts w:asciiTheme="minorBidi" w:hAnsiTheme="minorBidi" w:cstheme="minorBidi"/>
          <w:lang w:val="en-US"/>
        </w:rPr>
        <w:t xml:space="preserve"> Consequently, the Court granted summary judgement to the Plaintiffs </w:t>
      </w:r>
      <w:r w:rsidR="003679FE">
        <w:rPr>
          <w:rFonts w:asciiTheme="minorBidi" w:hAnsiTheme="minorBidi" w:cstheme="minorBidi"/>
          <w:lang w:val="en-US"/>
        </w:rPr>
        <w:t xml:space="preserve">on </w:t>
      </w:r>
      <w:r w:rsidR="00C305C6">
        <w:rPr>
          <w:rFonts w:asciiTheme="minorBidi" w:hAnsiTheme="minorBidi" w:cstheme="minorBidi"/>
          <w:lang w:val="en-US"/>
        </w:rPr>
        <w:t>all grounds concerning their First Amendment claim.</w:t>
      </w:r>
    </w:p>
    <w:p w14:paraId="3C522EBC" w14:textId="0CDFEADC" w:rsidR="00DF7B16" w:rsidRPr="00DF7B16" w:rsidRDefault="00DF7B16" w:rsidP="00DF7B16">
      <w:pPr>
        <w:spacing w:before="240" w:after="240"/>
        <w:jc w:val="both"/>
        <w:rPr>
          <w:rFonts w:asciiTheme="minorBidi" w:hAnsiTheme="minorBidi" w:cstheme="minorBidi"/>
          <w:lang w:val="en-US"/>
        </w:rPr>
      </w:pPr>
      <w:r w:rsidRPr="00DF7B16">
        <w:rPr>
          <w:rFonts w:asciiTheme="minorBidi" w:hAnsiTheme="minorBidi" w:cstheme="minorBidi"/>
          <w:lang w:val="en-US"/>
        </w:rPr>
        <w:t xml:space="preserve">Regarding Title VI claims, the Court </w:t>
      </w:r>
      <w:r w:rsidR="00030E75">
        <w:rPr>
          <w:rFonts w:asciiTheme="minorBidi" w:hAnsiTheme="minorBidi" w:cstheme="minorBidi"/>
          <w:lang w:val="en-US"/>
        </w:rPr>
        <w:t xml:space="preserve">also </w:t>
      </w:r>
      <w:r w:rsidRPr="00DF7B16">
        <w:rPr>
          <w:rFonts w:asciiTheme="minorBidi" w:hAnsiTheme="minorBidi" w:cstheme="minorBidi"/>
          <w:lang w:val="en-US"/>
        </w:rPr>
        <w:t xml:space="preserve">granted summary judgment to </w:t>
      </w:r>
      <w:r w:rsidR="00030E75">
        <w:rPr>
          <w:rFonts w:asciiTheme="minorBidi" w:hAnsiTheme="minorBidi" w:cstheme="minorBidi"/>
          <w:lang w:val="en-US"/>
        </w:rPr>
        <w:t xml:space="preserve">the </w:t>
      </w:r>
      <w:r w:rsidRPr="00DF7B16">
        <w:rPr>
          <w:rFonts w:asciiTheme="minorBidi" w:hAnsiTheme="minorBidi" w:cstheme="minorBidi"/>
          <w:lang w:val="en-US"/>
        </w:rPr>
        <w:t xml:space="preserve">Plaintiffs. It was undisputed that </w:t>
      </w:r>
      <w:r w:rsidR="00030E75">
        <w:rPr>
          <w:rFonts w:asciiTheme="minorBidi" w:hAnsiTheme="minorBidi" w:cstheme="minorBidi"/>
          <w:lang w:val="en-US"/>
        </w:rPr>
        <w:t xml:space="preserve">the Government </w:t>
      </w:r>
      <w:r w:rsidRPr="00DF7B16">
        <w:rPr>
          <w:rFonts w:asciiTheme="minorBidi" w:hAnsiTheme="minorBidi" w:cstheme="minorBidi"/>
          <w:lang w:val="en-US"/>
        </w:rPr>
        <w:t xml:space="preserve">failed to follow Title VI's explicit procedural requirements, such as advising of noncompliance, attempting voluntary compliance, holding a hearing, and reporting to Congress, before issuing the Freeze Orders or Termination Letters. </w:t>
      </w:r>
      <w:r w:rsidR="006D251A">
        <w:rPr>
          <w:rFonts w:asciiTheme="minorBidi" w:hAnsiTheme="minorBidi" w:cstheme="minorBidi"/>
          <w:lang w:val="en-US"/>
        </w:rPr>
        <w:t xml:space="preserve">The Government’s </w:t>
      </w:r>
      <w:r w:rsidRPr="00DF7B16">
        <w:rPr>
          <w:rFonts w:asciiTheme="minorBidi" w:hAnsiTheme="minorBidi" w:cstheme="minorBidi"/>
          <w:lang w:val="en-US"/>
        </w:rPr>
        <w:t xml:space="preserve">post-hoc invocation of 2 C.F.R. § 200.340(a)(4) as a basis for termination was rejected, as it was not cited in the Freeze Orders and would </w:t>
      </w:r>
      <w:r w:rsidR="003E323C">
        <w:rPr>
          <w:rFonts w:asciiTheme="minorBidi" w:hAnsiTheme="minorBidi" w:cstheme="minorBidi"/>
          <w:lang w:val="en-US"/>
        </w:rPr>
        <w:t>“</w:t>
      </w:r>
      <w:r w:rsidRPr="00DF7B16">
        <w:rPr>
          <w:rFonts w:asciiTheme="minorBidi" w:hAnsiTheme="minorBidi" w:cstheme="minorBidi"/>
          <w:lang w:val="en-US"/>
        </w:rPr>
        <w:t>wholly nullify an explicit statutory scheme</w:t>
      </w:r>
      <w:r w:rsidR="00AC6BC6">
        <w:rPr>
          <w:rFonts w:asciiTheme="minorBidi" w:hAnsiTheme="minorBidi" w:cstheme="minorBidi"/>
          <w:lang w:val="en-US"/>
        </w:rPr>
        <w:t>”</w:t>
      </w:r>
      <w:r w:rsidRPr="00DF7B16">
        <w:rPr>
          <w:rFonts w:asciiTheme="minorBidi" w:hAnsiTheme="minorBidi" w:cstheme="minorBidi"/>
          <w:lang w:val="en-US"/>
        </w:rPr>
        <w:t xml:space="preserve"> </w:t>
      </w:r>
      <w:r w:rsidR="00F52C41">
        <w:rPr>
          <w:rFonts w:asciiTheme="minorBidi" w:hAnsiTheme="minorBidi" w:cstheme="minorBidi"/>
          <w:lang w:val="en-US"/>
        </w:rPr>
        <w:t xml:space="preserve">[p. 64] </w:t>
      </w:r>
      <w:r w:rsidRPr="00DF7B16">
        <w:rPr>
          <w:rFonts w:asciiTheme="minorBidi" w:hAnsiTheme="minorBidi" w:cstheme="minorBidi"/>
          <w:lang w:val="en-US"/>
        </w:rPr>
        <w:t xml:space="preserve">designed for discrimination claims, which </w:t>
      </w:r>
      <w:r w:rsidR="00F52C41">
        <w:rPr>
          <w:rFonts w:asciiTheme="minorBidi" w:hAnsiTheme="minorBidi" w:cstheme="minorBidi"/>
          <w:lang w:val="en-US"/>
        </w:rPr>
        <w:t>the Court viewed as</w:t>
      </w:r>
      <w:r w:rsidRPr="00DF7B16">
        <w:rPr>
          <w:rFonts w:asciiTheme="minorBidi" w:hAnsiTheme="minorBidi" w:cstheme="minorBidi"/>
          <w:lang w:val="en-US"/>
        </w:rPr>
        <w:t xml:space="preserve"> impermissible</w:t>
      </w:r>
      <w:r w:rsidR="00F52C41">
        <w:rPr>
          <w:rFonts w:asciiTheme="minorBidi" w:hAnsiTheme="minorBidi" w:cstheme="minorBidi"/>
          <w:lang w:val="en-US"/>
        </w:rPr>
        <w:t xml:space="preserve"> in accordance </w:t>
      </w:r>
      <w:r w:rsidR="009C083E">
        <w:rPr>
          <w:rFonts w:asciiTheme="minorBidi" w:hAnsiTheme="minorBidi" w:cstheme="minorBidi"/>
          <w:lang w:val="en-US"/>
        </w:rPr>
        <w:t xml:space="preserve">with </w:t>
      </w:r>
      <w:r w:rsidRPr="001101BF">
        <w:rPr>
          <w:rFonts w:asciiTheme="minorBidi" w:hAnsiTheme="minorBidi" w:cstheme="minorBidi"/>
          <w:i/>
          <w:iCs/>
          <w:lang w:val="en-US"/>
        </w:rPr>
        <w:t>P. Gioioso &amp; Sons, Inc. v. Occupational Safety</w:t>
      </w:r>
      <w:r w:rsidRPr="00DF7B16">
        <w:rPr>
          <w:rFonts w:asciiTheme="minorBidi" w:hAnsiTheme="minorBidi" w:cstheme="minorBidi"/>
          <w:lang w:val="en-US"/>
        </w:rPr>
        <w:t xml:space="preserve"> </w:t>
      </w:r>
      <w:r w:rsidR="003151EE" w:rsidRPr="003151EE">
        <w:rPr>
          <w:rFonts w:asciiTheme="minorBidi" w:hAnsiTheme="minorBidi" w:cstheme="minorBidi"/>
          <w:lang w:val="en-US"/>
        </w:rPr>
        <w:t>which reiterates that regulations cannot take precedence over laws enacted by Congress</w:t>
      </w:r>
      <w:r w:rsidR="00E941EB">
        <w:rPr>
          <w:rFonts w:asciiTheme="minorBidi" w:hAnsiTheme="minorBidi" w:cstheme="minorBidi"/>
          <w:lang w:val="en-US"/>
        </w:rPr>
        <w:t xml:space="preserve"> (as </w:t>
      </w:r>
      <w:r w:rsidR="003151EE" w:rsidRPr="003151EE">
        <w:rPr>
          <w:rFonts w:asciiTheme="minorBidi" w:hAnsiTheme="minorBidi" w:cstheme="minorBidi"/>
          <w:lang w:val="en-US"/>
        </w:rPr>
        <w:t>agencies only have the power delegated to them by Congress and cannot rewrite the law they are meant to enforce</w:t>
      </w:r>
      <w:r w:rsidR="00E941EB">
        <w:rPr>
          <w:rFonts w:asciiTheme="minorBidi" w:hAnsiTheme="minorBidi" w:cstheme="minorBidi"/>
          <w:lang w:val="en-US"/>
        </w:rPr>
        <w:t>)</w:t>
      </w:r>
      <w:r w:rsidRPr="00DF7B16">
        <w:rPr>
          <w:rFonts w:asciiTheme="minorBidi" w:hAnsiTheme="minorBidi" w:cstheme="minorBidi"/>
          <w:lang w:val="en-US"/>
        </w:rPr>
        <w:t xml:space="preserve">. The Court emphasized that Title VI's procedures were designed to </w:t>
      </w:r>
      <w:r w:rsidR="00114D3C">
        <w:rPr>
          <w:rFonts w:asciiTheme="minorBidi" w:hAnsiTheme="minorBidi" w:cstheme="minorBidi"/>
          <w:lang w:val="en-US"/>
        </w:rPr>
        <w:t>ensure that “</w:t>
      </w:r>
      <w:r w:rsidR="00114D3C" w:rsidRPr="00114D3C">
        <w:rPr>
          <w:rFonts w:asciiTheme="minorBidi" w:hAnsiTheme="minorBidi" w:cstheme="minorBidi"/>
          <w:lang w:val="en-US"/>
        </w:rPr>
        <w:t xml:space="preserve">people and entities receiving federal funding are shielded against being labeled with the “irreversible stigma” of “discriminator” until a certain level of agency process has determined that there was misconduct that warranted </w:t>
      </w:r>
      <w:proofErr w:type="gramStart"/>
      <w:r w:rsidR="00114D3C" w:rsidRPr="00114D3C">
        <w:rPr>
          <w:rFonts w:asciiTheme="minorBidi" w:hAnsiTheme="minorBidi" w:cstheme="minorBidi"/>
          <w:lang w:val="en-US"/>
        </w:rPr>
        <w:t>termination</w:t>
      </w:r>
      <w:r w:rsidR="00277B30">
        <w:rPr>
          <w:rFonts w:asciiTheme="minorBidi" w:hAnsiTheme="minorBidi" w:cstheme="minorBidi"/>
          <w:lang w:val="en-US"/>
        </w:rPr>
        <w:t>[</w:t>
      </w:r>
      <w:proofErr w:type="gramEnd"/>
      <w:r w:rsidR="00277B30">
        <w:rPr>
          <w:rFonts w:asciiTheme="minorBidi" w:hAnsiTheme="minorBidi" w:cstheme="minorBidi"/>
          <w:lang w:val="en-US"/>
        </w:rPr>
        <w:t>,]</w:t>
      </w:r>
      <w:r w:rsidR="00114D3C">
        <w:rPr>
          <w:rFonts w:asciiTheme="minorBidi" w:hAnsiTheme="minorBidi" w:cstheme="minorBidi"/>
          <w:lang w:val="en-US"/>
        </w:rPr>
        <w:t>”</w:t>
      </w:r>
      <w:r w:rsidRPr="00DF7B16">
        <w:rPr>
          <w:rFonts w:asciiTheme="minorBidi" w:hAnsiTheme="minorBidi" w:cstheme="minorBidi"/>
          <w:lang w:val="en-US"/>
        </w:rPr>
        <w:t xml:space="preserve"> </w:t>
      </w:r>
      <w:r w:rsidR="00277B30">
        <w:rPr>
          <w:rFonts w:asciiTheme="minorBidi" w:hAnsiTheme="minorBidi" w:cstheme="minorBidi"/>
          <w:lang w:val="en-US"/>
        </w:rPr>
        <w:t xml:space="preserve">[p. 64] </w:t>
      </w:r>
      <w:r w:rsidR="00233ED8">
        <w:rPr>
          <w:rFonts w:asciiTheme="minorBidi" w:hAnsiTheme="minorBidi" w:cstheme="minorBidi"/>
          <w:lang w:val="en-US"/>
        </w:rPr>
        <w:t xml:space="preserve">citing </w:t>
      </w:r>
      <w:r w:rsidR="002D6926" w:rsidRPr="002D6926">
        <w:rPr>
          <w:rFonts w:asciiTheme="minorBidi" w:hAnsiTheme="minorBidi" w:cstheme="minorBidi"/>
          <w:i/>
          <w:iCs/>
          <w:lang w:val="en-US"/>
        </w:rPr>
        <w:t>Bowman v. EPA</w:t>
      </w:r>
      <w:r w:rsidRPr="00DF7B16">
        <w:rPr>
          <w:rFonts w:asciiTheme="minorBidi" w:hAnsiTheme="minorBidi" w:cstheme="minorBidi"/>
          <w:lang w:val="en-US"/>
        </w:rPr>
        <w:t>.</w:t>
      </w:r>
    </w:p>
    <w:p w14:paraId="5DCA11E8" w14:textId="77777777" w:rsidR="00C9749A" w:rsidRDefault="00DF7B16" w:rsidP="00DF7B16">
      <w:pPr>
        <w:spacing w:before="240" w:after="240"/>
        <w:jc w:val="both"/>
        <w:rPr>
          <w:rFonts w:asciiTheme="minorBidi" w:hAnsiTheme="minorBidi" w:cstheme="minorBidi"/>
          <w:lang w:val="en-US"/>
        </w:rPr>
      </w:pPr>
      <w:r w:rsidRPr="00DF7B16">
        <w:rPr>
          <w:rFonts w:asciiTheme="minorBidi" w:hAnsiTheme="minorBidi" w:cstheme="minorBidi"/>
          <w:lang w:val="en-US"/>
        </w:rPr>
        <w:t xml:space="preserve">On the arbitrary and capricious claims, the Court granted summary judgment to </w:t>
      </w:r>
      <w:r w:rsidR="007B0C92">
        <w:rPr>
          <w:rFonts w:asciiTheme="minorBidi" w:hAnsiTheme="minorBidi" w:cstheme="minorBidi"/>
          <w:lang w:val="en-US"/>
        </w:rPr>
        <w:t xml:space="preserve">the </w:t>
      </w:r>
      <w:r w:rsidRPr="00DF7B16">
        <w:rPr>
          <w:rFonts w:asciiTheme="minorBidi" w:hAnsiTheme="minorBidi" w:cstheme="minorBidi"/>
          <w:lang w:val="en-US"/>
        </w:rPr>
        <w:t>Plaintiffs regarding the Freeze Orders.</w:t>
      </w:r>
      <w:r w:rsidR="00C42FD3">
        <w:rPr>
          <w:rFonts w:asciiTheme="minorBidi" w:hAnsiTheme="minorBidi" w:cstheme="minorBidi"/>
          <w:lang w:val="en-US"/>
        </w:rPr>
        <w:t xml:space="preserve"> The Court </w:t>
      </w:r>
      <w:r w:rsidR="00BE2F0D">
        <w:rPr>
          <w:rFonts w:asciiTheme="minorBidi" w:hAnsiTheme="minorBidi" w:cstheme="minorBidi"/>
          <w:lang w:val="en-US"/>
        </w:rPr>
        <w:t xml:space="preserve">noted </w:t>
      </w:r>
      <w:r w:rsidR="00C42FD3">
        <w:rPr>
          <w:rFonts w:asciiTheme="minorBidi" w:hAnsiTheme="minorBidi" w:cstheme="minorBidi"/>
          <w:lang w:val="en-US"/>
        </w:rPr>
        <w:t>that</w:t>
      </w:r>
      <w:r w:rsidRPr="00DF7B16">
        <w:rPr>
          <w:rFonts w:asciiTheme="minorBidi" w:hAnsiTheme="minorBidi" w:cstheme="minorBidi"/>
          <w:lang w:val="en-US"/>
        </w:rPr>
        <w:t xml:space="preserve"> </w:t>
      </w:r>
      <w:r w:rsidR="00C42FD3">
        <w:rPr>
          <w:rFonts w:asciiTheme="minorBidi" w:hAnsiTheme="minorBidi" w:cstheme="minorBidi"/>
          <w:lang w:val="en-US"/>
        </w:rPr>
        <w:t>a</w:t>
      </w:r>
      <w:r w:rsidRPr="00DF7B16">
        <w:rPr>
          <w:rFonts w:asciiTheme="minorBidi" w:hAnsiTheme="minorBidi" w:cstheme="minorBidi"/>
          <w:lang w:val="en-US"/>
        </w:rPr>
        <w:t xml:space="preserve">n agency action is arbitrary or capricious if not </w:t>
      </w:r>
      <w:r w:rsidR="007B0C92">
        <w:rPr>
          <w:rFonts w:asciiTheme="minorBidi" w:hAnsiTheme="minorBidi" w:cstheme="minorBidi"/>
          <w:lang w:val="en-US"/>
        </w:rPr>
        <w:t>“</w:t>
      </w:r>
      <w:r w:rsidRPr="00DF7B16">
        <w:rPr>
          <w:rFonts w:asciiTheme="minorBidi" w:hAnsiTheme="minorBidi" w:cstheme="minorBidi"/>
          <w:lang w:val="en-US"/>
        </w:rPr>
        <w:t>reasonable and reasonably explained,</w:t>
      </w:r>
      <w:r w:rsidR="007B0C92">
        <w:rPr>
          <w:rFonts w:asciiTheme="minorBidi" w:hAnsiTheme="minorBidi" w:cstheme="minorBidi"/>
          <w:lang w:val="en-US"/>
        </w:rPr>
        <w:t>”</w:t>
      </w:r>
      <w:r w:rsidRPr="00DF7B16">
        <w:rPr>
          <w:rFonts w:asciiTheme="minorBidi" w:hAnsiTheme="minorBidi" w:cstheme="minorBidi"/>
          <w:lang w:val="en-US"/>
        </w:rPr>
        <w:t xml:space="preserve"> requiring a </w:t>
      </w:r>
      <w:r w:rsidR="007B0C92">
        <w:rPr>
          <w:rFonts w:asciiTheme="minorBidi" w:hAnsiTheme="minorBidi" w:cstheme="minorBidi"/>
          <w:lang w:val="en-US"/>
        </w:rPr>
        <w:t>“</w:t>
      </w:r>
      <w:r w:rsidRPr="00DF7B16">
        <w:rPr>
          <w:rFonts w:asciiTheme="minorBidi" w:hAnsiTheme="minorBidi" w:cstheme="minorBidi"/>
          <w:lang w:val="en-US"/>
        </w:rPr>
        <w:t>rational connection between the facts found and the choice made</w:t>
      </w:r>
      <w:r w:rsidR="00317D0C">
        <w:rPr>
          <w:rFonts w:asciiTheme="minorBidi" w:hAnsiTheme="minorBidi" w:cstheme="minorBidi"/>
          <w:lang w:val="en-US"/>
        </w:rPr>
        <w:t>.</w:t>
      </w:r>
      <w:r w:rsidR="007B0C92">
        <w:rPr>
          <w:rFonts w:asciiTheme="minorBidi" w:hAnsiTheme="minorBidi" w:cstheme="minorBidi"/>
          <w:lang w:val="en-US"/>
        </w:rPr>
        <w:t>”</w:t>
      </w:r>
      <w:r w:rsidRPr="00DF7B16">
        <w:rPr>
          <w:rFonts w:asciiTheme="minorBidi" w:hAnsiTheme="minorBidi" w:cstheme="minorBidi"/>
          <w:lang w:val="en-US"/>
        </w:rPr>
        <w:t xml:space="preserve"> [p. 6</w:t>
      </w:r>
      <w:r w:rsidR="00C869CE">
        <w:rPr>
          <w:rFonts w:asciiTheme="minorBidi" w:hAnsiTheme="minorBidi" w:cstheme="minorBidi"/>
          <w:lang w:val="en-US"/>
        </w:rPr>
        <w:t>6</w:t>
      </w:r>
      <w:r w:rsidR="007B0C92">
        <w:rPr>
          <w:rFonts w:asciiTheme="minorBidi" w:hAnsiTheme="minorBidi" w:cstheme="minorBidi"/>
          <w:lang w:val="en-US"/>
        </w:rPr>
        <w:t>]</w:t>
      </w:r>
      <w:r w:rsidRPr="00DF7B16">
        <w:rPr>
          <w:rFonts w:asciiTheme="minorBidi" w:hAnsiTheme="minorBidi" w:cstheme="minorBidi"/>
          <w:lang w:val="en-US"/>
        </w:rPr>
        <w:t xml:space="preserve"> The Court found no reasoned explanation for how freezing funding would advance the goal of combating antisemitism, noting the lack of evidence of any actual review or weighing of research value against this goal before the Freeze Orders were issued</w:t>
      </w:r>
      <w:r w:rsidR="00480146">
        <w:rPr>
          <w:rFonts w:asciiTheme="minorBidi" w:hAnsiTheme="minorBidi" w:cstheme="minorBidi"/>
          <w:lang w:val="en-US"/>
        </w:rPr>
        <w:t>, the Court stated that “</w:t>
      </w:r>
      <w:r w:rsidR="00480146" w:rsidRPr="00480146">
        <w:rPr>
          <w:rFonts w:asciiTheme="minorBidi" w:hAnsiTheme="minorBidi" w:cstheme="minorBidi"/>
          <w:lang w:val="en-US"/>
        </w:rPr>
        <w:t>Defendants have not pointed to a single document, nor has the Court’s review of the record located one, that indicates that they weighed the value of the research funded by a particular grant against the goal of combating antisemitism at Harvard.</w:t>
      </w:r>
      <w:r w:rsidR="00480146">
        <w:rPr>
          <w:rFonts w:asciiTheme="minorBidi" w:hAnsiTheme="minorBidi" w:cstheme="minorBidi"/>
          <w:lang w:val="en-US"/>
        </w:rPr>
        <w:t>” [p. 67]</w:t>
      </w:r>
      <w:r w:rsidRPr="00DF7B16">
        <w:rPr>
          <w:rFonts w:asciiTheme="minorBidi" w:hAnsiTheme="minorBidi" w:cstheme="minorBidi"/>
          <w:lang w:val="en-US"/>
        </w:rPr>
        <w:t xml:space="preserve"> </w:t>
      </w:r>
    </w:p>
    <w:p w14:paraId="37D7AD4D" w14:textId="7AF4139E" w:rsidR="00DF7B16" w:rsidRPr="00DF7B16" w:rsidRDefault="00C869CE" w:rsidP="00DF7B16">
      <w:pPr>
        <w:spacing w:before="240" w:after="240"/>
        <w:jc w:val="both"/>
        <w:rPr>
          <w:rFonts w:asciiTheme="minorBidi" w:hAnsiTheme="minorBidi" w:cstheme="minorBidi"/>
          <w:lang w:val="en-US"/>
        </w:rPr>
      </w:pPr>
      <w:r>
        <w:rPr>
          <w:rFonts w:asciiTheme="minorBidi" w:hAnsiTheme="minorBidi" w:cstheme="minorBidi"/>
          <w:lang w:val="en-US"/>
        </w:rPr>
        <w:t>The Government</w:t>
      </w:r>
      <w:r w:rsidR="00DF7B16" w:rsidRPr="00DF7B16">
        <w:rPr>
          <w:rFonts w:asciiTheme="minorBidi" w:hAnsiTheme="minorBidi" w:cstheme="minorBidi"/>
          <w:lang w:val="en-US"/>
        </w:rPr>
        <w:t xml:space="preserve"> had </w:t>
      </w:r>
      <w:r w:rsidR="0055630B">
        <w:rPr>
          <w:rFonts w:asciiTheme="minorBidi" w:hAnsiTheme="minorBidi" w:cstheme="minorBidi"/>
          <w:lang w:val="en-US"/>
        </w:rPr>
        <w:t>“</w:t>
      </w:r>
      <w:r w:rsidR="00DF7B16" w:rsidRPr="00DF7B16">
        <w:rPr>
          <w:rFonts w:asciiTheme="minorBidi" w:hAnsiTheme="minorBidi" w:cstheme="minorBidi"/>
          <w:lang w:val="en-US"/>
        </w:rPr>
        <w:t>essentially no information about the prevalence of antisemitism at Harvard</w:t>
      </w:r>
      <w:r w:rsidR="0055630B">
        <w:rPr>
          <w:rFonts w:asciiTheme="minorBidi" w:hAnsiTheme="minorBidi" w:cstheme="minorBidi"/>
          <w:lang w:val="en-US"/>
        </w:rPr>
        <w:t>” [p. 68]</w:t>
      </w:r>
      <w:r w:rsidR="00DF7B16" w:rsidRPr="00DF7B16">
        <w:rPr>
          <w:rFonts w:asciiTheme="minorBidi" w:hAnsiTheme="minorBidi" w:cstheme="minorBidi"/>
          <w:lang w:val="en-US"/>
        </w:rPr>
        <w:t xml:space="preserve"> before the </w:t>
      </w:r>
      <w:proofErr w:type="gramStart"/>
      <w:r w:rsidR="00DF7B16" w:rsidRPr="00DF7B16">
        <w:rPr>
          <w:rFonts w:asciiTheme="minorBidi" w:hAnsiTheme="minorBidi" w:cstheme="minorBidi"/>
          <w:lang w:val="en-US"/>
        </w:rPr>
        <w:t>freezes, and</w:t>
      </w:r>
      <w:proofErr w:type="gramEnd"/>
      <w:r w:rsidR="00DF7B16" w:rsidRPr="00DF7B16">
        <w:rPr>
          <w:rFonts w:asciiTheme="minorBidi" w:hAnsiTheme="minorBidi" w:cstheme="minorBidi"/>
          <w:lang w:val="en-US"/>
        </w:rPr>
        <w:t xml:space="preserve"> relied on the Harvard Task Force Report that was released</w:t>
      </w:r>
      <w:r w:rsidR="00DF7B16" w:rsidRPr="00C70719">
        <w:rPr>
          <w:rFonts w:asciiTheme="minorBidi" w:hAnsiTheme="minorBidi" w:cstheme="minorBidi"/>
          <w:lang w:val="en-US"/>
        </w:rPr>
        <w:t xml:space="preserve"> after</w:t>
      </w:r>
      <w:r w:rsidR="00DF7B16" w:rsidRPr="00DF7B16">
        <w:rPr>
          <w:rFonts w:asciiTheme="minorBidi" w:hAnsiTheme="minorBidi" w:cstheme="minorBidi"/>
          <w:lang w:val="en-US"/>
        </w:rPr>
        <w:t xml:space="preserve"> the April 14 Freeze Order, constituting an impermissible post-hoc rationalization. </w:t>
      </w:r>
      <w:r w:rsidR="00DD33CA">
        <w:rPr>
          <w:rFonts w:asciiTheme="minorBidi" w:hAnsiTheme="minorBidi" w:cstheme="minorBidi"/>
          <w:lang w:val="en-US"/>
        </w:rPr>
        <w:t xml:space="preserve">The Government </w:t>
      </w:r>
      <w:r w:rsidR="00DF7B16" w:rsidRPr="00DF7B16">
        <w:rPr>
          <w:rFonts w:asciiTheme="minorBidi" w:hAnsiTheme="minorBidi" w:cstheme="minorBidi"/>
          <w:lang w:val="en-US"/>
        </w:rPr>
        <w:t xml:space="preserve">also failed to acknowledge or consider Harvard's substantial </w:t>
      </w:r>
      <w:r w:rsidR="00DF7B16" w:rsidRPr="00DF7B16">
        <w:rPr>
          <w:rFonts w:asciiTheme="minorBidi" w:hAnsiTheme="minorBidi" w:cstheme="minorBidi"/>
          <w:lang w:val="en-US"/>
        </w:rPr>
        <w:lastRenderedPageBreak/>
        <w:t>efforts to address antisemitism</w:t>
      </w:r>
      <w:r w:rsidR="009E77DB">
        <w:rPr>
          <w:rFonts w:asciiTheme="minorBidi" w:hAnsiTheme="minorBidi" w:cstheme="minorBidi"/>
          <w:lang w:val="en-US"/>
        </w:rPr>
        <w:t xml:space="preserve">, it also </w:t>
      </w:r>
      <w:r w:rsidR="00DF7B16" w:rsidRPr="00DF7B16">
        <w:rPr>
          <w:rFonts w:asciiTheme="minorBidi" w:hAnsiTheme="minorBidi" w:cstheme="minorBidi"/>
          <w:lang w:val="en-US"/>
        </w:rPr>
        <w:t xml:space="preserve">failed to consider the immense </w:t>
      </w:r>
      <w:r w:rsidR="00FA43F1">
        <w:rPr>
          <w:rFonts w:asciiTheme="minorBidi" w:hAnsiTheme="minorBidi" w:cstheme="minorBidi"/>
          <w:lang w:val="en-US"/>
        </w:rPr>
        <w:t>“</w:t>
      </w:r>
      <w:r w:rsidR="00DF7B16" w:rsidRPr="00DF7B16">
        <w:rPr>
          <w:rFonts w:asciiTheme="minorBidi" w:hAnsiTheme="minorBidi" w:cstheme="minorBidi"/>
          <w:lang w:val="en-US"/>
        </w:rPr>
        <w:t>societal costs</w:t>
      </w:r>
      <w:r w:rsidR="00FA43F1">
        <w:rPr>
          <w:rFonts w:asciiTheme="minorBidi" w:hAnsiTheme="minorBidi" w:cstheme="minorBidi"/>
          <w:lang w:val="en-US"/>
        </w:rPr>
        <w:t>”</w:t>
      </w:r>
      <w:r w:rsidR="00DF7B16" w:rsidRPr="00DF7B16">
        <w:rPr>
          <w:rFonts w:asciiTheme="minorBidi" w:hAnsiTheme="minorBidi" w:cstheme="minorBidi"/>
          <w:lang w:val="en-US"/>
        </w:rPr>
        <w:t xml:space="preserve"> of freezing critical research</w:t>
      </w:r>
      <w:r w:rsidR="005F0FF7">
        <w:rPr>
          <w:rFonts w:asciiTheme="minorBidi" w:hAnsiTheme="minorBidi" w:cstheme="minorBidi"/>
          <w:lang w:val="en-US"/>
        </w:rPr>
        <w:t xml:space="preserve">, </w:t>
      </w:r>
      <w:r w:rsidR="00DF7B16" w:rsidRPr="00DF7B16">
        <w:rPr>
          <w:rFonts w:asciiTheme="minorBidi" w:hAnsiTheme="minorBidi" w:cstheme="minorBidi"/>
          <w:lang w:val="en-US"/>
        </w:rPr>
        <w:t>from military research to cancer treatments</w:t>
      </w:r>
      <w:r w:rsidR="005F0FF7">
        <w:rPr>
          <w:rFonts w:asciiTheme="minorBidi" w:hAnsiTheme="minorBidi" w:cstheme="minorBidi"/>
          <w:lang w:val="en-US"/>
        </w:rPr>
        <w:t xml:space="preserve">, </w:t>
      </w:r>
      <w:r w:rsidR="00DF7B16" w:rsidRPr="00DF7B16">
        <w:rPr>
          <w:rFonts w:asciiTheme="minorBidi" w:hAnsiTheme="minorBidi" w:cstheme="minorBidi"/>
          <w:lang w:val="en-US"/>
        </w:rPr>
        <w:t xml:space="preserve">without evaluating less restrictive alternatives, potentially harming the very people they claimed to protect. The </w:t>
      </w:r>
      <w:r w:rsidR="009137AB">
        <w:rPr>
          <w:rFonts w:asciiTheme="minorBidi" w:hAnsiTheme="minorBidi" w:cstheme="minorBidi"/>
          <w:lang w:val="en-US"/>
        </w:rPr>
        <w:t>“</w:t>
      </w:r>
      <w:r w:rsidR="00DF7B16" w:rsidRPr="00DF7B16">
        <w:rPr>
          <w:rFonts w:asciiTheme="minorBidi" w:hAnsiTheme="minorBidi" w:cstheme="minorBidi"/>
          <w:lang w:val="en-US"/>
        </w:rPr>
        <w:t>decades of reliance interests</w:t>
      </w:r>
      <w:r w:rsidR="009137AB">
        <w:rPr>
          <w:rFonts w:asciiTheme="minorBidi" w:hAnsiTheme="minorBidi" w:cstheme="minorBidi"/>
          <w:lang w:val="en-US"/>
        </w:rPr>
        <w:t>”</w:t>
      </w:r>
      <w:r w:rsidR="00DF7B16" w:rsidRPr="00DF7B16">
        <w:rPr>
          <w:rFonts w:asciiTheme="minorBidi" w:hAnsiTheme="minorBidi" w:cstheme="minorBidi"/>
          <w:lang w:val="en-US"/>
        </w:rPr>
        <w:t xml:space="preserve"> of scientists compounded this problem, necessitating a more detailed justification from </w:t>
      </w:r>
      <w:r w:rsidR="007A5C48">
        <w:rPr>
          <w:rFonts w:asciiTheme="minorBidi" w:hAnsiTheme="minorBidi" w:cstheme="minorBidi"/>
          <w:lang w:val="en-US"/>
        </w:rPr>
        <w:t>the Government</w:t>
      </w:r>
      <w:r w:rsidR="00DF7B16" w:rsidRPr="00DF7B16">
        <w:rPr>
          <w:rFonts w:asciiTheme="minorBidi" w:hAnsiTheme="minorBidi" w:cstheme="minorBidi"/>
          <w:lang w:val="en-US"/>
        </w:rPr>
        <w:t xml:space="preserve">. The Court concluded </w:t>
      </w:r>
      <w:r w:rsidR="00715AAB">
        <w:rPr>
          <w:rFonts w:asciiTheme="minorBidi" w:hAnsiTheme="minorBidi" w:cstheme="minorBidi"/>
          <w:lang w:val="en-US"/>
        </w:rPr>
        <w:t>“</w:t>
      </w:r>
      <w:r w:rsidR="0040023E">
        <w:rPr>
          <w:rFonts w:asciiTheme="minorBidi" w:hAnsiTheme="minorBidi" w:cstheme="minorBidi"/>
          <w:lang w:val="en-US"/>
        </w:rPr>
        <w:t xml:space="preserve">it is that </w:t>
      </w:r>
      <w:r w:rsidR="00DF7B16" w:rsidRPr="00DF7B16">
        <w:rPr>
          <w:rFonts w:asciiTheme="minorBidi" w:hAnsiTheme="minorBidi" w:cstheme="minorBidi"/>
          <w:lang w:val="en-US"/>
        </w:rPr>
        <w:t>rational connection between the grant terminations and the fight against antisemitism that is wholly lacking here</w:t>
      </w:r>
      <w:r w:rsidR="00AD3822">
        <w:rPr>
          <w:rFonts w:asciiTheme="minorBidi" w:hAnsiTheme="minorBidi" w:cstheme="minorBidi"/>
          <w:lang w:val="en-US"/>
        </w:rPr>
        <w:t>.</w:t>
      </w:r>
      <w:r w:rsidR="00715AAB">
        <w:rPr>
          <w:rFonts w:asciiTheme="minorBidi" w:hAnsiTheme="minorBidi" w:cstheme="minorBidi"/>
          <w:lang w:val="en-US"/>
        </w:rPr>
        <w:t>”</w:t>
      </w:r>
      <w:r w:rsidR="00DF7B16" w:rsidRPr="00DF7B16">
        <w:rPr>
          <w:rFonts w:asciiTheme="minorBidi" w:hAnsiTheme="minorBidi" w:cstheme="minorBidi"/>
          <w:lang w:val="en-US"/>
        </w:rPr>
        <w:t xml:space="preserve"> [p. 73]</w:t>
      </w:r>
      <w:r w:rsidR="00AD3822">
        <w:rPr>
          <w:rFonts w:asciiTheme="minorBidi" w:hAnsiTheme="minorBidi" w:cstheme="minorBidi"/>
          <w:lang w:val="en-US"/>
        </w:rPr>
        <w:t xml:space="preserve"> </w:t>
      </w:r>
      <w:r w:rsidR="00E1602F">
        <w:rPr>
          <w:rFonts w:asciiTheme="minorBidi" w:hAnsiTheme="minorBidi" w:cstheme="minorBidi"/>
          <w:lang w:val="en-US"/>
        </w:rPr>
        <w:t xml:space="preserve">Conclusively, </w:t>
      </w:r>
      <w:r w:rsidR="007243D9">
        <w:rPr>
          <w:rFonts w:asciiTheme="minorBidi" w:hAnsiTheme="minorBidi" w:cstheme="minorBidi"/>
          <w:lang w:val="en-US"/>
        </w:rPr>
        <w:t>t</w:t>
      </w:r>
      <w:r w:rsidR="00AD3822">
        <w:rPr>
          <w:rFonts w:asciiTheme="minorBidi" w:hAnsiTheme="minorBidi" w:cstheme="minorBidi"/>
          <w:lang w:val="en-US"/>
        </w:rPr>
        <w:t xml:space="preserve">he Court granted </w:t>
      </w:r>
      <w:r w:rsidR="00E1602F">
        <w:rPr>
          <w:rFonts w:asciiTheme="minorBidi" w:hAnsiTheme="minorBidi" w:cstheme="minorBidi"/>
          <w:lang w:val="en-US"/>
        </w:rPr>
        <w:t>the Plaintiff’s motions for summary judgement regarding the arbitrary and capricious claims.</w:t>
      </w:r>
    </w:p>
    <w:p w14:paraId="15E23843" w14:textId="75D06496" w:rsidR="00FF762E" w:rsidRDefault="005E4B83" w:rsidP="00DF7B16">
      <w:pPr>
        <w:spacing w:before="240" w:after="240"/>
        <w:jc w:val="both"/>
        <w:rPr>
          <w:rFonts w:asciiTheme="minorBidi" w:hAnsiTheme="minorBidi" w:cstheme="minorBidi"/>
          <w:lang w:val="en-US"/>
        </w:rPr>
      </w:pPr>
      <w:r w:rsidRPr="005E4B83">
        <w:rPr>
          <w:rFonts w:asciiTheme="minorBidi" w:hAnsiTheme="minorBidi" w:cstheme="minorBidi"/>
          <w:lang w:val="en-US"/>
        </w:rPr>
        <w:t xml:space="preserve">With regard to the ultra vires claims, the Court observed that a review in this regard is "strictly limited" and unavailable if </w:t>
      </w:r>
      <w:r w:rsidR="00620DD0">
        <w:rPr>
          <w:rFonts w:asciiTheme="minorBidi" w:hAnsiTheme="minorBidi" w:cstheme="minorBidi"/>
          <w:lang w:val="en-US"/>
        </w:rPr>
        <w:t>“</w:t>
      </w:r>
      <w:r w:rsidRPr="005E4B83">
        <w:rPr>
          <w:rFonts w:asciiTheme="minorBidi" w:hAnsiTheme="minorBidi" w:cstheme="minorBidi"/>
          <w:lang w:val="en-US"/>
        </w:rPr>
        <w:t>a statutory review scheme provides aggrieved persons with a meaningful and adequate opportunity for judicial review.</w:t>
      </w:r>
      <w:r w:rsidR="00620DD0">
        <w:rPr>
          <w:rFonts w:asciiTheme="minorBidi" w:hAnsiTheme="minorBidi" w:cstheme="minorBidi"/>
          <w:lang w:val="en-US"/>
        </w:rPr>
        <w:t>”</w:t>
      </w:r>
      <w:r w:rsidRPr="005E4B83">
        <w:rPr>
          <w:rFonts w:asciiTheme="minorBidi" w:hAnsiTheme="minorBidi" w:cstheme="minorBidi"/>
          <w:lang w:val="en-US"/>
        </w:rPr>
        <w:t xml:space="preserve"> [p. 74] Since Plaintiffs succeeded on their APA claims before the Court, an alternative path to judicial review existed. For that reason, the Court granted the Government’s motions for summary judgment on the ultra vires claims.</w:t>
      </w:r>
    </w:p>
    <w:p w14:paraId="45FF4DB8" w14:textId="3ED70788" w:rsidR="00684662" w:rsidRPr="00684662" w:rsidRDefault="00684662" w:rsidP="00684662">
      <w:pPr>
        <w:spacing w:before="240" w:after="240"/>
        <w:jc w:val="both"/>
        <w:rPr>
          <w:rFonts w:asciiTheme="minorBidi" w:hAnsiTheme="minorBidi" w:cstheme="minorBidi"/>
          <w:lang w:val="en-US"/>
        </w:rPr>
      </w:pPr>
      <w:r w:rsidRPr="00684662">
        <w:rPr>
          <w:rFonts w:asciiTheme="minorBidi" w:hAnsiTheme="minorBidi" w:cstheme="minorBidi"/>
          <w:lang w:val="en-US"/>
        </w:rPr>
        <w:t>On the Organizational Plaintiffs’ due process claims, the Court denied the Government’s motion for summary judgment on the APA claim, finding that the Government’s arguments largely disregarded Plaintiffs’ contention that their First Amendment rights created a protected liberty interest. By contrast, the Court granted the Government’s motion on the ultra vires due process claim, holding that a remedy at law was available.</w:t>
      </w:r>
    </w:p>
    <w:p w14:paraId="371AB757" w14:textId="16F09019" w:rsidR="00684662" w:rsidRDefault="00684662" w:rsidP="00684662">
      <w:pPr>
        <w:spacing w:before="240" w:after="240"/>
        <w:jc w:val="both"/>
        <w:rPr>
          <w:rFonts w:asciiTheme="minorBidi" w:hAnsiTheme="minorBidi" w:cstheme="minorBidi"/>
          <w:lang w:val="en-US"/>
        </w:rPr>
      </w:pPr>
      <w:r w:rsidRPr="00684662">
        <w:rPr>
          <w:rFonts w:asciiTheme="minorBidi" w:hAnsiTheme="minorBidi" w:cstheme="minorBidi"/>
          <w:lang w:val="en-US"/>
        </w:rPr>
        <w:t xml:space="preserve">Similarly, the Court denied the Government’s motion for summary judgment on the Organizational Plaintiffs’ APA separation of powers claims, because </w:t>
      </w:r>
      <w:r w:rsidR="00242CEE">
        <w:rPr>
          <w:rFonts w:asciiTheme="minorBidi" w:hAnsiTheme="minorBidi" w:cstheme="minorBidi"/>
          <w:lang w:val="en-US"/>
        </w:rPr>
        <w:t>the Government</w:t>
      </w:r>
      <w:r w:rsidRPr="00684662">
        <w:rPr>
          <w:rFonts w:asciiTheme="minorBidi" w:hAnsiTheme="minorBidi" w:cstheme="minorBidi"/>
          <w:lang w:val="en-US"/>
        </w:rPr>
        <w:t xml:space="preserve"> failed to establish legal authority for terminating individual grants, and the terminations were inconsistent with the First Amendment and Title VI. The ultra vires separation of powers claim, however, was dismissed on the ground that the APA supplied an adequate remedial pathway.</w:t>
      </w:r>
    </w:p>
    <w:p w14:paraId="24861898" w14:textId="77777777" w:rsidR="009A20B6" w:rsidRDefault="009A20B6" w:rsidP="00DF7B16">
      <w:pPr>
        <w:spacing w:before="240" w:after="240"/>
        <w:jc w:val="both"/>
        <w:rPr>
          <w:rFonts w:asciiTheme="minorBidi" w:hAnsiTheme="minorBidi" w:cstheme="minorBidi"/>
          <w:lang w:val="en-US"/>
        </w:rPr>
      </w:pPr>
      <w:proofErr w:type="gramStart"/>
      <w:r w:rsidRPr="009A20B6">
        <w:rPr>
          <w:rFonts w:asciiTheme="minorBidi" w:hAnsiTheme="minorBidi" w:cstheme="minorBidi"/>
          <w:lang w:val="en-US"/>
        </w:rPr>
        <w:t>With regard to</w:t>
      </w:r>
      <w:proofErr w:type="gramEnd"/>
      <w:r w:rsidRPr="009A20B6">
        <w:rPr>
          <w:rFonts w:asciiTheme="minorBidi" w:hAnsiTheme="minorBidi" w:cstheme="minorBidi"/>
          <w:lang w:val="en-US"/>
        </w:rPr>
        <w:t xml:space="preserve"> the permanent injunction, the Court granted Plaintiffs’ request, finding they had prevailed on their First Amendment and Title VI claims. The Government did not dispute that the loss of First Amendment freedoms constitutes irreparable harm, nor that the balancing of harms and public interest weighed in favor of injunctive relief. The Court emphasized that the standard for permanent injunctive relief mirrors that for a preliminary injunction, except that the movant must demonstrate actual success on the merits rather than a likelihood of success, citing </w:t>
      </w:r>
      <w:r w:rsidRPr="0087363F">
        <w:rPr>
          <w:rFonts w:asciiTheme="minorBidi" w:hAnsiTheme="minorBidi" w:cstheme="minorBidi"/>
          <w:i/>
          <w:iCs/>
          <w:lang w:val="en-US"/>
        </w:rPr>
        <w:t>Esso Standard Oil Co. v. Freytes</w:t>
      </w:r>
      <w:r w:rsidRPr="009A20B6">
        <w:rPr>
          <w:rFonts w:asciiTheme="minorBidi" w:hAnsiTheme="minorBidi" w:cstheme="minorBidi"/>
          <w:lang w:val="en-US"/>
        </w:rPr>
        <w:t xml:space="preserve">. </w:t>
      </w:r>
    </w:p>
    <w:p w14:paraId="667A8382" w14:textId="204A0788" w:rsidR="00D25B16" w:rsidRDefault="009A20B6" w:rsidP="00DC4BB7">
      <w:pPr>
        <w:spacing w:before="240" w:after="240"/>
        <w:jc w:val="both"/>
        <w:rPr>
          <w:rFonts w:asciiTheme="minorBidi" w:hAnsiTheme="minorBidi" w:cstheme="minorBidi"/>
          <w:lang w:val="en-US"/>
        </w:rPr>
      </w:pPr>
      <w:r w:rsidRPr="009A20B6">
        <w:rPr>
          <w:rFonts w:asciiTheme="minorBidi" w:hAnsiTheme="minorBidi" w:cstheme="minorBidi"/>
          <w:lang w:val="en-US"/>
        </w:rPr>
        <w:t xml:space="preserve">In addition to showing actual success, Plaintiffs also satisfied the remaining elements: </w:t>
      </w:r>
      <w:r w:rsidRPr="00B0151B">
        <w:rPr>
          <w:rFonts w:asciiTheme="minorBidi" w:hAnsiTheme="minorBidi" w:cstheme="minorBidi"/>
          <w:i/>
          <w:iCs/>
          <w:lang w:val="en-US"/>
        </w:rPr>
        <w:t>(</w:t>
      </w:r>
      <w:proofErr w:type="spellStart"/>
      <w:r w:rsidRPr="00B0151B">
        <w:rPr>
          <w:rFonts w:asciiTheme="minorBidi" w:hAnsiTheme="minorBidi" w:cstheme="minorBidi"/>
          <w:i/>
          <w:iCs/>
          <w:lang w:val="en-US"/>
        </w:rPr>
        <w:t>i</w:t>
      </w:r>
      <w:proofErr w:type="spellEnd"/>
      <w:r w:rsidRPr="00B0151B">
        <w:rPr>
          <w:rFonts w:asciiTheme="minorBidi" w:hAnsiTheme="minorBidi" w:cstheme="minorBidi"/>
          <w:i/>
          <w:iCs/>
          <w:lang w:val="en-US"/>
        </w:rPr>
        <w:t>)</w:t>
      </w:r>
      <w:r w:rsidRPr="009A20B6">
        <w:rPr>
          <w:rFonts w:asciiTheme="minorBidi" w:hAnsiTheme="minorBidi" w:cstheme="minorBidi"/>
          <w:lang w:val="en-US"/>
        </w:rPr>
        <w:t xml:space="preserve"> irreparable injury absent relief; </w:t>
      </w:r>
      <w:r w:rsidRPr="00B0151B">
        <w:rPr>
          <w:rFonts w:asciiTheme="minorBidi" w:hAnsiTheme="minorBidi" w:cstheme="minorBidi"/>
          <w:i/>
          <w:iCs/>
          <w:lang w:val="en-US"/>
        </w:rPr>
        <w:t>(ii)</w:t>
      </w:r>
      <w:r w:rsidRPr="009A20B6">
        <w:rPr>
          <w:rFonts w:asciiTheme="minorBidi" w:hAnsiTheme="minorBidi" w:cstheme="minorBidi"/>
          <w:lang w:val="en-US"/>
        </w:rPr>
        <w:t xml:space="preserve"> that the harm to them outweighed any harm to </w:t>
      </w:r>
      <w:r w:rsidR="00B0151B">
        <w:rPr>
          <w:rFonts w:asciiTheme="minorBidi" w:hAnsiTheme="minorBidi" w:cstheme="minorBidi"/>
          <w:lang w:val="en-US"/>
        </w:rPr>
        <w:t>the Government</w:t>
      </w:r>
      <w:r w:rsidRPr="009A20B6">
        <w:rPr>
          <w:rFonts w:asciiTheme="minorBidi" w:hAnsiTheme="minorBidi" w:cstheme="minorBidi"/>
          <w:lang w:val="en-US"/>
        </w:rPr>
        <w:t xml:space="preserve">; and </w:t>
      </w:r>
      <w:r w:rsidRPr="00B0151B">
        <w:rPr>
          <w:rFonts w:asciiTheme="minorBidi" w:hAnsiTheme="minorBidi" w:cstheme="minorBidi"/>
          <w:i/>
          <w:iCs/>
          <w:lang w:val="en-US"/>
        </w:rPr>
        <w:t>(iii)</w:t>
      </w:r>
      <w:r w:rsidRPr="009A20B6">
        <w:rPr>
          <w:rFonts w:asciiTheme="minorBidi" w:hAnsiTheme="minorBidi" w:cstheme="minorBidi"/>
          <w:lang w:val="en-US"/>
        </w:rPr>
        <w:t xml:space="preserve"> that </w:t>
      </w:r>
      <w:proofErr w:type="gramStart"/>
      <w:r w:rsidRPr="009A20B6">
        <w:rPr>
          <w:rFonts w:asciiTheme="minorBidi" w:hAnsiTheme="minorBidi" w:cstheme="minorBidi"/>
          <w:lang w:val="en-US"/>
        </w:rPr>
        <w:t>the public</w:t>
      </w:r>
      <w:proofErr w:type="gramEnd"/>
      <w:r w:rsidRPr="009A20B6">
        <w:rPr>
          <w:rFonts w:asciiTheme="minorBidi" w:hAnsiTheme="minorBidi" w:cstheme="minorBidi"/>
          <w:lang w:val="en-US"/>
        </w:rPr>
        <w:t xml:space="preserve"> interest would not be </w:t>
      </w:r>
      <w:proofErr w:type="gramStart"/>
      <w:r w:rsidRPr="009A20B6">
        <w:rPr>
          <w:rFonts w:asciiTheme="minorBidi" w:hAnsiTheme="minorBidi" w:cstheme="minorBidi"/>
          <w:lang w:val="en-US"/>
        </w:rPr>
        <w:t>disserved</w:t>
      </w:r>
      <w:proofErr w:type="gramEnd"/>
      <w:r w:rsidRPr="009A20B6">
        <w:rPr>
          <w:rFonts w:asciiTheme="minorBidi" w:hAnsiTheme="minorBidi" w:cstheme="minorBidi"/>
          <w:lang w:val="en-US"/>
        </w:rPr>
        <w:t xml:space="preserve">. Accordingly, the Court agreed with Plaintiffs that the injunction should bar </w:t>
      </w:r>
      <w:r w:rsidR="009573FB">
        <w:rPr>
          <w:rFonts w:asciiTheme="minorBidi" w:hAnsiTheme="minorBidi" w:cstheme="minorBidi"/>
          <w:lang w:val="en-US"/>
        </w:rPr>
        <w:t>the Government</w:t>
      </w:r>
      <w:r w:rsidRPr="009A20B6">
        <w:rPr>
          <w:rFonts w:asciiTheme="minorBidi" w:hAnsiTheme="minorBidi" w:cstheme="minorBidi"/>
          <w:lang w:val="en-US"/>
        </w:rPr>
        <w:t xml:space="preserve"> from reimposing unconstitutional conditions, engaging in further retaliatory or non</w:t>
      </w:r>
      <w:r w:rsidR="00B0151B">
        <w:rPr>
          <w:rFonts w:asciiTheme="minorBidi" w:hAnsiTheme="minorBidi" w:cstheme="minorBidi"/>
          <w:lang w:val="en-US"/>
        </w:rPr>
        <w:t>-</w:t>
      </w:r>
      <w:r w:rsidRPr="009A20B6">
        <w:rPr>
          <w:rFonts w:asciiTheme="minorBidi" w:hAnsiTheme="minorBidi" w:cstheme="minorBidi"/>
          <w:lang w:val="en-US"/>
        </w:rPr>
        <w:t>Title VI compliant funding actions, or denying future grants on unlawful grounds.</w:t>
      </w:r>
    </w:p>
    <w:p w14:paraId="02012DA9" w14:textId="11DB5BAA" w:rsidR="00D47456" w:rsidRPr="0087363F" w:rsidRDefault="00D25B16" w:rsidP="00672DC6">
      <w:pPr>
        <w:spacing w:before="240" w:after="240"/>
        <w:jc w:val="both"/>
        <w:rPr>
          <w:rFonts w:asciiTheme="minorBidi" w:hAnsiTheme="minorBidi" w:cstheme="minorBidi"/>
          <w:lang w:val="en-US"/>
        </w:rPr>
      </w:pPr>
      <w:r>
        <w:rPr>
          <w:rFonts w:asciiTheme="minorBidi" w:hAnsiTheme="minorBidi" w:cstheme="minorBidi"/>
          <w:lang w:val="en-US"/>
        </w:rPr>
        <w:t xml:space="preserve">The Court, in its conclusion, </w:t>
      </w:r>
      <w:r w:rsidR="00072BBC">
        <w:rPr>
          <w:rFonts w:asciiTheme="minorBidi" w:hAnsiTheme="minorBidi" w:cstheme="minorBidi"/>
          <w:lang w:val="en-US"/>
        </w:rPr>
        <w:t>stated</w:t>
      </w:r>
      <w:r>
        <w:rPr>
          <w:rFonts w:asciiTheme="minorBidi" w:hAnsiTheme="minorBidi" w:cstheme="minorBidi"/>
          <w:lang w:val="en-US"/>
        </w:rPr>
        <w:t xml:space="preserve"> that “</w:t>
      </w:r>
      <w:r w:rsidR="00567DB5">
        <w:rPr>
          <w:rFonts w:asciiTheme="minorBidi" w:hAnsiTheme="minorBidi" w:cstheme="minorBidi"/>
          <w:lang w:val="en-US"/>
        </w:rPr>
        <w:t>[t]</w:t>
      </w:r>
      <w:r w:rsidR="00567DB5" w:rsidRPr="00567DB5">
        <w:rPr>
          <w:rFonts w:asciiTheme="minorBidi" w:hAnsiTheme="minorBidi" w:cstheme="minorBidi"/>
          <w:lang w:val="en-US"/>
        </w:rPr>
        <w:t>he idea that fighting antisemitism is Defendants’ true aim is belied by the fact that the majority of the demands they are making of Harvard to restore its research funding are directed, on their face, at Harvard’s governance, staffing and hiring practices, and admissions policies—all of which have little to do with antisemitism and everything to do with Defendants’ power and political views.</w:t>
      </w:r>
      <w:r w:rsidR="00567DB5">
        <w:rPr>
          <w:rFonts w:asciiTheme="minorBidi" w:hAnsiTheme="minorBidi" w:cstheme="minorBidi"/>
          <w:lang w:val="en-US"/>
        </w:rPr>
        <w:t xml:space="preserve">” [p. 80] </w:t>
      </w:r>
      <w:r w:rsidR="00260F83">
        <w:rPr>
          <w:rFonts w:asciiTheme="minorBidi" w:hAnsiTheme="minorBidi" w:cstheme="minorBidi"/>
          <w:lang w:val="en-US"/>
        </w:rPr>
        <w:t xml:space="preserve">It further highlighted </w:t>
      </w:r>
      <w:r w:rsidR="00672DC6">
        <w:rPr>
          <w:rFonts w:asciiTheme="minorBidi" w:hAnsiTheme="minorBidi" w:cstheme="minorBidi"/>
          <w:lang w:val="en-US"/>
        </w:rPr>
        <w:t xml:space="preserve">the statement of </w:t>
      </w:r>
      <w:r w:rsidR="00260F83">
        <w:rPr>
          <w:rFonts w:asciiTheme="minorBidi" w:hAnsiTheme="minorBidi" w:cstheme="minorBidi"/>
          <w:lang w:val="en-US"/>
        </w:rPr>
        <w:t xml:space="preserve">Justice Brandeis of the Supreme Court in </w:t>
      </w:r>
      <w:r w:rsidR="00260F83" w:rsidRPr="00672DC6">
        <w:rPr>
          <w:rFonts w:asciiTheme="minorBidi" w:hAnsiTheme="minorBidi" w:cstheme="minorBidi"/>
          <w:i/>
          <w:iCs/>
          <w:lang w:val="en-US"/>
        </w:rPr>
        <w:t xml:space="preserve">Whitney v. </w:t>
      </w:r>
      <w:r w:rsidR="003F35B4" w:rsidRPr="00672DC6">
        <w:rPr>
          <w:rFonts w:asciiTheme="minorBidi" w:hAnsiTheme="minorBidi" w:cstheme="minorBidi"/>
          <w:i/>
          <w:iCs/>
          <w:lang w:val="en-US"/>
        </w:rPr>
        <w:t>California</w:t>
      </w:r>
      <w:r w:rsidR="00260F83">
        <w:rPr>
          <w:rFonts w:asciiTheme="minorBidi" w:hAnsiTheme="minorBidi" w:cstheme="minorBidi"/>
          <w:lang w:val="en-US"/>
        </w:rPr>
        <w:t xml:space="preserve">, </w:t>
      </w:r>
      <w:r w:rsidR="00672DC6">
        <w:rPr>
          <w:rFonts w:asciiTheme="minorBidi" w:hAnsiTheme="minorBidi" w:cstheme="minorBidi"/>
          <w:lang w:val="en-US"/>
        </w:rPr>
        <w:t xml:space="preserve">where </w:t>
      </w:r>
      <w:r w:rsidR="001A2CE5">
        <w:rPr>
          <w:rFonts w:asciiTheme="minorBidi" w:hAnsiTheme="minorBidi" w:cstheme="minorBidi"/>
          <w:lang w:val="en-US"/>
        </w:rPr>
        <w:t>he stated that “</w:t>
      </w:r>
      <w:r w:rsidR="001A2CE5" w:rsidRPr="001A2CE5">
        <w:rPr>
          <w:rFonts w:asciiTheme="minorBidi" w:hAnsiTheme="minorBidi" w:cstheme="minorBidi"/>
          <w:lang w:val="en-US"/>
        </w:rPr>
        <w:t>[</w:t>
      </w:r>
      <w:proofErr w:type="spellStart"/>
      <w:r w:rsidR="001A2CE5" w:rsidRPr="001A2CE5">
        <w:rPr>
          <w:rFonts w:asciiTheme="minorBidi" w:hAnsiTheme="minorBidi" w:cstheme="minorBidi"/>
          <w:lang w:val="en-US"/>
        </w:rPr>
        <w:t>i</w:t>
      </w:r>
      <w:proofErr w:type="spellEnd"/>
      <w:r w:rsidR="001A2CE5" w:rsidRPr="001A2CE5">
        <w:rPr>
          <w:rFonts w:asciiTheme="minorBidi" w:hAnsiTheme="minorBidi" w:cstheme="minorBidi"/>
          <w:lang w:val="en-US"/>
        </w:rPr>
        <w:t xml:space="preserve">]f there be time to expose through discussion the falsehood and fallacies, to avert the evil by the processes of education, the remedy to be applied is more speech, not enforced </w:t>
      </w:r>
      <w:r w:rsidR="001A2CE5" w:rsidRPr="001A2CE5">
        <w:rPr>
          <w:rFonts w:asciiTheme="minorBidi" w:hAnsiTheme="minorBidi" w:cstheme="minorBidi"/>
          <w:lang w:val="en-US"/>
        </w:rPr>
        <w:lastRenderedPageBreak/>
        <w:t>silence</w:t>
      </w:r>
      <w:r w:rsidR="00672DC6">
        <w:rPr>
          <w:rFonts w:asciiTheme="minorBidi" w:hAnsiTheme="minorBidi" w:cstheme="minorBidi"/>
          <w:lang w:val="en-US"/>
        </w:rPr>
        <w:t xml:space="preserve">[.]” [p. 80] </w:t>
      </w:r>
      <w:r w:rsidR="00334C0D">
        <w:rPr>
          <w:rFonts w:asciiTheme="minorBidi" w:hAnsiTheme="minorBidi" w:cstheme="minorBidi"/>
          <w:lang w:val="en-US"/>
        </w:rPr>
        <w:t>Ultimately, t</w:t>
      </w:r>
      <w:r w:rsidR="0087363F" w:rsidRPr="0087363F">
        <w:rPr>
          <w:rFonts w:asciiTheme="minorBidi" w:hAnsiTheme="minorBidi" w:cstheme="minorBidi"/>
          <w:lang w:val="en-US"/>
        </w:rPr>
        <w:t xml:space="preserve">he Court granted summary judgment to the Plaintiffs on their First Amendment and Title VI claims, as well as on their arbitrary and capricious challenges to the Freeze Orders. It vacated the Freeze Orders as arbitrary and capricious, both the Freeze Orders and Termination Letters as violative of the First Amendment, and the Termination Letters as violative of Title VI. The Court issued a permanent injunction prohibiting </w:t>
      </w:r>
      <w:r w:rsidR="0087363F">
        <w:rPr>
          <w:rFonts w:asciiTheme="minorBidi" w:hAnsiTheme="minorBidi" w:cstheme="minorBidi"/>
          <w:lang w:val="en-US"/>
        </w:rPr>
        <w:t xml:space="preserve">the Government </w:t>
      </w:r>
      <w:r w:rsidR="0087363F" w:rsidRPr="0087363F">
        <w:rPr>
          <w:rFonts w:asciiTheme="minorBidi" w:hAnsiTheme="minorBidi" w:cstheme="minorBidi"/>
          <w:lang w:val="en-US"/>
        </w:rPr>
        <w:t>from enforcing these measures and from imposing any future terminations, freezes, or funding denials in retaliation for protected expression or in violation of Title VI. However, the Court held that it lacked jurisdiction to review the arbitrary and capricious challenges to the Termination Letters, concluding that such claims fell within the exclusive jurisdiction of the Court of Federal Claims.</w:t>
      </w:r>
    </w:p>
    <w:p w14:paraId="0000001E" w14:textId="56AB3AF2" w:rsidR="00CA6AD1" w:rsidRPr="00A84E88" w:rsidRDefault="00000000" w:rsidP="00A3742D">
      <w:pPr>
        <w:pStyle w:val="Heading1"/>
        <w:jc w:val="both"/>
        <w:rPr>
          <w:rFonts w:asciiTheme="minorBidi" w:hAnsiTheme="minorBidi" w:cstheme="minorBidi"/>
          <w:sz w:val="22"/>
          <w:szCs w:val="22"/>
        </w:rPr>
      </w:pPr>
      <w:r w:rsidRPr="00A84E88">
        <w:rPr>
          <w:rFonts w:asciiTheme="minorBidi" w:hAnsiTheme="minorBidi" w:cstheme="minorBidi"/>
          <w:sz w:val="22"/>
          <w:szCs w:val="22"/>
        </w:rPr>
        <w:t>Decision Direction</w:t>
      </w:r>
    </w:p>
    <w:p w14:paraId="528AD034" w14:textId="58D95543" w:rsidR="0017537B" w:rsidRDefault="007417BD" w:rsidP="00A3742D">
      <w:pPr>
        <w:jc w:val="both"/>
        <w:rPr>
          <w:rFonts w:asciiTheme="minorBidi" w:hAnsiTheme="minorBidi" w:cstheme="minorBidi"/>
        </w:rPr>
      </w:pPr>
      <w:r>
        <w:rPr>
          <w:rFonts w:asciiTheme="minorBidi" w:hAnsiTheme="minorBidi" w:cstheme="minorBidi"/>
        </w:rPr>
        <w:t>Expands Expression</w:t>
      </w:r>
    </w:p>
    <w:p w14:paraId="7AD4D98B" w14:textId="77777777" w:rsidR="007417BD" w:rsidRPr="00A84E88" w:rsidRDefault="007417BD" w:rsidP="00A3742D">
      <w:pPr>
        <w:jc w:val="both"/>
        <w:rPr>
          <w:rFonts w:asciiTheme="minorBidi" w:hAnsiTheme="minorBidi" w:cstheme="minorBidi"/>
        </w:rPr>
      </w:pPr>
    </w:p>
    <w:p w14:paraId="70F5A0D8" w14:textId="32A93DBF" w:rsidR="001E2DD1" w:rsidRPr="00A84E88" w:rsidRDefault="000077C3" w:rsidP="00A3742D">
      <w:pPr>
        <w:jc w:val="both"/>
        <w:rPr>
          <w:rFonts w:asciiTheme="minorBidi" w:hAnsiTheme="minorBidi" w:cstheme="minorBidi"/>
        </w:rPr>
      </w:pPr>
      <w:r>
        <w:rPr>
          <w:rFonts w:asciiTheme="minorBidi" w:hAnsiTheme="minorBidi" w:cstheme="minorBidi"/>
        </w:rPr>
        <w:t>T</w:t>
      </w:r>
      <w:r w:rsidR="008F0C70" w:rsidRPr="008F0C70">
        <w:rPr>
          <w:rFonts w:asciiTheme="minorBidi" w:hAnsiTheme="minorBidi" w:cstheme="minorBidi"/>
        </w:rPr>
        <w:t xml:space="preserve">he Court's decision expands freedom of expression by upholding First Amendment rights in </w:t>
      </w:r>
      <w:r>
        <w:rPr>
          <w:rFonts w:asciiTheme="minorBidi" w:hAnsiTheme="minorBidi" w:cstheme="minorBidi"/>
        </w:rPr>
        <w:t>academia in the context of the surrounding orders issued</w:t>
      </w:r>
      <w:r w:rsidR="00B1404D">
        <w:rPr>
          <w:rFonts w:asciiTheme="minorBidi" w:hAnsiTheme="minorBidi" w:cstheme="minorBidi"/>
        </w:rPr>
        <w:t xml:space="preserve"> against it</w:t>
      </w:r>
      <w:r w:rsidR="008F0C70" w:rsidRPr="008F0C70">
        <w:rPr>
          <w:rFonts w:asciiTheme="minorBidi" w:hAnsiTheme="minorBidi" w:cstheme="minorBidi"/>
        </w:rPr>
        <w:t xml:space="preserve">, vacating government orders that retaliated against the university for exercising its protected speech, and permanently enjoining the imposition of content- and viewpoint-based funding conditions. This ruling reinforces academic freedom against governmental interference by explicitly rejecting attempts to dictate viewpoints and content in university governance, hiring, admissions, and academic programs. The Court emphasized the importance of zealously guarding the right to free speech as a hallmark of democracy and stated that </w:t>
      </w:r>
      <w:r>
        <w:rPr>
          <w:rFonts w:asciiTheme="minorBidi" w:hAnsiTheme="minorBidi" w:cstheme="minorBidi"/>
        </w:rPr>
        <w:t>“</w:t>
      </w:r>
      <w:r w:rsidR="008F0C70" w:rsidRPr="008F0C70">
        <w:rPr>
          <w:rFonts w:asciiTheme="minorBidi" w:hAnsiTheme="minorBidi" w:cstheme="minorBidi"/>
        </w:rPr>
        <w:t>combatting antisemitism cannot be accomplished on the back of the First Amendment</w:t>
      </w:r>
      <w:r w:rsidR="004C436F" w:rsidRPr="00A84E88">
        <w:rPr>
          <w:rFonts w:asciiTheme="minorBidi" w:hAnsiTheme="minorBidi" w:cstheme="minorBidi"/>
        </w:rPr>
        <w:t>.</w:t>
      </w:r>
      <w:r>
        <w:rPr>
          <w:rFonts w:asciiTheme="minorBidi" w:hAnsiTheme="minorBidi" w:cstheme="minorBidi"/>
        </w:rPr>
        <w:t>”</w:t>
      </w:r>
    </w:p>
    <w:p w14:paraId="51BE237F" w14:textId="77777777" w:rsidR="004C436F" w:rsidRPr="00A84E88" w:rsidRDefault="004C436F" w:rsidP="00A3742D">
      <w:pPr>
        <w:jc w:val="both"/>
        <w:rPr>
          <w:rFonts w:asciiTheme="minorBidi" w:hAnsiTheme="minorBidi" w:cstheme="minorBidi"/>
        </w:rPr>
      </w:pPr>
    </w:p>
    <w:p w14:paraId="6BB5F825" w14:textId="12262547" w:rsidR="007C3A33" w:rsidRPr="00A84E88" w:rsidRDefault="00000000" w:rsidP="00A3742D">
      <w:pPr>
        <w:pStyle w:val="Heading1"/>
        <w:spacing w:after="240"/>
        <w:jc w:val="both"/>
        <w:rPr>
          <w:rFonts w:asciiTheme="minorBidi" w:hAnsiTheme="minorBidi" w:cstheme="minorBidi"/>
          <w:sz w:val="22"/>
          <w:szCs w:val="22"/>
        </w:rPr>
      </w:pPr>
      <w:bookmarkStart w:id="3" w:name="_jq49w5gh3tsv" w:colFirst="0" w:colLast="0"/>
      <w:bookmarkEnd w:id="3"/>
      <w:r w:rsidRPr="00A84E88">
        <w:rPr>
          <w:rFonts w:asciiTheme="minorBidi" w:hAnsiTheme="minorBidi" w:cstheme="minorBidi"/>
          <w:sz w:val="22"/>
          <w:szCs w:val="22"/>
        </w:rPr>
        <w:t>Global Perspectiv</w:t>
      </w:r>
      <w:r w:rsidR="001E5912" w:rsidRPr="00A84E88">
        <w:rPr>
          <w:rFonts w:asciiTheme="minorBidi" w:hAnsiTheme="minorBidi" w:cstheme="minorBidi"/>
          <w:sz w:val="22"/>
          <w:szCs w:val="22"/>
        </w:rPr>
        <w:t>e</w:t>
      </w:r>
    </w:p>
    <w:p w14:paraId="54F9FA16" w14:textId="40A798FE" w:rsidR="00BE30FA" w:rsidRPr="00A84E88" w:rsidRDefault="00494B31" w:rsidP="000F0B17">
      <w:pPr>
        <w:pStyle w:val="ListParagraph"/>
        <w:numPr>
          <w:ilvl w:val="0"/>
          <w:numId w:val="4"/>
        </w:numPr>
        <w:jc w:val="both"/>
        <w:rPr>
          <w:rFonts w:asciiTheme="minorBidi" w:hAnsiTheme="minorBidi" w:cstheme="minorBidi"/>
          <w:lang w:val="en-US"/>
        </w:rPr>
      </w:pPr>
      <w:r w:rsidRPr="00A84E88">
        <w:rPr>
          <w:rFonts w:asciiTheme="minorBidi" w:hAnsiTheme="minorBidi" w:cstheme="minorBidi"/>
          <w:lang w:val="en-US"/>
        </w:rPr>
        <w:t xml:space="preserve">U.S., </w:t>
      </w:r>
      <w:r w:rsidR="000F0B17">
        <w:rPr>
          <w:rFonts w:asciiTheme="minorBidi" w:hAnsiTheme="minorBidi" w:cstheme="minorBidi"/>
          <w:lang w:val="en-US"/>
        </w:rPr>
        <w:t>Administrative Procedure Act</w:t>
      </w:r>
      <w:r w:rsidRPr="00A84E88">
        <w:rPr>
          <w:rFonts w:asciiTheme="minorBidi" w:hAnsiTheme="minorBidi" w:cstheme="minorBidi"/>
          <w:lang w:val="en-US"/>
        </w:rPr>
        <w:t>, 19</w:t>
      </w:r>
      <w:r w:rsidR="000F0B17">
        <w:rPr>
          <w:rFonts w:asciiTheme="minorBidi" w:hAnsiTheme="minorBidi" w:cstheme="minorBidi"/>
          <w:lang w:val="en-US"/>
        </w:rPr>
        <w:t>46</w:t>
      </w:r>
    </w:p>
    <w:p w14:paraId="2AFE738A" w14:textId="4AE73D38" w:rsidR="00E67E89" w:rsidRDefault="00E67E89" w:rsidP="00E67E89">
      <w:pPr>
        <w:pStyle w:val="ListParagraph"/>
        <w:numPr>
          <w:ilvl w:val="0"/>
          <w:numId w:val="4"/>
        </w:numPr>
        <w:jc w:val="both"/>
        <w:rPr>
          <w:rFonts w:asciiTheme="minorBidi" w:hAnsiTheme="minorBidi" w:cstheme="minorBidi"/>
          <w:lang w:val="en-US"/>
        </w:rPr>
      </w:pPr>
      <w:r w:rsidRPr="00A84E88">
        <w:rPr>
          <w:rFonts w:asciiTheme="minorBidi" w:hAnsiTheme="minorBidi" w:cstheme="minorBidi"/>
          <w:lang w:val="en-US"/>
        </w:rPr>
        <w:t>U.S.,</w:t>
      </w:r>
      <w:r>
        <w:rPr>
          <w:rFonts w:asciiTheme="minorBidi" w:hAnsiTheme="minorBidi" w:cstheme="minorBidi"/>
          <w:lang w:val="en-US"/>
        </w:rPr>
        <w:t xml:space="preserve"> </w:t>
      </w:r>
      <w:r w:rsidRPr="008F7F85">
        <w:rPr>
          <w:rFonts w:asciiTheme="minorBidi" w:hAnsiTheme="minorBidi" w:cstheme="minorBidi"/>
          <w:lang w:val="en-US"/>
        </w:rPr>
        <w:t xml:space="preserve">Executive Order 14188 </w:t>
      </w:r>
      <w:r w:rsidRPr="00A84E88">
        <w:rPr>
          <w:rFonts w:asciiTheme="minorBidi" w:hAnsiTheme="minorBidi" w:cstheme="minorBidi"/>
          <w:lang w:val="en-US"/>
        </w:rPr>
        <w:t>(</w:t>
      </w:r>
      <w:r w:rsidRPr="008F7F85">
        <w:rPr>
          <w:rFonts w:asciiTheme="minorBidi" w:hAnsiTheme="minorBidi" w:cstheme="minorBidi"/>
          <w:lang w:val="en-US"/>
        </w:rPr>
        <w:t>“Additional Measures to Combat Anti-Semitism</w:t>
      </w:r>
      <w:r>
        <w:rPr>
          <w:rFonts w:asciiTheme="minorBidi" w:hAnsiTheme="minorBidi" w:cstheme="minorBidi"/>
          <w:lang w:val="en-US"/>
        </w:rPr>
        <w:t>”</w:t>
      </w:r>
      <w:r w:rsidRPr="00A84E88">
        <w:rPr>
          <w:rFonts w:asciiTheme="minorBidi" w:hAnsiTheme="minorBidi" w:cstheme="minorBidi"/>
          <w:lang w:val="en-US"/>
        </w:rPr>
        <w:t>)</w:t>
      </w:r>
    </w:p>
    <w:p w14:paraId="295B5819" w14:textId="464BF26C" w:rsidR="00A50A59" w:rsidRPr="00A84E88" w:rsidRDefault="00A50A59" w:rsidP="00E67E89">
      <w:pPr>
        <w:pStyle w:val="ListParagraph"/>
        <w:numPr>
          <w:ilvl w:val="0"/>
          <w:numId w:val="4"/>
        </w:numPr>
        <w:jc w:val="both"/>
        <w:rPr>
          <w:rFonts w:asciiTheme="minorBidi" w:hAnsiTheme="minorBidi" w:cstheme="minorBidi"/>
          <w:lang w:val="en-US"/>
        </w:rPr>
      </w:pPr>
      <w:r w:rsidRPr="00A50A59">
        <w:rPr>
          <w:rFonts w:asciiTheme="minorBidi" w:hAnsiTheme="minorBidi" w:cstheme="minorBidi"/>
          <w:lang w:val="en-US"/>
        </w:rPr>
        <w:t>U.S.</w:t>
      </w:r>
      <w:r>
        <w:rPr>
          <w:rFonts w:asciiTheme="minorBidi" w:hAnsiTheme="minorBidi" w:cstheme="minorBidi"/>
          <w:lang w:val="en-US"/>
        </w:rPr>
        <w:t>,</w:t>
      </w:r>
      <w:r w:rsidRPr="00A50A59">
        <w:rPr>
          <w:rFonts w:asciiTheme="minorBidi" w:hAnsiTheme="minorBidi" w:cstheme="minorBidi"/>
          <w:lang w:val="en-US"/>
        </w:rPr>
        <w:t xml:space="preserve"> Const. amend. I</w:t>
      </w:r>
    </w:p>
    <w:p w14:paraId="0FAD64FC"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Bd. of </w:t>
      </w:r>
      <w:proofErr w:type="spellStart"/>
      <w:r w:rsidRPr="00B4402C">
        <w:rPr>
          <w:rFonts w:asciiTheme="minorBidi" w:hAnsiTheme="minorBidi" w:cstheme="minorBidi"/>
          <w:lang w:val="en-US"/>
        </w:rPr>
        <w:t>Cnty</w:t>
      </w:r>
      <w:proofErr w:type="spellEnd"/>
      <w:r w:rsidRPr="00B4402C">
        <w:rPr>
          <w:rFonts w:asciiTheme="minorBidi" w:hAnsiTheme="minorBidi" w:cstheme="minorBidi"/>
          <w:lang w:val="en-US"/>
        </w:rPr>
        <w:t>. Comm’rs v. Umbehr, 518 U.S. 668 (1996)</w:t>
      </w:r>
    </w:p>
    <w:p w14:paraId="0A07CCAD"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Pickering v. Bd. of Educ., 391 U.S. 563 (1968)</w:t>
      </w:r>
    </w:p>
    <w:p w14:paraId="6843B401"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Kennedy v. Bremerton Sch. Dist., 597 U.S. 507 (2022)</w:t>
      </w:r>
    </w:p>
    <w:p w14:paraId="085D7C2F"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Garcetti v. Ceballos, 547 U.S. 410 (2006)</w:t>
      </w:r>
    </w:p>
    <w:p w14:paraId="0571C72F"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Berge v. Sch. Comm. of Gloucester, 107 F.4th 33 (1st Cir. 2024)</w:t>
      </w:r>
    </w:p>
    <w:p w14:paraId="78F2FAB6"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D.B. ex rel. Elizabeth B. v. Esposito, 675 F.3d 26 (1st Cir. 2012)</w:t>
      </w:r>
    </w:p>
    <w:p w14:paraId="1C891181"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Powell v. Alexander, 391 F.3d 1 (1st Cir. 2004)</w:t>
      </w:r>
    </w:p>
    <w:p w14:paraId="51713F3B"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McCue v. Bradstreet, 807 F.3d 334 (1st Cir. 2015)</w:t>
      </w:r>
    </w:p>
    <w:p w14:paraId="00938B36"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President &amp; Fellows of Harvard Coll. v. U.S. </w:t>
      </w:r>
      <w:proofErr w:type="spellStart"/>
      <w:r w:rsidRPr="00B4402C">
        <w:rPr>
          <w:rFonts w:asciiTheme="minorBidi" w:hAnsiTheme="minorBidi" w:cstheme="minorBidi"/>
          <w:lang w:val="en-US"/>
        </w:rPr>
        <w:t>Dep’t</w:t>
      </w:r>
      <w:proofErr w:type="spellEnd"/>
      <w:r w:rsidRPr="00B4402C">
        <w:rPr>
          <w:rFonts w:asciiTheme="minorBidi" w:hAnsiTheme="minorBidi" w:cstheme="minorBidi"/>
          <w:lang w:val="en-US"/>
        </w:rPr>
        <w:t xml:space="preserve"> of Homeland Sec. (“DHS”), No. 25-cv-11472, 2025 WL 1737493 (D. Mass. June 23, 2025)</w:t>
      </w:r>
    </w:p>
    <w:p w14:paraId="375042C0"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w:t>
      </w:r>
      <w:proofErr w:type="spellStart"/>
      <w:r w:rsidRPr="00B4402C">
        <w:rPr>
          <w:rFonts w:asciiTheme="minorBidi" w:hAnsiTheme="minorBidi" w:cstheme="minorBidi"/>
          <w:lang w:val="en-US"/>
        </w:rPr>
        <w:t>Asociación</w:t>
      </w:r>
      <w:proofErr w:type="spellEnd"/>
      <w:r w:rsidRPr="00B4402C">
        <w:rPr>
          <w:rFonts w:asciiTheme="minorBidi" w:hAnsiTheme="minorBidi" w:cstheme="minorBidi"/>
          <w:lang w:val="en-US"/>
        </w:rPr>
        <w:t xml:space="preserve"> de </w:t>
      </w:r>
      <w:proofErr w:type="spellStart"/>
      <w:r w:rsidRPr="00B4402C">
        <w:rPr>
          <w:rFonts w:asciiTheme="minorBidi" w:hAnsiTheme="minorBidi" w:cstheme="minorBidi"/>
          <w:lang w:val="en-US"/>
        </w:rPr>
        <w:t>Educación</w:t>
      </w:r>
      <w:proofErr w:type="spellEnd"/>
      <w:r w:rsidRPr="00B4402C">
        <w:rPr>
          <w:rFonts w:asciiTheme="minorBidi" w:hAnsiTheme="minorBidi" w:cstheme="minorBidi"/>
          <w:lang w:val="en-US"/>
        </w:rPr>
        <w:t xml:space="preserve"> </w:t>
      </w:r>
      <w:proofErr w:type="spellStart"/>
      <w:r w:rsidRPr="00B4402C">
        <w:rPr>
          <w:rFonts w:asciiTheme="minorBidi" w:hAnsiTheme="minorBidi" w:cstheme="minorBidi"/>
          <w:lang w:val="en-US"/>
        </w:rPr>
        <w:t>Privada</w:t>
      </w:r>
      <w:proofErr w:type="spellEnd"/>
      <w:r w:rsidRPr="00B4402C">
        <w:rPr>
          <w:rFonts w:asciiTheme="minorBidi" w:hAnsiTheme="minorBidi" w:cstheme="minorBidi"/>
          <w:lang w:val="en-US"/>
        </w:rPr>
        <w:t xml:space="preserve"> de P.R., Inc. v. Garcia-Padilla, 490 F.3d 1 (1st Cir. 2007)</w:t>
      </w:r>
    </w:p>
    <w:p w14:paraId="1D1D9911"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Regents of Univ. of Mich. v. Ewing, 474 U.S. 214 (1985)</w:t>
      </w:r>
    </w:p>
    <w:p w14:paraId="1385F3E6"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Blasdel v. Nw. Univ., 687 F.3d 813 (7th Cir. 2012)</w:t>
      </w:r>
    </w:p>
    <w:p w14:paraId="14EA866A"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Lieberman v. Gant, 630 F.2d 60 (2d Cir. 1980)</w:t>
      </w:r>
    </w:p>
    <w:p w14:paraId="04334B68"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Sweezy v. New Hampshire, 354 U.S. 234 (1957)</w:t>
      </w:r>
    </w:p>
    <w:p w14:paraId="3EE07F6A"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Healy v. James, 408 U.S. 169 (1972)</w:t>
      </w:r>
    </w:p>
    <w:p w14:paraId="4584ECE9"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Borough of Duryea v. Guarnieri, 564 U.S. 379 (2011)</w:t>
      </w:r>
    </w:p>
    <w:p w14:paraId="17817399"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Wilmer Cutler Pickering Hale &amp; Dorr LLP v. Exec. Off. of President, No. 25-917, 2025 WL 1502329 (D.D.C. May 27, 2025)</w:t>
      </w:r>
    </w:p>
    <w:p w14:paraId="5C3C7CF6"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lastRenderedPageBreak/>
        <w:t>U.S., States v. O’Brien, 391 U.S. 367 (1968)</w:t>
      </w:r>
    </w:p>
    <w:p w14:paraId="1792D50B"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Regents of Univ. of California v. Bakke, 438 U.S. 265 (1978)</w:t>
      </w:r>
    </w:p>
    <w:p w14:paraId="7703BB25"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w:t>
      </w:r>
      <w:proofErr w:type="spellStart"/>
      <w:r w:rsidRPr="00B4402C">
        <w:rPr>
          <w:rFonts w:asciiTheme="minorBidi" w:hAnsiTheme="minorBidi" w:cstheme="minorBidi"/>
          <w:lang w:val="en-US"/>
        </w:rPr>
        <w:t>Nat’l</w:t>
      </w:r>
      <w:proofErr w:type="spellEnd"/>
      <w:r w:rsidRPr="00B4402C">
        <w:rPr>
          <w:rFonts w:asciiTheme="minorBidi" w:hAnsiTheme="minorBidi" w:cstheme="minorBidi"/>
          <w:lang w:val="en-US"/>
        </w:rPr>
        <w:t xml:space="preserve"> Educ. </w:t>
      </w:r>
      <w:proofErr w:type="spellStart"/>
      <w:r w:rsidRPr="00B4402C">
        <w:rPr>
          <w:rFonts w:asciiTheme="minorBidi" w:hAnsiTheme="minorBidi" w:cstheme="minorBidi"/>
          <w:lang w:val="en-US"/>
        </w:rPr>
        <w:t>Ass’n</w:t>
      </w:r>
      <w:proofErr w:type="spellEnd"/>
      <w:r w:rsidRPr="00B4402C">
        <w:rPr>
          <w:rFonts w:asciiTheme="minorBidi" w:hAnsiTheme="minorBidi" w:cstheme="minorBidi"/>
          <w:lang w:val="en-US"/>
        </w:rPr>
        <w:t xml:space="preserve"> v. </w:t>
      </w:r>
      <w:proofErr w:type="spellStart"/>
      <w:r w:rsidRPr="00B4402C">
        <w:rPr>
          <w:rFonts w:asciiTheme="minorBidi" w:hAnsiTheme="minorBidi" w:cstheme="minorBidi"/>
          <w:lang w:val="en-US"/>
        </w:rPr>
        <w:t>Dep’t</w:t>
      </w:r>
      <w:proofErr w:type="spellEnd"/>
      <w:r w:rsidRPr="00B4402C">
        <w:rPr>
          <w:rFonts w:asciiTheme="minorBidi" w:hAnsiTheme="minorBidi" w:cstheme="minorBidi"/>
          <w:lang w:val="en-US"/>
        </w:rPr>
        <w:t xml:space="preserve"> of Educ., 779 F. Supp. 3d 149 (D.N.H. 2025)</w:t>
      </w:r>
    </w:p>
    <w:p w14:paraId="652F6477"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Perry v. </w:t>
      </w:r>
      <w:proofErr w:type="spellStart"/>
      <w:r w:rsidRPr="00B4402C">
        <w:rPr>
          <w:rFonts w:asciiTheme="minorBidi" w:hAnsiTheme="minorBidi" w:cstheme="minorBidi"/>
          <w:lang w:val="en-US"/>
        </w:rPr>
        <w:t>Sindermann</w:t>
      </w:r>
      <w:proofErr w:type="spellEnd"/>
      <w:r w:rsidRPr="00B4402C">
        <w:rPr>
          <w:rFonts w:asciiTheme="minorBidi" w:hAnsiTheme="minorBidi" w:cstheme="minorBidi"/>
          <w:lang w:val="en-US"/>
        </w:rPr>
        <w:t>, 408 U.S. 593 (1972)</w:t>
      </w:r>
    </w:p>
    <w:p w14:paraId="662E03F7"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Agency for Int’l Dev. v. All. For Open Soc’y Int’l, Inc., 570 U.S. 205 (2013)</w:t>
      </w:r>
    </w:p>
    <w:p w14:paraId="0E5B19AA"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w:t>
      </w:r>
      <w:proofErr w:type="spellStart"/>
      <w:r w:rsidRPr="00B4402C">
        <w:rPr>
          <w:rFonts w:asciiTheme="minorBidi" w:hAnsiTheme="minorBidi" w:cstheme="minorBidi"/>
          <w:lang w:val="en-US"/>
        </w:rPr>
        <w:t>Nat’l</w:t>
      </w:r>
      <w:proofErr w:type="spellEnd"/>
      <w:r w:rsidRPr="00B4402C">
        <w:rPr>
          <w:rFonts w:asciiTheme="minorBidi" w:hAnsiTheme="minorBidi" w:cstheme="minorBidi"/>
          <w:lang w:val="en-US"/>
        </w:rPr>
        <w:t xml:space="preserve"> Rifle </w:t>
      </w:r>
      <w:proofErr w:type="spellStart"/>
      <w:r w:rsidRPr="00B4402C">
        <w:rPr>
          <w:rFonts w:asciiTheme="minorBidi" w:hAnsiTheme="minorBidi" w:cstheme="minorBidi"/>
          <w:lang w:val="en-US"/>
        </w:rPr>
        <w:t>Ass’n</w:t>
      </w:r>
      <w:proofErr w:type="spellEnd"/>
      <w:r w:rsidRPr="00B4402C">
        <w:rPr>
          <w:rFonts w:asciiTheme="minorBidi" w:hAnsiTheme="minorBidi" w:cstheme="minorBidi"/>
          <w:lang w:val="en-US"/>
        </w:rPr>
        <w:t xml:space="preserve"> of Am. v. Vullo, 602 U.S. 175 (2024)</w:t>
      </w:r>
    </w:p>
    <w:p w14:paraId="57F436B2"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Rosenberger v. Rectors &amp; Visitors of Univ. of Va., 515 U.S. 819 (1995)</w:t>
      </w:r>
    </w:p>
    <w:p w14:paraId="4EE31D62"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Moody v. </w:t>
      </w:r>
      <w:proofErr w:type="spellStart"/>
      <w:r w:rsidRPr="00B4402C">
        <w:rPr>
          <w:rFonts w:asciiTheme="minorBidi" w:hAnsiTheme="minorBidi" w:cstheme="minorBidi"/>
          <w:lang w:val="en-US"/>
        </w:rPr>
        <w:t>NetChoice</w:t>
      </w:r>
      <w:proofErr w:type="spellEnd"/>
      <w:r w:rsidRPr="00B4402C">
        <w:rPr>
          <w:rFonts w:asciiTheme="minorBidi" w:hAnsiTheme="minorBidi" w:cstheme="minorBidi"/>
          <w:lang w:val="en-US"/>
        </w:rPr>
        <w:t>, LLC, 603 U.S. 707 (2024)</w:t>
      </w:r>
    </w:p>
    <w:p w14:paraId="79EB26D1"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 xml:space="preserve">U.S., Stephens v. </w:t>
      </w:r>
      <w:proofErr w:type="spellStart"/>
      <w:r w:rsidRPr="00B4402C">
        <w:rPr>
          <w:rFonts w:asciiTheme="minorBidi" w:hAnsiTheme="minorBidi" w:cstheme="minorBidi"/>
          <w:lang w:val="en-US"/>
        </w:rPr>
        <w:t>Cnty</w:t>
      </w:r>
      <w:proofErr w:type="spellEnd"/>
      <w:r w:rsidRPr="00B4402C">
        <w:rPr>
          <w:rFonts w:asciiTheme="minorBidi" w:hAnsiTheme="minorBidi" w:cstheme="minorBidi"/>
          <w:lang w:val="en-US"/>
        </w:rPr>
        <w:t>. of Albemarle, No. 04-cv-00081, 2005 WL 3533428 (W.D. Va. Dec. 22, 2005)</w:t>
      </w:r>
    </w:p>
    <w:p w14:paraId="4D3D278C"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Koontz v. St. Johns River Water Mgmt. Dist., 570 U.S. 595 (2013)</w:t>
      </w:r>
    </w:p>
    <w:p w14:paraId="3E22F702"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Bantam Books, Inc. v. Sullivan, 372 U.S. 58 (1963)</w:t>
      </w:r>
    </w:p>
    <w:p w14:paraId="5E6AD6B3" w14:textId="77777777" w:rsidR="00B4402C" w:rsidRPr="00B4402C"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Best Payphones, Inc. v. Dobrin, 410 F. Supp. 3d 457 (E.D.N.Y. 2019)</w:t>
      </w:r>
    </w:p>
    <w:p w14:paraId="2C6C78FE" w14:textId="43BB7C1A" w:rsidR="007C3A33" w:rsidRPr="00A84E88" w:rsidRDefault="00B4402C" w:rsidP="00B4402C">
      <w:pPr>
        <w:pStyle w:val="ListParagraph"/>
        <w:numPr>
          <w:ilvl w:val="0"/>
          <w:numId w:val="5"/>
        </w:numPr>
        <w:jc w:val="both"/>
        <w:rPr>
          <w:rFonts w:asciiTheme="minorBidi" w:hAnsiTheme="minorBidi" w:cstheme="minorBidi"/>
          <w:lang w:val="en-US"/>
        </w:rPr>
      </w:pPr>
      <w:r w:rsidRPr="00B4402C">
        <w:rPr>
          <w:rFonts w:asciiTheme="minorBidi" w:hAnsiTheme="minorBidi" w:cstheme="minorBidi"/>
          <w:lang w:val="en-US"/>
        </w:rPr>
        <w:t>U.S., Whitney v. California, 274 U.S. 357 (1927)</w:t>
      </w:r>
    </w:p>
    <w:sectPr w:rsidR="007C3A33" w:rsidRPr="00A84E88" w:rsidSect="00441EE0">
      <w:pgSz w:w="11909" w:h="16834"/>
      <w:pgMar w:top="72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ustafa Hammam" w:date="2025-09-13T15:28:00Z" w:initials="MH">
    <w:p w14:paraId="700224F4" w14:textId="77777777" w:rsidR="006135F0" w:rsidRDefault="006135F0" w:rsidP="006135F0">
      <w:pPr>
        <w:pStyle w:val="CommentText"/>
      </w:pPr>
      <w:r>
        <w:rPr>
          <w:rStyle w:val="CommentReference"/>
        </w:rPr>
        <w:annotationRef/>
      </w:r>
      <w:r>
        <w:t>[</w:t>
      </w:r>
      <w:r>
        <w:rPr>
          <w:b/>
          <w:bCs/>
          <w:i/>
          <w:iCs/>
        </w:rPr>
        <w:t>Note to Caroline</w:t>
      </w:r>
      <w:r>
        <w:t>]</w:t>
      </w:r>
    </w:p>
    <w:p w14:paraId="5757E8D1" w14:textId="77777777" w:rsidR="006135F0" w:rsidRDefault="006135F0" w:rsidP="006135F0">
      <w:pPr>
        <w:pStyle w:val="CommentText"/>
      </w:pPr>
      <w:r>
        <w:t xml:space="preserve">Where a page number appears in brackets at the end of a block with multiple quoted statements, it is to be understood that all quotations in that block are from that page. If the quotations are from different pages, each will be cited directly. </w:t>
      </w:r>
    </w:p>
  </w:comment>
  <w:comment w:id="2" w:author="Mustafa Hammam" w:date="2025-09-13T16:05:00Z" w:initials="MH">
    <w:p w14:paraId="297E5D9C" w14:textId="77777777" w:rsidR="00BD4335" w:rsidRDefault="00FB0226" w:rsidP="00BD4335">
      <w:pPr>
        <w:pStyle w:val="CommentText"/>
      </w:pPr>
      <w:r>
        <w:rPr>
          <w:rStyle w:val="CommentReference"/>
        </w:rPr>
        <w:annotationRef/>
      </w:r>
      <w:r w:rsidR="00BD4335">
        <w:t>[</w:t>
      </w:r>
      <w:r w:rsidR="00BD4335">
        <w:rPr>
          <w:b/>
          <w:bCs/>
          <w:i/>
          <w:iCs/>
        </w:rPr>
        <w:t>Note to Caroline</w:t>
      </w:r>
      <w:r w:rsidR="00BD4335">
        <w:t>]</w:t>
      </w:r>
    </w:p>
    <w:p w14:paraId="301BEB58" w14:textId="77777777" w:rsidR="00BD4335" w:rsidRDefault="00BD4335" w:rsidP="00BD4335">
      <w:pPr>
        <w:pStyle w:val="CommentText"/>
      </w:pPr>
      <w:r>
        <w:t>As these are jointly brought suits, the abbreviatory structure may need some explaining. At times, Harvard presents arguments on its own behalf as ‘Harvard’, and the named organizations may do the same ‘Organizational Plaintiffs’. When referenced collectively, however, they are ‘Plaintiffs.’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57E8D1" w15:done="0"/>
  <w15:commentEx w15:paraId="301BE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2D7599" w16cex:dateUtc="2025-09-13T12:28:00Z"/>
  <w16cex:commentExtensible w16cex:durableId="5D53F2D3" w16cex:dateUtc="2025-09-13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57E8D1" w16cid:durableId="102D7599"/>
  <w16cid:commentId w16cid:paraId="301BEB58" w16cid:durableId="5D53F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46EE" w14:textId="77777777" w:rsidR="002277F5" w:rsidRDefault="002277F5" w:rsidP="007E0151">
      <w:pPr>
        <w:spacing w:line="240" w:lineRule="auto"/>
      </w:pPr>
      <w:r>
        <w:separator/>
      </w:r>
    </w:p>
  </w:endnote>
  <w:endnote w:type="continuationSeparator" w:id="0">
    <w:p w14:paraId="0F940382" w14:textId="77777777" w:rsidR="002277F5" w:rsidRDefault="002277F5" w:rsidP="007E0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8FC7" w14:textId="77777777" w:rsidR="002277F5" w:rsidRDefault="002277F5" w:rsidP="007E0151">
      <w:pPr>
        <w:spacing w:line="240" w:lineRule="auto"/>
      </w:pPr>
      <w:r>
        <w:separator/>
      </w:r>
    </w:p>
  </w:footnote>
  <w:footnote w:type="continuationSeparator" w:id="0">
    <w:p w14:paraId="6EDEED48" w14:textId="77777777" w:rsidR="002277F5" w:rsidRDefault="002277F5" w:rsidP="007E01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056"/>
    <w:multiLevelType w:val="hybridMultilevel"/>
    <w:tmpl w:val="2158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165AF"/>
    <w:multiLevelType w:val="hybridMultilevel"/>
    <w:tmpl w:val="7FC0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F7A7D"/>
    <w:multiLevelType w:val="hybridMultilevel"/>
    <w:tmpl w:val="B986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70B79"/>
    <w:multiLevelType w:val="hybridMultilevel"/>
    <w:tmpl w:val="EF40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C6E6E"/>
    <w:multiLevelType w:val="hybridMultilevel"/>
    <w:tmpl w:val="A05C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264980">
    <w:abstractNumId w:val="1"/>
  </w:num>
  <w:num w:numId="2" w16cid:durableId="765155910">
    <w:abstractNumId w:val="0"/>
  </w:num>
  <w:num w:numId="3" w16cid:durableId="1832334922">
    <w:abstractNumId w:val="4"/>
  </w:num>
  <w:num w:numId="4" w16cid:durableId="2070496141">
    <w:abstractNumId w:val="3"/>
  </w:num>
  <w:num w:numId="5" w16cid:durableId="12102201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stafa Hammam">
    <w15:presenceInfo w15:providerId="Windows Live" w15:userId="9609a7ad2c97fa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D1"/>
    <w:rsid w:val="00000005"/>
    <w:rsid w:val="00000541"/>
    <w:rsid w:val="00001F43"/>
    <w:rsid w:val="0000534B"/>
    <w:rsid w:val="000077C3"/>
    <w:rsid w:val="00011002"/>
    <w:rsid w:val="0001107A"/>
    <w:rsid w:val="000137C8"/>
    <w:rsid w:val="00015E41"/>
    <w:rsid w:val="00020F34"/>
    <w:rsid w:val="00025569"/>
    <w:rsid w:val="00026C5C"/>
    <w:rsid w:val="00027175"/>
    <w:rsid w:val="000308FE"/>
    <w:rsid w:val="00030E75"/>
    <w:rsid w:val="00031DEA"/>
    <w:rsid w:val="00033B4F"/>
    <w:rsid w:val="000353BE"/>
    <w:rsid w:val="000423CA"/>
    <w:rsid w:val="00047778"/>
    <w:rsid w:val="000500B2"/>
    <w:rsid w:val="000503EB"/>
    <w:rsid w:val="00050732"/>
    <w:rsid w:val="00051F47"/>
    <w:rsid w:val="000548B1"/>
    <w:rsid w:val="00060515"/>
    <w:rsid w:val="00060FBB"/>
    <w:rsid w:val="00063EFA"/>
    <w:rsid w:val="000641CD"/>
    <w:rsid w:val="00070A3D"/>
    <w:rsid w:val="0007180E"/>
    <w:rsid w:val="00072BBC"/>
    <w:rsid w:val="00074376"/>
    <w:rsid w:val="00075534"/>
    <w:rsid w:val="00075E7E"/>
    <w:rsid w:val="00081B7F"/>
    <w:rsid w:val="000834FB"/>
    <w:rsid w:val="000843F2"/>
    <w:rsid w:val="00090364"/>
    <w:rsid w:val="00090E8E"/>
    <w:rsid w:val="000933CB"/>
    <w:rsid w:val="00093E94"/>
    <w:rsid w:val="000941BC"/>
    <w:rsid w:val="000941F6"/>
    <w:rsid w:val="0009505F"/>
    <w:rsid w:val="00096A0F"/>
    <w:rsid w:val="00097D9F"/>
    <w:rsid w:val="000A116A"/>
    <w:rsid w:val="000A5118"/>
    <w:rsid w:val="000A70AB"/>
    <w:rsid w:val="000A7FFB"/>
    <w:rsid w:val="000B290D"/>
    <w:rsid w:val="000B3880"/>
    <w:rsid w:val="000B38ED"/>
    <w:rsid w:val="000B3BE3"/>
    <w:rsid w:val="000B3E56"/>
    <w:rsid w:val="000C1303"/>
    <w:rsid w:val="000C3C74"/>
    <w:rsid w:val="000C448C"/>
    <w:rsid w:val="000C509E"/>
    <w:rsid w:val="000C562A"/>
    <w:rsid w:val="000C565D"/>
    <w:rsid w:val="000D03CA"/>
    <w:rsid w:val="000D0A4A"/>
    <w:rsid w:val="000D161F"/>
    <w:rsid w:val="000D34FF"/>
    <w:rsid w:val="000D5144"/>
    <w:rsid w:val="000D517F"/>
    <w:rsid w:val="000E44F1"/>
    <w:rsid w:val="000E46F6"/>
    <w:rsid w:val="000E48D7"/>
    <w:rsid w:val="000E7B3F"/>
    <w:rsid w:val="000F0B17"/>
    <w:rsid w:val="000F4719"/>
    <w:rsid w:val="00101877"/>
    <w:rsid w:val="00103B91"/>
    <w:rsid w:val="00105DCD"/>
    <w:rsid w:val="00105FE9"/>
    <w:rsid w:val="00110072"/>
    <w:rsid w:val="001101BF"/>
    <w:rsid w:val="001118E7"/>
    <w:rsid w:val="00111FC4"/>
    <w:rsid w:val="0011305A"/>
    <w:rsid w:val="00113773"/>
    <w:rsid w:val="00114D3C"/>
    <w:rsid w:val="0011522F"/>
    <w:rsid w:val="00121CA0"/>
    <w:rsid w:val="00123A6A"/>
    <w:rsid w:val="00123EF2"/>
    <w:rsid w:val="001354BA"/>
    <w:rsid w:val="00135F42"/>
    <w:rsid w:val="001447E6"/>
    <w:rsid w:val="00144A19"/>
    <w:rsid w:val="00144BD7"/>
    <w:rsid w:val="00147460"/>
    <w:rsid w:val="001478AC"/>
    <w:rsid w:val="001500B2"/>
    <w:rsid w:val="00150B8B"/>
    <w:rsid w:val="00150D35"/>
    <w:rsid w:val="00153763"/>
    <w:rsid w:val="00156AC3"/>
    <w:rsid w:val="0015771E"/>
    <w:rsid w:val="001646BB"/>
    <w:rsid w:val="00166DDF"/>
    <w:rsid w:val="0017537B"/>
    <w:rsid w:val="0018101D"/>
    <w:rsid w:val="00181842"/>
    <w:rsid w:val="0018419A"/>
    <w:rsid w:val="00184D45"/>
    <w:rsid w:val="00186AFE"/>
    <w:rsid w:val="00186BD5"/>
    <w:rsid w:val="00187078"/>
    <w:rsid w:val="00191277"/>
    <w:rsid w:val="0019212D"/>
    <w:rsid w:val="00193033"/>
    <w:rsid w:val="00193C45"/>
    <w:rsid w:val="00195794"/>
    <w:rsid w:val="0019692E"/>
    <w:rsid w:val="001973BB"/>
    <w:rsid w:val="001974FB"/>
    <w:rsid w:val="00197E35"/>
    <w:rsid w:val="001A06A2"/>
    <w:rsid w:val="001A1365"/>
    <w:rsid w:val="001A2978"/>
    <w:rsid w:val="001A2CE5"/>
    <w:rsid w:val="001B0B9C"/>
    <w:rsid w:val="001B1480"/>
    <w:rsid w:val="001B29A9"/>
    <w:rsid w:val="001B5E80"/>
    <w:rsid w:val="001C317D"/>
    <w:rsid w:val="001D1A54"/>
    <w:rsid w:val="001D4084"/>
    <w:rsid w:val="001D4EE0"/>
    <w:rsid w:val="001D5A31"/>
    <w:rsid w:val="001E2B3D"/>
    <w:rsid w:val="001E2CD5"/>
    <w:rsid w:val="001E2DD1"/>
    <w:rsid w:val="001E3686"/>
    <w:rsid w:val="001E54C8"/>
    <w:rsid w:val="001E5912"/>
    <w:rsid w:val="001E66ED"/>
    <w:rsid w:val="001F0EB1"/>
    <w:rsid w:val="001F2844"/>
    <w:rsid w:val="001F2A49"/>
    <w:rsid w:val="001F3F0C"/>
    <w:rsid w:val="001F447D"/>
    <w:rsid w:val="001F4CD5"/>
    <w:rsid w:val="001F54F8"/>
    <w:rsid w:val="001F6D48"/>
    <w:rsid w:val="00203990"/>
    <w:rsid w:val="00204D94"/>
    <w:rsid w:val="0020624D"/>
    <w:rsid w:val="00207ADA"/>
    <w:rsid w:val="002102A3"/>
    <w:rsid w:val="002111BE"/>
    <w:rsid w:val="002123A3"/>
    <w:rsid w:val="00212CCB"/>
    <w:rsid w:val="002139D4"/>
    <w:rsid w:val="00214208"/>
    <w:rsid w:val="00214848"/>
    <w:rsid w:val="002210F6"/>
    <w:rsid w:val="002225E0"/>
    <w:rsid w:val="002277F5"/>
    <w:rsid w:val="002303D0"/>
    <w:rsid w:val="00230F1F"/>
    <w:rsid w:val="002313D6"/>
    <w:rsid w:val="0023352F"/>
    <w:rsid w:val="00233ED8"/>
    <w:rsid w:val="00236354"/>
    <w:rsid w:val="00242CEE"/>
    <w:rsid w:val="002444A3"/>
    <w:rsid w:val="0024511C"/>
    <w:rsid w:val="002507F7"/>
    <w:rsid w:val="002529B0"/>
    <w:rsid w:val="00253679"/>
    <w:rsid w:val="00254D1A"/>
    <w:rsid w:val="00260F83"/>
    <w:rsid w:val="002625C9"/>
    <w:rsid w:val="00262776"/>
    <w:rsid w:val="0026635F"/>
    <w:rsid w:val="00273FC2"/>
    <w:rsid w:val="00274CF6"/>
    <w:rsid w:val="00277B30"/>
    <w:rsid w:val="00280134"/>
    <w:rsid w:val="00280754"/>
    <w:rsid w:val="00281B9C"/>
    <w:rsid w:val="00284B5A"/>
    <w:rsid w:val="0029482C"/>
    <w:rsid w:val="00295605"/>
    <w:rsid w:val="002A2CAF"/>
    <w:rsid w:val="002A368D"/>
    <w:rsid w:val="002A646E"/>
    <w:rsid w:val="002A6CB6"/>
    <w:rsid w:val="002A7532"/>
    <w:rsid w:val="002B091D"/>
    <w:rsid w:val="002B1FCF"/>
    <w:rsid w:val="002B752D"/>
    <w:rsid w:val="002B7E1D"/>
    <w:rsid w:val="002C0DFD"/>
    <w:rsid w:val="002C45A3"/>
    <w:rsid w:val="002D3673"/>
    <w:rsid w:val="002D3A91"/>
    <w:rsid w:val="002D6926"/>
    <w:rsid w:val="002E0C5D"/>
    <w:rsid w:val="002E1762"/>
    <w:rsid w:val="002E20E0"/>
    <w:rsid w:val="002E6515"/>
    <w:rsid w:val="002F33E0"/>
    <w:rsid w:val="002F6BE7"/>
    <w:rsid w:val="002F753B"/>
    <w:rsid w:val="002F7879"/>
    <w:rsid w:val="00300F74"/>
    <w:rsid w:val="00301F70"/>
    <w:rsid w:val="0030550E"/>
    <w:rsid w:val="00305AD1"/>
    <w:rsid w:val="00310C78"/>
    <w:rsid w:val="003151D2"/>
    <w:rsid w:val="003151EE"/>
    <w:rsid w:val="00316666"/>
    <w:rsid w:val="00317871"/>
    <w:rsid w:val="00317D0C"/>
    <w:rsid w:val="00320D99"/>
    <w:rsid w:val="0032128E"/>
    <w:rsid w:val="003237E2"/>
    <w:rsid w:val="003256A7"/>
    <w:rsid w:val="00326F30"/>
    <w:rsid w:val="00326F7C"/>
    <w:rsid w:val="003272C3"/>
    <w:rsid w:val="003274E5"/>
    <w:rsid w:val="00330389"/>
    <w:rsid w:val="0033401A"/>
    <w:rsid w:val="00334915"/>
    <w:rsid w:val="00334C0D"/>
    <w:rsid w:val="0034059D"/>
    <w:rsid w:val="00342509"/>
    <w:rsid w:val="00342FAD"/>
    <w:rsid w:val="00342FCB"/>
    <w:rsid w:val="003438A6"/>
    <w:rsid w:val="00354DE9"/>
    <w:rsid w:val="003647A1"/>
    <w:rsid w:val="00367903"/>
    <w:rsid w:val="003679FE"/>
    <w:rsid w:val="0037010E"/>
    <w:rsid w:val="00372BC6"/>
    <w:rsid w:val="003760A9"/>
    <w:rsid w:val="00380F2B"/>
    <w:rsid w:val="00381860"/>
    <w:rsid w:val="003850A9"/>
    <w:rsid w:val="00385834"/>
    <w:rsid w:val="00390D5F"/>
    <w:rsid w:val="00390F6D"/>
    <w:rsid w:val="00391575"/>
    <w:rsid w:val="00391A2A"/>
    <w:rsid w:val="00391C17"/>
    <w:rsid w:val="00392DBE"/>
    <w:rsid w:val="00394896"/>
    <w:rsid w:val="00395158"/>
    <w:rsid w:val="00395E56"/>
    <w:rsid w:val="00396933"/>
    <w:rsid w:val="00396BF7"/>
    <w:rsid w:val="003A156B"/>
    <w:rsid w:val="003A193F"/>
    <w:rsid w:val="003A1DB2"/>
    <w:rsid w:val="003A2026"/>
    <w:rsid w:val="003A2A77"/>
    <w:rsid w:val="003A2DDD"/>
    <w:rsid w:val="003A63F2"/>
    <w:rsid w:val="003A6EDB"/>
    <w:rsid w:val="003A78A8"/>
    <w:rsid w:val="003B0956"/>
    <w:rsid w:val="003B2DB7"/>
    <w:rsid w:val="003B4573"/>
    <w:rsid w:val="003B7F98"/>
    <w:rsid w:val="003C2466"/>
    <w:rsid w:val="003C2959"/>
    <w:rsid w:val="003C2F22"/>
    <w:rsid w:val="003C3124"/>
    <w:rsid w:val="003C3A08"/>
    <w:rsid w:val="003C4B5B"/>
    <w:rsid w:val="003C78C8"/>
    <w:rsid w:val="003D31B8"/>
    <w:rsid w:val="003D32CF"/>
    <w:rsid w:val="003E0BDC"/>
    <w:rsid w:val="003E323C"/>
    <w:rsid w:val="003E4ED6"/>
    <w:rsid w:val="003F35B4"/>
    <w:rsid w:val="003F41FE"/>
    <w:rsid w:val="0040023E"/>
    <w:rsid w:val="00402565"/>
    <w:rsid w:val="0040437B"/>
    <w:rsid w:val="00404A16"/>
    <w:rsid w:val="00406AD4"/>
    <w:rsid w:val="00406CA9"/>
    <w:rsid w:val="00407346"/>
    <w:rsid w:val="00410CE8"/>
    <w:rsid w:val="0041158F"/>
    <w:rsid w:val="00411AA1"/>
    <w:rsid w:val="004122A1"/>
    <w:rsid w:val="00412A2C"/>
    <w:rsid w:val="004141FD"/>
    <w:rsid w:val="004156C7"/>
    <w:rsid w:val="00417DB9"/>
    <w:rsid w:val="004209F2"/>
    <w:rsid w:val="00424361"/>
    <w:rsid w:val="00424B16"/>
    <w:rsid w:val="00426A4B"/>
    <w:rsid w:val="0043622B"/>
    <w:rsid w:val="00440D76"/>
    <w:rsid w:val="00441EE0"/>
    <w:rsid w:val="00444E67"/>
    <w:rsid w:val="00452642"/>
    <w:rsid w:val="00453368"/>
    <w:rsid w:val="00453560"/>
    <w:rsid w:val="00456EB9"/>
    <w:rsid w:val="0046025D"/>
    <w:rsid w:val="00470FC6"/>
    <w:rsid w:val="004713C1"/>
    <w:rsid w:val="0047350D"/>
    <w:rsid w:val="00473A60"/>
    <w:rsid w:val="00474153"/>
    <w:rsid w:val="00480146"/>
    <w:rsid w:val="00480220"/>
    <w:rsid w:val="00484137"/>
    <w:rsid w:val="00494B31"/>
    <w:rsid w:val="0049593F"/>
    <w:rsid w:val="0049791F"/>
    <w:rsid w:val="004A3727"/>
    <w:rsid w:val="004A4C47"/>
    <w:rsid w:val="004A6BC2"/>
    <w:rsid w:val="004A7AC2"/>
    <w:rsid w:val="004B2BC7"/>
    <w:rsid w:val="004B6C26"/>
    <w:rsid w:val="004B75EE"/>
    <w:rsid w:val="004C3EB9"/>
    <w:rsid w:val="004C436F"/>
    <w:rsid w:val="004C73DE"/>
    <w:rsid w:val="004C79D4"/>
    <w:rsid w:val="004D171D"/>
    <w:rsid w:val="004D6363"/>
    <w:rsid w:val="004E070B"/>
    <w:rsid w:val="004E48DF"/>
    <w:rsid w:val="004E622B"/>
    <w:rsid w:val="004F3667"/>
    <w:rsid w:val="004F3DE9"/>
    <w:rsid w:val="004F558F"/>
    <w:rsid w:val="004F59AB"/>
    <w:rsid w:val="004F69E9"/>
    <w:rsid w:val="0050157E"/>
    <w:rsid w:val="0050457B"/>
    <w:rsid w:val="00505B60"/>
    <w:rsid w:val="00507E70"/>
    <w:rsid w:val="00510C16"/>
    <w:rsid w:val="0051301A"/>
    <w:rsid w:val="00514EEE"/>
    <w:rsid w:val="005169AE"/>
    <w:rsid w:val="00520CAF"/>
    <w:rsid w:val="00522A4E"/>
    <w:rsid w:val="00525287"/>
    <w:rsid w:val="00525AFA"/>
    <w:rsid w:val="005279B3"/>
    <w:rsid w:val="00527C93"/>
    <w:rsid w:val="005333C2"/>
    <w:rsid w:val="0053408E"/>
    <w:rsid w:val="00534A2D"/>
    <w:rsid w:val="00535F17"/>
    <w:rsid w:val="00541786"/>
    <w:rsid w:val="00541E4C"/>
    <w:rsid w:val="00543050"/>
    <w:rsid w:val="005457E2"/>
    <w:rsid w:val="00547B40"/>
    <w:rsid w:val="00551E14"/>
    <w:rsid w:val="00555151"/>
    <w:rsid w:val="0055630B"/>
    <w:rsid w:val="00556930"/>
    <w:rsid w:val="005607CE"/>
    <w:rsid w:val="00560D95"/>
    <w:rsid w:val="005611DC"/>
    <w:rsid w:val="00565094"/>
    <w:rsid w:val="00566D60"/>
    <w:rsid w:val="00567DB5"/>
    <w:rsid w:val="00570610"/>
    <w:rsid w:val="0057246E"/>
    <w:rsid w:val="00572757"/>
    <w:rsid w:val="0057539A"/>
    <w:rsid w:val="005779F7"/>
    <w:rsid w:val="00577CFC"/>
    <w:rsid w:val="0058086A"/>
    <w:rsid w:val="005813FD"/>
    <w:rsid w:val="00582D0F"/>
    <w:rsid w:val="0058404B"/>
    <w:rsid w:val="005852E7"/>
    <w:rsid w:val="0058533F"/>
    <w:rsid w:val="00585EEE"/>
    <w:rsid w:val="00587DE4"/>
    <w:rsid w:val="00591FFA"/>
    <w:rsid w:val="00592020"/>
    <w:rsid w:val="00594FDA"/>
    <w:rsid w:val="005952E9"/>
    <w:rsid w:val="005A136C"/>
    <w:rsid w:val="005A2FEA"/>
    <w:rsid w:val="005A30E5"/>
    <w:rsid w:val="005A530A"/>
    <w:rsid w:val="005A6795"/>
    <w:rsid w:val="005B1077"/>
    <w:rsid w:val="005B16A6"/>
    <w:rsid w:val="005B1F9C"/>
    <w:rsid w:val="005B2E30"/>
    <w:rsid w:val="005B5847"/>
    <w:rsid w:val="005B7FAC"/>
    <w:rsid w:val="005C105C"/>
    <w:rsid w:val="005C1B74"/>
    <w:rsid w:val="005C2679"/>
    <w:rsid w:val="005C2F88"/>
    <w:rsid w:val="005C374B"/>
    <w:rsid w:val="005C5248"/>
    <w:rsid w:val="005C7BB0"/>
    <w:rsid w:val="005D0CA9"/>
    <w:rsid w:val="005D0D4C"/>
    <w:rsid w:val="005D19D2"/>
    <w:rsid w:val="005D26A1"/>
    <w:rsid w:val="005D307E"/>
    <w:rsid w:val="005D6132"/>
    <w:rsid w:val="005D62F7"/>
    <w:rsid w:val="005D74C2"/>
    <w:rsid w:val="005D781D"/>
    <w:rsid w:val="005D79EF"/>
    <w:rsid w:val="005E4B83"/>
    <w:rsid w:val="005E6E56"/>
    <w:rsid w:val="005E7246"/>
    <w:rsid w:val="005E7C2C"/>
    <w:rsid w:val="005F0FF7"/>
    <w:rsid w:val="005F158D"/>
    <w:rsid w:val="005F2492"/>
    <w:rsid w:val="005F41A0"/>
    <w:rsid w:val="005F5EDC"/>
    <w:rsid w:val="005F6D86"/>
    <w:rsid w:val="00601E46"/>
    <w:rsid w:val="006062B8"/>
    <w:rsid w:val="00607DC4"/>
    <w:rsid w:val="00612002"/>
    <w:rsid w:val="006135F0"/>
    <w:rsid w:val="00613E2A"/>
    <w:rsid w:val="006168BC"/>
    <w:rsid w:val="00620DD0"/>
    <w:rsid w:val="00622D2B"/>
    <w:rsid w:val="006235DB"/>
    <w:rsid w:val="0062360B"/>
    <w:rsid w:val="00623C31"/>
    <w:rsid w:val="00624F36"/>
    <w:rsid w:val="00625A5B"/>
    <w:rsid w:val="00626037"/>
    <w:rsid w:val="00626346"/>
    <w:rsid w:val="00630F2B"/>
    <w:rsid w:val="006312C6"/>
    <w:rsid w:val="00631D21"/>
    <w:rsid w:val="006354AA"/>
    <w:rsid w:val="00635AD5"/>
    <w:rsid w:val="006377C4"/>
    <w:rsid w:val="0064128D"/>
    <w:rsid w:val="006427D8"/>
    <w:rsid w:val="006433EF"/>
    <w:rsid w:val="00646E3E"/>
    <w:rsid w:val="006504AD"/>
    <w:rsid w:val="006507AE"/>
    <w:rsid w:val="006521A1"/>
    <w:rsid w:val="00660ECC"/>
    <w:rsid w:val="006632DB"/>
    <w:rsid w:val="0066765C"/>
    <w:rsid w:val="00672DC6"/>
    <w:rsid w:val="00673D55"/>
    <w:rsid w:val="00673E18"/>
    <w:rsid w:val="00674E23"/>
    <w:rsid w:val="00675FC4"/>
    <w:rsid w:val="00682FFE"/>
    <w:rsid w:val="00684662"/>
    <w:rsid w:val="00686ECB"/>
    <w:rsid w:val="00690CDF"/>
    <w:rsid w:val="00691491"/>
    <w:rsid w:val="00693A3D"/>
    <w:rsid w:val="00697CAB"/>
    <w:rsid w:val="006A2695"/>
    <w:rsid w:val="006A36DC"/>
    <w:rsid w:val="006A7DCB"/>
    <w:rsid w:val="006B186F"/>
    <w:rsid w:val="006B3AB4"/>
    <w:rsid w:val="006B6B48"/>
    <w:rsid w:val="006C21DF"/>
    <w:rsid w:val="006C2E9F"/>
    <w:rsid w:val="006C5DEE"/>
    <w:rsid w:val="006C69C7"/>
    <w:rsid w:val="006C6E51"/>
    <w:rsid w:val="006D1040"/>
    <w:rsid w:val="006D1CA8"/>
    <w:rsid w:val="006D251A"/>
    <w:rsid w:val="006D5CA5"/>
    <w:rsid w:val="006D728D"/>
    <w:rsid w:val="006D76D0"/>
    <w:rsid w:val="006E1E9F"/>
    <w:rsid w:val="006E219E"/>
    <w:rsid w:val="006E3C91"/>
    <w:rsid w:val="006E3E64"/>
    <w:rsid w:val="006E43F6"/>
    <w:rsid w:val="006E58E8"/>
    <w:rsid w:val="006E6E84"/>
    <w:rsid w:val="006E70E8"/>
    <w:rsid w:val="006E7A29"/>
    <w:rsid w:val="006F1A6D"/>
    <w:rsid w:val="006F1F7A"/>
    <w:rsid w:val="006F3288"/>
    <w:rsid w:val="006F44CB"/>
    <w:rsid w:val="006F6CEB"/>
    <w:rsid w:val="00715AAB"/>
    <w:rsid w:val="007175A1"/>
    <w:rsid w:val="00721FBD"/>
    <w:rsid w:val="007243D9"/>
    <w:rsid w:val="00724680"/>
    <w:rsid w:val="00731AE8"/>
    <w:rsid w:val="007375E3"/>
    <w:rsid w:val="007417BD"/>
    <w:rsid w:val="00741D4D"/>
    <w:rsid w:val="00743BFF"/>
    <w:rsid w:val="007459DE"/>
    <w:rsid w:val="00747012"/>
    <w:rsid w:val="00747174"/>
    <w:rsid w:val="00751771"/>
    <w:rsid w:val="0075219E"/>
    <w:rsid w:val="007521B6"/>
    <w:rsid w:val="00753064"/>
    <w:rsid w:val="00753425"/>
    <w:rsid w:val="007537BC"/>
    <w:rsid w:val="00754218"/>
    <w:rsid w:val="007608EA"/>
    <w:rsid w:val="00763677"/>
    <w:rsid w:val="00770E83"/>
    <w:rsid w:val="00772A5B"/>
    <w:rsid w:val="00773123"/>
    <w:rsid w:val="007742BF"/>
    <w:rsid w:val="00776B0A"/>
    <w:rsid w:val="00780733"/>
    <w:rsid w:val="007810AD"/>
    <w:rsid w:val="00782411"/>
    <w:rsid w:val="0078302F"/>
    <w:rsid w:val="007940E1"/>
    <w:rsid w:val="0079538F"/>
    <w:rsid w:val="007964C0"/>
    <w:rsid w:val="00797D43"/>
    <w:rsid w:val="007A1E17"/>
    <w:rsid w:val="007A3AFF"/>
    <w:rsid w:val="007A462F"/>
    <w:rsid w:val="007A5C48"/>
    <w:rsid w:val="007B0C92"/>
    <w:rsid w:val="007B207E"/>
    <w:rsid w:val="007B5605"/>
    <w:rsid w:val="007C1283"/>
    <w:rsid w:val="007C3182"/>
    <w:rsid w:val="007C3A33"/>
    <w:rsid w:val="007C5809"/>
    <w:rsid w:val="007C6270"/>
    <w:rsid w:val="007D08AC"/>
    <w:rsid w:val="007D4F32"/>
    <w:rsid w:val="007E0151"/>
    <w:rsid w:val="007E0599"/>
    <w:rsid w:val="007E0EE6"/>
    <w:rsid w:val="007E19DD"/>
    <w:rsid w:val="007E3B89"/>
    <w:rsid w:val="007F03B4"/>
    <w:rsid w:val="007F329A"/>
    <w:rsid w:val="007F54A2"/>
    <w:rsid w:val="007F6100"/>
    <w:rsid w:val="00801950"/>
    <w:rsid w:val="00802067"/>
    <w:rsid w:val="008026C0"/>
    <w:rsid w:val="00803E1D"/>
    <w:rsid w:val="0080482E"/>
    <w:rsid w:val="00804DAF"/>
    <w:rsid w:val="00806936"/>
    <w:rsid w:val="00806AF4"/>
    <w:rsid w:val="00806BFE"/>
    <w:rsid w:val="00813D2E"/>
    <w:rsid w:val="0081573B"/>
    <w:rsid w:val="00816C58"/>
    <w:rsid w:val="00821613"/>
    <w:rsid w:val="00822586"/>
    <w:rsid w:val="008232A8"/>
    <w:rsid w:val="00823530"/>
    <w:rsid w:val="00826626"/>
    <w:rsid w:val="0082785E"/>
    <w:rsid w:val="008301F3"/>
    <w:rsid w:val="00831F83"/>
    <w:rsid w:val="0083439C"/>
    <w:rsid w:val="00834CAC"/>
    <w:rsid w:val="00836CA4"/>
    <w:rsid w:val="00840ADE"/>
    <w:rsid w:val="00841D75"/>
    <w:rsid w:val="008518D0"/>
    <w:rsid w:val="00853662"/>
    <w:rsid w:val="00853AF3"/>
    <w:rsid w:val="00854329"/>
    <w:rsid w:val="00854638"/>
    <w:rsid w:val="00854D93"/>
    <w:rsid w:val="00860D00"/>
    <w:rsid w:val="00861310"/>
    <w:rsid w:val="00861396"/>
    <w:rsid w:val="00863D23"/>
    <w:rsid w:val="008718CB"/>
    <w:rsid w:val="00871F8D"/>
    <w:rsid w:val="00872085"/>
    <w:rsid w:val="0087215D"/>
    <w:rsid w:val="0087363F"/>
    <w:rsid w:val="00883EDB"/>
    <w:rsid w:val="00884697"/>
    <w:rsid w:val="00892B77"/>
    <w:rsid w:val="00892C6E"/>
    <w:rsid w:val="00893223"/>
    <w:rsid w:val="00896E18"/>
    <w:rsid w:val="00897438"/>
    <w:rsid w:val="008A2886"/>
    <w:rsid w:val="008A2F79"/>
    <w:rsid w:val="008A7BE8"/>
    <w:rsid w:val="008B2D08"/>
    <w:rsid w:val="008B3CF1"/>
    <w:rsid w:val="008B57AF"/>
    <w:rsid w:val="008B6752"/>
    <w:rsid w:val="008C5A65"/>
    <w:rsid w:val="008C63D2"/>
    <w:rsid w:val="008E031C"/>
    <w:rsid w:val="008F0C70"/>
    <w:rsid w:val="008F1033"/>
    <w:rsid w:val="008F2F55"/>
    <w:rsid w:val="008F4C7E"/>
    <w:rsid w:val="008F6A17"/>
    <w:rsid w:val="008F6B7C"/>
    <w:rsid w:val="008F7588"/>
    <w:rsid w:val="008F769E"/>
    <w:rsid w:val="008F7F85"/>
    <w:rsid w:val="009000F5"/>
    <w:rsid w:val="009028D3"/>
    <w:rsid w:val="00902DAF"/>
    <w:rsid w:val="009051ED"/>
    <w:rsid w:val="00905549"/>
    <w:rsid w:val="0090625E"/>
    <w:rsid w:val="00910279"/>
    <w:rsid w:val="00911619"/>
    <w:rsid w:val="009119C0"/>
    <w:rsid w:val="00912429"/>
    <w:rsid w:val="0091257F"/>
    <w:rsid w:val="009132EE"/>
    <w:rsid w:val="009137AB"/>
    <w:rsid w:val="009163A7"/>
    <w:rsid w:val="00920AD4"/>
    <w:rsid w:val="00921124"/>
    <w:rsid w:val="00927A93"/>
    <w:rsid w:val="00930A8F"/>
    <w:rsid w:val="00930F89"/>
    <w:rsid w:val="009340B2"/>
    <w:rsid w:val="009346D2"/>
    <w:rsid w:val="00934EFF"/>
    <w:rsid w:val="00935FCE"/>
    <w:rsid w:val="009377C4"/>
    <w:rsid w:val="0094251E"/>
    <w:rsid w:val="00942B20"/>
    <w:rsid w:val="0094399F"/>
    <w:rsid w:val="00943AFD"/>
    <w:rsid w:val="0094584B"/>
    <w:rsid w:val="009462E9"/>
    <w:rsid w:val="00952E1D"/>
    <w:rsid w:val="00956A90"/>
    <w:rsid w:val="009573FB"/>
    <w:rsid w:val="00960519"/>
    <w:rsid w:val="00962467"/>
    <w:rsid w:val="0096267F"/>
    <w:rsid w:val="009657C5"/>
    <w:rsid w:val="00966B98"/>
    <w:rsid w:val="00967D26"/>
    <w:rsid w:val="009704F7"/>
    <w:rsid w:val="009725DE"/>
    <w:rsid w:val="0097598F"/>
    <w:rsid w:val="009759B9"/>
    <w:rsid w:val="009772E3"/>
    <w:rsid w:val="00977B8E"/>
    <w:rsid w:val="00980479"/>
    <w:rsid w:val="00983D36"/>
    <w:rsid w:val="0098481F"/>
    <w:rsid w:val="00986D46"/>
    <w:rsid w:val="0099657E"/>
    <w:rsid w:val="00997629"/>
    <w:rsid w:val="009A104C"/>
    <w:rsid w:val="009A1C71"/>
    <w:rsid w:val="009A20B6"/>
    <w:rsid w:val="009A2EB6"/>
    <w:rsid w:val="009A3876"/>
    <w:rsid w:val="009A3CD5"/>
    <w:rsid w:val="009A4B38"/>
    <w:rsid w:val="009A6F2F"/>
    <w:rsid w:val="009A79CB"/>
    <w:rsid w:val="009B65C7"/>
    <w:rsid w:val="009B73F6"/>
    <w:rsid w:val="009C083E"/>
    <w:rsid w:val="009C296A"/>
    <w:rsid w:val="009C2BD8"/>
    <w:rsid w:val="009C41EA"/>
    <w:rsid w:val="009D0788"/>
    <w:rsid w:val="009E1C5B"/>
    <w:rsid w:val="009E6B0E"/>
    <w:rsid w:val="009E77DB"/>
    <w:rsid w:val="009F30B0"/>
    <w:rsid w:val="009F42D5"/>
    <w:rsid w:val="009F4F27"/>
    <w:rsid w:val="009F630A"/>
    <w:rsid w:val="009F7B30"/>
    <w:rsid w:val="00A00FF3"/>
    <w:rsid w:val="00A11B50"/>
    <w:rsid w:val="00A140EE"/>
    <w:rsid w:val="00A1651E"/>
    <w:rsid w:val="00A21A6F"/>
    <w:rsid w:val="00A21E3C"/>
    <w:rsid w:val="00A22C84"/>
    <w:rsid w:val="00A3363D"/>
    <w:rsid w:val="00A3742D"/>
    <w:rsid w:val="00A37443"/>
    <w:rsid w:val="00A400EE"/>
    <w:rsid w:val="00A45E0E"/>
    <w:rsid w:val="00A47C1C"/>
    <w:rsid w:val="00A50A59"/>
    <w:rsid w:val="00A51418"/>
    <w:rsid w:val="00A55F7E"/>
    <w:rsid w:val="00A560FB"/>
    <w:rsid w:val="00A60CD9"/>
    <w:rsid w:val="00A62584"/>
    <w:rsid w:val="00A64976"/>
    <w:rsid w:val="00A6708B"/>
    <w:rsid w:val="00A67478"/>
    <w:rsid w:val="00A703FE"/>
    <w:rsid w:val="00A70A79"/>
    <w:rsid w:val="00A71057"/>
    <w:rsid w:val="00A72328"/>
    <w:rsid w:val="00A7323B"/>
    <w:rsid w:val="00A775BD"/>
    <w:rsid w:val="00A81080"/>
    <w:rsid w:val="00A834C6"/>
    <w:rsid w:val="00A8457A"/>
    <w:rsid w:val="00A84C06"/>
    <w:rsid w:val="00A84E88"/>
    <w:rsid w:val="00A851FF"/>
    <w:rsid w:val="00A8655F"/>
    <w:rsid w:val="00A9368F"/>
    <w:rsid w:val="00A9483F"/>
    <w:rsid w:val="00A94AC7"/>
    <w:rsid w:val="00AA093E"/>
    <w:rsid w:val="00AA33D9"/>
    <w:rsid w:val="00AB016B"/>
    <w:rsid w:val="00AB1ABE"/>
    <w:rsid w:val="00AB3818"/>
    <w:rsid w:val="00AB49EC"/>
    <w:rsid w:val="00AB4BB1"/>
    <w:rsid w:val="00AB6112"/>
    <w:rsid w:val="00AB7788"/>
    <w:rsid w:val="00AB7BBA"/>
    <w:rsid w:val="00AB7C0B"/>
    <w:rsid w:val="00AC0C06"/>
    <w:rsid w:val="00AC158B"/>
    <w:rsid w:val="00AC68CE"/>
    <w:rsid w:val="00AC6BC6"/>
    <w:rsid w:val="00AC7883"/>
    <w:rsid w:val="00AC7B57"/>
    <w:rsid w:val="00AD05A5"/>
    <w:rsid w:val="00AD1149"/>
    <w:rsid w:val="00AD1F40"/>
    <w:rsid w:val="00AD3822"/>
    <w:rsid w:val="00AD41E7"/>
    <w:rsid w:val="00AD7D54"/>
    <w:rsid w:val="00AE2094"/>
    <w:rsid w:val="00AE2860"/>
    <w:rsid w:val="00AE316A"/>
    <w:rsid w:val="00AE5863"/>
    <w:rsid w:val="00AE6314"/>
    <w:rsid w:val="00AE6DA1"/>
    <w:rsid w:val="00AF1982"/>
    <w:rsid w:val="00AF43F8"/>
    <w:rsid w:val="00AF53A5"/>
    <w:rsid w:val="00AF588E"/>
    <w:rsid w:val="00B0151B"/>
    <w:rsid w:val="00B035CF"/>
    <w:rsid w:val="00B03BC1"/>
    <w:rsid w:val="00B05E8A"/>
    <w:rsid w:val="00B104C0"/>
    <w:rsid w:val="00B12F6F"/>
    <w:rsid w:val="00B139C3"/>
    <w:rsid w:val="00B1404D"/>
    <w:rsid w:val="00B14949"/>
    <w:rsid w:val="00B150A0"/>
    <w:rsid w:val="00B15453"/>
    <w:rsid w:val="00B15B38"/>
    <w:rsid w:val="00B222BA"/>
    <w:rsid w:val="00B2643A"/>
    <w:rsid w:val="00B30EE4"/>
    <w:rsid w:val="00B33CA1"/>
    <w:rsid w:val="00B37BFD"/>
    <w:rsid w:val="00B4033C"/>
    <w:rsid w:val="00B4402C"/>
    <w:rsid w:val="00B45105"/>
    <w:rsid w:val="00B463BE"/>
    <w:rsid w:val="00B46805"/>
    <w:rsid w:val="00B50266"/>
    <w:rsid w:val="00B50A5F"/>
    <w:rsid w:val="00B519C4"/>
    <w:rsid w:val="00B51DE4"/>
    <w:rsid w:val="00B5434E"/>
    <w:rsid w:val="00B5467D"/>
    <w:rsid w:val="00B552C2"/>
    <w:rsid w:val="00B55458"/>
    <w:rsid w:val="00B55B63"/>
    <w:rsid w:val="00B61097"/>
    <w:rsid w:val="00B6375A"/>
    <w:rsid w:val="00B63FA4"/>
    <w:rsid w:val="00B64AD3"/>
    <w:rsid w:val="00B65DF9"/>
    <w:rsid w:val="00B73F9C"/>
    <w:rsid w:val="00B74513"/>
    <w:rsid w:val="00B76C95"/>
    <w:rsid w:val="00B76E4C"/>
    <w:rsid w:val="00B81161"/>
    <w:rsid w:val="00B82C37"/>
    <w:rsid w:val="00B869A2"/>
    <w:rsid w:val="00B8743D"/>
    <w:rsid w:val="00B9104F"/>
    <w:rsid w:val="00B91872"/>
    <w:rsid w:val="00B941CF"/>
    <w:rsid w:val="00BA3C17"/>
    <w:rsid w:val="00BA4EB9"/>
    <w:rsid w:val="00BA5094"/>
    <w:rsid w:val="00BA61F1"/>
    <w:rsid w:val="00BA77E2"/>
    <w:rsid w:val="00BB2A13"/>
    <w:rsid w:val="00BB56DA"/>
    <w:rsid w:val="00BB6ABD"/>
    <w:rsid w:val="00BC14A0"/>
    <w:rsid w:val="00BC5F14"/>
    <w:rsid w:val="00BC7EF1"/>
    <w:rsid w:val="00BD0076"/>
    <w:rsid w:val="00BD2D80"/>
    <w:rsid w:val="00BD2EE1"/>
    <w:rsid w:val="00BD37E2"/>
    <w:rsid w:val="00BD4335"/>
    <w:rsid w:val="00BD4B1F"/>
    <w:rsid w:val="00BD5524"/>
    <w:rsid w:val="00BE2303"/>
    <w:rsid w:val="00BE2F0D"/>
    <w:rsid w:val="00BE30FA"/>
    <w:rsid w:val="00BE42CA"/>
    <w:rsid w:val="00BE5974"/>
    <w:rsid w:val="00BE72AB"/>
    <w:rsid w:val="00BF2774"/>
    <w:rsid w:val="00BF456C"/>
    <w:rsid w:val="00BF69DC"/>
    <w:rsid w:val="00BF6CAC"/>
    <w:rsid w:val="00C00B69"/>
    <w:rsid w:val="00C0475E"/>
    <w:rsid w:val="00C05304"/>
    <w:rsid w:val="00C0531A"/>
    <w:rsid w:val="00C0631A"/>
    <w:rsid w:val="00C11A18"/>
    <w:rsid w:val="00C131D3"/>
    <w:rsid w:val="00C13494"/>
    <w:rsid w:val="00C138F3"/>
    <w:rsid w:val="00C13A27"/>
    <w:rsid w:val="00C14E6B"/>
    <w:rsid w:val="00C15AFC"/>
    <w:rsid w:val="00C15D45"/>
    <w:rsid w:val="00C16FB5"/>
    <w:rsid w:val="00C17FB9"/>
    <w:rsid w:val="00C20658"/>
    <w:rsid w:val="00C2112E"/>
    <w:rsid w:val="00C216A5"/>
    <w:rsid w:val="00C224AF"/>
    <w:rsid w:val="00C2480C"/>
    <w:rsid w:val="00C2522D"/>
    <w:rsid w:val="00C27BA7"/>
    <w:rsid w:val="00C304B0"/>
    <w:rsid w:val="00C305C6"/>
    <w:rsid w:val="00C34B86"/>
    <w:rsid w:val="00C402ED"/>
    <w:rsid w:val="00C415C6"/>
    <w:rsid w:val="00C42FD3"/>
    <w:rsid w:val="00C44201"/>
    <w:rsid w:val="00C46574"/>
    <w:rsid w:val="00C5091D"/>
    <w:rsid w:val="00C53023"/>
    <w:rsid w:val="00C5429D"/>
    <w:rsid w:val="00C54FF1"/>
    <w:rsid w:val="00C552DC"/>
    <w:rsid w:val="00C5563E"/>
    <w:rsid w:val="00C62A56"/>
    <w:rsid w:val="00C63AF9"/>
    <w:rsid w:val="00C63FBC"/>
    <w:rsid w:val="00C65398"/>
    <w:rsid w:val="00C655E5"/>
    <w:rsid w:val="00C66138"/>
    <w:rsid w:val="00C70077"/>
    <w:rsid w:val="00C70719"/>
    <w:rsid w:val="00C72C4D"/>
    <w:rsid w:val="00C755DD"/>
    <w:rsid w:val="00C77743"/>
    <w:rsid w:val="00C850D3"/>
    <w:rsid w:val="00C869CE"/>
    <w:rsid w:val="00C926C1"/>
    <w:rsid w:val="00C92D2F"/>
    <w:rsid w:val="00C93ED8"/>
    <w:rsid w:val="00C946F7"/>
    <w:rsid w:val="00C94948"/>
    <w:rsid w:val="00C9749A"/>
    <w:rsid w:val="00CA0112"/>
    <w:rsid w:val="00CA0D1E"/>
    <w:rsid w:val="00CA275D"/>
    <w:rsid w:val="00CA3787"/>
    <w:rsid w:val="00CA47E8"/>
    <w:rsid w:val="00CA4DF3"/>
    <w:rsid w:val="00CA6161"/>
    <w:rsid w:val="00CA6AD1"/>
    <w:rsid w:val="00CA7291"/>
    <w:rsid w:val="00CB0C3E"/>
    <w:rsid w:val="00CB43A3"/>
    <w:rsid w:val="00CB48C8"/>
    <w:rsid w:val="00CB6220"/>
    <w:rsid w:val="00CB777A"/>
    <w:rsid w:val="00CC2BE4"/>
    <w:rsid w:val="00CC3B63"/>
    <w:rsid w:val="00CC5BBA"/>
    <w:rsid w:val="00CC6771"/>
    <w:rsid w:val="00CD2CEA"/>
    <w:rsid w:val="00CD59C5"/>
    <w:rsid w:val="00CE031C"/>
    <w:rsid w:val="00CE0F5B"/>
    <w:rsid w:val="00CE2358"/>
    <w:rsid w:val="00CE2508"/>
    <w:rsid w:val="00CE2F69"/>
    <w:rsid w:val="00CE5F55"/>
    <w:rsid w:val="00CE7266"/>
    <w:rsid w:val="00CF1A2B"/>
    <w:rsid w:val="00CF3181"/>
    <w:rsid w:val="00CF61C6"/>
    <w:rsid w:val="00D01ECE"/>
    <w:rsid w:val="00D14845"/>
    <w:rsid w:val="00D2169E"/>
    <w:rsid w:val="00D22B20"/>
    <w:rsid w:val="00D22F8C"/>
    <w:rsid w:val="00D231C5"/>
    <w:rsid w:val="00D2401C"/>
    <w:rsid w:val="00D25369"/>
    <w:rsid w:val="00D25B16"/>
    <w:rsid w:val="00D269D8"/>
    <w:rsid w:val="00D3072B"/>
    <w:rsid w:val="00D31113"/>
    <w:rsid w:val="00D32D7E"/>
    <w:rsid w:val="00D3480D"/>
    <w:rsid w:val="00D351E8"/>
    <w:rsid w:val="00D354B9"/>
    <w:rsid w:val="00D414AA"/>
    <w:rsid w:val="00D41E7B"/>
    <w:rsid w:val="00D45838"/>
    <w:rsid w:val="00D45CB0"/>
    <w:rsid w:val="00D47456"/>
    <w:rsid w:val="00D51218"/>
    <w:rsid w:val="00D52EF3"/>
    <w:rsid w:val="00D534D2"/>
    <w:rsid w:val="00D54A6C"/>
    <w:rsid w:val="00D558C3"/>
    <w:rsid w:val="00D55D99"/>
    <w:rsid w:val="00D60568"/>
    <w:rsid w:val="00D60BC8"/>
    <w:rsid w:val="00D61277"/>
    <w:rsid w:val="00D618BD"/>
    <w:rsid w:val="00D62A56"/>
    <w:rsid w:val="00D65186"/>
    <w:rsid w:val="00D66D65"/>
    <w:rsid w:val="00D66F1F"/>
    <w:rsid w:val="00D6701A"/>
    <w:rsid w:val="00D67F45"/>
    <w:rsid w:val="00D71C50"/>
    <w:rsid w:val="00D725F5"/>
    <w:rsid w:val="00D7442A"/>
    <w:rsid w:val="00D762C5"/>
    <w:rsid w:val="00D7707E"/>
    <w:rsid w:val="00D7740C"/>
    <w:rsid w:val="00D8359C"/>
    <w:rsid w:val="00D84459"/>
    <w:rsid w:val="00DA17FB"/>
    <w:rsid w:val="00DA534B"/>
    <w:rsid w:val="00DA7BF6"/>
    <w:rsid w:val="00DB0FF0"/>
    <w:rsid w:val="00DB5B3E"/>
    <w:rsid w:val="00DB6B06"/>
    <w:rsid w:val="00DC2A11"/>
    <w:rsid w:val="00DC344F"/>
    <w:rsid w:val="00DC4BB7"/>
    <w:rsid w:val="00DC517E"/>
    <w:rsid w:val="00DD05D6"/>
    <w:rsid w:val="00DD1A50"/>
    <w:rsid w:val="00DD33CA"/>
    <w:rsid w:val="00DD59E2"/>
    <w:rsid w:val="00DD6D54"/>
    <w:rsid w:val="00DE3EF4"/>
    <w:rsid w:val="00DE7232"/>
    <w:rsid w:val="00DF202F"/>
    <w:rsid w:val="00DF33E2"/>
    <w:rsid w:val="00DF3F97"/>
    <w:rsid w:val="00DF5CCA"/>
    <w:rsid w:val="00DF70AC"/>
    <w:rsid w:val="00DF7B16"/>
    <w:rsid w:val="00DF7E05"/>
    <w:rsid w:val="00E03FD5"/>
    <w:rsid w:val="00E073A8"/>
    <w:rsid w:val="00E1131C"/>
    <w:rsid w:val="00E11951"/>
    <w:rsid w:val="00E12382"/>
    <w:rsid w:val="00E1602F"/>
    <w:rsid w:val="00E16825"/>
    <w:rsid w:val="00E16DC7"/>
    <w:rsid w:val="00E17AF5"/>
    <w:rsid w:val="00E17B6E"/>
    <w:rsid w:val="00E25366"/>
    <w:rsid w:val="00E30BD0"/>
    <w:rsid w:val="00E31A07"/>
    <w:rsid w:val="00E324CB"/>
    <w:rsid w:val="00E3462A"/>
    <w:rsid w:val="00E36A0D"/>
    <w:rsid w:val="00E4027F"/>
    <w:rsid w:val="00E4161D"/>
    <w:rsid w:val="00E437EF"/>
    <w:rsid w:val="00E4539E"/>
    <w:rsid w:val="00E4610C"/>
    <w:rsid w:val="00E5099E"/>
    <w:rsid w:val="00E536A1"/>
    <w:rsid w:val="00E53AB4"/>
    <w:rsid w:val="00E54C5C"/>
    <w:rsid w:val="00E55111"/>
    <w:rsid w:val="00E663E8"/>
    <w:rsid w:val="00E669F8"/>
    <w:rsid w:val="00E67E89"/>
    <w:rsid w:val="00E7256F"/>
    <w:rsid w:val="00E760C4"/>
    <w:rsid w:val="00E77399"/>
    <w:rsid w:val="00E81103"/>
    <w:rsid w:val="00E83F54"/>
    <w:rsid w:val="00E90E86"/>
    <w:rsid w:val="00E9130A"/>
    <w:rsid w:val="00E941EB"/>
    <w:rsid w:val="00E95AF3"/>
    <w:rsid w:val="00E96E83"/>
    <w:rsid w:val="00EA0601"/>
    <w:rsid w:val="00EA1588"/>
    <w:rsid w:val="00EA2467"/>
    <w:rsid w:val="00EA2559"/>
    <w:rsid w:val="00EA2777"/>
    <w:rsid w:val="00EA7E3F"/>
    <w:rsid w:val="00EB0A1F"/>
    <w:rsid w:val="00EB19D8"/>
    <w:rsid w:val="00EB31F4"/>
    <w:rsid w:val="00EC2B84"/>
    <w:rsid w:val="00ED3496"/>
    <w:rsid w:val="00ED79A5"/>
    <w:rsid w:val="00EE01EB"/>
    <w:rsid w:val="00EE5249"/>
    <w:rsid w:val="00EF13E7"/>
    <w:rsid w:val="00EF32B5"/>
    <w:rsid w:val="00F02980"/>
    <w:rsid w:val="00F05736"/>
    <w:rsid w:val="00F06C1C"/>
    <w:rsid w:val="00F14F90"/>
    <w:rsid w:val="00F15A08"/>
    <w:rsid w:val="00F168AD"/>
    <w:rsid w:val="00F21A67"/>
    <w:rsid w:val="00F232B5"/>
    <w:rsid w:val="00F23436"/>
    <w:rsid w:val="00F24BC1"/>
    <w:rsid w:val="00F24FC0"/>
    <w:rsid w:val="00F32344"/>
    <w:rsid w:val="00F3497B"/>
    <w:rsid w:val="00F352A5"/>
    <w:rsid w:val="00F3585E"/>
    <w:rsid w:val="00F35C94"/>
    <w:rsid w:val="00F37220"/>
    <w:rsid w:val="00F41C82"/>
    <w:rsid w:val="00F44760"/>
    <w:rsid w:val="00F44B86"/>
    <w:rsid w:val="00F47BF7"/>
    <w:rsid w:val="00F50896"/>
    <w:rsid w:val="00F52C41"/>
    <w:rsid w:val="00F57AD4"/>
    <w:rsid w:val="00F60388"/>
    <w:rsid w:val="00F6074D"/>
    <w:rsid w:val="00F6190C"/>
    <w:rsid w:val="00F638F5"/>
    <w:rsid w:val="00F65DFA"/>
    <w:rsid w:val="00F674CA"/>
    <w:rsid w:val="00F70DDC"/>
    <w:rsid w:val="00F80975"/>
    <w:rsid w:val="00F80AF3"/>
    <w:rsid w:val="00F83A9F"/>
    <w:rsid w:val="00F842C5"/>
    <w:rsid w:val="00F906BD"/>
    <w:rsid w:val="00F93FC8"/>
    <w:rsid w:val="00F968D5"/>
    <w:rsid w:val="00FA1B48"/>
    <w:rsid w:val="00FA3519"/>
    <w:rsid w:val="00FA3F3D"/>
    <w:rsid w:val="00FA43F1"/>
    <w:rsid w:val="00FA6786"/>
    <w:rsid w:val="00FA73F4"/>
    <w:rsid w:val="00FA7AD6"/>
    <w:rsid w:val="00FB0226"/>
    <w:rsid w:val="00FB042C"/>
    <w:rsid w:val="00FB43E0"/>
    <w:rsid w:val="00FB4BBC"/>
    <w:rsid w:val="00FB50F0"/>
    <w:rsid w:val="00FC01A2"/>
    <w:rsid w:val="00FC16A6"/>
    <w:rsid w:val="00FC1CF3"/>
    <w:rsid w:val="00FC2F67"/>
    <w:rsid w:val="00FC324F"/>
    <w:rsid w:val="00FC4E33"/>
    <w:rsid w:val="00FD1CAB"/>
    <w:rsid w:val="00FD4B53"/>
    <w:rsid w:val="00FD629E"/>
    <w:rsid w:val="00FD64A8"/>
    <w:rsid w:val="00FD6DB3"/>
    <w:rsid w:val="00FE0790"/>
    <w:rsid w:val="00FE0C80"/>
    <w:rsid w:val="00FE2932"/>
    <w:rsid w:val="00FE36BC"/>
    <w:rsid w:val="00FE7CFE"/>
    <w:rsid w:val="00FF0296"/>
    <w:rsid w:val="00FF3A3F"/>
    <w:rsid w:val="00FF76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4809"/>
  <w15:docId w15:val="{41D1F488-4A71-4345-9E5D-A89872FA6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B20"/>
  </w:style>
  <w:style w:type="paragraph" w:styleId="Heading1">
    <w:name w:val="heading 1"/>
    <w:basedOn w:val="Normal"/>
    <w:next w:val="Normal"/>
    <w:link w:val="Heading1Char"/>
    <w:uiPriority w:val="9"/>
    <w:qFormat/>
    <w:pPr>
      <w:keepNext/>
      <w:keepLines/>
      <w:outlineLvl w:val="0"/>
    </w:pPr>
    <w:rPr>
      <w:b/>
      <w:sz w:val="24"/>
      <w:szCs w:val="24"/>
    </w:rPr>
  </w:style>
  <w:style w:type="paragraph" w:styleId="Heading2">
    <w:name w:val="heading 2"/>
    <w:basedOn w:val="Normal"/>
    <w:next w:val="Normal"/>
    <w:uiPriority w:val="9"/>
    <w:semiHidden/>
    <w:unhideWhenUsed/>
    <w:qFormat/>
    <w:pPr>
      <w:keepNext/>
      <w:keepLines/>
      <w:outlineLvl w:val="1"/>
    </w:pPr>
  </w:style>
  <w:style w:type="paragraph" w:styleId="Heading3">
    <w:name w:val="heading 3"/>
    <w:basedOn w:val="Normal"/>
    <w:next w:val="Normal"/>
    <w:uiPriority w:val="9"/>
    <w:semiHidden/>
    <w:unhideWhenUsed/>
    <w:qFormat/>
    <w:pPr>
      <w:keepNext/>
      <w:keepLines/>
      <w:outlineLvl w:val="2"/>
    </w:pPr>
  </w:style>
  <w:style w:type="paragraph" w:styleId="Heading4">
    <w:name w:val="heading 4"/>
    <w:basedOn w:val="Normal"/>
    <w:next w:val="Normal"/>
    <w:uiPriority w:val="9"/>
    <w:semiHidden/>
    <w:unhideWhenUsed/>
    <w:qFormat/>
    <w:pPr>
      <w:keepNext/>
      <w:keepLines/>
      <w:outlineLvl w:val="3"/>
    </w:pPr>
    <w:rPr>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78302F"/>
    <w:rPr>
      <w:rFonts w:ascii="Times New Roman" w:hAnsi="Times New Roman" w:cs="Times New Roman"/>
      <w:sz w:val="24"/>
      <w:szCs w:val="24"/>
    </w:rPr>
  </w:style>
  <w:style w:type="paragraph" w:styleId="ListParagraph">
    <w:name w:val="List Paragraph"/>
    <w:basedOn w:val="Normal"/>
    <w:uiPriority w:val="34"/>
    <w:qFormat/>
    <w:rsid w:val="00354DE9"/>
    <w:pPr>
      <w:ind w:left="720"/>
      <w:contextualSpacing/>
    </w:pPr>
  </w:style>
  <w:style w:type="character" w:styleId="Strong">
    <w:name w:val="Strong"/>
    <w:basedOn w:val="DefaultParagraphFont"/>
    <w:uiPriority w:val="22"/>
    <w:qFormat/>
    <w:rsid w:val="006E7A29"/>
    <w:rPr>
      <w:b/>
      <w:bCs/>
    </w:rPr>
  </w:style>
  <w:style w:type="character" w:styleId="CommentReference">
    <w:name w:val="annotation reference"/>
    <w:basedOn w:val="DefaultParagraphFont"/>
    <w:uiPriority w:val="99"/>
    <w:semiHidden/>
    <w:unhideWhenUsed/>
    <w:rsid w:val="002507F7"/>
    <w:rPr>
      <w:sz w:val="16"/>
      <w:szCs w:val="16"/>
    </w:rPr>
  </w:style>
  <w:style w:type="paragraph" w:styleId="CommentText">
    <w:name w:val="annotation text"/>
    <w:basedOn w:val="Normal"/>
    <w:link w:val="CommentTextChar"/>
    <w:uiPriority w:val="99"/>
    <w:unhideWhenUsed/>
    <w:rsid w:val="002507F7"/>
    <w:pPr>
      <w:spacing w:line="240" w:lineRule="auto"/>
    </w:pPr>
    <w:rPr>
      <w:sz w:val="20"/>
      <w:szCs w:val="20"/>
    </w:rPr>
  </w:style>
  <w:style w:type="character" w:customStyle="1" w:styleId="CommentTextChar">
    <w:name w:val="Comment Text Char"/>
    <w:basedOn w:val="DefaultParagraphFont"/>
    <w:link w:val="CommentText"/>
    <w:uiPriority w:val="99"/>
    <w:rsid w:val="002507F7"/>
    <w:rPr>
      <w:sz w:val="20"/>
      <w:szCs w:val="20"/>
    </w:rPr>
  </w:style>
  <w:style w:type="paragraph" w:styleId="CommentSubject">
    <w:name w:val="annotation subject"/>
    <w:basedOn w:val="CommentText"/>
    <w:next w:val="CommentText"/>
    <w:link w:val="CommentSubjectChar"/>
    <w:uiPriority w:val="99"/>
    <w:semiHidden/>
    <w:unhideWhenUsed/>
    <w:rsid w:val="002507F7"/>
    <w:rPr>
      <w:b/>
      <w:bCs/>
    </w:rPr>
  </w:style>
  <w:style w:type="character" w:customStyle="1" w:styleId="CommentSubjectChar">
    <w:name w:val="Comment Subject Char"/>
    <w:basedOn w:val="CommentTextChar"/>
    <w:link w:val="CommentSubject"/>
    <w:uiPriority w:val="99"/>
    <w:semiHidden/>
    <w:rsid w:val="002507F7"/>
    <w:rPr>
      <w:b/>
      <w:bCs/>
      <w:sz w:val="20"/>
      <w:szCs w:val="20"/>
    </w:rPr>
  </w:style>
  <w:style w:type="character" w:styleId="Hyperlink">
    <w:name w:val="Hyperlink"/>
    <w:basedOn w:val="DefaultParagraphFont"/>
    <w:uiPriority w:val="99"/>
    <w:unhideWhenUsed/>
    <w:rsid w:val="00660ECC"/>
    <w:rPr>
      <w:color w:val="0000FF" w:themeColor="hyperlink"/>
      <w:u w:val="single"/>
    </w:rPr>
  </w:style>
  <w:style w:type="character" w:styleId="UnresolvedMention">
    <w:name w:val="Unresolved Mention"/>
    <w:basedOn w:val="DefaultParagraphFont"/>
    <w:uiPriority w:val="99"/>
    <w:semiHidden/>
    <w:unhideWhenUsed/>
    <w:rsid w:val="00660ECC"/>
    <w:rPr>
      <w:color w:val="605E5C"/>
      <w:shd w:val="clear" w:color="auto" w:fill="E1DFDD"/>
    </w:rPr>
  </w:style>
  <w:style w:type="character" w:customStyle="1" w:styleId="Heading1Char">
    <w:name w:val="Heading 1 Char"/>
    <w:basedOn w:val="DefaultParagraphFont"/>
    <w:link w:val="Heading1"/>
    <w:uiPriority w:val="9"/>
    <w:rsid w:val="00F44B86"/>
    <w:rPr>
      <w:b/>
      <w:sz w:val="24"/>
      <w:szCs w:val="24"/>
    </w:rPr>
  </w:style>
  <w:style w:type="paragraph" w:styleId="Header">
    <w:name w:val="header"/>
    <w:basedOn w:val="Normal"/>
    <w:link w:val="HeaderChar"/>
    <w:uiPriority w:val="99"/>
    <w:unhideWhenUsed/>
    <w:rsid w:val="007E0151"/>
    <w:pPr>
      <w:tabs>
        <w:tab w:val="center" w:pos="4680"/>
        <w:tab w:val="right" w:pos="9360"/>
      </w:tabs>
      <w:spacing w:line="240" w:lineRule="auto"/>
    </w:pPr>
  </w:style>
  <w:style w:type="character" w:customStyle="1" w:styleId="HeaderChar">
    <w:name w:val="Header Char"/>
    <w:basedOn w:val="DefaultParagraphFont"/>
    <w:link w:val="Header"/>
    <w:uiPriority w:val="99"/>
    <w:rsid w:val="007E0151"/>
  </w:style>
  <w:style w:type="paragraph" w:styleId="Footer">
    <w:name w:val="footer"/>
    <w:basedOn w:val="Normal"/>
    <w:link w:val="FooterChar"/>
    <w:uiPriority w:val="99"/>
    <w:unhideWhenUsed/>
    <w:rsid w:val="007E0151"/>
    <w:pPr>
      <w:tabs>
        <w:tab w:val="center" w:pos="4680"/>
        <w:tab w:val="right" w:pos="9360"/>
      </w:tabs>
      <w:spacing w:line="240" w:lineRule="auto"/>
    </w:pPr>
  </w:style>
  <w:style w:type="character" w:customStyle="1" w:styleId="FooterChar">
    <w:name w:val="Footer Char"/>
    <w:basedOn w:val="DefaultParagraphFont"/>
    <w:link w:val="Footer"/>
    <w:uiPriority w:val="99"/>
    <w:rsid w:val="007E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26">
      <w:bodyDiv w:val="1"/>
      <w:marLeft w:val="0"/>
      <w:marRight w:val="0"/>
      <w:marTop w:val="0"/>
      <w:marBottom w:val="0"/>
      <w:divBdr>
        <w:top w:val="none" w:sz="0" w:space="0" w:color="auto"/>
        <w:left w:val="none" w:sz="0" w:space="0" w:color="auto"/>
        <w:bottom w:val="none" w:sz="0" w:space="0" w:color="auto"/>
        <w:right w:val="none" w:sz="0" w:space="0" w:color="auto"/>
      </w:divBdr>
    </w:div>
    <w:div w:id="15232222">
      <w:bodyDiv w:val="1"/>
      <w:marLeft w:val="0"/>
      <w:marRight w:val="0"/>
      <w:marTop w:val="0"/>
      <w:marBottom w:val="0"/>
      <w:divBdr>
        <w:top w:val="none" w:sz="0" w:space="0" w:color="auto"/>
        <w:left w:val="none" w:sz="0" w:space="0" w:color="auto"/>
        <w:bottom w:val="none" w:sz="0" w:space="0" w:color="auto"/>
        <w:right w:val="none" w:sz="0" w:space="0" w:color="auto"/>
      </w:divBdr>
    </w:div>
    <w:div w:id="15811170">
      <w:bodyDiv w:val="1"/>
      <w:marLeft w:val="0"/>
      <w:marRight w:val="0"/>
      <w:marTop w:val="0"/>
      <w:marBottom w:val="0"/>
      <w:divBdr>
        <w:top w:val="none" w:sz="0" w:space="0" w:color="auto"/>
        <w:left w:val="none" w:sz="0" w:space="0" w:color="auto"/>
        <w:bottom w:val="none" w:sz="0" w:space="0" w:color="auto"/>
        <w:right w:val="none" w:sz="0" w:space="0" w:color="auto"/>
      </w:divBdr>
    </w:div>
    <w:div w:id="29501278">
      <w:bodyDiv w:val="1"/>
      <w:marLeft w:val="0"/>
      <w:marRight w:val="0"/>
      <w:marTop w:val="0"/>
      <w:marBottom w:val="0"/>
      <w:divBdr>
        <w:top w:val="none" w:sz="0" w:space="0" w:color="auto"/>
        <w:left w:val="none" w:sz="0" w:space="0" w:color="auto"/>
        <w:bottom w:val="none" w:sz="0" w:space="0" w:color="auto"/>
        <w:right w:val="none" w:sz="0" w:space="0" w:color="auto"/>
      </w:divBdr>
    </w:div>
    <w:div w:id="36397784">
      <w:bodyDiv w:val="1"/>
      <w:marLeft w:val="0"/>
      <w:marRight w:val="0"/>
      <w:marTop w:val="0"/>
      <w:marBottom w:val="0"/>
      <w:divBdr>
        <w:top w:val="none" w:sz="0" w:space="0" w:color="auto"/>
        <w:left w:val="none" w:sz="0" w:space="0" w:color="auto"/>
        <w:bottom w:val="none" w:sz="0" w:space="0" w:color="auto"/>
        <w:right w:val="none" w:sz="0" w:space="0" w:color="auto"/>
      </w:divBdr>
    </w:div>
    <w:div w:id="44302493">
      <w:bodyDiv w:val="1"/>
      <w:marLeft w:val="0"/>
      <w:marRight w:val="0"/>
      <w:marTop w:val="0"/>
      <w:marBottom w:val="0"/>
      <w:divBdr>
        <w:top w:val="none" w:sz="0" w:space="0" w:color="auto"/>
        <w:left w:val="none" w:sz="0" w:space="0" w:color="auto"/>
        <w:bottom w:val="none" w:sz="0" w:space="0" w:color="auto"/>
        <w:right w:val="none" w:sz="0" w:space="0" w:color="auto"/>
      </w:divBdr>
    </w:div>
    <w:div w:id="46489387">
      <w:bodyDiv w:val="1"/>
      <w:marLeft w:val="0"/>
      <w:marRight w:val="0"/>
      <w:marTop w:val="0"/>
      <w:marBottom w:val="0"/>
      <w:divBdr>
        <w:top w:val="none" w:sz="0" w:space="0" w:color="auto"/>
        <w:left w:val="none" w:sz="0" w:space="0" w:color="auto"/>
        <w:bottom w:val="none" w:sz="0" w:space="0" w:color="auto"/>
        <w:right w:val="none" w:sz="0" w:space="0" w:color="auto"/>
      </w:divBdr>
    </w:div>
    <w:div w:id="46883709">
      <w:bodyDiv w:val="1"/>
      <w:marLeft w:val="0"/>
      <w:marRight w:val="0"/>
      <w:marTop w:val="0"/>
      <w:marBottom w:val="0"/>
      <w:divBdr>
        <w:top w:val="none" w:sz="0" w:space="0" w:color="auto"/>
        <w:left w:val="none" w:sz="0" w:space="0" w:color="auto"/>
        <w:bottom w:val="none" w:sz="0" w:space="0" w:color="auto"/>
        <w:right w:val="none" w:sz="0" w:space="0" w:color="auto"/>
      </w:divBdr>
    </w:div>
    <w:div w:id="71508495">
      <w:bodyDiv w:val="1"/>
      <w:marLeft w:val="0"/>
      <w:marRight w:val="0"/>
      <w:marTop w:val="0"/>
      <w:marBottom w:val="0"/>
      <w:divBdr>
        <w:top w:val="none" w:sz="0" w:space="0" w:color="auto"/>
        <w:left w:val="none" w:sz="0" w:space="0" w:color="auto"/>
        <w:bottom w:val="none" w:sz="0" w:space="0" w:color="auto"/>
        <w:right w:val="none" w:sz="0" w:space="0" w:color="auto"/>
      </w:divBdr>
    </w:div>
    <w:div w:id="81143247">
      <w:bodyDiv w:val="1"/>
      <w:marLeft w:val="0"/>
      <w:marRight w:val="0"/>
      <w:marTop w:val="0"/>
      <w:marBottom w:val="0"/>
      <w:divBdr>
        <w:top w:val="none" w:sz="0" w:space="0" w:color="auto"/>
        <w:left w:val="none" w:sz="0" w:space="0" w:color="auto"/>
        <w:bottom w:val="none" w:sz="0" w:space="0" w:color="auto"/>
        <w:right w:val="none" w:sz="0" w:space="0" w:color="auto"/>
      </w:divBdr>
    </w:div>
    <w:div w:id="94637892">
      <w:bodyDiv w:val="1"/>
      <w:marLeft w:val="0"/>
      <w:marRight w:val="0"/>
      <w:marTop w:val="0"/>
      <w:marBottom w:val="0"/>
      <w:divBdr>
        <w:top w:val="none" w:sz="0" w:space="0" w:color="auto"/>
        <w:left w:val="none" w:sz="0" w:space="0" w:color="auto"/>
        <w:bottom w:val="none" w:sz="0" w:space="0" w:color="auto"/>
        <w:right w:val="none" w:sz="0" w:space="0" w:color="auto"/>
      </w:divBdr>
    </w:div>
    <w:div w:id="106118037">
      <w:bodyDiv w:val="1"/>
      <w:marLeft w:val="0"/>
      <w:marRight w:val="0"/>
      <w:marTop w:val="0"/>
      <w:marBottom w:val="0"/>
      <w:divBdr>
        <w:top w:val="none" w:sz="0" w:space="0" w:color="auto"/>
        <w:left w:val="none" w:sz="0" w:space="0" w:color="auto"/>
        <w:bottom w:val="none" w:sz="0" w:space="0" w:color="auto"/>
        <w:right w:val="none" w:sz="0" w:space="0" w:color="auto"/>
      </w:divBdr>
    </w:div>
    <w:div w:id="111941968">
      <w:bodyDiv w:val="1"/>
      <w:marLeft w:val="0"/>
      <w:marRight w:val="0"/>
      <w:marTop w:val="0"/>
      <w:marBottom w:val="0"/>
      <w:divBdr>
        <w:top w:val="none" w:sz="0" w:space="0" w:color="auto"/>
        <w:left w:val="none" w:sz="0" w:space="0" w:color="auto"/>
        <w:bottom w:val="none" w:sz="0" w:space="0" w:color="auto"/>
        <w:right w:val="none" w:sz="0" w:space="0" w:color="auto"/>
      </w:divBdr>
    </w:div>
    <w:div w:id="127088030">
      <w:bodyDiv w:val="1"/>
      <w:marLeft w:val="0"/>
      <w:marRight w:val="0"/>
      <w:marTop w:val="0"/>
      <w:marBottom w:val="0"/>
      <w:divBdr>
        <w:top w:val="none" w:sz="0" w:space="0" w:color="auto"/>
        <w:left w:val="none" w:sz="0" w:space="0" w:color="auto"/>
        <w:bottom w:val="none" w:sz="0" w:space="0" w:color="auto"/>
        <w:right w:val="none" w:sz="0" w:space="0" w:color="auto"/>
      </w:divBdr>
    </w:div>
    <w:div w:id="152568902">
      <w:bodyDiv w:val="1"/>
      <w:marLeft w:val="0"/>
      <w:marRight w:val="0"/>
      <w:marTop w:val="0"/>
      <w:marBottom w:val="0"/>
      <w:divBdr>
        <w:top w:val="none" w:sz="0" w:space="0" w:color="auto"/>
        <w:left w:val="none" w:sz="0" w:space="0" w:color="auto"/>
        <w:bottom w:val="none" w:sz="0" w:space="0" w:color="auto"/>
        <w:right w:val="none" w:sz="0" w:space="0" w:color="auto"/>
      </w:divBdr>
    </w:div>
    <w:div w:id="152843778">
      <w:bodyDiv w:val="1"/>
      <w:marLeft w:val="0"/>
      <w:marRight w:val="0"/>
      <w:marTop w:val="0"/>
      <w:marBottom w:val="0"/>
      <w:divBdr>
        <w:top w:val="none" w:sz="0" w:space="0" w:color="auto"/>
        <w:left w:val="none" w:sz="0" w:space="0" w:color="auto"/>
        <w:bottom w:val="none" w:sz="0" w:space="0" w:color="auto"/>
        <w:right w:val="none" w:sz="0" w:space="0" w:color="auto"/>
      </w:divBdr>
    </w:div>
    <w:div w:id="154691693">
      <w:bodyDiv w:val="1"/>
      <w:marLeft w:val="0"/>
      <w:marRight w:val="0"/>
      <w:marTop w:val="0"/>
      <w:marBottom w:val="0"/>
      <w:divBdr>
        <w:top w:val="none" w:sz="0" w:space="0" w:color="auto"/>
        <w:left w:val="none" w:sz="0" w:space="0" w:color="auto"/>
        <w:bottom w:val="none" w:sz="0" w:space="0" w:color="auto"/>
        <w:right w:val="none" w:sz="0" w:space="0" w:color="auto"/>
      </w:divBdr>
    </w:div>
    <w:div w:id="191114542">
      <w:bodyDiv w:val="1"/>
      <w:marLeft w:val="0"/>
      <w:marRight w:val="0"/>
      <w:marTop w:val="0"/>
      <w:marBottom w:val="0"/>
      <w:divBdr>
        <w:top w:val="none" w:sz="0" w:space="0" w:color="auto"/>
        <w:left w:val="none" w:sz="0" w:space="0" w:color="auto"/>
        <w:bottom w:val="none" w:sz="0" w:space="0" w:color="auto"/>
        <w:right w:val="none" w:sz="0" w:space="0" w:color="auto"/>
      </w:divBdr>
    </w:div>
    <w:div w:id="196554031">
      <w:bodyDiv w:val="1"/>
      <w:marLeft w:val="0"/>
      <w:marRight w:val="0"/>
      <w:marTop w:val="0"/>
      <w:marBottom w:val="0"/>
      <w:divBdr>
        <w:top w:val="none" w:sz="0" w:space="0" w:color="auto"/>
        <w:left w:val="none" w:sz="0" w:space="0" w:color="auto"/>
        <w:bottom w:val="none" w:sz="0" w:space="0" w:color="auto"/>
        <w:right w:val="none" w:sz="0" w:space="0" w:color="auto"/>
      </w:divBdr>
    </w:div>
    <w:div w:id="204146011">
      <w:bodyDiv w:val="1"/>
      <w:marLeft w:val="0"/>
      <w:marRight w:val="0"/>
      <w:marTop w:val="0"/>
      <w:marBottom w:val="0"/>
      <w:divBdr>
        <w:top w:val="none" w:sz="0" w:space="0" w:color="auto"/>
        <w:left w:val="none" w:sz="0" w:space="0" w:color="auto"/>
        <w:bottom w:val="none" w:sz="0" w:space="0" w:color="auto"/>
        <w:right w:val="none" w:sz="0" w:space="0" w:color="auto"/>
      </w:divBdr>
    </w:div>
    <w:div w:id="226114799">
      <w:bodyDiv w:val="1"/>
      <w:marLeft w:val="0"/>
      <w:marRight w:val="0"/>
      <w:marTop w:val="0"/>
      <w:marBottom w:val="0"/>
      <w:divBdr>
        <w:top w:val="none" w:sz="0" w:space="0" w:color="auto"/>
        <w:left w:val="none" w:sz="0" w:space="0" w:color="auto"/>
        <w:bottom w:val="none" w:sz="0" w:space="0" w:color="auto"/>
        <w:right w:val="none" w:sz="0" w:space="0" w:color="auto"/>
      </w:divBdr>
    </w:div>
    <w:div w:id="245650210">
      <w:bodyDiv w:val="1"/>
      <w:marLeft w:val="0"/>
      <w:marRight w:val="0"/>
      <w:marTop w:val="0"/>
      <w:marBottom w:val="0"/>
      <w:divBdr>
        <w:top w:val="none" w:sz="0" w:space="0" w:color="auto"/>
        <w:left w:val="none" w:sz="0" w:space="0" w:color="auto"/>
        <w:bottom w:val="none" w:sz="0" w:space="0" w:color="auto"/>
        <w:right w:val="none" w:sz="0" w:space="0" w:color="auto"/>
      </w:divBdr>
    </w:div>
    <w:div w:id="252401190">
      <w:bodyDiv w:val="1"/>
      <w:marLeft w:val="0"/>
      <w:marRight w:val="0"/>
      <w:marTop w:val="0"/>
      <w:marBottom w:val="0"/>
      <w:divBdr>
        <w:top w:val="none" w:sz="0" w:space="0" w:color="auto"/>
        <w:left w:val="none" w:sz="0" w:space="0" w:color="auto"/>
        <w:bottom w:val="none" w:sz="0" w:space="0" w:color="auto"/>
        <w:right w:val="none" w:sz="0" w:space="0" w:color="auto"/>
      </w:divBdr>
    </w:div>
    <w:div w:id="259072268">
      <w:bodyDiv w:val="1"/>
      <w:marLeft w:val="0"/>
      <w:marRight w:val="0"/>
      <w:marTop w:val="0"/>
      <w:marBottom w:val="0"/>
      <w:divBdr>
        <w:top w:val="none" w:sz="0" w:space="0" w:color="auto"/>
        <w:left w:val="none" w:sz="0" w:space="0" w:color="auto"/>
        <w:bottom w:val="none" w:sz="0" w:space="0" w:color="auto"/>
        <w:right w:val="none" w:sz="0" w:space="0" w:color="auto"/>
      </w:divBdr>
    </w:div>
    <w:div w:id="272175676">
      <w:bodyDiv w:val="1"/>
      <w:marLeft w:val="0"/>
      <w:marRight w:val="0"/>
      <w:marTop w:val="0"/>
      <w:marBottom w:val="0"/>
      <w:divBdr>
        <w:top w:val="none" w:sz="0" w:space="0" w:color="auto"/>
        <w:left w:val="none" w:sz="0" w:space="0" w:color="auto"/>
        <w:bottom w:val="none" w:sz="0" w:space="0" w:color="auto"/>
        <w:right w:val="none" w:sz="0" w:space="0" w:color="auto"/>
      </w:divBdr>
    </w:div>
    <w:div w:id="292179755">
      <w:bodyDiv w:val="1"/>
      <w:marLeft w:val="0"/>
      <w:marRight w:val="0"/>
      <w:marTop w:val="0"/>
      <w:marBottom w:val="0"/>
      <w:divBdr>
        <w:top w:val="none" w:sz="0" w:space="0" w:color="auto"/>
        <w:left w:val="none" w:sz="0" w:space="0" w:color="auto"/>
        <w:bottom w:val="none" w:sz="0" w:space="0" w:color="auto"/>
        <w:right w:val="none" w:sz="0" w:space="0" w:color="auto"/>
      </w:divBdr>
    </w:div>
    <w:div w:id="315574142">
      <w:bodyDiv w:val="1"/>
      <w:marLeft w:val="0"/>
      <w:marRight w:val="0"/>
      <w:marTop w:val="0"/>
      <w:marBottom w:val="0"/>
      <w:divBdr>
        <w:top w:val="none" w:sz="0" w:space="0" w:color="auto"/>
        <w:left w:val="none" w:sz="0" w:space="0" w:color="auto"/>
        <w:bottom w:val="none" w:sz="0" w:space="0" w:color="auto"/>
        <w:right w:val="none" w:sz="0" w:space="0" w:color="auto"/>
      </w:divBdr>
    </w:div>
    <w:div w:id="324088635">
      <w:bodyDiv w:val="1"/>
      <w:marLeft w:val="0"/>
      <w:marRight w:val="0"/>
      <w:marTop w:val="0"/>
      <w:marBottom w:val="0"/>
      <w:divBdr>
        <w:top w:val="none" w:sz="0" w:space="0" w:color="auto"/>
        <w:left w:val="none" w:sz="0" w:space="0" w:color="auto"/>
        <w:bottom w:val="none" w:sz="0" w:space="0" w:color="auto"/>
        <w:right w:val="none" w:sz="0" w:space="0" w:color="auto"/>
      </w:divBdr>
    </w:div>
    <w:div w:id="325474603">
      <w:bodyDiv w:val="1"/>
      <w:marLeft w:val="0"/>
      <w:marRight w:val="0"/>
      <w:marTop w:val="0"/>
      <w:marBottom w:val="0"/>
      <w:divBdr>
        <w:top w:val="none" w:sz="0" w:space="0" w:color="auto"/>
        <w:left w:val="none" w:sz="0" w:space="0" w:color="auto"/>
        <w:bottom w:val="none" w:sz="0" w:space="0" w:color="auto"/>
        <w:right w:val="none" w:sz="0" w:space="0" w:color="auto"/>
      </w:divBdr>
    </w:div>
    <w:div w:id="327557588">
      <w:bodyDiv w:val="1"/>
      <w:marLeft w:val="0"/>
      <w:marRight w:val="0"/>
      <w:marTop w:val="0"/>
      <w:marBottom w:val="0"/>
      <w:divBdr>
        <w:top w:val="none" w:sz="0" w:space="0" w:color="auto"/>
        <w:left w:val="none" w:sz="0" w:space="0" w:color="auto"/>
        <w:bottom w:val="none" w:sz="0" w:space="0" w:color="auto"/>
        <w:right w:val="none" w:sz="0" w:space="0" w:color="auto"/>
      </w:divBdr>
    </w:div>
    <w:div w:id="360866361">
      <w:bodyDiv w:val="1"/>
      <w:marLeft w:val="0"/>
      <w:marRight w:val="0"/>
      <w:marTop w:val="0"/>
      <w:marBottom w:val="0"/>
      <w:divBdr>
        <w:top w:val="none" w:sz="0" w:space="0" w:color="auto"/>
        <w:left w:val="none" w:sz="0" w:space="0" w:color="auto"/>
        <w:bottom w:val="none" w:sz="0" w:space="0" w:color="auto"/>
        <w:right w:val="none" w:sz="0" w:space="0" w:color="auto"/>
      </w:divBdr>
    </w:div>
    <w:div w:id="360933146">
      <w:bodyDiv w:val="1"/>
      <w:marLeft w:val="0"/>
      <w:marRight w:val="0"/>
      <w:marTop w:val="0"/>
      <w:marBottom w:val="0"/>
      <w:divBdr>
        <w:top w:val="none" w:sz="0" w:space="0" w:color="auto"/>
        <w:left w:val="none" w:sz="0" w:space="0" w:color="auto"/>
        <w:bottom w:val="none" w:sz="0" w:space="0" w:color="auto"/>
        <w:right w:val="none" w:sz="0" w:space="0" w:color="auto"/>
      </w:divBdr>
    </w:div>
    <w:div w:id="366949079">
      <w:bodyDiv w:val="1"/>
      <w:marLeft w:val="0"/>
      <w:marRight w:val="0"/>
      <w:marTop w:val="0"/>
      <w:marBottom w:val="0"/>
      <w:divBdr>
        <w:top w:val="none" w:sz="0" w:space="0" w:color="auto"/>
        <w:left w:val="none" w:sz="0" w:space="0" w:color="auto"/>
        <w:bottom w:val="none" w:sz="0" w:space="0" w:color="auto"/>
        <w:right w:val="none" w:sz="0" w:space="0" w:color="auto"/>
      </w:divBdr>
    </w:div>
    <w:div w:id="387343010">
      <w:bodyDiv w:val="1"/>
      <w:marLeft w:val="0"/>
      <w:marRight w:val="0"/>
      <w:marTop w:val="0"/>
      <w:marBottom w:val="0"/>
      <w:divBdr>
        <w:top w:val="none" w:sz="0" w:space="0" w:color="auto"/>
        <w:left w:val="none" w:sz="0" w:space="0" w:color="auto"/>
        <w:bottom w:val="none" w:sz="0" w:space="0" w:color="auto"/>
        <w:right w:val="none" w:sz="0" w:space="0" w:color="auto"/>
      </w:divBdr>
    </w:div>
    <w:div w:id="405029619">
      <w:bodyDiv w:val="1"/>
      <w:marLeft w:val="0"/>
      <w:marRight w:val="0"/>
      <w:marTop w:val="0"/>
      <w:marBottom w:val="0"/>
      <w:divBdr>
        <w:top w:val="none" w:sz="0" w:space="0" w:color="auto"/>
        <w:left w:val="none" w:sz="0" w:space="0" w:color="auto"/>
        <w:bottom w:val="none" w:sz="0" w:space="0" w:color="auto"/>
        <w:right w:val="none" w:sz="0" w:space="0" w:color="auto"/>
      </w:divBdr>
    </w:div>
    <w:div w:id="415246380">
      <w:bodyDiv w:val="1"/>
      <w:marLeft w:val="0"/>
      <w:marRight w:val="0"/>
      <w:marTop w:val="0"/>
      <w:marBottom w:val="0"/>
      <w:divBdr>
        <w:top w:val="none" w:sz="0" w:space="0" w:color="auto"/>
        <w:left w:val="none" w:sz="0" w:space="0" w:color="auto"/>
        <w:bottom w:val="none" w:sz="0" w:space="0" w:color="auto"/>
        <w:right w:val="none" w:sz="0" w:space="0" w:color="auto"/>
      </w:divBdr>
    </w:div>
    <w:div w:id="418213515">
      <w:bodyDiv w:val="1"/>
      <w:marLeft w:val="0"/>
      <w:marRight w:val="0"/>
      <w:marTop w:val="0"/>
      <w:marBottom w:val="0"/>
      <w:divBdr>
        <w:top w:val="none" w:sz="0" w:space="0" w:color="auto"/>
        <w:left w:val="none" w:sz="0" w:space="0" w:color="auto"/>
        <w:bottom w:val="none" w:sz="0" w:space="0" w:color="auto"/>
        <w:right w:val="none" w:sz="0" w:space="0" w:color="auto"/>
      </w:divBdr>
    </w:div>
    <w:div w:id="427652272">
      <w:bodyDiv w:val="1"/>
      <w:marLeft w:val="0"/>
      <w:marRight w:val="0"/>
      <w:marTop w:val="0"/>
      <w:marBottom w:val="0"/>
      <w:divBdr>
        <w:top w:val="none" w:sz="0" w:space="0" w:color="auto"/>
        <w:left w:val="none" w:sz="0" w:space="0" w:color="auto"/>
        <w:bottom w:val="none" w:sz="0" w:space="0" w:color="auto"/>
        <w:right w:val="none" w:sz="0" w:space="0" w:color="auto"/>
      </w:divBdr>
    </w:div>
    <w:div w:id="437797657">
      <w:bodyDiv w:val="1"/>
      <w:marLeft w:val="0"/>
      <w:marRight w:val="0"/>
      <w:marTop w:val="0"/>
      <w:marBottom w:val="0"/>
      <w:divBdr>
        <w:top w:val="none" w:sz="0" w:space="0" w:color="auto"/>
        <w:left w:val="none" w:sz="0" w:space="0" w:color="auto"/>
        <w:bottom w:val="none" w:sz="0" w:space="0" w:color="auto"/>
        <w:right w:val="none" w:sz="0" w:space="0" w:color="auto"/>
      </w:divBdr>
    </w:div>
    <w:div w:id="448475621">
      <w:bodyDiv w:val="1"/>
      <w:marLeft w:val="0"/>
      <w:marRight w:val="0"/>
      <w:marTop w:val="0"/>
      <w:marBottom w:val="0"/>
      <w:divBdr>
        <w:top w:val="none" w:sz="0" w:space="0" w:color="auto"/>
        <w:left w:val="none" w:sz="0" w:space="0" w:color="auto"/>
        <w:bottom w:val="none" w:sz="0" w:space="0" w:color="auto"/>
        <w:right w:val="none" w:sz="0" w:space="0" w:color="auto"/>
      </w:divBdr>
    </w:div>
    <w:div w:id="462894149">
      <w:bodyDiv w:val="1"/>
      <w:marLeft w:val="0"/>
      <w:marRight w:val="0"/>
      <w:marTop w:val="0"/>
      <w:marBottom w:val="0"/>
      <w:divBdr>
        <w:top w:val="none" w:sz="0" w:space="0" w:color="auto"/>
        <w:left w:val="none" w:sz="0" w:space="0" w:color="auto"/>
        <w:bottom w:val="none" w:sz="0" w:space="0" w:color="auto"/>
        <w:right w:val="none" w:sz="0" w:space="0" w:color="auto"/>
      </w:divBdr>
    </w:div>
    <w:div w:id="490946152">
      <w:bodyDiv w:val="1"/>
      <w:marLeft w:val="0"/>
      <w:marRight w:val="0"/>
      <w:marTop w:val="0"/>
      <w:marBottom w:val="0"/>
      <w:divBdr>
        <w:top w:val="none" w:sz="0" w:space="0" w:color="auto"/>
        <w:left w:val="none" w:sz="0" w:space="0" w:color="auto"/>
        <w:bottom w:val="none" w:sz="0" w:space="0" w:color="auto"/>
        <w:right w:val="none" w:sz="0" w:space="0" w:color="auto"/>
      </w:divBdr>
    </w:div>
    <w:div w:id="491601205">
      <w:bodyDiv w:val="1"/>
      <w:marLeft w:val="0"/>
      <w:marRight w:val="0"/>
      <w:marTop w:val="0"/>
      <w:marBottom w:val="0"/>
      <w:divBdr>
        <w:top w:val="none" w:sz="0" w:space="0" w:color="auto"/>
        <w:left w:val="none" w:sz="0" w:space="0" w:color="auto"/>
        <w:bottom w:val="none" w:sz="0" w:space="0" w:color="auto"/>
        <w:right w:val="none" w:sz="0" w:space="0" w:color="auto"/>
      </w:divBdr>
    </w:div>
    <w:div w:id="511647053">
      <w:bodyDiv w:val="1"/>
      <w:marLeft w:val="0"/>
      <w:marRight w:val="0"/>
      <w:marTop w:val="0"/>
      <w:marBottom w:val="0"/>
      <w:divBdr>
        <w:top w:val="none" w:sz="0" w:space="0" w:color="auto"/>
        <w:left w:val="none" w:sz="0" w:space="0" w:color="auto"/>
        <w:bottom w:val="none" w:sz="0" w:space="0" w:color="auto"/>
        <w:right w:val="none" w:sz="0" w:space="0" w:color="auto"/>
      </w:divBdr>
    </w:div>
    <w:div w:id="518813157">
      <w:bodyDiv w:val="1"/>
      <w:marLeft w:val="0"/>
      <w:marRight w:val="0"/>
      <w:marTop w:val="0"/>
      <w:marBottom w:val="0"/>
      <w:divBdr>
        <w:top w:val="none" w:sz="0" w:space="0" w:color="auto"/>
        <w:left w:val="none" w:sz="0" w:space="0" w:color="auto"/>
        <w:bottom w:val="none" w:sz="0" w:space="0" w:color="auto"/>
        <w:right w:val="none" w:sz="0" w:space="0" w:color="auto"/>
      </w:divBdr>
    </w:div>
    <w:div w:id="536234542">
      <w:bodyDiv w:val="1"/>
      <w:marLeft w:val="0"/>
      <w:marRight w:val="0"/>
      <w:marTop w:val="0"/>
      <w:marBottom w:val="0"/>
      <w:divBdr>
        <w:top w:val="none" w:sz="0" w:space="0" w:color="auto"/>
        <w:left w:val="none" w:sz="0" w:space="0" w:color="auto"/>
        <w:bottom w:val="none" w:sz="0" w:space="0" w:color="auto"/>
        <w:right w:val="none" w:sz="0" w:space="0" w:color="auto"/>
      </w:divBdr>
    </w:div>
    <w:div w:id="549998184">
      <w:bodyDiv w:val="1"/>
      <w:marLeft w:val="0"/>
      <w:marRight w:val="0"/>
      <w:marTop w:val="0"/>
      <w:marBottom w:val="0"/>
      <w:divBdr>
        <w:top w:val="none" w:sz="0" w:space="0" w:color="auto"/>
        <w:left w:val="none" w:sz="0" w:space="0" w:color="auto"/>
        <w:bottom w:val="none" w:sz="0" w:space="0" w:color="auto"/>
        <w:right w:val="none" w:sz="0" w:space="0" w:color="auto"/>
      </w:divBdr>
    </w:div>
    <w:div w:id="557283185">
      <w:bodyDiv w:val="1"/>
      <w:marLeft w:val="0"/>
      <w:marRight w:val="0"/>
      <w:marTop w:val="0"/>
      <w:marBottom w:val="0"/>
      <w:divBdr>
        <w:top w:val="none" w:sz="0" w:space="0" w:color="auto"/>
        <w:left w:val="none" w:sz="0" w:space="0" w:color="auto"/>
        <w:bottom w:val="none" w:sz="0" w:space="0" w:color="auto"/>
        <w:right w:val="none" w:sz="0" w:space="0" w:color="auto"/>
      </w:divBdr>
    </w:div>
    <w:div w:id="566766339">
      <w:bodyDiv w:val="1"/>
      <w:marLeft w:val="0"/>
      <w:marRight w:val="0"/>
      <w:marTop w:val="0"/>
      <w:marBottom w:val="0"/>
      <w:divBdr>
        <w:top w:val="none" w:sz="0" w:space="0" w:color="auto"/>
        <w:left w:val="none" w:sz="0" w:space="0" w:color="auto"/>
        <w:bottom w:val="none" w:sz="0" w:space="0" w:color="auto"/>
        <w:right w:val="none" w:sz="0" w:space="0" w:color="auto"/>
      </w:divBdr>
    </w:div>
    <w:div w:id="580262116">
      <w:bodyDiv w:val="1"/>
      <w:marLeft w:val="0"/>
      <w:marRight w:val="0"/>
      <w:marTop w:val="0"/>
      <w:marBottom w:val="0"/>
      <w:divBdr>
        <w:top w:val="none" w:sz="0" w:space="0" w:color="auto"/>
        <w:left w:val="none" w:sz="0" w:space="0" w:color="auto"/>
        <w:bottom w:val="none" w:sz="0" w:space="0" w:color="auto"/>
        <w:right w:val="none" w:sz="0" w:space="0" w:color="auto"/>
      </w:divBdr>
    </w:div>
    <w:div w:id="582379776">
      <w:bodyDiv w:val="1"/>
      <w:marLeft w:val="0"/>
      <w:marRight w:val="0"/>
      <w:marTop w:val="0"/>
      <w:marBottom w:val="0"/>
      <w:divBdr>
        <w:top w:val="none" w:sz="0" w:space="0" w:color="auto"/>
        <w:left w:val="none" w:sz="0" w:space="0" w:color="auto"/>
        <w:bottom w:val="none" w:sz="0" w:space="0" w:color="auto"/>
        <w:right w:val="none" w:sz="0" w:space="0" w:color="auto"/>
      </w:divBdr>
    </w:div>
    <w:div w:id="582572124">
      <w:bodyDiv w:val="1"/>
      <w:marLeft w:val="0"/>
      <w:marRight w:val="0"/>
      <w:marTop w:val="0"/>
      <w:marBottom w:val="0"/>
      <w:divBdr>
        <w:top w:val="none" w:sz="0" w:space="0" w:color="auto"/>
        <w:left w:val="none" w:sz="0" w:space="0" w:color="auto"/>
        <w:bottom w:val="none" w:sz="0" w:space="0" w:color="auto"/>
        <w:right w:val="none" w:sz="0" w:space="0" w:color="auto"/>
      </w:divBdr>
    </w:div>
    <w:div w:id="596906013">
      <w:bodyDiv w:val="1"/>
      <w:marLeft w:val="0"/>
      <w:marRight w:val="0"/>
      <w:marTop w:val="0"/>
      <w:marBottom w:val="0"/>
      <w:divBdr>
        <w:top w:val="none" w:sz="0" w:space="0" w:color="auto"/>
        <w:left w:val="none" w:sz="0" w:space="0" w:color="auto"/>
        <w:bottom w:val="none" w:sz="0" w:space="0" w:color="auto"/>
        <w:right w:val="none" w:sz="0" w:space="0" w:color="auto"/>
      </w:divBdr>
    </w:div>
    <w:div w:id="630596957">
      <w:bodyDiv w:val="1"/>
      <w:marLeft w:val="0"/>
      <w:marRight w:val="0"/>
      <w:marTop w:val="0"/>
      <w:marBottom w:val="0"/>
      <w:divBdr>
        <w:top w:val="none" w:sz="0" w:space="0" w:color="auto"/>
        <w:left w:val="none" w:sz="0" w:space="0" w:color="auto"/>
        <w:bottom w:val="none" w:sz="0" w:space="0" w:color="auto"/>
        <w:right w:val="none" w:sz="0" w:space="0" w:color="auto"/>
      </w:divBdr>
    </w:div>
    <w:div w:id="653723003">
      <w:bodyDiv w:val="1"/>
      <w:marLeft w:val="0"/>
      <w:marRight w:val="0"/>
      <w:marTop w:val="0"/>
      <w:marBottom w:val="0"/>
      <w:divBdr>
        <w:top w:val="none" w:sz="0" w:space="0" w:color="auto"/>
        <w:left w:val="none" w:sz="0" w:space="0" w:color="auto"/>
        <w:bottom w:val="none" w:sz="0" w:space="0" w:color="auto"/>
        <w:right w:val="none" w:sz="0" w:space="0" w:color="auto"/>
      </w:divBdr>
    </w:div>
    <w:div w:id="672491666">
      <w:bodyDiv w:val="1"/>
      <w:marLeft w:val="0"/>
      <w:marRight w:val="0"/>
      <w:marTop w:val="0"/>
      <w:marBottom w:val="0"/>
      <w:divBdr>
        <w:top w:val="none" w:sz="0" w:space="0" w:color="auto"/>
        <w:left w:val="none" w:sz="0" w:space="0" w:color="auto"/>
        <w:bottom w:val="none" w:sz="0" w:space="0" w:color="auto"/>
        <w:right w:val="none" w:sz="0" w:space="0" w:color="auto"/>
      </w:divBdr>
    </w:div>
    <w:div w:id="690254197">
      <w:bodyDiv w:val="1"/>
      <w:marLeft w:val="0"/>
      <w:marRight w:val="0"/>
      <w:marTop w:val="0"/>
      <w:marBottom w:val="0"/>
      <w:divBdr>
        <w:top w:val="none" w:sz="0" w:space="0" w:color="auto"/>
        <w:left w:val="none" w:sz="0" w:space="0" w:color="auto"/>
        <w:bottom w:val="none" w:sz="0" w:space="0" w:color="auto"/>
        <w:right w:val="none" w:sz="0" w:space="0" w:color="auto"/>
      </w:divBdr>
    </w:div>
    <w:div w:id="698239943">
      <w:bodyDiv w:val="1"/>
      <w:marLeft w:val="0"/>
      <w:marRight w:val="0"/>
      <w:marTop w:val="0"/>
      <w:marBottom w:val="0"/>
      <w:divBdr>
        <w:top w:val="none" w:sz="0" w:space="0" w:color="auto"/>
        <w:left w:val="none" w:sz="0" w:space="0" w:color="auto"/>
        <w:bottom w:val="none" w:sz="0" w:space="0" w:color="auto"/>
        <w:right w:val="none" w:sz="0" w:space="0" w:color="auto"/>
      </w:divBdr>
    </w:div>
    <w:div w:id="702707361">
      <w:bodyDiv w:val="1"/>
      <w:marLeft w:val="0"/>
      <w:marRight w:val="0"/>
      <w:marTop w:val="0"/>
      <w:marBottom w:val="0"/>
      <w:divBdr>
        <w:top w:val="none" w:sz="0" w:space="0" w:color="auto"/>
        <w:left w:val="none" w:sz="0" w:space="0" w:color="auto"/>
        <w:bottom w:val="none" w:sz="0" w:space="0" w:color="auto"/>
        <w:right w:val="none" w:sz="0" w:space="0" w:color="auto"/>
      </w:divBdr>
    </w:div>
    <w:div w:id="705102585">
      <w:bodyDiv w:val="1"/>
      <w:marLeft w:val="0"/>
      <w:marRight w:val="0"/>
      <w:marTop w:val="0"/>
      <w:marBottom w:val="0"/>
      <w:divBdr>
        <w:top w:val="none" w:sz="0" w:space="0" w:color="auto"/>
        <w:left w:val="none" w:sz="0" w:space="0" w:color="auto"/>
        <w:bottom w:val="none" w:sz="0" w:space="0" w:color="auto"/>
        <w:right w:val="none" w:sz="0" w:space="0" w:color="auto"/>
      </w:divBdr>
    </w:div>
    <w:div w:id="712460770">
      <w:bodyDiv w:val="1"/>
      <w:marLeft w:val="0"/>
      <w:marRight w:val="0"/>
      <w:marTop w:val="0"/>
      <w:marBottom w:val="0"/>
      <w:divBdr>
        <w:top w:val="none" w:sz="0" w:space="0" w:color="auto"/>
        <w:left w:val="none" w:sz="0" w:space="0" w:color="auto"/>
        <w:bottom w:val="none" w:sz="0" w:space="0" w:color="auto"/>
        <w:right w:val="none" w:sz="0" w:space="0" w:color="auto"/>
      </w:divBdr>
    </w:div>
    <w:div w:id="741877251">
      <w:bodyDiv w:val="1"/>
      <w:marLeft w:val="0"/>
      <w:marRight w:val="0"/>
      <w:marTop w:val="0"/>
      <w:marBottom w:val="0"/>
      <w:divBdr>
        <w:top w:val="none" w:sz="0" w:space="0" w:color="auto"/>
        <w:left w:val="none" w:sz="0" w:space="0" w:color="auto"/>
        <w:bottom w:val="none" w:sz="0" w:space="0" w:color="auto"/>
        <w:right w:val="none" w:sz="0" w:space="0" w:color="auto"/>
      </w:divBdr>
    </w:div>
    <w:div w:id="743451453">
      <w:bodyDiv w:val="1"/>
      <w:marLeft w:val="0"/>
      <w:marRight w:val="0"/>
      <w:marTop w:val="0"/>
      <w:marBottom w:val="0"/>
      <w:divBdr>
        <w:top w:val="none" w:sz="0" w:space="0" w:color="auto"/>
        <w:left w:val="none" w:sz="0" w:space="0" w:color="auto"/>
        <w:bottom w:val="none" w:sz="0" w:space="0" w:color="auto"/>
        <w:right w:val="none" w:sz="0" w:space="0" w:color="auto"/>
      </w:divBdr>
    </w:div>
    <w:div w:id="758866159">
      <w:bodyDiv w:val="1"/>
      <w:marLeft w:val="0"/>
      <w:marRight w:val="0"/>
      <w:marTop w:val="0"/>
      <w:marBottom w:val="0"/>
      <w:divBdr>
        <w:top w:val="none" w:sz="0" w:space="0" w:color="auto"/>
        <w:left w:val="none" w:sz="0" w:space="0" w:color="auto"/>
        <w:bottom w:val="none" w:sz="0" w:space="0" w:color="auto"/>
        <w:right w:val="none" w:sz="0" w:space="0" w:color="auto"/>
      </w:divBdr>
    </w:div>
    <w:div w:id="773286485">
      <w:bodyDiv w:val="1"/>
      <w:marLeft w:val="0"/>
      <w:marRight w:val="0"/>
      <w:marTop w:val="0"/>
      <w:marBottom w:val="0"/>
      <w:divBdr>
        <w:top w:val="none" w:sz="0" w:space="0" w:color="auto"/>
        <w:left w:val="none" w:sz="0" w:space="0" w:color="auto"/>
        <w:bottom w:val="none" w:sz="0" w:space="0" w:color="auto"/>
        <w:right w:val="none" w:sz="0" w:space="0" w:color="auto"/>
      </w:divBdr>
    </w:div>
    <w:div w:id="783697656">
      <w:bodyDiv w:val="1"/>
      <w:marLeft w:val="0"/>
      <w:marRight w:val="0"/>
      <w:marTop w:val="0"/>
      <w:marBottom w:val="0"/>
      <w:divBdr>
        <w:top w:val="none" w:sz="0" w:space="0" w:color="auto"/>
        <w:left w:val="none" w:sz="0" w:space="0" w:color="auto"/>
        <w:bottom w:val="none" w:sz="0" w:space="0" w:color="auto"/>
        <w:right w:val="none" w:sz="0" w:space="0" w:color="auto"/>
      </w:divBdr>
    </w:div>
    <w:div w:id="786584839">
      <w:bodyDiv w:val="1"/>
      <w:marLeft w:val="0"/>
      <w:marRight w:val="0"/>
      <w:marTop w:val="0"/>
      <w:marBottom w:val="0"/>
      <w:divBdr>
        <w:top w:val="none" w:sz="0" w:space="0" w:color="auto"/>
        <w:left w:val="none" w:sz="0" w:space="0" w:color="auto"/>
        <w:bottom w:val="none" w:sz="0" w:space="0" w:color="auto"/>
        <w:right w:val="none" w:sz="0" w:space="0" w:color="auto"/>
      </w:divBdr>
    </w:div>
    <w:div w:id="802039660">
      <w:bodyDiv w:val="1"/>
      <w:marLeft w:val="0"/>
      <w:marRight w:val="0"/>
      <w:marTop w:val="0"/>
      <w:marBottom w:val="0"/>
      <w:divBdr>
        <w:top w:val="none" w:sz="0" w:space="0" w:color="auto"/>
        <w:left w:val="none" w:sz="0" w:space="0" w:color="auto"/>
        <w:bottom w:val="none" w:sz="0" w:space="0" w:color="auto"/>
        <w:right w:val="none" w:sz="0" w:space="0" w:color="auto"/>
      </w:divBdr>
    </w:div>
    <w:div w:id="809784519">
      <w:bodyDiv w:val="1"/>
      <w:marLeft w:val="0"/>
      <w:marRight w:val="0"/>
      <w:marTop w:val="0"/>
      <w:marBottom w:val="0"/>
      <w:divBdr>
        <w:top w:val="none" w:sz="0" w:space="0" w:color="auto"/>
        <w:left w:val="none" w:sz="0" w:space="0" w:color="auto"/>
        <w:bottom w:val="none" w:sz="0" w:space="0" w:color="auto"/>
        <w:right w:val="none" w:sz="0" w:space="0" w:color="auto"/>
      </w:divBdr>
    </w:div>
    <w:div w:id="810437864">
      <w:bodyDiv w:val="1"/>
      <w:marLeft w:val="0"/>
      <w:marRight w:val="0"/>
      <w:marTop w:val="0"/>
      <w:marBottom w:val="0"/>
      <w:divBdr>
        <w:top w:val="none" w:sz="0" w:space="0" w:color="auto"/>
        <w:left w:val="none" w:sz="0" w:space="0" w:color="auto"/>
        <w:bottom w:val="none" w:sz="0" w:space="0" w:color="auto"/>
        <w:right w:val="none" w:sz="0" w:space="0" w:color="auto"/>
      </w:divBdr>
    </w:div>
    <w:div w:id="810824637">
      <w:bodyDiv w:val="1"/>
      <w:marLeft w:val="0"/>
      <w:marRight w:val="0"/>
      <w:marTop w:val="0"/>
      <w:marBottom w:val="0"/>
      <w:divBdr>
        <w:top w:val="none" w:sz="0" w:space="0" w:color="auto"/>
        <w:left w:val="none" w:sz="0" w:space="0" w:color="auto"/>
        <w:bottom w:val="none" w:sz="0" w:space="0" w:color="auto"/>
        <w:right w:val="none" w:sz="0" w:space="0" w:color="auto"/>
      </w:divBdr>
      <w:divsChild>
        <w:div w:id="3017339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74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131735">
      <w:bodyDiv w:val="1"/>
      <w:marLeft w:val="0"/>
      <w:marRight w:val="0"/>
      <w:marTop w:val="0"/>
      <w:marBottom w:val="0"/>
      <w:divBdr>
        <w:top w:val="none" w:sz="0" w:space="0" w:color="auto"/>
        <w:left w:val="none" w:sz="0" w:space="0" w:color="auto"/>
        <w:bottom w:val="none" w:sz="0" w:space="0" w:color="auto"/>
        <w:right w:val="none" w:sz="0" w:space="0" w:color="auto"/>
      </w:divBdr>
    </w:div>
    <w:div w:id="833029791">
      <w:bodyDiv w:val="1"/>
      <w:marLeft w:val="0"/>
      <w:marRight w:val="0"/>
      <w:marTop w:val="0"/>
      <w:marBottom w:val="0"/>
      <w:divBdr>
        <w:top w:val="none" w:sz="0" w:space="0" w:color="auto"/>
        <w:left w:val="none" w:sz="0" w:space="0" w:color="auto"/>
        <w:bottom w:val="none" w:sz="0" w:space="0" w:color="auto"/>
        <w:right w:val="none" w:sz="0" w:space="0" w:color="auto"/>
      </w:divBdr>
    </w:div>
    <w:div w:id="841161821">
      <w:bodyDiv w:val="1"/>
      <w:marLeft w:val="0"/>
      <w:marRight w:val="0"/>
      <w:marTop w:val="0"/>
      <w:marBottom w:val="0"/>
      <w:divBdr>
        <w:top w:val="none" w:sz="0" w:space="0" w:color="auto"/>
        <w:left w:val="none" w:sz="0" w:space="0" w:color="auto"/>
        <w:bottom w:val="none" w:sz="0" w:space="0" w:color="auto"/>
        <w:right w:val="none" w:sz="0" w:space="0" w:color="auto"/>
      </w:divBdr>
    </w:div>
    <w:div w:id="841580110">
      <w:bodyDiv w:val="1"/>
      <w:marLeft w:val="0"/>
      <w:marRight w:val="0"/>
      <w:marTop w:val="0"/>
      <w:marBottom w:val="0"/>
      <w:divBdr>
        <w:top w:val="none" w:sz="0" w:space="0" w:color="auto"/>
        <w:left w:val="none" w:sz="0" w:space="0" w:color="auto"/>
        <w:bottom w:val="none" w:sz="0" w:space="0" w:color="auto"/>
        <w:right w:val="none" w:sz="0" w:space="0" w:color="auto"/>
      </w:divBdr>
    </w:div>
    <w:div w:id="845049415">
      <w:bodyDiv w:val="1"/>
      <w:marLeft w:val="0"/>
      <w:marRight w:val="0"/>
      <w:marTop w:val="0"/>
      <w:marBottom w:val="0"/>
      <w:divBdr>
        <w:top w:val="none" w:sz="0" w:space="0" w:color="auto"/>
        <w:left w:val="none" w:sz="0" w:space="0" w:color="auto"/>
        <w:bottom w:val="none" w:sz="0" w:space="0" w:color="auto"/>
        <w:right w:val="none" w:sz="0" w:space="0" w:color="auto"/>
      </w:divBdr>
    </w:div>
    <w:div w:id="846142470">
      <w:bodyDiv w:val="1"/>
      <w:marLeft w:val="0"/>
      <w:marRight w:val="0"/>
      <w:marTop w:val="0"/>
      <w:marBottom w:val="0"/>
      <w:divBdr>
        <w:top w:val="none" w:sz="0" w:space="0" w:color="auto"/>
        <w:left w:val="none" w:sz="0" w:space="0" w:color="auto"/>
        <w:bottom w:val="none" w:sz="0" w:space="0" w:color="auto"/>
        <w:right w:val="none" w:sz="0" w:space="0" w:color="auto"/>
      </w:divBdr>
    </w:div>
    <w:div w:id="848102972">
      <w:bodyDiv w:val="1"/>
      <w:marLeft w:val="0"/>
      <w:marRight w:val="0"/>
      <w:marTop w:val="0"/>
      <w:marBottom w:val="0"/>
      <w:divBdr>
        <w:top w:val="none" w:sz="0" w:space="0" w:color="auto"/>
        <w:left w:val="none" w:sz="0" w:space="0" w:color="auto"/>
        <w:bottom w:val="none" w:sz="0" w:space="0" w:color="auto"/>
        <w:right w:val="none" w:sz="0" w:space="0" w:color="auto"/>
      </w:divBdr>
    </w:div>
    <w:div w:id="878012162">
      <w:bodyDiv w:val="1"/>
      <w:marLeft w:val="0"/>
      <w:marRight w:val="0"/>
      <w:marTop w:val="0"/>
      <w:marBottom w:val="0"/>
      <w:divBdr>
        <w:top w:val="none" w:sz="0" w:space="0" w:color="auto"/>
        <w:left w:val="none" w:sz="0" w:space="0" w:color="auto"/>
        <w:bottom w:val="none" w:sz="0" w:space="0" w:color="auto"/>
        <w:right w:val="none" w:sz="0" w:space="0" w:color="auto"/>
      </w:divBdr>
    </w:div>
    <w:div w:id="893614271">
      <w:bodyDiv w:val="1"/>
      <w:marLeft w:val="0"/>
      <w:marRight w:val="0"/>
      <w:marTop w:val="0"/>
      <w:marBottom w:val="0"/>
      <w:divBdr>
        <w:top w:val="none" w:sz="0" w:space="0" w:color="auto"/>
        <w:left w:val="none" w:sz="0" w:space="0" w:color="auto"/>
        <w:bottom w:val="none" w:sz="0" w:space="0" w:color="auto"/>
        <w:right w:val="none" w:sz="0" w:space="0" w:color="auto"/>
      </w:divBdr>
    </w:div>
    <w:div w:id="910189827">
      <w:bodyDiv w:val="1"/>
      <w:marLeft w:val="0"/>
      <w:marRight w:val="0"/>
      <w:marTop w:val="0"/>
      <w:marBottom w:val="0"/>
      <w:divBdr>
        <w:top w:val="none" w:sz="0" w:space="0" w:color="auto"/>
        <w:left w:val="none" w:sz="0" w:space="0" w:color="auto"/>
        <w:bottom w:val="none" w:sz="0" w:space="0" w:color="auto"/>
        <w:right w:val="none" w:sz="0" w:space="0" w:color="auto"/>
      </w:divBdr>
    </w:div>
    <w:div w:id="932127517">
      <w:bodyDiv w:val="1"/>
      <w:marLeft w:val="0"/>
      <w:marRight w:val="0"/>
      <w:marTop w:val="0"/>
      <w:marBottom w:val="0"/>
      <w:divBdr>
        <w:top w:val="none" w:sz="0" w:space="0" w:color="auto"/>
        <w:left w:val="none" w:sz="0" w:space="0" w:color="auto"/>
        <w:bottom w:val="none" w:sz="0" w:space="0" w:color="auto"/>
        <w:right w:val="none" w:sz="0" w:space="0" w:color="auto"/>
      </w:divBdr>
    </w:div>
    <w:div w:id="946735645">
      <w:bodyDiv w:val="1"/>
      <w:marLeft w:val="0"/>
      <w:marRight w:val="0"/>
      <w:marTop w:val="0"/>
      <w:marBottom w:val="0"/>
      <w:divBdr>
        <w:top w:val="none" w:sz="0" w:space="0" w:color="auto"/>
        <w:left w:val="none" w:sz="0" w:space="0" w:color="auto"/>
        <w:bottom w:val="none" w:sz="0" w:space="0" w:color="auto"/>
        <w:right w:val="none" w:sz="0" w:space="0" w:color="auto"/>
      </w:divBdr>
    </w:div>
    <w:div w:id="957566419">
      <w:bodyDiv w:val="1"/>
      <w:marLeft w:val="0"/>
      <w:marRight w:val="0"/>
      <w:marTop w:val="0"/>
      <w:marBottom w:val="0"/>
      <w:divBdr>
        <w:top w:val="none" w:sz="0" w:space="0" w:color="auto"/>
        <w:left w:val="none" w:sz="0" w:space="0" w:color="auto"/>
        <w:bottom w:val="none" w:sz="0" w:space="0" w:color="auto"/>
        <w:right w:val="none" w:sz="0" w:space="0" w:color="auto"/>
      </w:divBdr>
    </w:div>
    <w:div w:id="958417074">
      <w:bodyDiv w:val="1"/>
      <w:marLeft w:val="0"/>
      <w:marRight w:val="0"/>
      <w:marTop w:val="0"/>
      <w:marBottom w:val="0"/>
      <w:divBdr>
        <w:top w:val="none" w:sz="0" w:space="0" w:color="auto"/>
        <w:left w:val="none" w:sz="0" w:space="0" w:color="auto"/>
        <w:bottom w:val="none" w:sz="0" w:space="0" w:color="auto"/>
        <w:right w:val="none" w:sz="0" w:space="0" w:color="auto"/>
      </w:divBdr>
    </w:div>
    <w:div w:id="970942555">
      <w:bodyDiv w:val="1"/>
      <w:marLeft w:val="0"/>
      <w:marRight w:val="0"/>
      <w:marTop w:val="0"/>
      <w:marBottom w:val="0"/>
      <w:divBdr>
        <w:top w:val="none" w:sz="0" w:space="0" w:color="auto"/>
        <w:left w:val="none" w:sz="0" w:space="0" w:color="auto"/>
        <w:bottom w:val="none" w:sz="0" w:space="0" w:color="auto"/>
        <w:right w:val="none" w:sz="0" w:space="0" w:color="auto"/>
      </w:divBdr>
    </w:div>
    <w:div w:id="1006129511">
      <w:bodyDiv w:val="1"/>
      <w:marLeft w:val="0"/>
      <w:marRight w:val="0"/>
      <w:marTop w:val="0"/>
      <w:marBottom w:val="0"/>
      <w:divBdr>
        <w:top w:val="none" w:sz="0" w:space="0" w:color="auto"/>
        <w:left w:val="none" w:sz="0" w:space="0" w:color="auto"/>
        <w:bottom w:val="none" w:sz="0" w:space="0" w:color="auto"/>
        <w:right w:val="none" w:sz="0" w:space="0" w:color="auto"/>
      </w:divBdr>
    </w:div>
    <w:div w:id="1022130231">
      <w:bodyDiv w:val="1"/>
      <w:marLeft w:val="0"/>
      <w:marRight w:val="0"/>
      <w:marTop w:val="0"/>
      <w:marBottom w:val="0"/>
      <w:divBdr>
        <w:top w:val="none" w:sz="0" w:space="0" w:color="auto"/>
        <w:left w:val="none" w:sz="0" w:space="0" w:color="auto"/>
        <w:bottom w:val="none" w:sz="0" w:space="0" w:color="auto"/>
        <w:right w:val="none" w:sz="0" w:space="0" w:color="auto"/>
      </w:divBdr>
    </w:div>
    <w:div w:id="1035891328">
      <w:bodyDiv w:val="1"/>
      <w:marLeft w:val="0"/>
      <w:marRight w:val="0"/>
      <w:marTop w:val="0"/>
      <w:marBottom w:val="0"/>
      <w:divBdr>
        <w:top w:val="none" w:sz="0" w:space="0" w:color="auto"/>
        <w:left w:val="none" w:sz="0" w:space="0" w:color="auto"/>
        <w:bottom w:val="none" w:sz="0" w:space="0" w:color="auto"/>
        <w:right w:val="none" w:sz="0" w:space="0" w:color="auto"/>
      </w:divBdr>
    </w:div>
    <w:div w:id="1037780815">
      <w:bodyDiv w:val="1"/>
      <w:marLeft w:val="0"/>
      <w:marRight w:val="0"/>
      <w:marTop w:val="0"/>
      <w:marBottom w:val="0"/>
      <w:divBdr>
        <w:top w:val="none" w:sz="0" w:space="0" w:color="auto"/>
        <w:left w:val="none" w:sz="0" w:space="0" w:color="auto"/>
        <w:bottom w:val="none" w:sz="0" w:space="0" w:color="auto"/>
        <w:right w:val="none" w:sz="0" w:space="0" w:color="auto"/>
      </w:divBdr>
    </w:div>
    <w:div w:id="1048381603">
      <w:bodyDiv w:val="1"/>
      <w:marLeft w:val="0"/>
      <w:marRight w:val="0"/>
      <w:marTop w:val="0"/>
      <w:marBottom w:val="0"/>
      <w:divBdr>
        <w:top w:val="none" w:sz="0" w:space="0" w:color="auto"/>
        <w:left w:val="none" w:sz="0" w:space="0" w:color="auto"/>
        <w:bottom w:val="none" w:sz="0" w:space="0" w:color="auto"/>
        <w:right w:val="none" w:sz="0" w:space="0" w:color="auto"/>
      </w:divBdr>
    </w:div>
    <w:div w:id="1050613611">
      <w:bodyDiv w:val="1"/>
      <w:marLeft w:val="0"/>
      <w:marRight w:val="0"/>
      <w:marTop w:val="0"/>
      <w:marBottom w:val="0"/>
      <w:divBdr>
        <w:top w:val="none" w:sz="0" w:space="0" w:color="auto"/>
        <w:left w:val="none" w:sz="0" w:space="0" w:color="auto"/>
        <w:bottom w:val="none" w:sz="0" w:space="0" w:color="auto"/>
        <w:right w:val="none" w:sz="0" w:space="0" w:color="auto"/>
      </w:divBdr>
    </w:div>
    <w:div w:id="1080054476">
      <w:bodyDiv w:val="1"/>
      <w:marLeft w:val="0"/>
      <w:marRight w:val="0"/>
      <w:marTop w:val="0"/>
      <w:marBottom w:val="0"/>
      <w:divBdr>
        <w:top w:val="none" w:sz="0" w:space="0" w:color="auto"/>
        <w:left w:val="none" w:sz="0" w:space="0" w:color="auto"/>
        <w:bottom w:val="none" w:sz="0" w:space="0" w:color="auto"/>
        <w:right w:val="none" w:sz="0" w:space="0" w:color="auto"/>
      </w:divBdr>
    </w:div>
    <w:div w:id="1090933569">
      <w:bodyDiv w:val="1"/>
      <w:marLeft w:val="0"/>
      <w:marRight w:val="0"/>
      <w:marTop w:val="0"/>
      <w:marBottom w:val="0"/>
      <w:divBdr>
        <w:top w:val="none" w:sz="0" w:space="0" w:color="auto"/>
        <w:left w:val="none" w:sz="0" w:space="0" w:color="auto"/>
        <w:bottom w:val="none" w:sz="0" w:space="0" w:color="auto"/>
        <w:right w:val="none" w:sz="0" w:space="0" w:color="auto"/>
      </w:divBdr>
    </w:div>
    <w:div w:id="1092241488">
      <w:bodyDiv w:val="1"/>
      <w:marLeft w:val="0"/>
      <w:marRight w:val="0"/>
      <w:marTop w:val="0"/>
      <w:marBottom w:val="0"/>
      <w:divBdr>
        <w:top w:val="none" w:sz="0" w:space="0" w:color="auto"/>
        <w:left w:val="none" w:sz="0" w:space="0" w:color="auto"/>
        <w:bottom w:val="none" w:sz="0" w:space="0" w:color="auto"/>
        <w:right w:val="none" w:sz="0" w:space="0" w:color="auto"/>
      </w:divBdr>
    </w:div>
    <w:div w:id="1094858884">
      <w:bodyDiv w:val="1"/>
      <w:marLeft w:val="0"/>
      <w:marRight w:val="0"/>
      <w:marTop w:val="0"/>
      <w:marBottom w:val="0"/>
      <w:divBdr>
        <w:top w:val="none" w:sz="0" w:space="0" w:color="auto"/>
        <w:left w:val="none" w:sz="0" w:space="0" w:color="auto"/>
        <w:bottom w:val="none" w:sz="0" w:space="0" w:color="auto"/>
        <w:right w:val="none" w:sz="0" w:space="0" w:color="auto"/>
      </w:divBdr>
    </w:div>
    <w:div w:id="1106577134">
      <w:bodyDiv w:val="1"/>
      <w:marLeft w:val="0"/>
      <w:marRight w:val="0"/>
      <w:marTop w:val="0"/>
      <w:marBottom w:val="0"/>
      <w:divBdr>
        <w:top w:val="none" w:sz="0" w:space="0" w:color="auto"/>
        <w:left w:val="none" w:sz="0" w:space="0" w:color="auto"/>
        <w:bottom w:val="none" w:sz="0" w:space="0" w:color="auto"/>
        <w:right w:val="none" w:sz="0" w:space="0" w:color="auto"/>
      </w:divBdr>
    </w:div>
    <w:div w:id="1112936357">
      <w:bodyDiv w:val="1"/>
      <w:marLeft w:val="0"/>
      <w:marRight w:val="0"/>
      <w:marTop w:val="0"/>
      <w:marBottom w:val="0"/>
      <w:divBdr>
        <w:top w:val="none" w:sz="0" w:space="0" w:color="auto"/>
        <w:left w:val="none" w:sz="0" w:space="0" w:color="auto"/>
        <w:bottom w:val="none" w:sz="0" w:space="0" w:color="auto"/>
        <w:right w:val="none" w:sz="0" w:space="0" w:color="auto"/>
      </w:divBdr>
    </w:div>
    <w:div w:id="1114595536">
      <w:bodyDiv w:val="1"/>
      <w:marLeft w:val="0"/>
      <w:marRight w:val="0"/>
      <w:marTop w:val="0"/>
      <w:marBottom w:val="0"/>
      <w:divBdr>
        <w:top w:val="none" w:sz="0" w:space="0" w:color="auto"/>
        <w:left w:val="none" w:sz="0" w:space="0" w:color="auto"/>
        <w:bottom w:val="none" w:sz="0" w:space="0" w:color="auto"/>
        <w:right w:val="none" w:sz="0" w:space="0" w:color="auto"/>
      </w:divBdr>
    </w:div>
    <w:div w:id="1115322068">
      <w:bodyDiv w:val="1"/>
      <w:marLeft w:val="0"/>
      <w:marRight w:val="0"/>
      <w:marTop w:val="0"/>
      <w:marBottom w:val="0"/>
      <w:divBdr>
        <w:top w:val="none" w:sz="0" w:space="0" w:color="auto"/>
        <w:left w:val="none" w:sz="0" w:space="0" w:color="auto"/>
        <w:bottom w:val="none" w:sz="0" w:space="0" w:color="auto"/>
        <w:right w:val="none" w:sz="0" w:space="0" w:color="auto"/>
      </w:divBdr>
    </w:div>
    <w:div w:id="1115710650">
      <w:bodyDiv w:val="1"/>
      <w:marLeft w:val="0"/>
      <w:marRight w:val="0"/>
      <w:marTop w:val="0"/>
      <w:marBottom w:val="0"/>
      <w:divBdr>
        <w:top w:val="none" w:sz="0" w:space="0" w:color="auto"/>
        <w:left w:val="none" w:sz="0" w:space="0" w:color="auto"/>
        <w:bottom w:val="none" w:sz="0" w:space="0" w:color="auto"/>
        <w:right w:val="none" w:sz="0" w:space="0" w:color="auto"/>
      </w:divBdr>
    </w:div>
    <w:div w:id="1161889953">
      <w:bodyDiv w:val="1"/>
      <w:marLeft w:val="0"/>
      <w:marRight w:val="0"/>
      <w:marTop w:val="0"/>
      <w:marBottom w:val="0"/>
      <w:divBdr>
        <w:top w:val="none" w:sz="0" w:space="0" w:color="auto"/>
        <w:left w:val="none" w:sz="0" w:space="0" w:color="auto"/>
        <w:bottom w:val="none" w:sz="0" w:space="0" w:color="auto"/>
        <w:right w:val="none" w:sz="0" w:space="0" w:color="auto"/>
      </w:divBdr>
    </w:div>
    <w:div w:id="1164510237">
      <w:bodyDiv w:val="1"/>
      <w:marLeft w:val="0"/>
      <w:marRight w:val="0"/>
      <w:marTop w:val="0"/>
      <w:marBottom w:val="0"/>
      <w:divBdr>
        <w:top w:val="none" w:sz="0" w:space="0" w:color="auto"/>
        <w:left w:val="none" w:sz="0" w:space="0" w:color="auto"/>
        <w:bottom w:val="none" w:sz="0" w:space="0" w:color="auto"/>
        <w:right w:val="none" w:sz="0" w:space="0" w:color="auto"/>
      </w:divBdr>
    </w:div>
    <w:div w:id="1185364572">
      <w:bodyDiv w:val="1"/>
      <w:marLeft w:val="0"/>
      <w:marRight w:val="0"/>
      <w:marTop w:val="0"/>
      <w:marBottom w:val="0"/>
      <w:divBdr>
        <w:top w:val="none" w:sz="0" w:space="0" w:color="auto"/>
        <w:left w:val="none" w:sz="0" w:space="0" w:color="auto"/>
        <w:bottom w:val="none" w:sz="0" w:space="0" w:color="auto"/>
        <w:right w:val="none" w:sz="0" w:space="0" w:color="auto"/>
      </w:divBdr>
    </w:div>
    <w:div w:id="1190921745">
      <w:bodyDiv w:val="1"/>
      <w:marLeft w:val="0"/>
      <w:marRight w:val="0"/>
      <w:marTop w:val="0"/>
      <w:marBottom w:val="0"/>
      <w:divBdr>
        <w:top w:val="none" w:sz="0" w:space="0" w:color="auto"/>
        <w:left w:val="none" w:sz="0" w:space="0" w:color="auto"/>
        <w:bottom w:val="none" w:sz="0" w:space="0" w:color="auto"/>
        <w:right w:val="none" w:sz="0" w:space="0" w:color="auto"/>
      </w:divBdr>
    </w:div>
    <w:div w:id="1212494010">
      <w:bodyDiv w:val="1"/>
      <w:marLeft w:val="0"/>
      <w:marRight w:val="0"/>
      <w:marTop w:val="0"/>
      <w:marBottom w:val="0"/>
      <w:divBdr>
        <w:top w:val="none" w:sz="0" w:space="0" w:color="auto"/>
        <w:left w:val="none" w:sz="0" w:space="0" w:color="auto"/>
        <w:bottom w:val="none" w:sz="0" w:space="0" w:color="auto"/>
        <w:right w:val="none" w:sz="0" w:space="0" w:color="auto"/>
      </w:divBdr>
    </w:div>
    <w:div w:id="1217202267">
      <w:bodyDiv w:val="1"/>
      <w:marLeft w:val="0"/>
      <w:marRight w:val="0"/>
      <w:marTop w:val="0"/>
      <w:marBottom w:val="0"/>
      <w:divBdr>
        <w:top w:val="none" w:sz="0" w:space="0" w:color="auto"/>
        <w:left w:val="none" w:sz="0" w:space="0" w:color="auto"/>
        <w:bottom w:val="none" w:sz="0" w:space="0" w:color="auto"/>
        <w:right w:val="none" w:sz="0" w:space="0" w:color="auto"/>
      </w:divBdr>
    </w:div>
    <w:div w:id="1221360313">
      <w:bodyDiv w:val="1"/>
      <w:marLeft w:val="0"/>
      <w:marRight w:val="0"/>
      <w:marTop w:val="0"/>
      <w:marBottom w:val="0"/>
      <w:divBdr>
        <w:top w:val="none" w:sz="0" w:space="0" w:color="auto"/>
        <w:left w:val="none" w:sz="0" w:space="0" w:color="auto"/>
        <w:bottom w:val="none" w:sz="0" w:space="0" w:color="auto"/>
        <w:right w:val="none" w:sz="0" w:space="0" w:color="auto"/>
      </w:divBdr>
    </w:div>
    <w:div w:id="1224752865">
      <w:bodyDiv w:val="1"/>
      <w:marLeft w:val="0"/>
      <w:marRight w:val="0"/>
      <w:marTop w:val="0"/>
      <w:marBottom w:val="0"/>
      <w:divBdr>
        <w:top w:val="none" w:sz="0" w:space="0" w:color="auto"/>
        <w:left w:val="none" w:sz="0" w:space="0" w:color="auto"/>
        <w:bottom w:val="none" w:sz="0" w:space="0" w:color="auto"/>
        <w:right w:val="none" w:sz="0" w:space="0" w:color="auto"/>
      </w:divBdr>
    </w:div>
    <w:div w:id="1230193610">
      <w:bodyDiv w:val="1"/>
      <w:marLeft w:val="0"/>
      <w:marRight w:val="0"/>
      <w:marTop w:val="0"/>
      <w:marBottom w:val="0"/>
      <w:divBdr>
        <w:top w:val="none" w:sz="0" w:space="0" w:color="auto"/>
        <w:left w:val="none" w:sz="0" w:space="0" w:color="auto"/>
        <w:bottom w:val="none" w:sz="0" w:space="0" w:color="auto"/>
        <w:right w:val="none" w:sz="0" w:space="0" w:color="auto"/>
      </w:divBdr>
    </w:div>
    <w:div w:id="1254633866">
      <w:bodyDiv w:val="1"/>
      <w:marLeft w:val="0"/>
      <w:marRight w:val="0"/>
      <w:marTop w:val="0"/>
      <w:marBottom w:val="0"/>
      <w:divBdr>
        <w:top w:val="none" w:sz="0" w:space="0" w:color="auto"/>
        <w:left w:val="none" w:sz="0" w:space="0" w:color="auto"/>
        <w:bottom w:val="none" w:sz="0" w:space="0" w:color="auto"/>
        <w:right w:val="none" w:sz="0" w:space="0" w:color="auto"/>
      </w:divBdr>
    </w:div>
    <w:div w:id="1255556499">
      <w:bodyDiv w:val="1"/>
      <w:marLeft w:val="0"/>
      <w:marRight w:val="0"/>
      <w:marTop w:val="0"/>
      <w:marBottom w:val="0"/>
      <w:divBdr>
        <w:top w:val="none" w:sz="0" w:space="0" w:color="auto"/>
        <w:left w:val="none" w:sz="0" w:space="0" w:color="auto"/>
        <w:bottom w:val="none" w:sz="0" w:space="0" w:color="auto"/>
        <w:right w:val="none" w:sz="0" w:space="0" w:color="auto"/>
      </w:divBdr>
    </w:div>
    <w:div w:id="1258558734">
      <w:bodyDiv w:val="1"/>
      <w:marLeft w:val="0"/>
      <w:marRight w:val="0"/>
      <w:marTop w:val="0"/>
      <w:marBottom w:val="0"/>
      <w:divBdr>
        <w:top w:val="none" w:sz="0" w:space="0" w:color="auto"/>
        <w:left w:val="none" w:sz="0" w:space="0" w:color="auto"/>
        <w:bottom w:val="none" w:sz="0" w:space="0" w:color="auto"/>
        <w:right w:val="none" w:sz="0" w:space="0" w:color="auto"/>
      </w:divBdr>
    </w:div>
    <w:div w:id="1260522244">
      <w:bodyDiv w:val="1"/>
      <w:marLeft w:val="0"/>
      <w:marRight w:val="0"/>
      <w:marTop w:val="0"/>
      <w:marBottom w:val="0"/>
      <w:divBdr>
        <w:top w:val="none" w:sz="0" w:space="0" w:color="auto"/>
        <w:left w:val="none" w:sz="0" w:space="0" w:color="auto"/>
        <w:bottom w:val="none" w:sz="0" w:space="0" w:color="auto"/>
        <w:right w:val="none" w:sz="0" w:space="0" w:color="auto"/>
      </w:divBdr>
    </w:div>
    <w:div w:id="1285889524">
      <w:bodyDiv w:val="1"/>
      <w:marLeft w:val="0"/>
      <w:marRight w:val="0"/>
      <w:marTop w:val="0"/>
      <w:marBottom w:val="0"/>
      <w:divBdr>
        <w:top w:val="none" w:sz="0" w:space="0" w:color="auto"/>
        <w:left w:val="none" w:sz="0" w:space="0" w:color="auto"/>
        <w:bottom w:val="none" w:sz="0" w:space="0" w:color="auto"/>
        <w:right w:val="none" w:sz="0" w:space="0" w:color="auto"/>
      </w:divBdr>
    </w:div>
    <w:div w:id="1293897918">
      <w:bodyDiv w:val="1"/>
      <w:marLeft w:val="0"/>
      <w:marRight w:val="0"/>
      <w:marTop w:val="0"/>
      <w:marBottom w:val="0"/>
      <w:divBdr>
        <w:top w:val="none" w:sz="0" w:space="0" w:color="auto"/>
        <w:left w:val="none" w:sz="0" w:space="0" w:color="auto"/>
        <w:bottom w:val="none" w:sz="0" w:space="0" w:color="auto"/>
        <w:right w:val="none" w:sz="0" w:space="0" w:color="auto"/>
      </w:divBdr>
    </w:div>
    <w:div w:id="1329559135">
      <w:bodyDiv w:val="1"/>
      <w:marLeft w:val="0"/>
      <w:marRight w:val="0"/>
      <w:marTop w:val="0"/>
      <w:marBottom w:val="0"/>
      <w:divBdr>
        <w:top w:val="none" w:sz="0" w:space="0" w:color="auto"/>
        <w:left w:val="none" w:sz="0" w:space="0" w:color="auto"/>
        <w:bottom w:val="none" w:sz="0" w:space="0" w:color="auto"/>
        <w:right w:val="none" w:sz="0" w:space="0" w:color="auto"/>
      </w:divBdr>
    </w:div>
    <w:div w:id="1341663230">
      <w:bodyDiv w:val="1"/>
      <w:marLeft w:val="0"/>
      <w:marRight w:val="0"/>
      <w:marTop w:val="0"/>
      <w:marBottom w:val="0"/>
      <w:divBdr>
        <w:top w:val="none" w:sz="0" w:space="0" w:color="auto"/>
        <w:left w:val="none" w:sz="0" w:space="0" w:color="auto"/>
        <w:bottom w:val="none" w:sz="0" w:space="0" w:color="auto"/>
        <w:right w:val="none" w:sz="0" w:space="0" w:color="auto"/>
      </w:divBdr>
    </w:div>
    <w:div w:id="1342970282">
      <w:bodyDiv w:val="1"/>
      <w:marLeft w:val="0"/>
      <w:marRight w:val="0"/>
      <w:marTop w:val="0"/>
      <w:marBottom w:val="0"/>
      <w:divBdr>
        <w:top w:val="none" w:sz="0" w:space="0" w:color="auto"/>
        <w:left w:val="none" w:sz="0" w:space="0" w:color="auto"/>
        <w:bottom w:val="none" w:sz="0" w:space="0" w:color="auto"/>
        <w:right w:val="none" w:sz="0" w:space="0" w:color="auto"/>
      </w:divBdr>
    </w:div>
    <w:div w:id="1352563158">
      <w:bodyDiv w:val="1"/>
      <w:marLeft w:val="0"/>
      <w:marRight w:val="0"/>
      <w:marTop w:val="0"/>
      <w:marBottom w:val="0"/>
      <w:divBdr>
        <w:top w:val="none" w:sz="0" w:space="0" w:color="auto"/>
        <w:left w:val="none" w:sz="0" w:space="0" w:color="auto"/>
        <w:bottom w:val="none" w:sz="0" w:space="0" w:color="auto"/>
        <w:right w:val="none" w:sz="0" w:space="0" w:color="auto"/>
      </w:divBdr>
    </w:div>
    <w:div w:id="1354113864">
      <w:bodyDiv w:val="1"/>
      <w:marLeft w:val="0"/>
      <w:marRight w:val="0"/>
      <w:marTop w:val="0"/>
      <w:marBottom w:val="0"/>
      <w:divBdr>
        <w:top w:val="none" w:sz="0" w:space="0" w:color="auto"/>
        <w:left w:val="none" w:sz="0" w:space="0" w:color="auto"/>
        <w:bottom w:val="none" w:sz="0" w:space="0" w:color="auto"/>
        <w:right w:val="none" w:sz="0" w:space="0" w:color="auto"/>
      </w:divBdr>
    </w:div>
    <w:div w:id="1361198523">
      <w:bodyDiv w:val="1"/>
      <w:marLeft w:val="0"/>
      <w:marRight w:val="0"/>
      <w:marTop w:val="0"/>
      <w:marBottom w:val="0"/>
      <w:divBdr>
        <w:top w:val="none" w:sz="0" w:space="0" w:color="auto"/>
        <w:left w:val="none" w:sz="0" w:space="0" w:color="auto"/>
        <w:bottom w:val="none" w:sz="0" w:space="0" w:color="auto"/>
        <w:right w:val="none" w:sz="0" w:space="0" w:color="auto"/>
      </w:divBdr>
    </w:div>
    <w:div w:id="1401828793">
      <w:bodyDiv w:val="1"/>
      <w:marLeft w:val="0"/>
      <w:marRight w:val="0"/>
      <w:marTop w:val="0"/>
      <w:marBottom w:val="0"/>
      <w:divBdr>
        <w:top w:val="none" w:sz="0" w:space="0" w:color="auto"/>
        <w:left w:val="none" w:sz="0" w:space="0" w:color="auto"/>
        <w:bottom w:val="none" w:sz="0" w:space="0" w:color="auto"/>
        <w:right w:val="none" w:sz="0" w:space="0" w:color="auto"/>
      </w:divBdr>
    </w:div>
    <w:div w:id="1412460632">
      <w:bodyDiv w:val="1"/>
      <w:marLeft w:val="0"/>
      <w:marRight w:val="0"/>
      <w:marTop w:val="0"/>
      <w:marBottom w:val="0"/>
      <w:divBdr>
        <w:top w:val="none" w:sz="0" w:space="0" w:color="auto"/>
        <w:left w:val="none" w:sz="0" w:space="0" w:color="auto"/>
        <w:bottom w:val="none" w:sz="0" w:space="0" w:color="auto"/>
        <w:right w:val="none" w:sz="0" w:space="0" w:color="auto"/>
      </w:divBdr>
    </w:div>
    <w:div w:id="1426344988">
      <w:bodyDiv w:val="1"/>
      <w:marLeft w:val="0"/>
      <w:marRight w:val="0"/>
      <w:marTop w:val="0"/>
      <w:marBottom w:val="0"/>
      <w:divBdr>
        <w:top w:val="none" w:sz="0" w:space="0" w:color="auto"/>
        <w:left w:val="none" w:sz="0" w:space="0" w:color="auto"/>
        <w:bottom w:val="none" w:sz="0" w:space="0" w:color="auto"/>
        <w:right w:val="none" w:sz="0" w:space="0" w:color="auto"/>
      </w:divBdr>
    </w:div>
    <w:div w:id="1426347024">
      <w:bodyDiv w:val="1"/>
      <w:marLeft w:val="0"/>
      <w:marRight w:val="0"/>
      <w:marTop w:val="0"/>
      <w:marBottom w:val="0"/>
      <w:divBdr>
        <w:top w:val="none" w:sz="0" w:space="0" w:color="auto"/>
        <w:left w:val="none" w:sz="0" w:space="0" w:color="auto"/>
        <w:bottom w:val="none" w:sz="0" w:space="0" w:color="auto"/>
        <w:right w:val="none" w:sz="0" w:space="0" w:color="auto"/>
      </w:divBdr>
    </w:div>
    <w:div w:id="1436170729">
      <w:bodyDiv w:val="1"/>
      <w:marLeft w:val="0"/>
      <w:marRight w:val="0"/>
      <w:marTop w:val="0"/>
      <w:marBottom w:val="0"/>
      <w:divBdr>
        <w:top w:val="none" w:sz="0" w:space="0" w:color="auto"/>
        <w:left w:val="none" w:sz="0" w:space="0" w:color="auto"/>
        <w:bottom w:val="none" w:sz="0" w:space="0" w:color="auto"/>
        <w:right w:val="none" w:sz="0" w:space="0" w:color="auto"/>
      </w:divBdr>
    </w:div>
    <w:div w:id="1442842946">
      <w:bodyDiv w:val="1"/>
      <w:marLeft w:val="0"/>
      <w:marRight w:val="0"/>
      <w:marTop w:val="0"/>
      <w:marBottom w:val="0"/>
      <w:divBdr>
        <w:top w:val="none" w:sz="0" w:space="0" w:color="auto"/>
        <w:left w:val="none" w:sz="0" w:space="0" w:color="auto"/>
        <w:bottom w:val="none" w:sz="0" w:space="0" w:color="auto"/>
        <w:right w:val="none" w:sz="0" w:space="0" w:color="auto"/>
      </w:divBdr>
    </w:div>
    <w:div w:id="1447578230">
      <w:bodyDiv w:val="1"/>
      <w:marLeft w:val="0"/>
      <w:marRight w:val="0"/>
      <w:marTop w:val="0"/>
      <w:marBottom w:val="0"/>
      <w:divBdr>
        <w:top w:val="none" w:sz="0" w:space="0" w:color="auto"/>
        <w:left w:val="none" w:sz="0" w:space="0" w:color="auto"/>
        <w:bottom w:val="none" w:sz="0" w:space="0" w:color="auto"/>
        <w:right w:val="none" w:sz="0" w:space="0" w:color="auto"/>
      </w:divBdr>
    </w:div>
    <w:div w:id="1448236405">
      <w:bodyDiv w:val="1"/>
      <w:marLeft w:val="0"/>
      <w:marRight w:val="0"/>
      <w:marTop w:val="0"/>
      <w:marBottom w:val="0"/>
      <w:divBdr>
        <w:top w:val="none" w:sz="0" w:space="0" w:color="auto"/>
        <w:left w:val="none" w:sz="0" w:space="0" w:color="auto"/>
        <w:bottom w:val="none" w:sz="0" w:space="0" w:color="auto"/>
        <w:right w:val="none" w:sz="0" w:space="0" w:color="auto"/>
      </w:divBdr>
    </w:div>
    <w:div w:id="1448694448">
      <w:bodyDiv w:val="1"/>
      <w:marLeft w:val="0"/>
      <w:marRight w:val="0"/>
      <w:marTop w:val="0"/>
      <w:marBottom w:val="0"/>
      <w:divBdr>
        <w:top w:val="none" w:sz="0" w:space="0" w:color="auto"/>
        <w:left w:val="none" w:sz="0" w:space="0" w:color="auto"/>
        <w:bottom w:val="none" w:sz="0" w:space="0" w:color="auto"/>
        <w:right w:val="none" w:sz="0" w:space="0" w:color="auto"/>
      </w:divBdr>
    </w:div>
    <w:div w:id="1453397816">
      <w:bodyDiv w:val="1"/>
      <w:marLeft w:val="0"/>
      <w:marRight w:val="0"/>
      <w:marTop w:val="0"/>
      <w:marBottom w:val="0"/>
      <w:divBdr>
        <w:top w:val="none" w:sz="0" w:space="0" w:color="auto"/>
        <w:left w:val="none" w:sz="0" w:space="0" w:color="auto"/>
        <w:bottom w:val="none" w:sz="0" w:space="0" w:color="auto"/>
        <w:right w:val="none" w:sz="0" w:space="0" w:color="auto"/>
      </w:divBdr>
    </w:div>
    <w:div w:id="1469012375">
      <w:bodyDiv w:val="1"/>
      <w:marLeft w:val="0"/>
      <w:marRight w:val="0"/>
      <w:marTop w:val="0"/>
      <w:marBottom w:val="0"/>
      <w:divBdr>
        <w:top w:val="none" w:sz="0" w:space="0" w:color="auto"/>
        <w:left w:val="none" w:sz="0" w:space="0" w:color="auto"/>
        <w:bottom w:val="none" w:sz="0" w:space="0" w:color="auto"/>
        <w:right w:val="none" w:sz="0" w:space="0" w:color="auto"/>
      </w:divBdr>
    </w:div>
    <w:div w:id="1481770947">
      <w:bodyDiv w:val="1"/>
      <w:marLeft w:val="0"/>
      <w:marRight w:val="0"/>
      <w:marTop w:val="0"/>
      <w:marBottom w:val="0"/>
      <w:divBdr>
        <w:top w:val="none" w:sz="0" w:space="0" w:color="auto"/>
        <w:left w:val="none" w:sz="0" w:space="0" w:color="auto"/>
        <w:bottom w:val="none" w:sz="0" w:space="0" w:color="auto"/>
        <w:right w:val="none" w:sz="0" w:space="0" w:color="auto"/>
      </w:divBdr>
    </w:div>
    <w:div w:id="1514568842">
      <w:bodyDiv w:val="1"/>
      <w:marLeft w:val="0"/>
      <w:marRight w:val="0"/>
      <w:marTop w:val="0"/>
      <w:marBottom w:val="0"/>
      <w:divBdr>
        <w:top w:val="none" w:sz="0" w:space="0" w:color="auto"/>
        <w:left w:val="none" w:sz="0" w:space="0" w:color="auto"/>
        <w:bottom w:val="none" w:sz="0" w:space="0" w:color="auto"/>
        <w:right w:val="none" w:sz="0" w:space="0" w:color="auto"/>
      </w:divBdr>
    </w:div>
    <w:div w:id="1522233284">
      <w:bodyDiv w:val="1"/>
      <w:marLeft w:val="0"/>
      <w:marRight w:val="0"/>
      <w:marTop w:val="0"/>
      <w:marBottom w:val="0"/>
      <w:divBdr>
        <w:top w:val="none" w:sz="0" w:space="0" w:color="auto"/>
        <w:left w:val="none" w:sz="0" w:space="0" w:color="auto"/>
        <w:bottom w:val="none" w:sz="0" w:space="0" w:color="auto"/>
        <w:right w:val="none" w:sz="0" w:space="0" w:color="auto"/>
      </w:divBdr>
    </w:div>
    <w:div w:id="1531724836">
      <w:bodyDiv w:val="1"/>
      <w:marLeft w:val="0"/>
      <w:marRight w:val="0"/>
      <w:marTop w:val="0"/>
      <w:marBottom w:val="0"/>
      <w:divBdr>
        <w:top w:val="none" w:sz="0" w:space="0" w:color="auto"/>
        <w:left w:val="none" w:sz="0" w:space="0" w:color="auto"/>
        <w:bottom w:val="none" w:sz="0" w:space="0" w:color="auto"/>
        <w:right w:val="none" w:sz="0" w:space="0" w:color="auto"/>
      </w:divBdr>
    </w:div>
    <w:div w:id="1535146249">
      <w:bodyDiv w:val="1"/>
      <w:marLeft w:val="0"/>
      <w:marRight w:val="0"/>
      <w:marTop w:val="0"/>
      <w:marBottom w:val="0"/>
      <w:divBdr>
        <w:top w:val="none" w:sz="0" w:space="0" w:color="auto"/>
        <w:left w:val="none" w:sz="0" w:space="0" w:color="auto"/>
        <w:bottom w:val="none" w:sz="0" w:space="0" w:color="auto"/>
        <w:right w:val="none" w:sz="0" w:space="0" w:color="auto"/>
      </w:divBdr>
    </w:div>
    <w:div w:id="1539509967">
      <w:bodyDiv w:val="1"/>
      <w:marLeft w:val="0"/>
      <w:marRight w:val="0"/>
      <w:marTop w:val="0"/>
      <w:marBottom w:val="0"/>
      <w:divBdr>
        <w:top w:val="none" w:sz="0" w:space="0" w:color="auto"/>
        <w:left w:val="none" w:sz="0" w:space="0" w:color="auto"/>
        <w:bottom w:val="none" w:sz="0" w:space="0" w:color="auto"/>
        <w:right w:val="none" w:sz="0" w:space="0" w:color="auto"/>
      </w:divBdr>
    </w:div>
    <w:div w:id="1543322338">
      <w:bodyDiv w:val="1"/>
      <w:marLeft w:val="0"/>
      <w:marRight w:val="0"/>
      <w:marTop w:val="0"/>
      <w:marBottom w:val="0"/>
      <w:divBdr>
        <w:top w:val="none" w:sz="0" w:space="0" w:color="auto"/>
        <w:left w:val="none" w:sz="0" w:space="0" w:color="auto"/>
        <w:bottom w:val="none" w:sz="0" w:space="0" w:color="auto"/>
        <w:right w:val="none" w:sz="0" w:space="0" w:color="auto"/>
      </w:divBdr>
    </w:div>
    <w:div w:id="1554197996">
      <w:bodyDiv w:val="1"/>
      <w:marLeft w:val="0"/>
      <w:marRight w:val="0"/>
      <w:marTop w:val="0"/>
      <w:marBottom w:val="0"/>
      <w:divBdr>
        <w:top w:val="none" w:sz="0" w:space="0" w:color="auto"/>
        <w:left w:val="none" w:sz="0" w:space="0" w:color="auto"/>
        <w:bottom w:val="none" w:sz="0" w:space="0" w:color="auto"/>
        <w:right w:val="none" w:sz="0" w:space="0" w:color="auto"/>
      </w:divBdr>
    </w:div>
    <w:div w:id="1557156225">
      <w:bodyDiv w:val="1"/>
      <w:marLeft w:val="0"/>
      <w:marRight w:val="0"/>
      <w:marTop w:val="0"/>
      <w:marBottom w:val="0"/>
      <w:divBdr>
        <w:top w:val="none" w:sz="0" w:space="0" w:color="auto"/>
        <w:left w:val="none" w:sz="0" w:space="0" w:color="auto"/>
        <w:bottom w:val="none" w:sz="0" w:space="0" w:color="auto"/>
        <w:right w:val="none" w:sz="0" w:space="0" w:color="auto"/>
      </w:divBdr>
    </w:div>
    <w:div w:id="1564562398">
      <w:bodyDiv w:val="1"/>
      <w:marLeft w:val="0"/>
      <w:marRight w:val="0"/>
      <w:marTop w:val="0"/>
      <w:marBottom w:val="0"/>
      <w:divBdr>
        <w:top w:val="none" w:sz="0" w:space="0" w:color="auto"/>
        <w:left w:val="none" w:sz="0" w:space="0" w:color="auto"/>
        <w:bottom w:val="none" w:sz="0" w:space="0" w:color="auto"/>
        <w:right w:val="none" w:sz="0" w:space="0" w:color="auto"/>
      </w:divBdr>
    </w:div>
    <w:div w:id="1581210631">
      <w:bodyDiv w:val="1"/>
      <w:marLeft w:val="0"/>
      <w:marRight w:val="0"/>
      <w:marTop w:val="0"/>
      <w:marBottom w:val="0"/>
      <w:divBdr>
        <w:top w:val="none" w:sz="0" w:space="0" w:color="auto"/>
        <w:left w:val="none" w:sz="0" w:space="0" w:color="auto"/>
        <w:bottom w:val="none" w:sz="0" w:space="0" w:color="auto"/>
        <w:right w:val="none" w:sz="0" w:space="0" w:color="auto"/>
      </w:divBdr>
    </w:div>
    <w:div w:id="1588273206">
      <w:bodyDiv w:val="1"/>
      <w:marLeft w:val="0"/>
      <w:marRight w:val="0"/>
      <w:marTop w:val="0"/>
      <w:marBottom w:val="0"/>
      <w:divBdr>
        <w:top w:val="none" w:sz="0" w:space="0" w:color="auto"/>
        <w:left w:val="none" w:sz="0" w:space="0" w:color="auto"/>
        <w:bottom w:val="none" w:sz="0" w:space="0" w:color="auto"/>
        <w:right w:val="none" w:sz="0" w:space="0" w:color="auto"/>
      </w:divBdr>
    </w:div>
    <w:div w:id="1594820138">
      <w:bodyDiv w:val="1"/>
      <w:marLeft w:val="0"/>
      <w:marRight w:val="0"/>
      <w:marTop w:val="0"/>
      <w:marBottom w:val="0"/>
      <w:divBdr>
        <w:top w:val="none" w:sz="0" w:space="0" w:color="auto"/>
        <w:left w:val="none" w:sz="0" w:space="0" w:color="auto"/>
        <w:bottom w:val="none" w:sz="0" w:space="0" w:color="auto"/>
        <w:right w:val="none" w:sz="0" w:space="0" w:color="auto"/>
      </w:divBdr>
    </w:div>
    <w:div w:id="1599678803">
      <w:bodyDiv w:val="1"/>
      <w:marLeft w:val="0"/>
      <w:marRight w:val="0"/>
      <w:marTop w:val="0"/>
      <w:marBottom w:val="0"/>
      <w:divBdr>
        <w:top w:val="none" w:sz="0" w:space="0" w:color="auto"/>
        <w:left w:val="none" w:sz="0" w:space="0" w:color="auto"/>
        <w:bottom w:val="none" w:sz="0" w:space="0" w:color="auto"/>
        <w:right w:val="none" w:sz="0" w:space="0" w:color="auto"/>
      </w:divBdr>
    </w:div>
    <w:div w:id="1614827728">
      <w:bodyDiv w:val="1"/>
      <w:marLeft w:val="0"/>
      <w:marRight w:val="0"/>
      <w:marTop w:val="0"/>
      <w:marBottom w:val="0"/>
      <w:divBdr>
        <w:top w:val="none" w:sz="0" w:space="0" w:color="auto"/>
        <w:left w:val="none" w:sz="0" w:space="0" w:color="auto"/>
        <w:bottom w:val="none" w:sz="0" w:space="0" w:color="auto"/>
        <w:right w:val="none" w:sz="0" w:space="0" w:color="auto"/>
      </w:divBdr>
    </w:div>
    <w:div w:id="1620838879">
      <w:bodyDiv w:val="1"/>
      <w:marLeft w:val="0"/>
      <w:marRight w:val="0"/>
      <w:marTop w:val="0"/>
      <w:marBottom w:val="0"/>
      <w:divBdr>
        <w:top w:val="none" w:sz="0" w:space="0" w:color="auto"/>
        <w:left w:val="none" w:sz="0" w:space="0" w:color="auto"/>
        <w:bottom w:val="none" w:sz="0" w:space="0" w:color="auto"/>
        <w:right w:val="none" w:sz="0" w:space="0" w:color="auto"/>
      </w:divBdr>
    </w:div>
    <w:div w:id="1629704262">
      <w:bodyDiv w:val="1"/>
      <w:marLeft w:val="0"/>
      <w:marRight w:val="0"/>
      <w:marTop w:val="0"/>
      <w:marBottom w:val="0"/>
      <w:divBdr>
        <w:top w:val="none" w:sz="0" w:space="0" w:color="auto"/>
        <w:left w:val="none" w:sz="0" w:space="0" w:color="auto"/>
        <w:bottom w:val="none" w:sz="0" w:space="0" w:color="auto"/>
        <w:right w:val="none" w:sz="0" w:space="0" w:color="auto"/>
      </w:divBdr>
    </w:div>
    <w:div w:id="1654069534">
      <w:bodyDiv w:val="1"/>
      <w:marLeft w:val="0"/>
      <w:marRight w:val="0"/>
      <w:marTop w:val="0"/>
      <w:marBottom w:val="0"/>
      <w:divBdr>
        <w:top w:val="none" w:sz="0" w:space="0" w:color="auto"/>
        <w:left w:val="none" w:sz="0" w:space="0" w:color="auto"/>
        <w:bottom w:val="none" w:sz="0" w:space="0" w:color="auto"/>
        <w:right w:val="none" w:sz="0" w:space="0" w:color="auto"/>
      </w:divBdr>
    </w:div>
    <w:div w:id="1674187112">
      <w:bodyDiv w:val="1"/>
      <w:marLeft w:val="0"/>
      <w:marRight w:val="0"/>
      <w:marTop w:val="0"/>
      <w:marBottom w:val="0"/>
      <w:divBdr>
        <w:top w:val="none" w:sz="0" w:space="0" w:color="auto"/>
        <w:left w:val="none" w:sz="0" w:space="0" w:color="auto"/>
        <w:bottom w:val="none" w:sz="0" w:space="0" w:color="auto"/>
        <w:right w:val="none" w:sz="0" w:space="0" w:color="auto"/>
      </w:divBdr>
    </w:div>
    <w:div w:id="1675497348">
      <w:bodyDiv w:val="1"/>
      <w:marLeft w:val="0"/>
      <w:marRight w:val="0"/>
      <w:marTop w:val="0"/>
      <w:marBottom w:val="0"/>
      <w:divBdr>
        <w:top w:val="none" w:sz="0" w:space="0" w:color="auto"/>
        <w:left w:val="none" w:sz="0" w:space="0" w:color="auto"/>
        <w:bottom w:val="none" w:sz="0" w:space="0" w:color="auto"/>
        <w:right w:val="none" w:sz="0" w:space="0" w:color="auto"/>
      </w:divBdr>
    </w:div>
    <w:div w:id="1683430962">
      <w:bodyDiv w:val="1"/>
      <w:marLeft w:val="0"/>
      <w:marRight w:val="0"/>
      <w:marTop w:val="0"/>
      <w:marBottom w:val="0"/>
      <w:divBdr>
        <w:top w:val="none" w:sz="0" w:space="0" w:color="auto"/>
        <w:left w:val="none" w:sz="0" w:space="0" w:color="auto"/>
        <w:bottom w:val="none" w:sz="0" w:space="0" w:color="auto"/>
        <w:right w:val="none" w:sz="0" w:space="0" w:color="auto"/>
      </w:divBdr>
    </w:div>
    <w:div w:id="1684549442">
      <w:bodyDiv w:val="1"/>
      <w:marLeft w:val="0"/>
      <w:marRight w:val="0"/>
      <w:marTop w:val="0"/>
      <w:marBottom w:val="0"/>
      <w:divBdr>
        <w:top w:val="none" w:sz="0" w:space="0" w:color="auto"/>
        <w:left w:val="none" w:sz="0" w:space="0" w:color="auto"/>
        <w:bottom w:val="none" w:sz="0" w:space="0" w:color="auto"/>
        <w:right w:val="none" w:sz="0" w:space="0" w:color="auto"/>
      </w:divBdr>
    </w:div>
    <w:div w:id="1685857501">
      <w:bodyDiv w:val="1"/>
      <w:marLeft w:val="0"/>
      <w:marRight w:val="0"/>
      <w:marTop w:val="0"/>
      <w:marBottom w:val="0"/>
      <w:divBdr>
        <w:top w:val="none" w:sz="0" w:space="0" w:color="auto"/>
        <w:left w:val="none" w:sz="0" w:space="0" w:color="auto"/>
        <w:bottom w:val="none" w:sz="0" w:space="0" w:color="auto"/>
        <w:right w:val="none" w:sz="0" w:space="0" w:color="auto"/>
      </w:divBdr>
    </w:div>
    <w:div w:id="1698850374">
      <w:bodyDiv w:val="1"/>
      <w:marLeft w:val="0"/>
      <w:marRight w:val="0"/>
      <w:marTop w:val="0"/>
      <w:marBottom w:val="0"/>
      <w:divBdr>
        <w:top w:val="none" w:sz="0" w:space="0" w:color="auto"/>
        <w:left w:val="none" w:sz="0" w:space="0" w:color="auto"/>
        <w:bottom w:val="none" w:sz="0" w:space="0" w:color="auto"/>
        <w:right w:val="none" w:sz="0" w:space="0" w:color="auto"/>
      </w:divBdr>
    </w:div>
    <w:div w:id="1700546003">
      <w:bodyDiv w:val="1"/>
      <w:marLeft w:val="0"/>
      <w:marRight w:val="0"/>
      <w:marTop w:val="0"/>
      <w:marBottom w:val="0"/>
      <w:divBdr>
        <w:top w:val="none" w:sz="0" w:space="0" w:color="auto"/>
        <w:left w:val="none" w:sz="0" w:space="0" w:color="auto"/>
        <w:bottom w:val="none" w:sz="0" w:space="0" w:color="auto"/>
        <w:right w:val="none" w:sz="0" w:space="0" w:color="auto"/>
      </w:divBdr>
    </w:div>
    <w:div w:id="1701322839">
      <w:bodyDiv w:val="1"/>
      <w:marLeft w:val="0"/>
      <w:marRight w:val="0"/>
      <w:marTop w:val="0"/>
      <w:marBottom w:val="0"/>
      <w:divBdr>
        <w:top w:val="none" w:sz="0" w:space="0" w:color="auto"/>
        <w:left w:val="none" w:sz="0" w:space="0" w:color="auto"/>
        <w:bottom w:val="none" w:sz="0" w:space="0" w:color="auto"/>
        <w:right w:val="none" w:sz="0" w:space="0" w:color="auto"/>
      </w:divBdr>
    </w:div>
    <w:div w:id="1703246411">
      <w:bodyDiv w:val="1"/>
      <w:marLeft w:val="0"/>
      <w:marRight w:val="0"/>
      <w:marTop w:val="0"/>
      <w:marBottom w:val="0"/>
      <w:divBdr>
        <w:top w:val="none" w:sz="0" w:space="0" w:color="auto"/>
        <w:left w:val="none" w:sz="0" w:space="0" w:color="auto"/>
        <w:bottom w:val="none" w:sz="0" w:space="0" w:color="auto"/>
        <w:right w:val="none" w:sz="0" w:space="0" w:color="auto"/>
      </w:divBdr>
    </w:div>
    <w:div w:id="1729448630">
      <w:bodyDiv w:val="1"/>
      <w:marLeft w:val="0"/>
      <w:marRight w:val="0"/>
      <w:marTop w:val="0"/>
      <w:marBottom w:val="0"/>
      <w:divBdr>
        <w:top w:val="none" w:sz="0" w:space="0" w:color="auto"/>
        <w:left w:val="none" w:sz="0" w:space="0" w:color="auto"/>
        <w:bottom w:val="none" w:sz="0" w:space="0" w:color="auto"/>
        <w:right w:val="none" w:sz="0" w:space="0" w:color="auto"/>
      </w:divBdr>
    </w:div>
    <w:div w:id="1736782031">
      <w:bodyDiv w:val="1"/>
      <w:marLeft w:val="0"/>
      <w:marRight w:val="0"/>
      <w:marTop w:val="0"/>
      <w:marBottom w:val="0"/>
      <w:divBdr>
        <w:top w:val="none" w:sz="0" w:space="0" w:color="auto"/>
        <w:left w:val="none" w:sz="0" w:space="0" w:color="auto"/>
        <w:bottom w:val="none" w:sz="0" w:space="0" w:color="auto"/>
        <w:right w:val="none" w:sz="0" w:space="0" w:color="auto"/>
      </w:divBdr>
    </w:div>
    <w:div w:id="1744911083">
      <w:bodyDiv w:val="1"/>
      <w:marLeft w:val="0"/>
      <w:marRight w:val="0"/>
      <w:marTop w:val="0"/>
      <w:marBottom w:val="0"/>
      <w:divBdr>
        <w:top w:val="none" w:sz="0" w:space="0" w:color="auto"/>
        <w:left w:val="none" w:sz="0" w:space="0" w:color="auto"/>
        <w:bottom w:val="none" w:sz="0" w:space="0" w:color="auto"/>
        <w:right w:val="none" w:sz="0" w:space="0" w:color="auto"/>
      </w:divBdr>
    </w:div>
    <w:div w:id="1758673707">
      <w:bodyDiv w:val="1"/>
      <w:marLeft w:val="0"/>
      <w:marRight w:val="0"/>
      <w:marTop w:val="0"/>
      <w:marBottom w:val="0"/>
      <w:divBdr>
        <w:top w:val="none" w:sz="0" w:space="0" w:color="auto"/>
        <w:left w:val="none" w:sz="0" w:space="0" w:color="auto"/>
        <w:bottom w:val="none" w:sz="0" w:space="0" w:color="auto"/>
        <w:right w:val="none" w:sz="0" w:space="0" w:color="auto"/>
      </w:divBdr>
    </w:div>
    <w:div w:id="1759672399">
      <w:bodyDiv w:val="1"/>
      <w:marLeft w:val="0"/>
      <w:marRight w:val="0"/>
      <w:marTop w:val="0"/>
      <w:marBottom w:val="0"/>
      <w:divBdr>
        <w:top w:val="none" w:sz="0" w:space="0" w:color="auto"/>
        <w:left w:val="none" w:sz="0" w:space="0" w:color="auto"/>
        <w:bottom w:val="none" w:sz="0" w:space="0" w:color="auto"/>
        <w:right w:val="none" w:sz="0" w:space="0" w:color="auto"/>
      </w:divBdr>
    </w:div>
    <w:div w:id="1762985812">
      <w:bodyDiv w:val="1"/>
      <w:marLeft w:val="0"/>
      <w:marRight w:val="0"/>
      <w:marTop w:val="0"/>
      <w:marBottom w:val="0"/>
      <w:divBdr>
        <w:top w:val="none" w:sz="0" w:space="0" w:color="auto"/>
        <w:left w:val="none" w:sz="0" w:space="0" w:color="auto"/>
        <w:bottom w:val="none" w:sz="0" w:space="0" w:color="auto"/>
        <w:right w:val="none" w:sz="0" w:space="0" w:color="auto"/>
      </w:divBdr>
      <w:divsChild>
        <w:div w:id="12199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080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379181">
      <w:bodyDiv w:val="1"/>
      <w:marLeft w:val="0"/>
      <w:marRight w:val="0"/>
      <w:marTop w:val="0"/>
      <w:marBottom w:val="0"/>
      <w:divBdr>
        <w:top w:val="none" w:sz="0" w:space="0" w:color="auto"/>
        <w:left w:val="none" w:sz="0" w:space="0" w:color="auto"/>
        <w:bottom w:val="none" w:sz="0" w:space="0" w:color="auto"/>
        <w:right w:val="none" w:sz="0" w:space="0" w:color="auto"/>
      </w:divBdr>
    </w:div>
    <w:div w:id="1771586517">
      <w:bodyDiv w:val="1"/>
      <w:marLeft w:val="0"/>
      <w:marRight w:val="0"/>
      <w:marTop w:val="0"/>
      <w:marBottom w:val="0"/>
      <w:divBdr>
        <w:top w:val="none" w:sz="0" w:space="0" w:color="auto"/>
        <w:left w:val="none" w:sz="0" w:space="0" w:color="auto"/>
        <w:bottom w:val="none" w:sz="0" w:space="0" w:color="auto"/>
        <w:right w:val="none" w:sz="0" w:space="0" w:color="auto"/>
      </w:divBdr>
    </w:div>
    <w:div w:id="1774016215">
      <w:bodyDiv w:val="1"/>
      <w:marLeft w:val="0"/>
      <w:marRight w:val="0"/>
      <w:marTop w:val="0"/>
      <w:marBottom w:val="0"/>
      <w:divBdr>
        <w:top w:val="none" w:sz="0" w:space="0" w:color="auto"/>
        <w:left w:val="none" w:sz="0" w:space="0" w:color="auto"/>
        <w:bottom w:val="none" w:sz="0" w:space="0" w:color="auto"/>
        <w:right w:val="none" w:sz="0" w:space="0" w:color="auto"/>
      </w:divBdr>
    </w:div>
    <w:div w:id="1793015321">
      <w:bodyDiv w:val="1"/>
      <w:marLeft w:val="0"/>
      <w:marRight w:val="0"/>
      <w:marTop w:val="0"/>
      <w:marBottom w:val="0"/>
      <w:divBdr>
        <w:top w:val="none" w:sz="0" w:space="0" w:color="auto"/>
        <w:left w:val="none" w:sz="0" w:space="0" w:color="auto"/>
        <w:bottom w:val="none" w:sz="0" w:space="0" w:color="auto"/>
        <w:right w:val="none" w:sz="0" w:space="0" w:color="auto"/>
      </w:divBdr>
    </w:div>
    <w:div w:id="1810199529">
      <w:bodyDiv w:val="1"/>
      <w:marLeft w:val="0"/>
      <w:marRight w:val="0"/>
      <w:marTop w:val="0"/>
      <w:marBottom w:val="0"/>
      <w:divBdr>
        <w:top w:val="none" w:sz="0" w:space="0" w:color="auto"/>
        <w:left w:val="none" w:sz="0" w:space="0" w:color="auto"/>
        <w:bottom w:val="none" w:sz="0" w:space="0" w:color="auto"/>
        <w:right w:val="none" w:sz="0" w:space="0" w:color="auto"/>
      </w:divBdr>
    </w:div>
    <w:div w:id="1812163457">
      <w:bodyDiv w:val="1"/>
      <w:marLeft w:val="0"/>
      <w:marRight w:val="0"/>
      <w:marTop w:val="0"/>
      <w:marBottom w:val="0"/>
      <w:divBdr>
        <w:top w:val="none" w:sz="0" w:space="0" w:color="auto"/>
        <w:left w:val="none" w:sz="0" w:space="0" w:color="auto"/>
        <w:bottom w:val="none" w:sz="0" w:space="0" w:color="auto"/>
        <w:right w:val="none" w:sz="0" w:space="0" w:color="auto"/>
      </w:divBdr>
    </w:div>
    <w:div w:id="1863588381">
      <w:bodyDiv w:val="1"/>
      <w:marLeft w:val="0"/>
      <w:marRight w:val="0"/>
      <w:marTop w:val="0"/>
      <w:marBottom w:val="0"/>
      <w:divBdr>
        <w:top w:val="none" w:sz="0" w:space="0" w:color="auto"/>
        <w:left w:val="none" w:sz="0" w:space="0" w:color="auto"/>
        <w:bottom w:val="none" w:sz="0" w:space="0" w:color="auto"/>
        <w:right w:val="none" w:sz="0" w:space="0" w:color="auto"/>
      </w:divBdr>
    </w:div>
    <w:div w:id="1870098810">
      <w:bodyDiv w:val="1"/>
      <w:marLeft w:val="0"/>
      <w:marRight w:val="0"/>
      <w:marTop w:val="0"/>
      <w:marBottom w:val="0"/>
      <w:divBdr>
        <w:top w:val="none" w:sz="0" w:space="0" w:color="auto"/>
        <w:left w:val="none" w:sz="0" w:space="0" w:color="auto"/>
        <w:bottom w:val="none" w:sz="0" w:space="0" w:color="auto"/>
        <w:right w:val="none" w:sz="0" w:space="0" w:color="auto"/>
      </w:divBdr>
    </w:div>
    <w:div w:id="1889030193">
      <w:bodyDiv w:val="1"/>
      <w:marLeft w:val="0"/>
      <w:marRight w:val="0"/>
      <w:marTop w:val="0"/>
      <w:marBottom w:val="0"/>
      <w:divBdr>
        <w:top w:val="none" w:sz="0" w:space="0" w:color="auto"/>
        <w:left w:val="none" w:sz="0" w:space="0" w:color="auto"/>
        <w:bottom w:val="none" w:sz="0" w:space="0" w:color="auto"/>
        <w:right w:val="none" w:sz="0" w:space="0" w:color="auto"/>
      </w:divBdr>
    </w:div>
    <w:div w:id="1892957679">
      <w:bodyDiv w:val="1"/>
      <w:marLeft w:val="0"/>
      <w:marRight w:val="0"/>
      <w:marTop w:val="0"/>
      <w:marBottom w:val="0"/>
      <w:divBdr>
        <w:top w:val="none" w:sz="0" w:space="0" w:color="auto"/>
        <w:left w:val="none" w:sz="0" w:space="0" w:color="auto"/>
        <w:bottom w:val="none" w:sz="0" w:space="0" w:color="auto"/>
        <w:right w:val="none" w:sz="0" w:space="0" w:color="auto"/>
      </w:divBdr>
    </w:div>
    <w:div w:id="1895316470">
      <w:bodyDiv w:val="1"/>
      <w:marLeft w:val="0"/>
      <w:marRight w:val="0"/>
      <w:marTop w:val="0"/>
      <w:marBottom w:val="0"/>
      <w:divBdr>
        <w:top w:val="none" w:sz="0" w:space="0" w:color="auto"/>
        <w:left w:val="none" w:sz="0" w:space="0" w:color="auto"/>
        <w:bottom w:val="none" w:sz="0" w:space="0" w:color="auto"/>
        <w:right w:val="none" w:sz="0" w:space="0" w:color="auto"/>
      </w:divBdr>
    </w:div>
    <w:div w:id="1912739773">
      <w:bodyDiv w:val="1"/>
      <w:marLeft w:val="0"/>
      <w:marRight w:val="0"/>
      <w:marTop w:val="0"/>
      <w:marBottom w:val="0"/>
      <w:divBdr>
        <w:top w:val="none" w:sz="0" w:space="0" w:color="auto"/>
        <w:left w:val="none" w:sz="0" w:space="0" w:color="auto"/>
        <w:bottom w:val="none" w:sz="0" w:space="0" w:color="auto"/>
        <w:right w:val="none" w:sz="0" w:space="0" w:color="auto"/>
      </w:divBdr>
    </w:div>
    <w:div w:id="1928734897">
      <w:bodyDiv w:val="1"/>
      <w:marLeft w:val="0"/>
      <w:marRight w:val="0"/>
      <w:marTop w:val="0"/>
      <w:marBottom w:val="0"/>
      <w:divBdr>
        <w:top w:val="none" w:sz="0" w:space="0" w:color="auto"/>
        <w:left w:val="none" w:sz="0" w:space="0" w:color="auto"/>
        <w:bottom w:val="none" w:sz="0" w:space="0" w:color="auto"/>
        <w:right w:val="none" w:sz="0" w:space="0" w:color="auto"/>
      </w:divBdr>
    </w:div>
    <w:div w:id="1945065549">
      <w:bodyDiv w:val="1"/>
      <w:marLeft w:val="0"/>
      <w:marRight w:val="0"/>
      <w:marTop w:val="0"/>
      <w:marBottom w:val="0"/>
      <w:divBdr>
        <w:top w:val="none" w:sz="0" w:space="0" w:color="auto"/>
        <w:left w:val="none" w:sz="0" w:space="0" w:color="auto"/>
        <w:bottom w:val="none" w:sz="0" w:space="0" w:color="auto"/>
        <w:right w:val="none" w:sz="0" w:space="0" w:color="auto"/>
      </w:divBdr>
    </w:div>
    <w:div w:id="1945458992">
      <w:bodyDiv w:val="1"/>
      <w:marLeft w:val="0"/>
      <w:marRight w:val="0"/>
      <w:marTop w:val="0"/>
      <w:marBottom w:val="0"/>
      <w:divBdr>
        <w:top w:val="none" w:sz="0" w:space="0" w:color="auto"/>
        <w:left w:val="none" w:sz="0" w:space="0" w:color="auto"/>
        <w:bottom w:val="none" w:sz="0" w:space="0" w:color="auto"/>
        <w:right w:val="none" w:sz="0" w:space="0" w:color="auto"/>
      </w:divBdr>
    </w:div>
    <w:div w:id="1957251011">
      <w:bodyDiv w:val="1"/>
      <w:marLeft w:val="0"/>
      <w:marRight w:val="0"/>
      <w:marTop w:val="0"/>
      <w:marBottom w:val="0"/>
      <w:divBdr>
        <w:top w:val="none" w:sz="0" w:space="0" w:color="auto"/>
        <w:left w:val="none" w:sz="0" w:space="0" w:color="auto"/>
        <w:bottom w:val="none" w:sz="0" w:space="0" w:color="auto"/>
        <w:right w:val="none" w:sz="0" w:space="0" w:color="auto"/>
      </w:divBdr>
    </w:div>
    <w:div w:id="1963222643">
      <w:bodyDiv w:val="1"/>
      <w:marLeft w:val="0"/>
      <w:marRight w:val="0"/>
      <w:marTop w:val="0"/>
      <w:marBottom w:val="0"/>
      <w:divBdr>
        <w:top w:val="none" w:sz="0" w:space="0" w:color="auto"/>
        <w:left w:val="none" w:sz="0" w:space="0" w:color="auto"/>
        <w:bottom w:val="none" w:sz="0" w:space="0" w:color="auto"/>
        <w:right w:val="none" w:sz="0" w:space="0" w:color="auto"/>
      </w:divBdr>
    </w:div>
    <w:div w:id="1966307891">
      <w:bodyDiv w:val="1"/>
      <w:marLeft w:val="0"/>
      <w:marRight w:val="0"/>
      <w:marTop w:val="0"/>
      <w:marBottom w:val="0"/>
      <w:divBdr>
        <w:top w:val="none" w:sz="0" w:space="0" w:color="auto"/>
        <w:left w:val="none" w:sz="0" w:space="0" w:color="auto"/>
        <w:bottom w:val="none" w:sz="0" w:space="0" w:color="auto"/>
        <w:right w:val="none" w:sz="0" w:space="0" w:color="auto"/>
      </w:divBdr>
    </w:div>
    <w:div w:id="1988126887">
      <w:bodyDiv w:val="1"/>
      <w:marLeft w:val="0"/>
      <w:marRight w:val="0"/>
      <w:marTop w:val="0"/>
      <w:marBottom w:val="0"/>
      <w:divBdr>
        <w:top w:val="none" w:sz="0" w:space="0" w:color="auto"/>
        <w:left w:val="none" w:sz="0" w:space="0" w:color="auto"/>
        <w:bottom w:val="none" w:sz="0" w:space="0" w:color="auto"/>
        <w:right w:val="none" w:sz="0" w:space="0" w:color="auto"/>
      </w:divBdr>
    </w:div>
    <w:div w:id="1994211678">
      <w:bodyDiv w:val="1"/>
      <w:marLeft w:val="0"/>
      <w:marRight w:val="0"/>
      <w:marTop w:val="0"/>
      <w:marBottom w:val="0"/>
      <w:divBdr>
        <w:top w:val="none" w:sz="0" w:space="0" w:color="auto"/>
        <w:left w:val="none" w:sz="0" w:space="0" w:color="auto"/>
        <w:bottom w:val="none" w:sz="0" w:space="0" w:color="auto"/>
        <w:right w:val="none" w:sz="0" w:space="0" w:color="auto"/>
      </w:divBdr>
    </w:div>
    <w:div w:id="1997150100">
      <w:bodyDiv w:val="1"/>
      <w:marLeft w:val="0"/>
      <w:marRight w:val="0"/>
      <w:marTop w:val="0"/>
      <w:marBottom w:val="0"/>
      <w:divBdr>
        <w:top w:val="none" w:sz="0" w:space="0" w:color="auto"/>
        <w:left w:val="none" w:sz="0" w:space="0" w:color="auto"/>
        <w:bottom w:val="none" w:sz="0" w:space="0" w:color="auto"/>
        <w:right w:val="none" w:sz="0" w:space="0" w:color="auto"/>
      </w:divBdr>
    </w:div>
    <w:div w:id="1997878737">
      <w:bodyDiv w:val="1"/>
      <w:marLeft w:val="0"/>
      <w:marRight w:val="0"/>
      <w:marTop w:val="0"/>
      <w:marBottom w:val="0"/>
      <w:divBdr>
        <w:top w:val="none" w:sz="0" w:space="0" w:color="auto"/>
        <w:left w:val="none" w:sz="0" w:space="0" w:color="auto"/>
        <w:bottom w:val="none" w:sz="0" w:space="0" w:color="auto"/>
        <w:right w:val="none" w:sz="0" w:space="0" w:color="auto"/>
      </w:divBdr>
    </w:div>
    <w:div w:id="1998071981">
      <w:bodyDiv w:val="1"/>
      <w:marLeft w:val="0"/>
      <w:marRight w:val="0"/>
      <w:marTop w:val="0"/>
      <w:marBottom w:val="0"/>
      <w:divBdr>
        <w:top w:val="none" w:sz="0" w:space="0" w:color="auto"/>
        <w:left w:val="none" w:sz="0" w:space="0" w:color="auto"/>
        <w:bottom w:val="none" w:sz="0" w:space="0" w:color="auto"/>
        <w:right w:val="none" w:sz="0" w:space="0" w:color="auto"/>
      </w:divBdr>
    </w:div>
    <w:div w:id="1999384301">
      <w:bodyDiv w:val="1"/>
      <w:marLeft w:val="0"/>
      <w:marRight w:val="0"/>
      <w:marTop w:val="0"/>
      <w:marBottom w:val="0"/>
      <w:divBdr>
        <w:top w:val="none" w:sz="0" w:space="0" w:color="auto"/>
        <w:left w:val="none" w:sz="0" w:space="0" w:color="auto"/>
        <w:bottom w:val="none" w:sz="0" w:space="0" w:color="auto"/>
        <w:right w:val="none" w:sz="0" w:space="0" w:color="auto"/>
      </w:divBdr>
    </w:div>
    <w:div w:id="2003729083">
      <w:bodyDiv w:val="1"/>
      <w:marLeft w:val="0"/>
      <w:marRight w:val="0"/>
      <w:marTop w:val="0"/>
      <w:marBottom w:val="0"/>
      <w:divBdr>
        <w:top w:val="none" w:sz="0" w:space="0" w:color="auto"/>
        <w:left w:val="none" w:sz="0" w:space="0" w:color="auto"/>
        <w:bottom w:val="none" w:sz="0" w:space="0" w:color="auto"/>
        <w:right w:val="none" w:sz="0" w:space="0" w:color="auto"/>
      </w:divBdr>
    </w:div>
    <w:div w:id="2009358697">
      <w:bodyDiv w:val="1"/>
      <w:marLeft w:val="0"/>
      <w:marRight w:val="0"/>
      <w:marTop w:val="0"/>
      <w:marBottom w:val="0"/>
      <w:divBdr>
        <w:top w:val="none" w:sz="0" w:space="0" w:color="auto"/>
        <w:left w:val="none" w:sz="0" w:space="0" w:color="auto"/>
        <w:bottom w:val="none" w:sz="0" w:space="0" w:color="auto"/>
        <w:right w:val="none" w:sz="0" w:space="0" w:color="auto"/>
      </w:divBdr>
    </w:div>
    <w:div w:id="2012490347">
      <w:bodyDiv w:val="1"/>
      <w:marLeft w:val="0"/>
      <w:marRight w:val="0"/>
      <w:marTop w:val="0"/>
      <w:marBottom w:val="0"/>
      <w:divBdr>
        <w:top w:val="none" w:sz="0" w:space="0" w:color="auto"/>
        <w:left w:val="none" w:sz="0" w:space="0" w:color="auto"/>
        <w:bottom w:val="none" w:sz="0" w:space="0" w:color="auto"/>
        <w:right w:val="none" w:sz="0" w:space="0" w:color="auto"/>
      </w:divBdr>
    </w:div>
    <w:div w:id="2025327360">
      <w:bodyDiv w:val="1"/>
      <w:marLeft w:val="0"/>
      <w:marRight w:val="0"/>
      <w:marTop w:val="0"/>
      <w:marBottom w:val="0"/>
      <w:divBdr>
        <w:top w:val="none" w:sz="0" w:space="0" w:color="auto"/>
        <w:left w:val="none" w:sz="0" w:space="0" w:color="auto"/>
        <w:bottom w:val="none" w:sz="0" w:space="0" w:color="auto"/>
        <w:right w:val="none" w:sz="0" w:space="0" w:color="auto"/>
      </w:divBdr>
    </w:div>
    <w:div w:id="2026050698">
      <w:bodyDiv w:val="1"/>
      <w:marLeft w:val="0"/>
      <w:marRight w:val="0"/>
      <w:marTop w:val="0"/>
      <w:marBottom w:val="0"/>
      <w:divBdr>
        <w:top w:val="none" w:sz="0" w:space="0" w:color="auto"/>
        <w:left w:val="none" w:sz="0" w:space="0" w:color="auto"/>
        <w:bottom w:val="none" w:sz="0" w:space="0" w:color="auto"/>
        <w:right w:val="none" w:sz="0" w:space="0" w:color="auto"/>
      </w:divBdr>
    </w:div>
    <w:div w:id="2039895105">
      <w:bodyDiv w:val="1"/>
      <w:marLeft w:val="0"/>
      <w:marRight w:val="0"/>
      <w:marTop w:val="0"/>
      <w:marBottom w:val="0"/>
      <w:divBdr>
        <w:top w:val="none" w:sz="0" w:space="0" w:color="auto"/>
        <w:left w:val="none" w:sz="0" w:space="0" w:color="auto"/>
        <w:bottom w:val="none" w:sz="0" w:space="0" w:color="auto"/>
        <w:right w:val="none" w:sz="0" w:space="0" w:color="auto"/>
      </w:divBdr>
    </w:div>
    <w:div w:id="2071612274">
      <w:bodyDiv w:val="1"/>
      <w:marLeft w:val="0"/>
      <w:marRight w:val="0"/>
      <w:marTop w:val="0"/>
      <w:marBottom w:val="0"/>
      <w:divBdr>
        <w:top w:val="none" w:sz="0" w:space="0" w:color="auto"/>
        <w:left w:val="none" w:sz="0" w:space="0" w:color="auto"/>
        <w:bottom w:val="none" w:sz="0" w:space="0" w:color="auto"/>
        <w:right w:val="none" w:sz="0" w:space="0" w:color="auto"/>
      </w:divBdr>
    </w:div>
    <w:div w:id="2085907098">
      <w:bodyDiv w:val="1"/>
      <w:marLeft w:val="0"/>
      <w:marRight w:val="0"/>
      <w:marTop w:val="0"/>
      <w:marBottom w:val="0"/>
      <w:divBdr>
        <w:top w:val="none" w:sz="0" w:space="0" w:color="auto"/>
        <w:left w:val="none" w:sz="0" w:space="0" w:color="auto"/>
        <w:bottom w:val="none" w:sz="0" w:space="0" w:color="auto"/>
        <w:right w:val="none" w:sz="0" w:space="0" w:color="auto"/>
      </w:divBdr>
    </w:div>
    <w:div w:id="2091151410">
      <w:bodyDiv w:val="1"/>
      <w:marLeft w:val="0"/>
      <w:marRight w:val="0"/>
      <w:marTop w:val="0"/>
      <w:marBottom w:val="0"/>
      <w:divBdr>
        <w:top w:val="none" w:sz="0" w:space="0" w:color="auto"/>
        <w:left w:val="none" w:sz="0" w:space="0" w:color="auto"/>
        <w:bottom w:val="none" w:sz="0" w:space="0" w:color="auto"/>
        <w:right w:val="none" w:sz="0" w:space="0" w:color="auto"/>
      </w:divBdr>
    </w:div>
    <w:div w:id="2091346879">
      <w:bodyDiv w:val="1"/>
      <w:marLeft w:val="0"/>
      <w:marRight w:val="0"/>
      <w:marTop w:val="0"/>
      <w:marBottom w:val="0"/>
      <w:divBdr>
        <w:top w:val="none" w:sz="0" w:space="0" w:color="auto"/>
        <w:left w:val="none" w:sz="0" w:space="0" w:color="auto"/>
        <w:bottom w:val="none" w:sz="0" w:space="0" w:color="auto"/>
        <w:right w:val="none" w:sz="0" w:space="0" w:color="auto"/>
      </w:divBdr>
    </w:div>
    <w:div w:id="2101440719">
      <w:bodyDiv w:val="1"/>
      <w:marLeft w:val="0"/>
      <w:marRight w:val="0"/>
      <w:marTop w:val="0"/>
      <w:marBottom w:val="0"/>
      <w:divBdr>
        <w:top w:val="none" w:sz="0" w:space="0" w:color="auto"/>
        <w:left w:val="none" w:sz="0" w:space="0" w:color="auto"/>
        <w:bottom w:val="none" w:sz="0" w:space="0" w:color="auto"/>
        <w:right w:val="none" w:sz="0" w:space="0" w:color="auto"/>
      </w:divBdr>
    </w:div>
    <w:div w:id="2116248366">
      <w:bodyDiv w:val="1"/>
      <w:marLeft w:val="0"/>
      <w:marRight w:val="0"/>
      <w:marTop w:val="0"/>
      <w:marBottom w:val="0"/>
      <w:divBdr>
        <w:top w:val="none" w:sz="0" w:space="0" w:color="auto"/>
        <w:left w:val="none" w:sz="0" w:space="0" w:color="auto"/>
        <w:bottom w:val="none" w:sz="0" w:space="0" w:color="auto"/>
        <w:right w:val="none" w:sz="0" w:space="0" w:color="auto"/>
      </w:divBdr>
    </w:div>
    <w:div w:id="2129622676">
      <w:bodyDiv w:val="1"/>
      <w:marLeft w:val="0"/>
      <w:marRight w:val="0"/>
      <w:marTop w:val="0"/>
      <w:marBottom w:val="0"/>
      <w:divBdr>
        <w:top w:val="none" w:sz="0" w:space="0" w:color="auto"/>
        <w:left w:val="none" w:sz="0" w:space="0" w:color="auto"/>
        <w:bottom w:val="none" w:sz="0" w:space="0" w:color="auto"/>
        <w:right w:val="none" w:sz="0" w:space="0" w:color="auto"/>
      </w:divBdr>
    </w:div>
    <w:div w:id="2135055867">
      <w:bodyDiv w:val="1"/>
      <w:marLeft w:val="0"/>
      <w:marRight w:val="0"/>
      <w:marTop w:val="0"/>
      <w:marBottom w:val="0"/>
      <w:divBdr>
        <w:top w:val="none" w:sz="0" w:space="0" w:color="auto"/>
        <w:left w:val="none" w:sz="0" w:space="0" w:color="auto"/>
        <w:bottom w:val="none" w:sz="0" w:space="0" w:color="auto"/>
        <w:right w:val="none" w:sz="0" w:space="0" w:color="auto"/>
      </w:divBdr>
    </w:div>
    <w:div w:id="2136016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5960</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Hammam</dc:creator>
  <cp:keywords/>
  <dc:description/>
  <cp:lastModifiedBy>Mustafa Hammam</cp:lastModifiedBy>
  <cp:revision>2</cp:revision>
  <dcterms:created xsi:type="dcterms:W3CDTF">2025-09-14T15:47:00Z</dcterms:created>
  <dcterms:modified xsi:type="dcterms:W3CDTF">2025-09-14T15:47:00Z</dcterms:modified>
</cp:coreProperties>
</file>