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D297" w14:textId="77777777" w:rsidR="00F917E8" w:rsidRPr="00FC6084" w:rsidRDefault="00F917E8" w:rsidP="00F917E8">
      <w:pPr>
        <w:spacing w:after="0" w:line="240" w:lineRule="auto"/>
        <w:jc w:val="both"/>
        <w:rPr>
          <w:rFonts w:cstheme="minorHAnsi"/>
          <w:i/>
          <w:sz w:val="24"/>
          <w:szCs w:val="24"/>
          <w:lang w:val="en-GB"/>
        </w:rPr>
      </w:pPr>
      <w:r w:rsidRPr="00FC6084">
        <w:rPr>
          <w:rFonts w:cstheme="minorHAnsi"/>
          <w:i/>
          <w:iCs/>
          <w:sz w:val="24"/>
          <w:szCs w:val="24"/>
          <w:lang w:val="en-GB"/>
        </w:rPr>
        <w:t>Defamatory statement about the local mayor on an online news portal</w:t>
      </w:r>
    </w:p>
    <w:p w14:paraId="4A27BB07" w14:textId="77777777" w:rsidR="00F917E8" w:rsidRPr="00FC6084" w:rsidRDefault="00F917E8" w:rsidP="00F917E8">
      <w:pPr>
        <w:spacing w:after="0" w:line="240" w:lineRule="auto"/>
        <w:jc w:val="both"/>
        <w:rPr>
          <w:rFonts w:cstheme="minorHAnsi"/>
          <w:sz w:val="24"/>
          <w:szCs w:val="24"/>
          <w:lang w:val="en-GB"/>
        </w:rPr>
      </w:pPr>
    </w:p>
    <w:p w14:paraId="713EE304"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decision number: Constitutional Court decision 3325/2024 (VII. 29.)</w:t>
      </w:r>
    </w:p>
    <w:p w14:paraId="14980ABD"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date: 16 July 2024</w:t>
      </w:r>
    </w:p>
    <w:p w14:paraId="27E0B8EC"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decision-making body (final): Constitutional Court</w:t>
      </w:r>
    </w:p>
    <w:p w14:paraId="7322FB6A" w14:textId="77777777" w:rsidR="00F917E8" w:rsidRPr="00FC6084" w:rsidRDefault="00F917E8" w:rsidP="00F917E8">
      <w:pPr>
        <w:spacing w:after="0" w:line="240" w:lineRule="auto"/>
        <w:jc w:val="both"/>
        <w:rPr>
          <w:rFonts w:cstheme="minorHAnsi"/>
          <w:sz w:val="24"/>
          <w:szCs w:val="24"/>
          <w:lang w:val="en-GB"/>
        </w:rPr>
      </w:pPr>
    </w:p>
    <w:p w14:paraId="20140EDD" w14:textId="1F74762A" w:rsidR="00F917E8" w:rsidRDefault="008C5EAA" w:rsidP="00F917E8">
      <w:pPr>
        <w:spacing w:after="0" w:line="240" w:lineRule="auto"/>
        <w:jc w:val="both"/>
      </w:pPr>
      <w:r>
        <w:t xml:space="preserve">The </w:t>
      </w:r>
      <w:proofErr w:type="spellStart"/>
      <w:r>
        <w:t>mayor's</w:t>
      </w:r>
      <w:proofErr w:type="spellEnd"/>
      <w:r>
        <w:t xml:space="preserve"> </w:t>
      </w:r>
      <w:proofErr w:type="spellStart"/>
      <w:r>
        <w:t>name</w:t>
      </w:r>
      <w:proofErr w:type="spellEnd"/>
      <w:r>
        <w:t xml:space="preserve"> is Richárd Horváth (</w:t>
      </w:r>
      <w:proofErr w:type="spellStart"/>
      <w:r>
        <w:t>you</w:t>
      </w:r>
      <w:proofErr w:type="spellEnd"/>
      <w:r>
        <w:t xml:space="preserve"> </w:t>
      </w:r>
      <w:proofErr w:type="spellStart"/>
      <w:r>
        <w:t>were</w:t>
      </w:r>
      <w:proofErr w:type="spellEnd"/>
      <w:r>
        <w:t xml:space="preserve"> </w:t>
      </w:r>
      <w:proofErr w:type="spellStart"/>
      <w:r>
        <w:t>correct</w:t>
      </w:r>
      <w:proofErr w:type="spellEnd"/>
      <w:r>
        <w:t xml:space="preserve">), </w:t>
      </w:r>
      <w:proofErr w:type="spellStart"/>
      <w:r>
        <w:t>the</w:t>
      </w:r>
      <w:proofErr w:type="spellEnd"/>
      <w:r>
        <w:t xml:space="preserve"> </w:t>
      </w:r>
      <w:proofErr w:type="spellStart"/>
      <w:r>
        <w:t>news</w:t>
      </w:r>
      <w:proofErr w:type="spellEnd"/>
      <w:r>
        <w:t xml:space="preserve"> </w:t>
      </w:r>
      <w:proofErr w:type="spellStart"/>
      <w:r>
        <w:t>portal</w:t>
      </w:r>
      <w:proofErr w:type="spellEnd"/>
      <w:r>
        <w:t xml:space="preserve"> is "Hatvan Online", </w:t>
      </w:r>
      <w:proofErr w:type="spellStart"/>
      <w:r>
        <w:t>the</w:t>
      </w:r>
      <w:proofErr w:type="spellEnd"/>
      <w:r>
        <w:t xml:space="preserve"> editor-in-</w:t>
      </w:r>
      <w:proofErr w:type="spellStart"/>
      <w:r>
        <w:t>chief</w:t>
      </w:r>
      <w:proofErr w:type="spellEnd"/>
      <w:r>
        <w:t xml:space="preserve"> </w:t>
      </w:r>
      <w:proofErr w:type="spellStart"/>
      <w:r>
        <w:t>was</w:t>
      </w:r>
      <w:proofErr w:type="spellEnd"/>
      <w:r>
        <w:t xml:space="preserve"> (</w:t>
      </w:r>
      <w:proofErr w:type="spellStart"/>
      <w:r>
        <w:t>Ms</w:t>
      </w:r>
      <w:proofErr w:type="spellEnd"/>
      <w:r>
        <w:t>) Margó Balog.</w:t>
      </w:r>
    </w:p>
    <w:p w14:paraId="152E1D98" w14:textId="77777777" w:rsidR="008C5EAA" w:rsidRPr="00FC6084" w:rsidRDefault="008C5EAA" w:rsidP="00F917E8">
      <w:pPr>
        <w:spacing w:after="0" w:line="240" w:lineRule="auto"/>
        <w:jc w:val="both"/>
        <w:rPr>
          <w:rFonts w:cstheme="minorHAnsi"/>
          <w:sz w:val="24"/>
          <w:szCs w:val="24"/>
          <w:lang w:val="en-GB"/>
        </w:rPr>
      </w:pPr>
    </w:p>
    <w:p w14:paraId="3C8B09C7"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1. Summary and Outcome</w:t>
      </w:r>
    </w:p>
    <w:p w14:paraId="3D02FACC" w14:textId="77777777" w:rsidR="00F917E8" w:rsidRPr="00FC6084" w:rsidRDefault="00F917E8" w:rsidP="00F917E8">
      <w:pPr>
        <w:spacing w:after="0" w:line="240" w:lineRule="auto"/>
        <w:jc w:val="both"/>
        <w:rPr>
          <w:rFonts w:cstheme="minorHAnsi"/>
          <w:sz w:val="24"/>
          <w:szCs w:val="24"/>
          <w:lang w:val="en-GB"/>
        </w:rPr>
      </w:pPr>
    </w:p>
    <w:p w14:paraId="365C4657"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In an opinion piece published on an online news portal, a statement appeared concerning a municipal mayor, alleging that the person in question “demeans women”. As a result of the published statement, the mayor filed a complaint against the editor-in-chief of the portal, based on which the court of first instance established that the act constituted the offence of defamation under the Criminal Code. According to the court, the allegation was an untrue statement of fact, was outside the scope of public affairs and therefore did not qualify for the protection of freedom of expression. The editor-in-chief appealed against the judgment of the first instance court, but the court of appeal upheld the first instance decision. According to the judgment, the published article contained a negative statement of fact about the mayor that was not related to his activities as mayor and clearly went beyond a discussion of public affairs. Confirming the findings of the court of first instance, the court of second instance pointed out that the contested post clearly constituted a statement infringing human dignity, exceeding the criminal-law limits of critique and critical observations; that is, it was not an opinion contributing to public discourse, but a statement deliberately aimed at offending the private complainant.</w:t>
      </w:r>
    </w:p>
    <w:p w14:paraId="0D035678" w14:textId="77777777" w:rsidR="00F917E8" w:rsidRPr="00FC6084" w:rsidRDefault="00F917E8" w:rsidP="00F917E8">
      <w:pPr>
        <w:spacing w:after="0" w:line="240" w:lineRule="auto"/>
        <w:jc w:val="both"/>
        <w:rPr>
          <w:rFonts w:cstheme="minorHAnsi"/>
          <w:sz w:val="24"/>
          <w:szCs w:val="24"/>
          <w:lang w:val="en-GB"/>
        </w:rPr>
      </w:pPr>
    </w:p>
    <w:p w14:paraId="5418EB6C"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The convicted editor-in-chief submitted a petition to the Constitutional Court, asking for the first and second instance judgments to be declared unconstitutional and annulled. In the Constitutional Court’s view, the part of the article examined in the case is a value judgment which is protected by the freedom of expression enshrined in Section IX of the Fundamental Law. Restrictions on expression undoubtedly have a legitimate aim of protecting personality rights, but the constitutional aspects of this were not considered by the proceeding courts in accordance with the practice of the Constitutional Court. The Constitutional Court therefore found that the judges’ decisions challenged in the constitutional complaint were unconstitutional and annulled them.</w:t>
      </w:r>
    </w:p>
    <w:p w14:paraId="5B0C600E" w14:textId="77777777" w:rsidR="00F917E8" w:rsidRPr="00FC6084" w:rsidRDefault="00F917E8" w:rsidP="00F917E8">
      <w:pPr>
        <w:spacing w:after="0" w:line="240" w:lineRule="auto"/>
        <w:jc w:val="both"/>
        <w:rPr>
          <w:rFonts w:cstheme="minorHAnsi"/>
          <w:sz w:val="24"/>
          <w:szCs w:val="24"/>
          <w:lang w:val="en-GB"/>
        </w:rPr>
      </w:pPr>
    </w:p>
    <w:p w14:paraId="04CDE06A"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2. Facts</w:t>
      </w:r>
    </w:p>
    <w:p w14:paraId="6927087D" w14:textId="77777777" w:rsidR="00F917E8" w:rsidRPr="00FC6084" w:rsidRDefault="00F917E8" w:rsidP="00F917E8">
      <w:pPr>
        <w:spacing w:after="0" w:line="240" w:lineRule="auto"/>
        <w:jc w:val="both"/>
        <w:rPr>
          <w:rFonts w:cstheme="minorHAnsi"/>
          <w:sz w:val="24"/>
          <w:szCs w:val="24"/>
          <w:lang w:val="en-GB"/>
        </w:rPr>
      </w:pPr>
    </w:p>
    <w:p w14:paraId="197D9647"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According to the facts of the underlying criminal case, on 18 July 2019, an article was published in an online press product in the opinion column entitled “Let's stop for a word Mr Kondek”, uploaded by an unknown person, which contained the following statement: “He did not comment on the case of Kálmán Havassy, nor on the occasions when his mayor, Richárd Horváth, demeans women, and he also refrained from giving an opinion on the excursion of notary Márta Szikszai to China.”</w:t>
      </w:r>
    </w:p>
    <w:p w14:paraId="01FAE6BB" w14:textId="77777777" w:rsidR="00F917E8" w:rsidRPr="00FC6084" w:rsidRDefault="00F917E8" w:rsidP="00F917E8">
      <w:pPr>
        <w:spacing w:after="0" w:line="240" w:lineRule="auto"/>
        <w:jc w:val="both"/>
        <w:rPr>
          <w:rFonts w:cstheme="minorHAnsi"/>
          <w:sz w:val="24"/>
          <w:szCs w:val="24"/>
          <w:lang w:val="en-GB"/>
        </w:rPr>
      </w:pPr>
    </w:p>
    <w:p w14:paraId="11724B9C"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lastRenderedPageBreak/>
        <w:t xml:space="preserve">In the case, the mayor pressed charges against the editor-in-chief of the news portal, on the basis of which the District Court of Hatvan, acting as the court of first instance, in its judgment No. 8.B.1/2022/6 found the petitioner guilty of defamation under Section 226(1) of the Criminal Code and therefore reprimanded him. Section 226(1) of the Criminal Code describes the criminal offence of defamation and stipulates that: </w:t>
      </w:r>
      <w:r w:rsidRPr="00FC6084">
        <w:rPr>
          <w:rFonts w:cstheme="minorHAnsi"/>
          <w:i/>
          <w:iCs/>
          <w:sz w:val="24"/>
          <w:szCs w:val="24"/>
          <w:lang w:val="en-GB"/>
        </w:rPr>
        <w:t xml:space="preserve">“A person who, in front of another person, states, disseminates a fact that is capable of harming one’s reputation or uses an expression in direct reference to such a fact is guilty of a misdemeanour and shall be punished by imprisonment for up to one year.” </w:t>
      </w:r>
      <w:r w:rsidRPr="00FC6084">
        <w:rPr>
          <w:rFonts w:cstheme="minorHAnsi"/>
          <w:sz w:val="24"/>
          <w:szCs w:val="24"/>
          <w:lang w:val="en-GB"/>
        </w:rPr>
        <w:t>The court of first instance established that the article examined the activities and statements of a municipal representative (Zsolt Kondek) in connection with the establishment of a college in the town of Hatvan and with road renovations, and thus, beyond doubt, concerned a matter of public interest. The court then examined the nature of the statement concerning the mayor and found that the sentence “Richárd Horváth demeans women” appeared at the end of the article unexpectedly and in a wholly incongruous manner, bearing no logical or substantive connection to the preceding content of the article. In the court’s view, the phrase “demeans women” is a false statement of fact, which is outside the scope of the debates on matters of public concern, is gratuitous and was intended to destroy social esteem. Freedom of expression therefore no longer affords protection in this regard.</w:t>
      </w:r>
    </w:p>
    <w:p w14:paraId="68CB5193" w14:textId="77777777" w:rsidR="00F917E8" w:rsidRPr="00FC6084" w:rsidRDefault="00F917E8" w:rsidP="00F917E8">
      <w:pPr>
        <w:spacing w:after="0" w:line="240" w:lineRule="auto"/>
        <w:jc w:val="both"/>
        <w:rPr>
          <w:rFonts w:cstheme="minorHAnsi"/>
          <w:sz w:val="24"/>
          <w:szCs w:val="24"/>
          <w:highlight w:val="yellow"/>
          <w:lang w:val="en-GB"/>
        </w:rPr>
      </w:pPr>
    </w:p>
    <w:p w14:paraId="5B056432"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On appeal by the editor-in-chief, the Regional Court of Eger, as the court of second instance, upheld the judgment of the first instance by its judgment No 2.Bf.188/2022/8. In its decision, the court of second instance pointed out that the published article contained a negative statement of fact about the mayor which was not related to his activities as mayor and clearly went beyond the right to discuss matters of public concern and criticise a public figure. The court of second instance found that the post “Richárd Horváth demeans women” clearly constituted a statement infringing human dignity, exceeding the criminal-law limits of freedom of expression, critique and critical observations; that is, it was not an opinion contributing to public discourse, but a statement deliberately aimed at offending the private complainant. It also stated that the court of first instance had ruled correctly in concluding that the defendant, working as editor-in-chief, had intentionally breached his professional duties by failing to alter the content of the article before its publication and availability to the general public, thereby accepting the possible consequences of his conduct, which established the commission of the offence with conditional intent.</w:t>
      </w:r>
    </w:p>
    <w:p w14:paraId="78E1AC4D" w14:textId="77777777" w:rsidR="00F917E8" w:rsidRPr="00FC6084" w:rsidRDefault="00F917E8" w:rsidP="00F917E8">
      <w:pPr>
        <w:spacing w:after="0" w:line="240" w:lineRule="auto"/>
        <w:jc w:val="both"/>
        <w:rPr>
          <w:rFonts w:cstheme="minorHAnsi"/>
          <w:sz w:val="24"/>
          <w:szCs w:val="24"/>
          <w:lang w:val="en-GB"/>
        </w:rPr>
      </w:pPr>
    </w:p>
    <w:p w14:paraId="049BF386"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In his constitutional complaint, the petitioner requested the Constitutional Court to declare the judgement of the Regional Court of Eger and the District Court of Hatvan to be unconstitutional and to annul them on the grounds of violation of freedom of expression enshrined under Section IX(1) of the Fundamental Law.</w:t>
      </w:r>
    </w:p>
    <w:p w14:paraId="6DD9FE5E" w14:textId="77777777" w:rsidR="00F917E8" w:rsidRPr="00FC6084" w:rsidRDefault="00F917E8" w:rsidP="00F917E8">
      <w:pPr>
        <w:spacing w:after="0" w:line="240" w:lineRule="auto"/>
        <w:jc w:val="both"/>
        <w:rPr>
          <w:rFonts w:cstheme="minorHAnsi"/>
          <w:sz w:val="24"/>
          <w:szCs w:val="24"/>
          <w:lang w:val="en-GB"/>
        </w:rPr>
      </w:pPr>
    </w:p>
    <w:p w14:paraId="5F00602C"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3. Decision Overview</w:t>
      </w:r>
    </w:p>
    <w:p w14:paraId="2C7653EC" w14:textId="77777777" w:rsidR="00F917E8" w:rsidRPr="00FC6084" w:rsidRDefault="00F917E8" w:rsidP="00F917E8">
      <w:pPr>
        <w:spacing w:after="0" w:line="240" w:lineRule="auto"/>
        <w:jc w:val="both"/>
        <w:rPr>
          <w:rFonts w:cstheme="minorHAnsi"/>
          <w:sz w:val="24"/>
          <w:szCs w:val="24"/>
          <w:lang w:val="en-GB"/>
        </w:rPr>
      </w:pPr>
    </w:p>
    <w:p w14:paraId="527E59B4"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 xml:space="preserve">In its decision, the Constitutional Court first considered the content of the fundamental right to freedom of expression and freedom of the media relevant to the specific case (statement of reasons, Sections [27]-[38]). In this context, the decision – referring to the findings of Constitutional Court decisions 7/2014 (III. 7.) and 5/2015 (II. 25.) – stated that it is a fundamental requirement that all citizens in society should be able to express their ideas freely, since without the freedom and diversity of public debate there is no free public </w:t>
      </w:r>
      <w:r w:rsidRPr="00FC6084">
        <w:rPr>
          <w:rFonts w:cstheme="minorHAnsi"/>
          <w:sz w:val="24"/>
          <w:szCs w:val="24"/>
          <w:lang w:val="en-GB"/>
        </w:rPr>
        <w:lastRenderedPageBreak/>
        <w:t>opinion and no democratic rule of law. In view of this, the Constitutional Court generally regards the free expression of political public discourse as belonging to the innermost sphere of protection of freedom of expression, noting that “speech concerning public figures is, nevertheless, a central component of political expression”.</w:t>
      </w:r>
    </w:p>
    <w:p w14:paraId="5444277B" w14:textId="77777777" w:rsidR="00F917E8" w:rsidRPr="00FC6084" w:rsidRDefault="00F917E8" w:rsidP="00F917E8">
      <w:pPr>
        <w:spacing w:after="0" w:line="240" w:lineRule="auto"/>
        <w:jc w:val="both"/>
        <w:rPr>
          <w:rFonts w:cstheme="minorHAnsi"/>
          <w:sz w:val="24"/>
          <w:szCs w:val="24"/>
          <w:lang w:val="en-GB"/>
        </w:rPr>
      </w:pPr>
    </w:p>
    <w:p w14:paraId="55AB7266"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The Constitutional Court then considered the constitutional requirements to be applied in resolving the conflict between freedom of expression and the protection of the personality rights of public figures. Relying on its earlier practice, the Constitutional Court assessed in three steps the specific tests to be applied in cases of conflict between the aforementioned rights: first, it must be examined whether the given communication reflects participation in public affairs or an opinion expressed in a debate of public interest; second, it must be determined whether the communication qualifies as a statement of fact or as a value judgment; and finally, it must be assessed whether the restriction has exceeded the limits of freedom of expression, that is, whether it entails an infringement of the inviolable core of human dignity [Constitutional Court decision 3329/2017 (VIII. 8.)].</w:t>
      </w:r>
    </w:p>
    <w:p w14:paraId="2D508F4B" w14:textId="77777777" w:rsidR="00F917E8" w:rsidRPr="00FC6084" w:rsidRDefault="00F917E8" w:rsidP="00F917E8">
      <w:pPr>
        <w:spacing w:after="0" w:line="240" w:lineRule="auto"/>
        <w:jc w:val="both"/>
        <w:rPr>
          <w:rFonts w:cstheme="minorHAnsi"/>
          <w:sz w:val="24"/>
          <w:szCs w:val="24"/>
          <w:lang w:val="en-GB"/>
        </w:rPr>
      </w:pPr>
    </w:p>
    <w:p w14:paraId="0695FABB"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As to the applicability of the constitutional tests in the specific case, the panel first of all stated, in line with the findings of the first and second instance judgments, that “the article examined the activities and statements of a municipal representative in relation to the establishment of a college and road renovations in the town of Hatvan. The Constitutional Court held that the courts had concluded, in the light of constitutional considerations, that the communication constituted a speech on public affairs and was therefore covered by freedom of expression” (statement of reasons, Section [40]).</w:t>
      </w:r>
    </w:p>
    <w:p w14:paraId="42C07A2D" w14:textId="77777777" w:rsidR="00F917E8" w:rsidRPr="00FC6084" w:rsidRDefault="00F917E8" w:rsidP="00F917E8">
      <w:pPr>
        <w:spacing w:after="0" w:line="240" w:lineRule="auto"/>
        <w:jc w:val="both"/>
        <w:rPr>
          <w:rFonts w:cstheme="minorHAnsi"/>
          <w:sz w:val="24"/>
          <w:szCs w:val="24"/>
          <w:lang w:val="en-GB"/>
        </w:rPr>
      </w:pPr>
    </w:p>
    <w:p w14:paraId="6D1BEA8F"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 xml:space="preserve">However, the Constitutional Court found that the courts did not correctly apply the relevant constitutional requirements in the context of the delimitation of statements of fact and value judgments. According to the findings of the final judgment, which the Constitutional Court considered to be unfounded, the article in question contained a negative statement of fact by the editor-in-chief of the website, which was “unrelated to the mayor’s activities, clearly going beyond the right to debate public affairs or criticise a public figure, and objectively capable of diminishing human honour and social esteem”. In disagreement with this position, the editor-in-chief “repeatedly invoked during the proceedings that the communication was based on the termination of a person’s civil service employment and was formulated in relation to the »demeaning« circumstances of their dismissal from the mayor’s office. It cannot therefore be concluded that the statement concerned matters unrelated to the mayoral activities of Richárd Horváth or that it fell outside the scope of public discourse.” The panel considered that the statement concerned a question of fact, but that the communication must be considered in its full context. “On this basis, it can be clearly established that the purpose of the communication was to criticise the functioning of the local government, meaning that the article employed irony and exaggeration to evaluate the municipality’s operations. (…) The author expressed opinions on matters of concern to the local community and, in the contested sentence, conveyed the view that the public service employment of several individuals, including the named municipal employee, had been terminated in a »demeaning« manner. Another important aspect is that the mayor did provide a rebuttal of the statement, and hence the local community had the opportunity to become aware of the mayor’s position on the matter.” On the basis of the above, the courts in the proceedings did not properly assess the relevant constitutional considerations and, </w:t>
      </w:r>
      <w:r w:rsidRPr="00FC6084">
        <w:rPr>
          <w:rFonts w:cstheme="minorHAnsi"/>
          <w:sz w:val="24"/>
          <w:szCs w:val="24"/>
          <w:lang w:val="en-GB"/>
        </w:rPr>
        <w:lastRenderedPageBreak/>
        <w:t>consequently, extended the statutory element “makes a statement of fact” included in the definition of the offence of defamation to the contested expression in a manner contrary to the Fundamental Law (statement of reasons, Sections [41]–[43]).</w:t>
      </w:r>
    </w:p>
    <w:p w14:paraId="63026476" w14:textId="77777777" w:rsidR="00F917E8" w:rsidRPr="00FC6084" w:rsidRDefault="00F917E8" w:rsidP="00F917E8">
      <w:pPr>
        <w:spacing w:after="0" w:line="240" w:lineRule="auto"/>
        <w:jc w:val="both"/>
        <w:rPr>
          <w:rFonts w:cstheme="minorHAnsi"/>
          <w:sz w:val="24"/>
          <w:szCs w:val="24"/>
          <w:lang w:val="en-GB"/>
        </w:rPr>
      </w:pPr>
    </w:p>
    <w:p w14:paraId="6DD4EE16"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Finally, the Constitutional Court examined whether the communication remained within the constitutionally protected limits of expression or whether it constituted an expression that offended the inalienable core of human dignity. “In this context, the constitutional limit of freedom of expression is only exceeded by those statements that infringe the inviolable aspect of human dignity, that is, that violate the content of dignity legally capturing the essence of being human” (statement of reasons, Section [44]).   The court judgments challenged by the constitutional complaint unanimously concluded that the contested statement was deliberately aimed at offending the mayor and, as such, constituted a statement of fact infringing human dignity. The Court, however, noted that the courts had not properly applied the constitutional considerations when assessing statements capable of infringing human dignity. The Constitutional Court emphasised that “an infringement of human dignity can only be established if the speaker denies or questions the individual’s humanity and the requirement to be treated as a human being, or if the statement intrudes into the innermost aspects of human nature, targeting the features constituting the essence of personality and identity in a gratuitous manner.” No such infringement could be found in the present case (...)” (statement of reasons, Sections [45], [47]).</w:t>
      </w:r>
    </w:p>
    <w:p w14:paraId="1CBEBF6D" w14:textId="77777777" w:rsidR="00F917E8" w:rsidRPr="00FC6084" w:rsidRDefault="00F917E8" w:rsidP="00F917E8">
      <w:pPr>
        <w:spacing w:after="0" w:line="240" w:lineRule="auto"/>
        <w:jc w:val="both"/>
        <w:rPr>
          <w:rFonts w:cstheme="minorHAnsi"/>
          <w:sz w:val="24"/>
          <w:szCs w:val="24"/>
          <w:lang w:val="en-GB"/>
        </w:rPr>
      </w:pPr>
    </w:p>
    <w:p w14:paraId="5CC26EC5"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 xml:space="preserve">Finally, in its decision, the Constitutional Court referred to the provision of the Criminal Code in force from June 2023, which – consistent with the constitutional considerations applied – seeks to ensure by statutory means that criminal-law restrictions on statements related to public affairs may only be imposed as a last resort (statement of reasons, Section [48]).   According to Paragraph (3) of Section 226 of the Criminal Code: </w:t>
      </w:r>
      <w:r w:rsidRPr="00FC6084">
        <w:rPr>
          <w:rFonts w:cstheme="minorHAnsi"/>
          <w:i/>
          <w:iCs/>
          <w:sz w:val="24"/>
          <w:szCs w:val="24"/>
          <w:lang w:val="en-GB"/>
        </w:rPr>
        <w:t>“If a person commits the act specified in paragraph (1) in the context of the free discussion of public affairs in a press product or media service, that person’s act shall not be punishable as defamation, provided that his act is not aimed at the obvious and seriously derogatory denial of the human dignity of the aggrieved party.”</w:t>
      </w:r>
    </w:p>
    <w:p w14:paraId="2A2061EC" w14:textId="77777777" w:rsidR="00F917E8" w:rsidRPr="00FC6084" w:rsidRDefault="00F917E8" w:rsidP="00F917E8">
      <w:pPr>
        <w:spacing w:after="0" w:line="240" w:lineRule="auto"/>
        <w:jc w:val="both"/>
        <w:rPr>
          <w:rFonts w:cstheme="minorHAnsi"/>
          <w:sz w:val="24"/>
          <w:szCs w:val="24"/>
          <w:lang w:val="en-GB"/>
        </w:rPr>
      </w:pPr>
    </w:p>
    <w:p w14:paraId="375952DB"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Summarising the above, the Constitutional Court found that the courts in the case under review did not properly weigh the constitutional considerations regarding the protection of personality rights, and therefore the judgments of the Regional Court of Eger [2.Bf.188/2022/8] and the District Court of Hatvan [8.B.1/2022/6] are contrary to the Fundamental Law and therefore were annulled.</w:t>
      </w:r>
    </w:p>
    <w:p w14:paraId="78CC7745" w14:textId="77777777" w:rsidR="00F917E8" w:rsidRPr="00FC6084" w:rsidRDefault="00F917E8" w:rsidP="00F917E8">
      <w:pPr>
        <w:spacing w:after="0" w:line="240" w:lineRule="auto"/>
        <w:jc w:val="both"/>
        <w:rPr>
          <w:rFonts w:cstheme="minorHAnsi"/>
          <w:sz w:val="24"/>
          <w:szCs w:val="24"/>
          <w:lang w:val="en-GB"/>
        </w:rPr>
      </w:pPr>
    </w:p>
    <w:p w14:paraId="5708787E"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4. Decision Direction</w:t>
      </w:r>
    </w:p>
    <w:p w14:paraId="7B035F4C" w14:textId="77777777" w:rsidR="00F917E8" w:rsidRPr="00FC6084" w:rsidRDefault="00F917E8" w:rsidP="00F917E8">
      <w:pPr>
        <w:spacing w:after="0" w:line="240" w:lineRule="auto"/>
        <w:jc w:val="both"/>
        <w:rPr>
          <w:rFonts w:cstheme="minorHAnsi"/>
          <w:sz w:val="24"/>
          <w:szCs w:val="24"/>
          <w:lang w:val="en-GB"/>
        </w:rPr>
      </w:pPr>
    </w:p>
    <w:p w14:paraId="4B6BEB88"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The infringement of human dignity can only be established if the speaker denies or questions the individual’s humanity and the requirement to be treated as a human being, or if the statement intrudes into the innermost aspects of human nature, targeting the features constituting the essence of personality and identity in a gratuitous manner.</w:t>
      </w:r>
    </w:p>
    <w:p w14:paraId="0637A33E" w14:textId="77777777" w:rsidR="00F917E8" w:rsidRPr="00FC6084" w:rsidRDefault="00F917E8" w:rsidP="00F917E8">
      <w:pPr>
        <w:spacing w:after="0" w:line="240" w:lineRule="auto"/>
        <w:jc w:val="both"/>
        <w:rPr>
          <w:rFonts w:cstheme="minorHAnsi"/>
          <w:sz w:val="24"/>
          <w:szCs w:val="24"/>
          <w:lang w:val="en-GB"/>
        </w:rPr>
      </w:pPr>
    </w:p>
    <w:p w14:paraId="1F7E250B"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5. Global Perspective</w:t>
      </w:r>
    </w:p>
    <w:p w14:paraId="455FCE38" w14:textId="77777777" w:rsidR="00F917E8" w:rsidRPr="00FC6084" w:rsidRDefault="00F917E8" w:rsidP="00F917E8">
      <w:pPr>
        <w:spacing w:after="0" w:line="240" w:lineRule="auto"/>
        <w:jc w:val="both"/>
        <w:rPr>
          <w:rFonts w:cstheme="minorHAnsi"/>
          <w:bCs/>
          <w:sz w:val="24"/>
          <w:szCs w:val="24"/>
          <w:lang w:val="en-GB"/>
        </w:rPr>
      </w:pPr>
    </w:p>
    <w:p w14:paraId="07770F2B" w14:textId="77777777" w:rsidR="00F917E8" w:rsidRPr="00FC6084" w:rsidRDefault="00F917E8" w:rsidP="00F917E8">
      <w:pPr>
        <w:spacing w:after="0" w:line="240" w:lineRule="auto"/>
        <w:jc w:val="both"/>
        <w:rPr>
          <w:rFonts w:cstheme="minorHAnsi"/>
          <w:b/>
          <w:bCs/>
          <w:sz w:val="24"/>
          <w:szCs w:val="24"/>
          <w:lang w:val="en-GB"/>
        </w:rPr>
      </w:pPr>
      <w:r w:rsidRPr="00FC6084">
        <w:rPr>
          <w:rFonts w:cstheme="minorHAnsi"/>
          <w:b/>
          <w:bCs/>
          <w:sz w:val="24"/>
          <w:szCs w:val="24"/>
          <w:lang w:val="en-GB"/>
        </w:rPr>
        <w:t>Related International and/or regional laws</w:t>
      </w:r>
    </w:p>
    <w:p w14:paraId="7D8D8968"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lastRenderedPageBreak/>
        <w:t>–</w:t>
      </w:r>
    </w:p>
    <w:p w14:paraId="39DD621A" w14:textId="77777777" w:rsidR="00F917E8" w:rsidRPr="00FC6084" w:rsidRDefault="00F917E8" w:rsidP="00F917E8">
      <w:pPr>
        <w:spacing w:after="0" w:line="240" w:lineRule="auto"/>
        <w:jc w:val="both"/>
        <w:rPr>
          <w:rFonts w:cstheme="minorHAnsi"/>
          <w:bCs/>
          <w:sz w:val="24"/>
          <w:szCs w:val="24"/>
          <w:lang w:val="en-GB"/>
        </w:rPr>
      </w:pPr>
    </w:p>
    <w:p w14:paraId="7D095B14" w14:textId="77777777" w:rsidR="00F917E8" w:rsidRPr="00FC6084" w:rsidRDefault="00F917E8" w:rsidP="00F917E8">
      <w:pPr>
        <w:spacing w:after="0" w:line="240" w:lineRule="auto"/>
        <w:jc w:val="both"/>
        <w:rPr>
          <w:rFonts w:cstheme="minorHAnsi"/>
          <w:b/>
          <w:bCs/>
          <w:sz w:val="24"/>
          <w:szCs w:val="24"/>
          <w:lang w:val="en-GB"/>
        </w:rPr>
      </w:pPr>
      <w:r w:rsidRPr="00FC6084">
        <w:rPr>
          <w:rFonts w:cstheme="minorHAnsi"/>
          <w:b/>
          <w:bCs/>
          <w:sz w:val="24"/>
          <w:szCs w:val="24"/>
          <w:lang w:val="en-GB"/>
        </w:rPr>
        <w:t>National standards, law or jurisprudence</w:t>
      </w:r>
    </w:p>
    <w:p w14:paraId="6AF81416" w14:textId="77777777" w:rsidR="00F917E8" w:rsidRPr="00FC6084" w:rsidRDefault="00F917E8" w:rsidP="00F917E8">
      <w:pPr>
        <w:pStyle w:val="ListParagraph"/>
        <w:numPr>
          <w:ilvl w:val="0"/>
          <w:numId w:val="2"/>
        </w:numPr>
        <w:spacing w:after="0" w:line="240" w:lineRule="auto"/>
        <w:jc w:val="both"/>
        <w:rPr>
          <w:rFonts w:cstheme="minorHAnsi"/>
          <w:sz w:val="24"/>
          <w:szCs w:val="24"/>
          <w:lang w:val="en-GB"/>
        </w:rPr>
      </w:pPr>
      <w:hyperlink r:id="rId7" w:history="1">
        <w:r w:rsidRPr="00FC6084">
          <w:rPr>
            <w:rStyle w:val="Hyperlink"/>
            <w:rFonts w:cstheme="minorHAnsi"/>
            <w:sz w:val="24"/>
            <w:szCs w:val="24"/>
            <w:lang w:val="en-GB"/>
          </w:rPr>
          <w:t>Fundamental Law of Hungary</w:t>
        </w:r>
      </w:hyperlink>
      <w:r w:rsidRPr="00FC6084">
        <w:rPr>
          <w:rFonts w:cstheme="minorHAnsi"/>
          <w:sz w:val="24"/>
          <w:szCs w:val="24"/>
          <w:lang w:val="en-GB"/>
        </w:rPr>
        <w:t xml:space="preserve"> Section IX(1)</w:t>
      </w:r>
    </w:p>
    <w:p w14:paraId="4A2779B7" w14:textId="77777777" w:rsidR="00F917E8" w:rsidRPr="00FC6084" w:rsidRDefault="00F917E8" w:rsidP="00F917E8">
      <w:pPr>
        <w:pStyle w:val="ListParagraph"/>
        <w:numPr>
          <w:ilvl w:val="0"/>
          <w:numId w:val="2"/>
        </w:numPr>
        <w:spacing w:after="0" w:line="240" w:lineRule="auto"/>
        <w:jc w:val="both"/>
        <w:rPr>
          <w:rFonts w:cstheme="minorHAnsi"/>
          <w:sz w:val="24"/>
          <w:szCs w:val="24"/>
          <w:lang w:val="en-GB"/>
        </w:rPr>
      </w:pPr>
      <w:hyperlink r:id="rId8" w:history="1">
        <w:r w:rsidRPr="00FC6084">
          <w:rPr>
            <w:rStyle w:val="Hyperlink"/>
            <w:rFonts w:cstheme="minorHAnsi"/>
            <w:sz w:val="24"/>
            <w:szCs w:val="24"/>
            <w:lang w:val="en-GB"/>
          </w:rPr>
          <w:t>Act C of 2012 on the Criminal Code</w:t>
        </w:r>
      </w:hyperlink>
      <w:r w:rsidRPr="00FC6084">
        <w:rPr>
          <w:rFonts w:cstheme="minorHAnsi"/>
          <w:sz w:val="24"/>
          <w:szCs w:val="24"/>
          <w:lang w:val="en-GB"/>
        </w:rPr>
        <w:t xml:space="preserve"> Section 226</w:t>
      </w:r>
    </w:p>
    <w:p w14:paraId="677546B5" w14:textId="77777777" w:rsidR="00F917E8" w:rsidRPr="00FC6084" w:rsidRDefault="00F917E8" w:rsidP="00F917E8">
      <w:pPr>
        <w:pStyle w:val="ListParagraph"/>
        <w:numPr>
          <w:ilvl w:val="0"/>
          <w:numId w:val="2"/>
        </w:numPr>
        <w:spacing w:after="0" w:line="240" w:lineRule="auto"/>
        <w:jc w:val="both"/>
        <w:rPr>
          <w:rFonts w:cstheme="minorHAnsi"/>
          <w:sz w:val="24"/>
          <w:szCs w:val="24"/>
          <w:lang w:val="en-GB"/>
        </w:rPr>
      </w:pPr>
      <w:hyperlink r:id="rId9" w:history="1">
        <w:r w:rsidRPr="00FC6084">
          <w:rPr>
            <w:rStyle w:val="Hyperlink"/>
            <w:rFonts w:cstheme="minorHAnsi"/>
            <w:sz w:val="24"/>
            <w:szCs w:val="24"/>
            <w:lang w:val="en-GB"/>
          </w:rPr>
          <w:t>Constitutional Court decision 3263/2018 (VII. 20.)</w:t>
        </w:r>
      </w:hyperlink>
    </w:p>
    <w:p w14:paraId="192676CE" w14:textId="77777777" w:rsidR="00F917E8" w:rsidRPr="00FC6084" w:rsidRDefault="00F917E8" w:rsidP="00F917E8">
      <w:pPr>
        <w:pStyle w:val="ListParagraph"/>
        <w:numPr>
          <w:ilvl w:val="0"/>
          <w:numId w:val="2"/>
        </w:numPr>
        <w:spacing w:after="0" w:line="240" w:lineRule="auto"/>
        <w:jc w:val="both"/>
        <w:rPr>
          <w:rStyle w:val="Hyperlink"/>
          <w:rFonts w:cstheme="minorHAnsi"/>
          <w:color w:val="auto"/>
          <w:sz w:val="24"/>
          <w:szCs w:val="24"/>
          <w:u w:val="none"/>
          <w:lang w:val="en-GB"/>
        </w:rPr>
      </w:pPr>
      <w:hyperlink r:id="rId10" w:history="1">
        <w:r w:rsidRPr="00FC6084">
          <w:rPr>
            <w:rStyle w:val="Hyperlink"/>
            <w:rFonts w:cstheme="minorHAnsi"/>
            <w:sz w:val="24"/>
            <w:szCs w:val="24"/>
            <w:lang w:val="en-GB"/>
          </w:rPr>
          <w:t>Constitutional Court decision 3145/2018 (V. 7.)</w:t>
        </w:r>
      </w:hyperlink>
    </w:p>
    <w:p w14:paraId="73A889A2" w14:textId="77777777" w:rsidR="00F917E8" w:rsidRPr="00FC6084" w:rsidRDefault="00F917E8" w:rsidP="00F917E8">
      <w:pPr>
        <w:pStyle w:val="ListParagraph"/>
        <w:numPr>
          <w:ilvl w:val="0"/>
          <w:numId w:val="2"/>
        </w:numPr>
        <w:spacing w:after="0" w:line="240" w:lineRule="auto"/>
        <w:jc w:val="both"/>
        <w:rPr>
          <w:rStyle w:val="Hyperlink"/>
          <w:rFonts w:cstheme="minorHAnsi"/>
          <w:color w:val="auto"/>
          <w:sz w:val="24"/>
          <w:szCs w:val="24"/>
          <w:u w:val="none"/>
          <w:lang w:val="en-GB"/>
        </w:rPr>
      </w:pPr>
      <w:hyperlink r:id="rId11" w:history="1">
        <w:r w:rsidRPr="00FC6084">
          <w:rPr>
            <w:rStyle w:val="Hyperlink"/>
            <w:rFonts w:cstheme="minorHAnsi"/>
            <w:sz w:val="24"/>
            <w:szCs w:val="24"/>
            <w:lang w:val="en-GB"/>
          </w:rPr>
          <w:t>Constitutional Court decision 3107/2018 (IV. 9.)</w:t>
        </w:r>
      </w:hyperlink>
    </w:p>
    <w:p w14:paraId="23B51306" w14:textId="77777777" w:rsidR="00F917E8" w:rsidRPr="00FC6084" w:rsidRDefault="00F917E8" w:rsidP="00F917E8">
      <w:pPr>
        <w:pStyle w:val="ListParagraph"/>
        <w:numPr>
          <w:ilvl w:val="0"/>
          <w:numId w:val="2"/>
        </w:numPr>
        <w:spacing w:after="0" w:line="240" w:lineRule="auto"/>
        <w:jc w:val="both"/>
        <w:rPr>
          <w:rStyle w:val="Hyperlink"/>
          <w:rFonts w:cstheme="minorHAnsi"/>
          <w:color w:val="auto"/>
          <w:sz w:val="24"/>
          <w:szCs w:val="24"/>
          <w:u w:val="none"/>
          <w:lang w:val="en-GB"/>
        </w:rPr>
      </w:pPr>
      <w:hyperlink r:id="rId12" w:history="1">
        <w:r w:rsidRPr="00FC6084">
          <w:rPr>
            <w:rStyle w:val="Hyperlink"/>
            <w:rFonts w:cstheme="minorHAnsi"/>
            <w:sz w:val="24"/>
            <w:szCs w:val="24"/>
            <w:lang w:val="en-GB"/>
          </w:rPr>
          <w:t>Constitutional Court decision 3329/2017 (XII. 8.)</w:t>
        </w:r>
      </w:hyperlink>
    </w:p>
    <w:p w14:paraId="74A79ABA" w14:textId="77777777" w:rsidR="00F917E8" w:rsidRPr="00FC6084" w:rsidRDefault="00F917E8" w:rsidP="00F917E8">
      <w:pPr>
        <w:pStyle w:val="ListParagraph"/>
        <w:numPr>
          <w:ilvl w:val="0"/>
          <w:numId w:val="2"/>
        </w:numPr>
        <w:spacing w:after="0" w:line="240" w:lineRule="auto"/>
        <w:jc w:val="both"/>
        <w:rPr>
          <w:rFonts w:cstheme="minorHAnsi"/>
          <w:sz w:val="24"/>
          <w:szCs w:val="24"/>
          <w:lang w:val="en-GB"/>
        </w:rPr>
      </w:pPr>
      <w:hyperlink r:id="rId13" w:history="1">
        <w:r w:rsidRPr="00FC6084">
          <w:rPr>
            <w:rStyle w:val="Hyperlink"/>
            <w:rFonts w:cstheme="minorHAnsi"/>
            <w:sz w:val="24"/>
            <w:szCs w:val="24"/>
            <w:lang w:val="en-GB"/>
          </w:rPr>
          <w:t>Constitutional Court decision 5/2015 (II. 25.)</w:t>
        </w:r>
      </w:hyperlink>
    </w:p>
    <w:p w14:paraId="5CE7D1B2" w14:textId="77777777" w:rsidR="00F917E8" w:rsidRPr="00FC6084" w:rsidRDefault="00F917E8" w:rsidP="00F917E8">
      <w:pPr>
        <w:pStyle w:val="ListParagraph"/>
        <w:numPr>
          <w:ilvl w:val="0"/>
          <w:numId w:val="2"/>
        </w:numPr>
        <w:spacing w:after="0" w:line="240" w:lineRule="auto"/>
        <w:jc w:val="both"/>
        <w:rPr>
          <w:rFonts w:cstheme="minorHAnsi"/>
          <w:sz w:val="24"/>
          <w:szCs w:val="24"/>
          <w:lang w:val="en-GB"/>
        </w:rPr>
      </w:pPr>
      <w:hyperlink r:id="rId14" w:history="1">
        <w:r w:rsidRPr="00FC6084">
          <w:rPr>
            <w:rStyle w:val="Hyperlink"/>
            <w:rFonts w:cstheme="minorHAnsi"/>
            <w:sz w:val="24"/>
            <w:szCs w:val="24"/>
            <w:lang w:val="en-GB"/>
          </w:rPr>
          <w:t>Constitutional Court decision 13/2014 (IV. 18.)</w:t>
        </w:r>
      </w:hyperlink>
    </w:p>
    <w:p w14:paraId="44648AE1" w14:textId="77777777" w:rsidR="00F917E8" w:rsidRPr="00FC6084" w:rsidRDefault="00F917E8" w:rsidP="00F917E8">
      <w:pPr>
        <w:pStyle w:val="ListParagraph"/>
        <w:numPr>
          <w:ilvl w:val="0"/>
          <w:numId w:val="2"/>
        </w:numPr>
        <w:spacing w:after="0" w:line="240" w:lineRule="auto"/>
        <w:jc w:val="both"/>
        <w:rPr>
          <w:rFonts w:cstheme="minorHAnsi"/>
          <w:sz w:val="24"/>
          <w:szCs w:val="24"/>
          <w:lang w:val="en-GB"/>
        </w:rPr>
      </w:pPr>
      <w:hyperlink r:id="rId15" w:history="1">
        <w:r w:rsidRPr="00FC6084">
          <w:rPr>
            <w:rStyle w:val="Hyperlink"/>
            <w:rFonts w:cstheme="minorHAnsi"/>
            <w:sz w:val="24"/>
            <w:szCs w:val="24"/>
            <w:lang w:val="en-GB"/>
          </w:rPr>
          <w:t>Constitutional Court decision 7/2014 (III. 7.)</w:t>
        </w:r>
      </w:hyperlink>
    </w:p>
    <w:p w14:paraId="6030C52F" w14:textId="77777777" w:rsidR="00F917E8" w:rsidRPr="00FC6084" w:rsidRDefault="00F917E8" w:rsidP="00F917E8">
      <w:pPr>
        <w:spacing w:after="0" w:line="240" w:lineRule="auto"/>
        <w:jc w:val="both"/>
        <w:rPr>
          <w:rFonts w:cstheme="minorHAnsi"/>
          <w:sz w:val="24"/>
          <w:szCs w:val="24"/>
          <w:lang w:val="en-GB"/>
        </w:rPr>
      </w:pPr>
    </w:p>
    <w:p w14:paraId="4A09880C"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6. Case Significance</w:t>
      </w:r>
    </w:p>
    <w:p w14:paraId="6AB50461" w14:textId="77777777" w:rsidR="00F917E8" w:rsidRPr="00FC6084" w:rsidRDefault="00F917E8" w:rsidP="00F917E8">
      <w:pPr>
        <w:spacing w:after="0" w:line="240" w:lineRule="auto"/>
        <w:jc w:val="both"/>
        <w:rPr>
          <w:rFonts w:cstheme="minorHAnsi"/>
          <w:sz w:val="24"/>
          <w:szCs w:val="24"/>
          <w:lang w:val="en-GB"/>
        </w:rPr>
      </w:pPr>
    </w:p>
    <w:p w14:paraId="3D75FD24" w14:textId="77777777" w:rsidR="00F917E8" w:rsidRPr="00FC6084" w:rsidRDefault="00F917E8" w:rsidP="00F917E8">
      <w:pPr>
        <w:spacing w:after="0" w:line="240" w:lineRule="auto"/>
        <w:jc w:val="both"/>
        <w:rPr>
          <w:rFonts w:cstheme="minorHAnsi"/>
          <w:bCs/>
          <w:iCs/>
          <w:sz w:val="24"/>
          <w:szCs w:val="24"/>
          <w:lang w:val="en-GB"/>
        </w:rPr>
      </w:pPr>
      <w:r w:rsidRPr="00FC6084">
        <w:rPr>
          <w:rFonts w:cstheme="minorHAnsi"/>
          <w:sz w:val="24"/>
          <w:szCs w:val="24"/>
          <w:lang w:val="en-GB"/>
        </w:rPr>
        <w:t>The decision establishes a binding or persuasive precedent within its jurisdiction.</w:t>
      </w:r>
    </w:p>
    <w:p w14:paraId="727D2A3D" w14:textId="77777777" w:rsidR="00F917E8" w:rsidRPr="00FC6084" w:rsidRDefault="00F917E8" w:rsidP="00F917E8">
      <w:pPr>
        <w:spacing w:after="0" w:line="240" w:lineRule="auto"/>
        <w:jc w:val="both"/>
        <w:rPr>
          <w:rFonts w:cstheme="minorHAnsi"/>
          <w:sz w:val="24"/>
          <w:szCs w:val="24"/>
          <w:lang w:val="en-GB"/>
        </w:rPr>
      </w:pPr>
    </w:p>
    <w:p w14:paraId="46CA5009" w14:textId="77777777" w:rsidR="00F917E8" w:rsidRPr="00FC6084" w:rsidRDefault="00F917E8" w:rsidP="00F917E8">
      <w:pPr>
        <w:spacing w:after="0" w:line="240" w:lineRule="auto"/>
        <w:jc w:val="both"/>
        <w:rPr>
          <w:rFonts w:cstheme="minorHAnsi"/>
          <w:b/>
          <w:sz w:val="24"/>
          <w:szCs w:val="24"/>
          <w:lang w:val="en-GB"/>
        </w:rPr>
      </w:pPr>
      <w:r w:rsidRPr="00FC6084">
        <w:rPr>
          <w:rFonts w:cstheme="minorHAnsi"/>
          <w:b/>
          <w:bCs/>
          <w:sz w:val="24"/>
          <w:szCs w:val="24"/>
          <w:lang w:val="en-GB"/>
        </w:rPr>
        <w:t>7. Official Case Documents</w:t>
      </w:r>
    </w:p>
    <w:p w14:paraId="5A6D3612" w14:textId="77777777" w:rsidR="00F917E8" w:rsidRPr="00FC6084" w:rsidRDefault="00F917E8" w:rsidP="00F917E8">
      <w:pPr>
        <w:spacing w:after="0" w:line="240" w:lineRule="auto"/>
        <w:jc w:val="both"/>
        <w:rPr>
          <w:rFonts w:cstheme="minorHAnsi"/>
          <w:sz w:val="24"/>
          <w:szCs w:val="24"/>
          <w:lang w:val="en-GB"/>
        </w:rPr>
      </w:pPr>
    </w:p>
    <w:p w14:paraId="2AC03159" w14:textId="77777777" w:rsidR="00F917E8" w:rsidRPr="00FC6084" w:rsidRDefault="00F917E8" w:rsidP="00F917E8">
      <w:pPr>
        <w:spacing w:after="0" w:line="240" w:lineRule="auto"/>
        <w:jc w:val="both"/>
        <w:rPr>
          <w:rFonts w:cstheme="minorHAnsi"/>
          <w:sz w:val="24"/>
          <w:szCs w:val="24"/>
          <w:lang w:val="en-GB"/>
        </w:rPr>
      </w:pPr>
      <w:r w:rsidRPr="00FC6084">
        <w:rPr>
          <w:rFonts w:cstheme="minorHAnsi"/>
          <w:sz w:val="24"/>
          <w:szCs w:val="24"/>
          <w:lang w:val="en-GB"/>
        </w:rPr>
        <w:t>Decision:</w:t>
      </w:r>
    </w:p>
    <w:p w14:paraId="2A31F0E2" w14:textId="77777777" w:rsidR="00F917E8" w:rsidRPr="00FC6084" w:rsidRDefault="00F917E8" w:rsidP="00F917E8">
      <w:pPr>
        <w:spacing w:after="0" w:line="240" w:lineRule="auto"/>
        <w:jc w:val="both"/>
        <w:rPr>
          <w:lang w:val="en-GB"/>
        </w:rPr>
      </w:pPr>
      <w:hyperlink r:id="rId16" w:history="1">
        <w:r w:rsidRPr="00FC6084">
          <w:rPr>
            <w:rStyle w:val="Hyperlink"/>
            <w:lang w:val="en-GB"/>
          </w:rPr>
          <w:t>https://public.mkab.hu/dev/dontesek.nsf/0/256df59aace288a5c1258a47004f2fb3/$FILE/3325_2024_AB_hat%C3%A1rozat.pdf</w:t>
        </w:r>
      </w:hyperlink>
    </w:p>
    <w:p w14:paraId="76437FE0" w14:textId="77777777" w:rsidR="00070F92" w:rsidRPr="00FC6084" w:rsidRDefault="00070F92" w:rsidP="00F917E8">
      <w:pPr>
        <w:spacing w:after="0" w:line="240" w:lineRule="auto"/>
        <w:jc w:val="both"/>
        <w:rPr>
          <w:lang w:val="en-GB"/>
        </w:rPr>
      </w:pPr>
    </w:p>
    <w:sectPr w:rsidR="00070F92" w:rsidRPr="00FC6084">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D7CB" w14:textId="77777777" w:rsidR="00CB4650" w:rsidRDefault="00CB4650" w:rsidP="00461D75">
      <w:pPr>
        <w:spacing w:after="0" w:line="240" w:lineRule="auto"/>
      </w:pPr>
      <w:r>
        <w:separator/>
      </w:r>
    </w:p>
  </w:endnote>
  <w:endnote w:type="continuationSeparator" w:id="0">
    <w:p w14:paraId="37E21FB1" w14:textId="77777777" w:rsidR="00CB4650" w:rsidRDefault="00CB4650" w:rsidP="00461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2FE9" w14:textId="77777777" w:rsidR="00F917E8" w:rsidRDefault="00F91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F4D7" w14:textId="77777777" w:rsidR="00F917E8" w:rsidRDefault="00F9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8389" w14:textId="77777777" w:rsidR="00F917E8" w:rsidRDefault="00F91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ED1A" w14:textId="77777777" w:rsidR="00CB4650" w:rsidRDefault="00CB4650" w:rsidP="00461D75">
      <w:pPr>
        <w:spacing w:after="0" w:line="240" w:lineRule="auto"/>
      </w:pPr>
      <w:r>
        <w:separator/>
      </w:r>
    </w:p>
  </w:footnote>
  <w:footnote w:type="continuationSeparator" w:id="0">
    <w:p w14:paraId="71A951FC" w14:textId="77777777" w:rsidR="00CB4650" w:rsidRDefault="00CB4650" w:rsidP="00461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A3B3" w14:textId="77777777" w:rsidR="00F917E8" w:rsidRDefault="00F91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C11C" w14:textId="77777777" w:rsidR="00F917E8" w:rsidRDefault="00F91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E741" w14:textId="77777777" w:rsidR="00F917E8" w:rsidRDefault="00F91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6F92"/>
    <w:multiLevelType w:val="hybridMultilevel"/>
    <w:tmpl w:val="F822F580"/>
    <w:lvl w:ilvl="0" w:tplc="C8305634">
      <w:start w:val="1"/>
      <w:numFmt w:val="decimal"/>
      <w:lvlText w:val="[%1]"/>
      <w:lvlJc w:val="left"/>
      <w:pPr>
        <w:ind w:left="564"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73D08C28">
      <w:numFmt w:val="bullet"/>
      <w:lvlText w:val="•"/>
      <w:lvlJc w:val="left"/>
      <w:pPr>
        <w:ind w:left="1558" w:hanging="341"/>
      </w:pPr>
      <w:rPr>
        <w:rFonts w:hint="default"/>
        <w:lang w:val="hu-HU" w:eastAsia="en-US" w:bidi="ar-SA"/>
      </w:rPr>
    </w:lvl>
    <w:lvl w:ilvl="2" w:tplc="60D40220">
      <w:numFmt w:val="bullet"/>
      <w:lvlText w:val="•"/>
      <w:lvlJc w:val="left"/>
      <w:pPr>
        <w:ind w:left="2557" w:hanging="341"/>
      </w:pPr>
      <w:rPr>
        <w:rFonts w:hint="default"/>
        <w:lang w:val="hu-HU" w:eastAsia="en-US" w:bidi="ar-SA"/>
      </w:rPr>
    </w:lvl>
    <w:lvl w:ilvl="3" w:tplc="D0502372">
      <w:numFmt w:val="bullet"/>
      <w:lvlText w:val="•"/>
      <w:lvlJc w:val="left"/>
      <w:pPr>
        <w:ind w:left="3555" w:hanging="341"/>
      </w:pPr>
      <w:rPr>
        <w:rFonts w:hint="default"/>
        <w:lang w:val="hu-HU" w:eastAsia="en-US" w:bidi="ar-SA"/>
      </w:rPr>
    </w:lvl>
    <w:lvl w:ilvl="4" w:tplc="54EE8248">
      <w:numFmt w:val="bullet"/>
      <w:lvlText w:val="•"/>
      <w:lvlJc w:val="left"/>
      <w:pPr>
        <w:ind w:left="4554" w:hanging="341"/>
      </w:pPr>
      <w:rPr>
        <w:rFonts w:hint="default"/>
        <w:lang w:val="hu-HU" w:eastAsia="en-US" w:bidi="ar-SA"/>
      </w:rPr>
    </w:lvl>
    <w:lvl w:ilvl="5" w:tplc="6DA24782">
      <w:numFmt w:val="bullet"/>
      <w:lvlText w:val="•"/>
      <w:lvlJc w:val="left"/>
      <w:pPr>
        <w:ind w:left="5552" w:hanging="341"/>
      </w:pPr>
      <w:rPr>
        <w:rFonts w:hint="default"/>
        <w:lang w:val="hu-HU" w:eastAsia="en-US" w:bidi="ar-SA"/>
      </w:rPr>
    </w:lvl>
    <w:lvl w:ilvl="6" w:tplc="97668B4C">
      <w:numFmt w:val="bullet"/>
      <w:lvlText w:val="•"/>
      <w:lvlJc w:val="left"/>
      <w:pPr>
        <w:ind w:left="6551" w:hanging="341"/>
      </w:pPr>
      <w:rPr>
        <w:rFonts w:hint="default"/>
        <w:lang w:val="hu-HU" w:eastAsia="en-US" w:bidi="ar-SA"/>
      </w:rPr>
    </w:lvl>
    <w:lvl w:ilvl="7" w:tplc="4D264474">
      <w:numFmt w:val="bullet"/>
      <w:lvlText w:val="•"/>
      <w:lvlJc w:val="left"/>
      <w:pPr>
        <w:ind w:left="7549" w:hanging="341"/>
      </w:pPr>
      <w:rPr>
        <w:rFonts w:hint="default"/>
        <w:lang w:val="hu-HU" w:eastAsia="en-US" w:bidi="ar-SA"/>
      </w:rPr>
    </w:lvl>
    <w:lvl w:ilvl="8" w:tplc="98686EAE">
      <w:numFmt w:val="bullet"/>
      <w:lvlText w:val="•"/>
      <w:lvlJc w:val="left"/>
      <w:pPr>
        <w:ind w:left="8548" w:hanging="341"/>
      </w:pPr>
      <w:rPr>
        <w:rFonts w:hint="default"/>
        <w:lang w:val="hu-HU" w:eastAsia="en-US" w:bidi="ar-SA"/>
      </w:rPr>
    </w:lvl>
  </w:abstractNum>
  <w:abstractNum w:abstractNumId="1" w15:restartNumberingAfterBreak="0">
    <w:nsid w:val="252E05AB"/>
    <w:multiLevelType w:val="hybridMultilevel"/>
    <w:tmpl w:val="32BE2E32"/>
    <w:lvl w:ilvl="0" w:tplc="B1D0F24E">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1CF75FF"/>
    <w:multiLevelType w:val="hybridMultilevel"/>
    <w:tmpl w:val="FCBC3A3E"/>
    <w:lvl w:ilvl="0" w:tplc="D2165046">
      <w:start w:val="1"/>
      <w:numFmt w:val="decimal"/>
      <w:lvlText w:val="[%1]"/>
      <w:lvlJc w:val="left"/>
      <w:pPr>
        <w:ind w:left="683"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E0A24D9A">
      <w:numFmt w:val="bullet"/>
      <w:lvlText w:val="•"/>
      <w:lvlJc w:val="left"/>
      <w:pPr>
        <w:ind w:left="1678" w:hanging="341"/>
      </w:pPr>
      <w:rPr>
        <w:rFonts w:hint="default"/>
        <w:lang w:val="hu-HU" w:eastAsia="en-US" w:bidi="ar-SA"/>
      </w:rPr>
    </w:lvl>
    <w:lvl w:ilvl="2" w:tplc="691CDA60">
      <w:numFmt w:val="bullet"/>
      <w:lvlText w:val="•"/>
      <w:lvlJc w:val="left"/>
      <w:pPr>
        <w:ind w:left="2677" w:hanging="341"/>
      </w:pPr>
      <w:rPr>
        <w:rFonts w:hint="default"/>
        <w:lang w:val="hu-HU" w:eastAsia="en-US" w:bidi="ar-SA"/>
      </w:rPr>
    </w:lvl>
    <w:lvl w:ilvl="3" w:tplc="30F217C2">
      <w:numFmt w:val="bullet"/>
      <w:lvlText w:val="•"/>
      <w:lvlJc w:val="left"/>
      <w:pPr>
        <w:ind w:left="3675" w:hanging="341"/>
      </w:pPr>
      <w:rPr>
        <w:rFonts w:hint="default"/>
        <w:lang w:val="hu-HU" w:eastAsia="en-US" w:bidi="ar-SA"/>
      </w:rPr>
    </w:lvl>
    <w:lvl w:ilvl="4" w:tplc="AE906CD2">
      <w:numFmt w:val="bullet"/>
      <w:lvlText w:val="•"/>
      <w:lvlJc w:val="left"/>
      <w:pPr>
        <w:ind w:left="4674" w:hanging="341"/>
      </w:pPr>
      <w:rPr>
        <w:rFonts w:hint="default"/>
        <w:lang w:val="hu-HU" w:eastAsia="en-US" w:bidi="ar-SA"/>
      </w:rPr>
    </w:lvl>
    <w:lvl w:ilvl="5" w:tplc="27BE1928">
      <w:numFmt w:val="bullet"/>
      <w:lvlText w:val="•"/>
      <w:lvlJc w:val="left"/>
      <w:pPr>
        <w:ind w:left="5672" w:hanging="341"/>
      </w:pPr>
      <w:rPr>
        <w:rFonts w:hint="default"/>
        <w:lang w:val="hu-HU" w:eastAsia="en-US" w:bidi="ar-SA"/>
      </w:rPr>
    </w:lvl>
    <w:lvl w:ilvl="6" w:tplc="9C62C52E">
      <w:numFmt w:val="bullet"/>
      <w:lvlText w:val="•"/>
      <w:lvlJc w:val="left"/>
      <w:pPr>
        <w:ind w:left="6671" w:hanging="341"/>
      </w:pPr>
      <w:rPr>
        <w:rFonts w:hint="default"/>
        <w:lang w:val="hu-HU" w:eastAsia="en-US" w:bidi="ar-SA"/>
      </w:rPr>
    </w:lvl>
    <w:lvl w:ilvl="7" w:tplc="25988494">
      <w:numFmt w:val="bullet"/>
      <w:lvlText w:val="•"/>
      <w:lvlJc w:val="left"/>
      <w:pPr>
        <w:ind w:left="7669" w:hanging="341"/>
      </w:pPr>
      <w:rPr>
        <w:rFonts w:hint="default"/>
        <w:lang w:val="hu-HU" w:eastAsia="en-US" w:bidi="ar-SA"/>
      </w:rPr>
    </w:lvl>
    <w:lvl w:ilvl="8" w:tplc="9E9A1C4A">
      <w:numFmt w:val="bullet"/>
      <w:lvlText w:val="•"/>
      <w:lvlJc w:val="left"/>
      <w:pPr>
        <w:ind w:left="8668" w:hanging="341"/>
      </w:pPr>
      <w:rPr>
        <w:rFonts w:hint="default"/>
        <w:lang w:val="hu-HU" w:eastAsia="en-US" w:bidi="ar-SA"/>
      </w:rPr>
    </w:lvl>
  </w:abstractNum>
  <w:abstractNum w:abstractNumId="3" w15:restartNumberingAfterBreak="0">
    <w:nsid w:val="45923791"/>
    <w:multiLevelType w:val="hybridMultilevel"/>
    <w:tmpl w:val="F496DC58"/>
    <w:lvl w:ilvl="0" w:tplc="BB00A076">
      <w:start w:val="1"/>
      <w:numFmt w:val="decimal"/>
      <w:lvlText w:val="[%1]"/>
      <w:lvlJc w:val="left"/>
      <w:pPr>
        <w:ind w:left="563"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3E1E903E">
      <w:start w:val="1"/>
      <w:numFmt w:val="decimal"/>
      <w:lvlText w:val="(%2)"/>
      <w:lvlJc w:val="left"/>
      <w:pPr>
        <w:ind w:left="833" w:hanging="270"/>
      </w:pPr>
      <w:rPr>
        <w:rFonts w:ascii="Calibri" w:eastAsia="Calibri" w:hAnsi="Calibri" w:cs="Calibri" w:hint="default"/>
        <w:b w:val="0"/>
        <w:bCs w:val="0"/>
        <w:i w:val="0"/>
        <w:iCs w:val="0"/>
        <w:color w:val="231F20"/>
        <w:spacing w:val="-17"/>
        <w:w w:val="91"/>
        <w:sz w:val="21"/>
        <w:szCs w:val="21"/>
        <w:lang w:val="hu-HU" w:eastAsia="en-US" w:bidi="ar-SA"/>
      </w:rPr>
    </w:lvl>
    <w:lvl w:ilvl="2" w:tplc="16C86270">
      <w:numFmt w:val="bullet"/>
      <w:lvlText w:val="•"/>
      <w:lvlJc w:val="left"/>
      <w:pPr>
        <w:ind w:left="1918" w:hanging="270"/>
      </w:pPr>
      <w:rPr>
        <w:rFonts w:hint="default"/>
        <w:lang w:val="hu-HU" w:eastAsia="en-US" w:bidi="ar-SA"/>
      </w:rPr>
    </w:lvl>
    <w:lvl w:ilvl="3" w:tplc="C63A23F2">
      <w:numFmt w:val="bullet"/>
      <w:lvlText w:val="•"/>
      <w:lvlJc w:val="left"/>
      <w:pPr>
        <w:ind w:left="2996" w:hanging="270"/>
      </w:pPr>
      <w:rPr>
        <w:rFonts w:hint="default"/>
        <w:lang w:val="hu-HU" w:eastAsia="en-US" w:bidi="ar-SA"/>
      </w:rPr>
    </w:lvl>
    <w:lvl w:ilvl="4" w:tplc="7076B964">
      <w:numFmt w:val="bullet"/>
      <w:lvlText w:val="•"/>
      <w:lvlJc w:val="left"/>
      <w:pPr>
        <w:ind w:left="4075" w:hanging="270"/>
      </w:pPr>
      <w:rPr>
        <w:rFonts w:hint="default"/>
        <w:lang w:val="hu-HU" w:eastAsia="en-US" w:bidi="ar-SA"/>
      </w:rPr>
    </w:lvl>
    <w:lvl w:ilvl="5" w:tplc="BC9E978C">
      <w:numFmt w:val="bullet"/>
      <w:lvlText w:val="•"/>
      <w:lvlJc w:val="left"/>
      <w:pPr>
        <w:ind w:left="5153" w:hanging="270"/>
      </w:pPr>
      <w:rPr>
        <w:rFonts w:hint="default"/>
        <w:lang w:val="hu-HU" w:eastAsia="en-US" w:bidi="ar-SA"/>
      </w:rPr>
    </w:lvl>
    <w:lvl w:ilvl="6" w:tplc="50903B60">
      <w:numFmt w:val="bullet"/>
      <w:lvlText w:val="•"/>
      <w:lvlJc w:val="left"/>
      <w:pPr>
        <w:ind w:left="6231" w:hanging="270"/>
      </w:pPr>
      <w:rPr>
        <w:rFonts w:hint="default"/>
        <w:lang w:val="hu-HU" w:eastAsia="en-US" w:bidi="ar-SA"/>
      </w:rPr>
    </w:lvl>
    <w:lvl w:ilvl="7" w:tplc="5BBA7CF6">
      <w:numFmt w:val="bullet"/>
      <w:lvlText w:val="•"/>
      <w:lvlJc w:val="left"/>
      <w:pPr>
        <w:ind w:left="7310" w:hanging="270"/>
      </w:pPr>
      <w:rPr>
        <w:rFonts w:hint="default"/>
        <w:lang w:val="hu-HU" w:eastAsia="en-US" w:bidi="ar-SA"/>
      </w:rPr>
    </w:lvl>
    <w:lvl w:ilvl="8" w:tplc="85A48194">
      <w:numFmt w:val="bullet"/>
      <w:lvlText w:val="•"/>
      <w:lvlJc w:val="left"/>
      <w:pPr>
        <w:ind w:left="8388" w:hanging="270"/>
      </w:pPr>
      <w:rPr>
        <w:rFonts w:hint="default"/>
        <w:lang w:val="hu-HU" w:eastAsia="en-US" w:bidi="ar-SA"/>
      </w:rPr>
    </w:lvl>
  </w:abstractNum>
  <w:abstractNum w:abstractNumId="4" w15:restartNumberingAfterBreak="0">
    <w:nsid w:val="46D653CE"/>
    <w:multiLevelType w:val="multilevel"/>
    <w:tmpl w:val="AB3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D4989"/>
    <w:multiLevelType w:val="hybridMultilevel"/>
    <w:tmpl w:val="F822F580"/>
    <w:lvl w:ilvl="0" w:tplc="C8305634">
      <w:start w:val="1"/>
      <w:numFmt w:val="decimal"/>
      <w:lvlText w:val="[%1]"/>
      <w:lvlJc w:val="left"/>
      <w:pPr>
        <w:ind w:left="564" w:hanging="341"/>
        <w:jc w:val="right"/>
      </w:pPr>
      <w:rPr>
        <w:rFonts w:ascii="Calibri" w:eastAsia="Calibri" w:hAnsi="Calibri" w:cs="Calibri" w:hint="default"/>
        <w:b w:val="0"/>
        <w:bCs w:val="0"/>
        <w:i w:val="0"/>
        <w:iCs w:val="0"/>
        <w:color w:val="231F20"/>
        <w:spacing w:val="-17"/>
        <w:w w:val="108"/>
        <w:sz w:val="21"/>
        <w:szCs w:val="21"/>
        <w:lang w:val="hu-HU" w:eastAsia="en-US" w:bidi="ar-SA"/>
      </w:rPr>
    </w:lvl>
    <w:lvl w:ilvl="1" w:tplc="73D08C28">
      <w:numFmt w:val="bullet"/>
      <w:lvlText w:val="•"/>
      <w:lvlJc w:val="left"/>
      <w:pPr>
        <w:ind w:left="1558" w:hanging="341"/>
      </w:pPr>
      <w:rPr>
        <w:rFonts w:hint="default"/>
        <w:lang w:val="hu-HU" w:eastAsia="en-US" w:bidi="ar-SA"/>
      </w:rPr>
    </w:lvl>
    <w:lvl w:ilvl="2" w:tplc="60D40220">
      <w:numFmt w:val="bullet"/>
      <w:lvlText w:val="•"/>
      <w:lvlJc w:val="left"/>
      <w:pPr>
        <w:ind w:left="2557" w:hanging="341"/>
      </w:pPr>
      <w:rPr>
        <w:rFonts w:hint="default"/>
        <w:lang w:val="hu-HU" w:eastAsia="en-US" w:bidi="ar-SA"/>
      </w:rPr>
    </w:lvl>
    <w:lvl w:ilvl="3" w:tplc="D0502372">
      <w:numFmt w:val="bullet"/>
      <w:lvlText w:val="•"/>
      <w:lvlJc w:val="left"/>
      <w:pPr>
        <w:ind w:left="3555" w:hanging="341"/>
      </w:pPr>
      <w:rPr>
        <w:rFonts w:hint="default"/>
        <w:lang w:val="hu-HU" w:eastAsia="en-US" w:bidi="ar-SA"/>
      </w:rPr>
    </w:lvl>
    <w:lvl w:ilvl="4" w:tplc="54EE8248">
      <w:numFmt w:val="bullet"/>
      <w:lvlText w:val="•"/>
      <w:lvlJc w:val="left"/>
      <w:pPr>
        <w:ind w:left="4554" w:hanging="341"/>
      </w:pPr>
      <w:rPr>
        <w:rFonts w:hint="default"/>
        <w:lang w:val="hu-HU" w:eastAsia="en-US" w:bidi="ar-SA"/>
      </w:rPr>
    </w:lvl>
    <w:lvl w:ilvl="5" w:tplc="6DA24782">
      <w:numFmt w:val="bullet"/>
      <w:lvlText w:val="•"/>
      <w:lvlJc w:val="left"/>
      <w:pPr>
        <w:ind w:left="5552" w:hanging="341"/>
      </w:pPr>
      <w:rPr>
        <w:rFonts w:hint="default"/>
        <w:lang w:val="hu-HU" w:eastAsia="en-US" w:bidi="ar-SA"/>
      </w:rPr>
    </w:lvl>
    <w:lvl w:ilvl="6" w:tplc="97668B4C">
      <w:numFmt w:val="bullet"/>
      <w:lvlText w:val="•"/>
      <w:lvlJc w:val="left"/>
      <w:pPr>
        <w:ind w:left="6551" w:hanging="341"/>
      </w:pPr>
      <w:rPr>
        <w:rFonts w:hint="default"/>
        <w:lang w:val="hu-HU" w:eastAsia="en-US" w:bidi="ar-SA"/>
      </w:rPr>
    </w:lvl>
    <w:lvl w:ilvl="7" w:tplc="4D264474">
      <w:numFmt w:val="bullet"/>
      <w:lvlText w:val="•"/>
      <w:lvlJc w:val="left"/>
      <w:pPr>
        <w:ind w:left="7549" w:hanging="341"/>
      </w:pPr>
      <w:rPr>
        <w:rFonts w:hint="default"/>
        <w:lang w:val="hu-HU" w:eastAsia="en-US" w:bidi="ar-SA"/>
      </w:rPr>
    </w:lvl>
    <w:lvl w:ilvl="8" w:tplc="98686EAE">
      <w:numFmt w:val="bullet"/>
      <w:lvlText w:val="•"/>
      <w:lvlJc w:val="left"/>
      <w:pPr>
        <w:ind w:left="8548" w:hanging="341"/>
      </w:pPr>
      <w:rPr>
        <w:rFonts w:hint="default"/>
        <w:lang w:val="hu-HU" w:eastAsia="en-US" w:bidi="ar-SA"/>
      </w:rPr>
    </w:lvl>
  </w:abstractNum>
  <w:num w:numId="1" w16cid:durableId="1378235806">
    <w:abstractNumId w:val="4"/>
  </w:num>
  <w:num w:numId="2" w16cid:durableId="486945158">
    <w:abstractNumId w:val="1"/>
  </w:num>
  <w:num w:numId="3" w16cid:durableId="1749497879">
    <w:abstractNumId w:val="3"/>
  </w:num>
  <w:num w:numId="4" w16cid:durableId="1766341212">
    <w:abstractNumId w:val="0"/>
  </w:num>
  <w:num w:numId="5" w16cid:durableId="996567501">
    <w:abstractNumId w:val="5"/>
  </w:num>
  <w:num w:numId="6" w16cid:durableId="442044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732"/>
    <w:rsid w:val="00004E9B"/>
    <w:rsid w:val="00010083"/>
    <w:rsid w:val="00014B96"/>
    <w:rsid w:val="00014D8F"/>
    <w:rsid w:val="00024487"/>
    <w:rsid w:val="00042FE7"/>
    <w:rsid w:val="000454D8"/>
    <w:rsid w:val="00070F92"/>
    <w:rsid w:val="00080C26"/>
    <w:rsid w:val="00083CF1"/>
    <w:rsid w:val="000B1413"/>
    <w:rsid w:val="000C1065"/>
    <w:rsid w:val="000C4BB7"/>
    <w:rsid w:val="000C6E1D"/>
    <w:rsid w:val="000D2A21"/>
    <w:rsid w:val="001065E3"/>
    <w:rsid w:val="001069AD"/>
    <w:rsid w:val="0013745E"/>
    <w:rsid w:val="00140242"/>
    <w:rsid w:val="001751A3"/>
    <w:rsid w:val="00176989"/>
    <w:rsid w:val="00185145"/>
    <w:rsid w:val="001A054B"/>
    <w:rsid w:val="001A1DED"/>
    <w:rsid w:val="001A2AC5"/>
    <w:rsid w:val="001A6824"/>
    <w:rsid w:val="001B01F3"/>
    <w:rsid w:val="001B7557"/>
    <w:rsid w:val="001C05E8"/>
    <w:rsid w:val="001C0E57"/>
    <w:rsid w:val="001E44AF"/>
    <w:rsid w:val="001F33AB"/>
    <w:rsid w:val="00232E9F"/>
    <w:rsid w:val="00242D6D"/>
    <w:rsid w:val="002452C1"/>
    <w:rsid w:val="00246243"/>
    <w:rsid w:val="00256F12"/>
    <w:rsid w:val="0025729E"/>
    <w:rsid w:val="00266944"/>
    <w:rsid w:val="002774E4"/>
    <w:rsid w:val="00292A46"/>
    <w:rsid w:val="002967E8"/>
    <w:rsid w:val="002A1B93"/>
    <w:rsid w:val="002A7046"/>
    <w:rsid w:val="002B3083"/>
    <w:rsid w:val="002B5432"/>
    <w:rsid w:val="002C2FFF"/>
    <w:rsid w:val="002C3E8F"/>
    <w:rsid w:val="002D1BFF"/>
    <w:rsid w:val="0030291A"/>
    <w:rsid w:val="0030392C"/>
    <w:rsid w:val="00317033"/>
    <w:rsid w:val="00320959"/>
    <w:rsid w:val="00324950"/>
    <w:rsid w:val="00326B72"/>
    <w:rsid w:val="00327AFB"/>
    <w:rsid w:val="00333B68"/>
    <w:rsid w:val="00344203"/>
    <w:rsid w:val="00347178"/>
    <w:rsid w:val="0037642E"/>
    <w:rsid w:val="00384ACE"/>
    <w:rsid w:val="00390F87"/>
    <w:rsid w:val="003A671E"/>
    <w:rsid w:val="003B298D"/>
    <w:rsid w:val="003B5D6A"/>
    <w:rsid w:val="003B5E48"/>
    <w:rsid w:val="003B6951"/>
    <w:rsid w:val="003C7F2A"/>
    <w:rsid w:val="003D0050"/>
    <w:rsid w:val="003D4259"/>
    <w:rsid w:val="003E328F"/>
    <w:rsid w:val="003F0608"/>
    <w:rsid w:val="00407C50"/>
    <w:rsid w:val="00412054"/>
    <w:rsid w:val="00436595"/>
    <w:rsid w:val="004403B8"/>
    <w:rsid w:val="00461D75"/>
    <w:rsid w:val="00474785"/>
    <w:rsid w:val="00474C6C"/>
    <w:rsid w:val="00492680"/>
    <w:rsid w:val="00494930"/>
    <w:rsid w:val="00495D2F"/>
    <w:rsid w:val="004961D6"/>
    <w:rsid w:val="004A059E"/>
    <w:rsid w:val="004A6132"/>
    <w:rsid w:val="004B11ED"/>
    <w:rsid w:val="004B7F25"/>
    <w:rsid w:val="004C3A0F"/>
    <w:rsid w:val="004C3C70"/>
    <w:rsid w:val="004D0D16"/>
    <w:rsid w:val="004D44E7"/>
    <w:rsid w:val="004E23C2"/>
    <w:rsid w:val="004F2ECA"/>
    <w:rsid w:val="00510BA0"/>
    <w:rsid w:val="0052729C"/>
    <w:rsid w:val="00563558"/>
    <w:rsid w:val="00563D85"/>
    <w:rsid w:val="00567F4D"/>
    <w:rsid w:val="00572631"/>
    <w:rsid w:val="00582013"/>
    <w:rsid w:val="0058361C"/>
    <w:rsid w:val="00583C72"/>
    <w:rsid w:val="005867B1"/>
    <w:rsid w:val="005918E8"/>
    <w:rsid w:val="005A052B"/>
    <w:rsid w:val="005A1FCF"/>
    <w:rsid w:val="005B013F"/>
    <w:rsid w:val="005C2DCE"/>
    <w:rsid w:val="005C5173"/>
    <w:rsid w:val="005C7B4B"/>
    <w:rsid w:val="005C7CEA"/>
    <w:rsid w:val="005D5130"/>
    <w:rsid w:val="005E5554"/>
    <w:rsid w:val="005E7C76"/>
    <w:rsid w:val="0060772B"/>
    <w:rsid w:val="00620FED"/>
    <w:rsid w:val="00630985"/>
    <w:rsid w:val="0063549F"/>
    <w:rsid w:val="00636912"/>
    <w:rsid w:val="00641BE0"/>
    <w:rsid w:val="00652E77"/>
    <w:rsid w:val="00652FA0"/>
    <w:rsid w:val="00664321"/>
    <w:rsid w:val="006649B7"/>
    <w:rsid w:val="00667CA6"/>
    <w:rsid w:val="00672719"/>
    <w:rsid w:val="00676485"/>
    <w:rsid w:val="00676FB9"/>
    <w:rsid w:val="00684CAF"/>
    <w:rsid w:val="006B68F7"/>
    <w:rsid w:val="006C1088"/>
    <w:rsid w:val="006C2E33"/>
    <w:rsid w:val="006C7EED"/>
    <w:rsid w:val="006E2258"/>
    <w:rsid w:val="006E34E7"/>
    <w:rsid w:val="006F5416"/>
    <w:rsid w:val="007038E7"/>
    <w:rsid w:val="00731C5C"/>
    <w:rsid w:val="00735563"/>
    <w:rsid w:val="00736CFB"/>
    <w:rsid w:val="00741991"/>
    <w:rsid w:val="007450BD"/>
    <w:rsid w:val="00753202"/>
    <w:rsid w:val="00771B17"/>
    <w:rsid w:val="00772A97"/>
    <w:rsid w:val="007A05C4"/>
    <w:rsid w:val="007B176F"/>
    <w:rsid w:val="007C40B0"/>
    <w:rsid w:val="007C74BC"/>
    <w:rsid w:val="007D60E7"/>
    <w:rsid w:val="007E18BC"/>
    <w:rsid w:val="007E78C1"/>
    <w:rsid w:val="00801C1C"/>
    <w:rsid w:val="00812FCC"/>
    <w:rsid w:val="00841FEA"/>
    <w:rsid w:val="00842C66"/>
    <w:rsid w:val="008527F8"/>
    <w:rsid w:val="0087255B"/>
    <w:rsid w:val="008748C7"/>
    <w:rsid w:val="00883915"/>
    <w:rsid w:val="008A3D70"/>
    <w:rsid w:val="008A5DFB"/>
    <w:rsid w:val="008C0B9E"/>
    <w:rsid w:val="008C3CAC"/>
    <w:rsid w:val="008C5EAA"/>
    <w:rsid w:val="008C7B89"/>
    <w:rsid w:val="008E07E9"/>
    <w:rsid w:val="008E0BFD"/>
    <w:rsid w:val="009004EC"/>
    <w:rsid w:val="00914124"/>
    <w:rsid w:val="00917A1D"/>
    <w:rsid w:val="00925F14"/>
    <w:rsid w:val="00942A08"/>
    <w:rsid w:val="0094314E"/>
    <w:rsid w:val="00944B9A"/>
    <w:rsid w:val="00945BC3"/>
    <w:rsid w:val="00947D55"/>
    <w:rsid w:val="0095445D"/>
    <w:rsid w:val="00956824"/>
    <w:rsid w:val="00962631"/>
    <w:rsid w:val="00963438"/>
    <w:rsid w:val="00966807"/>
    <w:rsid w:val="009A4158"/>
    <w:rsid w:val="009A55C8"/>
    <w:rsid w:val="009B09D1"/>
    <w:rsid w:val="009B7ACD"/>
    <w:rsid w:val="009C1C37"/>
    <w:rsid w:val="009D5792"/>
    <w:rsid w:val="009E6A57"/>
    <w:rsid w:val="009E72DB"/>
    <w:rsid w:val="009F0DBD"/>
    <w:rsid w:val="00A0390B"/>
    <w:rsid w:val="00A2243B"/>
    <w:rsid w:val="00A224A0"/>
    <w:rsid w:val="00A3637D"/>
    <w:rsid w:val="00A55577"/>
    <w:rsid w:val="00A5788A"/>
    <w:rsid w:val="00A701E3"/>
    <w:rsid w:val="00A70289"/>
    <w:rsid w:val="00A74303"/>
    <w:rsid w:val="00A83D98"/>
    <w:rsid w:val="00A84218"/>
    <w:rsid w:val="00A94D2E"/>
    <w:rsid w:val="00AA5FB2"/>
    <w:rsid w:val="00AB3593"/>
    <w:rsid w:val="00AB4F75"/>
    <w:rsid w:val="00AC5BAE"/>
    <w:rsid w:val="00AE19E9"/>
    <w:rsid w:val="00AE2AFE"/>
    <w:rsid w:val="00AF7FEB"/>
    <w:rsid w:val="00B073C8"/>
    <w:rsid w:val="00B178E6"/>
    <w:rsid w:val="00B2157F"/>
    <w:rsid w:val="00B35B0B"/>
    <w:rsid w:val="00B47B82"/>
    <w:rsid w:val="00B53A5A"/>
    <w:rsid w:val="00B60F04"/>
    <w:rsid w:val="00B77971"/>
    <w:rsid w:val="00B90141"/>
    <w:rsid w:val="00B927B8"/>
    <w:rsid w:val="00B964FD"/>
    <w:rsid w:val="00BA04BD"/>
    <w:rsid w:val="00BB72D3"/>
    <w:rsid w:val="00BB75BC"/>
    <w:rsid w:val="00BD10DA"/>
    <w:rsid w:val="00BE2D92"/>
    <w:rsid w:val="00BE4A9B"/>
    <w:rsid w:val="00C1341E"/>
    <w:rsid w:val="00C31250"/>
    <w:rsid w:val="00C405E3"/>
    <w:rsid w:val="00C4084D"/>
    <w:rsid w:val="00C457D6"/>
    <w:rsid w:val="00C57732"/>
    <w:rsid w:val="00C81F4C"/>
    <w:rsid w:val="00C86163"/>
    <w:rsid w:val="00C97CBA"/>
    <w:rsid w:val="00CA11C5"/>
    <w:rsid w:val="00CA3E99"/>
    <w:rsid w:val="00CA55EA"/>
    <w:rsid w:val="00CB0A73"/>
    <w:rsid w:val="00CB2927"/>
    <w:rsid w:val="00CB4650"/>
    <w:rsid w:val="00CB5ACA"/>
    <w:rsid w:val="00CE002A"/>
    <w:rsid w:val="00D056BB"/>
    <w:rsid w:val="00D235F3"/>
    <w:rsid w:val="00D26E34"/>
    <w:rsid w:val="00D321A2"/>
    <w:rsid w:val="00D37A29"/>
    <w:rsid w:val="00D6286E"/>
    <w:rsid w:val="00D73DB9"/>
    <w:rsid w:val="00D774CB"/>
    <w:rsid w:val="00D82C5D"/>
    <w:rsid w:val="00DD6F16"/>
    <w:rsid w:val="00DE30A8"/>
    <w:rsid w:val="00DE39EA"/>
    <w:rsid w:val="00DE6859"/>
    <w:rsid w:val="00DF5D1A"/>
    <w:rsid w:val="00DF6512"/>
    <w:rsid w:val="00E067F3"/>
    <w:rsid w:val="00E2378C"/>
    <w:rsid w:val="00E50992"/>
    <w:rsid w:val="00E670DD"/>
    <w:rsid w:val="00E70A24"/>
    <w:rsid w:val="00E90755"/>
    <w:rsid w:val="00E92B0C"/>
    <w:rsid w:val="00E95176"/>
    <w:rsid w:val="00EA2A2E"/>
    <w:rsid w:val="00EC5D28"/>
    <w:rsid w:val="00EE5429"/>
    <w:rsid w:val="00EE71BC"/>
    <w:rsid w:val="00EF7932"/>
    <w:rsid w:val="00F00AFE"/>
    <w:rsid w:val="00F16B9D"/>
    <w:rsid w:val="00F22F94"/>
    <w:rsid w:val="00F30C79"/>
    <w:rsid w:val="00F30D51"/>
    <w:rsid w:val="00F43806"/>
    <w:rsid w:val="00F55486"/>
    <w:rsid w:val="00F57844"/>
    <w:rsid w:val="00F60A23"/>
    <w:rsid w:val="00F80126"/>
    <w:rsid w:val="00F81B15"/>
    <w:rsid w:val="00F82E6F"/>
    <w:rsid w:val="00F843AA"/>
    <w:rsid w:val="00F917E8"/>
    <w:rsid w:val="00FB723C"/>
    <w:rsid w:val="00FC35C7"/>
    <w:rsid w:val="00FC5398"/>
    <w:rsid w:val="00FC6084"/>
    <w:rsid w:val="00FD2A5F"/>
    <w:rsid w:val="00FE2CA0"/>
    <w:rsid w:val="00FF21CB"/>
    <w:rsid w:val="00FF5E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F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944"/>
    <w:rPr>
      <w:color w:val="0563C1" w:themeColor="hyperlink"/>
      <w:u w:val="single"/>
    </w:rPr>
  </w:style>
  <w:style w:type="character" w:customStyle="1" w:styleId="UnresolvedMention1">
    <w:name w:val="Unresolved Mention1"/>
    <w:basedOn w:val="DefaultParagraphFont"/>
    <w:uiPriority w:val="99"/>
    <w:semiHidden/>
    <w:unhideWhenUsed/>
    <w:rsid w:val="00266944"/>
    <w:rPr>
      <w:color w:val="605E5C"/>
      <w:shd w:val="clear" w:color="auto" w:fill="E1DFDD"/>
    </w:rPr>
  </w:style>
  <w:style w:type="character" w:styleId="CommentReference">
    <w:name w:val="annotation reference"/>
    <w:basedOn w:val="DefaultParagraphFont"/>
    <w:uiPriority w:val="99"/>
    <w:semiHidden/>
    <w:unhideWhenUsed/>
    <w:rsid w:val="00942A08"/>
    <w:rPr>
      <w:sz w:val="16"/>
      <w:szCs w:val="16"/>
    </w:rPr>
  </w:style>
  <w:style w:type="paragraph" w:styleId="CommentText">
    <w:name w:val="annotation text"/>
    <w:basedOn w:val="Normal"/>
    <w:link w:val="CommentTextChar"/>
    <w:uiPriority w:val="99"/>
    <w:semiHidden/>
    <w:unhideWhenUsed/>
    <w:rsid w:val="00942A08"/>
    <w:pPr>
      <w:spacing w:line="240" w:lineRule="auto"/>
    </w:pPr>
    <w:rPr>
      <w:sz w:val="20"/>
      <w:szCs w:val="20"/>
    </w:rPr>
  </w:style>
  <w:style w:type="character" w:customStyle="1" w:styleId="CommentTextChar">
    <w:name w:val="Comment Text Char"/>
    <w:basedOn w:val="DefaultParagraphFont"/>
    <w:link w:val="CommentText"/>
    <w:uiPriority w:val="99"/>
    <w:semiHidden/>
    <w:rsid w:val="00942A08"/>
    <w:rPr>
      <w:sz w:val="20"/>
      <w:szCs w:val="20"/>
    </w:rPr>
  </w:style>
  <w:style w:type="paragraph" w:styleId="CommentSubject">
    <w:name w:val="annotation subject"/>
    <w:basedOn w:val="CommentText"/>
    <w:next w:val="CommentText"/>
    <w:link w:val="CommentSubjectChar"/>
    <w:uiPriority w:val="99"/>
    <w:semiHidden/>
    <w:unhideWhenUsed/>
    <w:rsid w:val="00942A08"/>
    <w:rPr>
      <w:b/>
      <w:bCs/>
    </w:rPr>
  </w:style>
  <w:style w:type="character" w:customStyle="1" w:styleId="CommentSubjectChar">
    <w:name w:val="Comment Subject Char"/>
    <w:basedOn w:val="CommentTextChar"/>
    <w:link w:val="CommentSubject"/>
    <w:uiPriority w:val="99"/>
    <w:semiHidden/>
    <w:rsid w:val="00942A08"/>
    <w:rPr>
      <w:b/>
      <w:bCs/>
      <w:sz w:val="20"/>
      <w:szCs w:val="20"/>
    </w:rPr>
  </w:style>
  <w:style w:type="paragraph" w:styleId="BalloonText">
    <w:name w:val="Balloon Text"/>
    <w:basedOn w:val="Normal"/>
    <w:link w:val="BalloonTextChar"/>
    <w:uiPriority w:val="99"/>
    <w:semiHidden/>
    <w:unhideWhenUsed/>
    <w:rsid w:val="00942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A08"/>
    <w:rPr>
      <w:rFonts w:ascii="Segoe UI" w:hAnsi="Segoe UI" w:cs="Segoe UI"/>
      <w:sz w:val="18"/>
      <w:szCs w:val="18"/>
    </w:rPr>
  </w:style>
  <w:style w:type="paragraph" w:styleId="ListParagraph">
    <w:name w:val="List Paragraph"/>
    <w:basedOn w:val="Normal"/>
    <w:uiPriority w:val="1"/>
    <w:qFormat/>
    <w:rsid w:val="005918E8"/>
    <w:pPr>
      <w:ind w:left="720"/>
      <w:contextualSpacing/>
    </w:pPr>
  </w:style>
  <w:style w:type="table" w:customStyle="1" w:styleId="TableNormal1">
    <w:name w:val="Table Normal1"/>
    <w:uiPriority w:val="2"/>
    <w:semiHidden/>
    <w:unhideWhenUsed/>
    <w:qFormat/>
    <w:rsid w:val="006649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649B7"/>
    <w:pPr>
      <w:widowControl w:val="0"/>
      <w:autoSpaceDE w:val="0"/>
      <w:autoSpaceDN w:val="0"/>
      <w:spacing w:after="0" w:line="240" w:lineRule="auto"/>
      <w:ind w:left="563"/>
      <w:jc w:val="both"/>
    </w:pPr>
    <w:rPr>
      <w:rFonts w:ascii="Calibri" w:eastAsia="Calibri" w:hAnsi="Calibri" w:cs="Calibri"/>
      <w:sz w:val="21"/>
      <w:szCs w:val="21"/>
    </w:rPr>
  </w:style>
  <w:style w:type="character" w:customStyle="1" w:styleId="BodyTextChar">
    <w:name w:val="Body Text Char"/>
    <w:basedOn w:val="DefaultParagraphFont"/>
    <w:link w:val="BodyText"/>
    <w:uiPriority w:val="1"/>
    <w:rsid w:val="006649B7"/>
    <w:rPr>
      <w:rFonts w:ascii="Calibri" w:eastAsia="Calibri" w:hAnsi="Calibri" w:cs="Calibri"/>
      <w:sz w:val="21"/>
      <w:szCs w:val="21"/>
    </w:rPr>
  </w:style>
  <w:style w:type="paragraph" w:styleId="Title">
    <w:name w:val="Title"/>
    <w:basedOn w:val="Normal"/>
    <w:link w:val="TitleChar"/>
    <w:uiPriority w:val="10"/>
    <w:qFormat/>
    <w:rsid w:val="006649B7"/>
    <w:pPr>
      <w:widowControl w:val="0"/>
      <w:autoSpaceDE w:val="0"/>
      <w:autoSpaceDN w:val="0"/>
      <w:spacing w:before="103" w:after="0" w:line="240" w:lineRule="auto"/>
      <w:ind w:left="563"/>
    </w:pPr>
    <w:rPr>
      <w:rFonts w:ascii="Calibri" w:eastAsia="Calibri" w:hAnsi="Calibri" w:cs="Calibri"/>
      <w:b/>
      <w:bCs/>
      <w:sz w:val="28"/>
      <w:szCs w:val="28"/>
    </w:rPr>
  </w:style>
  <w:style w:type="character" w:customStyle="1" w:styleId="TitleChar">
    <w:name w:val="Title Char"/>
    <w:basedOn w:val="DefaultParagraphFont"/>
    <w:link w:val="Title"/>
    <w:uiPriority w:val="10"/>
    <w:rsid w:val="006649B7"/>
    <w:rPr>
      <w:rFonts w:ascii="Calibri" w:eastAsia="Calibri" w:hAnsi="Calibri" w:cs="Calibri"/>
      <w:b/>
      <w:bCs/>
      <w:sz w:val="28"/>
      <w:szCs w:val="28"/>
    </w:rPr>
  </w:style>
  <w:style w:type="paragraph" w:customStyle="1" w:styleId="TableParagraph">
    <w:name w:val="Table Paragraph"/>
    <w:basedOn w:val="Normal"/>
    <w:uiPriority w:val="1"/>
    <w:qFormat/>
    <w:rsid w:val="006649B7"/>
    <w:pPr>
      <w:widowControl w:val="0"/>
      <w:autoSpaceDE w:val="0"/>
      <w:autoSpaceDN w:val="0"/>
      <w:spacing w:after="0" w:line="240" w:lineRule="auto"/>
    </w:pPr>
    <w:rPr>
      <w:rFonts w:ascii="Calibri" w:eastAsia="Calibri" w:hAnsi="Calibri" w:cs="Calibri"/>
    </w:rPr>
  </w:style>
  <w:style w:type="paragraph" w:styleId="Header">
    <w:name w:val="header"/>
    <w:basedOn w:val="Normal"/>
    <w:link w:val="HeaderChar"/>
    <w:uiPriority w:val="99"/>
    <w:unhideWhenUsed/>
    <w:rsid w:val="00461D7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1D75"/>
  </w:style>
  <w:style w:type="paragraph" w:styleId="Footer">
    <w:name w:val="footer"/>
    <w:basedOn w:val="Normal"/>
    <w:link w:val="FooterChar"/>
    <w:uiPriority w:val="99"/>
    <w:unhideWhenUsed/>
    <w:rsid w:val="00461D7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1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23789">
      <w:bodyDiv w:val="1"/>
      <w:marLeft w:val="0"/>
      <w:marRight w:val="0"/>
      <w:marTop w:val="0"/>
      <w:marBottom w:val="0"/>
      <w:divBdr>
        <w:top w:val="none" w:sz="0" w:space="0" w:color="auto"/>
        <w:left w:val="none" w:sz="0" w:space="0" w:color="auto"/>
        <w:bottom w:val="none" w:sz="0" w:space="0" w:color="auto"/>
        <w:right w:val="none" w:sz="0" w:space="0" w:color="auto"/>
      </w:divBdr>
    </w:div>
    <w:div w:id="1385838598">
      <w:bodyDiv w:val="1"/>
      <w:marLeft w:val="0"/>
      <w:marRight w:val="0"/>
      <w:marTop w:val="0"/>
      <w:marBottom w:val="0"/>
      <w:divBdr>
        <w:top w:val="none" w:sz="0" w:space="0" w:color="auto"/>
        <w:left w:val="none" w:sz="0" w:space="0" w:color="auto"/>
        <w:bottom w:val="none" w:sz="0" w:space="0" w:color="auto"/>
        <w:right w:val="none" w:sz="0" w:space="0" w:color="auto"/>
      </w:divBdr>
    </w:div>
    <w:div w:id="1471628345">
      <w:bodyDiv w:val="1"/>
      <w:marLeft w:val="0"/>
      <w:marRight w:val="0"/>
      <w:marTop w:val="0"/>
      <w:marBottom w:val="0"/>
      <w:divBdr>
        <w:top w:val="none" w:sz="0" w:space="0" w:color="auto"/>
        <w:left w:val="none" w:sz="0" w:space="0" w:color="auto"/>
        <w:bottom w:val="none" w:sz="0" w:space="0" w:color="auto"/>
        <w:right w:val="none" w:sz="0" w:space="0" w:color="auto"/>
      </w:divBdr>
    </w:div>
    <w:div w:id="19642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2-100-00-00" TargetMode="External"/><Relationship Id="rId13" Type="http://schemas.openxmlformats.org/officeDocument/2006/relationships/hyperlink" Target="https://public.mkab.hu/dev/dontesek.nsf/0/75f904febe23ef85c1257df20045a69f/$FILE/0005_2015_hat%C3%A1rozat.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njt.hu/jogszabaly/2011-4301-02-00" TargetMode="External"/><Relationship Id="rId12" Type="http://schemas.openxmlformats.org/officeDocument/2006/relationships/hyperlink" Target="https://alkotmanybirosag.hu/ugyadatlap/?id=210491AB31CF871DC125812A0058A23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ublic.mkab.hu/dev/dontesek.nsf/0/256df59aace288a5c1258a47004f2fb3/$FILE/3325_2024_AB_hat%C3%A1rozat.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mkab.hu/dev/dontesek.nsf/0/943ee8413e42bccdc125825d00341531/$FILE/3107_2018%20AB%20hat%C3%A1rozat.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lkotmanybirosag.hu/ugyadatlap/?id=DCAE82809F3037D2C1257BBF001BABA1" TargetMode="External"/><Relationship Id="rId23" Type="http://schemas.openxmlformats.org/officeDocument/2006/relationships/fontTable" Target="fontTable.xml"/><Relationship Id="rId10" Type="http://schemas.openxmlformats.org/officeDocument/2006/relationships/hyperlink" Target="https://hunconcourt.hu/datasheet/?id=99C984B5B36D2380C125804F0058956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ublic.mkab.hu/dev/dontesek.nsf/0/4cf02cf91345ca89c1257f4f005dd2f4/$FILE/3263_2018%20AB%20hat%C3%A1rozat.pdf" TargetMode="External"/><Relationship Id="rId14" Type="http://schemas.openxmlformats.org/officeDocument/2006/relationships/hyperlink" Target="https://alkotmanybirosag.hu/ugyadatlap/?id=64E8BB597FE98F9CC1257C770021B949" TargetMode="External"/><Relationship Id="rId22"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2323</Words>
  <Characters>13247</Characters>
  <Application>Microsoft Office Word</Application>
  <DocSecurity>0</DocSecurity>
  <Lines>110</Lines>
  <Paragraphs>31</Paragraphs>
  <ScaleCrop>false</ScaleCrop>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2025-08-21T14:11:00Z</dcterms:created>
  <dcterms:modified xsi:type="dcterms:W3CDTF">2025-09-05T17:47:00Z</dcterms:modified>
</cp:coreProperties>
</file>