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EDE9" w14:textId="77777777" w:rsidR="00811811" w:rsidRDefault="00811811" w:rsidP="00811811">
      <w:pPr>
        <w:pStyle w:val="Glava"/>
        <w:jc w:val="center"/>
        <w:rPr>
          <w:b/>
          <w:bCs/>
        </w:rPr>
      </w:pPr>
    </w:p>
    <w:p w14:paraId="6405AA15" w14:textId="77777777" w:rsidR="00811811" w:rsidRDefault="00811811" w:rsidP="00811811">
      <w:pPr>
        <w:pStyle w:val="Glava"/>
        <w:jc w:val="center"/>
        <w:rPr>
          <w:b/>
          <w:bCs/>
        </w:rPr>
      </w:pPr>
    </w:p>
    <w:p w14:paraId="485AC870" w14:textId="77777777" w:rsidR="00811811" w:rsidRPr="00811811" w:rsidRDefault="00332A20" w:rsidP="00811811">
      <w:pPr>
        <w:pStyle w:val="Naslov"/>
        <w:jc w:val="center"/>
        <w:rPr>
          <w:rStyle w:val="Neenpoudarek"/>
          <w:b/>
          <w:bCs/>
          <w:i w:val="0"/>
          <w:iCs w:val="0"/>
          <w:sz w:val="28"/>
          <w:szCs w:val="28"/>
        </w:rPr>
      </w:pPr>
      <w:r w:rsidRPr="00811811">
        <w:rPr>
          <w:rStyle w:val="Neenpoudarek"/>
          <w:b/>
          <w:bCs/>
          <w:i w:val="0"/>
          <w:iCs w:val="0"/>
          <w:sz w:val="28"/>
          <w:szCs w:val="28"/>
        </w:rPr>
        <w:t>Case Analysis Template</w:t>
      </w:r>
    </w:p>
    <w:p w14:paraId="5DC849B3" w14:textId="77777777" w:rsidR="00811811" w:rsidRDefault="00811811">
      <w:pPr>
        <w:rPr>
          <w:rFonts w:cstheme="minorHAnsi"/>
          <w:sz w:val="22"/>
          <w:szCs w:val="22"/>
        </w:rPr>
      </w:pPr>
    </w:p>
    <w:p w14:paraId="67C05023" w14:textId="77777777" w:rsidR="00811811" w:rsidRDefault="00811811">
      <w:pPr>
        <w:rPr>
          <w:rFonts w:cstheme="minorHAnsi"/>
          <w:sz w:val="22"/>
          <w:szCs w:val="22"/>
        </w:rPr>
      </w:pPr>
    </w:p>
    <w:p w14:paraId="57CF2F12" w14:textId="00E83638" w:rsidR="00B171E2" w:rsidRDefault="00332A20">
      <w:pPr>
        <w:rPr>
          <w:rFonts w:cstheme="minorHAnsi"/>
          <w:sz w:val="22"/>
          <w:szCs w:val="22"/>
        </w:rPr>
      </w:pPr>
      <w:r>
        <w:rPr>
          <w:rFonts w:cstheme="minorHAnsi"/>
          <w:b/>
          <w:bCs/>
          <w:sz w:val="22"/>
          <w:szCs w:val="22"/>
        </w:rPr>
        <w:t xml:space="preserve">Case Title: </w:t>
      </w:r>
      <w:r w:rsidR="0081616C" w:rsidRPr="0081616C">
        <w:rPr>
          <w:rFonts w:cstheme="minorHAnsi"/>
          <w:sz w:val="22"/>
          <w:szCs w:val="22"/>
        </w:rPr>
        <w:t xml:space="preserve">Peter </w:t>
      </w:r>
      <w:proofErr w:type="spellStart"/>
      <w:r w:rsidR="0081616C" w:rsidRPr="0081616C">
        <w:rPr>
          <w:rFonts w:cstheme="minorHAnsi"/>
          <w:sz w:val="22"/>
          <w:szCs w:val="22"/>
        </w:rPr>
        <w:t>Čeferin</w:t>
      </w:r>
      <w:proofErr w:type="spellEnd"/>
      <w:r w:rsidR="0081616C">
        <w:rPr>
          <w:rFonts w:cstheme="minorHAnsi"/>
          <w:b/>
          <w:bCs/>
          <w:sz w:val="22"/>
          <w:szCs w:val="22"/>
        </w:rPr>
        <w:t xml:space="preserve"> </w:t>
      </w:r>
      <w:r w:rsidR="00BA6BDB">
        <w:rPr>
          <w:rFonts w:cstheme="minorHAnsi"/>
          <w:sz w:val="22"/>
          <w:szCs w:val="22"/>
        </w:rPr>
        <w:t>v. Slovenia</w:t>
      </w:r>
    </w:p>
    <w:p w14:paraId="424DB602" w14:textId="77777777" w:rsidR="00A6090C" w:rsidRDefault="00332A20">
      <w:pPr>
        <w:rPr>
          <w:rFonts w:cstheme="minorHAnsi"/>
          <w:sz w:val="22"/>
          <w:szCs w:val="22"/>
        </w:rPr>
      </w:pPr>
      <w:r w:rsidRPr="00A6090C">
        <w:rPr>
          <w:rFonts w:cstheme="minorHAnsi"/>
          <w:b/>
          <w:bCs/>
          <w:sz w:val="22"/>
          <w:szCs w:val="22"/>
        </w:rPr>
        <w:t>Court:</w:t>
      </w:r>
      <w:r>
        <w:rPr>
          <w:rFonts w:cstheme="minorHAnsi"/>
          <w:sz w:val="22"/>
          <w:szCs w:val="22"/>
        </w:rPr>
        <w:t xml:space="preserve"> Constitutional Court of the Republic of Slovenia</w:t>
      </w:r>
    </w:p>
    <w:p w14:paraId="3A4C36DB" w14:textId="11988A47" w:rsidR="00B171E2" w:rsidRDefault="00332A20">
      <w:pPr>
        <w:rPr>
          <w:rFonts w:cstheme="minorHAnsi"/>
          <w:sz w:val="22"/>
          <w:szCs w:val="22"/>
        </w:rPr>
      </w:pPr>
      <w:r>
        <w:rPr>
          <w:rFonts w:cstheme="minorHAnsi"/>
          <w:b/>
          <w:bCs/>
          <w:sz w:val="22"/>
          <w:szCs w:val="22"/>
        </w:rPr>
        <w:t xml:space="preserve">Case Number: </w:t>
      </w:r>
      <w:r w:rsidR="0081616C" w:rsidRPr="0081616C">
        <w:rPr>
          <w:rFonts w:cstheme="minorHAnsi"/>
          <w:sz w:val="22"/>
          <w:szCs w:val="22"/>
        </w:rPr>
        <w:t>Up-309/05</w:t>
      </w:r>
    </w:p>
    <w:p w14:paraId="18E13804" w14:textId="26E98974" w:rsidR="00B171E2" w:rsidRDefault="00332A20">
      <w:pPr>
        <w:rPr>
          <w:rFonts w:cstheme="minorHAnsi"/>
          <w:sz w:val="22"/>
          <w:szCs w:val="22"/>
        </w:rPr>
      </w:pPr>
      <w:r w:rsidRPr="00B171E2">
        <w:rPr>
          <w:rFonts w:cstheme="minorHAnsi"/>
          <w:b/>
          <w:bCs/>
          <w:sz w:val="22"/>
          <w:szCs w:val="22"/>
        </w:rPr>
        <w:t>Date of Decision:</w:t>
      </w:r>
      <w:r>
        <w:rPr>
          <w:rFonts w:cstheme="minorHAnsi"/>
          <w:b/>
          <w:bCs/>
          <w:sz w:val="22"/>
          <w:szCs w:val="22"/>
        </w:rPr>
        <w:t xml:space="preserve"> </w:t>
      </w:r>
      <w:r w:rsidR="0081616C">
        <w:rPr>
          <w:rFonts w:cstheme="minorHAnsi"/>
          <w:sz w:val="22"/>
          <w:szCs w:val="22"/>
        </w:rPr>
        <w:t>05/15/2008</w:t>
      </w:r>
    </w:p>
    <w:p w14:paraId="132EBDBC" w14:textId="77777777" w:rsidR="00D924D9" w:rsidRDefault="00332A20">
      <w:pPr>
        <w:rPr>
          <w:rFonts w:cstheme="minorHAnsi"/>
          <w:sz w:val="22"/>
          <w:szCs w:val="22"/>
        </w:rPr>
      </w:pPr>
      <w:r w:rsidRPr="00D924D9">
        <w:rPr>
          <w:rFonts w:cstheme="minorHAnsi"/>
          <w:b/>
          <w:bCs/>
          <w:sz w:val="22"/>
          <w:szCs w:val="22"/>
        </w:rPr>
        <w:t>Country:</w:t>
      </w:r>
      <w:r>
        <w:rPr>
          <w:rFonts w:cstheme="minorHAnsi"/>
          <w:sz w:val="22"/>
          <w:szCs w:val="22"/>
        </w:rPr>
        <w:t xml:space="preserve"> Slovenia</w:t>
      </w:r>
    </w:p>
    <w:p w14:paraId="1A699F5A" w14:textId="218CF03E" w:rsidR="00D87353" w:rsidRDefault="00D87353" w:rsidP="00D87353">
      <w:pPr>
        <w:rPr>
          <w:rFonts w:cstheme="minorHAnsi"/>
          <w:sz w:val="22"/>
          <w:szCs w:val="22"/>
        </w:rPr>
      </w:pPr>
      <w:r w:rsidRPr="00D87353">
        <w:rPr>
          <w:rFonts w:cstheme="minorHAnsi"/>
          <w:b/>
          <w:bCs/>
          <w:sz w:val="22"/>
          <w:szCs w:val="22"/>
        </w:rPr>
        <w:t>Mode of Expression</w:t>
      </w:r>
      <w:r>
        <w:rPr>
          <w:rFonts w:cstheme="minorHAnsi"/>
          <w:b/>
          <w:bCs/>
          <w:sz w:val="22"/>
          <w:szCs w:val="22"/>
        </w:rPr>
        <w:t xml:space="preserve">: </w:t>
      </w:r>
      <w:r w:rsidR="00E10911" w:rsidRPr="00E10911">
        <w:rPr>
          <w:rFonts w:cstheme="minorHAnsi"/>
          <w:sz w:val="22"/>
          <w:szCs w:val="22"/>
        </w:rPr>
        <w:t xml:space="preserve">Public </w:t>
      </w:r>
      <w:r w:rsidR="00E10911">
        <w:rPr>
          <w:rFonts w:cstheme="minorHAnsi"/>
          <w:sz w:val="22"/>
          <w:szCs w:val="22"/>
        </w:rPr>
        <w:t>Speech</w:t>
      </w:r>
    </w:p>
    <w:p w14:paraId="10AE0C0D" w14:textId="676CD95F" w:rsidR="00576C1D" w:rsidRPr="00B171E2" w:rsidRDefault="00576C1D" w:rsidP="00D87353">
      <w:pPr>
        <w:rPr>
          <w:rFonts w:cstheme="minorHAnsi"/>
          <w:b/>
          <w:bCs/>
          <w:sz w:val="22"/>
          <w:szCs w:val="22"/>
        </w:rPr>
      </w:pPr>
      <w:r>
        <w:rPr>
          <w:rFonts w:cstheme="minorHAnsi"/>
          <w:b/>
          <w:bCs/>
          <w:sz w:val="22"/>
          <w:szCs w:val="22"/>
        </w:rPr>
        <w:t xml:space="preserve">Outcome: </w:t>
      </w:r>
      <w:r w:rsidR="00EA37B0" w:rsidRPr="00EA37B0">
        <w:rPr>
          <w:rFonts w:cstheme="minorHAnsi"/>
          <w:sz w:val="22"/>
          <w:szCs w:val="22"/>
        </w:rPr>
        <w:t>Decision Outcome (Disposition/Ruling),</w:t>
      </w:r>
      <w:r w:rsidR="00EA37B0">
        <w:rPr>
          <w:rFonts w:cstheme="minorHAnsi"/>
          <w:sz w:val="22"/>
          <w:szCs w:val="22"/>
        </w:rPr>
        <w:t xml:space="preserve"> </w:t>
      </w:r>
      <w:r w:rsidR="006D6422">
        <w:rPr>
          <w:rFonts w:cstheme="minorHAnsi"/>
          <w:sz w:val="22"/>
          <w:szCs w:val="22"/>
        </w:rPr>
        <w:t>Dismissed</w:t>
      </w:r>
    </w:p>
    <w:p w14:paraId="495E1F5C" w14:textId="77777777" w:rsidR="0081616C" w:rsidRDefault="0081616C">
      <w:pPr>
        <w:rPr>
          <w:rFonts w:cstheme="minorHAnsi"/>
          <w:b/>
          <w:bCs/>
          <w:sz w:val="22"/>
          <w:szCs w:val="22"/>
        </w:rPr>
      </w:pPr>
    </w:p>
    <w:p w14:paraId="4197536F" w14:textId="77777777" w:rsidR="00C26D30" w:rsidRPr="00FB3A49" w:rsidRDefault="00C26D30">
      <w:pPr>
        <w:rPr>
          <w:rFonts w:cstheme="minorHAnsi"/>
          <w:b/>
          <w:bCs/>
          <w:sz w:val="22"/>
          <w:szCs w:val="22"/>
        </w:rPr>
      </w:pPr>
    </w:p>
    <w:p w14:paraId="1DD4AB8E" w14:textId="77777777" w:rsidR="008C35B8" w:rsidRPr="00FB3A49" w:rsidRDefault="00332A20">
      <w:pPr>
        <w:rPr>
          <w:rFonts w:cstheme="minorHAnsi"/>
          <w:b/>
          <w:bCs/>
          <w:sz w:val="22"/>
          <w:szCs w:val="22"/>
        </w:rPr>
      </w:pPr>
      <w:r w:rsidRPr="00FB3A49">
        <w:rPr>
          <w:rFonts w:cstheme="minorHAnsi"/>
          <w:b/>
          <w:bCs/>
          <w:sz w:val="22"/>
          <w:szCs w:val="22"/>
        </w:rPr>
        <w:t>Summary and Outcome</w:t>
      </w:r>
    </w:p>
    <w:p w14:paraId="081867AD" w14:textId="5FFBADE6" w:rsidR="002A0420" w:rsidRDefault="00AC0D3F" w:rsidP="002176BE">
      <w:pPr>
        <w:jc w:val="both"/>
        <w:rPr>
          <w:rFonts w:cstheme="minorHAnsi"/>
          <w:sz w:val="22"/>
          <w:szCs w:val="22"/>
        </w:rPr>
      </w:pPr>
      <w:r w:rsidRPr="00AC0D3F">
        <w:rPr>
          <w:rFonts w:cstheme="minorHAnsi"/>
          <w:sz w:val="22"/>
          <w:szCs w:val="22"/>
        </w:rPr>
        <w:t xml:space="preserve">The Constitutional Court upheld the decision of the lower courts, which penalized the appellant with a monetary fine for insulting the experts in his capacity as </w:t>
      </w:r>
      <w:proofErr w:type="spellStart"/>
      <w:r w:rsidRPr="00AC0D3F">
        <w:rPr>
          <w:rFonts w:cstheme="minorHAnsi"/>
          <w:sz w:val="22"/>
          <w:szCs w:val="22"/>
        </w:rPr>
        <w:t>defence</w:t>
      </w:r>
      <w:proofErr w:type="spellEnd"/>
      <w:r w:rsidRPr="00AC0D3F">
        <w:rPr>
          <w:rFonts w:cstheme="minorHAnsi"/>
          <w:sz w:val="22"/>
          <w:szCs w:val="22"/>
        </w:rPr>
        <w:t xml:space="preserve"> counsel in the criminal proceedings. During the main hearing, the appellant described the work of the forensic experts who had provided expert opinions with the following expressions: 'nonsensical rambling,' 'expert's fabrications,' 'professional weakness of the experts,' 'the psychiatrist resorted to psychological methods they absolutely do not understand,' and 'the psychologist used outdated psychological methods from the Stone Age of psychology and an unscientific psychodynamic concept.' The constitutional Court held that while in his role as </w:t>
      </w:r>
      <w:proofErr w:type="spellStart"/>
      <w:r w:rsidRPr="00AC0D3F">
        <w:rPr>
          <w:rFonts w:cstheme="minorHAnsi"/>
          <w:sz w:val="22"/>
          <w:szCs w:val="22"/>
        </w:rPr>
        <w:t>defence</w:t>
      </w:r>
      <w:proofErr w:type="spellEnd"/>
      <w:r w:rsidRPr="00AC0D3F">
        <w:rPr>
          <w:rFonts w:cstheme="minorHAnsi"/>
          <w:sz w:val="22"/>
          <w:szCs w:val="22"/>
        </w:rPr>
        <w:t xml:space="preserve"> counsel for the accused in criminal proceedings, an attorney exercises their right to freedom of expression, insulting assessments that constitute a personal disqualification of experts as professionals are beyond reasonable argumentation with which the </w:t>
      </w:r>
      <w:proofErr w:type="spellStart"/>
      <w:r w:rsidRPr="00AC0D3F">
        <w:rPr>
          <w:rFonts w:cstheme="minorHAnsi"/>
          <w:sz w:val="22"/>
          <w:szCs w:val="22"/>
        </w:rPr>
        <w:t>defence</w:t>
      </w:r>
      <w:proofErr w:type="spellEnd"/>
      <w:r w:rsidRPr="00AC0D3F">
        <w:rPr>
          <w:rFonts w:cstheme="minorHAnsi"/>
          <w:sz w:val="22"/>
          <w:szCs w:val="22"/>
        </w:rPr>
        <w:t xml:space="preserve"> counsel could justify a motion for the appointment of new court experts.</w:t>
      </w:r>
    </w:p>
    <w:p w14:paraId="41B71E91" w14:textId="77777777" w:rsidR="00AC0D3F" w:rsidRDefault="00AC0D3F" w:rsidP="002176BE">
      <w:pPr>
        <w:jc w:val="both"/>
        <w:rPr>
          <w:rFonts w:cstheme="minorHAnsi"/>
          <w:sz w:val="22"/>
          <w:szCs w:val="22"/>
        </w:rPr>
      </w:pPr>
    </w:p>
    <w:p w14:paraId="45DC9CE2" w14:textId="77777777" w:rsidR="00AC0D3F" w:rsidRPr="00FB3A49" w:rsidRDefault="00AC0D3F" w:rsidP="002176BE">
      <w:pPr>
        <w:jc w:val="both"/>
        <w:rPr>
          <w:rFonts w:cstheme="minorHAnsi"/>
          <w:sz w:val="22"/>
          <w:szCs w:val="22"/>
        </w:rPr>
      </w:pPr>
    </w:p>
    <w:p w14:paraId="0E8A8948" w14:textId="3B7B5A0D" w:rsidR="00C47E91" w:rsidRPr="00AC0D3F" w:rsidRDefault="00332A20" w:rsidP="002176BE">
      <w:pPr>
        <w:jc w:val="both"/>
        <w:rPr>
          <w:rFonts w:cstheme="minorHAnsi"/>
          <w:b/>
          <w:bCs/>
          <w:sz w:val="22"/>
          <w:szCs w:val="22"/>
        </w:rPr>
      </w:pPr>
      <w:r w:rsidRPr="00FB3A49">
        <w:rPr>
          <w:rFonts w:cstheme="minorHAnsi"/>
          <w:b/>
          <w:bCs/>
          <w:sz w:val="22"/>
          <w:szCs w:val="22"/>
        </w:rPr>
        <w:t xml:space="preserve">Facts </w:t>
      </w:r>
    </w:p>
    <w:p w14:paraId="56B34335" w14:textId="77777777" w:rsidR="00C47E91" w:rsidRDefault="00C47E91" w:rsidP="002176BE">
      <w:pPr>
        <w:jc w:val="both"/>
        <w:rPr>
          <w:rFonts w:cstheme="minorHAnsi"/>
          <w:sz w:val="22"/>
          <w:szCs w:val="22"/>
        </w:rPr>
      </w:pPr>
    </w:p>
    <w:p w14:paraId="2E4C892B" w14:textId="77777777" w:rsidR="00AC0D3F" w:rsidRPr="00AC0D3F" w:rsidRDefault="00AC0D3F" w:rsidP="00AC0D3F">
      <w:pPr>
        <w:jc w:val="both"/>
        <w:rPr>
          <w:rFonts w:cstheme="minorHAnsi"/>
          <w:sz w:val="22"/>
          <w:szCs w:val="22"/>
        </w:rPr>
      </w:pPr>
      <w:r w:rsidRPr="00AC0D3F">
        <w:rPr>
          <w:rFonts w:cstheme="minorHAnsi"/>
          <w:sz w:val="22"/>
          <w:szCs w:val="22"/>
        </w:rPr>
        <w:t xml:space="preserve">The complainant, Dr Peter </w:t>
      </w:r>
      <w:proofErr w:type="spellStart"/>
      <w:r w:rsidRPr="00AC0D3F">
        <w:rPr>
          <w:rFonts w:cstheme="minorHAnsi"/>
          <w:sz w:val="22"/>
          <w:szCs w:val="22"/>
        </w:rPr>
        <w:t>Čeferin</w:t>
      </w:r>
      <w:proofErr w:type="spellEnd"/>
      <w:r w:rsidRPr="00AC0D3F">
        <w:rPr>
          <w:rFonts w:cstheme="minorHAnsi"/>
          <w:sz w:val="22"/>
          <w:szCs w:val="22"/>
        </w:rPr>
        <w:t xml:space="preserve">, is an attorney who was defending a person accused of a triple murder, committed on August 15, 2002, for which the prescribed penalty was 30 years in prison. The criminal proceedings were held before the District Court in Ljubljana between 2002 and 2004. Three court-appointed experts gave their opinions in this case, namely J.R. as a psychologist, V.R. as a psychiatrist and J.B. in the domain of forensic medicine. </w:t>
      </w:r>
    </w:p>
    <w:p w14:paraId="49370AFD" w14:textId="77777777" w:rsidR="00AC0D3F" w:rsidRPr="00AC0D3F" w:rsidRDefault="00AC0D3F" w:rsidP="00AC0D3F">
      <w:pPr>
        <w:jc w:val="both"/>
        <w:rPr>
          <w:rFonts w:cstheme="minorHAnsi"/>
          <w:sz w:val="22"/>
          <w:szCs w:val="22"/>
        </w:rPr>
      </w:pPr>
    </w:p>
    <w:p w14:paraId="5FAD79FA" w14:textId="77777777" w:rsidR="00AC0D3F" w:rsidRPr="00AC0D3F" w:rsidRDefault="00AC0D3F" w:rsidP="00AC0D3F">
      <w:pPr>
        <w:jc w:val="both"/>
        <w:rPr>
          <w:rFonts w:cstheme="minorHAnsi"/>
          <w:sz w:val="22"/>
          <w:szCs w:val="22"/>
        </w:rPr>
      </w:pPr>
      <w:r w:rsidRPr="00AC0D3F">
        <w:rPr>
          <w:rFonts w:cstheme="minorHAnsi"/>
          <w:sz w:val="22"/>
          <w:szCs w:val="22"/>
        </w:rPr>
        <w:t>At the final hearing on March 12, 2004, the complainant was participating in the cross-examination of the expert V.R. in his capacity as an attorney. He proposed that the expert opinions of both J.R. and V.R. were not credible. His arguments included the statement:</w:t>
      </w:r>
    </w:p>
    <w:p w14:paraId="1D2D6582" w14:textId="77777777" w:rsidR="00AC0D3F" w:rsidRPr="00AC0D3F" w:rsidRDefault="00AC0D3F" w:rsidP="00AC0D3F">
      <w:pPr>
        <w:jc w:val="both"/>
        <w:rPr>
          <w:rFonts w:cstheme="minorHAnsi"/>
          <w:sz w:val="22"/>
          <w:szCs w:val="22"/>
        </w:rPr>
      </w:pPr>
    </w:p>
    <w:p w14:paraId="719BDF1A" w14:textId="77777777" w:rsidR="00AC0D3F" w:rsidRPr="00AC0D3F" w:rsidRDefault="00AC0D3F" w:rsidP="00AC0D3F">
      <w:pPr>
        <w:jc w:val="both"/>
        <w:rPr>
          <w:rFonts w:cstheme="minorHAnsi"/>
          <w:sz w:val="22"/>
          <w:szCs w:val="22"/>
        </w:rPr>
      </w:pPr>
      <w:r w:rsidRPr="00AC0D3F">
        <w:rPr>
          <w:rFonts w:cstheme="minorHAnsi"/>
          <w:sz w:val="22"/>
          <w:szCs w:val="22"/>
        </w:rPr>
        <w:t>'In both opinions, those of the psychiatrist as well as the psychologist, the sad truth is evident: in their professional weakness, the experts resorted to methods foreign to their own fields. The psychiatrist relied on psychological methods, which he absolutely does not understand and uses only mechanically; the psychologist, who obtained no useful results with outdated psychological methods from the stone age of psychology and with the unscientific psychodynamic concept, therefore resorted to the field of medicine.'</w:t>
      </w:r>
    </w:p>
    <w:p w14:paraId="03CACF1A" w14:textId="77777777" w:rsidR="00AC0D3F" w:rsidRPr="00AC0D3F" w:rsidRDefault="00AC0D3F" w:rsidP="00AC0D3F">
      <w:pPr>
        <w:jc w:val="both"/>
        <w:rPr>
          <w:rFonts w:cstheme="minorHAnsi"/>
          <w:sz w:val="22"/>
          <w:szCs w:val="22"/>
        </w:rPr>
      </w:pPr>
    </w:p>
    <w:p w14:paraId="1677C63B" w14:textId="77777777" w:rsidR="00AC0D3F" w:rsidRPr="00AC0D3F" w:rsidRDefault="00AC0D3F" w:rsidP="00AC0D3F">
      <w:pPr>
        <w:jc w:val="both"/>
        <w:rPr>
          <w:rFonts w:cstheme="minorHAnsi"/>
          <w:sz w:val="22"/>
          <w:szCs w:val="22"/>
        </w:rPr>
      </w:pPr>
      <w:r w:rsidRPr="00AC0D3F">
        <w:rPr>
          <w:rFonts w:cstheme="minorHAnsi"/>
          <w:sz w:val="22"/>
          <w:szCs w:val="22"/>
        </w:rPr>
        <w:t>He furthermore argued that:</w:t>
      </w:r>
    </w:p>
    <w:p w14:paraId="0BFC783D" w14:textId="77777777" w:rsidR="00AC0D3F" w:rsidRPr="00AC0D3F" w:rsidRDefault="00AC0D3F" w:rsidP="00AC0D3F">
      <w:pPr>
        <w:jc w:val="both"/>
        <w:rPr>
          <w:rFonts w:cstheme="minorHAnsi"/>
          <w:sz w:val="22"/>
          <w:szCs w:val="22"/>
        </w:rPr>
      </w:pPr>
    </w:p>
    <w:p w14:paraId="6F9D757A" w14:textId="77777777" w:rsidR="00AC0D3F" w:rsidRPr="00AC0D3F" w:rsidRDefault="00AC0D3F" w:rsidP="00AC0D3F">
      <w:pPr>
        <w:jc w:val="both"/>
        <w:rPr>
          <w:rFonts w:cstheme="minorHAnsi"/>
          <w:sz w:val="22"/>
          <w:szCs w:val="22"/>
        </w:rPr>
      </w:pPr>
      <w:r w:rsidRPr="00AC0D3F">
        <w:rPr>
          <w:rFonts w:cstheme="minorHAnsi"/>
          <w:sz w:val="22"/>
          <w:szCs w:val="22"/>
        </w:rPr>
        <w:t>'The fact that the expert did not link his mental constructs to any specific mental disorder, least of all to a personality disorder, in which he proclaimed himself an expert, also shows that this is nothing more than senseless talking full of contradictions.'</w:t>
      </w:r>
    </w:p>
    <w:p w14:paraId="06B0C7CE" w14:textId="77777777" w:rsidR="00AC0D3F" w:rsidRPr="00AC0D3F" w:rsidRDefault="00AC0D3F" w:rsidP="00AC0D3F">
      <w:pPr>
        <w:jc w:val="both"/>
        <w:rPr>
          <w:rFonts w:cstheme="minorHAnsi"/>
          <w:sz w:val="22"/>
          <w:szCs w:val="22"/>
        </w:rPr>
      </w:pPr>
    </w:p>
    <w:p w14:paraId="46EDCE53" w14:textId="77777777" w:rsidR="00AC0D3F" w:rsidRPr="00AC0D3F" w:rsidRDefault="00AC0D3F" w:rsidP="00AC0D3F">
      <w:pPr>
        <w:jc w:val="both"/>
        <w:rPr>
          <w:rFonts w:cstheme="minorHAnsi"/>
          <w:sz w:val="22"/>
          <w:szCs w:val="22"/>
        </w:rPr>
      </w:pPr>
      <w:r w:rsidRPr="00AC0D3F">
        <w:rPr>
          <w:rFonts w:cstheme="minorHAnsi"/>
          <w:sz w:val="22"/>
          <w:szCs w:val="22"/>
        </w:rPr>
        <w:t xml:space="preserve">On March 19, 2004, the District Court in Ljubljana issued a decision, with which it penalized the complainant with a monetary fine of 150.000,00 Slovenian Tolars (SIT) for contempt of Court because of the remarks about senseless talking, mental constructs, professional weakness, as well as the claims that the court expert used outdated psychological methods from the stone age of psychology and that he relied on psychological methods, which he absolutely does not understand. </w:t>
      </w:r>
    </w:p>
    <w:p w14:paraId="2C11319A" w14:textId="77777777" w:rsidR="00AC0D3F" w:rsidRPr="00AC0D3F" w:rsidRDefault="00AC0D3F" w:rsidP="00AC0D3F">
      <w:pPr>
        <w:jc w:val="both"/>
        <w:rPr>
          <w:rFonts w:cstheme="minorHAnsi"/>
          <w:sz w:val="22"/>
          <w:szCs w:val="22"/>
        </w:rPr>
      </w:pPr>
    </w:p>
    <w:p w14:paraId="2AA8A68E" w14:textId="77777777" w:rsidR="00AC0D3F" w:rsidRPr="00AC0D3F" w:rsidRDefault="00AC0D3F" w:rsidP="00AC0D3F">
      <w:pPr>
        <w:jc w:val="both"/>
        <w:rPr>
          <w:rFonts w:cstheme="minorHAnsi"/>
          <w:sz w:val="22"/>
          <w:szCs w:val="22"/>
        </w:rPr>
      </w:pPr>
      <w:r w:rsidRPr="00AC0D3F">
        <w:rPr>
          <w:rFonts w:cstheme="minorHAnsi"/>
          <w:sz w:val="22"/>
          <w:szCs w:val="22"/>
        </w:rPr>
        <w:t>The first instance court thus claimed that the complainant used insulting value judgements about the professionalism of court-appointed experts. The Court held that their expertise, which was priorly confirmed by the Ministry of Justice, cannot be put in doubt. It stated that the complainant needed to be punished because he was an attorney with many years of court experience and because of the nature and weight of his insulting statements.</w:t>
      </w:r>
    </w:p>
    <w:p w14:paraId="230A659D" w14:textId="77777777" w:rsidR="00AC0D3F" w:rsidRPr="00AC0D3F" w:rsidRDefault="00AC0D3F" w:rsidP="00AC0D3F">
      <w:pPr>
        <w:jc w:val="both"/>
        <w:rPr>
          <w:rFonts w:cstheme="minorHAnsi"/>
          <w:sz w:val="22"/>
          <w:szCs w:val="22"/>
        </w:rPr>
      </w:pPr>
    </w:p>
    <w:p w14:paraId="60E8EB36" w14:textId="77777777" w:rsidR="00AC0D3F" w:rsidRPr="00AC0D3F" w:rsidRDefault="00AC0D3F" w:rsidP="00AC0D3F">
      <w:pPr>
        <w:jc w:val="both"/>
        <w:rPr>
          <w:rFonts w:cstheme="minorHAnsi"/>
          <w:sz w:val="22"/>
          <w:szCs w:val="22"/>
        </w:rPr>
      </w:pPr>
      <w:r w:rsidRPr="00AC0D3F">
        <w:rPr>
          <w:rFonts w:cstheme="minorHAnsi"/>
          <w:sz w:val="22"/>
          <w:szCs w:val="22"/>
        </w:rPr>
        <w:t>The complainant filed a complaint to the Higher Court in Ljubljana on July 8, 2004, arguing that he was merely being critical and that punishing attorneys in such a manner is primarily used to frighten them into silence, to cover up the court's unprofessional work, and that the courts should take a good look at themselves and reflect on the appropriateness of the practice of punishing attorneys for doing their job.</w:t>
      </w:r>
    </w:p>
    <w:p w14:paraId="629452C7" w14:textId="77777777" w:rsidR="00AC0D3F" w:rsidRPr="00AC0D3F" w:rsidRDefault="00AC0D3F" w:rsidP="00AC0D3F">
      <w:pPr>
        <w:jc w:val="both"/>
        <w:rPr>
          <w:rFonts w:cstheme="minorHAnsi"/>
          <w:sz w:val="22"/>
          <w:szCs w:val="22"/>
        </w:rPr>
      </w:pPr>
    </w:p>
    <w:p w14:paraId="6F38862A" w14:textId="77777777" w:rsidR="00AC0D3F" w:rsidRPr="00AC0D3F" w:rsidRDefault="00AC0D3F" w:rsidP="00AC0D3F">
      <w:pPr>
        <w:jc w:val="both"/>
        <w:rPr>
          <w:rFonts w:cstheme="minorHAnsi"/>
          <w:sz w:val="22"/>
          <w:szCs w:val="22"/>
        </w:rPr>
      </w:pPr>
      <w:r w:rsidRPr="00AC0D3F">
        <w:rPr>
          <w:rFonts w:cstheme="minorHAnsi"/>
          <w:sz w:val="22"/>
          <w:szCs w:val="22"/>
        </w:rPr>
        <w:t>On February 3, 2005, the Higher Court in Ljubljana dismissed the appeal as unfounded. The Court's arguments emphasized the court's duty to preserve its authority and stated that the defendant's statements attacked the honor and good name of the two court experts, showcased contempt and disrespect of human dignity, and were unworthy of the attorney profession.</w:t>
      </w:r>
    </w:p>
    <w:p w14:paraId="549AEC2C" w14:textId="77777777" w:rsidR="00AC0D3F" w:rsidRPr="00AC0D3F" w:rsidRDefault="00AC0D3F" w:rsidP="00AC0D3F">
      <w:pPr>
        <w:jc w:val="both"/>
        <w:rPr>
          <w:rFonts w:cstheme="minorHAnsi"/>
          <w:sz w:val="22"/>
          <w:szCs w:val="22"/>
        </w:rPr>
      </w:pPr>
    </w:p>
    <w:p w14:paraId="3BF35FD2" w14:textId="566325A8" w:rsidR="006210D1" w:rsidRDefault="00AC0D3F" w:rsidP="00AC0D3F">
      <w:pPr>
        <w:jc w:val="both"/>
        <w:rPr>
          <w:rFonts w:cstheme="minorHAnsi"/>
          <w:sz w:val="22"/>
          <w:szCs w:val="22"/>
        </w:rPr>
      </w:pPr>
      <w:r w:rsidRPr="00AC0D3F">
        <w:rPr>
          <w:rFonts w:cstheme="minorHAnsi"/>
          <w:sz w:val="22"/>
          <w:szCs w:val="22"/>
        </w:rPr>
        <w:t>On this basis, the complainant filed a constitutional complaint on March 31, 2005, arguing a breach of his right to freedom of expression, based on the Article 10 of the ECHR and Article 39 of the Slovenian Constitution, as well as connecting the breach with his right to freedom of expression with the right to defense of his client, based on Article 29 of the Constitution and Article 6 of the ECHR.</w:t>
      </w:r>
    </w:p>
    <w:p w14:paraId="3DFA3876" w14:textId="77777777" w:rsidR="00AC0D3F" w:rsidRDefault="00AC0D3F" w:rsidP="00AC0D3F">
      <w:pPr>
        <w:jc w:val="both"/>
        <w:rPr>
          <w:rFonts w:cstheme="minorHAnsi"/>
          <w:sz w:val="22"/>
          <w:szCs w:val="22"/>
        </w:rPr>
      </w:pPr>
    </w:p>
    <w:p w14:paraId="040E950F" w14:textId="77777777" w:rsidR="00390907" w:rsidRPr="00793000" w:rsidRDefault="00390907" w:rsidP="00AF317E">
      <w:pPr>
        <w:rPr>
          <w:rFonts w:cstheme="minorHAnsi"/>
          <w:sz w:val="22"/>
          <w:szCs w:val="22"/>
        </w:rPr>
      </w:pPr>
    </w:p>
    <w:p w14:paraId="781A85AA" w14:textId="77777777" w:rsidR="00F215E1" w:rsidRPr="00FB3A49" w:rsidRDefault="00332A20" w:rsidP="00F215E1">
      <w:pPr>
        <w:rPr>
          <w:rFonts w:cstheme="minorHAnsi"/>
          <w:b/>
          <w:bCs/>
          <w:sz w:val="22"/>
          <w:szCs w:val="22"/>
        </w:rPr>
      </w:pPr>
      <w:r w:rsidRPr="00FB3A49">
        <w:rPr>
          <w:rFonts w:cstheme="minorHAnsi"/>
          <w:b/>
          <w:bCs/>
          <w:sz w:val="22"/>
          <w:szCs w:val="22"/>
        </w:rPr>
        <w:t>Decision Overview</w:t>
      </w:r>
    </w:p>
    <w:p w14:paraId="2C86B90E" w14:textId="77777777" w:rsidR="0003092E" w:rsidRDefault="0003092E" w:rsidP="00F215E1">
      <w:pPr>
        <w:rPr>
          <w:rFonts w:cstheme="minorHAnsi"/>
          <w:sz w:val="22"/>
          <w:szCs w:val="22"/>
        </w:rPr>
      </w:pPr>
    </w:p>
    <w:p w14:paraId="1A8558CF" w14:textId="77777777" w:rsidR="00AC0D3F" w:rsidRPr="00AC0D3F" w:rsidRDefault="00AC0D3F" w:rsidP="00AC0D3F">
      <w:pPr>
        <w:jc w:val="both"/>
        <w:rPr>
          <w:rFonts w:cstheme="minorHAnsi"/>
          <w:sz w:val="22"/>
          <w:szCs w:val="22"/>
        </w:rPr>
      </w:pPr>
    </w:p>
    <w:p w14:paraId="08ACB506" w14:textId="77777777" w:rsidR="00AC0D3F" w:rsidRPr="00AC0D3F" w:rsidRDefault="00AC0D3F" w:rsidP="00AC0D3F">
      <w:pPr>
        <w:jc w:val="both"/>
        <w:rPr>
          <w:rFonts w:cstheme="minorHAnsi"/>
          <w:sz w:val="22"/>
          <w:szCs w:val="22"/>
        </w:rPr>
      </w:pPr>
      <w:proofErr w:type="spellStart"/>
      <w:r w:rsidRPr="00AC0D3F">
        <w:rPr>
          <w:rFonts w:cstheme="minorHAnsi"/>
          <w:sz w:val="22"/>
          <w:szCs w:val="22"/>
        </w:rPr>
        <w:t>Jože</w:t>
      </w:r>
      <w:proofErr w:type="spellEnd"/>
      <w:r w:rsidRPr="00AC0D3F">
        <w:rPr>
          <w:rFonts w:cstheme="minorHAnsi"/>
          <w:sz w:val="22"/>
          <w:szCs w:val="22"/>
        </w:rPr>
        <w:t xml:space="preserve"> </w:t>
      </w:r>
      <w:proofErr w:type="spellStart"/>
      <w:r w:rsidRPr="00AC0D3F">
        <w:rPr>
          <w:rFonts w:cstheme="minorHAnsi"/>
          <w:sz w:val="22"/>
          <w:szCs w:val="22"/>
        </w:rPr>
        <w:t>Tratnik</w:t>
      </w:r>
      <w:proofErr w:type="spellEnd"/>
      <w:r w:rsidRPr="00AC0D3F">
        <w:rPr>
          <w:rFonts w:cstheme="minorHAnsi"/>
          <w:sz w:val="22"/>
          <w:szCs w:val="22"/>
        </w:rPr>
        <w:t xml:space="preserve">, President of the Constitutional Court, delivered the Judgement for the Constitutional Court of Slovenia. The main issue for the Court was whether an attorney's statements challenging the professionalism and expert knowledge of court experts in criminal proceedings constituted a violation of the constitutional principle and human right of freedom of expression. </w:t>
      </w:r>
    </w:p>
    <w:p w14:paraId="64A96704" w14:textId="77777777" w:rsidR="00AC0D3F" w:rsidRPr="00AC0D3F" w:rsidRDefault="00AC0D3F" w:rsidP="00AC0D3F">
      <w:pPr>
        <w:jc w:val="both"/>
        <w:rPr>
          <w:rFonts w:cstheme="minorHAnsi"/>
          <w:sz w:val="22"/>
          <w:szCs w:val="22"/>
        </w:rPr>
      </w:pPr>
    </w:p>
    <w:p w14:paraId="51E1FB5D" w14:textId="0827EBEC" w:rsidR="00AC0D3F" w:rsidRPr="00AC0D3F" w:rsidRDefault="00AC0D3F" w:rsidP="00AC0D3F">
      <w:pPr>
        <w:jc w:val="both"/>
        <w:rPr>
          <w:rFonts w:cstheme="minorHAnsi"/>
          <w:sz w:val="22"/>
          <w:szCs w:val="22"/>
        </w:rPr>
      </w:pPr>
      <w:r w:rsidRPr="00AC0D3F">
        <w:rPr>
          <w:rFonts w:cstheme="minorHAnsi"/>
          <w:sz w:val="22"/>
          <w:szCs w:val="22"/>
        </w:rPr>
        <w:t xml:space="preserve">The Court assessed the lower courts' decisions by balancing the right to freedom of expression and the right to </w:t>
      </w:r>
      <w:proofErr w:type="spellStart"/>
      <w:r w:rsidRPr="00AC0D3F">
        <w:rPr>
          <w:rFonts w:cstheme="minorHAnsi"/>
          <w:sz w:val="22"/>
          <w:szCs w:val="22"/>
        </w:rPr>
        <w:t>defence</w:t>
      </w:r>
      <w:proofErr w:type="spellEnd"/>
      <w:r w:rsidRPr="00AC0D3F">
        <w:rPr>
          <w:rFonts w:cstheme="minorHAnsi"/>
          <w:sz w:val="22"/>
          <w:szCs w:val="22"/>
        </w:rPr>
        <w:t xml:space="preserve"> in criminal proceedings against respect for courts, especially concerning the appropriate </w:t>
      </w:r>
      <w:proofErr w:type="spellStart"/>
      <w:r w:rsidRPr="00AC0D3F">
        <w:rPr>
          <w:rFonts w:cstheme="minorHAnsi"/>
          <w:sz w:val="22"/>
          <w:szCs w:val="22"/>
        </w:rPr>
        <w:t>behaviour</w:t>
      </w:r>
      <w:proofErr w:type="spellEnd"/>
      <w:r w:rsidRPr="00AC0D3F">
        <w:rPr>
          <w:rFonts w:cstheme="minorHAnsi"/>
          <w:sz w:val="22"/>
          <w:szCs w:val="22"/>
        </w:rPr>
        <w:t xml:space="preserve"> of parties, which it connected with the right to a fair trial. Article 39 of the Slovenian Constitution guarantees freedom of expression, which can, however, be subject to a weighing of proportionality in individual cases.</w:t>
      </w:r>
      <w:r w:rsidR="00ED0F64">
        <w:rPr>
          <w:rFonts w:cstheme="minorHAnsi"/>
          <w:sz w:val="22"/>
          <w:szCs w:val="22"/>
        </w:rPr>
        <w:t xml:space="preserve"> Article 29 of the Constitutions lays down legal guarantees in criminal proceedings, which includes the right to </w:t>
      </w:r>
      <w:proofErr w:type="spellStart"/>
      <w:r w:rsidR="00ED0F64">
        <w:rPr>
          <w:rFonts w:cstheme="minorHAnsi"/>
          <w:sz w:val="22"/>
          <w:szCs w:val="22"/>
        </w:rPr>
        <w:t>defence</w:t>
      </w:r>
      <w:proofErr w:type="spellEnd"/>
      <w:r w:rsidR="00ED0F64">
        <w:rPr>
          <w:rFonts w:cstheme="minorHAnsi"/>
          <w:sz w:val="22"/>
          <w:szCs w:val="22"/>
        </w:rPr>
        <w:t>.</w:t>
      </w:r>
    </w:p>
    <w:p w14:paraId="657502BD" w14:textId="77777777" w:rsidR="00AC0D3F" w:rsidRPr="00AC0D3F" w:rsidRDefault="00AC0D3F" w:rsidP="00AC0D3F">
      <w:pPr>
        <w:jc w:val="both"/>
        <w:rPr>
          <w:rFonts w:cstheme="minorHAnsi"/>
          <w:sz w:val="22"/>
          <w:szCs w:val="22"/>
        </w:rPr>
      </w:pPr>
    </w:p>
    <w:p w14:paraId="54F6F256" w14:textId="6F4D1338" w:rsidR="00AC0D3F" w:rsidRPr="00AC0D3F" w:rsidRDefault="00AC0D3F" w:rsidP="00AC0D3F">
      <w:pPr>
        <w:jc w:val="both"/>
        <w:rPr>
          <w:rFonts w:cstheme="minorHAnsi"/>
          <w:sz w:val="22"/>
          <w:szCs w:val="22"/>
        </w:rPr>
      </w:pPr>
      <w:r w:rsidRPr="00AC0D3F">
        <w:rPr>
          <w:rFonts w:cstheme="minorHAnsi"/>
          <w:sz w:val="22"/>
          <w:szCs w:val="22"/>
        </w:rPr>
        <w:lastRenderedPageBreak/>
        <w:t>The Court assessed the nature of the complainant's statements</w:t>
      </w:r>
      <w:r w:rsidR="00D6579E">
        <w:rPr>
          <w:rFonts w:cstheme="minorHAnsi"/>
          <w:sz w:val="22"/>
          <w:szCs w:val="22"/>
        </w:rPr>
        <w:t xml:space="preserve"> regarding the court experts</w:t>
      </w:r>
      <w:r w:rsidRPr="00AC0D3F">
        <w:rPr>
          <w:rFonts w:cstheme="minorHAnsi"/>
          <w:sz w:val="22"/>
          <w:szCs w:val="22"/>
        </w:rPr>
        <w:t xml:space="preserve">, claiming </w:t>
      </w:r>
      <w:r w:rsidR="00D6579E">
        <w:rPr>
          <w:rFonts w:cstheme="minorHAnsi"/>
          <w:sz w:val="22"/>
          <w:szCs w:val="22"/>
        </w:rPr>
        <w:t>his statements</w:t>
      </w:r>
      <w:r w:rsidRPr="00AC0D3F">
        <w:rPr>
          <w:rFonts w:cstheme="minorHAnsi"/>
          <w:sz w:val="22"/>
          <w:szCs w:val="22"/>
        </w:rPr>
        <w:t xml:space="preserve"> were not limited to intense criticism but veered into personal attacks. The Court stated that 'the insulting assessments expressed go beyond reasonable argumentation with which the </w:t>
      </w:r>
      <w:proofErr w:type="spellStart"/>
      <w:r w:rsidRPr="00AC0D3F">
        <w:rPr>
          <w:rFonts w:cstheme="minorHAnsi"/>
          <w:sz w:val="22"/>
          <w:szCs w:val="22"/>
        </w:rPr>
        <w:t>defence</w:t>
      </w:r>
      <w:proofErr w:type="spellEnd"/>
      <w:r w:rsidRPr="00AC0D3F">
        <w:rPr>
          <w:rFonts w:cstheme="minorHAnsi"/>
          <w:sz w:val="22"/>
          <w:szCs w:val="22"/>
        </w:rPr>
        <w:t xml:space="preserve"> counsel could have substantiated the evidentiary motion for the appointment of additional court experts.'  [Para. 14]</w:t>
      </w:r>
    </w:p>
    <w:p w14:paraId="20BBB9BE" w14:textId="77777777" w:rsidR="00AC0D3F" w:rsidRPr="00AC0D3F" w:rsidRDefault="00AC0D3F" w:rsidP="00AC0D3F">
      <w:pPr>
        <w:jc w:val="both"/>
        <w:rPr>
          <w:rFonts w:cstheme="minorHAnsi"/>
          <w:sz w:val="22"/>
          <w:szCs w:val="22"/>
        </w:rPr>
      </w:pPr>
    </w:p>
    <w:p w14:paraId="5CD16219" w14:textId="04795DC1" w:rsidR="00AC0D3F" w:rsidRPr="00AC0D3F" w:rsidRDefault="00FF22F9" w:rsidP="00AC0D3F">
      <w:pPr>
        <w:jc w:val="both"/>
        <w:rPr>
          <w:rFonts w:cstheme="minorHAnsi"/>
          <w:sz w:val="22"/>
          <w:szCs w:val="22"/>
        </w:rPr>
      </w:pPr>
      <w:r>
        <w:rPr>
          <w:rFonts w:cstheme="minorHAnsi"/>
          <w:sz w:val="22"/>
          <w:szCs w:val="22"/>
        </w:rPr>
        <w:t>It</w:t>
      </w:r>
      <w:r w:rsidR="00AC0D3F" w:rsidRPr="00AC0D3F">
        <w:rPr>
          <w:rFonts w:cstheme="minorHAnsi"/>
          <w:sz w:val="22"/>
          <w:szCs w:val="22"/>
        </w:rPr>
        <w:t xml:space="preserve"> noted that attorneys indeed enjoy broad protection of speech while representing their clients in court since they act in the public interest of ensuring a fair trial. However, the right to a fair trial also includes that parties remain within professional ethics and rational argument. The Court thus argued that:</w:t>
      </w:r>
    </w:p>
    <w:p w14:paraId="67AD3C23" w14:textId="77777777" w:rsidR="00AC0D3F" w:rsidRPr="00AC0D3F" w:rsidRDefault="00AC0D3F" w:rsidP="00AC0D3F">
      <w:pPr>
        <w:jc w:val="both"/>
        <w:rPr>
          <w:rFonts w:cstheme="minorHAnsi"/>
          <w:sz w:val="22"/>
          <w:szCs w:val="22"/>
        </w:rPr>
      </w:pPr>
    </w:p>
    <w:p w14:paraId="7BE8E97F" w14:textId="77777777" w:rsidR="00AC0D3F" w:rsidRPr="00AC0D3F" w:rsidRDefault="00AC0D3F" w:rsidP="00AC0D3F">
      <w:pPr>
        <w:jc w:val="both"/>
        <w:rPr>
          <w:rFonts w:cstheme="minorHAnsi"/>
          <w:sz w:val="22"/>
          <w:szCs w:val="22"/>
        </w:rPr>
      </w:pPr>
      <w:r w:rsidRPr="00AC0D3F">
        <w:rPr>
          <w:rFonts w:cstheme="minorHAnsi"/>
          <w:sz w:val="22"/>
          <w:szCs w:val="22"/>
        </w:rPr>
        <w:t>'An attorney may put forward strong and sharp criticism, but in safeguarding the interests of his client his argumentation must remain within the bounds of reasonable reasoning; there is no place for insults charged with emotional overtones. It is understandable that the threshold of tolerance the court may allow to defend an accused charged with a serious criminal offence, for which a severe penalty is prescribed, is higher than usual. However, the attorney must not exceed the extreme limits of that tolerance. If he does, it is appropriate for the court to protect other values, namely, public confidence in the judiciary and the reputation and authority of the courts, which ensure that the public maintains respect for the judiciary and trust in its ability to fulfil its role in a state governed by the rule of law.' [Para. 12]</w:t>
      </w:r>
    </w:p>
    <w:p w14:paraId="3152A4B9" w14:textId="77777777" w:rsidR="00AC0D3F" w:rsidRPr="00AC0D3F" w:rsidRDefault="00AC0D3F" w:rsidP="00AC0D3F">
      <w:pPr>
        <w:jc w:val="both"/>
        <w:rPr>
          <w:rFonts w:cstheme="minorHAnsi"/>
          <w:sz w:val="22"/>
          <w:szCs w:val="22"/>
        </w:rPr>
      </w:pPr>
    </w:p>
    <w:p w14:paraId="4A862326" w14:textId="77777777" w:rsidR="00AC0D3F" w:rsidRPr="00AC0D3F" w:rsidRDefault="00AC0D3F" w:rsidP="00AC0D3F">
      <w:pPr>
        <w:jc w:val="both"/>
        <w:rPr>
          <w:rFonts w:cstheme="minorHAnsi"/>
          <w:sz w:val="22"/>
          <w:szCs w:val="22"/>
        </w:rPr>
      </w:pPr>
      <w:r w:rsidRPr="00AC0D3F">
        <w:rPr>
          <w:rFonts w:cstheme="minorHAnsi"/>
          <w:sz w:val="22"/>
          <w:szCs w:val="22"/>
        </w:rPr>
        <w:t xml:space="preserve">Specifically, on the right to </w:t>
      </w:r>
      <w:proofErr w:type="spellStart"/>
      <w:r w:rsidRPr="00AC0D3F">
        <w:rPr>
          <w:rFonts w:cstheme="minorHAnsi"/>
          <w:sz w:val="22"/>
          <w:szCs w:val="22"/>
        </w:rPr>
        <w:t>defence</w:t>
      </w:r>
      <w:proofErr w:type="spellEnd"/>
      <w:r w:rsidRPr="00AC0D3F">
        <w:rPr>
          <w:rFonts w:cstheme="minorHAnsi"/>
          <w:sz w:val="22"/>
          <w:szCs w:val="22"/>
        </w:rPr>
        <w:t xml:space="preserve"> that the complainant claimed to be contributing to, the Constitutional Court held that attorneys may freely challenge expert evidence; however, this does not include the right to insult experts. The Court claimed that the lower courts were correct in not finding interference with the right to </w:t>
      </w:r>
      <w:proofErr w:type="spellStart"/>
      <w:r w:rsidRPr="00AC0D3F">
        <w:rPr>
          <w:rFonts w:cstheme="minorHAnsi"/>
          <w:sz w:val="22"/>
          <w:szCs w:val="22"/>
        </w:rPr>
        <w:t>defence</w:t>
      </w:r>
      <w:proofErr w:type="spellEnd"/>
      <w:r w:rsidRPr="00AC0D3F">
        <w:rPr>
          <w:rFonts w:cstheme="minorHAnsi"/>
          <w:sz w:val="22"/>
          <w:szCs w:val="22"/>
        </w:rPr>
        <w:t xml:space="preserve"> of the person the complainant was representing in criminal proceedings. It stated that </w:t>
      </w:r>
      <w:proofErr w:type="spellStart"/>
      <w:r w:rsidRPr="00AC0D3F">
        <w:rPr>
          <w:rFonts w:cstheme="minorHAnsi"/>
          <w:sz w:val="22"/>
          <w:szCs w:val="22"/>
        </w:rPr>
        <w:t>defence</w:t>
      </w:r>
      <w:proofErr w:type="spellEnd"/>
      <w:r w:rsidRPr="00AC0D3F">
        <w:rPr>
          <w:rFonts w:cstheme="minorHAnsi"/>
          <w:sz w:val="22"/>
          <w:szCs w:val="22"/>
        </w:rPr>
        <w:t xml:space="preserve"> would have been of higher quality if the complainant had not insulted the court experts: 'The insulting sharpness of an attorney's conduct in court is not evidence of the quality of the attorney's representation. Likewise, an effective </w:t>
      </w:r>
      <w:proofErr w:type="spellStart"/>
      <w:r w:rsidRPr="00AC0D3F">
        <w:rPr>
          <w:rFonts w:cstheme="minorHAnsi"/>
          <w:sz w:val="22"/>
          <w:szCs w:val="22"/>
        </w:rPr>
        <w:t>defence</w:t>
      </w:r>
      <w:proofErr w:type="spellEnd"/>
      <w:r w:rsidRPr="00AC0D3F">
        <w:rPr>
          <w:rFonts w:cstheme="minorHAnsi"/>
          <w:sz w:val="22"/>
          <w:szCs w:val="22"/>
        </w:rPr>
        <w:t xml:space="preserve"> cannot be based on insulting value judgments that disparage an expert, rather than being focused on reasoned and well-argued criticism of the expert's opinion presented in the specific proceedings.' [Para. 14]</w:t>
      </w:r>
    </w:p>
    <w:p w14:paraId="16FF4FC2" w14:textId="77777777" w:rsidR="00AC0D3F" w:rsidRPr="00AC0D3F" w:rsidRDefault="00AC0D3F" w:rsidP="00AC0D3F">
      <w:pPr>
        <w:jc w:val="both"/>
        <w:rPr>
          <w:rFonts w:cstheme="minorHAnsi"/>
          <w:sz w:val="22"/>
          <w:szCs w:val="22"/>
        </w:rPr>
      </w:pPr>
    </w:p>
    <w:p w14:paraId="5BA38EFB" w14:textId="77777777" w:rsidR="00AC0D3F" w:rsidRPr="00AC0D3F" w:rsidRDefault="00AC0D3F" w:rsidP="00AC0D3F">
      <w:pPr>
        <w:jc w:val="both"/>
        <w:rPr>
          <w:rFonts w:cstheme="minorHAnsi"/>
          <w:sz w:val="22"/>
          <w:szCs w:val="22"/>
        </w:rPr>
      </w:pPr>
      <w:r w:rsidRPr="00AC0D3F">
        <w:rPr>
          <w:rFonts w:cstheme="minorHAnsi"/>
          <w:sz w:val="22"/>
          <w:szCs w:val="22"/>
        </w:rPr>
        <w:t xml:space="preserve">Thus, the Court held that there was no breach of the right to </w:t>
      </w:r>
      <w:proofErr w:type="spellStart"/>
      <w:r w:rsidRPr="00AC0D3F">
        <w:rPr>
          <w:rFonts w:cstheme="minorHAnsi"/>
          <w:sz w:val="22"/>
          <w:szCs w:val="22"/>
        </w:rPr>
        <w:t>defence</w:t>
      </w:r>
      <w:proofErr w:type="spellEnd"/>
      <w:r w:rsidRPr="00AC0D3F">
        <w:rPr>
          <w:rFonts w:cstheme="minorHAnsi"/>
          <w:sz w:val="22"/>
          <w:szCs w:val="22"/>
        </w:rPr>
        <w:t xml:space="preserve"> of the person the complainant was representing as an attorney.</w:t>
      </w:r>
    </w:p>
    <w:p w14:paraId="2CB1144B" w14:textId="77777777" w:rsidR="00AC0D3F" w:rsidRPr="00AC0D3F" w:rsidRDefault="00AC0D3F" w:rsidP="00AC0D3F">
      <w:pPr>
        <w:jc w:val="both"/>
        <w:rPr>
          <w:rFonts w:cstheme="minorHAnsi"/>
          <w:sz w:val="22"/>
          <w:szCs w:val="22"/>
        </w:rPr>
      </w:pPr>
    </w:p>
    <w:p w14:paraId="2064444F" w14:textId="77777777" w:rsidR="00AC0D3F" w:rsidRPr="00AC0D3F" w:rsidRDefault="00AC0D3F" w:rsidP="00AC0D3F">
      <w:pPr>
        <w:jc w:val="both"/>
        <w:rPr>
          <w:rFonts w:cstheme="minorHAnsi"/>
          <w:sz w:val="22"/>
          <w:szCs w:val="22"/>
        </w:rPr>
      </w:pPr>
      <w:r w:rsidRPr="00AC0D3F">
        <w:rPr>
          <w:rFonts w:cstheme="minorHAnsi"/>
          <w:sz w:val="22"/>
          <w:szCs w:val="22"/>
        </w:rPr>
        <w:t>The Court then assessed the proportionality of the disciplinary sanction. It argued that the monetary fine was a legitimate and proportionate measure to protect the court proceedings and connected it with the right to fair trial, stating that, 'within the limits of tolerance, [courts] were not required to allow insults which the courts reasonably assessed as constituting disparagement of court-appointed experts as professional assistants of the court.'[Para. 14] It also argued against the possibility of alternative remedies, such as private defamation suits, noting that disciplinary sanctions serve a distinct purpose of maintaining order and dignity in judicial proceedings.</w:t>
      </w:r>
    </w:p>
    <w:p w14:paraId="419D53FB" w14:textId="77777777" w:rsidR="00AC0D3F" w:rsidRPr="00AC0D3F" w:rsidRDefault="00AC0D3F" w:rsidP="00AC0D3F">
      <w:pPr>
        <w:jc w:val="both"/>
        <w:rPr>
          <w:rFonts w:cstheme="minorHAnsi"/>
          <w:sz w:val="22"/>
          <w:szCs w:val="22"/>
        </w:rPr>
      </w:pPr>
    </w:p>
    <w:p w14:paraId="7ECD9EA4" w14:textId="4BAB9063" w:rsidR="00F646A1" w:rsidRDefault="00AC0D3F" w:rsidP="00AC0D3F">
      <w:pPr>
        <w:jc w:val="both"/>
        <w:rPr>
          <w:rFonts w:cstheme="minorHAnsi"/>
          <w:sz w:val="22"/>
          <w:szCs w:val="22"/>
        </w:rPr>
      </w:pPr>
      <w:r w:rsidRPr="00AC0D3F">
        <w:rPr>
          <w:rFonts w:cstheme="minorHAnsi"/>
          <w:sz w:val="22"/>
          <w:szCs w:val="22"/>
        </w:rPr>
        <w:t>Accordingly, the Court held that there was no breach of the complainant's right to freedom of expression.</w:t>
      </w:r>
    </w:p>
    <w:p w14:paraId="11A8C57D" w14:textId="77777777" w:rsidR="00AC0D3F" w:rsidRDefault="00AC0D3F" w:rsidP="00AC0D3F">
      <w:pPr>
        <w:jc w:val="both"/>
        <w:rPr>
          <w:rFonts w:cstheme="minorHAnsi"/>
          <w:sz w:val="22"/>
          <w:szCs w:val="22"/>
        </w:rPr>
      </w:pPr>
    </w:p>
    <w:p w14:paraId="5687F8DB" w14:textId="77777777" w:rsidR="006A4F9C" w:rsidRPr="00FB3A49" w:rsidRDefault="006A4F9C" w:rsidP="00155ACF">
      <w:pPr>
        <w:rPr>
          <w:rFonts w:cstheme="minorHAnsi"/>
          <w:color w:val="000000" w:themeColor="text1"/>
          <w:sz w:val="22"/>
          <w:szCs w:val="22"/>
        </w:rPr>
      </w:pPr>
    </w:p>
    <w:p w14:paraId="3962CEDD" w14:textId="77777777" w:rsidR="00155ACF" w:rsidRDefault="00332A20" w:rsidP="00155ACF">
      <w:pPr>
        <w:rPr>
          <w:rFonts w:cstheme="minorHAnsi"/>
          <w:b/>
          <w:bCs/>
          <w:color w:val="000000" w:themeColor="text1"/>
          <w:sz w:val="22"/>
          <w:szCs w:val="22"/>
        </w:rPr>
      </w:pPr>
      <w:r w:rsidRPr="00FB3A49">
        <w:rPr>
          <w:rFonts w:cstheme="minorHAnsi"/>
          <w:b/>
          <w:bCs/>
          <w:color w:val="000000" w:themeColor="text1"/>
          <w:sz w:val="22"/>
          <w:szCs w:val="22"/>
        </w:rPr>
        <w:t>Decision Direc</w:t>
      </w:r>
      <w:r w:rsidR="008B0B6E" w:rsidRPr="00FB3A49">
        <w:rPr>
          <w:rFonts w:cstheme="minorHAnsi"/>
          <w:b/>
          <w:bCs/>
          <w:color w:val="000000" w:themeColor="text1"/>
          <w:sz w:val="22"/>
          <w:szCs w:val="22"/>
        </w:rPr>
        <w:t>tion</w:t>
      </w:r>
    </w:p>
    <w:p w14:paraId="1EA6BDF1" w14:textId="77777777" w:rsidR="0095153C" w:rsidRDefault="0095153C" w:rsidP="00155ACF">
      <w:pPr>
        <w:rPr>
          <w:rFonts w:cstheme="minorHAnsi"/>
          <w:b/>
          <w:bCs/>
          <w:color w:val="000000" w:themeColor="text1"/>
          <w:sz w:val="22"/>
          <w:szCs w:val="22"/>
        </w:rPr>
      </w:pPr>
    </w:p>
    <w:p w14:paraId="5EF722CE" w14:textId="15A0234C" w:rsidR="00A207A8" w:rsidRDefault="00E10911" w:rsidP="00155ACF">
      <w:pPr>
        <w:rPr>
          <w:rFonts w:cstheme="minorHAnsi"/>
          <w:b/>
          <w:bCs/>
          <w:color w:val="000000" w:themeColor="text1"/>
          <w:sz w:val="22"/>
          <w:szCs w:val="22"/>
        </w:rPr>
      </w:pPr>
      <w:r>
        <w:rPr>
          <w:rFonts w:cstheme="minorHAnsi"/>
          <w:b/>
          <w:bCs/>
          <w:color w:val="000000" w:themeColor="text1"/>
          <w:sz w:val="22"/>
          <w:szCs w:val="22"/>
        </w:rPr>
        <w:t>Contracts</w:t>
      </w:r>
      <w:r w:rsidR="004A04B9">
        <w:rPr>
          <w:rFonts w:cstheme="minorHAnsi"/>
          <w:b/>
          <w:bCs/>
          <w:color w:val="000000" w:themeColor="text1"/>
          <w:sz w:val="22"/>
          <w:szCs w:val="22"/>
        </w:rPr>
        <w:t xml:space="preserve"> Expression</w:t>
      </w:r>
    </w:p>
    <w:p w14:paraId="062C83B8" w14:textId="77777777" w:rsidR="00A207A8" w:rsidRDefault="00A207A8" w:rsidP="00155ACF">
      <w:pPr>
        <w:rPr>
          <w:rFonts w:cstheme="minorHAnsi"/>
          <w:b/>
          <w:bCs/>
          <w:color w:val="000000" w:themeColor="text1"/>
          <w:sz w:val="22"/>
          <w:szCs w:val="22"/>
        </w:rPr>
      </w:pPr>
    </w:p>
    <w:p w14:paraId="5C5A495F" w14:textId="60361C89" w:rsidR="00980FAE" w:rsidRDefault="005C6C0A" w:rsidP="005C6C0A">
      <w:pPr>
        <w:jc w:val="both"/>
        <w:rPr>
          <w:rFonts w:cstheme="minorHAnsi"/>
          <w:color w:val="000000" w:themeColor="text1"/>
          <w:sz w:val="22"/>
          <w:szCs w:val="22"/>
        </w:rPr>
      </w:pPr>
      <w:r w:rsidRPr="005C6C0A">
        <w:rPr>
          <w:rFonts w:cstheme="minorHAnsi"/>
          <w:color w:val="000000" w:themeColor="text1"/>
          <w:sz w:val="22"/>
          <w:szCs w:val="22"/>
        </w:rPr>
        <w:t xml:space="preserve">The ruling of the Slovenian Constitutional Court </w:t>
      </w:r>
      <w:r w:rsidR="00E10911">
        <w:rPr>
          <w:rFonts w:cstheme="minorHAnsi"/>
          <w:color w:val="000000" w:themeColor="text1"/>
          <w:sz w:val="22"/>
          <w:szCs w:val="22"/>
        </w:rPr>
        <w:t>contracts</w:t>
      </w:r>
      <w:r w:rsidR="00980FAE">
        <w:rPr>
          <w:rFonts w:cstheme="minorHAnsi"/>
          <w:color w:val="000000" w:themeColor="text1"/>
          <w:sz w:val="22"/>
          <w:szCs w:val="22"/>
        </w:rPr>
        <w:t xml:space="preserve"> freedom of expression by allowing disciplinary sanctions for statements that attorneys make regarding court-appointed experts. In the Slovenian context, this decision reinforce</w:t>
      </w:r>
      <w:r w:rsidR="00D74D7B">
        <w:rPr>
          <w:rFonts w:cstheme="minorHAnsi"/>
          <w:color w:val="000000" w:themeColor="text1"/>
          <w:sz w:val="22"/>
          <w:szCs w:val="22"/>
        </w:rPr>
        <w:t>d</w:t>
      </w:r>
      <w:r w:rsidR="00980FAE">
        <w:rPr>
          <w:rFonts w:cstheme="minorHAnsi"/>
          <w:color w:val="000000" w:themeColor="text1"/>
          <w:sz w:val="22"/>
          <w:szCs w:val="22"/>
        </w:rPr>
        <w:t xml:space="preserve"> the protection of judicial authority at the expense of unrestricted speech, establishing boundaries for </w:t>
      </w:r>
      <w:r w:rsidR="00980FAE">
        <w:rPr>
          <w:rFonts w:cstheme="minorHAnsi"/>
          <w:color w:val="000000" w:themeColor="text1"/>
          <w:sz w:val="22"/>
          <w:szCs w:val="22"/>
        </w:rPr>
        <w:lastRenderedPageBreak/>
        <w:t xml:space="preserve">permissible criticism in legal proceedings. </w:t>
      </w:r>
      <w:r w:rsidR="00980FAE" w:rsidRPr="00980FAE">
        <w:rPr>
          <w:rFonts w:cstheme="minorHAnsi"/>
          <w:color w:val="000000" w:themeColor="text1"/>
          <w:sz w:val="22"/>
          <w:szCs w:val="22"/>
        </w:rPr>
        <w:t xml:space="preserve">While </w:t>
      </w:r>
      <w:r w:rsidR="00980FAE">
        <w:rPr>
          <w:rFonts w:cstheme="minorHAnsi"/>
          <w:color w:val="000000" w:themeColor="text1"/>
          <w:sz w:val="22"/>
          <w:szCs w:val="22"/>
        </w:rPr>
        <w:t xml:space="preserve">this decision </w:t>
      </w:r>
      <w:r w:rsidR="00980FAE" w:rsidRPr="00980FAE">
        <w:rPr>
          <w:rFonts w:cstheme="minorHAnsi"/>
          <w:color w:val="000000" w:themeColor="text1"/>
          <w:sz w:val="22"/>
          <w:szCs w:val="22"/>
        </w:rPr>
        <w:t xml:space="preserve">was eventually overturned by the ECHR in the case </w:t>
      </w:r>
      <w:proofErr w:type="spellStart"/>
      <w:r w:rsidR="00980FAE" w:rsidRPr="00980FAE">
        <w:rPr>
          <w:rFonts w:cstheme="minorHAnsi"/>
          <w:color w:val="000000" w:themeColor="text1"/>
          <w:sz w:val="22"/>
          <w:szCs w:val="22"/>
        </w:rPr>
        <w:t>Čeferin</w:t>
      </w:r>
      <w:proofErr w:type="spellEnd"/>
      <w:r w:rsidR="00980FAE" w:rsidRPr="00980FAE">
        <w:rPr>
          <w:rFonts w:cstheme="minorHAnsi"/>
          <w:color w:val="000000" w:themeColor="text1"/>
          <w:sz w:val="22"/>
          <w:szCs w:val="22"/>
        </w:rPr>
        <w:t xml:space="preserve"> v Slovenia (No. 40975/08) from 16 January 2018, </w:t>
      </w:r>
      <w:r w:rsidR="00980FAE">
        <w:rPr>
          <w:rFonts w:cstheme="minorHAnsi"/>
          <w:color w:val="000000" w:themeColor="text1"/>
          <w:sz w:val="22"/>
          <w:szCs w:val="22"/>
        </w:rPr>
        <w:t xml:space="preserve">it has had </w:t>
      </w:r>
      <w:r w:rsidR="00980FAE" w:rsidRPr="00980FAE">
        <w:rPr>
          <w:rFonts w:cstheme="minorHAnsi"/>
          <w:color w:val="000000" w:themeColor="text1"/>
          <w:sz w:val="22"/>
          <w:szCs w:val="22"/>
        </w:rPr>
        <w:t xml:space="preserve">an outstanding influence on broader legal practice in the Slovenian legal system. </w:t>
      </w:r>
      <w:r w:rsidR="00980FAE">
        <w:rPr>
          <w:rFonts w:cstheme="minorHAnsi"/>
          <w:color w:val="000000" w:themeColor="text1"/>
          <w:sz w:val="22"/>
          <w:szCs w:val="22"/>
        </w:rPr>
        <w:t>Even after the ECHR decision, individual supreme court judges</w:t>
      </w:r>
      <w:r w:rsidR="00620093">
        <w:rPr>
          <w:rFonts w:cstheme="minorHAnsi"/>
          <w:color w:val="000000" w:themeColor="text1"/>
          <w:sz w:val="22"/>
          <w:szCs w:val="22"/>
        </w:rPr>
        <w:t xml:space="preserve"> </w:t>
      </w:r>
      <w:r w:rsidR="00146AAC">
        <w:rPr>
          <w:rFonts w:cstheme="minorHAnsi"/>
          <w:color w:val="000000" w:themeColor="text1"/>
          <w:sz w:val="22"/>
          <w:szCs w:val="22"/>
        </w:rPr>
        <w:t xml:space="preserve">have </w:t>
      </w:r>
      <w:r w:rsidR="00620093">
        <w:rPr>
          <w:rFonts w:cstheme="minorHAnsi"/>
          <w:color w:val="000000" w:themeColor="text1"/>
          <w:sz w:val="22"/>
          <w:szCs w:val="22"/>
        </w:rPr>
        <w:t>continued to</w:t>
      </w:r>
      <w:r w:rsidR="00980FAE">
        <w:rPr>
          <w:rFonts w:cstheme="minorHAnsi"/>
          <w:color w:val="000000" w:themeColor="text1"/>
          <w:sz w:val="22"/>
          <w:szCs w:val="22"/>
        </w:rPr>
        <w:t xml:space="preserve"> publicly voic</w:t>
      </w:r>
      <w:r w:rsidR="00620093">
        <w:rPr>
          <w:rFonts w:cstheme="minorHAnsi"/>
          <w:color w:val="000000" w:themeColor="text1"/>
          <w:sz w:val="22"/>
          <w:szCs w:val="22"/>
        </w:rPr>
        <w:t xml:space="preserve">e </w:t>
      </w:r>
      <w:r w:rsidR="00980FAE">
        <w:rPr>
          <w:rFonts w:cstheme="minorHAnsi"/>
          <w:color w:val="000000" w:themeColor="text1"/>
          <w:sz w:val="22"/>
          <w:szCs w:val="22"/>
        </w:rPr>
        <w:t xml:space="preserve">support for the </w:t>
      </w:r>
      <w:r w:rsidR="00620093">
        <w:rPr>
          <w:rFonts w:cstheme="minorHAnsi"/>
          <w:color w:val="000000" w:themeColor="text1"/>
          <w:sz w:val="22"/>
          <w:szCs w:val="22"/>
        </w:rPr>
        <w:t>decision of the Constitutional Court.</w:t>
      </w:r>
    </w:p>
    <w:p w14:paraId="1F92689B" w14:textId="77777777" w:rsidR="00980FAE" w:rsidRDefault="00980FAE" w:rsidP="005C6C0A">
      <w:pPr>
        <w:jc w:val="both"/>
        <w:rPr>
          <w:rFonts w:cstheme="minorHAnsi"/>
          <w:color w:val="000000" w:themeColor="text1"/>
          <w:sz w:val="22"/>
          <w:szCs w:val="22"/>
        </w:rPr>
      </w:pPr>
    </w:p>
    <w:p w14:paraId="6B70AB9D" w14:textId="77777777" w:rsidR="008B0B6E" w:rsidRPr="00FB3A49" w:rsidRDefault="008B0B6E" w:rsidP="00155ACF">
      <w:pPr>
        <w:rPr>
          <w:rFonts w:cstheme="minorHAnsi"/>
          <w:color w:val="000000" w:themeColor="text1"/>
          <w:sz w:val="22"/>
          <w:szCs w:val="22"/>
        </w:rPr>
      </w:pPr>
    </w:p>
    <w:p w14:paraId="3EF43F4B" w14:textId="6FBF4C1C" w:rsidR="00A25F01" w:rsidRDefault="0037608D" w:rsidP="00155ACF">
      <w:pPr>
        <w:rPr>
          <w:rFonts w:cstheme="minorHAnsi"/>
          <w:b/>
          <w:bCs/>
          <w:color w:val="000000" w:themeColor="text1"/>
          <w:sz w:val="22"/>
          <w:szCs w:val="22"/>
        </w:rPr>
      </w:pPr>
      <w:r>
        <w:rPr>
          <w:rFonts w:cstheme="minorHAnsi"/>
          <w:b/>
          <w:bCs/>
          <w:color w:val="000000" w:themeColor="text1"/>
          <w:sz w:val="22"/>
          <w:szCs w:val="22"/>
        </w:rPr>
        <w:t>Global</w:t>
      </w:r>
      <w:r w:rsidR="009723E0">
        <w:rPr>
          <w:rFonts w:cstheme="minorHAnsi"/>
          <w:b/>
          <w:bCs/>
          <w:color w:val="000000" w:themeColor="text1"/>
          <w:sz w:val="22"/>
          <w:szCs w:val="22"/>
        </w:rPr>
        <w:t xml:space="preserve"> Perspective</w:t>
      </w:r>
    </w:p>
    <w:p w14:paraId="28B37A75" w14:textId="77777777" w:rsidR="0037608D" w:rsidRDefault="0037608D" w:rsidP="00155ACF">
      <w:pPr>
        <w:rPr>
          <w:rFonts w:cstheme="minorHAnsi"/>
          <w:b/>
          <w:bCs/>
          <w:color w:val="000000" w:themeColor="text1"/>
          <w:sz w:val="22"/>
          <w:szCs w:val="22"/>
        </w:rPr>
      </w:pPr>
    </w:p>
    <w:p w14:paraId="4EA225AA" w14:textId="77777777" w:rsidR="0037608D" w:rsidRPr="0037608D" w:rsidRDefault="0037608D" w:rsidP="0037608D">
      <w:pPr>
        <w:rPr>
          <w:rFonts w:eastAsia="Times New Roman" w:cs="Calibri"/>
          <w:color w:val="000000" w:themeColor="text1"/>
          <w:sz w:val="22"/>
          <w:szCs w:val="22"/>
        </w:rPr>
      </w:pPr>
      <w:r w:rsidRPr="0037608D">
        <w:rPr>
          <w:rFonts w:eastAsia="Times New Roman" w:cs="Calibri"/>
          <w:color w:val="000000" w:themeColor="text1"/>
          <w:sz w:val="22"/>
          <w:szCs w:val="22"/>
        </w:rPr>
        <w:t>Related International and/or regional laws</w:t>
      </w:r>
    </w:p>
    <w:p w14:paraId="6F14BA88" w14:textId="77777777" w:rsidR="0037608D" w:rsidRDefault="0037608D" w:rsidP="00155ACF">
      <w:pPr>
        <w:rPr>
          <w:rFonts w:cstheme="minorHAnsi"/>
          <w:b/>
          <w:bCs/>
          <w:color w:val="000000" w:themeColor="text1"/>
          <w:sz w:val="22"/>
          <w:szCs w:val="22"/>
        </w:rPr>
      </w:pPr>
    </w:p>
    <w:p w14:paraId="426306E2" w14:textId="20D730D6" w:rsidR="00E10911" w:rsidRPr="00E10911" w:rsidRDefault="00E10911" w:rsidP="00155ACF">
      <w:pPr>
        <w:rPr>
          <w:rFonts w:cstheme="minorHAnsi"/>
          <w:color w:val="000000" w:themeColor="text1"/>
          <w:sz w:val="22"/>
          <w:szCs w:val="22"/>
        </w:rPr>
      </w:pPr>
      <w:r w:rsidRPr="00E10911">
        <w:rPr>
          <w:rFonts w:cstheme="minorHAnsi"/>
          <w:color w:val="000000" w:themeColor="text1"/>
          <w:sz w:val="22"/>
          <w:szCs w:val="22"/>
        </w:rPr>
        <w:t xml:space="preserve">ECtHR, </w:t>
      </w:r>
      <w:proofErr w:type="spellStart"/>
      <w:r w:rsidRPr="00E10911">
        <w:rPr>
          <w:rFonts w:cstheme="minorHAnsi"/>
          <w:color w:val="000000" w:themeColor="text1"/>
          <w:sz w:val="22"/>
          <w:szCs w:val="22"/>
        </w:rPr>
        <w:t>Janowski</w:t>
      </w:r>
      <w:proofErr w:type="spellEnd"/>
      <w:r w:rsidRPr="00E10911">
        <w:rPr>
          <w:rFonts w:cstheme="minorHAnsi"/>
          <w:color w:val="000000" w:themeColor="text1"/>
          <w:sz w:val="22"/>
          <w:szCs w:val="22"/>
        </w:rPr>
        <w:t xml:space="preserve"> v. Poland, Application No. 25716/94, Judgment of 21 January 1999</w:t>
      </w:r>
    </w:p>
    <w:p w14:paraId="1CCE76FA" w14:textId="07EACD90" w:rsidR="00E10911" w:rsidRPr="00E10911" w:rsidRDefault="00E10911" w:rsidP="00155ACF">
      <w:pPr>
        <w:rPr>
          <w:rFonts w:cstheme="minorHAnsi"/>
          <w:color w:val="000000" w:themeColor="text1"/>
          <w:sz w:val="22"/>
          <w:szCs w:val="22"/>
        </w:rPr>
      </w:pPr>
      <w:r w:rsidRPr="00E10911">
        <w:rPr>
          <w:rFonts w:cstheme="minorHAnsi"/>
          <w:color w:val="000000" w:themeColor="text1"/>
          <w:sz w:val="22"/>
          <w:szCs w:val="22"/>
        </w:rPr>
        <w:t xml:space="preserve">ECtHR, </w:t>
      </w:r>
      <w:proofErr w:type="spellStart"/>
      <w:r w:rsidRPr="00E10911">
        <w:rPr>
          <w:rFonts w:cstheme="minorHAnsi"/>
          <w:color w:val="000000" w:themeColor="text1"/>
          <w:sz w:val="22"/>
          <w:szCs w:val="22"/>
        </w:rPr>
        <w:t>Nikula</w:t>
      </w:r>
      <w:proofErr w:type="spellEnd"/>
      <w:r w:rsidRPr="00E10911">
        <w:rPr>
          <w:rFonts w:cstheme="minorHAnsi"/>
          <w:color w:val="000000" w:themeColor="text1"/>
          <w:sz w:val="22"/>
          <w:szCs w:val="22"/>
        </w:rPr>
        <w:t xml:space="preserve"> v. Finland, Application No. 31611/96, Judgment of 21 March 2002</w:t>
      </w:r>
    </w:p>
    <w:p w14:paraId="12DF5FE9" w14:textId="70EE8263" w:rsidR="00E10911" w:rsidRPr="00E10911" w:rsidRDefault="00E10911" w:rsidP="00155ACF">
      <w:pPr>
        <w:rPr>
          <w:rFonts w:cstheme="minorHAnsi"/>
          <w:color w:val="000000" w:themeColor="text1"/>
          <w:sz w:val="22"/>
          <w:szCs w:val="22"/>
        </w:rPr>
      </w:pPr>
      <w:r w:rsidRPr="00E10911">
        <w:rPr>
          <w:rFonts w:cstheme="minorHAnsi"/>
          <w:color w:val="000000" w:themeColor="text1"/>
          <w:sz w:val="22"/>
          <w:szCs w:val="22"/>
        </w:rPr>
        <w:t>ECtHR, Worm v. Austria, Application No. 22714/93, Judgment of 29 August 1997</w:t>
      </w:r>
    </w:p>
    <w:p w14:paraId="3882104F" w14:textId="77777777" w:rsidR="00E10911" w:rsidRPr="000230A6" w:rsidRDefault="00E10911" w:rsidP="00155ACF">
      <w:pPr>
        <w:rPr>
          <w:rFonts w:cstheme="minorHAnsi"/>
          <w:color w:val="000000" w:themeColor="text1"/>
          <w:sz w:val="22"/>
          <w:szCs w:val="22"/>
        </w:rPr>
      </w:pPr>
    </w:p>
    <w:p w14:paraId="56010A0E" w14:textId="77777777" w:rsidR="00E10911" w:rsidRDefault="00E10911" w:rsidP="00155ACF">
      <w:pPr>
        <w:rPr>
          <w:rFonts w:cstheme="minorHAnsi"/>
          <w:color w:val="000000" w:themeColor="text1"/>
          <w:sz w:val="22"/>
          <w:szCs w:val="22"/>
        </w:rPr>
      </w:pPr>
    </w:p>
    <w:p w14:paraId="45F92162" w14:textId="090D1591" w:rsidR="005122CD" w:rsidRDefault="00332A20" w:rsidP="00155ACF">
      <w:pPr>
        <w:rPr>
          <w:rFonts w:cstheme="minorHAnsi"/>
          <w:color w:val="000000" w:themeColor="text1"/>
          <w:sz w:val="22"/>
          <w:szCs w:val="22"/>
        </w:rPr>
      </w:pPr>
      <w:r w:rsidRPr="000230A6">
        <w:rPr>
          <w:rFonts w:cstheme="minorHAnsi"/>
          <w:color w:val="000000" w:themeColor="text1"/>
          <w:sz w:val="22"/>
          <w:szCs w:val="22"/>
        </w:rPr>
        <w:t>National standards, law or jurisprudence:</w:t>
      </w:r>
    </w:p>
    <w:p w14:paraId="64445E97" w14:textId="77777777" w:rsidR="0037608D" w:rsidRDefault="0037608D" w:rsidP="00155ACF">
      <w:pPr>
        <w:rPr>
          <w:rFonts w:cstheme="minorHAnsi"/>
          <w:color w:val="000000" w:themeColor="text1"/>
          <w:sz w:val="22"/>
          <w:szCs w:val="22"/>
        </w:rPr>
      </w:pPr>
    </w:p>
    <w:p w14:paraId="32FF56E2" w14:textId="77777777" w:rsidR="0037608D" w:rsidRDefault="0037608D" w:rsidP="0037608D">
      <w:pPr>
        <w:rPr>
          <w:rFonts w:cstheme="minorHAnsi"/>
          <w:color w:val="000000" w:themeColor="text1"/>
          <w:sz w:val="22"/>
          <w:szCs w:val="22"/>
        </w:rPr>
      </w:pPr>
      <w:r>
        <w:rPr>
          <w:rFonts w:cstheme="minorHAnsi"/>
          <w:color w:val="000000" w:themeColor="text1"/>
          <w:sz w:val="22"/>
          <w:szCs w:val="22"/>
        </w:rPr>
        <w:t>Act on Criminal Proceedings, 1994 with amendments</w:t>
      </w:r>
    </w:p>
    <w:p w14:paraId="08B4FB57" w14:textId="77777777" w:rsidR="0037608D" w:rsidRDefault="0037608D" w:rsidP="0037608D">
      <w:pPr>
        <w:rPr>
          <w:rFonts w:cstheme="minorHAnsi"/>
          <w:color w:val="000000" w:themeColor="text1"/>
          <w:sz w:val="22"/>
          <w:szCs w:val="22"/>
        </w:rPr>
      </w:pPr>
      <w:r>
        <w:rPr>
          <w:rFonts w:cstheme="minorHAnsi"/>
          <w:color w:val="000000" w:themeColor="text1"/>
          <w:sz w:val="22"/>
          <w:szCs w:val="22"/>
        </w:rPr>
        <w:t xml:space="preserve">Criminal Code, 1994 with </w:t>
      </w:r>
      <w:proofErr w:type="spellStart"/>
      <w:r>
        <w:rPr>
          <w:rFonts w:cstheme="minorHAnsi"/>
          <w:color w:val="000000" w:themeColor="text1"/>
          <w:sz w:val="22"/>
          <w:szCs w:val="22"/>
        </w:rPr>
        <w:t>amandments</w:t>
      </w:r>
      <w:proofErr w:type="spellEnd"/>
    </w:p>
    <w:p w14:paraId="71398640" w14:textId="234B76AF" w:rsidR="00E10911" w:rsidRDefault="00E10911" w:rsidP="0037608D">
      <w:pPr>
        <w:rPr>
          <w:rFonts w:cstheme="minorHAnsi"/>
          <w:color w:val="000000" w:themeColor="text1"/>
          <w:sz w:val="22"/>
          <w:szCs w:val="22"/>
        </w:rPr>
      </w:pPr>
      <w:r>
        <w:rPr>
          <w:rFonts w:cstheme="minorHAnsi"/>
          <w:color w:val="000000" w:themeColor="text1"/>
          <w:sz w:val="22"/>
          <w:szCs w:val="22"/>
        </w:rPr>
        <w:t>A.A. v. Slovenia, Constitutional Court Decision Np. Up-150/03, 2005</w:t>
      </w:r>
    </w:p>
    <w:p w14:paraId="1556837F" w14:textId="4424EDF1" w:rsidR="0037608D" w:rsidRDefault="00E10911" w:rsidP="00155ACF">
      <w:pPr>
        <w:rPr>
          <w:rFonts w:cstheme="minorHAnsi"/>
          <w:color w:val="000000" w:themeColor="text1"/>
          <w:sz w:val="22"/>
          <w:szCs w:val="22"/>
        </w:rPr>
      </w:pPr>
      <w:r>
        <w:rPr>
          <w:rFonts w:cstheme="minorHAnsi"/>
          <w:color w:val="000000" w:themeColor="text1"/>
          <w:sz w:val="22"/>
          <w:szCs w:val="22"/>
        </w:rPr>
        <w:t xml:space="preserve">A.R. and A.L. v. Slovenia, Constitutional Court Decision No. </w:t>
      </w:r>
      <w:r w:rsidRPr="00E10911">
        <w:rPr>
          <w:rFonts w:cstheme="minorHAnsi"/>
          <w:color w:val="000000" w:themeColor="text1"/>
          <w:sz w:val="22"/>
          <w:szCs w:val="22"/>
        </w:rPr>
        <w:t>U-I-145/03</w:t>
      </w:r>
      <w:r>
        <w:rPr>
          <w:rFonts w:cstheme="minorHAnsi"/>
          <w:color w:val="000000" w:themeColor="text1"/>
          <w:sz w:val="22"/>
          <w:szCs w:val="22"/>
        </w:rPr>
        <w:t>, 2005</w:t>
      </w:r>
    </w:p>
    <w:p w14:paraId="3585643F" w14:textId="01669BFF" w:rsidR="00E10911" w:rsidRDefault="00E10911" w:rsidP="00155ACF">
      <w:pPr>
        <w:rPr>
          <w:rFonts w:cstheme="minorHAnsi"/>
          <w:color w:val="000000" w:themeColor="text1"/>
          <w:sz w:val="22"/>
          <w:szCs w:val="22"/>
        </w:rPr>
      </w:pPr>
      <w:r>
        <w:rPr>
          <w:rFonts w:cstheme="minorHAnsi"/>
          <w:color w:val="000000" w:themeColor="text1"/>
          <w:sz w:val="22"/>
          <w:szCs w:val="22"/>
        </w:rPr>
        <w:t>M.J. and K.H. v. Slovenia, Constitutional Court Decision No. U-I-174/94, 1998</w:t>
      </w:r>
    </w:p>
    <w:p w14:paraId="7930A249" w14:textId="587B3105" w:rsidR="00404E05" w:rsidRDefault="00404E05" w:rsidP="00155ACF">
      <w:pPr>
        <w:rPr>
          <w:rFonts w:cstheme="minorHAnsi"/>
          <w:color w:val="000000" w:themeColor="text1"/>
          <w:sz w:val="22"/>
          <w:szCs w:val="22"/>
        </w:rPr>
      </w:pPr>
    </w:p>
    <w:p w14:paraId="6FAD2CEA" w14:textId="77777777" w:rsidR="00E10911" w:rsidRDefault="00E10911" w:rsidP="00155ACF">
      <w:pPr>
        <w:rPr>
          <w:rFonts w:cstheme="minorHAnsi"/>
          <w:color w:val="000000" w:themeColor="text1"/>
          <w:sz w:val="22"/>
          <w:szCs w:val="22"/>
        </w:rPr>
      </w:pPr>
    </w:p>
    <w:p w14:paraId="42ED8DD2" w14:textId="09146D2E" w:rsidR="00BB1DF3" w:rsidRPr="000230A6" w:rsidRDefault="00332A20" w:rsidP="00155ACF">
      <w:pPr>
        <w:rPr>
          <w:rFonts w:cstheme="minorHAnsi"/>
          <w:b/>
          <w:bCs/>
          <w:sz w:val="22"/>
          <w:szCs w:val="22"/>
        </w:rPr>
      </w:pPr>
      <w:r w:rsidRPr="000230A6">
        <w:rPr>
          <w:rFonts w:cstheme="minorHAnsi"/>
          <w:b/>
          <w:bCs/>
          <w:sz w:val="22"/>
          <w:szCs w:val="22"/>
        </w:rPr>
        <w:t>Case Significance</w:t>
      </w:r>
    </w:p>
    <w:p w14:paraId="2E668237" w14:textId="77777777" w:rsidR="00BB1DF3" w:rsidRPr="000230A6" w:rsidRDefault="00BB1DF3" w:rsidP="00155ACF">
      <w:pPr>
        <w:rPr>
          <w:rFonts w:cstheme="minorHAnsi"/>
          <w:sz w:val="22"/>
          <w:szCs w:val="22"/>
        </w:rPr>
      </w:pPr>
    </w:p>
    <w:p w14:paraId="2D9E320D" w14:textId="77777777" w:rsidR="00BB1DF3" w:rsidRPr="000230A6" w:rsidRDefault="00332A20" w:rsidP="00155ACF">
      <w:pPr>
        <w:rPr>
          <w:rFonts w:cstheme="minorHAnsi"/>
          <w:sz w:val="22"/>
          <w:szCs w:val="22"/>
        </w:rPr>
      </w:pPr>
      <w:r w:rsidRPr="000230A6">
        <w:rPr>
          <w:rFonts w:cstheme="minorHAnsi"/>
          <w:sz w:val="22"/>
          <w:szCs w:val="22"/>
        </w:rPr>
        <w:t>The decision establishes a binding or persuasive precedent within its jurisdiction.</w:t>
      </w:r>
    </w:p>
    <w:p w14:paraId="28F2EDCC" w14:textId="77777777" w:rsidR="003669D1" w:rsidRPr="000230A6" w:rsidRDefault="003669D1" w:rsidP="00155ACF">
      <w:pPr>
        <w:rPr>
          <w:rFonts w:cstheme="minorHAnsi"/>
          <w:sz w:val="22"/>
          <w:szCs w:val="22"/>
        </w:rPr>
      </w:pPr>
    </w:p>
    <w:p w14:paraId="0A99731E" w14:textId="77777777" w:rsidR="003669D1" w:rsidRPr="000230A6" w:rsidRDefault="00332A20" w:rsidP="003669D1">
      <w:pPr>
        <w:rPr>
          <w:rFonts w:cstheme="minorHAnsi"/>
          <w:b/>
          <w:bCs/>
          <w:sz w:val="22"/>
          <w:szCs w:val="22"/>
        </w:rPr>
      </w:pPr>
      <w:r w:rsidRPr="000230A6">
        <w:rPr>
          <w:rFonts w:cstheme="minorHAnsi"/>
          <w:b/>
          <w:bCs/>
          <w:sz w:val="22"/>
          <w:szCs w:val="22"/>
        </w:rPr>
        <w:t>Official Case Documents</w:t>
      </w:r>
    </w:p>
    <w:p w14:paraId="3BE20EBB" w14:textId="60914D0F" w:rsidR="003669D1" w:rsidRPr="000230A6" w:rsidRDefault="00620093" w:rsidP="00620093">
      <w:pPr>
        <w:rPr>
          <w:rFonts w:cstheme="minorHAnsi"/>
          <w:sz w:val="22"/>
          <w:szCs w:val="22"/>
        </w:rPr>
      </w:pPr>
      <w:r w:rsidRPr="00620093">
        <w:rPr>
          <w:rFonts w:cstheme="minorHAnsi"/>
          <w:sz w:val="22"/>
          <w:szCs w:val="22"/>
        </w:rPr>
        <w:t>https://www.us-rs.si/sl/zadeve-in-odlocitve/odlocitve/up-30905</w:t>
      </w:r>
    </w:p>
    <w:sectPr w:rsidR="003669D1" w:rsidRPr="000230A6" w:rsidSect="00E93B0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4EA4" w14:textId="77777777" w:rsidR="00332A20" w:rsidRDefault="00332A20">
      <w:r>
        <w:separator/>
      </w:r>
    </w:p>
  </w:endnote>
  <w:endnote w:type="continuationSeparator" w:id="0">
    <w:p w14:paraId="335D6E2E" w14:textId="77777777" w:rsidR="00332A20" w:rsidRDefault="0033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1C16" w14:textId="77777777" w:rsidR="00332A20" w:rsidRDefault="00332A20">
      <w:r>
        <w:separator/>
      </w:r>
    </w:p>
  </w:footnote>
  <w:footnote w:type="continuationSeparator" w:id="0">
    <w:p w14:paraId="2C364A3D" w14:textId="77777777" w:rsidR="00332A20" w:rsidRDefault="0033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C9F6" w14:textId="77777777" w:rsidR="00811811" w:rsidRDefault="00332A20">
    <w:pPr>
      <w:pStyle w:val="Glava"/>
    </w:pPr>
    <w:r>
      <w:rPr>
        <w:noProof/>
      </w:rPr>
      <w:drawing>
        <wp:inline distT="0" distB="0" distL="0" distR="0" wp14:anchorId="025891B7" wp14:editId="1ADACA30">
          <wp:extent cx="4572000" cy="661307"/>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603691" cy="665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21A"/>
    <w:multiLevelType w:val="multilevel"/>
    <w:tmpl w:val="912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66B27"/>
    <w:multiLevelType w:val="hybridMultilevel"/>
    <w:tmpl w:val="B508A68E"/>
    <w:lvl w:ilvl="0" w:tplc="B87CE7FC">
      <w:start w:val="1"/>
      <w:numFmt w:val="bullet"/>
      <w:lvlText w:val="-"/>
      <w:lvlJc w:val="left"/>
      <w:pPr>
        <w:ind w:left="720" w:hanging="360"/>
      </w:pPr>
      <w:rPr>
        <w:rFonts w:ascii="Calibri" w:eastAsiaTheme="minorHAnsi" w:hAnsi="Calibri" w:cs="Calibri" w:hint="default"/>
      </w:rPr>
    </w:lvl>
    <w:lvl w:ilvl="1" w:tplc="7408BE4E" w:tentative="1">
      <w:start w:val="1"/>
      <w:numFmt w:val="bullet"/>
      <w:lvlText w:val="o"/>
      <w:lvlJc w:val="left"/>
      <w:pPr>
        <w:ind w:left="1440" w:hanging="360"/>
      </w:pPr>
      <w:rPr>
        <w:rFonts w:ascii="Courier New" w:hAnsi="Courier New" w:cs="Courier New" w:hint="default"/>
      </w:rPr>
    </w:lvl>
    <w:lvl w:ilvl="2" w:tplc="345ABA70" w:tentative="1">
      <w:start w:val="1"/>
      <w:numFmt w:val="bullet"/>
      <w:lvlText w:val=""/>
      <w:lvlJc w:val="left"/>
      <w:pPr>
        <w:ind w:left="2160" w:hanging="360"/>
      </w:pPr>
      <w:rPr>
        <w:rFonts w:ascii="Wingdings" w:hAnsi="Wingdings" w:hint="default"/>
      </w:rPr>
    </w:lvl>
    <w:lvl w:ilvl="3" w:tplc="E8F00638" w:tentative="1">
      <w:start w:val="1"/>
      <w:numFmt w:val="bullet"/>
      <w:lvlText w:val=""/>
      <w:lvlJc w:val="left"/>
      <w:pPr>
        <w:ind w:left="2880" w:hanging="360"/>
      </w:pPr>
      <w:rPr>
        <w:rFonts w:ascii="Symbol" w:hAnsi="Symbol" w:hint="default"/>
      </w:rPr>
    </w:lvl>
    <w:lvl w:ilvl="4" w:tplc="078A82C6" w:tentative="1">
      <w:start w:val="1"/>
      <w:numFmt w:val="bullet"/>
      <w:lvlText w:val="o"/>
      <w:lvlJc w:val="left"/>
      <w:pPr>
        <w:ind w:left="3600" w:hanging="360"/>
      </w:pPr>
      <w:rPr>
        <w:rFonts w:ascii="Courier New" w:hAnsi="Courier New" w:cs="Courier New" w:hint="default"/>
      </w:rPr>
    </w:lvl>
    <w:lvl w:ilvl="5" w:tplc="4514A1A8" w:tentative="1">
      <w:start w:val="1"/>
      <w:numFmt w:val="bullet"/>
      <w:lvlText w:val=""/>
      <w:lvlJc w:val="left"/>
      <w:pPr>
        <w:ind w:left="4320" w:hanging="360"/>
      </w:pPr>
      <w:rPr>
        <w:rFonts w:ascii="Wingdings" w:hAnsi="Wingdings" w:hint="default"/>
      </w:rPr>
    </w:lvl>
    <w:lvl w:ilvl="6" w:tplc="157A51DE" w:tentative="1">
      <w:start w:val="1"/>
      <w:numFmt w:val="bullet"/>
      <w:lvlText w:val=""/>
      <w:lvlJc w:val="left"/>
      <w:pPr>
        <w:ind w:left="5040" w:hanging="360"/>
      </w:pPr>
      <w:rPr>
        <w:rFonts w:ascii="Symbol" w:hAnsi="Symbol" w:hint="default"/>
      </w:rPr>
    </w:lvl>
    <w:lvl w:ilvl="7" w:tplc="0EA63E84" w:tentative="1">
      <w:start w:val="1"/>
      <w:numFmt w:val="bullet"/>
      <w:lvlText w:val="o"/>
      <w:lvlJc w:val="left"/>
      <w:pPr>
        <w:ind w:left="5760" w:hanging="360"/>
      </w:pPr>
      <w:rPr>
        <w:rFonts w:ascii="Courier New" w:hAnsi="Courier New" w:cs="Courier New" w:hint="default"/>
      </w:rPr>
    </w:lvl>
    <w:lvl w:ilvl="8" w:tplc="9EE2D296" w:tentative="1">
      <w:start w:val="1"/>
      <w:numFmt w:val="bullet"/>
      <w:lvlText w:val=""/>
      <w:lvlJc w:val="left"/>
      <w:pPr>
        <w:ind w:left="6480" w:hanging="360"/>
      </w:pPr>
      <w:rPr>
        <w:rFonts w:ascii="Wingdings" w:hAnsi="Wingdings" w:hint="default"/>
      </w:rPr>
    </w:lvl>
  </w:abstractNum>
  <w:abstractNum w:abstractNumId="2" w15:restartNumberingAfterBreak="0">
    <w:nsid w:val="0CB825DE"/>
    <w:multiLevelType w:val="multilevel"/>
    <w:tmpl w:val="E4368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6A3"/>
    <w:multiLevelType w:val="hybridMultilevel"/>
    <w:tmpl w:val="98B60686"/>
    <w:lvl w:ilvl="0" w:tplc="67B288CE">
      <w:start w:val="1"/>
      <w:numFmt w:val="decimal"/>
      <w:lvlText w:val="%1."/>
      <w:lvlJc w:val="left"/>
      <w:pPr>
        <w:ind w:left="720" w:hanging="360"/>
      </w:pPr>
      <w:rPr>
        <w:rFonts w:asciiTheme="minorHAnsi" w:eastAsiaTheme="minorHAnsi" w:hAnsiTheme="minorHAnsi" w:cstheme="minorBidi" w:hint="default"/>
      </w:rPr>
    </w:lvl>
    <w:lvl w:ilvl="1" w:tplc="BDA6FD94">
      <w:start w:val="1"/>
      <w:numFmt w:val="lowerLetter"/>
      <w:lvlText w:val="%2."/>
      <w:lvlJc w:val="left"/>
      <w:pPr>
        <w:ind w:left="1440" w:hanging="360"/>
      </w:pPr>
    </w:lvl>
    <w:lvl w:ilvl="2" w:tplc="B9CC6BCE" w:tentative="1">
      <w:start w:val="1"/>
      <w:numFmt w:val="lowerRoman"/>
      <w:lvlText w:val="%3."/>
      <w:lvlJc w:val="right"/>
      <w:pPr>
        <w:ind w:left="2160" w:hanging="180"/>
      </w:pPr>
    </w:lvl>
    <w:lvl w:ilvl="3" w:tplc="3C9C78E4" w:tentative="1">
      <w:start w:val="1"/>
      <w:numFmt w:val="decimal"/>
      <w:lvlText w:val="%4."/>
      <w:lvlJc w:val="left"/>
      <w:pPr>
        <w:ind w:left="2880" w:hanging="360"/>
      </w:pPr>
    </w:lvl>
    <w:lvl w:ilvl="4" w:tplc="4816E6A6" w:tentative="1">
      <w:start w:val="1"/>
      <w:numFmt w:val="lowerLetter"/>
      <w:lvlText w:val="%5."/>
      <w:lvlJc w:val="left"/>
      <w:pPr>
        <w:ind w:left="3600" w:hanging="360"/>
      </w:pPr>
    </w:lvl>
    <w:lvl w:ilvl="5" w:tplc="0B4A5454" w:tentative="1">
      <w:start w:val="1"/>
      <w:numFmt w:val="lowerRoman"/>
      <w:lvlText w:val="%6."/>
      <w:lvlJc w:val="right"/>
      <w:pPr>
        <w:ind w:left="4320" w:hanging="180"/>
      </w:pPr>
    </w:lvl>
    <w:lvl w:ilvl="6" w:tplc="70B67B12" w:tentative="1">
      <w:start w:val="1"/>
      <w:numFmt w:val="decimal"/>
      <w:lvlText w:val="%7."/>
      <w:lvlJc w:val="left"/>
      <w:pPr>
        <w:ind w:left="5040" w:hanging="360"/>
      </w:pPr>
    </w:lvl>
    <w:lvl w:ilvl="7" w:tplc="C3C4D7A8" w:tentative="1">
      <w:start w:val="1"/>
      <w:numFmt w:val="lowerLetter"/>
      <w:lvlText w:val="%8."/>
      <w:lvlJc w:val="left"/>
      <w:pPr>
        <w:ind w:left="5760" w:hanging="360"/>
      </w:pPr>
    </w:lvl>
    <w:lvl w:ilvl="8" w:tplc="FCCE2FC0" w:tentative="1">
      <w:start w:val="1"/>
      <w:numFmt w:val="lowerRoman"/>
      <w:lvlText w:val="%9."/>
      <w:lvlJc w:val="right"/>
      <w:pPr>
        <w:ind w:left="6480" w:hanging="180"/>
      </w:pPr>
    </w:lvl>
  </w:abstractNum>
  <w:abstractNum w:abstractNumId="4" w15:restartNumberingAfterBreak="0">
    <w:nsid w:val="1E584216"/>
    <w:multiLevelType w:val="multilevel"/>
    <w:tmpl w:val="32AC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D2E33"/>
    <w:multiLevelType w:val="multilevel"/>
    <w:tmpl w:val="3FEA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D1EB7"/>
    <w:multiLevelType w:val="hybridMultilevel"/>
    <w:tmpl w:val="6396FDD4"/>
    <w:lvl w:ilvl="0" w:tplc="531E0328">
      <w:start w:val="1"/>
      <w:numFmt w:val="decimal"/>
      <w:lvlText w:val="%1."/>
      <w:lvlJc w:val="left"/>
      <w:pPr>
        <w:ind w:left="720" w:hanging="360"/>
      </w:pPr>
      <w:rPr>
        <w:rFonts w:hint="default"/>
      </w:rPr>
    </w:lvl>
    <w:lvl w:ilvl="1" w:tplc="8B886236" w:tentative="1">
      <w:start w:val="1"/>
      <w:numFmt w:val="lowerLetter"/>
      <w:lvlText w:val="%2."/>
      <w:lvlJc w:val="left"/>
      <w:pPr>
        <w:ind w:left="1440" w:hanging="360"/>
      </w:pPr>
    </w:lvl>
    <w:lvl w:ilvl="2" w:tplc="3D92931E" w:tentative="1">
      <w:start w:val="1"/>
      <w:numFmt w:val="lowerRoman"/>
      <w:lvlText w:val="%3."/>
      <w:lvlJc w:val="right"/>
      <w:pPr>
        <w:ind w:left="2160" w:hanging="180"/>
      </w:pPr>
    </w:lvl>
    <w:lvl w:ilvl="3" w:tplc="91A639EE" w:tentative="1">
      <w:start w:val="1"/>
      <w:numFmt w:val="decimal"/>
      <w:lvlText w:val="%4."/>
      <w:lvlJc w:val="left"/>
      <w:pPr>
        <w:ind w:left="2880" w:hanging="360"/>
      </w:pPr>
    </w:lvl>
    <w:lvl w:ilvl="4" w:tplc="C9F68A52" w:tentative="1">
      <w:start w:val="1"/>
      <w:numFmt w:val="lowerLetter"/>
      <w:lvlText w:val="%5."/>
      <w:lvlJc w:val="left"/>
      <w:pPr>
        <w:ind w:left="3600" w:hanging="360"/>
      </w:pPr>
    </w:lvl>
    <w:lvl w:ilvl="5" w:tplc="F2846DDE" w:tentative="1">
      <w:start w:val="1"/>
      <w:numFmt w:val="lowerRoman"/>
      <w:lvlText w:val="%6."/>
      <w:lvlJc w:val="right"/>
      <w:pPr>
        <w:ind w:left="4320" w:hanging="180"/>
      </w:pPr>
    </w:lvl>
    <w:lvl w:ilvl="6" w:tplc="79DA2A36" w:tentative="1">
      <w:start w:val="1"/>
      <w:numFmt w:val="decimal"/>
      <w:lvlText w:val="%7."/>
      <w:lvlJc w:val="left"/>
      <w:pPr>
        <w:ind w:left="5040" w:hanging="360"/>
      </w:pPr>
    </w:lvl>
    <w:lvl w:ilvl="7" w:tplc="9E780A06" w:tentative="1">
      <w:start w:val="1"/>
      <w:numFmt w:val="lowerLetter"/>
      <w:lvlText w:val="%8."/>
      <w:lvlJc w:val="left"/>
      <w:pPr>
        <w:ind w:left="5760" w:hanging="360"/>
      </w:pPr>
    </w:lvl>
    <w:lvl w:ilvl="8" w:tplc="ED36C40C" w:tentative="1">
      <w:start w:val="1"/>
      <w:numFmt w:val="lowerRoman"/>
      <w:lvlText w:val="%9."/>
      <w:lvlJc w:val="right"/>
      <w:pPr>
        <w:ind w:left="6480" w:hanging="180"/>
      </w:pPr>
    </w:lvl>
  </w:abstractNum>
  <w:abstractNum w:abstractNumId="7" w15:restartNumberingAfterBreak="0">
    <w:nsid w:val="670F6E95"/>
    <w:multiLevelType w:val="multilevel"/>
    <w:tmpl w:val="1DCCA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766E8"/>
    <w:multiLevelType w:val="hybridMultilevel"/>
    <w:tmpl w:val="36C8DF56"/>
    <w:lvl w:ilvl="0" w:tplc="BE682D20">
      <w:start w:val="1"/>
      <w:numFmt w:val="decimal"/>
      <w:lvlText w:val="%1."/>
      <w:lvlJc w:val="left"/>
      <w:pPr>
        <w:ind w:left="720" w:hanging="360"/>
      </w:pPr>
      <w:rPr>
        <w:rFonts w:hint="default"/>
      </w:rPr>
    </w:lvl>
    <w:lvl w:ilvl="1" w:tplc="A4FC0406" w:tentative="1">
      <w:start w:val="1"/>
      <w:numFmt w:val="lowerLetter"/>
      <w:lvlText w:val="%2."/>
      <w:lvlJc w:val="left"/>
      <w:pPr>
        <w:ind w:left="1440" w:hanging="360"/>
      </w:pPr>
    </w:lvl>
    <w:lvl w:ilvl="2" w:tplc="B5D4F4AA" w:tentative="1">
      <w:start w:val="1"/>
      <w:numFmt w:val="lowerRoman"/>
      <w:lvlText w:val="%3."/>
      <w:lvlJc w:val="right"/>
      <w:pPr>
        <w:ind w:left="2160" w:hanging="180"/>
      </w:pPr>
    </w:lvl>
    <w:lvl w:ilvl="3" w:tplc="A6E2B520" w:tentative="1">
      <w:start w:val="1"/>
      <w:numFmt w:val="decimal"/>
      <w:lvlText w:val="%4."/>
      <w:lvlJc w:val="left"/>
      <w:pPr>
        <w:ind w:left="2880" w:hanging="360"/>
      </w:pPr>
    </w:lvl>
    <w:lvl w:ilvl="4" w:tplc="039822D8" w:tentative="1">
      <w:start w:val="1"/>
      <w:numFmt w:val="lowerLetter"/>
      <w:lvlText w:val="%5."/>
      <w:lvlJc w:val="left"/>
      <w:pPr>
        <w:ind w:left="3600" w:hanging="360"/>
      </w:pPr>
    </w:lvl>
    <w:lvl w:ilvl="5" w:tplc="25F696FE" w:tentative="1">
      <w:start w:val="1"/>
      <w:numFmt w:val="lowerRoman"/>
      <w:lvlText w:val="%6."/>
      <w:lvlJc w:val="right"/>
      <w:pPr>
        <w:ind w:left="4320" w:hanging="180"/>
      </w:pPr>
    </w:lvl>
    <w:lvl w:ilvl="6" w:tplc="1916AA10" w:tentative="1">
      <w:start w:val="1"/>
      <w:numFmt w:val="decimal"/>
      <w:lvlText w:val="%7."/>
      <w:lvlJc w:val="left"/>
      <w:pPr>
        <w:ind w:left="5040" w:hanging="360"/>
      </w:pPr>
    </w:lvl>
    <w:lvl w:ilvl="7" w:tplc="BB6A7460" w:tentative="1">
      <w:start w:val="1"/>
      <w:numFmt w:val="lowerLetter"/>
      <w:lvlText w:val="%8."/>
      <w:lvlJc w:val="left"/>
      <w:pPr>
        <w:ind w:left="5760" w:hanging="360"/>
      </w:pPr>
    </w:lvl>
    <w:lvl w:ilvl="8" w:tplc="195AF60C" w:tentative="1">
      <w:start w:val="1"/>
      <w:numFmt w:val="lowerRoman"/>
      <w:lvlText w:val="%9."/>
      <w:lvlJc w:val="right"/>
      <w:pPr>
        <w:ind w:left="6480" w:hanging="180"/>
      </w:pPr>
    </w:lvl>
  </w:abstractNum>
  <w:abstractNum w:abstractNumId="9" w15:restartNumberingAfterBreak="0">
    <w:nsid w:val="765F5BEE"/>
    <w:multiLevelType w:val="hybridMultilevel"/>
    <w:tmpl w:val="151EA2D8"/>
    <w:lvl w:ilvl="0" w:tplc="D50490A8">
      <w:start w:val="1"/>
      <w:numFmt w:val="bullet"/>
      <w:lvlText w:val="-"/>
      <w:lvlJc w:val="left"/>
      <w:pPr>
        <w:ind w:left="720" w:hanging="360"/>
      </w:pPr>
      <w:rPr>
        <w:rFonts w:ascii="Calibri" w:eastAsiaTheme="minorHAnsi" w:hAnsi="Calibri" w:cs="Calibri" w:hint="default"/>
      </w:rPr>
    </w:lvl>
    <w:lvl w:ilvl="1" w:tplc="086A384E" w:tentative="1">
      <w:start w:val="1"/>
      <w:numFmt w:val="bullet"/>
      <w:lvlText w:val="o"/>
      <w:lvlJc w:val="left"/>
      <w:pPr>
        <w:ind w:left="1440" w:hanging="360"/>
      </w:pPr>
      <w:rPr>
        <w:rFonts w:ascii="Courier New" w:hAnsi="Courier New" w:cs="Courier New" w:hint="default"/>
      </w:rPr>
    </w:lvl>
    <w:lvl w:ilvl="2" w:tplc="665441C8" w:tentative="1">
      <w:start w:val="1"/>
      <w:numFmt w:val="bullet"/>
      <w:lvlText w:val=""/>
      <w:lvlJc w:val="left"/>
      <w:pPr>
        <w:ind w:left="2160" w:hanging="360"/>
      </w:pPr>
      <w:rPr>
        <w:rFonts w:ascii="Wingdings" w:hAnsi="Wingdings" w:hint="default"/>
      </w:rPr>
    </w:lvl>
    <w:lvl w:ilvl="3" w:tplc="2A80DD52" w:tentative="1">
      <w:start w:val="1"/>
      <w:numFmt w:val="bullet"/>
      <w:lvlText w:val=""/>
      <w:lvlJc w:val="left"/>
      <w:pPr>
        <w:ind w:left="2880" w:hanging="360"/>
      </w:pPr>
      <w:rPr>
        <w:rFonts w:ascii="Symbol" w:hAnsi="Symbol" w:hint="default"/>
      </w:rPr>
    </w:lvl>
    <w:lvl w:ilvl="4" w:tplc="57B42C9C" w:tentative="1">
      <w:start w:val="1"/>
      <w:numFmt w:val="bullet"/>
      <w:lvlText w:val="o"/>
      <w:lvlJc w:val="left"/>
      <w:pPr>
        <w:ind w:left="3600" w:hanging="360"/>
      </w:pPr>
      <w:rPr>
        <w:rFonts w:ascii="Courier New" w:hAnsi="Courier New" w:cs="Courier New" w:hint="default"/>
      </w:rPr>
    </w:lvl>
    <w:lvl w:ilvl="5" w:tplc="BFBE77DA" w:tentative="1">
      <w:start w:val="1"/>
      <w:numFmt w:val="bullet"/>
      <w:lvlText w:val=""/>
      <w:lvlJc w:val="left"/>
      <w:pPr>
        <w:ind w:left="4320" w:hanging="360"/>
      </w:pPr>
      <w:rPr>
        <w:rFonts w:ascii="Wingdings" w:hAnsi="Wingdings" w:hint="default"/>
      </w:rPr>
    </w:lvl>
    <w:lvl w:ilvl="6" w:tplc="4BE4CE80" w:tentative="1">
      <w:start w:val="1"/>
      <w:numFmt w:val="bullet"/>
      <w:lvlText w:val=""/>
      <w:lvlJc w:val="left"/>
      <w:pPr>
        <w:ind w:left="5040" w:hanging="360"/>
      </w:pPr>
      <w:rPr>
        <w:rFonts w:ascii="Symbol" w:hAnsi="Symbol" w:hint="default"/>
      </w:rPr>
    </w:lvl>
    <w:lvl w:ilvl="7" w:tplc="BB3A2796" w:tentative="1">
      <w:start w:val="1"/>
      <w:numFmt w:val="bullet"/>
      <w:lvlText w:val="o"/>
      <w:lvlJc w:val="left"/>
      <w:pPr>
        <w:ind w:left="5760" w:hanging="360"/>
      </w:pPr>
      <w:rPr>
        <w:rFonts w:ascii="Courier New" w:hAnsi="Courier New" w:cs="Courier New" w:hint="default"/>
      </w:rPr>
    </w:lvl>
    <w:lvl w:ilvl="8" w:tplc="0B1EE96E" w:tentative="1">
      <w:start w:val="1"/>
      <w:numFmt w:val="bullet"/>
      <w:lvlText w:val=""/>
      <w:lvlJc w:val="left"/>
      <w:pPr>
        <w:ind w:left="6480" w:hanging="360"/>
      </w:pPr>
      <w:rPr>
        <w:rFonts w:ascii="Wingdings" w:hAnsi="Wingdings" w:hint="default"/>
      </w:rPr>
    </w:lvl>
  </w:abstractNum>
  <w:num w:numId="1" w16cid:durableId="1948192600">
    <w:abstractNumId w:val="6"/>
  </w:num>
  <w:num w:numId="2" w16cid:durableId="1240754573">
    <w:abstractNumId w:val="8"/>
  </w:num>
  <w:num w:numId="3" w16cid:durableId="3943093">
    <w:abstractNumId w:val="3"/>
  </w:num>
  <w:num w:numId="4" w16cid:durableId="1493179748">
    <w:abstractNumId w:val="1"/>
  </w:num>
  <w:num w:numId="5" w16cid:durableId="1037005869">
    <w:abstractNumId w:val="9"/>
  </w:num>
  <w:num w:numId="6" w16cid:durableId="11222599">
    <w:abstractNumId w:val="4"/>
  </w:num>
  <w:num w:numId="7" w16cid:durableId="1607423284">
    <w:abstractNumId w:val="5"/>
  </w:num>
  <w:num w:numId="8" w16cid:durableId="940528751">
    <w:abstractNumId w:val="2"/>
  </w:num>
  <w:num w:numId="9" w16cid:durableId="831917129">
    <w:abstractNumId w:val="7"/>
  </w:num>
  <w:num w:numId="10" w16cid:durableId="179597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AB"/>
    <w:rsid w:val="000011C6"/>
    <w:rsid w:val="0001022A"/>
    <w:rsid w:val="000108DE"/>
    <w:rsid w:val="000230A6"/>
    <w:rsid w:val="00027801"/>
    <w:rsid w:val="0003092E"/>
    <w:rsid w:val="000335AA"/>
    <w:rsid w:val="000371E3"/>
    <w:rsid w:val="00042F08"/>
    <w:rsid w:val="00057E49"/>
    <w:rsid w:val="00067359"/>
    <w:rsid w:val="00076819"/>
    <w:rsid w:val="00083583"/>
    <w:rsid w:val="00093463"/>
    <w:rsid w:val="00093C7F"/>
    <w:rsid w:val="00096099"/>
    <w:rsid w:val="00096FF3"/>
    <w:rsid w:val="000976C5"/>
    <w:rsid w:val="000A1032"/>
    <w:rsid w:val="000A199B"/>
    <w:rsid w:val="000A1C67"/>
    <w:rsid w:val="000A7D07"/>
    <w:rsid w:val="000B1871"/>
    <w:rsid w:val="000B2161"/>
    <w:rsid w:val="000B3D49"/>
    <w:rsid w:val="000C096A"/>
    <w:rsid w:val="000D35F9"/>
    <w:rsid w:val="000E3764"/>
    <w:rsid w:val="000F0BCD"/>
    <w:rsid w:val="000F7373"/>
    <w:rsid w:val="000F7449"/>
    <w:rsid w:val="00110887"/>
    <w:rsid w:val="00120C73"/>
    <w:rsid w:val="00133697"/>
    <w:rsid w:val="00146AAC"/>
    <w:rsid w:val="0015292A"/>
    <w:rsid w:val="00152B05"/>
    <w:rsid w:val="00155ACF"/>
    <w:rsid w:val="00175199"/>
    <w:rsid w:val="001819EA"/>
    <w:rsid w:val="00185EB1"/>
    <w:rsid w:val="001906C8"/>
    <w:rsid w:val="00194AB9"/>
    <w:rsid w:val="001A336B"/>
    <w:rsid w:val="001A5C46"/>
    <w:rsid w:val="001B2ED6"/>
    <w:rsid w:val="001B4BEF"/>
    <w:rsid w:val="001B5BDA"/>
    <w:rsid w:val="001C107B"/>
    <w:rsid w:val="001C460A"/>
    <w:rsid w:val="001C66FF"/>
    <w:rsid w:val="001D1C3C"/>
    <w:rsid w:val="001D4B84"/>
    <w:rsid w:val="001D7224"/>
    <w:rsid w:val="001F078F"/>
    <w:rsid w:val="002176BE"/>
    <w:rsid w:val="0022192D"/>
    <w:rsid w:val="00221B23"/>
    <w:rsid w:val="00225259"/>
    <w:rsid w:val="0023339D"/>
    <w:rsid w:val="00244EC4"/>
    <w:rsid w:val="00244F64"/>
    <w:rsid w:val="0024595F"/>
    <w:rsid w:val="00245EF0"/>
    <w:rsid w:val="002477D9"/>
    <w:rsid w:val="0026738D"/>
    <w:rsid w:val="00277C0A"/>
    <w:rsid w:val="00282A26"/>
    <w:rsid w:val="00282DEE"/>
    <w:rsid w:val="002A0420"/>
    <w:rsid w:val="002A52BF"/>
    <w:rsid w:val="002A6305"/>
    <w:rsid w:val="002A7B7C"/>
    <w:rsid w:val="002B09D3"/>
    <w:rsid w:val="002B2316"/>
    <w:rsid w:val="002B415D"/>
    <w:rsid w:val="002B6C43"/>
    <w:rsid w:val="002C28D5"/>
    <w:rsid w:val="002C4CCE"/>
    <w:rsid w:val="002F1EE3"/>
    <w:rsid w:val="00303350"/>
    <w:rsid w:val="00304A26"/>
    <w:rsid w:val="00305160"/>
    <w:rsid w:val="00305268"/>
    <w:rsid w:val="00306F60"/>
    <w:rsid w:val="00315E8D"/>
    <w:rsid w:val="00321490"/>
    <w:rsid w:val="003228E1"/>
    <w:rsid w:val="003310FE"/>
    <w:rsid w:val="00332A20"/>
    <w:rsid w:val="00333BE8"/>
    <w:rsid w:val="00345A46"/>
    <w:rsid w:val="00353767"/>
    <w:rsid w:val="00356E6F"/>
    <w:rsid w:val="00360EAF"/>
    <w:rsid w:val="00365FBE"/>
    <w:rsid w:val="003669D1"/>
    <w:rsid w:val="0037608D"/>
    <w:rsid w:val="00380D05"/>
    <w:rsid w:val="003868FA"/>
    <w:rsid w:val="00390907"/>
    <w:rsid w:val="00397DA2"/>
    <w:rsid w:val="003A3FC8"/>
    <w:rsid w:val="003A41F2"/>
    <w:rsid w:val="003A6497"/>
    <w:rsid w:val="003B5E99"/>
    <w:rsid w:val="003C0AF2"/>
    <w:rsid w:val="003C3705"/>
    <w:rsid w:val="003C3A70"/>
    <w:rsid w:val="003C3D0A"/>
    <w:rsid w:val="003D02FE"/>
    <w:rsid w:val="00404E05"/>
    <w:rsid w:val="004122DC"/>
    <w:rsid w:val="0045448D"/>
    <w:rsid w:val="00460F4C"/>
    <w:rsid w:val="004736A0"/>
    <w:rsid w:val="00483083"/>
    <w:rsid w:val="00491CD4"/>
    <w:rsid w:val="00495288"/>
    <w:rsid w:val="004A04B9"/>
    <w:rsid w:val="004A4B06"/>
    <w:rsid w:val="004A4EF0"/>
    <w:rsid w:val="004A5660"/>
    <w:rsid w:val="004A7676"/>
    <w:rsid w:val="004C5DF4"/>
    <w:rsid w:val="004C6A2E"/>
    <w:rsid w:val="004D618D"/>
    <w:rsid w:val="004E4C7D"/>
    <w:rsid w:val="00506A7F"/>
    <w:rsid w:val="0050787B"/>
    <w:rsid w:val="005122CD"/>
    <w:rsid w:val="00517DC4"/>
    <w:rsid w:val="00523209"/>
    <w:rsid w:val="00524FC4"/>
    <w:rsid w:val="005402EE"/>
    <w:rsid w:val="00542229"/>
    <w:rsid w:val="005541C0"/>
    <w:rsid w:val="00555C11"/>
    <w:rsid w:val="00566C9A"/>
    <w:rsid w:val="0057283D"/>
    <w:rsid w:val="00576C1D"/>
    <w:rsid w:val="00577D28"/>
    <w:rsid w:val="00577FE0"/>
    <w:rsid w:val="00582C7A"/>
    <w:rsid w:val="005931B8"/>
    <w:rsid w:val="00596A35"/>
    <w:rsid w:val="005A34B0"/>
    <w:rsid w:val="005A7977"/>
    <w:rsid w:val="005B797A"/>
    <w:rsid w:val="005C6C0A"/>
    <w:rsid w:val="005D0B32"/>
    <w:rsid w:val="005E779D"/>
    <w:rsid w:val="00620093"/>
    <w:rsid w:val="00620A4A"/>
    <w:rsid w:val="006210D1"/>
    <w:rsid w:val="00624419"/>
    <w:rsid w:val="006361D4"/>
    <w:rsid w:val="00641886"/>
    <w:rsid w:val="00641C61"/>
    <w:rsid w:val="00652628"/>
    <w:rsid w:val="00652B4F"/>
    <w:rsid w:val="00654D72"/>
    <w:rsid w:val="00656C76"/>
    <w:rsid w:val="00671BF5"/>
    <w:rsid w:val="00675D08"/>
    <w:rsid w:val="0067729E"/>
    <w:rsid w:val="006806CA"/>
    <w:rsid w:val="00684C26"/>
    <w:rsid w:val="00687181"/>
    <w:rsid w:val="00694FB0"/>
    <w:rsid w:val="006A4E7F"/>
    <w:rsid w:val="006A4F9C"/>
    <w:rsid w:val="006A657C"/>
    <w:rsid w:val="006A70E1"/>
    <w:rsid w:val="006A75EA"/>
    <w:rsid w:val="006B3B44"/>
    <w:rsid w:val="006B480C"/>
    <w:rsid w:val="006C1D1A"/>
    <w:rsid w:val="006C4E30"/>
    <w:rsid w:val="006C78A7"/>
    <w:rsid w:val="006D36FD"/>
    <w:rsid w:val="006D6422"/>
    <w:rsid w:val="006D6597"/>
    <w:rsid w:val="006E1908"/>
    <w:rsid w:val="006E58C2"/>
    <w:rsid w:val="006E6F9B"/>
    <w:rsid w:val="00712791"/>
    <w:rsid w:val="00727720"/>
    <w:rsid w:val="007312C1"/>
    <w:rsid w:val="00733AE5"/>
    <w:rsid w:val="00761BDD"/>
    <w:rsid w:val="0076462B"/>
    <w:rsid w:val="00764AF6"/>
    <w:rsid w:val="007676C7"/>
    <w:rsid w:val="00771FC2"/>
    <w:rsid w:val="007809C8"/>
    <w:rsid w:val="00784740"/>
    <w:rsid w:val="0079116B"/>
    <w:rsid w:val="00793000"/>
    <w:rsid w:val="00795B66"/>
    <w:rsid w:val="00797015"/>
    <w:rsid w:val="007A7CE2"/>
    <w:rsid w:val="007B1285"/>
    <w:rsid w:val="007C2A2A"/>
    <w:rsid w:val="007C43E3"/>
    <w:rsid w:val="007E16DC"/>
    <w:rsid w:val="008068AA"/>
    <w:rsid w:val="00811811"/>
    <w:rsid w:val="0081616C"/>
    <w:rsid w:val="008240AB"/>
    <w:rsid w:val="0082551D"/>
    <w:rsid w:val="0082612A"/>
    <w:rsid w:val="0082622D"/>
    <w:rsid w:val="00835D95"/>
    <w:rsid w:val="00854339"/>
    <w:rsid w:val="00855895"/>
    <w:rsid w:val="00891F5A"/>
    <w:rsid w:val="00894E8D"/>
    <w:rsid w:val="008A18B6"/>
    <w:rsid w:val="008A20CB"/>
    <w:rsid w:val="008B0B6E"/>
    <w:rsid w:val="008B3E7D"/>
    <w:rsid w:val="008B3F1D"/>
    <w:rsid w:val="008C35B8"/>
    <w:rsid w:val="008C3F26"/>
    <w:rsid w:val="008D27D0"/>
    <w:rsid w:val="008F0B94"/>
    <w:rsid w:val="008F2597"/>
    <w:rsid w:val="008F7B33"/>
    <w:rsid w:val="00903680"/>
    <w:rsid w:val="0091702F"/>
    <w:rsid w:val="009230BB"/>
    <w:rsid w:val="00924D67"/>
    <w:rsid w:val="0095153C"/>
    <w:rsid w:val="00961C16"/>
    <w:rsid w:val="009651AC"/>
    <w:rsid w:val="00967D94"/>
    <w:rsid w:val="009723E0"/>
    <w:rsid w:val="00980FAE"/>
    <w:rsid w:val="00983942"/>
    <w:rsid w:val="00985FC1"/>
    <w:rsid w:val="00997B11"/>
    <w:rsid w:val="00997CF8"/>
    <w:rsid w:val="009A2CB3"/>
    <w:rsid w:val="009C2A9E"/>
    <w:rsid w:val="009D1101"/>
    <w:rsid w:val="009D1422"/>
    <w:rsid w:val="009F7D08"/>
    <w:rsid w:val="00A03681"/>
    <w:rsid w:val="00A039EA"/>
    <w:rsid w:val="00A140D2"/>
    <w:rsid w:val="00A207A8"/>
    <w:rsid w:val="00A25F01"/>
    <w:rsid w:val="00A31FA1"/>
    <w:rsid w:val="00A3200D"/>
    <w:rsid w:val="00A44D9A"/>
    <w:rsid w:val="00A456CF"/>
    <w:rsid w:val="00A47785"/>
    <w:rsid w:val="00A55497"/>
    <w:rsid w:val="00A6090C"/>
    <w:rsid w:val="00A83758"/>
    <w:rsid w:val="00A84186"/>
    <w:rsid w:val="00AA65A4"/>
    <w:rsid w:val="00AB1DE8"/>
    <w:rsid w:val="00AB3AB4"/>
    <w:rsid w:val="00AC0D3F"/>
    <w:rsid w:val="00AD7F47"/>
    <w:rsid w:val="00AE0E6F"/>
    <w:rsid w:val="00AE36E3"/>
    <w:rsid w:val="00AF2F99"/>
    <w:rsid w:val="00AF317E"/>
    <w:rsid w:val="00B041C9"/>
    <w:rsid w:val="00B04A07"/>
    <w:rsid w:val="00B055C1"/>
    <w:rsid w:val="00B10A8C"/>
    <w:rsid w:val="00B142DD"/>
    <w:rsid w:val="00B171E2"/>
    <w:rsid w:val="00B329D9"/>
    <w:rsid w:val="00B37EA8"/>
    <w:rsid w:val="00B44A03"/>
    <w:rsid w:val="00B45B2B"/>
    <w:rsid w:val="00B516D2"/>
    <w:rsid w:val="00B54271"/>
    <w:rsid w:val="00B549DD"/>
    <w:rsid w:val="00B6061F"/>
    <w:rsid w:val="00B64B7B"/>
    <w:rsid w:val="00B730E2"/>
    <w:rsid w:val="00B8209F"/>
    <w:rsid w:val="00B82FA2"/>
    <w:rsid w:val="00B92B35"/>
    <w:rsid w:val="00BA63BD"/>
    <w:rsid w:val="00BA6BDB"/>
    <w:rsid w:val="00BB1DF3"/>
    <w:rsid w:val="00BB37FB"/>
    <w:rsid w:val="00BB6E4C"/>
    <w:rsid w:val="00C06B38"/>
    <w:rsid w:val="00C123E6"/>
    <w:rsid w:val="00C2484B"/>
    <w:rsid w:val="00C24E31"/>
    <w:rsid w:val="00C267D7"/>
    <w:rsid w:val="00C26D30"/>
    <w:rsid w:val="00C32BE0"/>
    <w:rsid w:val="00C3378F"/>
    <w:rsid w:val="00C47E91"/>
    <w:rsid w:val="00C511BB"/>
    <w:rsid w:val="00C53F4A"/>
    <w:rsid w:val="00C66B8D"/>
    <w:rsid w:val="00C777B8"/>
    <w:rsid w:val="00C93B05"/>
    <w:rsid w:val="00CA1BCE"/>
    <w:rsid w:val="00CA675C"/>
    <w:rsid w:val="00CB2F4C"/>
    <w:rsid w:val="00CB3F97"/>
    <w:rsid w:val="00CE5219"/>
    <w:rsid w:val="00CF06B7"/>
    <w:rsid w:val="00D10703"/>
    <w:rsid w:val="00D155B2"/>
    <w:rsid w:val="00D1711D"/>
    <w:rsid w:val="00D2158E"/>
    <w:rsid w:val="00D22243"/>
    <w:rsid w:val="00D278DB"/>
    <w:rsid w:val="00D42DF1"/>
    <w:rsid w:val="00D44B18"/>
    <w:rsid w:val="00D50494"/>
    <w:rsid w:val="00D5241B"/>
    <w:rsid w:val="00D604A6"/>
    <w:rsid w:val="00D62226"/>
    <w:rsid w:val="00D63948"/>
    <w:rsid w:val="00D6579E"/>
    <w:rsid w:val="00D6637B"/>
    <w:rsid w:val="00D744D8"/>
    <w:rsid w:val="00D74D7B"/>
    <w:rsid w:val="00D87353"/>
    <w:rsid w:val="00D924D9"/>
    <w:rsid w:val="00DA59DB"/>
    <w:rsid w:val="00DA7D81"/>
    <w:rsid w:val="00DB5C21"/>
    <w:rsid w:val="00DC14B4"/>
    <w:rsid w:val="00DD0CF4"/>
    <w:rsid w:val="00DE0FEB"/>
    <w:rsid w:val="00DE6A7E"/>
    <w:rsid w:val="00DE72BC"/>
    <w:rsid w:val="00E00840"/>
    <w:rsid w:val="00E028A5"/>
    <w:rsid w:val="00E0754F"/>
    <w:rsid w:val="00E10911"/>
    <w:rsid w:val="00E24400"/>
    <w:rsid w:val="00E32DB5"/>
    <w:rsid w:val="00E55C94"/>
    <w:rsid w:val="00E66930"/>
    <w:rsid w:val="00E73299"/>
    <w:rsid w:val="00E828D6"/>
    <w:rsid w:val="00E86E00"/>
    <w:rsid w:val="00E93AAD"/>
    <w:rsid w:val="00E93B0B"/>
    <w:rsid w:val="00EA37B0"/>
    <w:rsid w:val="00EB23FF"/>
    <w:rsid w:val="00EC1ABE"/>
    <w:rsid w:val="00EC1F43"/>
    <w:rsid w:val="00EC44E1"/>
    <w:rsid w:val="00ED0F64"/>
    <w:rsid w:val="00ED6E82"/>
    <w:rsid w:val="00ED72BF"/>
    <w:rsid w:val="00EE6ED5"/>
    <w:rsid w:val="00EE792A"/>
    <w:rsid w:val="00F011D9"/>
    <w:rsid w:val="00F02A88"/>
    <w:rsid w:val="00F215E1"/>
    <w:rsid w:val="00F22B85"/>
    <w:rsid w:val="00F43BF5"/>
    <w:rsid w:val="00F609D7"/>
    <w:rsid w:val="00F615C2"/>
    <w:rsid w:val="00F62EB4"/>
    <w:rsid w:val="00F646A1"/>
    <w:rsid w:val="00F70E10"/>
    <w:rsid w:val="00F76A61"/>
    <w:rsid w:val="00F801CD"/>
    <w:rsid w:val="00F808A6"/>
    <w:rsid w:val="00F85CA1"/>
    <w:rsid w:val="00F86AE1"/>
    <w:rsid w:val="00F932DF"/>
    <w:rsid w:val="00FB3A49"/>
    <w:rsid w:val="00FB4D3E"/>
    <w:rsid w:val="00FC6482"/>
    <w:rsid w:val="00FC745D"/>
    <w:rsid w:val="00FF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E2349"/>
  <w15:chartTrackingRefBased/>
  <w15:docId w15:val="{09E15D75-308C-0A4E-981F-981B6474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A0420"/>
    <w:pPr>
      <w:ind w:left="720"/>
      <w:contextualSpacing/>
    </w:pPr>
  </w:style>
  <w:style w:type="paragraph" w:styleId="Glava">
    <w:name w:val="header"/>
    <w:basedOn w:val="Navaden"/>
    <w:link w:val="GlavaZnak"/>
    <w:uiPriority w:val="99"/>
    <w:unhideWhenUsed/>
    <w:rsid w:val="003A3FC8"/>
    <w:pPr>
      <w:tabs>
        <w:tab w:val="center" w:pos="4680"/>
        <w:tab w:val="right" w:pos="9360"/>
      </w:tabs>
    </w:pPr>
  </w:style>
  <w:style w:type="character" w:customStyle="1" w:styleId="GlavaZnak">
    <w:name w:val="Glava Znak"/>
    <w:basedOn w:val="Privzetapisavaodstavka"/>
    <w:link w:val="Glava"/>
    <w:uiPriority w:val="99"/>
    <w:rsid w:val="003A3FC8"/>
  </w:style>
  <w:style w:type="paragraph" w:styleId="Noga">
    <w:name w:val="footer"/>
    <w:basedOn w:val="Navaden"/>
    <w:link w:val="NogaZnak"/>
    <w:uiPriority w:val="99"/>
    <w:unhideWhenUsed/>
    <w:rsid w:val="003A3FC8"/>
    <w:pPr>
      <w:tabs>
        <w:tab w:val="center" w:pos="4680"/>
        <w:tab w:val="right" w:pos="9360"/>
      </w:tabs>
    </w:pPr>
  </w:style>
  <w:style w:type="character" w:customStyle="1" w:styleId="NogaZnak">
    <w:name w:val="Noga Znak"/>
    <w:basedOn w:val="Privzetapisavaodstavka"/>
    <w:link w:val="Noga"/>
    <w:uiPriority w:val="99"/>
    <w:rsid w:val="003A3FC8"/>
  </w:style>
  <w:style w:type="character" w:styleId="Hiperpovezava">
    <w:name w:val="Hyperlink"/>
    <w:basedOn w:val="Privzetapisavaodstavka"/>
    <w:uiPriority w:val="99"/>
    <w:unhideWhenUsed/>
    <w:rsid w:val="001B5BDA"/>
    <w:rPr>
      <w:color w:val="0563C1" w:themeColor="hyperlink"/>
      <w:u w:val="single"/>
    </w:rPr>
  </w:style>
  <w:style w:type="character" w:styleId="Nerazreenaomemba">
    <w:name w:val="Unresolved Mention"/>
    <w:basedOn w:val="Privzetapisavaodstavka"/>
    <w:uiPriority w:val="99"/>
    <w:semiHidden/>
    <w:unhideWhenUsed/>
    <w:rsid w:val="001B5BDA"/>
    <w:rPr>
      <w:color w:val="605E5C"/>
      <w:shd w:val="clear" w:color="auto" w:fill="E1DFDD"/>
    </w:rPr>
  </w:style>
  <w:style w:type="paragraph" w:styleId="Naslov">
    <w:name w:val="Title"/>
    <w:basedOn w:val="Navaden"/>
    <w:next w:val="Navaden"/>
    <w:link w:val="NaslovZnak"/>
    <w:uiPriority w:val="10"/>
    <w:qFormat/>
    <w:rsid w:val="00811811"/>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11811"/>
    <w:rPr>
      <w:rFonts w:asciiTheme="majorHAnsi" w:eastAsiaTheme="majorEastAsia" w:hAnsiTheme="majorHAnsi" w:cstheme="majorBidi"/>
      <w:spacing w:val="-10"/>
      <w:kern w:val="28"/>
      <w:sz w:val="56"/>
      <w:szCs w:val="56"/>
    </w:rPr>
  </w:style>
  <w:style w:type="character" w:styleId="Naslovknjige">
    <w:name w:val="Book Title"/>
    <w:basedOn w:val="Privzetapisavaodstavka"/>
    <w:uiPriority w:val="33"/>
    <w:qFormat/>
    <w:rsid w:val="00811811"/>
    <w:rPr>
      <w:b/>
      <w:bCs/>
      <w:i/>
      <w:iCs/>
      <w:spacing w:val="5"/>
    </w:rPr>
  </w:style>
  <w:style w:type="character" w:styleId="Neenpoudarek">
    <w:name w:val="Subtle Emphasis"/>
    <w:basedOn w:val="Privzetapisavaodstavka"/>
    <w:uiPriority w:val="19"/>
    <w:qFormat/>
    <w:rsid w:val="00811811"/>
    <w:rPr>
      <w:i/>
      <w:iCs/>
      <w:color w:val="404040" w:themeColor="text1" w:themeTint="BF"/>
    </w:rPr>
  </w:style>
  <w:style w:type="paragraph" w:styleId="Navadensplet">
    <w:name w:val="Normal (Web)"/>
    <w:basedOn w:val="Navaden"/>
    <w:uiPriority w:val="99"/>
    <w:semiHidden/>
    <w:unhideWhenUsed/>
    <w:rsid w:val="00924D67"/>
    <w:pPr>
      <w:spacing w:before="100" w:beforeAutospacing="1" w:after="100" w:afterAutospacing="1"/>
    </w:pPr>
    <w:rPr>
      <w:rFonts w:ascii="Times New Roman" w:eastAsia="Times New Roman" w:hAnsi="Times New Roman" w:cs="Times New Roman"/>
      <w:lang w:val="sl-SI" w:eastAsia="sl-SI"/>
    </w:rPr>
  </w:style>
  <w:style w:type="paragraph" w:styleId="Revizija">
    <w:name w:val="Revision"/>
    <w:hidden/>
    <w:uiPriority w:val="99"/>
    <w:semiHidden/>
    <w:rsid w:val="00093C7F"/>
  </w:style>
  <w:style w:type="character" w:styleId="Pripombasklic">
    <w:name w:val="annotation reference"/>
    <w:basedOn w:val="Privzetapisavaodstavka"/>
    <w:uiPriority w:val="99"/>
    <w:semiHidden/>
    <w:unhideWhenUsed/>
    <w:rsid w:val="00093C7F"/>
    <w:rPr>
      <w:sz w:val="16"/>
      <w:szCs w:val="16"/>
    </w:rPr>
  </w:style>
  <w:style w:type="paragraph" w:styleId="Pripombabesedilo">
    <w:name w:val="annotation text"/>
    <w:basedOn w:val="Navaden"/>
    <w:link w:val="PripombabesediloZnak"/>
    <w:uiPriority w:val="99"/>
    <w:unhideWhenUsed/>
    <w:rsid w:val="00093C7F"/>
    <w:rPr>
      <w:sz w:val="20"/>
      <w:szCs w:val="20"/>
    </w:rPr>
  </w:style>
  <w:style w:type="character" w:customStyle="1" w:styleId="PripombabesediloZnak">
    <w:name w:val="Pripomba – besedilo Znak"/>
    <w:basedOn w:val="Privzetapisavaodstavka"/>
    <w:link w:val="Pripombabesedilo"/>
    <w:uiPriority w:val="99"/>
    <w:rsid w:val="00093C7F"/>
    <w:rPr>
      <w:sz w:val="20"/>
      <w:szCs w:val="20"/>
    </w:rPr>
  </w:style>
  <w:style w:type="paragraph" w:styleId="Zadevapripombe">
    <w:name w:val="annotation subject"/>
    <w:basedOn w:val="Pripombabesedilo"/>
    <w:next w:val="Pripombabesedilo"/>
    <w:link w:val="ZadevapripombeZnak"/>
    <w:uiPriority w:val="99"/>
    <w:semiHidden/>
    <w:unhideWhenUsed/>
    <w:rsid w:val="00093C7F"/>
    <w:rPr>
      <w:b/>
      <w:bCs/>
    </w:rPr>
  </w:style>
  <w:style w:type="character" w:customStyle="1" w:styleId="ZadevapripombeZnak">
    <w:name w:val="Zadeva pripombe Znak"/>
    <w:basedOn w:val="PripombabesediloZnak"/>
    <w:link w:val="Zadevapripombe"/>
    <w:uiPriority w:val="99"/>
    <w:semiHidden/>
    <w:rsid w:val="00093C7F"/>
    <w:rPr>
      <w:b/>
      <w:bCs/>
      <w:sz w:val="20"/>
      <w:szCs w:val="20"/>
    </w:rPr>
  </w:style>
  <w:style w:type="character" w:customStyle="1" w:styleId="cf01">
    <w:name w:val="cf01"/>
    <w:basedOn w:val="Privzetapisavaodstavka"/>
    <w:rsid w:val="009C2A9E"/>
    <w:rPr>
      <w:rFonts w:ascii="Segoe UI" w:hAnsi="Segoe UI" w:cs="Segoe UI" w:hint="default"/>
      <w:sz w:val="18"/>
      <w:szCs w:val="18"/>
    </w:rPr>
  </w:style>
  <w:style w:type="character" w:styleId="Krepko">
    <w:name w:val="Strong"/>
    <w:basedOn w:val="Privzetapisavaodstavka"/>
    <w:uiPriority w:val="22"/>
    <w:qFormat/>
    <w:rsid w:val="0049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9811">
      <w:bodyDiv w:val="1"/>
      <w:marLeft w:val="0"/>
      <w:marRight w:val="0"/>
      <w:marTop w:val="0"/>
      <w:marBottom w:val="0"/>
      <w:divBdr>
        <w:top w:val="none" w:sz="0" w:space="0" w:color="auto"/>
        <w:left w:val="none" w:sz="0" w:space="0" w:color="auto"/>
        <w:bottom w:val="none" w:sz="0" w:space="0" w:color="auto"/>
        <w:right w:val="none" w:sz="0" w:space="0" w:color="auto"/>
      </w:divBdr>
    </w:div>
    <w:div w:id="291374162">
      <w:bodyDiv w:val="1"/>
      <w:marLeft w:val="0"/>
      <w:marRight w:val="0"/>
      <w:marTop w:val="0"/>
      <w:marBottom w:val="0"/>
      <w:divBdr>
        <w:top w:val="none" w:sz="0" w:space="0" w:color="auto"/>
        <w:left w:val="none" w:sz="0" w:space="0" w:color="auto"/>
        <w:bottom w:val="none" w:sz="0" w:space="0" w:color="auto"/>
        <w:right w:val="none" w:sz="0" w:space="0" w:color="auto"/>
      </w:divBdr>
    </w:div>
    <w:div w:id="791938868">
      <w:bodyDiv w:val="1"/>
      <w:marLeft w:val="0"/>
      <w:marRight w:val="0"/>
      <w:marTop w:val="0"/>
      <w:marBottom w:val="0"/>
      <w:divBdr>
        <w:top w:val="none" w:sz="0" w:space="0" w:color="auto"/>
        <w:left w:val="none" w:sz="0" w:space="0" w:color="auto"/>
        <w:bottom w:val="none" w:sz="0" w:space="0" w:color="auto"/>
        <w:right w:val="none" w:sz="0" w:space="0" w:color="auto"/>
      </w:divBdr>
    </w:div>
    <w:div w:id="936866577">
      <w:bodyDiv w:val="1"/>
      <w:marLeft w:val="0"/>
      <w:marRight w:val="0"/>
      <w:marTop w:val="0"/>
      <w:marBottom w:val="0"/>
      <w:divBdr>
        <w:top w:val="none" w:sz="0" w:space="0" w:color="auto"/>
        <w:left w:val="none" w:sz="0" w:space="0" w:color="auto"/>
        <w:bottom w:val="none" w:sz="0" w:space="0" w:color="auto"/>
        <w:right w:val="none" w:sz="0" w:space="0" w:color="auto"/>
      </w:divBdr>
    </w:div>
    <w:div w:id="1127549396">
      <w:bodyDiv w:val="1"/>
      <w:marLeft w:val="0"/>
      <w:marRight w:val="0"/>
      <w:marTop w:val="0"/>
      <w:marBottom w:val="0"/>
      <w:divBdr>
        <w:top w:val="none" w:sz="0" w:space="0" w:color="auto"/>
        <w:left w:val="none" w:sz="0" w:space="0" w:color="auto"/>
        <w:bottom w:val="none" w:sz="0" w:space="0" w:color="auto"/>
        <w:right w:val="none" w:sz="0" w:space="0" w:color="auto"/>
      </w:divBdr>
    </w:div>
    <w:div w:id="1246693523">
      <w:bodyDiv w:val="1"/>
      <w:marLeft w:val="0"/>
      <w:marRight w:val="0"/>
      <w:marTop w:val="0"/>
      <w:marBottom w:val="0"/>
      <w:divBdr>
        <w:top w:val="none" w:sz="0" w:space="0" w:color="auto"/>
        <w:left w:val="none" w:sz="0" w:space="0" w:color="auto"/>
        <w:bottom w:val="none" w:sz="0" w:space="0" w:color="auto"/>
        <w:right w:val="none" w:sz="0" w:space="0" w:color="auto"/>
      </w:divBdr>
    </w:div>
    <w:div w:id="21311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D21EC-309B-44C6-993D-E52D80AA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1658</Words>
  <Characters>9377</Characters>
  <Application>Microsoft Office Word</Application>
  <DocSecurity>0</DocSecurity>
  <Lines>137</Lines>
  <Paragraphs>33</Paragraphs>
  <ScaleCrop>false</ScaleCrop>
  <HeadingPairs>
    <vt:vector size="6" baseType="variant">
      <vt:variant>
        <vt:lpstr>Naslov</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Luka Martin Tomažič</cp:lastModifiedBy>
  <cp:revision>2</cp:revision>
  <dcterms:created xsi:type="dcterms:W3CDTF">2025-09-15T09:38:00Z</dcterms:created>
  <dcterms:modified xsi:type="dcterms:W3CDTF">2025-09-15T09:38:00Z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128491e1-6c85-4bb7-9f4c-ca2da11b84dc</vt:lpwstr>
  </property>
</Properties>
</file>