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321D" w14:textId="070EEB32"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Case Title: </w:t>
      </w:r>
      <w:proofErr w:type="spellStart"/>
      <w:r w:rsidR="00E63ADD" w:rsidRPr="002E6CBC">
        <w:rPr>
          <w:rFonts w:ascii="Garamond" w:hAnsi="Garamond"/>
          <w:sz w:val="22"/>
          <w:szCs w:val="22"/>
          <w:lang w:val="en-US"/>
        </w:rPr>
        <w:t>Sorguç</w:t>
      </w:r>
      <w:proofErr w:type="spellEnd"/>
      <w:r w:rsidR="00E63ADD">
        <w:rPr>
          <w:rFonts w:ascii="Garamond" w:hAnsi="Garamond"/>
          <w:sz w:val="22"/>
          <w:szCs w:val="22"/>
          <w:lang w:val="en-US"/>
        </w:rPr>
        <w:t xml:space="preserve"> v. Turkey</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17316AB7" w:rsidR="00BB2804" w:rsidRPr="00E20DAF" w:rsidRDefault="00BB2804" w:rsidP="00BB2804">
      <w:pPr>
        <w:pStyle w:val="Akapitzlist"/>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r w:rsidR="00E63ADD" w:rsidRPr="00E63ADD">
        <w:rPr>
          <w:rFonts w:ascii="Garamond" w:hAnsi="Garamond"/>
          <w:sz w:val="22"/>
          <w:szCs w:val="22"/>
          <w:lang w:val="en-US"/>
        </w:rPr>
        <w:t>17089/03</w:t>
      </w:r>
      <w:r w:rsidR="00E63ADD">
        <w:rPr>
          <w:rFonts w:ascii="Garamond" w:hAnsi="Garamond"/>
          <w:sz w:val="22"/>
          <w:szCs w:val="22"/>
          <w:lang w:val="en-US"/>
        </w:rPr>
        <w:t xml:space="preserve"> </w:t>
      </w:r>
    </w:p>
    <w:p w14:paraId="66D44C8F" w14:textId="4DA5CCC4" w:rsidR="00BB2804" w:rsidRPr="00E20DAF" w:rsidRDefault="00BB2804" w:rsidP="00BB2804">
      <w:pPr>
        <w:pStyle w:val="Akapitzlist"/>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r w:rsidR="00E63ADD" w:rsidRPr="00E63ADD">
        <w:rPr>
          <w:rFonts w:ascii="Garamond" w:hAnsi="Garamond"/>
          <w:sz w:val="22"/>
          <w:szCs w:val="22"/>
          <w:lang w:val="en-US"/>
        </w:rPr>
        <w:t>June 23, 2009</w:t>
      </w:r>
    </w:p>
    <w:p w14:paraId="7989E895" w14:textId="77777777" w:rsidR="00BB2804" w:rsidRPr="00E20DAF" w:rsidRDefault="00BB2804" w:rsidP="00BB2804">
      <w:pPr>
        <w:pStyle w:val="Akapitzlist"/>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413F60CA" w:rsidR="00BB2804" w:rsidRPr="00E20DAF" w:rsidRDefault="00BB2804" w:rsidP="00BB2804">
      <w:pPr>
        <w:pStyle w:val="Akapitzlist"/>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r w:rsidR="00E63ADD">
        <w:rPr>
          <w:rFonts w:ascii="Garamond" w:hAnsi="Garamond"/>
          <w:sz w:val="22"/>
          <w:szCs w:val="22"/>
          <w:lang w:val="en-US"/>
        </w:rPr>
        <w:t>Europe and Central Asia</w:t>
      </w:r>
    </w:p>
    <w:p w14:paraId="079501A2" w14:textId="0AB3168B" w:rsidR="00BB2804" w:rsidRPr="00E20DAF" w:rsidRDefault="00BB2804" w:rsidP="00BB2804">
      <w:pPr>
        <w:pStyle w:val="Akapitzlist"/>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r w:rsidR="00E63ADD">
        <w:rPr>
          <w:rFonts w:ascii="Garamond" w:hAnsi="Garamond"/>
          <w:sz w:val="22"/>
          <w:szCs w:val="22"/>
          <w:lang w:val="en-US"/>
        </w:rPr>
        <w:t>Turkey</w:t>
      </w:r>
    </w:p>
    <w:p w14:paraId="7A6C4B43" w14:textId="13A4F487" w:rsidR="00BB2804" w:rsidRPr="00764AC8" w:rsidRDefault="00BB2804" w:rsidP="00BB2804">
      <w:pPr>
        <w:pStyle w:val="Akapitzlist"/>
        <w:numPr>
          <w:ilvl w:val="0"/>
          <w:numId w:val="1"/>
        </w:numPr>
        <w:spacing w:line="276" w:lineRule="auto"/>
        <w:jc w:val="both"/>
        <w:rPr>
          <w:rFonts w:ascii="Garamond" w:hAnsi="Garamond"/>
          <w:sz w:val="22"/>
          <w:szCs w:val="22"/>
          <w:lang w:val="en-US"/>
        </w:rPr>
      </w:pPr>
      <w:r w:rsidRPr="00764AC8">
        <w:rPr>
          <w:rFonts w:ascii="Garamond" w:hAnsi="Garamond"/>
          <w:b/>
          <w:bCs/>
          <w:sz w:val="22"/>
          <w:szCs w:val="22"/>
          <w:lang w:val="en-US"/>
        </w:rPr>
        <w:t>Type of expression</w:t>
      </w:r>
      <w:r w:rsidRPr="00764AC8">
        <w:rPr>
          <w:rFonts w:ascii="Garamond" w:hAnsi="Garamond"/>
          <w:sz w:val="22"/>
          <w:szCs w:val="22"/>
          <w:lang w:val="en-US"/>
        </w:rPr>
        <w:t>:</w:t>
      </w:r>
      <w:r w:rsidR="00FD1C8E" w:rsidRPr="00764AC8">
        <w:rPr>
          <w:rFonts w:ascii="Garamond" w:hAnsi="Garamond"/>
          <w:sz w:val="22"/>
          <w:szCs w:val="22"/>
          <w:lang w:val="en-US"/>
        </w:rPr>
        <w:t xml:space="preserve"> </w:t>
      </w:r>
      <w:r w:rsidR="00764AC8" w:rsidRPr="00764AC8">
        <w:rPr>
          <w:rFonts w:ascii="Garamond" w:hAnsi="Garamond"/>
          <w:sz w:val="22"/>
          <w:szCs w:val="22"/>
          <w:lang w:val="en-US"/>
        </w:rPr>
        <w:t>Public speech, written speech</w:t>
      </w:r>
    </w:p>
    <w:p w14:paraId="27903803" w14:textId="0E0B7C3E" w:rsidR="00BB2804" w:rsidRPr="00E20DAF" w:rsidRDefault="00BB2804" w:rsidP="00BB2804">
      <w:pPr>
        <w:pStyle w:val="Akapitzlist"/>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r w:rsidR="00E63ADD" w:rsidRPr="00AE66D6">
        <w:rPr>
          <w:rFonts w:ascii="Garamond" w:hAnsi="Garamond"/>
          <w:sz w:val="22"/>
          <w:szCs w:val="22"/>
          <w:lang w:val="en-US"/>
        </w:rPr>
        <w:t>European Court of Human Rights (ECtHR)</w:t>
      </w:r>
    </w:p>
    <w:p w14:paraId="62C18981" w14:textId="7559FA07" w:rsidR="00BB2804" w:rsidRPr="00D04D48" w:rsidRDefault="00BB2804" w:rsidP="00BB2804">
      <w:pPr>
        <w:pStyle w:val="Akapitzlist"/>
        <w:numPr>
          <w:ilvl w:val="0"/>
          <w:numId w:val="1"/>
        </w:numPr>
        <w:spacing w:line="276" w:lineRule="auto"/>
        <w:jc w:val="both"/>
        <w:rPr>
          <w:rFonts w:ascii="Garamond" w:hAnsi="Garamond"/>
          <w:sz w:val="22"/>
          <w:szCs w:val="22"/>
          <w:lang w:val="en-US"/>
        </w:rPr>
      </w:pPr>
      <w:r w:rsidRPr="00D04D48">
        <w:rPr>
          <w:rFonts w:ascii="Garamond" w:hAnsi="Garamond"/>
          <w:b/>
          <w:bCs/>
          <w:sz w:val="22"/>
          <w:szCs w:val="22"/>
          <w:lang w:val="en-US"/>
        </w:rPr>
        <w:t>Type of law</w:t>
      </w:r>
      <w:r w:rsidRPr="00D04D48">
        <w:rPr>
          <w:rFonts w:ascii="Garamond" w:hAnsi="Garamond"/>
          <w:sz w:val="22"/>
          <w:szCs w:val="22"/>
          <w:lang w:val="en-US"/>
        </w:rPr>
        <w:t xml:space="preserve">: </w:t>
      </w:r>
      <w:r w:rsidR="00E63ADD" w:rsidRPr="00D04D48">
        <w:rPr>
          <w:rFonts w:ascii="Garamond" w:hAnsi="Garamond"/>
          <w:sz w:val="22"/>
          <w:szCs w:val="22"/>
          <w:lang w:val="en-US"/>
        </w:rPr>
        <w:t>International/Regional Human Rights Law</w:t>
      </w:r>
    </w:p>
    <w:p w14:paraId="35C4FF78" w14:textId="4D974941" w:rsidR="00BB2804" w:rsidRPr="00D04D48" w:rsidRDefault="00BB2804" w:rsidP="00BB2804">
      <w:pPr>
        <w:pStyle w:val="Akapitzlist"/>
        <w:numPr>
          <w:ilvl w:val="0"/>
          <w:numId w:val="1"/>
        </w:numPr>
        <w:spacing w:line="276" w:lineRule="auto"/>
        <w:jc w:val="both"/>
        <w:rPr>
          <w:rFonts w:ascii="Garamond" w:hAnsi="Garamond"/>
          <w:sz w:val="22"/>
          <w:szCs w:val="22"/>
          <w:lang w:val="en-US"/>
        </w:rPr>
      </w:pPr>
      <w:r w:rsidRPr="00D04D48">
        <w:rPr>
          <w:rFonts w:ascii="Garamond" w:hAnsi="Garamond"/>
          <w:b/>
          <w:bCs/>
          <w:sz w:val="22"/>
          <w:szCs w:val="22"/>
          <w:lang w:val="en-US"/>
        </w:rPr>
        <w:t>Main Themes</w:t>
      </w:r>
      <w:r w:rsidRPr="00D04D48">
        <w:rPr>
          <w:rFonts w:ascii="Garamond" w:hAnsi="Garamond"/>
          <w:sz w:val="22"/>
          <w:szCs w:val="22"/>
          <w:lang w:val="en-US"/>
        </w:rPr>
        <w:t>:</w:t>
      </w:r>
      <w:r w:rsidR="00FA42AF" w:rsidRPr="00D04D48">
        <w:rPr>
          <w:rFonts w:ascii="Garamond" w:hAnsi="Garamond"/>
          <w:sz w:val="22"/>
          <w:szCs w:val="22"/>
          <w:lang w:val="en-US"/>
        </w:rPr>
        <w:t xml:space="preserve"> </w:t>
      </w:r>
      <w:r w:rsidR="00E63ADD" w:rsidRPr="00D04D48">
        <w:rPr>
          <w:rFonts w:ascii="Garamond" w:hAnsi="Garamond"/>
          <w:sz w:val="22"/>
          <w:szCs w:val="22"/>
          <w:lang w:val="en-US"/>
        </w:rPr>
        <w:t>Academic freedom</w:t>
      </w:r>
      <w:r w:rsidR="00D04D48" w:rsidRPr="00D04D48">
        <w:rPr>
          <w:rFonts w:ascii="Garamond" w:hAnsi="Garamond"/>
          <w:sz w:val="22"/>
          <w:szCs w:val="22"/>
          <w:lang w:val="en-US"/>
        </w:rPr>
        <w:t xml:space="preserve">, Defamation / Reputation </w:t>
      </w:r>
    </w:p>
    <w:p w14:paraId="61895DC2" w14:textId="2FCF1A4E" w:rsidR="00BB2804" w:rsidRPr="00D04D48" w:rsidRDefault="00BB2804" w:rsidP="00BB2804">
      <w:pPr>
        <w:pStyle w:val="Akapitzlist"/>
        <w:numPr>
          <w:ilvl w:val="0"/>
          <w:numId w:val="1"/>
        </w:numPr>
        <w:spacing w:line="276" w:lineRule="auto"/>
        <w:jc w:val="both"/>
        <w:rPr>
          <w:rFonts w:ascii="Garamond" w:hAnsi="Garamond"/>
          <w:sz w:val="22"/>
          <w:szCs w:val="22"/>
          <w:lang w:val="en-US"/>
        </w:rPr>
      </w:pPr>
      <w:r w:rsidRPr="00D04D48">
        <w:rPr>
          <w:rFonts w:ascii="Garamond" w:hAnsi="Garamond"/>
          <w:b/>
          <w:bCs/>
          <w:sz w:val="22"/>
          <w:szCs w:val="22"/>
          <w:lang w:val="en-US"/>
        </w:rPr>
        <w:t>Outcome</w:t>
      </w:r>
      <w:r w:rsidR="002E1E37" w:rsidRPr="00D04D48">
        <w:rPr>
          <w:rFonts w:ascii="Garamond" w:hAnsi="Garamond"/>
          <w:sz w:val="22"/>
          <w:szCs w:val="22"/>
          <w:lang w:val="en-US"/>
        </w:rPr>
        <w:t>:</w:t>
      </w:r>
      <w:r w:rsidR="00272504" w:rsidRPr="00D04D48">
        <w:rPr>
          <w:rFonts w:ascii="Garamond" w:hAnsi="Garamond"/>
          <w:sz w:val="22"/>
          <w:szCs w:val="22"/>
          <w:lang w:val="en-US"/>
        </w:rPr>
        <w:t xml:space="preserve"> </w:t>
      </w:r>
      <w:r w:rsidR="00E63ADD" w:rsidRPr="00D04D48">
        <w:rPr>
          <w:rFonts w:ascii="Garamond" w:hAnsi="Garamond"/>
          <w:sz w:val="22"/>
          <w:szCs w:val="22"/>
        </w:rPr>
        <w:t xml:space="preserve">Article 10 Violation </w:t>
      </w:r>
    </w:p>
    <w:p w14:paraId="6DDEBA09" w14:textId="3FCED796" w:rsidR="00BB2804" w:rsidRPr="00D04D48" w:rsidRDefault="00BB2804" w:rsidP="00BB2804">
      <w:pPr>
        <w:pStyle w:val="Akapitzlist"/>
        <w:numPr>
          <w:ilvl w:val="0"/>
          <w:numId w:val="1"/>
        </w:numPr>
        <w:spacing w:line="276" w:lineRule="auto"/>
        <w:jc w:val="both"/>
        <w:rPr>
          <w:rFonts w:ascii="Garamond" w:hAnsi="Garamond"/>
          <w:sz w:val="22"/>
          <w:szCs w:val="22"/>
          <w:lang w:val="en-US"/>
        </w:rPr>
      </w:pPr>
      <w:r w:rsidRPr="00D04D48">
        <w:rPr>
          <w:rFonts w:ascii="Garamond" w:hAnsi="Garamond"/>
          <w:b/>
          <w:bCs/>
          <w:sz w:val="22"/>
          <w:szCs w:val="22"/>
          <w:lang w:val="en-US"/>
        </w:rPr>
        <w:t>Status</w:t>
      </w:r>
      <w:r w:rsidRPr="00D04D48">
        <w:rPr>
          <w:rFonts w:ascii="Garamond" w:hAnsi="Garamond"/>
          <w:sz w:val="22"/>
          <w:szCs w:val="22"/>
          <w:lang w:val="en-US"/>
        </w:rPr>
        <w:t>:</w:t>
      </w:r>
      <w:r w:rsidR="00E63ADD" w:rsidRPr="00D04D48">
        <w:rPr>
          <w:rFonts w:ascii="Garamond" w:hAnsi="Garamond"/>
          <w:sz w:val="22"/>
          <w:szCs w:val="22"/>
          <w:lang w:val="en-US"/>
        </w:rPr>
        <w:t xml:space="preserve"> Closed</w:t>
      </w:r>
      <w:r w:rsidRPr="00D04D48">
        <w:rPr>
          <w:rFonts w:ascii="Garamond" w:hAnsi="Garamond"/>
          <w:sz w:val="22"/>
          <w:szCs w:val="22"/>
          <w:lang w:val="en-US"/>
        </w:rPr>
        <w:t xml:space="preserve">  </w:t>
      </w:r>
    </w:p>
    <w:p w14:paraId="1493CDF4" w14:textId="2B82F07A" w:rsidR="00BB2804" w:rsidRPr="00D04D48" w:rsidRDefault="00BB2804" w:rsidP="00BB2804">
      <w:pPr>
        <w:pStyle w:val="Akapitzlist"/>
        <w:numPr>
          <w:ilvl w:val="0"/>
          <w:numId w:val="1"/>
        </w:numPr>
        <w:spacing w:line="276" w:lineRule="auto"/>
        <w:jc w:val="both"/>
        <w:rPr>
          <w:rFonts w:ascii="Garamond" w:hAnsi="Garamond"/>
          <w:sz w:val="22"/>
          <w:szCs w:val="22"/>
          <w:lang w:val="en-US"/>
        </w:rPr>
      </w:pPr>
      <w:r w:rsidRPr="00D04D48">
        <w:rPr>
          <w:rFonts w:ascii="Garamond" w:hAnsi="Garamond"/>
          <w:b/>
          <w:bCs/>
          <w:sz w:val="22"/>
          <w:szCs w:val="22"/>
          <w:lang w:val="en-US"/>
        </w:rPr>
        <w:t>Tags</w:t>
      </w:r>
      <w:r w:rsidRPr="00D04D48">
        <w:rPr>
          <w:rFonts w:ascii="Garamond" w:hAnsi="Garamond"/>
          <w:sz w:val="22"/>
          <w:szCs w:val="22"/>
          <w:lang w:val="en-US"/>
        </w:rPr>
        <w:t>:</w:t>
      </w:r>
      <w:r w:rsidR="00156AEC" w:rsidRPr="00D04D48">
        <w:rPr>
          <w:rFonts w:ascii="Garamond" w:hAnsi="Garamond"/>
          <w:sz w:val="22"/>
          <w:szCs w:val="22"/>
          <w:lang w:val="en-US"/>
        </w:rPr>
        <w:t xml:space="preserve"> </w:t>
      </w:r>
      <w:r w:rsidR="00D04D48" w:rsidRPr="00D04D48">
        <w:rPr>
          <w:rFonts w:ascii="Garamond" w:hAnsi="Garamond"/>
          <w:sz w:val="22"/>
          <w:szCs w:val="22"/>
          <w:lang w:val="en-US"/>
        </w:rPr>
        <w:t xml:space="preserve">Public interest, </w:t>
      </w:r>
      <w:r w:rsidR="00D04D48" w:rsidRPr="00D04D48">
        <w:rPr>
          <w:rFonts w:ascii="Garamond" w:hAnsi="Garamond"/>
          <w:sz w:val="22"/>
          <w:szCs w:val="22"/>
        </w:rPr>
        <w:t>Disinformation, Civil defamation</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Akapitzlist"/>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7CEA2288" w14:textId="77777777" w:rsidR="00A32DAE" w:rsidRDefault="00A32DAE" w:rsidP="0029093B">
      <w:pPr>
        <w:spacing w:line="276" w:lineRule="auto"/>
        <w:jc w:val="both"/>
        <w:rPr>
          <w:rFonts w:ascii="Garamond" w:hAnsi="Garamond"/>
          <w:sz w:val="22"/>
          <w:szCs w:val="22"/>
          <w:lang w:val="en-US"/>
        </w:rPr>
      </w:pPr>
    </w:p>
    <w:p w14:paraId="1A50DE63" w14:textId="5950463F" w:rsidR="006B4EB4" w:rsidRDefault="00E63ADD" w:rsidP="0029093B">
      <w:pPr>
        <w:spacing w:line="276" w:lineRule="auto"/>
        <w:jc w:val="both"/>
        <w:rPr>
          <w:rFonts w:ascii="Garamond" w:hAnsi="Garamond"/>
          <w:sz w:val="22"/>
          <w:szCs w:val="22"/>
          <w:lang w:val="en-US"/>
        </w:rPr>
      </w:pPr>
      <w:r w:rsidRPr="00E63ADD">
        <w:rPr>
          <w:rFonts w:ascii="Garamond" w:hAnsi="Garamond"/>
          <w:sz w:val="22"/>
          <w:szCs w:val="22"/>
        </w:rPr>
        <w:t xml:space="preserve">The European Court of Human Rights held that the right to freedom of expression of a Turkish academic, Professor </w:t>
      </w:r>
      <w:proofErr w:type="spellStart"/>
      <w:r w:rsidRPr="00E63ADD">
        <w:rPr>
          <w:rFonts w:ascii="Garamond" w:hAnsi="Garamond"/>
          <w:sz w:val="22"/>
          <w:szCs w:val="22"/>
        </w:rPr>
        <w:t>Sorguç</w:t>
      </w:r>
      <w:proofErr w:type="spellEnd"/>
      <w:r w:rsidRPr="00E63ADD">
        <w:rPr>
          <w:rFonts w:ascii="Garamond" w:hAnsi="Garamond"/>
          <w:sz w:val="22"/>
          <w:szCs w:val="22"/>
        </w:rPr>
        <w:t>, had been violated after he was ordered to pay damages to an unnamed plaintiff in connection with statements he had made in a professional context. The case concerned the need to strike an appropriate balance between, on the one hand, an academic’s freedom of expression regarding certain irregularities in the organisational functioning of a university – particularly in recruitment and promotion procedures – and, on the other hand, the protection of the reputation of the person targeted by those remarks. The Court found the applicant’s statements to be value judgments on a matter of public interest and held that they were entitled to protection under Article 10.</w:t>
      </w:r>
    </w:p>
    <w:p w14:paraId="0C68363D" w14:textId="77777777" w:rsidR="006B4EB4" w:rsidRPr="0029093B" w:rsidRDefault="006B4EB4" w:rsidP="0029093B">
      <w:pPr>
        <w:spacing w:line="276" w:lineRule="auto"/>
        <w:jc w:val="both"/>
        <w:rPr>
          <w:rFonts w:ascii="Garamond" w:hAnsi="Garamond"/>
          <w:sz w:val="22"/>
          <w:szCs w:val="22"/>
          <w:lang w:val="en-US"/>
        </w:rPr>
      </w:pPr>
    </w:p>
    <w:p w14:paraId="79EADD1C" w14:textId="77777777" w:rsidR="00BB2804" w:rsidRPr="00DD38F7" w:rsidRDefault="00BB2804" w:rsidP="00BB2804">
      <w:pPr>
        <w:pStyle w:val="Akapitzlist"/>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5BFFA4CD" w14:textId="77777777" w:rsidR="00DE183B" w:rsidRPr="00790C32" w:rsidRDefault="00DE183B" w:rsidP="00790C32">
      <w:pPr>
        <w:spacing w:line="276" w:lineRule="auto"/>
        <w:jc w:val="both"/>
        <w:rPr>
          <w:rFonts w:ascii="Garamond" w:hAnsi="Garamond"/>
          <w:sz w:val="22"/>
          <w:szCs w:val="22"/>
          <w:lang w:val="en-US"/>
        </w:rPr>
      </w:pPr>
    </w:p>
    <w:p w14:paraId="75F2A586" w14:textId="7C397A18" w:rsidR="00683C70" w:rsidRDefault="00790C32" w:rsidP="00E20E11">
      <w:pPr>
        <w:spacing w:line="276" w:lineRule="auto"/>
        <w:jc w:val="both"/>
        <w:rPr>
          <w:rFonts w:ascii="Garamond" w:hAnsi="Garamond"/>
          <w:sz w:val="22"/>
          <w:szCs w:val="22"/>
        </w:rPr>
      </w:pPr>
      <w:r w:rsidRPr="00790C32">
        <w:rPr>
          <w:rFonts w:ascii="Garamond" w:hAnsi="Garamond"/>
          <w:sz w:val="22"/>
          <w:szCs w:val="22"/>
        </w:rPr>
        <w:t>The applicant in the case</w:t>
      </w:r>
      <w:r>
        <w:rPr>
          <w:rFonts w:ascii="Garamond" w:hAnsi="Garamond"/>
          <w:sz w:val="22"/>
          <w:szCs w:val="22"/>
        </w:rPr>
        <w:t xml:space="preserve"> before ECtHR</w:t>
      </w:r>
      <w:r w:rsidRPr="00790C32">
        <w:rPr>
          <w:rFonts w:ascii="Garamond" w:hAnsi="Garamond"/>
          <w:sz w:val="22"/>
          <w:szCs w:val="22"/>
        </w:rPr>
        <w:t xml:space="preserve"> was Mr. </w:t>
      </w:r>
      <w:proofErr w:type="spellStart"/>
      <w:r w:rsidRPr="00790C32">
        <w:rPr>
          <w:rFonts w:ascii="Garamond" w:hAnsi="Garamond"/>
          <w:sz w:val="22"/>
          <w:szCs w:val="22"/>
        </w:rPr>
        <w:t>Vehbi</w:t>
      </w:r>
      <w:proofErr w:type="spellEnd"/>
      <w:r w:rsidRPr="00790C32">
        <w:rPr>
          <w:rFonts w:ascii="Garamond" w:hAnsi="Garamond"/>
          <w:sz w:val="22"/>
          <w:szCs w:val="22"/>
        </w:rPr>
        <w:t xml:space="preserve"> Doğan </w:t>
      </w:r>
      <w:proofErr w:type="spellStart"/>
      <w:r w:rsidRPr="00790C32">
        <w:rPr>
          <w:rFonts w:ascii="Garamond" w:hAnsi="Garamond"/>
          <w:sz w:val="22"/>
          <w:szCs w:val="22"/>
        </w:rPr>
        <w:t>Sorguç</w:t>
      </w:r>
      <w:proofErr w:type="spellEnd"/>
      <w:r w:rsidRPr="00790C32">
        <w:rPr>
          <w:rFonts w:ascii="Garamond" w:hAnsi="Garamond"/>
          <w:sz w:val="22"/>
          <w:szCs w:val="22"/>
        </w:rPr>
        <w:t>, a professor of construction management at Istanbul Technical University. During the “First National Construction Conference” held in 1997, he delivered a speech on developments in his field of expertise and disseminated a paper that criticized the examination system for assistant professors. Following this, on 17 September 1997, N.C.A., who was an assistant professor at the time, brought a compensation claim against the applicant. Although N.C.A. was not directly named in the paper, he claimed that the remarks it contained referred to him and constituted an attack on his reputation.</w:t>
      </w:r>
    </w:p>
    <w:p w14:paraId="25E8BA02" w14:textId="77777777" w:rsidR="00790C32" w:rsidRPr="00790C32" w:rsidRDefault="00790C32" w:rsidP="00E20E11">
      <w:pPr>
        <w:spacing w:line="276" w:lineRule="auto"/>
        <w:jc w:val="both"/>
        <w:rPr>
          <w:rFonts w:ascii="Garamond" w:hAnsi="Garamond"/>
          <w:sz w:val="22"/>
          <w:szCs w:val="22"/>
          <w:lang w:val="en-US"/>
        </w:rPr>
      </w:pPr>
    </w:p>
    <w:p w14:paraId="60D4A41C" w14:textId="1B4FC2B7" w:rsidR="00D04D48" w:rsidRPr="009D2F22" w:rsidRDefault="00A0687C" w:rsidP="009D2F22">
      <w:pPr>
        <w:spacing w:line="276" w:lineRule="auto"/>
        <w:jc w:val="both"/>
        <w:rPr>
          <w:rFonts w:ascii="Garamond" w:hAnsi="Garamond"/>
          <w:sz w:val="22"/>
          <w:szCs w:val="22"/>
          <w:lang w:val="en-US"/>
        </w:rPr>
      </w:pPr>
      <w:r w:rsidRPr="00A0687C">
        <w:rPr>
          <w:rFonts w:ascii="Garamond" w:hAnsi="Garamond"/>
          <w:sz w:val="22"/>
          <w:szCs w:val="22"/>
          <w:lang w:val="en-US"/>
        </w:rPr>
        <w:t xml:space="preserve">The sequence of the relevant proceedings was as follows. First, the </w:t>
      </w:r>
      <w:proofErr w:type="spellStart"/>
      <w:r w:rsidRPr="00A0687C">
        <w:rPr>
          <w:rFonts w:ascii="Garamond" w:hAnsi="Garamond"/>
          <w:sz w:val="22"/>
          <w:szCs w:val="22"/>
          <w:lang w:val="en-US"/>
        </w:rPr>
        <w:t>Şişli</w:t>
      </w:r>
      <w:proofErr w:type="spellEnd"/>
      <w:r w:rsidRPr="00A0687C">
        <w:rPr>
          <w:rFonts w:ascii="Garamond" w:hAnsi="Garamond"/>
          <w:sz w:val="22"/>
          <w:szCs w:val="22"/>
          <w:lang w:val="en-US"/>
        </w:rPr>
        <w:t xml:space="preserve"> Civil Court of First Instance dismissed the claim in June 1999, finding that the utterances in question merely constituted criticism of the academic system. In September of the same year, the Court of Cassation quashed this judgment, noting that </w:t>
      </w:r>
      <w:proofErr w:type="spellStart"/>
      <w:r w:rsidRPr="00A0687C">
        <w:rPr>
          <w:rFonts w:ascii="Garamond" w:hAnsi="Garamond"/>
          <w:sz w:val="22"/>
          <w:szCs w:val="22"/>
          <w:lang w:val="en-US"/>
        </w:rPr>
        <w:t>Mr</w:t>
      </w:r>
      <w:proofErr w:type="spellEnd"/>
      <w:r w:rsidRPr="00A0687C">
        <w:rPr>
          <w:rFonts w:ascii="Garamond" w:hAnsi="Garamond"/>
          <w:sz w:val="22"/>
          <w:szCs w:val="22"/>
          <w:lang w:val="en-US"/>
        </w:rPr>
        <w:t xml:space="preserve"> </w:t>
      </w:r>
      <w:proofErr w:type="spellStart"/>
      <w:r w:rsidRPr="00A0687C">
        <w:rPr>
          <w:rFonts w:ascii="Garamond" w:hAnsi="Garamond"/>
          <w:sz w:val="22"/>
          <w:szCs w:val="22"/>
          <w:lang w:val="en-US"/>
        </w:rPr>
        <w:t>Sorguç’s</w:t>
      </w:r>
      <w:proofErr w:type="spellEnd"/>
      <w:r w:rsidRPr="00A0687C">
        <w:rPr>
          <w:rFonts w:ascii="Garamond" w:hAnsi="Garamond"/>
          <w:sz w:val="22"/>
          <w:szCs w:val="22"/>
          <w:lang w:val="en-US"/>
        </w:rPr>
        <w:t xml:space="preserve"> statement included a suggestion that N.A.C. would have failed the examination had it been conducted by a different panel, which could be perceived as an attack on his reputation. In November 2000, however, the </w:t>
      </w:r>
      <w:proofErr w:type="spellStart"/>
      <w:r w:rsidRPr="00A0687C">
        <w:rPr>
          <w:rFonts w:ascii="Garamond" w:hAnsi="Garamond"/>
          <w:sz w:val="22"/>
          <w:szCs w:val="22"/>
          <w:lang w:val="en-US"/>
        </w:rPr>
        <w:t>Şişli</w:t>
      </w:r>
      <w:proofErr w:type="spellEnd"/>
      <w:r w:rsidRPr="00A0687C">
        <w:rPr>
          <w:rFonts w:ascii="Garamond" w:hAnsi="Garamond"/>
          <w:sz w:val="22"/>
          <w:szCs w:val="22"/>
          <w:lang w:val="en-US"/>
        </w:rPr>
        <w:t xml:space="preserve"> Civil Court of First Instance upheld its earlier position, stating that academics should enjoy the same freedom of expression as journalists or lawyers. According to the court: </w:t>
      </w:r>
      <w:r w:rsidR="009D2F22" w:rsidRPr="009D2F22">
        <w:rPr>
          <w:rFonts w:ascii="Garamond" w:hAnsi="Garamond"/>
          <w:sz w:val="22"/>
          <w:szCs w:val="22"/>
          <w:lang w:val="en-US"/>
        </w:rPr>
        <w:t>„If we hold that</w:t>
      </w:r>
      <w:r>
        <w:rPr>
          <w:rFonts w:ascii="Garamond" w:hAnsi="Garamond"/>
          <w:sz w:val="22"/>
          <w:szCs w:val="22"/>
          <w:lang w:val="en-US"/>
        </w:rPr>
        <w:t xml:space="preserve"> </w:t>
      </w:r>
      <w:r w:rsidR="009D2F22" w:rsidRPr="009D2F22">
        <w:rPr>
          <w:rFonts w:ascii="Garamond" w:hAnsi="Garamond"/>
          <w:sz w:val="22"/>
          <w:szCs w:val="22"/>
          <w:lang w:val="en-US"/>
        </w:rPr>
        <w:t>these remarks made by an academic were against the law, then this would be a breach</w:t>
      </w:r>
      <w:r w:rsidR="009D2F22">
        <w:rPr>
          <w:rFonts w:ascii="Garamond" w:hAnsi="Garamond"/>
          <w:sz w:val="22"/>
          <w:szCs w:val="22"/>
          <w:lang w:val="en-US"/>
        </w:rPr>
        <w:t xml:space="preserve"> </w:t>
      </w:r>
      <w:r w:rsidR="009D2F22" w:rsidRPr="009D2F22">
        <w:rPr>
          <w:rFonts w:ascii="Garamond" w:hAnsi="Garamond"/>
          <w:sz w:val="22"/>
          <w:szCs w:val="22"/>
          <w:lang w:val="en-US"/>
        </w:rPr>
        <w:t>of his constitutional rights, such as freedom of expression, dissemination of ideas</w:t>
      </w:r>
      <w:r w:rsidR="009D2F22">
        <w:rPr>
          <w:rFonts w:ascii="Garamond" w:hAnsi="Garamond"/>
          <w:sz w:val="22"/>
          <w:szCs w:val="22"/>
          <w:lang w:val="en-US"/>
        </w:rPr>
        <w:t xml:space="preserve"> </w:t>
      </w:r>
      <w:r w:rsidR="009D2F22" w:rsidRPr="009D2F22">
        <w:rPr>
          <w:rFonts w:ascii="Garamond" w:hAnsi="Garamond"/>
          <w:sz w:val="22"/>
          <w:szCs w:val="22"/>
          <w:lang w:val="en-US"/>
        </w:rPr>
        <w:t>(article 26) and freedom of science and the arts (Article 27)</w:t>
      </w:r>
      <w:r w:rsidR="009D2F22">
        <w:rPr>
          <w:rFonts w:ascii="Garamond" w:hAnsi="Garamond"/>
          <w:sz w:val="22"/>
          <w:szCs w:val="22"/>
          <w:lang w:val="en-US"/>
        </w:rPr>
        <w:t>” [cited after</w:t>
      </w:r>
      <w:r w:rsidR="00EC0C29">
        <w:rPr>
          <w:rFonts w:ascii="Garamond" w:hAnsi="Garamond"/>
          <w:sz w:val="22"/>
          <w:szCs w:val="22"/>
          <w:lang w:val="en-US"/>
        </w:rPr>
        <w:t xml:space="preserve"> </w:t>
      </w:r>
      <w:r w:rsidR="009D2F22" w:rsidRPr="009D2F22">
        <w:rPr>
          <w:rFonts w:ascii="Garamond" w:hAnsi="Garamond"/>
          <w:sz w:val="22"/>
          <w:szCs w:val="22"/>
        </w:rPr>
        <w:t>§</w:t>
      </w:r>
      <w:r w:rsidR="009D2F22">
        <w:rPr>
          <w:rFonts w:ascii="Garamond" w:hAnsi="Garamond"/>
          <w:sz w:val="22"/>
          <w:szCs w:val="22"/>
        </w:rPr>
        <w:t xml:space="preserve"> 12]</w:t>
      </w:r>
      <w:r>
        <w:rPr>
          <w:rFonts w:ascii="Garamond" w:hAnsi="Garamond"/>
          <w:sz w:val="22"/>
          <w:szCs w:val="22"/>
        </w:rPr>
        <w:t>.</w:t>
      </w:r>
    </w:p>
    <w:p w14:paraId="7B0A8FE2" w14:textId="77777777" w:rsidR="00683C70" w:rsidRPr="009D2F22" w:rsidRDefault="00683C70" w:rsidP="006B0A1D">
      <w:pPr>
        <w:pStyle w:val="Akapitzlist"/>
        <w:spacing w:line="276" w:lineRule="auto"/>
        <w:ind w:left="360"/>
        <w:jc w:val="both"/>
        <w:rPr>
          <w:rFonts w:ascii="Garamond" w:hAnsi="Garamond"/>
          <w:sz w:val="22"/>
          <w:szCs w:val="22"/>
          <w:lang w:val="en-US"/>
        </w:rPr>
      </w:pPr>
    </w:p>
    <w:p w14:paraId="7DDCC9D8" w14:textId="37ADCF0C" w:rsidR="00E20E11" w:rsidRPr="00D167C8" w:rsidRDefault="00A0687C" w:rsidP="00D167C8">
      <w:pPr>
        <w:spacing w:line="276" w:lineRule="auto"/>
        <w:jc w:val="both"/>
        <w:rPr>
          <w:rFonts w:ascii="Garamond" w:hAnsi="Garamond"/>
          <w:sz w:val="22"/>
          <w:szCs w:val="22"/>
        </w:rPr>
      </w:pPr>
      <w:r w:rsidRPr="00A0687C">
        <w:rPr>
          <w:rFonts w:ascii="Garamond" w:hAnsi="Garamond"/>
          <w:sz w:val="22"/>
          <w:szCs w:val="22"/>
        </w:rPr>
        <w:t xml:space="preserve">Following a further appeal, </w:t>
      </w:r>
      <w:r w:rsidR="00D167C8">
        <w:rPr>
          <w:rFonts w:ascii="Garamond" w:hAnsi="Garamond"/>
          <w:sz w:val="22"/>
          <w:szCs w:val="22"/>
        </w:rPr>
        <w:t xml:space="preserve">on 14 March 2001 </w:t>
      </w:r>
      <w:r w:rsidRPr="00A0687C">
        <w:rPr>
          <w:rFonts w:ascii="Garamond" w:hAnsi="Garamond"/>
          <w:sz w:val="22"/>
          <w:szCs w:val="22"/>
        </w:rPr>
        <w:t xml:space="preserve">the Joint Civil Chambers of the Court overturned the decision by a narrow majority – 26 votes to 24 – and the case was remitted to the </w:t>
      </w:r>
      <w:proofErr w:type="spellStart"/>
      <w:r w:rsidRPr="00A0687C">
        <w:rPr>
          <w:rFonts w:ascii="Garamond" w:hAnsi="Garamond"/>
          <w:sz w:val="22"/>
          <w:szCs w:val="22"/>
        </w:rPr>
        <w:t>Şişli</w:t>
      </w:r>
      <w:proofErr w:type="spellEnd"/>
      <w:r w:rsidRPr="00A0687C">
        <w:rPr>
          <w:rFonts w:ascii="Garamond" w:hAnsi="Garamond"/>
          <w:sz w:val="22"/>
          <w:szCs w:val="22"/>
        </w:rPr>
        <w:t xml:space="preserve"> Civil Court of First Instance. </w:t>
      </w:r>
      <w:proofErr w:type="spellStart"/>
      <w:r w:rsidR="00140D27" w:rsidRPr="00A0687C">
        <w:rPr>
          <w:rFonts w:ascii="Garamond" w:hAnsi="Garamond"/>
          <w:sz w:val="22"/>
          <w:szCs w:val="22"/>
          <w:lang w:val="en-US"/>
        </w:rPr>
        <w:t>Mr</w:t>
      </w:r>
      <w:proofErr w:type="spellEnd"/>
      <w:r w:rsidR="00140D27" w:rsidRPr="00A0687C">
        <w:rPr>
          <w:rFonts w:ascii="Garamond" w:hAnsi="Garamond"/>
          <w:sz w:val="22"/>
          <w:szCs w:val="22"/>
          <w:lang w:val="en-US"/>
        </w:rPr>
        <w:t xml:space="preserve"> </w:t>
      </w:r>
      <w:proofErr w:type="spellStart"/>
      <w:r w:rsidR="00140D27" w:rsidRPr="00A0687C">
        <w:rPr>
          <w:rFonts w:ascii="Garamond" w:hAnsi="Garamond"/>
          <w:sz w:val="22"/>
          <w:szCs w:val="22"/>
          <w:lang w:val="en-US"/>
        </w:rPr>
        <w:t>Sorguç</w:t>
      </w:r>
      <w:proofErr w:type="spellEnd"/>
      <w:r w:rsidR="00140D27">
        <w:rPr>
          <w:rFonts w:ascii="Garamond" w:hAnsi="Garamond"/>
          <w:sz w:val="22"/>
          <w:szCs w:val="22"/>
          <w:lang w:val="en-US"/>
        </w:rPr>
        <w:t xml:space="preserve"> </w:t>
      </w:r>
      <w:r w:rsidRPr="00A0687C">
        <w:rPr>
          <w:rFonts w:ascii="Garamond" w:hAnsi="Garamond"/>
          <w:sz w:val="22"/>
          <w:szCs w:val="22"/>
        </w:rPr>
        <w:t xml:space="preserve">argued that at the beginning of the 1999–2000 academic year, N.A.C. had been dismissed from his post on disciplinary grounds due to inadequate scientific competence and personal values, which, in </w:t>
      </w:r>
      <w:r>
        <w:rPr>
          <w:rFonts w:ascii="Garamond" w:hAnsi="Garamond"/>
          <w:sz w:val="22"/>
          <w:szCs w:val="22"/>
        </w:rPr>
        <w:t>the applicant’s</w:t>
      </w:r>
      <w:r w:rsidRPr="00A0687C">
        <w:rPr>
          <w:rFonts w:ascii="Garamond" w:hAnsi="Garamond"/>
          <w:sz w:val="22"/>
          <w:szCs w:val="22"/>
        </w:rPr>
        <w:t xml:space="preserve"> view, confirmed the substance of his earlier statements</w:t>
      </w:r>
      <w:r w:rsidR="00D167C8">
        <w:rPr>
          <w:rFonts w:ascii="Garamond" w:hAnsi="Garamond"/>
          <w:sz w:val="22"/>
          <w:szCs w:val="22"/>
        </w:rPr>
        <w:t xml:space="preserve">. </w:t>
      </w:r>
      <w:r w:rsidR="00D167C8" w:rsidRPr="00D167C8">
        <w:rPr>
          <w:rFonts w:ascii="Garamond" w:hAnsi="Garamond"/>
          <w:sz w:val="22"/>
          <w:szCs w:val="22"/>
          <w:lang w:val="en-US"/>
        </w:rPr>
        <w:t xml:space="preserve">Nevertheless, in a ruling of 12 December 2001, the court of first instance awarded N.A.C. compensation in the amount of TRL 1,000,000,000 for damages, without addressing the new argument raised by </w:t>
      </w:r>
      <w:proofErr w:type="spellStart"/>
      <w:r w:rsidR="00D167C8" w:rsidRPr="00D167C8">
        <w:rPr>
          <w:rFonts w:ascii="Garamond" w:hAnsi="Garamond"/>
          <w:sz w:val="22"/>
          <w:szCs w:val="22"/>
          <w:lang w:val="en-US"/>
        </w:rPr>
        <w:t>Mr</w:t>
      </w:r>
      <w:proofErr w:type="spellEnd"/>
      <w:r w:rsidR="00D167C8" w:rsidRPr="00D167C8">
        <w:rPr>
          <w:rFonts w:ascii="Garamond" w:hAnsi="Garamond"/>
          <w:sz w:val="22"/>
          <w:szCs w:val="22"/>
          <w:lang w:val="en-US"/>
        </w:rPr>
        <w:t xml:space="preserve"> </w:t>
      </w:r>
      <w:proofErr w:type="spellStart"/>
      <w:r w:rsidR="00D167C8" w:rsidRPr="00D167C8">
        <w:rPr>
          <w:rFonts w:ascii="Garamond" w:hAnsi="Garamond"/>
          <w:sz w:val="22"/>
          <w:szCs w:val="22"/>
          <w:lang w:val="en-US"/>
        </w:rPr>
        <w:t>Sorguç</w:t>
      </w:r>
      <w:proofErr w:type="spellEnd"/>
      <w:r w:rsidR="00D167C8" w:rsidRPr="00D167C8">
        <w:rPr>
          <w:rFonts w:ascii="Garamond" w:hAnsi="Garamond"/>
          <w:sz w:val="22"/>
          <w:szCs w:val="22"/>
          <w:lang w:val="en-US"/>
        </w:rPr>
        <w:t xml:space="preserve">. In June 2002, the </w:t>
      </w:r>
      <w:r w:rsidR="00D167C8" w:rsidRPr="00D167C8">
        <w:rPr>
          <w:rFonts w:ascii="Garamond" w:hAnsi="Garamond"/>
          <w:sz w:val="22"/>
          <w:szCs w:val="22"/>
          <w:lang w:val="en-US"/>
        </w:rPr>
        <w:lastRenderedPageBreak/>
        <w:t>decision was upheld by the Court of Cassation, and in November, the same court also rejected the applicant’s request for rectification. Taking into account the compensation, interest, and court fees, the applicant was ordered to pay a total of TRL 3,455,215,000.</w:t>
      </w:r>
    </w:p>
    <w:p w14:paraId="3373C374" w14:textId="77777777" w:rsidR="00D46357" w:rsidRPr="00D167C8" w:rsidRDefault="00D46357" w:rsidP="00D167C8">
      <w:pPr>
        <w:spacing w:line="276" w:lineRule="auto"/>
        <w:jc w:val="both"/>
        <w:rPr>
          <w:rFonts w:ascii="Garamond" w:hAnsi="Garamond"/>
          <w:sz w:val="22"/>
          <w:szCs w:val="22"/>
          <w:lang w:val="en-US"/>
        </w:rPr>
      </w:pPr>
    </w:p>
    <w:p w14:paraId="010BA86B" w14:textId="77777777" w:rsidR="00BB2804" w:rsidRDefault="00BB2804" w:rsidP="00BB2804">
      <w:pPr>
        <w:pStyle w:val="Akapitzlist"/>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1E16E365" w14:textId="77777777" w:rsidR="002E6CBC" w:rsidRDefault="002E6CBC" w:rsidP="002E6CBC">
      <w:pPr>
        <w:spacing w:line="276" w:lineRule="auto"/>
        <w:jc w:val="both"/>
        <w:rPr>
          <w:rFonts w:ascii="Garamond" w:hAnsi="Garamond"/>
          <w:sz w:val="22"/>
          <w:szCs w:val="22"/>
          <w:lang w:val="en-US"/>
        </w:rPr>
      </w:pPr>
    </w:p>
    <w:p w14:paraId="105410D0" w14:textId="2216C1E6" w:rsidR="007928BE" w:rsidRPr="00512C2E" w:rsidRDefault="00D167C8" w:rsidP="007928BE">
      <w:pPr>
        <w:spacing w:line="276" w:lineRule="auto"/>
        <w:jc w:val="both"/>
        <w:rPr>
          <w:rFonts w:ascii="Garamond" w:hAnsi="Garamond"/>
          <w:sz w:val="22"/>
          <w:szCs w:val="22"/>
          <w:lang w:val="en-US"/>
        </w:rPr>
      </w:pPr>
      <w:r w:rsidRPr="00D167C8">
        <w:rPr>
          <w:rFonts w:ascii="Garamond" w:hAnsi="Garamond"/>
          <w:sz w:val="22"/>
          <w:szCs w:val="22"/>
        </w:rPr>
        <w:t xml:space="preserve">Against this background, Professor </w:t>
      </w:r>
      <w:proofErr w:type="spellStart"/>
      <w:r w:rsidRPr="00D167C8">
        <w:rPr>
          <w:rFonts w:ascii="Garamond" w:hAnsi="Garamond"/>
          <w:sz w:val="22"/>
          <w:szCs w:val="22"/>
        </w:rPr>
        <w:t>Sorguç</w:t>
      </w:r>
      <w:proofErr w:type="spellEnd"/>
      <w:r w:rsidRPr="00D167C8">
        <w:rPr>
          <w:rFonts w:ascii="Garamond" w:hAnsi="Garamond"/>
          <w:sz w:val="22"/>
          <w:szCs w:val="22"/>
        </w:rPr>
        <w:t xml:space="preserve"> lodged an application on 6 May 2003, claiming a violation of his freedom of expression under Article 10 of the European Convention on Human Rights.</w:t>
      </w:r>
      <w:r>
        <w:rPr>
          <w:rFonts w:ascii="Garamond" w:hAnsi="Garamond"/>
          <w:sz w:val="22"/>
          <w:szCs w:val="22"/>
        </w:rPr>
        <w:t xml:space="preserve"> </w:t>
      </w:r>
      <w:r w:rsidR="007928BE" w:rsidRPr="00D167C8">
        <w:rPr>
          <w:rFonts w:ascii="Garamond" w:hAnsi="Garamond"/>
          <w:sz w:val="22"/>
          <w:szCs w:val="22"/>
          <w:lang w:val="en-US"/>
        </w:rPr>
        <w:t xml:space="preserve">The applicant argued that he had a professional duty to inform the academic community and the wider public about shortcomings within the </w:t>
      </w:r>
      <w:r w:rsidR="00CB6394" w:rsidRPr="00D167C8">
        <w:rPr>
          <w:rFonts w:ascii="Garamond" w:hAnsi="Garamond"/>
          <w:sz w:val="22"/>
          <w:szCs w:val="22"/>
          <w:lang w:val="en-US"/>
        </w:rPr>
        <w:t>field concerned</w:t>
      </w:r>
      <w:r w:rsidR="007928BE" w:rsidRPr="00D167C8">
        <w:rPr>
          <w:rFonts w:ascii="Garamond" w:hAnsi="Garamond"/>
          <w:sz w:val="22"/>
          <w:szCs w:val="22"/>
          <w:lang w:val="en-US"/>
        </w:rPr>
        <w:t>. He did not explicitly name the plaintiff, and his opinion was based on factual grounds, as evidenced by the dismissal of the person concerned. Therefore, the requirement of a pressing social need and the proportionality of the measure were not fulfilled. The Government countered that the applicant referred</w:t>
      </w:r>
      <w:r w:rsidR="007928BE">
        <w:rPr>
          <w:rFonts w:ascii="Garamond" w:hAnsi="Garamond"/>
          <w:sz w:val="22"/>
          <w:szCs w:val="22"/>
          <w:lang w:val="en-US"/>
        </w:rPr>
        <w:t>, in fact,</w:t>
      </w:r>
      <w:r w:rsidR="007928BE" w:rsidRPr="007928BE">
        <w:rPr>
          <w:rFonts w:ascii="Garamond" w:hAnsi="Garamond"/>
          <w:sz w:val="22"/>
          <w:szCs w:val="22"/>
          <w:lang w:val="en-US"/>
        </w:rPr>
        <w:t xml:space="preserve"> to an incident that had occurred between him and N.A.C. several years earlier and sought to provoke a </w:t>
      </w:r>
      <w:r w:rsidR="007928BE">
        <w:rPr>
          <w:rFonts w:ascii="Garamond" w:hAnsi="Garamond"/>
          <w:sz w:val="22"/>
          <w:szCs w:val="22"/>
          <w:lang w:val="en-US"/>
        </w:rPr>
        <w:t>polemic about it</w:t>
      </w:r>
      <w:r w:rsidR="007928BE" w:rsidRPr="007928BE">
        <w:rPr>
          <w:rFonts w:ascii="Garamond" w:hAnsi="Garamond"/>
          <w:sz w:val="22"/>
          <w:szCs w:val="22"/>
          <w:lang w:val="en-US"/>
        </w:rPr>
        <w:t xml:space="preserve">, which fell outside the bounds of </w:t>
      </w:r>
      <w:r w:rsidR="007928BE">
        <w:rPr>
          <w:rFonts w:ascii="Garamond" w:hAnsi="Garamond"/>
          <w:sz w:val="22"/>
          <w:szCs w:val="22"/>
          <w:lang w:val="en-US"/>
        </w:rPr>
        <w:t>scientific</w:t>
      </w:r>
      <w:r w:rsidR="007928BE" w:rsidRPr="007928BE">
        <w:rPr>
          <w:rFonts w:ascii="Garamond" w:hAnsi="Garamond"/>
          <w:sz w:val="22"/>
          <w:szCs w:val="22"/>
          <w:lang w:val="en-US"/>
        </w:rPr>
        <w:t xml:space="preserve"> discussion. Therefore, the domestic courts’ decision to give precedence to N.A.C.'s right to reputation over the applicant’s freedom of expression should be regarded as proportionate and within the </w:t>
      </w:r>
      <w:r w:rsidR="007928BE">
        <w:rPr>
          <w:rFonts w:ascii="Garamond" w:hAnsi="Garamond"/>
          <w:sz w:val="22"/>
          <w:szCs w:val="22"/>
          <w:lang w:val="en-US"/>
        </w:rPr>
        <w:t>s</w:t>
      </w:r>
      <w:r w:rsidR="007928BE" w:rsidRPr="007928BE">
        <w:rPr>
          <w:rFonts w:ascii="Garamond" w:hAnsi="Garamond"/>
          <w:sz w:val="22"/>
          <w:szCs w:val="22"/>
          <w:lang w:val="en-US"/>
        </w:rPr>
        <w:t>tate’s margin of appreciation.</w:t>
      </w:r>
      <w:r w:rsidR="00512C2E">
        <w:rPr>
          <w:rFonts w:ascii="Garamond" w:hAnsi="Garamond"/>
          <w:sz w:val="22"/>
          <w:szCs w:val="22"/>
          <w:lang w:val="en-US"/>
        </w:rPr>
        <w:t xml:space="preserve"> </w:t>
      </w:r>
      <w:r w:rsidR="0038402A">
        <w:rPr>
          <w:rFonts w:ascii="Garamond" w:hAnsi="Garamond"/>
          <w:sz w:val="22"/>
          <w:szCs w:val="22"/>
          <w:lang w:val="en-US"/>
        </w:rPr>
        <w:t>I</w:t>
      </w:r>
      <w:proofErr w:type="spellStart"/>
      <w:r w:rsidR="0038402A">
        <w:rPr>
          <w:rFonts w:ascii="Garamond" w:hAnsi="Garamond"/>
          <w:sz w:val="22"/>
          <w:szCs w:val="22"/>
        </w:rPr>
        <w:t>n</w:t>
      </w:r>
      <w:proofErr w:type="spellEnd"/>
      <w:r w:rsidR="00857D59" w:rsidRPr="00857D59">
        <w:rPr>
          <w:rFonts w:ascii="Garamond" w:hAnsi="Garamond"/>
          <w:sz w:val="22"/>
          <w:szCs w:val="22"/>
        </w:rPr>
        <w:t xml:space="preserve"> the context of the above discussion between the parties,</w:t>
      </w:r>
      <w:r w:rsidR="0038402A">
        <w:rPr>
          <w:rFonts w:ascii="Garamond" w:hAnsi="Garamond"/>
          <w:sz w:val="22"/>
          <w:szCs w:val="22"/>
        </w:rPr>
        <w:t xml:space="preserve"> the Court noted that</w:t>
      </w:r>
      <w:r w:rsidR="00857D59" w:rsidRPr="00857D59">
        <w:rPr>
          <w:rFonts w:ascii="Garamond" w:hAnsi="Garamond"/>
          <w:sz w:val="22"/>
          <w:szCs w:val="22"/>
        </w:rPr>
        <w:t xml:space="preserve"> the interference with the applicant’s rights was not contested with respect to the first two requirements of the tripartite test</w:t>
      </w:r>
      <w:r w:rsidR="0038402A">
        <w:rPr>
          <w:rFonts w:ascii="Garamond" w:hAnsi="Garamond"/>
          <w:sz w:val="22"/>
          <w:szCs w:val="22"/>
        </w:rPr>
        <w:t xml:space="preserve"> under </w:t>
      </w:r>
      <w:r w:rsidR="0038402A" w:rsidRPr="00857D59">
        <w:rPr>
          <w:rFonts w:ascii="Garamond" w:hAnsi="Garamond"/>
          <w:sz w:val="22"/>
          <w:szCs w:val="22"/>
        </w:rPr>
        <w:t>Article 10 § 2</w:t>
      </w:r>
      <w:r w:rsidR="00857D59" w:rsidRPr="00857D59">
        <w:rPr>
          <w:rFonts w:ascii="Garamond" w:hAnsi="Garamond"/>
          <w:sz w:val="22"/>
          <w:szCs w:val="22"/>
        </w:rPr>
        <w:t xml:space="preserve"> (“prescribed by law” and the pursuit of a legitimate aim). It therefore proceeded directly to an analysis of the “necessary in a democratic society” requirement.</w:t>
      </w:r>
    </w:p>
    <w:p w14:paraId="0849FA11" w14:textId="77777777" w:rsidR="00857D59" w:rsidRDefault="00857D59" w:rsidP="007928BE">
      <w:pPr>
        <w:spacing w:line="276" w:lineRule="auto"/>
        <w:jc w:val="both"/>
        <w:rPr>
          <w:rFonts w:ascii="Garamond" w:hAnsi="Garamond"/>
          <w:sz w:val="22"/>
          <w:szCs w:val="22"/>
        </w:rPr>
      </w:pPr>
    </w:p>
    <w:p w14:paraId="5A4D6F70" w14:textId="0E73C3F9" w:rsidR="00C7447C" w:rsidRPr="00512C2E" w:rsidRDefault="00FB4775" w:rsidP="007928BE">
      <w:pPr>
        <w:spacing w:line="276" w:lineRule="auto"/>
        <w:jc w:val="both"/>
        <w:rPr>
          <w:rFonts w:ascii="Garamond" w:hAnsi="Garamond"/>
          <w:sz w:val="22"/>
          <w:szCs w:val="22"/>
        </w:rPr>
      </w:pPr>
      <w:r w:rsidRPr="00FB4775">
        <w:rPr>
          <w:rFonts w:ascii="Garamond" w:hAnsi="Garamond"/>
          <w:sz w:val="22"/>
          <w:szCs w:val="22"/>
        </w:rPr>
        <w:t>In the context of general principles, the Court noted that the relevant requirement implies the existence of a “pressing social need”</w:t>
      </w:r>
      <w:r w:rsidR="00FA76BC">
        <w:rPr>
          <w:rFonts w:ascii="Garamond" w:hAnsi="Garamond"/>
          <w:sz w:val="22"/>
          <w:szCs w:val="22"/>
        </w:rPr>
        <w:t>.</w:t>
      </w:r>
      <w:r w:rsidRPr="00FB4775">
        <w:rPr>
          <w:rFonts w:ascii="Garamond" w:hAnsi="Garamond"/>
          <w:sz w:val="22"/>
          <w:szCs w:val="22"/>
        </w:rPr>
        <w:t xml:space="preserve"> While domestic authorities have a certain margin of appreciation in </w:t>
      </w:r>
      <w:r w:rsidRPr="00BE7BD9">
        <w:rPr>
          <w:rFonts w:ascii="Garamond" w:hAnsi="Garamond"/>
          <w:sz w:val="22"/>
          <w:szCs w:val="22"/>
        </w:rPr>
        <w:t xml:space="preserve">assessing whether such a need exists, their assessment remains subject to the supervision of the ECtHR. </w:t>
      </w:r>
      <w:r w:rsidR="00677013" w:rsidRPr="00BE7BD9">
        <w:rPr>
          <w:rFonts w:ascii="Garamond" w:hAnsi="Garamond"/>
          <w:sz w:val="22"/>
          <w:szCs w:val="22"/>
        </w:rPr>
        <w:t>The Court underlined – significantly for the case at hand – the importance of distinguishing between statements of fact and value judgments</w:t>
      </w:r>
      <w:r w:rsidRPr="00BE7BD9">
        <w:rPr>
          <w:rFonts w:ascii="Garamond" w:hAnsi="Garamond"/>
          <w:sz w:val="22"/>
          <w:szCs w:val="22"/>
        </w:rPr>
        <w:t xml:space="preserve">. </w:t>
      </w:r>
      <w:r w:rsidR="00BE7BD9" w:rsidRPr="00BE7BD9">
        <w:rPr>
          <w:rFonts w:ascii="Garamond" w:hAnsi="Garamond"/>
          <w:sz w:val="22"/>
          <w:szCs w:val="22"/>
        </w:rPr>
        <w:t>Although value judgments are not susceptible of proof like factual claims, they may still be excessive if not supported by a sufficient factual basis</w:t>
      </w:r>
      <w:r w:rsidR="00470C70">
        <w:rPr>
          <w:rFonts w:ascii="Garamond" w:hAnsi="Garamond"/>
          <w:sz w:val="22"/>
          <w:szCs w:val="22"/>
        </w:rPr>
        <w:t xml:space="preserve"> (</w:t>
      </w:r>
      <w:r w:rsidR="00470C70" w:rsidRPr="00470C70">
        <w:rPr>
          <w:rFonts w:ascii="Garamond" w:hAnsi="Garamond"/>
          <w:i/>
          <w:iCs/>
          <w:sz w:val="22"/>
          <w:szCs w:val="22"/>
        </w:rPr>
        <w:t>Jerusalem v. Austria</w:t>
      </w:r>
      <w:r w:rsidR="00470C70" w:rsidRPr="00470C70">
        <w:rPr>
          <w:rFonts w:ascii="Garamond" w:hAnsi="Garamond"/>
          <w:sz w:val="22"/>
          <w:szCs w:val="22"/>
        </w:rPr>
        <w:t>, no. 26958/95, § 43</w:t>
      </w:r>
      <w:r w:rsidR="00470C70">
        <w:rPr>
          <w:rFonts w:ascii="Garamond" w:hAnsi="Garamond"/>
          <w:sz w:val="22"/>
          <w:szCs w:val="22"/>
        </w:rPr>
        <w:t>)</w:t>
      </w:r>
      <w:r w:rsidRPr="00BE7BD9">
        <w:rPr>
          <w:rFonts w:ascii="Garamond" w:hAnsi="Garamond"/>
          <w:sz w:val="22"/>
          <w:szCs w:val="22"/>
        </w:rPr>
        <w:t xml:space="preserve">. </w:t>
      </w:r>
      <w:r w:rsidR="005F1A06" w:rsidRPr="00BE7BD9">
        <w:rPr>
          <w:rFonts w:ascii="Garamond" w:hAnsi="Garamond"/>
          <w:sz w:val="22"/>
          <w:szCs w:val="22"/>
        </w:rPr>
        <w:t>In relation to the present case</w:t>
      </w:r>
      <w:r w:rsidR="00BE7BD9">
        <w:rPr>
          <w:rFonts w:ascii="Garamond" w:hAnsi="Garamond"/>
          <w:sz w:val="22"/>
          <w:szCs w:val="22"/>
        </w:rPr>
        <w:t>,</w:t>
      </w:r>
      <w:r w:rsidR="005F1A06" w:rsidRPr="00BE7BD9">
        <w:rPr>
          <w:rFonts w:ascii="Garamond" w:hAnsi="Garamond"/>
          <w:sz w:val="22"/>
          <w:szCs w:val="22"/>
          <w:lang w:val="en-US"/>
        </w:rPr>
        <w:t xml:space="preserve"> the ECtHR noted that the utterances in question appeared</w:t>
      </w:r>
      <w:r w:rsidR="005F1A06" w:rsidRPr="005F1A06">
        <w:rPr>
          <w:rFonts w:ascii="Garamond" w:hAnsi="Garamond"/>
          <w:sz w:val="22"/>
          <w:szCs w:val="22"/>
          <w:lang w:val="en-US"/>
        </w:rPr>
        <w:t xml:space="preserve"> in a paper that was disseminated during a scientific conference. The criticism was directed at the system of recruitment and promotion of academics in the field of construction management. Of key importance was the reference to a specific case in which a person lacking the necessary qualifications had been promoted to the position of assistant professor</w:t>
      </w:r>
      <w:r w:rsidR="00C7447C">
        <w:rPr>
          <w:rFonts w:ascii="Garamond" w:hAnsi="Garamond"/>
          <w:sz w:val="22"/>
          <w:szCs w:val="22"/>
          <w:lang w:val="en-US"/>
        </w:rPr>
        <w:t xml:space="preserve">. </w:t>
      </w:r>
      <w:r w:rsidR="00C7447C" w:rsidRPr="00C7447C">
        <w:rPr>
          <w:rFonts w:ascii="Garamond" w:hAnsi="Garamond"/>
          <w:sz w:val="22"/>
          <w:szCs w:val="22"/>
        </w:rPr>
        <w:t>The Court took the view that the applicant’s statements constituted value judgments relating a matter of public interest. These judgments, grounded in personal experience and information commonly known in academic circles, were therefore considered</w:t>
      </w:r>
      <w:r w:rsidR="00C7447C">
        <w:rPr>
          <w:rFonts w:ascii="Garamond" w:hAnsi="Garamond"/>
          <w:sz w:val="22"/>
          <w:szCs w:val="22"/>
        </w:rPr>
        <w:t xml:space="preserve"> at least partially</w:t>
      </w:r>
      <w:r w:rsidR="00C7447C" w:rsidRPr="00C7447C">
        <w:rPr>
          <w:rFonts w:ascii="Garamond" w:hAnsi="Garamond"/>
          <w:sz w:val="22"/>
          <w:szCs w:val="22"/>
        </w:rPr>
        <w:t xml:space="preserve"> susceptible of proof</w:t>
      </w:r>
      <w:r w:rsidR="00D167C8">
        <w:rPr>
          <w:rFonts w:ascii="Garamond" w:hAnsi="Garamond"/>
          <w:sz w:val="22"/>
          <w:szCs w:val="22"/>
        </w:rPr>
        <w:t>.</w:t>
      </w:r>
    </w:p>
    <w:p w14:paraId="5F476B90" w14:textId="77777777" w:rsidR="00A82EC1" w:rsidRPr="005F1A06" w:rsidRDefault="00A82EC1" w:rsidP="007928BE">
      <w:pPr>
        <w:spacing w:line="276" w:lineRule="auto"/>
        <w:jc w:val="both"/>
        <w:rPr>
          <w:rFonts w:ascii="Garamond" w:hAnsi="Garamond"/>
          <w:sz w:val="22"/>
          <w:szCs w:val="22"/>
          <w:lang w:val="en-US"/>
        </w:rPr>
      </w:pPr>
    </w:p>
    <w:p w14:paraId="2635A239" w14:textId="19BD5F77" w:rsidR="00512C2E" w:rsidRPr="00512C2E" w:rsidRDefault="00C7447C" w:rsidP="007928BE">
      <w:pPr>
        <w:spacing w:line="276" w:lineRule="auto"/>
        <w:jc w:val="both"/>
        <w:rPr>
          <w:rFonts w:ascii="Garamond" w:hAnsi="Garamond"/>
          <w:sz w:val="22"/>
          <w:szCs w:val="22"/>
        </w:rPr>
      </w:pPr>
      <w:r w:rsidRPr="00C7447C">
        <w:rPr>
          <w:rFonts w:ascii="Garamond" w:hAnsi="Garamond"/>
          <w:sz w:val="22"/>
          <w:szCs w:val="22"/>
        </w:rPr>
        <w:t>The ECtHR noted that, despite the applicant’s attempts to do so, he was not given the opportunity before the Turkish courts to demonstrate that his statements were justified or at least made in good faith.</w:t>
      </w:r>
      <w:r w:rsidR="00512C2E">
        <w:rPr>
          <w:rFonts w:ascii="Garamond" w:hAnsi="Garamond"/>
          <w:sz w:val="22"/>
          <w:szCs w:val="22"/>
        </w:rPr>
        <w:t xml:space="preserve"> </w:t>
      </w:r>
      <w:r w:rsidRPr="00C7447C">
        <w:rPr>
          <w:rFonts w:ascii="Garamond" w:hAnsi="Garamond"/>
          <w:sz w:val="22"/>
          <w:szCs w:val="22"/>
        </w:rPr>
        <w:t xml:space="preserve">The domestic authorities found that certain statements made by Professor </w:t>
      </w:r>
      <w:proofErr w:type="spellStart"/>
      <w:r w:rsidRPr="00C7447C">
        <w:rPr>
          <w:rFonts w:ascii="Garamond" w:hAnsi="Garamond"/>
          <w:sz w:val="22"/>
          <w:szCs w:val="22"/>
        </w:rPr>
        <w:t>Sorguç</w:t>
      </w:r>
      <w:proofErr w:type="spellEnd"/>
      <w:r w:rsidRPr="00C7447C">
        <w:rPr>
          <w:rFonts w:ascii="Garamond" w:hAnsi="Garamond"/>
          <w:sz w:val="22"/>
          <w:szCs w:val="22"/>
        </w:rPr>
        <w:t xml:space="preserve"> implied that N.A.C. would not have passed the exam before a different panel, which they considered to be a personal attack.</w:t>
      </w:r>
      <w:r w:rsidR="00512C2E">
        <w:rPr>
          <w:rFonts w:ascii="Garamond" w:hAnsi="Garamond"/>
          <w:sz w:val="22"/>
          <w:szCs w:val="22"/>
        </w:rPr>
        <w:t xml:space="preserve"> </w:t>
      </w:r>
      <w:r w:rsidR="00512C2E" w:rsidRPr="00512C2E">
        <w:rPr>
          <w:rFonts w:ascii="Garamond" w:hAnsi="Garamond"/>
          <w:sz w:val="22"/>
          <w:szCs w:val="22"/>
        </w:rPr>
        <w:t xml:space="preserve">The Court disagreed with </w:t>
      </w:r>
      <w:r w:rsidR="002B18D7">
        <w:rPr>
          <w:rFonts w:ascii="Garamond" w:hAnsi="Garamond"/>
          <w:sz w:val="22"/>
          <w:szCs w:val="22"/>
        </w:rPr>
        <w:t>this</w:t>
      </w:r>
      <w:r w:rsidR="00512C2E">
        <w:rPr>
          <w:rFonts w:ascii="Garamond" w:hAnsi="Garamond"/>
          <w:sz w:val="22"/>
          <w:szCs w:val="22"/>
        </w:rPr>
        <w:t xml:space="preserve"> assessment</w:t>
      </w:r>
      <w:r w:rsidR="002B18D7">
        <w:rPr>
          <w:rFonts w:ascii="Garamond" w:hAnsi="Garamond"/>
          <w:sz w:val="22"/>
          <w:szCs w:val="22"/>
        </w:rPr>
        <w:t>,</w:t>
      </w:r>
      <w:r w:rsidR="00512C2E">
        <w:rPr>
          <w:rFonts w:ascii="Garamond" w:hAnsi="Garamond"/>
          <w:sz w:val="22"/>
          <w:szCs w:val="22"/>
        </w:rPr>
        <w:t xml:space="preserve"> giving</w:t>
      </w:r>
      <w:r w:rsidR="00512C2E" w:rsidRPr="00512C2E">
        <w:rPr>
          <w:rFonts w:ascii="Garamond" w:hAnsi="Garamond"/>
          <w:sz w:val="22"/>
          <w:szCs w:val="22"/>
        </w:rPr>
        <w:t xml:space="preserve"> greater weight to the reputation of the unnamed individual than to the applicant’s freedom of expression as an academic participating in a public debate.</w:t>
      </w:r>
      <w:r w:rsidR="00512C2E">
        <w:rPr>
          <w:rFonts w:ascii="Garamond" w:hAnsi="Garamond"/>
          <w:sz w:val="22"/>
          <w:szCs w:val="22"/>
        </w:rPr>
        <w:t xml:space="preserve"> </w:t>
      </w:r>
      <w:r w:rsidR="00433734" w:rsidRPr="00433734">
        <w:rPr>
          <w:rFonts w:ascii="Garamond" w:hAnsi="Garamond"/>
          <w:sz w:val="22"/>
          <w:szCs w:val="22"/>
        </w:rPr>
        <w:t>As the Court pointed out, considering the matter as one involving</w:t>
      </w:r>
      <w:r w:rsidR="00512C2E" w:rsidRPr="00512C2E">
        <w:rPr>
          <w:rFonts w:ascii="Garamond" w:hAnsi="Garamond"/>
          <w:sz w:val="22"/>
          <w:szCs w:val="22"/>
          <w:lang w:val="en-US"/>
        </w:rPr>
        <w:t xml:space="preserve"> an academic’s freedom of expression regarding the organizational functioning of academic institutions: </w:t>
      </w:r>
      <w:r w:rsidR="00512C2E">
        <w:rPr>
          <w:rFonts w:ascii="Garamond" w:hAnsi="Garamond"/>
          <w:sz w:val="22"/>
          <w:szCs w:val="22"/>
          <w:lang w:val="en-US"/>
        </w:rPr>
        <w:t>“I</w:t>
      </w:r>
      <w:r w:rsidR="00512C2E" w:rsidRPr="00512C2E">
        <w:rPr>
          <w:rFonts w:ascii="Garamond" w:hAnsi="Garamond"/>
          <w:sz w:val="22"/>
          <w:szCs w:val="22"/>
          <w:lang w:val="en-US"/>
        </w:rPr>
        <w:t>n this connection, the Court underlines the importance of academic</w:t>
      </w:r>
      <w:r w:rsidR="00512C2E">
        <w:rPr>
          <w:rFonts w:ascii="Garamond" w:hAnsi="Garamond"/>
          <w:sz w:val="22"/>
          <w:szCs w:val="22"/>
          <w:lang w:val="en-US"/>
        </w:rPr>
        <w:t xml:space="preserve"> </w:t>
      </w:r>
      <w:r w:rsidR="00512C2E" w:rsidRPr="00512C2E">
        <w:rPr>
          <w:rFonts w:ascii="Garamond" w:hAnsi="Garamond"/>
          <w:sz w:val="22"/>
          <w:szCs w:val="22"/>
          <w:lang w:val="en-US"/>
        </w:rPr>
        <w:t>freedom, which comprises the academics' freedom to express freely their</w:t>
      </w:r>
      <w:r w:rsidR="00512C2E">
        <w:rPr>
          <w:rFonts w:ascii="Garamond" w:hAnsi="Garamond"/>
          <w:sz w:val="22"/>
          <w:szCs w:val="22"/>
          <w:lang w:val="en-US"/>
        </w:rPr>
        <w:t xml:space="preserve"> </w:t>
      </w:r>
      <w:r w:rsidR="00512C2E" w:rsidRPr="00512C2E">
        <w:rPr>
          <w:rFonts w:ascii="Garamond" w:hAnsi="Garamond"/>
          <w:sz w:val="22"/>
          <w:szCs w:val="22"/>
          <w:lang w:val="en-US"/>
        </w:rPr>
        <w:t>opinion about the institution or system in which they work and freedom to</w:t>
      </w:r>
      <w:r w:rsidR="00512C2E">
        <w:rPr>
          <w:rFonts w:ascii="Garamond" w:hAnsi="Garamond"/>
          <w:sz w:val="22"/>
          <w:szCs w:val="22"/>
          <w:lang w:val="en-US"/>
        </w:rPr>
        <w:t xml:space="preserve"> </w:t>
      </w:r>
      <w:r w:rsidR="00512C2E" w:rsidRPr="00512C2E">
        <w:rPr>
          <w:rFonts w:ascii="Garamond" w:hAnsi="Garamond"/>
          <w:sz w:val="22"/>
          <w:szCs w:val="22"/>
          <w:lang w:val="en-US"/>
        </w:rPr>
        <w:t>distribute knowledge and truth without restriction</w:t>
      </w:r>
      <w:r w:rsidR="00512C2E">
        <w:rPr>
          <w:rFonts w:ascii="Garamond" w:hAnsi="Garamond"/>
          <w:sz w:val="22"/>
          <w:szCs w:val="22"/>
          <w:lang w:val="en-US"/>
        </w:rPr>
        <w:t>” [</w:t>
      </w:r>
      <w:r w:rsidR="00512C2E" w:rsidRPr="00512C2E">
        <w:rPr>
          <w:rFonts w:ascii="Garamond" w:hAnsi="Garamond"/>
          <w:sz w:val="22"/>
          <w:szCs w:val="22"/>
          <w:lang w:val="en-US"/>
        </w:rPr>
        <w:t>§</w:t>
      </w:r>
      <w:r w:rsidR="00512C2E">
        <w:rPr>
          <w:rFonts w:ascii="Garamond" w:hAnsi="Garamond"/>
          <w:sz w:val="22"/>
          <w:szCs w:val="22"/>
          <w:lang w:val="en-US"/>
        </w:rPr>
        <w:t xml:space="preserve"> 35].</w:t>
      </w:r>
    </w:p>
    <w:p w14:paraId="144A5FFC" w14:textId="77777777" w:rsidR="00512C2E" w:rsidRDefault="00512C2E" w:rsidP="007928BE">
      <w:pPr>
        <w:spacing w:line="276" w:lineRule="auto"/>
        <w:jc w:val="both"/>
        <w:rPr>
          <w:rFonts w:ascii="Garamond" w:hAnsi="Garamond"/>
          <w:sz w:val="22"/>
          <w:szCs w:val="22"/>
          <w:lang w:val="en-US"/>
        </w:rPr>
      </w:pPr>
    </w:p>
    <w:p w14:paraId="39CA8B2C" w14:textId="0DE15449" w:rsidR="00512C2E" w:rsidRPr="00F023E9" w:rsidRDefault="00F023E9" w:rsidP="007928BE">
      <w:pPr>
        <w:spacing w:line="276" w:lineRule="auto"/>
        <w:jc w:val="both"/>
        <w:rPr>
          <w:rFonts w:ascii="Garamond" w:hAnsi="Garamond"/>
          <w:sz w:val="22"/>
          <w:szCs w:val="22"/>
          <w:lang w:val="en-US"/>
        </w:rPr>
      </w:pPr>
      <w:r w:rsidRPr="00F023E9">
        <w:rPr>
          <w:rFonts w:ascii="Garamond" w:hAnsi="Garamond"/>
          <w:sz w:val="22"/>
          <w:szCs w:val="22"/>
          <w:lang w:val="en-US"/>
        </w:rPr>
        <w:t>It was noted that there was no evidence of a link between the applicant’s statements and any impact on N.A.C.’s career, which is significant in assessing the absence of a “pressing social need”</w:t>
      </w:r>
      <w:r w:rsidR="00CB6394">
        <w:rPr>
          <w:rFonts w:ascii="Garamond" w:hAnsi="Garamond"/>
          <w:sz w:val="22"/>
          <w:szCs w:val="22"/>
          <w:lang w:val="en-US"/>
        </w:rPr>
        <w:t>.</w:t>
      </w:r>
      <w:r w:rsidRPr="00F023E9">
        <w:rPr>
          <w:rFonts w:ascii="Garamond" w:hAnsi="Garamond"/>
          <w:sz w:val="22"/>
          <w:szCs w:val="22"/>
          <w:lang w:val="en-US"/>
        </w:rPr>
        <w:t xml:space="preserve"> </w:t>
      </w:r>
      <w:r w:rsidR="0042126D" w:rsidRPr="0042126D">
        <w:rPr>
          <w:rFonts w:ascii="Garamond" w:hAnsi="Garamond"/>
          <w:sz w:val="22"/>
          <w:szCs w:val="22"/>
          <w:lang w:val="en-US"/>
        </w:rPr>
        <w:t>The domestic authorities erred in balancing the interests at stake by giving precedence to N.A.C.’s reputation over the applicant’s freedom of expression, which raised issues of public interest</w:t>
      </w:r>
      <w:r w:rsidR="0038402A">
        <w:rPr>
          <w:rFonts w:ascii="Garamond" w:hAnsi="Garamond"/>
          <w:sz w:val="22"/>
          <w:szCs w:val="22"/>
          <w:lang w:val="en-US"/>
        </w:rPr>
        <w:t>.</w:t>
      </w:r>
      <w:r w:rsidRPr="00F023E9">
        <w:rPr>
          <w:rFonts w:ascii="Garamond" w:hAnsi="Garamond"/>
          <w:sz w:val="22"/>
          <w:szCs w:val="22"/>
          <w:lang w:val="en-US"/>
        </w:rPr>
        <w:t xml:space="preserve"> Accordingly, the Court unanimously held that there was a violation of Article 10</w:t>
      </w:r>
      <w:r w:rsidR="00CB6394">
        <w:rPr>
          <w:rFonts w:ascii="Garamond" w:hAnsi="Garamond"/>
          <w:sz w:val="22"/>
          <w:szCs w:val="22"/>
          <w:lang w:val="en-US"/>
        </w:rPr>
        <w:t xml:space="preserve"> (t</w:t>
      </w:r>
      <w:r w:rsidR="00CB6394" w:rsidRPr="00CB6394">
        <w:rPr>
          <w:rFonts w:ascii="Garamond" w:hAnsi="Garamond"/>
          <w:sz w:val="22"/>
          <w:szCs w:val="22"/>
          <w:lang w:val="en-US"/>
        </w:rPr>
        <w:t>he applicant also alleged violations of Article 6 of the ECHR and Article 1 of Protocol No. 1, but the Court held that the central issue had been resolved and there was no need to make a separate ruling on those complaints</w:t>
      </w:r>
      <w:r w:rsidR="00CB6394">
        <w:rPr>
          <w:rFonts w:ascii="Garamond" w:hAnsi="Garamond"/>
          <w:sz w:val="22"/>
          <w:szCs w:val="22"/>
          <w:lang w:val="en-US"/>
        </w:rPr>
        <w:t xml:space="preserve">). </w:t>
      </w:r>
    </w:p>
    <w:p w14:paraId="77BC47AA" w14:textId="77777777" w:rsidR="002E6CBC" w:rsidRPr="0042126D" w:rsidRDefault="002E6CBC" w:rsidP="0042126D">
      <w:pPr>
        <w:spacing w:line="276" w:lineRule="auto"/>
        <w:jc w:val="both"/>
        <w:rPr>
          <w:rFonts w:ascii="Garamond" w:hAnsi="Garamond"/>
          <w:sz w:val="22"/>
          <w:szCs w:val="22"/>
          <w:lang w:val="en-US"/>
        </w:rPr>
      </w:pPr>
    </w:p>
    <w:p w14:paraId="66E0BDC8" w14:textId="77777777" w:rsidR="00BB2804" w:rsidRPr="002E6CBC" w:rsidRDefault="00BB2804" w:rsidP="00BB2804">
      <w:pPr>
        <w:spacing w:line="276" w:lineRule="auto"/>
        <w:jc w:val="both"/>
        <w:rPr>
          <w:rFonts w:ascii="Garamond" w:hAnsi="Garamond"/>
          <w:sz w:val="22"/>
          <w:szCs w:val="22"/>
          <w:lang w:val="pl-PL"/>
        </w:rPr>
      </w:pPr>
      <w:proofErr w:type="spellStart"/>
      <w:r w:rsidRPr="002E6CBC">
        <w:rPr>
          <w:rFonts w:ascii="Garamond" w:hAnsi="Garamond"/>
          <w:b/>
          <w:bCs/>
          <w:i/>
          <w:iCs/>
          <w:sz w:val="22"/>
          <w:szCs w:val="22"/>
          <w:u w:val="single"/>
          <w:lang w:val="pl-PL"/>
        </w:rPr>
        <w:t>Direction</w:t>
      </w:r>
      <w:proofErr w:type="spellEnd"/>
      <w:r w:rsidRPr="002E6CBC">
        <w:rPr>
          <w:rFonts w:ascii="Garamond" w:hAnsi="Garamond"/>
          <w:b/>
          <w:bCs/>
          <w:i/>
          <w:iCs/>
          <w:sz w:val="22"/>
          <w:szCs w:val="22"/>
          <w:u w:val="single"/>
          <w:lang w:val="pl-PL"/>
        </w:rPr>
        <w:t>:</w:t>
      </w:r>
    </w:p>
    <w:p w14:paraId="56DD8E4D" w14:textId="186B3423" w:rsidR="00BB2804" w:rsidRDefault="00BB2804" w:rsidP="00BB2804">
      <w:pPr>
        <w:pStyle w:val="Akapitzlist"/>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F766D8">
        <w:rPr>
          <w:rFonts w:ascii="Garamond" w:hAnsi="Garamond"/>
          <w:sz w:val="22"/>
          <w:szCs w:val="22"/>
          <w:lang w:val="en-US"/>
        </w:rPr>
        <w:t>Expands Expression</w:t>
      </w:r>
    </w:p>
    <w:p w14:paraId="0CA9085A" w14:textId="77777777" w:rsidR="00BB2804" w:rsidRDefault="00BB2804" w:rsidP="00BB2804">
      <w:pPr>
        <w:spacing w:line="276" w:lineRule="auto"/>
        <w:jc w:val="both"/>
        <w:rPr>
          <w:rFonts w:ascii="Garamond" w:hAnsi="Garamond"/>
          <w:sz w:val="22"/>
          <w:szCs w:val="22"/>
          <w:lang w:val="en-US"/>
        </w:rPr>
      </w:pPr>
    </w:p>
    <w:p w14:paraId="08FBFC6F" w14:textId="1A67B54D" w:rsidR="0042126D" w:rsidRPr="00470C70" w:rsidRDefault="003E37DB" w:rsidP="0042126D">
      <w:pPr>
        <w:pStyle w:val="Akapitzlist"/>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p>
    <w:p w14:paraId="22C002D9" w14:textId="77777777" w:rsidR="0042126D" w:rsidRDefault="0042126D" w:rsidP="0042126D">
      <w:pPr>
        <w:spacing w:line="276" w:lineRule="auto"/>
        <w:jc w:val="both"/>
        <w:rPr>
          <w:rFonts w:ascii="Garamond" w:hAnsi="Garamond"/>
          <w:sz w:val="22"/>
          <w:szCs w:val="22"/>
          <w:lang w:val="en-US"/>
        </w:rPr>
      </w:pPr>
    </w:p>
    <w:p w14:paraId="5ADA3198" w14:textId="18E3A775" w:rsidR="0042126D" w:rsidRPr="006B4EB4" w:rsidRDefault="006B4EB4" w:rsidP="0042126D">
      <w:pPr>
        <w:spacing w:line="276" w:lineRule="auto"/>
        <w:jc w:val="both"/>
        <w:rPr>
          <w:rFonts w:ascii="Garamond" w:hAnsi="Garamond"/>
          <w:sz w:val="22"/>
          <w:szCs w:val="22"/>
          <w:lang w:val="en-US"/>
        </w:rPr>
      </w:pPr>
      <w:r w:rsidRPr="006B4EB4">
        <w:rPr>
          <w:rFonts w:ascii="Garamond" w:hAnsi="Garamond"/>
          <w:sz w:val="22"/>
          <w:szCs w:val="22"/>
          <w:lang w:val="en-US"/>
        </w:rPr>
        <w:t xml:space="preserve">The case concerned balancing the applicant’s freedom </w:t>
      </w:r>
      <w:r>
        <w:rPr>
          <w:rFonts w:ascii="Garamond" w:hAnsi="Garamond"/>
          <w:sz w:val="22"/>
          <w:szCs w:val="22"/>
          <w:lang w:val="en-US"/>
        </w:rPr>
        <w:t>of expression</w:t>
      </w:r>
      <w:r w:rsidRPr="006B4EB4">
        <w:rPr>
          <w:rFonts w:ascii="Garamond" w:hAnsi="Garamond"/>
          <w:sz w:val="22"/>
          <w:szCs w:val="22"/>
          <w:lang w:val="en-US"/>
        </w:rPr>
        <w:t xml:space="preserve"> about irregularities </w:t>
      </w:r>
      <w:r w:rsidRPr="006B4EB4">
        <w:rPr>
          <w:rFonts w:ascii="Garamond" w:hAnsi="Garamond"/>
          <w:sz w:val="22"/>
          <w:szCs w:val="22"/>
        </w:rPr>
        <w:t xml:space="preserve">in the functioning of an academic institution </w:t>
      </w:r>
      <w:r w:rsidRPr="006B4EB4">
        <w:rPr>
          <w:rFonts w:ascii="Garamond" w:hAnsi="Garamond"/>
          <w:sz w:val="22"/>
          <w:szCs w:val="22"/>
          <w:lang w:val="en-US"/>
        </w:rPr>
        <w:t>against the need to protect the reputation of the individual concerned. The Court found the</w:t>
      </w:r>
      <w:r>
        <w:rPr>
          <w:rFonts w:ascii="Garamond" w:hAnsi="Garamond"/>
          <w:sz w:val="22"/>
          <w:szCs w:val="22"/>
          <w:lang w:val="en-US"/>
        </w:rPr>
        <w:t xml:space="preserve"> applicant’s</w:t>
      </w:r>
      <w:r w:rsidRPr="006B4EB4">
        <w:rPr>
          <w:rFonts w:ascii="Garamond" w:hAnsi="Garamond"/>
          <w:sz w:val="22"/>
          <w:szCs w:val="22"/>
          <w:lang w:val="en-US"/>
        </w:rPr>
        <w:t xml:space="preserve"> statements to be value judgments on a matter of public interest and deserving of protection.</w:t>
      </w:r>
    </w:p>
    <w:p w14:paraId="4BB21925" w14:textId="17A2FF6D" w:rsidR="00BB2804" w:rsidRPr="00470C70" w:rsidRDefault="00BB2804" w:rsidP="00470C70">
      <w:pPr>
        <w:spacing w:line="276" w:lineRule="auto"/>
        <w:jc w:val="both"/>
        <w:rPr>
          <w:rFonts w:ascii="Garamond" w:hAnsi="Garamond"/>
          <w:sz w:val="22"/>
          <w:szCs w:val="22"/>
          <w:lang w:val="en-US"/>
        </w:rPr>
      </w:pPr>
    </w:p>
    <w:p w14:paraId="261EAE6B" w14:textId="7FFE370D" w:rsidR="00BB2804" w:rsidRPr="006B4EB4" w:rsidRDefault="00BB2804" w:rsidP="008D2D3A">
      <w:pPr>
        <w:spacing w:line="276" w:lineRule="auto"/>
        <w:jc w:val="both"/>
        <w:rPr>
          <w:rFonts w:ascii="Garamond" w:hAnsi="Garamond"/>
          <w:sz w:val="22"/>
          <w:szCs w:val="22"/>
          <w:lang w:val="pl-PL"/>
        </w:rPr>
      </w:pPr>
      <w:proofErr w:type="spellStart"/>
      <w:r w:rsidRPr="006B4EB4">
        <w:rPr>
          <w:rFonts w:ascii="Garamond" w:hAnsi="Garamond"/>
          <w:b/>
          <w:bCs/>
          <w:i/>
          <w:iCs/>
          <w:sz w:val="22"/>
          <w:szCs w:val="22"/>
          <w:u w:val="single"/>
          <w:lang w:val="pl-PL"/>
        </w:rPr>
        <w:t>Perspective</w:t>
      </w:r>
      <w:proofErr w:type="spellEnd"/>
      <w:r w:rsidRPr="006B4EB4">
        <w:rPr>
          <w:rFonts w:ascii="Garamond" w:hAnsi="Garamond"/>
          <w:sz w:val="22"/>
          <w:szCs w:val="22"/>
          <w:lang w:val="pl-PL"/>
        </w:rPr>
        <w:t xml:space="preserve">: </w:t>
      </w:r>
    </w:p>
    <w:p w14:paraId="02160B87" w14:textId="77777777" w:rsidR="00BB2804" w:rsidRPr="006B4EB4" w:rsidRDefault="00BB2804" w:rsidP="00BB2804">
      <w:pPr>
        <w:spacing w:line="276" w:lineRule="auto"/>
        <w:jc w:val="both"/>
        <w:rPr>
          <w:rFonts w:ascii="Garamond" w:hAnsi="Garamond"/>
          <w:sz w:val="22"/>
          <w:szCs w:val="22"/>
          <w:lang w:val="pl-PL"/>
        </w:rPr>
      </w:pPr>
    </w:p>
    <w:p w14:paraId="4574DA79" w14:textId="01A8D1FC" w:rsidR="00BB2804" w:rsidRPr="00634BC1" w:rsidRDefault="00BB2804" w:rsidP="00BD7FAA">
      <w:pPr>
        <w:pStyle w:val="Akapitzlist"/>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3BC8EB05" w14:textId="77777777" w:rsidR="003D040E" w:rsidRDefault="003D040E" w:rsidP="00EC1B6E">
      <w:pPr>
        <w:spacing w:line="276" w:lineRule="auto"/>
        <w:jc w:val="both"/>
        <w:rPr>
          <w:rFonts w:ascii="Garamond" w:hAnsi="Garamond"/>
          <w:sz w:val="22"/>
          <w:szCs w:val="22"/>
        </w:rPr>
      </w:pPr>
    </w:p>
    <w:p w14:paraId="08683916" w14:textId="412F198A" w:rsidR="00470C70" w:rsidRDefault="00470C70" w:rsidP="00EC1B6E">
      <w:pPr>
        <w:spacing w:line="276" w:lineRule="auto"/>
        <w:jc w:val="both"/>
        <w:rPr>
          <w:rFonts w:ascii="Garamond" w:hAnsi="Garamond"/>
          <w:sz w:val="22"/>
          <w:szCs w:val="22"/>
        </w:rPr>
      </w:pPr>
      <w:r>
        <w:rPr>
          <w:rFonts w:ascii="Garamond" w:hAnsi="Garamond"/>
          <w:sz w:val="22"/>
          <w:szCs w:val="22"/>
        </w:rPr>
        <w:t>ECHR, Article 10</w:t>
      </w:r>
    </w:p>
    <w:p w14:paraId="1B199B99" w14:textId="2E2CB62A" w:rsidR="00A32DAE" w:rsidRDefault="00A32DAE" w:rsidP="00EC1B6E">
      <w:pPr>
        <w:spacing w:line="276" w:lineRule="auto"/>
        <w:jc w:val="both"/>
        <w:rPr>
          <w:rFonts w:ascii="Garamond" w:hAnsi="Garamond"/>
          <w:sz w:val="22"/>
          <w:szCs w:val="22"/>
        </w:rPr>
      </w:pPr>
      <w:r w:rsidRPr="00A32DAE">
        <w:rPr>
          <w:rFonts w:ascii="Garamond" w:hAnsi="Garamond"/>
          <w:sz w:val="22"/>
          <w:szCs w:val="22"/>
        </w:rPr>
        <w:t xml:space="preserve">Parliamentary Assembly of the </w:t>
      </w:r>
      <w:proofErr w:type="spellStart"/>
      <w:r>
        <w:rPr>
          <w:rFonts w:ascii="Garamond" w:hAnsi="Garamond"/>
          <w:sz w:val="22"/>
          <w:szCs w:val="22"/>
        </w:rPr>
        <w:t>CoE</w:t>
      </w:r>
      <w:proofErr w:type="spellEnd"/>
      <w:r>
        <w:rPr>
          <w:rFonts w:ascii="Garamond" w:hAnsi="Garamond"/>
          <w:sz w:val="22"/>
          <w:szCs w:val="22"/>
        </w:rPr>
        <w:t>, R</w:t>
      </w:r>
      <w:r w:rsidRPr="00A32DAE">
        <w:rPr>
          <w:rFonts w:ascii="Garamond" w:hAnsi="Garamond"/>
          <w:sz w:val="22"/>
          <w:szCs w:val="22"/>
        </w:rPr>
        <w:t>ecommendation 1762 (2006)</w:t>
      </w:r>
    </w:p>
    <w:p w14:paraId="3E17DD8A" w14:textId="280032BE" w:rsidR="00470C70" w:rsidRDefault="00470C70" w:rsidP="00EC1B6E">
      <w:pPr>
        <w:spacing w:line="276" w:lineRule="auto"/>
        <w:jc w:val="both"/>
        <w:rPr>
          <w:rFonts w:ascii="Garamond" w:hAnsi="Garamond"/>
          <w:sz w:val="22"/>
          <w:szCs w:val="22"/>
        </w:rPr>
      </w:pPr>
      <w:r>
        <w:rPr>
          <w:rFonts w:ascii="Garamond" w:hAnsi="Garamond"/>
          <w:sz w:val="22"/>
          <w:szCs w:val="22"/>
        </w:rPr>
        <w:t>ECtHR, J</w:t>
      </w:r>
      <w:r w:rsidRPr="00470C70">
        <w:rPr>
          <w:rFonts w:ascii="Garamond" w:hAnsi="Garamond"/>
          <w:sz w:val="22"/>
          <w:szCs w:val="22"/>
        </w:rPr>
        <w:t>erusalem v. Austria, no. 26958/95</w:t>
      </w:r>
    </w:p>
    <w:p w14:paraId="7FF55B23" w14:textId="77777777" w:rsidR="00470C70" w:rsidRPr="00EC1B6E" w:rsidRDefault="00470C70" w:rsidP="00EC1B6E">
      <w:pPr>
        <w:spacing w:line="276" w:lineRule="auto"/>
        <w:jc w:val="both"/>
        <w:rPr>
          <w:rFonts w:ascii="Garamond" w:hAnsi="Garamond"/>
          <w:sz w:val="22"/>
          <w:szCs w:val="22"/>
        </w:rPr>
      </w:pPr>
    </w:p>
    <w:p w14:paraId="6672CC91" w14:textId="26BE361F" w:rsidR="00CD2DD6" w:rsidRDefault="00BB2804" w:rsidP="00CD2DD6">
      <w:pPr>
        <w:pStyle w:val="Akapitzlist"/>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6096E63A" w14:textId="77777777" w:rsidR="00EC1B6E" w:rsidRDefault="00EC1B6E" w:rsidP="00A32DAE">
      <w:pPr>
        <w:spacing w:line="276" w:lineRule="auto"/>
        <w:jc w:val="both"/>
      </w:pPr>
    </w:p>
    <w:p w14:paraId="10FF825D" w14:textId="176A0896" w:rsidR="00A32DAE" w:rsidRPr="00140D27" w:rsidRDefault="00A32DAE" w:rsidP="00140D27">
      <w:pPr>
        <w:spacing w:line="276" w:lineRule="auto"/>
        <w:jc w:val="both"/>
        <w:rPr>
          <w:rFonts w:ascii="Garamond" w:hAnsi="Garamond"/>
          <w:sz w:val="22"/>
          <w:szCs w:val="22"/>
        </w:rPr>
      </w:pPr>
      <w:r w:rsidRPr="00140D27">
        <w:rPr>
          <w:rFonts w:ascii="Garamond" w:hAnsi="Garamond"/>
          <w:sz w:val="22"/>
          <w:szCs w:val="22"/>
        </w:rPr>
        <w:t>Tr. Code of Obligations, 1926</w:t>
      </w:r>
    </w:p>
    <w:p w14:paraId="1E47D7E0" w14:textId="77777777" w:rsidR="00A32DAE" w:rsidRDefault="00A32DAE" w:rsidP="00BB2804">
      <w:pPr>
        <w:spacing w:line="276" w:lineRule="auto"/>
        <w:jc w:val="both"/>
        <w:rPr>
          <w:rFonts w:ascii="Garamond" w:hAnsi="Garamond"/>
          <w:b/>
          <w:bCs/>
          <w:i/>
          <w:iCs/>
          <w:sz w:val="22"/>
          <w:szCs w:val="22"/>
          <w:u w:val="single"/>
          <w:lang w:val="en-US"/>
        </w:rPr>
      </w:pPr>
    </w:p>
    <w:p w14:paraId="677CCE68" w14:textId="3E13F26B"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51FC3C40" w14:textId="40422DEA" w:rsidR="00A32DAE" w:rsidRDefault="002B18D7" w:rsidP="00A32DAE">
      <w:pPr>
        <w:pStyle w:val="Akapitzlist"/>
        <w:numPr>
          <w:ilvl w:val="0"/>
          <w:numId w:val="2"/>
        </w:numPr>
        <w:spacing w:line="276" w:lineRule="auto"/>
        <w:jc w:val="both"/>
        <w:rPr>
          <w:rFonts w:ascii="Garamond" w:hAnsi="Garamond"/>
          <w:b/>
          <w:bCs/>
          <w:sz w:val="22"/>
          <w:szCs w:val="22"/>
        </w:rPr>
      </w:pPr>
      <w:bookmarkStart w:id="0" w:name="_Hlk201421016"/>
      <w:r w:rsidRPr="002B18D7">
        <w:rPr>
          <w:rFonts w:ascii="Garamond" w:hAnsi="Garamond"/>
          <w:b/>
          <w:bCs/>
          <w:sz w:val="22"/>
          <w:szCs w:val="22"/>
        </w:rPr>
        <w:t>The decision establishes a binding or persuasive precedent within its jurisdiction.</w:t>
      </w:r>
    </w:p>
    <w:bookmarkEnd w:id="0"/>
    <w:p w14:paraId="1FCBD0EF" w14:textId="77777777" w:rsidR="002B18D7" w:rsidRPr="002B18D7" w:rsidRDefault="002B18D7" w:rsidP="002B18D7">
      <w:pPr>
        <w:spacing w:line="276" w:lineRule="auto"/>
        <w:jc w:val="both"/>
        <w:rPr>
          <w:rFonts w:ascii="Garamond" w:hAnsi="Garamond"/>
          <w:b/>
          <w:bCs/>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Akapitzlist"/>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577E387D" w14:textId="77777777" w:rsidR="00C35AA4" w:rsidRPr="00A32DAE" w:rsidRDefault="00C35AA4">
      <w:pPr>
        <w:rPr>
          <w:rFonts w:ascii="Garamond" w:hAnsi="Garamond"/>
          <w:sz w:val="22"/>
          <w:szCs w:val="22"/>
        </w:rPr>
      </w:pPr>
    </w:p>
    <w:p w14:paraId="6EF80090" w14:textId="501E359C" w:rsidR="00A32DAE" w:rsidRDefault="00A32DAE">
      <w:pPr>
        <w:rPr>
          <w:rFonts w:ascii="Garamond" w:hAnsi="Garamond"/>
          <w:sz w:val="22"/>
          <w:szCs w:val="22"/>
        </w:rPr>
      </w:pPr>
      <w:hyperlink r:id="rId5" w:anchor="{%22itemid%22:[%22001-93161%22]}" w:history="1">
        <w:r w:rsidRPr="00A32DAE">
          <w:rPr>
            <w:rStyle w:val="Hipercze"/>
            <w:rFonts w:ascii="Garamond" w:hAnsi="Garamond"/>
            <w:sz w:val="22"/>
            <w:szCs w:val="22"/>
          </w:rPr>
          <w:t>Judgment</w:t>
        </w:r>
      </w:hyperlink>
    </w:p>
    <w:p w14:paraId="3250C628" w14:textId="77777777" w:rsidR="00A32DAE" w:rsidRPr="00A32DAE" w:rsidRDefault="00A32DAE" w:rsidP="00A32DAE">
      <w:pPr>
        <w:rPr>
          <w:rFonts w:ascii="Garamond" w:hAnsi="Garamond"/>
          <w:sz w:val="22"/>
          <w:szCs w:val="22"/>
        </w:rPr>
      </w:pPr>
    </w:p>
    <w:sectPr w:rsidR="00A32DAE" w:rsidRPr="00A32DAE" w:rsidSect="00936D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2734607">
    <w:abstractNumId w:val="0"/>
  </w:num>
  <w:num w:numId="2" w16cid:durableId="1192646268">
    <w:abstractNumId w:val="6"/>
  </w:num>
  <w:num w:numId="3" w16cid:durableId="258031056">
    <w:abstractNumId w:val="4"/>
  </w:num>
  <w:num w:numId="4" w16cid:durableId="412241374">
    <w:abstractNumId w:val="2"/>
  </w:num>
  <w:num w:numId="5" w16cid:durableId="1193229322">
    <w:abstractNumId w:val="5"/>
  </w:num>
  <w:num w:numId="6" w16cid:durableId="977757330">
    <w:abstractNumId w:val="8"/>
  </w:num>
  <w:num w:numId="7" w16cid:durableId="92824645">
    <w:abstractNumId w:val="3"/>
  </w:num>
  <w:num w:numId="8" w16cid:durableId="1365791356">
    <w:abstractNumId w:val="1"/>
  </w:num>
  <w:num w:numId="9" w16cid:durableId="46102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61C55"/>
    <w:rsid w:val="00065F2C"/>
    <w:rsid w:val="00071036"/>
    <w:rsid w:val="00074D3D"/>
    <w:rsid w:val="00080D1E"/>
    <w:rsid w:val="000964E6"/>
    <w:rsid w:val="000A0596"/>
    <w:rsid w:val="000A50A1"/>
    <w:rsid w:val="000C1EDA"/>
    <w:rsid w:val="000C3530"/>
    <w:rsid w:val="000D31D2"/>
    <w:rsid w:val="000E729A"/>
    <w:rsid w:val="0011450B"/>
    <w:rsid w:val="00140D27"/>
    <w:rsid w:val="00144E0C"/>
    <w:rsid w:val="00153CD8"/>
    <w:rsid w:val="00154C52"/>
    <w:rsid w:val="00156AEC"/>
    <w:rsid w:val="001650DC"/>
    <w:rsid w:val="00176CCA"/>
    <w:rsid w:val="00181333"/>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38F7"/>
    <w:rsid w:val="0027612A"/>
    <w:rsid w:val="00276D37"/>
    <w:rsid w:val="00281F90"/>
    <w:rsid w:val="00284E3E"/>
    <w:rsid w:val="0029093B"/>
    <w:rsid w:val="00293AC4"/>
    <w:rsid w:val="00293B37"/>
    <w:rsid w:val="0029421B"/>
    <w:rsid w:val="0029491E"/>
    <w:rsid w:val="002B07E6"/>
    <w:rsid w:val="002B18D7"/>
    <w:rsid w:val="002E1E37"/>
    <w:rsid w:val="002E6CBC"/>
    <w:rsid w:val="002F4414"/>
    <w:rsid w:val="00303E85"/>
    <w:rsid w:val="003131E0"/>
    <w:rsid w:val="00316D50"/>
    <w:rsid w:val="00330BF5"/>
    <w:rsid w:val="003357F3"/>
    <w:rsid w:val="00337DE0"/>
    <w:rsid w:val="00347B3D"/>
    <w:rsid w:val="0035234D"/>
    <w:rsid w:val="003548C7"/>
    <w:rsid w:val="003623ED"/>
    <w:rsid w:val="003637D3"/>
    <w:rsid w:val="003645D2"/>
    <w:rsid w:val="003668DD"/>
    <w:rsid w:val="0038402A"/>
    <w:rsid w:val="003A3DFD"/>
    <w:rsid w:val="003D040E"/>
    <w:rsid w:val="003D4308"/>
    <w:rsid w:val="003E07B1"/>
    <w:rsid w:val="003E37DB"/>
    <w:rsid w:val="003F53A4"/>
    <w:rsid w:val="0040049B"/>
    <w:rsid w:val="00420273"/>
    <w:rsid w:val="0042126D"/>
    <w:rsid w:val="00433734"/>
    <w:rsid w:val="0043475D"/>
    <w:rsid w:val="0045189F"/>
    <w:rsid w:val="00456B21"/>
    <w:rsid w:val="00457776"/>
    <w:rsid w:val="00463D53"/>
    <w:rsid w:val="004664B5"/>
    <w:rsid w:val="00466503"/>
    <w:rsid w:val="00466F1E"/>
    <w:rsid w:val="00470C70"/>
    <w:rsid w:val="004A1BDF"/>
    <w:rsid w:val="004A7672"/>
    <w:rsid w:val="004B4C61"/>
    <w:rsid w:val="004C0014"/>
    <w:rsid w:val="004F7BF2"/>
    <w:rsid w:val="00501621"/>
    <w:rsid w:val="0050392C"/>
    <w:rsid w:val="005115F0"/>
    <w:rsid w:val="00512C2E"/>
    <w:rsid w:val="00523438"/>
    <w:rsid w:val="005247F0"/>
    <w:rsid w:val="00527B86"/>
    <w:rsid w:val="0055359D"/>
    <w:rsid w:val="00557BD4"/>
    <w:rsid w:val="00566306"/>
    <w:rsid w:val="00577A00"/>
    <w:rsid w:val="005812CC"/>
    <w:rsid w:val="00590F4B"/>
    <w:rsid w:val="00592B60"/>
    <w:rsid w:val="005A35E0"/>
    <w:rsid w:val="005A5A4A"/>
    <w:rsid w:val="005B0D50"/>
    <w:rsid w:val="005C7A1B"/>
    <w:rsid w:val="005D40A6"/>
    <w:rsid w:val="005E02B8"/>
    <w:rsid w:val="005F1627"/>
    <w:rsid w:val="005F1A06"/>
    <w:rsid w:val="00602515"/>
    <w:rsid w:val="00633C98"/>
    <w:rsid w:val="00634034"/>
    <w:rsid w:val="00634BC1"/>
    <w:rsid w:val="006408C1"/>
    <w:rsid w:val="00657C10"/>
    <w:rsid w:val="00657F02"/>
    <w:rsid w:val="0067278E"/>
    <w:rsid w:val="006728AB"/>
    <w:rsid w:val="00677013"/>
    <w:rsid w:val="00683C70"/>
    <w:rsid w:val="00694086"/>
    <w:rsid w:val="006B0349"/>
    <w:rsid w:val="006B0A1D"/>
    <w:rsid w:val="006B338A"/>
    <w:rsid w:val="006B4EB4"/>
    <w:rsid w:val="006B5D5E"/>
    <w:rsid w:val="006B6407"/>
    <w:rsid w:val="006C6D8A"/>
    <w:rsid w:val="006C7838"/>
    <w:rsid w:val="006E24C0"/>
    <w:rsid w:val="006F332B"/>
    <w:rsid w:val="007030C7"/>
    <w:rsid w:val="00720AED"/>
    <w:rsid w:val="00752DEE"/>
    <w:rsid w:val="00764AC8"/>
    <w:rsid w:val="00764F98"/>
    <w:rsid w:val="00765864"/>
    <w:rsid w:val="0076783F"/>
    <w:rsid w:val="00773C17"/>
    <w:rsid w:val="00775F8B"/>
    <w:rsid w:val="00785CC0"/>
    <w:rsid w:val="007904D4"/>
    <w:rsid w:val="00790C32"/>
    <w:rsid w:val="007928BE"/>
    <w:rsid w:val="007A2093"/>
    <w:rsid w:val="007A4ACA"/>
    <w:rsid w:val="007A64D7"/>
    <w:rsid w:val="007A6790"/>
    <w:rsid w:val="007B2E1E"/>
    <w:rsid w:val="007B49C1"/>
    <w:rsid w:val="007D0B53"/>
    <w:rsid w:val="007E1185"/>
    <w:rsid w:val="008010EA"/>
    <w:rsid w:val="00802B46"/>
    <w:rsid w:val="00807461"/>
    <w:rsid w:val="0081345B"/>
    <w:rsid w:val="00815BEA"/>
    <w:rsid w:val="00825720"/>
    <w:rsid w:val="00835092"/>
    <w:rsid w:val="00836DCE"/>
    <w:rsid w:val="00841510"/>
    <w:rsid w:val="00856E66"/>
    <w:rsid w:val="00857D59"/>
    <w:rsid w:val="00895437"/>
    <w:rsid w:val="00896BA9"/>
    <w:rsid w:val="008B75EF"/>
    <w:rsid w:val="008D2D3A"/>
    <w:rsid w:val="008D7484"/>
    <w:rsid w:val="008E2A34"/>
    <w:rsid w:val="008E3672"/>
    <w:rsid w:val="008E72E0"/>
    <w:rsid w:val="008F12DD"/>
    <w:rsid w:val="009223B6"/>
    <w:rsid w:val="00927643"/>
    <w:rsid w:val="00931F43"/>
    <w:rsid w:val="00936DC8"/>
    <w:rsid w:val="00940621"/>
    <w:rsid w:val="009410BF"/>
    <w:rsid w:val="009417D1"/>
    <w:rsid w:val="009447D6"/>
    <w:rsid w:val="009672E6"/>
    <w:rsid w:val="00970093"/>
    <w:rsid w:val="009728E2"/>
    <w:rsid w:val="009771B5"/>
    <w:rsid w:val="00980A87"/>
    <w:rsid w:val="009812DC"/>
    <w:rsid w:val="00982334"/>
    <w:rsid w:val="00992D0C"/>
    <w:rsid w:val="0099379F"/>
    <w:rsid w:val="009C55CB"/>
    <w:rsid w:val="009D2399"/>
    <w:rsid w:val="009D2F22"/>
    <w:rsid w:val="009E0F9D"/>
    <w:rsid w:val="009F2E26"/>
    <w:rsid w:val="009F37CB"/>
    <w:rsid w:val="009F6322"/>
    <w:rsid w:val="00A028CD"/>
    <w:rsid w:val="00A035F1"/>
    <w:rsid w:val="00A0687C"/>
    <w:rsid w:val="00A12238"/>
    <w:rsid w:val="00A17622"/>
    <w:rsid w:val="00A31AF3"/>
    <w:rsid w:val="00A32DAE"/>
    <w:rsid w:val="00A676C2"/>
    <w:rsid w:val="00A71789"/>
    <w:rsid w:val="00A777D1"/>
    <w:rsid w:val="00A81B37"/>
    <w:rsid w:val="00A82EC1"/>
    <w:rsid w:val="00AA2220"/>
    <w:rsid w:val="00AA495D"/>
    <w:rsid w:val="00AA5060"/>
    <w:rsid w:val="00AB29C4"/>
    <w:rsid w:val="00AE3130"/>
    <w:rsid w:val="00AE4079"/>
    <w:rsid w:val="00AF61DD"/>
    <w:rsid w:val="00AF6D94"/>
    <w:rsid w:val="00B078E9"/>
    <w:rsid w:val="00B11702"/>
    <w:rsid w:val="00B136F6"/>
    <w:rsid w:val="00B177B5"/>
    <w:rsid w:val="00B621FF"/>
    <w:rsid w:val="00B82CB8"/>
    <w:rsid w:val="00B94368"/>
    <w:rsid w:val="00BA1F3D"/>
    <w:rsid w:val="00BA4C8A"/>
    <w:rsid w:val="00BB2804"/>
    <w:rsid w:val="00BC1EFF"/>
    <w:rsid w:val="00BD6835"/>
    <w:rsid w:val="00BD7FAA"/>
    <w:rsid w:val="00BE7BB1"/>
    <w:rsid w:val="00BE7BD9"/>
    <w:rsid w:val="00BF243D"/>
    <w:rsid w:val="00C00B36"/>
    <w:rsid w:val="00C06FBA"/>
    <w:rsid w:val="00C21E7B"/>
    <w:rsid w:val="00C32C62"/>
    <w:rsid w:val="00C35AA4"/>
    <w:rsid w:val="00C42519"/>
    <w:rsid w:val="00C50B66"/>
    <w:rsid w:val="00C711C1"/>
    <w:rsid w:val="00C7447C"/>
    <w:rsid w:val="00C8712D"/>
    <w:rsid w:val="00CA06DB"/>
    <w:rsid w:val="00CA459A"/>
    <w:rsid w:val="00CB6394"/>
    <w:rsid w:val="00CC1FA9"/>
    <w:rsid w:val="00CD2DD6"/>
    <w:rsid w:val="00CF6D58"/>
    <w:rsid w:val="00D00061"/>
    <w:rsid w:val="00D04D48"/>
    <w:rsid w:val="00D13FDB"/>
    <w:rsid w:val="00D167C8"/>
    <w:rsid w:val="00D46357"/>
    <w:rsid w:val="00D678DA"/>
    <w:rsid w:val="00D82DB0"/>
    <w:rsid w:val="00D86804"/>
    <w:rsid w:val="00DA459F"/>
    <w:rsid w:val="00DC1A95"/>
    <w:rsid w:val="00DC6899"/>
    <w:rsid w:val="00DD38F7"/>
    <w:rsid w:val="00DE183B"/>
    <w:rsid w:val="00E03B60"/>
    <w:rsid w:val="00E20E11"/>
    <w:rsid w:val="00E246E8"/>
    <w:rsid w:val="00E24E8D"/>
    <w:rsid w:val="00E34B5B"/>
    <w:rsid w:val="00E34C99"/>
    <w:rsid w:val="00E37BBC"/>
    <w:rsid w:val="00E37F9A"/>
    <w:rsid w:val="00E41D52"/>
    <w:rsid w:val="00E45C18"/>
    <w:rsid w:val="00E63ADD"/>
    <w:rsid w:val="00E731F9"/>
    <w:rsid w:val="00E777DA"/>
    <w:rsid w:val="00E85E1B"/>
    <w:rsid w:val="00E94A71"/>
    <w:rsid w:val="00E960ED"/>
    <w:rsid w:val="00EA1AEB"/>
    <w:rsid w:val="00EB046F"/>
    <w:rsid w:val="00EC0C29"/>
    <w:rsid w:val="00EC1B6E"/>
    <w:rsid w:val="00EC3F14"/>
    <w:rsid w:val="00ED43D7"/>
    <w:rsid w:val="00EE2C33"/>
    <w:rsid w:val="00EE3129"/>
    <w:rsid w:val="00EE4216"/>
    <w:rsid w:val="00EE7D66"/>
    <w:rsid w:val="00EF49FE"/>
    <w:rsid w:val="00F023E9"/>
    <w:rsid w:val="00F02DB7"/>
    <w:rsid w:val="00F0462C"/>
    <w:rsid w:val="00F1049B"/>
    <w:rsid w:val="00F124AE"/>
    <w:rsid w:val="00F13F07"/>
    <w:rsid w:val="00F24C22"/>
    <w:rsid w:val="00F24FD4"/>
    <w:rsid w:val="00F257CA"/>
    <w:rsid w:val="00F304E9"/>
    <w:rsid w:val="00F54349"/>
    <w:rsid w:val="00F67803"/>
    <w:rsid w:val="00F766D8"/>
    <w:rsid w:val="00FA42AF"/>
    <w:rsid w:val="00FA76BC"/>
    <w:rsid w:val="00FB4775"/>
    <w:rsid w:val="00FB7E0F"/>
    <w:rsid w:val="00FD0540"/>
    <w:rsid w:val="00FD1C8E"/>
    <w:rsid w:val="00FD3F26"/>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6FB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2804"/>
    <w:pPr>
      <w:ind w:left="720"/>
      <w:contextualSpacing/>
    </w:pPr>
  </w:style>
  <w:style w:type="character" w:styleId="Hipercze">
    <w:name w:val="Hyperlink"/>
    <w:basedOn w:val="Domylnaczcionkaakapitu"/>
    <w:uiPriority w:val="99"/>
    <w:unhideWhenUsed/>
    <w:rsid w:val="00BB2804"/>
    <w:rPr>
      <w:color w:val="0563C1" w:themeColor="hyperlink"/>
      <w:u w:val="single"/>
    </w:rPr>
  </w:style>
  <w:style w:type="character" w:styleId="Nierozpoznanawzmianka">
    <w:name w:val="Unresolved Mention"/>
    <w:basedOn w:val="Domylnaczcionkaakapitu"/>
    <w:uiPriority w:val="99"/>
    <w:semiHidden/>
    <w:unhideWhenUsed/>
    <w:rsid w:val="009223B6"/>
    <w:rPr>
      <w:color w:val="605E5C"/>
      <w:shd w:val="clear" w:color="auto" w:fill="E1DFDD"/>
    </w:rPr>
  </w:style>
  <w:style w:type="paragraph" w:styleId="NormalnyWeb">
    <w:name w:val="Normal (Web)"/>
    <w:basedOn w:val="Normalny"/>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UyteHipercze">
    <w:name w:val="FollowedHyperlink"/>
    <w:basedOn w:val="Domylnaczcionkaakapitu"/>
    <w:uiPriority w:val="99"/>
    <w:semiHidden/>
    <w:unhideWhenUsed/>
    <w:rsid w:val="00BD7FAA"/>
    <w:rPr>
      <w:color w:val="954F72" w:themeColor="followedHyperlink"/>
      <w:u w:val="single"/>
    </w:rPr>
  </w:style>
  <w:style w:type="character" w:styleId="Uwydatnienie">
    <w:name w:val="Emphasis"/>
    <w:basedOn w:val="Domylnaczcionkaakapitu"/>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udoc.echr.coe.int/e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3</Pages>
  <Words>1358</Words>
  <Characters>8152</Characters>
  <Application>Microsoft Office Word</Application>
  <DocSecurity>0</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Mateusz Wojtanowski</cp:lastModifiedBy>
  <cp:revision>37</cp:revision>
  <cp:lastPrinted>2025-06-21T13:41:00Z</cp:lastPrinted>
  <dcterms:created xsi:type="dcterms:W3CDTF">2021-11-05T17:01:00Z</dcterms:created>
  <dcterms:modified xsi:type="dcterms:W3CDTF">2025-06-21T15:59:00Z</dcterms:modified>
</cp:coreProperties>
</file>