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E653" w14:textId="77777777" w:rsidR="00F37220" w:rsidRPr="001B3C1E" w:rsidRDefault="00F37220" w:rsidP="002A124D">
      <w:pPr>
        <w:jc w:val="center"/>
        <w:rPr>
          <w:rFonts w:asciiTheme="minorBidi" w:hAnsiTheme="minorBidi" w:cstheme="minorBidi"/>
          <w:bCs/>
          <w:iCs/>
        </w:rPr>
      </w:pPr>
    </w:p>
    <w:p w14:paraId="00000005" w14:textId="54C96BC8" w:rsidR="00CA6AD1" w:rsidRPr="001B3C1E" w:rsidRDefault="001A3B20" w:rsidP="002A124D">
      <w:pPr>
        <w:jc w:val="center"/>
        <w:rPr>
          <w:rFonts w:asciiTheme="minorBidi" w:hAnsiTheme="minorBidi" w:cstheme="minorBidi"/>
          <w:bCs/>
          <w:iCs/>
          <w:sz w:val="24"/>
          <w:szCs w:val="24"/>
        </w:rPr>
      </w:pPr>
      <w:proofErr w:type="spellStart"/>
      <w:r w:rsidRPr="001A3B20">
        <w:rPr>
          <w:rFonts w:asciiTheme="minorBidi" w:hAnsiTheme="minorBidi" w:cstheme="minorBidi"/>
          <w:bCs/>
          <w:iCs/>
          <w:sz w:val="24"/>
          <w:szCs w:val="24"/>
        </w:rPr>
        <w:t>Widakuswara</w:t>
      </w:r>
      <w:proofErr w:type="spellEnd"/>
      <w:r>
        <w:rPr>
          <w:rFonts w:asciiTheme="minorBidi" w:hAnsiTheme="minorBidi" w:cstheme="minorBidi"/>
          <w:bCs/>
          <w:iCs/>
          <w:sz w:val="24"/>
          <w:szCs w:val="24"/>
        </w:rPr>
        <w:t xml:space="preserve"> v. Lake</w:t>
      </w:r>
    </w:p>
    <w:p w14:paraId="2ABA3EA7" w14:textId="6DB7FBFF" w:rsidR="00406AD4" w:rsidRPr="001B3C1E" w:rsidRDefault="00F37220" w:rsidP="002A124D">
      <w:pPr>
        <w:jc w:val="center"/>
        <w:rPr>
          <w:rFonts w:asciiTheme="minorBidi" w:hAnsiTheme="minorBidi" w:cstheme="minorBidi"/>
          <w:bCs/>
          <w:iCs/>
          <w:sz w:val="24"/>
          <w:szCs w:val="24"/>
        </w:rPr>
      </w:pPr>
      <w:r w:rsidRPr="001B3C1E">
        <w:rPr>
          <w:rFonts w:asciiTheme="minorBidi" w:hAnsiTheme="minorBidi" w:cstheme="minorBidi"/>
          <w:bCs/>
          <w:iCs/>
          <w:sz w:val="24"/>
          <w:szCs w:val="24"/>
        </w:rPr>
        <w:t xml:space="preserve">District of </w:t>
      </w:r>
      <w:r w:rsidR="002A124D">
        <w:rPr>
          <w:rFonts w:asciiTheme="minorBidi" w:hAnsiTheme="minorBidi" w:cstheme="minorBidi"/>
          <w:bCs/>
          <w:iCs/>
          <w:sz w:val="24"/>
          <w:szCs w:val="24"/>
        </w:rPr>
        <w:t>Columbia</w:t>
      </w:r>
      <w:r w:rsidRPr="001B3C1E">
        <w:rPr>
          <w:rFonts w:asciiTheme="minorBidi" w:hAnsiTheme="minorBidi" w:cstheme="minorBidi"/>
          <w:bCs/>
          <w:iCs/>
          <w:sz w:val="24"/>
          <w:szCs w:val="24"/>
        </w:rPr>
        <w:t xml:space="preserve"> U.S. Federal District Court</w:t>
      </w:r>
    </w:p>
    <w:p w14:paraId="29A9AFA8" w14:textId="574BB6C0" w:rsidR="00F37220" w:rsidRPr="001B3C1E" w:rsidRDefault="00F37220" w:rsidP="002A124D">
      <w:pPr>
        <w:jc w:val="center"/>
        <w:rPr>
          <w:rFonts w:asciiTheme="minorBidi" w:hAnsiTheme="minorBidi" w:cstheme="minorBidi"/>
          <w:bCs/>
          <w:iCs/>
          <w:sz w:val="24"/>
          <w:szCs w:val="24"/>
        </w:rPr>
      </w:pPr>
      <w:r w:rsidRPr="001B3C1E">
        <w:rPr>
          <w:rFonts w:asciiTheme="minorBidi" w:hAnsiTheme="minorBidi" w:cstheme="minorBidi"/>
          <w:bCs/>
          <w:iCs/>
          <w:sz w:val="24"/>
          <w:szCs w:val="24"/>
        </w:rPr>
        <w:t xml:space="preserve">Memorandum Order of </w:t>
      </w:r>
      <w:r w:rsidR="000C448C" w:rsidRPr="001B3C1E">
        <w:rPr>
          <w:rFonts w:asciiTheme="minorBidi" w:hAnsiTheme="minorBidi" w:cstheme="minorBidi"/>
          <w:bCs/>
          <w:iCs/>
          <w:sz w:val="24"/>
          <w:szCs w:val="24"/>
        </w:rPr>
        <w:t>2</w:t>
      </w:r>
      <w:r w:rsidR="001A3B20">
        <w:rPr>
          <w:rFonts w:asciiTheme="minorBidi" w:hAnsiTheme="minorBidi" w:cstheme="minorBidi"/>
          <w:bCs/>
          <w:iCs/>
          <w:sz w:val="24"/>
          <w:szCs w:val="24"/>
        </w:rPr>
        <w:t>2</w:t>
      </w:r>
      <w:r w:rsidRPr="001B3C1E">
        <w:rPr>
          <w:rFonts w:asciiTheme="minorBidi" w:hAnsiTheme="minorBidi" w:cstheme="minorBidi"/>
          <w:bCs/>
          <w:iCs/>
          <w:sz w:val="24"/>
          <w:szCs w:val="24"/>
        </w:rPr>
        <w:t xml:space="preserve"> </w:t>
      </w:r>
      <w:r w:rsidR="001A3B20">
        <w:rPr>
          <w:rFonts w:asciiTheme="minorBidi" w:hAnsiTheme="minorBidi" w:cstheme="minorBidi"/>
          <w:bCs/>
          <w:iCs/>
          <w:sz w:val="24"/>
          <w:szCs w:val="24"/>
        </w:rPr>
        <w:t>A</w:t>
      </w:r>
      <w:r w:rsidR="002A124D">
        <w:rPr>
          <w:rFonts w:asciiTheme="minorBidi" w:hAnsiTheme="minorBidi" w:cstheme="minorBidi"/>
          <w:bCs/>
          <w:iCs/>
          <w:sz w:val="24"/>
          <w:szCs w:val="24"/>
        </w:rPr>
        <w:t xml:space="preserve">pr </w:t>
      </w:r>
      <w:r w:rsidRPr="001B3C1E">
        <w:rPr>
          <w:rFonts w:asciiTheme="minorBidi" w:hAnsiTheme="minorBidi" w:cstheme="minorBidi"/>
          <w:bCs/>
          <w:iCs/>
          <w:sz w:val="24"/>
          <w:szCs w:val="24"/>
        </w:rPr>
        <w:t>2025</w:t>
      </w:r>
    </w:p>
    <w:p w14:paraId="644604DB" w14:textId="77777777" w:rsidR="00406AD4" w:rsidRPr="001B3C1E" w:rsidRDefault="00406AD4" w:rsidP="00A3742D">
      <w:pPr>
        <w:jc w:val="both"/>
        <w:rPr>
          <w:rFonts w:asciiTheme="minorBidi" w:hAnsiTheme="minorBidi" w:cstheme="minorBidi"/>
          <w:b/>
          <w:iCs/>
        </w:rPr>
      </w:pPr>
    </w:p>
    <w:p w14:paraId="6A9E8798" w14:textId="77777777" w:rsidR="00697CAB" w:rsidRPr="001B3C1E" w:rsidRDefault="00697CAB" w:rsidP="00A3742D">
      <w:pPr>
        <w:pStyle w:val="Heading1"/>
        <w:jc w:val="both"/>
        <w:rPr>
          <w:rFonts w:asciiTheme="minorBidi" w:hAnsiTheme="minorBidi" w:cstheme="minorBidi"/>
          <w:sz w:val="22"/>
          <w:szCs w:val="22"/>
        </w:rPr>
      </w:pPr>
      <w:bookmarkStart w:id="0" w:name="_qq7nvtrsg9k2" w:colFirst="0" w:colLast="0"/>
      <w:bookmarkEnd w:id="0"/>
    </w:p>
    <w:p w14:paraId="00000006" w14:textId="04667B8D" w:rsidR="00CA6AD1" w:rsidRPr="001B3C1E" w:rsidRDefault="00000000" w:rsidP="00A3742D">
      <w:pPr>
        <w:pStyle w:val="Heading1"/>
        <w:jc w:val="both"/>
        <w:rPr>
          <w:rFonts w:asciiTheme="minorBidi" w:hAnsiTheme="minorBidi" w:cstheme="minorBidi"/>
          <w:sz w:val="22"/>
          <w:szCs w:val="22"/>
        </w:rPr>
      </w:pPr>
      <w:r w:rsidRPr="001B3C1E">
        <w:rPr>
          <w:rFonts w:asciiTheme="minorBidi" w:hAnsiTheme="minorBidi" w:cstheme="minorBidi"/>
          <w:sz w:val="22"/>
          <w:szCs w:val="22"/>
        </w:rPr>
        <w:t>Case Summary and Outcome</w:t>
      </w:r>
    </w:p>
    <w:p w14:paraId="00000007" w14:textId="77777777" w:rsidR="00CA6AD1" w:rsidRPr="001B3C1E" w:rsidRDefault="00CA6AD1" w:rsidP="00A3742D">
      <w:pPr>
        <w:jc w:val="both"/>
        <w:rPr>
          <w:rFonts w:asciiTheme="minorBidi" w:hAnsiTheme="minorBidi" w:cstheme="minorBidi"/>
        </w:rPr>
      </w:pPr>
    </w:p>
    <w:p w14:paraId="3BA0019F" w14:textId="06578166" w:rsidR="008A2F79" w:rsidRDefault="00684507" w:rsidP="00A3742D">
      <w:pPr>
        <w:jc w:val="both"/>
        <w:rPr>
          <w:rFonts w:asciiTheme="minorBidi" w:eastAsia="Times New Roman" w:hAnsiTheme="minorBidi" w:cstheme="minorBidi"/>
          <w:lang w:val="en-US"/>
        </w:rPr>
      </w:pPr>
      <w:r w:rsidRPr="00684507">
        <w:rPr>
          <w:rFonts w:asciiTheme="minorBidi" w:eastAsia="Times New Roman" w:hAnsiTheme="minorBidi" w:cstheme="minorBidi"/>
          <w:lang w:val="en-US"/>
        </w:rPr>
        <w:t xml:space="preserve">The United States District Court for the District of Columbia granted in part a preliminary injunction, holding that executive actions dismantling an independent federal media entity likely violated statutory and constitutional constraints. The suit, brought by employees, contractors, unions, and NGOs, challenged mass terminations, defunding of affiliates, and suppression of programming allegedly undertaken pursuant to an executive order. The Court found a substantial likelihood that the actions were arbitrary and capricious under the Administrative Procedure Act, unlawfully withheld </w:t>
      </w:r>
      <w:proofErr w:type="gramStart"/>
      <w:r w:rsidRPr="00684507">
        <w:rPr>
          <w:rFonts w:asciiTheme="minorBidi" w:eastAsia="Times New Roman" w:hAnsiTheme="minorBidi" w:cstheme="minorBidi"/>
          <w:lang w:val="en-US"/>
        </w:rPr>
        <w:t>appropriated</w:t>
      </w:r>
      <w:proofErr w:type="gramEnd"/>
      <w:r w:rsidRPr="00684507">
        <w:rPr>
          <w:rFonts w:asciiTheme="minorBidi" w:eastAsia="Times New Roman" w:hAnsiTheme="minorBidi" w:cstheme="minorBidi"/>
          <w:lang w:val="en-US"/>
        </w:rPr>
        <w:t xml:space="preserve"> funds, contravened statutory mandates protecting independent broadcasting, and infringed constitutional provisions requiring faithful execution of the law and respecting Congress’s control over appropriations. Finding irreparable harm to the agency’s operations, personnel, and international broadcasting mission, and determining that the public interest favored lawful agency conduct, the Court ordered restoration of staff, funding, and programming while denying relief as to certain entities pending further proceedings.</w:t>
      </w:r>
    </w:p>
    <w:p w14:paraId="7844C84E" w14:textId="77777777" w:rsidR="00684507" w:rsidRPr="001B3C1E" w:rsidRDefault="00684507" w:rsidP="00A3742D">
      <w:pPr>
        <w:jc w:val="both"/>
        <w:rPr>
          <w:rFonts w:asciiTheme="minorBidi" w:hAnsiTheme="minorBidi" w:cstheme="minorBidi"/>
          <w:b/>
          <w:lang w:val="en-US"/>
        </w:rPr>
      </w:pPr>
    </w:p>
    <w:p w14:paraId="77486640" w14:textId="59C13904" w:rsidR="00C15D45" w:rsidRPr="001B3C1E" w:rsidRDefault="00000000" w:rsidP="00A3742D">
      <w:pPr>
        <w:jc w:val="both"/>
        <w:rPr>
          <w:rFonts w:asciiTheme="minorBidi" w:hAnsiTheme="minorBidi" w:cstheme="minorBidi"/>
          <w:b/>
        </w:rPr>
      </w:pPr>
      <w:r w:rsidRPr="001B3C1E">
        <w:rPr>
          <w:rFonts w:asciiTheme="minorBidi" w:hAnsiTheme="minorBidi" w:cstheme="minorBidi"/>
          <w:b/>
        </w:rPr>
        <w:t>Facts</w:t>
      </w:r>
      <w:r w:rsidR="00123EF2" w:rsidRPr="001B3C1E">
        <w:rPr>
          <w:rFonts w:asciiTheme="minorBidi" w:hAnsiTheme="minorBidi" w:cstheme="minorBidi"/>
          <w:b/>
        </w:rPr>
        <w:t xml:space="preserve"> </w:t>
      </w:r>
    </w:p>
    <w:p w14:paraId="18416F9B" w14:textId="77777777" w:rsidR="00826626" w:rsidRPr="001B3C1E" w:rsidRDefault="00826626" w:rsidP="00A3742D">
      <w:pPr>
        <w:jc w:val="both"/>
        <w:rPr>
          <w:rFonts w:asciiTheme="minorBidi" w:hAnsiTheme="minorBidi" w:cstheme="minorBidi"/>
          <w:b/>
        </w:rPr>
      </w:pPr>
    </w:p>
    <w:p w14:paraId="4759B79D" w14:textId="5307F806" w:rsidR="00A3742D" w:rsidRPr="001B3C1E" w:rsidRDefault="001223AB" w:rsidP="00A3742D">
      <w:pPr>
        <w:jc w:val="both"/>
        <w:rPr>
          <w:rFonts w:asciiTheme="minorBidi" w:hAnsiTheme="minorBidi" w:cstheme="minorBidi"/>
          <w:lang w:val="en-US"/>
        </w:rPr>
      </w:pPr>
      <w:r w:rsidRPr="001B3C1E">
        <w:rPr>
          <w:rFonts w:asciiTheme="minorBidi" w:hAnsiTheme="minorBidi" w:cstheme="minorBidi"/>
          <w:lang w:val="en-US"/>
        </w:rPr>
        <w:t>The United States Agency for Global Media (USAGM) is an independent executive agency established by the United States Congress, whose mission is to “inform, engage, and connect people around the world in support of freedom and democracy</w:t>
      </w:r>
      <w:r w:rsidR="002A124D">
        <w:rPr>
          <w:rFonts w:asciiTheme="minorBidi" w:hAnsiTheme="minorBidi" w:cstheme="minorBidi"/>
          <w:lang w:val="en-US"/>
        </w:rPr>
        <w:t>.</w:t>
      </w:r>
      <w:r w:rsidRPr="001B3C1E">
        <w:rPr>
          <w:rFonts w:asciiTheme="minorBidi" w:hAnsiTheme="minorBidi" w:cstheme="minorBidi"/>
          <w:lang w:val="en-US"/>
        </w:rPr>
        <w:t>” [p. 2] USAGM exercises oversight over six federally funded broadcast networks, the largest of which is the Voice of America (VOA). The VOA Charter, codified into law in 1976, provides that VOA “will serve as a consistently reliable and authoritative source of news [that is] accurate, objective, and comprehensive” [p. 2]. In addition to VOA, USAGM has supervisory authority over the Office of Cuba Broadcasting (OCB) and four independent non-profit networks: Radio Free Europe/Radio Liberty (RFE/RL), Radio Free Asia (RFA), Middle East Broadcasting Network (MBN), and the Open Technology Fund (OTF). Collectively, these entities are mandated to promote and advance the values of free speech and press freedom in regions lacking independent media.</w:t>
      </w:r>
    </w:p>
    <w:p w14:paraId="161F2C39" w14:textId="77777777" w:rsidR="001223AB" w:rsidRPr="001B3C1E" w:rsidRDefault="001223AB" w:rsidP="00A3742D">
      <w:pPr>
        <w:jc w:val="both"/>
        <w:rPr>
          <w:rFonts w:asciiTheme="minorBidi" w:hAnsiTheme="minorBidi" w:cstheme="minorBidi"/>
          <w:lang w:val="en-US"/>
        </w:rPr>
      </w:pPr>
    </w:p>
    <w:p w14:paraId="28171336" w14:textId="0FB86543" w:rsidR="00A3742D" w:rsidRPr="001B3C1E" w:rsidRDefault="00C4563C" w:rsidP="00A3742D">
      <w:pPr>
        <w:jc w:val="both"/>
        <w:rPr>
          <w:rFonts w:asciiTheme="minorBidi" w:hAnsiTheme="minorBidi" w:cstheme="minorBidi"/>
          <w:lang w:val="en-US"/>
        </w:rPr>
      </w:pPr>
      <w:r w:rsidRPr="001B3C1E">
        <w:rPr>
          <w:rFonts w:asciiTheme="minorBidi" w:hAnsiTheme="minorBidi" w:cstheme="minorBidi"/>
          <w:lang w:val="en-US"/>
        </w:rPr>
        <w:t>All six entities receive funding from the United States government. Congress provides annual appropriations to USAGM and designates specific portions of those funds to VOA, OCB, and the remaining networks. In F</w:t>
      </w:r>
      <w:r w:rsidR="000E765D" w:rsidRPr="001B3C1E">
        <w:rPr>
          <w:rFonts w:asciiTheme="minorBidi" w:hAnsiTheme="minorBidi" w:cstheme="minorBidi"/>
          <w:lang w:val="en-US"/>
        </w:rPr>
        <w:t xml:space="preserve">iscal </w:t>
      </w:r>
      <w:r w:rsidRPr="001B3C1E">
        <w:rPr>
          <w:rFonts w:asciiTheme="minorBidi" w:hAnsiTheme="minorBidi" w:cstheme="minorBidi"/>
          <w:lang w:val="en-US"/>
        </w:rPr>
        <w:t>Y</w:t>
      </w:r>
      <w:r w:rsidR="000E765D" w:rsidRPr="001B3C1E">
        <w:rPr>
          <w:rFonts w:asciiTheme="minorBidi" w:hAnsiTheme="minorBidi" w:cstheme="minorBidi"/>
          <w:lang w:val="en-US"/>
        </w:rPr>
        <w:t>ear (FY)</w:t>
      </w:r>
      <w:r w:rsidRPr="001B3C1E">
        <w:rPr>
          <w:rFonts w:asciiTheme="minorBidi" w:hAnsiTheme="minorBidi" w:cstheme="minorBidi"/>
          <w:lang w:val="en-US"/>
        </w:rPr>
        <w:t xml:space="preserve"> 2024, USAGM was appropriated $857 million, including $260 million for VOA, $60.8 million for RFA, and $100 million for MBN. For FY 2025, Congress maintained this level of funding and the accompanying conditions through a series of continuing resolutions. The Third Continuing Resolution, enacted on March 15, 2025, extended appropriations through September 30, 2025. USAGM’s ability to “reprogram” funds is strictly limited to no more than five percent of any program’s designated allocation and may only be exercised upon providing at least fifteen days’ prior notice to the House and Senate Appropriations Committees.</w:t>
      </w:r>
    </w:p>
    <w:p w14:paraId="3D05AC96" w14:textId="77777777" w:rsidR="00C4563C" w:rsidRPr="001B3C1E" w:rsidRDefault="00C4563C" w:rsidP="00A3742D">
      <w:pPr>
        <w:jc w:val="both"/>
        <w:rPr>
          <w:rFonts w:asciiTheme="minorBidi" w:hAnsiTheme="minorBidi" w:cstheme="minorBidi"/>
          <w:lang w:val="en-US"/>
        </w:rPr>
      </w:pPr>
    </w:p>
    <w:p w14:paraId="3D62B527" w14:textId="130920E2" w:rsidR="00A3742D" w:rsidRPr="001B3C1E" w:rsidRDefault="00640366" w:rsidP="00A3742D">
      <w:pPr>
        <w:jc w:val="both"/>
        <w:rPr>
          <w:rFonts w:asciiTheme="minorBidi" w:hAnsiTheme="minorBidi" w:cstheme="minorBidi"/>
          <w:lang w:val="en-US"/>
        </w:rPr>
      </w:pPr>
      <w:r w:rsidRPr="001B3C1E">
        <w:rPr>
          <w:rFonts w:asciiTheme="minorBidi" w:hAnsiTheme="minorBidi" w:cstheme="minorBidi"/>
          <w:lang w:val="en-US"/>
        </w:rPr>
        <w:t xml:space="preserve">On March 14, 2025, President Donald Trump issued Executive Order </w:t>
      </w:r>
      <w:r w:rsidR="00CC564D" w:rsidRPr="001B3C1E">
        <w:rPr>
          <w:rFonts w:asciiTheme="minorBidi" w:hAnsiTheme="minorBidi" w:cstheme="minorBidi"/>
          <w:lang w:val="en-US"/>
        </w:rPr>
        <w:t xml:space="preserve">(EO) </w:t>
      </w:r>
      <w:r w:rsidRPr="001B3C1E">
        <w:rPr>
          <w:rFonts w:asciiTheme="minorBidi" w:hAnsiTheme="minorBidi" w:cstheme="minorBidi"/>
          <w:lang w:val="en-US"/>
        </w:rPr>
        <w:t xml:space="preserve">14238, titled “Continuing the Reduction of the Federal Bureaucracy,” </w:t>
      </w:r>
      <w:proofErr w:type="gramStart"/>
      <w:r w:rsidRPr="001B3C1E">
        <w:rPr>
          <w:rFonts w:asciiTheme="minorBidi" w:hAnsiTheme="minorBidi" w:cstheme="minorBidi"/>
          <w:lang w:val="en-US"/>
        </w:rPr>
        <w:t xml:space="preserve">directing the elimination of USAGM’s </w:t>
      </w:r>
      <w:r w:rsidRPr="001B3C1E">
        <w:rPr>
          <w:rFonts w:asciiTheme="minorBidi" w:hAnsiTheme="minorBidi" w:cstheme="minorBidi"/>
          <w:lang w:val="en-US"/>
        </w:rPr>
        <w:lastRenderedPageBreak/>
        <w:t>“non-statutory components and functions”</w:t>
      </w:r>
      <w:r w:rsidR="00C6346C" w:rsidRPr="001B3C1E">
        <w:rPr>
          <w:rFonts w:asciiTheme="minorBidi" w:hAnsiTheme="minorBidi" w:cstheme="minorBidi"/>
          <w:lang w:val="en-US"/>
        </w:rPr>
        <w:t xml:space="preserve"> [p. 5]</w:t>
      </w:r>
      <w:r w:rsidRPr="001B3C1E">
        <w:rPr>
          <w:rFonts w:asciiTheme="minorBidi" w:hAnsiTheme="minorBidi" w:cstheme="minorBidi"/>
          <w:lang w:val="en-US"/>
        </w:rPr>
        <w:t xml:space="preserve"> to the fullest extent</w:t>
      </w:r>
      <w:proofErr w:type="gramEnd"/>
      <w:r w:rsidRPr="001B3C1E">
        <w:rPr>
          <w:rFonts w:asciiTheme="minorBidi" w:hAnsiTheme="minorBidi" w:cstheme="minorBidi"/>
          <w:lang w:val="en-US"/>
        </w:rPr>
        <w:t xml:space="preserve"> permitted by law. The following day, the White House released an article, “The Voice of Radical America,” asserting that the </w:t>
      </w:r>
      <w:r w:rsidR="00CC564D" w:rsidRPr="001B3C1E">
        <w:rPr>
          <w:rFonts w:asciiTheme="minorBidi" w:hAnsiTheme="minorBidi" w:cstheme="minorBidi"/>
          <w:lang w:val="en-US"/>
        </w:rPr>
        <w:t>EO</w:t>
      </w:r>
      <w:r w:rsidRPr="001B3C1E">
        <w:rPr>
          <w:rFonts w:asciiTheme="minorBidi" w:hAnsiTheme="minorBidi" w:cstheme="minorBidi"/>
          <w:lang w:val="en-US"/>
        </w:rPr>
        <w:t xml:space="preserve"> would ensure taxpayers were “no longer on the hook for radical propaganda.”</w:t>
      </w:r>
      <w:r w:rsidR="00335983" w:rsidRPr="001B3C1E">
        <w:rPr>
          <w:rFonts w:asciiTheme="minorBidi" w:hAnsiTheme="minorBidi" w:cstheme="minorBidi"/>
          <w:lang w:val="en-US"/>
        </w:rPr>
        <w:t xml:space="preserve"> [p. 5]</w:t>
      </w:r>
      <w:r w:rsidRPr="001B3C1E">
        <w:rPr>
          <w:rFonts w:asciiTheme="minorBidi" w:hAnsiTheme="minorBidi" w:cstheme="minorBidi"/>
          <w:lang w:val="en-US"/>
        </w:rPr>
        <w:t xml:space="preserve"> That same day, USAGM issued a public statement on its website declaring the agency “not salvageable” and “irretrievably broken.”</w:t>
      </w:r>
    </w:p>
    <w:p w14:paraId="0CD20528" w14:textId="77777777" w:rsidR="00640366" w:rsidRPr="001B3C1E" w:rsidRDefault="00640366" w:rsidP="00A3742D">
      <w:pPr>
        <w:jc w:val="both"/>
        <w:rPr>
          <w:rFonts w:asciiTheme="minorBidi" w:hAnsiTheme="minorBidi" w:cstheme="minorBidi"/>
          <w:lang w:val="en-US"/>
        </w:rPr>
      </w:pPr>
    </w:p>
    <w:p w14:paraId="38B1FB24" w14:textId="5EFD843F" w:rsidR="00A3742D" w:rsidRPr="001B3C1E" w:rsidRDefault="005E03D9" w:rsidP="00A3742D">
      <w:pPr>
        <w:jc w:val="both"/>
        <w:rPr>
          <w:rFonts w:asciiTheme="minorBidi" w:hAnsiTheme="minorBidi" w:cstheme="minorBidi"/>
          <w:lang w:val="en-US"/>
        </w:rPr>
      </w:pPr>
      <w:r w:rsidRPr="001B3C1E">
        <w:rPr>
          <w:rFonts w:asciiTheme="minorBidi" w:hAnsiTheme="minorBidi" w:cstheme="minorBidi"/>
          <w:lang w:val="en-US"/>
        </w:rPr>
        <w:t>Beginning on March 15, 2025, USAGM leadership initiated a series of measures. On that date, 1,042 of its 1,147 full-time employees were placed on administrative leave, with the agency specifying that the action was “not for any ‘disciplinary purpose.” Also on March 15, all USAGM grantee networks (RFE/RL, RFA, MBN, OTF) received notices terminating their grant agreements, citing that the awards “no longer effectuate agency priorities.” On March 16, 2025, USAGM cancelled contracts with approximately 598 personal services contractors (PSCs). Although these PSCs were reinstated with full pay and benefits on March 28, 2025, they remained without active assignments.</w:t>
      </w:r>
    </w:p>
    <w:p w14:paraId="6A3FF97E" w14:textId="77777777" w:rsidR="005E03D9" w:rsidRPr="001B3C1E" w:rsidRDefault="005E03D9" w:rsidP="00A3742D">
      <w:pPr>
        <w:jc w:val="both"/>
        <w:rPr>
          <w:rFonts w:asciiTheme="minorBidi" w:hAnsiTheme="minorBidi" w:cstheme="minorBidi"/>
          <w:lang w:val="en-US"/>
        </w:rPr>
      </w:pPr>
    </w:p>
    <w:p w14:paraId="27C389CB" w14:textId="404F8C3F" w:rsidR="00674E23" w:rsidRPr="001B3C1E" w:rsidRDefault="00E137CC" w:rsidP="00674E23">
      <w:pPr>
        <w:jc w:val="both"/>
        <w:rPr>
          <w:rFonts w:asciiTheme="minorBidi" w:hAnsiTheme="minorBidi" w:cstheme="minorBidi"/>
          <w:lang w:val="en-US"/>
        </w:rPr>
      </w:pPr>
      <w:r w:rsidRPr="001B3C1E">
        <w:rPr>
          <w:rFonts w:asciiTheme="minorBidi" w:hAnsiTheme="minorBidi" w:cstheme="minorBidi"/>
          <w:lang w:val="en-US"/>
        </w:rPr>
        <w:t>On March 17, 2025, USAGM directed all Foreign Service personnel to deactivate transmitters at their stations and to place locally employed staff on leave. By March 25, 2025, USAGM planned to issue termination notices to 29 of its 32 radio broadcast technicians, effectively abolishing nearly all such positions, and announced its intention to terminate 594 members of the American Federation of Government Employees (AFGE), including broadcast journalists and technical staff.</w:t>
      </w:r>
    </w:p>
    <w:p w14:paraId="4547FCEA" w14:textId="77777777" w:rsidR="00E137CC" w:rsidRPr="001B3C1E" w:rsidRDefault="00E137CC" w:rsidP="00674E23">
      <w:pPr>
        <w:jc w:val="both"/>
        <w:rPr>
          <w:rFonts w:asciiTheme="minorBidi" w:hAnsiTheme="minorBidi" w:cstheme="minorBidi"/>
          <w:lang w:val="en-US"/>
        </w:rPr>
      </w:pPr>
    </w:p>
    <w:p w14:paraId="2F694953" w14:textId="19B67B43" w:rsidR="00674E23" w:rsidRPr="001B3C1E" w:rsidRDefault="00097AC2" w:rsidP="00A3742D">
      <w:pPr>
        <w:jc w:val="both"/>
        <w:rPr>
          <w:rFonts w:asciiTheme="minorBidi" w:hAnsiTheme="minorBidi" w:cstheme="minorBidi"/>
          <w:lang w:val="en-US"/>
        </w:rPr>
      </w:pPr>
      <w:r w:rsidRPr="001B3C1E">
        <w:rPr>
          <w:rFonts w:asciiTheme="minorBidi" w:hAnsiTheme="minorBidi" w:cstheme="minorBidi"/>
          <w:lang w:val="en-US"/>
        </w:rPr>
        <w:t xml:space="preserve">These measures had immediate and far-reaching consequences. For the first time in its 80-year history, VOA ceased news reporting; its website remained inactive after March 15, 2025, and international radio stations that relied on VOA programming either ceased broadcasting or aired only music. VOA employees </w:t>
      </w:r>
      <w:proofErr w:type="gramStart"/>
      <w:r w:rsidRPr="001B3C1E">
        <w:rPr>
          <w:rFonts w:asciiTheme="minorBidi" w:hAnsiTheme="minorBidi" w:cstheme="minorBidi"/>
          <w:lang w:val="en-US"/>
        </w:rPr>
        <w:t>continued on</w:t>
      </w:r>
      <w:proofErr w:type="gramEnd"/>
      <w:r w:rsidRPr="001B3C1E">
        <w:rPr>
          <w:rFonts w:asciiTheme="minorBidi" w:hAnsiTheme="minorBidi" w:cstheme="minorBidi"/>
          <w:lang w:val="en-US"/>
        </w:rPr>
        <w:t xml:space="preserve"> administrative leave, while PSCs holding J-1 visas faced the prospect of deportation to countries adverse to press freedom. Grants to RFA and MBN remained terminated, and RFE/RL’s grant expired, leaving these networks without congressionally appropriated funds as of April. The Office of Cuba Broadcasting (OCB), however, resumed operations on March 26, 2025.</w:t>
      </w:r>
    </w:p>
    <w:p w14:paraId="7473F7F5" w14:textId="77777777" w:rsidR="00097AC2" w:rsidRPr="001B3C1E" w:rsidRDefault="00097AC2" w:rsidP="00A3742D">
      <w:pPr>
        <w:jc w:val="both"/>
        <w:rPr>
          <w:rFonts w:asciiTheme="minorBidi" w:hAnsiTheme="minorBidi" w:cstheme="minorBidi"/>
          <w:lang w:val="en-US"/>
        </w:rPr>
      </w:pPr>
    </w:p>
    <w:p w14:paraId="17C9BCD0" w14:textId="66182EEE" w:rsidR="002715D8" w:rsidRPr="001B3C1E" w:rsidRDefault="00E53271" w:rsidP="00674E23">
      <w:pPr>
        <w:jc w:val="both"/>
        <w:rPr>
          <w:rFonts w:asciiTheme="minorBidi" w:hAnsiTheme="minorBidi" w:cstheme="minorBidi"/>
          <w:lang w:val="en-US"/>
        </w:rPr>
      </w:pPr>
      <w:r w:rsidRPr="001B3C1E">
        <w:rPr>
          <w:rFonts w:asciiTheme="minorBidi" w:hAnsiTheme="minorBidi" w:cstheme="minorBidi"/>
          <w:lang w:val="en-US"/>
        </w:rPr>
        <w:t xml:space="preserve">On March 21, 2025, the plaintiffs, consisting of Patsy </w:t>
      </w:r>
      <w:proofErr w:type="spellStart"/>
      <w:r w:rsidRPr="001B3C1E">
        <w:rPr>
          <w:rFonts w:asciiTheme="minorBidi" w:hAnsiTheme="minorBidi" w:cstheme="minorBidi"/>
          <w:lang w:val="en-US"/>
        </w:rPr>
        <w:t>Widakuswara</w:t>
      </w:r>
      <w:proofErr w:type="spellEnd"/>
      <w:r w:rsidRPr="001B3C1E">
        <w:rPr>
          <w:rFonts w:asciiTheme="minorBidi" w:hAnsiTheme="minorBidi" w:cstheme="minorBidi"/>
          <w:lang w:val="en-US"/>
        </w:rPr>
        <w:t>, other USAGM employees, contractors, unions, and journalistic organizations, filed an action in the United States District Court for the Southern District of New York against Kari Lake, Senior Advisor to the Acting CEO of USAGM, and Victor Morales, Acting CEO of USAGM, in their official capacities, as well as against USAGM itself (collectively referred to as the “Government”). The complaint alleges that the Government’s actions violated the First Amendment</w:t>
      </w:r>
      <w:r w:rsidR="00713E3A" w:rsidRPr="001B3C1E">
        <w:rPr>
          <w:rFonts w:asciiTheme="minorBidi" w:hAnsiTheme="minorBidi" w:cstheme="minorBidi"/>
          <w:lang w:val="en-US"/>
        </w:rPr>
        <w:t xml:space="preserve"> of the U.S. Constitution (</w:t>
      </w:r>
      <w:r w:rsidR="00713E3A" w:rsidRPr="001B3C1E">
        <w:rPr>
          <w:rFonts w:asciiTheme="minorBidi" w:hAnsiTheme="minorBidi" w:cstheme="minorBidi"/>
          <w:lang w:val="en-US"/>
        </w:rPr>
        <w:t>protecting freedom of speech and of the press from governmental censorship and viewpoint-based discrimination</w:t>
      </w:r>
      <w:r w:rsidR="00713E3A" w:rsidRPr="001B3C1E">
        <w:rPr>
          <w:rFonts w:asciiTheme="minorBidi" w:hAnsiTheme="minorBidi" w:cstheme="minorBidi"/>
          <w:lang w:val="en-US"/>
        </w:rPr>
        <w:t>)</w:t>
      </w:r>
      <w:r w:rsidRPr="001B3C1E">
        <w:rPr>
          <w:rFonts w:asciiTheme="minorBidi" w:hAnsiTheme="minorBidi" w:cstheme="minorBidi"/>
          <w:lang w:val="en-US"/>
        </w:rPr>
        <w:t>, the Administrative Procedure Act (APA)</w:t>
      </w:r>
      <w:r w:rsidR="001502CC" w:rsidRPr="001B3C1E">
        <w:rPr>
          <w:rFonts w:asciiTheme="minorBidi" w:hAnsiTheme="minorBidi" w:cstheme="minorBidi"/>
          <w:lang w:val="en-US"/>
        </w:rPr>
        <w:t xml:space="preserve"> (</w:t>
      </w:r>
      <w:r w:rsidR="001502CC" w:rsidRPr="001B3C1E">
        <w:rPr>
          <w:rFonts w:asciiTheme="minorBidi" w:hAnsiTheme="minorBidi" w:cstheme="minorBidi"/>
          <w:lang w:val="en-US"/>
        </w:rPr>
        <w:t xml:space="preserve">requiring agencies to engage in reasoned </w:t>
      </w:r>
      <w:proofErr w:type="spellStart"/>
      <w:r w:rsidR="001502CC" w:rsidRPr="001B3C1E">
        <w:rPr>
          <w:rFonts w:asciiTheme="minorBidi" w:hAnsiTheme="minorBidi" w:cstheme="minorBidi"/>
          <w:lang w:val="en-US"/>
        </w:rPr>
        <w:t>decisionmaking</w:t>
      </w:r>
      <w:proofErr w:type="spellEnd"/>
      <w:r w:rsidR="001502CC" w:rsidRPr="001B3C1E">
        <w:rPr>
          <w:rFonts w:asciiTheme="minorBidi" w:hAnsiTheme="minorBidi" w:cstheme="minorBidi"/>
          <w:lang w:val="en-US"/>
        </w:rPr>
        <w:t xml:space="preserve"> and making final agency actions reviewable by courts</w:t>
      </w:r>
      <w:r w:rsidR="001502CC" w:rsidRPr="001B3C1E">
        <w:rPr>
          <w:rFonts w:asciiTheme="minorBidi" w:hAnsiTheme="minorBidi" w:cstheme="minorBidi"/>
          <w:lang w:val="en-US"/>
        </w:rPr>
        <w:t>)</w:t>
      </w:r>
      <w:r w:rsidRPr="001B3C1E">
        <w:rPr>
          <w:rFonts w:asciiTheme="minorBidi" w:hAnsiTheme="minorBidi" w:cstheme="minorBidi"/>
          <w:lang w:val="en-US"/>
        </w:rPr>
        <w:t>, the constitutional separation of powers</w:t>
      </w:r>
      <w:r w:rsidR="00AD5ED0" w:rsidRPr="001B3C1E">
        <w:rPr>
          <w:rFonts w:asciiTheme="minorBidi" w:hAnsiTheme="minorBidi" w:cstheme="minorBidi"/>
          <w:lang w:val="en-US"/>
        </w:rPr>
        <w:t xml:space="preserve"> (</w:t>
      </w:r>
      <w:r w:rsidR="00AD5ED0" w:rsidRPr="001B3C1E">
        <w:rPr>
          <w:rFonts w:asciiTheme="minorBidi" w:hAnsiTheme="minorBidi" w:cstheme="minorBidi"/>
          <w:lang w:val="en-US"/>
        </w:rPr>
        <w:t>allocating distinct legislative, executive, and judicial functions to prevent aggrandizement of any one branch</w:t>
      </w:r>
      <w:r w:rsidR="00AD5ED0" w:rsidRPr="001B3C1E">
        <w:rPr>
          <w:rFonts w:asciiTheme="minorBidi" w:hAnsiTheme="minorBidi" w:cstheme="minorBidi"/>
          <w:lang w:val="en-US"/>
        </w:rPr>
        <w:t>)</w:t>
      </w:r>
      <w:r w:rsidRPr="001B3C1E">
        <w:rPr>
          <w:rFonts w:asciiTheme="minorBidi" w:hAnsiTheme="minorBidi" w:cstheme="minorBidi"/>
          <w:lang w:val="en-US"/>
        </w:rPr>
        <w:t>, the Take Care Clause</w:t>
      </w:r>
      <w:r w:rsidR="00594A5B" w:rsidRPr="001B3C1E">
        <w:rPr>
          <w:rFonts w:asciiTheme="minorBidi" w:hAnsiTheme="minorBidi" w:cstheme="minorBidi"/>
          <w:lang w:val="en-US"/>
        </w:rPr>
        <w:t xml:space="preserve"> under article 2 of the constitution</w:t>
      </w:r>
      <w:r w:rsidR="002477A7" w:rsidRPr="001B3C1E">
        <w:rPr>
          <w:rFonts w:asciiTheme="minorBidi" w:hAnsiTheme="minorBidi" w:cstheme="minorBidi"/>
          <w:lang w:val="en-US"/>
        </w:rPr>
        <w:t xml:space="preserve"> (</w:t>
      </w:r>
      <w:r w:rsidR="002477A7" w:rsidRPr="001B3C1E">
        <w:rPr>
          <w:rFonts w:asciiTheme="minorBidi" w:hAnsiTheme="minorBidi" w:cstheme="minorBidi"/>
          <w:lang w:val="en-US"/>
        </w:rPr>
        <w:t>imposing on the President the duty to faithfully execute statutes enacted by Congress</w:t>
      </w:r>
      <w:r w:rsidR="002477A7" w:rsidRPr="001B3C1E">
        <w:rPr>
          <w:rFonts w:asciiTheme="minorBidi" w:hAnsiTheme="minorBidi" w:cstheme="minorBidi"/>
          <w:lang w:val="en-US"/>
        </w:rPr>
        <w:t>)</w:t>
      </w:r>
      <w:r w:rsidRPr="001B3C1E">
        <w:rPr>
          <w:rFonts w:asciiTheme="minorBidi" w:hAnsiTheme="minorBidi" w:cstheme="minorBidi"/>
          <w:lang w:val="en-US"/>
        </w:rPr>
        <w:t>, and several statutory provisions, including the International Broadcasting Act</w:t>
      </w:r>
      <w:r w:rsidR="003105D1" w:rsidRPr="001B3C1E">
        <w:rPr>
          <w:rFonts w:asciiTheme="minorBidi" w:hAnsiTheme="minorBidi" w:cstheme="minorBidi"/>
          <w:lang w:val="en-US"/>
        </w:rPr>
        <w:t xml:space="preserve"> (</w:t>
      </w:r>
      <w:r w:rsidR="003105D1" w:rsidRPr="001B3C1E">
        <w:rPr>
          <w:rFonts w:asciiTheme="minorBidi" w:hAnsiTheme="minorBidi" w:cstheme="minorBidi"/>
          <w:lang w:val="en-US"/>
        </w:rPr>
        <w:t>directing USAGM and VOA to provide consistently reliable and authoritative news abroad</w:t>
      </w:r>
      <w:r w:rsidR="003105D1" w:rsidRPr="001B3C1E">
        <w:rPr>
          <w:rFonts w:asciiTheme="minorBidi" w:hAnsiTheme="minorBidi" w:cstheme="minorBidi"/>
          <w:lang w:val="en-US"/>
        </w:rPr>
        <w:t>)</w:t>
      </w:r>
      <w:r w:rsidRPr="001B3C1E">
        <w:rPr>
          <w:rFonts w:asciiTheme="minorBidi" w:hAnsiTheme="minorBidi" w:cstheme="minorBidi"/>
          <w:lang w:val="en-US"/>
        </w:rPr>
        <w:t xml:space="preserve"> and congressional appropriations acts</w:t>
      </w:r>
      <w:r w:rsidR="00F11092" w:rsidRPr="001B3C1E">
        <w:rPr>
          <w:rFonts w:asciiTheme="minorBidi" w:hAnsiTheme="minorBidi" w:cstheme="minorBidi"/>
          <w:lang w:val="en-US"/>
        </w:rPr>
        <w:t xml:space="preserve"> (</w:t>
      </w:r>
      <w:r w:rsidR="00F11092" w:rsidRPr="001B3C1E">
        <w:rPr>
          <w:rFonts w:asciiTheme="minorBidi" w:hAnsiTheme="minorBidi" w:cstheme="minorBidi"/>
          <w:lang w:val="en-US"/>
        </w:rPr>
        <w:t>statutes governing the allocation and permissible use of funds appropriated by Congress</w:t>
      </w:r>
      <w:r w:rsidR="00F11092" w:rsidRPr="001B3C1E">
        <w:rPr>
          <w:rFonts w:asciiTheme="minorBidi" w:hAnsiTheme="minorBidi" w:cstheme="minorBidi"/>
          <w:lang w:val="en-US"/>
        </w:rPr>
        <w:t>)</w:t>
      </w:r>
      <w:r w:rsidRPr="001B3C1E">
        <w:rPr>
          <w:rFonts w:asciiTheme="minorBidi" w:hAnsiTheme="minorBidi" w:cstheme="minorBidi"/>
          <w:lang w:val="en-US"/>
        </w:rPr>
        <w:t>.</w:t>
      </w:r>
    </w:p>
    <w:p w14:paraId="01F94124" w14:textId="77777777" w:rsidR="00FE3504" w:rsidRPr="001B3C1E" w:rsidRDefault="00FE3504" w:rsidP="00674E23">
      <w:pPr>
        <w:jc w:val="both"/>
        <w:rPr>
          <w:rFonts w:asciiTheme="minorBidi" w:hAnsiTheme="minorBidi" w:cstheme="minorBidi"/>
          <w:lang w:val="en-US"/>
        </w:rPr>
      </w:pPr>
    </w:p>
    <w:p w14:paraId="067AE8B1" w14:textId="5170F87E" w:rsidR="00A72191" w:rsidRPr="001B3C1E" w:rsidRDefault="00A3742D" w:rsidP="00F20DB7">
      <w:pPr>
        <w:jc w:val="both"/>
        <w:rPr>
          <w:rFonts w:asciiTheme="minorBidi" w:hAnsiTheme="minorBidi" w:cstheme="minorBidi"/>
          <w:lang w:val="en-US"/>
        </w:rPr>
      </w:pPr>
      <w:r w:rsidRPr="001B3C1E">
        <w:rPr>
          <w:rFonts w:asciiTheme="minorBidi" w:hAnsiTheme="minorBidi" w:cstheme="minorBidi"/>
          <w:lang w:val="en-US"/>
        </w:rPr>
        <w:t xml:space="preserve">On March 24, 2025, the </w:t>
      </w:r>
      <w:r w:rsidR="0003384B" w:rsidRPr="001B3C1E">
        <w:rPr>
          <w:rFonts w:asciiTheme="minorBidi" w:hAnsiTheme="minorBidi" w:cstheme="minorBidi"/>
          <w:lang w:val="en-US"/>
        </w:rPr>
        <w:t xml:space="preserve">Plaintiffs </w:t>
      </w:r>
      <w:r w:rsidRPr="001B3C1E">
        <w:rPr>
          <w:rFonts w:asciiTheme="minorBidi" w:hAnsiTheme="minorBidi" w:cstheme="minorBidi"/>
          <w:lang w:val="en-US"/>
        </w:rPr>
        <w:t xml:space="preserve">sought emergency relief in the form of a </w:t>
      </w:r>
      <w:r w:rsidR="00265F70" w:rsidRPr="001B3C1E">
        <w:rPr>
          <w:rFonts w:asciiTheme="minorBidi" w:hAnsiTheme="minorBidi" w:cstheme="minorBidi"/>
          <w:lang w:val="en-US"/>
        </w:rPr>
        <w:t>t</w:t>
      </w:r>
      <w:r w:rsidRPr="001B3C1E">
        <w:rPr>
          <w:rFonts w:asciiTheme="minorBidi" w:hAnsiTheme="minorBidi" w:cstheme="minorBidi"/>
          <w:lang w:val="en-US"/>
        </w:rPr>
        <w:t xml:space="preserve">emporary </w:t>
      </w:r>
      <w:r w:rsidR="00265F70" w:rsidRPr="001B3C1E">
        <w:rPr>
          <w:rFonts w:asciiTheme="minorBidi" w:hAnsiTheme="minorBidi" w:cstheme="minorBidi"/>
          <w:lang w:val="en-US"/>
        </w:rPr>
        <w:t>r</w:t>
      </w:r>
      <w:r w:rsidRPr="001B3C1E">
        <w:rPr>
          <w:rFonts w:asciiTheme="minorBidi" w:hAnsiTheme="minorBidi" w:cstheme="minorBidi"/>
          <w:lang w:val="en-US"/>
        </w:rPr>
        <w:t xml:space="preserve">estraining </w:t>
      </w:r>
      <w:r w:rsidR="00265F70" w:rsidRPr="001B3C1E">
        <w:rPr>
          <w:rFonts w:asciiTheme="minorBidi" w:hAnsiTheme="minorBidi" w:cstheme="minorBidi"/>
          <w:lang w:val="en-US"/>
        </w:rPr>
        <w:t>o</w:t>
      </w:r>
      <w:r w:rsidRPr="001B3C1E">
        <w:rPr>
          <w:rFonts w:asciiTheme="minorBidi" w:hAnsiTheme="minorBidi" w:cstheme="minorBidi"/>
          <w:lang w:val="en-US"/>
        </w:rPr>
        <w:t xml:space="preserve">rder (TRO) and </w:t>
      </w:r>
      <w:r w:rsidR="00674E23" w:rsidRPr="001B3C1E">
        <w:rPr>
          <w:rFonts w:asciiTheme="minorBidi" w:hAnsiTheme="minorBidi" w:cstheme="minorBidi"/>
          <w:lang w:val="en-US"/>
        </w:rPr>
        <w:t>a p</w:t>
      </w:r>
      <w:r w:rsidRPr="001B3C1E">
        <w:rPr>
          <w:rFonts w:asciiTheme="minorBidi" w:hAnsiTheme="minorBidi" w:cstheme="minorBidi"/>
          <w:lang w:val="en-US"/>
        </w:rPr>
        <w:t xml:space="preserve">reliminary </w:t>
      </w:r>
      <w:r w:rsidR="00674E23" w:rsidRPr="001B3C1E">
        <w:rPr>
          <w:rFonts w:asciiTheme="minorBidi" w:hAnsiTheme="minorBidi" w:cstheme="minorBidi"/>
          <w:lang w:val="en-US"/>
        </w:rPr>
        <w:t>i</w:t>
      </w:r>
      <w:r w:rsidRPr="001B3C1E">
        <w:rPr>
          <w:rFonts w:asciiTheme="minorBidi" w:hAnsiTheme="minorBidi" w:cstheme="minorBidi"/>
          <w:lang w:val="en-US"/>
        </w:rPr>
        <w:t>njunction.</w:t>
      </w:r>
      <w:r w:rsidR="00674E23" w:rsidRPr="001B3C1E">
        <w:rPr>
          <w:rFonts w:asciiTheme="minorBidi" w:hAnsiTheme="minorBidi" w:cstheme="minorBidi"/>
          <w:lang w:val="en-US"/>
        </w:rPr>
        <w:t xml:space="preserve"> On</w:t>
      </w:r>
      <w:r w:rsidRPr="001B3C1E">
        <w:rPr>
          <w:rFonts w:asciiTheme="minorBidi" w:hAnsiTheme="minorBidi" w:cstheme="minorBidi"/>
          <w:lang w:val="en-US"/>
        </w:rPr>
        <w:t xml:space="preserve"> March 28, 2025, Judge Oetken of the </w:t>
      </w:r>
      <w:r w:rsidRPr="001B3C1E">
        <w:rPr>
          <w:rFonts w:asciiTheme="minorBidi" w:hAnsiTheme="minorBidi" w:cstheme="minorBidi"/>
          <w:lang w:val="en-US"/>
        </w:rPr>
        <w:lastRenderedPageBreak/>
        <w:t xml:space="preserve">Southern District of New York granted the TRO, concluding that the </w:t>
      </w:r>
      <w:r w:rsidR="00674E23" w:rsidRPr="001B3C1E">
        <w:rPr>
          <w:rFonts w:asciiTheme="minorBidi" w:hAnsiTheme="minorBidi" w:cstheme="minorBidi"/>
          <w:lang w:val="en-US"/>
        </w:rPr>
        <w:t xml:space="preserve">Government </w:t>
      </w:r>
      <w:r w:rsidRPr="001B3C1E">
        <w:rPr>
          <w:rFonts w:asciiTheme="minorBidi" w:hAnsiTheme="minorBidi" w:cstheme="minorBidi"/>
          <w:lang w:val="en-US"/>
        </w:rPr>
        <w:t xml:space="preserve">likely violated several APA provisions. The TRO enjoined the </w:t>
      </w:r>
      <w:r w:rsidR="00674E23" w:rsidRPr="001B3C1E">
        <w:rPr>
          <w:rFonts w:asciiTheme="minorBidi" w:hAnsiTheme="minorBidi" w:cstheme="minorBidi"/>
          <w:lang w:val="en-US"/>
        </w:rPr>
        <w:t>Government</w:t>
      </w:r>
      <w:r w:rsidRPr="001B3C1E">
        <w:rPr>
          <w:rFonts w:asciiTheme="minorBidi" w:hAnsiTheme="minorBidi" w:cstheme="minorBidi"/>
          <w:lang w:val="en-US"/>
        </w:rPr>
        <w:t xml:space="preserve"> from further implementing </w:t>
      </w:r>
      <w:r w:rsidR="008F7BBF" w:rsidRPr="001B3C1E">
        <w:rPr>
          <w:rFonts w:asciiTheme="minorBidi" w:hAnsiTheme="minorBidi" w:cstheme="minorBidi"/>
          <w:lang w:val="en-US"/>
        </w:rPr>
        <w:t>EO</w:t>
      </w:r>
      <w:r w:rsidRPr="001B3C1E">
        <w:rPr>
          <w:rFonts w:asciiTheme="minorBidi" w:hAnsiTheme="minorBidi" w:cstheme="minorBidi"/>
          <w:lang w:val="en-US"/>
        </w:rPr>
        <w:t xml:space="preserve"> 14238, reducing USAGM's workforce (including employees, contractors, and grantees), terminating grants or contracts, or closing offices.</w:t>
      </w:r>
      <w:r w:rsidR="00F20DB7" w:rsidRPr="001B3C1E">
        <w:rPr>
          <w:rFonts w:asciiTheme="minorBidi" w:hAnsiTheme="minorBidi" w:cstheme="minorBidi"/>
          <w:lang w:val="en-US"/>
        </w:rPr>
        <w:t xml:space="preserve"> </w:t>
      </w:r>
      <w:r w:rsidR="00A72191" w:rsidRPr="001B3C1E">
        <w:rPr>
          <w:rFonts w:asciiTheme="minorBidi" w:hAnsiTheme="minorBidi" w:cstheme="minorBidi"/>
          <w:lang w:val="en-US"/>
        </w:rPr>
        <w:t>On April 4, 2025, the case was transferred to the District of Columbia, and on April 22, th</w:t>
      </w:r>
      <w:r w:rsidR="009B06F2" w:rsidRPr="001B3C1E">
        <w:rPr>
          <w:rFonts w:asciiTheme="minorBidi" w:hAnsiTheme="minorBidi" w:cstheme="minorBidi"/>
          <w:lang w:val="en-US"/>
        </w:rPr>
        <w:t>is Court memorandum order followed.</w:t>
      </w:r>
    </w:p>
    <w:p w14:paraId="6F2E95CB" w14:textId="77777777" w:rsidR="00F20DB7" w:rsidRPr="001B3C1E" w:rsidRDefault="00F20DB7" w:rsidP="00A3742D">
      <w:pPr>
        <w:pStyle w:val="Heading1"/>
        <w:jc w:val="both"/>
        <w:rPr>
          <w:rFonts w:asciiTheme="minorBidi" w:hAnsiTheme="minorBidi" w:cstheme="minorBidi"/>
          <w:sz w:val="22"/>
          <w:szCs w:val="22"/>
        </w:rPr>
      </w:pPr>
    </w:p>
    <w:p w14:paraId="17D6A4B1" w14:textId="1965BDC9" w:rsidR="00F37220" w:rsidRPr="001B3C1E" w:rsidRDefault="00000000" w:rsidP="00A3742D">
      <w:pPr>
        <w:pStyle w:val="Heading1"/>
        <w:jc w:val="both"/>
        <w:rPr>
          <w:rFonts w:asciiTheme="minorBidi" w:hAnsiTheme="minorBidi" w:cstheme="minorBidi"/>
          <w:sz w:val="22"/>
          <w:szCs w:val="22"/>
        </w:rPr>
      </w:pPr>
      <w:r w:rsidRPr="001B3C1E">
        <w:rPr>
          <w:rFonts w:asciiTheme="minorBidi" w:hAnsiTheme="minorBidi" w:cstheme="minorBidi"/>
          <w:sz w:val="22"/>
          <w:szCs w:val="22"/>
        </w:rPr>
        <w:t>Decision Overview</w:t>
      </w:r>
    </w:p>
    <w:p w14:paraId="1FF19EB3" w14:textId="38741D9D" w:rsidR="0009505F" w:rsidRPr="001B3C1E" w:rsidRDefault="00F6074D" w:rsidP="00720F0B">
      <w:pPr>
        <w:spacing w:before="240" w:after="240"/>
        <w:jc w:val="both"/>
        <w:rPr>
          <w:rFonts w:asciiTheme="minorBidi" w:hAnsiTheme="minorBidi" w:cstheme="minorBidi"/>
          <w:lang w:val="en-US"/>
        </w:rPr>
      </w:pPr>
      <w:r w:rsidRPr="001B3C1E">
        <w:rPr>
          <w:rFonts w:asciiTheme="minorBidi" w:hAnsiTheme="minorBidi" w:cstheme="minorBidi"/>
          <w:lang w:val="en-US"/>
        </w:rPr>
        <w:t xml:space="preserve">Judge </w:t>
      </w:r>
      <w:r w:rsidR="0049160A" w:rsidRPr="001B3C1E">
        <w:rPr>
          <w:rFonts w:asciiTheme="minorBidi" w:hAnsiTheme="minorBidi" w:cstheme="minorBidi"/>
          <w:lang w:val="en-US"/>
        </w:rPr>
        <w:t>Lamberth</w:t>
      </w:r>
      <w:r w:rsidRPr="001B3C1E">
        <w:rPr>
          <w:rFonts w:asciiTheme="minorBidi" w:hAnsiTheme="minorBidi" w:cstheme="minorBidi"/>
          <w:lang w:val="en-US"/>
        </w:rPr>
        <w:t xml:space="preserve"> of the United States District </w:t>
      </w:r>
      <w:r w:rsidR="00720F0B" w:rsidRPr="001B3C1E">
        <w:rPr>
          <w:rFonts w:asciiTheme="minorBidi" w:hAnsiTheme="minorBidi" w:cstheme="minorBidi"/>
          <w:lang w:val="en-US"/>
        </w:rPr>
        <w:t xml:space="preserve">Court </w:t>
      </w:r>
      <w:r w:rsidRPr="001B3C1E">
        <w:rPr>
          <w:rFonts w:asciiTheme="minorBidi" w:hAnsiTheme="minorBidi" w:cstheme="minorBidi"/>
          <w:lang w:val="en-US"/>
        </w:rPr>
        <w:t xml:space="preserve">of </w:t>
      </w:r>
      <w:r w:rsidR="00720F0B" w:rsidRPr="001B3C1E">
        <w:rPr>
          <w:rFonts w:asciiTheme="minorBidi" w:hAnsiTheme="minorBidi" w:cstheme="minorBidi"/>
          <w:lang w:val="en-US"/>
        </w:rPr>
        <w:t xml:space="preserve">Columbia </w:t>
      </w:r>
      <w:r w:rsidRPr="001B3C1E">
        <w:rPr>
          <w:rFonts w:asciiTheme="minorBidi" w:hAnsiTheme="minorBidi" w:cstheme="minorBidi"/>
          <w:lang w:val="en-US"/>
        </w:rPr>
        <w:t xml:space="preserve">delivered the </w:t>
      </w:r>
      <w:r w:rsidR="001F6D48" w:rsidRPr="001B3C1E">
        <w:rPr>
          <w:rFonts w:asciiTheme="minorBidi" w:hAnsiTheme="minorBidi" w:cstheme="minorBidi"/>
          <w:lang w:val="en-US"/>
        </w:rPr>
        <w:t>m</w:t>
      </w:r>
      <w:r w:rsidRPr="001B3C1E">
        <w:rPr>
          <w:rFonts w:asciiTheme="minorBidi" w:hAnsiTheme="minorBidi" w:cstheme="minorBidi"/>
          <w:lang w:val="en-US"/>
        </w:rPr>
        <w:t xml:space="preserve">emorandum and </w:t>
      </w:r>
      <w:r w:rsidR="001F6D48" w:rsidRPr="001B3C1E">
        <w:rPr>
          <w:rFonts w:asciiTheme="minorBidi" w:hAnsiTheme="minorBidi" w:cstheme="minorBidi"/>
          <w:lang w:val="en-US"/>
        </w:rPr>
        <w:t>o</w:t>
      </w:r>
      <w:r w:rsidRPr="001B3C1E">
        <w:rPr>
          <w:rFonts w:asciiTheme="minorBidi" w:hAnsiTheme="minorBidi" w:cstheme="minorBidi"/>
          <w:lang w:val="en-US"/>
        </w:rPr>
        <w:t xml:space="preserve">rder. The central issue before the Court was whether </w:t>
      </w:r>
      <w:r w:rsidR="007939D7" w:rsidRPr="001B3C1E">
        <w:rPr>
          <w:rFonts w:asciiTheme="minorBidi" w:hAnsiTheme="minorBidi" w:cstheme="minorBidi"/>
          <w:lang w:val="en-US"/>
        </w:rPr>
        <w:t>the Government’</w:t>
      </w:r>
      <w:r w:rsidR="00084FF9" w:rsidRPr="001B3C1E">
        <w:rPr>
          <w:rFonts w:asciiTheme="minorBidi" w:hAnsiTheme="minorBidi" w:cstheme="minorBidi"/>
          <w:lang w:val="en-US"/>
        </w:rPr>
        <w:t xml:space="preserve">s </w:t>
      </w:r>
      <w:r w:rsidR="00355563" w:rsidRPr="001B3C1E">
        <w:rPr>
          <w:rFonts w:asciiTheme="minorBidi" w:hAnsiTheme="minorBidi" w:cstheme="minorBidi"/>
          <w:lang w:val="en-US"/>
        </w:rPr>
        <w:t xml:space="preserve">dismantling </w:t>
      </w:r>
      <w:r w:rsidR="00084FF9" w:rsidRPr="001B3C1E">
        <w:rPr>
          <w:rFonts w:asciiTheme="minorBidi" w:hAnsiTheme="minorBidi" w:cstheme="minorBidi"/>
          <w:lang w:val="en-US"/>
        </w:rPr>
        <w:t xml:space="preserve">of </w:t>
      </w:r>
      <w:r w:rsidR="00355563" w:rsidRPr="001B3C1E">
        <w:rPr>
          <w:rFonts w:asciiTheme="minorBidi" w:hAnsiTheme="minorBidi" w:cstheme="minorBidi"/>
          <w:lang w:val="en-US"/>
        </w:rPr>
        <w:t xml:space="preserve">USAGM pursuant to </w:t>
      </w:r>
      <w:r w:rsidR="000608BF" w:rsidRPr="001B3C1E">
        <w:rPr>
          <w:rFonts w:asciiTheme="minorBidi" w:hAnsiTheme="minorBidi" w:cstheme="minorBidi"/>
          <w:lang w:val="en-US"/>
        </w:rPr>
        <w:t>EO 14238</w:t>
      </w:r>
      <w:r w:rsidRPr="001B3C1E">
        <w:rPr>
          <w:rFonts w:asciiTheme="minorBidi" w:hAnsiTheme="minorBidi" w:cstheme="minorBidi"/>
          <w:lang w:val="en-US"/>
        </w:rPr>
        <w:t>, titled “</w:t>
      </w:r>
      <w:r w:rsidR="00840B55" w:rsidRPr="001B3C1E">
        <w:rPr>
          <w:rFonts w:asciiTheme="minorBidi" w:hAnsiTheme="minorBidi" w:cstheme="minorBidi"/>
          <w:lang w:val="en-US"/>
        </w:rPr>
        <w:t>Continuing the Reduction of the Federal Bureaucracy</w:t>
      </w:r>
      <w:r w:rsidR="00A560FB" w:rsidRPr="001B3C1E">
        <w:rPr>
          <w:rFonts w:asciiTheme="minorBidi" w:hAnsiTheme="minorBidi" w:cstheme="minorBidi"/>
          <w:lang w:val="en-US"/>
        </w:rPr>
        <w:t>,</w:t>
      </w:r>
      <w:r w:rsidRPr="001B3C1E">
        <w:rPr>
          <w:rFonts w:asciiTheme="minorBidi" w:hAnsiTheme="minorBidi" w:cstheme="minorBidi"/>
          <w:lang w:val="en-US"/>
        </w:rPr>
        <w:t>”</w:t>
      </w:r>
      <w:r w:rsidR="0041380C" w:rsidRPr="001B3C1E">
        <w:rPr>
          <w:rFonts w:asciiTheme="minorBidi" w:hAnsiTheme="minorBidi" w:cstheme="minorBidi"/>
          <w:lang w:val="en-US"/>
        </w:rPr>
        <w:t xml:space="preserve"> </w:t>
      </w:r>
      <w:r w:rsidR="00D921E7" w:rsidRPr="001B3C1E">
        <w:rPr>
          <w:rFonts w:asciiTheme="minorBidi" w:hAnsiTheme="minorBidi" w:cstheme="minorBidi"/>
          <w:lang w:val="en-US"/>
        </w:rPr>
        <w:t xml:space="preserve">through </w:t>
      </w:r>
      <w:r w:rsidR="0044228E" w:rsidRPr="001B3C1E">
        <w:rPr>
          <w:rFonts w:asciiTheme="minorBidi" w:hAnsiTheme="minorBidi" w:cstheme="minorBidi"/>
          <w:lang w:val="en-US"/>
        </w:rPr>
        <w:t>wide</w:t>
      </w:r>
      <w:r w:rsidR="0041380C" w:rsidRPr="001B3C1E">
        <w:rPr>
          <w:rFonts w:asciiTheme="minorBidi" w:hAnsiTheme="minorBidi" w:cstheme="minorBidi"/>
          <w:lang w:val="en-US"/>
        </w:rPr>
        <w:t xml:space="preserve"> </w:t>
      </w:r>
      <w:r w:rsidR="00140E61" w:rsidRPr="001B3C1E">
        <w:rPr>
          <w:rFonts w:asciiTheme="minorBidi" w:hAnsiTheme="minorBidi" w:cstheme="minorBidi"/>
          <w:lang w:val="en-US"/>
        </w:rPr>
        <w:t xml:space="preserve">staff terminations, </w:t>
      </w:r>
      <w:r w:rsidR="00F34F00" w:rsidRPr="001B3C1E">
        <w:rPr>
          <w:rFonts w:asciiTheme="minorBidi" w:hAnsiTheme="minorBidi" w:cstheme="minorBidi"/>
          <w:lang w:val="en-US"/>
        </w:rPr>
        <w:t xml:space="preserve">ending grants to affiliates and suspending </w:t>
      </w:r>
      <w:r w:rsidR="008D0E3E" w:rsidRPr="001B3C1E">
        <w:rPr>
          <w:rFonts w:asciiTheme="minorBidi" w:hAnsiTheme="minorBidi" w:cstheme="minorBidi"/>
          <w:lang w:val="en-US"/>
        </w:rPr>
        <w:t>programming</w:t>
      </w:r>
      <w:r w:rsidR="00F34F00" w:rsidRPr="001B3C1E">
        <w:rPr>
          <w:rFonts w:asciiTheme="minorBidi" w:hAnsiTheme="minorBidi" w:cstheme="minorBidi"/>
          <w:lang w:val="en-US"/>
        </w:rPr>
        <w:t xml:space="preserve">, </w:t>
      </w:r>
      <w:r w:rsidR="0009505F" w:rsidRPr="001B3C1E">
        <w:rPr>
          <w:rFonts w:asciiTheme="minorBidi" w:hAnsiTheme="minorBidi" w:cstheme="minorBidi"/>
          <w:lang w:val="en-US"/>
        </w:rPr>
        <w:t xml:space="preserve">violated </w:t>
      </w:r>
      <w:r w:rsidR="00084FF9" w:rsidRPr="001B3C1E">
        <w:rPr>
          <w:rFonts w:asciiTheme="minorBidi" w:hAnsiTheme="minorBidi" w:cstheme="minorBidi"/>
          <w:lang w:val="en-US"/>
        </w:rPr>
        <w:t>the Plaintiffs</w:t>
      </w:r>
      <w:r w:rsidR="008D0E3E" w:rsidRPr="001B3C1E">
        <w:rPr>
          <w:rFonts w:asciiTheme="minorBidi" w:hAnsiTheme="minorBidi" w:cstheme="minorBidi"/>
          <w:lang w:val="en-US"/>
        </w:rPr>
        <w:t>’</w:t>
      </w:r>
      <w:r w:rsidR="00084FF9" w:rsidRPr="001B3C1E">
        <w:rPr>
          <w:rFonts w:asciiTheme="minorBidi" w:hAnsiTheme="minorBidi" w:cstheme="minorBidi"/>
          <w:lang w:val="en-US"/>
        </w:rPr>
        <w:t xml:space="preserve"> </w:t>
      </w:r>
      <w:r w:rsidR="0009505F" w:rsidRPr="001B3C1E">
        <w:rPr>
          <w:rFonts w:asciiTheme="minorBidi" w:hAnsiTheme="minorBidi" w:cstheme="minorBidi"/>
          <w:lang w:val="en-US"/>
        </w:rPr>
        <w:t>First Amendment</w:t>
      </w:r>
      <w:r w:rsidR="00A6633D" w:rsidRPr="001B3C1E">
        <w:rPr>
          <w:rFonts w:asciiTheme="minorBidi" w:hAnsiTheme="minorBidi" w:cstheme="minorBidi"/>
          <w:lang w:val="en-US"/>
        </w:rPr>
        <w:t xml:space="preserve"> rights under the</w:t>
      </w:r>
      <w:r w:rsidR="0009505F" w:rsidRPr="001B3C1E">
        <w:rPr>
          <w:rFonts w:asciiTheme="minorBidi" w:hAnsiTheme="minorBidi" w:cstheme="minorBidi"/>
          <w:lang w:val="en-US"/>
        </w:rPr>
        <w:t xml:space="preserve"> </w:t>
      </w:r>
      <w:r w:rsidR="00A6633D" w:rsidRPr="001B3C1E">
        <w:rPr>
          <w:rFonts w:asciiTheme="minorBidi" w:hAnsiTheme="minorBidi" w:cstheme="minorBidi"/>
          <w:lang w:val="en-US"/>
        </w:rPr>
        <w:t>c</w:t>
      </w:r>
      <w:r w:rsidR="0009505F" w:rsidRPr="001B3C1E">
        <w:rPr>
          <w:rFonts w:asciiTheme="minorBidi" w:hAnsiTheme="minorBidi" w:cstheme="minorBidi"/>
          <w:lang w:val="en-US"/>
        </w:rPr>
        <w:t>onstitution</w:t>
      </w:r>
      <w:r w:rsidR="00E2784D" w:rsidRPr="001B3C1E">
        <w:rPr>
          <w:rFonts w:asciiTheme="minorBidi" w:hAnsiTheme="minorBidi" w:cstheme="minorBidi"/>
          <w:lang w:val="en-US"/>
        </w:rPr>
        <w:t xml:space="preserve">, the </w:t>
      </w:r>
      <w:r w:rsidR="00E07B1D" w:rsidRPr="001B3C1E">
        <w:rPr>
          <w:rFonts w:asciiTheme="minorBidi" w:hAnsiTheme="minorBidi" w:cstheme="minorBidi"/>
          <w:lang w:val="en-US"/>
        </w:rPr>
        <w:t>constitutional</w:t>
      </w:r>
      <w:r w:rsidR="006E17A7" w:rsidRPr="001B3C1E">
        <w:rPr>
          <w:rFonts w:asciiTheme="minorBidi" w:hAnsiTheme="minorBidi" w:cstheme="minorBidi"/>
          <w:lang w:val="en-US"/>
        </w:rPr>
        <w:t xml:space="preserve"> principle of </w:t>
      </w:r>
      <w:r w:rsidR="00E2784D" w:rsidRPr="001B3C1E">
        <w:rPr>
          <w:rFonts w:asciiTheme="minorBidi" w:hAnsiTheme="minorBidi" w:cstheme="minorBidi"/>
          <w:lang w:val="en-US"/>
        </w:rPr>
        <w:t xml:space="preserve">separation of powers, the </w:t>
      </w:r>
      <w:r w:rsidR="00E07B1D" w:rsidRPr="001B3C1E">
        <w:rPr>
          <w:rFonts w:asciiTheme="minorBidi" w:hAnsiTheme="minorBidi" w:cstheme="minorBidi"/>
          <w:lang w:val="en-US"/>
        </w:rPr>
        <w:t>Appointments Clause</w:t>
      </w:r>
      <w:r w:rsidR="00786809" w:rsidRPr="001B3C1E">
        <w:rPr>
          <w:rFonts w:asciiTheme="minorBidi" w:hAnsiTheme="minorBidi" w:cstheme="minorBidi"/>
          <w:lang w:val="en-US"/>
        </w:rPr>
        <w:t xml:space="preserve"> (</w:t>
      </w:r>
      <w:r w:rsidR="00786809" w:rsidRPr="001B3C1E">
        <w:rPr>
          <w:rFonts w:asciiTheme="minorBidi" w:hAnsiTheme="minorBidi" w:cstheme="minorBidi"/>
          <w:lang w:val="en-US"/>
        </w:rPr>
        <w:t>constitutional provision requiring that principal officers of the United States be appointed by the President with the advice and consent of the Senate</w:t>
      </w:r>
      <w:r w:rsidR="00786809" w:rsidRPr="001B3C1E">
        <w:rPr>
          <w:rFonts w:asciiTheme="minorBidi" w:hAnsiTheme="minorBidi" w:cstheme="minorBidi"/>
          <w:lang w:val="en-US"/>
        </w:rPr>
        <w:t>)</w:t>
      </w:r>
      <w:r w:rsidR="00E07B1D" w:rsidRPr="001B3C1E">
        <w:rPr>
          <w:rFonts w:asciiTheme="minorBidi" w:hAnsiTheme="minorBidi" w:cstheme="minorBidi"/>
          <w:lang w:val="en-US"/>
        </w:rPr>
        <w:t xml:space="preserve">, the </w:t>
      </w:r>
      <w:r w:rsidR="00E2784D" w:rsidRPr="001B3C1E">
        <w:rPr>
          <w:rFonts w:asciiTheme="minorBidi" w:hAnsiTheme="minorBidi" w:cstheme="minorBidi"/>
          <w:lang w:val="en-US"/>
        </w:rPr>
        <w:t xml:space="preserve">Take Cake Clause and statutory mandates under the APA, </w:t>
      </w:r>
      <w:r w:rsidR="00691A2C" w:rsidRPr="001B3C1E">
        <w:rPr>
          <w:rFonts w:asciiTheme="minorBidi" w:hAnsiTheme="minorBidi" w:cstheme="minorBidi"/>
          <w:lang w:val="en-US"/>
        </w:rPr>
        <w:t>the International Broadcasting Act and congressional appropriations laws</w:t>
      </w:r>
      <w:r w:rsidR="00D921E7" w:rsidRPr="001B3C1E">
        <w:rPr>
          <w:rFonts w:asciiTheme="minorBidi" w:hAnsiTheme="minorBidi" w:cstheme="minorBidi"/>
          <w:lang w:val="en-US"/>
        </w:rPr>
        <w:t>.</w:t>
      </w:r>
    </w:p>
    <w:p w14:paraId="14EFD8AA" w14:textId="77777777" w:rsidR="00E65E36" w:rsidRDefault="00E70300" w:rsidP="00E70300">
      <w:pPr>
        <w:spacing w:before="240" w:after="240"/>
        <w:jc w:val="both"/>
        <w:rPr>
          <w:rFonts w:asciiTheme="minorBidi" w:hAnsiTheme="minorBidi" w:cstheme="minorBidi"/>
          <w:lang w:val="en-US"/>
        </w:rPr>
      </w:pPr>
      <w:r w:rsidRPr="001B3C1E">
        <w:rPr>
          <w:rFonts w:asciiTheme="minorBidi" w:hAnsiTheme="minorBidi" w:cstheme="minorBidi"/>
          <w:lang w:val="en-US"/>
        </w:rPr>
        <w:t xml:space="preserve">The </w:t>
      </w:r>
      <w:r w:rsidR="002A46A4" w:rsidRPr="001B3C1E">
        <w:rPr>
          <w:rFonts w:asciiTheme="minorBidi" w:hAnsiTheme="minorBidi" w:cstheme="minorBidi"/>
          <w:lang w:val="en-US"/>
        </w:rPr>
        <w:t>P</w:t>
      </w:r>
      <w:r w:rsidRPr="001B3C1E">
        <w:rPr>
          <w:rFonts w:asciiTheme="minorBidi" w:hAnsiTheme="minorBidi" w:cstheme="minorBidi"/>
          <w:lang w:val="en-US"/>
        </w:rPr>
        <w:t xml:space="preserve">laintiffs sought preliminary injunctive relief on the basis that the </w:t>
      </w:r>
      <w:r w:rsidRPr="001B3C1E">
        <w:rPr>
          <w:rFonts w:asciiTheme="minorBidi" w:hAnsiTheme="minorBidi" w:cstheme="minorBidi"/>
          <w:lang w:val="en-US"/>
        </w:rPr>
        <w:t xml:space="preserve">Government’s </w:t>
      </w:r>
      <w:r w:rsidRPr="001B3C1E">
        <w:rPr>
          <w:rFonts w:asciiTheme="minorBidi" w:hAnsiTheme="minorBidi" w:cstheme="minorBidi"/>
          <w:lang w:val="en-US"/>
        </w:rPr>
        <w:t xml:space="preserve">actions following </w:t>
      </w:r>
      <w:r w:rsidRPr="001B3C1E">
        <w:rPr>
          <w:rFonts w:asciiTheme="minorBidi" w:hAnsiTheme="minorBidi" w:cstheme="minorBidi"/>
          <w:lang w:val="en-US"/>
        </w:rPr>
        <w:t xml:space="preserve">EO </w:t>
      </w:r>
      <w:r w:rsidRPr="001B3C1E">
        <w:rPr>
          <w:rFonts w:asciiTheme="minorBidi" w:hAnsiTheme="minorBidi" w:cstheme="minorBidi"/>
          <w:lang w:val="en-US"/>
        </w:rPr>
        <w:t xml:space="preserve">14238 violated fundamental constitutional and statutory principles and inflicted immediate and severe harm. They argued that USAGM’s termination and threatened termination of staff, cancellation of grants, and suspension of programming contravened the First Amendment, the separation of powers, the Take Care Clause, the Administrative Procedure Act (APA), the International Broadcasting Act, and congressional appropriations acts. While they raised an Appointments Clause claim, they did not rely on it for emergency relief. The </w:t>
      </w:r>
      <w:r w:rsidR="002C5196" w:rsidRPr="001B3C1E">
        <w:rPr>
          <w:rFonts w:asciiTheme="minorBidi" w:hAnsiTheme="minorBidi" w:cstheme="minorBidi"/>
          <w:lang w:val="en-US"/>
        </w:rPr>
        <w:t>P</w:t>
      </w:r>
      <w:r w:rsidRPr="001B3C1E">
        <w:rPr>
          <w:rFonts w:asciiTheme="minorBidi" w:hAnsiTheme="minorBidi" w:cstheme="minorBidi"/>
          <w:lang w:val="en-US"/>
        </w:rPr>
        <w:t xml:space="preserve">laintiffs </w:t>
      </w:r>
      <w:r w:rsidR="00F70DC3" w:rsidRPr="001B3C1E">
        <w:rPr>
          <w:rFonts w:asciiTheme="minorBidi" w:hAnsiTheme="minorBidi" w:cstheme="minorBidi"/>
          <w:lang w:val="en-US"/>
        </w:rPr>
        <w:t>argued that they established</w:t>
      </w:r>
      <w:r w:rsidRPr="001B3C1E">
        <w:rPr>
          <w:rFonts w:asciiTheme="minorBidi" w:hAnsiTheme="minorBidi" w:cstheme="minorBidi"/>
          <w:lang w:val="en-US"/>
        </w:rPr>
        <w:t xml:space="preserve"> standing through both associational and organizational grounds. </w:t>
      </w:r>
      <w:r w:rsidR="002B1F9B" w:rsidRPr="001B3C1E">
        <w:rPr>
          <w:rFonts w:asciiTheme="minorBidi" w:hAnsiTheme="minorBidi" w:cstheme="minorBidi"/>
          <w:lang w:val="en-US"/>
        </w:rPr>
        <w:t xml:space="preserve">Associational standing permits an organization to bring a lawsuit on behalf of its members when the members would have </w:t>
      </w:r>
      <w:proofErr w:type="gramStart"/>
      <w:r w:rsidR="002B1F9B" w:rsidRPr="001B3C1E">
        <w:rPr>
          <w:rFonts w:asciiTheme="minorBidi" w:hAnsiTheme="minorBidi" w:cstheme="minorBidi"/>
          <w:lang w:val="en-US"/>
        </w:rPr>
        <w:t>standing</w:t>
      </w:r>
      <w:proofErr w:type="gramEnd"/>
      <w:r w:rsidR="002B1F9B" w:rsidRPr="001B3C1E">
        <w:rPr>
          <w:rFonts w:asciiTheme="minorBidi" w:hAnsiTheme="minorBidi" w:cstheme="minorBidi"/>
          <w:lang w:val="en-US"/>
        </w:rPr>
        <w:t xml:space="preserve"> to sue individually, the claims are </w:t>
      </w:r>
      <w:proofErr w:type="gramStart"/>
      <w:r w:rsidR="002B1F9B" w:rsidRPr="001B3C1E">
        <w:rPr>
          <w:rFonts w:asciiTheme="minorBidi" w:hAnsiTheme="minorBidi" w:cstheme="minorBidi"/>
          <w:lang w:val="en-US"/>
        </w:rPr>
        <w:t>germane</w:t>
      </w:r>
      <w:proofErr w:type="gramEnd"/>
      <w:r w:rsidR="002B1F9B" w:rsidRPr="001B3C1E">
        <w:rPr>
          <w:rFonts w:asciiTheme="minorBidi" w:hAnsiTheme="minorBidi" w:cstheme="minorBidi"/>
          <w:lang w:val="en-US"/>
        </w:rPr>
        <w:t xml:space="preserve"> to the organization’s purpose, and the case does not require the individual participation of each member</w:t>
      </w:r>
      <w:r w:rsidR="00CF217F" w:rsidRPr="001B3C1E">
        <w:rPr>
          <w:rFonts w:asciiTheme="minorBidi" w:hAnsiTheme="minorBidi" w:cstheme="minorBidi"/>
          <w:lang w:val="en-US"/>
        </w:rPr>
        <w:t>. O</w:t>
      </w:r>
      <w:r w:rsidR="00CF217F" w:rsidRPr="001B3C1E">
        <w:rPr>
          <w:rFonts w:asciiTheme="minorBidi" w:hAnsiTheme="minorBidi" w:cstheme="minorBidi"/>
          <w:lang w:val="en-US"/>
        </w:rPr>
        <w:t>rganizational standing</w:t>
      </w:r>
      <w:r w:rsidR="00CF217F" w:rsidRPr="001B3C1E">
        <w:rPr>
          <w:rFonts w:asciiTheme="minorBidi" w:hAnsiTheme="minorBidi" w:cstheme="minorBidi"/>
          <w:lang w:val="en-US"/>
        </w:rPr>
        <w:t xml:space="preserve"> </w:t>
      </w:r>
      <w:r w:rsidR="00CF217F" w:rsidRPr="001B3C1E">
        <w:rPr>
          <w:rFonts w:asciiTheme="minorBidi" w:hAnsiTheme="minorBidi" w:cstheme="minorBidi"/>
          <w:lang w:val="en-US"/>
        </w:rPr>
        <w:t xml:space="preserve">allows an organization to sue </w:t>
      </w:r>
      <w:proofErr w:type="gramStart"/>
      <w:r w:rsidR="00CF217F" w:rsidRPr="001B3C1E">
        <w:rPr>
          <w:rFonts w:asciiTheme="minorBidi" w:hAnsiTheme="minorBidi" w:cstheme="minorBidi"/>
          <w:lang w:val="en-US"/>
        </w:rPr>
        <w:t>in its own right when</w:t>
      </w:r>
      <w:proofErr w:type="gramEnd"/>
      <w:r w:rsidR="00CF217F" w:rsidRPr="001B3C1E">
        <w:rPr>
          <w:rFonts w:asciiTheme="minorBidi" w:hAnsiTheme="minorBidi" w:cstheme="minorBidi"/>
          <w:lang w:val="en-US"/>
        </w:rPr>
        <w:t xml:space="preserve"> it has suffered a direct injury to its interests.</w:t>
      </w:r>
      <w:r w:rsidR="00CF217F" w:rsidRPr="001B3C1E">
        <w:rPr>
          <w:rFonts w:asciiTheme="minorBidi" w:hAnsiTheme="minorBidi" w:cstheme="minorBidi"/>
          <w:lang w:val="en-US"/>
        </w:rPr>
        <w:t xml:space="preserve"> </w:t>
      </w:r>
      <w:r w:rsidRPr="001B3C1E">
        <w:rPr>
          <w:rFonts w:asciiTheme="minorBidi" w:hAnsiTheme="minorBidi" w:cstheme="minorBidi"/>
          <w:lang w:val="en-US"/>
        </w:rPr>
        <w:t xml:space="preserve">Public-sector unions </w:t>
      </w:r>
      <w:r w:rsidR="00227707" w:rsidRPr="001B3C1E">
        <w:rPr>
          <w:rFonts w:asciiTheme="minorBidi" w:hAnsiTheme="minorBidi" w:cstheme="minorBidi"/>
          <w:lang w:val="en-US"/>
        </w:rPr>
        <w:t>American Federation of State, County and Municipal Employees</w:t>
      </w:r>
      <w:r w:rsidR="00227707" w:rsidRPr="001B3C1E">
        <w:rPr>
          <w:rFonts w:asciiTheme="minorBidi" w:hAnsiTheme="minorBidi" w:cstheme="minorBidi"/>
          <w:lang w:val="en-US"/>
        </w:rPr>
        <w:t xml:space="preserve"> </w:t>
      </w:r>
      <w:r w:rsidR="00AD420B" w:rsidRPr="001B3C1E">
        <w:rPr>
          <w:rFonts w:asciiTheme="minorBidi" w:hAnsiTheme="minorBidi" w:cstheme="minorBidi"/>
          <w:lang w:val="en-US"/>
        </w:rPr>
        <w:t>(</w:t>
      </w:r>
      <w:r w:rsidRPr="001B3C1E">
        <w:rPr>
          <w:rFonts w:asciiTheme="minorBidi" w:hAnsiTheme="minorBidi" w:cstheme="minorBidi"/>
          <w:lang w:val="en-US"/>
        </w:rPr>
        <w:t>AFSCME</w:t>
      </w:r>
      <w:r w:rsidR="00AD420B" w:rsidRPr="001B3C1E">
        <w:rPr>
          <w:rFonts w:asciiTheme="minorBidi" w:hAnsiTheme="minorBidi" w:cstheme="minorBidi"/>
          <w:lang w:val="en-US"/>
        </w:rPr>
        <w:t>)</w:t>
      </w:r>
      <w:r w:rsidRPr="001B3C1E">
        <w:rPr>
          <w:rFonts w:asciiTheme="minorBidi" w:hAnsiTheme="minorBidi" w:cstheme="minorBidi"/>
          <w:lang w:val="en-US"/>
        </w:rPr>
        <w:t xml:space="preserve">, </w:t>
      </w:r>
      <w:r w:rsidR="00AD420B" w:rsidRPr="001B3C1E">
        <w:rPr>
          <w:rFonts w:asciiTheme="minorBidi" w:hAnsiTheme="minorBidi" w:cstheme="minorBidi"/>
          <w:lang w:val="en-US"/>
        </w:rPr>
        <w:t>American Federation of Government Employees</w:t>
      </w:r>
      <w:r w:rsidR="00AD420B" w:rsidRPr="001B3C1E">
        <w:rPr>
          <w:rFonts w:asciiTheme="minorBidi" w:hAnsiTheme="minorBidi" w:cstheme="minorBidi"/>
          <w:lang w:val="en-US"/>
        </w:rPr>
        <w:t xml:space="preserve"> (</w:t>
      </w:r>
      <w:r w:rsidRPr="001B3C1E">
        <w:rPr>
          <w:rFonts w:asciiTheme="minorBidi" w:hAnsiTheme="minorBidi" w:cstheme="minorBidi"/>
          <w:lang w:val="en-US"/>
        </w:rPr>
        <w:t>AFGE</w:t>
      </w:r>
      <w:r w:rsidR="00AD420B" w:rsidRPr="001B3C1E">
        <w:rPr>
          <w:rFonts w:asciiTheme="minorBidi" w:hAnsiTheme="minorBidi" w:cstheme="minorBidi"/>
          <w:lang w:val="en-US"/>
        </w:rPr>
        <w:t>)</w:t>
      </w:r>
      <w:r w:rsidRPr="001B3C1E">
        <w:rPr>
          <w:rFonts w:asciiTheme="minorBidi" w:hAnsiTheme="minorBidi" w:cstheme="minorBidi"/>
          <w:lang w:val="en-US"/>
        </w:rPr>
        <w:t xml:space="preserve">, and </w:t>
      </w:r>
      <w:r w:rsidR="00FA513B" w:rsidRPr="001B3C1E">
        <w:rPr>
          <w:rFonts w:asciiTheme="minorBidi" w:hAnsiTheme="minorBidi" w:cstheme="minorBidi"/>
          <w:lang w:val="en-US"/>
        </w:rPr>
        <w:t>the American Foreign Service Association (</w:t>
      </w:r>
      <w:r w:rsidRPr="001B3C1E">
        <w:rPr>
          <w:rFonts w:asciiTheme="minorBidi" w:hAnsiTheme="minorBidi" w:cstheme="minorBidi"/>
          <w:lang w:val="en-US"/>
        </w:rPr>
        <w:t>AFSA</w:t>
      </w:r>
      <w:r w:rsidR="00FA513B" w:rsidRPr="001B3C1E">
        <w:rPr>
          <w:rFonts w:asciiTheme="minorBidi" w:hAnsiTheme="minorBidi" w:cstheme="minorBidi"/>
          <w:lang w:val="en-US"/>
        </w:rPr>
        <w:t>)</w:t>
      </w:r>
      <w:r w:rsidRPr="001B3C1E">
        <w:rPr>
          <w:rFonts w:asciiTheme="minorBidi" w:hAnsiTheme="minorBidi" w:cstheme="minorBidi"/>
          <w:lang w:val="en-US"/>
        </w:rPr>
        <w:t xml:space="preserve"> </w:t>
      </w:r>
      <w:r w:rsidR="00CF217F" w:rsidRPr="001B3C1E">
        <w:rPr>
          <w:rFonts w:asciiTheme="minorBidi" w:hAnsiTheme="minorBidi" w:cstheme="minorBidi"/>
          <w:lang w:val="en-US"/>
        </w:rPr>
        <w:t xml:space="preserve">argued that they </w:t>
      </w:r>
      <w:r w:rsidRPr="001B3C1E">
        <w:rPr>
          <w:rFonts w:asciiTheme="minorBidi" w:hAnsiTheme="minorBidi" w:cstheme="minorBidi"/>
          <w:lang w:val="en-US"/>
        </w:rPr>
        <w:t xml:space="preserve">demonstrated direct injury to their members, including the planned termination of over 600 employees and the resulting threat to their representational activities, while Reporters Sans Frontières (RSF) and RSF-USA demonstrated harm to their journalist members operating in repressive environments who rely on USAGM broadcasts for safety and credibility. </w:t>
      </w:r>
    </w:p>
    <w:p w14:paraId="68908F15" w14:textId="4A540926" w:rsidR="00E70300" w:rsidRPr="001B3C1E" w:rsidRDefault="00E70300" w:rsidP="00E70300">
      <w:pPr>
        <w:spacing w:before="240" w:after="240"/>
        <w:jc w:val="both"/>
        <w:rPr>
          <w:rFonts w:asciiTheme="minorBidi" w:hAnsiTheme="minorBidi" w:cstheme="minorBidi"/>
          <w:lang w:val="en-US"/>
        </w:rPr>
      </w:pPr>
      <w:r w:rsidRPr="001B3C1E">
        <w:rPr>
          <w:rFonts w:asciiTheme="minorBidi" w:hAnsiTheme="minorBidi" w:cstheme="minorBidi"/>
          <w:lang w:val="en-US"/>
        </w:rPr>
        <w:t xml:space="preserve">These organizations also claimed direct injury to their core operations, including lost dues, the undermining of their missions, and the diversion of significant resources to mitigate the shutdown of USAGM. </w:t>
      </w:r>
      <w:proofErr w:type="gramStart"/>
      <w:r w:rsidRPr="001B3C1E">
        <w:rPr>
          <w:rFonts w:asciiTheme="minorBidi" w:hAnsiTheme="minorBidi" w:cstheme="minorBidi"/>
          <w:lang w:val="en-US"/>
        </w:rPr>
        <w:t>T</w:t>
      </w:r>
      <w:r w:rsidR="0027176D" w:rsidRPr="001B3C1E">
        <w:rPr>
          <w:rFonts w:asciiTheme="minorBidi" w:hAnsiTheme="minorBidi" w:cstheme="minorBidi"/>
          <w:lang w:val="en-US"/>
        </w:rPr>
        <w:t xml:space="preserve">he </w:t>
      </w:r>
      <w:proofErr w:type="spellStart"/>
      <w:r w:rsidRPr="001B3C1E">
        <w:rPr>
          <w:rFonts w:asciiTheme="minorBidi" w:hAnsiTheme="minorBidi" w:cstheme="minorBidi"/>
          <w:lang w:val="en-US"/>
        </w:rPr>
        <w:t>N</w:t>
      </w:r>
      <w:r w:rsidR="0027176D" w:rsidRPr="001B3C1E">
        <w:rPr>
          <w:rFonts w:asciiTheme="minorBidi" w:hAnsiTheme="minorBidi" w:cstheme="minorBidi"/>
          <w:lang w:val="en-US"/>
        </w:rPr>
        <w:t>ews</w:t>
      </w:r>
      <w:r w:rsidRPr="001B3C1E">
        <w:rPr>
          <w:rFonts w:asciiTheme="minorBidi" w:hAnsiTheme="minorBidi" w:cstheme="minorBidi"/>
          <w:lang w:val="en-US"/>
        </w:rPr>
        <w:t>G</w:t>
      </w:r>
      <w:r w:rsidR="0027176D" w:rsidRPr="001B3C1E">
        <w:rPr>
          <w:rFonts w:asciiTheme="minorBidi" w:hAnsiTheme="minorBidi" w:cstheme="minorBidi"/>
          <w:lang w:val="en-US"/>
        </w:rPr>
        <w:t>uild</w:t>
      </w:r>
      <w:proofErr w:type="spellEnd"/>
      <w:proofErr w:type="gramEnd"/>
      <w:r w:rsidRPr="001B3C1E">
        <w:rPr>
          <w:rFonts w:asciiTheme="minorBidi" w:hAnsiTheme="minorBidi" w:cstheme="minorBidi"/>
          <w:lang w:val="en-US"/>
        </w:rPr>
        <w:t xml:space="preserve">-CWA, representing RFA employees, highlighted imminent loss of health insurance and the danger of deportation for its members on nonimmigrant visas. The </w:t>
      </w:r>
      <w:r w:rsidR="002C5196" w:rsidRPr="001B3C1E">
        <w:rPr>
          <w:rFonts w:asciiTheme="minorBidi" w:hAnsiTheme="minorBidi" w:cstheme="minorBidi"/>
          <w:lang w:val="en-US"/>
        </w:rPr>
        <w:t>P</w:t>
      </w:r>
      <w:r w:rsidRPr="001B3C1E">
        <w:rPr>
          <w:rFonts w:asciiTheme="minorBidi" w:hAnsiTheme="minorBidi" w:cstheme="minorBidi"/>
          <w:lang w:val="en-US"/>
        </w:rPr>
        <w:t xml:space="preserve">laintiffs further established that the case was properly before the </w:t>
      </w:r>
      <w:r w:rsidR="00906835" w:rsidRPr="001B3C1E">
        <w:rPr>
          <w:rFonts w:asciiTheme="minorBidi" w:hAnsiTheme="minorBidi" w:cstheme="minorBidi"/>
          <w:lang w:val="en-US"/>
        </w:rPr>
        <w:t>C</w:t>
      </w:r>
      <w:r w:rsidRPr="001B3C1E">
        <w:rPr>
          <w:rFonts w:asciiTheme="minorBidi" w:hAnsiTheme="minorBidi" w:cstheme="minorBidi"/>
          <w:lang w:val="en-US"/>
        </w:rPr>
        <w:t xml:space="preserve">ourt, rejecting arguments that it involved only personnel or grant disputes. They maintained that the </w:t>
      </w:r>
      <w:r w:rsidR="00906835" w:rsidRPr="001B3C1E">
        <w:rPr>
          <w:rFonts w:asciiTheme="minorBidi" w:hAnsiTheme="minorBidi" w:cstheme="minorBidi"/>
          <w:lang w:val="en-US"/>
        </w:rPr>
        <w:t>n</w:t>
      </w:r>
      <w:r w:rsidRPr="001B3C1E">
        <w:rPr>
          <w:rFonts w:asciiTheme="minorBidi" w:hAnsiTheme="minorBidi" w:cstheme="minorBidi"/>
          <w:lang w:val="en-US"/>
        </w:rPr>
        <w:t xml:space="preserve">etworks’ rights arose from congressional statutes, not mere contracts, and that USAGM’s dismantling of operations presented constitutional and administrative claims wholly collateral to ordinary employment disputes, beyond the jurisdiction of administrative review bodies such as the Merit Systems Protection Board. They emphasized that VOA’s complete silence, the cessation of funding to statutorily mandated networks, and leadership’s public </w:t>
      </w:r>
      <w:r w:rsidRPr="001B3C1E">
        <w:rPr>
          <w:rFonts w:asciiTheme="minorBidi" w:hAnsiTheme="minorBidi" w:cstheme="minorBidi"/>
          <w:lang w:val="en-US"/>
        </w:rPr>
        <w:lastRenderedPageBreak/>
        <w:t xml:space="preserve">statements that the agency was “not salvageable” illustrated the extraordinary nature of the </w:t>
      </w:r>
      <w:r w:rsidR="002C5196" w:rsidRPr="001B3C1E">
        <w:rPr>
          <w:rFonts w:asciiTheme="minorBidi" w:hAnsiTheme="minorBidi" w:cstheme="minorBidi"/>
          <w:lang w:val="en-US"/>
        </w:rPr>
        <w:t xml:space="preserve">Government’s </w:t>
      </w:r>
      <w:r w:rsidRPr="001B3C1E">
        <w:rPr>
          <w:rFonts w:asciiTheme="minorBidi" w:hAnsiTheme="minorBidi" w:cstheme="minorBidi"/>
          <w:lang w:val="en-US"/>
        </w:rPr>
        <w:t>actions.</w:t>
      </w:r>
    </w:p>
    <w:p w14:paraId="7375DDC6" w14:textId="4A2CAC1D" w:rsidR="00E70300" w:rsidRPr="001B3C1E" w:rsidRDefault="00E70300" w:rsidP="00E70300">
      <w:pPr>
        <w:spacing w:before="240" w:after="240"/>
        <w:jc w:val="both"/>
        <w:rPr>
          <w:rFonts w:asciiTheme="minorBidi" w:hAnsiTheme="minorBidi" w:cstheme="minorBidi"/>
          <w:lang w:val="en-US"/>
        </w:rPr>
      </w:pPr>
      <w:r w:rsidRPr="001B3C1E">
        <w:rPr>
          <w:rFonts w:asciiTheme="minorBidi" w:hAnsiTheme="minorBidi" w:cstheme="minorBidi"/>
          <w:lang w:val="en-US"/>
        </w:rPr>
        <w:t xml:space="preserve">The </w:t>
      </w:r>
      <w:r w:rsidR="002C5196" w:rsidRPr="001B3C1E">
        <w:rPr>
          <w:rFonts w:asciiTheme="minorBidi" w:hAnsiTheme="minorBidi" w:cstheme="minorBidi"/>
          <w:lang w:val="en-US"/>
        </w:rPr>
        <w:t>P</w:t>
      </w:r>
      <w:r w:rsidRPr="001B3C1E">
        <w:rPr>
          <w:rFonts w:asciiTheme="minorBidi" w:hAnsiTheme="minorBidi" w:cstheme="minorBidi"/>
          <w:lang w:val="en-US"/>
        </w:rPr>
        <w:t xml:space="preserve">laintiffs also </w:t>
      </w:r>
      <w:r w:rsidR="00A56052" w:rsidRPr="001B3C1E">
        <w:rPr>
          <w:rFonts w:asciiTheme="minorBidi" w:hAnsiTheme="minorBidi" w:cstheme="minorBidi"/>
          <w:lang w:val="en-US"/>
        </w:rPr>
        <w:t>claimed</w:t>
      </w:r>
      <w:r w:rsidRPr="001B3C1E">
        <w:rPr>
          <w:rFonts w:asciiTheme="minorBidi" w:hAnsiTheme="minorBidi" w:cstheme="minorBidi"/>
          <w:lang w:val="en-US"/>
        </w:rPr>
        <w:t xml:space="preserve"> a likelihood of success on the merits of their APA claims. They contended that the </w:t>
      </w:r>
      <w:r w:rsidR="002C5196" w:rsidRPr="001B3C1E">
        <w:rPr>
          <w:rFonts w:asciiTheme="minorBidi" w:hAnsiTheme="minorBidi" w:cstheme="minorBidi"/>
          <w:lang w:val="en-US"/>
        </w:rPr>
        <w:t>Government</w:t>
      </w:r>
      <w:r w:rsidRPr="001B3C1E">
        <w:rPr>
          <w:rFonts w:asciiTheme="minorBidi" w:hAnsiTheme="minorBidi" w:cstheme="minorBidi"/>
          <w:lang w:val="en-US"/>
        </w:rPr>
        <w:t>’</w:t>
      </w:r>
      <w:r w:rsidR="002C5196" w:rsidRPr="001B3C1E">
        <w:rPr>
          <w:rFonts w:asciiTheme="minorBidi" w:hAnsiTheme="minorBidi" w:cstheme="minorBidi"/>
          <w:lang w:val="en-US"/>
        </w:rPr>
        <w:t>s</w:t>
      </w:r>
      <w:r w:rsidRPr="001B3C1E">
        <w:rPr>
          <w:rFonts w:asciiTheme="minorBidi" w:hAnsiTheme="minorBidi" w:cstheme="minorBidi"/>
          <w:lang w:val="en-US"/>
        </w:rPr>
        <w:t xml:space="preserve"> actions</w:t>
      </w:r>
      <w:r w:rsidR="00A56052" w:rsidRPr="001B3C1E">
        <w:rPr>
          <w:rFonts w:asciiTheme="minorBidi" w:hAnsiTheme="minorBidi" w:cstheme="minorBidi"/>
          <w:lang w:val="en-US"/>
        </w:rPr>
        <w:t xml:space="preserve">, </w:t>
      </w:r>
      <w:r w:rsidRPr="001B3C1E">
        <w:rPr>
          <w:rFonts w:asciiTheme="minorBidi" w:hAnsiTheme="minorBidi" w:cstheme="minorBidi"/>
          <w:lang w:val="en-US"/>
        </w:rPr>
        <w:t>mass administrative leave for over a thousand employees, termination of contracts, elimination of grants, and the planned firing of hundreds</w:t>
      </w:r>
      <w:r w:rsidR="00A56052" w:rsidRPr="001B3C1E">
        <w:rPr>
          <w:rFonts w:asciiTheme="minorBidi" w:hAnsiTheme="minorBidi" w:cstheme="minorBidi"/>
          <w:lang w:val="en-US"/>
        </w:rPr>
        <w:t xml:space="preserve">, </w:t>
      </w:r>
      <w:r w:rsidRPr="001B3C1E">
        <w:rPr>
          <w:rFonts w:asciiTheme="minorBidi" w:hAnsiTheme="minorBidi" w:cstheme="minorBidi"/>
          <w:lang w:val="en-US"/>
        </w:rPr>
        <w:t>constituted discrete and final agency actions ripe for judicial review. These actions, they argued, were arbitrary and capricious because they lacked any reasoned analysis, failed to distinguish between mandatory and discretionary functions, disregarded decades of reliance interests including VOA’s 80-year history and a global audience of 425 million, and violated both the International Broadcasting Act’s requirement that VOA serve as a “consistently reliable and authoritative source of news”</w:t>
      </w:r>
      <w:r w:rsidR="00771993" w:rsidRPr="001B3C1E">
        <w:rPr>
          <w:rFonts w:asciiTheme="minorBidi" w:hAnsiTheme="minorBidi" w:cstheme="minorBidi"/>
          <w:lang w:val="en-US"/>
        </w:rPr>
        <w:t xml:space="preserve"> [p. 28]</w:t>
      </w:r>
      <w:r w:rsidRPr="001B3C1E">
        <w:rPr>
          <w:rFonts w:asciiTheme="minorBidi" w:hAnsiTheme="minorBidi" w:cstheme="minorBidi"/>
          <w:lang w:val="en-US"/>
        </w:rPr>
        <w:t xml:space="preserve"> and appropriations statutes requiring notice and adherence to funding limits. By refusing to expend congressionally </w:t>
      </w:r>
      <w:proofErr w:type="gramStart"/>
      <w:r w:rsidRPr="001B3C1E">
        <w:rPr>
          <w:rFonts w:asciiTheme="minorBidi" w:hAnsiTheme="minorBidi" w:cstheme="minorBidi"/>
          <w:lang w:val="en-US"/>
        </w:rPr>
        <w:t>appropriated</w:t>
      </w:r>
      <w:proofErr w:type="gramEnd"/>
      <w:r w:rsidRPr="001B3C1E">
        <w:rPr>
          <w:rFonts w:asciiTheme="minorBidi" w:hAnsiTheme="minorBidi" w:cstheme="minorBidi"/>
          <w:lang w:val="en-US"/>
        </w:rPr>
        <w:t xml:space="preserve"> funds, the </w:t>
      </w:r>
      <w:r w:rsidR="00771993" w:rsidRPr="001B3C1E">
        <w:rPr>
          <w:rFonts w:asciiTheme="minorBidi" w:hAnsiTheme="minorBidi" w:cstheme="minorBidi"/>
          <w:lang w:val="en-US"/>
        </w:rPr>
        <w:t xml:space="preserve">Government </w:t>
      </w:r>
      <w:r w:rsidRPr="001B3C1E">
        <w:rPr>
          <w:rFonts w:asciiTheme="minorBidi" w:hAnsiTheme="minorBidi" w:cstheme="minorBidi"/>
          <w:lang w:val="en-US"/>
        </w:rPr>
        <w:t>also allegedly violated the Take Care Claus</w:t>
      </w:r>
      <w:r w:rsidR="00DC7FCC" w:rsidRPr="001B3C1E">
        <w:rPr>
          <w:rFonts w:asciiTheme="minorBidi" w:hAnsiTheme="minorBidi" w:cstheme="minorBidi"/>
          <w:lang w:val="en-US"/>
        </w:rPr>
        <w:t>e</w:t>
      </w:r>
      <w:r w:rsidRPr="001B3C1E">
        <w:rPr>
          <w:rFonts w:asciiTheme="minorBidi" w:hAnsiTheme="minorBidi" w:cstheme="minorBidi"/>
          <w:lang w:val="en-US"/>
        </w:rPr>
        <w:t xml:space="preserve">. The </w:t>
      </w:r>
      <w:r w:rsidR="00DC7FCC" w:rsidRPr="001B3C1E">
        <w:rPr>
          <w:rFonts w:asciiTheme="minorBidi" w:hAnsiTheme="minorBidi" w:cstheme="minorBidi"/>
          <w:lang w:val="en-US"/>
        </w:rPr>
        <w:t>P</w:t>
      </w:r>
      <w:r w:rsidRPr="001B3C1E">
        <w:rPr>
          <w:rFonts w:asciiTheme="minorBidi" w:hAnsiTheme="minorBidi" w:cstheme="minorBidi"/>
          <w:lang w:val="en-US"/>
        </w:rPr>
        <w:t xml:space="preserve">laintiffs </w:t>
      </w:r>
      <w:r w:rsidR="00DC7FCC" w:rsidRPr="001B3C1E">
        <w:rPr>
          <w:rFonts w:asciiTheme="minorBidi" w:hAnsiTheme="minorBidi" w:cstheme="minorBidi"/>
          <w:lang w:val="en-US"/>
        </w:rPr>
        <w:t xml:space="preserve">further </w:t>
      </w:r>
      <w:r w:rsidRPr="001B3C1E">
        <w:rPr>
          <w:rFonts w:asciiTheme="minorBidi" w:hAnsiTheme="minorBidi" w:cstheme="minorBidi"/>
          <w:lang w:val="en-US"/>
        </w:rPr>
        <w:t>asserted irreparable harm absent relief, describing the wholesale dismantling of USAGM’s operations as an existential threat to their missions, the collapse of grantee networks, the imminent deportation of PSCs to hostile regimes, and the silencing of independent journalism in authoritarian regions. They argued that these harms were certain, imminent, and beyond monetary compensation. Finally, they maintained that the balance of equities and public interest overwhelmingly favored an injunction, as the Government would suffer no legitimate harm from being compelled to comply with binding law, while the public has a vital interest in ensuring that international broadcasting continues in accordance with Congress’s long-established directives.</w:t>
      </w:r>
    </w:p>
    <w:p w14:paraId="5EED5E2A" w14:textId="193BFA8C" w:rsidR="00E70300" w:rsidRPr="001B3C1E" w:rsidRDefault="009B2BEA" w:rsidP="00A3742D">
      <w:pPr>
        <w:spacing w:before="240" w:after="240"/>
        <w:jc w:val="both"/>
        <w:rPr>
          <w:rFonts w:asciiTheme="minorBidi" w:hAnsiTheme="minorBidi" w:cstheme="minorBidi"/>
          <w:lang w:val="en-US"/>
        </w:rPr>
      </w:pPr>
      <w:r w:rsidRPr="001B3C1E">
        <w:rPr>
          <w:rFonts w:asciiTheme="minorBidi" w:hAnsiTheme="minorBidi" w:cstheme="minorBidi"/>
          <w:lang w:val="en-US"/>
        </w:rPr>
        <w:t xml:space="preserve">The Government opposed the </w:t>
      </w:r>
      <w:r w:rsidRPr="001B3C1E">
        <w:rPr>
          <w:rFonts w:asciiTheme="minorBidi" w:hAnsiTheme="minorBidi" w:cstheme="minorBidi"/>
          <w:lang w:val="en-US"/>
        </w:rPr>
        <w:t>P</w:t>
      </w:r>
      <w:r w:rsidRPr="001B3C1E">
        <w:rPr>
          <w:rFonts w:asciiTheme="minorBidi" w:hAnsiTheme="minorBidi" w:cstheme="minorBidi"/>
          <w:lang w:val="en-US"/>
        </w:rPr>
        <w:t xml:space="preserve">laintiffs’ motion for a preliminary injunction by raising a series of arguments centered on jurisdiction, the applicability of the Administrative Procedure Act (APA), and the nature of the alleged harms. On standing, the Government asserted that the organizational </w:t>
      </w:r>
      <w:r w:rsidR="001A064A" w:rsidRPr="001B3C1E">
        <w:rPr>
          <w:rFonts w:asciiTheme="minorBidi" w:hAnsiTheme="minorBidi" w:cstheme="minorBidi"/>
          <w:lang w:val="en-US"/>
        </w:rPr>
        <w:t>P</w:t>
      </w:r>
      <w:r w:rsidRPr="001B3C1E">
        <w:rPr>
          <w:rFonts w:asciiTheme="minorBidi" w:hAnsiTheme="minorBidi" w:cstheme="minorBidi"/>
          <w:lang w:val="en-US"/>
        </w:rPr>
        <w:t>laintiffs, including public-sector unions (AFSCME, AFGE, AFSA) and nongovernmental organizations</w:t>
      </w:r>
      <w:r w:rsidR="007D5C00" w:rsidRPr="001B3C1E">
        <w:rPr>
          <w:rFonts w:asciiTheme="minorBidi" w:hAnsiTheme="minorBidi" w:cstheme="minorBidi"/>
          <w:lang w:val="en-US"/>
        </w:rPr>
        <w:t xml:space="preserve"> (NGOs)</w:t>
      </w:r>
      <w:r w:rsidRPr="001B3C1E">
        <w:rPr>
          <w:rFonts w:asciiTheme="minorBidi" w:hAnsiTheme="minorBidi" w:cstheme="minorBidi"/>
          <w:lang w:val="en-US"/>
        </w:rPr>
        <w:t xml:space="preserve"> (RSF and RSF-USA), failed to establish a substantial likelihood of standing. It argued that alleged injuries to union members placed on administrative leave amounted to speculation about potential future events, particularly since the</w:t>
      </w:r>
      <w:r w:rsidR="001A064A" w:rsidRPr="001B3C1E">
        <w:rPr>
          <w:rFonts w:asciiTheme="minorBidi" w:hAnsiTheme="minorBidi" w:cstheme="minorBidi"/>
          <w:lang w:val="en-US"/>
        </w:rPr>
        <w:t xml:space="preserve"> USAGM remained operational</w:t>
      </w:r>
      <w:r w:rsidRPr="001B3C1E">
        <w:rPr>
          <w:rFonts w:asciiTheme="minorBidi" w:hAnsiTheme="minorBidi" w:cstheme="minorBidi"/>
          <w:lang w:val="en-US"/>
        </w:rPr>
        <w:t xml:space="preserve">. The </w:t>
      </w:r>
      <w:r w:rsidR="001A064A" w:rsidRPr="001B3C1E">
        <w:rPr>
          <w:rFonts w:asciiTheme="minorBidi" w:hAnsiTheme="minorBidi" w:cstheme="minorBidi"/>
          <w:lang w:val="en-US"/>
        </w:rPr>
        <w:t xml:space="preserve">Government </w:t>
      </w:r>
      <w:r w:rsidRPr="001B3C1E">
        <w:rPr>
          <w:rFonts w:asciiTheme="minorBidi" w:hAnsiTheme="minorBidi" w:cstheme="minorBidi"/>
          <w:lang w:val="en-US"/>
        </w:rPr>
        <w:t xml:space="preserve">further contended that the organizational </w:t>
      </w:r>
      <w:r w:rsidR="001A064A" w:rsidRPr="001B3C1E">
        <w:rPr>
          <w:rFonts w:asciiTheme="minorBidi" w:hAnsiTheme="minorBidi" w:cstheme="minorBidi"/>
          <w:lang w:val="en-US"/>
        </w:rPr>
        <w:t xml:space="preserve">Plaintiffs </w:t>
      </w:r>
      <w:r w:rsidRPr="001B3C1E">
        <w:rPr>
          <w:rFonts w:asciiTheme="minorBidi" w:hAnsiTheme="minorBidi" w:cstheme="minorBidi"/>
          <w:lang w:val="en-US"/>
        </w:rPr>
        <w:t>had identified no “concrete and demonstrable” harm to their activities, as VOA had not been completely dismantled and USAGM continued to function. Regarding congressional appropriations, the Government maintained that the Court lacked jurisdiction over disputes arising from the termination of USAGM grants, characterizing them as “strictly contractual” and invoking the Tucker Act</w:t>
      </w:r>
      <w:r w:rsidR="00E81B50" w:rsidRPr="001B3C1E">
        <w:rPr>
          <w:rFonts w:asciiTheme="minorBidi" w:hAnsiTheme="minorBidi" w:cstheme="minorBidi"/>
          <w:lang w:val="en-US"/>
        </w:rPr>
        <w:t xml:space="preserve">, </w:t>
      </w:r>
      <w:r w:rsidR="00E81B50" w:rsidRPr="001B3C1E">
        <w:rPr>
          <w:rFonts w:asciiTheme="minorBidi" w:hAnsiTheme="minorBidi" w:cstheme="minorBidi"/>
          <w:lang w:val="en-US"/>
        </w:rPr>
        <w:t xml:space="preserve">which grants exclusive jurisdiction to the Court of Federal Claims </w:t>
      </w:r>
      <w:r w:rsidR="004E74C6" w:rsidRPr="001B3C1E">
        <w:rPr>
          <w:rFonts w:asciiTheme="minorBidi" w:hAnsiTheme="minorBidi" w:cstheme="minorBidi"/>
          <w:lang w:val="en-US"/>
        </w:rPr>
        <w:t xml:space="preserve">(not </w:t>
      </w:r>
      <w:r w:rsidR="00303E57" w:rsidRPr="001B3C1E">
        <w:rPr>
          <w:rFonts w:asciiTheme="minorBidi" w:hAnsiTheme="minorBidi" w:cstheme="minorBidi"/>
          <w:lang w:val="en-US"/>
        </w:rPr>
        <w:t>a district court</w:t>
      </w:r>
      <w:r w:rsidR="004E74C6" w:rsidRPr="001B3C1E">
        <w:rPr>
          <w:rFonts w:asciiTheme="minorBidi" w:hAnsiTheme="minorBidi" w:cstheme="minorBidi"/>
          <w:lang w:val="en-US"/>
        </w:rPr>
        <w:t xml:space="preserve">, as in this case) </w:t>
      </w:r>
      <w:r w:rsidR="00E81B50" w:rsidRPr="001B3C1E">
        <w:rPr>
          <w:rFonts w:asciiTheme="minorBidi" w:hAnsiTheme="minorBidi" w:cstheme="minorBidi"/>
          <w:lang w:val="en-US"/>
        </w:rPr>
        <w:t xml:space="preserve">over </w:t>
      </w:r>
      <w:r w:rsidR="00FA3722" w:rsidRPr="001B3C1E">
        <w:rPr>
          <w:rFonts w:asciiTheme="minorBidi" w:hAnsiTheme="minorBidi" w:cstheme="minorBidi"/>
          <w:lang w:val="en-US"/>
        </w:rPr>
        <w:t>law</w:t>
      </w:r>
      <w:r w:rsidR="00E81B50" w:rsidRPr="001B3C1E">
        <w:rPr>
          <w:rFonts w:asciiTheme="minorBidi" w:hAnsiTheme="minorBidi" w:cstheme="minorBidi"/>
          <w:lang w:val="en-US"/>
        </w:rPr>
        <w:t>suits based on express or implied contract with the United States</w:t>
      </w:r>
      <w:r w:rsidR="00FA3722" w:rsidRPr="001B3C1E">
        <w:rPr>
          <w:rFonts w:asciiTheme="minorBidi" w:hAnsiTheme="minorBidi" w:cstheme="minorBidi"/>
          <w:lang w:val="en-US"/>
        </w:rPr>
        <w:t xml:space="preserve">, </w:t>
      </w:r>
      <w:r w:rsidRPr="001B3C1E">
        <w:rPr>
          <w:rFonts w:asciiTheme="minorBidi" w:hAnsiTheme="minorBidi" w:cstheme="minorBidi"/>
          <w:lang w:val="en-US"/>
        </w:rPr>
        <w:t xml:space="preserve">as a bar to such claims. </w:t>
      </w:r>
      <w:r w:rsidR="00031A00" w:rsidRPr="001B3C1E">
        <w:rPr>
          <w:rFonts w:asciiTheme="minorBidi" w:hAnsiTheme="minorBidi" w:cstheme="minorBidi"/>
          <w:lang w:val="en-US"/>
        </w:rPr>
        <w:t xml:space="preserve">The Government </w:t>
      </w:r>
      <w:r w:rsidRPr="001B3C1E">
        <w:rPr>
          <w:rFonts w:asciiTheme="minorBidi" w:hAnsiTheme="minorBidi" w:cstheme="minorBidi"/>
          <w:lang w:val="en-US"/>
        </w:rPr>
        <w:t>relied on Department of Education v. California to argue that grant termination disputes cannot be adjudicated in federal district court. On personnel matters, the Government asserted that the Court lacked jurisdiction to enjoin USAGM’s personnel actions concerning individual plaintiff employees, as these disputes are governed by statutory schemes such as the Federal Service Labor–Management Relations Statute</w:t>
      </w:r>
      <w:r w:rsidR="004561F4">
        <w:rPr>
          <w:rFonts w:asciiTheme="minorBidi" w:hAnsiTheme="minorBidi" w:cstheme="minorBidi"/>
          <w:lang w:val="en-US"/>
        </w:rPr>
        <w:t xml:space="preserve">, </w:t>
      </w:r>
      <w:r w:rsidRPr="001B3C1E">
        <w:rPr>
          <w:rFonts w:asciiTheme="minorBidi" w:hAnsiTheme="minorBidi" w:cstheme="minorBidi"/>
          <w:lang w:val="en-US"/>
        </w:rPr>
        <w:t>the Civil Service Reform Act, and the Foreign Service Act, which channel review to administrative bodies including the Merit Systems Protection Board (MSPB), the Federal Labor Relations Authority, and the Office of Special Counse</w:t>
      </w:r>
      <w:r w:rsidR="004561F4">
        <w:rPr>
          <w:rFonts w:asciiTheme="minorBidi" w:hAnsiTheme="minorBidi" w:cstheme="minorBidi"/>
          <w:lang w:val="en-US"/>
        </w:rPr>
        <w:t>l</w:t>
      </w:r>
      <w:r w:rsidRPr="001B3C1E">
        <w:rPr>
          <w:rFonts w:asciiTheme="minorBidi" w:hAnsiTheme="minorBidi" w:cstheme="minorBidi"/>
          <w:lang w:val="en-US"/>
        </w:rPr>
        <w:t xml:space="preserve">. The Government characterized the </w:t>
      </w:r>
      <w:r w:rsidR="00303E57" w:rsidRPr="001B3C1E">
        <w:rPr>
          <w:rFonts w:asciiTheme="minorBidi" w:hAnsiTheme="minorBidi" w:cstheme="minorBidi"/>
          <w:lang w:val="en-US"/>
        </w:rPr>
        <w:t xml:space="preserve">Plaintiffs’ </w:t>
      </w:r>
      <w:r w:rsidRPr="001B3C1E">
        <w:rPr>
          <w:rFonts w:asciiTheme="minorBidi" w:hAnsiTheme="minorBidi" w:cstheme="minorBidi"/>
          <w:lang w:val="en-US"/>
        </w:rPr>
        <w:t>claims as typical complaints about altered employment conditions and primarily financial effects, citing AFSA v. Trump. For</w:t>
      </w:r>
      <w:r w:rsidR="00303E57" w:rsidRPr="001B3C1E">
        <w:rPr>
          <w:rFonts w:asciiTheme="minorBidi" w:hAnsiTheme="minorBidi" w:cstheme="minorBidi"/>
          <w:lang w:val="en-US"/>
        </w:rPr>
        <w:t xml:space="preserve"> </w:t>
      </w:r>
      <w:r w:rsidR="00572E3F" w:rsidRPr="001B3C1E">
        <w:rPr>
          <w:rFonts w:asciiTheme="minorBidi" w:hAnsiTheme="minorBidi" w:cstheme="minorBidi"/>
          <w:lang w:val="en-US"/>
        </w:rPr>
        <w:t xml:space="preserve">unnamed </w:t>
      </w:r>
      <w:r w:rsidRPr="001B3C1E">
        <w:rPr>
          <w:rFonts w:asciiTheme="minorBidi" w:hAnsiTheme="minorBidi" w:cstheme="minorBidi"/>
          <w:lang w:val="en-US"/>
        </w:rPr>
        <w:t>PSC</w:t>
      </w:r>
      <w:r w:rsidR="00EA5346" w:rsidRPr="001B3C1E">
        <w:rPr>
          <w:rFonts w:asciiTheme="minorBidi" w:hAnsiTheme="minorBidi" w:cstheme="minorBidi"/>
          <w:lang w:val="en-US"/>
        </w:rPr>
        <w:t xml:space="preserve"> Plaintiffs in this case</w:t>
      </w:r>
      <w:r w:rsidRPr="001B3C1E">
        <w:rPr>
          <w:rFonts w:asciiTheme="minorBidi" w:hAnsiTheme="minorBidi" w:cstheme="minorBidi"/>
          <w:lang w:val="en-US"/>
        </w:rPr>
        <w:t xml:space="preserve">, the Government argued that their claims fall under the Contract Disputes Act (CDA) and must be brought </w:t>
      </w:r>
      <w:r w:rsidR="00DD14E7" w:rsidRPr="001B3C1E">
        <w:rPr>
          <w:rFonts w:asciiTheme="minorBidi" w:hAnsiTheme="minorBidi" w:cstheme="minorBidi"/>
          <w:lang w:val="en-US"/>
        </w:rPr>
        <w:t>before</w:t>
      </w:r>
      <w:r w:rsidRPr="001B3C1E">
        <w:rPr>
          <w:rFonts w:asciiTheme="minorBidi" w:hAnsiTheme="minorBidi" w:cstheme="minorBidi"/>
          <w:lang w:val="en-US"/>
        </w:rPr>
        <w:t xml:space="preserve"> the Court of Federal Claims.</w:t>
      </w:r>
    </w:p>
    <w:p w14:paraId="1C2617A2" w14:textId="2D577993" w:rsidR="008A35C5" w:rsidRPr="001B3C1E" w:rsidRDefault="008A35C5" w:rsidP="006C6201">
      <w:pPr>
        <w:spacing w:before="240" w:after="240"/>
        <w:jc w:val="both"/>
        <w:rPr>
          <w:rFonts w:asciiTheme="minorBidi" w:hAnsiTheme="minorBidi" w:cstheme="minorBidi"/>
          <w:lang w:val="en-US"/>
        </w:rPr>
      </w:pPr>
      <w:r w:rsidRPr="001B3C1E">
        <w:rPr>
          <w:rFonts w:asciiTheme="minorBidi" w:hAnsiTheme="minorBidi" w:cstheme="minorBidi"/>
          <w:lang w:val="en-US"/>
        </w:rPr>
        <w:lastRenderedPageBreak/>
        <w:t xml:space="preserve">The Government also contested the </w:t>
      </w:r>
      <w:r w:rsidRPr="001B3C1E">
        <w:rPr>
          <w:rFonts w:asciiTheme="minorBidi" w:hAnsiTheme="minorBidi" w:cstheme="minorBidi"/>
          <w:lang w:val="en-US"/>
        </w:rPr>
        <w:t xml:space="preserve">Plaintiffs’ </w:t>
      </w:r>
      <w:r w:rsidRPr="001B3C1E">
        <w:rPr>
          <w:rFonts w:asciiTheme="minorBidi" w:hAnsiTheme="minorBidi" w:cstheme="minorBidi"/>
          <w:lang w:val="en-US"/>
        </w:rPr>
        <w:t xml:space="preserve">likelihood of success on the merits under the APA. It maintained that the </w:t>
      </w:r>
      <w:r w:rsidRPr="001B3C1E">
        <w:rPr>
          <w:rFonts w:asciiTheme="minorBidi" w:hAnsiTheme="minorBidi" w:cstheme="minorBidi"/>
          <w:lang w:val="en-US"/>
        </w:rPr>
        <w:t xml:space="preserve">Plaintiffs </w:t>
      </w:r>
      <w:r w:rsidRPr="001B3C1E">
        <w:rPr>
          <w:rFonts w:asciiTheme="minorBidi" w:hAnsiTheme="minorBidi" w:cstheme="minorBidi"/>
          <w:lang w:val="en-US"/>
        </w:rPr>
        <w:t xml:space="preserve">were improperly challenging the overall dismantling of USAGM rather than a discrete agency action, which would require impermissible judicial supervision of agency operations. It further argued that the challenged measures were not “final” because USAGM remained operational and activities were merely paused pending compliance with </w:t>
      </w:r>
      <w:r w:rsidRPr="001B3C1E">
        <w:rPr>
          <w:rFonts w:asciiTheme="minorBidi" w:hAnsiTheme="minorBidi" w:cstheme="minorBidi"/>
          <w:lang w:val="en-US"/>
        </w:rPr>
        <w:t>EO</w:t>
      </w:r>
      <w:r w:rsidRPr="001B3C1E">
        <w:rPr>
          <w:rFonts w:asciiTheme="minorBidi" w:hAnsiTheme="minorBidi" w:cstheme="minorBidi"/>
          <w:lang w:val="en-US"/>
        </w:rPr>
        <w:t xml:space="preserve"> 14238. As to the claim of arbitrary and capricious conduct, the Government initially justified its actions as taken “[</w:t>
      </w:r>
      <w:proofErr w:type="spellStart"/>
      <w:r w:rsidRPr="001B3C1E">
        <w:rPr>
          <w:rFonts w:asciiTheme="minorBidi" w:hAnsiTheme="minorBidi" w:cstheme="minorBidi"/>
          <w:lang w:val="en-US"/>
        </w:rPr>
        <w:t>i</w:t>
      </w:r>
      <w:proofErr w:type="spellEnd"/>
      <w:r w:rsidRPr="001B3C1E">
        <w:rPr>
          <w:rFonts w:asciiTheme="minorBidi" w:hAnsiTheme="minorBidi" w:cstheme="minorBidi"/>
          <w:lang w:val="en-US"/>
        </w:rPr>
        <w:t>]n furtherance of the OPM Memorandum and the [EO]”</w:t>
      </w:r>
      <w:r w:rsidR="006C6201" w:rsidRPr="001B3C1E">
        <w:rPr>
          <w:rFonts w:asciiTheme="minorBidi" w:hAnsiTheme="minorBidi" w:cstheme="minorBidi"/>
          <w:lang w:val="en-US"/>
        </w:rPr>
        <w:t xml:space="preserve"> which provides that “federal agencies “</w:t>
      </w:r>
      <w:r w:rsidR="006C6201" w:rsidRPr="001B3C1E">
        <w:rPr>
          <w:rFonts w:asciiTheme="minorBidi" w:hAnsiTheme="minorBidi" w:cstheme="minorBidi"/>
          <w:lang w:val="en-US"/>
        </w:rPr>
        <w:t>have the discretion to grant paid administrative leave to employees to help manage their workforces when it is in their best interest to do so.</w:t>
      </w:r>
      <w:r w:rsidR="006C6201" w:rsidRPr="001B3C1E">
        <w:rPr>
          <w:rFonts w:asciiTheme="minorBidi" w:hAnsiTheme="minorBidi" w:cstheme="minorBidi"/>
          <w:lang w:val="en-US"/>
        </w:rPr>
        <w:t>””</w:t>
      </w:r>
      <w:r w:rsidR="00D06711" w:rsidRPr="001B3C1E">
        <w:rPr>
          <w:rFonts w:asciiTheme="minorBidi" w:hAnsiTheme="minorBidi" w:cstheme="minorBidi"/>
          <w:lang w:val="en-US"/>
        </w:rPr>
        <w:t xml:space="preserve"> [p. 26]</w:t>
      </w:r>
      <w:r w:rsidRPr="001B3C1E">
        <w:rPr>
          <w:rFonts w:asciiTheme="minorBidi" w:hAnsiTheme="minorBidi" w:cstheme="minorBidi"/>
          <w:lang w:val="en-US"/>
        </w:rPr>
        <w:t xml:space="preserve"> and later refrained from directly contesting the arbitrary and capricious argument, instead stating that USAGM was still determining how best to implement the </w:t>
      </w:r>
      <w:r w:rsidR="001F3169" w:rsidRPr="001B3C1E">
        <w:rPr>
          <w:rFonts w:asciiTheme="minorBidi" w:hAnsiTheme="minorBidi" w:cstheme="minorBidi"/>
          <w:lang w:val="en-US"/>
        </w:rPr>
        <w:t>EO</w:t>
      </w:r>
      <w:r w:rsidRPr="001B3C1E">
        <w:rPr>
          <w:rFonts w:asciiTheme="minorBidi" w:hAnsiTheme="minorBidi" w:cstheme="minorBidi"/>
          <w:lang w:val="en-US"/>
        </w:rPr>
        <w:t xml:space="preserve">. With respect to claims of unlawfully withheld or unreasonably delayed action, the Government argued that disputes regarding the withholding of appropriated funds were not ripe and declined to specify the planned use of VOA’s earmarked funds. In response to First Amendment allegations, the Government denied engaging in viewpoint discrimination, asserting that all journalism functions were suspended without targeting any </w:t>
      </w:r>
      <w:proofErr w:type="gramStart"/>
      <w:r w:rsidRPr="001B3C1E">
        <w:rPr>
          <w:rFonts w:asciiTheme="minorBidi" w:hAnsiTheme="minorBidi" w:cstheme="minorBidi"/>
          <w:lang w:val="en-US"/>
        </w:rPr>
        <w:t>particular viewpoint</w:t>
      </w:r>
      <w:proofErr w:type="gramEnd"/>
      <w:r w:rsidRPr="001B3C1E">
        <w:rPr>
          <w:rFonts w:asciiTheme="minorBidi" w:hAnsiTheme="minorBidi" w:cstheme="minorBidi"/>
          <w:lang w:val="en-US"/>
        </w:rPr>
        <w:t xml:space="preserve">. On irreparable harm, the Government argued that the </w:t>
      </w:r>
      <w:r w:rsidR="002B16E0" w:rsidRPr="001B3C1E">
        <w:rPr>
          <w:rFonts w:asciiTheme="minorBidi" w:hAnsiTheme="minorBidi" w:cstheme="minorBidi"/>
          <w:lang w:val="en-US"/>
        </w:rPr>
        <w:t xml:space="preserve">Plaintiffs’ </w:t>
      </w:r>
      <w:r w:rsidRPr="001B3C1E">
        <w:rPr>
          <w:rFonts w:asciiTheme="minorBidi" w:hAnsiTheme="minorBidi" w:cstheme="minorBidi"/>
          <w:lang w:val="en-US"/>
        </w:rPr>
        <w:t xml:space="preserve">alleged injuries largely amounted to adverse employment actions remediable by money damages at the conclusion of litigation and therefore did not constitute irreparable harm. It further maintained that the potential deportation of PSCs on J-1 visas did not rise to irreparable harm but merely required those individuals to depart the United States earlier than anticipated. Finally, the Government contended that granting injunctive relief would interfere with its ability to comply with the </w:t>
      </w:r>
      <w:r w:rsidR="008D547A" w:rsidRPr="001B3C1E">
        <w:rPr>
          <w:rFonts w:asciiTheme="minorBidi" w:hAnsiTheme="minorBidi" w:cstheme="minorBidi"/>
          <w:lang w:val="en-US"/>
        </w:rPr>
        <w:t>EO</w:t>
      </w:r>
      <w:r w:rsidRPr="001B3C1E">
        <w:rPr>
          <w:rFonts w:asciiTheme="minorBidi" w:hAnsiTheme="minorBidi" w:cstheme="minorBidi"/>
          <w:lang w:val="en-US"/>
        </w:rPr>
        <w:t>, thereby upsetting the balance of equities and undermining the public interest.</w:t>
      </w:r>
    </w:p>
    <w:p w14:paraId="52508AC4" w14:textId="77777777" w:rsidR="00DC49EF" w:rsidRPr="001B3C1E" w:rsidRDefault="007A315F" w:rsidP="006C5E5E">
      <w:pPr>
        <w:spacing w:before="240" w:after="240"/>
        <w:jc w:val="both"/>
        <w:rPr>
          <w:rFonts w:asciiTheme="minorBidi" w:hAnsiTheme="minorBidi" w:cstheme="minorBidi"/>
          <w:lang w:val="en-US"/>
        </w:rPr>
      </w:pPr>
      <w:r w:rsidRPr="001B3C1E">
        <w:rPr>
          <w:rFonts w:asciiTheme="minorBidi" w:hAnsiTheme="minorBidi" w:cstheme="minorBidi"/>
          <w:lang w:val="en-US"/>
        </w:rPr>
        <w:t xml:space="preserve">The Court began </w:t>
      </w:r>
      <w:r w:rsidR="00555ED5" w:rsidRPr="001B3C1E">
        <w:rPr>
          <w:rFonts w:asciiTheme="minorBidi" w:hAnsiTheme="minorBidi" w:cstheme="minorBidi"/>
          <w:lang w:val="en-US"/>
        </w:rPr>
        <w:t xml:space="preserve">its analysis </w:t>
      </w:r>
      <w:r w:rsidRPr="001B3C1E">
        <w:rPr>
          <w:rFonts w:asciiTheme="minorBidi" w:hAnsiTheme="minorBidi" w:cstheme="minorBidi"/>
          <w:lang w:val="en-US"/>
        </w:rPr>
        <w:t xml:space="preserve">by </w:t>
      </w:r>
      <w:r w:rsidR="006E33B0" w:rsidRPr="001B3C1E">
        <w:rPr>
          <w:rFonts w:asciiTheme="minorBidi" w:hAnsiTheme="minorBidi" w:cstheme="minorBidi"/>
          <w:lang w:val="en-US"/>
        </w:rPr>
        <w:t xml:space="preserve">outlining </w:t>
      </w:r>
      <w:r w:rsidR="00A52BD5" w:rsidRPr="001B3C1E">
        <w:rPr>
          <w:rFonts w:asciiTheme="minorBidi" w:hAnsiTheme="minorBidi" w:cstheme="minorBidi"/>
          <w:lang w:val="en-US"/>
        </w:rPr>
        <w:t>the legal standard required for granting a preliminary injunction,</w:t>
      </w:r>
      <w:r w:rsidR="00631FDC" w:rsidRPr="001B3C1E">
        <w:rPr>
          <w:rFonts w:asciiTheme="minorBidi" w:hAnsiTheme="minorBidi" w:cstheme="minorBidi"/>
          <w:lang w:val="en-US"/>
        </w:rPr>
        <w:t xml:space="preserve"> relying on </w:t>
      </w:r>
      <w:r w:rsidR="007D77FC" w:rsidRPr="001B3C1E">
        <w:rPr>
          <w:rFonts w:asciiTheme="minorBidi" w:hAnsiTheme="minorBidi" w:cstheme="minorBidi"/>
          <w:i/>
          <w:iCs/>
          <w:lang w:val="en-US"/>
        </w:rPr>
        <w:t>Winter v. Natural Resources Defense Council, Inc.</w:t>
      </w:r>
      <w:r w:rsidR="0037596B" w:rsidRPr="001B3C1E">
        <w:rPr>
          <w:rFonts w:asciiTheme="minorBidi" w:hAnsiTheme="minorBidi" w:cstheme="minorBidi"/>
          <w:lang w:val="en-US"/>
        </w:rPr>
        <w:t xml:space="preserve">, </w:t>
      </w:r>
      <w:r w:rsidR="002A5E09" w:rsidRPr="001B3C1E">
        <w:rPr>
          <w:rFonts w:asciiTheme="minorBidi" w:hAnsiTheme="minorBidi" w:cstheme="minorBidi"/>
          <w:lang w:val="en-US"/>
        </w:rPr>
        <w:t>which requires the Plaintiffs to</w:t>
      </w:r>
      <w:r w:rsidR="00AF2619" w:rsidRPr="001B3C1E">
        <w:rPr>
          <w:rFonts w:asciiTheme="minorBidi" w:hAnsiTheme="minorBidi" w:cstheme="minorBidi"/>
          <w:lang w:val="en-US"/>
        </w:rPr>
        <w:t xml:space="preserve"> establish [</w:t>
      </w:r>
      <w:proofErr w:type="spellStart"/>
      <w:r w:rsidR="00AF2619" w:rsidRPr="001B3C1E">
        <w:rPr>
          <w:rFonts w:asciiTheme="minorBidi" w:hAnsiTheme="minorBidi" w:cstheme="minorBidi"/>
          <w:lang w:val="en-US"/>
        </w:rPr>
        <w:t>i</w:t>
      </w:r>
      <w:proofErr w:type="spellEnd"/>
      <w:r w:rsidR="00AF2619" w:rsidRPr="001B3C1E">
        <w:rPr>
          <w:rFonts w:asciiTheme="minorBidi" w:hAnsiTheme="minorBidi" w:cstheme="minorBidi"/>
          <w:lang w:val="en-US"/>
        </w:rPr>
        <w:t xml:space="preserve">] that they are </w:t>
      </w:r>
      <w:r w:rsidR="00884B4A" w:rsidRPr="001B3C1E">
        <w:rPr>
          <w:rFonts w:asciiTheme="minorBidi" w:hAnsiTheme="minorBidi" w:cstheme="minorBidi"/>
          <w:lang w:val="en-US"/>
        </w:rPr>
        <w:t>“</w:t>
      </w:r>
      <w:r w:rsidR="00AF2619" w:rsidRPr="001B3C1E">
        <w:rPr>
          <w:rFonts w:asciiTheme="minorBidi" w:hAnsiTheme="minorBidi" w:cstheme="minorBidi"/>
          <w:lang w:val="en-US"/>
        </w:rPr>
        <w:t>likely to succeed on the merits,</w:t>
      </w:r>
      <w:r w:rsidR="00884B4A" w:rsidRPr="001B3C1E">
        <w:rPr>
          <w:rFonts w:asciiTheme="minorBidi" w:hAnsiTheme="minorBidi" w:cstheme="minorBidi"/>
          <w:lang w:val="en-US"/>
        </w:rPr>
        <w:t>”</w:t>
      </w:r>
      <w:r w:rsidR="00AF2619" w:rsidRPr="001B3C1E">
        <w:rPr>
          <w:rFonts w:asciiTheme="minorBidi" w:hAnsiTheme="minorBidi" w:cstheme="minorBidi"/>
          <w:lang w:val="en-US"/>
        </w:rPr>
        <w:t xml:space="preserve"> [ii] </w:t>
      </w:r>
      <w:r w:rsidR="00264CBB" w:rsidRPr="001B3C1E">
        <w:rPr>
          <w:rFonts w:asciiTheme="minorBidi" w:hAnsiTheme="minorBidi" w:cstheme="minorBidi"/>
          <w:lang w:val="en-US"/>
        </w:rPr>
        <w:t xml:space="preserve">that they are </w:t>
      </w:r>
      <w:r w:rsidR="00F109D3" w:rsidRPr="001B3C1E">
        <w:rPr>
          <w:rFonts w:asciiTheme="minorBidi" w:hAnsiTheme="minorBidi" w:cstheme="minorBidi"/>
          <w:lang w:val="en-US"/>
        </w:rPr>
        <w:t>“</w:t>
      </w:r>
      <w:r w:rsidR="00264CBB" w:rsidRPr="001B3C1E">
        <w:rPr>
          <w:rFonts w:asciiTheme="minorBidi" w:hAnsiTheme="minorBidi" w:cstheme="minorBidi"/>
          <w:lang w:val="en-US"/>
        </w:rPr>
        <w:t>likely to suffer irreparable harm in the absence of preliminary relief,</w:t>
      </w:r>
      <w:r w:rsidR="00F109D3" w:rsidRPr="001B3C1E">
        <w:rPr>
          <w:rFonts w:asciiTheme="minorBidi" w:hAnsiTheme="minorBidi" w:cstheme="minorBidi"/>
          <w:lang w:val="en-US"/>
        </w:rPr>
        <w:t>”</w:t>
      </w:r>
      <w:r w:rsidR="00264CBB" w:rsidRPr="001B3C1E">
        <w:rPr>
          <w:rFonts w:asciiTheme="minorBidi" w:hAnsiTheme="minorBidi" w:cstheme="minorBidi"/>
          <w:lang w:val="en-US"/>
        </w:rPr>
        <w:t xml:space="preserve"> [iii] </w:t>
      </w:r>
      <w:r w:rsidR="00F109D3" w:rsidRPr="001B3C1E">
        <w:rPr>
          <w:rFonts w:asciiTheme="minorBidi" w:hAnsiTheme="minorBidi" w:cstheme="minorBidi"/>
          <w:lang w:val="en-US"/>
        </w:rPr>
        <w:t>“</w:t>
      </w:r>
      <w:r w:rsidR="00264CBB" w:rsidRPr="001B3C1E">
        <w:rPr>
          <w:rFonts w:asciiTheme="minorBidi" w:hAnsiTheme="minorBidi" w:cstheme="minorBidi"/>
          <w:lang w:val="en-US"/>
        </w:rPr>
        <w:t>that the balance of equities tips in their favor</w:t>
      </w:r>
      <w:r w:rsidR="00FC04A0" w:rsidRPr="001B3C1E">
        <w:rPr>
          <w:rFonts w:asciiTheme="minorBidi" w:hAnsiTheme="minorBidi" w:cstheme="minorBidi"/>
          <w:lang w:val="en-US"/>
        </w:rPr>
        <w:t>,</w:t>
      </w:r>
      <w:r w:rsidR="00F109D3" w:rsidRPr="001B3C1E">
        <w:rPr>
          <w:rFonts w:asciiTheme="minorBidi" w:hAnsiTheme="minorBidi" w:cstheme="minorBidi"/>
          <w:lang w:val="en-US"/>
        </w:rPr>
        <w:t>”</w:t>
      </w:r>
      <w:r w:rsidR="00FC04A0" w:rsidRPr="001B3C1E">
        <w:rPr>
          <w:rFonts w:asciiTheme="minorBidi" w:hAnsiTheme="minorBidi" w:cstheme="minorBidi"/>
          <w:lang w:val="en-US"/>
        </w:rPr>
        <w:t xml:space="preserve"> and [</w:t>
      </w:r>
      <w:r w:rsidR="00F109D3" w:rsidRPr="001B3C1E">
        <w:rPr>
          <w:rFonts w:asciiTheme="minorBidi" w:hAnsiTheme="minorBidi" w:cstheme="minorBidi"/>
          <w:lang w:val="en-US"/>
        </w:rPr>
        <w:t>iv</w:t>
      </w:r>
      <w:r w:rsidR="00FC04A0" w:rsidRPr="001B3C1E">
        <w:rPr>
          <w:rFonts w:asciiTheme="minorBidi" w:hAnsiTheme="minorBidi" w:cstheme="minorBidi"/>
          <w:lang w:val="en-US"/>
        </w:rPr>
        <w:t xml:space="preserve">] that an injunction rendered </w:t>
      </w:r>
      <w:r w:rsidR="00F109D3" w:rsidRPr="001B3C1E">
        <w:rPr>
          <w:rFonts w:asciiTheme="minorBidi" w:hAnsiTheme="minorBidi" w:cstheme="minorBidi"/>
          <w:lang w:val="en-US"/>
        </w:rPr>
        <w:t>“</w:t>
      </w:r>
      <w:r w:rsidR="00FC04A0" w:rsidRPr="001B3C1E">
        <w:rPr>
          <w:rFonts w:asciiTheme="minorBidi" w:hAnsiTheme="minorBidi" w:cstheme="minorBidi"/>
          <w:lang w:val="en-US"/>
        </w:rPr>
        <w:t>is in the public interest.</w:t>
      </w:r>
      <w:r w:rsidR="00F109D3" w:rsidRPr="001B3C1E">
        <w:rPr>
          <w:rFonts w:asciiTheme="minorBidi" w:hAnsiTheme="minorBidi" w:cstheme="minorBidi"/>
          <w:lang w:val="en-US"/>
        </w:rPr>
        <w:t>”</w:t>
      </w:r>
      <w:r w:rsidR="00FC04A0" w:rsidRPr="001B3C1E">
        <w:rPr>
          <w:rFonts w:asciiTheme="minorBidi" w:hAnsiTheme="minorBidi" w:cstheme="minorBidi"/>
          <w:lang w:val="en-US"/>
        </w:rPr>
        <w:t xml:space="preserve"> [p. 13]</w:t>
      </w:r>
      <w:r w:rsidR="00884B4A" w:rsidRPr="001B3C1E">
        <w:rPr>
          <w:rFonts w:asciiTheme="minorBidi" w:hAnsiTheme="minorBidi" w:cstheme="minorBidi"/>
          <w:lang w:val="en-US"/>
        </w:rPr>
        <w:t xml:space="preserve"> </w:t>
      </w:r>
    </w:p>
    <w:p w14:paraId="6A6C42FB" w14:textId="6A353ED3" w:rsidR="000411EB" w:rsidRPr="001B3C1E" w:rsidRDefault="009978E8" w:rsidP="000411EB">
      <w:pPr>
        <w:spacing w:before="240" w:after="240"/>
        <w:jc w:val="both"/>
        <w:rPr>
          <w:rFonts w:asciiTheme="minorBidi" w:hAnsiTheme="minorBidi" w:cstheme="minorBidi"/>
          <w:lang w:val="en-US"/>
        </w:rPr>
      </w:pPr>
      <w:r w:rsidRPr="001B3C1E">
        <w:rPr>
          <w:rFonts w:asciiTheme="minorBidi" w:hAnsiTheme="minorBidi" w:cstheme="minorBidi"/>
          <w:lang w:val="en-US"/>
        </w:rPr>
        <w:t xml:space="preserve">The Court </w:t>
      </w:r>
      <w:r w:rsidR="001201B1" w:rsidRPr="001B3C1E">
        <w:rPr>
          <w:rFonts w:asciiTheme="minorBidi" w:hAnsiTheme="minorBidi" w:cstheme="minorBidi"/>
          <w:lang w:val="en-US"/>
        </w:rPr>
        <w:t xml:space="preserve">highlighted </w:t>
      </w:r>
      <w:r w:rsidR="00DC49EF" w:rsidRPr="001B3C1E">
        <w:rPr>
          <w:rFonts w:asciiTheme="minorBidi" w:hAnsiTheme="minorBidi" w:cstheme="minorBidi"/>
          <w:i/>
          <w:iCs/>
          <w:lang w:val="en-US"/>
        </w:rPr>
        <w:t>Food &amp; Water Watch, Inc. v. Vilsack</w:t>
      </w:r>
      <w:r w:rsidR="00DC49EF" w:rsidRPr="001B3C1E">
        <w:rPr>
          <w:rFonts w:asciiTheme="minorBidi" w:hAnsiTheme="minorBidi" w:cstheme="minorBidi"/>
          <w:lang w:val="en-US"/>
        </w:rPr>
        <w:t xml:space="preserve"> in that “[a] party who seeks a preliminary injunction ‘must show a substantial likelihood of standing.’” [p. 13] </w:t>
      </w:r>
      <w:r w:rsidR="00EA4A44" w:rsidRPr="001B3C1E">
        <w:rPr>
          <w:rFonts w:asciiTheme="minorBidi" w:hAnsiTheme="minorBidi" w:cstheme="minorBidi"/>
          <w:lang w:val="en-US"/>
        </w:rPr>
        <w:t xml:space="preserve">and </w:t>
      </w:r>
      <w:r w:rsidRPr="001B3C1E">
        <w:rPr>
          <w:rFonts w:asciiTheme="minorBidi" w:hAnsiTheme="minorBidi" w:cstheme="minorBidi"/>
          <w:lang w:val="en-US"/>
        </w:rPr>
        <w:t xml:space="preserve">evaluated </w:t>
      </w:r>
      <w:r w:rsidR="007A315F" w:rsidRPr="001B3C1E">
        <w:rPr>
          <w:rFonts w:asciiTheme="minorBidi" w:hAnsiTheme="minorBidi" w:cstheme="minorBidi"/>
          <w:lang w:val="en-US"/>
        </w:rPr>
        <w:t xml:space="preserve">the </w:t>
      </w:r>
      <w:r w:rsidRPr="001B3C1E">
        <w:rPr>
          <w:rFonts w:asciiTheme="minorBidi" w:hAnsiTheme="minorBidi" w:cstheme="minorBidi"/>
          <w:lang w:val="en-US"/>
        </w:rPr>
        <w:t xml:space="preserve">Plaintiffs’ </w:t>
      </w:r>
      <w:r w:rsidR="007A315F" w:rsidRPr="001B3C1E">
        <w:rPr>
          <w:rFonts w:asciiTheme="minorBidi" w:hAnsiTheme="minorBidi" w:cstheme="minorBidi"/>
          <w:lang w:val="en-US"/>
        </w:rPr>
        <w:t xml:space="preserve">standing, focusing on whether the organizational </w:t>
      </w:r>
      <w:r w:rsidRPr="001B3C1E">
        <w:rPr>
          <w:rFonts w:asciiTheme="minorBidi" w:hAnsiTheme="minorBidi" w:cstheme="minorBidi"/>
          <w:lang w:val="en-US"/>
        </w:rPr>
        <w:t>Plaintiffs</w:t>
      </w:r>
      <w:r w:rsidR="007A315F" w:rsidRPr="001B3C1E">
        <w:rPr>
          <w:rFonts w:asciiTheme="minorBidi" w:hAnsiTheme="minorBidi" w:cstheme="minorBidi"/>
          <w:lang w:val="en-US"/>
        </w:rPr>
        <w:t xml:space="preserve">, </w:t>
      </w:r>
      <w:r w:rsidR="007A315F" w:rsidRPr="001B3C1E">
        <w:rPr>
          <w:rFonts w:asciiTheme="minorBidi" w:hAnsiTheme="minorBidi" w:cstheme="minorBidi"/>
          <w:lang w:val="en-US"/>
        </w:rPr>
        <w:t xml:space="preserve">including public-sector unions (AFSCME, AFGE, AFSA) and </w:t>
      </w:r>
      <w:r w:rsidR="00447BED" w:rsidRPr="001B3C1E">
        <w:rPr>
          <w:rFonts w:asciiTheme="minorBidi" w:hAnsiTheme="minorBidi" w:cstheme="minorBidi"/>
          <w:lang w:val="en-US"/>
        </w:rPr>
        <w:t>NGOs</w:t>
      </w:r>
      <w:r w:rsidR="007A315F" w:rsidRPr="001B3C1E">
        <w:rPr>
          <w:rFonts w:asciiTheme="minorBidi" w:hAnsiTheme="minorBidi" w:cstheme="minorBidi"/>
          <w:lang w:val="en-US"/>
        </w:rPr>
        <w:t xml:space="preserve"> (RSF and RSF-USA)</w:t>
      </w:r>
      <w:r w:rsidR="007A315F" w:rsidRPr="001B3C1E">
        <w:rPr>
          <w:rFonts w:asciiTheme="minorBidi" w:hAnsiTheme="minorBidi" w:cstheme="minorBidi"/>
          <w:lang w:val="en-US"/>
        </w:rPr>
        <w:t xml:space="preserve">, </w:t>
      </w:r>
      <w:r w:rsidR="007A315F" w:rsidRPr="001B3C1E">
        <w:rPr>
          <w:rFonts w:asciiTheme="minorBidi" w:hAnsiTheme="minorBidi" w:cstheme="minorBidi"/>
          <w:lang w:val="en-US"/>
        </w:rPr>
        <w:t>had shown a substantial likelihood of standing</w:t>
      </w:r>
      <w:r w:rsidR="00DC49EF" w:rsidRPr="001B3C1E">
        <w:rPr>
          <w:rFonts w:asciiTheme="minorBidi" w:hAnsiTheme="minorBidi" w:cstheme="minorBidi"/>
          <w:lang w:val="en-US"/>
        </w:rPr>
        <w:t>.</w:t>
      </w:r>
      <w:r w:rsidR="00E76DBD" w:rsidRPr="001B3C1E">
        <w:rPr>
          <w:rFonts w:asciiTheme="minorBidi" w:hAnsiTheme="minorBidi" w:cstheme="minorBidi"/>
          <w:lang w:val="en-US"/>
        </w:rPr>
        <w:t xml:space="preserve"> </w:t>
      </w:r>
      <w:r w:rsidR="007A315F" w:rsidRPr="001B3C1E">
        <w:rPr>
          <w:rFonts w:asciiTheme="minorBidi" w:hAnsiTheme="minorBidi" w:cstheme="minorBidi"/>
          <w:lang w:val="en-US"/>
        </w:rPr>
        <w:t xml:space="preserve">On associational standing, the Government argued that the alleged harm to union members placed on administrative leave amounted to </w:t>
      </w:r>
      <w:r w:rsidR="001B3C1E">
        <w:rPr>
          <w:rFonts w:asciiTheme="minorBidi" w:hAnsiTheme="minorBidi" w:cstheme="minorBidi"/>
          <w:lang w:val="en-US"/>
        </w:rPr>
        <w:t>“</w:t>
      </w:r>
      <w:r w:rsidR="007A315F" w:rsidRPr="001B3C1E">
        <w:rPr>
          <w:rFonts w:asciiTheme="minorBidi" w:hAnsiTheme="minorBidi" w:cstheme="minorBidi"/>
          <w:lang w:val="en-US"/>
        </w:rPr>
        <w:t>nothing more than speculation about future events that may or may not occur</w:t>
      </w:r>
      <w:r w:rsidR="00447BED" w:rsidRPr="001B3C1E">
        <w:rPr>
          <w:rFonts w:asciiTheme="minorBidi" w:hAnsiTheme="minorBidi" w:cstheme="minorBidi"/>
          <w:lang w:val="en-US"/>
        </w:rPr>
        <w:t>.</w:t>
      </w:r>
      <w:r w:rsidR="001B3C1E">
        <w:rPr>
          <w:rFonts w:asciiTheme="minorBidi" w:hAnsiTheme="minorBidi" w:cstheme="minorBidi"/>
          <w:lang w:val="en-US"/>
        </w:rPr>
        <w:t>”</w:t>
      </w:r>
      <w:r w:rsidR="00447BED" w:rsidRPr="001B3C1E">
        <w:rPr>
          <w:rFonts w:asciiTheme="minorBidi" w:hAnsiTheme="minorBidi" w:cstheme="minorBidi"/>
          <w:lang w:val="en-US"/>
        </w:rPr>
        <w:t xml:space="preserve"> [p. 14]</w:t>
      </w:r>
      <w:r w:rsidR="007A315F" w:rsidRPr="001B3C1E">
        <w:rPr>
          <w:rFonts w:asciiTheme="minorBidi" w:hAnsiTheme="minorBidi" w:cstheme="minorBidi"/>
          <w:lang w:val="en-US"/>
        </w:rPr>
        <w:t xml:space="preserve"> The Court rejected this contention, pointing to </w:t>
      </w:r>
      <w:r w:rsidR="00447BED" w:rsidRPr="001B3C1E">
        <w:rPr>
          <w:rFonts w:asciiTheme="minorBidi" w:hAnsiTheme="minorBidi" w:cstheme="minorBidi"/>
          <w:lang w:val="en-US"/>
        </w:rPr>
        <w:t xml:space="preserve">Defendant Kari </w:t>
      </w:r>
      <w:r w:rsidR="007A315F" w:rsidRPr="001B3C1E">
        <w:rPr>
          <w:rFonts w:asciiTheme="minorBidi" w:hAnsiTheme="minorBidi" w:cstheme="minorBidi"/>
          <w:lang w:val="en-US"/>
        </w:rPr>
        <w:t xml:space="preserve">Lake’s public remarks that the agency was </w:t>
      </w:r>
      <w:r w:rsidR="001B3C1E">
        <w:rPr>
          <w:rFonts w:asciiTheme="minorBidi" w:hAnsiTheme="minorBidi" w:cstheme="minorBidi"/>
          <w:lang w:val="en-US"/>
        </w:rPr>
        <w:t>“</w:t>
      </w:r>
      <w:r w:rsidR="007A315F" w:rsidRPr="001B3C1E">
        <w:rPr>
          <w:rFonts w:asciiTheme="minorBidi" w:hAnsiTheme="minorBidi" w:cstheme="minorBidi"/>
          <w:lang w:val="en-US"/>
        </w:rPr>
        <w:t>going to be decreased in size significantly</w:t>
      </w:r>
      <w:r w:rsidR="001B3C1E">
        <w:rPr>
          <w:rFonts w:asciiTheme="minorBidi" w:hAnsiTheme="minorBidi" w:cstheme="minorBidi"/>
          <w:lang w:val="en-US"/>
        </w:rPr>
        <w:t>”</w:t>
      </w:r>
      <w:r w:rsidR="007A315F" w:rsidRPr="001B3C1E">
        <w:rPr>
          <w:rFonts w:asciiTheme="minorBidi" w:hAnsiTheme="minorBidi" w:cstheme="minorBidi"/>
          <w:lang w:val="en-US"/>
        </w:rPr>
        <w:t xml:space="preserve"> because there was </w:t>
      </w:r>
      <w:r w:rsidR="001B3C1E">
        <w:rPr>
          <w:rFonts w:asciiTheme="minorBidi" w:hAnsiTheme="minorBidi" w:cstheme="minorBidi"/>
          <w:lang w:val="en-US"/>
        </w:rPr>
        <w:t>“</w:t>
      </w:r>
      <w:r w:rsidR="007A315F" w:rsidRPr="001B3C1E">
        <w:rPr>
          <w:rFonts w:asciiTheme="minorBidi" w:hAnsiTheme="minorBidi" w:cstheme="minorBidi"/>
          <w:lang w:val="en-US"/>
        </w:rPr>
        <w:t>too much rot in the agency to salvage it.</w:t>
      </w:r>
      <w:r w:rsidR="001B3C1E">
        <w:rPr>
          <w:rFonts w:asciiTheme="minorBidi" w:hAnsiTheme="minorBidi" w:cstheme="minorBidi"/>
          <w:lang w:val="en-US"/>
        </w:rPr>
        <w:t>”</w:t>
      </w:r>
      <w:r w:rsidR="007A315F" w:rsidRPr="001B3C1E">
        <w:rPr>
          <w:rFonts w:asciiTheme="minorBidi" w:hAnsiTheme="minorBidi" w:cstheme="minorBidi"/>
          <w:lang w:val="en-US"/>
        </w:rPr>
        <w:t xml:space="preserve"> </w:t>
      </w:r>
      <w:r w:rsidR="008236CB" w:rsidRPr="001B3C1E">
        <w:rPr>
          <w:rFonts w:asciiTheme="minorBidi" w:hAnsiTheme="minorBidi" w:cstheme="minorBidi"/>
          <w:lang w:val="en-US"/>
        </w:rPr>
        <w:t>[p.</w:t>
      </w:r>
      <w:r w:rsidR="0080265C" w:rsidRPr="001B3C1E">
        <w:rPr>
          <w:rFonts w:asciiTheme="minorBidi" w:hAnsiTheme="minorBidi" w:cstheme="minorBidi"/>
          <w:lang w:val="en-US"/>
        </w:rPr>
        <w:t xml:space="preserve"> </w:t>
      </w:r>
      <w:r w:rsidR="008236CB" w:rsidRPr="001B3C1E">
        <w:rPr>
          <w:rFonts w:asciiTheme="minorBidi" w:hAnsiTheme="minorBidi" w:cstheme="minorBidi"/>
          <w:lang w:val="en-US"/>
        </w:rPr>
        <w:t xml:space="preserve">14] </w:t>
      </w:r>
      <w:r w:rsidR="007A315F" w:rsidRPr="001B3C1E">
        <w:rPr>
          <w:rFonts w:asciiTheme="minorBidi" w:hAnsiTheme="minorBidi" w:cstheme="minorBidi"/>
          <w:lang w:val="en-US"/>
        </w:rPr>
        <w:t xml:space="preserve">Such statements, the Court held, undermined the Government’s position and exposed its </w:t>
      </w:r>
      <w:r w:rsidR="001B3C1E">
        <w:rPr>
          <w:rFonts w:asciiTheme="minorBidi" w:hAnsiTheme="minorBidi" w:cstheme="minorBidi"/>
          <w:lang w:val="en-US"/>
        </w:rPr>
        <w:t>“</w:t>
      </w:r>
      <w:r w:rsidR="007A315F" w:rsidRPr="001B3C1E">
        <w:rPr>
          <w:rFonts w:asciiTheme="minorBidi" w:hAnsiTheme="minorBidi" w:cstheme="minorBidi"/>
          <w:lang w:val="en-US"/>
        </w:rPr>
        <w:t>flatly inconsistent</w:t>
      </w:r>
      <w:r w:rsidR="001B3C1E">
        <w:rPr>
          <w:rFonts w:asciiTheme="minorBidi" w:hAnsiTheme="minorBidi" w:cstheme="minorBidi"/>
          <w:lang w:val="en-US"/>
        </w:rPr>
        <w:t>”</w:t>
      </w:r>
      <w:r w:rsidR="007A315F" w:rsidRPr="001B3C1E">
        <w:rPr>
          <w:rFonts w:asciiTheme="minorBidi" w:hAnsiTheme="minorBidi" w:cstheme="minorBidi"/>
          <w:lang w:val="en-US"/>
        </w:rPr>
        <w:t xml:space="preserve"> stance in simultaneously suggesting these same actions could be reviewed by the Merit Systems Protection Board (MSPB). The Court also considered the </w:t>
      </w:r>
      <w:r w:rsidR="00482A9C" w:rsidRPr="001B3C1E">
        <w:rPr>
          <w:rFonts w:asciiTheme="minorBidi" w:hAnsiTheme="minorBidi" w:cstheme="minorBidi"/>
          <w:lang w:val="en-US"/>
        </w:rPr>
        <w:t>Government</w:t>
      </w:r>
      <w:r w:rsidR="007A315F" w:rsidRPr="001B3C1E">
        <w:rPr>
          <w:rFonts w:asciiTheme="minorBidi" w:hAnsiTheme="minorBidi" w:cstheme="minorBidi"/>
          <w:lang w:val="en-US"/>
        </w:rPr>
        <w:t>’</w:t>
      </w:r>
      <w:r w:rsidR="00482A9C" w:rsidRPr="001B3C1E">
        <w:rPr>
          <w:rFonts w:asciiTheme="minorBidi" w:hAnsiTheme="minorBidi" w:cstheme="minorBidi"/>
          <w:lang w:val="en-US"/>
        </w:rPr>
        <w:t>s</w:t>
      </w:r>
      <w:r w:rsidR="007A315F" w:rsidRPr="001B3C1E">
        <w:rPr>
          <w:rFonts w:asciiTheme="minorBidi" w:hAnsiTheme="minorBidi" w:cstheme="minorBidi"/>
          <w:lang w:val="en-US"/>
        </w:rPr>
        <w:t xml:space="preserve"> termination of over 600 union members, finding that defending the agency’s existence and funding was </w:t>
      </w:r>
      <w:r w:rsidR="001B3C1E">
        <w:rPr>
          <w:rFonts w:asciiTheme="minorBidi" w:hAnsiTheme="minorBidi" w:cstheme="minorBidi"/>
          <w:lang w:val="en-US"/>
        </w:rPr>
        <w:t>“</w:t>
      </w:r>
      <w:r w:rsidR="007A315F" w:rsidRPr="001B3C1E">
        <w:rPr>
          <w:rFonts w:asciiTheme="minorBidi" w:hAnsiTheme="minorBidi" w:cstheme="minorBidi"/>
          <w:lang w:val="en-US"/>
        </w:rPr>
        <w:t>certainly germane to the unions’ purpose</w:t>
      </w:r>
      <w:r w:rsidR="001B3C1E">
        <w:rPr>
          <w:rFonts w:asciiTheme="minorBidi" w:hAnsiTheme="minorBidi" w:cstheme="minorBidi"/>
          <w:lang w:val="en-US"/>
        </w:rPr>
        <w:t>”</w:t>
      </w:r>
      <w:r w:rsidR="00482A9C" w:rsidRPr="001B3C1E">
        <w:rPr>
          <w:rFonts w:asciiTheme="minorBidi" w:hAnsiTheme="minorBidi" w:cstheme="minorBidi"/>
          <w:lang w:val="en-US"/>
        </w:rPr>
        <w:t xml:space="preserve"> [p. 15]</w:t>
      </w:r>
      <w:r w:rsidR="007A315F" w:rsidRPr="001B3C1E">
        <w:rPr>
          <w:rFonts w:asciiTheme="minorBidi" w:hAnsiTheme="minorBidi" w:cstheme="minorBidi"/>
          <w:lang w:val="en-US"/>
        </w:rPr>
        <w:t xml:space="preserve"> and that the relief sought did not require participation by individual members.</w:t>
      </w:r>
      <w:r w:rsidR="001B3C1E">
        <w:rPr>
          <w:rFonts w:asciiTheme="minorBidi" w:hAnsiTheme="minorBidi" w:cstheme="minorBidi"/>
          <w:lang w:val="en-US"/>
        </w:rPr>
        <w:t xml:space="preserve"> </w:t>
      </w:r>
      <w:r w:rsidR="00441F42" w:rsidRPr="001B3C1E">
        <w:rPr>
          <w:rFonts w:asciiTheme="minorBidi" w:hAnsiTheme="minorBidi" w:cstheme="minorBidi"/>
          <w:lang w:val="en-US"/>
        </w:rPr>
        <w:t xml:space="preserve">The Court also found that RSF and RSF-USA had met the standard for associational standing, as the </w:t>
      </w:r>
      <w:r w:rsidR="007C34B3" w:rsidRPr="001B3C1E">
        <w:rPr>
          <w:rFonts w:asciiTheme="minorBidi" w:hAnsiTheme="minorBidi" w:cstheme="minorBidi"/>
          <w:lang w:val="en-US"/>
        </w:rPr>
        <w:t xml:space="preserve">Government </w:t>
      </w:r>
      <w:r w:rsidR="00441F42" w:rsidRPr="001B3C1E">
        <w:rPr>
          <w:rFonts w:asciiTheme="minorBidi" w:hAnsiTheme="minorBidi" w:cstheme="minorBidi"/>
          <w:lang w:val="en-US"/>
        </w:rPr>
        <w:t xml:space="preserve">did not contest it. </w:t>
      </w:r>
    </w:p>
    <w:p w14:paraId="4CA3136E" w14:textId="422BD63B" w:rsidR="00290CDB" w:rsidRPr="001B3C1E" w:rsidRDefault="00441F42" w:rsidP="00E9210A">
      <w:pPr>
        <w:spacing w:before="240" w:after="240"/>
        <w:jc w:val="both"/>
        <w:rPr>
          <w:rFonts w:asciiTheme="minorBidi" w:hAnsiTheme="minorBidi" w:cstheme="minorBidi"/>
          <w:lang w:val="en-US"/>
        </w:rPr>
      </w:pPr>
      <w:r w:rsidRPr="001B3C1E">
        <w:rPr>
          <w:rFonts w:asciiTheme="minorBidi" w:hAnsiTheme="minorBidi" w:cstheme="minorBidi"/>
          <w:lang w:val="en-US"/>
        </w:rPr>
        <w:t xml:space="preserve">For organizational standing, the </w:t>
      </w:r>
      <w:r w:rsidR="007C34B3" w:rsidRPr="001B3C1E">
        <w:rPr>
          <w:rFonts w:asciiTheme="minorBidi" w:hAnsiTheme="minorBidi" w:cstheme="minorBidi"/>
          <w:lang w:val="en-US"/>
        </w:rPr>
        <w:t xml:space="preserve">Government </w:t>
      </w:r>
      <w:r w:rsidR="00522BB4" w:rsidRPr="001B3C1E">
        <w:rPr>
          <w:rFonts w:asciiTheme="minorBidi" w:hAnsiTheme="minorBidi" w:cstheme="minorBidi"/>
          <w:lang w:val="en-US"/>
        </w:rPr>
        <w:t xml:space="preserve">contended </w:t>
      </w:r>
      <w:r w:rsidRPr="001B3C1E">
        <w:rPr>
          <w:rFonts w:asciiTheme="minorBidi" w:hAnsiTheme="minorBidi" w:cstheme="minorBidi"/>
          <w:lang w:val="en-US"/>
        </w:rPr>
        <w:t xml:space="preserve">that the </w:t>
      </w:r>
      <w:r w:rsidR="007C34B3" w:rsidRPr="001B3C1E">
        <w:rPr>
          <w:rFonts w:asciiTheme="minorBidi" w:hAnsiTheme="minorBidi" w:cstheme="minorBidi"/>
          <w:lang w:val="en-US"/>
        </w:rPr>
        <w:t xml:space="preserve">Plaintiffs </w:t>
      </w:r>
      <w:r w:rsidR="00522BB4" w:rsidRPr="001B3C1E">
        <w:rPr>
          <w:rFonts w:asciiTheme="minorBidi" w:hAnsiTheme="minorBidi" w:cstheme="minorBidi"/>
          <w:lang w:val="en-US"/>
        </w:rPr>
        <w:t xml:space="preserve">alleged </w:t>
      </w:r>
      <w:r w:rsidRPr="001B3C1E">
        <w:rPr>
          <w:rFonts w:asciiTheme="minorBidi" w:hAnsiTheme="minorBidi" w:cstheme="minorBidi"/>
          <w:lang w:val="en-US"/>
        </w:rPr>
        <w:t xml:space="preserve">only </w:t>
      </w:r>
      <w:r w:rsidR="001B3C1E">
        <w:rPr>
          <w:rFonts w:asciiTheme="minorBidi" w:hAnsiTheme="minorBidi" w:cstheme="minorBidi"/>
          <w:lang w:val="en-US"/>
        </w:rPr>
        <w:t>“</w:t>
      </w:r>
      <w:r w:rsidRPr="001B3C1E">
        <w:rPr>
          <w:rFonts w:asciiTheme="minorBidi" w:hAnsiTheme="minorBidi" w:cstheme="minorBidi"/>
          <w:lang w:val="en-US"/>
        </w:rPr>
        <w:t>speculative</w:t>
      </w:r>
      <w:r w:rsidR="001B3C1E">
        <w:rPr>
          <w:rFonts w:asciiTheme="minorBidi" w:hAnsiTheme="minorBidi" w:cstheme="minorBidi"/>
          <w:lang w:val="en-US"/>
        </w:rPr>
        <w:t>”</w:t>
      </w:r>
      <w:r w:rsidRPr="001B3C1E">
        <w:rPr>
          <w:rFonts w:asciiTheme="minorBidi" w:hAnsiTheme="minorBidi" w:cstheme="minorBidi"/>
          <w:lang w:val="en-US"/>
        </w:rPr>
        <w:t xml:space="preserve"> injuries, asserting that VOA </w:t>
      </w:r>
      <w:r w:rsidR="009B4FA1" w:rsidRPr="001B3C1E">
        <w:rPr>
          <w:rFonts w:asciiTheme="minorBidi" w:hAnsiTheme="minorBidi" w:cstheme="minorBidi"/>
          <w:lang w:val="en-US"/>
        </w:rPr>
        <w:t xml:space="preserve">remains intact and </w:t>
      </w:r>
      <w:r w:rsidRPr="001B3C1E">
        <w:rPr>
          <w:rFonts w:asciiTheme="minorBidi" w:hAnsiTheme="minorBidi" w:cstheme="minorBidi"/>
          <w:lang w:val="en-US"/>
        </w:rPr>
        <w:t>USAG</w:t>
      </w:r>
      <w:r w:rsidR="009B4FA1" w:rsidRPr="001B3C1E">
        <w:rPr>
          <w:rFonts w:asciiTheme="minorBidi" w:hAnsiTheme="minorBidi" w:cstheme="minorBidi"/>
          <w:lang w:val="en-US"/>
        </w:rPr>
        <w:t>M</w:t>
      </w:r>
      <w:r w:rsidRPr="001B3C1E">
        <w:rPr>
          <w:rFonts w:asciiTheme="minorBidi" w:hAnsiTheme="minorBidi" w:cstheme="minorBidi"/>
          <w:lang w:val="en-US"/>
        </w:rPr>
        <w:t xml:space="preserve"> </w:t>
      </w:r>
      <w:r w:rsidR="009B4FA1" w:rsidRPr="001B3C1E">
        <w:rPr>
          <w:rFonts w:asciiTheme="minorBidi" w:hAnsiTheme="minorBidi" w:cstheme="minorBidi"/>
          <w:lang w:val="en-US"/>
        </w:rPr>
        <w:t xml:space="preserve">continues to operate. </w:t>
      </w:r>
      <w:r w:rsidR="00290CDB" w:rsidRPr="001B3C1E">
        <w:rPr>
          <w:rFonts w:asciiTheme="minorBidi" w:hAnsiTheme="minorBidi" w:cstheme="minorBidi"/>
          <w:lang w:val="en-US"/>
        </w:rPr>
        <w:t xml:space="preserve">The Court disagreed, determining that VOA </w:t>
      </w:r>
      <w:r w:rsidR="001B3C1E">
        <w:rPr>
          <w:rFonts w:asciiTheme="minorBidi" w:hAnsiTheme="minorBidi" w:cstheme="minorBidi"/>
          <w:lang w:val="en-US"/>
        </w:rPr>
        <w:t>“</w:t>
      </w:r>
      <w:r w:rsidR="00290CDB" w:rsidRPr="001B3C1E">
        <w:rPr>
          <w:rFonts w:asciiTheme="minorBidi" w:hAnsiTheme="minorBidi" w:cstheme="minorBidi"/>
          <w:lang w:val="en-US"/>
        </w:rPr>
        <w:t xml:space="preserve">is not operational, and the Networks are winding </w:t>
      </w:r>
      <w:r w:rsidR="00290CDB" w:rsidRPr="001B3C1E">
        <w:rPr>
          <w:rFonts w:asciiTheme="minorBidi" w:hAnsiTheme="minorBidi" w:cstheme="minorBidi"/>
          <w:lang w:val="en-US"/>
        </w:rPr>
        <w:lastRenderedPageBreak/>
        <w:t>down operations,</w:t>
      </w:r>
      <w:r w:rsidR="001B3C1E">
        <w:rPr>
          <w:rFonts w:asciiTheme="minorBidi" w:hAnsiTheme="minorBidi" w:cstheme="minorBidi"/>
          <w:lang w:val="en-US"/>
        </w:rPr>
        <w:t>”</w:t>
      </w:r>
      <w:r w:rsidR="00290CDB" w:rsidRPr="001B3C1E">
        <w:rPr>
          <w:rFonts w:asciiTheme="minorBidi" w:hAnsiTheme="minorBidi" w:cstheme="minorBidi"/>
          <w:lang w:val="en-US"/>
        </w:rPr>
        <w:t xml:space="preserve"> </w:t>
      </w:r>
      <w:r w:rsidR="00756B0D" w:rsidRPr="001B3C1E">
        <w:rPr>
          <w:rFonts w:asciiTheme="minorBidi" w:hAnsiTheme="minorBidi" w:cstheme="minorBidi"/>
          <w:lang w:val="en-US"/>
        </w:rPr>
        <w:t xml:space="preserve">[p. 16] </w:t>
      </w:r>
      <w:r w:rsidR="00290CDB" w:rsidRPr="001B3C1E">
        <w:rPr>
          <w:rFonts w:asciiTheme="minorBidi" w:hAnsiTheme="minorBidi" w:cstheme="minorBidi"/>
          <w:lang w:val="en-US"/>
        </w:rPr>
        <w:t xml:space="preserve">which constituted an ongoing, concrete harm. These actions, the Court found, impaired the unions’ </w:t>
      </w:r>
      <w:r w:rsidR="001B3C1E">
        <w:rPr>
          <w:rFonts w:asciiTheme="minorBidi" w:hAnsiTheme="minorBidi" w:cstheme="minorBidi"/>
          <w:lang w:val="en-US"/>
        </w:rPr>
        <w:t>“</w:t>
      </w:r>
      <w:r w:rsidR="00290CDB" w:rsidRPr="001B3C1E">
        <w:rPr>
          <w:rFonts w:asciiTheme="minorBidi" w:hAnsiTheme="minorBidi" w:cstheme="minorBidi"/>
          <w:lang w:val="en-US"/>
        </w:rPr>
        <w:t>core business interests</w:t>
      </w:r>
      <w:r w:rsidR="001B3C1E">
        <w:rPr>
          <w:rFonts w:asciiTheme="minorBidi" w:hAnsiTheme="minorBidi" w:cstheme="minorBidi"/>
          <w:lang w:val="en-US"/>
        </w:rPr>
        <w:t>”</w:t>
      </w:r>
      <w:r w:rsidR="00187C8D" w:rsidRPr="001B3C1E">
        <w:rPr>
          <w:rFonts w:asciiTheme="minorBidi" w:hAnsiTheme="minorBidi" w:cstheme="minorBidi"/>
          <w:lang w:val="en-US"/>
        </w:rPr>
        <w:t xml:space="preserve"> </w:t>
      </w:r>
      <w:r w:rsidR="00290CDB" w:rsidRPr="001B3C1E">
        <w:rPr>
          <w:rFonts w:asciiTheme="minorBidi" w:hAnsiTheme="minorBidi" w:cstheme="minorBidi"/>
          <w:lang w:val="en-US"/>
        </w:rPr>
        <w:t xml:space="preserve">and their ability to deliver representational services. Similarly, for RSF and RSF-USA, VOA’s silence disrupted their capacity to disseminate broadcasts and advance press freedom initiatives, as VOA </w:t>
      </w:r>
      <w:r w:rsidR="00B76A13" w:rsidRPr="001B3C1E">
        <w:rPr>
          <w:rFonts w:asciiTheme="minorBidi" w:hAnsiTheme="minorBidi" w:cstheme="minorBidi"/>
          <w:lang w:val="en-US"/>
        </w:rPr>
        <w:t>had previously served as a frequent conduit for amplifying their work.</w:t>
      </w:r>
      <w:r w:rsidR="00B76A13" w:rsidRPr="001B3C1E">
        <w:rPr>
          <w:rFonts w:asciiTheme="minorBidi" w:hAnsiTheme="minorBidi" w:cstheme="minorBidi"/>
          <w:lang w:val="en-US"/>
        </w:rPr>
        <w:t xml:space="preserve"> </w:t>
      </w:r>
      <w:r w:rsidR="00290CDB" w:rsidRPr="001B3C1E">
        <w:rPr>
          <w:rFonts w:asciiTheme="minorBidi" w:hAnsiTheme="minorBidi" w:cstheme="minorBidi"/>
          <w:lang w:val="en-US"/>
        </w:rPr>
        <w:t>The Court was</w:t>
      </w:r>
      <w:r w:rsidR="00B76A13" w:rsidRPr="001B3C1E">
        <w:rPr>
          <w:rFonts w:asciiTheme="minorBidi" w:hAnsiTheme="minorBidi" w:cstheme="minorBidi"/>
          <w:lang w:val="en-US"/>
        </w:rPr>
        <w:t xml:space="preserve"> further</w:t>
      </w:r>
      <w:r w:rsidR="00290CDB" w:rsidRPr="001B3C1E">
        <w:rPr>
          <w:rFonts w:asciiTheme="minorBidi" w:hAnsiTheme="minorBidi" w:cstheme="minorBidi"/>
          <w:lang w:val="en-US"/>
        </w:rPr>
        <w:t xml:space="preserve"> persuaded that the organizational plaintiffs were </w:t>
      </w:r>
      <w:r w:rsidR="004C7D52" w:rsidRPr="001B3C1E">
        <w:rPr>
          <w:rFonts w:asciiTheme="minorBidi" w:hAnsiTheme="minorBidi" w:cstheme="minorBidi"/>
          <w:lang w:val="en-US"/>
        </w:rPr>
        <w:t>compelled to allocate significant resources to address USAGM’s obstruction of their ability to carry out their core functions.</w:t>
      </w:r>
      <w:r w:rsidR="004C7D52" w:rsidRPr="001B3C1E">
        <w:rPr>
          <w:rFonts w:asciiTheme="minorBidi" w:hAnsiTheme="minorBidi" w:cstheme="minorBidi"/>
          <w:lang w:val="en-US"/>
        </w:rPr>
        <w:t xml:space="preserve"> </w:t>
      </w:r>
      <w:r w:rsidR="00E9210A" w:rsidRPr="001B3C1E">
        <w:rPr>
          <w:rFonts w:asciiTheme="minorBidi" w:hAnsiTheme="minorBidi" w:cstheme="minorBidi"/>
          <w:lang w:val="en-US"/>
        </w:rPr>
        <w:t xml:space="preserve">With respect to The </w:t>
      </w:r>
      <w:proofErr w:type="spellStart"/>
      <w:r w:rsidR="00E9210A" w:rsidRPr="001B3C1E">
        <w:rPr>
          <w:rFonts w:asciiTheme="minorBidi" w:hAnsiTheme="minorBidi" w:cstheme="minorBidi"/>
          <w:lang w:val="en-US"/>
        </w:rPr>
        <w:t>NewsGuild</w:t>
      </w:r>
      <w:proofErr w:type="spellEnd"/>
      <w:r w:rsidR="00E9210A" w:rsidRPr="001B3C1E">
        <w:rPr>
          <w:rFonts w:asciiTheme="minorBidi" w:hAnsiTheme="minorBidi" w:cstheme="minorBidi"/>
          <w:lang w:val="en-US"/>
        </w:rPr>
        <w:t xml:space="preserve">-CWA, which represents employees of RFA, the Court noted that the Government did not dispute its standing and determined that a </w:t>
      </w:r>
      <w:r w:rsidR="00E9210A" w:rsidRPr="001B3C1E">
        <w:rPr>
          <w:rFonts w:asciiTheme="minorBidi" w:hAnsiTheme="minorBidi" w:cstheme="minorBidi"/>
          <w:lang w:val="en-US"/>
        </w:rPr>
        <w:t>“</w:t>
      </w:r>
      <w:r w:rsidR="00E9210A" w:rsidRPr="001B3C1E">
        <w:rPr>
          <w:rFonts w:asciiTheme="minorBidi" w:hAnsiTheme="minorBidi" w:cstheme="minorBidi"/>
          <w:lang w:val="en-US"/>
        </w:rPr>
        <w:t>substantial likelihood</w:t>
      </w:r>
      <w:r w:rsidR="00E9210A" w:rsidRPr="001B3C1E">
        <w:rPr>
          <w:rFonts w:asciiTheme="minorBidi" w:hAnsiTheme="minorBidi" w:cstheme="minorBidi"/>
          <w:lang w:val="en-US"/>
        </w:rPr>
        <w:t>”</w:t>
      </w:r>
      <w:r w:rsidR="00E9210A" w:rsidRPr="001B3C1E">
        <w:rPr>
          <w:rFonts w:asciiTheme="minorBidi" w:hAnsiTheme="minorBidi" w:cstheme="minorBidi"/>
          <w:lang w:val="en-US"/>
        </w:rPr>
        <w:t xml:space="preserve"> of standing existed, </w:t>
      </w:r>
      <w:proofErr w:type="gramStart"/>
      <w:r w:rsidR="00E9210A" w:rsidRPr="001B3C1E">
        <w:rPr>
          <w:rFonts w:asciiTheme="minorBidi" w:hAnsiTheme="minorBidi" w:cstheme="minorBidi"/>
          <w:lang w:val="en-US"/>
        </w:rPr>
        <w:t xml:space="preserve">based on </w:t>
      </w:r>
      <w:r w:rsidR="00E9210A" w:rsidRPr="001B3C1E">
        <w:rPr>
          <w:rFonts w:asciiTheme="minorBidi" w:hAnsiTheme="minorBidi" w:cstheme="minorBidi"/>
          <w:lang w:val="en-US"/>
        </w:rPr>
        <w:t xml:space="preserve">the fact </w:t>
      </w:r>
      <w:r w:rsidR="00E9210A" w:rsidRPr="001B3C1E">
        <w:rPr>
          <w:rFonts w:asciiTheme="minorBidi" w:hAnsiTheme="minorBidi" w:cstheme="minorBidi"/>
          <w:lang w:val="en-US"/>
        </w:rPr>
        <w:t>that</w:t>
      </w:r>
      <w:proofErr w:type="gramEnd"/>
      <w:r w:rsidR="00E9210A" w:rsidRPr="001B3C1E">
        <w:rPr>
          <w:rFonts w:asciiTheme="minorBidi" w:hAnsiTheme="minorBidi" w:cstheme="minorBidi"/>
          <w:lang w:val="en-US"/>
        </w:rPr>
        <w:t xml:space="preserve"> approximately 75% of its members had been furloughed, had suffered loss of benefits, and faced the risk of deportation to authoritarian regimes.</w:t>
      </w:r>
    </w:p>
    <w:p w14:paraId="20160582" w14:textId="57494FCE" w:rsidR="005E5F04" w:rsidRPr="001B3C1E" w:rsidRDefault="00C86CFB" w:rsidP="00E6244A">
      <w:pPr>
        <w:spacing w:before="240" w:after="240"/>
        <w:jc w:val="both"/>
        <w:rPr>
          <w:rFonts w:asciiTheme="minorBidi" w:hAnsiTheme="minorBidi" w:cstheme="minorBidi"/>
          <w:lang w:val="en-US"/>
        </w:rPr>
      </w:pPr>
      <w:r w:rsidRPr="001B3C1E">
        <w:rPr>
          <w:rFonts w:asciiTheme="minorBidi" w:hAnsiTheme="minorBidi" w:cstheme="minorBidi"/>
          <w:lang w:val="en-US"/>
        </w:rPr>
        <w:t xml:space="preserve">The Court next examined its jurisdiction over the Plaintiffs’ claims concerning the withholding of congressional appropriations from the Networks. The Government argued that these claims were "strictly contractual in nature" and thus barred by the Tucker Act, which grants exclusive jurisdiction to the Court of Federal Claims. It relied on </w:t>
      </w:r>
      <w:r w:rsidRPr="001B3C1E">
        <w:rPr>
          <w:rFonts w:asciiTheme="minorBidi" w:hAnsiTheme="minorBidi" w:cstheme="minorBidi"/>
          <w:i/>
          <w:iCs/>
          <w:lang w:val="en-US"/>
        </w:rPr>
        <w:t>Department of Education v. California</w:t>
      </w:r>
      <w:r w:rsidR="00981DC5" w:rsidRPr="001B3C1E">
        <w:rPr>
          <w:rFonts w:asciiTheme="minorBidi" w:hAnsiTheme="minorBidi" w:cstheme="minorBidi"/>
          <w:lang w:val="en-US"/>
        </w:rPr>
        <w:t xml:space="preserve"> </w:t>
      </w:r>
      <w:r w:rsidRPr="001B3C1E">
        <w:rPr>
          <w:rFonts w:asciiTheme="minorBidi" w:hAnsiTheme="minorBidi" w:cstheme="minorBidi"/>
          <w:lang w:val="en-US"/>
        </w:rPr>
        <w:t>in support. The Court rejected this contention, reaffirming Judge Oetken's earlier holding that the "mere fact that a court may have to rule on a contract issue does not</w:t>
      </w:r>
      <w:r w:rsidR="00893CFA" w:rsidRPr="001B3C1E">
        <w:rPr>
          <w:rFonts w:asciiTheme="minorBidi" w:hAnsiTheme="minorBidi" w:cstheme="minorBidi"/>
          <w:lang w:val="en-US"/>
        </w:rPr>
        <w:t xml:space="preserve"> [</w:t>
      </w:r>
      <w:r w:rsidRPr="001B3C1E">
        <w:rPr>
          <w:rFonts w:asciiTheme="minorBidi" w:hAnsiTheme="minorBidi" w:cstheme="minorBidi"/>
          <w:lang w:val="en-US"/>
        </w:rPr>
        <w:t>...</w:t>
      </w:r>
      <w:r w:rsidR="00893CFA" w:rsidRPr="001B3C1E">
        <w:rPr>
          <w:rFonts w:asciiTheme="minorBidi" w:hAnsiTheme="minorBidi" w:cstheme="minorBidi"/>
          <w:lang w:val="en-US"/>
        </w:rPr>
        <w:t xml:space="preserve">] </w:t>
      </w:r>
      <w:r w:rsidRPr="001B3C1E">
        <w:rPr>
          <w:rFonts w:asciiTheme="minorBidi" w:hAnsiTheme="minorBidi" w:cstheme="minorBidi"/>
          <w:lang w:val="en-US"/>
        </w:rPr>
        <w:t>automatically transform an action</w:t>
      </w:r>
      <w:r w:rsidR="00350A1A" w:rsidRPr="001B3C1E">
        <w:rPr>
          <w:rFonts w:asciiTheme="minorBidi" w:hAnsiTheme="minorBidi" w:cstheme="minorBidi"/>
          <w:lang w:val="en-US"/>
        </w:rPr>
        <w:t xml:space="preserve"> </w:t>
      </w:r>
      <w:r w:rsidRPr="001B3C1E">
        <w:rPr>
          <w:rFonts w:asciiTheme="minorBidi" w:hAnsiTheme="minorBidi" w:cstheme="minorBidi"/>
          <w:lang w:val="en-US"/>
        </w:rPr>
        <w:t>...</w:t>
      </w:r>
      <w:r w:rsidR="00350A1A" w:rsidRPr="001B3C1E">
        <w:rPr>
          <w:rFonts w:asciiTheme="minorBidi" w:hAnsiTheme="minorBidi" w:cstheme="minorBidi"/>
          <w:lang w:val="en-US"/>
        </w:rPr>
        <w:t xml:space="preserve"> </w:t>
      </w:r>
      <w:r w:rsidRPr="001B3C1E">
        <w:rPr>
          <w:rFonts w:asciiTheme="minorBidi" w:hAnsiTheme="minorBidi" w:cstheme="minorBidi"/>
          <w:lang w:val="en-US"/>
        </w:rPr>
        <w:t>into one on the contract and deprive the court of jurisdiction it might otherwise have</w:t>
      </w:r>
      <w:r w:rsidR="00350A1A" w:rsidRPr="001B3C1E">
        <w:rPr>
          <w:rFonts w:asciiTheme="minorBidi" w:hAnsiTheme="minorBidi" w:cstheme="minorBidi"/>
          <w:lang w:val="en-US"/>
        </w:rPr>
        <w:t>.</w:t>
      </w:r>
      <w:r w:rsidRPr="001B3C1E">
        <w:rPr>
          <w:rFonts w:asciiTheme="minorBidi" w:hAnsiTheme="minorBidi" w:cstheme="minorBidi"/>
          <w:lang w:val="en-US"/>
        </w:rPr>
        <w:t>"</w:t>
      </w:r>
      <w:r w:rsidR="00350A1A" w:rsidRPr="001B3C1E">
        <w:rPr>
          <w:rFonts w:asciiTheme="minorBidi" w:hAnsiTheme="minorBidi" w:cstheme="minorBidi"/>
          <w:lang w:val="en-US"/>
        </w:rPr>
        <w:t xml:space="preserve"> [p. 18]</w:t>
      </w:r>
      <w:r w:rsidRPr="001B3C1E">
        <w:rPr>
          <w:rFonts w:asciiTheme="minorBidi" w:hAnsiTheme="minorBidi" w:cstheme="minorBidi"/>
          <w:lang w:val="en-US"/>
        </w:rPr>
        <w:t xml:space="preserve"> The Court distinguished </w:t>
      </w:r>
      <w:r w:rsidRPr="001B3C1E">
        <w:rPr>
          <w:rFonts w:asciiTheme="minorBidi" w:hAnsiTheme="minorBidi" w:cstheme="minorBidi"/>
          <w:i/>
          <w:iCs/>
          <w:lang w:val="en-US"/>
        </w:rPr>
        <w:t>California</w:t>
      </w:r>
      <w:r w:rsidRPr="001B3C1E">
        <w:rPr>
          <w:rFonts w:asciiTheme="minorBidi" w:hAnsiTheme="minorBidi" w:cstheme="minorBidi"/>
          <w:lang w:val="en-US"/>
        </w:rPr>
        <w:t xml:space="preserve">, where the rights asserted arose from grant agreements that did not statutorily entitle any </w:t>
      </w:r>
      <w:proofErr w:type="gramStart"/>
      <w:r w:rsidRPr="001B3C1E">
        <w:rPr>
          <w:rFonts w:asciiTheme="minorBidi" w:hAnsiTheme="minorBidi" w:cstheme="minorBidi"/>
          <w:lang w:val="en-US"/>
        </w:rPr>
        <w:t>particular grantee</w:t>
      </w:r>
      <w:proofErr w:type="gramEnd"/>
      <w:r w:rsidRPr="001B3C1E">
        <w:rPr>
          <w:rFonts w:asciiTheme="minorBidi" w:hAnsiTheme="minorBidi" w:cstheme="minorBidi"/>
          <w:lang w:val="en-US"/>
        </w:rPr>
        <w:t xml:space="preserve"> to funds. By contrast, it found that the rights of the Networks </w:t>
      </w:r>
      <w:r w:rsidR="00F612A1" w:rsidRPr="001B3C1E">
        <w:rPr>
          <w:rFonts w:asciiTheme="minorBidi" w:hAnsiTheme="minorBidi" w:cstheme="minorBidi"/>
          <w:lang w:val="en-US"/>
        </w:rPr>
        <w:t>in the present case</w:t>
      </w:r>
      <w:r w:rsidRPr="001B3C1E">
        <w:rPr>
          <w:rFonts w:asciiTheme="minorBidi" w:hAnsiTheme="minorBidi" w:cstheme="minorBidi"/>
          <w:lang w:val="en-US"/>
        </w:rPr>
        <w:t xml:space="preserve"> were </w:t>
      </w:r>
      <w:r w:rsidR="001B3C1E">
        <w:rPr>
          <w:rFonts w:asciiTheme="minorBidi" w:hAnsiTheme="minorBidi" w:cstheme="minorBidi"/>
          <w:lang w:val="en-US"/>
        </w:rPr>
        <w:t>“</w:t>
      </w:r>
      <w:r w:rsidRPr="001B3C1E">
        <w:rPr>
          <w:rFonts w:asciiTheme="minorBidi" w:hAnsiTheme="minorBidi" w:cstheme="minorBidi"/>
          <w:lang w:val="en-US"/>
        </w:rPr>
        <w:t>not rooted in the grant agreements with USAGM</w:t>
      </w:r>
      <w:r w:rsidR="001B3C1E">
        <w:rPr>
          <w:rFonts w:asciiTheme="minorBidi" w:hAnsiTheme="minorBidi" w:cstheme="minorBidi"/>
          <w:lang w:val="en-US"/>
        </w:rPr>
        <w:t>”</w:t>
      </w:r>
      <w:r w:rsidRPr="001B3C1E">
        <w:rPr>
          <w:rFonts w:asciiTheme="minorBidi" w:hAnsiTheme="minorBidi" w:cstheme="minorBidi"/>
          <w:lang w:val="en-US"/>
        </w:rPr>
        <w:t xml:space="preserve"> but stemmed from </w:t>
      </w:r>
      <w:r w:rsidR="001B3C1E">
        <w:rPr>
          <w:rFonts w:asciiTheme="minorBidi" w:hAnsiTheme="minorBidi" w:cstheme="minorBidi"/>
          <w:lang w:val="en-US"/>
        </w:rPr>
        <w:t>“</w:t>
      </w:r>
      <w:r w:rsidRPr="001B3C1E">
        <w:rPr>
          <w:rFonts w:asciiTheme="minorBidi" w:hAnsiTheme="minorBidi" w:cstheme="minorBidi"/>
          <w:lang w:val="en-US"/>
        </w:rPr>
        <w:t>Congress passed laws directing USAGM to provide grants to specific grantees, and appropriated funds for those grantees specifically</w:t>
      </w:r>
      <w:r w:rsidR="009B6D74" w:rsidRPr="001B3C1E">
        <w:rPr>
          <w:rFonts w:asciiTheme="minorBidi" w:hAnsiTheme="minorBidi" w:cstheme="minorBidi"/>
          <w:lang w:val="en-US"/>
        </w:rPr>
        <w:t>.</w:t>
      </w:r>
      <w:r w:rsidR="001B3C1E">
        <w:rPr>
          <w:rFonts w:asciiTheme="minorBidi" w:hAnsiTheme="minorBidi" w:cstheme="minorBidi"/>
          <w:lang w:val="en-US"/>
        </w:rPr>
        <w:t>”</w:t>
      </w:r>
      <w:r w:rsidR="00166264" w:rsidRPr="001B3C1E">
        <w:rPr>
          <w:rFonts w:asciiTheme="minorBidi" w:hAnsiTheme="minorBidi" w:cstheme="minorBidi"/>
          <w:lang w:val="en-US"/>
        </w:rPr>
        <w:t xml:space="preserve"> [p. 18-19]</w:t>
      </w:r>
      <w:r w:rsidRPr="001B3C1E">
        <w:rPr>
          <w:rFonts w:asciiTheme="minorBidi" w:hAnsiTheme="minorBidi" w:cstheme="minorBidi"/>
          <w:lang w:val="en-US"/>
        </w:rPr>
        <w:t xml:space="preserve"> Citing </w:t>
      </w:r>
      <w:proofErr w:type="spellStart"/>
      <w:r w:rsidRPr="001B3C1E">
        <w:rPr>
          <w:rFonts w:asciiTheme="minorBidi" w:hAnsiTheme="minorBidi" w:cstheme="minorBidi"/>
          <w:i/>
          <w:iCs/>
          <w:lang w:val="en-US"/>
        </w:rPr>
        <w:t>Megapulse</w:t>
      </w:r>
      <w:proofErr w:type="spellEnd"/>
      <w:r w:rsidRPr="001B3C1E">
        <w:rPr>
          <w:rFonts w:asciiTheme="minorBidi" w:hAnsiTheme="minorBidi" w:cstheme="minorBidi"/>
          <w:i/>
          <w:iCs/>
          <w:lang w:val="en-US"/>
        </w:rPr>
        <w:t>, Inc. v. Lewis</w:t>
      </w:r>
      <w:r w:rsidRPr="001B3C1E">
        <w:rPr>
          <w:rFonts w:asciiTheme="minorBidi" w:hAnsiTheme="minorBidi" w:cstheme="minorBidi"/>
          <w:lang w:val="en-US"/>
        </w:rPr>
        <w:t xml:space="preserve">, the Court emphasized that the Tucker Act should not be interpreted </w:t>
      </w:r>
      <w:r w:rsidR="00672409" w:rsidRPr="001B3C1E">
        <w:rPr>
          <w:rFonts w:asciiTheme="minorBidi" w:hAnsiTheme="minorBidi" w:cstheme="minorBidi"/>
          <w:lang w:val="en-US"/>
        </w:rPr>
        <w:t>“</w:t>
      </w:r>
      <w:r w:rsidR="00672409" w:rsidRPr="001B3C1E">
        <w:rPr>
          <w:rFonts w:asciiTheme="minorBidi" w:hAnsiTheme="minorBidi" w:cstheme="minorBidi"/>
          <w:lang w:val="en-US"/>
        </w:rPr>
        <w:t>so broad[</w:t>
      </w:r>
      <w:proofErr w:type="spellStart"/>
      <w:r w:rsidR="00672409" w:rsidRPr="001B3C1E">
        <w:rPr>
          <w:rFonts w:asciiTheme="minorBidi" w:hAnsiTheme="minorBidi" w:cstheme="minorBidi"/>
          <w:lang w:val="en-US"/>
        </w:rPr>
        <w:t>ly</w:t>
      </w:r>
      <w:proofErr w:type="spellEnd"/>
      <w:r w:rsidR="00672409" w:rsidRPr="001B3C1E">
        <w:rPr>
          <w:rFonts w:asciiTheme="minorBidi" w:hAnsiTheme="minorBidi" w:cstheme="minorBidi"/>
          <w:lang w:val="en-US"/>
        </w:rPr>
        <w:t>]</w:t>
      </w:r>
      <w:r w:rsidR="00672409" w:rsidRPr="001B3C1E">
        <w:rPr>
          <w:rFonts w:asciiTheme="minorBidi" w:hAnsiTheme="minorBidi" w:cstheme="minorBidi"/>
          <w:lang w:val="en-US"/>
        </w:rPr>
        <w:t xml:space="preserve"> </w:t>
      </w:r>
      <w:r w:rsidR="00672409" w:rsidRPr="001B3C1E">
        <w:rPr>
          <w:rFonts w:asciiTheme="minorBidi" w:hAnsiTheme="minorBidi" w:cstheme="minorBidi"/>
          <w:lang w:val="en-US"/>
        </w:rPr>
        <w:t>as to deny a court jurisdiction to consider a claim that is validly based on grounds other than a contractual relationship with the government</w:t>
      </w:r>
      <w:r w:rsidR="00672409" w:rsidRPr="001B3C1E">
        <w:rPr>
          <w:rFonts w:asciiTheme="minorBidi" w:hAnsiTheme="minorBidi" w:cstheme="minorBidi"/>
          <w:lang w:val="en-US"/>
        </w:rPr>
        <w:t>[.]</w:t>
      </w:r>
      <w:r w:rsidR="00672409" w:rsidRPr="001B3C1E">
        <w:rPr>
          <w:rFonts w:asciiTheme="minorBidi" w:hAnsiTheme="minorBidi" w:cstheme="minorBidi"/>
          <w:lang w:val="en-US"/>
        </w:rPr>
        <w:t>”</w:t>
      </w:r>
      <w:r w:rsidRPr="001B3C1E">
        <w:rPr>
          <w:rFonts w:asciiTheme="minorBidi" w:hAnsiTheme="minorBidi" w:cstheme="minorBidi"/>
          <w:lang w:val="en-US"/>
        </w:rPr>
        <w:t xml:space="preserve"> </w:t>
      </w:r>
      <w:r w:rsidR="000C0791" w:rsidRPr="001B3C1E">
        <w:rPr>
          <w:rFonts w:asciiTheme="minorBidi" w:hAnsiTheme="minorBidi" w:cstheme="minorBidi"/>
          <w:lang w:val="en-US"/>
        </w:rPr>
        <w:t xml:space="preserve">[p. 20] </w:t>
      </w:r>
      <w:r w:rsidRPr="001B3C1E">
        <w:rPr>
          <w:rFonts w:asciiTheme="minorBidi" w:hAnsiTheme="minorBidi" w:cstheme="minorBidi"/>
          <w:lang w:val="en-US"/>
        </w:rPr>
        <w:t>Accordingly, it held that a claim of entitlement to congressional appropriations falls within the jurisdiction of a federal district court</w:t>
      </w:r>
      <w:r w:rsidRPr="001B3C1E">
        <w:rPr>
          <w:rFonts w:asciiTheme="minorBidi" w:hAnsiTheme="minorBidi" w:cstheme="minorBidi"/>
          <w:lang w:val="en-US"/>
        </w:rPr>
        <w:t>.</w:t>
      </w:r>
      <w:r w:rsidR="00672409" w:rsidRPr="001B3C1E">
        <w:rPr>
          <w:rFonts w:asciiTheme="minorBidi" w:hAnsiTheme="minorBidi" w:cstheme="minorBidi"/>
          <w:lang w:val="en-US"/>
        </w:rPr>
        <w:t xml:space="preserve"> </w:t>
      </w:r>
    </w:p>
    <w:p w14:paraId="575AE127" w14:textId="06A82766" w:rsidR="00E6244A" w:rsidRPr="001B3C1E" w:rsidRDefault="00E6244A" w:rsidP="00E6244A">
      <w:pPr>
        <w:spacing w:before="240" w:after="240"/>
        <w:jc w:val="both"/>
        <w:rPr>
          <w:rFonts w:asciiTheme="minorBidi" w:hAnsiTheme="minorBidi" w:cstheme="minorBidi"/>
          <w:lang w:val="en-US"/>
        </w:rPr>
      </w:pPr>
      <w:r w:rsidRPr="001B3C1E">
        <w:rPr>
          <w:rFonts w:asciiTheme="minorBidi" w:hAnsiTheme="minorBidi" w:cstheme="minorBidi"/>
          <w:lang w:val="en-US"/>
        </w:rPr>
        <w:t>Turning to jurisdiction over personnel actions, the Government argued that the Federal Service Labor–Management Relations Statute, the Civil Service Reform Act, and the Foreign Service Act channeled employment disputes to administrative entities such as the MSPB, the Federal Labor Relations Authority, or the Office of Special Counsel, thereby foreclosing federal court review. The Court clarified that any such jurisdictional bar would apply solely to individual USAGM employees and public-sector unions asserting associational standing, and not to non-governmental plaintiffs or</w:t>
      </w:r>
      <w:r w:rsidR="001F74B6" w:rsidRPr="001B3C1E">
        <w:rPr>
          <w:rFonts w:asciiTheme="minorBidi" w:hAnsiTheme="minorBidi" w:cstheme="minorBidi"/>
          <w:lang w:val="en-US"/>
        </w:rPr>
        <w:t xml:space="preserve"> PSCs</w:t>
      </w:r>
      <w:r w:rsidR="00684280" w:rsidRPr="001B3C1E">
        <w:rPr>
          <w:rFonts w:asciiTheme="minorBidi" w:hAnsiTheme="minorBidi" w:cstheme="minorBidi"/>
          <w:lang w:val="en-US"/>
        </w:rPr>
        <w:t xml:space="preserve">, </w:t>
      </w:r>
      <w:r w:rsidR="001F74B6" w:rsidRPr="001B3C1E">
        <w:rPr>
          <w:rFonts w:asciiTheme="minorBidi" w:hAnsiTheme="minorBidi" w:cstheme="minorBidi"/>
          <w:lang w:val="en-US"/>
        </w:rPr>
        <w:t xml:space="preserve">the Court, </w:t>
      </w:r>
      <w:r w:rsidR="00866C49" w:rsidRPr="001B3C1E">
        <w:rPr>
          <w:rFonts w:asciiTheme="minorBidi" w:hAnsiTheme="minorBidi" w:cstheme="minorBidi"/>
          <w:lang w:val="en-US"/>
        </w:rPr>
        <w:t>nonetheless</w:t>
      </w:r>
      <w:r w:rsidR="001F74B6" w:rsidRPr="001B3C1E">
        <w:rPr>
          <w:rFonts w:asciiTheme="minorBidi" w:hAnsiTheme="minorBidi" w:cstheme="minorBidi"/>
          <w:lang w:val="en-US"/>
        </w:rPr>
        <w:t xml:space="preserve">, dismissed </w:t>
      </w:r>
      <w:r w:rsidR="00C55276" w:rsidRPr="001B3C1E">
        <w:rPr>
          <w:rFonts w:asciiTheme="minorBidi" w:hAnsiTheme="minorBidi" w:cstheme="minorBidi"/>
          <w:lang w:val="en-US"/>
        </w:rPr>
        <w:t xml:space="preserve">the Government’s </w:t>
      </w:r>
      <w:r w:rsidR="001F74B6" w:rsidRPr="001B3C1E">
        <w:rPr>
          <w:rFonts w:asciiTheme="minorBidi" w:hAnsiTheme="minorBidi" w:cstheme="minorBidi"/>
          <w:lang w:val="en-US"/>
        </w:rPr>
        <w:t xml:space="preserve">argument </w:t>
      </w:r>
      <w:r w:rsidR="00C55276" w:rsidRPr="001B3C1E">
        <w:rPr>
          <w:rFonts w:asciiTheme="minorBidi" w:hAnsiTheme="minorBidi" w:cstheme="minorBidi"/>
          <w:lang w:val="en-US"/>
        </w:rPr>
        <w:t xml:space="preserve">in this regard </w:t>
      </w:r>
      <w:r w:rsidR="001F74B6" w:rsidRPr="001B3C1E">
        <w:rPr>
          <w:rFonts w:asciiTheme="minorBidi" w:hAnsiTheme="minorBidi" w:cstheme="minorBidi"/>
          <w:lang w:val="en-US"/>
        </w:rPr>
        <w:t xml:space="preserve">as it noted that this case “is not simply a collection </w:t>
      </w:r>
      <w:r w:rsidR="001F74B6" w:rsidRPr="001B3C1E">
        <w:rPr>
          <w:rFonts w:asciiTheme="minorBidi" w:hAnsiTheme="minorBidi" w:cstheme="minorBidi"/>
        </w:rPr>
        <w:t>of employment</w:t>
      </w:r>
      <w:r w:rsidR="001F74B6" w:rsidRPr="001B3C1E">
        <w:rPr>
          <w:rFonts w:asciiTheme="minorBidi" w:hAnsiTheme="minorBidi" w:cstheme="minorBidi"/>
          <w:lang w:val="en-US"/>
        </w:rPr>
        <w:t xml:space="preserve"> disputes</w:t>
      </w:r>
      <w:r w:rsidRPr="001B3C1E">
        <w:rPr>
          <w:rFonts w:asciiTheme="minorBidi" w:hAnsiTheme="minorBidi" w:cstheme="minorBidi"/>
          <w:lang w:val="en-US"/>
        </w:rPr>
        <w:t>.</w:t>
      </w:r>
      <w:r w:rsidR="001F74B6" w:rsidRPr="001B3C1E">
        <w:rPr>
          <w:rFonts w:asciiTheme="minorBidi" w:hAnsiTheme="minorBidi" w:cstheme="minorBidi"/>
          <w:lang w:val="en-US"/>
        </w:rPr>
        <w:t>” [p. 21]</w:t>
      </w:r>
      <w:r w:rsidRPr="001B3C1E">
        <w:rPr>
          <w:rFonts w:asciiTheme="minorBidi" w:hAnsiTheme="minorBidi" w:cstheme="minorBidi"/>
          <w:lang w:val="en-US"/>
        </w:rPr>
        <w:t xml:space="preserve"> As to the </w:t>
      </w:r>
      <w:r w:rsidR="00004B20" w:rsidRPr="001B3C1E">
        <w:rPr>
          <w:rFonts w:asciiTheme="minorBidi" w:hAnsiTheme="minorBidi" w:cstheme="minorBidi"/>
          <w:lang w:val="en-US"/>
        </w:rPr>
        <w:t xml:space="preserve">Plaintiff </w:t>
      </w:r>
      <w:r w:rsidRPr="001B3C1E">
        <w:rPr>
          <w:rFonts w:asciiTheme="minorBidi" w:hAnsiTheme="minorBidi" w:cstheme="minorBidi"/>
          <w:lang w:val="en-US"/>
        </w:rPr>
        <w:t>PSCs, the Court applied the same "source of the rights" inquiry used under the Tucker Act/Contract Disputes Act (CDA), finding that their claims were grounded in "constitutional and statutory rights," not merely contractual obligations.</w:t>
      </w:r>
    </w:p>
    <w:p w14:paraId="547C8B54" w14:textId="77777777" w:rsidR="00E6244A" w:rsidRPr="001B3C1E" w:rsidRDefault="00E6244A" w:rsidP="00E6244A">
      <w:pPr>
        <w:spacing w:before="240" w:after="240"/>
        <w:jc w:val="both"/>
        <w:rPr>
          <w:rFonts w:asciiTheme="minorBidi" w:hAnsiTheme="minorBidi" w:cstheme="minorBidi"/>
          <w:lang w:val="en-US"/>
        </w:rPr>
      </w:pPr>
    </w:p>
    <w:p w14:paraId="22B0FEE1" w14:textId="06E21B7C" w:rsidR="00441F42" w:rsidRPr="001B3C1E" w:rsidRDefault="00E6244A" w:rsidP="008D1FBF">
      <w:pPr>
        <w:spacing w:before="240" w:after="240"/>
        <w:jc w:val="both"/>
        <w:rPr>
          <w:rFonts w:asciiTheme="minorBidi" w:hAnsiTheme="minorBidi" w:cstheme="minorBidi"/>
          <w:lang w:val="en-US"/>
        </w:rPr>
      </w:pPr>
      <w:r w:rsidRPr="001B3C1E">
        <w:rPr>
          <w:rFonts w:asciiTheme="minorBidi" w:hAnsiTheme="minorBidi" w:cstheme="minorBidi"/>
          <w:lang w:val="en-US"/>
        </w:rPr>
        <w:t xml:space="preserve">The Government principally relied on </w:t>
      </w:r>
      <w:r w:rsidRPr="001B3C1E">
        <w:rPr>
          <w:rFonts w:asciiTheme="minorBidi" w:hAnsiTheme="minorBidi" w:cstheme="minorBidi"/>
          <w:i/>
          <w:iCs/>
          <w:lang w:val="en-US"/>
        </w:rPr>
        <w:t>AFSA v. Trump</w:t>
      </w:r>
      <w:r w:rsidRPr="001B3C1E">
        <w:rPr>
          <w:rFonts w:asciiTheme="minorBidi" w:hAnsiTheme="minorBidi" w:cstheme="minorBidi"/>
          <w:lang w:val="en-US"/>
        </w:rPr>
        <w:t xml:space="preserve">, where a preliminary injunction was denied on the basis that the claims presented were </w:t>
      </w:r>
      <w:r w:rsidR="001B3C1E">
        <w:rPr>
          <w:rFonts w:asciiTheme="minorBidi" w:hAnsiTheme="minorBidi" w:cstheme="minorBidi"/>
          <w:lang w:val="en-US"/>
        </w:rPr>
        <w:t>“</w:t>
      </w:r>
      <w:r w:rsidRPr="001B3C1E">
        <w:rPr>
          <w:rFonts w:asciiTheme="minorBidi" w:hAnsiTheme="minorBidi" w:cstheme="minorBidi"/>
          <w:lang w:val="en-US"/>
        </w:rPr>
        <w:t>archetypal complaints about changed employment conditions</w:t>
      </w:r>
      <w:r w:rsidR="001B3C1E" w:rsidRPr="001B3C1E">
        <w:rPr>
          <w:rFonts w:asciiTheme="minorBidi" w:hAnsiTheme="minorBidi" w:cstheme="minorBidi"/>
          <w:lang w:val="en-US"/>
        </w:rPr>
        <w:t>”</w:t>
      </w:r>
      <w:r w:rsidRPr="001B3C1E">
        <w:rPr>
          <w:rFonts w:asciiTheme="minorBidi" w:hAnsiTheme="minorBidi" w:cstheme="minorBidi"/>
          <w:lang w:val="en-US"/>
        </w:rPr>
        <w:t xml:space="preserve"> because the agency was "still standing</w:t>
      </w:r>
      <w:r w:rsidR="001B3C1E">
        <w:rPr>
          <w:rFonts w:asciiTheme="minorBidi" w:hAnsiTheme="minorBidi" w:cstheme="minorBidi"/>
          <w:lang w:val="en-US"/>
        </w:rPr>
        <w:t>”</w:t>
      </w:r>
      <w:r w:rsidRPr="001B3C1E">
        <w:rPr>
          <w:rFonts w:asciiTheme="minorBidi" w:hAnsiTheme="minorBidi" w:cstheme="minorBidi"/>
          <w:lang w:val="en-US"/>
        </w:rPr>
        <w:t xml:space="preserve">. </w:t>
      </w:r>
      <w:r w:rsidR="007E3DE1" w:rsidRPr="001B3C1E">
        <w:rPr>
          <w:rFonts w:asciiTheme="minorBidi" w:hAnsiTheme="minorBidi" w:cstheme="minorBidi"/>
          <w:lang w:val="en-US"/>
        </w:rPr>
        <w:t xml:space="preserve">[p. 21] </w:t>
      </w:r>
      <w:r w:rsidRPr="001B3C1E">
        <w:rPr>
          <w:rFonts w:asciiTheme="minorBidi" w:hAnsiTheme="minorBidi" w:cstheme="minorBidi"/>
          <w:lang w:val="en-US"/>
        </w:rPr>
        <w:t xml:space="preserve">The Court here found that reasoning unpersuasive, noting that </w:t>
      </w:r>
      <w:r w:rsidR="00A82DF7" w:rsidRPr="001B3C1E">
        <w:rPr>
          <w:rFonts w:asciiTheme="minorBidi" w:hAnsiTheme="minorBidi" w:cstheme="minorBidi"/>
          <w:lang w:val="en-US"/>
        </w:rPr>
        <w:t>“</w:t>
      </w:r>
      <w:r w:rsidR="00DC76FB" w:rsidRPr="001B3C1E">
        <w:rPr>
          <w:rFonts w:asciiTheme="minorBidi" w:hAnsiTheme="minorBidi" w:cstheme="minorBidi"/>
          <w:lang w:val="en-US"/>
        </w:rPr>
        <w:t>[</w:t>
      </w:r>
      <w:proofErr w:type="spellStart"/>
      <w:r w:rsidR="00DC76FB" w:rsidRPr="001B3C1E">
        <w:rPr>
          <w:rFonts w:asciiTheme="minorBidi" w:hAnsiTheme="minorBidi" w:cstheme="minorBidi"/>
          <w:lang w:val="en-US"/>
        </w:rPr>
        <w:t>i</w:t>
      </w:r>
      <w:proofErr w:type="spellEnd"/>
      <w:r w:rsidR="00DC76FB" w:rsidRPr="001B3C1E">
        <w:rPr>
          <w:rFonts w:asciiTheme="minorBidi" w:hAnsiTheme="minorBidi" w:cstheme="minorBidi"/>
          <w:lang w:val="en-US"/>
        </w:rPr>
        <w:t>]</w:t>
      </w:r>
      <w:r w:rsidR="00DC76FB" w:rsidRPr="001B3C1E">
        <w:rPr>
          <w:rFonts w:asciiTheme="minorBidi" w:hAnsiTheme="minorBidi" w:cstheme="minorBidi"/>
          <w:lang w:val="en-US"/>
        </w:rPr>
        <w:t xml:space="preserve">t strains credulity to conclude the USAGM is “still standing” when its 80-year-old flagship news service, VOA, has gone completely dark with no signs of returning, when USAGM has stopped the disbursement of funds to statutorily created, </w:t>
      </w:r>
      <w:r w:rsidR="00DC76FB" w:rsidRPr="001B3C1E">
        <w:rPr>
          <w:rFonts w:asciiTheme="minorBidi" w:hAnsiTheme="minorBidi" w:cstheme="minorBidi"/>
          <w:lang w:val="en-US"/>
        </w:rPr>
        <w:lastRenderedPageBreak/>
        <w:t>congressionally funded networks, and when USAGM leadership has called the agency “not salvageable” and “a giant rot from top to bottom.”</w:t>
      </w:r>
      <w:r w:rsidR="00DC76FB" w:rsidRPr="001B3C1E">
        <w:rPr>
          <w:rFonts w:asciiTheme="minorBidi" w:hAnsiTheme="minorBidi" w:cstheme="minorBidi"/>
          <w:lang w:val="en-US"/>
        </w:rPr>
        <w:t>” [p. 22]</w:t>
      </w:r>
      <w:r w:rsidRPr="001B3C1E">
        <w:rPr>
          <w:rFonts w:asciiTheme="minorBidi" w:hAnsiTheme="minorBidi" w:cstheme="minorBidi"/>
          <w:lang w:val="en-US"/>
        </w:rPr>
        <w:t xml:space="preserve"> Applying the framework articulated in </w:t>
      </w:r>
      <w:r w:rsidRPr="001B3C1E">
        <w:rPr>
          <w:rFonts w:asciiTheme="minorBidi" w:hAnsiTheme="minorBidi" w:cstheme="minorBidi"/>
          <w:i/>
          <w:iCs/>
          <w:lang w:val="en-US"/>
        </w:rPr>
        <w:t>Thunder Basin Coal Co. v. Reic</w:t>
      </w:r>
      <w:r w:rsidR="00E24023" w:rsidRPr="001B3C1E">
        <w:rPr>
          <w:rFonts w:asciiTheme="minorBidi" w:hAnsiTheme="minorBidi" w:cstheme="minorBidi"/>
          <w:i/>
          <w:iCs/>
          <w:lang w:val="en-US"/>
        </w:rPr>
        <w:t>h</w:t>
      </w:r>
      <w:r w:rsidRPr="001B3C1E">
        <w:rPr>
          <w:rFonts w:asciiTheme="minorBidi" w:hAnsiTheme="minorBidi" w:cstheme="minorBidi"/>
          <w:lang w:val="en-US"/>
        </w:rPr>
        <w:t>, the Court held that "no meaningful review" was available from the MSPB or OSC regarding the "wholesale placement of employees on administrative leave and the silencing VOA". Furthermore, these administrative bodies lacked jurisdiction over the cessation of congressional appropriations. The Court concluded that the case presented "standard questions of administrative’ and constitutional law, detached from” federal employment issues, thereby confirming its jurisdiction.</w:t>
      </w:r>
      <w:r w:rsidR="000A04B9" w:rsidRPr="001B3C1E">
        <w:rPr>
          <w:rFonts w:asciiTheme="minorBidi" w:hAnsiTheme="minorBidi" w:cstheme="minorBidi"/>
          <w:lang w:val="en-US"/>
        </w:rPr>
        <w:t xml:space="preserve"> [fn. 22]</w:t>
      </w:r>
    </w:p>
    <w:p w14:paraId="5EDFA43C" w14:textId="476020F2" w:rsidR="00466ED6" w:rsidRPr="001B3C1E" w:rsidRDefault="00CA5B13" w:rsidP="00484FE1">
      <w:pPr>
        <w:spacing w:before="240" w:after="240"/>
        <w:jc w:val="both"/>
        <w:rPr>
          <w:rFonts w:asciiTheme="minorBidi" w:hAnsiTheme="minorBidi" w:cstheme="minorBidi"/>
          <w:lang w:val="en-US"/>
        </w:rPr>
      </w:pPr>
      <w:proofErr w:type="gramStart"/>
      <w:r w:rsidRPr="001B3C1E">
        <w:rPr>
          <w:rFonts w:asciiTheme="minorBidi" w:hAnsiTheme="minorBidi" w:cstheme="minorBidi"/>
          <w:lang w:val="en-US"/>
        </w:rPr>
        <w:t>In regard to</w:t>
      </w:r>
      <w:proofErr w:type="gramEnd"/>
      <w:r w:rsidRPr="001B3C1E">
        <w:rPr>
          <w:rFonts w:asciiTheme="minorBidi" w:hAnsiTheme="minorBidi" w:cstheme="minorBidi"/>
          <w:lang w:val="en-US"/>
        </w:rPr>
        <w:t xml:space="preserve"> the first preliminary injunction factor, the l</w:t>
      </w:r>
      <w:r w:rsidR="00441F42" w:rsidRPr="001B3C1E">
        <w:rPr>
          <w:rFonts w:asciiTheme="minorBidi" w:hAnsiTheme="minorBidi" w:cstheme="minorBidi"/>
          <w:lang w:val="en-US"/>
        </w:rPr>
        <w:t xml:space="preserve">ikelihood of </w:t>
      </w:r>
      <w:r w:rsidRPr="001B3C1E">
        <w:rPr>
          <w:rFonts w:asciiTheme="minorBidi" w:hAnsiTheme="minorBidi" w:cstheme="minorBidi"/>
          <w:lang w:val="en-US"/>
        </w:rPr>
        <w:t>s</w:t>
      </w:r>
      <w:r w:rsidR="00441F42" w:rsidRPr="001B3C1E">
        <w:rPr>
          <w:rFonts w:asciiTheme="minorBidi" w:hAnsiTheme="minorBidi" w:cstheme="minorBidi"/>
          <w:lang w:val="en-US"/>
        </w:rPr>
        <w:t xml:space="preserve">uccess on the </w:t>
      </w:r>
      <w:r w:rsidRPr="001B3C1E">
        <w:rPr>
          <w:rFonts w:asciiTheme="minorBidi" w:hAnsiTheme="minorBidi" w:cstheme="minorBidi"/>
          <w:lang w:val="en-US"/>
        </w:rPr>
        <w:t>m</w:t>
      </w:r>
      <w:r w:rsidR="00441F42" w:rsidRPr="001B3C1E">
        <w:rPr>
          <w:rFonts w:asciiTheme="minorBidi" w:hAnsiTheme="minorBidi" w:cstheme="minorBidi"/>
          <w:lang w:val="en-US"/>
        </w:rPr>
        <w:t xml:space="preserve">erits, the Court assessed the </w:t>
      </w:r>
      <w:r w:rsidR="00160761" w:rsidRPr="001B3C1E">
        <w:rPr>
          <w:rFonts w:asciiTheme="minorBidi" w:hAnsiTheme="minorBidi" w:cstheme="minorBidi"/>
          <w:lang w:val="en-US"/>
        </w:rPr>
        <w:t>P</w:t>
      </w:r>
      <w:r w:rsidR="00441F42" w:rsidRPr="001B3C1E">
        <w:rPr>
          <w:rFonts w:asciiTheme="minorBidi" w:hAnsiTheme="minorBidi" w:cstheme="minorBidi"/>
          <w:lang w:val="en-US"/>
        </w:rPr>
        <w:t xml:space="preserve">laintiffs' APA claims. </w:t>
      </w:r>
      <w:r w:rsidR="00484FE1" w:rsidRPr="001B3C1E">
        <w:rPr>
          <w:rFonts w:asciiTheme="minorBidi" w:hAnsiTheme="minorBidi" w:cstheme="minorBidi"/>
          <w:lang w:val="en-US"/>
        </w:rPr>
        <w:t xml:space="preserve">The Government first contended that the </w:t>
      </w:r>
      <w:r w:rsidR="00466ED6" w:rsidRPr="001B3C1E">
        <w:rPr>
          <w:rFonts w:asciiTheme="minorBidi" w:hAnsiTheme="minorBidi" w:cstheme="minorBidi"/>
          <w:lang w:val="en-US"/>
        </w:rPr>
        <w:t>P</w:t>
      </w:r>
      <w:r w:rsidR="00484FE1" w:rsidRPr="001B3C1E">
        <w:rPr>
          <w:rFonts w:asciiTheme="minorBidi" w:hAnsiTheme="minorBidi" w:cstheme="minorBidi"/>
          <w:lang w:val="en-US"/>
        </w:rPr>
        <w:t xml:space="preserve">laintiffs were attacking a broad dismantling of USAGM rather than a "discrete" agency action, which, the Government argued, would improperly require judicial supervision of all agency operations. The Court rejected that view, explaining that a rapid "slew of actions" does not preclude review of each action that contravenes statutorily mandated duties. The Court adopted Judge Oetken’s reasoning and held that the "termination of contracts with partner organizations and the dismantling of critical infrastructure leading to the complete halt of agency programming are final agency actions." </w:t>
      </w:r>
      <w:r w:rsidR="0080632F" w:rsidRPr="001B3C1E">
        <w:rPr>
          <w:rFonts w:asciiTheme="minorBidi" w:hAnsiTheme="minorBidi" w:cstheme="minorBidi"/>
          <w:lang w:val="en-US"/>
        </w:rPr>
        <w:t>[</w:t>
      </w:r>
      <w:r w:rsidR="00EF088A" w:rsidRPr="001B3C1E">
        <w:rPr>
          <w:rFonts w:asciiTheme="minorBidi" w:hAnsiTheme="minorBidi" w:cstheme="minorBidi"/>
          <w:lang w:val="en-US"/>
        </w:rPr>
        <w:t xml:space="preserve">p. 24] </w:t>
      </w:r>
      <w:r w:rsidR="00484FE1" w:rsidRPr="001B3C1E">
        <w:rPr>
          <w:rFonts w:asciiTheme="minorBidi" w:hAnsiTheme="minorBidi" w:cstheme="minorBidi"/>
          <w:lang w:val="en-US"/>
        </w:rPr>
        <w:t xml:space="preserve">It further concluded that the mass placement of employees on administrative leave, together with the expressed intent to dismiss many, constituted final agency action </w:t>
      </w:r>
      <w:proofErr w:type="gramStart"/>
      <w:r w:rsidR="00484FE1" w:rsidRPr="001B3C1E">
        <w:rPr>
          <w:rFonts w:asciiTheme="minorBidi" w:hAnsiTheme="minorBidi" w:cstheme="minorBidi"/>
          <w:lang w:val="en-US"/>
        </w:rPr>
        <w:t>in light of</w:t>
      </w:r>
      <w:proofErr w:type="gramEnd"/>
      <w:r w:rsidR="00484FE1" w:rsidRPr="001B3C1E">
        <w:rPr>
          <w:rFonts w:asciiTheme="minorBidi" w:hAnsiTheme="minorBidi" w:cstheme="minorBidi"/>
          <w:lang w:val="en-US"/>
        </w:rPr>
        <w:t xml:space="preserve"> USAGM leadership’s statement that the agency was </w:t>
      </w:r>
      <w:r w:rsidR="005C4441" w:rsidRPr="001B3C1E">
        <w:rPr>
          <w:rFonts w:asciiTheme="minorBidi" w:hAnsiTheme="minorBidi" w:cstheme="minorBidi"/>
          <w:lang w:val="en-US"/>
        </w:rPr>
        <w:t>“</w:t>
      </w:r>
      <w:r w:rsidR="00484FE1" w:rsidRPr="001B3C1E">
        <w:rPr>
          <w:rFonts w:asciiTheme="minorBidi" w:hAnsiTheme="minorBidi" w:cstheme="minorBidi"/>
          <w:lang w:val="en-US"/>
        </w:rPr>
        <w:t>irretrievably broken.</w:t>
      </w:r>
      <w:r w:rsidR="005C4441" w:rsidRPr="001B3C1E">
        <w:rPr>
          <w:rFonts w:asciiTheme="minorBidi" w:hAnsiTheme="minorBidi" w:cstheme="minorBidi"/>
          <w:lang w:val="en-US"/>
        </w:rPr>
        <w:t>”</w:t>
      </w:r>
      <w:r w:rsidR="00484FE1" w:rsidRPr="001B3C1E">
        <w:rPr>
          <w:rFonts w:asciiTheme="minorBidi" w:hAnsiTheme="minorBidi" w:cstheme="minorBidi"/>
          <w:lang w:val="en-US"/>
        </w:rPr>
        <w:t xml:space="preserve"> The Court explained that </w:t>
      </w:r>
      <w:r w:rsidR="005C4441" w:rsidRPr="001B3C1E">
        <w:rPr>
          <w:rFonts w:asciiTheme="minorBidi" w:hAnsiTheme="minorBidi" w:cstheme="minorBidi"/>
          <w:lang w:val="en-US"/>
        </w:rPr>
        <w:t>“</w:t>
      </w:r>
      <w:r w:rsidR="00484FE1" w:rsidRPr="001B3C1E">
        <w:rPr>
          <w:rFonts w:asciiTheme="minorBidi" w:hAnsiTheme="minorBidi" w:cstheme="minorBidi"/>
          <w:lang w:val="en-US"/>
        </w:rPr>
        <w:t>final does not mean permanent</w:t>
      </w:r>
      <w:r w:rsidR="005C4441" w:rsidRPr="001B3C1E">
        <w:rPr>
          <w:rFonts w:asciiTheme="minorBidi" w:hAnsiTheme="minorBidi" w:cstheme="minorBidi"/>
          <w:lang w:val="en-US"/>
        </w:rPr>
        <w:t xml:space="preserve">” </w:t>
      </w:r>
      <w:r w:rsidR="00484FE1" w:rsidRPr="001B3C1E">
        <w:rPr>
          <w:rFonts w:asciiTheme="minorBidi" w:hAnsiTheme="minorBidi" w:cstheme="minorBidi"/>
          <w:lang w:val="en-US"/>
        </w:rPr>
        <w:t>and that these measures "altered their rights and obligations,</w:t>
      </w:r>
      <w:r w:rsidR="005C4441" w:rsidRPr="001B3C1E">
        <w:rPr>
          <w:rFonts w:asciiTheme="minorBidi" w:hAnsiTheme="minorBidi" w:cstheme="minorBidi"/>
          <w:lang w:val="en-US"/>
        </w:rPr>
        <w:t>”</w:t>
      </w:r>
      <w:r w:rsidR="00484FE1" w:rsidRPr="001B3C1E">
        <w:rPr>
          <w:rFonts w:asciiTheme="minorBidi" w:hAnsiTheme="minorBidi" w:cstheme="minorBidi"/>
          <w:lang w:val="en-US"/>
        </w:rPr>
        <w:t xml:space="preserve"> producing a </w:t>
      </w:r>
      <w:r w:rsidR="005C4441" w:rsidRPr="001B3C1E">
        <w:rPr>
          <w:rFonts w:asciiTheme="minorBidi" w:hAnsiTheme="minorBidi" w:cstheme="minorBidi"/>
          <w:lang w:val="en-US"/>
        </w:rPr>
        <w:t>“</w:t>
      </w:r>
      <w:r w:rsidR="00484FE1" w:rsidRPr="001B3C1E">
        <w:rPr>
          <w:rFonts w:asciiTheme="minorBidi" w:hAnsiTheme="minorBidi" w:cstheme="minorBidi"/>
          <w:lang w:val="en-US"/>
        </w:rPr>
        <w:t xml:space="preserve">direct and immediate </w:t>
      </w:r>
      <w:r w:rsidR="00C5692F">
        <w:rPr>
          <w:rFonts w:asciiTheme="minorBidi" w:hAnsiTheme="minorBidi" w:cstheme="minorBidi"/>
          <w:lang w:val="en-US"/>
        </w:rPr>
        <w:t>…</w:t>
      </w:r>
      <w:r w:rsidR="00484FE1" w:rsidRPr="001B3C1E">
        <w:rPr>
          <w:rFonts w:asciiTheme="minorBidi" w:hAnsiTheme="minorBidi" w:cstheme="minorBidi"/>
          <w:lang w:val="en-US"/>
        </w:rPr>
        <w:t xml:space="preserve"> effect on the day-to-day business of the parties.</w:t>
      </w:r>
      <w:r w:rsidR="005C4441" w:rsidRPr="001B3C1E">
        <w:rPr>
          <w:rFonts w:asciiTheme="minorBidi" w:hAnsiTheme="minorBidi" w:cstheme="minorBidi"/>
          <w:lang w:val="en-US"/>
        </w:rPr>
        <w:t>”</w:t>
      </w:r>
      <w:r w:rsidR="00252697" w:rsidRPr="001B3C1E">
        <w:rPr>
          <w:rFonts w:asciiTheme="minorBidi" w:hAnsiTheme="minorBidi" w:cstheme="minorBidi"/>
          <w:lang w:val="en-US"/>
        </w:rPr>
        <w:t xml:space="preserve"> [p. 24]</w:t>
      </w:r>
    </w:p>
    <w:p w14:paraId="11DA96C0" w14:textId="25EF408A" w:rsidR="002C6D79" w:rsidRPr="001B3C1E" w:rsidRDefault="00311544" w:rsidP="002C6D79">
      <w:pPr>
        <w:spacing w:before="240" w:after="240"/>
        <w:jc w:val="both"/>
        <w:rPr>
          <w:rFonts w:asciiTheme="minorBidi" w:hAnsiTheme="minorBidi" w:cstheme="minorBidi"/>
          <w:lang w:val="en-US"/>
        </w:rPr>
      </w:pPr>
      <w:r w:rsidRPr="001B3C1E">
        <w:rPr>
          <w:rFonts w:asciiTheme="minorBidi" w:hAnsiTheme="minorBidi" w:cstheme="minorBidi"/>
          <w:lang w:val="en-US"/>
        </w:rPr>
        <w:t>Under t</w:t>
      </w:r>
      <w:r w:rsidR="00AA35D2" w:rsidRPr="001B3C1E">
        <w:rPr>
          <w:rFonts w:asciiTheme="minorBidi" w:hAnsiTheme="minorBidi" w:cstheme="minorBidi"/>
          <w:lang w:val="en-US"/>
        </w:rPr>
        <w:t>he APA</w:t>
      </w:r>
      <w:r w:rsidRPr="001B3C1E">
        <w:rPr>
          <w:rFonts w:asciiTheme="minorBidi" w:hAnsiTheme="minorBidi" w:cstheme="minorBidi"/>
          <w:lang w:val="en-US"/>
        </w:rPr>
        <w:t>, article 70</w:t>
      </w:r>
      <w:r w:rsidR="00CA5453" w:rsidRPr="001B3C1E">
        <w:rPr>
          <w:rFonts w:asciiTheme="minorBidi" w:hAnsiTheme="minorBidi" w:cstheme="minorBidi"/>
          <w:lang w:val="en-US"/>
        </w:rPr>
        <w:t>6</w:t>
      </w:r>
      <w:r w:rsidRPr="001B3C1E">
        <w:rPr>
          <w:rFonts w:asciiTheme="minorBidi" w:hAnsiTheme="minorBidi" w:cstheme="minorBidi"/>
          <w:lang w:val="en-US"/>
        </w:rPr>
        <w:t>(2)(A)</w:t>
      </w:r>
      <w:r w:rsidR="00AA35D2" w:rsidRPr="001B3C1E">
        <w:rPr>
          <w:rFonts w:asciiTheme="minorBidi" w:hAnsiTheme="minorBidi" w:cstheme="minorBidi"/>
          <w:lang w:val="en-US"/>
        </w:rPr>
        <w:t xml:space="preserve"> stipulates th</w:t>
      </w:r>
      <w:r w:rsidR="00960917" w:rsidRPr="001B3C1E">
        <w:rPr>
          <w:rFonts w:asciiTheme="minorBidi" w:hAnsiTheme="minorBidi" w:cstheme="minorBidi"/>
          <w:lang w:val="en-US"/>
        </w:rPr>
        <w:t xml:space="preserve">at: </w:t>
      </w:r>
      <w:r w:rsidR="00960917" w:rsidRPr="001B3C1E">
        <w:rPr>
          <w:rFonts w:asciiTheme="minorBidi" w:hAnsiTheme="minorBidi" w:cstheme="minorBidi"/>
          <w:lang w:val="en-US"/>
        </w:rPr>
        <w:t>“reviewing court shall . . . hold unlawful and set aside agency action, findings, and conclusions found to be . . . arbitrary and capricious, an abuse of discretion, or otherwise not in accordance with law.”</w:t>
      </w:r>
      <w:r w:rsidR="00960917" w:rsidRPr="001B3C1E">
        <w:rPr>
          <w:rFonts w:asciiTheme="minorBidi" w:hAnsiTheme="minorBidi" w:cstheme="minorBidi"/>
          <w:lang w:val="en-US"/>
        </w:rPr>
        <w:t xml:space="preserve"> </w:t>
      </w:r>
      <w:r w:rsidR="00252697" w:rsidRPr="001B3C1E">
        <w:rPr>
          <w:rFonts w:asciiTheme="minorBidi" w:hAnsiTheme="minorBidi" w:cstheme="minorBidi"/>
          <w:lang w:val="en-US"/>
        </w:rPr>
        <w:t xml:space="preserve">The Court found the Government’s measures </w:t>
      </w:r>
      <w:r w:rsidR="00252697" w:rsidRPr="001B3C1E">
        <w:rPr>
          <w:rFonts w:asciiTheme="minorBidi" w:hAnsiTheme="minorBidi" w:cstheme="minorBidi"/>
          <w:lang w:val="en-US"/>
        </w:rPr>
        <w:t>“</w:t>
      </w:r>
      <w:r w:rsidR="00252697" w:rsidRPr="001B3C1E">
        <w:rPr>
          <w:rFonts w:asciiTheme="minorBidi" w:hAnsiTheme="minorBidi" w:cstheme="minorBidi"/>
          <w:lang w:val="en-US"/>
        </w:rPr>
        <w:t>arbitrary and capricious</w:t>
      </w:r>
      <w:r w:rsidR="00252697" w:rsidRPr="001B3C1E">
        <w:rPr>
          <w:rFonts w:asciiTheme="minorBidi" w:hAnsiTheme="minorBidi" w:cstheme="minorBidi"/>
          <w:lang w:val="en-US"/>
        </w:rPr>
        <w:t>”</w:t>
      </w:r>
      <w:r w:rsidR="00932119" w:rsidRPr="001B3C1E">
        <w:rPr>
          <w:rFonts w:asciiTheme="minorBidi" w:hAnsiTheme="minorBidi" w:cstheme="minorBidi"/>
          <w:lang w:val="en-US"/>
        </w:rPr>
        <w:t xml:space="preserve">. </w:t>
      </w:r>
      <w:r w:rsidR="00252697" w:rsidRPr="001B3C1E">
        <w:rPr>
          <w:rFonts w:asciiTheme="minorBidi" w:hAnsiTheme="minorBidi" w:cstheme="minorBidi"/>
          <w:lang w:val="en-US"/>
        </w:rPr>
        <w:t xml:space="preserve">It observed an </w:t>
      </w:r>
      <w:r w:rsidR="00A636F2" w:rsidRPr="001B3C1E">
        <w:rPr>
          <w:rFonts w:asciiTheme="minorBidi" w:hAnsiTheme="minorBidi" w:cstheme="minorBidi"/>
          <w:lang w:val="en-US"/>
        </w:rPr>
        <w:t>“</w:t>
      </w:r>
      <w:r w:rsidR="00252697" w:rsidRPr="001B3C1E">
        <w:rPr>
          <w:rFonts w:asciiTheme="minorBidi" w:hAnsiTheme="minorBidi" w:cstheme="minorBidi"/>
          <w:lang w:val="en-US"/>
        </w:rPr>
        <w:t>absence of any analysis whatsoever"</w:t>
      </w:r>
      <w:r w:rsidR="00E3058F" w:rsidRPr="001B3C1E">
        <w:rPr>
          <w:rFonts w:asciiTheme="minorBidi" w:hAnsiTheme="minorBidi" w:cstheme="minorBidi"/>
          <w:lang w:val="en-US"/>
        </w:rPr>
        <w:t xml:space="preserve"> [p. 25]</w:t>
      </w:r>
      <w:r w:rsidR="00252697" w:rsidRPr="001B3C1E">
        <w:rPr>
          <w:rFonts w:asciiTheme="minorBidi" w:hAnsiTheme="minorBidi" w:cstheme="minorBidi"/>
          <w:lang w:val="en-US"/>
        </w:rPr>
        <w:t xml:space="preserve"> </w:t>
      </w:r>
      <w:r w:rsidR="00E3058F" w:rsidRPr="001B3C1E">
        <w:rPr>
          <w:rFonts w:asciiTheme="minorBidi" w:hAnsiTheme="minorBidi" w:cstheme="minorBidi"/>
          <w:lang w:val="en-US"/>
        </w:rPr>
        <w:t xml:space="preserve">from the Government </w:t>
      </w:r>
      <w:r w:rsidR="00252697" w:rsidRPr="001B3C1E">
        <w:rPr>
          <w:rFonts w:asciiTheme="minorBidi" w:hAnsiTheme="minorBidi" w:cstheme="minorBidi"/>
          <w:lang w:val="en-US"/>
        </w:rPr>
        <w:t xml:space="preserve">showing which components of USAGM were </w:t>
      </w:r>
      <w:r w:rsidR="005C4441" w:rsidRPr="001B3C1E">
        <w:rPr>
          <w:rFonts w:asciiTheme="minorBidi" w:hAnsiTheme="minorBidi" w:cstheme="minorBidi"/>
          <w:lang w:val="en-US"/>
        </w:rPr>
        <w:t>“</w:t>
      </w:r>
      <w:r w:rsidR="00252697" w:rsidRPr="001B3C1E">
        <w:rPr>
          <w:rFonts w:asciiTheme="minorBidi" w:hAnsiTheme="minorBidi" w:cstheme="minorBidi"/>
          <w:lang w:val="en-US"/>
        </w:rPr>
        <w:t>statutorily required</w:t>
      </w:r>
      <w:r w:rsidR="005C4441" w:rsidRPr="001B3C1E">
        <w:rPr>
          <w:rFonts w:asciiTheme="minorBidi" w:hAnsiTheme="minorBidi" w:cstheme="minorBidi"/>
          <w:lang w:val="en-US"/>
        </w:rPr>
        <w:t>”</w:t>
      </w:r>
      <w:r w:rsidR="00252697" w:rsidRPr="001B3C1E">
        <w:rPr>
          <w:rFonts w:asciiTheme="minorBidi" w:hAnsiTheme="minorBidi" w:cstheme="minorBidi"/>
          <w:lang w:val="en-US"/>
        </w:rPr>
        <w:t xml:space="preserve"> </w:t>
      </w:r>
      <w:r w:rsidR="00E14866" w:rsidRPr="001B3C1E">
        <w:rPr>
          <w:rFonts w:asciiTheme="minorBidi" w:hAnsiTheme="minorBidi" w:cstheme="minorBidi"/>
          <w:lang w:val="en-US"/>
        </w:rPr>
        <w:t xml:space="preserve">as per the EO, as the </w:t>
      </w:r>
      <w:r w:rsidR="00AF0F9D" w:rsidRPr="001B3C1E">
        <w:rPr>
          <w:rFonts w:asciiTheme="minorBidi" w:hAnsiTheme="minorBidi" w:cstheme="minorBidi"/>
          <w:lang w:val="en-US"/>
        </w:rPr>
        <w:t xml:space="preserve">Government </w:t>
      </w:r>
      <w:r w:rsidR="00E14866" w:rsidRPr="001B3C1E">
        <w:rPr>
          <w:rFonts w:asciiTheme="minorBidi" w:hAnsiTheme="minorBidi" w:cstheme="minorBidi"/>
          <w:lang w:val="en-US"/>
        </w:rPr>
        <w:t>had provided no indication that such an analysis was undertaken.</w:t>
      </w:r>
      <w:r w:rsidR="00AF0F9D" w:rsidRPr="001B3C1E">
        <w:rPr>
          <w:rFonts w:asciiTheme="minorBidi" w:hAnsiTheme="minorBidi" w:cstheme="minorBidi"/>
          <w:lang w:val="en-US"/>
        </w:rPr>
        <w:t xml:space="preserve"> T</w:t>
      </w:r>
      <w:r w:rsidR="00252697" w:rsidRPr="001B3C1E">
        <w:rPr>
          <w:rFonts w:asciiTheme="minorBidi" w:hAnsiTheme="minorBidi" w:cstheme="minorBidi"/>
          <w:lang w:val="en-US"/>
        </w:rPr>
        <w:t>he initial justification of acting "[</w:t>
      </w:r>
      <w:proofErr w:type="spellStart"/>
      <w:r w:rsidR="00252697" w:rsidRPr="001B3C1E">
        <w:rPr>
          <w:rFonts w:asciiTheme="minorBidi" w:hAnsiTheme="minorBidi" w:cstheme="minorBidi"/>
          <w:lang w:val="en-US"/>
        </w:rPr>
        <w:t>i</w:t>
      </w:r>
      <w:proofErr w:type="spellEnd"/>
      <w:r w:rsidR="00252697" w:rsidRPr="001B3C1E">
        <w:rPr>
          <w:rFonts w:asciiTheme="minorBidi" w:hAnsiTheme="minorBidi" w:cstheme="minorBidi"/>
          <w:lang w:val="en-US"/>
        </w:rPr>
        <w:t>]n furtherance of the OPM Memorandum and the [EO]</w:t>
      </w:r>
      <w:r w:rsidR="00CA5453" w:rsidRPr="001B3C1E">
        <w:rPr>
          <w:rFonts w:asciiTheme="minorBidi" w:hAnsiTheme="minorBidi" w:cstheme="minorBidi"/>
          <w:lang w:val="en-US"/>
        </w:rPr>
        <w:t>”</w:t>
      </w:r>
      <w:r w:rsidR="00252697" w:rsidRPr="001B3C1E">
        <w:rPr>
          <w:rFonts w:asciiTheme="minorBidi" w:hAnsiTheme="minorBidi" w:cstheme="minorBidi"/>
          <w:lang w:val="en-US"/>
        </w:rPr>
        <w:t xml:space="preserve"> </w:t>
      </w:r>
      <w:r w:rsidR="006F6E2E" w:rsidRPr="001B3C1E">
        <w:rPr>
          <w:rFonts w:asciiTheme="minorBidi" w:hAnsiTheme="minorBidi" w:cstheme="minorBidi"/>
          <w:lang w:val="en-US"/>
        </w:rPr>
        <w:t xml:space="preserve">[p. 26] </w:t>
      </w:r>
      <w:r w:rsidR="00AF0F9D" w:rsidRPr="001B3C1E">
        <w:rPr>
          <w:rFonts w:asciiTheme="minorBidi" w:hAnsiTheme="minorBidi" w:cstheme="minorBidi"/>
          <w:lang w:val="en-US"/>
        </w:rPr>
        <w:t xml:space="preserve">was deemed </w:t>
      </w:r>
      <w:r w:rsidR="00252697" w:rsidRPr="001B3C1E">
        <w:rPr>
          <w:rFonts w:asciiTheme="minorBidi" w:hAnsiTheme="minorBidi" w:cstheme="minorBidi"/>
          <w:lang w:val="en-US"/>
        </w:rPr>
        <w:t xml:space="preserve">to be </w:t>
      </w:r>
      <w:r w:rsidR="00CA5453" w:rsidRPr="001B3C1E">
        <w:rPr>
          <w:rFonts w:asciiTheme="minorBidi" w:hAnsiTheme="minorBidi" w:cstheme="minorBidi"/>
          <w:lang w:val="en-US"/>
        </w:rPr>
        <w:t>“</w:t>
      </w:r>
      <w:r w:rsidR="00252697" w:rsidRPr="001B3C1E">
        <w:rPr>
          <w:rFonts w:asciiTheme="minorBidi" w:hAnsiTheme="minorBidi" w:cstheme="minorBidi"/>
          <w:lang w:val="en-US"/>
        </w:rPr>
        <w:t>grossly insufficient.</w:t>
      </w:r>
      <w:r w:rsidR="00CA5453" w:rsidRPr="001B3C1E">
        <w:rPr>
          <w:rFonts w:asciiTheme="minorBidi" w:hAnsiTheme="minorBidi" w:cstheme="minorBidi"/>
          <w:lang w:val="en-US"/>
        </w:rPr>
        <w:t>”</w:t>
      </w:r>
      <w:r w:rsidR="00252697" w:rsidRPr="001B3C1E">
        <w:rPr>
          <w:rFonts w:asciiTheme="minorBidi" w:hAnsiTheme="minorBidi" w:cstheme="minorBidi"/>
          <w:lang w:val="en-US"/>
        </w:rPr>
        <w:t xml:space="preserve"> The Government thereafter offered no substantive analysis, declined to press the merits of the arbitrary and capricious challenge at hearing, and conceded that it was </w:t>
      </w:r>
      <w:r w:rsidR="00CA5453" w:rsidRPr="001B3C1E">
        <w:rPr>
          <w:rFonts w:asciiTheme="minorBidi" w:hAnsiTheme="minorBidi" w:cstheme="minorBidi"/>
          <w:lang w:val="en-US"/>
        </w:rPr>
        <w:t>“</w:t>
      </w:r>
      <w:r w:rsidR="00252697" w:rsidRPr="001B3C1E">
        <w:rPr>
          <w:rFonts w:asciiTheme="minorBidi" w:hAnsiTheme="minorBidi" w:cstheme="minorBidi"/>
          <w:lang w:val="en-US"/>
        </w:rPr>
        <w:t>determining how it will best go about complying with [the EO],</w:t>
      </w:r>
      <w:r w:rsidR="00CA5453" w:rsidRPr="001B3C1E">
        <w:rPr>
          <w:rFonts w:asciiTheme="minorBidi" w:hAnsiTheme="minorBidi" w:cstheme="minorBidi"/>
          <w:lang w:val="en-US"/>
        </w:rPr>
        <w:t>”</w:t>
      </w:r>
      <w:r w:rsidR="00252697" w:rsidRPr="001B3C1E">
        <w:rPr>
          <w:rFonts w:asciiTheme="minorBidi" w:hAnsiTheme="minorBidi" w:cstheme="minorBidi"/>
          <w:lang w:val="en-US"/>
        </w:rPr>
        <w:t xml:space="preserve"> </w:t>
      </w:r>
      <w:r w:rsidR="00061D99" w:rsidRPr="001B3C1E">
        <w:rPr>
          <w:rFonts w:asciiTheme="minorBidi" w:hAnsiTheme="minorBidi" w:cstheme="minorBidi"/>
          <w:lang w:val="en-US"/>
        </w:rPr>
        <w:t>[p.</w:t>
      </w:r>
      <w:r w:rsidR="006F6E2E" w:rsidRPr="001B3C1E">
        <w:rPr>
          <w:rFonts w:asciiTheme="minorBidi" w:hAnsiTheme="minorBidi" w:cstheme="minorBidi"/>
          <w:lang w:val="en-US"/>
        </w:rPr>
        <w:t xml:space="preserve"> </w:t>
      </w:r>
      <w:r w:rsidR="00061D99" w:rsidRPr="001B3C1E">
        <w:rPr>
          <w:rFonts w:asciiTheme="minorBidi" w:hAnsiTheme="minorBidi" w:cstheme="minorBidi"/>
          <w:lang w:val="en-US"/>
        </w:rPr>
        <w:t>2</w:t>
      </w:r>
      <w:r w:rsidR="002A7875" w:rsidRPr="001B3C1E">
        <w:rPr>
          <w:rFonts w:asciiTheme="minorBidi" w:hAnsiTheme="minorBidi" w:cstheme="minorBidi"/>
          <w:lang w:val="en-US"/>
        </w:rPr>
        <w:t>7</w:t>
      </w:r>
      <w:r w:rsidR="00061D99" w:rsidRPr="001B3C1E">
        <w:rPr>
          <w:rFonts w:asciiTheme="minorBidi" w:hAnsiTheme="minorBidi" w:cstheme="minorBidi"/>
          <w:lang w:val="en-US"/>
        </w:rPr>
        <w:t xml:space="preserve">] </w:t>
      </w:r>
      <w:r w:rsidR="00252697" w:rsidRPr="001B3C1E">
        <w:rPr>
          <w:rFonts w:asciiTheme="minorBidi" w:hAnsiTheme="minorBidi" w:cstheme="minorBidi"/>
          <w:lang w:val="en-US"/>
        </w:rPr>
        <w:t xml:space="preserve">a position the Court viewed as indicative of action taken without </w:t>
      </w:r>
      <w:r w:rsidR="00CA5453" w:rsidRPr="001B3C1E">
        <w:rPr>
          <w:rFonts w:asciiTheme="minorBidi" w:hAnsiTheme="minorBidi" w:cstheme="minorBidi"/>
          <w:lang w:val="en-US"/>
        </w:rPr>
        <w:t>“</w:t>
      </w:r>
      <w:r w:rsidR="00252697" w:rsidRPr="001B3C1E">
        <w:rPr>
          <w:rFonts w:asciiTheme="minorBidi" w:hAnsiTheme="minorBidi" w:cstheme="minorBidi"/>
          <w:lang w:val="en-US"/>
        </w:rPr>
        <w:t>reasoned analysis.</w:t>
      </w:r>
      <w:r w:rsidR="00CA5453" w:rsidRPr="001B3C1E">
        <w:rPr>
          <w:rFonts w:asciiTheme="minorBidi" w:hAnsiTheme="minorBidi" w:cstheme="minorBidi"/>
          <w:lang w:val="en-US"/>
        </w:rPr>
        <w:t>”</w:t>
      </w:r>
      <w:r w:rsidR="00252697" w:rsidRPr="001B3C1E">
        <w:rPr>
          <w:rFonts w:asciiTheme="minorBidi" w:hAnsiTheme="minorBidi" w:cstheme="minorBidi"/>
          <w:lang w:val="en-US"/>
        </w:rPr>
        <w:t xml:space="preserve"> The Court noted as an example that several Network grants were terminated </w:t>
      </w:r>
      <w:r w:rsidR="00B60D8C">
        <w:rPr>
          <w:rFonts w:asciiTheme="minorBidi" w:hAnsiTheme="minorBidi" w:cstheme="minorBidi"/>
          <w:lang w:val="en-US"/>
        </w:rPr>
        <w:t>o</w:t>
      </w:r>
      <w:r w:rsidR="002C6D79" w:rsidRPr="001B3C1E">
        <w:rPr>
          <w:rFonts w:asciiTheme="minorBidi" w:hAnsiTheme="minorBidi" w:cstheme="minorBidi"/>
          <w:lang w:val="en-US"/>
        </w:rPr>
        <w:t xml:space="preserve">n the very day President Trump signed the Third Continuing Resolution, which included specific appropriations for the </w:t>
      </w:r>
      <w:r w:rsidR="00B60D8C" w:rsidRPr="001B3C1E">
        <w:rPr>
          <w:rFonts w:asciiTheme="minorBidi" w:hAnsiTheme="minorBidi" w:cstheme="minorBidi"/>
          <w:lang w:val="en-US"/>
        </w:rPr>
        <w:t>Networks, and</w:t>
      </w:r>
      <w:r w:rsidR="00252697" w:rsidRPr="001B3C1E">
        <w:rPr>
          <w:rFonts w:asciiTheme="minorBidi" w:hAnsiTheme="minorBidi" w:cstheme="minorBidi"/>
          <w:lang w:val="en-US"/>
        </w:rPr>
        <w:t xml:space="preserve"> that the Government failed to account for reliance interests such as VOA’s eighty-year statutory mission, its 425 million listeners, and the Networks’ longstanding dependence on congressional appropriations. The Court concluded that </w:t>
      </w:r>
      <w:r w:rsidR="00CA5453" w:rsidRPr="001B3C1E">
        <w:rPr>
          <w:rFonts w:asciiTheme="minorBidi" w:hAnsiTheme="minorBidi" w:cstheme="minorBidi"/>
          <w:lang w:val="en-US"/>
        </w:rPr>
        <w:t>“</w:t>
      </w:r>
      <w:r w:rsidR="00252697" w:rsidRPr="001B3C1E">
        <w:rPr>
          <w:rFonts w:asciiTheme="minorBidi" w:hAnsiTheme="minorBidi" w:cstheme="minorBidi"/>
          <w:lang w:val="en-US"/>
        </w:rPr>
        <w:t>it is hard to fathom a more straightforward display of arbitrary and capricious actions than the Defendants’ actions here.</w:t>
      </w:r>
      <w:r w:rsidR="00CA5453" w:rsidRPr="001B3C1E">
        <w:rPr>
          <w:rFonts w:asciiTheme="minorBidi" w:hAnsiTheme="minorBidi" w:cstheme="minorBidi"/>
          <w:lang w:val="en-US"/>
        </w:rPr>
        <w:t>”</w:t>
      </w:r>
      <w:r w:rsidR="00252697" w:rsidRPr="001B3C1E">
        <w:rPr>
          <w:rFonts w:asciiTheme="minorBidi" w:hAnsiTheme="minorBidi" w:cstheme="minorBidi"/>
          <w:lang w:val="en-US"/>
        </w:rPr>
        <w:t xml:space="preserve"> </w:t>
      </w:r>
      <w:r w:rsidR="002C6D79" w:rsidRPr="001B3C1E">
        <w:rPr>
          <w:rFonts w:asciiTheme="minorBidi" w:hAnsiTheme="minorBidi" w:cstheme="minorBidi"/>
          <w:lang w:val="en-US"/>
        </w:rPr>
        <w:t xml:space="preserve">[p. 28] </w:t>
      </w:r>
    </w:p>
    <w:p w14:paraId="09E45CD0" w14:textId="77777777" w:rsidR="00317BD2" w:rsidRDefault="00252697" w:rsidP="002C6D79">
      <w:pPr>
        <w:spacing w:before="240" w:after="240"/>
        <w:jc w:val="both"/>
        <w:rPr>
          <w:rFonts w:asciiTheme="minorBidi" w:hAnsiTheme="minorBidi" w:cstheme="minorBidi"/>
          <w:lang w:val="en-US"/>
        </w:rPr>
      </w:pPr>
      <w:r w:rsidRPr="001B3C1E">
        <w:rPr>
          <w:rFonts w:asciiTheme="minorBidi" w:hAnsiTheme="minorBidi" w:cstheme="minorBidi"/>
          <w:lang w:val="en-US"/>
        </w:rPr>
        <w:t xml:space="preserve">The Court also held the Government’s conduct likely to be </w:t>
      </w:r>
      <w:r w:rsidR="00CA5453" w:rsidRPr="001B3C1E">
        <w:rPr>
          <w:rFonts w:asciiTheme="minorBidi" w:hAnsiTheme="minorBidi" w:cstheme="minorBidi"/>
          <w:lang w:val="en-US"/>
        </w:rPr>
        <w:t>“</w:t>
      </w:r>
      <w:r w:rsidRPr="001B3C1E">
        <w:rPr>
          <w:rFonts w:asciiTheme="minorBidi" w:hAnsiTheme="minorBidi" w:cstheme="minorBidi"/>
          <w:lang w:val="en-US"/>
        </w:rPr>
        <w:t>not in accordance with la</w:t>
      </w:r>
      <w:r w:rsidR="00CA5453" w:rsidRPr="001B3C1E">
        <w:rPr>
          <w:rFonts w:asciiTheme="minorBidi" w:hAnsiTheme="minorBidi" w:cstheme="minorBidi"/>
          <w:lang w:val="en-US"/>
        </w:rPr>
        <w:t>w</w:t>
      </w:r>
      <w:r w:rsidRPr="001B3C1E">
        <w:rPr>
          <w:rFonts w:asciiTheme="minorBidi" w:hAnsiTheme="minorBidi" w:cstheme="minorBidi"/>
          <w:lang w:val="en-US"/>
        </w:rPr>
        <w:t>,</w:t>
      </w:r>
      <w:r w:rsidR="00CA5453" w:rsidRPr="001B3C1E">
        <w:rPr>
          <w:rFonts w:asciiTheme="minorBidi" w:hAnsiTheme="minorBidi" w:cstheme="minorBidi"/>
          <w:lang w:val="en-US"/>
        </w:rPr>
        <w:t>”</w:t>
      </w:r>
      <w:r w:rsidRPr="001B3C1E">
        <w:rPr>
          <w:rFonts w:asciiTheme="minorBidi" w:hAnsiTheme="minorBidi" w:cstheme="minorBidi"/>
          <w:lang w:val="en-US"/>
        </w:rPr>
        <w:t xml:space="preserve"> citing probable violations of the International Broadcasting Act, VOA’s charter requirement to </w:t>
      </w:r>
      <w:r w:rsidR="004B3F61">
        <w:rPr>
          <w:rFonts w:asciiTheme="minorBidi" w:hAnsiTheme="minorBidi" w:cstheme="minorBidi"/>
          <w:lang w:val="en-US"/>
        </w:rPr>
        <w:t>“</w:t>
      </w:r>
      <w:r w:rsidRPr="001B3C1E">
        <w:rPr>
          <w:rFonts w:asciiTheme="minorBidi" w:hAnsiTheme="minorBidi" w:cstheme="minorBidi"/>
          <w:lang w:val="en-US"/>
        </w:rPr>
        <w:t>serve as a consistently reliable and authoritative source of news [that is] accurate, objective, and comprehensive,</w:t>
      </w:r>
      <w:r w:rsidR="004B3F61">
        <w:rPr>
          <w:rFonts w:asciiTheme="minorBidi" w:hAnsiTheme="minorBidi" w:cstheme="minorBidi"/>
          <w:lang w:val="en-US"/>
        </w:rPr>
        <w:t>”</w:t>
      </w:r>
      <w:r w:rsidRPr="001B3C1E">
        <w:rPr>
          <w:rFonts w:asciiTheme="minorBidi" w:hAnsiTheme="minorBidi" w:cstheme="minorBidi"/>
          <w:lang w:val="en-US"/>
        </w:rPr>
        <w:t xml:space="preserve"> </w:t>
      </w:r>
      <w:r w:rsidR="004A2196">
        <w:rPr>
          <w:rFonts w:asciiTheme="minorBidi" w:hAnsiTheme="minorBidi" w:cstheme="minorBidi"/>
          <w:lang w:val="en-US"/>
        </w:rPr>
        <w:t xml:space="preserve">[p. 28] </w:t>
      </w:r>
      <w:r w:rsidRPr="001B3C1E">
        <w:rPr>
          <w:rFonts w:asciiTheme="minorBidi" w:hAnsiTheme="minorBidi" w:cstheme="minorBidi"/>
          <w:lang w:val="en-US"/>
        </w:rPr>
        <w:t xml:space="preserve">and statutory appropriations </w:t>
      </w:r>
      <w:r w:rsidR="0074071E">
        <w:rPr>
          <w:rFonts w:asciiTheme="minorBidi" w:hAnsiTheme="minorBidi" w:cstheme="minorBidi"/>
          <w:lang w:val="en-US"/>
        </w:rPr>
        <w:t>laws</w:t>
      </w:r>
      <w:r w:rsidRPr="001B3C1E">
        <w:rPr>
          <w:rFonts w:asciiTheme="minorBidi" w:hAnsiTheme="minorBidi" w:cstheme="minorBidi"/>
          <w:lang w:val="en-US"/>
        </w:rPr>
        <w:t xml:space="preserve"> that prohibit the Executive from refusing to expend congressionally appropriated funds absent rescission. The Court observed that USAGM’s limited reprogramming authority permits only a five percent reduction and requires fifteen days’ advance notice, neither of which occurred, and it concluded these actions likely contravened the Take Care Clause by failing to </w:t>
      </w:r>
      <w:r w:rsidR="00AE5D99">
        <w:rPr>
          <w:rFonts w:asciiTheme="minorBidi" w:hAnsiTheme="minorBidi" w:cstheme="minorBidi"/>
          <w:lang w:val="en-US"/>
        </w:rPr>
        <w:t>“</w:t>
      </w:r>
      <w:r w:rsidRPr="001B3C1E">
        <w:rPr>
          <w:rFonts w:asciiTheme="minorBidi" w:hAnsiTheme="minorBidi" w:cstheme="minorBidi"/>
          <w:lang w:val="en-US"/>
        </w:rPr>
        <w:t>faithfully execute</w:t>
      </w:r>
      <w:r w:rsidR="00AE5D99">
        <w:rPr>
          <w:rFonts w:asciiTheme="minorBidi" w:hAnsiTheme="minorBidi" w:cstheme="minorBidi"/>
          <w:lang w:val="en-US"/>
        </w:rPr>
        <w:t>”</w:t>
      </w:r>
      <w:r w:rsidRPr="001B3C1E">
        <w:rPr>
          <w:rFonts w:asciiTheme="minorBidi" w:hAnsiTheme="minorBidi" w:cstheme="minorBidi"/>
          <w:lang w:val="en-US"/>
        </w:rPr>
        <w:t xml:space="preserve"> the laws. </w:t>
      </w:r>
      <w:r w:rsidRPr="001B3C1E">
        <w:rPr>
          <w:rFonts w:asciiTheme="minorBidi" w:hAnsiTheme="minorBidi" w:cstheme="minorBidi"/>
          <w:lang w:val="en-US"/>
        </w:rPr>
        <w:lastRenderedPageBreak/>
        <w:t xml:space="preserve">Emphasizing separation of powers, the Court </w:t>
      </w:r>
      <w:r w:rsidR="00852726">
        <w:rPr>
          <w:rFonts w:asciiTheme="minorBidi" w:hAnsiTheme="minorBidi" w:cstheme="minorBidi"/>
          <w:lang w:val="en-US"/>
        </w:rPr>
        <w:t xml:space="preserve">highlighted </w:t>
      </w:r>
      <w:r w:rsidRPr="001B3C1E">
        <w:rPr>
          <w:rFonts w:asciiTheme="minorBidi" w:hAnsiTheme="minorBidi" w:cstheme="minorBidi"/>
          <w:lang w:val="en-US"/>
        </w:rPr>
        <w:t xml:space="preserve">that the Executive may not </w:t>
      </w:r>
      <w:r w:rsidR="00AE5D99">
        <w:rPr>
          <w:rFonts w:asciiTheme="minorBidi" w:hAnsiTheme="minorBidi" w:cstheme="minorBidi"/>
          <w:lang w:val="en-US"/>
        </w:rPr>
        <w:t>“</w:t>
      </w:r>
      <w:r w:rsidRPr="001B3C1E">
        <w:rPr>
          <w:rFonts w:asciiTheme="minorBidi" w:hAnsiTheme="minorBidi" w:cstheme="minorBidi"/>
          <w:lang w:val="en-US"/>
        </w:rPr>
        <w:t>enact, [] amend, or [] repeal statutes</w:t>
      </w:r>
      <w:r w:rsidR="00AE5D99">
        <w:rPr>
          <w:rFonts w:asciiTheme="minorBidi" w:hAnsiTheme="minorBidi" w:cstheme="minorBidi"/>
          <w:lang w:val="en-US"/>
        </w:rPr>
        <w:t>”</w:t>
      </w:r>
      <w:r w:rsidRPr="001B3C1E">
        <w:rPr>
          <w:rFonts w:asciiTheme="minorBidi" w:hAnsiTheme="minorBidi" w:cstheme="minorBidi"/>
          <w:lang w:val="en-US"/>
        </w:rPr>
        <w:t xml:space="preserve"> </w:t>
      </w:r>
      <w:r w:rsidR="00852726">
        <w:rPr>
          <w:rFonts w:asciiTheme="minorBidi" w:hAnsiTheme="minorBidi" w:cstheme="minorBidi"/>
          <w:lang w:val="en-US"/>
        </w:rPr>
        <w:t xml:space="preserve">reiterating </w:t>
      </w:r>
      <w:r w:rsidR="00852726" w:rsidRPr="00852726">
        <w:rPr>
          <w:rFonts w:asciiTheme="minorBidi" w:hAnsiTheme="minorBidi" w:cstheme="minorBidi"/>
          <w:i/>
          <w:iCs/>
          <w:lang w:val="en-US"/>
        </w:rPr>
        <w:t>Clinton v. City of New York</w:t>
      </w:r>
      <w:r w:rsidR="00852726">
        <w:rPr>
          <w:rFonts w:asciiTheme="minorBidi" w:hAnsiTheme="minorBidi" w:cstheme="minorBidi"/>
          <w:lang w:val="en-US"/>
        </w:rPr>
        <w:t xml:space="preserve">, </w:t>
      </w:r>
      <w:r w:rsidRPr="001B3C1E">
        <w:rPr>
          <w:rFonts w:asciiTheme="minorBidi" w:hAnsiTheme="minorBidi" w:cstheme="minorBidi"/>
          <w:lang w:val="en-US"/>
        </w:rPr>
        <w:t>and that the Government’s refusal to expend appropriated funds was a direct affront to Congress’s "power of the purse."</w:t>
      </w:r>
      <w:r w:rsidR="00877774">
        <w:rPr>
          <w:rFonts w:asciiTheme="minorBidi" w:hAnsiTheme="minorBidi" w:cstheme="minorBidi"/>
          <w:lang w:val="en-US"/>
        </w:rPr>
        <w:t xml:space="preserve"> (</w:t>
      </w:r>
      <w:r w:rsidR="00877774" w:rsidRPr="00877774">
        <w:rPr>
          <w:rFonts w:asciiTheme="minorBidi" w:hAnsiTheme="minorBidi" w:cstheme="minorBidi"/>
          <w:lang w:val="en-US"/>
        </w:rPr>
        <w:t>Congress’s exclusive constitutional authority to raise, allocate, and restrict federal funds</w:t>
      </w:r>
      <w:r w:rsidR="00877774">
        <w:rPr>
          <w:rFonts w:asciiTheme="minorBidi" w:hAnsiTheme="minorBidi" w:cstheme="minorBidi"/>
          <w:lang w:val="en-US"/>
        </w:rPr>
        <w:t>)</w:t>
      </w:r>
      <w:r w:rsidRPr="001B3C1E">
        <w:rPr>
          <w:rFonts w:asciiTheme="minorBidi" w:hAnsiTheme="minorBidi" w:cstheme="minorBidi"/>
          <w:lang w:val="en-US"/>
        </w:rPr>
        <w:t xml:space="preserve"> </w:t>
      </w:r>
    </w:p>
    <w:p w14:paraId="16A8246B" w14:textId="03E56244" w:rsidR="00252697" w:rsidRPr="001B3C1E" w:rsidRDefault="00317BD2" w:rsidP="002C6D79">
      <w:pPr>
        <w:spacing w:before="240" w:after="240"/>
        <w:jc w:val="both"/>
        <w:rPr>
          <w:rFonts w:asciiTheme="minorBidi" w:hAnsiTheme="minorBidi" w:cstheme="minorBidi"/>
          <w:lang w:val="en-US"/>
        </w:rPr>
      </w:pPr>
      <w:r>
        <w:rPr>
          <w:rFonts w:asciiTheme="minorBidi" w:hAnsiTheme="minorBidi" w:cstheme="minorBidi"/>
          <w:lang w:val="en-US"/>
        </w:rPr>
        <w:t>T</w:t>
      </w:r>
      <w:r w:rsidR="00252697" w:rsidRPr="001B3C1E">
        <w:rPr>
          <w:rFonts w:asciiTheme="minorBidi" w:hAnsiTheme="minorBidi" w:cstheme="minorBidi"/>
          <w:lang w:val="en-US"/>
        </w:rPr>
        <w:t xml:space="preserve">he Court </w:t>
      </w:r>
      <w:r>
        <w:rPr>
          <w:rFonts w:asciiTheme="minorBidi" w:hAnsiTheme="minorBidi" w:cstheme="minorBidi"/>
          <w:lang w:val="en-US"/>
        </w:rPr>
        <w:t xml:space="preserve">further </w:t>
      </w:r>
      <w:r w:rsidR="00252697" w:rsidRPr="001B3C1E">
        <w:rPr>
          <w:rFonts w:asciiTheme="minorBidi" w:hAnsiTheme="minorBidi" w:cstheme="minorBidi"/>
          <w:lang w:val="en-US"/>
        </w:rPr>
        <w:t xml:space="preserve">found it likely that the Government had </w:t>
      </w:r>
      <w:r w:rsidR="009C5AB0">
        <w:rPr>
          <w:rFonts w:asciiTheme="minorBidi" w:hAnsiTheme="minorBidi" w:cstheme="minorBidi"/>
          <w:lang w:val="en-US"/>
        </w:rPr>
        <w:t>“</w:t>
      </w:r>
      <w:r w:rsidR="00252697" w:rsidRPr="001B3C1E">
        <w:rPr>
          <w:rFonts w:asciiTheme="minorBidi" w:hAnsiTheme="minorBidi" w:cstheme="minorBidi"/>
          <w:lang w:val="en-US"/>
        </w:rPr>
        <w:t>unlawfully withheld or unreasonably delayed</w:t>
      </w:r>
      <w:r w:rsidR="009C5AB0">
        <w:rPr>
          <w:rFonts w:asciiTheme="minorBidi" w:hAnsiTheme="minorBidi" w:cstheme="minorBidi"/>
          <w:lang w:val="en-US"/>
        </w:rPr>
        <w:t>”</w:t>
      </w:r>
      <w:r w:rsidR="00252697" w:rsidRPr="001B3C1E">
        <w:rPr>
          <w:rFonts w:asciiTheme="minorBidi" w:hAnsiTheme="minorBidi" w:cstheme="minorBidi"/>
          <w:lang w:val="en-US"/>
        </w:rPr>
        <w:t xml:space="preserve"> agency action under </w:t>
      </w:r>
      <w:r w:rsidR="009C5AB0">
        <w:rPr>
          <w:rFonts w:asciiTheme="minorBidi" w:hAnsiTheme="minorBidi" w:cstheme="minorBidi"/>
          <w:lang w:val="en-US"/>
        </w:rPr>
        <w:t>the APA</w:t>
      </w:r>
      <w:r w:rsidR="00252697" w:rsidRPr="001B3C1E">
        <w:rPr>
          <w:rFonts w:asciiTheme="minorBidi" w:hAnsiTheme="minorBidi" w:cstheme="minorBidi"/>
          <w:lang w:val="en-US"/>
        </w:rPr>
        <w:t xml:space="preserve">; the Government’s ripeness objections were rejected because grant terminations to RFA and MBN had already occurred (subject to the March 28 TRO), and the Government had </w:t>
      </w:r>
      <w:r w:rsidR="009C5AB0">
        <w:rPr>
          <w:rFonts w:asciiTheme="minorBidi" w:hAnsiTheme="minorBidi" w:cstheme="minorBidi"/>
          <w:lang w:val="en-US"/>
        </w:rPr>
        <w:t>“</w:t>
      </w:r>
      <w:r w:rsidR="00252697" w:rsidRPr="001B3C1E">
        <w:rPr>
          <w:rFonts w:asciiTheme="minorBidi" w:hAnsiTheme="minorBidi" w:cstheme="minorBidi"/>
          <w:lang w:val="en-US"/>
        </w:rPr>
        <w:t>declined to make any representation regarding the planned use of VOA’s earmarked funds</w:t>
      </w:r>
      <w:r w:rsidR="009C5AB0">
        <w:rPr>
          <w:rFonts w:asciiTheme="minorBidi" w:hAnsiTheme="minorBidi" w:cstheme="minorBidi"/>
          <w:lang w:val="en-US"/>
        </w:rPr>
        <w:t>”</w:t>
      </w:r>
      <w:r w:rsidR="00252697" w:rsidRPr="001B3C1E">
        <w:rPr>
          <w:rFonts w:asciiTheme="minorBidi" w:hAnsiTheme="minorBidi" w:cstheme="minorBidi"/>
          <w:lang w:val="en-US"/>
        </w:rPr>
        <w:t xml:space="preserve"> while VOA remained </w:t>
      </w:r>
      <w:r w:rsidR="00910499">
        <w:rPr>
          <w:rFonts w:asciiTheme="minorBidi" w:hAnsiTheme="minorBidi" w:cstheme="minorBidi"/>
          <w:lang w:val="en-US"/>
        </w:rPr>
        <w:t>“</w:t>
      </w:r>
      <w:r w:rsidR="00252697" w:rsidRPr="001B3C1E">
        <w:rPr>
          <w:rFonts w:asciiTheme="minorBidi" w:hAnsiTheme="minorBidi" w:cstheme="minorBidi"/>
          <w:lang w:val="en-US"/>
        </w:rPr>
        <w:t>silent</w:t>
      </w:r>
      <w:r w:rsidR="00910499">
        <w:rPr>
          <w:rFonts w:asciiTheme="minorBidi" w:hAnsiTheme="minorBidi" w:cstheme="minorBidi"/>
          <w:lang w:val="en-US"/>
        </w:rPr>
        <w:t xml:space="preserve"> indefinitely”</w:t>
      </w:r>
      <w:r w:rsidR="00252697" w:rsidRPr="001B3C1E">
        <w:rPr>
          <w:rFonts w:asciiTheme="minorBidi" w:hAnsiTheme="minorBidi" w:cstheme="minorBidi"/>
          <w:lang w:val="en-US"/>
        </w:rPr>
        <w:t>, indicating a likely failure to fulfill statutory obligations.</w:t>
      </w:r>
    </w:p>
    <w:p w14:paraId="105BBBB7" w14:textId="77777777" w:rsidR="0080035C" w:rsidRDefault="005D4E90" w:rsidP="00BD401C">
      <w:pPr>
        <w:spacing w:before="240" w:after="240"/>
        <w:jc w:val="both"/>
        <w:rPr>
          <w:rFonts w:asciiTheme="minorBidi" w:hAnsiTheme="minorBidi" w:cstheme="minorBidi"/>
          <w:lang w:val="en-US"/>
        </w:rPr>
      </w:pPr>
      <w:r>
        <w:rPr>
          <w:rFonts w:asciiTheme="minorBidi" w:hAnsiTheme="minorBidi" w:cstheme="minorBidi"/>
          <w:lang w:val="en-US"/>
        </w:rPr>
        <w:t>With respect to the second factor of the preliminary injunction</w:t>
      </w:r>
      <w:r w:rsidRPr="005D4E90">
        <w:rPr>
          <w:rFonts w:asciiTheme="minorBidi" w:hAnsiTheme="minorBidi" w:cstheme="minorBidi"/>
          <w:lang w:val="en-US"/>
        </w:rPr>
        <w:t>, irreparable harm</w:t>
      </w:r>
      <w:r w:rsidR="00D314AD">
        <w:rPr>
          <w:rFonts w:asciiTheme="minorBidi" w:hAnsiTheme="minorBidi" w:cstheme="minorBidi"/>
          <w:lang w:val="en-US"/>
        </w:rPr>
        <w:t>,</w:t>
      </w:r>
      <w:r w:rsidRPr="005D4E90">
        <w:rPr>
          <w:rFonts w:asciiTheme="minorBidi" w:hAnsiTheme="minorBidi" w:cstheme="minorBidi"/>
          <w:lang w:val="en-US"/>
        </w:rPr>
        <w:t xml:space="preserve"> </w:t>
      </w:r>
      <w:r w:rsidR="00D314AD">
        <w:rPr>
          <w:rFonts w:asciiTheme="minorBidi" w:hAnsiTheme="minorBidi" w:cstheme="minorBidi"/>
          <w:lang w:val="en-US"/>
        </w:rPr>
        <w:t>t</w:t>
      </w:r>
      <w:r w:rsidRPr="005D4E90">
        <w:rPr>
          <w:rFonts w:asciiTheme="minorBidi" w:hAnsiTheme="minorBidi" w:cstheme="minorBidi"/>
          <w:lang w:val="en-US"/>
        </w:rPr>
        <w:t xml:space="preserve">he Government argued that the </w:t>
      </w:r>
      <w:r w:rsidR="00D314AD" w:rsidRPr="005D4E90">
        <w:rPr>
          <w:rFonts w:asciiTheme="minorBidi" w:hAnsiTheme="minorBidi" w:cstheme="minorBidi"/>
          <w:lang w:val="en-US"/>
        </w:rPr>
        <w:t xml:space="preserve">Plaintiffs’ </w:t>
      </w:r>
      <w:r w:rsidRPr="005D4E90">
        <w:rPr>
          <w:rFonts w:asciiTheme="minorBidi" w:hAnsiTheme="minorBidi" w:cstheme="minorBidi"/>
          <w:lang w:val="en-US"/>
        </w:rPr>
        <w:t xml:space="preserve">asserted injuries were merely </w:t>
      </w:r>
      <w:r w:rsidR="00964E9D">
        <w:rPr>
          <w:rFonts w:asciiTheme="minorBidi" w:hAnsiTheme="minorBidi" w:cstheme="minorBidi"/>
          <w:lang w:val="en-US"/>
        </w:rPr>
        <w:t>“</w:t>
      </w:r>
      <w:r w:rsidRPr="005D4E90">
        <w:rPr>
          <w:rFonts w:asciiTheme="minorBidi" w:hAnsiTheme="minorBidi" w:cstheme="minorBidi"/>
          <w:lang w:val="en-US"/>
        </w:rPr>
        <w:t xml:space="preserve">adverse employment actions </w:t>
      </w:r>
      <w:r w:rsidR="00964E9D">
        <w:rPr>
          <w:rFonts w:asciiTheme="minorBidi" w:hAnsiTheme="minorBidi" w:cstheme="minorBidi"/>
          <w:lang w:val="en-US"/>
        </w:rPr>
        <w:t xml:space="preserve">… </w:t>
      </w:r>
      <w:r w:rsidRPr="005D4E90">
        <w:rPr>
          <w:rFonts w:asciiTheme="minorBidi" w:hAnsiTheme="minorBidi" w:cstheme="minorBidi"/>
          <w:lang w:val="en-US"/>
        </w:rPr>
        <w:t xml:space="preserve">that can be remedied by money </w:t>
      </w:r>
      <w:proofErr w:type="gramStart"/>
      <w:r w:rsidRPr="005D4E90">
        <w:rPr>
          <w:rFonts w:asciiTheme="minorBidi" w:hAnsiTheme="minorBidi" w:cstheme="minorBidi"/>
          <w:lang w:val="en-US"/>
        </w:rPr>
        <w:t>damages</w:t>
      </w:r>
      <w:r w:rsidR="00E6723E">
        <w:rPr>
          <w:rFonts w:asciiTheme="minorBidi" w:hAnsiTheme="minorBidi" w:cstheme="minorBidi"/>
          <w:lang w:val="en-US"/>
        </w:rPr>
        <w:t>[</w:t>
      </w:r>
      <w:proofErr w:type="gramEnd"/>
      <w:r w:rsidR="00E6723E">
        <w:rPr>
          <w:rFonts w:asciiTheme="minorBidi" w:hAnsiTheme="minorBidi" w:cstheme="minorBidi"/>
          <w:lang w:val="en-US"/>
        </w:rPr>
        <w:t>,]</w:t>
      </w:r>
      <w:r w:rsidR="00964E9D">
        <w:rPr>
          <w:rFonts w:asciiTheme="minorBidi" w:hAnsiTheme="minorBidi" w:cstheme="minorBidi"/>
          <w:lang w:val="en-US"/>
        </w:rPr>
        <w:t>”</w:t>
      </w:r>
      <w:r w:rsidRPr="005D4E90">
        <w:rPr>
          <w:rFonts w:asciiTheme="minorBidi" w:hAnsiTheme="minorBidi" w:cstheme="minorBidi"/>
          <w:lang w:val="en-US"/>
        </w:rPr>
        <w:t xml:space="preserve"> </w:t>
      </w:r>
      <w:r w:rsidR="00964E9D">
        <w:rPr>
          <w:rFonts w:asciiTheme="minorBidi" w:hAnsiTheme="minorBidi" w:cstheme="minorBidi"/>
          <w:lang w:val="en-US"/>
        </w:rPr>
        <w:t xml:space="preserve">[p. 32] </w:t>
      </w:r>
      <w:r w:rsidRPr="005D4E90">
        <w:rPr>
          <w:rFonts w:asciiTheme="minorBidi" w:hAnsiTheme="minorBidi" w:cstheme="minorBidi"/>
          <w:lang w:val="en-US"/>
        </w:rPr>
        <w:t xml:space="preserve">and that the potential deportation of PSCs on J-1 visas amounted only to leaving the country </w:t>
      </w:r>
      <w:r w:rsidR="00964E9D">
        <w:rPr>
          <w:rFonts w:asciiTheme="minorBidi" w:hAnsiTheme="minorBidi" w:cstheme="minorBidi"/>
          <w:lang w:val="en-US"/>
        </w:rPr>
        <w:t>“</w:t>
      </w:r>
      <w:r w:rsidRPr="005D4E90">
        <w:rPr>
          <w:rFonts w:asciiTheme="minorBidi" w:hAnsiTheme="minorBidi" w:cstheme="minorBidi"/>
          <w:lang w:val="en-US"/>
        </w:rPr>
        <w:t>earlier than scheduled.</w:t>
      </w:r>
      <w:r w:rsidR="00964E9D">
        <w:rPr>
          <w:rFonts w:asciiTheme="minorBidi" w:hAnsiTheme="minorBidi" w:cstheme="minorBidi"/>
          <w:lang w:val="en-US"/>
        </w:rPr>
        <w:t>”</w:t>
      </w:r>
      <w:r w:rsidRPr="005D4E90">
        <w:rPr>
          <w:rFonts w:asciiTheme="minorBidi" w:hAnsiTheme="minorBidi" w:cstheme="minorBidi"/>
          <w:lang w:val="en-US"/>
        </w:rPr>
        <w:t xml:space="preserve"> The Court rejected those contentions, reiterating that alleged injuries must be </w:t>
      </w:r>
      <w:r w:rsidR="00E6723E">
        <w:rPr>
          <w:rFonts w:asciiTheme="minorBidi" w:hAnsiTheme="minorBidi" w:cstheme="minorBidi"/>
          <w:lang w:val="en-US"/>
        </w:rPr>
        <w:t>“</w:t>
      </w:r>
      <w:r w:rsidRPr="005D4E90">
        <w:rPr>
          <w:rFonts w:asciiTheme="minorBidi" w:hAnsiTheme="minorBidi" w:cstheme="minorBidi"/>
          <w:lang w:val="en-US"/>
        </w:rPr>
        <w:t>certain and great,</w:t>
      </w:r>
      <w:r w:rsidR="00E6723E">
        <w:rPr>
          <w:rFonts w:asciiTheme="minorBidi" w:hAnsiTheme="minorBidi" w:cstheme="minorBidi"/>
          <w:lang w:val="en-US"/>
        </w:rPr>
        <w:t>”</w:t>
      </w:r>
      <w:r w:rsidRPr="005D4E90">
        <w:rPr>
          <w:rFonts w:asciiTheme="minorBidi" w:hAnsiTheme="minorBidi" w:cstheme="minorBidi"/>
          <w:lang w:val="en-US"/>
        </w:rPr>
        <w:t xml:space="preserve"> </w:t>
      </w:r>
      <w:r w:rsidR="00E6723E">
        <w:rPr>
          <w:rFonts w:asciiTheme="minorBidi" w:hAnsiTheme="minorBidi" w:cstheme="minorBidi"/>
          <w:lang w:val="en-US"/>
        </w:rPr>
        <w:t>“</w:t>
      </w:r>
      <w:r w:rsidRPr="005D4E90">
        <w:rPr>
          <w:rFonts w:asciiTheme="minorBidi" w:hAnsiTheme="minorBidi" w:cstheme="minorBidi"/>
          <w:lang w:val="en-US"/>
        </w:rPr>
        <w:t>actual and not theoretical,</w:t>
      </w:r>
      <w:r w:rsidR="00E6723E">
        <w:rPr>
          <w:rFonts w:asciiTheme="minorBidi" w:hAnsiTheme="minorBidi" w:cstheme="minorBidi"/>
          <w:lang w:val="en-US"/>
        </w:rPr>
        <w:t>”</w:t>
      </w:r>
      <w:r w:rsidRPr="005D4E90">
        <w:rPr>
          <w:rFonts w:asciiTheme="minorBidi" w:hAnsiTheme="minorBidi" w:cstheme="minorBidi"/>
          <w:lang w:val="en-US"/>
        </w:rPr>
        <w:t xml:space="preserve"> and of </w:t>
      </w:r>
      <w:r w:rsidR="00E6723E">
        <w:rPr>
          <w:rFonts w:asciiTheme="minorBidi" w:hAnsiTheme="minorBidi" w:cstheme="minorBidi"/>
          <w:lang w:val="en-US"/>
        </w:rPr>
        <w:t>“</w:t>
      </w:r>
      <w:r w:rsidRPr="005D4E90">
        <w:rPr>
          <w:rFonts w:asciiTheme="minorBidi" w:hAnsiTheme="minorBidi" w:cstheme="minorBidi"/>
          <w:lang w:val="en-US"/>
        </w:rPr>
        <w:t>clear and present</w:t>
      </w:r>
      <w:r w:rsidR="00E6723E">
        <w:rPr>
          <w:rFonts w:asciiTheme="minorBidi" w:hAnsiTheme="minorBidi" w:cstheme="minorBidi"/>
          <w:lang w:val="en-US"/>
        </w:rPr>
        <w:t>”</w:t>
      </w:r>
      <w:r w:rsidRPr="005D4E90">
        <w:rPr>
          <w:rFonts w:asciiTheme="minorBidi" w:hAnsiTheme="minorBidi" w:cstheme="minorBidi"/>
          <w:lang w:val="en-US"/>
        </w:rPr>
        <w:t xml:space="preserve"> imminence</w:t>
      </w:r>
      <w:r w:rsidR="00557935">
        <w:rPr>
          <w:rFonts w:asciiTheme="minorBidi" w:hAnsiTheme="minorBidi" w:cstheme="minorBidi"/>
          <w:lang w:val="en-US"/>
        </w:rPr>
        <w:t xml:space="preserve">, citing </w:t>
      </w:r>
      <w:r w:rsidR="00557935" w:rsidRPr="00557935">
        <w:rPr>
          <w:rFonts w:asciiTheme="minorBidi" w:hAnsiTheme="minorBidi" w:cstheme="minorBidi"/>
          <w:i/>
          <w:iCs/>
          <w:lang w:val="en-US"/>
        </w:rPr>
        <w:t>Chaplaincy of Full Gospel Churches v. England</w:t>
      </w:r>
      <w:r w:rsidRPr="005D4E90">
        <w:rPr>
          <w:rFonts w:asciiTheme="minorBidi" w:hAnsiTheme="minorBidi" w:cstheme="minorBidi"/>
          <w:lang w:val="en-US"/>
        </w:rPr>
        <w:t>.</w:t>
      </w:r>
      <w:r w:rsidR="00E6723E">
        <w:rPr>
          <w:rFonts w:asciiTheme="minorBidi" w:hAnsiTheme="minorBidi" w:cstheme="minorBidi"/>
          <w:lang w:val="en-US"/>
        </w:rPr>
        <w:t xml:space="preserve"> [p</w:t>
      </w:r>
      <w:r w:rsidR="00BC77D3">
        <w:rPr>
          <w:rFonts w:asciiTheme="minorBidi" w:hAnsiTheme="minorBidi" w:cstheme="minorBidi"/>
          <w:lang w:val="en-US"/>
        </w:rPr>
        <w:t>. 31-32]</w:t>
      </w:r>
      <w:r w:rsidRPr="005D4E90">
        <w:rPr>
          <w:rFonts w:asciiTheme="minorBidi" w:hAnsiTheme="minorBidi" w:cstheme="minorBidi"/>
          <w:lang w:val="en-US"/>
        </w:rPr>
        <w:t xml:space="preserve"> Adopting the March 28 TRO’s conclusion, the Court found that the </w:t>
      </w:r>
      <w:r w:rsidR="004B271B">
        <w:rPr>
          <w:rFonts w:asciiTheme="minorBidi" w:hAnsiTheme="minorBidi" w:cstheme="minorBidi"/>
          <w:lang w:val="en-US"/>
        </w:rPr>
        <w:t>“</w:t>
      </w:r>
      <w:r w:rsidRPr="005D4E90">
        <w:rPr>
          <w:rFonts w:asciiTheme="minorBidi" w:hAnsiTheme="minorBidi" w:cstheme="minorBidi"/>
          <w:lang w:val="en-US"/>
        </w:rPr>
        <w:t>dismantling of USAGM would clearly cause employees, contractors, and grantees irreparable harm.</w:t>
      </w:r>
      <w:r w:rsidR="004B271B">
        <w:rPr>
          <w:rFonts w:asciiTheme="minorBidi" w:hAnsiTheme="minorBidi" w:cstheme="minorBidi"/>
          <w:lang w:val="en-US"/>
        </w:rPr>
        <w:t>”</w:t>
      </w:r>
      <w:r w:rsidRPr="005D4E90">
        <w:rPr>
          <w:rFonts w:asciiTheme="minorBidi" w:hAnsiTheme="minorBidi" w:cstheme="minorBidi"/>
          <w:lang w:val="en-US"/>
        </w:rPr>
        <w:t xml:space="preserve"> It observed the administrative leave of roughly 1,300 VOA employees, widespread furloughs, and planned terminations of some 600 additional staff, which </w:t>
      </w:r>
      <w:r w:rsidR="004F2684">
        <w:rPr>
          <w:rFonts w:asciiTheme="minorBidi" w:hAnsiTheme="minorBidi" w:cstheme="minorBidi"/>
          <w:lang w:val="en-US"/>
        </w:rPr>
        <w:t>“</w:t>
      </w:r>
      <w:r w:rsidRPr="005D4E90">
        <w:rPr>
          <w:rFonts w:asciiTheme="minorBidi" w:hAnsiTheme="minorBidi" w:cstheme="minorBidi"/>
          <w:lang w:val="en-US"/>
        </w:rPr>
        <w:t>unquestionably make it more difficult for the [plaintiff] to accomplish [its] primary mission.</w:t>
      </w:r>
      <w:r w:rsidR="004F2684">
        <w:rPr>
          <w:rFonts w:asciiTheme="minorBidi" w:hAnsiTheme="minorBidi" w:cstheme="minorBidi"/>
          <w:lang w:val="en-US"/>
        </w:rPr>
        <w:t>”</w:t>
      </w:r>
      <w:r w:rsidR="0080035C">
        <w:rPr>
          <w:rFonts w:asciiTheme="minorBidi" w:hAnsiTheme="minorBidi" w:cstheme="minorBidi"/>
          <w:lang w:val="en-US"/>
        </w:rPr>
        <w:t xml:space="preserve"> [p. 32] </w:t>
      </w:r>
    </w:p>
    <w:p w14:paraId="37E94DDF" w14:textId="2009E5FE" w:rsidR="005D4E90" w:rsidRDefault="005D4E90" w:rsidP="00BD401C">
      <w:pPr>
        <w:spacing w:before="240" w:after="240"/>
        <w:jc w:val="both"/>
        <w:rPr>
          <w:rFonts w:asciiTheme="minorBidi" w:hAnsiTheme="minorBidi" w:cstheme="minorBidi"/>
          <w:lang w:val="en-US"/>
        </w:rPr>
      </w:pPr>
      <w:r w:rsidRPr="005D4E90">
        <w:rPr>
          <w:rFonts w:asciiTheme="minorBidi" w:hAnsiTheme="minorBidi" w:cstheme="minorBidi"/>
          <w:lang w:val="en-US"/>
        </w:rPr>
        <w:t xml:space="preserve">While ordinary economic losses are typically insufficient, the Court noted that financial injury may be irreparable where it </w:t>
      </w:r>
      <w:r w:rsidR="0080035C">
        <w:rPr>
          <w:rFonts w:asciiTheme="minorBidi" w:hAnsiTheme="minorBidi" w:cstheme="minorBidi"/>
          <w:lang w:val="en-US"/>
        </w:rPr>
        <w:t>“</w:t>
      </w:r>
      <w:r w:rsidRPr="005D4E90">
        <w:rPr>
          <w:rFonts w:asciiTheme="minorBidi" w:hAnsiTheme="minorBidi" w:cstheme="minorBidi"/>
          <w:lang w:val="en-US"/>
        </w:rPr>
        <w:t xml:space="preserve">threatens the very existence of the movant’s </w:t>
      </w:r>
      <w:proofErr w:type="gramStart"/>
      <w:r w:rsidRPr="005D4E90">
        <w:rPr>
          <w:rFonts w:asciiTheme="minorBidi" w:hAnsiTheme="minorBidi" w:cstheme="minorBidi"/>
          <w:lang w:val="en-US"/>
        </w:rPr>
        <w:t>business</w:t>
      </w:r>
      <w:r w:rsidR="00E04F8A">
        <w:rPr>
          <w:rFonts w:asciiTheme="minorBidi" w:hAnsiTheme="minorBidi" w:cstheme="minorBidi"/>
          <w:lang w:val="en-US"/>
        </w:rPr>
        <w:t>[</w:t>
      </w:r>
      <w:proofErr w:type="gramEnd"/>
      <w:r w:rsidR="00E04F8A">
        <w:rPr>
          <w:rFonts w:asciiTheme="minorBidi" w:hAnsiTheme="minorBidi" w:cstheme="minorBidi"/>
          <w:lang w:val="en-US"/>
        </w:rPr>
        <w:t>,]</w:t>
      </w:r>
      <w:r w:rsidR="0080035C">
        <w:rPr>
          <w:rFonts w:asciiTheme="minorBidi" w:hAnsiTheme="minorBidi" w:cstheme="minorBidi"/>
          <w:lang w:val="en-US"/>
        </w:rPr>
        <w:t>”</w:t>
      </w:r>
      <w:r w:rsidR="0037214F">
        <w:rPr>
          <w:rFonts w:asciiTheme="minorBidi" w:hAnsiTheme="minorBidi" w:cstheme="minorBidi"/>
          <w:lang w:val="en-US"/>
        </w:rPr>
        <w:t xml:space="preserve"> </w:t>
      </w:r>
      <w:r w:rsidR="00E04F8A">
        <w:rPr>
          <w:rFonts w:asciiTheme="minorBidi" w:hAnsiTheme="minorBidi" w:cstheme="minorBidi"/>
          <w:lang w:val="en-US"/>
        </w:rPr>
        <w:t>c</w:t>
      </w:r>
      <w:r w:rsidR="0037214F">
        <w:rPr>
          <w:rFonts w:asciiTheme="minorBidi" w:hAnsiTheme="minorBidi" w:cstheme="minorBidi"/>
          <w:lang w:val="en-US"/>
        </w:rPr>
        <w:t xml:space="preserve">iting </w:t>
      </w:r>
      <w:r w:rsidR="0037214F" w:rsidRPr="00C61A48">
        <w:rPr>
          <w:rFonts w:asciiTheme="minorBidi" w:hAnsiTheme="minorBidi" w:cstheme="minorBidi"/>
          <w:i/>
          <w:iCs/>
          <w:lang w:val="en-US"/>
        </w:rPr>
        <w:t>Climate United Fund v. Citibank</w:t>
      </w:r>
      <w:r w:rsidR="00C61A48" w:rsidRPr="00C61A48">
        <w:rPr>
          <w:rFonts w:asciiTheme="minorBidi" w:hAnsiTheme="minorBidi" w:cstheme="minorBidi"/>
          <w:i/>
          <w:iCs/>
          <w:lang w:val="en-US"/>
        </w:rPr>
        <w:t>.</w:t>
      </w:r>
      <w:r w:rsidRPr="005D4E90">
        <w:rPr>
          <w:rFonts w:asciiTheme="minorBidi" w:hAnsiTheme="minorBidi" w:cstheme="minorBidi"/>
          <w:lang w:val="en-US"/>
        </w:rPr>
        <w:t xml:space="preserve"> The Court concluded that silencing VOA, terminating Network funding, and shutting down transmitters constituted a dismantling of the human infrastructure required to operate USAGM, harms that </w:t>
      </w:r>
      <w:r w:rsidR="00B91C3D">
        <w:rPr>
          <w:rFonts w:asciiTheme="minorBidi" w:hAnsiTheme="minorBidi" w:cstheme="minorBidi"/>
          <w:lang w:val="en-US"/>
        </w:rPr>
        <w:t>“</w:t>
      </w:r>
      <w:r w:rsidRPr="005D4E90">
        <w:rPr>
          <w:rFonts w:asciiTheme="minorBidi" w:hAnsiTheme="minorBidi" w:cstheme="minorBidi"/>
          <w:lang w:val="en-US"/>
        </w:rPr>
        <w:t>cannot be remedied with mere money damages.</w:t>
      </w:r>
      <w:r w:rsidR="00B91C3D">
        <w:rPr>
          <w:rFonts w:asciiTheme="minorBidi" w:hAnsiTheme="minorBidi" w:cstheme="minorBidi"/>
          <w:lang w:val="en-US"/>
        </w:rPr>
        <w:t>” [p. 33]</w:t>
      </w:r>
      <w:r w:rsidRPr="005D4E90">
        <w:rPr>
          <w:rFonts w:asciiTheme="minorBidi" w:hAnsiTheme="minorBidi" w:cstheme="minorBidi"/>
          <w:lang w:val="en-US"/>
        </w:rPr>
        <w:t xml:space="preserve"> The Court likewise dismissed the Government’s characterization of the J-1 issue, finding that the immediate termination of contracts </w:t>
      </w:r>
      <w:r w:rsidR="00B876E4">
        <w:rPr>
          <w:rFonts w:asciiTheme="minorBidi" w:hAnsiTheme="minorBidi" w:cstheme="minorBidi"/>
          <w:lang w:val="en-US"/>
        </w:rPr>
        <w:t>“</w:t>
      </w:r>
      <w:r w:rsidRPr="005D4E90">
        <w:rPr>
          <w:rFonts w:asciiTheme="minorBidi" w:hAnsiTheme="minorBidi" w:cstheme="minorBidi"/>
          <w:lang w:val="en-US"/>
        </w:rPr>
        <w:t>virtually ensure[s] that Does 3 and 4 will be subject to deportation immediately</w:t>
      </w:r>
      <w:r w:rsidR="00B876E4">
        <w:rPr>
          <w:rFonts w:asciiTheme="minorBidi" w:hAnsiTheme="minorBidi" w:cstheme="minorBidi"/>
          <w:lang w:val="en-US"/>
        </w:rPr>
        <w:t>”</w:t>
      </w:r>
      <w:r w:rsidRPr="005D4E90">
        <w:rPr>
          <w:rFonts w:asciiTheme="minorBidi" w:hAnsiTheme="minorBidi" w:cstheme="minorBidi"/>
          <w:lang w:val="en-US"/>
        </w:rPr>
        <w:t xml:space="preserve"> </w:t>
      </w:r>
      <w:r w:rsidR="004539AD">
        <w:rPr>
          <w:rFonts w:asciiTheme="minorBidi" w:hAnsiTheme="minorBidi" w:cstheme="minorBidi"/>
          <w:lang w:val="en-US"/>
        </w:rPr>
        <w:t>(</w:t>
      </w:r>
      <w:r w:rsidR="004F5C5D">
        <w:rPr>
          <w:rFonts w:asciiTheme="minorBidi" w:hAnsiTheme="minorBidi" w:cstheme="minorBidi"/>
          <w:lang w:val="en-US"/>
        </w:rPr>
        <w:t>in reference to the Plaintiff PSCs</w:t>
      </w:r>
      <w:r w:rsidR="004539AD">
        <w:rPr>
          <w:rFonts w:asciiTheme="minorBidi" w:hAnsiTheme="minorBidi" w:cstheme="minorBidi"/>
          <w:lang w:val="en-US"/>
        </w:rPr>
        <w:t>)</w:t>
      </w:r>
      <w:r w:rsidR="004F5C5D">
        <w:rPr>
          <w:rFonts w:asciiTheme="minorBidi" w:hAnsiTheme="minorBidi" w:cstheme="minorBidi"/>
          <w:lang w:val="en-US"/>
        </w:rPr>
        <w:t xml:space="preserve"> </w:t>
      </w:r>
      <w:r w:rsidRPr="005D4E90">
        <w:rPr>
          <w:rFonts w:asciiTheme="minorBidi" w:hAnsiTheme="minorBidi" w:cstheme="minorBidi"/>
          <w:lang w:val="en-US"/>
        </w:rPr>
        <w:t xml:space="preserve">without adequate notice, which is irreparable. It also credited the </w:t>
      </w:r>
      <w:r w:rsidR="004539AD">
        <w:rPr>
          <w:rFonts w:asciiTheme="minorBidi" w:hAnsiTheme="minorBidi" w:cstheme="minorBidi"/>
          <w:lang w:val="en-US"/>
        </w:rPr>
        <w:t>“</w:t>
      </w:r>
      <w:r w:rsidRPr="005D4E90">
        <w:rPr>
          <w:rFonts w:asciiTheme="minorBidi" w:hAnsiTheme="minorBidi" w:cstheme="minorBidi"/>
          <w:lang w:val="en-US"/>
        </w:rPr>
        <w:t>uncontested</w:t>
      </w:r>
      <w:r w:rsidR="004539AD">
        <w:rPr>
          <w:rFonts w:asciiTheme="minorBidi" w:hAnsiTheme="minorBidi" w:cstheme="minorBidi"/>
          <w:lang w:val="en-US"/>
        </w:rPr>
        <w:t>”</w:t>
      </w:r>
      <w:r w:rsidRPr="005D4E90">
        <w:rPr>
          <w:rFonts w:asciiTheme="minorBidi" w:hAnsiTheme="minorBidi" w:cstheme="minorBidi"/>
          <w:lang w:val="en-US"/>
        </w:rPr>
        <w:t xml:space="preserve"> allegations of irreparable harm for RSF </w:t>
      </w:r>
      <w:r w:rsidR="004539AD">
        <w:rPr>
          <w:rFonts w:asciiTheme="minorBidi" w:hAnsiTheme="minorBidi" w:cstheme="minorBidi"/>
          <w:lang w:val="en-US"/>
        </w:rPr>
        <w:t>P</w:t>
      </w:r>
      <w:r w:rsidRPr="005D4E90">
        <w:rPr>
          <w:rFonts w:asciiTheme="minorBidi" w:hAnsiTheme="minorBidi" w:cstheme="minorBidi"/>
          <w:lang w:val="en-US"/>
        </w:rPr>
        <w:t>laintiffs, who would lose trustworthy news sources in dangerous countries, and for TNG-CWA members, who faced loss of health insurance and possible deportation to hostile regimes.</w:t>
      </w:r>
    </w:p>
    <w:p w14:paraId="6615175D" w14:textId="6F7EA915" w:rsidR="007E7689" w:rsidRDefault="007E7689" w:rsidP="0071387E">
      <w:pPr>
        <w:jc w:val="both"/>
        <w:rPr>
          <w:rFonts w:asciiTheme="minorBidi" w:hAnsiTheme="minorBidi" w:cstheme="minorBidi"/>
          <w:lang w:val="en-US"/>
        </w:rPr>
      </w:pPr>
      <w:r w:rsidRPr="007E7689">
        <w:rPr>
          <w:rFonts w:asciiTheme="minorBidi" w:hAnsiTheme="minorBidi" w:cstheme="minorBidi"/>
          <w:lang w:val="en-US"/>
        </w:rPr>
        <w:t xml:space="preserve">Turning to </w:t>
      </w:r>
      <w:r w:rsidR="00D023B2">
        <w:rPr>
          <w:rFonts w:asciiTheme="minorBidi" w:hAnsiTheme="minorBidi" w:cstheme="minorBidi"/>
          <w:lang w:val="en-US"/>
        </w:rPr>
        <w:t>the third and fourth factors of the preliminary injunction</w:t>
      </w:r>
      <w:r w:rsidRPr="007E7689">
        <w:rPr>
          <w:rFonts w:asciiTheme="minorBidi" w:hAnsiTheme="minorBidi" w:cstheme="minorBidi"/>
          <w:lang w:val="en-US"/>
        </w:rPr>
        <w:t xml:space="preserve">, the balance of equities and the public interest, which merge when the Government is a party, the Government’s principal contention was that an injunction would impede its ability to comply with the </w:t>
      </w:r>
      <w:r w:rsidR="007359A9">
        <w:rPr>
          <w:rFonts w:asciiTheme="minorBidi" w:hAnsiTheme="minorBidi" w:cstheme="minorBidi"/>
          <w:lang w:val="en-US"/>
        </w:rPr>
        <w:t>EO</w:t>
      </w:r>
      <w:r w:rsidRPr="007E7689">
        <w:rPr>
          <w:rFonts w:asciiTheme="minorBidi" w:hAnsiTheme="minorBidi" w:cstheme="minorBidi"/>
          <w:lang w:val="en-US"/>
        </w:rPr>
        <w:t xml:space="preserve">. The Court found that argument unpersuasive, given that the Government was </w:t>
      </w:r>
      <w:r w:rsidR="007359A9">
        <w:rPr>
          <w:rFonts w:asciiTheme="minorBidi" w:hAnsiTheme="minorBidi" w:cstheme="minorBidi"/>
          <w:lang w:val="en-US"/>
        </w:rPr>
        <w:t>“</w:t>
      </w:r>
      <w:r w:rsidRPr="007E7689">
        <w:rPr>
          <w:rFonts w:asciiTheme="minorBidi" w:hAnsiTheme="minorBidi" w:cstheme="minorBidi"/>
          <w:lang w:val="en-US"/>
        </w:rPr>
        <w:t>apparently still in the process of determining how to comply with the EO</w:t>
      </w:r>
      <w:r w:rsidR="007359A9">
        <w:rPr>
          <w:rFonts w:asciiTheme="minorBidi" w:hAnsiTheme="minorBidi" w:cstheme="minorBidi"/>
          <w:lang w:val="en-US"/>
        </w:rPr>
        <w:t>”</w:t>
      </w:r>
      <w:r w:rsidRPr="007E7689">
        <w:rPr>
          <w:rFonts w:asciiTheme="minorBidi" w:hAnsiTheme="minorBidi" w:cstheme="minorBidi"/>
          <w:lang w:val="en-US"/>
        </w:rPr>
        <w:t xml:space="preserve"> and had </w:t>
      </w:r>
      <w:r w:rsidR="002A6044">
        <w:rPr>
          <w:rFonts w:asciiTheme="minorBidi" w:hAnsiTheme="minorBidi" w:cstheme="minorBidi"/>
          <w:lang w:val="en-US"/>
        </w:rPr>
        <w:t>“</w:t>
      </w:r>
      <w:r w:rsidR="002A6044" w:rsidRPr="002A6044">
        <w:rPr>
          <w:rFonts w:asciiTheme="minorBidi" w:hAnsiTheme="minorBidi" w:cstheme="minorBidi"/>
          <w:lang w:val="en-US"/>
        </w:rPr>
        <w:t>likely violated it by reducing USAGM’s activities to levels far below the constitutional and statutory minimums.</w:t>
      </w:r>
      <w:r w:rsidR="002A6044">
        <w:rPr>
          <w:rFonts w:asciiTheme="minorBidi" w:hAnsiTheme="minorBidi" w:cstheme="minorBidi"/>
          <w:lang w:val="en-US"/>
        </w:rPr>
        <w:t>” [p. 34]</w:t>
      </w:r>
      <w:r w:rsidRPr="007E7689">
        <w:rPr>
          <w:rFonts w:asciiTheme="minorBidi" w:hAnsiTheme="minorBidi" w:cstheme="minorBidi"/>
          <w:lang w:val="en-US"/>
        </w:rPr>
        <w:t xml:space="preserve"> </w:t>
      </w:r>
      <w:r w:rsidR="002744BC" w:rsidRPr="002744BC">
        <w:rPr>
          <w:rFonts w:asciiTheme="minorBidi" w:hAnsiTheme="minorBidi" w:cstheme="minorBidi"/>
          <w:lang w:val="en-US"/>
        </w:rPr>
        <w:t>The Court concluded that the Government would suffer no cognizable harm from the issuance of preliminary relief requiring adherence to applicable statutes and constitutional provisions.</w:t>
      </w:r>
      <w:r w:rsidR="002744BC">
        <w:rPr>
          <w:rFonts w:asciiTheme="minorBidi" w:hAnsiTheme="minorBidi" w:cstheme="minorBidi"/>
          <w:lang w:val="en-US"/>
        </w:rPr>
        <w:t xml:space="preserve"> </w:t>
      </w:r>
      <w:r w:rsidRPr="007E7689">
        <w:rPr>
          <w:rFonts w:asciiTheme="minorBidi" w:hAnsiTheme="minorBidi" w:cstheme="minorBidi"/>
          <w:lang w:val="en-US"/>
        </w:rPr>
        <w:t xml:space="preserve">By contrast, there exists a significant public interest in ensuring that governmental agencies adhere to federal law, and Congress’s </w:t>
      </w:r>
      <w:r w:rsidR="00815B6C">
        <w:rPr>
          <w:rFonts w:asciiTheme="minorBidi" w:hAnsiTheme="minorBidi" w:cstheme="minorBidi"/>
          <w:lang w:val="en-US"/>
        </w:rPr>
        <w:t>“</w:t>
      </w:r>
      <w:r w:rsidRPr="007E7689">
        <w:rPr>
          <w:rFonts w:asciiTheme="minorBidi" w:hAnsiTheme="minorBidi" w:cstheme="minorBidi"/>
          <w:lang w:val="en-US"/>
        </w:rPr>
        <w:t>longstanding determination</w:t>
      </w:r>
      <w:r w:rsidR="00815B6C">
        <w:rPr>
          <w:rFonts w:asciiTheme="minorBidi" w:hAnsiTheme="minorBidi" w:cstheme="minorBidi"/>
          <w:lang w:val="en-US"/>
        </w:rPr>
        <w:t>”</w:t>
      </w:r>
      <w:r w:rsidRPr="007E7689">
        <w:rPr>
          <w:rFonts w:asciiTheme="minorBidi" w:hAnsiTheme="minorBidi" w:cstheme="minorBidi"/>
          <w:lang w:val="en-US"/>
        </w:rPr>
        <w:t xml:space="preserve"> that international broadcasting serves the public interest weighed in favor of relief. The Court therefore held that the balance of equities and the public interest supported a preliminary injunction. </w:t>
      </w:r>
      <w:r w:rsidR="004A579E">
        <w:rPr>
          <w:rFonts w:asciiTheme="minorBidi" w:hAnsiTheme="minorBidi" w:cstheme="minorBidi"/>
          <w:lang w:val="en-US"/>
        </w:rPr>
        <w:t>The Court also</w:t>
      </w:r>
      <w:r w:rsidR="004A579E" w:rsidRPr="004A579E">
        <w:rPr>
          <w:rFonts w:asciiTheme="minorBidi" w:hAnsiTheme="minorBidi" w:cstheme="minorBidi"/>
          <w:lang w:val="en-US"/>
        </w:rPr>
        <w:t xml:space="preserve"> refused to require a bond, finding that it would effectively deny the Plaintiffs judicial review </w:t>
      </w:r>
      <w:r w:rsidR="004A579E" w:rsidRPr="004A579E">
        <w:rPr>
          <w:rFonts w:asciiTheme="minorBidi" w:hAnsiTheme="minorBidi" w:cstheme="minorBidi"/>
          <w:lang w:val="en-US"/>
        </w:rPr>
        <w:lastRenderedPageBreak/>
        <w:t xml:space="preserve">by </w:t>
      </w:r>
      <w:r w:rsidR="00D77BA2">
        <w:rPr>
          <w:rFonts w:asciiTheme="minorBidi" w:hAnsiTheme="minorBidi" w:cstheme="minorBidi"/>
          <w:lang w:val="en-US"/>
        </w:rPr>
        <w:t>“</w:t>
      </w:r>
      <w:r w:rsidR="004A579E" w:rsidRPr="004A579E">
        <w:rPr>
          <w:rFonts w:asciiTheme="minorBidi" w:hAnsiTheme="minorBidi" w:cstheme="minorBidi"/>
          <w:lang w:val="en-US"/>
        </w:rPr>
        <w:t>holding them hostage</w:t>
      </w:r>
      <w:r w:rsidR="00D77BA2">
        <w:rPr>
          <w:rFonts w:asciiTheme="minorBidi" w:hAnsiTheme="minorBidi" w:cstheme="minorBidi"/>
          <w:lang w:val="en-US"/>
        </w:rPr>
        <w:t>”</w:t>
      </w:r>
      <w:r w:rsidR="004A579E" w:rsidRPr="004A579E">
        <w:rPr>
          <w:rFonts w:asciiTheme="minorBidi" w:hAnsiTheme="minorBidi" w:cstheme="minorBidi"/>
          <w:lang w:val="en-US"/>
        </w:rPr>
        <w:t xml:space="preserve"> to the Government’s alleged unlawful withholding of funds, and that public policy favors allowing challenges to improper administration without such a barrier.</w:t>
      </w:r>
    </w:p>
    <w:p w14:paraId="53C36BCF" w14:textId="77777777" w:rsidR="007E7689" w:rsidRPr="00EA5472" w:rsidRDefault="007E7689" w:rsidP="0071387E">
      <w:pPr>
        <w:jc w:val="both"/>
        <w:rPr>
          <w:rFonts w:asciiTheme="minorBidi" w:hAnsiTheme="minorBidi" w:cstheme="minorBidi"/>
          <w:color w:val="000000" w:themeColor="text1"/>
          <w:lang w:val="en-US"/>
        </w:rPr>
      </w:pPr>
    </w:p>
    <w:p w14:paraId="1BF7E30B" w14:textId="7AAEA440" w:rsidR="0071387E" w:rsidRPr="00EA5472" w:rsidRDefault="007378C0" w:rsidP="00432E1F">
      <w:pPr>
        <w:jc w:val="both"/>
        <w:rPr>
          <w:rFonts w:asciiTheme="minorBidi" w:hAnsiTheme="minorBidi" w:cstheme="minorBidi"/>
          <w:color w:val="000000" w:themeColor="text1"/>
          <w:lang w:val="en-US"/>
        </w:rPr>
      </w:pPr>
      <w:r>
        <w:rPr>
          <w:rFonts w:asciiTheme="minorBidi" w:hAnsiTheme="minorBidi" w:cstheme="minorBidi"/>
          <w:color w:val="000000" w:themeColor="text1"/>
          <w:lang w:val="en-US"/>
        </w:rPr>
        <w:t>Conclusively, t</w:t>
      </w:r>
      <w:r w:rsidR="00EA5472" w:rsidRPr="00EA5472">
        <w:rPr>
          <w:rFonts w:asciiTheme="minorBidi" w:hAnsiTheme="minorBidi" w:cstheme="minorBidi"/>
          <w:color w:val="000000" w:themeColor="text1"/>
          <w:lang w:val="en-US"/>
        </w:rPr>
        <w:t xml:space="preserve">he Court granted in part the </w:t>
      </w:r>
      <w:r w:rsidR="00EA5472">
        <w:rPr>
          <w:rFonts w:asciiTheme="minorBidi" w:hAnsiTheme="minorBidi" w:cstheme="minorBidi"/>
          <w:color w:val="000000" w:themeColor="text1"/>
          <w:lang w:val="en-US"/>
        </w:rPr>
        <w:t>P</w:t>
      </w:r>
      <w:r w:rsidR="00EA5472" w:rsidRPr="00EA5472">
        <w:rPr>
          <w:rFonts w:asciiTheme="minorBidi" w:hAnsiTheme="minorBidi" w:cstheme="minorBidi"/>
          <w:color w:val="000000" w:themeColor="text1"/>
          <w:lang w:val="en-US"/>
        </w:rPr>
        <w:t xml:space="preserve">laintiffs' motion for a preliminary injunction, finding a likelihood of success on the merits for their claims that the </w:t>
      </w:r>
      <w:r w:rsidR="00EA5472">
        <w:rPr>
          <w:rFonts w:asciiTheme="minorBidi" w:hAnsiTheme="minorBidi" w:cstheme="minorBidi"/>
          <w:color w:val="000000" w:themeColor="text1"/>
          <w:lang w:val="en-US"/>
        </w:rPr>
        <w:t xml:space="preserve">Government’s </w:t>
      </w:r>
      <w:r w:rsidR="00EA5472" w:rsidRPr="00EA5472">
        <w:rPr>
          <w:rFonts w:asciiTheme="minorBidi" w:hAnsiTheme="minorBidi" w:cstheme="minorBidi"/>
          <w:color w:val="000000" w:themeColor="text1"/>
          <w:lang w:val="en-US"/>
        </w:rPr>
        <w:t xml:space="preserve">actions were arbitrary and capricious and not in accordance with law under the </w:t>
      </w:r>
      <w:r w:rsidR="00EA5472">
        <w:rPr>
          <w:rFonts w:asciiTheme="minorBidi" w:hAnsiTheme="minorBidi" w:cstheme="minorBidi"/>
          <w:color w:val="000000" w:themeColor="text1"/>
          <w:lang w:val="en-US"/>
        </w:rPr>
        <w:t>APA</w:t>
      </w:r>
      <w:r w:rsidR="00EA5472" w:rsidRPr="00EA5472">
        <w:rPr>
          <w:rFonts w:asciiTheme="minorBidi" w:hAnsiTheme="minorBidi" w:cstheme="minorBidi"/>
          <w:color w:val="000000" w:themeColor="text1"/>
          <w:lang w:val="en-US"/>
        </w:rPr>
        <w:t xml:space="preserve">. Specifically, the Court concluded that the dismantling efforts likely violated the International Broadcasting Act, congressional appropriations </w:t>
      </w:r>
      <w:proofErr w:type="gramStart"/>
      <w:r w:rsidR="00EA5472" w:rsidRPr="00EA5472">
        <w:rPr>
          <w:rFonts w:asciiTheme="minorBidi" w:hAnsiTheme="minorBidi" w:cstheme="minorBidi"/>
          <w:color w:val="000000" w:themeColor="text1"/>
          <w:lang w:val="en-US"/>
        </w:rPr>
        <w:t>acts</w:t>
      </w:r>
      <w:proofErr w:type="gramEnd"/>
      <w:r w:rsidR="00EA5472" w:rsidRPr="00EA5472">
        <w:rPr>
          <w:rFonts w:asciiTheme="minorBidi" w:hAnsiTheme="minorBidi" w:cstheme="minorBidi"/>
          <w:color w:val="000000" w:themeColor="text1"/>
          <w:lang w:val="en-US"/>
        </w:rPr>
        <w:t xml:space="preserve">, the Take Care Clause, and separation of powers principles. The Court therefore </w:t>
      </w:r>
      <w:proofErr w:type="gramStart"/>
      <w:r w:rsidR="00EA5472" w:rsidRPr="00EA5472">
        <w:rPr>
          <w:rFonts w:asciiTheme="minorBidi" w:hAnsiTheme="minorBidi" w:cstheme="minorBidi"/>
          <w:color w:val="000000" w:themeColor="text1"/>
          <w:lang w:val="en-US"/>
        </w:rPr>
        <w:t>enjoined</w:t>
      </w:r>
      <w:proofErr w:type="gramEnd"/>
      <w:r w:rsidR="00EA5472" w:rsidRPr="00EA5472">
        <w:rPr>
          <w:rFonts w:asciiTheme="minorBidi" w:hAnsiTheme="minorBidi" w:cstheme="minorBidi"/>
          <w:color w:val="000000" w:themeColor="text1"/>
          <w:lang w:val="en-US"/>
        </w:rPr>
        <w:t xml:space="preserve"> the </w:t>
      </w:r>
      <w:r w:rsidR="00592482">
        <w:rPr>
          <w:rFonts w:asciiTheme="minorBidi" w:hAnsiTheme="minorBidi" w:cstheme="minorBidi"/>
          <w:color w:val="000000" w:themeColor="text1"/>
          <w:lang w:val="en-US"/>
        </w:rPr>
        <w:t xml:space="preserve">Government </w:t>
      </w:r>
      <w:r w:rsidR="00EA5472" w:rsidRPr="00EA5472">
        <w:rPr>
          <w:rFonts w:asciiTheme="minorBidi" w:hAnsiTheme="minorBidi" w:cstheme="minorBidi"/>
          <w:color w:val="000000" w:themeColor="text1"/>
          <w:lang w:val="en-US"/>
        </w:rPr>
        <w:t xml:space="preserve">to restore USAGM employees and contractors to their status prior to the </w:t>
      </w:r>
      <w:r w:rsidR="00592482">
        <w:rPr>
          <w:rFonts w:asciiTheme="minorBidi" w:hAnsiTheme="minorBidi" w:cstheme="minorBidi"/>
          <w:color w:val="000000" w:themeColor="text1"/>
          <w:lang w:val="en-US"/>
        </w:rPr>
        <w:t>EO</w:t>
      </w:r>
      <w:r w:rsidR="00EA5472" w:rsidRPr="00EA5472">
        <w:rPr>
          <w:rFonts w:asciiTheme="minorBidi" w:hAnsiTheme="minorBidi" w:cstheme="minorBidi"/>
          <w:color w:val="000000" w:themeColor="text1"/>
          <w:lang w:val="en-US"/>
        </w:rPr>
        <w:t>, reinstate FY 2025 grants for Radio Free Asia and Middle East Broadcasting Networks, and restore VOA programming.</w:t>
      </w:r>
      <w:r w:rsidR="00432E1F">
        <w:rPr>
          <w:rFonts w:asciiTheme="minorBidi" w:hAnsiTheme="minorBidi" w:cstheme="minorBidi"/>
          <w:color w:val="000000" w:themeColor="text1"/>
          <w:lang w:val="en-US"/>
        </w:rPr>
        <w:t xml:space="preserve"> </w:t>
      </w:r>
      <w:r w:rsidR="0071387E" w:rsidRPr="00EA5472">
        <w:rPr>
          <w:rFonts w:asciiTheme="minorBidi" w:hAnsiTheme="minorBidi" w:cstheme="minorBidi"/>
          <w:color w:val="000000" w:themeColor="text1"/>
          <w:lang w:val="en-US"/>
        </w:rPr>
        <w:t xml:space="preserve">The Court denied injunctive relief as to RFE/RL and OTF at that time, noting that RFE/RL’s grant termination had already been rescinded and that OTF’s March funding had been processed. The </w:t>
      </w:r>
      <w:r w:rsidR="00432E1F">
        <w:rPr>
          <w:rFonts w:asciiTheme="minorBidi" w:hAnsiTheme="minorBidi" w:cstheme="minorBidi"/>
          <w:color w:val="000000" w:themeColor="text1"/>
          <w:lang w:val="en-US"/>
        </w:rPr>
        <w:t xml:space="preserve">Government’s </w:t>
      </w:r>
      <w:r w:rsidR="0071387E" w:rsidRPr="00EA5472">
        <w:rPr>
          <w:rFonts w:asciiTheme="minorBidi" w:hAnsiTheme="minorBidi" w:cstheme="minorBidi"/>
          <w:color w:val="000000" w:themeColor="text1"/>
          <w:lang w:val="en-US"/>
        </w:rPr>
        <w:t>subsequent motion for a partial stay pending appeal was denied, with the court finding that a stay of the personnel-related provisions would effectively prevent VOA programming from resuming.</w:t>
      </w:r>
    </w:p>
    <w:p w14:paraId="0FCDE082" w14:textId="77777777" w:rsidR="0071387E" w:rsidRPr="00EA5472" w:rsidRDefault="0071387E" w:rsidP="0071387E">
      <w:pPr>
        <w:jc w:val="both"/>
        <w:rPr>
          <w:rFonts w:asciiTheme="minorBidi" w:hAnsiTheme="minorBidi" w:cstheme="minorBidi"/>
          <w:color w:val="000000" w:themeColor="text1"/>
          <w:lang w:val="en-US"/>
        </w:rPr>
      </w:pPr>
    </w:p>
    <w:p w14:paraId="0ED97836" w14:textId="23EEE93F" w:rsidR="0071387E" w:rsidRPr="00EA5472" w:rsidRDefault="008B2E2A" w:rsidP="007378C0">
      <w:pPr>
        <w:jc w:val="both"/>
        <w:rPr>
          <w:rFonts w:asciiTheme="minorBidi" w:hAnsiTheme="minorBidi" w:cstheme="minorBidi"/>
          <w:color w:val="000000" w:themeColor="text1"/>
          <w:lang w:val="en-US"/>
        </w:rPr>
      </w:pPr>
      <w:r>
        <w:rPr>
          <w:rFonts w:asciiTheme="minorBidi" w:hAnsiTheme="minorBidi" w:cstheme="minorBidi"/>
          <w:color w:val="000000" w:themeColor="text1"/>
          <w:lang w:val="en-US"/>
        </w:rPr>
        <w:t>After the preliminary injunction,</w:t>
      </w:r>
      <w:r w:rsidR="0071387E" w:rsidRPr="00EA5472">
        <w:rPr>
          <w:rFonts w:asciiTheme="minorBidi" w:hAnsiTheme="minorBidi" w:cstheme="minorBidi"/>
          <w:color w:val="000000" w:themeColor="text1"/>
          <w:lang w:val="en-US"/>
        </w:rPr>
        <w:t xml:space="preserve"> allegations of </w:t>
      </w:r>
      <w:r>
        <w:rPr>
          <w:rFonts w:asciiTheme="minorBidi" w:hAnsiTheme="minorBidi" w:cstheme="minorBidi"/>
          <w:color w:val="000000" w:themeColor="text1"/>
          <w:lang w:val="en-US"/>
        </w:rPr>
        <w:t xml:space="preserve">the Government’s </w:t>
      </w:r>
      <w:r w:rsidR="0071387E" w:rsidRPr="00EA5472">
        <w:rPr>
          <w:rFonts w:asciiTheme="minorBidi" w:hAnsiTheme="minorBidi" w:cstheme="minorBidi"/>
          <w:color w:val="000000" w:themeColor="text1"/>
          <w:lang w:val="en-US"/>
        </w:rPr>
        <w:t>noncompliance with the injunction</w:t>
      </w:r>
      <w:r>
        <w:rPr>
          <w:rFonts w:asciiTheme="minorBidi" w:hAnsiTheme="minorBidi" w:cstheme="minorBidi"/>
          <w:color w:val="000000" w:themeColor="text1"/>
          <w:lang w:val="en-US"/>
        </w:rPr>
        <w:t xml:space="preserve"> arose</w:t>
      </w:r>
      <w:r w:rsidR="0071387E" w:rsidRPr="00EA5472">
        <w:rPr>
          <w:rFonts w:asciiTheme="minorBidi" w:hAnsiTheme="minorBidi" w:cstheme="minorBidi"/>
          <w:color w:val="000000" w:themeColor="text1"/>
          <w:lang w:val="en-US"/>
        </w:rPr>
        <w:t xml:space="preserve">, the Court held a hearing on June 23, 2025, on motions for an order to show cause, expressing dissatisfaction with the Government’s lack of evidence regarding VOA’s operations and </w:t>
      </w:r>
      <w:proofErr w:type="gramStart"/>
      <w:r w:rsidR="0071387E" w:rsidRPr="00EA5472">
        <w:rPr>
          <w:rFonts w:asciiTheme="minorBidi" w:hAnsiTheme="minorBidi" w:cstheme="minorBidi"/>
          <w:color w:val="000000" w:themeColor="text1"/>
          <w:lang w:val="en-US"/>
        </w:rPr>
        <w:t>future plans</w:t>
      </w:r>
      <w:proofErr w:type="gramEnd"/>
      <w:r w:rsidR="0071387E" w:rsidRPr="00EA5472">
        <w:rPr>
          <w:rFonts w:asciiTheme="minorBidi" w:hAnsiTheme="minorBidi" w:cstheme="minorBidi"/>
          <w:color w:val="000000" w:themeColor="text1"/>
          <w:lang w:val="en-US"/>
        </w:rPr>
        <w:t>. The Court ordered supplemental filings on June 27 and again on July 8, 2025, highlighting serious deficiencies, including an intended reduction-in-force of staff cited as essential to resumed programming, vague staffing figures, unexplained use of the $260 million appropriated to VOA for FY 2025, a narrow broadcasting focus on only four languages, and the absence of any plan for Africa.</w:t>
      </w:r>
      <w:r w:rsidR="007378C0">
        <w:rPr>
          <w:rFonts w:asciiTheme="minorBidi" w:hAnsiTheme="minorBidi" w:cstheme="minorBidi"/>
          <w:color w:val="000000" w:themeColor="text1"/>
          <w:lang w:val="en-US"/>
        </w:rPr>
        <w:t xml:space="preserve"> </w:t>
      </w:r>
      <w:r w:rsidR="0071387E" w:rsidRPr="00EA5472">
        <w:rPr>
          <w:rFonts w:asciiTheme="minorBidi" w:hAnsiTheme="minorBidi" w:cstheme="minorBidi"/>
          <w:color w:val="000000" w:themeColor="text1"/>
          <w:lang w:val="en-US"/>
        </w:rPr>
        <w:t>It also noted conflicting statements regarding the Edward R. Murrow Shortwave Transmitting Station and the omission of Michael Abramowitz’s removal as VOA Director on July 8. A July 18, 2025, supplemental memorandum failed to cure these deficiencies, and on July 22, 2025, Kari Lake stated that her objective was to “shut the entire agency down as per the instructions of President Trump...and so I’m working to eliminate the agency.” [</w:t>
      </w:r>
      <w:hyperlink r:id="rId7" w:history="1">
        <w:r w:rsidR="0071387E" w:rsidRPr="00EA5472">
          <w:rPr>
            <w:rStyle w:val="Hyperlink"/>
            <w:rFonts w:asciiTheme="minorBidi" w:hAnsiTheme="minorBidi" w:cstheme="minorBidi"/>
            <w:color w:val="000000" w:themeColor="text1"/>
            <w:lang w:val="en-US"/>
          </w:rPr>
          <w:t>p. 9</w:t>
        </w:r>
      </w:hyperlink>
      <w:r w:rsidR="0071387E" w:rsidRPr="00EA5472">
        <w:rPr>
          <w:rFonts w:asciiTheme="minorBidi" w:hAnsiTheme="minorBidi" w:cstheme="minorBidi"/>
          <w:color w:val="000000" w:themeColor="text1"/>
          <w:lang w:val="en-US"/>
        </w:rPr>
        <w:t xml:space="preserve">] On July 30, 2025, the Court granted the </w:t>
      </w:r>
      <w:r w:rsidR="002F6DDE">
        <w:rPr>
          <w:rFonts w:asciiTheme="minorBidi" w:hAnsiTheme="minorBidi" w:cstheme="minorBidi"/>
          <w:color w:val="000000" w:themeColor="text1"/>
          <w:lang w:val="en-US"/>
        </w:rPr>
        <w:t>P</w:t>
      </w:r>
      <w:r w:rsidR="0071387E" w:rsidRPr="00EA5472">
        <w:rPr>
          <w:rFonts w:asciiTheme="minorBidi" w:hAnsiTheme="minorBidi" w:cstheme="minorBidi"/>
          <w:color w:val="000000" w:themeColor="text1"/>
          <w:lang w:val="en-US"/>
        </w:rPr>
        <w:t>laintiffs’ motions for an order to show cause and directed the defendants to produce a concrete plan to comply with the injunction’s requirement to restore VOA programming</w:t>
      </w:r>
      <w:r w:rsidR="009D51E9" w:rsidRPr="00EA5472">
        <w:rPr>
          <w:rFonts w:asciiTheme="minorBidi" w:hAnsiTheme="minorBidi" w:cstheme="minorBidi"/>
          <w:color w:val="000000" w:themeColor="text1"/>
          <w:lang w:val="en-US"/>
        </w:rPr>
        <w:t>.</w:t>
      </w:r>
      <w:r w:rsidR="004561F4">
        <w:rPr>
          <w:rFonts w:asciiTheme="minorBidi" w:hAnsiTheme="minorBidi" w:cstheme="minorBidi"/>
          <w:color w:val="000000" w:themeColor="text1"/>
          <w:lang w:val="en-US"/>
        </w:rPr>
        <w:t xml:space="preserve"> The case is still ongoing.</w:t>
      </w:r>
    </w:p>
    <w:p w14:paraId="02012DA9" w14:textId="77777777" w:rsidR="00D47456" w:rsidRPr="00EA5472" w:rsidRDefault="00D47456" w:rsidP="00A3742D">
      <w:pPr>
        <w:pStyle w:val="Heading1"/>
        <w:jc w:val="both"/>
        <w:rPr>
          <w:rFonts w:asciiTheme="minorBidi" w:hAnsiTheme="minorBidi" w:cstheme="minorBidi"/>
          <w:b w:val="0"/>
          <w:color w:val="000000" w:themeColor="text1"/>
          <w:sz w:val="22"/>
          <w:szCs w:val="22"/>
          <w:lang w:val="en-US"/>
        </w:rPr>
      </w:pPr>
    </w:p>
    <w:p w14:paraId="0000001E" w14:textId="56AB3AF2" w:rsidR="00CA6AD1" w:rsidRPr="001B3C1E" w:rsidRDefault="00000000" w:rsidP="00A3742D">
      <w:pPr>
        <w:pStyle w:val="Heading1"/>
        <w:jc w:val="both"/>
        <w:rPr>
          <w:rFonts w:asciiTheme="minorBidi" w:hAnsiTheme="minorBidi" w:cstheme="minorBidi"/>
          <w:sz w:val="22"/>
          <w:szCs w:val="22"/>
        </w:rPr>
      </w:pPr>
      <w:r w:rsidRPr="001B3C1E">
        <w:rPr>
          <w:rFonts w:asciiTheme="minorBidi" w:hAnsiTheme="minorBidi" w:cstheme="minorBidi"/>
          <w:sz w:val="22"/>
          <w:szCs w:val="22"/>
        </w:rPr>
        <w:t>Decision Direction</w:t>
      </w:r>
    </w:p>
    <w:p w14:paraId="528AD034" w14:textId="77777777" w:rsidR="0017537B" w:rsidRPr="001B3C1E" w:rsidRDefault="0017537B" w:rsidP="00A3742D">
      <w:pPr>
        <w:jc w:val="both"/>
        <w:rPr>
          <w:rFonts w:asciiTheme="minorBidi" w:hAnsiTheme="minorBidi" w:cstheme="minorBidi"/>
        </w:rPr>
      </w:pPr>
    </w:p>
    <w:p w14:paraId="51BE237F" w14:textId="35870CAD" w:rsidR="004C436F" w:rsidRDefault="008A234B" w:rsidP="00A3742D">
      <w:pPr>
        <w:jc w:val="both"/>
        <w:rPr>
          <w:rFonts w:asciiTheme="minorBidi" w:hAnsiTheme="minorBidi" w:cstheme="minorBidi"/>
        </w:rPr>
      </w:pPr>
      <w:r w:rsidRPr="008A234B">
        <w:rPr>
          <w:rFonts w:asciiTheme="minorBidi" w:hAnsiTheme="minorBidi" w:cstheme="minorBidi"/>
        </w:rPr>
        <w:t xml:space="preserve">This decision expands expression. By halting the dismantling of a congressionally mandated broadcasting agency, compelling the resumption of funding, and restoring editorially independent programming, the Court reaffirmed that executive officials cannot override statutory protections, suppress government-funded journalism, or bypass legislative control over appropriations, thereby reinforcing checks on executive power and </w:t>
      </w:r>
      <w:r w:rsidR="00383BEE">
        <w:rPr>
          <w:rFonts w:asciiTheme="minorBidi" w:hAnsiTheme="minorBidi" w:cstheme="minorBidi"/>
        </w:rPr>
        <w:t xml:space="preserve">preserving </w:t>
      </w:r>
      <w:r w:rsidR="00383BEE" w:rsidRPr="00383BEE">
        <w:rPr>
          <w:rFonts w:asciiTheme="minorBidi" w:hAnsiTheme="minorBidi" w:cstheme="minorBidi"/>
        </w:rPr>
        <w:t xml:space="preserve">the free flow of information essential for </w:t>
      </w:r>
      <w:r w:rsidR="00451FF2">
        <w:rPr>
          <w:rFonts w:asciiTheme="minorBidi" w:hAnsiTheme="minorBidi" w:cstheme="minorBidi"/>
        </w:rPr>
        <w:t>freedom of expression</w:t>
      </w:r>
      <w:r w:rsidRPr="008A234B">
        <w:rPr>
          <w:rFonts w:asciiTheme="minorBidi" w:hAnsiTheme="minorBidi" w:cstheme="minorBidi"/>
        </w:rPr>
        <w:t>.</w:t>
      </w:r>
    </w:p>
    <w:p w14:paraId="415E1EC0" w14:textId="77777777" w:rsidR="00B602C1" w:rsidRPr="001B3C1E" w:rsidRDefault="00B602C1" w:rsidP="00A3742D">
      <w:pPr>
        <w:jc w:val="both"/>
        <w:rPr>
          <w:rFonts w:asciiTheme="minorBidi" w:hAnsiTheme="minorBidi" w:cstheme="minorBidi"/>
        </w:rPr>
      </w:pPr>
    </w:p>
    <w:p w14:paraId="6BB5F825" w14:textId="12262547" w:rsidR="007C3A33" w:rsidRPr="001B3C1E" w:rsidRDefault="00000000" w:rsidP="00A3742D">
      <w:pPr>
        <w:pStyle w:val="Heading1"/>
        <w:spacing w:after="240"/>
        <w:jc w:val="both"/>
        <w:rPr>
          <w:rFonts w:asciiTheme="minorBidi" w:hAnsiTheme="minorBidi" w:cstheme="minorBidi"/>
          <w:sz w:val="22"/>
          <w:szCs w:val="22"/>
        </w:rPr>
      </w:pPr>
      <w:bookmarkStart w:id="1" w:name="_jq49w5gh3tsv" w:colFirst="0" w:colLast="0"/>
      <w:bookmarkEnd w:id="1"/>
      <w:r w:rsidRPr="001B3C1E">
        <w:rPr>
          <w:rFonts w:asciiTheme="minorBidi" w:hAnsiTheme="minorBidi" w:cstheme="minorBidi"/>
          <w:sz w:val="22"/>
          <w:szCs w:val="22"/>
        </w:rPr>
        <w:t>Global Perspectiv</w:t>
      </w:r>
      <w:r w:rsidR="001E5912" w:rsidRPr="001B3C1E">
        <w:rPr>
          <w:rFonts w:asciiTheme="minorBidi" w:hAnsiTheme="minorBidi" w:cstheme="minorBidi"/>
          <w:sz w:val="22"/>
          <w:szCs w:val="22"/>
        </w:rPr>
        <w:t>e</w:t>
      </w:r>
    </w:p>
    <w:p w14:paraId="4E6F8D08" w14:textId="568E00CE" w:rsidR="00003293" w:rsidRDefault="00003293" w:rsidP="00754146">
      <w:pPr>
        <w:pStyle w:val="ListParagraph"/>
        <w:numPr>
          <w:ilvl w:val="0"/>
          <w:numId w:val="6"/>
        </w:numPr>
        <w:jc w:val="both"/>
        <w:rPr>
          <w:rFonts w:asciiTheme="minorBidi" w:hAnsiTheme="minorBidi" w:cstheme="minorBidi"/>
          <w:lang w:val="en-US"/>
        </w:rPr>
      </w:pPr>
      <w:r w:rsidRPr="00003293">
        <w:rPr>
          <w:rFonts w:asciiTheme="minorBidi" w:hAnsiTheme="minorBidi" w:cstheme="minorBidi"/>
          <w:lang w:val="en-US"/>
        </w:rPr>
        <w:t>Executive Order 14238, "Continuing the Reduction of the Federal Bureaucracy"</w:t>
      </w:r>
    </w:p>
    <w:p w14:paraId="73255083"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Civil Service Reform Act of 1978</w:t>
      </w:r>
    </w:p>
    <w:p w14:paraId="798E94DE"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Foreign Service Act of 1980</w:t>
      </w:r>
    </w:p>
    <w:p w14:paraId="6DF1FC69"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Administrative Procedure Act of 1946</w:t>
      </w:r>
    </w:p>
    <w:p w14:paraId="776D3A68"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Winter v. Nat. Res. Def. Council, Inc., 555 U.S. 7, 22 (2008)</w:t>
      </w:r>
    </w:p>
    <w:p w14:paraId="3466A822" w14:textId="77777777" w:rsidR="003777ED" w:rsidRPr="00754146" w:rsidRDefault="003777ED" w:rsidP="00754146">
      <w:pPr>
        <w:pStyle w:val="ListParagraph"/>
        <w:numPr>
          <w:ilvl w:val="0"/>
          <w:numId w:val="6"/>
        </w:numPr>
        <w:rPr>
          <w:rFonts w:asciiTheme="minorBidi" w:hAnsiTheme="minorBidi" w:cstheme="minorBidi"/>
          <w:lang w:val="en-US"/>
        </w:rPr>
      </w:pPr>
      <w:proofErr w:type="spellStart"/>
      <w:r w:rsidRPr="00754146">
        <w:rPr>
          <w:rFonts w:asciiTheme="minorBidi" w:hAnsiTheme="minorBidi" w:cstheme="minorBidi"/>
          <w:lang w:val="en-US"/>
        </w:rPr>
        <w:t>Nken</w:t>
      </w:r>
      <w:proofErr w:type="spellEnd"/>
      <w:r w:rsidRPr="00754146">
        <w:rPr>
          <w:rFonts w:asciiTheme="minorBidi" w:hAnsiTheme="minorBidi" w:cstheme="minorBidi"/>
          <w:lang w:val="en-US"/>
        </w:rPr>
        <w:t xml:space="preserve"> v. Holder, 556 U.S. 418, 435 (2009)</w:t>
      </w:r>
    </w:p>
    <w:p w14:paraId="614D0009" w14:textId="77777777" w:rsidR="003777ED" w:rsidRPr="00754146" w:rsidRDefault="003777ED" w:rsidP="00754146">
      <w:pPr>
        <w:pStyle w:val="ListParagraph"/>
        <w:numPr>
          <w:ilvl w:val="0"/>
          <w:numId w:val="6"/>
        </w:numPr>
        <w:rPr>
          <w:rFonts w:asciiTheme="minorBidi" w:hAnsiTheme="minorBidi" w:cstheme="minorBidi"/>
          <w:lang w:val="en-US"/>
        </w:rPr>
      </w:pPr>
      <w:proofErr w:type="spellStart"/>
      <w:r w:rsidRPr="00754146">
        <w:rPr>
          <w:rFonts w:asciiTheme="minorBidi" w:hAnsiTheme="minorBidi" w:cstheme="minorBidi"/>
          <w:lang w:val="en-US"/>
        </w:rPr>
        <w:lastRenderedPageBreak/>
        <w:t>CityFed</w:t>
      </w:r>
      <w:proofErr w:type="spellEnd"/>
      <w:r w:rsidRPr="00754146">
        <w:rPr>
          <w:rFonts w:asciiTheme="minorBidi" w:hAnsiTheme="minorBidi" w:cstheme="minorBidi"/>
          <w:lang w:val="en-US"/>
        </w:rPr>
        <w:t xml:space="preserve"> Fin. Corp. v. Off. of Thrift Supervision, 58 F.3d 738, 747 (D.C. Cir. 1995)</w:t>
      </w:r>
    </w:p>
    <w:p w14:paraId="62073162"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Food &amp; Water Watch, Inc. v. Vilsack, 808 F.3d 905, 913 (D.C. Cir. 2015)</w:t>
      </w:r>
    </w:p>
    <w:p w14:paraId="48FE6DD1"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Obama v. Klayman, 800 F.3d 559, 568 (D.C. Cir. 2015)</w:t>
      </w:r>
    </w:p>
    <w:p w14:paraId="63C7D65F"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Hunt v. Wash. State Apple Advert. Comm’n, 432 U.S. 333, 343 (1977)</w:t>
      </w:r>
    </w:p>
    <w:p w14:paraId="0477E67D"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 xml:space="preserve">People for Ethical Treatment of Animals v. U.S. </w:t>
      </w:r>
      <w:proofErr w:type="spellStart"/>
      <w:r w:rsidRPr="00754146">
        <w:rPr>
          <w:rFonts w:asciiTheme="minorBidi" w:hAnsiTheme="minorBidi" w:cstheme="minorBidi"/>
          <w:lang w:val="en-US"/>
        </w:rPr>
        <w:t>Dep’t</w:t>
      </w:r>
      <w:proofErr w:type="spellEnd"/>
      <w:r w:rsidRPr="00754146">
        <w:rPr>
          <w:rFonts w:asciiTheme="minorBidi" w:hAnsiTheme="minorBidi" w:cstheme="minorBidi"/>
          <w:lang w:val="en-US"/>
        </w:rPr>
        <w:t xml:space="preserve"> of Agric. (PETA), 797 F.3d 1087, 1093 (D.C. Cir. 2015)</w:t>
      </w:r>
    </w:p>
    <w:p w14:paraId="06D1F313"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Sierra Club v. EPA, 292 F.3d 895, 898 (D.C. Cir. 2002)</w:t>
      </w:r>
    </w:p>
    <w:p w14:paraId="3F66D314" w14:textId="77777777" w:rsidR="003777ED" w:rsidRPr="00754146" w:rsidRDefault="003777ED" w:rsidP="00754146">
      <w:pPr>
        <w:pStyle w:val="ListParagraph"/>
        <w:numPr>
          <w:ilvl w:val="0"/>
          <w:numId w:val="6"/>
        </w:numPr>
        <w:rPr>
          <w:rFonts w:asciiTheme="minorBidi" w:hAnsiTheme="minorBidi" w:cstheme="minorBidi"/>
          <w:lang w:val="en-US"/>
        </w:rPr>
      </w:pPr>
      <w:proofErr w:type="spellStart"/>
      <w:r w:rsidRPr="00754146">
        <w:rPr>
          <w:rFonts w:asciiTheme="minorBidi" w:hAnsiTheme="minorBidi" w:cstheme="minorBidi"/>
          <w:lang w:val="en-US"/>
        </w:rPr>
        <w:t>Mahorner</w:t>
      </w:r>
      <w:proofErr w:type="spellEnd"/>
      <w:r w:rsidRPr="00754146">
        <w:rPr>
          <w:rFonts w:asciiTheme="minorBidi" w:hAnsiTheme="minorBidi" w:cstheme="minorBidi"/>
          <w:lang w:val="en-US"/>
        </w:rPr>
        <w:t xml:space="preserve"> v. Bush, 224 F. Supp. 2d 48, 50 (D.D.C. 2002)</w:t>
      </w:r>
    </w:p>
    <w:p w14:paraId="66BC826D"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Am. Soc’y for Prevention of Cruelty to Animals v. Feld Ent., Inc., 659 F.3d 13, 25 (D.C. Cir. 2011)</w:t>
      </w:r>
    </w:p>
    <w:p w14:paraId="68E47978"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Havens Realty Corp. v. Coleman, 455 U.S. 363, 379 (1982)</w:t>
      </w:r>
    </w:p>
    <w:p w14:paraId="2014E3B0"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Elec. Priv. Info. Ctr. v. Presidential Advisory Comm’n on Election Integrity, 878 F.3d 371, 378 (D.C. Cir. 2017)</w:t>
      </w:r>
    </w:p>
    <w:p w14:paraId="5C6F8A69"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Food &amp; Drug Admin. v. All. for Hippocratic Med., 602 U.S. 367, 395 (2024)</w:t>
      </w:r>
    </w:p>
    <w:p w14:paraId="3E1DD62E" w14:textId="77777777" w:rsidR="003777ED" w:rsidRPr="00754146" w:rsidRDefault="003777ED" w:rsidP="00754146">
      <w:pPr>
        <w:pStyle w:val="ListParagraph"/>
        <w:numPr>
          <w:ilvl w:val="0"/>
          <w:numId w:val="6"/>
        </w:numPr>
        <w:rPr>
          <w:rFonts w:asciiTheme="minorBidi" w:hAnsiTheme="minorBidi" w:cstheme="minorBidi"/>
          <w:lang w:val="en-US"/>
        </w:rPr>
      </w:pPr>
      <w:proofErr w:type="spellStart"/>
      <w:r w:rsidRPr="00754146">
        <w:rPr>
          <w:rFonts w:asciiTheme="minorBidi" w:hAnsiTheme="minorBidi" w:cstheme="minorBidi"/>
          <w:lang w:val="en-US"/>
        </w:rPr>
        <w:t>Nat’l</w:t>
      </w:r>
      <w:proofErr w:type="spellEnd"/>
      <w:r w:rsidRPr="00754146">
        <w:rPr>
          <w:rFonts w:asciiTheme="minorBidi" w:hAnsiTheme="minorBidi" w:cstheme="minorBidi"/>
          <w:lang w:val="en-US"/>
        </w:rPr>
        <w:t xml:space="preserve"> Treasury Emps. Union v. I.R.S., No. 04-cv-0820, 2006 WL 416161, at *2 (D.D.C. Feb. 22, 2006)</w:t>
      </w:r>
    </w:p>
    <w:p w14:paraId="19AE7C1A" w14:textId="77777777" w:rsidR="003777ED" w:rsidRPr="00754146" w:rsidRDefault="003777ED" w:rsidP="00754146">
      <w:pPr>
        <w:pStyle w:val="ListParagraph"/>
        <w:numPr>
          <w:ilvl w:val="0"/>
          <w:numId w:val="6"/>
        </w:numPr>
        <w:rPr>
          <w:rFonts w:asciiTheme="minorBidi" w:hAnsiTheme="minorBidi" w:cstheme="minorBidi"/>
          <w:lang w:val="en-US"/>
        </w:rPr>
      </w:pPr>
      <w:proofErr w:type="spellStart"/>
      <w:r w:rsidRPr="00754146">
        <w:rPr>
          <w:rFonts w:asciiTheme="minorBidi" w:hAnsiTheme="minorBidi" w:cstheme="minorBidi"/>
          <w:lang w:val="en-US"/>
        </w:rPr>
        <w:t>Megapulse</w:t>
      </w:r>
      <w:proofErr w:type="spellEnd"/>
      <w:r w:rsidRPr="00754146">
        <w:rPr>
          <w:rFonts w:asciiTheme="minorBidi" w:hAnsiTheme="minorBidi" w:cstheme="minorBidi"/>
          <w:lang w:val="en-US"/>
        </w:rPr>
        <w:t>, Inc. v. Lewis, 672 F.2d 959, 968 (D.C. Cir. 1982)</w:t>
      </w:r>
    </w:p>
    <w:p w14:paraId="55DBBFAB"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 xml:space="preserve">Department of Education v. California, 145 S. Ct. 966 (2025) (per </w:t>
      </w:r>
      <w:proofErr w:type="spellStart"/>
      <w:r w:rsidRPr="00754146">
        <w:rPr>
          <w:rFonts w:asciiTheme="minorBidi" w:hAnsiTheme="minorBidi" w:cstheme="minorBidi"/>
          <w:lang w:val="en-US"/>
        </w:rPr>
        <w:t>curiam</w:t>
      </w:r>
      <w:proofErr w:type="spellEnd"/>
      <w:r w:rsidRPr="00754146">
        <w:rPr>
          <w:rFonts w:asciiTheme="minorBidi" w:hAnsiTheme="minorBidi" w:cstheme="minorBidi"/>
          <w:lang w:val="en-US"/>
        </w:rPr>
        <w:t>)</w:t>
      </w:r>
    </w:p>
    <w:p w14:paraId="6A54F53C"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 xml:space="preserve">California v. U.S. </w:t>
      </w:r>
      <w:proofErr w:type="spellStart"/>
      <w:r w:rsidRPr="00754146">
        <w:rPr>
          <w:rFonts w:asciiTheme="minorBidi" w:hAnsiTheme="minorBidi" w:cstheme="minorBidi"/>
          <w:lang w:val="en-US"/>
        </w:rPr>
        <w:t>Dep’t</w:t>
      </w:r>
      <w:proofErr w:type="spellEnd"/>
      <w:r w:rsidRPr="00754146">
        <w:rPr>
          <w:rFonts w:asciiTheme="minorBidi" w:hAnsiTheme="minorBidi" w:cstheme="minorBidi"/>
          <w:lang w:val="en-US"/>
        </w:rPr>
        <w:t xml:space="preserve"> of Educ., 132 F.4th 92, 95 (1st Cir. 2025)</w:t>
      </w:r>
    </w:p>
    <w:p w14:paraId="5850F123"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 xml:space="preserve">California v. U.S. </w:t>
      </w:r>
      <w:proofErr w:type="spellStart"/>
      <w:r w:rsidRPr="00754146">
        <w:rPr>
          <w:rFonts w:asciiTheme="minorBidi" w:hAnsiTheme="minorBidi" w:cstheme="minorBidi"/>
          <w:lang w:val="en-US"/>
        </w:rPr>
        <w:t>Dep’t</w:t>
      </w:r>
      <w:proofErr w:type="spellEnd"/>
      <w:r w:rsidRPr="00754146">
        <w:rPr>
          <w:rFonts w:asciiTheme="minorBidi" w:hAnsiTheme="minorBidi" w:cstheme="minorBidi"/>
          <w:lang w:val="en-US"/>
        </w:rPr>
        <w:t xml:space="preserve"> of Educ., No. 25-cv-10548-MJJ, 2025 WL 760825, at *5 (D. Mass. Mar. 10, 2025)</w:t>
      </w:r>
    </w:p>
    <w:p w14:paraId="343FAC99"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Crowley Gov’t Servs., Inc. v. Gen. Servs. Admin., 38 F.4th 1099, 1106 (D.C. Cir. 2022)</w:t>
      </w:r>
    </w:p>
    <w:p w14:paraId="09CD3E1B"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 xml:space="preserve">Md. </w:t>
      </w:r>
      <w:proofErr w:type="spellStart"/>
      <w:r w:rsidRPr="00754146">
        <w:rPr>
          <w:rFonts w:asciiTheme="minorBidi" w:hAnsiTheme="minorBidi" w:cstheme="minorBidi"/>
          <w:lang w:val="en-US"/>
        </w:rPr>
        <w:t>Dep’t</w:t>
      </w:r>
      <w:proofErr w:type="spellEnd"/>
      <w:r w:rsidRPr="00754146">
        <w:rPr>
          <w:rFonts w:asciiTheme="minorBidi" w:hAnsiTheme="minorBidi" w:cstheme="minorBidi"/>
          <w:lang w:val="en-US"/>
        </w:rPr>
        <w:t xml:space="preserve"> of Hum. Res. v. </w:t>
      </w:r>
      <w:proofErr w:type="spellStart"/>
      <w:r w:rsidRPr="00754146">
        <w:rPr>
          <w:rFonts w:asciiTheme="minorBidi" w:hAnsiTheme="minorBidi" w:cstheme="minorBidi"/>
          <w:lang w:val="en-US"/>
        </w:rPr>
        <w:t>Dep’t</w:t>
      </w:r>
      <w:proofErr w:type="spellEnd"/>
      <w:r w:rsidRPr="00754146">
        <w:rPr>
          <w:rFonts w:asciiTheme="minorBidi" w:hAnsiTheme="minorBidi" w:cstheme="minorBidi"/>
          <w:lang w:val="en-US"/>
        </w:rPr>
        <w:t>. of Health and Hum. Servs., 763 F.2d 1441, 1446 (D.C. Cir. 1985)</w:t>
      </w:r>
    </w:p>
    <w:p w14:paraId="21D44117" w14:textId="77777777" w:rsidR="003777ED" w:rsidRPr="00754146" w:rsidRDefault="003777ED" w:rsidP="00754146">
      <w:pPr>
        <w:pStyle w:val="ListParagraph"/>
        <w:numPr>
          <w:ilvl w:val="0"/>
          <w:numId w:val="6"/>
        </w:numPr>
        <w:rPr>
          <w:rFonts w:asciiTheme="minorBidi" w:hAnsiTheme="minorBidi" w:cstheme="minorBidi"/>
          <w:lang w:val="en-US"/>
        </w:rPr>
      </w:pPr>
      <w:proofErr w:type="spellStart"/>
      <w:r w:rsidRPr="00754146">
        <w:rPr>
          <w:rFonts w:asciiTheme="minorBidi" w:hAnsiTheme="minorBidi" w:cstheme="minorBidi"/>
          <w:lang w:val="en-US"/>
        </w:rPr>
        <w:t>Nat’l</w:t>
      </w:r>
      <w:proofErr w:type="spellEnd"/>
      <w:r w:rsidRPr="00754146">
        <w:rPr>
          <w:rFonts w:asciiTheme="minorBidi" w:hAnsiTheme="minorBidi" w:cstheme="minorBidi"/>
          <w:lang w:val="en-US"/>
        </w:rPr>
        <w:t xml:space="preserve"> Ctr. for Mfg. </w:t>
      </w:r>
      <w:proofErr w:type="spellStart"/>
      <w:r w:rsidRPr="00754146">
        <w:rPr>
          <w:rFonts w:asciiTheme="minorBidi" w:hAnsiTheme="minorBidi" w:cstheme="minorBidi"/>
          <w:lang w:val="en-US"/>
        </w:rPr>
        <w:t>Scis</w:t>
      </w:r>
      <w:proofErr w:type="spellEnd"/>
      <w:r w:rsidRPr="00754146">
        <w:rPr>
          <w:rFonts w:asciiTheme="minorBidi" w:hAnsiTheme="minorBidi" w:cstheme="minorBidi"/>
          <w:lang w:val="en-US"/>
        </w:rPr>
        <w:t>. v. United States, 114 F.3d 196, 200 (Fed. Cir. 1997)</w:t>
      </w:r>
    </w:p>
    <w:p w14:paraId="66D1DA6E"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AFSA v. Trump, No. 25-cv-352 (CJN), 2025 WL 573762 (D.D.C. Feb. 21, 2025)</w:t>
      </w:r>
    </w:p>
    <w:p w14:paraId="1BB5AE51" w14:textId="77777777" w:rsidR="003777ED" w:rsidRPr="00754146" w:rsidRDefault="003777ED" w:rsidP="00754146">
      <w:pPr>
        <w:pStyle w:val="ListParagraph"/>
        <w:numPr>
          <w:ilvl w:val="0"/>
          <w:numId w:val="6"/>
        </w:numPr>
        <w:rPr>
          <w:rFonts w:asciiTheme="minorBidi" w:hAnsiTheme="minorBidi" w:cstheme="minorBidi"/>
          <w:lang w:val="en-US"/>
        </w:rPr>
      </w:pPr>
      <w:proofErr w:type="spellStart"/>
      <w:r w:rsidRPr="00754146">
        <w:rPr>
          <w:rFonts w:asciiTheme="minorBidi" w:hAnsiTheme="minorBidi" w:cstheme="minorBidi"/>
          <w:lang w:val="en-US"/>
        </w:rPr>
        <w:t>Transohio</w:t>
      </w:r>
      <w:proofErr w:type="spellEnd"/>
      <w:r w:rsidRPr="00754146">
        <w:rPr>
          <w:rFonts w:asciiTheme="minorBidi" w:hAnsiTheme="minorBidi" w:cstheme="minorBidi"/>
          <w:lang w:val="en-US"/>
        </w:rPr>
        <w:t xml:space="preserve"> Sav. Bank v. Dir., Off. of Thrift Supervision, 967 F.2d 598, 609 (D.C. Cir. 1992)</w:t>
      </w:r>
    </w:p>
    <w:p w14:paraId="23ED12AC"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Ingersoll-Rand Co. v. United States, 780 F.2d 74, 76 (D.C. Cir. 1985)</w:t>
      </w:r>
    </w:p>
    <w:p w14:paraId="58F221A1"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Thunder Basin Coal Co. v. Reich, 510 U.S. 200, 207–13 (1994)</w:t>
      </w:r>
    </w:p>
    <w:p w14:paraId="5C0112D3"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Free Enter. Fund v. Pub. Co. Acct. Oversight Bd., 561 U.S. 477, 489 (2010)</w:t>
      </w:r>
    </w:p>
    <w:p w14:paraId="303C13BA"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Axon Enterprise, Inc. v. FTC, 598 U.S. 175, 194 (2023)</w:t>
      </w:r>
    </w:p>
    <w:p w14:paraId="0BCD8FB4"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Norton v. S. Utah Wilderness All., 542 U.S. 55, 62 (2004)</w:t>
      </w:r>
    </w:p>
    <w:p w14:paraId="680EAAA7"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Bennett v. Spear, 520 U.S. 154, 177–78 (1997)</w:t>
      </w:r>
    </w:p>
    <w:p w14:paraId="15B5C6B3"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Ciba-Geigy Corp. v. U.S.E.P.A., 801 F.2d 430, 435 (D.C. Cir. 1986)</w:t>
      </w:r>
    </w:p>
    <w:p w14:paraId="7994886E"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 xml:space="preserve">U.S. Army Corps of </w:t>
      </w:r>
      <w:proofErr w:type="spellStart"/>
      <w:r w:rsidRPr="00754146">
        <w:rPr>
          <w:rFonts w:asciiTheme="minorBidi" w:hAnsiTheme="minorBidi" w:cstheme="minorBidi"/>
          <w:lang w:val="en-US"/>
        </w:rPr>
        <w:t>Eng’rs</w:t>
      </w:r>
      <w:proofErr w:type="spellEnd"/>
      <w:r w:rsidRPr="00754146">
        <w:rPr>
          <w:rFonts w:asciiTheme="minorBidi" w:hAnsiTheme="minorBidi" w:cstheme="minorBidi"/>
          <w:lang w:val="en-US"/>
        </w:rPr>
        <w:t xml:space="preserve"> v. Hawkes Co., 578 U.S. 590, 599 (2016)</w:t>
      </w:r>
    </w:p>
    <w:p w14:paraId="5242E822"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Biden v. Texas, 597 U.S. 785, 807 (2022)</w:t>
      </w:r>
    </w:p>
    <w:p w14:paraId="6BD04A13"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 xml:space="preserve">Motor Vehicle Mfrs. </w:t>
      </w:r>
      <w:proofErr w:type="spellStart"/>
      <w:r w:rsidRPr="00754146">
        <w:rPr>
          <w:rFonts w:asciiTheme="minorBidi" w:hAnsiTheme="minorBidi" w:cstheme="minorBidi"/>
          <w:lang w:val="en-US"/>
        </w:rPr>
        <w:t>Ass’n</w:t>
      </w:r>
      <w:proofErr w:type="spellEnd"/>
      <w:r w:rsidRPr="00754146">
        <w:rPr>
          <w:rFonts w:asciiTheme="minorBidi" w:hAnsiTheme="minorBidi" w:cstheme="minorBidi"/>
          <w:lang w:val="en-US"/>
        </w:rPr>
        <w:t xml:space="preserve"> of U.S., Inc. v. State Farm Mut. Auto. Ins. Co., 463 U.S. 29, 42 (1983)</w:t>
      </w:r>
    </w:p>
    <w:p w14:paraId="30B6A00F"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Encino Motorcars, LLC v. Navarro, 579 U.S. 211, 221 (2016)</w:t>
      </w:r>
    </w:p>
    <w:p w14:paraId="69271B51" w14:textId="77777777" w:rsidR="003777ED" w:rsidRPr="00754146" w:rsidRDefault="003777ED" w:rsidP="00754146">
      <w:pPr>
        <w:pStyle w:val="ListParagraph"/>
        <w:numPr>
          <w:ilvl w:val="0"/>
          <w:numId w:val="6"/>
        </w:numPr>
        <w:rPr>
          <w:rFonts w:asciiTheme="minorBidi" w:hAnsiTheme="minorBidi" w:cstheme="minorBidi"/>
          <w:lang w:val="en-US"/>
        </w:rPr>
      </w:pPr>
      <w:proofErr w:type="spellStart"/>
      <w:r w:rsidRPr="00754146">
        <w:rPr>
          <w:rFonts w:asciiTheme="minorBidi" w:hAnsiTheme="minorBidi" w:cstheme="minorBidi"/>
          <w:lang w:val="en-US"/>
        </w:rPr>
        <w:t>Dep’t</w:t>
      </w:r>
      <w:proofErr w:type="spellEnd"/>
      <w:r w:rsidRPr="00754146">
        <w:rPr>
          <w:rFonts w:asciiTheme="minorBidi" w:hAnsiTheme="minorBidi" w:cstheme="minorBidi"/>
          <w:lang w:val="en-US"/>
        </w:rPr>
        <w:t xml:space="preserve"> of Homeland Sec. v. Regents of the Univ. of Cal., 591 U.S. 1, 30 (2020)</w:t>
      </w:r>
    </w:p>
    <w:p w14:paraId="1C4FD14A"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Citizens to Pres. Overton Park, Inc. v. Volpe, 401 U.S. 402, 414 (1971)</w:t>
      </w:r>
    </w:p>
    <w:p w14:paraId="3D1CB5B6"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In re Aiken County, 725 F.3d 255, 261 n.1 (D.C. Cir. 2013) (Kavanaugh, J.)</w:t>
      </w:r>
    </w:p>
    <w:p w14:paraId="1173D8F1"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Eng. v. Trump, 279 F. Supp. 3d 307, 327 (D.D.C. 2018)</w:t>
      </w:r>
    </w:p>
    <w:p w14:paraId="24565684"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Marin Audubon Soc’y v. Fed. Aviation Admin., 121 F.4th 902, 914 (D.C. Cir. 2024)</w:t>
      </w:r>
    </w:p>
    <w:p w14:paraId="1F41CBF0" w14:textId="77777777" w:rsidR="003777ED" w:rsidRPr="00754146" w:rsidRDefault="003777ED" w:rsidP="00754146">
      <w:pPr>
        <w:pStyle w:val="ListParagraph"/>
        <w:numPr>
          <w:ilvl w:val="0"/>
          <w:numId w:val="6"/>
        </w:numPr>
        <w:rPr>
          <w:rFonts w:asciiTheme="minorBidi" w:hAnsiTheme="minorBidi" w:cstheme="minorBidi"/>
          <w:lang w:val="en-US"/>
        </w:rPr>
      </w:pPr>
      <w:proofErr w:type="spellStart"/>
      <w:r w:rsidRPr="00754146">
        <w:rPr>
          <w:rFonts w:asciiTheme="minorBidi" w:hAnsiTheme="minorBidi" w:cstheme="minorBidi"/>
          <w:lang w:val="en-US"/>
        </w:rPr>
        <w:t>Nat’l</w:t>
      </w:r>
      <w:proofErr w:type="spellEnd"/>
      <w:r w:rsidRPr="00754146">
        <w:rPr>
          <w:rFonts w:asciiTheme="minorBidi" w:hAnsiTheme="minorBidi" w:cstheme="minorBidi"/>
          <w:lang w:val="en-US"/>
        </w:rPr>
        <w:t xml:space="preserve"> </w:t>
      </w:r>
      <w:proofErr w:type="spellStart"/>
      <w:r w:rsidRPr="00754146">
        <w:rPr>
          <w:rFonts w:asciiTheme="minorBidi" w:hAnsiTheme="minorBidi" w:cstheme="minorBidi"/>
          <w:lang w:val="en-US"/>
        </w:rPr>
        <w:t>Fed’n</w:t>
      </w:r>
      <w:proofErr w:type="spellEnd"/>
      <w:r w:rsidRPr="00754146">
        <w:rPr>
          <w:rFonts w:asciiTheme="minorBidi" w:hAnsiTheme="minorBidi" w:cstheme="minorBidi"/>
          <w:lang w:val="en-US"/>
        </w:rPr>
        <w:t xml:space="preserve"> of Indep. Bus. v. OSHA, 595 U.S. 109, 117 (2022)</w:t>
      </w:r>
    </w:p>
    <w:p w14:paraId="3A3982B1"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Clinton v. City of New York, 524 U.S. 417, 438 (1998)</w:t>
      </w:r>
    </w:p>
    <w:p w14:paraId="4B57853C"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lastRenderedPageBreak/>
        <w:t>U.S. House of Representatives v. Burwell, 130 F. Supp. 3d 53, 76 (D.D.C. 2015)</w:t>
      </w:r>
    </w:p>
    <w:p w14:paraId="779F2CD4" w14:textId="77777777" w:rsidR="003777ED" w:rsidRPr="00754146" w:rsidRDefault="003777ED" w:rsidP="00754146">
      <w:pPr>
        <w:pStyle w:val="ListParagraph"/>
        <w:numPr>
          <w:ilvl w:val="0"/>
          <w:numId w:val="6"/>
        </w:numPr>
        <w:rPr>
          <w:rFonts w:asciiTheme="minorBidi" w:hAnsiTheme="minorBidi" w:cstheme="minorBidi"/>
          <w:lang w:val="en-US"/>
        </w:rPr>
      </w:pPr>
      <w:proofErr w:type="spellStart"/>
      <w:r w:rsidRPr="00754146">
        <w:rPr>
          <w:rFonts w:asciiTheme="minorBidi" w:hAnsiTheme="minorBidi" w:cstheme="minorBidi"/>
          <w:lang w:val="en-US"/>
        </w:rPr>
        <w:t>Nat’l</w:t>
      </w:r>
      <w:proofErr w:type="spellEnd"/>
      <w:r w:rsidRPr="00754146">
        <w:rPr>
          <w:rFonts w:asciiTheme="minorBidi" w:hAnsiTheme="minorBidi" w:cstheme="minorBidi"/>
          <w:lang w:val="en-US"/>
        </w:rPr>
        <w:t xml:space="preserve"> Council of Nonprofits v. Off. of Mgmt. &amp; Budget, No. 25-cv-239 (LLA), 2025 WL 368852, at *12 (D.D.C. Feb. 3, 2025)</w:t>
      </w:r>
    </w:p>
    <w:p w14:paraId="3087BFA5"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 xml:space="preserve">U.S. </w:t>
      </w:r>
      <w:proofErr w:type="spellStart"/>
      <w:r w:rsidRPr="00754146">
        <w:rPr>
          <w:rFonts w:asciiTheme="minorBidi" w:hAnsiTheme="minorBidi" w:cstheme="minorBidi"/>
          <w:lang w:val="en-US"/>
        </w:rPr>
        <w:t>Dep’t</w:t>
      </w:r>
      <w:proofErr w:type="spellEnd"/>
      <w:r w:rsidRPr="00754146">
        <w:rPr>
          <w:rFonts w:asciiTheme="minorBidi" w:hAnsiTheme="minorBidi" w:cstheme="minorBidi"/>
          <w:lang w:val="en-US"/>
        </w:rPr>
        <w:t xml:space="preserve"> of Navy v. Fed. Lab. </w:t>
      </w:r>
      <w:proofErr w:type="spellStart"/>
      <w:r w:rsidRPr="00754146">
        <w:rPr>
          <w:rFonts w:asciiTheme="minorBidi" w:hAnsiTheme="minorBidi" w:cstheme="minorBidi"/>
          <w:lang w:val="en-US"/>
        </w:rPr>
        <w:t>Rels</w:t>
      </w:r>
      <w:proofErr w:type="spellEnd"/>
      <w:r w:rsidRPr="00754146">
        <w:rPr>
          <w:rFonts w:asciiTheme="minorBidi" w:hAnsiTheme="minorBidi" w:cstheme="minorBidi"/>
          <w:lang w:val="en-US"/>
        </w:rPr>
        <w:t>. Auth., 665 F.3d 1339, 1347 (D.C. Cir. 2012)</w:t>
      </w:r>
    </w:p>
    <w:p w14:paraId="62CFF5E1"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Chaplaincy of Full Gospel Churches v. England, 454 F.3d 290, 297 (D.C. Cir. 2006)</w:t>
      </w:r>
    </w:p>
    <w:p w14:paraId="5F18A9E1"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 xml:space="preserve">Wis. Gas Co. v. FERC, 758 F.2d 669, 674 (D.C. Cir. 1985) (per </w:t>
      </w:r>
      <w:proofErr w:type="spellStart"/>
      <w:r w:rsidRPr="00754146">
        <w:rPr>
          <w:rFonts w:asciiTheme="minorBidi" w:hAnsiTheme="minorBidi" w:cstheme="minorBidi"/>
          <w:lang w:val="en-US"/>
        </w:rPr>
        <w:t>curiam</w:t>
      </w:r>
      <w:proofErr w:type="spellEnd"/>
      <w:r w:rsidRPr="00754146">
        <w:rPr>
          <w:rFonts w:asciiTheme="minorBidi" w:hAnsiTheme="minorBidi" w:cstheme="minorBidi"/>
          <w:lang w:val="en-US"/>
        </w:rPr>
        <w:t>)</w:t>
      </w:r>
    </w:p>
    <w:p w14:paraId="503A0137"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League of Women Voters of the U.S. v. Newby, 838 F.3d 1, 9 (D.C. Cir. 2016)</w:t>
      </w:r>
    </w:p>
    <w:p w14:paraId="5C4D8B12"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Climate United Fund v. Citibank, N.A., No. 25-cv-698 (TSC), 2025 WL 842360, at *10 (D.D.C. Mar. 18, 2025)</w:t>
      </w:r>
    </w:p>
    <w:p w14:paraId="25DD278E"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 xml:space="preserve">Am. </w:t>
      </w:r>
      <w:proofErr w:type="spellStart"/>
      <w:r w:rsidRPr="00754146">
        <w:rPr>
          <w:rFonts w:asciiTheme="minorBidi" w:hAnsiTheme="minorBidi" w:cstheme="minorBidi"/>
          <w:lang w:val="en-US"/>
        </w:rPr>
        <w:t>Ass’n</w:t>
      </w:r>
      <w:proofErr w:type="spellEnd"/>
      <w:r w:rsidRPr="00754146">
        <w:rPr>
          <w:rFonts w:asciiTheme="minorBidi" w:hAnsiTheme="minorBidi" w:cstheme="minorBidi"/>
          <w:lang w:val="en-US"/>
        </w:rPr>
        <w:t xml:space="preserve"> of Pol. Consultants v. U.S. Small Bus. Admin., 613 F. Supp. 3d 360, 365 (D.D.C. 2020)</w:t>
      </w:r>
    </w:p>
    <w:p w14:paraId="30432949" w14:textId="77777777" w:rsidR="003777ED" w:rsidRPr="00754146" w:rsidRDefault="003777ED" w:rsidP="00754146">
      <w:pPr>
        <w:pStyle w:val="ListParagraph"/>
        <w:numPr>
          <w:ilvl w:val="0"/>
          <w:numId w:val="6"/>
        </w:numPr>
        <w:rPr>
          <w:rFonts w:asciiTheme="minorBidi" w:hAnsiTheme="minorBidi" w:cstheme="minorBidi"/>
          <w:lang w:val="en-US"/>
        </w:rPr>
      </w:pPr>
      <w:r w:rsidRPr="00754146">
        <w:rPr>
          <w:rFonts w:asciiTheme="minorBidi" w:hAnsiTheme="minorBidi" w:cstheme="minorBidi"/>
          <w:lang w:val="en-US"/>
        </w:rPr>
        <w:t>Nat. Res. Def. Council, Inc. v. Morton, 337 F. Supp. 167, 168 (D.D.C. 1971)</w:t>
      </w:r>
    </w:p>
    <w:p w14:paraId="2C6C78FE" w14:textId="512E781A" w:rsidR="007C3A33" w:rsidRPr="00754146" w:rsidRDefault="003777ED" w:rsidP="00754146">
      <w:pPr>
        <w:pStyle w:val="ListParagraph"/>
        <w:numPr>
          <w:ilvl w:val="0"/>
          <w:numId w:val="6"/>
        </w:numPr>
        <w:jc w:val="both"/>
        <w:rPr>
          <w:rFonts w:asciiTheme="minorBidi" w:hAnsiTheme="minorBidi" w:cstheme="minorBidi"/>
          <w:lang w:val="en-US"/>
        </w:rPr>
      </w:pPr>
      <w:r w:rsidRPr="00754146">
        <w:rPr>
          <w:rFonts w:asciiTheme="minorBidi" w:hAnsiTheme="minorBidi" w:cstheme="minorBidi"/>
          <w:lang w:val="en-US"/>
        </w:rPr>
        <w:t>Bass v. Richardson, 338 F. Supp. 478, 491 (S.D.N.Y. 1971)</w:t>
      </w:r>
      <w:r w:rsidR="00BE63D2" w:rsidRPr="00754146">
        <w:rPr>
          <w:rFonts w:asciiTheme="minorBidi" w:hAnsiTheme="minorBidi" w:cstheme="minorBidi"/>
          <w:lang w:val="en-US"/>
        </w:rPr>
        <w:t xml:space="preserve"> </w:t>
      </w:r>
    </w:p>
    <w:sectPr w:rsidR="007C3A33" w:rsidRPr="00754146" w:rsidSect="00441EE0">
      <w:pgSz w:w="11909" w:h="16834"/>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8E59" w14:textId="77777777" w:rsidR="00CC4B77" w:rsidRDefault="00CC4B77" w:rsidP="007E0151">
      <w:pPr>
        <w:spacing w:line="240" w:lineRule="auto"/>
      </w:pPr>
      <w:r>
        <w:separator/>
      </w:r>
    </w:p>
  </w:endnote>
  <w:endnote w:type="continuationSeparator" w:id="0">
    <w:p w14:paraId="535BBA60" w14:textId="77777777" w:rsidR="00CC4B77" w:rsidRDefault="00CC4B77" w:rsidP="007E0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FB6E" w14:textId="77777777" w:rsidR="00CC4B77" w:rsidRDefault="00CC4B77" w:rsidP="007E0151">
      <w:pPr>
        <w:spacing w:line="240" w:lineRule="auto"/>
      </w:pPr>
      <w:r>
        <w:separator/>
      </w:r>
    </w:p>
  </w:footnote>
  <w:footnote w:type="continuationSeparator" w:id="0">
    <w:p w14:paraId="425A5F2A" w14:textId="77777777" w:rsidR="00CC4B77" w:rsidRDefault="00CC4B77" w:rsidP="007E01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056"/>
    <w:multiLevelType w:val="hybridMultilevel"/>
    <w:tmpl w:val="2158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F7463"/>
    <w:multiLevelType w:val="hybridMultilevel"/>
    <w:tmpl w:val="9902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165AF"/>
    <w:multiLevelType w:val="hybridMultilevel"/>
    <w:tmpl w:val="7FC0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F7A7D"/>
    <w:multiLevelType w:val="hybridMultilevel"/>
    <w:tmpl w:val="B986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70B79"/>
    <w:multiLevelType w:val="hybridMultilevel"/>
    <w:tmpl w:val="EF40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EC6E6E"/>
    <w:multiLevelType w:val="hybridMultilevel"/>
    <w:tmpl w:val="A05C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264980">
    <w:abstractNumId w:val="2"/>
  </w:num>
  <w:num w:numId="2" w16cid:durableId="765155910">
    <w:abstractNumId w:val="0"/>
  </w:num>
  <w:num w:numId="3" w16cid:durableId="1832334922">
    <w:abstractNumId w:val="5"/>
  </w:num>
  <w:num w:numId="4" w16cid:durableId="2070496141">
    <w:abstractNumId w:val="4"/>
  </w:num>
  <w:num w:numId="5" w16cid:durableId="1210220139">
    <w:abstractNumId w:val="3"/>
  </w:num>
  <w:num w:numId="6" w16cid:durableId="380441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D1"/>
    <w:rsid w:val="00000005"/>
    <w:rsid w:val="00000541"/>
    <w:rsid w:val="00001F43"/>
    <w:rsid w:val="00003293"/>
    <w:rsid w:val="00004B20"/>
    <w:rsid w:val="0000534B"/>
    <w:rsid w:val="0001107A"/>
    <w:rsid w:val="00015E41"/>
    <w:rsid w:val="00020F34"/>
    <w:rsid w:val="00025569"/>
    <w:rsid w:val="00026C5C"/>
    <w:rsid w:val="00027175"/>
    <w:rsid w:val="000308FE"/>
    <w:rsid w:val="00031A00"/>
    <w:rsid w:val="00031DEA"/>
    <w:rsid w:val="0003384B"/>
    <w:rsid w:val="00033B4F"/>
    <w:rsid w:val="000353BE"/>
    <w:rsid w:val="000411EB"/>
    <w:rsid w:val="000423CA"/>
    <w:rsid w:val="000503EB"/>
    <w:rsid w:val="00050732"/>
    <w:rsid w:val="00051F47"/>
    <w:rsid w:val="000608BF"/>
    <w:rsid w:val="00060FBB"/>
    <w:rsid w:val="00061D99"/>
    <w:rsid w:val="000641CD"/>
    <w:rsid w:val="00070A3D"/>
    <w:rsid w:val="0007180E"/>
    <w:rsid w:val="00074376"/>
    <w:rsid w:val="00075534"/>
    <w:rsid w:val="00075E7E"/>
    <w:rsid w:val="00081B7F"/>
    <w:rsid w:val="000834FB"/>
    <w:rsid w:val="000843F2"/>
    <w:rsid w:val="00084FF9"/>
    <w:rsid w:val="00090364"/>
    <w:rsid w:val="00090E8E"/>
    <w:rsid w:val="00093E94"/>
    <w:rsid w:val="000941BC"/>
    <w:rsid w:val="000941F6"/>
    <w:rsid w:val="0009505F"/>
    <w:rsid w:val="00096A0F"/>
    <w:rsid w:val="00097AC2"/>
    <w:rsid w:val="00097D48"/>
    <w:rsid w:val="00097D9F"/>
    <w:rsid w:val="000A04B9"/>
    <w:rsid w:val="000A116A"/>
    <w:rsid w:val="000A5118"/>
    <w:rsid w:val="000A70AB"/>
    <w:rsid w:val="000A7FFB"/>
    <w:rsid w:val="000B290D"/>
    <w:rsid w:val="000B3880"/>
    <w:rsid w:val="000B38ED"/>
    <w:rsid w:val="000B3BE3"/>
    <w:rsid w:val="000B3E56"/>
    <w:rsid w:val="000C0791"/>
    <w:rsid w:val="000C1303"/>
    <w:rsid w:val="000C2BF6"/>
    <w:rsid w:val="000C3C74"/>
    <w:rsid w:val="000C448C"/>
    <w:rsid w:val="000C509E"/>
    <w:rsid w:val="000C562A"/>
    <w:rsid w:val="000C565D"/>
    <w:rsid w:val="000D03CA"/>
    <w:rsid w:val="000D0A4A"/>
    <w:rsid w:val="000D161F"/>
    <w:rsid w:val="000D34FF"/>
    <w:rsid w:val="000D5144"/>
    <w:rsid w:val="000D517F"/>
    <w:rsid w:val="000E46F6"/>
    <w:rsid w:val="000E48D7"/>
    <w:rsid w:val="000E765D"/>
    <w:rsid w:val="000E7B3F"/>
    <w:rsid w:val="000F4719"/>
    <w:rsid w:val="00101877"/>
    <w:rsid w:val="00102648"/>
    <w:rsid w:val="00103B91"/>
    <w:rsid w:val="00105FE9"/>
    <w:rsid w:val="00110072"/>
    <w:rsid w:val="001118E7"/>
    <w:rsid w:val="0011305A"/>
    <w:rsid w:val="00113773"/>
    <w:rsid w:val="001201B1"/>
    <w:rsid w:val="00121CA0"/>
    <w:rsid w:val="001223AB"/>
    <w:rsid w:val="00123A6A"/>
    <w:rsid w:val="00123EF2"/>
    <w:rsid w:val="00132190"/>
    <w:rsid w:val="001354BA"/>
    <w:rsid w:val="00135F42"/>
    <w:rsid w:val="00140E61"/>
    <w:rsid w:val="00141EDD"/>
    <w:rsid w:val="001447E6"/>
    <w:rsid w:val="00144A19"/>
    <w:rsid w:val="00144BD7"/>
    <w:rsid w:val="00147460"/>
    <w:rsid w:val="001478AC"/>
    <w:rsid w:val="001500B2"/>
    <w:rsid w:val="001502CC"/>
    <w:rsid w:val="00150B8B"/>
    <w:rsid w:val="00150D35"/>
    <w:rsid w:val="00153763"/>
    <w:rsid w:val="0015771E"/>
    <w:rsid w:val="00160761"/>
    <w:rsid w:val="001646BB"/>
    <w:rsid w:val="00166264"/>
    <w:rsid w:val="00166DDF"/>
    <w:rsid w:val="0017537B"/>
    <w:rsid w:val="00181842"/>
    <w:rsid w:val="0018419A"/>
    <w:rsid w:val="00184D45"/>
    <w:rsid w:val="00186AFE"/>
    <w:rsid w:val="00186BD5"/>
    <w:rsid w:val="00187078"/>
    <w:rsid w:val="00187C8D"/>
    <w:rsid w:val="00193033"/>
    <w:rsid w:val="00193C45"/>
    <w:rsid w:val="00195794"/>
    <w:rsid w:val="0019692E"/>
    <w:rsid w:val="001974FB"/>
    <w:rsid w:val="00197E35"/>
    <w:rsid w:val="001A064A"/>
    <w:rsid w:val="001A06A2"/>
    <w:rsid w:val="001A1365"/>
    <w:rsid w:val="001A2978"/>
    <w:rsid w:val="001A3B20"/>
    <w:rsid w:val="001B0B9C"/>
    <w:rsid w:val="001B1480"/>
    <w:rsid w:val="001B29A9"/>
    <w:rsid w:val="001B3C1E"/>
    <w:rsid w:val="001B5E80"/>
    <w:rsid w:val="001C317D"/>
    <w:rsid w:val="001D1A54"/>
    <w:rsid w:val="001D4084"/>
    <w:rsid w:val="001D4EE0"/>
    <w:rsid w:val="001D5A31"/>
    <w:rsid w:val="001E2B3D"/>
    <w:rsid w:val="001E2CD5"/>
    <w:rsid w:val="001E2DD1"/>
    <w:rsid w:val="001E3686"/>
    <w:rsid w:val="001E54C8"/>
    <w:rsid w:val="001E5912"/>
    <w:rsid w:val="001E66ED"/>
    <w:rsid w:val="001F0EB1"/>
    <w:rsid w:val="001F2844"/>
    <w:rsid w:val="001F2A49"/>
    <w:rsid w:val="001F3169"/>
    <w:rsid w:val="001F3F0C"/>
    <w:rsid w:val="001F447D"/>
    <w:rsid w:val="001F4CD5"/>
    <w:rsid w:val="001F54F8"/>
    <w:rsid w:val="001F6D48"/>
    <w:rsid w:val="001F74B6"/>
    <w:rsid w:val="00204D94"/>
    <w:rsid w:val="00207ADA"/>
    <w:rsid w:val="002111BE"/>
    <w:rsid w:val="002123A3"/>
    <w:rsid w:val="00212CCB"/>
    <w:rsid w:val="002139BA"/>
    <w:rsid w:val="00214208"/>
    <w:rsid w:val="00214848"/>
    <w:rsid w:val="002210F6"/>
    <w:rsid w:val="00227707"/>
    <w:rsid w:val="00230F1F"/>
    <w:rsid w:val="002313D6"/>
    <w:rsid w:val="0023352F"/>
    <w:rsid w:val="00236354"/>
    <w:rsid w:val="00240C40"/>
    <w:rsid w:val="002444A3"/>
    <w:rsid w:val="002477A7"/>
    <w:rsid w:val="002507F7"/>
    <w:rsid w:val="00251917"/>
    <w:rsid w:val="00252697"/>
    <w:rsid w:val="00254D1A"/>
    <w:rsid w:val="002625C9"/>
    <w:rsid w:val="00262776"/>
    <w:rsid w:val="00264CBB"/>
    <w:rsid w:val="00265F70"/>
    <w:rsid w:val="0026635F"/>
    <w:rsid w:val="002715D8"/>
    <w:rsid w:val="0027176D"/>
    <w:rsid w:val="00273FC2"/>
    <w:rsid w:val="002744BC"/>
    <w:rsid w:val="00274CF6"/>
    <w:rsid w:val="00280134"/>
    <w:rsid w:val="00280754"/>
    <w:rsid w:val="00281B9C"/>
    <w:rsid w:val="00284B5A"/>
    <w:rsid w:val="00290CDB"/>
    <w:rsid w:val="0029482C"/>
    <w:rsid w:val="00295605"/>
    <w:rsid w:val="002A124D"/>
    <w:rsid w:val="002A2CAF"/>
    <w:rsid w:val="002A368D"/>
    <w:rsid w:val="002A46A4"/>
    <w:rsid w:val="002A4C58"/>
    <w:rsid w:val="002A5E09"/>
    <w:rsid w:val="002A6044"/>
    <w:rsid w:val="002A6CB6"/>
    <w:rsid w:val="002A7875"/>
    <w:rsid w:val="002B091D"/>
    <w:rsid w:val="002B16E0"/>
    <w:rsid w:val="002B1F9B"/>
    <w:rsid w:val="002B752D"/>
    <w:rsid w:val="002B7E1D"/>
    <w:rsid w:val="002C0DFD"/>
    <w:rsid w:val="002C0F7D"/>
    <w:rsid w:val="002C45A3"/>
    <w:rsid w:val="002C5196"/>
    <w:rsid w:val="002C6D79"/>
    <w:rsid w:val="002D3A91"/>
    <w:rsid w:val="002E0C5D"/>
    <w:rsid w:val="002E20E0"/>
    <w:rsid w:val="002E6515"/>
    <w:rsid w:val="002F33E0"/>
    <w:rsid w:val="002F67A9"/>
    <w:rsid w:val="002F6BE7"/>
    <w:rsid w:val="002F6DDE"/>
    <w:rsid w:val="002F7879"/>
    <w:rsid w:val="00300F74"/>
    <w:rsid w:val="00301F70"/>
    <w:rsid w:val="00303E57"/>
    <w:rsid w:val="0030550E"/>
    <w:rsid w:val="00305AD1"/>
    <w:rsid w:val="003105D1"/>
    <w:rsid w:val="00311544"/>
    <w:rsid w:val="003151D2"/>
    <w:rsid w:val="00317871"/>
    <w:rsid w:val="00317BD2"/>
    <w:rsid w:val="00320D99"/>
    <w:rsid w:val="0032128E"/>
    <w:rsid w:val="003237E2"/>
    <w:rsid w:val="003256A7"/>
    <w:rsid w:val="00326F30"/>
    <w:rsid w:val="00326F7C"/>
    <w:rsid w:val="003272C3"/>
    <w:rsid w:val="003274E5"/>
    <w:rsid w:val="00330389"/>
    <w:rsid w:val="0033401A"/>
    <w:rsid w:val="00334915"/>
    <w:rsid w:val="00335983"/>
    <w:rsid w:val="0034059D"/>
    <w:rsid w:val="00342509"/>
    <w:rsid w:val="00342608"/>
    <w:rsid w:val="003438A6"/>
    <w:rsid w:val="00350A1A"/>
    <w:rsid w:val="00354DE9"/>
    <w:rsid w:val="00355563"/>
    <w:rsid w:val="003578F7"/>
    <w:rsid w:val="003647A1"/>
    <w:rsid w:val="00367903"/>
    <w:rsid w:val="0037010E"/>
    <w:rsid w:val="0037214F"/>
    <w:rsid w:val="00372BC6"/>
    <w:rsid w:val="0037596B"/>
    <w:rsid w:val="003760A9"/>
    <w:rsid w:val="003777ED"/>
    <w:rsid w:val="003802A9"/>
    <w:rsid w:val="00380F2B"/>
    <w:rsid w:val="00381860"/>
    <w:rsid w:val="00383BEE"/>
    <w:rsid w:val="003850A9"/>
    <w:rsid w:val="00385834"/>
    <w:rsid w:val="00390D5F"/>
    <w:rsid w:val="00390F6D"/>
    <w:rsid w:val="00391A2A"/>
    <w:rsid w:val="00392DBE"/>
    <w:rsid w:val="00394896"/>
    <w:rsid w:val="00395158"/>
    <w:rsid w:val="00395E56"/>
    <w:rsid w:val="00396933"/>
    <w:rsid w:val="00396BF7"/>
    <w:rsid w:val="003A156B"/>
    <w:rsid w:val="003A193F"/>
    <w:rsid w:val="003A1DB2"/>
    <w:rsid w:val="003A2026"/>
    <w:rsid w:val="003A2DDD"/>
    <w:rsid w:val="003A63F2"/>
    <w:rsid w:val="003A6EDB"/>
    <w:rsid w:val="003A78A8"/>
    <w:rsid w:val="003B0956"/>
    <w:rsid w:val="003B2DB7"/>
    <w:rsid w:val="003B3AF3"/>
    <w:rsid w:val="003C2466"/>
    <w:rsid w:val="003C2959"/>
    <w:rsid w:val="003C3124"/>
    <w:rsid w:val="003C4B5B"/>
    <w:rsid w:val="003C78C8"/>
    <w:rsid w:val="003D31B8"/>
    <w:rsid w:val="003E0BDC"/>
    <w:rsid w:val="003E4ED6"/>
    <w:rsid w:val="003F41FE"/>
    <w:rsid w:val="0040437B"/>
    <w:rsid w:val="00404A16"/>
    <w:rsid w:val="00406AD4"/>
    <w:rsid w:val="00406CA9"/>
    <w:rsid w:val="00407346"/>
    <w:rsid w:val="00410CE8"/>
    <w:rsid w:val="0041158F"/>
    <w:rsid w:val="00411AA1"/>
    <w:rsid w:val="004122A1"/>
    <w:rsid w:val="0041380C"/>
    <w:rsid w:val="004141FD"/>
    <w:rsid w:val="004156C7"/>
    <w:rsid w:val="00417DB9"/>
    <w:rsid w:val="00417F04"/>
    <w:rsid w:val="00424361"/>
    <w:rsid w:val="00424B16"/>
    <w:rsid w:val="00426A4B"/>
    <w:rsid w:val="00432283"/>
    <w:rsid w:val="00432DB0"/>
    <w:rsid w:val="00432E1F"/>
    <w:rsid w:val="0043622B"/>
    <w:rsid w:val="00440D76"/>
    <w:rsid w:val="00441EE0"/>
    <w:rsid w:val="00441F42"/>
    <w:rsid w:val="0044228E"/>
    <w:rsid w:val="00444E67"/>
    <w:rsid w:val="00447BED"/>
    <w:rsid w:val="00451FF2"/>
    <w:rsid w:val="00452642"/>
    <w:rsid w:val="00453368"/>
    <w:rsid w:val="00453560"/>
    <w:rsid w:val="004539AD"/>
    <w:rsid w:val="004561F4"/>
    <w:rsid w:val="00456EB9"/>
    <w:rsid w:val="0046025D"/>
    <w:rsid w:val="00466D5F"/>
    <w:rsid w:val="00466ED6"/>
    <w:rsid w:val="00470FC6"/>
    <w:rsid w:val="004713C1"/>
    <w:rsid w:val="0047350D"/>
    <w:rsid w:val="00473A60"/>
    <w:rsid w:val="00474153"/>
    <w:rsid w:val="00480220"/>
    <w:rsid w:val="00482A9C"/>
    <w:rsid w:val="00484137"/>
    <w:rsid w:val="00484FE1"/>
    <w:rsid w:val="0049160A"/>
    <w:rsid w:val="00494B31"/>
    <w:rsid w:val="0049593F"/>
    <w:rsid w:val="004A2196"/>
    <w:rsid w:val="004A277C"/>
    <w:rsid w:val="004A3727"/>
    <w:rsid w:val="004A4C47"/>
    <w:rsid w:val="004A579E"/>
    <w:rsid w:val="004A6BC2"/>
    <w:rsid w:val="004B271B"/>
    <w:rsid w:val="004B2BC7"/>
    <w:rsid w:val="004B3F61"/>
    <w:rsid w:val="004B6C26"/>
    <w:rsid w:val="004C3EB9"/>
    <w:rsid w:val="004C436F"/>
    <w:rsid w:val="004C73DE"/>
    <w:rsid w:val="004C7D52"/>
    <w:rsid w:val="004D171D"/>
    <w:rsid w:val="004E070B"/>
    <w:rsid w:val="004E48DF"/>
    <w:rsid w:val="004E622B"/>
    <w:rsid w:val="004E70C0"/>
    <w:rsid w:val="004E74C6"/>
    <w:rsid w:val="004F2684"/>
    <w:rsid w:val="004F3667"/>
    <w:rsid w:val="004F3DE9"/>
    <w:rsid w:val="004F59AB"/>
    <w:rsid w:val="004F5C5D"/>
    <w:rsid w:val="0050157E"/>
    <w:rsid w:val="0050457B"/>
    <w:rsid w:val="00505B60"/>
    <w:rsid w:val="00507E70"/>
    <w:rsid w:val="00510C16"/>
    <w:rsid w:val="0051301A"/>
    <w:rsid w:val="00514EEE"/>
    <w:rsid w:val="005169AE"/>
    <w:rsid w:val="00520CAF"/>
    <w:rsid w:val="00522A4E"/>
    <w:rsid w:val="00522BB4"/>
    <w:rsid w:val="00525AFA"/>
    <w:rsid w:val="005279B3"/>
    <w:rsid w:val="00527C93"/>
    <w:rsid w:val="005333C2"/>
    <w:rsid w:val="0053408E"/>
    <w:rsid w:val="00534A2D"/>
    <w:rsid w:val="00535F17"/>
    <w:rsid w:val="00541786"/>
    <w:rsid w:val="00541E4C"/>
    <w:rsid w:val="00543050"/>
    <w:rsid w:val="005457E2"/>
    <w:rsid w:val="00551E14"/>
    <w:rsid w:val="00555151"/>
    <w:rsid w:val="00555ED5"/>
    <w:rsid w:val="00556930"/>
    <w:rsid w:val="00557935"/>
    <w:rsid w:val="005607CE"/>
    <w:rsid w:val="00560D95"/>
    <w:rsid w:val="005611DC"/>
    <w:rsid w:val="00565094"/>
    <w:rsid w:val="00566D60"/>
    <w:rsid w:val="00570610"/>
    <w:rsid w:val="0057246E"/>
    <w:rsid w:val="00572757"/>
    <w:rsid w:val="00572E3F"/>
    <w:rsid w:val="0057539A"/>
    <w:rsid w:val="005779F7"/>
    <w:rsid w:val="00577CFC"/>
    <w:rsid w:val="0058086A"/>
    <w:rsid w:val="005813FD"/>
    <w:rsid w:val="00582D0F"/>
    <w:rsid w:val="0058404B"/>
    <w:rsid w:val="005852E7"/>
    <w:rsid w:val="00585EEE"/>
    <w:rsid w:val="00587DE4"/>
    <w:rsid w:val="00591FFA"/>
    <w:rsid w:val="00592482"/>
    <w:rsid w:val="00594A5B"/>
    <w:rsid w:val="00594FDA"/>
    <w:rsid w:val="005952E9"/>
    <w:rsid w:val="005A136C"/>
    <w:rsid w:val="005A30E5"/>
    <w:rsid w:val="005A530A"/>
    <w:rsid w:val="005A6795"/>
    <w:rsid w:val="005B1077"/>
    <w:rsid w:val="005B16A6"/>
    <w:rsid w:val="005B1F9C"/>
    <w:rsid w:val="005B2E30"/>
    <w:rsid w:val="005B303E"/>
    <w:rsid w:val="005B5847"/>
    <w:rsid w:val="005B7FAC"/>
    <w:rsid w:val="005C105C"/>
    <w:rsid w:val="005C2679"/>
    <w:rsid w:val="005C374B"/>
    <w:rsid w:val="005C4441"/>
    <w:rsid w:val="005D0CA9"/>
    <w:rsid w:val="005D0D4C"/>
    <w:rsid w:val="005D19D2"/>
    <w:rsid w:val="005D26A1"/>
    <w:rsid w:val="005D307E"/>
    <w:rsid w:val="005D4E90"/>
    <w:rsid w:val="005D6132"/>
    <w:rsid w:val="005D62F7"/>
    <w:rsid w:val="005D74C2"/>
    <w:rsid w:val="005D79EF"/>
    <w:rsid w:val="005E03D9"/>
    <w:rsid w:val="005E5F04"/>
    <w:rsid w:val="005E7C2C"/>
    <w:rsid w:val="005F158D"/>
    <w:rsid w:val="005F2492"/>
    <w:rsid w:val="005F41A0"/>
    <w:rsid w:val="005F6D86"/>
    <w:rsid w:val="00601E46"/>
    <w:rsid w:val="006062B8"/>
    <w:rsid w:val="00607DC4"/>
    <w:rsid w:val="00612002"/>
    <w:rsid w:val="00613E2A"/>
    <w:rsid w:val="006168BC"/>
    <w:rsid w:val="00620B08"/>
    <w:rsid w:val="00622D2B"/>
    <w:rsid w:val="006235DB"/>
    <w:rsid w:val="0062360B"/>
    <w:rsid w:val="00623C31"/>
    <w:rsid w:val="00624F36"/>
    <w:rsid w:val="00625A5B"/>
    <w:rsid w:val="00626346"/>
    <w:rsid w:val="006307D3"/>
    <w:rsid w:val="00630F2B"/>
    <w:rsid w:val="006312C6"/>
    <w:rsid w:val="00631D21"/>
    <w:rsid w:val="00631FDC"/>
    <w:rsid w:val="006354AA"/>
    <w:rsid w:val="00635AD5"/>
    <w:rsid w:val="006377C4"/>
    <w:rsid w:val="00640366"/>
    <w:rsid w:val="0064128D"/>
    <w:rsid w:val="00646E3E"/>
    <w:rsid w:val="006504AD"/>
    <w:rsid w:val="006507AE"/>
    <w:rsid w:val="00660ECC"/>
    <w:rsid w:val="006632DB"/>
    <w:rsid w:val="0066765C"/>
    <w:rsid w:val="00672409"/>
    <w:rsid w:val="00673D55"/>
    <w:rsid w:val="00673E18"/>
    <w:rsid w:val="00674E23"/>
    <w:rsid w:val="00684280"/>
    <w:rsid w:val="00684507"/>
    <w:rsid w:val="00686ECB"/>
    <w:rsid w:val="00690CDF"/>
    <w:rsid w:val="00691491"/>
    <w:rsid w:val="00691A2C"/>
    <w:rsid w:val="00697CAB"/>
    <w:rsid w:val="006A2695"/>
    <w:rsid w:val="006A36DC"/>
    <w:rsid w:val="006A7DCB"/>
    <w:rsid w:val="006B186F"/>
    <w:rsid w:val="006B3AB4"/>
    <w:rsid w:val="006B6B48"/>
    <w:rsid w:val="006C21DF"/>
    <w:rsid w:val="006C2E9F"/>
    <w:rsid w:val="006C5DEE"/>
    <w:rsid w:val="006C5E5E"/>
    <w:rsid w:val="006C6201"/>
    <w:rsid w:val="006C6E51"/>
    <w:rsid w:val="006D1040"/>
    <w:rsid w:val="006D4234"/>
    <w:rsid w:val="006D5CA5"/>
    <w:rsid w:val="006D728D"/>
    <w:rsid w:val="006D76D0"/>
    <w:rsid w:val="006E17A7"/>
    <w:rsid w:val="006E219E"/>
    <w:rsid w:val="006E33B0"/>
    <w:rsid w:val="006E3C91"/>
    <w:rsid w:val="006E3E64"/>
    <w:rsid w:val="006E43F6"/>
    <w:rsid w:val="006E58E8"/>
    <w:rsid w:val="006E6E84"/>
    <w:rsid w:val="006E70E8"/>
    <w:rsid w:val="006E7A29"/>
    <w:rsid w:val="006F1A6D"/>
    <w:rsid w:val="006F1F7A"/>
    <w:rsid w:val="006F3288"/>
    <w:rsid w:val="006F44CB"/>
    <w:rsid w:val="006F6CEB"/>
    <w:rsid w:val="006F6E2E"/>
    <w:rsid w:val="0071387E"/>
    <w:rsid w:val="00713E3A"/>
    <w:rsid w:val="007175A1"/>
    <w:rsid w:val="00720F0B"/>
    <w:rsid w:val="00724680"/>
    <w:rsid w:val="00731AE8"/>
    <w:rsid w:val="007359A9"/>
    <w:rsid w:val="007375E3"/>
    <w:rsid w:val="007378C0"/>
    <w:rsid w:val="0074071E"/>
    <w:rsid w:val="00741D4D"/>
    <w:rsid w:val="00743BFF"/>
    <w:rsid w:val="007459DE"/>
    <w:rsid w:val="00747012"/>
    <w:rsid w:val="00747174"/>
    <w:rsid w:val="00751771"/>
    <w:rsid w:val="007521B6"/>
    <w:rsid w:val="00753064"/>
    <w:rsid w:val="00753425"/>
    <w:rsid w:val="00754146"/>
    <w:rsid w:val="00754218"/>
    <w:rsid w:val="00756B0D"/>
    <w:rsid w:val="007608EA"/>
    <w:rsid w:val="00763677"/>
    <w:rsid w:val="00770E83"/>
    <w:rsid w:val="00771993"/>
    <w:rsid w:val="00772A5B"/>
    <w:rsid w:val="00773123"/>
    <w:rsid w:val="007742BF"/>
    <w:rsid w:val="00776B0A"/>
    <w:rsid w:val="00780733"/>
    <w:rsid w:val="007810AD"/>
    <w:rsid w:val="0078302F"/>
    <w:rsid w:val="00786809"/>
    <w:rsid w:val="007939D7"/>
    <w:rsid w:val="0079538F"/>
    <w:rsid w:val="007964C0"/>
    <w:rsid w:val="00797D43"/>
    <w:rsid w:val="007A315F"/>
    <w:rsid w:val="007A3AFF"/>
    <w:rsid w:val="007A462F"/>
    <w:rsid w:val="007B5605"/>
    <w:rsid w:val="007C1283"/>
    <w:rsid w:val="007C3182"/>
    <w:rsid w:val="007C34B3"/>
    <w:rsid w:val="007C3A33"/>
    <w:rsid w:val="007C5809"/>
    <w:rsid w:val="007C6270"/>
    <w:rsid w:val="007C6F33"/>
    <w:rsid w:val="007D08AC"/>
    <w:rsid w:val="007D4F32"/>
    <w:rsid w:val="007D5C00"/>
    <w:rsid w:val="007D77FC"/>
    <w:rsid w:val="007E0151"/>
    <w:rsid w:val="007E0EE6"/>
    <w:rsid w:val="007E19DD"/>
    <w:rsid w:val="007E3B89"/>
    <w:rsid w:val="007E3DE1"/>
    <w:rsid w:val="007E7689"/>
    <w:rsid w:val="007F03B4"/>
    <w:rsid w:val="007F329A"/>
    <w:rsid w:val="007F54A2"/>
    <w:rsid w:val="007F6100"/>
    <w:rsid w:val="0080035C"/>
    <w:rsid w:val="00801950"/>
    <w:rsid w:val="00802067"/>
    <w:rsid w:val="0080265C"/>
    <w:rsid w:val="008026C0"/>
    <w:rsid w:val="00803E1D"/>
    <w:rsid w:val="0080482E"/>
    <w:rsid w:val="0080632F"/>
    <w:rsid w:val="00806936"/>
    <w:rsid w:val="00806AF4"/>
    <w:rsid w:val="00806BFE"/>
    <w:rsid w:val="00813D2E"/>
    <w:rsid w:val="00815B6C"/>
    <w:rsid w:val="00816C58"/>
    <w:rsid w:val="00821613"/>
    <w:rsid w:val="008232A8"/>
    <w:rsid w:val="00823530"/>
    <w:rsid w:val="008236CB"/>
    <w:rsid w:val="00826626"/>
    <w:rsid w:val="0082785E"/>
    <w:rsid w:val="00831F83"/>
    <w:rsid w:val="0083439C"/>
    <w:rsid w:val="00834CAC"/>
    <w:rsid w:val="00836CA4"/>
    <w:rsid w:val="00837BB5"/>
    <w:rsid w:val="00840B55"/>
    <w:rsid w:val="00841D75"/>
    <w:rsid w:val="008518D0"/>
    <w:rsid w:val="00852726"/>
    <w:rsid w:val="00853662"/>
    <w:rsid w:val="00854329"/>
    <w:rsid w:val="00854638"/>
    <w:rsid w:val="00854D93"/>
    <w:rsid w:val="00860D00"/>
    <w:rsid w:val="00861310"/>
    <w:rsid w:val="00861396"/>
    <w:rsid w:val="00863D23"/>
    <w:rsid w:val="00866C49"/>
    <w:rsid w:val="00867C21"/>
    <w:rsid w:val="008718CB"/>
    <w:rsid w:val="00871F8D"/>
    <w:rsid w:val="00877774"/>
    <w:rsid w:val="00883EDB"/>
    <w:rsid w:val="00884697"/>
    <w:rsid w:val="00884B4A"/>
    <w:rsid w:val="00892B77"/>
    <w:rsid w:val="00892C6E"/>
    <w:rsid w:val="00893223"/>
    <w:rsid w:val="00893CFA"/>
    <w:rsid w:val="00896E18"/>
    <w:rsid w:val="00897438"/>
    <w:rsid w:val="008A234B"/>
    <w:rsid w:val="008A2886"/>
    <w:rsid w:val="008A2F79"/>
    <w:rsid w:val="008A35C5"/>
    <w:rsid w:val="008A7BE8"/>
    <w:rsid w:val="008B2D08"/>
    <w:rsid w:val="008B2E2A"/>
    <w:rsid w:val="008B3CF1"/>
    <w:rsid w:val="008B57AF"/>
    <w:rsid w:val="008C095E"/>
    <w:rsid w:val="008C5A65"/>
    <w:rsid w:val="008C63D2"/>
    <w:rsid w:val="008D0E3E"/>
    <w:rsid w:val="008D1FBF"/>
    <w:rsid w:val="008D547A"/>
    <w:rsid w:val="008E031C"/>
    <w:rsid w:val="008F1033"/>
    <w:rsid w:val="008F2F55"/>
    <w:rsid w:val="008F466F"/>
    <w:rsid w:val="008F4C7E"/>
    <w:rsid w:val="008F6B7C"/>
    <w:rsid w:val="008F7588"/>
    <w:rsid w:val="008F769E"/>
    <w:rsid w:val="008F7BBF"/>
    <w:rsid w:val="009000F5"/>
    <w:rsid w:val="009028D3"/>
    <w:rsid w:val="00902DAF"/>
    <w:rsid w:val="009051ED"/>
    <w:rsid w:val="00905549"/>
    <w:rsid w:val="00906835"/>
    <w:rsid w:val="00910499"/>
    <w:rsid w:val="00912429"/>
    <w:rsid w:val="0091257F"/>
    <w:rsid w:val="009132EE"/>
    <w:rsid w:val="009163A7"/>
    <w:rsid w:val="00920AD4"/>
    <w:rsid w:val="00921124"/>
    <w:rsid w:val="00930A8F"/>
    <w:rsid w:val="00930F89"/>
    <w:rsid w:val="00932119"/>
    <w:rsid w:val="009340B2"/>
    <w:rsid w:val="009346D2"/>
    <w:rsid w:val="00934EFF"/>
    <w:rsid w:val="009353EB"/>
    <w:rsid w:val="009377C4"/>
    <w:rsid w:val="0094251E"/>
    <w:rsid w:val="00942B20"/>
    <w:rsid w:val="00943AFD"/>
    <w:rsid w:val="0094584B"/>
    <w:rsid w:val="009462E9"/>
    <w:rsid w:val="00952E1D"/>
    <w:rsid w:val="00956A90"/>
    <w:rsid w:val="00956FE8"/>
    <w:rsid w:val="00960519"/>
    <w:rsid w:val="00960917"/>
    <w:rsid w:val="00962467"/>
    <w:rsid w:val="0096267F"/>
    <w:rsid w:val="00964E9D"/>
    <w:rsid w:val="009657C5"/>
    <w:rsid w:val="00966B98"/>
    <w:rsid w:val="00967D26"/>
    <w:rsid w:val="009704F7"/>
    <w:rsid w:val="009725DE"/>
    <w:rsid w:val="009757BA"/>
    <w:rsid w:val="0097598F"/>
    <w:rsid w:val="009759B9"/>
    <w:rsid w:val="009772E3"/>
    <w:rsid w:val="00977B8E"/>
    <w:rsid w:val="00980479"/>
    <w:rsid w:val="00981DC5"/>
    <w:rsid w:val="00983D36"/>
    <w:rsid w:val="0098481F"/>
    <w:rsid w:val="00986D46"/>
    <w:rsid w:val="009960F4"/>
    <w:rsid w:val="00997629"/>
    <w:rsid w:val="009978E8"/>
    <w:rsid w:val="009A104C"/>
    <w:rsid w:val="009A1C71"/>
    <w:rsid w:val="009A2EB6"/>
    <w:rsid w:val="009A3876"/>
    <w:rsid w:val="009A3CD5"/>
    <w:rsid w:val="009A4B38"/>
    <w:rsid w:val="009A6F2F"/>
    <w:rsid w:val="009A79CB"/>
    <w:rsid w:val="009B06F2"/>
    <w:rsid w:val="009B2BEA"/>
    <w:rsid w:val="009B4FA1"/>
    <w:rsid w:val="009B6D74"/>
    <w:rsid w:val="009B73F6"/>
    <w:rsid w:val="009C296A"/>
    <w:rsid w:val="009C2BD8"/>
    <w:rsid w:val="009C41EA"/>
    <w:rsid w:val="009C5AB0"/>
    <w:rsid w:val="009D0788"/>
    <w:rsid w:val="009D13AC"/>
    <w:rsid w:val="009D51E9"/>
    <w:rsid w:val="009E1C5B"/>
    <w:rsid w:val="009E6B0E"/>
    <w:rsid w:val="009E7EAC"/>
    <w:rsid w:val="009F7B30"/>
    <w:rsid w:val="00A00FF3"/>
    <w:rsid w:val="00A11B50"/>
    <w:rsid w:val="00A140EE"/>
    <w:rsid w:val="00A1651E"/>
    <w:rsid w:val="00A21A6F"/>
    <w:rsid w:val="00A21E3C"/>
    <w:rsid w:val="00A22C84"/>
    <w:rsid w:val="00A3363D"/>
    <w:rsid w:val="00A3742D"/>
    <w:rsid w:val="00A37443"/>
    <w:rsid w:val="00A45E0E"/>
    <w:rsid w:val="00A47C1C"/>
    <w:rsid w:val="00A51418"/>
    <w:rsid w:val="00A52BC9"/>
    <w:rsid w:val="00A52BD5"/>
    <w:rsid w:val="00A55F7E"/>
    <w:rsid w:val="00A56052"/>
    <w:rsid w:val="00A560FB"/>
    <w:rsid w:val="00A62584"/>
    <w:rsid w:val="00A636F2"/>
    <w:rsid w:val="00A64976"/>
    <w:rsid w:val="00A6633D"/>
    <w:rsid w:val="00A6708B"/>
    <w:rsid w:val="00A67478"/>
    <w:rsid w:val="00A703FE"/>
    <w:rsid w:val="00A71057"/>
    <w:rsid w:val="00A72191"/>
    <w:rsid w:val="00A72328"/>
    <w:rsid w:val="00A7323B"/>
    <w:rsid w:val="00A775BD"/>
    <w:rsid w:val="00A81080"/>
    <w:rsid w:val="00A82DF7"/>
    <w:rsid w:val="00A8334B"/>
    <w:rsid w:val="00A834C6"/>
    <w:rsid w:val="00A8457A"/>
    <w:rsid w:val="00A84E88"/>
    <w:rsid w:val="00A851FF"/>
    <w:rsid w:val="00A8655F"/>
    <w:rsid w:val="00A9368F"/>
    <w:rsid w:val="00A9483F"/>
    <w:rsid w:val="00A94AC7"/>
    <w:rsid w:val="00AA093E"/>
    <w:rsid w:val="00AA0CB3"/>
    <w:rsid w:val="00AA35D2"/>
    <w:rsid w:val="00AB016B"/>
    <w:rsid w:val="00AB1ABE"/>
    <w:rsid w:val="00AB3818"/>
    <w:rsid w:val="00AB49EC"/>
    <w:rsid w:val="00AB6112"/>
    <w:rsid w:val="00AB7788"/>
    <w:rsid w:val="00AB7BBA"/>
    <w:rsid w:val="00AB7C0B"/>
    <w:rsid w:val="00AC158B"/>
    <w:rsid w:val="00AC68CE"/>
    <w:rsid w:val="00AC7883"/>
    <w:rsid w:val="00AC7B57"/>
    <w:rsid w:val="00AD05A5"/>
    <w:rsid w:val="00AD1149"/>
    <w:rsid w:val="00AD1F40"/>
    <w:rsid w:val="00AD41E7"/>
    <w:rsid w:val="00AD420B"/>
    <w:rsid w:val="00AD5ED0"/>
    <w:rsid w:val="00AD7D54"/>
    <w:rsid w:val="00AE2094"/>
    <w:rsid w:val="00AE2860"/>
    <w:rsid w:val="00AE316A"/>
    <w:rsid w:val="00AE5863"/>
    <w:rsid w:val="00AE5D99"/>
    <w:rsid w:val="00AE6314"/>
    <w:rsid w:val="00AF0F9D"/>
    <w:rsid w:val="00AF1982"/>
    <w:rsid w:val="00AF2619"/>
    <w:rsid w:val="00AF43F8"/>
    <w:rsid w:val="00AF53A5"/>
    <w:rsid w:val="00B035CF"/>
    <w:rsid w:val="00B05E8A"/>
    <w:rsid w:val="00B075AB"/>
    <w:rsid w:val="00B139C3"/>
    <w:rsid w:val="00B14949"/>
    <w:rsid w:val="00B14D5C"/>
    <w:rsid w:val="00B150A0"/>
    <w:rsid w:val="00B15453"/>
    <w:rsid w:val="00B15B38"/>
    <w:rsid w:val="00B30EE4"/>
    <w:rsid w:val="00B33CA1"/>
    <w:rsid w:val="00B37BFD"/>
    <w:rsid w:val="00B4033C"/>
    <w:rsid w:val="00B42EAB"/>
    <w:rsid w:val="00B44678"/>
    <w:rsid w:val="00B45105"/>
    <w:rsid w:val="00B463BE"/>
    <w:rsid w:val="00B46805"/>
    <w:rsid w:val="00B50266"/>
    <w:rsid w:val="00B50A5F"/>
    <w:rsid w:val="00B519C4"/>
    <w:rsid w:val="00B51DE4"/>
    <w:rsid w:val="00B5434E"/>
    <w:rsid w:val="00B552C2"/>
    <w:rsid w:val="00B55458"/>
    <w:rsid w:val="00B55B63"/>
    <w:rsid w:val="00B602C1"/>
    <w:rsid w:val="00B60D8C"/>
    <w:rsid w:val="00B6375A"/>
    <w:rsid w:val="00B63FA4"/>
    <w:rsid w:val="00B64AD3"/>
    <w:rsid w:val="00B65DF9"/>
    <w:rsid w:val="00B73F9C"/>
    <w:rsid w:val="00B74513"/>
    <w:rsid w:val="00B76A13"/>
    <w:rsid w:val="00B76C95"/>
    <w:rsid w:val="00B76E4C"/>
    <w:rsid w:val="00B82C37"/>
    <w:rsid w:val="00B869A2"/>
    <w:rsid w:val="00B8743D"/>
    <w:rsid w:val="00B876E4"/>
    <w:rsid w:val="00B9104F"/>
    <w:rsid w:val="00B91872"/>
    <w:rsid w:val="00B91C3D"/>
    <w:rsid w:val="00BA3C17"/>
    <w:rsid w:val="00BA5094"/>
    <w:rsid w:val="00BA61F1"/>
    <w:rsid w:val="00BA77E2"/>
    <w:rsid w:val="00BB2A13"/>
    <w:rsid w:val="00BB56DA"/>
    <w:rsid w:val="00BB6A87"/>
    <w:rsid w:val="00BB6ABD"/>
    <w:rsid w:val="00BC14A0"/>
    <w:rsid w:val="00BC5F14"/>
    <w:rsid w:val="00BC77D3"/>
    <w:rsid w:val="00BC7EF1"/>
    <w:rsid w:val="00BD0076"/>
    <w:rsid w:val="00BD2D80"/>
    <w:rsid w:val="00BD2EE1"/>
    <w:rsid w:val="00BD37E2"/>
    <w:rsid w:val="00BD401C"/>
    <w:rsid w:val="00BD5524"/>
    <w:rsid w:val="00BD61C2"/>
    <w:rsid w:val="00BE038D"/>
    <w:rsid w:val="00BE1FE8"/>
    <w:rsid w:val="00BE2303"/>
    <w:rsid w:val="00BE2E86"/>
    <w:rsid w:val="00BE30FA"/>
    <w:rsid w:val="00BE42CA"/>
    <w:rsid w:val="00BE5974"/>
    <w:rsid w:val="00BE63D2"/>
    <w:rsid w:val="00BE72AB"/>
    <w:rsid w:val="00BF2774"/>
    <w:rsid w:val="00BF3663"/>
    <w:rsid w:val="00BF6CAC"/>
    <w:rsid w:val="00C00B69"/>
    <w:rsid w:val="00C0475E"/>
    <w:rsid w:val="00C05304"/>
    <w:rsid w:val="00C0631A"/>
    <w:rsid w:val="00C11A18"/>
    <w:rsid w:val="00C131D3"/>
    <w:rsid w:val="00C138F3"/>
    <w:rsid w:val="00C13A27"/>
    <w:rsid w:val="00C14E6B"/>
    <w:rsid w:val="00C15AFC"/>
    <w:rsid w:val="00C15D45"/>
    <w:rsid w:val="00C16FB5"/>
    <w:rsid w:val="00C17FB9"/>
    <w:rsid w:val="00C216A5"/>
    <w:rsid w:val="00C224AF"/>
    <w:rsid w:val="00C2480C"/>
    <w:rsid w:val="00C2522D"/>
    <w:rsid w:val="00C27BA7"/>
    <w:rsid w:val="00C304B0"/>
    <w:rsid w:val="00C34B86"/>
    <w:rsid w:val="00C402ED"/>
    <w:rsid w:val="00C415C6"/>
    <w:rsid w:val="00C42FEC"/>
    <w:rsid w:val="00C4563C"/>
    <w:rsid w:val="00C46574"/>
    <w:rsid w:val="00C5091D"/>
    <w:rsid w:val="00C54FF1"/>
    <w:rsid w:val="00C55276"/>
    <w:rsid w:val="00C552DC"/>
    <w:rsid w:val="00C5563E"/>
    <w:rsid w:val="00C5692F"/>
    <w:rsid w:val="00C61A48"/>
    <w:rsid w:val="00C62A56"/>
    <w:rsid w:val="00C6346C"/>
    <w:rsid w:val="00C63AF9"/>
    <w:rsid w:val="00C65398"/>
    <w:rsid w:val="00C655E5"/>
    <w:rsid w:val="00C66138"/>
    <w:rsid w:val="00C70077"/>
    <w:rsid w:val="00C72C4D"/>
    <w:rsid w:val="00C755DD"/>
    <w:rsid w:val="00C77743"/>
    <w:rsid w:val="00C850D3"/>
    <w:rsid w:val="00C86CFB"/>
    <w:rsid w:val="00C91095"/>
    <w:rsid w:val="00C926C1"/>
    <w:rsid w:val="00C92D2F"/>
    <w:rsid w:val="00C93ED8"/>
    <w:rsid w:val="00C946F7"/>
    <w:rsid w:val="00CA0112"/>
    <w:rsid w:val="00CA47E8"/>
    <w:rsid w:val="00CA4DF3"/>
    <w:rsid w:val="00CA5453"/>
    <w:rsid w:val="00CA5B13"/>
    <w:rsid w:val="00CA6161"/>
    <w:rsid w:val="00CA6AD1"/>
    <w:rsid w:val="00CA7291"/>
    <w:rsid w:val="00CB0C3E"/>
    <w:rsid w:val="00CB43A3"/>
    <w:rsid w:val="00CB48C8"/>
    <w:rsid w:val="00CB6220"/>
    <w:rsid w:val="00CB777A"/>
    <w:rsid w:val="00CC2BAB"/>
    <w:rsid w:val="00CC2BE4"/>
    <w:rsid w:val="00CC3B63"/>
    <w:rsid w:val="00CC4B77"/>
    <w:rsid w:val="00CC564D"/>
    <w:rsid w:val="00CC6771"/>
    <w:rsid w:val="00CD2CEA"/>
    <w:rsid w:val="00CD59C5"/>
    <w:rsid w:val="00CE031C"/>
    <w:rsid w:val="00CE0F5B"/>
    <w:rsid w:val="00CE2358"/>
    <w:rsid w:val="00CE2508"/>
    <w:rsid w:val="00CE5F55"/>
    <w:rsid w:val="00CE7266"/>
    <w:rsid w:val="00CF217F"/>
    <w:rsid w:val="00CF3181"/>
    <w:rsid w:val="00CF49FC"/>
    <w:rsid w:val="00CF61C6"/>
    <w:rsid w:val="00D023B2"/>
    <w:rsid w:val="00D06711"/>
    <w:rsid w:val="00D14845"/>
    <w:rsid w:val="00D2169E"/>
    <w:rsid w:val="00D22B20"/>
    <w:rsid w:val="00D22F8C"/>
    <w:rsid w:val="00D231C5"/>
    <w:rsid w:val="00D2401C"/>
    <w:rsid w:val="00D3072B"/>
    <w:rsid w:val="00D31113"/>
    <w:rsid w:val="00D314AD"/>
    <w:rsid w:val="00D3480D"/>
    <w:rsid w:val="00D351E8"/>
    <w:rsid w:val="00D354B9"/>
    <w:rsid w:val="00D361BF"/>
    <w:rsid w:val="00D414AA"/>
    <w:rsid w:val="00D45838"/>
    <w:rsid w:val="00D45CB0"/>
    <w:rsid w:val="00D47456"/>
    <w:rsid w:val="00D51218"/>
    <w:rsid w:val="00D52EF3"/>
    <w:rsid w:val="00D534D2"/>
    <w:rsid w:val="00D60568"/>
    <w:rsid w:val="00D60BC8"/>
    <w:rsid w:val="00D618BD"/>
    <w:rsid w:val="00D62A56"/>
    <w:rsid w:val="00D65186"/>
    <w:rsid w:val="00D66D65"/>
    <w:rsid w:val="00D66F1F"/>
    <w:rsid w:val="00D6701A"/>
    <w:rsid w:val="00D67F45"/>
    <w:rsid w:val="00D71C50"/>
    <w:rsid w:val="00D725F5"/>
    <w:rsid w:val="00D7442A"/>
    <w:rsid w:val="00D762C5"/>
    <w:rsid w:val="00D7707E"/>
    <w:rsid w:val="00D7740C"/>
    <w:rsid w:val="00D77BA2"/>
    <w:rsid w:val="00D8359C"/>
    <w:rsid w:val="00D84459"/>
    <w:rsid w:val="00D921E7"/>
    <w:rsid w:val="00DA17FB"/>
    <w:rsid w:val="00DA534B"/>
    <w:rsid w:val="00DA7BF6"/>
    <w:rsid w:val="00DB5B3E"/>
    <w:rsid w:val="00DB6B06"/>
    <w:rsid w:val="00DC2A11"/>
    <w:rsid w:val="00DC49EF"/>
    <w:rsid w:val="00DC517E"/>
    <w:rsid w:val="00DC76FB"/>
    <w:rsid w:val="00DC7FCC"/>
    <w:rsid w:val="00DD05D6"/>
    <w:rsid w:val="00DD14E7"/>
    <w:rsid w:val="00DD1A50"/>
    <w:rsid w:val="00DD59E2"/>
    <w:rsid w:val="00DD6D54"/>
    <w:rsid w:val="00DE3EF4"/>
    <w:rsid w:val="00DE7232"/>
    <w:rsid w:val="00DF202F"/>
    <w:rsid w:val="00DF33E2"/>
    <w:rsid w:val="00DF3F97"/>
    <w:rsid w:val="00DF5CCA"/>
    <w:rsid w:val="00DF70AC"/>
    <w:rsid w:val="00DF7E05"/>
    <w:rsid w:val="00E03FD5"/>
    <w:rsid w:val="00E04F8A"/>
    <w:rsid w:val="00E073A8"/>
    <w:rsid w:val="00E07B1D"/>
    <w:rsid w:val="00E1131C"/>
    <w:rsid w:val="00E11951"/>
    <w:rsid w:val="00E12382"/>
    <w:rsid w:val="00E137CC"/>
    <w:rsid w:val="00E14866"/>
    <w:rsid w:val="00E16825"/>
    <w:rsid w:val="00E16DC7"/>
    <w:rsid w:val="00E17AF5"/>
    <w:rsid w:val="00E17B6E"/>
    <w:rsid w:val="00E24023"/>
    <w:rsid w:val="00E25366"/>
    <w:rsid w:val="00E2784D"/>
    <w:rsid w:val="00E3058F"/>
    <w:rsid w:val="00E30BD0"/>
    <w:rsid w:val="00E31A07"/>
    <w:rsid w:val="00E3462A"/>
    <w:rsid w:val="00E36A0D"/>
    <w:rsid w:val="00E4027F"/>
    <w:rsid w:val="00E4161D"/>
    <w:rsid w:val="00E437EF"/>
    <w:rsid w:val="00E4539E"/>
    <w:rsid w:val="00E4610C"/>
    <w:rsid w:val="00E53271"/>
    <w:rsid w:val="00E536A1"/>
    <w:rsid w:val="00E53AB4"/>
    <w:rsid w:val="00E54C5C"/>
    <w:rsid w:val="00E6244A"/>
    <w:rsid w:val="00E65E36"/>
    <w:rsid w:val="00E6723E"/>
    <w:rsid w:val="00E70300"/>
    <w:rsid w:val="00E7256F"/>
    <w:rsid w:val="00E760C4"/>
    <w:rsid w:val="00E76DBD"/>
    <w:rsid w:val="00E77399"/>
    <w:rsid w:val="00E81103"/>
    <w:rsid w:val="00E81B50"/>
    <w:rsid w:val="00E83F54"/>
    <w:rsid w:val="00E90E86"/>
    <w:rsid w:val="00E9130A"/>
    <w:rsid w:val="00E9210A"/>
    <w:rsid w:val="00E949AD"/>
    <w:rsid w:val="00E95AF3"/>
    <w:rsid w:val="00E96E83"/>
    <w:rsid w:val="00EA0EFE"/>
    <w:rsid w:val="00EA1588"/>
    <w:rsid w:val="00EA2559"/>
    <w:rsid w:val="00EA2777"/>
    <w:rsid w:val="00EA4A44"/>
    <w:rsid w:val="00EA5346"/>
    <w:rsid w:val="00EA5472"/>
    <w:rsid w:val="00EA7E3F"/>
    <w:rsid w:val="00EB0A1F"/>
    <w:rsid w:val="00EB19D8"/>
    <w:rsid w:val="00EB31F4"/>
    <w:rsid w:val="00EC2B84"/>
    <w:rsid w:val="00ED3496"/>
    <w:rsid w:val="00EE01EB"/>
    <w:rsid w:val="00EE5249"/>
    <w:rsid w:val="00EF088A"/>
    <w:rsid w:val="00EF13E7"/>
    <w:rsid w:val="00EF32B5"/>
    <w:rsid w:val="00F05736"/>
    <w:rsid w:val="00F109D3"/>
    <w:rsid w:val="00F11092"/>
    <w:rsid w:val="00F14F90"/>
    <w:rsid w:val="00F168AD"/>
    <w:rsid w:val="00F20DB7"/>
    <w:rsid w:val="00F21A67"/>
    <w:rsid w:val="00F232B5"/>
    <w:rsid w:val="00F23436"/>
    <w:rsid w:val="00F24BC1"/>
    <w:rsid w:val="00F24FC0"/>
    <w:rsid w:val="00F32344"/>
    <w:rsid w:val="00F3497B"/>
    <w:rsid w:val="00F34F00"/>
    <w:rsid w:val="00F352A5"/>
    <w:rsid w:val="00F3585E"/>
    <w:rsid w:val="00F35C94"/>
    <w:rsid w:val="00F37220"/>
    <w:rsid w:val="00F40453"/>
    <w:rsid w:val="00F41057"/>
    <w:rsid w:val="00F41C82"/>
    <w:rsid w:val="00F44760"/>
    <w:rsid w:val="00F44B86"/>
    <w:rsid w:val="00F50896"/>
    <w:rsid w:val="00F57AD4"/>
    <w:rsid w:val="00F60388"/>
    <w:rsid w:val="00F6074D"/>
    <w:rsid w:val="00F608E1"/>
    <w:rsid w:val="00F612A1"/>
    <w:rsid w:val="00F6190C"/>
    <w:rsid w:val="00F638F5"/>
    <w:rsid w:val="00F65DFA"/>
    <w:rsid w:val="00F70DC3"/>
    <w:rsid w:val="00F70DDC"/>
    <w:rsid w:val="00F80975"/>
    <w:rsid w:val="00F80AF3"/>
    <w:rsid w:val="00F83A9F"/>
    <w:rsid w:val="00F842C5"/>
    <w:rsid w:val="00F85CA7"/>
    <w:rsid w:val="00F92245"/>
    <w:rsid w:val="00F93FC8"/>
    <w:rsid w:val="00F968D5"/>
    <w:rsid w:val="00FA06C1"/>
    <w:rsid w:val="00FA3722"/>
    <w:rsid w:val="00FA3F3D"/>
    <w:rsid w:val="00FA483F"/>
    <w:rsid w:val="00FA513B"/>
    <w:rsid w:val="00FA6786"/>
    <w:rsid w:val="00FA73F4"/>
    <w:rsid w:val="00FA7AD6"/>
    <w:rsid w:val="00FB042C"/>
    <w:rsid w:val="00FB43E0"/>
    <w:rsid w:val="00FB4BBC"/>
    <w:rsid w:val="00FB50F0"/>
    <w:rsid w:val="00FB66EF"/>
    <w:rsid w:val="00FC01A2"/>
    <w:rsid w:val="00FC04A0"/>
    <w:rsid w:val="00FC16A6"/>
    <w:rsid w:val="00FC1CF3"/>
    <w:rsid w:val="00FC2F67"/>
    <w:rsid w:val="00FC324F"/>
    <w:rsid w:val="00FD1CAB"/>
    <w:rsid w:val="00FD629E"/>
    <w:rsid w:val="00FD64A8"/>
    <w:rsid w:val="00FD6DB3"/>
    <w:rsid w:val="00FE0790"/>
    <w:rsid w:val="00FE0C80"/>
    <w:rsid w:val="00FE3504"/>
    <w:rsid w:val="00FE36BC"/>
    <w:rsid w:val="00FE7CFE"/>
    <w:rsid w:val="00FF0296"/>
    <w:rsid w:val="00FF3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4809"/>
  <w15:docId w15:val="{FD778D6E-F41C-44AC-8831-8AAB0BCE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20"/>
  </w:style>
  <w:style w:type="paragraph" w:styleId="Heading1">
    <w:name w:val="heading 1"/>
    <w:basedOn w:val="Normal"/>
    <w:next w:val="Normal"/>
    <w:link w:val="Heading1Char"/>
    <w:uiPriority w:val="9"/>
    <w:qFormat/>
    <w:pPr>
      <w:keepNext/>
      <w:keepLines/>
      <w:outlineLvl w:val="0"/>
    </w:pPr>
    <w:rPr>
      <w:b/>
      <w:sz w:val="24"/>
      <w:szCs w:val="24"/>
    </w:rPr>
  </w:style>
  <w:style w:type="paragraph" w:styleId="Heading2">
    <w:name w:val="heading 2"/>
    <w:basedOn w:val="Normal"/>
    <w:next w:val="Normal"/>
    <w:uiPriority w:val="9"/>
    <w:semiHidden/>
    <w:unhideWhenUsed/>
    <w:qFormat/>
    <w:pPr>
      <w:keepNext/>
      <w:keepLines/>
      <w:outlineLvl w:val="1"/>
    </w:pPr>
  </w:style>
  <w:style w:type="paragraph" w:styleId="Heading3">
    <w:name w:val="heading 3"/>
    <w:basedOn w:val="Normal"/>
    <w:next w:val="Normal"/>
    <w:uiPriority w:val="9"/>
    <w:semiHidden/>
    <w:unhideWhenUsed/>
    <w:qFormat/>
    <w:pPr>
      <w:keepNext/>
      <w:keepLines/>
      <w:outlineLvl w:val="2"/>
    </w:pPr>
  </w:style>
  <w:style w:type="paragraph" w:styleId="Heading4">
    <w:name w:val="heading 4"/>
    <w:basedOn w:val="Normal"/>
    <w:next w:val="Normal"/>
    <w:uiPriority w:val="9"/>
    <w:semiHidden/>
    <w:unhideWhenUsed/>
    <w:qFormat/>
    <w:pPr>
      <w:keepNext/>
      <w:keepLines/>
      <w:outlineLvl w:val="3"/>
    </w:pPr>
    <w:rPr>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78302F"/>
    <w:rPr>
      <w:rFonts w:ascii="Times New Roman" w:hAnsi="Times New Roman" w:cs="Times New Roman"/>
      <w:sz w:val="24"/>
      <w:szCs w:val="24"/>
    </w:rPr>
  </w:style>
  <w:style w:type="paragraph" w:styleId="ListParagraph">
    <w:name w:val="List Paragraph"/>
    <w:basedOn w:val="Normal"/>
    <w:uiPriority w:val="34"/>
    <w:qFormat/>
    <w:rsid w:val="00354DE9"/>
    <w:pPr>
      <w:ind w:left="720"/>
      <w:contextualSpacing/>
    </w:pPr>
  </w:style>
  <w:style w:type="character" w:styleId="Strong">
    <w:name w:val="Strong"/>
    <w:basedOn w:val="DefaultParagraphFont"/>
    <w:uiPriority w:val="22"/>
    <w:qFormat/>
    <w:rsid w:val="006E7A29"/>
    <w:rPr>
      <w:b/>
      <w:bCs/>
    </w:rPr>
  </w:style>
  <w:style w:type="character" w:styleId="CommentReference">
    <w:name w:val="annotation reference"/>
    <w:basedOn w:val="DefaultParagraphFont"/>
    <w:uiPriority w:val="99"/>
    <w:semiHidden/>
    <w:unhideWhenUsed/>
    <w:rsid w:val="002507F7"/>
    <w:rPr>
      <w:sz w:val="16"/>
      <w:szCs w:val="16"/>
    </w:rPr>
  </w:style>
  <w:style w:type="paragraph" w:styleId="CommentText">
    <w:name w:val="annotation text"/>
    <w:basedOn w:val="Normal"/>
    <w:link w:val="CommentTextChar"/>
    <w:uiPriority w:val="99"/>
    <w:unhideWhenUsed/>
    <w:rsid w:val="002507F7"/>
    <w:pPr>
      <w:spacing w:line="240" w:lineRule="auto"/>
    </w:pPr>
    <w:rPr>
      <w:sz w:val="20"/>
      <w:szCs w:val="20"/>
    </w:rPr>
  </w:style>
  <w:style w:type="character" w:customStyle="1" w:styleId="CommentTextChar">
    <w:name w:val="Comment Text Char"/>
    <w:basedOn w:val="DefaultParagraphFont"/>
    <w:link w:val="CommentText"/>
    <w:uiPriority w:val="99"/>
    <w:rsid w:val="002507F7"/>
    <w:rPr>
      <w:sz w:val="20"/>
      <w:szCs w:val="20"/>
    </w:rPr>
  </w:style>
  <w:style w:type="paragraph" w:styleId="CommentSubject">
    <w:name w:val="annotation subject"/>
    <w:basedOn w:val="CommentText"/>
    <w:next w:val="CommentText"/>
    <w:link w:val="CommentSubjectChar"/>
    <w:uiPriority w:val="99"/>
    <w:semiHidden/>
    <w:unhideWhenUsed/>
    <w:rsid w:val="002507F7"/>
    <w:rPr>
      <w:b/>
      <w:bCs/>
    </w:rPr>
  </w:style>
  <w:style w:type="character" w:customStyle="1" w:styleId="CommentSubjectChar">
    <w:name w:val="Comment Subject Char"/>
    <w:basedOn w:val="CommentTextChar"/>
    <w:link w:val="CommentSubject"/>
    <w:uiPriority w:val="99"/>
    <w:semiHidden/>
    <w:rsid w:val="002507F7"/>
    <w:rPr>
      <w:b/>
      <w:bCs/>
      <w:sz w:val="20"/>
      <w:szCs w:val="20"/>
    </w:rPr>
  </w:style>
  <w:style w:type="character" w:styleId="Hyperlink">
    <w:name w:val="Hyperlink"/>
    <w:basedOn w:val="DefaultParagraphFont"/>
    <w:uiPriority w:val="99"/>
    <w:unhideWhenUsed/>
    <w:rsid w:val="00660ECC"/>
    <w:rPr>
      <w:color w:val="0000FF" w:themeColor="hyperlink"/>
      <w:u w:val="single"/>
    </w:rPr>
  </w:style>
  <w:style w:type="character" w:styleId="UnresolvedMention">
    <w:name w:val="Unresolved Mention"/>
    <w:basedOn w:val="DefaultParagraphFont"/>
    <w:uiPriority w:val="99"/>
    <w:semiHidden/>
    <w:unhideWhenUsed/>
    <w:rsid w:val="00660ECC"/>
    <w:rPr>
      <w:color w:val="605E5C"/>
      <w:shd w:val="clear" w:color="auto" w:fill="E1DFDD"/>
    </w:rPr>
  </w:style>
  <w:style w:type="character" w:customStyle="1" w:styleId="Heading1Char">
    <w:name w:val="Heading 1 Char"/>
    <w:basedOn w:val="DefaultParagraphFont"/>
    <w:link w:val="Heading1"/>
    <w:uiPriority w:val="9"/>
    <w:rsid w:val="00F44B86"/>
    <w:rPr>
      <w:b/>
      <w:sz w:val="24"/>
      <w:szCs w:val="24"/>
    </w:rPr>
  </w:style>
  <w:style w:type="paragraph" w:styleId="Header">
    <w:name w:val="header"/>
    <w:basedOn w:val="Normal"/>
    <w:link w:val="HeaderChar"/>
    <w:uiPriority w:val="99"/>
    <w:unhideWhenUsed/>
    <w:rsid w:val="007E0151"/>
    <w:pPr>
      <w:tabs>
        <w:tab w:val="center" w:pos="4680"/>
        <w:tab w:val="right" w:pos="9360"/>
      </w:tabs>
      <w:spacing w:line="240" w:lineRule="auto"/>
    </w:pPr>
  </w:style>
  <w:style w:type="character" w:customStyle="1" w:styleId="HeaderChar">
    <w:name w:val="Header Char"/>
    <w:basedOn w:val="DefaultParagraphFont"/>
    <w:link w:val="Header"/>
    <w:uiPriority w:val="99"/>
    <w:rsid w:val="007E0151"/>
  </w:style>
  <w:style w:type="paragraph" w:styleId="Footer">
    <w:name w:val="footer"/>
    <w:basedOn w:val="Normal"/>
    <w:link w:val="FooterChar"/>
    <w:uiPriority w:val="99"/>
    <w:unhideWhenUsed/>
    <w:rsid w:val="007E0151"/>
    <w:pPr>
      <w:tabs>
        <w:tab w:val="center" w:pos="4680"/>
        <w:tab w:val="right" w:pos="9360"/>
      </w:tabs>
      <w:spacing w:line="240" w:lineRule="auto"/>
    </w:pPr>
  </w:style>
  <w:style w:type="character" w:customStyle="1" w:styleId="FooterChar">
    <w:name w:val="Footer Char"/>
    <w:basedOn w:val="DefaultParagraphFont"/>
    <w:link w:val="Footer"/>
    <w:uiPriority w:val="99"/>
    <w:rsid w:val="007E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26">
      <w:bodyDiv w:val="1"/>
      <w:marLeft w:val="0"/>
      <w:marRight w:val="0"/>
      <w:marTop w:val="0"/>
      <w:marBottom w:val="0"/>
      <w:divBdr>
        <w:top w:val="none" w:sz="0" w:space="0" w:color="auto"/>
        <w:left w:val="none" w:sz="0" w:space="0" w:color="auto"/>
        <w:bottom w:val="none" w:sz="0" w:space="0" w:color="auto"/>
        <w:right w:val="none" w:sz="0" w:space="0" w:color="auto"/>
      </w:divBdr>
    </w:div>
    <w:div w:id="15232222">
      <w:bodyDiv w:val="1"/>
      <w:marLeft w:val="0"/>
      <w:marRight w:val="0"/>
      <w:marTop w:val="0"/>
      <w:marBottom w:val="0"/>
      <w:divBdr>
        <w:top w:val="none" w:sz="0" w:space="0" w:color="auto"/>
        <w:left w:val="none" w:sz="0" w:space="0" w:color="auto"/>
        <w:bottom w:val="none" w:sz="0" w:space="0" w:color="auto"/>
        <w:right w:val="none" w:sz="0" w:space="0" w:color="auto"/>
      </w:divBdr>
    </w:div>
    <w:div w:id="15811170">
      <w:bodyDiv w:val="1"/>
      <w:marLeft w:val="0"/>
      <w:marRight w:val="0"/>
      <w:marTop w:val="0"/>
      <w:marBottom w:val="0"/>
      <w:divBdr>
        <w:top w:val="none" w:sz="0" w:space="0" w:color="auto"/>
        <w:left w:val="none" w:sz="0" w:space="0" w:color="auto"/>
        <w:bottom w:val="none" w:sz="0" w:space="0" w:color="auto"/>
        <w:right w:val="none" w:sz="0" w:space="0" w:color="auto"/>
      </w:divBdr>
    </w:div>
    <w:div w:id="29501278">
      <w:bodyDiv w:val="1"/>
      <w:marLeft w:val="0"/>
      <w:marRight w:val="0"/>
      <w:marTop w:val="0"/>
      <w:marBottom w:val="0"/>
      <w:divBdr>
        <w:top w:val="none" w:sz="0" w:space="0" w:color="auto"/>
        <w:left w:val="none" w:sz="0" w:space="0" w:color="auto"/>
        <w:bottom w:val="none" w:sz="0" w:space="0" w:color="auto"/>
        <w:right w:val="none" w:sz="0" w:space="0" w:color="auto"/>
      </w:divBdr>
    </w:div>
    <w:div w:id="36397784">
      <w:bodyDiv w:val="1"/>
      <w:marLeft w:val="0"/>
      <w:marRight w:val="0"/>
      <w:marTop w:val="0"/>
      <w:marBottom w:val="0"/>
      <w:divBdr>
        <w:top w:val="none" w:sz="0" w:space="0" w:color="auto"/>
        <w:left w:val="none" w:sz="0" w:space="0" w:color="auto"/>
        <w:bottom w:val="none" w:sz="0" w:space="0" w:color="auto"/>
        <w:right w:val="none" w:sz="0" w:space="0" w:color="auto"/>
      </w:divBdr>
    </w:div>
    <w:div w:id="44302493">
      <w:bodyDiv w:val="1"/>
      <w:marLeft w:val="0"/>
      <w:marRight w:val="0"/>
      <w:marTop w:val="0"/>
      <w:marBottom w:val="0"/>
      <w:divBdr>
        <w:top w:val="none" w:sz="0" w:space="0" w:color="auto"/>
        <w:left w:val="none" w:sz="0" w:space="0" w:color="auto"/>
        <w:bottom w:val="none" w:sz="0" w:space="0" w:color="auto"/>
        <w:right w:val="none" w:sz="0" w:space="0" w:color="auto"/>
      </w:divBdr>
    </w:div>
    <w:div w:id="46489387">
      <w:bodyDiv w:val="1"/>
      <w:marLeft w:val="0"/>
      <w:marRight w:val="0"/>
      <w:marTop w:val="0"/>
      <w:marBottom w:val="0"/>
      <w:divBdr>
        <w:top w:val="none" w:sz="0" w:space="0" w:color="auto"/>
        <w:left w:val="none" w:sz="0" w:space="0" w:color="auto"/>
        <w:bottom w:val="none" w:sz="0" w:space="0" w:color="auto"/>
        <w:right w:val="none" w:sz="0" w:space="0" w:color="auto"/>
      </w:divBdr>
    </w:div>
    <w:div w:id="46883709">
      <w:bodyDiv w:val="1"/>
      <w:marLeft w:val="0"/>
      <w:marRight w:val="0"/>
      <w:marTop w:val="0"/>
      <w:marBottom w:val="0"/>
      <w:divBdr>
        <w:top w:val="none" w:sz="0" w:space="0" w:color="auto"/>
        <w:left w:val="none" w:sz="0" w:space="0" w:color="auto"/>
        <w:bottom w:val="none" w:sz="0" w:space="0" w:color="auto"/>
        <w:right w:val="none" w:sz="0" w:space="0" w:color="auto"/>
      </w:divBdr>
    </w:div>
    <w:div w:id="71508495">
      <w:bodyDiv w:val="1"/>
      <w:marLeft w:val="0"/>
      <w:marRight w:val="0"/>
      <w:marTop w:val="0"/>
      <w:marBottom w:val="0"/>
      <w:divBdr>
        <w:top w:val="none" w:sz="0" w:space="0" w:color="auto"/>
        <w:left w:val="none" w:sz="0" w:space="0" w:color="auto"/>
        <w:bottom w:val="none" w:sz="0" w:space="0" w:color="auto"/>
        <w:right w:val="none" w:sz="0" w:space="0" w:color="auto"/>
      </w:divBdr>
    </w:div>
    <w:div w:id="81143247">
      <w:bodyDiv w:val="1"/>
      <w:marLeft w:val="0"/>
      <w:marRight w:val="0"/>
      <w:marTop w:val="0"/>
      <w:marBottom w:val="0"/>
      <w:divBdr>
        <w:top w:val="none" w:sz="0" w:space="0" w:color="auto"/>
        <w:left w:val="none" w:sz="0" w:space="0" w:color="auto"/>
        <w:bottom w:val="none" w:sz="0" w:space="0" w:color="auto"/>
        <w:right w:val="none" w:sz="0" w:space="0" w:color="auto"/>
      </w:divBdr>
    </w:div>
    <w:div w:id="94637892">
      <w:bodyDiv w:val="1"/>
      <w:marLeft w:val="0"/>
      <w:marRight w:val="0"/>
      <w:marTop w:val="0"/>
      <w:marBottom w:val="0"/>
      <w:divBdr>
        <w:top w:val="none" w:sz="0" w:space="0" w:color="auto"/>
        <w:left w:val="none" w:sz="0" w:space="0" w:color="auto"/>
        <w:bottom w:val="none" w:sz="0" w:space="0" w:color="auto"/>
        <w:right w:val="none" w:sz="0" w:space="0" w:color="auto"/>
      </w:divBdr>
    </w:div>
    <w:div w:id="106118037">
      <w:bodyDiv w:val="1"/>
      <w:marLeft w:val="0"/>
      <w:marRight w:val="0"/>
      <w:marTop w:val="0"/>
      <w:marBottom w:val="0"/>
      <w:divBdr>
        <w:top w:val="none" w:sz="0" w:space="0" w:color="auto"/>
        <w:left w:val="none" w:sz="0" w:space="0" w:color="auto"/>
        <w:bottom w:val="none" w:sz="0" w:space="0" w:color="auto"/>
        <w:right w:val="none" w:sz="0" w:space="0" w:color="auto"/>
      </w:divBdr>
    </w:div>
    <w:div w:id="111941968">
      <w:bodyDiv w:val="1"/>
      <w:marLeft w:val="0"/>
      <w:marRight w:val="0"/>
      <w:marTop w:val="0"/>
      <w:marBottom w:val="0"/>
      <w:divBdr>
        <w:top w:val="none" w:sz="0" w:space="0" w:color="auto"/>
        <w:left w:val="none" w:sz="0" w:space="0" w:color="auto"/>
        <w:bottom w:val="none" w:sz="0" w:space="0" w:color="auto"/>
        <w:right w:val="none" w:sz="0" w:space="0" w:color="auto"/>
      </w:divBdr>
    </w:div>
    <w:div w:id="127088030">
      <w:bodyDiv w:val="1"/>
      <w:marLeft w:val="0"/>
      <w:marRight w:val="0"/>
      <w:marTop w:val="0"/>
      <w:marBottom w:val="0"/>
      <w:divBdr>
        <w:top w:val="none" w:sz="0" w:space="0" w:color="auto"/>
        <w:left w:val="none" w:sz="0" w:space="0" w:color="auto"/>
        <w:bottom w:val="none" w:sz="0" w:space="0" w:color="auto"/>
        <w:right w:val="none" w:sz="0" w:space="0" w:color="auto"/>
      </w:divBdr>
    </w:div>
    <w:div w:id="152568902">
      <w:bodyDiv w:val="1"/>
      <w:marLeft w:val="0"/>
      <w:marRight w:val="0"/>
      <w:marTop w:val="0"/>
      <w:marBottom w:val="0"/>
      <w:divBdr>
        <w:top w:val="none" w:sz="0" w:space="0" w:color="auto"/>
        <w:left w:val="none" w:sz="0" w:space="0" w:color="auto"/>
        <w:bottom w:val="none" w:sz="0" w:space="0" w:color="auto"/>
        <w:right w:val="none" w:sz="0" w:space="0" w:color="auto"/>
      </w:divBdr>
    </w:div>
    <w:div w:id="152843778">
      <w:bodyDiv w:val="1"/>
      <w:marLeft w:val="0"/>
      <w:marRight w:val="0"/>
      <w:marTop w:val="0"/>
      <w:marBottom w:val="0"/>
      <w:divBdr>
        <w:top w:val="none" w:sz="0" w:space="0" w:color="auto"/>
        <w:left w:val="none" w:sz="0" w:space="0" w:color="auto"/>
        <w:bottom w:val="none" w:sz="0" w:space="0" w:color="auto"/>
        <w:right w:val="none" w:sz="0" w:space="0" w:color="auto"/>
      </w:divBdr>
    </w:div>
    <w:div w:id="154691693">
      <w:bodyDiv w:val="1"/>
      <w:marLeft w:val="0"/>
      <w:marRight w:val="0"/>
      <w:marTop w:val="0"/>
      <w:marBottom w:val="0"/>
      <w:divBdr>
        <w:top w:val="none" w:sz="0" w:space="0" w:color="auto"/>
        <w:left w:val="none" w:sz="0" w:space="0" w:color="auto"/>
        <w:bottom w:val="none" w:sz="0" w:space="0" w:color="auto"/>
        <w:right w:val="none" w:sz="0" w:space="0" w:color="auto"/>
      </w:divBdr>
    </w:div>
    <w:div w:id="191114542">
      <w:bodyDiv w:val="1"/>
      <w:marLeft w:val="0"/>
      <w:marRight w:val="0"/>
      <w:marTop w:val="0"/>
      <w:marBottom w:val="0"/>
      <w:divBdr>
        <w:top w:val="none" w:sz="0" w:space="0" w:color="auto"/>
        <w:left w:val="none" w:sz="0" w:space="0" w:color="auto"/>
        <w:bottom w:val="none" w:sz="0" w:space="0" w:color="auto"/>
        <w:right w:val="none" w:sz="0" w:space="0" w:color="auto"/>
      </w:divBdr>
    </w:div>
    <w:div w:id="196554031">
      <w:bodyDiv w:val="1"/>
      <w:marLeft w:val="0"/>
      <w:marRight w:val="0"/>
      <w:marTop w:val="0"/>
      <w:marBottom w:val="0"/>
      <w:divBdr>
        <w:top w:val="none" w:sz="0" w:space="0" w:color="auto"/>
        <w:left w:val="none" w:sz="0" w:space="0" w:color="auto"/>
        <w:bottom w:val="none" w:sz="0" w:space="0" w:color="auto"/>
        <w:right w:val="none" w:sz="0" w:space="0" w:color="auto"/>
      </w:divBdr>
    </w:div>
    <w:div w:id="204146011">
      <w:bodyDiv w:val="1"/>
      <w:marLeft w:val="0"/>
      <w:marRight w:val="0"/>
      <w:marTop w:val="0"/>
      <w:marBottom w:val="0"/>
      <w:divBdr>
        <w:top w:val="none" w:sz="0" w:space="0" w:color="auto"/>
        <w:left w:val="none" w:sz="0" w:space="0" w:color="auto"/>
        <w:bottom w:val="none" w:sz="0" w:space="0" w:color="auto"/>
        <w:right w:val="none" w:sz="0" w:space="0" w:color="auto"/>
      </w:divBdr>
    </w:div>
    <w:div w:id="226114799">
      <w:bodyDiv w:val="1"/>
      <w:marLeft w:val="0"/>
      <w:marRight w:val="0"/>
      <w:marTop w:val="0"/>
      <w:marBottom w:val="0"/>
      <w:divBdr>
        <w:top w:val="none" w:sz="0" w:space="0" w:color="auto"/>
        <w:left w:val="none" w:sz="0" w:space="0" w:color="auto"/>
        <w:bottom w:val="none" w:sz="0" w:space="0" w:color="auto"/>
        <w:right w:val="none" w:sz="0" w:space="0" w:color="auto"/>
      </w:divBdr>
    </w:div>
    <w:div w:id="245650210">
      <w:bodyDiv w:val="1"/>
      <w:marLeft w:val="0"/>
      <w:marRight w:val="0"/>
      <w:marTop w:val="0"/>
      <w:marBottom w:val="0"/>
      <w:divBdr>
        <w:top w:val="none" w:sz="0" w:space="0" w:color="auto"/>
        <w:left w:val="none" w:sz="0" w:space="0" w:color="auto"/>
        <w:bottom w:val="none" w:sz="0" w:space="0" w:color="auto"/>
        <w:right w:val="none" w:sz="0" w:space="0" w:color="auto"/>
      </w:divBdr>
    </w:div>
    <w:div w:id="252401190">
      <w:bodyDiv w:val="1"/>
      <w:marLeft w:val="0"/>
      <w:marRight w:val="0"/>
      <w:marTop w:val="0"/>
      <w:marBottom w:val="0"/>
      <w:divBdr>
        <w:top w:val="none" w:sz="0" w:space="0" w:color="auto"/>
        <w:left w:val="none" w:sz="0" w:space="0" w:color="auto"/>
        <w:bottom w:val="none" w:sz="0" w:space="0" w:color="auto"/>
        <w:right w:val="none" w:sz="0" w:space="0" w:color="auto"/>
      </w:divBdr>
    </w:div>
    <w:div w:id="259072268">
      <w:bodyDiv w:val="1"/>
      <w:marLeft w:val="0"/>
      <w:marRight w:val="0"/>
      <w:marTop w:val="0"/>
      <w:marBottom w:val="0"/>
      <w:divBdr>
        <w:top w:val="none" w:sz="0" w:space="0" w:color="auto"/>
        <w:left w:val="none" w:sz="0" w:space="0" w:color="auto"/>
        <w:bottom w:val="none" w:sz="0" w:space="0" w:color="auto"/>
        <w:right w:val="none" w:sz="0" w:space="0" w:color="auto"/>
      </w:divBdr>
    </w:div>
    <w:div w:id="272175676">
      <w:bodyDiv w:val="1"/>
      <w:marLeft w:val="0"/>
      <w:marRight w:val="0"/>
      <w:marTop w:val="0"/>
      <w:marBottom w:val="0"/>
      <w:divBdr>
        <w:top w:val="none" w:sz="0" w:space="0" w:color="auto"/>
        <w:left w:val="none" w:sz="0" w:space="0" w:color="auto"/>
        <w:bottom w:val="none" w:sz="0" w:space="0" w:color="auto"/>
        <w:right w:val="none" w:sz="0" w:space="0" w:color="auto"/>
      </w:divBdr>
    </w:div>
    <w:div w:id="292179755">
      <w:bodyDiv w:val="1"/>
      <w:marLeft w:val="0"/>
      <w:marRight w:val="0"/>
      <w:marTop w:val="0"/>
      <w:marBottom w:val="0"/>
      <w:divBdr>
        <w:top w:val="none" w:sz="0" w:space="0" w:color="auto"/>
        <w:left w:val="none" w:sz="0" w:space="0" w:color="auto"/>
        <w:bottom w:val="none" w:sz="0" w:space="0" w:color="auto"/>
        <w:right w:val="none" w:sz="0" w:space="0" w:color="auto"/>
      </w:divBdr>
    </w:div>
    <w:div w:id="315574142">
      <w:bodyDiv w:val="1"/>
      <w:marLeft w:val="0"/>
      <w:marRight w:val="0"/>
      <w:marTop w:val="0"/>
      <w:marBottom w:val="0"/>
      <w:divBdr>
        <w:top w:val="none" w:sz="0" w:space="0" w:color="auto"/>
        <w:left w:val="none" w:sz="0" w:space="0" w:color="auto"/>
        <w:bottom w:val="none" w:sz="0" w:space="0" w:color="auto"/>
        <w:right w:val="none" w:sz="0" w:space="0" w:color="auto"/>
      </w:divBdr>
    </w:div>
    <w:div w:id="324088635">
      <w:bodyDiv w:val="1"/>
      <w:marLeft w:val="0"/>
      <w:marRight w:val="0"/>
      <w:marTop w:val="0"/>
      <w:marBottom w:val="0"/>
      <w:divBdr>
        <w:top w:val="none" w:sz="0" w:space="0" w:color="auto"/>
        <w:left w:val="none" w:sz="0" w:space="0" w:color="auto"/>
        <w:bottom w:val="none" w:sz="0" w:space="0" w:color="auto"/>
        <w:right w:val="none" w:sz="0" w:space="0" w:color="auto"/>
      </w:divBdr>
    </w:div>
    <w:div w:id="325474603">
      <w:bodyDiv w:val="1"/>
      <w:marLeft w:val="0"/>
      <w:marRight w:val="0"/>
      <w:marTop w:val="0"/>
      <w:marBottom w:val="0"/>
      <w:divBdr>
        <w:top w:val="none" w:sz="0" w:space="0" w:color="auto"/>
        <w:left w:val="none" w:sz="0" w:space="0" w:color="auto"/>
        <w:bottom w:val="none" w:sz="0" w:space="0" w:color="auto"/>
        <w:right w:val="none" w:sz="0" w:space="0" w:color="auto"/>
      </w:divBdr>
    </w:div>
    <w:div w:id="327557588">
      <w:bodyDiv w:val="1"/>
      <w:marLeft w:val="0"/>
      <w:marRight w:val="0"/>
      <w:marTop w:val="0"/>
      <w:marBottom w:val="0"/>
      <w:divBdr>
        <w:top w:val="none" w:sz="0" w:space="0" w:color="auto"/>
        <w:left w:val="none" w:sz="0" w:space="0" w:color="auto"/>
        <w:bottom w:val="none" w:sz="0" w:space="0" w:color="auto"/>
        <w:right w:val="none" w:sz="0" w:space="0" w:color="auto"/>
      </w:divBdr>
    </w:div>
    <w:div w:id="360866361">
      <w:bodyDiv w:val="1"/>
      <w:marLeft w:val="0"/>
      <w:marRight w:val="0"/>
      <w:marTop w:val="0"/>
      <w:marBottom w:val="0"/>
      <w:divBdr>
        <w:top w:val="none" w:sz="0" w:space="0" w:color="auto"/>
        <w:left w:val="none" w:sz="0" w:space="0" w:color="auto"/>
        <w:bottom w:val="none" w:sz="0" w:space="0" w:color="auto"/>
        <w:right w:val="none" w:sz="0" w:space="0" w:color="auto"/>
      </w:divBdr>
    </w:div>
    <w:div w:id="360933146">
      <w:bodyDiv w:val="1"/>
      <w:marLeft w:val="0"/>
      <w:marRight w:val="0"/>
      <w:marTop w:val="0"/>
      <w:marBottom w:val="0"/>
      <w:divBdr>
        <w:top w:val="none" w:sz="0" w:space="0" w:color="auto"/>
        <w:left w:val="none" w:sz="0" w:space="0" w:color="auto"/>
        <w:bottom w:val="none" w:sz="0" w:space="0" w:color="auto"/>
        <w:right w:val="none" w:sz="0" w:space="0" w:color="auto"/>
      </w:divBdr>
    </w:div>
    <w:div w:id="366949079">
      <w:bodyDiv w:val="1"/>
      <w:marLeft w:val="0"/>
      <w:marRight w:val="0"/>
      <w:marTop w:val="0"/>
      <w:marBottom w:val="0"/>
      <w:divBdr>
        <w:top w:val="none" w:sz="0" w:space="0" w:color="auto"/>
        <w:left w:val="none" w:sz="0" w:space="0" w:color="auto"/>
        <w:bottom w:val="none" w:sz="0" w:space="0" w:color="auto"/>
        <w:right w:val="none" w:sz="0" w:space="0" w:color="auto"/>
      </w:divBdr>
    </w:div>
    <w:div w:id="387343010">
      <w:bodyDiv w:val="1"/>
      <w:marLeft w:val="0"/>
      <w:marRight w:val="0"/>
      <w:marTop w:val="0"/>
      <w:marBottom w:val="0"/>
      <w:divBdr>
        <w:top w:val="none" w:sz="0" w:space="0" w:color="auto"/>
        <w:left w:val="none" w:sz="0" w:space="0" w:color="auto"/>
        <w:bottom w:val="none" w:sz="0" w:space="0" w:color="auto"/>
        <w:right w:val="none" w:sz="0" w:space="0" w:color="auto"/>
      </w:divBdr>
    </w:div>
    <w:div w:id="405029619">
      <w:bodyDiv w:val="1"/>
      <w:marLeft w:val="0"/>
      <w:marRight w:val="0"/>
      <w:marTop w:val="0"/>
      <w:marBottom w:val="0"/>
      <w:divBdr>
        <w:top w:val="none" w:sz="0" w:space="0" w:color="auto"/>
        <w:left w:val="none" w:sz="0" w:space="0" w:color="auto"/>
        <w:bottom w:val="none" w:sz="0" w:space="0" w:color="auto"/>
        <w:right w:val="none" w:sz="0" w:space="0" w:color="auto"/>
      </w:divBdr>
    </w:div>
    <w:div w:id="415246380">
      <w:bodyDiv w:val="1"/>
      <w:marLeft w:val="0"/>
      <w:marRight w:val="0"/>
      <w:marTop w:val="0"/>
      <w:marBottom w:val="0"/>
      <w:divBdr>
        <w:top w:val="none" w:sz="0" w:space="0" w:color="auto"/>
        <w:left w:val="none" w:sz="0" w:space="0" w:color="auto"/>
        <w:bottom w:val="none" w:sz="0" w:space="0" w:color="auto"/>
        <w:right w:val="none" w:sz="0" w:space="0" w:color="auto"/>
      </w:divBdr>
    </w:div>
    <w:div w:id="418213515">
      <w:bodyDiv w:val="1"/>
      <w:marLeft w:val="0"/>
      <w:marRight w:val="0"/>
      <w:marTop w:val="0"/>
      <w:marBottom w:val="0"/>
      <w:divBdr>
        <w:top w:val="none" w:sz="0" w:space="0" w:color="auto"/>
        <w:left w:val="none" w:sz="0" w:space="0" w:color="auto"/>
        <w:bottom w:val="none" w:sz="0" w:space="0" w:color="auto"/>
        <w:right w:val="none" w:sz="0" w:space="0" w:color="auto"/>
      </w:divBdr>
    </w:div>
    <w:div w:id="427652272">
      <w:bodyDiv w:val="1"/>
      <w:marLeft w:val="0"/>
      <w:marRight w:val="0"/>
      <w:marTop w:val="0"/>
      <w:marBottom w:val="0"/>
      <w:divBdr>
        <w:top w:val="none" w:sz="0" w:space="0" w:color="auto"/>
        <w:left w:val="none" w:sz="0" w:space="0" w:color="auto"/>
        <w:bottom w:val="none" w:sz="0" w:space="0" w:color="auto"/>
        <w:right w:val="none" w:sz="0" w:space="0" w:color="auto"/>
      </w:divBdr>
    </w:div>
    <w:div w:id="437797657">
      <w:bodyDiv w:val="1"/>
      <w:marLeft w:val="0"/>
      <w:marRight w:val="0"/>
      <w:marTop w:val="0"/>
      <w:marBottom w:val="0"/>
      <w:divBdr>
        <w:top w:val="none" w:sz="0" w:space="0" w:color="auto"/>
        <w:left w:val="none" w:sz="0" w:space="0" w:color="auto"/>
        <w:bottom w:val="none" w:sz="0" w:space="0" w:color="auto"/>
        <w:right w:val="none" w:sz="0" w:space="0" w:color="auto"/>
      </w:divBdr>
    </w:div>
    <w:div w:id="448475621">
      <w:bodyDiv w:val="1"/>
      <w:marLeft w:val="0"/>
      <w:marRight w:val="0"/>
      <w:marTop w:val="0"/>
      <w:marBottom w:val="0"/>
      <w:divBdr>
        <w:top w:val="none" w:sz="0" w:space="0" w:color="auto"/>
        <w:left w:val="none" w:sz="0" w:space="0" w:color="auto"/>
        <w:bottom w:val="none" w:sz="0" w:space="0" w:color="auto"/>
        <w:right w:val="none" w:sz="0" w:space="0" w:color="auto"/>
      </w:divBdr>
    </w:div>
    <w:div w:id="462894149">
      <w:bodyDiv w:val="1"/>
      <w:marLeft w:val="0"/>
      <w:marRight w:val="0"/>
      <w:marTop w:val="0"/>
      <w:marBottom w:val="0"/>
      <w:divBdr>
        <w:top w:val="none" w:sz="0" w:space="0" w:color="auto"/>
        <w:left w:val="none" w:sz="0" w:space="0" w:color="auto"/>
        <w:bottom w:val="none" w:sz="0" w:space="0" w:color="auto"/>
        <w:right w:val="none" w:sz="0" w:space="0" w:color="auto"/>
      </w:divBdr>
    </w:div>
    <w:div w:id="490946152">
      <w:bodyDiv w:val="1"/>
      <w:marLeft w:val="0"/>
      <w:marRight w:val="0"/>
      <w:marTop w:val="0"/>
      <w:marBottom w:val="0"/>
      <w:divBdr>
        <w:top w:val="none" w:sz="0" w:space="0" w:color="auto"/>
        <w:left w:val="none" w:sz="0" w:space="0" w:color="auto"/>
        <w:bottom w:val="none" w:sz="0" w:space="0" w:color="auto"/>
        <w:right w:val="none" w:sz="0" w:space="0" w:color="auto"/>
      </w:divBdr>
    </w:div>
    <w:div w:id="491601205">
      <w:bodyDiv w:val="1"/>
      <w:marLeft w:val="0"/>
      <w:marRight w:val="0"/>
      <w:marTop w:val="0"/>
      <w:marBottom w:val="0"/>
      <w:divBdr>
        <w:top w:val="none" w:sz="0" w:space="0" w:color="auto"/>
        <w:left w:val="none" w:sz="0" w:space="0" w:color="auto"/>
        <w:bottom w:val="none" w:sz="0" w:space="0" w:color="auto"/>
        <w:right w:val="none" w:sz="0" w:space="0" w:color="auto"/>
      </w:divBdr>
    </w:div>
    <w:div w:id="511647053">
      <w:bodyDiv w:val="1"/>
      <w:marLeft w:val="0"/>
      <w:marRight w:val="0"/>
      <w:marTop w:val="0"/>
      <w:marBottom w:val="0"/>
      <w:divBdr>
        <w:top w:val="none" w:sz="0" w:space="0" w:color="auto"/>
        <w:left w:val="none" w:sz="0" w:space="0" w:color="auto"/>
        <w:bottom w:val="none" w:sz="0" w:space="0" w:color="auto"/>
        <w:right w:val="none" w:sz="0" w:space="0" w:color="auto"/>
      </w:divBdr>
    </w:div>
    <w:div w:id="518813157">
      <w:bodyDiv w:val="1"/>
      <w:marLeft w:val="0"/>
      <w:marRight w:val="0"/>
      <w:marTop w:val="0"/>
      <w:marBottom w:val="0"/>
      <w:divBdr>
        <w:top w:val="none" w:sz="0" w:space="0" w:color="auto"/>
        <w:left w:val="none" w:sz="0" w:space="0" w:color="auto"/>
        <w:bottom w:val="none" w:sz="0" w:space="0" w:color="auto"/>
        <w:right w:val="none" w:sz="0" w:space="0" w:color="auto"/>
      </w:divBdr>
    </w:div>
    <w:div w:id="536234542">
      <w:bodyDiv w:val="1"/>
      <w:marLeft w:val="0"/>
      <w:marRight w:val="0"/>
      <w:marTop w:val="0"/>
      <w:marBottom w:val="0"/>
      <w:divBdr>
        <w:top w:val="none" w:sz="0" w:space="0" w:color="auto"/>
        <w:left w:val="none" w:sz="0" w:space="0" w:color="auto"/>
        <w:bottom w:val="none" w:sz="0" w:space="0" w:color="auto"/>
        <w:right w:val="none" w:sz="0" w:space="0" w:color="auto"/>
      </w:divBdr>
    </w:div>
    <w:div w:id="549998184">
      <w:bodyDiv w:val="1"/>
      <w:marLeft w:val="0"/>
      <w:marRight w:val="0"/>
      <w:marTop w:val="0"/>
      <w:marBottom w:val="0"/>
      <w:divBdr>
        <w:top w:val="none" w:sz="0" w:space="0" w:color="auto"/>
        <w:left w:val="none" w:sz="0" w:space="0" w:color="auto"/>
        <w:bottom w:val="none" w:sz="0" w:space="0" w:color="auto"/>
        <w:right w:val="none" w:sz="0" w:space="0" w:color="auto"/>
      </w:divBdr>
    </w:div>
    <w:div w:id="557283185">
      <w:bodyDiv w:val="1"/>
      <w:marLeft w:val="0"/>
      <w:marRight w:val="0"/>
      <w:marTop w:val="0"/>
      <w:marBottom w:val="0"/>
      <w:divBdr>
        <w:top w:val="none" w:sz="0" w:space="0" w:color="auto"/>
        <w:left w:val="none" w:sz="0" w:space="0" w:color="auto"/>
        <w:bottom w:val="none" w:sz="0" w:space="0" w:color="auto"/>
        <w:right w:val="none" w:sz="0" w:space="0" w:color="auto"/>
      </w:divBdr>
    </w:div>
    <w:div w:id="566766339">
      <w:bodyDiv w:val="1"/>
      <w:marLeft w:val="0"/>
      <w:marRight w:val="0"/>
      <w:marTop w:val="0"/>
      <w:marBottom w:val="0"/>
      <w:divBdr>
        <w:top w:val="none" w:sz="0" w:space="0" w:color="auto"/>
        <w:left w:val="none" w:sz="0" w:space="0" w:color="auto"/>
        <w:bottom w:val="none" w:sz="0" w:space="0" w:color="auto"/>
        <w:right w:val="none" w:sz="0" w:space="0" w:color="auto"/>
      </w:divBdr>
    </w:div>
    <w:div w:id="580262116">
      <w:bodyDiv w:val="1"/>
      <w:marLeft w:val="0"/>
      <w:marRight w:val="0"/>
      <w:marTop w:val="0"/>
      <w:marBottom w:val="0"/>
      <w:divBdr>
        <w:top w:val="none" w:sz="0" w:space="0" w:color="auto"/>
        <w:left w:val="none" w:sz="0" w:space="0" w:color="auto"/>
        <w:bottom w:val="none" w:sz="0" w:space="0" w:color="auto"/>
        <w:right w:val="none" w:sz="0" w:space="0" w:color="auto"/>
      </w:divBdr>
    </w:div>
    <w:div w:id="582379776">
      <w:bodyDiv w:val="1"/>
      <w:marLeft w:val="0"/>
      <w:marRight w:val="0"/>
      <w:marTop w:val="0"/>
      <w:marBottom w:val="0"/>
      <w:divBdr>
        <w:top w:val="none" w:sz="0" w:space="0" w:color="auto"/>
        <w:left w:val="none" w:sz="0" w:space="0" w:color="auto"/>
        <w:bottom w:val="none" w:sz="0" w:space="0" w:color="auto"/>
        <w:right w:val="none" w:sz="0" w:space="0" w:color="auto"/>
      </w:divBdr>
    </w:div>
    <w:div w:id="582572124">
      <w:bodyDiv w:val="1"/>
      <w:marLeft w:val="0"/>
      <w:marRight w:val="0"/>
      <w:marTop w:val="0"/>
      <w:marBottom w:val="0"/>
      <w:divBdr>
        <w:top w:val="none" w:sz="0" w:space="0" w:color="auto"/>
        <w:left w:val="none" w:sz="0" w:space="0" w:color="auto"/>
        <w:bottom w:val="none" w:sz="0" w:space="0" w:color="auto"/>
        <w:right w:val="none" w:sz="0" w:space="0" w:color="auto"/>
      </w:divBdr>
    </w:div>
    <w:div w:id="596906013">
      <w:bodyDiv w:val="1"/>
      <w:marLeft w:val="0"/>
      <w:marRight w:val="0"/>
      <w:marTop w:val="0"/>
      <w:marBottom w:val="0"/>
      <w:divBdr>
        <w:top w:val="none" w:sz="0" w:space="0" w:color="auto"/>
        <w:left w:val="none" w:sz="0" w:space="0" w:color="auto"/>
        <w:bottom w:val="none" w:sz="0" w:space="0" w:color="auto"/>
        <w:right w:val="none" w:sz="0" w:space="0" w:color="auto"/>
      </w:divBdr>
    </w:div>
    <w:div w:id="630596957">
      <w:bodyDiv w:val="1"/>
      <w:marLeft w:val="0"/>
      <w:marRight w:val="0"/>
      <w:marTop w:val="0"/>
      <w:marBottom w:val="0"/>
      <w:divBdr>
        <w:top w:val="none" w:sz="0" w:space="0" w:color="auto"/>
        <w:left w:val="none" w:sz="0" w:space="0" w:color="auto"/>
        <w:bottom w:val="none" w:sz="0" w:space="0" w:color="auto"/>
        <w:right w:val="none" w:sz="0" w:space="0" w:color="auto"/>
      </w:divBdr>
    </w:div>
    <w:div w:id="653723003">
      <w:bodyDiv w:val="1"/>
      <w:marLeft w:val="0"/>
      <w:marRight w:val="0"/>
      <w:marTop w:val="0"/>
      <w:marBottom w:val="0"/>
      <w:divBdr>
        <w:top w:val="none" w:sz="0" w:space="0" w:color="auto"/>
        <w:left w:val="none" w:sz="0" w:space="0" w:color="auto"/>
        <w:bottom w:val="none" w:sz="0" w:space="0" w:color="auto"/>
        <w:right w:val="none" w:sz="0" w:space="0" w:color="auto"/>
      </w:divBdr>
    </w:div>
    <w:div w:id="672491666">
      <w:bodyDiv w:val="1"/>
      <w:marLeft w:val="0"/>
      <w:marRight w:val="0"/>
      <w:marTop w:val="0"/>
      <w:marBottom w:val="0"/>
      <w:divBdr>
        <w:top w:val="none" w:sz="0" w:space="0" w:color="auto"/>
        <w:left w:val="none" w:sz="0" w:space="0" w:color="auto"/>
        <w:bottom w:val="none" w:sz="0" w:space="0" w:color="auto"/>
        <w:right w:val="none" w:sz="0" w:space="0" w:color="auto"/>
      </w:divBdr>
    </w:div>
    <w:div w:id="690254197">
      <w:bodyDiv w:val="1"/>
      <w:marLeft w:val="0"/>
      <w:marRight w:val="0"/>
      <w:marTop w:val="0"/>
      <w:marBottom w:val="0"/>
      <w:divBdr>
        <w:top w:val="none" w:sz="0" w:space="0" w:color="auto"/>
        <w:left w:val="none" w:sz="0" w:space="0" w:color="auto"/>
        <w:bottom w:val="none" w:sz="0" w:space="0" w:color="auto"/>
        <w:right w:val="none" w:sz="0" w:space="0" w:color="auto"/>
      </w:divBdr>
    </w:div>
    <w:div w:id="698239943">
      <w:bodyDiv w:val="1"/>
      <w:marLeft w:val="0"/>
      <w:marRight w:val="0"/>
      <w:marTop w:val="0"/>
      <w:marBottom w:val="0"/>
      <w:divBdr>
        <w:top w:val="none" w:sz="0" w:space="0" w:color="auto"/>
        <w:left w:val="none" w:sz="0" w:space="0" w:color="auto"/>
        <w:bottom w:val="none" w:sz="0" w:space="0" w:color="auto"/>
        <w:right w:val="none" w:sz="0" w:space="0" w:color="auto"/>
      </w:divBdr>
    </w:div>
    <w:div w:id="702707361">
      <w:bodyDiv w:val="1"/>
      <w:marLeft w:val="0"/>
      <w:marRight w:val="0"/>
      <w:marTop w:val="0"/>
      <w:marBottom w:val="0"/>
      <w:divBdr>
        <w:top w:val="none" w:sz="0" w:space="0" w:color="auto"/>
        <w:left w:val="none" w:sz="0" w:space="0" w:color="auto"/>
        <w:bottom w:val="none" w:sz="0" w:space="0" w:color="auto"/>
        <w:right w:val="none" w:sz="0" w:space="0" w:color="auto"/>
      </w:divBdr>
    </w:div>
    <w:div w:id="705102585">
      <w:bodyDiv w:val="1"/>
      <w:marLeft w:val="0"/>
      <w:marRight w:val="0"/>
      <w:marTop w:val="0"/>
      <w:marBottom w:val="0"/>
      <w:divBdr>
        <w:top w:val="none" w:sz="0" w:space="0" w:color="auto"/>
        <w:left w:val="none" w:sz="0" w:space="0" w:color="auto"/>
        <w:bottom w:val="none" w:sz="0" w:space="0" w:color="auto"/>
        <w:right w:val="none" w:sz="0" w:space="0" w:color="auto"/>
      </w:divBdr>
    </w:div>
    <w:div w:id="712460770">
      <w:bodyDiv w:val="1"/>
      <w:marLeft w:val="0"/>
      <w:marRight w:val="0"/>
      <w:marTop w:val="0"/>
      <w:marBottom w:val="0"/>
      <w:divBdr>
        <w:top w:val="none" w:sz="0" w:space="0" w:color="auto"/>
        <w:left w:val="none" w:sz="0" w:space="0" w:color="auto"/>
        <w:bottom w:val="none" w:sz="0" w:space="0" w:color="auto"/>
        <w:right w:val="none" w:sz="0" w:space="0" w:color="auto"/>
      </w:divBdr>
    </w:div>
    <w:div w:id="741877251">
      <w:bodyDiv w:val="1"/>
      <w:marLeft w:val="0"/>
      <w:marRight w:val="0"/>
      <w:marTop w:val="0"/>
      <w:marBottom w:val="0"/>
      <w:divBdr>
        <w:top w:val="none" w:sz="0" w:space="0" w:color="auto"/>
        <w:left w:val="none" w:sz="0" w:space="0" w:color="auto"/>
        <w:bottom w:val="none" w:sz="0" w:space="0" w:color="auto"/>
        <w:right w:val="none" w:sz="0" w:space="0" w:color="auto"/>
      </w:divBdr>
    </w:div>
    <w:div w:id="743451453">
      <w:bodyDiv w:val="1"/>
      <w:marLeft w:val="0"/>
      <w:marRight w:val="0"/>
      <w:marTop w:val="0"/>
      <w:marBottom w:val="0"/>
      <w:divBdr>
        <w:top w:val="none" w:sz="0" w:space="0" w:color="auto"/>
        <w:left w:val="none" w:sz="0" w:space="0" w:color="auto"/>
        <w:bottom w:val="none" w:sz="0" w:space="0" w:color="auto"/>
        <w:right w:val="none" w:sz="0" w:space="0" w:color="auto"/>
      </w:divBdr>
    </w:div>
    <w:div w:id="758866159">
      <w:bodyDiv w:val="1"/>
      <w:marLeft w:val="0"/>
      <w:marRight w:val="0"/>
      <w:marTop w:val="0"/>
      <w:marBottom w:val="0"/>
      <w:divBdr>
        <w:top w:val="none" w:sz="0" w:space="0" w:color="auto"/>
        <w:left w:val="none" w:sz="0" w:space="0" w:color="auto"/>
        <w:bottom w:val="none" w:sz="0" w:space="0" w:color="auto"/>
        <w:right w:val="none" w:sz="0" w:space="0" w:color="auto"/>
      </w:divBdr>
    </w:div>
    <w:div w:id="773286485">
      <w:bodyDiv w:val="1"/>
      <w:marLeft w:val="0"/>
      <w:marRight w:val="0"/>
      <w:marTop w:val="0"/>
      <w:marBottom w:val="0"/>
      <w:divBdr>
        <w:top w:val="none" w:sz="0" w:space="0" w:color="auto"/>
        <w:left w:val="none" w:sz="0" w:space="0" w:color="auto"/>
        <w:bottom w:val="none" w:sz="0" w:space="0" w:color="auto"/>
        <w:right w:val="none" w:sz="0" w:space="0" w:color="auto"/>
      </w:divBdr>
    </w:div>
    <w:div w:id="783697656">
      <w:bodyDiv w:val="1"/>
      <w:marLeft w:val="0"/>
      <w:marRight w:val="0"/>
      <w:marTop w:val="0"/>
      <w:marBottom w:val="0"/>
      <w:divBdr>
        <w:top w:val="none" w:sz="0" w:space="0" w:color="auto"/>
        <w:left w:val="none" w:sz="0" w:space="0" w:color="auto"/>
        <w:bottom w:val="none" w:sz="0" w:space="0" w:color="auto"/>
        <w:right w:val="none" w:sz="0" w:space="0" w:color="auto"/>
      </w:divBdr>
    </w:div>
    <w:div w:id="786584839">
      <w:bodyDiv w:val="1"/>
      <w:marLeft w:val="0"/>
      <w:marRight w:val="0"/>
      <w:marTop w:val="0"/>
      <w:marBottom w:val="0"/>
      <w:divBdr>
        <w:top w:val="none" w:sz="0" w:space="0" w:color="auto"/>
        <w:left w:val="none" w:sz="0" w:space="0" w:color="auto"/>
        <w:bottom w:val="none" w:sz="0" w:space="0" w:color="auto"/>
        <w:right w:val="none" w:sz="0" w:space="0" w:color="auto"/>
      </w:divBdr>
    </w:div>
    <w:div w:id="802039660">
      <w:bodyDiv w:val="1"/>
      <w:marLeft w:val="0"/>
      <w:marRight w:val="0"/>
      <w:marTop w:val="0"/>
      <w:marBottom w:val="0"/>
      <w:divBdr>
        <w:top w:val="none" w:sz="0" w:space="0" w:color="auto"/>
        <w:left w:val="none" w:sz="0" w:space="0" w:color="auto"/>
        <w:bottom w:val="none" w:sz="0" w:space="0" w:color="auto"/>
        <w:right w:val="none" w:sz="0" w:space="0" w:color="auto"/>
      </w:divBdr>
    </w:div>
    <w:div w:id="809784519">
      <w:bodyDiv w:val="1"/>
      <w:marLeft w:val="0"/>
      <w:marRight w:val="0"/>
      <w:marTop w:val="0"/>
      <w:marBottom w:val="0"/>
      <w:divBdr>
        <w:top w:val="none" w:sz="0" w:space="0" w:color="auto"/>
        <w:left w:val="none" w:sz="0" w:space="0" w:color="auto"/>
        <w:bottom w:val="none" w:sz="0" w:space="0" w:color="auto"/>
        <w:right w:val="none" w:sz="0" w:space="0" w:color="auto"/>
      </w:divBdr>
    </w:div>
    <w:div w:id="810437864">
      <w:bodyDiv w:val="1"/>
      <w:marLeft w:val="0"/>
      <w:marRight w:val="0"/>
      <w:marTop w:val="0"/>
      <w:marBottom w:val="0"/>
      <w:divBdr>
        <w:top w:val="none" w:sz="0" w:space="0" w:color="auto"/>
        <w:left w:val="none" w:sz="0" w:space="0" w:color="auto"/>
        <w:bottom w:val="none" w:sz="0" w:space="0" w:color="auto"/>
        <w:right w:val="none" w:sz="0" w:space="0" w:color="auto"/>
      </w:divBdr>
    </w:div>
    <w:div w:id="810824637">
      <w:bodyDiv w:val="1"/>
      <w:marLeft w:val="0"/>
      <w:marRight w:val="0"/>
      <w:marTop w:val="0"/>
      <w:marBottom w:val="0"/>
      <w:divBdr>
        <w:top w:val="none" w:sz="0" w:space="0" w:color="auto"/>
        <w:left w:val="none" w:sz="0" w:space="0" w:color="auto"/>
        <w:bottom w:val="none" w:sz="0" w:space="0" w:color="auto"/>
        <w:right w:val="none" w:sz="0" w:space="0" w:color="auto"/>
      </w:divBdr>
      <w:divsChild>
        <w:div w:id="3017339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74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131735">
      <w:bodyDiv w:val="1"/>
      <w:marLeft w:val="0"/>
      <w:marRight w:val="0"/>
      <w:marTop w:val="0"/>
      <w:marBottom w:val="0"/>
      <w:divBdr>
        <w:top w:val="none" w:sz="0" w:space="0" w:color="auto"/>
        <w:left w:val="none" w:sz="0" w:space="0" w:color="auto"/>
        <w:bottom w:val="none" w:sz="0" w:space="0" w:color="auto"/>
        <w:right w:val="none" w:sz="0" w:space="0" w:color="auto"/>
      </w:divBdr>
    </w:div>
    <w:div w:id="833029791">
      <w:bodyDiv w:val="1"/>
      <w:marLeft w:val="0"/>
      <w:marRight w:val="0"/>
      <w:marTop w:val="0"/>
      <w:marBottom w:val="0"/>
      <w:divBdr>
        <w:top w:val="none" w:sz="0" w:space="0" w:color="auto"/>
        <w:left w:val="none" w:sz="0" w:space="0" w:color="auto"/>
        <w:bottom w:val="none" w:sz="0" w:space="0" w:color="auto"/>
        <w:right w:val="none" w:sz="0" w:space="0" w:color="auto"/>
      </w:divBdr>
    </w:div>
    <w:div w:id="841161821">
      <w:bodyDiv w:val="1"/>
      <w:marLeft w:val="0"/>
      <w:marRight w:val="0"/>
      <w:marTop w:val="0"/>
      <w:marBottom w:val="0"/>
      <w:divBdr>
        <w:top w:val="none" w:sz="0" w:space="0" w:color="auto"/>
        <w:left w:val="none" w:sz="0" w:space="0" w:color="auto"/>
        <w:bottom w:val="none" w:sz="0" w:space="0" w:color="auto"/>
        <w:right w:val="none" w:sz="0" w:space="0" w:color="auto"/>
      </w:divBdr>
    </w:div>
    <w:div w:id="841580110">
      <w:bodyDiv w:val="1"/>
      <w:marLeft w:val="0"/>
      <w:marRight w:val="0"/>
      <w:marTop w:val="0"/>
      <w:marBottom w:val="0"/>
      <w:divBdr>
        <w:top w:val="none" w:sz="0" w:space="0" w:color="auto"/>
        <w:left w:val="none" w:sz="0" w:space="0" w:color="auto"/>
        <w:bottom w:val="none" w:sz="0" w:space="0" w:color="auto"/>
        <w:right w:val="none" w:sz="0" w:space="0" w:color="auto"/>
      </w:divBdr>
    </w:div>
    <w:div w:id="845049415">
      <w:bodyDiv w:val="1"/>
      <w:marLeft w:val="0"/>
      <w:marRight w:val="0"/>
      <w:marTop w:val="0"/>
      <w:marBottom w:val="0"/>
      <w:divBdr>
        <w:top w:val="none" w:sz="0" w:space="0" w:color="auto"/>
        <w:left w:val="none" w:sz="0" w:space="0" w:color="auto"/>
        <w:bottom w:val="none" w:sz="0" w:space="0" w:color="auto"/>
        <w:right w:val="none" w:sz="0" w:space="0" w:color="auto"/>
      </w:divBdr>
    </w:div>
    <w:div w:id="846142470">
      <w:bodyDiv w:val="1"/>
      <w:marLeft w:val="0"/>
      <w:marRight w:val="0"/>
      <w:marTop w:val="0"/>
      <w:marBottom w:val="0"/>
      <w:divBdr>
        <w:top w:val="none" w:sz="0" w:space="0" w:color="auto"/>
        <w:left w:val="none" w:sz="0" w:space="0" w:color="auto"/>
        <w:bottom w:val="none" w:sz="0" w:space="0" w:color="auto"/>
        <w:right w:val="none" w:sz="0" w:space="0" w:color="auto"/>
      </w:divBdr>
    </w:div>
    <w:div w:id="848102972">
      <w:bodyDiv w:val="1"/>
      <w:marLeft w:val="0"/>
      <w:marRight w:val="0"/>
      <w:marTop w:val="0"/>
      <w:marBottom w:val="0"/>
      <w:divBdr>
        <w:top w:val="none" w:sz="0" w:space="0" w:color="auto"/>
        <w:left w:val="none" w:sz="0" w:space="0" w:color="auto"/>
        <w:bottom w:val="none" w:sz="0" w:space="0" w:color="auto"/>
        <w:right w:val="none" w:sz="0" w:space="0" w:color="auto"/>
      </w:divBdr>
    </w:div>
    <w:div w:id="878012162">
      <w:bodyDiv w:val="1"/>
      <w:marLeft w:val="0"/>
      <w:marRight w:val="0"/>
      <w:marTop w:val="0"/>
      <w:marBottom w:val="0"/>
      <w:divBdr>
        <w:top w:val="none" w:sz="0" w:space="0" w:color="auto"/>
        <w:left w:val="none" w:sz="0" w:space="0" w:color="auto"/>
        <w:bottom w:val="none" w:sz="0" w:space="0" w:color="auto"/>
        <w:right w:val="none" w:sz="0" w:space="0" w:color="auto"/>
      </w:divBdr>
    </w:div>
    <w:div w:id="893614271">
      <w:bodyDiv w:val="1"/>
      <w:marLeft w:val="0"/>
      <w:marRight w:val="0"/>
      <w:marTop w:val="0"/>
      <w:marBottom w:val="0"/>
      <w:divBdr>
        <w:top w:val="none" w:sz="0" w:space="0" w:color="auto"/>
        <w:left w:val="none" w:sz="0" w:space="0" w:color="auto"/>
        <w:bottom w:val="none" w:sz="0" w:space="0" w:color="auto"/>
        <w:right w:val="none" w:sz="0" w:space="0" w:color="auto"/>
      </w:divBdr>
    </w:div>
    <w:div w:id="910189827">
      <w:bodyDiv w:val="1"/>
      <w:marLeft w:val="0"/>
      <w:marRight w:val="0"/>
      <w:marTop w:val="0"/>
      <w:marBottom w:val="0"/>
      <w:divBdr>
        <w:top w:val="none" w:sz="0" w:space="0" w:color="auto"/>
        <w:left w:val="none" w:sz="0" w:space="0" w:color="auto"/>
        <w:bottom w:val="none" w:sz="0" w:space="0" w:color="auto"/>
        <w:right w:val="none" w:sz="0" w:space="0" w:color="auto"/>
      </w:divBdr>
    </w:div>
    <w:div w:id="932127517">
      <w:bodyDiv w:val="1"/>
      <w:marLeft w:val="0"/>
      <w:marRight w:val="0"/>
      <w:marTop w:val="0"/>
      <w:marBottom w:val="0"/>
      <w:divBdr>
        <w:top w:val="none" w:sz="0" w:space="0" w:color="auto"/>
        <w:left w:val="none" w:sz="0" w:space="0" w:color="auto"/>
        <w:bottom w:val="none" w:sz="0" w:space="0" w:color="auto"/>
        <w:right w:val="none" w:sz="0" w:space="0" w:color="auto"/>
      </w:divBdr>
    </w:div>
    <w:div w:id="946735645">
      <w:bodyDiv w:val="1"/>
      <w:marLeft w:val="0"/>
      <w:marRight w:val="0"/>
      <w:marTop w:val="0"/>
      <w:marBottom w:val="0"/>
      <w:divBdr>
        <w:top w:val="none" w:sz="0" w:space="0" w:color="auto"/>
        <w:left w:val="none" w:sz="0" w:space="0" w:color="auto"/>
        <w:bottom w:val="none" w:sz="0" w:space="0" w:color="auto"/>
        <w:right w:val="none" w:sz="0" w:space="0" w:color="auto"/>
      </w:divBdr>
    </w:div>
    <w:div w:id="957566419">
      <w:bodyDiv w:val="1"/>
      <w:marLeft w:val="0"/>
      <w:marRight w:val="0"/>
      <w:marTop w:val="0"/>
      <w:marBottom w:val="0"/>
      <w:divBdr>
        <w:top w:val="none" w:sz="0" w:space="0" w:color="auto"/>
        <w:left w:val="none" w:sz="0" w:space="0" w:color="auto"/>
        <w:bottom w:val="none" w:sz="0" w:space="0" w:color="auto"/>
        <w:right w:val="none" w:sz="0" w:space="0" w:color="auto"/>
      </w:divBdr>
    </w:div>
    <w:div w:id="958417074">
      <w:bodyDiv w:val="1"/>
      <w:marLeft w:val="0"/>
      <w:marRight w:val="0"/>
      <w:marTop w:val="0"/>
      <w:marBottom w:val="0"/>
      <w:divBdr>
        <w:top w:val="none" w:sz="0" w:space="0" w:color="auto"/>
        <w:left w:val="none" w:sz="0" w:space="0" w:color="auto"/>
        <w:bottom w:val="none" w:sz="0" w:space="0" w:color="auto"/>
        <w:right w:val="none" w:sz="0" w:space="0" w:color="auto"/>
      </w:divBdr>
    </w:div>
    <w:div w:id="970942555">
      <w:bodyDiv w:val="1"/>
      <w:marLeft w:val="0"/>
      <w:marRight w:val="0"/>
      <w:marTop w:val="0"/>
      <w:marBottom w:val="0"/>
      <w:divBdr>
        <w:top w:val="none" w:sz="0" w:space="0" w:color="auto"/>
        <w:left w:val="none" w:sz="0" w:space="0" w:color="auto"/>
        <w:bottom w:val="none" w:sz="0" w:space="0" w:color="auto"/>
        <w:right w:val="none" w:sz="0" w:space="0" w:color="auto"/>
      </w:divBdr>
    </w:div>
    <w:div w:id="1006129511">
      <w:bodyDiv w:val="1"/>
      <w:marLeft w:val="0"/>
      <w:marRight w:val="0"/>
      <w:marTop w:val="0"/>
      <w:marBottom w:val="0"/>
      <w:divBdr>
        <w:top w:val="none" w:sz="0" w:space="0" w:color="auto"/>
        <w:left w:val="none" w:sz="0" w:space="0" w:color="auto"/>
        <w:bottom w:val="none" w:sz="0" w:space="0" w:color="auto"/>
        <w:right w:val="none" w:sz="0" w:space="0" w:color="auto"/>
      </w:divBdr>
    </w:div>
    <w:div w:id="1022130231">
      <w:bodyDiv w:val="1"/>
      <w:marLeft w:val="0"/>
      <w:marRight w:val="0"/>
      <w:marTop w:val="0"/>
      <w:marBottom w:val="0"/>
      <w:divBdr>
        <w:top w:val="none" w:sz="0" w:space="0" w:color="auto"/>
        <w:left w:val="none" w:sz="0" w:space="0" w:color="auto"/>
        <w:bottom w:val="none" w:sz="0" w:space="0" w:color="auto"/>
        <w:right w:val="none" w:sz="0" w:space="0" w:color="auto"/>
      </w:divBdr>
    </w:div>
    <w:div w:id="1035891328">
      <w:bodyDiv w:val="1"/>
      <w:marLeft w:val="0"/>
      <w:marRight w:val="0"/>
      <w:marTop w:val="0"/>
      <w:marBottom w:val="0"/>
      <w:divBdr>
        <w:top w:val="none" w:sz="0" w:space="0" w:color="auto"/>
        <w:left w:val="none" w:sz="0" w:space="0" w:color="auto"/>
        <w:bottom w:val="none" w:sz="0" w:space="0" w:color="auto"/>
        <w:right w:val="none" w:sz="0" w:space="0" w:color="auto"/>
      </w:divBdr>
    </w:div>
    <w:div w:id="1037780815">
      <w:bodyDiv w:val="1"/>
      <w:marLeft w:val="0"/>
      <w:marRight w:val="0"/>
      <w:marTop w:val="0"/>
      <w:marBottom w:val="0"/>
      <w:divBdr>
        <w:top w:val="none" w:sz="0" w:space="0" w:color="auto"/>
        <w:left w:val="none" w:sz="0" w:space="0" w:color="auto"/>
        <w:bottom w:val="none" w:sz="0" w:space="0" w:color="auto"/>
        <w:right w:val="none" w:sz="0" w:space="0" w:color="auto"/>
      </w:divBdr>
    </w:div>
    <w:div w:id="1048381603">
      <w:bodyDiv w:val="1"/>
      <w:marLeft w:val="0"/>
      <w:marRight w:val="0"/>
      <w:marTop w:val="0"/>
      <w:marBottom w:val="0"/>
      <w:divBdr>
        <w:top w:val="none" w:sz="0" w:space="0" w:color="auto"/>
        <w:left w:val="none" w:sz="0" w:space="0" w:color="auto"/>
        <w:bottom w:val="none" w:sz="0" w:space="0" w:color="auto"/>
        <w:right w:val="none" w:sz="0" w:space="0" w:color="auto"/>
      </w:divBdr>
    </w:div>
    <w:div w:id="1050613611">
      <w:bodyDiv w:val="1"/>
      <w:marLeft w:val="0"/>
      <w:marRight w:val="0"/>
      <w:marTop w:val="0"/>
      <w:marBottom w:val="0"/>
      <w:divBdr>
        <w:top w:val="none" w:sz="0" w:space="0" w:color="auto"/>
        <w:left w:val="none" w:sz="0" w:space="0" w:color="auto"/>
        <w:bottom w:val="none" w:sz="0" w:space="0" w:color="auto"/>
        <w:right w:val="none" w:sz="0" w:space="0" w:color="auto"/>
      </w:divBdr>
    </w:div>
    <w:div w:id="1080054476">
      <w:bodyDiv w:val="1"/>
      <w:marLeft w:val="0"/>
      <w:marRight w:val="0"/>
      <w:marTop w:val="0"/>
      <w:marBottom w:val="0"/>
      <w:divBdr>
        <w:top w:val="none" w:sz="0" w:space="0" w:color="auto"/>
        <w:left w:val="none" w:sz="0" w:space="0" w:color="auto"/>
        <w:bottom w:val="none" w:sz="0" w:space="0" w:color="auto"/>
        <w:right w:val="none" w:sz="0" w:space="0" w:color="auto"/>
      </w:divBdr>
    </w:div>
    <w:div w:id="1090933569">
      <w:bodyDiv w:val="1"/>
      <w:marLeft w:val="0"/>
      <w:marRight w:val="0"/>
      <w:marTop w:val="0"/>
      <w:marBottom w:val="0"/>
      <w:divBdr>
        <w:top w:val="none" w:sz="0" w:space="0" w:color="auto"/>
        <w:left w:val="none" w:sz="0" w:space="0" w:color="auto"/>
        <w:bottom w:val="none" w:sz="0" w:space="0" w:color="auto"/>
        <w:right w:val="none" w:sz="0" w:space="0" w:color="auto"/>
      </w:divBdr>
    </w:div>
    <w:div w:id="1092241488">
      <w:bodyDiv w:val="1"/>
      <w:marLeft w:val="0"/>
      <w:marRight w:val="0"/>
      <w:marTop w:val="0"/>
      <w:marBottom w:val="0"/>
      <w:divBdr>
        <w:top w:val="none" w:sz="0" w:space="0" w:color="auto"/>
        <w:left w:val="none" w:sz="0" w:space="0" w:color="auto"/>
        <w:bottom w:val="none" w:sz="0" w:space="0" w:color="auto"/>
        <w:right w:val="none" w:sz="0" w:space="0" w:color="auto"/>
      </w:divBdr>
    </w:div>
    <w:div w:id="1094858884">
      <w:bodyDiv w:val="1"/>
      <w:marLeft w:val="0"/>
      <w:marRight w:val="0"/>
      <w:marTop w:val="0"/>
      <w:marBottom w:val="0"/>
      <w:divBdr>
        <w:top w:val="none" w:sz="0" w:space="0" w:color="auto"/>
        <w:left w:val="none" w:sz="0" w:space="0" w:color="auto"/>
        <w:bottom w:val="none" w:sz="0" w:space="0" w:color="auto"/>
        <w:right w:val="none" w:sz="0" w:space="0" w:color="auto"/>
      </w:divBdr>
    </w:div>
    <w:div w:id="1106577134">
      <w:bodyDiv w:val="1"/>
      <w:marLeft w:val="0"/>
      <w:marRight w:val="0"/>
      <w:marTop w:val="0"/>
      <w:marBottom w:val="0"/>
      <w:divBdr>
        <w:top w:val="none" w:sz="0" w:space="0" w:color="auto"/>
        <w:left w:val="none" w:sz="0" w:space="0" w:color="auto"/>
        <w:bottom w:val="none" w:sz="0" w:space="0" w:color="auto"/>
        <w:right w:val="none" w:sz="0" w:space="0" w:color="auto"/>
      </w:divBdr>
    </w:div>
    <w:div w:id="1112936357">
      <w:bodyDiv w:val="1"/>
      <w:marLeft w:val="0"/>
      <w:marRight w:val="0"/>
      <w:marTop w:val="0"/>
      <w:marBottom w:val="0"/>
      <w:divBdr>
        <w:top w:val="none" w:sz="0" w:space="0" w:color="auto"/>
        <w:left w:val="none" w:sz="0" w:space="0" w:color="auto"/>
        <w:bottom w:val="none" w:sz="0" w:space="0" w:color="auto"/>
        <w:right w:val="none" w:sz="0" w:space="0" w:color="auto"/>
      </w:divBdr>
    </w:div>
    <w:div w:id="1114595536">
      <w:bodyDiv w:val="1"/>
      <w:marLeft w:val="0"/>
      <w:marRight w:val="0"/>
      <w:marTop w:val="0"/>
      <w:marBottom w:val="0"/>
      <w:divBdr>
        <w:top w:val="none" w:sz="0" w:space="0" w:color="auto"/>
        <w:left w:val="none" w:sz="0" w:space="0" w:color="auto"/>
        <w:bottom w:val="none" w:sz="0" w:space="0" w:color="auto"/>
        <w:right w:val="none" w:sz="0" w:space="0" w:color="auto"/>
      </w:divBdr>
    </w:div>
    <w:div w:id="1115322068">
      <w:bodyDiv w:val="1"/>
      <w:marLeft w:val="0"/>
      <w:marRight w:val="0"/>
      <w:marTop w:val="0"/>
      <w:marBottom w:val="0"/>
      <w:divBdr>
        <w:top w:val="none" w:sz="0" w:space="0" w:color="auto"/>
        <w:left w:val="none" w:sz="0" w:space="0" w:color="auto"/>
        <w:bottom w:val="none" w:sz="0" w:space="0" w:color="auto"/>
        <w:right w:val="none" w:sz="0" w:space="0" w:color="auto"/>
      </w:divBdr>
    </w:div>
    <w:div w:id="1115710650">
      <w:bodyDiv w:val="1"/>
      <w:marLeft w:val="0"/>
      <w:marRight w:val="0"/>
      <w:marTop w:val="0"/>
      <w:marBottom w:val="0"/>
      <w:divBdr>
        <w:top w:val="none" w:sz="0" w:space="0" w:color="auto"/>
        <w:left w:val="none" w:sz="0" w:space="0" w:color="auto"/>
        <w:bottom w:val="none" w:sz="0" w:space="0" w:color="auto"/>
        <w:right w:val="none" w:sz="0" w:space="0" w:color="auto"/>
      </w:divBdr>
    </w:div>
    <w:div w:id="1161889953">
      <w:bodyDiv w:val="1"/>
      <w:marLeft w:val="0"/>
      <w:marRight w:val="0"/>
      <w:marTop w:val="0"/>
      <w:marBottom w:val="0"/>
      <w:divBdr>
        <w:top w:val="none" w:sz="0" w:space="0" w:color="auto"/>
        <w:left w:val="none" w:sz="0" w:space="0" w:color="auto"/>
        <w:bottom w:val="none" w:sz="0" w:space="0" w:color="auto"/>
        <w:right w:val="none" w:sz="0" w:space="0" w:color="auto"/>
      </w:divBdr>
    </w:div>
    <w:div w:id="1164510237">
      <w:bodyDiv w:val="1"/>
      <w:marLeft w:val="0"/>
      <w:marRight w:val="0"/>
      <w:marTop w:val="0"/>
      <w:marBottom w:val="0"/>
      <w:divBdr>
        <w:top w:val="none" w:sz="0" w:space="0" w:color="auto"/>
        <w:left w:val="none" w:sz="0" w:space="0" w:color="auto"/>
        <w:bottom w:val="none" w:sz="0" w:space="0" w:color="auto"/>
        <w:right w:val="none" w:sz="0" w:space="0" w:color="auto"/>
      </w:divBdr>
    </w:div>
    <w:div w:id="1185364572">
      <w:bodyDiv w:val="1"/>
      <w:marLeft w:val="0"/>
      <w:marRight w:val="0"/>
      <w:marTop w:val="0"/>
      <w:marBottom w:val="0"/>
      <w:divBdr>
        <w:top w:val="none" w:sz="0" w:space="0" w:color="auto"/>
        <w:left w:val="none" w:sz="0" w:space="0" w:color="auto"/>
        <w:bottom w:val="none" w:sz="0" w:space="0" w:color="auto"/>
        <w:right w:val="none" w:sz="0" w:space="0" w:color="auto"/>
      </w:divBdr>
    </w:div>
    <w:div w:id="1190921745">
      <w:bodyDiv w:val="1"/>
      <w:marLeft w:val="0"/>
      <w:marRight w:val="0"/>
      <w:marTop w:val="0"/>
      <w:marBottom w:val="0"/>
      <w:divBdr>
        <w:top w:val="none" w:sz="0" w:space="0" w:color="auto"/>
        <w:left w:val="none" w:sz="0" w:space="0" w:color="auto"/>
        <w:bottom w:val="none" w:sz="0" w:space="0" w:color="auto"/>
        <w:right w:val="none" w:sz="0" w:space="0" w:color="auto"/>
      </w:divBdr>
    </w:div>
    <w:div w:id="1212494010">
      <w:bodyDiv w:val="1"/>
      <w:marLeft w:val="0"/>
      <w:marRight w:val="0"/>
      <w:marTop w:val="0"/>
      <w:marBottom w:val="0"/>
      <w:divBdr>
        <w:top w:val="none" w:sz="0" w:space="0" w:color="auto"/>
        <w:left w:val="none" w:sz="0" w:space="0" w:color="auto"/>
        <w:bottom w:val="none" w:sz="0" w:space="0" w:color="auto"/>
        <w:right w:val="none" w:sz="0" w:space="0" w:color="auto"/>
      </w:divBdr>
    </w:div>
    <w:div w:id="1217202267">
      <w:bodyDiv w:val="1"/>
      <w:marLeft w:val="0"/>
      <w:marRight w:val="0"/>
      <w:marTop w:val="0"/>
      <w:marBottom w:val="0"/>
      <w:divBdr>
        <w:top w:val="none" w:sz="0" w:space="0" w:color="auto"/>
        <w:left w:val="none" w:sz="0" w:space="0" w:color="auto"/>
        <w:bottom w:val="none" w:sz="0" w:space="0" w:color="auto"/>
        <w:right w:val="none" w:sz="0" w:space="0" w:color="auto"/>
      </w:divBdr>
    </w:div>
    <w:div w:id="1221360313">
      <w:bodyDiv w:val="1"/>
      <w:marLeft w:val="0"/>
      <w:marRight w:val="0"/>
      <w:marTop w:val="0"/>
      <w:marBottom w:val="0"/>
      <w:divBdr>
        <w:top w:val="none" w:sz="0" w:space="0" w:color="auto"/>
        <w:left w:val="none" w:sz="0" w:space="0" w:color="auto"/>
        <w:bottom w:val="none" w:sz="0" w:space="0" w:color="auto"/>
        <w:right w:val="none" w:sz="0" w:space="0" w:color="auto"/>
      </w:divBdr>
    </w:div>
    <w:div w:id="1224752865">
      <w:bodyDiv w:val="1"/>
      <w:marLeft w:val="0"/>
      <w:marRight w:val="0"/>
      <w:marTop w:val="0"/>
      <w:marBottom w:val="0"/>
      <w:divBdr>
        <w:top w:val="none" w:sz="0" w:space="0" w:color="auto"/>
        <w:left w:val="none" w:sz="0" w:space="0" w:color="auto"/>
        <w:bottom w:val="none" w:sz="0" w:space="0" w:color="auto"/>
        <w:right w:val="none" w:sz="0" w:space="0" w:color="auto"/>
      </w:divBdr>
    </w:div>
    <w:div w:id="1230193610">
      <w:bodyDiv w:val="1"/>
      <w:marLeft w:val="0"/>
      <w:marRight w:val="0"/>
      <w:marTop w:val="0"/>
      <w:marBottom w:val="0"/>
      <w:divBdr>
        <w:top w:val="none" w:sz="0" w:space="0" w:color="auto"/>
        <w:left w:val="none" w:sz="0" w:space="0" w:color="auto"/>
        <w:bottom w:val="none" w:sz="0" w:space="0" w:color="auto"/>
        <w:right w:val="none" w:sz="0" w:space="0" w:color="auto"/>
      </w:divBdr>
    </w:div>
    <w:div w:id="1254633866">
      <w:bodyDiv w:val="1"/>
      <w:marLeft w:val="0"/>
      <w:marRight w:val="0"/>
      <w:marTop w:val="0"/>
      <w:marBottom w:val="0"/>
      <w:divBdr>
        <w:top w:val="none" w:sz="0" w:space="0" w:color="auto"/>
        <w:left w:val="none" w:sz="0" w:space="0" w:color="auto"/>
        <w:bottom w:val="none" w:sz="0" w:space="0" w:color="auto"/>
        <w:right w:val="none" w:sz="0" w:space="0" w:color="auto"/>
      </w:divBdr>
    </w:div>
    <w:div w:id="1255556499">
      <w:bodyDiv w:val="1"/>
      <w:marLeft w:val="0"/>
      <w:marRight w:val="0"/>
      <w:marTop w:val="0"/>
      <w:marBottom w:val="0"/>
      <w:divBdr>
        <w:top w:val="none" w:sz="0" w:space="0" w:color="auto"/>
        <w:left w:val="none" w:sz="0" w:space="0" w:color="auto"/>
        <w:bottom w:val="none" w:sz="0" w:space="0" w:color="auto"/>
        <w:right w:val="none" w:sz="0" w:space="0" w:color="auto"/>
      </w:divBdr>
    </w:div>
    <w:div w:id="1258558734">
      <w:bodyDiv w:val="1"/>
      <w:marLeft w:val="0"/>
      <w:marRight w:val="0"/>
      <w:marTop w:val="0"/>
      <w:marBottom w:val="0"/>
      <w:divBdr>
        <w:top w:val="none" w:sz="0" w:space="0" w:color="auto"/>
        <w:left w:val="none" w:sz="0" w:space="0" w:color="auto"/>
        <w:bottom w:val="none" w:sz="0" w:space="0" w:color="auto"/>
        <w:right w:val="none" w:sz="0" w:space="0" w:color="auto"/>
      </w:divBdr>
    </w:div>
    <w:div w:id="1260522244">
      <w:bodyDiv w:val="1"/>
      <w:marLeft w:val="0"/>
      <w:marRight w:val="0"/>
      <w:marTop w:val="0"/>
      <w:marBottom w:val="0"/>
      <w:divBdr>
        <w:top w:val="none" w:sz="0" w:space="0" w:color="auto"/>
        <w:left w:val="none" w:sz="0" w:space="0" w:color="auto"/>
        <w:bottom w:val="none" w:sz="0" w:space="0" w:color="auto"/>
        <w:right w:val="none" w:sz="0" w:space="0" w:color="auto"/>
      </w:divBdr>
    </w:div>
    <w:div w:id="1285889524">
      <w:bodyDiv w:val="1"/>
      <w:marLeft w:val="0"/>
      <w:marRight w:val="0"/>
      <w:marTop w:val="0"/>
      <w:marBottom w:val="0"/>
      <w:divBdr>
        <w:top w:val="none" w:sz="0" w:space="0" w:color="auto"/>
        <w:left w:val="none" w:sz="0" w:space="0" w:color="auto"/>
        <w:bottom w:val="none" w:sz="0" w:space="0" w:color="auto"/>
        <w:right w:val="none" w:sz="0" w:space="0" w:color="auto"/>
      </w:divBdr>
    </w:div>
    <w:div w:id="1293897918">
      <w:bodyDiv w:val="1"/>
      <w:marLeft w:val="0"/>
      <w:marRight w:val="0"/>
      <w:marTop w:val="0"/>
      <w:marBottom w:val="0"/>
      <w:divBdr>
        <w:top w:val="none" w:sz="0" w:space="0" w:color="auto"/>
        <w:left w:val="none" w:sz="0" w:space="0" w:color="auto"/>
        <w:bottom w:val="none" w:sz="0" w:space="0" w:color="auto"/>
        <w:right w:val="none" w:sz="0" w:space="0" w:color="auto"/>
      </w:divBdr>
    </w:div>
    <w:div w:id="1329559135">
      <w:bodyDiv w:val="1"/>
      <w:marLeft w:val="0"/>
      <w:marRight w:val="0"/>
      <w:marTop w:val="0"/>
      <w:marBottom w:val="0"/>
      <w:divBdr>
        <w:top w:val="none" w:sz="0" w:space="0" w:color="auto"/>
        <w:left w:val="none" w:sz="0" w:space="0" w:color="auto"/>
        <w:bottom w:val="none" w:sz="0" w:space="0" w:color="auto"/>
        <w:right w:val="none" w:sz="0" w:space="0" w:color="auto"/>
      </w:divBdr>
    </w:div>
    <w:div w:id="1341663230">
      <w:bodyDiv w:val="1"/>
      <w:marLeft w:val="0"/>
      <w:marRight w:val="0"/>
      <w:marTop w:val="0"/>
      <w:marBottom w:val="0"/>
      <w:divBdr>
        <w:top w:val="none" w:sz="0" w:space="0" w:color="auto"/>
        <w:left w:val="none" w:sz="0" w:space="0" w:color="auto"/>
        <w:bottom w:val="none" w:sz="0" w:space="0" w:color="auto"/>
        <w:right w:val="none" w:sz="0" w:space="0" w:color="auto"/>
      </w:divBdr>
    </w:div>
    <w:div w:id="1342970282">
      <w:bodyDiv w:val="1"/>
      <w:marLeft w:val="0"/>
      <w:marRight w:val="0"/>
      <w:marTop w:val="0"/>
      <w:marBottom w:val="0"/>
      <w:divBdr>
        <w:top w:val="none" w:sz="0" w:space="0" w:color="auto"/>
        <w:left w:val="none" w:sz="0" w:space="0" w:color="auto"/>
        <w:bottom w:val="none" w:sz="0" w:space="0" w:color="auto"/>
        <w:right w:val="none" w:sz="0" w:space="0" w:color="auto"/>
      </w:divBdr>
    </w:div>
    <w:div w:id="1352563158">
      <w:bodyDiv w:val="1"/>
      <w:marLeft w:val="0"/>
      <w:marRight w:val="0"/>
      <w:marTop w:val="0"/>
      <w:marBottom w:val="0"/>
      <w:divBdr>
        <w:top w:val="none" w:sz="0" w:space="0" w:color="auto"/>
        <w:left w:val="none" w:sz="0" w:space="0" w:color="auto"/>
        <w:bottom w:val="none" w:sz="0" w:space="0" w:color="auto"/>
        <w:right w:val="none" w:sz="0" w:space="0" w:color="auto"/>
      </w:divBdr>
    </w:div>
    <w:div w:id="1354113864">
      <w:bodyDiv w:val="1"/>
      <w:marLeft w:val="0"/>
      <w:marRight w:val="0"/>
      <w:marTop w:val="0"/>
      <w:marBottom w:val="0"/>
      <w:divBdr>
        <w:top w:val="none" w:sz="0" w:space="0" w:color="auto"/>
        <w:left w:val="none" w:sz="0" w:space="0" w:color="auto"/>
        <w:bottom w:val="none" w:sz="0" w:space="0" w:color="auto"/>
        <w:right w:val="none" w:sz="0" w:space="0" w:color="auto"/>
      </w:divBdr>
    </w:div>
    <w:div w:id="1361198523">
      <w:bodyDiv w:val="1"/>
      <w:marLeft w:val="0"/>
      <w:marRight w:val="0"/>
      <w:marTop w:val="0"/>
      <w:marBottom w:val="0"/>
      <w:divBdr>
        <w:top w:val="none" w:sz="0" w:space="0" w:color="auto"/>
        <w:left w:val="none" w:sz="0" w:space="0" w:color="auto"/>
        <w:bottom w:val="none" w:sz="0" w:space="0" w:color="auto"/>
        <w:right w:val="none" w:sz="0" w:space="0" w:color="auto"/>
      </w:divBdr>
    </w:div>
    <w:div w:id="1401828793">
      <w:bodyDiv w:val="1"/>
      <w:marLeft w:val="0"/>
      <w:marRight w:val="0"/>
      <w:marTop w:val="0"/>
      <w:marBottom w:val="0"/>
      <w:divBdr>
        <w:top w:val="none" w:sz="0" w:space="0" w:color="auto"/>
        <w:left w:val="none" w:sz="0" w:space="0" w:color="auto"/>
        <w:bottom w:val="none" w:sz="0" w:space="0" w:color="auto"/>
        <w:right w:val="none" w:sz="0" w:space="0" w:color="auto"/>
      </w:divBdr>
    </w:div>
    <w:div w:id="1412460632">
      <w:bodyDiv w:val="1"/>
      <w:marLeft w:val="0"/>
      <w:marRight w:val="0"/>
      <w:marTop w:val="0"/>
      <w:marBottom w:val="0"/>
      <w:divBdr>
        <w:top w:val="none" w:sz="0" w:space="0" w:color="auto"/>
        <w:left w:val="none" w:sz="0" w:space="0" w:color="auto"/>
        <w:bottom w:val="none" w:sz="0" w:space="0" w:color="auto"/>
        <w:right w:val="none" w:sz="0" w:space="0" w:color="auto"/>
      </w:divBdr>
    </w:div>
    <w:div w:id="1426344988">
      <w:bodyDiv w:val="1"/>
      <w:marLeft w:val="0"/>
      <w:marRight w:val="0"/>
      <w:marTop w:val="0"/>
      <w:marBottom w:val="0"/>
      <w:divBdr>
        <w:top w:val="none" w:sz="0" w:space="0" w:color="auto"/>
        <w:left w:val="none" w:sz="0" w:space="0" w:color="auto"/>
        <w:bottom w:val="none" w:sz="0" w:space="0" w:color="auto"/>
        <w:right w:val="none" w:sz="0" w:space="0" w:color="auto"/>
      </w:divBdr>
    </w:div>
    <w:div w:id="1426347024">
      <w:bodyDiv w:val="1"/>
      <w:marLeft w:val="0"/>
      <w:marRight w:val="0"/>
      <w:marTop w:val="0"/>
      <w:marBottom w:val="0"/>
      <w:divBdr>
        <w:top w:val="none" w:sz="0" w:space="0" w:color="auto"/>
        <w:left w:val="none" w:sz="0" w:space="0" w:color="auto"/>
        <w:bottom w:val="none" w:sz="0" w:space="0" w:color="auto"/>
        <w:right w:val="none" w:sz="0" w:space="0" w:color="auto"/>
      </w:divBdr>
    </w:div>
    <w:div w:id="1436170729">
      <w:bodyDiv w:val="1"/>
      <w:marLeft w:val="0"/>
      <w:marRight w:val="0"/>
      <w:marTop w:val="0"/>
      <w:marBottom w:val="0"/>
      <w:divBdr>
        <w:top w:val="none" w:sz="0" w:space="0" w:color="auto"/>
        <w:left w:val="none" w:sz="0" w:space="0" w:color="auto"/>
        <w:bottom w:val="none" w:sz="0" w:space="0" w:color="auto"/>
        <w:right w:val="none" w:sz="0" w:space="0" w:color="auto"/>
      </w:divBdr>
    </w:div>
    <w:div w:id="1442842946">
      <w:bodyDiv w:val="1"/>
      <w:marLeft w:val="0"/>
      <w:marRight w:val="0"/>
      <w:marTop w:val="0"/>
      <w:marBottom w:val="0"/>
      <w:divBdr>
        <w:top w:val="none" w:sz="0" w:space="0" w:color="auto"/>
        <w:left w:val="none" w:sz="0" w:space="0" w:color="auto"/>
        <w:bottom w:val="none" w:sz="0" w:space="0" w:color="auto"/>
        <w:right w:val="none" w:sz="0" w:space="0" w:color="auto"/>
      </w:divBdr>
    </w:div>
    <w:div w:id="1447578230">
      <w:bodyDiv w:val="1"/>
      <w:marLeft w:val="0"/>
      <w:marRight w:val="0"/>
      <w:marTop w:val="0"/>
      <w:marBottom w:val="0"/>
      <w:divBdr>
        <w:top w:val="none" w:sz="0" w:space="0" w:color="auto"/>
        <w:left w:val="none" w:sz="0" w:space="0" w:color="auto"/>
        <w:bottom w:val="none" w:sz="0" w:space="0" w:color="auto"/>
        <w:right w:val="none" w:sz="0" w:space="0" w:color="auto"/>
      </w:divBdr>
    </w:div>
    <w:div w:id="1448236405">
      <w:bodyDiv w:val="1"/>
      <w:marLeft w:val="0"/>
      <w:marRight w:val="0"/>
      <w:marTop w:val="0"/>
      <w:marBottom w:val="0"/>
      <w:divBdr>
        <w:top w:val="none" w:sz="0" w:space="0" w:color="auto"/>
        <w:left w:val="none" w:sz="0" w:space="0" w:color="auto"/>
        <w:bottom w:val="none" w:sz="0" w:space="0" w:color="auto"/>
        <w:right w:val="none" w:sz="0" w:space="0" w:color="auto"/>
      </w:divBdr>
    </w:div>
    <w:div w:id="1448694448">
      <w:bodyDiv w:val="1"/>
      <w:marLeft w:val="0"/>
      <w:marRight w:val="0"/>
      <w:marTop w:val="0"/>
      <w:marBottom w:val="0"/>
      <w:divBdr>
        <w:top w:val="none" w:sz="0" w:space="0" w:color="auto"/>
        <w:left w:val="none" w:sz="0" w:space="0" w:color="auto"/>
        <w:bottom w:val="none" w:sz="0" w:space="0" w:color="auto"/>
        <w:right w:val="none" w:sz="0" w:space="0" w:color="auto"/>
      </w:divBdr>
    </w:div>
    <w:div w:id="1453397816">
      <w:bodyDiv w:val="1"/>
      <w:marLeft w:val="0"/>
      <w:marRight w:val="0"/>
      <w:marTop w:val="0"/>
      <w:marBottom w:val="0"/>
      <w:divBdr>
        <w:top w:val="none" w:sz="0" w:space="0" w:color="auto"/>
        <w:left w:val="none" w:sz="0" w:space="0" w:color="auto"/>
        <w:bottom w:val="none" w:sz="0" w:space="0" w:color="auto"/>
        <w:right w:val="none" w:sz="0" w:space="0" w:color="auto"/>
      </w:divBdr>
    </w:div>
    <w:div w:id="1469012375">
      <w:bodyDiv w:val="1"/>
      <w:marLeft w:val="0"/>
      <w:marRight w:val="0"/>
      <w:marTop w:val="0"/>
      <w:marBottom w:val="0"/>
      <w:divBdr>
        <w:top w:val="none" w:sz="0" w:space="0" w:color="auto"/>
        <w:left w:val="none" w:sz="0" w:space="0" w:color="auto"/>
        <w:bottom w:val="none" w:sz="0" w:space="0" w:color="auto"/>
        <w:right w:val="none" w:sz="0" w:space="0" w:color="auto"/>
      </w:divBdr>
    </w:div>
    <w:div w:id="1481770947">
      <w:bodyDiv w:val="1"/>
      <w:marLeft w:val="0"/>
      <w:marRight w:val="0"/>
      <w:marTop w:val="0"/>
      <w:marBottom w:val="0"/>
      <w:divBdr>
        <w:top w:val="none" w:sz="0" w:space="0" w:color="auto"/>
        <w:left w:val="none" w:sz="0" w:space="0" w:color="auto"/>
        <w:bottom w:val="none" w:sz="0" w:space="0" w:color="auto"/>
        <w:right w:val="none" w:sz="0" w:space="0" w:color="auto"/>
      </w:divBdr>
    </w:div>
    <w:div w:id="1514568842">
      <w:bodyDiv w:val="1"/>
      <w:marLeft w:val="0"/>
      <w:marRight w:val="0"/>
      <w:marTop w:val="0"/>
      <w:marBottom w:val="0"/>
      <w:divBdr>
        <w:top w:val="none" w:sz="0" w:space="0" w:color="auto"/>
        <w:left w:val="none" w:sz="0" w:space="0" w:color="auto"/>
        <w:bottom w:val="none" w:sz="0" w:space="0" w:color="auto"/>
        <w:right w:val="none" w:sz="0" w:space="0" w:color="auto"/>
      </w:divBdr>
    </w:div>
    <w:div w:id="1522233284">
      <w:bodyDiv w:val="1"/>
      <w:marLeft w:val="0"/>
      <w:marRight w:val="0"/>
      <w:marTop w:val="0"/>
      <w:marBottom w:val="0"/>
      <w:divBdr>
        <w:top w:val="none" w:sz="0" w:space="0" w:color="auto"/>
        <w:left w:val="none" w:sz="0" w:space="0" w:color="auto"/>
        <w:bottom w:val="none" w:sz="0" w:space="0" w:color="auto"/>
        <w:right w:val="none" w:sz="0" w:space="0" w:color="auto"/>
      </w:divBdr>
    </w:div>
    <w:div w:id="1531724836">
      <w:bodyDiv w:val="1"/>
      <w:marLeft w:val="0"/>
      <w:marRight w:val="0"/>
      <w:marTop w:val="0"/>
      <w:marBottom w:val="0"/>
      <w:divBdr>
        <w:top w:val="none" w:sz="0" w:space="0" w:color="auto"/>
        <w:left w:val="none" w:sz="0" w:space="0" w:color="auto"/>
        <w:bottom w:val="none" w:sz="0" w:space="0" w:color="auto"/>
        <w:right w:val="none" w:sz="0" w:space="0" w:color="auto"/>
      </w:divBdr>
    </w:div>
    <w:div w:id="1535146249">
      <w:bodyDiv w:val="1"/>
      <w:marLeft w:val="0"/>
      <w:marRight w:val="0"/>
      <w:marTop w:val="0"/>
      <w:marBottom w:val="0"/>
      <w:divBdr>
        <w:top w:val="none" w:sz="0" w:space="0" w:color="auto"/>
        <w:left w:val="none" w:sz="0" w:space="0" w:color="auto"/>
        <w:bottom w:val="none" w:sz="0" w:space="0" w:color="auto"/>
        <w:right w:val="none" w:sz="0" w:space="0" w:color="auto"/>
      </w:divBdr>
    </w:div>
    <w:div w:id="1539509967">
      <w:bodyDiv w:val="1"/>
      <w:marLeft w:val="0"/>
      <w:marRight w:val="0"/>
      <w:marTop w:val="0"/>
      <w:marBottom w:val="0"/>
      <w:divBdr>
        <w:top w:val="none" w:sz="0" w:space="0" w:color="auto"/>
        <w:left w:val="none" w:sz="0" w:space="0" w:color="auto"/>
        <w:bottom w:val="none" w:sz="0" w:space="0" w:color="auto"/>
        <w:right w:val="none" w:sz="0" w:space="0" w:color="auto"/>
      </w:divBdr>
    </w:div>
    <w:div w:id="1543322338">
      <w:bodyDiv w:val="1"/>
      <w:marLeft w:val="0"/>
      <w:marRight w:val="0"/>
      <w:marTop w:val="0"/>
      <w:marBottom w:val="0"/>
      <w:divBdr>
        <w:top w:val="none" w:sz="0" w:space="0" w:color="auto"/>
        <w:left w:val="none" w:sz="0" w:space="0" w:color="auto"/>
        <w:bottom w:val="none" w:sz="0" w:space="0" w:color="auto"/>
        <w:right w:val="none" w:sz="0" w:space="0" w:color="auto"/>
      </w:divBdr>
    </w:div>
    <w:div w:id="1554197996">
      <w:bodyDiv w:val="1"/>
      <w:marLeft w:val="0"/>
      <w:marRight w:val="0"/>
      <w:marTop w:val="0"/>
      <w:marBottom w:val="0"/>
      <w:divBdr>
        <w:top w:val="none" w:sz="0" w:space="0" w:color="auto"/>
        <w:left w:val="none" w:sz="0" w:space="0" w:color="auto"/>
        <w:bottom w:val="none" w:sz="0" w:space="0" w:color="auto"/>
        <w:right w:val="none" w:sz="0" w:space="0" w:color="auto"/>
      </w:divBdr>
    </w:div>
    <w:div w:id="1557156225">
      <w:bodyDiv w:val="1"/>
      <w:marLeft w:val="0"/>
      <w:marRight w:val="0"/>
      <w:marTop w:val="0"/>
      <w:marBottom w:val="0"/>
      <w:divBdr>
        <w:top w:val="none" w:sz="0" w:space="0" w:color="auto"/>
        <w:left w:val="none" w:sz="0" w:space="0" w:color="auto"/>
        <w:bottom w:val="none" w:sz="0" w:space="0" w:color="auto"/>
        <w:right w:val="none" w:sz="0" w:space="0" w:color="auto"/>
      </w:divBdr>
    </w:div>
    <w:div w:id="1564562398">
      <w:bodyDiv w:val="1"/>
      <w:marLeft w:val="0"/>
      <w:marRight w:val="0"/>
      <w:marTop w:val="0"/>
      <w:marBottom w:val="0"/>
      <w:divBdr>
        <w:top w:val="none" w:sz="0" w:space="0" w:color="auto"/>
        <w:left w:val="none" w:sz="0" w:space="0" w:color="auto"/>
        <w:bottom w:val="none" w:sz="0" w:space="0" w:color="auto"/>
        <w:right w:val="none" w:sz="0" w:space="0" w:color="auto"/>
      </w:divBdr>
    </w:div>
    <w:div w:id="1581210631">
      <w:bodyDiv w:val="1"/>
      <w:marLeft w:val="0"/>
      <w:marRight w:val="0"/>
      <w:marTop w:val="0"/>
      <w:marBottom w:val="0"/>
      <w:divBdr>
        <w:top w:val="none" w:sz="0" w:space="0" w:color="auto"/>
        <w:left w:val="none" w:sz="0" w:space="0" w:color="auto"/>
        <w:bottom w:val="none" w:sz="0" w:space="0" w:color="auto"/>
        <w:right w:val="none" w:sz="0" w:space="0" w:color="auto"/>
      </w:divBdr>
    </w:div>
    <w:div w:id="1588273206">
      <w:bodyDiv w:val="1"/>
      <w:marLeft w:val="0"/>
      <w:marRight w:val="0"/>
      <w:marTop w:val="0"/>
      <w:marBottom w:val="0"/>
      <w:divBdr>
        <w:top w:val="none" w:sz="0" w:space="0" w:color="auto"/>
        <w:left w:val="none" w:sz="0" w:space="0" w:color="auto"/>
        <w:bottom w:val="none" w:sz="0" w:space="0" w:color="auto"/>
        <w:right w:val="none" w:sz="0" w:space="0" w:color="auto"/>
      </w:divBdr>
    </w:div>
    <w:div w:id="1594820138">
      <w:bodyDiv w:val="1"/>
      <w:marLeft w:val="0"/>
      <w:marRight w:val="0"/>
      <w:marTop w:val="0"/>
      <w:marBottom w:val="0"/>
      <w:divBdr>
        <w:top w:val="none" w:sz="0" w:space="0" w:color="auto"/>
        <w:left w:val="none" w:sz="0" w:space="0" w:color="auto"/>
        <w:bottom w:val="none" w:sz="0" w:space="0" w:color="auto"/>
        <w:right w:val="none" w:sz="0" w:space="0" w:color="auto"/>
      </w:divBdr>
    </w:div>
    <w:div w:id="1599678803">
      <w:bodyDiv w:val="1"/>
      <w:marLeft w:val="0"/>
      <w:marRight w:val="0"/>
      <w:marTop w:val="0"/>
      <w:marBottom w:val="0"/>
      <w:divBdr>
        <w:top w:val="none" w:sz="0" w:space="0" w:color="auto"/>
        <w:left w:val="none" w:sz="0" w:space="0" w:color="auto"/>
        <w:bottom w:val="none" w:sz="0" w:space="0" w:color="auto"/>
        <w:right w:val="none" w:sz="0" w:space="0" w:color="auto"/>
      </w:divBdr>
    </w:div>
    <w:div w:id="1614827728">
      <w:bodyDiv w:val="1"/>
      <w:marLeft w:val="0"/>
      <w:marRight w:val="0"/>
      <w:marTop w:val="0"/>
      <w:marBottom w:val="0"/>
      <w:divBdr>
        <w:top w:val="none" w:sz="0" w:space="0" w:color="auto"/>
        <w:left w:val="none" w:sz="0" w:space="0" w:color="auto"/>
        <w:bottom w:val="none" w:sz="0" w:space="0" w:color="auto"/>
        <w:right w:val="none" w:sz="0" w:space="0" w:color="auto"/>
      </w:divBdr>
    </w:div>
    <w:div w:id="1620838879">
      <w:bodyDiv w:val="1"/>
      <w:marLeft w:val="0"/>
      <w:marRight w:val="0"/>
      <w:marTop w:val="0"/>
      <w:marBottom w:val="0"/>
      <w:divBdr>
        <w:top w:val="none" w:sz="0" w:space="0" w:color="auto"/>
        <w:left w:val="none" w:sz="0" w:space="0" w:color="auto"/>
        <w:bottom w:val="none" w:sz="0" w:space="0" w:color="auto"/>
        <w:right w:val="none" w:sz="0" w:space="0" w:color="auto"/>
      </w:divBdr>
    </w:div>
    <w:div w:id="1629704262">
      <w:bodyDiv w:val="1"/>
      <w:marLeft w:val="0"/>
      <w:marRight w:val="0"/>
      <w:marTop w:val="0"/>
      <w:marBottom w:val="0"/>
      <w:divBdr>
        <w:top w:val="none" w:sz="0" w:space="0" w:color="auto"/>
        <w:left w:val="none" w:sz="0" w:space="0" w:color="auto"/>
        <w:bottom w:val="none" w:sz="0" w:space="0" w:color="auto"/>
        <w:right w:val="none" w:sz="0" w:space="0" w:color="auto"/>
      </w:divBdr>
    </w:div>
    <w:div w:id="1654069534">
      <w:bodyDiv w:val="1"/>
      <w:marLeft w:val="0"/>
      <w:marRight w:val="0"/>
      <w:marTop w:val="0"/>
      <w:marBottom w:val="0"/>
      <w:divBdr>
        <w:top w:val="none" w:sz="0" w:space="0" w:color="auto"/>
        <w:left w:val="none" w:sz="0" w:space="0" w:color="auto"/>
        <w:bottom w:val="none" w:sz="0" w:space="0" w:color="auto"/>
        <w:right w:val="none" w:sz="0" w:space="0" w:color="auto"/>
      </w:divBdr>
    </w:div>
    <w:div w:id="1674187112">
      <w:bodyDiv w:val="1"/>
      <w:marLeft w:val="0"/>
      <w:marRight w:val="0"/>
      <w:marTop w:val="0"/>
      <w:marBottom w:val="0"/>
      <w:divBdr>
        <w:top w:val="none" w:sz="0" w:space="0" w:color="auto"/>
        <w:left w:val="none" w:sz="0" w:space="0" w:color="auto"/>
        <w:bottom w:val="none" w:sz="0" w:space="0" w:color="auto"/>
        <w:right w:val="none" w:sz="0" w:space="0" w:color="auto"/>
      </w:divBdr>
    </w:div>
    <w:div w:id="1675497348">
      <w:bodyDiv w:val="1"/>
      <w:marLeft w:val="0"/>
      <w:marRight w:val="0"/>
      <w:marTop w:val="0"/>
      <w:marBottom w:val="0"/>
      <w:divBdr>
        <w:top w:val="none" w:sz="0" w:space="0" w:color="auto"/>
        <w:left w:val="none" w:sz="0" w:space="0" w:color="auto"/>
        <w:bottom w:val="none" w:sz="0" w:space="0" w:color="auto"/>
        <w:right w:val="none" w:sz="0" w:space="0" w:color="auto"/>
      </w:divBdr>
    </w:div>
    <w:div w:id="1683430962">
      <w:bodyDiv w:val="1"/>
      <w:marLeft w:val="0"/>
      <w:marRight w:val="0"/>
      <w:marTop w:val="0"/>
      <w:marBottom w:val="0"/>
      <w:divBdr>
        <w:top w:val="none" w:sz="0" w:space="0" w:color="auto"/>
        <w:left w:val="none" w:sz="0" w:space="0" w:color="auto"/>
        <w:bottom w:val="none" w:sz="0" w:space="0" w:color="auto"/>
        <w:right w:val="none" w:sz="0" w:space="0" w:color="auto"/>
      </w:divBdr>
    </w:div>
    <w:div w:id="1684549442">
      <w:bodyDiv w:val="1"/>
      <w:marLeft w:val="0"/>
      <w:marRight w:val="0"/>
      <w:marTop w:val="0"/>
      <w:marBottom w:val="0"/>
      <w:divBdr>
        <w:top w:val="none" w:sz="0" w:space="0" w:color="auto"/>
        <w:left w:val="none" w:sz="0" w:space="0" w:color="auto"/>
        <w:bottom w:val="none" w:sz="0" w:space="0" w:color="auto"/>
        <w:right w:val="none" w:sz="0" w:space="0" w:color="auto"/>
      </w:divBdr>
    </w:div>
    <w:div w:id="1685857501">
      <w:bodyDiv w:val="1"/>
      <w:marLeft w:val="0"/>
      <w:marRight w:val="0"/>
      <w:marTop w:val="0"/>
      <w:marBottom w:val="0"/>
      <w:divBdr>
        <w:top w:val="none" w:sz="0" w:space="0" w:color="auto"/>
        <w:left w:val="none" w:sz="0" w:space="0" w:color="auto"/>
        <w:bottom w:val="none" w:sz="0" w:space="0" w:color="auto"/>
        <w:right w:val="none" w:sz="0" w:space="0" w:color="auto"/>
      </w:divBdr>
    </w:div>
    <w:div w:id="1698850374">
      <w:bodyDiv w:val="1"/>
      <w:marLeft w:val="0"/>
      <w:marRight w:val="0"/>
      <w:marTop w:val="0"/>
      <w:marBottom w:val="0"/>
      <w:divBdr>
        <w:top w:val="none" w:sz="0" w:space="0" w:color="auto"/>
        <w:left w:val="none" w:sz="0" w:space="0" w:color="auto"/>
        <w:bottom w:val="none" w:sz="0" w:space="0" w:color="auto"/>
        <w:right w:val="none" w:sz="0" w:space="0" w:color="auto"/>
      </w:divBdr>
    </w:div>
    <w:div w:id="1700546003">
      <w:bodyDiv w:val="1"/>
      <w:marLeft w:val="0"/>
      <w:marRight w:val="0"/>
      <w:marTop w:val="0"/>
      <w:marBottom w:val="0"/>
      <w:divBdr>
        <w:top w:val="none" w:sz="0" w:space="0" w:color="auto"/>
        <w:left w:val="none" w:sz="0" w:space="0" w:color="auto"/>
        <w:bottom w:val="none" w:sz="0" w:space="0" w:color="auto"/>
        <w:right w:val="none" w:sz="0" w:space="0" w:color="auto"/>
      </w:divBdr>
    </w:div>
    <w:div w:id="1701322839">
      <w:bodyDiv w:val="1"/>
      <w:marLeft w:val="0"/>
      <w:marRight w:val="0"/>
      <w:marTop w:val="0"/>
      <w:marBottom w:val="0"/>
      <w:divBdr>
        <w:top w:val="none" w:sz="0" w:space="0" w:color="auto"/>
        <w:left w:val="none" w:sz="0" w:space="0" w:color="auto"/>
        <w:bottom w:val="none" w:sz="0" w:space="0" w:color="auto"/>
        <w:right w:val="none" w:sz="0" w:space="0" w:color="auto"/>
      </w:divBdr>
    </w:div>
    <w:div w:id="1703246411">
      <w:bodyDiv w:val="1"/>
      <w:marLeft w:val="0"/>
      <w:marRight w:val="0"/>
      <w:marTop w:val="0"/>
      <w:marBottom w:val="0"/>
      <w:divBdr>
        <w:top w:val="none" w:sz="0" w:space="0" w:color="auto"/>
        <w:left w:val="none" w:sz="0" w:space="0" w:color="auto"/>
        <w:bottom w:val="none" w:sz="0" w:space="0" w:color="auto"/>
        <w:right w:val="none" w:sz="0" w:space="0" w:color="auto"/>
      </w:divBdr>
    </w:div>
    <w:div w:id="1729448630">
      <w:bodyDiv w:val="1"/>
      <w:marLeft w:val="0"/>
      <w:marRight w:val="0"/>
      <w:marTop w:val="0"/>
      <w:marBottom w:val="0"/>
      <w:divBdr>
        <w:top w:val="none" w:sz="0" w:space="0" w:color="auto"/>
        <w:left w:val="none" w:sz="0" w:space="0" w:color="auto"/>
        <w:bottom w:val="none" w:sz="0" w:space="0" w:color="auto"/>
        <w:right w:val="none" w:sz="0" w:space="0" w:color="auto"/>
      </w:divBdr>
    </w:div>
    <w:div w:id="1736782031">
      <w:bodyDiv w:val="1"/>
      <w:marLeft w:val="0"/>
      <w:marRight w:val="0"/>
      <w:marTop w:val="0"/>
      <w:marBottom w:val="0"/>
      <w:divBdr>
        <w:top w:val="none" w:sz="0" w:space="0" w:color="auto"/>
        <w:left w:val="none" w:sz="0" w:space="0" w:color="auto"/>
        <w:bottom w:val="none" w:sz="0" w:space="0" w:color="auto"/>
        <w:right w:val="none" w:sz="0" w:space="0" w:color="auto"/>
      </w:divBdr>
    </w:div>
    <w:div w:id="1744911083">
      <w:bodyDiv w:val="1"/>
      <w:marLeft w:val="0"/>
      <w:marRight w:val="0"/>
      <w:marTop w:val="0"/>
      <w:marBottom w:val="0"/>
      <w:divBdr>
        <w:top w:val="none" w:sz="0" w:space="0" w:color="auto"/>
        <w:left w:val="none" w:sz="0" w:space="0" w:color="auto"/>
        <w:bottom w:val="none" w:sz="0" w:space="0" w:color="auto"/>
        <w:right w:val="none" w:sz="0" w:space="0" w:color="auto"/>
      </w:divBdr>
    </w:div>
    <w:div w:id="1758673707">
      <w:bodyDiv w:val="1"/>
      <w:marLeft w:val="0"/>
      <w:marRight w:val="0"/>
      <w:marTop w:val="0"/>
      <w:marBottom w:val="0"/>
      <w:divBdr>
        <w:top w:val="none" w:sz="0" w:space="0" w:color="auto"/>
        <w:left w:val="none" w:sz="0" w:space="0" w:color="auto"/>
        <w:bottom w:val="none" w:sz="0" w:space="0" w:color="auto"/>
        <w:right w:val="none" w:sz="0" w:space="0" w:color="auto"/>
      </w:divBdr>
    </w:div>
    <w:div w:id="1759672399">
      <w:bodyDiv w:val="1"/>
      <w:marLeft w:val="0"/>
      <w:marRight w:val="0"/>
      <w:marTop w:val="0"/>
      <w:marBottom w:val="0"/>
      <w:divBdr>
        <w:top w:val="none" w:sz="0" w:space="0" w:color="auto"/>
        <w:left w:val="none" w:sz="0" w:space="0" w:color="auto"/>
        <w:bottom w:val="none" w:sz="0" w:space="0" w:color="auto"/>
        <w:right w:val="none" w:sz="0" w:space="0" w:color="auto"/>
      </w:divBdr>
    </w:div>
    <w:div w:id="1762985812">
      <w:bodyDiv w:val="1"/>
      <w:marLeft w:val="0"/>
      <w:marRight w:val="0"/>
      <w:marTop w:val="0"/>
      <w:marBottom w:val="0"/>
      <w:divBdr>
        <w:top w:val="none" w:sz="0" w:space="0" w:color="auto"/>
        <w:left w:val="none" w:sz="0" w:space="0" w:color="auto"/>
        <w:bottom w:val="none" w:sz="0" w:space="0" w:color="auto"/>
        <w:right w:val="none" w:sz="0" w:space="0" w:color="auto"/>
      </w:divBdr>
      <w:divsChild>
        <w:div w:id="12199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080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379181">
      <w:bodyDiv w:val="1"/>
      <w:marLeft w:val="0"/>
      <w:marRight w:val="0"/>
      <w:marTop w:val="0"/>
      <w:marBottom w:val="0"/>
      <w:divBdr>
        <w:top w:val="none" w:sz="0" w:space="0" w:color="auto"/>
        <w:left w:val="none" w:sz="0" w:space="0" w:color="auto"/>
        <w:bottom w:val="none" w:sz="0" w:space="0" w:color="auto"/>
        <w:right w:val="none" w:sz="0" w:space="0" w:color="auto"/>
      </w:divBdr>
    </w:div>
    <w:div w:id="1771586517">
      <w:bodyDiv w:val="1"/>
      <w:marLeft w:val="0"/>
      <w:marRight w:val="0"/>
      <w:marTop w:val="0"/>
      <w:marBottom w:val="0"/>
      <w:divBdr>
        <w:top w:val="none" w:sz="0" w:space="0" w:color="auto"/>
        <w:left w:val="none" w:sz="0" w:space="0" w:color="auto"/>
        <w:bottom w:val="none" w:sz="0" w:space="0" w:color="auto"/>
        <w:right w:val="none" w:sz="0" w:space="0" w:color="auto"/>
      </w:divBdr>
    </w:div>
    <w:div w:id="1774016215">
      <w:bodyDiv w:val="1"/>
      <w:marLeft w:val="0"/>
      <w:marRight w:val="0"/>
      <w:marTop w:val="0"/>
      <w:marBottom w:val="0"/>
      <w:divBdr>
        <w:top w:val="none" w:sz="0" w:space="0" w:color="auto"/>
        <w:left w:val="none" w:sz="0" w:space="0" w:color="auto"/>
        <w:bottom w:val="none" w:sz="0" w:space="0" w:color="auto"/>
        <w:right w:val="none" w:sz="0" w:space="0" w:color="auto"/>
      </w:divBdr>
    </w:div>
    <w:div w:id="1793015321">
      <w:bodyDiv w:val="1"/>
      <w:marLeft w:val="0"/>
      <w:marRight w:val="0"/>
      <w:marTop w:val="0"/>
      <w:marBottom w:val="0"/>
      <w:divBdr>
        <w:top w:val="none" w:sz="0" w:space="0" w:color="auto"/>
        <w:left w:val="none" w:sz="0" w:space="0" w:color="auto"/>
        <w:bottom w:val="none" w:sz="0" w:space="0" w:color="auto"/>
        <w:right w:val="none" w:sz="0" w:space="0" w:color="auto"/>
      </w:divBdr>
    </w:div>
    <w:div w:id="1810199529">
      <w:bodyDiv w:val="1"/>
      <w:marLeft w:val="0"/>
      <w:marRight w:val="0"/>
      <w:marTop w:val="0"/>
      <w:marBottom w:val="0"/>
      <w:divBdr>
        <w:top w:val="none" w:sz="0" w:space="0" w:color="auto"/>
        <w:left w:val="none" w:sz="0" w:space="0" w:color="auto"/>
        <w:bottom w:val="none" w:sz="0" w:space="0" w:color="auto"/>
        <w:right w:val="none" w:sz="0" w:space="0" w:color="auto"/>
      </w:divBdr>
    </w:div>
    <w:div w:id="1812163457">
      <w:bodyDiv w:val="1"/>
      <w:marLeft w:val="0"/>
      <w:marRight w:val="0"/>
      <w:marTop w:val="0"/>
      <w:marBottom w:val="0"/>
      <w:divBdr>
        <w:top w:val="none" w:sz="0" w:space="0" w:color="auto"/>
        <w:left w:val="none" w:sz="0" w:space="0" w:color="auto"/>
        <w:bottom w:val="none" w:sz="0" w:space="0" w:color="auto"/>
        <w:right w:val="none" w:sz="0" w:space="0" w:color="auto"/>
      </w:divBdr>
    </w:div>
    <w:div w:id="1863588381">
      <w:bodyDiv w:val="1"/>
      <w:marLeft w:val="0"/>
      <w:marRight w:val="0"/>
      <w:marTop w:val="0"/>
      <w:marBottom w:val="0"/>
      <w:divBdr>
        <w:top w:val="none" w:sz="0" w:space="0" w:color="auto"/>
        <w:left w:val="none" w:sz="0" w:space="0" w:color="auto"/>
        <w:bottom w:val="none" w:sz="0" w:space="0" w:color="auto"/>
        <w:right w:val="none" w:sz="0" w:space="0" w:color="auto"/>
      </w:divBdr>
    </w:div>
    <w:div w:id="1870098810">
      <w:bodyDiv w:val="1"/>
      <w:marLeft w:val="0"/>
      <w:marRight w:val="0"/>
      <w:marTop w:val="0"/>
      <w:marBottom w:val="0"/>
      <w:divBdr>
        <w:top w:val="none" w:sz="0" w:space="0" w:color="auto"/>
        <w:left w:val="none" w:sz="0" w:space="0" w:color="auto"/>
        <w:bottom w:val="none" w:sz="0" w:space="0" w:color="auto"/>
        <w:right w:val="none" w:sz="0" w:space="0" w:color="auto"/>
      </w:divBdr>
    </w:div>
    <w:div w:id="1889030193">
      <w:bodyDiv w:val="1"/>
      <w:marLeft w:val="0"/>
      <w:marRight w:val="0"/>
      <w:marTop w:val="0"/>
      <w:marBottom w:val="0"/>
      <w:divBdr>
        <w:top w:val="none" w:sz="0" w:space="0" w:color="auto"/>
        <w:left w:val="none" w:sz="0" w:space="0" w:color="auto"/>
        <w:bottom w:val="none" w:sz="0" w:space="0" w:color="auto"/>
        <w:right w:val="none" w:sz="0" w:space="0" w:color="auto"/>
      </w:divBdr>
    </w:div>
    <w:div w:id="1892957679">
      <w:bodyDiv w:val="1"/>
      <w:marLeft w:val="0"/>
      <w:marRight w:val="0"/>
      <w:marTop w:val="0"/>
      <w:marBottom w:val="0"/>
      <w:divBdr>
        <w:top w:val="none" w:sz="0" w:space="0" w:color="auto"/>
        <w:left w:val="none" w:sz="0" w:space="0" w:color="auto"/>
        <w:bottom w:val="none" w:sz="0" w:space="0" w:color="auto"/>
        <w:right w:val="none" w:sz="0" w:space="0" w:color="auto"/>
      </w:divBdr>
    </w:div>
    <w:div w:id="1895316470">
      <w:bodyDiv w:val="1"/>
      <w:marLeft w:val="0"/>
      <w:marRight w:val="0"/>
      <w:marTop w:val="0"/>
      <w:marBottom w:val="0"/>
      <w:divBdr>
        <w:top w:val="none" w:sz="0" w:space="0" w:color="auto"/>
        <w:left w:val="none" w:sz="0" w:space="0" w:color="auto"/>
        <w:bottom w:val="none" w:sz="0" w:space="0" w:color="auto"/>
        <w:right w:val="none" w:sz="0" w:space="0" w:color="auto"/>
      </w:divBdr>
    </w:div>
    <w:div w:id="1912739773">
      <w:bodyDiv w:val="1"/>
      <w:marLeft w:val="0"/>
      <w:marRight w:val="0"/>
      <w:marTop w:val="0"/>
      <w:marBottom w:val="0"/>
      <w:divBdr>
        <w:top w:val="none" w:sz="0" w:space="0" w:color="auto"/>
        <w:left w:val="none" w:sz="0" w:space="0" w:color="auto"/>
        <w:bottom w:val="none" w:sz="0" w:space="0" w:color="auto"/>
        <w:right w:val="none" w:sz="0" w:space="0" w:color="auto"/>
      </w:divBdr>
    </w:div>
    <w:div w:id="1928734897">
      <w:bodyDiv w:val="1"/>
      <w:marLeft w:val="0"/>
      <w:marRight w:val="0"/>
      <w:marTop w:val="0"/>
      <w:marBottom w:val="0"/>
      <w:divBdr>
        <w:top w:val="none" w:sz="0" w:space="0" w:color="auto"/>
        <w:left w:val="none" w:sz="0" w:space="0" w:color="auto"/>
        <w:bottom w:val="none" w:sz="0" w:space="0" w:color="auto"/>
        <w:right w:val="none" w:sz="0" w:space="0" w:color="auto"/>
      </w:divBdr>
    </w:div>
    <w:div w:id="1945065549">
      <w:bodyDiv w:val="1"/>
      <w:marLeft w:val="0"/>
      <w:marRight w:val="0"/>
      <w:marTop w:val="0"/>
      <w:marBottom w:val="0"/>
      <w:divBdr>
        <w:top w:val="none" w:sz="0" w:space="0" w:color="auto"/>
        <w:left w:val="none" w:sz="0" w:space="0" w:color="auto"/>
        <w:bottom w:val="none" w:sz="0" w:space="0" w:color="auto"/>
        <w:right w:val="none" w:sz="0" w:space="0" w:color="auto"/>
      </w:divBdr>
    </w:div>
    <w:div w:id="1945458992">
      <w:bodyDiv w:val="1"/>
      <w:marLeft w:val="0"/>
      <w:marRight w:val="0"/>
      <w:marTop w:val="0"/>
      <w:marBottom w:val="0"/>
      <w:divBdr>
        <w:top w:val="none" w:sz="0" w:space="0" w:color="auto"/>
        <w:left w:val="none" w:sz="0" w:space="0" w:color="auto"/>
        <w:bottom w:val="none" w:sz="0" w:space="0" w:color="auto"/>
        <w:right w:val="none" w:sz="0" w:space="0" w:color="auto"/>
      </w:divBdr>
    </w:div>
    <w:div w:id="1957251011">
      <w:bodyDiv w:val="1"/>
      <w:marLeft w:val="0"/>
      <w:marRight w:val="0"/>
      <w:marTop w:val="0"/>
      <w:marBottom w:val="0"/>
      <w:divBdr>
        <w:top w:val="none" w:sz="0" w:space="0" w:color="auto"/>
        <w:left w:val="none" w:sz="0" w:space="0" w:color="auto"/>
        <w:bottom w:val="none" w:sz="0" w:space="0" w:color="auto"/>
        <w:right w:val="none" w:sz="0" w:space="0" w:color="auto"/>
      </w:divBdr>
    </w:div>
    <w:div w:id="1963222643">
      <w:bodyDiv w:val="1"/>
      <w:marLeft w:val="0"/>
      <w:marRight w:val="0"/>
      <w:marTop w:val="0"/>
      <w:marBottom w:val="0"/>
      <w:divBdr>
        <w:top w:val="none" w:sz="0" w:space="0" w:color="auto"/>
        <w:left w:val="none" w:sz="0" w:space="0" w:color="auto"/>
        <w:bottom w:val="none" w:sz="0" w:space="0" w:color="auto"/>
        <w:right w:val="none" w:sz="0" w:space="0" w:color="auto"/>
      </w:divBdr>
    </w:div>
    <w:div w:id="1966307891">
      <w:bodyDiv w:val="1"/>
      <w:marLeft w:val="0"/>
      <w:marRight w:val="0"/>
      <w:marTop w:val="0"/>
      <w:marBottom w:val="0"/>
      <w:divBdr>
        <w:top w:val="none" w:sz="0" w:space="0" w:color="auto"/>
        <w:left w:val="none" w:sz="0" w:space="0" w:color="auto"/>
        <w:bottom w:val="none" w:sz="0" w:space="0" w:color="auto"/>
        <w:right w:val="none" w:sz="0" w:space="0" w:color="auto"/>
      </w:divBdr>
    </w:div>
    <w:div w:id="1988126887">
      <w:bodyDiv w:val="1"/>
      <w:marLeft w:val="0"/>
      <w:marRight w:val="0"/>
      <w:marTop w:val="0"/>
      <w:marBottom w:val="0"/>
      <w:divBdr>
        <w:top w:val="none" w:sz="0" w:space="0" w:color="auto"/>
        <w:left w:val="none" w:sz="0" w:space="0" w:color="auto"/>
        <w:bottom w:val="none" w:sz="0" w:space="0" w:color="auto"/>
        <w:right w:val="none" w:sz="0" w:space="0" w:color="auto"/>
      </w:divBdr>
    </w:div>
    <w:div w:id="1994211678">
      <w:bodyDiv w:val="1"/>
      <w:marLeft w:val="0"/>
      <w:marRight w:val="0"/>
      <w:marTop w:val="0"/>
      <w:marBottom w:val="0"/>
      <w:divBdr>
        <w:top w:val="none" w:sz="0" w:space="0" w:color="auto"/>
        <w:left w:val="none" w:sz="0" w:space="0" w:color="auto"/>
        <w:bottom w:val="none" w:sz="0" w:space="0" w:color="auto"/>
        <w:right w:val="none" w:sz="0" w:space="0" w:color="auto"/>
      </w:divBdr>
    </w:div>
    <w:div w:id="1997150100">
      <w:bodyDiv w:val="1"/>
      <w:marLeft w:val="0"/>
      <w:marRight w:val="0"/>
      <w:marTop w:val="0"/>
      <w:marBottom w:val="0"/>
      <w:divBdr>
        <w:top w:val="none" w:sz="0" w:space="0" w:color="auto"/>
        <w:left w:val="none" w:sz="0" w:space="0" w:color="auto"/>
        <w:bottom w:val="none" w:sz="0" w:space="0" w:color="auto"/>
        <w:right w:val="none" w:sz="0" w:space="0" w:color="auto"/>
      </w:divBdr>
    </w:div>
    <w:div w:id="1997878737">
      <w:bodyDiv w:val="1"/>
      <w:marLeft w:val="0"/>
      <w:marRight w:val="0"/>
      <w:marTop w:val="0"/>
      <w:marBottom w:val="0"/>
      <w:divBdr>
        <w:top w:val="none" w:sz="0" w:space="0" w:color="auto"/>
        <w:left w:val="none" w:sz="0" w:space="0" w:color="auto"/>
        <w:bottom w:val="none" w:sz="0" w:space="0" w:color="auto"/>
        <w:right w:val="none" w:sz="0" w:space="0" w:color="auto"/>
      </w:divBdr>
    </w:div>
    <w:div w:id="1998071981">
      <w:bodyDiv w:val="1"/>
      <w:marLeft w:val="0"/>
      <w:marRight w:val="0"/>
      <w:marTop w:val="0"/>
      <w:marBottom w:val="0"/>
      <w:divBdr>
        <w:top w:val="none" w:sz="0" w:space="0" w:color="auto"/>
        <w:left w:val="none" w:sz="0" w:space="0" w:color="auto"/>
        <w:bottom w:val="none" w:sz="0" w:space="0" w:color="auto"/>
        <w:right w:val="none" w:sz="0" w:space="0" w:color="auto"/>
      </w:divBdr>
    </w:div>
    <w:div w:id="1999384301">
      <w:bodyDiv w:val="1"/>
      <w:marLeft w:val="0"/>
      <w:marRight w:val="0"/>
      <w:marTop w:val="0"/>
      <w:marBottom w:val="0"/>
      <w:divBdr>
        <w:top w:val="none" w:sz="0" w:space="0" w:color="auto"/>
        <w:left w:val="none" w:sz="0" w:space="0" w:color="auto"/>
        <w:bottom w:val="none" w:sz="0" w:space="0" w:color="auto"/>
        <w:right w:val="none" w:sz="0" w:space="0" w:color="auto"/>
      </w:divBdr>
    </w:div>
    <w:div w:id="2003729083">
      <w:bodyDiv w:val="1"/>
      <w:marLeft w:val="0"/>
      <w:marRight w:val="0"/>
      <w:marTop w:val="0"/>
      <w:marBottom w:val="0"/>
      <w:divBdr>
        <w:top w:val="none" w:sz="0" w:space="0" w:color="auto"/>
        <w:left w:val="none" w:sz="0" w:space="0" w:color="auto"/>
        <w:bottom w:val="none" w:sz="0" w:space="0" w:color="auto"/>
        <w:right w:val="none" w:sz="0" w:space="0" w:color="auto"/>
      </w:divBdr>
    </w:div>
    <w:div w:id="2009358697">
      <w:bodyDiv w:val="1"/>
      <w:marLeft w:val="0"/>
      <w:marRight w:val="0"/>
      <w:marTop w:val="0"/>
      <w:marBottom w:val="0"/>
      <w:divBdr>
        <w:top w:val="none" w:sz="0" w:space="0" w:color="auto"/>
        <w:left w:val="none" w:sz="0" w:space="0" w:color="auto"/>
        <w:bottom w:val="none" w:sz="0" w:space="0" w:color="auto"/>
        <w:right w:val="none" w:sz="0" w:space="0" w:color="auto"/>
      </w:divBdr>
    </w:div>
    <w:div w:id="2012490347">
      <w:bodyDiv w:val="1"/>
      <w:marLeft w:val="0"/>
      <w:marRight w:val="0"/>
      <w:marTop w:val="0"/>
      <w:marBottom w:val="0"/>
      <w:divBdr>
        <w:top w:val="none" w:sz="0" w:space="0" w:color="auto"/>
        <w:left w:val="none" w:sz="0" w:space="0" w:color="auto"/>
        <w:bottom w:val="none" w:sz="0" w:space="0" w:color="auto"/>
        <w:right w:val="none" w:sz="0" w:space="0" w:color="auto"/>
      </w:divBdr>
    </w:div>
    <w:div w:id="2025327360">
      <w:bodyDiv w:val="1"/>
      <w:marLeft w:val="0"/>
      <w:marRight w:val="0"/>
      <w:marTop w:val="0"/>
      <w:marBottom w:val="0"/>
      <w:divBdr>
        <w:top w:val="none" w:sz="0" w:space="0" w:color="auto"/>
        <w:left w:val="none" w:sz="0" w:space="0" w:color="auto"/>
        <w:bottom w:val="none" w:sz="0" w:space="0" w:color="auto"/>
        <w:right w:val="none" w:sz="0" w:space="0" w:color="auto"/>
      </w:divBdr>
    </w:div>
    <w:div w:id="2026050698">
      <w:bodyDiv w:val="1"/>
      <w:marLeft w:val="0"/>
      <w:marRight w:val="0"/>
      <w:marTop w:val="0"/>
      <w:marBottom w:val="0"/>
      <w:divBdr>
        <w:top w:val="none" w:sz="0" w:space="0" w:color="auto"/>
        <w:left w:val="none" w:sz="0" w:space="0" w:color="auto"/>
        <w:bottom w:val="none" w:sz="0" w:space="0" w:color="auto"/>
        <w:right w:val="none" w:sz="0" w:space="0" w:color="auto"/>
      </w:divBdr>
    </w:div>
    <w:div w:id="2039895105">
      <w:bodyDiv w:val="1"/>
      <w:marLeft w:val="0"/>
      <w:marRight w:val="0"/>
      <w:marTop w:val="0"/>
      <w:marBottom w:val="0"/>
      <w:divBdr>
        <w:top w:val="none" w:sz="0" w:space="0" w:color="auto"/>
        <w:left w:val="none" w:sz="0" w:space="0" w:color="auto"/>
        <w:bottom w:val="none" w:sz="0" w:space="0" w:color="auto"/>
        <w:right w:val="none" w:sz="0" w:space="0" w:color="auto"/>
      </w:divBdr>
    </w:div>
    <w:div w:id="2071612274">
      <w:bodyDiv w:val="1"/>
      <w:marLeft w:val="0"/>
      <w:marRight w:val="0"/>
      <w:marTop w:val="0"/>
      <w:marBottom w:val="0"/>
      <w:divBdr>
        <w:top w:val="none" w:sz="0" w:space="0" w:color="auto"/>
        <w:left w:val="none" w:sz="0" w:space="0" w:color="auto"/>
        <w:bottom w:val="none" w:sz="0" w:space="0" w:color="auto"/>
        <w:right w:val="none" w:sz="0" w:space="0" w:color="auto"/>
      </w:divBdr>
    </w:div>
    <w:div w:id="2085907098">
      <w:bodyDiv w:val="1"/>
      <w:marLeft w:val="0"/>
      <w:marRight w:val="0"/>
      <w:marTop w:val="0"/>
      <w:marBottom w:val="0"/>
      <w:divBdr>
        <w:top w:val="none" w:sz="0" w:space="0" w:color="auto"/>
        <w:left w:val="none" w:sz="0" w:space="0" w:color="auto"/>
        <w:bottom w:val="none" w:sz="0" w:space="0" w:color="auto"/>
        <w:right w:val="none" w:sz="0" w:space="0" w:color="auto"/>
      </w:divBdr>
    </w:div>
    <w:div w:id="2091151410">
      <w:bodyDiv w:val="1"/>
      <w:marLeft w:val="0"/>
      <w:marRight w:val="0"/>
      <w:marTop w:val="0"/>
      <w:marBottom w:val="0"/>
      <w:divBdr>
        <w:top w:val="none" w:sz="0" w:space="0" w:color="auto"/>
        <w:left w:val="none" w:sz="0" w:space="0" w:color="auto"/>
        <w:bottom w:val="none" w:sz="0" w:space="0" w:color="auto"/>
        <w:right w:val="none" w:sz="0" w:space="0" w:color="auto"/>
      </w:divBdr>
    </w:div>
    <w:div w:id="2091346879">
      <w:bodyDiv w:val="1"/>
      <w:marLeft w:val="0"/>
      <w:marRight w:val="0"/>
      <w:marTop w:val="0"/>
      <w:marBottom w:val="0"/>
      <w:divBdr>
        <w:top w:val="none" w:sz="0" w:space="0" w:color="auto"/>
        <w:left w:val="none" w:sz="0" w:space="0" w:color="auto"/>
        <w:bottom w:val="none" w:sz="0" w:space="0" w:color="auto"/>
        <w:right w:val="none" w:sz="0" w:space="0" w:color="auto"/>
      </w:divBdr>
    </w:div>
    <w:div w:id="2101440719">
      <w:bodyDiv w:val="1"/>
      <w:marLeft w:val="0"/>
      <w:marRight w:val="0"/>
      <w:marTop w:val="0"/>
      <w:marBottom w:val="0"/>
      <w:divBdr>
        <w:top w:val="none" w:sz="0" w:space="0" w:color="auto"/>
        <w:left w:val="none" w:sz="0" w:space="0" w:color="auto"/>
        <w:bottom w:val="none" w:sz="0" w:space="0" w:color="auto"/>
        <w:right w:val="none" w:sz="0" w:space="0" w:color="auto"/>
      </w:divBdr>
    </w:div>
    <w:div w:id="2116248366">
      <w:bodyDiv w:val="1"/>
      <w:marLeft w:val="0"/>
      <w:marRight w:val="0"/>
      <w:marTop w:val="0"/>
      <w:marBottom w:val="0"/>
      <w:divBdr>
        <w:top w:val="none" w:sz="0" w:space="0" w:color="auto"/>
        <w:left w:val="none" w:sz="0" w:space="0" w:color="auto"/>
        <w:bottom w:val="none" w:sz="0" w:space="0" w:color="auto"/>
        <w:right w:val="none" w:sz="0" w:space="0" w:color="auto"/>
      </w:divBdr>
    </w:div>
    <w:div w:id="2129622676">
      <w:bodyDiv w:val="1"/>
      <w:marLeft w:val="0"/>
      <w:marRight w:val="0"/>
      <w:marTop w:val="0"/>
      <w:marBottom w:val="0"/>
      <w:divBdr>
        <w:top w:val="none" w:sz="0" w:space="0" w:color="auto"/>
        <w:left w:val="none" w:sz="0" w:space="0" w:color="auto"/>
        <w:bottom w:val="none" w:sz="0" w:space="0" w:color="auto"/>
        <w:right w:val="none" w:sz="0" w:space="0" w:color="auto"/>
      </w:divBdr>
    </w:div>
    <w:div w:id="2135055867">
      <w:bodyDiv w:val="1"/>
      <w:marLeft w:val="0"/>
      <w:marRight w:val="0"/>
      <w:marTop w:val="0"/>
      <w:marBottom w:val="0"/>
      <w:divBdr>
        <w:top w:val="none" w:sz="0" w:space="0" w:color="auto"/>
        <w:left w:val="none" w:sz="0" w:space="0" w:color="auto"/>
        <w:bottom w:val="none" w:sz="0" w:space="0" w:color="auto"/>
        <w:right w:val="none" w:sz="0" w:space="0" w:color="auto"/>
      </w:divBdr>
    </w:div>
    <w:div w:id="2136016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rage.courtlistener.com/recap/gov.uscourts.dcd.279211/gov.uscourts.dcd.279211.130.0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5875</Words>
  <Characters>33492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Hammam</dc:creator>
  <cp:keywords/>
  <dc:description/>
  <cp:lastModifiedBy>Mustafa Hammam</cp:lastModifiedBy>
  <cp:revision>3</cp:revision>
  <dcterms:created xsi:type="dcterms:W3CDTF">2025-08-25T14:03:00Z</dcterms:created>
  <dcterms:modified xsi:type="dcterms:W3CDTF">2025-08-25T14:25:00Z</dcterms:modified>
</cp:coreProperties>
</file>