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AEDE9" w14:textId="77777777" w:rsidR="00811811" w:rsidRDefault="00811811" w:rsidP="00811811">
      <w:pPr>
        <w:pStyle w:val="Header"/>
        <w:jc w:val="center"/>
        <w:rPr>
          <w:b/>
          <w:bCs/>
        </w:rPr>
      </w:pPr>
    </w:p>
    <w:p w14:paraId="6405AA15" w14:textId="77777777" w:rsidR="00811811" w:rsidRDefault="00811811" w:rsidP="00811811">
      <w:pPr>
        <w:pStyle w:val="Header"/>
        <w:jc w:val="center"/>
        <w:rPr>
          <w:b/>
          <w:bCs/>
        </w:rPr>
      </w:pPr>
    </w:p>
    <w:p w14:paraId="485AC870" w14:textId="77777777" w:rsidR="00811811" w:rsidRPr="00811811" w:rsidRDefault="00332A20" w:rsidP="00811811">
      <w:pPr>
        <w:pStyle w:val="Title"/>
        <w:jc w:val="center"/>
        <w:rPr>
          <w:rStyle w:val="SubtleEmphasis"/>
          <w:b/>
          <w:bCs/>
          <w:i w:val="0"/>
          <w:iCs w:val="0"/>
          <w:sz w:val="28"/>
          <w:szCs w:val="28"/>
        </w:rPr>
      </w:pPr>
      <w:r w:rsidRPr="00811811">
        <w:rPr>
          <w:rStyle w:val="SubtleEmphasis"/>
          <w:b/>
          <w:bCs/>
          <w:i w:val="0"/>
          <w:iCs w:val="0"/>
          <w:sz w:val="28"/>
          <w:szCs w:val="28"/>
        </w:rPr>
        <w:t>Case Analysis Template</w:t>
      </w:r>
    </w:p>
    <w:p w14:paraId="5DC849B3" w14:textId="77777777" w:rsidR="00811811" w:rsidRDefault="00811811">
      <w:pPr>
        <w:rPr>
          <w:rFonts w:cstheme="minorHAnsi"/>
          <w:sz w:val="22"/>
          <w:szCs w:val="22"/>
        </w:rPr>
      </w:pPr>
    </w:p>
    <w:p w14:paraId="67C05023" w14:textId="77777777" w:rsidR="00811811" w:rsidRDefault="00811811">
      <w:pPr>
        <w:rPr>
          <w:rFonts w:cstheme="minorHAnsi"/>
          <w:sz w:val="22"/>
          <w:szCs w:val="22"/>
        </w:rPr>
      </w:pPr>
    </w:p>
    <w:p w14:paraId="57CF2F12" w14:textId="77777777" w:rsidR="00B171E2" w:rsidRDefault="00332A20">
      <w:pPr>
        <w:rPr>
          <w:rFonts w:cstheme="minorHAnsi"/>
          <w:sz w:val="22"/>
          <w:szCs w:val="22"/>
        </w:rPr>
      </w:pPr>
      <w:r>
        <w:rPr>
          <w:rFonts w:cstheme="minorHAnsi"/>
          <w:b/>
          <w:bCs/>
          <w:sz w:val="22"/>
          <w:szCs w:val="22"/>
        </w:rPr>
        <w:t xml:space="preserve">Case Title: </w:t>
      </w:r>
      <w:r>
        <w:rPr>
          <w:rFonts w:cstheme="minorHAnsi"/>
          <w:sz w:val="22"/>
          <w:szCs w:val="22"/>
        </w:rPr>
        <w:t>Pirjevec v. Turk</w:t>
      </w:r>
    </w:p>
    <w:p w14:paraId="424DB602" w14:textId="77777777" w:rsidR="00A6090C" w:rsidRDefault="00332A20">
      <w:pPr>
        <w:rPr>
          <w:rFonts w:cstheme="minorHAnsi"/>
          <w:sz w:val="22"/>
          <w:szCs w:val="22"/>
        </w:rPr>
      </w:pPr>
      <w:r w:rsidRPr="00A6090C">
        <w:rPr>
          <w:rFonts w:cstheme="minorHAnsi"/>
          <w:b/>
          <w:bCs/>
          <w:sz w:val="22"/>
          <w:szCs w:val="22"/>
        </w:rPr>
        <w:t>Court:</w:t>
      </w:r>
      <w:r>
        <w:rPr>
          <w:rFonts w:cstheme="minorHAnsi"/>
          <w:sz w:val="22"/>
          <w:szCs w:val="22"/>
        </w:rPr>
        <w:t xml:space="preserve"> Constitutional Court of the Republic of Slovenia</w:t>
      </w:r>
    </w:p>
    <w:p w14:paraId="3A4C36DB" w14:textId="77777777" w:rsidR="00B171E2" w:rsidRDefault="00332A20">
      <w:pPr>
        <w:rPr>
          <w:rFonts w:cstheme="minorHAnsi"/>
          <w:sz w:val="22"/>
          <w:szCs w:val="22"/>
        </w:rPr>
      </w:pPr>
      <w:r>
        <w:rPr>
          <w:rFonts w:cstheme="minorHAnsi"/>
          <w:b/>
          <w:bCs/>
          <w:sz w:val="22"/>
          <w:szCs w:val="22"/>
        </w:rPr>
        <w:t xml:space="preserve">Case Number: </w:t>
      </w:r>
      <w:r w:rsidRPr="00B171E2">
        <w:rPr>
          <w:rFonts w:cstheme="minorHAnsi"/>
          <w:sz w:val="22"/>
          <w:szCs w:val="22"/>
        </w:rPr>
        <w:t>Up-417/16</w:t>
      </w:r>
    </w:p>
    <w:p w14:paraId="18E13804" w14:textId="77777777" w:rsidR="00B171E2" w:rsidRDefault="00332A20">
      <w:pPr>
        <w:rPr>
          <w:rFonts w:cstheme="minorHAnsi"/>
          <w:sz w:val="22"/>
          <w:szCs w:val="22"/>
        </w:rPr>
      </w:pPr>
      <w:r w:rsidRPr="00B171E2">
        <w:rPr>
          <w:rFonts w:cstheme="minorHAnsi"/>
          <w:b/>
          <w:bCs/>
          <w:sz w:val="22"/>
          <w:szCs w:val="22"/>
        </w:rPr>
        <w:t>Date of Decision:</w:t>
      </w:r>
      <w:r>
        <w:rPr>
          <w:rFonts w:cstheme="minorHAnsi"/>
          <w:b/>
          <w:bCs/>
          <w:sz w:val="22"/>
          <w:szCs w:val="22"/>
        </w:rPr>
        <w:t xml:space="preserve"> </w:t>
      </w:r>
      <w:r>
        <w:rPr>
          <w:rFonts w:cstheme="minorHAnsi"/>
          <w:sz w:val="22"/>
          <w:szCs w:val="22"/>
        </w:rPr>
        <w:t>03/18/</w:t>
      </w:r>
      <w:r w:rsidRPr="00397DA2">
        <w:rPr>
          <w:rFonts w:cstheme="minorHAnsi"/>
          <w:sz w:val="22"/>
          <w:szCs w:val="22"/>
        </w:rPr>
        <w:t>2021</w:t>
      </w:r>
    </w:p>
    <w:p w14:paraId="132EBDBC" w14:textId="77777777" w:rsidR="00D924D9" w:rsidRDefault="00332A20">
      <w:pPr>
        <w:rPr>
          <w:rFonts w:cstheme="minorHAnsi"/>
          <w:sz w:val="22"/>
          <w:szCs w:val="22"/>
        </w:rPr>
      </w:pPr>
      <w:r w:rsidRPr="00D924D9">
        <w:rPr>
          <w:rFonts w:cstheme="minorHAnsi"/>
          <w:b/>
          <w:bCs/>
          <w:sz w:val="22"/>
          <w:szCs w:val="22"/>
        </w:rPr>
        <w:t>Country:</w:t>
      </w:r>
      <w:r>
        <w:rPr>
          <w:rFonts w:cstheme="minorHAnsi"/>
          <w:sz w:val="22"/>
          <w:szCs w:val="22"/>
        </w:rPr>
        <w:t xml:space="preserve"> Slovenia</w:t>
      </w:r>
    </w:p>
    <w:p w14:paraId="1A699F5A" w14:textId="73E81CA3" w:rsidR="00D87353" w:rsidRDefault="00D87353" w:rsidP="00D87353">
      <w:pPr>
        <w:rPr>
          <w:rFonts w:cstheme="minorHAnsi"/>
          <w:sz w:val="22"/>
          <w:szCs w:val="22"/>
        </w:rPr>
      </w:pPr>
      <w:r w:rsidRPr="00D87353">
        <w:rPr>
          <w:rFonts w:cstheme="minorHAnsi"/>
          <w:b/>
          <w:bCs/>
          <w:sz w:val="22"/>
          <w:szCs w:val="22"/>
        </w:rPr>
        <w:t>Mode of Expression</w:t>
      </w:r>
      <w:r>
        <w:rPr>
          <w:rFonts w:cstheme="minorHAnsi"/>
          <w:b/>
          <w:bCs/>
          <w:sz w:val="22"/>
          <w:szCs w:val="22"/>
        </w:rPr>
        <w:t xml:space="preserve">: </w:t>
      </w:r>
      <w:r w:rsidRPr="00D87353">
        <w:rPr>
          <w:rFonts w:cstheme="minorHAnsi"/>
          <w:sz w:val="22"/>
          <w:szCs w:val="22"/>
        </w:rPr>
        <w:t>Press / Newspapers</w:t>
      </w:r>
    </w:p>
    <w:p w14:paraId="10AE0C0D" w14:textId="48F2D8D3" w:rsidR="00576C1D" w:rsidRPr="00B171E2" w:rsidRDefault="00576C1D" w:rsidP="00D87353">
      <w:pPr>
        <w:rPr>
          <w:rFonts w:cstheme="minorHAnsi"/>
          <w:b/>
          <w:bCs/>
          <w:sz w:val="22"/>
          <w:szCs w:val="22"/>
        </w:rPr>
      </w:pPr>
      <w:r>
        <w:rPr>
          <w:rFonts w:cstheme="minorHAnsi"/>
          <w:b/>
          <w:bCs/>
          <w:sz w:val="22"/>
          <w:szCs w:val="22"/>
        </w:rPr>
        <w:t xml:space="preserve">Outcome: </w:t>
      </w:r>
      <w:r w:rsidRPr="00576C1D">
        <w:rPr>
          <w:rFonts w:cstheme="minorHAnsi"/>
          <w:sz w:val="22"/>
          <w:szCs w:val="22"/>
        </w:rPr>
        <w:t>Reversed Lower Court</w:t>
      </w:r>
      <w:r>
        <w:rPr>
          <w:rFonts w:cstheme="minorHAnsi"/>
          <w:sz w:val="22"/>
          <w:szCs w:val="22"/>
        </w:rPr>
        <w:t xml:space="preserve">, </w:t>
      </w:r>
      <w:r w:rsidRPr="00576C1D">
        <w:rPr>
          <w:rFonts w:cstheme="minorHAnsi"/>
          <w:sz w:val="22"/>
          <w:szCs w:val="22"/>
        </w:rPr>
        <w:t>Judgment in Favor of</w:t>
      </w:r>
      <w:r>
        <w:rPr>
          <w:rFonts w:cstheme="minorHAnsi"/>
          <w:sz w:val="22"/>
          <w:szCs w:val="22"/>
        </w:rPr>
        <w:t xml:space="preserve"> Plaintiff</w:t>
      </w:r>
    </w:p>
    <w:p w14:paraId="03318554" w14:textId="77777777" w:rsidR="00B171E2" w:rsidRPr="00FB3A49" w:rsidRDefault="00B171E2">
      <w:pPr>
        <w:rPr>
          <w:rFonts w:cstheme="minorHAnsi"/>
          <w:b/>
          <w:bCs/>
          <w:sz w:val="22"/>
          <w:szCs w:val="22"/>
        </w:rPr>
      </w:pPr>
    </w:p>
    <w:p w14:paraId="1DD4AB8E" w14:textId="77777777" w:rsidR="008C35B8" w:rsidRPr="00FB3A49" w:rsidRDefault="00332A20">
      <w:pPr>
        <w:rPr>
          <w:rFonts w:cstheme="minorHAnsi"/>
          <w:b/>
          <w:bCs/>
          <w:sz w:val="22"/>
          <w:szCs w:val="22"/>
        </w:rPr>
      </w:pPr>
      <w:r w:rsidRPr="00FB3A49">
        <w:rPr>
          <w:rFonts w:cstheme="minorHAnsi"/>
          <w:b/>
          <w:bCs/>
          <w:sz w:val="22"/>
          <w:szCs w:val="22"/>
        </w:rPr>
        <w:t>Summary and Outcome</w:t>
      </w:r>
    </w:p>
    <w:p w14:paraId="02C6175F" w14:textId="77777777" w:rsidR="00397DA2" w:rsidRDefault="00332A20">
      <w:pPr>
        <w:rPr>
          <w:rFonts w:cstheme="minorHAnsi"/>
          <w:sz w:val="22"/>
          <w:szCs w:val="22"/>
        </w:rPr>
      </w:pPr>
      <w:r>
        <w:rPr>
          <w:rFonts w:cstheme="minorHAnsi"/>
          <w:sz w:val="22"/>
          <w:szCs w:val="22"/>
        </w:rPr>
        <w:t xml:space="preserve">The Constitutional Court of the Republic of Slovenia ruled that </w:t>
      </w:r>
      <w:r w:rsidRPr="00397DA2">
        <w:rPr>
          <w:rFonts w:cstheme="minorHAnsi"/>
          <w:sz w:val="22"/>
          <w:szCs w:val="22"/>
        </w:rPr>
        <w:t xml:space="preserve">while </w:t>
      </w:r>
      <w:r w:rsidR="00784740">
        <w:rPr>
          <w:rFonts w:cstheme="minorHAnsi"/>
          <w:sz w:val="22"/>
          <w:szCs w:val="22"/>
        </w:rPr>
        <w:t xml:space="preserve">the right to </w:t>
      </w:r>
      <w:r w:rsidRPr="00397DA2">
        <w:rPr>
          <w:rFonts w:cstheme="minorHAnsi"/>
          <w:sz w:val="22"/>
          <w:szCs w:val="22"/>
        </w:rPr>
        <w:t xml:space="preserve">freedom of expression </w:t>
      </w:r>
      <w:r>
        <w:rPr>
          <w:rFonts w:cstheme="minorHAnsi"/>
          <w:sz w:val="22"/>
          <w:szCs w:val="22"/>
        </w:rPr>
        <w:t>protects</w:t>
      </w:r>
      <w:r w:rsidRPr="00397DA2">
        <w:rPr>
          <w:rFonts w:cstheme="minorHAnsi"/>
          <w:sz w:val="22"/>
          <w:szCs w:val="22"/>
        </w:rPr>
        <w:t xml:space="preserve"> critical and sharp statements, there is </w:t>
      </w:r>
      <w:r>
        <w:rPr>
          <w:rFonts w:cstheme="minorHAnsi"/>
          <w:sz w:val="22"/>
          <w:szCs w:val="22"/>
        </w:rPr>
        <w:t>nevertheless</w:t>
      </w:r>
      <w:r w:rsidRPr="00397DA2">
        <w:rPr>
          <w:rFonts w:cstheme="minorHAnsi"/>
          <w:sz w:val="22"/>
          <w:szCs w:val="22"/>
        </w:rPr>
        <w:t xml:space="preserve"> a limit to the expression of crude value judgments.</w:t>
      </w:r>
      <w:r>
        <w:rPr>
          <w:rFonts w:cstheme="minorHAnsi"/>
          <w:sz w:val="22"/>
          <w:szCs w:val="22"/>
        </w:rPr>
        <w:t xml:space="preserve"> </w:t>
      </w:r>
      <w:r w:rsidRPr="00397DA2">
        <w:rPr>
          <w:rFonts w:cstheme="minorHAnsi"/>
          <w:sz w:val="22"/>
          <w:szCs w:val="22"/>
        </w:rPr>
        <w:t>The Defendant, in a</w:t>
      </w:r>
      <w:r w:rsidR="003228E1">
        <w:rPr>
          <w:rFonts w:cstheme="minorHAnsi"/>
          <w:sz w:val="22"/>
          <w:szCs w:val="22"/>
        </w:rPr>
        <w:t>n</w:t>
      </w:r>
      <w:r w:rsidRPr="00397DA2">
        <w:rPr>
          <w:rFonts w:cstheme="minorHAnsi"/>
          <w:sz w:val="22"/>
          <w:szCs w:val="22"/>
        </w:rPr>
        <w:t xml:space="preserve"> article in </w:t>
      </w:r>
      <w:r>
        <w:rPr>
          <w:rFonts w:cstheme="minorHAnsi"/>
          <w:sz w:val="22"/>
          <w:szCs w:val="22"/>
        </w:rPr>
        <w:t>a weekly newspaper</w:t>
      </w:r>
      <w:r w:rsidRPr="00397DA2">
        <w:rPr>
          <w:rFonts w:cstheme="minorHAnsi"/>
          <w:sz w:val="22"/>
          <w:szCs w:val="22"/>
        </w:rPr>
        <w:t>, wrote that the complainant</w:t>
      </w:r>
      <w:r w:rsidR="00B041C9">
        <w:rPr>
          <w:rFonts w:cstheme="minorHAnsi"/>
          <w:sz w:val="22"/>
          <w:szCs w:val="22"/>
        </w:rPr>
        <w:t xml:space="preserve"> I</w:t>
      </w:r>
      <w:r w:rsidRPr="00397DA2">
        <w:rPr>
          <w:rFonts w:cstheme="minorHAnsi"/>
          <w:sz w:val="22"/>
          <w:szCs w:val="22"/>
        </w:rPr>
        <w:t>talianized their name and thereby confirmed the validity of fascist denationalization policy.</w:t>
      </w:r>
      <w:r>
        <w:rPr>
          <w:rFonts w:cstheme="minorHAnsi"/>
          <w:sz w:val="22"/>
          <w:szCs w:val="22"/>
        </w:rPr>
        <w:t xml:space="preserve"> </w:t>
      </w:r>
      <w:r w:rsidRPr="00397DA2">
        <w:rPr>
          <w:rFonts w:cstheme="minorHAnsi"/>
          <w:sz w:val="22"/>
          <w:szCs w:val="22"/>
        </w:rPr>
        <w:t xml:space="preserve">The complainant filed a private prosecution against the Defendant for </w:t>
      </w:r>
      <w:r>
        <w:rPr>
          <w:rFonts w:cstheme="minorHAnsi"/>
          <w:sz w:val="22"/>
          <w:szCs w:val="22"/>
        </w:rPr>
        <w:t xml:space="preserve">the crime of </w:t>
      </w:r>
      <w:r w:rsidRPr="00397DA2">
        <w:rPr>
          <w:rFonts w:cstheme="minorHAnsi"/>
          <w:sz w:val="22"/>
          <w:szCs w:val="22"/>
        </w:rPr>
        <w:t xml:space="preserve">insult. The Constitutional Court argued that in cases where the speaker is </w:t>
      </w:r>
      <w:r w:rsidR="003228E1">
        <w:rPr>
          <w:rFonts w:cstheme="minorHAnsi"/>
          <w:sz w:val="22"/>
          <w:szCs w:val="22"/>
        </w:rPr>
        <w:t>not</w:t>
      </w:r>
      <w:r w:rsidRPr="00397DA2">
        <w:rPr>
          <w:rFonts w:cstheme="minorHAnsi"/>
          <w:sz w:val="22"/>
          <w:szCs w:val="22"/>
        </w:rPr>
        <w:t xml:space="preserve"> concerned with influencing the discussion on matters of public interest, but solely with insulting another</w:t>
      </w:r>
      <w:r w:rsidR="003228E1">
        <w:rPr>
          <w:rFonts w:cstheme="minorHAnsi"/>
          <w:sz w:val="22"/>
          <w:szCs w:val="22"/>
        </w:rPr>
        <w:t xml:space="preserve"> and attacking their personality, shaming or ridiculing them, </w:t>
      </w:r>
      <w:r>
        <w:rPr>
          <w:rFonts w:cstheme="minorHAnsi"/>
          <w:sz w:val="22"/>
          <w:szCs w:val="22"/>
        </w:rPr>
        <w:t>such speech may be unlawful.</w:t>
      </w:r>
      <w:r w:rsidRPr="00397DA2">
        <w:rPr>
          <w:rFonts w:cstheme="minorHAnsi"/>
          <w:sz w:val="22"/>
          <w:szCs w:val="22"/>
        </w:rPr>
        <w:t xml:space="preserve"> </w:t>
      </w:r>
    </w:p>
    <w:p w14:paraId="047B4526" w14:textId="77777777" w:rsidR="00397DA2" w:rsidRPr="00397DA2" w:rsidRDefault="00397DA2">
      <w:pPr>
        <w:rPr>
          <w:rFonts w:cstheme="minorHAnsi"/>
          <w:sz w:val="22"/>
          <w:szCs w:val="22"/>
        </w:rPr>
      </w:pPr>
    </w:p>
    <w:p w14:paraId="081867AD" w14:textId="77777777" w:rsidR="002A0420" w:rsidRPr="00FB3A49" w:rsidRDefault="002A0420" w:rsidP="002A0420">
      <w:pPr>
        <w:rPr>
          <w:rFonts w:cstheme="minorHAnsi"/>
          <w:sz w:val="22"/>
          <w:szCs w:val="22"/>
        </w:rPr>
      </w:pPr>
    </w:p>
    <w:p w14:paraId="2B4E0A0B" w14:textId="77777777" w:rsidR="002A0420" w:rsidRPr="00FB3A49" w:rsidRDefault="00332A20" w:rsidP="002A0420">
      <w:pPr>
        <w:rPr>
          <w:rFonts w:cstheme="minorHAnsi"/>
          <w:b/>
          <w:bCs/>
          <w:sz w:val="22"/>
          <w:szCs w:val="22"/>
        </w:rPr>
      </w:pPr>
      <w:r w:rsidRPr="00FB3A49">
        <w:rPr>
          <w:rFonts w:cstheme="minorHAnsi"/>
          <w:b/>
          <w:bCs/>
          <w:sz w:val="22"/>
          <w:szCs w:val="22"/>
        </w:rPr>
        <w:t xml:space="preserve">Facts </w:t>
      </w:r>
    </w:p>
    <w:p w14:paraId="6BE40709" w14:textId="77777777" w:rsidR="002A0420" w:rsidRDefault="00332A20" w:rsidP="002A0420">
      <w:pPr>
        <w:rPr>
          <w:rFonts w:cstheme="minorHAnsi"/>
          <w:sz w:val="22"/>
          <w:szCs w:val="22"/>
        </w:rPr>
      </w:pPr>
      <w:r>
        <w:rPr>
          <w:rFonts w:cstheme="minorHAnsi"/>
          <w:sz w:val="22"/>
          <w:szCs w:val="22"/>
        </w:rPr>
        <w:t xml:space="preserve">Dr Jože Pirjevec, as the Plaintiff, filed a constitutional complaint with which he challenged the judgment of the Slovenian Supreme Court in a criminal case, where he was a private prosecutor. Dr Boštjan Marko Turk was the Defendant in the case. The </w:t>
      </w:r>
      <w:r w:rsidR="00F86AE1">
        <w:rPr>
          <w:rFonts w:cstheme="minorHAnsi"/>
          <w:sz w:val="22"/>
          <w:szCs w:val="22"/>
        </w:rPr>
        <w:t>D</w:t>
      </w:r>
      <w:r>
        <w:rPr>
          <w:rFonts w:cstheme="minorHAnsi"/>
          <w:sz w:val="22"/>
          <w:szCs w:val="22"/>
        </w:rPr>
        <w:t xml:space="preserve">efendant wrote an article titled Referents and Renegades, which was published on </w:t>
      </w:r>
      <w:r w:rsidR="001F078F">
        <w:rPr>
          <w:rFonts w:cstheme="minorHAnsi"/>
          <w:sz w:val="22"/>
          <w:szCs w:val="22"/>
        </w:rPr>
        <w:t>June 13,</w:t>
      </w:r>
      <w:r>
        <w:rPr>
          <w:rFonts w:cstheme="minorHAnsi"/>
          <w:sz w:val="22"/>
          <w:szCs w:val="22"/>
        </w:rPr>
        <w:t xml:space="preserve"> </w:t>
      </w:r>
      <w:r w:rsidR="00CB2F4C">
        <w:rPr>
          <w:rFonts w:cstheme="minorHAnsi"/>
          <w:sz w:val="22"/>
          <w:szCs w:val="22"/>
        </w:rPr>
        <w:t>2011,</w:t>
      </w:r>
      <w:r>
        <w:rPr>
          <w:rFonts w:cstheme="minorHAnsi"/>
          <w:sz w:val="22"/>
          <w:szCs w:val="22"/>
        </w:rPr>
        <w:t xml:space="preserve"> in the weekly newspaper Reporter. In it, he wrote about the Plaintiff that they </w:t>
      </w:r>
      <w:r w:rsidR="00712791">
        <w:rPr>
          <w:rFonts w:cstheme="minorHAnsi"/>
          <w:sz w:val="22"/>
          <w:szCs w:val="22"/>
        </w:rPr>
        <w:t>I</w:t>
      </w:r>
      <w:r>
        <w:rPr>
          <w:rFonts w:cstheme="minorHAnsi"/>
          <w:sz w:val="22"/>
          <w:szCs w:val="22"/>
        </w:rPr>
        <w:t xml:space="preserve">talianised their name, stepped into a special type of apostasy and confirmed on their example the validity of fascist denationalization policy.  </w:t>
      </w:r>
    </w:p>
    <w:p w14:paraId="25EEE2AD" w14:textId="77777777" w:rsidR="001F078F" w:rsidRDefault="001F078F" w:rsidP="002A0420">
      <w:pPr>
        <w:rPr>
          <w:rFonts w:cstheme="minorHAnsi"/>
          <w:sz w:val="22"/>
          <w:szCs w:val="22"/>
        </w:rPr>
      </w:pPr>
    </w:p>
    <w:p w14:paraId="587ACACE" w14:textId="00B0E52E" w:rsidR="001F078F" w:rsidRDefault="00332A20" w:rsidP="00F808A6">
      <w:pPr>
        <w:rPr>
          <w:rFonts w:cstheme="minorHAnsi"/>
          <w:sz w:val="22"/>
          <w:szCs w:val="22"/>
        </w:rPr>
      </w:pPr>
      <w:r w:rsidRPr="001F078F">
        <w:rPr>
          <w:rFonts w:cstheme="minorHAnsi"/>
          <w:sz w:val="22"/>
          <w:szCs w:val="22"/>
        </w:rPr>
        <w:t xml:space="preserve">The </w:t>
      </w:r>
      <w:r>
        <w:rPr>
          <w:rFonts w:cstheme="minorHAnsi"/>
          <w:sz w:val="22"/>
          <w:szCs w:val="22"/>
        </w:rPr>
        <w:t>Plaintiff</w:t>
      </w:r>
      <w:r w:rsidRPr="001F078F">
        <w:rPr>
          <w:rFonts w:cstheme="minorHAnsi"/>
          <w:sz w:val="22"/>
          <w:szCs w:val="22"/>
        </w:rPr>
        <w:t xml:space="preserve"> filed a private lawsuit for the criminal offense of insult under the second paragraph in conjunction with the first paragraph of Article 158 of the </w:t>
      </w:r>
      <w:r w:rsidR="004A7676">
        <w:rPr>
          <w:rFonts w:cstheme="minorHAnsi"/>
          <w:sz w:val="22"/>
          <w:szCs w:val="22"/>
        </w:rPr>
        <w:t xml:space="preserve">Slovenian </w:t>
      </w:r>
      <w:r w:rsidRPr="001F078F">
        <w:rPr>
          <w:rFonts w:cstheme="minorHAnsi"/>
          <w:sz w:val="22"/>
          <w:szCs w:val="22"/>
        </w:rPr>
        <w:t>Criminal Code (</w:t>
      </w:r>
      <w:r w:rsidR="00F808A6" w:rsidRPr="00F808A6">
        <w:rPr>
          <w:rFonts w:cstheme="minorHAnsi"/>
          <w:sz w:val="22"/>
          <w:szCs w:val="22"/>
        </w:rPr>
        <w:t>KZ-1, 2012 with amendments</w:t>
      </w:r>
      <w:r w:rsidRPr="001F078F">
        <w:rPr>
          <w:rFonts w:cstheme="minorHAnsi"/>
          <w:sz w:val="22"/>
          <w:szCs w:val="22"/>
        </w:rPr>
        <w:t xml:space="preserve">). Based on this, the Ljubljana District Court found the </w:t>
      </w:r>
      <w:r w:rsidR="00F86AE1">
        <w:rPr>
          <w:rFonts w:cstheme="minorHAnsi"/>
          <w:sz w:val="22"/>
          <w:szCs w:val="22"/>
        </w:rPr>
        <w:t>D</w:t>
      </w:r>
      <w:r w:rsidRPr="001F078F">
        <w:rPr>
          <w:rFonts w:cstheme="minorHAnsi"/>
          <w:sz w:val="22"/>
          <w:szCs w:val="22"/>
        </w:rPr>
        <w:t xml:space="preserve">efendant guilty and imposed a suspended sentence, setting a two-month prison term with a two-year probation period. The Ljubljana Higher Court dismissed the appeal of the </w:t>
      </w:r>
      <w:r w:rsidR="00F86AE1">
        <w:rPr>
          <w:rFonts w:cstheme="minorHAnsi"/>
          <w:sz w:val="22"/>
          <w:szCs w:val="22"/>
        </w:rPr>
        <w:t>D</w:t>
      </w:r>
      <w:r w:rsidRPr="001F078F">
        <w:rPr>
          <w:rFonts w:cstheme="minorHAnsi"/>
          <w:sz w:val="22"/>
          <w:szCs w:val="22"/>
        </w:rPr>
        <w:t>efendant, upholding the first-instance court's ruling.</w:t>
      </w:r>
      <w:r w:rsidR="004A7676">
        <w:rPr>
          <w:rFonts w:cstheme="minorHAnsi"/>
          <w:sz w:val="22"/>
          <w:szCs w:val="22"/>
        </w:rPr>
        <w:t xml:space="preserve"> </w:t>
      </w:r>
    </w:p>
    <w:p w14:paraId="79C3375F" w14:textId="77777777" w:rsidR="004A7676" w:rsidRDefault="004A7676" w:rsidP="002A0420">
      <w:pPr>
        <w:rPr>
          <w:rFonts w:cstheme="minorHAnsi"/>
          <w:sz w:val="22"/>
          <w:szCs w:val="22"/>
        </w:rPr>
      </w:pPr>
    </w:p>
    <w:p w14:paraId="51301EFD" w14:textId="17D926C4" w:rsidR="004A7676" w:rsidRDefault="00332A20" w:rsidP="002A0420">
      <w:pPr>
        <w:rPr>
          <w:rFonts w:cstheme="minorHAnsi"/>
          <w:sz w:val="22"/>
          <w:szCs w:val="22"/>
        </w:rPr>
      </w:pPr>
      <w:r w:rsidRPr="004A7676">
        <w:rPr>
          <w:rFonts w:cstheme="minorHAnsi"/>
          <w:sz w:val="22"/>
          <w:szCs w:val="22"/>
        </w:rPr>
        <w:t>The Supreme Court</w:t>
      </w:r>
      <w:r w:rsidR="001D4B84">
        <w:rPr>
          <w:rFonts w:cstheme="minorHAnsi"/>
          <w:sz w:val="22"/>
          <w:szCs w:val="22"/>
        </w:rPr>
        <w:t>, with its Judgment N</w:t>
      </w:r>
      <w:r w:rsidR="001D4B84" w:rsidRPr="001D4B84">
        <w:rPr>
          <w:rFonts w:cstheme="minorHAnsi"/>
          <w:sz w:val="22"/>
          <w:szCs w:val="22"/>
        </w:rPr>
        <w:t xml:space="preserve">o. I Ips 44250/2011 </w:t>
      </w:r>
      <w:r w:rsidR="001D4B84">
        <w:rPr>
          <w:rFonts w:cstheme="minorHAnsi"/>
          <w:sz w:val="22"/>
          <w:szCs w:val="22"/>
        </w:rPr>
        <w:t>from February</w:t>
      </w:r>
      <w:r w:rsidR="001D4B84" w:rsidRPr="001D4B84">
        <w:rPr>
          <w:rFonts w:cstheme="minorHAnsi"/>
          <w:sz w:val="22"/>
          <w:szCs w:val="22"/>
        </w:rPr>
        <w:t xml:space="preserve"> 18</w:t>
      </w:r>
      <w:r w:rsidR="001D4B84">
        <w:rPr>
          <w:rFonts w:cstheme="minorHAnsi"/>
          <w:sz w:val="22"/>
          <w:szCs w:val="22"/>
        </w:rPr>
        <w:t>,</w:t>
      </w:r>
      <w:r w:rsidR="001D4B84" w:rsidRPr="001D4B84">
        <w:rPr>
          <w:rFonts w:cstheme="minorHAnsi"/>
          <w:sz w:val="22"/>
          <w:szCs w:val="22"/>
        </w:rPr>
        <w:t xml:space="preserve"> 2016</w:t>
      </w:r>
      <w:r w:rsidR="001D4B84">
        <w:rPr>
          <w:rFonts w:cstheme="minorHAnsi"/>
          <w:sz w:val="22"/>
          <w:szCs w:val="22"/>
        </w:rPr>
        <w:t xml:space="preserve"> </w:t>
      </w:r>
      <w:r w:rsidRPr="004A7676">
        <w:rPr>
          <w:rFonts w:cstheme="minorHAnsi"/>
          <w:sz w:val="22"/>
          <w:szCs w:val="22"/>
        </w:rPr>
        <w:t xml:space="preserve">granted the request for the protection of legality filed by the </w:t>
      </w:r>
      <w:r>
        <w:rPr>
          <w:rFonts w:cstheme="minorHAnsi"/>
          <w:sz w:val="22"/>
          <w:szCs w:val="22"/>
        </w:rPr>
        <w:t>Defendant</w:t>
      </w:r>
      <w:r w:rsidRPr="004A7676">
        <w:rPr>
          <w:rFonts w:cstheme="minorHAnsi"/>
          <w:sz w:val="22"/>
          <w:szCs w:val="22"/>
        </w:rPr>
        <w:t>, based on point 1 of Article 358 of the Criminal Procedure Act (</w:t>
      </w:r>
      <w:r w:rsidR="00F808A6" w:rsidRPr="00F808A6">
        <w:rPr>
          <w:rFonts w:cstheme="minorHAnsi"/>
          <w:sz w:val="22"/>
          <w:szCs w:val="22"/>
        </w:rPr>
        <w:t>ZKP, 2021 with amendments</w:t>
      </w:r>
      <w:r w:rsidRPr="004A7676">
        <w:rPr>
          <w:rFonts w:cstheme="minorHAnsi"/>
          <w:sz w:val="22"/>
          <w:szCs w:val="22"/>
        </w:rPr>
        <w:t xml:space="preserve">), and acquitted the </w:t>
      </w:r>
      <w:r>
        <w:rPr>
          <w:rFonts w:cstheme="minorHAnsi"/>
          <w:sz w:val="22"/>
          <w:szCs w:val="22"/>
        </w:rPr>
        <w:t>D</w:t>
      </w:r>
      <w:r w:rsidRPr="004A7676">
        <w:rPr>
          <w:rFonts w:cstheme="minorHAnsi"/>
          <w:sz w:val="22"/>
          <w:szCs w:val="22"/>
        </w:rPr>
        <w:t>efendant of the alleged criminal offense</w:t>
      </w:r>
      <w:r>
        <w:rPr>
          <w:rFonts w:cstheme="minorHAnsi"/>
          <w:sz w:val="22"/>
          <w:szCs w:val="22"/>
        </w:rPr>
        <w:t>, deciding that the</w:t>
      </w:r>
      <w:r w:rsidRPr="004A7676">
        <w:rPr>
          <w:rFonts w:cstheme="minorHAnsi"/>
          <w:sz w:val="22"/>
          <w:szCs w:val="22"/>
        </w:rPr>
        <w:t xml:space="preserve"> act </w:t>
      </w:r>
      <w:r w:rsidR="00F86AE1">
        <w:rPr>
          <w:rFonts w:cstheme="minorHAnsi"/>
          <w:sz w:val="22"/>
          <w:szCs w:val="22"/>
        </w:rPr>
        <w:t>of</w:t>
      </w:r>
      <w:r w:rsidRPr="004A7676">
        <w:rPr>
          <w:rFonts w:cstheme="minorHAnsi"/>
          <w:sz w:val="22"/>
          <w:szCs w:val="22"/>
        </w:rPr>
        <w:t xml:space="preserve"> which the</w:t>
      </w:r>
      <w:r>
        <w:rPr>
          <w:rFonts w:cstheme="minorHAnsi"/>
          <w:sz w:val="22"/>
          <w:szCs w:val="22"/>
        </w:rPr>
        <w:t xml:space="preserve"> Defendant was</w:t>
      </w:r>
      <w:r w:rsidRPr="004A7676">
        <w:rPr>
          <w:rFonts w:cstheme="minorHAnsi"/>
          <w:sz w:val="22"/>
          <w:szCs w:val="22"/>
        </w:rPr>
        <w:t xml:space="preserve"> accused is not a criminal offense under the law.</w:t>
      </w:r>
    </w:p>
    <w:p w14:paraId="3E21A3E8" w14:textId="77777777" w:rsidR="0082612A" w:rsidRDefault="0082612A" w:rsidP="002A0420">
      <w:pPr>
        <w:rPr>
          <w:rFonts w:cstheme="minorHAnsi"/>
          <w:sz w:val="22"/>
          <w:szCs w:val="22"/>
        </w:rPr>
      </w:pPr>
    </w:p>
    <w:p w14:paraId="2B99C683" w14:textId="5848AAEC" w:rsidR="0082612A" w:rsidRDefault="00332A20" w:rsidP="002A0420">
      <w:pPr>
        <w:rPr>
          <w:rFonts w:cstheme="minorHAnsi"/>
          <w:sz w:val="22"/>
          <w:szCs w:val="22"/>
        </w:rPr>
      </w:pPr>
      <w:r w:rsidRPr="0082612A">
        <w:rPr>
          <w:rFonts w:cstheme="minorHAnsi"/>
          <w:sz w:val="22"/>
          <w:szCs w:val="22"/>
        </w:rPr>
        <w:t xml:space="preserve">In the constitutional complaint, </w:t>
      </w:r>
      <w:r>
        <w:rPr>
          <w:rFonts w:cstheme="minorHAnsi"/>
          <w:sz w:val="22"/>
          <w:szCs w:val="22"/>
        </w:rPr>
        <w:t>Pirjevec</w:t>
      </w:r>
      <w:r w:rsidRPr="0082612A">
        <w:rPr>
          <w:rFonts w:cstheme="minorHAnsi"/>
          <w:sz w:val="22"/>
          <w:szCs w:val="22"/>
        </w:rPr>
        <w:t xml:space="preserve"> </w:t>
      </w:r>
      <w:r>
        <w:rPr>
          <w:rFonts w:cstheme="minorHAnsi"/>
          <w:sz w:val="22"/>
          <w:szCs w:val="22"/>
        </w:rPr>
        <w:t>argued that t</w:t>
      </w:r>
      <w:r w:rsidRPr="0082612A">
        <w:rPr>
          <w:rFonts w:cstheme="minorHAnsi"/>
          <w:sz w:val="22"/>
          <w:szCs w:val="22"/>
        </w:rPr>
        <w:t xml:space="preserve">he </w:t>
      </w:r>
      <w:r>
        <w:rPr>
          <w:rFonts w:cstheme="minorHAnsi"/>
          <w:sz w:val="22"/>
          <w:szCs w:val="22"/>
        </w:rPr>
        <w:t xml:space="preserve">Slovenian </w:t>
      </w:r>
      <w:r w:rsidRPr="0082612A">
        <w:rPr>
          <w:rFonts w:cstheme="minorHAnsi"/>
          <w:sz w:val="22"/>
          <w:szCs w:val="22"/>
        </w:rPr>
        <w:t xml:space="preserve">Supreme Court </w:t>
      </w:r>
      <w:r>
        <w:rPr>
          <w:rFonts w:cstheme="minorHAnsi"/>
          <w:sz w:val="22"/>
          <w:szCs w:val="22"/>
        </w:rPr>
        <w:t xml:space="preserve">allowed </w:t>
      </w:r>
      <w:r w:rsidRPr="0082612A">
        <w:rPr>
          <w:rFonts w:cstheme="minorHAnsi"/>
          <w:sz w:val="22"/>
          <w:szCs w:val="22"/>
        </w:rPr>
        <w:t xml:space="preserve">an excessive violation of </w:t>
      </w:r>
      <w:r w:rsidR="004D618D">
        <w:rPr>
          <w:rFonts w:cstheme="minorHAnsi"/>
          <w:sz w:val="22"/>
          <w:szCs w:val="22"/>
        </w:rPr>
        <w:t>his</w:t>
      </w:r>
      <w:r w:rsidRPr="0082612A">
        <w:rPr>
          <w:rFonts w:cstheme="minorHAnsi"/>
          <w:sz w:val="22"/>
          <w:szCs w:val="22"/>
        </w:rPr>
        <w:t xml:space="preserve"> right to personal dignity and reputation under Articles 34 and 35 of the Slovenian Constitution. </w:t>
      </w:r>
      <w:r>
        <w:rPr>
          <w:rFonts w:cstheme="minorHAnsi"/>
          <w:sz w:val="22"/>
          <w:szCs w:val="22"/>
        </w:rPr>
        <w:t>He argued that t</w:t>
      </w:r>
      <w:r w:rsidRPr="0082612A">
        <w:rPr>
          <w:rFonts w:cstheme="minorHAnsi"/>
          <w:sz w:val="22"/>
          <w:szCs w:val="22"/>
        </w:rPr>
        <w:t xml:space="preserve">he </w:t>
      </w:r>
      <w:r>
        <w:rPr>
          <w:rFonts w:cstheme="minorHAnsi"/>
          <w:sz w:val="22"/>
          <w:szCs w:val="22"/>
        </w:rPr>
        <w:t>D</w:t>
      </w:r>
      <w:r w:rsidRPr="0082612A">
        <w:rPr>
          <w:rFonts w:cstheme="minorHAnsi"/>
          <w:sz w:val="22"/>
          <w:szCs w:val="22"/>
        </w:rPr>
        <w:t>efendant's manner of expression in the article was derogatory, insulting, mocking, sensationalist, and biased</w:t>
      </w:r>
      <w:r>
        <w:rPr>
          <w:rFonts w:cstheme="minorHAnsi"/>
          <w:sz w:val="22"/>
          <w:szCs w:val="22"/>
        </w:rPr>
        <w:t xml:space="preserve"> and claimed</w:t>
      </w:r>
      <w:r w:rsidRPr="0082612A">
        <w:rPr>
          <w:rFonts w:cstheme="minorHAnsi"/>
          <w:sz w:val="22"/>
          <w:szCs w:val="22"/>
        </w:rPr>
        <w:t xml:space="preserve"> </w:t>
      </w:r>
      <w:r>
        <w:rPr>
          <w:rFonts w:cstheme="minorHAnsi"/>
          <w:sz w:val="22"/>
          <w:szCs w:val="22"/>
        </w:rPr>
        <w:t>that it was</w:t>
      </w:r>
      <w:r w:rsidRPr="0082612A">
        <w:rPr>
          <w:rFonts w:cstheme="minorHAnsi"/>
          <w:sz w:val="22"/>
          <w:szCs w:val="22"/>
        </w:rPr>
        <w:t xml:space="preserve"> evident that the </w:t>
      </w:r>
      <w:r>
        <w:rPr>
          <w:rFonts w:cstheme="minorHAnsi"/>
          <w:sz w:val="22"/>
          <w:szCs w:val="22"/>
        </w:rPr>
        <w:t xml:space="preserve">Defendant </w:t>
      </w:r>
      <w:r w:rsidRPr="0082612A">
        <w:rPr>
          <w:rFonts w:cstheme="minorHAnsi"/>
          <w:sz w:val="22"/>
          <w:szCs w:val="22"/>
        </w:rPr>
        <w:t xml:space="preserve">intended to demean rather than provide serious </w:t>
      </w:r>
      <w:r w:rsidRPr="0082612A">
        <w:rPr>
          <w:rFonts w:cstheme="minorHAnsi"/>
          <w:sz w:val="22"/>
          <w:szCs w:val="22"/>
        </w:rPr>
        <w:lastRenderedPageBreak/>
        <w:t>criticism.</w:t>
      </w:r>
      <w:r>
        <w:rPr>
          <w:rFonts w:cstheme="minorHAnsi"/>
          <w:sz w:val="22"/>
          <w:szCs w:val="22"/>
        </w:rPr>
        <w:t xml:space="preserve"> The Plaintiff thus challenged the Supreme Court’s Decision and demanded that the Constitutional Court find</w:t>
      </w:r>
      <w:r w:rsidR="001D4B84">
        <w:rPr>
          <w:rFonts w:cstheme="minorHAnsi"/>
          <w:sz w:val="22"/>
          <w:szCs w:val="22"/>
        </w:rPr>
        <w:t xml:space="preserve"> a breach of </w:t>
      </w:r>
      <w:r w:rsidR="001B2ED6">
        <w:rPr>
          <w:rFonts w:cstheme="minorHAnsi"/>
          <w:sz w:val="22"/>
          <w:szCs w:val="22"/>
        </w:rPr>
        <w:t>his</w:t>
      </w:r>
      <w:r w:rsidR="001D4B84">
        <w:rPr>
          <w:rFonts w:cstheme="minorHAnsi"/>
          <w:sz w:val="22"/>
          <w:szCs w:val="22"/>
        </w:rPr>
        <w:t xml:space="preserve"> constitutional rights.</w:t>
      </w:r>
    </w:p>
    <w:p w14:paraId="45615127" w14:textId="77777777" w:rsidR="001F078F" w:rsidRDefault="001F078F" w:rsidP="002A0420">
      <w:pPr>
        <w:rPr>
          <w:rFonts w:cstheme="minorHAnsi"/>
          <w:sz w:val="22"/>
          <w:szCs w:val="22"/>
        </w:rPr>
      </w:pPr>
    </w:p>
    <w:p w14:paraId="41731C89" w14:textId="77777777" w:rsidR="006A4F9C" w:rsidRPr="00793000" w:rsidRDefault="006A4F9C" w:rsidP="00AF317E">
      <w:pPr>
        <w:rPr>
          <w:rFonts w:cstheme="minorHAnsi"/>
          <w:sz w:val="22"/>
          <w:szCs w:val="22"/>
        </w:rPr>
      </w:pPr>
    </w:p>
    <w:p w14:paraId="781A85AA" w14:textId="77777777" w:rsidR="00F215E1" w:rsidRPr="00FB3A49" w:rsidRDefault="00332A20" w:rsidP="00F215E1">
      <w:pPr>
        <w:rPr>
          <w:rFonts w:cstheme="minorHAnsi"/>
          <w:b/>
          <w:bCs/>
          <w:sz w:val="22"/>
          <w:szCs w:val="22"/>
        </w:rPr>
      </w:pPr>
      <w:r w:rsidRPr="00FB3A49">
        <w:rPr>
          <w:rFonts w:cstheme="minorHAnsi"/>
          <w:b/>
          <w:bCs/>
          <w:sz w:val="22"/>
          <w:szCs w:val="22"/>
        </w:rPr>
        <w:t>Decision Overview</w:t>
      </w:r>
    </w:p>
    <w:p w14:paraId="2C86B90E" w14:textId="77777777" w:rsidR="0003092E" w:rsidRDefault="0003092E" w:rsidP="00F215E1">
      <w:pPr>
        <w:rPr>
          <w:rFonts w:cstheme="minorHAnsi"/>
          <w:sz w:val="22"/>
          <w:szCs w:val="22"/>
        </w:rPr>
      </w:pPr>
    </w:p>
    <w:p w14:paraId="47760FF3" w14:textId="10316050" w:rsidR="00961C16" w:rsidRDefault="00332A20" w:rsidP="00F215E1">
      <w:pPr>
        <w:rPr>
          <w:rFonts w:cstheme="minorHAnsi"/>
          <w:sz w:val="22"/>
          <w:szCs w:val="22"/>
        </w:rPr>
      </w:pPr>
      <w:r>
        <w:rPr>
          <w:rFonts w:cstheme="minorHAnsi"/>
          <w:sz w:val="22"/>
          <w:szCs w:val="22"/>
        </w:rPr>
        <w:t xml:space="preserve">Judge Knez, President of the </w:t>
      </w:r>
      <w:r w:rsidR="007A7CE2">
        <w:rPr>
          <w:rFonts w:cstheme="minorHAnsi"/>
          <w:sz w:val="22"/>
          <w:szCs w:val="22"/>
        </w:rPr>
        <w:t xml:space="preserve">Constitutional </w:t>
      </w:r>
      <w:r>
        <w:rPr>
          <w:rFonts w:cstheme="minorHAnsi"/>
          <w:sz w:val="22"/>
          <w:szCs w:val="22"/>
        </w:rPr>
        <w:t>Court, delivered the Judgement for the Court</w:t>
      </w:r>
      <w:r w:rsidR="002B2316">
        <w:rPr>
          <w:rFonts w:cstheme="minorHAnsi"/>
          <w:sz w:val="22"/>
          <w:szCs w:val="22"/>
        </w:rPr>
        <w:t>, reflecting the majority opinion of the judges</w:t>
      </w:r>
      <w:r>
        <w:rPr>
          <w:rFonts w:cstheme="minorHAnsi"/>
          <w:sz w:val="22"/>
          <w:szCs w:val="22"/>
        </w:rPr>
        <w:t xml:space="preserve">. </w:t>
      </w:r>
    </w:p>
    <w:p w14:paraId="174EAA28" w14:textId="77777777" w:rsidR="00961C16" w:rsidRDefault="00961C16" w:rsidP="00F215E1">
      <w:pPr>
        <w:rPr>
          <w:rFonts w:cstheme="minorHAnsi"/>
          <w:sz w:val="22"/>
          <w:szCs w:val="22"/>
        </w:rPr>
      </w:pPr>
    </w:p>
    <w:p w14:paraId="3FE281F2" w14:textId="2D04AA0B" w:rsidR="000A199B" w:rsidRDefault="00332A20" w:rsidP="00F215E1">
      <w:pPr>
        <w:rPr>
          <w:rFonts w:cstheme="minorHAnsi"/>
          <w:sz w:val="22"/>
          <w:szCs w:val="22"/>
        </w:rPr>
      </w:pPr>
      <w:r>
        <w:rPr>
          <w:rFonts w:cstheme="minorHAnsi"/>
          <w:sz w:val="22"/>
          <w:szCs w:val="22"/>
        </w:rPr>
        <w:t xml:space="preserve">The main issue was </w:t>
      </w:r>
      <w:r w:rsidR="00961C16">
        <w:rPr>
          <w:rFonts w:cstheme="minorHAnsi"/>
          <w:sz w:val="22"/>
          <w:szCs w:val="22"/>
        </w:rPr>
        <w:t xml:space="preserve">whether the </w:t>
      </w:r>
      <w:r w:rsidR="00641886">
        <w:rPr>
          <w:rFonts w:cstheme="minorHAnsi"/>
          <w:sz w:val="22"/>
          <w:szCs w:val="22"/>
        </w:rPr>
        <w:t>D</w:t>
      </w:r>
      <w:r w:rsidR="00961C16">
        <w:rPr>
          <w:rFonts w:cstheme="minorHAnsi"/>
          <w:sz w:val="22"/>
          <w:szCs w:val="22"/>
        </w:rPr>
        <w:t>efendant's statements about the Plaintiff were insulting in a criminally relevant way</w:t>
      </w:r>
      <w:r w:rsidR="00761BDD">
        <w:rPr>
          <w:rFonts w:cstheme="minorHAnsi"/>
          <w:sz w:val="22"/>
          <w:szCs w:val="22"/>
        </w:rPr>
        <w:t xml:space="preserve"> and thus whether the Supreme Court breached the Plaintiff’s right to honor and a good name</w:t>
      </w:r>
      <w:r w:rsidR="00641886">
        <w:rPr>
          <w:rFonts w:cstheme="minorHAnsi"/>
          <w:sz w:val="22"/>
          <w:szCs w:val="22"/>
        </w:rPr>
        <w:t xml:space="preserve"> by acquitting the Defendant</w:t>
      </w:r>
      <w:r w:rsidR="00761BDD">
        <w:rPr>
          <w:rFonts w:cstheme="minorHAnsi"/>
          <w:sz w:val="22"/>
          <w:szCs w:val="22"/>
        </w:rPr>
        <w:t>.</w:t>
      </w:r>
    </w:p>
    <w:p w14:paraId="6F9FEA57" w14:textId="77777777" w:rsidR="00961C16" w:rsidRDefault="00961C16" w:rsidP="00F215E1">
      <w:pPr>
        <w:rPr>
          <w:rFonts w:cstheme="minorHAnsi"/>
          <w:sz w:val="22"/>
          <w:szCs w:val="22"/>
        </w:rPr>
      </w:pPr>
    </w:p>
    <w:p w14:paraId="64EE0C1B" w14:textId="77777777" w:rsidR="00961C16" w:rsidRDefault="00332A20" w:rsidP="00F215E1">
      <w:pPr>
        <w:rPr>
          <w:rFonts w:cstheme="minorHAnsi"/>
          <w:sz w:val="22"/>
          <w:szCs w:val="22"/>
        </w:rPr>
      </w:pPr>
      <w:r>
        <w:rPr>
          <w:rFonts w:cstheme="minorHAnsi"/>
          <w:sz w:val="22"/>
          <w:szCs w:val="22"/>
        </w:rPr>
        <w:t>The challenged Judgement of the Supreme Court N</w:t>
      </w:r>
      <w:r w:rsidRPr="001D4B84">
        <w:rPr>
          <w:rFonts w:cstheme="minorHAnsi"/>
          <w:sz w:val="22"/>
          <w:szCs w:val="22"/>
        </w:rPr>
        <w:t xml:space="preserve">o. I Ips 44250/2011 </w:t>
      </w:r>
      <w:r>
        <w:rPr>
          <w:rFonts w:cstheme="minorHAnsi"/>
          <w:sz w:val="22"/>
          <w:szCs w:val="22"/>
        </w:rPr>
        <w:t>from February</w:t>
      </w:r>
      <w:r w:rsidRPr="001D4B84">
        <w:rPr>
          <w:rFonts w:cstheme="minorHAnsi"/>
          <w:sz w:val="22"/>
          <w:szCs w:val="22"/>
        </w:rPr>
        <w:t xml:space="preserve"> 18</w:t>
      </w:r>
      <w:r>
        <w:rPr>
          <w:rFonts w:cstheme="minorHAnsi"/>
          <w:sz w:val="22"/>
          <w:szCs w:val="22"/>
        </w:rPr>
        <w:t>,</w:t>
      </w:r>
      <w:r w:rsidRPr="001D4B84">
        <w:rPr>
          <w:rFonts w:cstheme="minorHAnsi"/>
          <w:sz w:val="22"/>
          <w:szCs w:val="22"/>
        </w:rPr>
        <w:t xml:space="preserve"> 2016</w:t>
      </w:r>
      <w:r>
        <w:rPr>
          <w:rFonts w:cstheme="minorHAnsi"/>
          <w:sz w:val="22"/>
          <w:szCs w:val="22"/>
        </w:rPr>
        <w:t xml:space="preserve">, sided with the arguments of the Defendant that the contentious writings are not statements of fact but merely the Defendant's value judgment on specific conduct of the Plaintiff. These value judgements supposedly were based on an undisputed fact that the Plaintiff </w:t>
      </w:r>
      <w:r w:rsidR="00120C73">
        <w:rPr>
          <w:rFonts w:cstheme="minorHAnsi"/>
          <w:sz w:val="22"/>
          <w:szCs w:val="22"/>
        </w:rPr>
        <w:t xml:space="preserve">only gradually </w:t>
      </w:r>
      <w:r>
        <w:rPr>
          <w:rFonts w:cstheme="minorHAnsi"/>
          <w:sz w:val="22"/>
          <w:szCs w:val="22"/>
        </w:rPr>
        <w:t>changed their name and surname from Italian to the Slovenian version</w:t>
      </w:r>
      <w:r w:rsidR="00120C73">
        <w:rPr>
          <w:rFonts w:cstheme="minorHAnsi"/>
          <w:sz w:val="22"/>
          <w:szCs w:val="22"/>
        </w:rPr>
        <w:t xml:space="preserve">. Since he was a public figure, he should have expected that such actions would raise public interest. While Plaintiff might have felt insulted, Defendant's intention to insult was not evident. </w:t>
      </w:r>
    </w:p>
    <w:p w14:paraId="1B53556E" w14:textId="77777777" w:rsidR="000A199B" w:rsidRDefault="000A199B" w:rsidP="00F215E1">
      <w:pPr>
        <w:rPr>
          <w:rFonts w:cstheme="minorHAnsi"/>
          <w:sz w:val="22"/>
          <w:szCs w:val="22"/>
        </w:rPr>
      </w:pPr>
    </w:p>
    <w:p w14:paraId="67012CD5" w14:textId="77777777" w:rsidR="00F85CA1" w:rsidRDefault="00332A20" w:rsidP="00245EF0">
      <w:pPr>
        <w:rPr>
          <w:rFonts w:cstheme="minorHAnsi"/>
          <w:sz w:val="22"/>
          <w:szCs w:val="22"/>
        </w:rPr>
      </w:pPr>
      <w:r>
        <w:rPr>
          <w:rFonts w:cstheme="minorHAnsi"/>
          <w:sz w:val="22"/>
          <w:szCs w:val="22"/>
        </w:rPr>
        <w:t>The Plaintiff argued</w:t>
      </w:r>
      <w:r w:rsidR="00245EF0">
        <w:rPr>
          <w:rFonts w:cstheme="minorHAnsi"/>
          <w:sz w:val="22"/>
          <w:szCs w:val="22"/>
        </w:rPr>
        <w:t xml:space="preserve"> that</w:t>
      </w:r>
      <w:r w:rsidR="00AF2F99">
        <w:rPr>
          <w:rFonts w:cstheme="minorHAnsi"/>
          <w:sz w:val="22"/>
          <w:szCs w:val="22"/>
        </w:rPr>
        <w:t xml:space="preserve"> the claimed</w:t>
      </w:r>
      <w:r w:rsidR="00245EF0">
        <w:rPr>
          <w:rFonts w:cstheme="minorHAnsi"/>
          <w:sz w:val="22"/>
          <w:szCs w:val="22"/>
        </w:rPr>
        <w:t xml:space="preserve"> Italianisation of the name was factually inaccurate. He claimed that the comparisons with fascism in connection with reproached apostasy, both without any basis, are not to be protected in the sense of the principle of freedom of expression. He claimed that the Supreme Court allowed for an excessive interference with </w:t>
      </w:r>
      <w:r w:rsidR="00AF2F99">
        <w:rPr>
          <w:rFonts w:cstheme="minorHAnsi"/>
          <w:sz w:val="22"/>
          <w:szCs w:val="22"/>
        </w:rPr>
        <w:t>his</w:t>
      </w:r>
      <w:r w:rsidR="00245EF0">
        <w:rPr>
          <w:rFonts w:cstheme="minorHAnsi"/>
          <w:sz w:val="22"/>
          <w:szCs w:val="22"/>
        </w:rPr>
        <w:t xml:space="preserve"> right to honor and a good name from Articles 34 and 35 of the Slovenian Constitution, since the manner of Defendant’s expression was </w:t>
      </w:r>
      <w:r w:rsidR="00245EF0" w:rsidRPr="00245EF0">
        <w:rPr>
          <w:rFonts w:cstheme="minorHAnsi"/>
          <w:sz w:val="22"/>
          <w:szCs w:val="22"/>
        </w:rPr>
        <w:t>contemptuous, insulting, teasing, mocking, sensationalistic and tendentious</w:t>
      </w:r>
      <w:r w:rsidR="00245EF0">
        <w:rPr>
          <w:rFonts w:cstheme="minorHAnsi"/>
          <w:sz w:val="22"/>
          <w:szCs w:val="22"/>
        </w:rPr>
        <w:t>.</w:t>
      </w:r>
      <w:r>
        <w:rPr>
          <w:rFonts w:cstheme="minorHAnsi"/>
          <w:sz w:val="22"/>
          <w:szCs w:val="22"/>
        </w:rPr>
        <w:t xml:space="preserve"> The intent to belittle and not seriously criticize, was evident at first glance. The Plaintiff furthermore argued that the Supreme Court ruled contrary to the </w:t>
      </w:r>
      <w:r w:rsidRPr="00F85CA1">
        <w:rPr>
          <w:rFonts w:cstheme="minorHAnsi"/>
          <w:sz w:val="22"/>
          <w:szCs w:val="22"/>
        </w:rPr>
        <w:t>established practice of the European Court of Human Rights</w:t>
      </w:r>
      <w:r>
        <w:rPr>
          <w:rFonts w:cstheme="minorHAnsi"/>
          <w:sz w:val="22"/>
          <w:szCs w:val="22"/>
        </w:rPr>
        <w:t>.</w:t>
      </w:r>
      <w:r w:rsidRPr="00F85CA1">
        <w:rPr>
          <w:rFonts w:cstheme="minorHAnsi"/>
          <w:sz w:val="22"/>
          <w:szCs w:val="22"/>
        </w:rPr>
        <w:t xml:space="preserve"> </w:t>
      </w:r>
    </w:p>
    <w:p w14:paraId="3321D959" w14:textId="77777777" w:rsidR="00152B05" w:rsidRDefault="00152B05" w:rsidP="00245EF0">
      <w:pPr>
        <w:rPr>
          <w:rFonts w:cstheme="minorHAnsi"/>
          <w:sz w:val="22"/>
          <w:szCs w:val="22"/>
        </w:rPr>
      </w:pPr>
    </w:p>
    <w:p w14:paraId="349BE960" w14:textId="77777777" w:rsidR="00152B05" w:rsidRDefault="00332A20" w:rsidP="00245EF0">
      <w:pPr>
        <w:rPr>
          <w:rFonts w:cstheme="minorHAnsi"/>
          <w:sz w:val="22"/>
          <w:szCs w:val="22"/>
        </w:rPr>
      </w:pPr>
      <w:r w:rsidRPr="00152B05">
        <w:rPr>
          <w:rFonts w:cstheme="minorHAnsi"/>
          <w:sz w:val="22"/>
          <w:szCs w:val="22"/>
        </w:rPr>
        <w:t xml:space="preserve">The applicable legal basis comprises </w:t>
      </w:r>
      <w:r>
        <w:rPr>
          <w:rFonts w:cstheme="minorHAnsi"/>
          <w:sz w:val="22"/>
          <w:szCs w:val="22"/>
        </w:rPr>
        <w:t xml:space="preserve">paragraphs 1 and 2 </w:t>
      </w:r>
      <w:r w:rsidR="00C3378F">
        <w:rPr>
          <w:rFonts w:cstheme="minorHAnsi"/>
          <w:sz w:val="22"/>
          <w:szCs w:val="22"/>
        </w:rPr>
        <w:t xml:space="preserve">of Article 158 </w:t>
      </w:r>
      <w:r>
        <w:rPr>
          <w:rFonts w:cstheme="minorHAnsi"/>
          <w:sz w:val="22"/>
          <w:szCs w:val="22"/>
        </w:rPr>
        <w:t>of the Slovenian Criminal Code (KZ-1)</w:t>
      </w:r>
      <w:r w:rsidRPr="00152B05">
        <w:rPr>
          <w:rFonts w:cstheme="minorHAnsi"/>
          <w:sz w:val="22"/>
          <w:szCs w:val="22"/>
        </w:rPr>
        <w:t>, which criminalizes insult with a fine or up to three months’ imprisonment, or up to six months if committed through public media such as the press or websites. Additionally, Article 34 of the Slovenian Constitution guarantees the right to personal dignity and safety, while Article 35 protects the inviolability of physical and mental integrity, privacy, and personality rights</w:t>
      </w:r>
      <w:r>
        <w:rPr>
          <w:rFonts w:cstheme="minorHAnsi"/>
          <w:sz w:val="22"/>
          <w:szCs w:val="22"/>
        </w:rPr>
        <w:t>. Article 39 guarantees freedom of expression, which must be balanced against other potentially applicable rights.</w:t>
      </w:r>
      <w:r w:rsidRPr="00152B05">
        <w:rPr>
          <w:rFonts w:cstheme="minorHAnsi"/>
          <w:sz w:val="22"/>
          <w:szCs w:val="22"/>
        </w:rPr>
        <w:t xml:space="preserve"> These provisions underpin the evaluation of whether the Defendant's actions constituted a criminal insult and violated the Plaintiff's constitutional rights to </w:t>
      </w:r>
      <w:r>
        <w:rPr>
          <w:rFonts w:cstheme="minorHAnsi"/>
          <w:sz w:val="22"/>
          <w:szCs w:val="22"/>
        </w:rPr>
        <w:t>personal dignity, integrity and personality</w:t>
      </w:r>
      <w:r w:rsidRPr="00152B05">
        <w:rPr>
          <w:rFonts w:cstheme="minorHAnsi"/>
          <w:sz w:val="22"/>
          <w:szCs w:val="22"/>
        </w:rPr>
        <w:t>.</w:t>
      </w:r>
    </w:p>
    <w:p w14:paraId="5C54CAA2" w14:textId="77777777" w:rsidR="00F85CA1" w:rsidRDefault="00F85CA1" w:rsidP="00245EF0">
      <w:pPr>
        <w:rPr>
          <w:rFonts w:cstheme="minorHAnsi"/>
          <w:sz w:val="22"/>
          <w:szCs w:val="22"/>
        </w:rPr>
      </w:pPr>
    </w:p>
    <w:p w14:paraId="3BEEA2FC" w14:textId="37005F32" w:rsidR="00577D28" w:rsidRDefault="00332A20" w:rsidP="00245EF0">
      <w:pPr>
        <w:rPr>
          <w:rFonts w:cstheme="minorHAnsi"/>
          <w:sz w:val="22"/>
          <w:szCs w:val="22"/>
        </w:rPr>
      </w:pPr>
      <w:r>
        <w:rPr>
          <w:rFonts w:cstheme="minorHAnsi"/>
          <w:sz w:val="22"/>
          <w:szCs w:val="22"/>
        </w:rPr>
        <w:t>The Court analyzed the collision between the right to honor and a good name and balanced it against the right to freedom of expression. It first delineated the scope of the right to freedom of expression as including the freedom of thought, speech and journalistic expression. It stated that “f</w:t>
      </w:r>
      <w:r w:rsidRPr="00577D28">
        <w:rPr>
          <w:rFonts w:cstheme="minorHAnsi"/>
          <w:sz w:val="22"/>
          <w:szCs w:val="22"/>
        </w:rPr>
        <w:t xml:space="preserve">or a discussion to be truly free, an individual’s right to express their opinions must generally be protected, regardless of whether the statement is coarse or </w:t>
      </w:r>
      <w:r w:rsidRPr="009D1422">
        <w:rPr>
          <w:rFonts w:cstheme="minorHAnsi"/>
          <w:sz w:val="22"/>
          <w:szCs w:val="22"/>
        </w:rPr>
        <w:t xml:space="preserve">neutral, rational or emotionally charged, mild or aggressive, beneficial or harmful, correct or incorrect,” [para. </w:t>
      </w:r>
      <w:r w:rsidR="009D1422" w:rsidRPr="009D1422">
        <w:rPr>
          <w:rFonts w:cstheme="minorHAnsi"/>
          <w:sz w:val="22"/>
          <w:szCs w:val="22"/>
        </w:rPr>
        <w:t>16</w:t>
      </w:r>
      <w:r w:rsidRPr="009D1422">
        <w:rPr>
          <w:rFonts w:cstheme="minorHAnsi"/>
          <w:sz w:val="22"/>
          <w:szCs w:val="22"/>
        </w:rPr>
        <w:t xml:space="preserve">], but at the same time it </w:t>
      </w:r>
      <w:r w:rsidR="00641C61">
        <w:rPr>
          <w:rFonts w:cstheme="minorHAnsi"/>
          <w:sz w:val="22"/>
          <w:szCs w:val="22"/>
        </w:rPr>
        <w:t>held</w:t>
      </w:r>
      <w:r w:rsidRPr="009D1422">
        <w:rPr>
          <w:rFonts w:cstheme="minorHAnsi"/>
          <w:sz w:val="22"/>
          <w:szCs w:val="22"/>
        </w:rPr>
        <w:t xml:space="preserve"> that the limits may be set “where the speaker’s intent is no longer to influence the debate on matters of public importance but merely to insult another, and the reader may perceive the expression as an attack on that person’s character, their humiliation, degradation, contempt, or ridicule” [para. </w:t>
      </w:r>
      <w:r w:rsidR="009D1422" w:rsidRPr="009D1422">
        <w:rPr>
          <w:rFonts w:cstheme="minorHAnsi"/>
          <w:sz w:val="22"/>
          <w:szCs w:val="22"/>
        </w:rPr>
        <w:t>16</w:t>
      </w:r>
      <w:r w:rsidRPr="009D1422">
        <w:rPr>
          <w:rFonts w:cstheme="minorHAnsi"/>
          <w:sz w:val="22"/>
          <w:szCs w:val="22"/>
        </w:rPr>
        <w:t>].</w:t>
      </w:r>
      <w:r w:rsidR="00641C61">
        <w:rPr>
          <w:rFonts w:cstheme="minorHAnsi"/>
          <w:sz w:val="22"/>
          <w:szCs w:val="22"/>
        </w:rPr>
        <w:t xml:space="preserve"> In further analysis of the statements made by the Defendant, the court focused on the </w:t>
      </w:r>
      <w:r w:rsidR="00641C61">
        <w:rPr>
          <w:rFonts w:cstheme="minorHAnsi"/>
          <w:sz w:val="22"/>
          <w:szCs w:val="22"/>
        </w:rPr>
        <w:lastRenderedPageBreak/>
        <w:t>extent to which the Defendant and Plaintiff were public figure</w:t>
      </w:r>
      <w:r w:rsidR="00096FF3">
        <w:rPr>
          <w:rFonts w:cstheme="minorHAnsi"/>
          <w:sz w:val="22"/>
          <w:szCs w:val="22"/>
        </w:rPr>
        <w:t>s</w:t>
      </w:r>
      <w:r w:rsidR="00641C61">
        <w:rPr>
          <w:rFonts w:cstheme="minorHAnsi"/>
          <w:sz w:val="22"/>
          <w:szCs w:val="22"/>
        </w:rPr>
        <w:t>, since it held that “t</w:t>
      </w:r>
      <w:r w:rsidR="00641C61" w:rsidRPr="00641C61">
        <w:rPr>
          <w:rFonts w:cstheme="minorHAnsi"/>
          <w:sz w:val="22"/>
          <w:szCs w:val="22"/>
        </w:rPr>
        <w:t>he boundaries of acceptable criticism largely depend on the societal role of the person concerned</w:t>
      </w:r>
      <w:r w:rsidR="00641C61">
        <w:rPr>
          <w:rFonts w:cstheme="minorHAnsi"/>
          <w:sz w:val="22"/>
          <w:szCs w:val="22"/>
        </w:rPr>
        <w:t>” [para. 16].</w:t>
      </w:r>
    </w:p>
    <w:p w14:paraId="4CEF7A3C" w14:textId="77777777" w:rsidR="00577D28" w:rsidRDefault="00577D28" w:rsidP="00245EF0">
      <w:pPr>
        <w:rPr>
          <w:rFonts w:cstheme="minorHAnsi"/>
          <w:sz w:val="22"/>
          <w:szCs w:val="22"/>
        </w:rPr>
      </w:pPr>
    </w:p>
    <w:p w14:paraId="1A311DBA" w14:textId="77777777" w:rsidR="00E0754F" w:rsidRDefault="00332A20" w:rsidP="00245EF0">
      <w:pPr>
        <w:rPr>
          <w:rFonts w:cstheme="minorHAnsi"/>
          <w:sz w:val="22"/>
          <w:szCs w:val="22"/>
        </w:rPr>
      </w:pPr>
      <w:r>
        <w:rPr>
          <w:rFonts w:cstheme="minorHAnsi"/>
          <w:sz w:val="22"/>
          <w:szCs w:val="22"/>
        </w:rPr>
        <w:t>The Court held that Pirjevec was a well-known historian with extensive publication activity who had engaged in political activity and was thus a public figure. Hence, it stated that "</w:t>
      </w:r>
      <w:r w:rsidRPr="00924D67">
        <w:rPr>
          <w:rFonts w:cstheme="minorHAnsi"/>
          <w:sz w:val="22"/>
          <w:szCs w:val="22"/>
        </w:rPr>
        <w:t>negative reactions toward him were expected to be sharper, and thus the threshold for acceptable critical reactions should be correspondingly higher</w:t>
      </w:r>
      <w:r>
        <w:rPr>
          <w:rFonts w:cstheme="minorHAnsi"/>
          <w:sz w:val="22"/>
          <w:szCs w:val="22"/>
        </w:rPr>
        <w:t>” [para. 24].</w:t>
      </w:r>
      <w:r w:rsidR="00F70E10">
        <w:rPr>
          <w:rFonts w:cstheme="minorHAnsi"/>
          <w:sz w:val="22"/>
          <w:szCs w:val="22"/>
        </w:rPr>
        <w:t xml:space="preserve"> However, the Constitutional Court disagreed with the Supreme Court that the Plaintiff was an absolutely public figure and instead held that he was a relatively public figure. It found that “b</w:t>
      </w:r>
      <w:r w:rsidR="00F70E10" w:rsidRPr="00F70E10">
        <w:rPr>
          <w:rFonts w:cstheme="minorHAnsi"/>
          <w:sz w:val="22"/>
          <w:szCs w:val="22"/>
        </w:rPr>
        <w:t>ased on the established facts, the complainant did not hold public office or actively engage in politics</w:t>
      </w:r>
      <w:r w:rsidR="00F70E10">
        <w:rPr>
          <w:rFonts w:cstheme="minorHAnsi"/>
          <w:sz w:val="22"/>
          <w:szCs w:val="22"/>
        </w:rPr>
        <w:t>” [para. 25]</w:t>
      </w:r>
      <w:r w:rsidR="00F70E10" w:rsidRPr="00F70E10">
        <w:rPr>
          <w:rFonts w:cstheme="minorHAnsi"/>
          <w:sz w:val="22"/>
          <w:szCs w:val="22"/>
        </w:rPr>
        <w:t xml:space="preserve">. </w:t>
      </w:r>
    </w:p>
    <w:p w14:paraId="694E1873" w14:textId="77777777" w:rsidR="00E0754F" w:rsidRDefault="00E0754F" w:rsidP="00245EF0">
      <w:pPr>
        <w:rPr>
          <w:rFonts w:cstheme="minorHAnsi"/>
          <w:sz w:val="22"/>
          <w:szCs w:val="22"/>
        </w:rPr>
      </w:pPr>
    </w:p>
    <w:p w14:paraId="740CD03C" w14:textId="7D159732" w:rsidR="00F70E10" w:rsidRDefault="00332A20" w:rsidP="00245EF0">
      <w:pPr>
        <w:rPr>
          <w:rFonts w:cstheme="minorHAnsi"/>
          <w:sz w:val="22"/>
          <w:szCs w:val="22"/>
        </w:rPr>
      </w:pPr>
      <w:r w:rsidRPr="00F70E10">
        <w:rPr>
          <w:rFonts w:cstheme="minorHAnsi"/>
          <w:sz w:val="22"/>
          <w:szCs w:val="22"/>
        </w:rPr>
        <w:t>Therefore</w:t>
      </w:r>
      <w:r>
        <w:rPr>
          <w:rFonts w:cstheme="minorHAnsi"/>
          <w:sz w:val="22"/>
          <w:szCs w:val="22"/>
        </w:rPr>
        <w:t xml:space="preserve">, </w:t>
      </w:r>
      <w:r w:rsidR="00E0754F">
        <w:rPr>
          <w:rFonts w:cstheme="minorHAnsi"/>
          <w:sz w:val="22"/>
          <w:szCs w:val="22"/>
        </w:rPr>
        <w:t>t</w:t>
      </w:r>
      <w:r>
        <w:rPr>
          <w:rFonts w:cstheme="minorHAnsi"/>
          <w:sz w:val="22"/>
          <w:szCs w:val="22"/>
        </w:rPr>
        <w:t>he Court held that Pirjevec was not an absolutely, but a relatively public figure and thus</w:t>
      </w:r>
      <w:r w:rsidRPr="00F70E10">
        <w:t xml:space="preserve"> </w:t>
      </w:r>
      <w:r w:rsidRPr="00F70E10">
        <w:rPr>
          <w:rFonts w:cstheme="minorHAnsi"/>
          <w:sz w:val="22"/>
          <w:szCs w:val="22"/>
        </w:rPr>
        <w:t xml:space="preserve">was not required to endure the most intense interventions into his right to honor and </w:t>
      </w:r>
      <w:r w:rsidR="00EC1ABE">
        <w:rPr>
          <w:rFonts w:cstheme="minorHAnsi"/>
          <w:sz w:val="22"/>
          <w:szCs w:val="22"/>
        </w:rPr>
        <w:t xml:space="preserve">a </w:t>
      </w:r>
      <w:r w:rsidRPr="00F70E10">
        <w:rPr>
          <w:rFonts w:cstheme="minorHAnsi"/>
          <w:sz w:val="22"/>
          <w:szCs w:val="22"/>
        </w:rPr>
        <w:t>good name.</w:t>
      </w:r>
    </w:p>
    <w:p w14:paraId="2A9D938C" w14:textId="77777777" w:rsidR="00F70E10" w:rsidRDefault="00F70E10" w:rsidP="00245EF0">
      <w:pPr>
        <w:rPr>
          <w:rFonts w:cstheme="minorHAnsi"/>
          <w:sz w:val="22"/>
          <w:szCs w:val="22"/>
        </w:rPr>
      </w:pPr>
    </w:p>
    <w:p w14:paraId="7A321E2C" w14:textId="77777777" w:rsidR="00F70E10" w:rsidRDefault="00332A20" w:rsidP="00245EF0">
      <w:pPr>
        <w:rPr>
          <w:rFonts w:cstheme="minorHAnsi"/>
          <w:sz w:val="22"/>
          <w:szCs w:val="22"/>
        </w:rPr>
      </w:pPr>
      <w:r>
        <w:rPr>
          <w:rFonts w:cstheme="minorHAnsi"/>
          <w:sz w:val="22"/>
          <w:szCs w:val="22"/>
        </w:rPr>
        <w:t>In analyzing the question of whether the statements made in the news article by Turk were made with the intention of contempt, or whether they intended to foster public debate on particular actions of Pirjevec, such as gradually changing their name from Italian to Slovenian version, the Court sided with the Plaintiff. It stated that "</w:t>
      </w:r>
      <w:r w:rsidRPr="00985FC1">
        <w:rPr>
          <w:rFonts w:cstheme="minorHAnsi"/>
          <w:sz w:val="22"/>
          <w:szCs w:val="22"/>
        </w:rPr>
        <w:t>key question in this assessment is whether the accused’s statement was directed at criticizing the complainant’s actions (ad rem) or whether its purpose was the personal humiliation and shaming of the complainant (ad personam)</w:t>
      </w:r>
      <w:r>
        <w:rPr>
          <w:rFonts w:cstheme="minorHAnsi"/>
          <w:sz w:val="22"/>
          <w:szCs w:val="22"/>
        </w:rPr>
        <w:t>” [para. 29] and that “w</w:t>
      </w:r>
      <w:r w:rsidRPr="00985FC1">
        <w:rPr>
          <w:rFonts w:cstheme="minorHAnsi"/>
          <w:sz w:val="22"/>
          <w:szCs w:val="22"/>
        </w:rPr>
        <w:t>hen critical and sharp statements are not directed at issues subject to public debate but instead shift to a personal level (ad personam), the question arises whether they were made solely to disparage the affected person</w:t>
      </w:r>
      <w:r>
        <w:rPr>
          <w:rFonts w:cstheme="minorHAnsi"/>
          <w:sz w:val="22"/>
          <w:szCs w:val="22"/>
        </w:rPr>
        <w:t>” [para. 29]</w:t>
      </w:r>
      <w:r w:rsidRPr="00985FC1">
        <w:rPr>
          <w:rFonts w:cstheme="minorHAnsi"/>
          <w:sz w:val="22"/>
          <w:szCs w:val="22"/>
        </w:rPr>
        <w:t>.</w:t>
      </w:r>
    </w:p>
    <w:p w14:paraId="6FBC86A7" w14:textId="77777777" w:rsidR="00675D08" w:rsidRDefault="00675D08" w:rsidP="00245EF0">
      <w:pPr>
        <w:rPr>
          <w:rFonts w:cstheme="minorHAnsi"/>
          <w:sz w:val="22"/>
          <w:szCs w:val="22"/>
        </w:rPr>
      </w:pPr>
    </w:p>
    <w:p w14:paraId="2E869A7F" w14:textId="2B1C8589" w:rsidR="00675D08" w:rsidRDefault="00332A20" w:rsidP="00245EF0">
      <w:pPr>
        <w:rPr>
          <w:rFonts w:cstheme="minorHAnsi"/>
          <w:sz w:val="22"/>
          <w:szCs w:val="22"/>
        </w:rPr>
      </w:pPr>
      <w:r>
        <w:rPr>
          <w:rFonts w:cstheme="minorHAnsi"/>
          <w:sz w:val="22"/>
          <w:szCs w:val="22"/>
        </w:rPr>
        <w:t>The Court held that the Defendant’s statements that the Plaintiff as</w:t>
      </w:r>
      <w:r w:rsidRPr="00675D08">
        <w:rPr>
          <w:rFonts w:cstheme="minorHAnsi"/>
          <w:sz w:val="22"/>
          <w:szCs w:val="22"/>
        </w:rPr>
        <w:t xml:space="preserve"> a person, </w:t>
      </w:r>
      <w:r>
        <w:rPr>
          <w:rFonts w:cstheme="minorHAnsi"/>
          <w:sz w:val="22"/>
          <w:szCs w:val="22"/>
        </w:rPr>
        <w:t xml:space="preserve">who was </w:t>
      </w:r>
      <w:r w:rsidRPr="00675D08">
        <w:rPr>
          <w:rFonts w:cstheme="minorHAnsi"/>
          <w:sz w:val="22"/>
          <w:szCs w:val="22"/>
        </w:rPr>
        <w:t xml:space="preserve">regarded as a victim of the </w:t>
      </w:r>
      <w:r>
        <w:rPr>
          <w:rFonts w:cstheme="minorHAnsi"/>
          <w:sz w:val="22"/>
          <w:szCs w:val="22"/>
        </w:rPr>
        <w:t xml:space="preserve">Italian </w:t>
      </w:r>
      <w:r w:rsidRPr="00675D08">
        <w:rPr>
          <w:rFonts w:cstheme="minorHAnsi"/>
          <w:sz w:val="22"/>
          <w:szCs w:val="22"/>
        </w:rPr>
        <w:t xml:space="preserve">regime’s denationalization acts, </w:t>
      </w:r>
      <w:r>
        <w:rPr>
          <w:rFonts w:cstheme="minorHAnsi"/>
          <w:sz w:val="22"/>
          <w:szCs w:val="22"/>
        </w:rPr>
        <w:t>disregarded their Slovenian identity and symbolically supported the occupying regime, could deeply offend Slovenes from the area and are objectively insulting. It stated that the subjective element of offense was even more pronounced in the case of the Plaintiff</w:t>
      </w:r>
      <w:r w:rsidR="00BB6E4C">
        <w:rPr>
          <w:rFonts w:cstheme="minorHAnsi"/>
          <w:sz w:val="22"/>
          <w:szCs w:val="22"/>
        </w:rPr>
        <w:t xml:space="preserve"> as the victim</w:t>
      </w:r>
      <w:r>
        <w:rPr>
          <w:rFonts w:cstheme="minorHAnsi"/>
          <w:sz w:val="22"/>
          <w:szCs w:val="22"/>
        </w:rPr>
        <w:t>, since their public and cultural activities indicate the exact opposite. "</w:t>
      </w:r>
      <w:r w:rsidRPr="00675D08">
        <w:rPr>
          <w:rFonts w:cstheme="minorHAnsi"/>
          <w:sz w:val="22"/>
          <w:szCs w:val="22"/>
        </w:rPr>
        <w:t>In this context, the accused’s claims about the complainant’s Italianization of their name can only be understood as highly offensive, humiliating, and disparaging</w:t>
      </w:r>
      <w:r>
        <w:rPr>
          <w:rFonts w:cstheme="minorHAnsi"/>
          <w:sz w:val="22"/>
          <w:szCs w:val="22"/>
        </w:rPr>
        <w:t>” [para. 30].</w:t>
      </w:r>
    </w:p>
    <w:p w14:paraId="7CE1CE47" w14:textId="77777777" w:rsidR="00CA675C" w:rsidRDefault="00CA675C" w:rsidP="0067729E">
      <w:pPr>
        <w:rPr>
          <w:rFonts w:cstheme="minorHAnsi"/>
          <w:sz w:val="22"/>
          <w:szCs w:val="22"/>
        </w:rPr>
      </w:pPr>
    </w:p>
    <w:p w14:paraId="7DB37951" w14:textId="77777777" w:rsidR="00985FC1" w:rsidRDefault="00332A20" w:rsidP="0067729E">
      <w:pPr>
        <w:rPr>
          <w:rFonts w:cstheme="minorHAnsi"/>
          <w:sz w:val="22"/>
          <w:szCs w:val="22"/>
        </w:rPr>
      </w:pPr>
      <w:r>
        <w:rPr>
          <w:rFonts w:cstheme="minorHAnsi"/>
          <w:sz w:val="22"/>
          <w:szCs w:val="22"/>
        </w:rPr>
        <w:t xml:space="preserve">The Court furthermore found that </w:t>
      </w:r>
      <w:r w:rsidR="00903680">
        <w:rPr>
          <w:rFonts w:cstheme="minorHAnsi"/>
          <w:sz w:val="22"/>
          <w:szCs w:val="22"/>
        </w:rPr>
        <w:t xml:space="preserve">the </w:t>
      </w:r>
      <w:r w:rsidR="00244F64">
        <w:rPr>
          <w:rFonts w:cstheme="minorHAnsi"/>
          <w:sz w:val="22"/>
          <w:szCs w:val="22"/>
        </w:rPr>
        <w:t>intent to disparage was “</w:t>
      </w:r>
      <w:r w:rsidR="00244F64" w:rsidRPr="00244F64">
        <w:rPr>
          <w:rFonts w:cstheme="minorHAnsi"/>
          <w:sz w:val="22"/>
          <w:szCs w:val="22"/>
        </w:rPr>
        <w:t>undoubtedly evident from the context of the disputed article</w:t>
      </w:r>
      <w:r w:rsidR="00244F64">
        <w:rPr>
          <w:rFonts w:cstheme="minorHAnsi"/>
          <w:sz w:val="22"/>
          <w:szCs w:val="22"/>
        </w:rPr>
        <w:t>” [para. 31].</w:t>
      </w:r>
      <w:r w:rsidR="004736A0">
        <w:rPr>
          <w:rFonts w:cstheme="minorHAnsi"/>
          <w:sz w:val="22"/>
          <w:szCs w:val="22"/>
        </w:rPr>
        <w:t xml:space="preserve"> In the parts of the article not directly subject to the private lawsuit for the crime of offense, which the Court nevertheless considered in the sense of the broader context of the disputed statements, the Defendant stated that the Plaintiff is a “covert voyeur” and “perverse in character”, which the Court held was not a substantive and serious criticism. The Court also held that title “Referents and Renegades” further reflects that “</w:t>
      </w:r>
      <w:r w:rsidR="004736A0" w:rsidRPr="004736A0">
        <w:rPr>
          <w:rFonts w:cstheme="minorHAnsi"/>
          <w:sz w:val="22"/>
          <w:szCs w:val="22"/>
        </w:rPr>
        <w:t>the disparaging tone is not only clearly evident but also predominant in the disputed article, starting with the title</w:t>
      </w:r>
      <w:r w:rsidR="004736A0">
        <w:rPr>
          <w:rFonts w:cstheme="minorHAnsi"/>
          <w:sz w:val="22"/>
          <w:szCs w:val="22"/>
        </w:rPr>
        <w:t>” [para. 33].</w:t>
      </w:r>
      <w:r w:rsidR="00093463">
        <w:rPr>
          <w:rFonts w:cstheme="minorHAnsi"/>
          <w:sz w:val="22"/>
          <w:szCs w:val="22"/>
        </w:rPr>
        <w:t xml:space="preserve"> Additionally, the Court stated that </w:t>
      </w:r>
      <w:r w:rsidR="00AB1DE8">
        <w:rPr>
          <w:rFonts w:cstheme="minorHAnsi"/>
          <w:sz w:val="22"/>
          <w:szCs w:val="22"/>
        </w:rPr>
        <w:t>“in</w:t>
      </w:r>
      <w:r w:rsidR="00AB1DE8" w:rsidRPr="00AB1DE8">
        <w:rPr>
          <w:rFonts w:cstheme="minorHAnsi"/>
          <w:sz w:val="22"/>
          <w:szCs w:val="22"/>
        </w:rPr>
        <w:t xml:space="preserve"> assessing the conflict of the rights in question, it is also relevant whether there is a sufficient factual basis for a value judgment, especially when it is particularly offensive</w:t>
      </w:r>
      <w:r w:rsidR="00AB1DE8">
        <w:rPr>
          <w:rFonts w:cstheme="minorHAnsi"/>
          <w:sz w:val="22"/>
          <w:szCs w:val="22"/>
        </w:rPr>
        <w:t>” [para. 34</w:t>
      </w:r>
      <w:r w:rsidR="000976C5">
        <w:rPr>
          <w:rFonts w:cstheme="minorHAnsi"/>
          <w:sz w:val="22"/>
          <w:szCs w:val="22"/>
        </w:rPr>
        <w:t>] and</w:t>
      </w:r>
      <w:r w:rsidR="00AB1DE8">
        <w:rPr>
          <w:rFonts w:cstheme="minorHAnsi"/>
          <w:sz w:val="22"/>
          <w:szCs w:val="22"/>
        </w:rPr>
        <w:t xml:space="preserve"> found that there was not a sufficient factual basis for the claims made by the Defendant.</w:t>
      </w:r>
      <w:r w:rsidR="000F7449">
        <w:rPr>
          <w:rFonts w:cstheme="minorHAnsi"/>
          <w:sz w:val="22"/>
          <w:szCs w:val="22"/>
        </w:rPr>
        <w:t xml:space="preserve"> </w:t>
      </w:r>
    </w:p>
    <w:p w14:paraId="69421E9F" w14:textId="77777777" w:rsidR="00093463" w:rsidRDefault="00093463" w:rsidP="0067729E">
      <w:pPr>
        <w:rPr>
          <w:rFonts w:cstheme="minorHAnsi"/>
          <w:sz w:val="22"/>
          <w:szCs w:val="22"/>
        </w:rPr>
      </w:pPr>
    </w:p>
    <w:p w14:paraId="289D9FE4" w14:textId="25B4DE14" w:rsidR="00093463" w:rsidRDefault="00332A20" w:rsidP="0067729E">
      <w:pPr>
        <w:rPr>
          <w:rFonts w:cstheme="minorHAnsi"/>
          <w:sz w:val="22"/>
          <w:szCs w:val="22"/>
        </w:rPr>
      </w:pPr>
      <w:r>
        <w:rPr>
          <w:rFonts w:cstheme="minorHAnsi"/>
          <w:sz w:val="22"/>
          <w:szCs w:val="22"/>
        </w:rPr>
        <w:t xml:space="preserve">Accordingly, the Court held that the statements made in the article </w:t>
      </w:r>
      <w:r w:rsidR="000976C5">
        <w:rPr>
          <w:rFonts w:cstheme="minorHAnsi"/>
          <w:sz w:val="22"/>
          <w:szCs w:val="22"/>
        </w:rPr>
        <w:t>constituted a breach of Pirjevec's right to honor and</w:t>
      </w:r>
      <w:r w:rsidR="00B54271">
        <w:rPr>
          <w:rFonts w:cstheme="minorHAnsi"/>
          <w:sz w:val="22"/>
          <w:szCs w:val="22"/>
        </w:rPr>
        <w:t xml:space="preserve"> a</w:t>
      </w:r>
      <w:r w:rsidR="000976C5">
        <w:rPr>
          <w:rFonts w:cstheme="minorHAnsi"/>
          <w:sz w:val="22"/>
          <w:szCs w:val="22"/>
        </w:rPr>
        <w:t xml:space="preserve"> good name and </w:t>
      </w:r>
      <w:r w:rsidR="00624419">
        <w:rPr>
          <w:rFonts w:cstheme="minorHAnsi"/>
          <w:sz w:val="22"/>
          <w:szCs w:val="22"/>
        </w:rPr>
        <w:t xml:space="preserve">that </w:t>
      </w:r>
      <w:r w:rsidR="00624419" w:rsidRPr="00624419">
        <w:rPr>
          <w:rFonts w:cstheme="minorHAnsi"/>
          <w:sz w:val="22"/>
          <w:szCs w:val="22"/>
        </w:rPr>
        <w:t xml:space="preserve">the Supreme Court's judgment No. I Ips 44250/2011, dated February 18, 2016, </w:t>
      </w:r>
      <w:r w:rsidR="00D44B18">
        <w:rPr>
          <w:rFonts w:cstheme="minorHAnsi"/>
          <w:sz w:val="22"/>
          <w:szCs w:val="22"/>
        </w:rPr>
        <w:t>violated his</w:t>
      </w:r>
      <w:r w:rsidR="00624419" w:rsidRPr="00624419">
        <w:rPr>
          <w:rFonts w:cstheme="minorHAnsi"/>
          <w:sz w:val="22"/>
          <w:szCs w:val="22"/>
        </w:rPr>
        <w:t xml:space="preserve"> rights under Articles 34 and 35 of the Constitution.</w:t>
      </w:r>
    </w:p>
    <w:p w14:paraId="420BB768" w14:textId="77777777" w:rsidR="000A199B" w:rsidRPr="00FB3A49" w:rsidRDefault="000A199B" w:rsidP="00F215E1">
      <w:pPr>
        <w:rPr>
          <w:rFonts w:cstheme="minorHAnsi"/>
          <w:sz w:val="22"/>
          <w:szCs w:val="22"/>
        </w:rPr>
      </w:pPr>
    </w:p>
    <w:p w14:paraId="5687F8DB" w14:textId="77777777" w:rsidR="006A4F9C" w:rsidRPr="00FB3A49" w:rsidRDefault="006A4F9C" w:rsidP="00155ACF">
      <w:pPr>
        <w:rPr>
          <w:rFonts w:cstheme="minorHAnsi"/>
          <w:color w:val="000000" w:themeColor="text1"/>
          <w:sz w:val="22"/>
          <w:szCs w:val="22"/>
        </w:rPr>
      </w:pPr>
    </w:p>
    <w:p w14:paraId="3962CEDD" w14:textId="77777777" w:rsidR="00155ACF" w:rsidRDefault="00332A20" w:rsidP="00155ACF">
      <w:pPr>
        <w:rPr>
          <w:rFonts w:cstheme="minorHAnsi"/>
          <w:b/>
          <w:bCs/>
          <w:color w:val="000000" w:themeColor="text1"/>
          <w:sz w:val="22"/>
          <w:szCs w:val="22"/>
        </w:rPr>
      </w:pPr>
      <w:r w:rsidRPr="00FB3A49">
        <w:rPr>
          <w:rFonts w:cstheme="minorHAnsi"/>
          <w:b/>
          <w:bCs/>
          <w:color w:val="000000" w:themeColor="text1"/>
          <w:sz w:val="22"/>
          <w:szCs w:val="22"/>
        </w:rPr>
        <w:t>Decision Direc</w:t>
      </w:r>
      <w:r w:rsidR="008B0B6E" w:rsidRPr="00FB3A49">
        <w:rPr>
          <w:rFonts w:cstheme="minorHAnsi"/>
          <w:b/>
          <w:bCs/>
          <w:color w:val="000000" w:themeColor="text1"/>
          <w:sz w:val="22"/>
          <w:szCs w:val="22"/>
        </w:rPr>
        <w:t>tion</w:t>
      </w:r>
    </w:p>
    <w:p w14:paraId="1EA6BDF1" w14:textId="77777777" w:rsidR="0095153C" w:rsidRDefault="0095153C" w:rsidP="00155ACF">
      <w:pPr>
        <w:rPr>
          <w:rFonts w:cstheme="minorHAnsi"/>
          <w:b/>
          <w:bCs/>
          <w:color w:val="000000" w:themeColor="text1"/>
          <w:sz w:val="22"/>
          <w:szCs w:val="22"/>
        </w:rPr>
      </w:pPr>
    </w:p>
    <w:p w14:paraId="7DD18F3A" w14:textId="0204E048" w:rsidR="0095153C" w:rsidRPr="0095153C" w:rsidRDefault="00332A20" w:rsidP="00155ACF">
      <w:pPr>
        <w:rPr>
          <w:rFonts w:cstheme="minorHAnsi"/>
          <w:color w:val="000000" w:themeColor="text1"/>
          <w:sz w:val="22"/>
          <w:szCs w:val="22"/>
        </w:rPr>
      </w:pPr>
      <w:r w:rsidRPr="0095153C">
        <w:rPr>
          <w:rFonts w:cstheme="minorHAnsi"/>
          <w:color w:val="000000" w:themeColor="text1"/>
          <w:sz w:val="22"/>
          <w:szCs w:val="22"/>
        </w:rPr>
        <w:t xml:space="preserve">The decision contracts freedom of expression by finding that the </w:t>
      </w:r>
      <w:r w:rsidR="00F615C2">
        <w:rPr>
          <w:rFonts w:cstheme="minorHAnsi"/>
          <w:color w:val="000000" w:themeColor="text1"/>
          <w:sz w:val="22"/>
          <w:szCs w:val="22"/>
        </w:rPr>
        <w:t xml:space="preserve">Slovenian </w:t>
      </w:r>
      <w:r w:rsidRPr="0095153C">
        <w:rPr>
          <w:rFonts w:cstheme="minorHAnsi"/>
          <w:color w:val="000000" w:themeColor="text1"/>
          <w:sz w:val="22"/>
          <w:szCs w:val="22"/>
        </w:rPr>
        <w:t xml:space="preserve">Supreme Court's acquittal of the Defendant violated the complainant's rights to personal dignity and reputation under Articles 34 and 35 of the </w:t>
      </w:r>
      <w:r w:rsidR="00E828D6">
        <w:rPr>
          <w:rFonts w:cstheme="minorHAnsi"/>
          <w:color w:val="000000" w:themeColor="text1"/>
          <w:sz w:val="22"/>
          <w:szCs w:val="22"/>
        </w:rPr>
        <w:t xml:space="preserve">Slovenian </w:t>
      </w:r>
      <w:r w:rsidRPr="0095153C">
        <w:rPr>
          <w:rFonts w:cstheme="minorHAnsi"/>
          <w:color w:val="000000" w:themeColor="text1"/>
          <w:sz w:val="22"/>
          <w:szCs w:val="22"/>
        </w:rPr>
        <w:t xml:space="preserve">Constitution, emphasizing that defamatory statements lacking sufficient factual basis, particularly those with a clear intent to humiliate, do not merit protection under freedom of expression. This landmark ruling, which overturned the </w:t>
      </w:r>
      <w:r w:rsidR="005B797A">
        <w:rPr>
          <w:rFonts w:cstheme="minorHAnsi"/>
          <w:color w:val="000000" w:themeColor="text1"/>
          <w:sz w:val="22"/>
          <w:szCs w:val="22"/>
        </w:rPr>
        <w:t xml:space="preserve">Slovenian </w:t>
      </w:r>
      <w:r w:rsidRPr="0095153C">
        <w:rPr>
          <w:rFonts w:cstheme="minorHAnsi"/>
          <w:color w:val="000000" w:themeColor="text1"/>
          <w:sz w:val="22"/>
          <w:szCs w:val="22"/>
        </w:rPr>
        <w:t>Supreme Court’s judgment, strengthens protections for personal dignity in cases of defamation, aligning with restrictive interpretations of freedom of expression under international human rights standards, notably the European Court of Human Rights, but has been critiqued for potentially chilling legitimate public debate due to its broad application to value judgments.</w:t>
      </w:r>
    </w:p>
    <w:p w14:paraId="6B70AB9D" w14:textId="77777777" w:rsidR="008B0B6E" w:rsidRPr="00FB3A49" w:rsidRDefault="008B0B6E" w:rsidP="00155ACF">
      <w:pPr>
        <w:rPr>
          <w:rFonts w:cstheme="minorHAnsi"/>
          <w:color w:val="000000" w:themeColor="text1"/>
          <w:sz w:val="22"/>
          <w:szCs w:val="22"/>
        </w:rPr>
      </w:pPr>
    </w:p>
    <w:p w14:paraId="5C749680" w14:textId="77777777" w:rsidR="00A456CF" w:rsidRPr="000230A6" w:rsidRDefault="00332A20" w:rsidP="00155ACF">
      <w:pPr>
        <w:rPr>
          <w:rFonts w:cstheme="minorHAnsi"/>
          <w:b/>
          <w:bCs/>
          <w:color w:val="000000" w:themeColor="text1"/>
          <w:sz w:val="22"/>
          <w:szCs w:val="22"/>
        </w:rPr>
      </w:pPr>
      <w:r w:rsidRPr="000230A6">
        <w:rPr>
          <w:rFonts w:cstheme="minorHAnsi"/>
          <w:b/>
          <w:bCs/>
          <w:color w:val="000000" w:themeColor="text1"/>
          <w:sz w:val="22"/>
          <w:szCs w:val="22"/>
        </w:rPr>
        <w:t>Global Perspective</w:t>
      </w:r>
    </w:p>
    <w:p w14:paraId="7FBE9F10" w14:textId="77777777" w:rsidR="005122CD" w:rsidRPr="000230A6" w:rsidRDefault="005122CD" w:rsidP="00155ACF">
      <w:pPr>
        <w:rPr>
          <w:rFonts w:cstheme="minorHAnsi"/>
          <w:color w:val="000000" w:themeColor="text1"/>
          <w:sz w:val="22"/>
          <w:szCs w:val="22"/>
        </w:rPr>
      </w:pPr>
    </w:p>
    <w:p w14:paraId="4EE91E99" w14:textId="77777777" w:rsidR="006E58C2" w:rsidRPr="000230A6" w:rsidRDefault="00332A20" w:rsidP="00155ACF">
      <w:pPr>
        <w:rPr>
          <w:rFonts w:cstheme="minorHAnsi"/>
          <w:color w:val="000000" w:themeColor="text1"/>
          <w:sz w:val="22"/>
          <w:szCs w:val="22"/>
        </w:rPr>
      </w:pPr>
      <w:r w:rsidRPr="000230A6">
        <w:rPr>
          <w:rFonts w:cstheme="minorHAnsi"/>
          <w:color w:val="000000" w:themeColor="text1"/>
          <w:sz w:val="22"/>
          <w:szCs w:val="22"/>
        </w:rPr>
        <w:t>Related International and/or regional laws</w:t>
      </w:r>
    </w:p>
    <w:p w14:paraId="6047C21A" w14:textId="77777777" w:rsidR="006E58C2" w:rsidRPr="000230A6" w:rsidRDefault="006E58C2" w:rsidP="00155ACF">
      <w:pPr>
        <w:rPr>
          <w:rFonts w:cstheme="minorHAnsi"/>
          <w:color w:val="000000" w:themeColor="text1"/>
          <w:sz w:val="22"/>
          <w:szCs w:val="22"/>
        </w:rPr>
      </w:pPr>
    </w:p>
    <w:p w14:paraId="3BEE3636" w14:textId="77777777" w:rsidR="00E86E00" w:rsidRPr="000230A6" w:rsidRDefault="00332A20" w:rsidP="00E86E00">
      <w:pPr>
        <w:rPr>
          <w:rFonts w:cstheme="minorHAnsi"/>
          <w:color w:val="000000" w:themeColor="text1"/>
          <w:sz w:val="22"/>
          <w:szCs w:val="22"/>
        </w:rPr>
      </w:pPr>
      <w:r w:rsidRPr="000230A6">
        <w:rPr>
          <w:rFonts w:cstheme="minorHAnsi"/>
          <w:color w:val="000000" w:themeColor="text1"/>
          <w:sz w:val="22"/>
          <w:szCs w:val="22"/>
        </w:rPr>
        <w:t>ECHR, Art. 8</w:t>
      </w:r>
    </w:p>
    <w:p w14:paraId="3CA29C7F" w14:textId="77777777" w:rsidR="00E86E00" w:rsidRPr="000230A6" w:rsidRDefault="00332A20" w:rsidP="00E86E00">
      <w:pPr>
        <w:rPr>
          <w:rFonts w:cstheme="minorHAnsi"/>
          <w:color w:val="000000" w:themeColor="text1"/>
          <w:sz w:val="22"/>
          <w:szCs w:val="22"/>
        </w:rPr>
      </w:pPr>
      <w:r w:rsidRPr="000230A6">
        <w:rPr>
          <w:rFonts w:cstheme="minorHAnsi"/>
          <w:color w:val="000000" w:themeColor="text1"/>
          <w:sz w:val="22"/>
          <w:szCs w:val="22"/>
        </w:rPr>
        <w:t>ECHR, Art. 10</w:t>
      </w:r>
    </w:p>
    <w:p w14:paraId="455A76AC" w14:textId="77777777" w:rsidR="004A4B06" w:rsidRPr="000230A6" w:rsidRDefault="00332A20" w:rsidP="004A4B06">
      <w:pPr>
        <w:rPr>
          <w:rFonts w:cstheme="minorHAnsi"/>
          <w:sz w:val="22"/>
          <w:szCs w:val="22"/>
        </w:rPr>
      </w:pPr>
      <w:r w:rsidRPr="000230A6">
        <w:rPr>
          <w:rFonts w:cstheme="minorHAnsi"/>
          <w:sz w:val="22"/>
          <w:szCs w:val="22"/>
        </w:rPr>
        <w:t>ECtHR, Axel Springer AG v. Germany, Application No. 39954/08, 7 February 2012</w:t>
      </w:r>
    </w:p>
    <w:p w14:paraId="3A8789B7" w14:textId="77777777" w:rsidR="004A4B06" w:rsidRPr="000230A6" w:rsidRDefault="00332A20" w:rsidP="004A4B06">
      <w:pPr>
        <w:rPr>
          <w:rFonts w:cstheme="minorHAnsi"/>
          <w:sz w:val="22"/>
          <w:szCs w:val="22"/>
        </w:rPr>
      </w:pPr>
      <w:r w:rsidRPr="000230A6">
        <w:rPr>
          <w:rFonts w:cstheme="minorHAnsi"/>
          <w:sz w:val="22"/>
          <w:szCs w:val="22"/>
        </w:rPr>
        <w:t>ECtHR, Błaja News Sp. z o.o. v. Poland, Application No. 59545/10, 26 November 2013</w:t>
      </w:r>
    </w:p>
    <w:p w14:paraId="7CBAF42A" w14:textId="77777777" w:rsidR="004A4B06" w:rsidRPr="000230A6" w:rsidRDefault="00332A20" w:rsidP="004A4B06">
      <w:pPr>
        <w:rPr>
          <w:rFonts w:cstheme="minorHAnsi"/>
          <w:sz w:val="22"/>
          <w:szCs w:val="22"/>
        </w:rPr>
      </w:pPr>
      <w:r w:rsidRPr="000230A6">
        <w:rPr>
          <w:rFonts w:cstheme="minorHAnsi"/>
          <w:sz w:val="22"/>
          <w:szCs w:val="22"/>
        </w:rPr>
        <w:t>ECtHR, Braun v. Poland, Application No. 30162/10, 4 November 2014</w:t>
      </w:r>
    </w:p>
    <w:p w14:paraId="2B35E26D" w14:textId="77777777" w:rsidR="004A4B06" w:rsidRPr="000230A6" w:rsidRDefault="00332A20" w:rsidP="004A4B06">
      <w:pPr>
        <w:rPr>
          <w:rFonts w:cstheme="minorHAnsi"/>
          <w:sz w:val="22"/>
          <w:szCs w:val="22"/>
        </w:rPr>
      </w:pPr>
      <w:r w:rsidRPr="000230A6">
        <w:rPr>
          <w:rFonts w:cstheme="minorHAnsi"/>
          <w:sz w:val="22"/>
          <w:szCs w:val="22"/>
        </w:rPr>
        <w:t>ECtHR, Caragea v. Romania, Application No. 51/06, 8 December 2015</w:t>
      </w:r>
    </w:p>
    <w:p w14:paraId="4D3C2A1E" w14:textId="77777777" w:rsidR="004A4B06" w:rsidRPr="000230A6" w:rsidRDefault="00332A20" w:rsidP="004A4B06">
      <w:pPr>
        <w:rPr>
          <w:rFonts w:cstheme="minorHAnsi"/>
          <w:sz w:val="22"/>
          <w:szCs w:val="22"/>
        </w:rPr>
      </w:pPr>
      <w:r w:rsidRPr="000230A6">
        <w:rPr>
          <w:rFonts w:cstheme="minorHAnsi"/>
          <w:sz w:val="22"/>
          <w:szCs w:val="22"/>
        </w:rPr>
        <w:t>ECtHR, Jerusalem v. Austria, Application No. 26958/95, 27 February 2001</w:t>
      </w:r>
    </w:p>
    <w:p w14:paraId="1828956C" w14:textId="77777777" w:rsidR="004A4B06" w:rsidRPr="000230A6" w:rsidRDefault="00332A20" w:rsidP="004A4B06">
      <w:pPr>
        <w:rPr>
          <w:rFonts w:cstheme="minorHAnsi"/>
          <w:sz w:val="22"/>
          <w:szCs w:val="22"/>
        </w:rPr>
      </w:pPr>
      <w:r w:rsidRPr="000230A6">
        <w:rPr>
          <w:rFonts w:cstheme="minorHAnsi"/>
          <w:sz w:val="22"/>
          <w:szCs w:val="22"/>
        </w:rPr>
        <w:t>ECtHR, Karako v. Hungary, Application No. 39311/05, 28 April 2009</w:t>
      </w:r>
    </w:p>
    <w:p w14:paraId="67F8FF83" w14:textId="77777777" w:rsidR="004A4B06" w:rsidRPr="000230A6" w:rsidRDefault="00332A20" w:rsidP="004A4B06">
      <w:pPr>
        <w:rPr>
          <w:rFonts w:cstheme="minorHAnsi"/>
          <w:sz w:val="22"/>
          <w:szCs w:val="22"/>
        </w:rPr>
      </w:pPr>
      <w:r w:rsidRPr="000230A6">
        <w:rPr>
          <w:rFonts w:cstheme="minorHAnsi"/>
          <w:sz w:val="22"/>
          <w:szCs w:val="22"/>
        </w:rPr>
        <w:t>ECtHR, Kieser and Tralau-Kleinert v. Germany, Application No. 18748/10, 2 December 2014</w:t>
      </w:r>
    </w:p>
    <w:p w14:paraId="566F3608" w14:textId="77777777" w:rsidR="004A4B06" w:rsidRPr="000230A6" w:rsidRDefault="00332A20" w:rsidP="004A4B06">
      <w:pPr>
        <w:rPr>
          <w:rFonts w:cstheme="minorHAnsi"/>
          <w:sz w:val="22"/>
          <w:szCs w:val="22"/>
        </w:rPr>
      </w:pPr>
      <w:r w:rsidRPr="000230A6">
        <w:rPr>
          <w:rFonts w:cstheme="minorHAnsi"/>
          <w:sz w:val="22"/>
          <w:szCs w:val="22"/>
        </w:rPr>
        <w:t>ECtHR, Lešník v. Slovakia, Application No. 35640/97, 11 March 2003</w:t>
      </w:r>
    </w:p>
    <w:p w14:paraId="0378AAE6" w14:textId="77777777" w:rsidR="004A4B06" w:rsidRPr="000230A6" w:rsidRDefault="00332A20" w:rsidP="004A4B06">
      <w:pPr>
        <w:rPr>
          <w:rFonts w:cstheme="minorHAnsi"/>
          <w:sz w:val="22"/>
          <w:szCs w:val="22"/>
        </w:rPr>
      </w:pPr>
      <w:r w:rsidRPr="000230A6">
        <w:rPr>
          <w:rFonts w:cstheme="minorHAnsi"/>
          <w:sz w:val="22"/>
          <w:szCs w:val="22"/>
        </w:rPr>
        <w:t>ECtHR, Lingens v. Austria, Application No. 9815/82, 8 July 1986</w:t>
      </w:r>
    </w:p>
    <w:p w14:paraId="4740F2CD" w14:textId="77777777" w:rsidR="004A4B06" w:rsidRPr="000230A6" w:rsidRDefault="00332A20" w:rsidP="004A4B06">
      <w:pPr>
        <w:rPr>
          <w:rFonts w:cstheme="minorHAnsi"/>
          <w:sz w:val="22"/>
          <w:szCs w:val="22"/>
        </w:rPr>
      </w:pPr>
      <w:r w:rsidRPr="000230A6">
        <w:rPr>
          <w:rFonts w:cstheme="minorHAnsi"/>
          <w:sz w:val="22"/>
          <w:szCs w:val="22"/>
        </w:rPr>
        <w:t>ECtHR, Mamère v. France, Application No. 12697/03, 7 November 2006</w:t>
      </w:r>
    </w:p>
    <w:p w14:paraId="21AF739F" w14:textId="77777777" w:rsidR="004A4B06" w:rsidRPr="000230A6" w:rsidRDefault="00332A20" w:rsidP="004A4B06">
      <w:pPr>
        <w:rPr>
          <w:rFonts w:cstheme="minorHAnsi"/>
          <w:sz w:val="22"/>
          <w:szCs w:val="22"/>
        </w:rPr>
      </w:pPr>
      <w:r w:rsidRPr="000230A6">
        <w:rPr>
          <w:rFonts w:cstheme="minorHAnsi"/>
          <w:sz w:val="22"/>
          <w:szCs w:val="22"/>
        </w:rPr>
        <w:t>ECtHR, Mladina d.d. Ljubljana v. Slovenia, Application No. 20981/10, 17 April 2014</w:t>
      </w:r>
    </w:p>
    <w:p w14:paraId="62F369BC" w14:textId="77777777" w:rsidR="004A4B06" w:rsidRPr="000230A6" w:rsidRDefault="00332A20" w:rsidP="004A4B06">
      <w:pPr>
        <w:rPr>
          <w:rFonts w:cstheme="minorHAnsi"/>
          <w:sz w:val="22"/>
          <w:szCs w:val="22"/>
        </w:rPr>
      </w:pPr>
      <w:r w:rsidRPr="000230A6">
        <w:rPr>
          <w:rFonts w:cstheme="minorHAnsi"/>
          <w:sz w:val="22"/>
          <w:szCs w:val="22"/>
        </w:rPr>
        <w:t>ECtHR, Nilsen and Johnsen v. Norway, Application No. 23118/93, 25 November 1999</w:t>
      </w:r>
    </w:p>
    <w:p w14:paraId="2F2C3C5F" w14:textId="77777777" w:rsidR="004A4B06" w:rsidRPr="000230A6" w:rsidRDefault="00332A20" w:rsidP="004A4B06">
      <w:pPr>
        <w:rPr>
          <w:rFonts w:cstheme="minorHAnsi"/>
          <w:sz w:val="22"/>
          <w:szCs w:val="22"/>
        </w:rPr>
      </w:pPr>
      <w:r w:rsidRPr="000230A6">
        <w:rPr>
          <w:rFonts w:cstheme="minorHAnsi"/>
          <w:sz w:val="22"/>
          <w:szCs w:val="22"/>
        </w:rPr>
        <w:t>ECtHR, Oberschlick v. Austria, Application No. 11662/85, 23 May 1991</w:t>
      </w:r>
    </w:p>
    <w:p w14:paraId="4F14D1A4" w14:textId="77777777" w:rsidR="004A4B06" w:rsidRPr="000230A6" w:rsidRDefault="00332A20" w:rsidP="004A4B06">
      <w:pPr>
        <w:rPr>
          <w:rFonts w:cstheme="minorHAnsi"/>
          <w:sz w:val="22"/>
          <w:szCs w:val="22"/>
        </w:rPr>
      </w:pPr>
      <w:r w:rsidRPr="000230A6">
        <w:rPr>
          <w:rFonts w:cstheme="minorHAnsi"/>
          <w:sz w:val="22"/>
          <w:szCs w:val="22"/>
        </w:rPr>
        <w:t>ECtHR, Pedersen and Baadsgaard v. Denmark, Application No. 49017/99, 17 December 2004</w:t>
      </w:r>
    </w:p>
    <w:p w14:paraId="6CBB6534" w14:textId="77777777" w:rsidR="004A4B06" w:rsidRPr="000230A6" w:rsidRDefault="00332A20" w:rsidP="004A4B06">
      <w:pPr>
        <w:rPr>
          <w:rFonts w:cstheme="minorHAnsi"/>
          <w:sz w:val="22"/>
          <w:szCs w:val="22"/>
        </w:rPr>
      </w:pPr>
      <w:r w:rsidRPr="000230A6">
        <w:rPr>
          <w:rFonts w:cstheme="minorHAnsi"/>
          <w:sz w:val="22"/>
          <w:szCs w:val="22"/>
        </w:rPr>
        <w:t>ECtHR, Pfeifer v. Austria, Application No. 12556/03, 15 November 2007</w:t>
      </w:r>
    </w:p>
    <w:p w14:paraId="6C2679EB" w14:textId="77777777" w:rsidR="004A4B06" w:rsidRPr="000230A6" w:rsidRDefault="00332A20" w:rsidP="004A4B06">
      <w:pPr>
        <w:rPr>
          <w:rFonts w:cstheme="minorHAnsi"/>
          <w:sz w:val="22"/>
          <w:szCs w:val="22"/>
        </w:rPr>
      </w:pPr>
      <w:r w:rsidRPr="000230A6">
        <w:rPr>
          <w:rFonts w:cstheme="minorHAnsi"/>
          <w:sz w:val="22"/>
          <w:szCs w:val="22"/>
        </w:rPr>
        <w:t>ECtHR, Rujak v. Croatia, Application No. 57942/10, 2 October 2012</w:t>
      </w:r>
    </w:p>
    <w:p w14:paraId="1B201A4B" w14:textId="77777777" w:rsidR="004A4B06" w:rsidRPr="000230A6" w:rsidRDefault="00332A20" w:rsidP="004A4B06">
      <w:pPr>
        <w:rPr>
          <w:rFonts w:cstheme="minorHAnsi"/>
          <w:sz w:val="22"/>
          <w:szCs w:val="22"/>
        </w:rPr>
      </w:pPr>
      <w:r w:rsidRPr="000230A6">
        <w:rPr>
          <w:rFonts w:cstheme="minorHAnsi"/>
          <w:sz w:val="22"/>
          <w:szCs w:val="22"/>
        </w:rPr>
        <w:t>ECtHR, Skałka v. Poland, Application No. 43425/98, 27 May 2003</w:t>
      </w:r>
    </w:p>
    <w:p w14:paraId="399D74B5" w14:textId="77777777" w:rsidR="004A4B06" w:rsidRPr="000230A6" w:rsidRDefault="00332A20" w:rsidP="004A4B06">
      <w:pPr>
        <w:rPr>
          <w:rFonts w:cstheme="minorHAnsi"/>
          <w:sz w:val="22"/>
          <w:szCs w:val="22"/>
        </w:rPr>
      </w:pPr>
      <w:r w:rsidRPr="000230A6">
        <w:rPr>
          <w:rFonts w:cstheme="minorHAnsi"/>
          <w:sz w:val="22"/>
          <w:szCs w:val="22"/>
        </w:rPr>
        <w:t>ECtHR, Thorgeir Thorgeirson v. Iceland, Application No. 13778/88, 25 June 1992</w:t>
      </w:r>
    </w:p>
    <w:p w14:paraId="689305D7" w14:textId="77777777" w:rsidR="004A4B06" w:rsidRPr="000230A6" w:rsidRDefault="00332A20" w:rsidP="004A4B06">
      <w:pPr>
        <w:rPr>
          <w:rFonts w:cstheme="minorHAnsi"/>
          <w:sz w:val="22"/>
          <w:szCs w:val="22"/>
        </w:rPr>
      </w:pPr>
      <w:r w:rsidRPr="000230A6">
        <w:rPr>
          <w:rFonts w:cstheme="minorHAnsi"/>
          <w:sz w:val="22"/>
          <w:szCs w:val="22"/>
        </w:rPr>
        <w:t>ECtHR, Von Hannover v. Germany (No. 2), Application Nos. 40660/08 and 60641/08, 7 February 2012</w:t>
      </w:r>
    </w:p>
    <w:p w14:paraId="6B53EAE2" w14:textId="77777777" w:rsidR="0050787B" w:rsidRPr="000230A6" w:rsidRDefault="00332A20" w:rsidP="004A4B06">
      <w:pPr>
        <w:rPr>
          <w:rFonts w:cstheme="minorHAnsi"/>
          <w:sz w:val="22"/>
          <w:szCs w:val="22"/>
        </w:rPr>
      </w:pPr>
      <w:r w:rsidRPr="000230A6">
        <w:rPr>
          <w:rFonts w:cstheme="minorHAnsi"/>
          <w:sz w:val="22"/>
          <w:szCs w:val="22"/>
        </w:rPr>
        <w:t xml:space="preserve">ECtHR, </w:t>
      </w:r>
      <w:r w:rsidR="004A4B06" w:rsidRPr="000230A6">
        <w:rPr>
          <w:rFonts w:cstheme="minorHAnsi"/>
          <w:sz w:val="22"/>
          <w:szCs w:val="22"/>
        </w:rPr>
        <w:t>X v. San Marino, Application No. 76795/13, 19 April 2016</w:t>
      </w:r>
    </w:p>
    <w:p w14:paraId="0D66E1E1" w14:textId="77777777" w:rsidR="00A25F01" w:rsidRPr="000230A6" w:rsidRDefault="00A25F01" w:rsidP="00155ACF">
      <w:pPr>
        <w:rPr>
          <w:rFonts w:cstheme="minorHAnsi"/>
          <w:sz w:val="22"/>
          <w:szCs w:val="22"/>
        </w:rPr>
      </w:pPr>
    </w:p>
    <w:p w14:paraId="3EF43F4B" w14:textId="77777777" w:rsidR="00A25F01" w:rsidRPr="000230A6" w:rsidRDefault="00A25F01" w:rsidP="00155ACF">
      <w:pPr>
        <w:rPr>
          <w:rFonts w:cstheme="minorHAnsi"/>
          <w:sz w:val="22"/>
          <w:szCs w:val="22"/>
        </w:rPr>
      </w:pPr>
    </w:p>
    <w:p w14:paraId="3B2CEFD2" w14:textId="77777777" w:rsidR="00A25F01" w:rsidRPr="000230A6" w:rsidRDefault="00A25F01" w:rsidP="00155ACF">
      <w:pPr>
        <w:rPr>
          <w:rFonts w:cstheme="minorHAnsi"/>
          <w:color w:val="000000" w:themeColor="text1"/>
          <w:sz w:val="22"/>
          <w:szCs w:val="22"/>
        </w:rPr>
      </w:pPr>
    </w:p>
    <w:p w14:paraId="45F92162" w14:textId="77777777" w:rsidR="005122CD" w:rsidRPr="000230A6" w:rsidRDefault="00332A20" w:rsidP="00155ACF">
      <w:pPr>
        <w:rPr>
          <w:rFonts w:cstheme="minorHAnsi"/>
          <w:color w:val="000000" w:themeColor="text1"/>
          <w:sz w:val="22"/>
          <w:szCs w:val="22"/>
        </w:rPr>
      </w:pPr>
      <w:r w:rsidRPr="000230A6">
        <w:rPr>
          <w:rFonts w:cstheme="minorHAnsi"/>
          <w:color w:val="000000" w:themeColor="text1"/>
          <w:sz w:val="22"/>
          <w:szCs w:val="22"/>
        </w:rPr>
        <w:t>National standards, law or jurisprudence:</w:t>
      </w:r>
    </w:p>
    <w:p w14:paraId="3405FC99" w14:textId="77777777" w:rsidR="00CA1BCE" w:rsidRPr="000230A6" w:rsidRDefault="00CA1BCE" w:rsidP="00155ACF">
      <w:pPr>
        <w:rPr>
          <w:rFonts w:cstheme="minorHAnsi"/>
          <w:color w:val="000000" w:themeColor="text1"/>
          <w:sz w:val="22"/>
          <w:szCs w:val="22"/>
        </w:rPr>
      </w:pPr>
    </w:p>
    <w:p w14:paraId="0A9779A6" w14:textId="77777777" w:rsidR="00B329D9" w:rsidRDefault="00B329D9" w:rsidP="00B329D9">
      <w:pPr>
        <w:rPr>
          <w:rFonts w:cstheme="minorHAnsi"/>
          <w:sz w:val="22"/>
          <w:szCs w:val="22"/>
        </w:rPr>
      </w:pPr>
      <w:r>
        <w:rPr>
          <w:rFonts w:cstheme="minorHAnsi"/>
          <w:sz w:val="22"/>
          <w:szCs w:val="22"/>
        </w:rPr>
        <w:t xml:space="preserve">Slovenia, </w:t>
      </w:r>
      <w:r w:rsidRPr="00CA1BCE">
        <w:rPr>
          <w:rFonts w:cstheme="minorHAnsi"/>
          <w:sz w:val="22"/>
          <w:szCs w:val="22"/>
        </w:rPr>
        <w:t>Criminal Code, KZ-1, 2012</w:t>
      </w:r>
      <w:r>
        <w:rPr>
          <w:rFonts w:cstheme="minorHAnsi"/>
          <w:sz w:val="22"/>
          <w:szCs w:val="22"/>
        </w:rPr>
        <w:t xml:space="preserve"> with amendments</w:t>
      </w:r>
    </w:p>
    <w:p w14:paraId="007A4601" w14:textId="123A9363" w:rsidR="00CA1BCE" w:rsidRPr="00CA1BCE" w:rsidRDefault="00CA1BCE" w:rsidP="00CA1BCE">
      <w:pPr>
        <w:rPr>
          <w:rFonts w:cstheme="minorHAnsi"/>
          <w:sz w:val="22"/>
          <w:szCs w:val="22"/>
        </w:rPr>
      </w:pPr>
      <w:r>
        <w:rPr>
          <w:rFonts w:cstheme="minorHAnsi"/>
          <w:sz w:val="22"/>
          <w:szCs w:val="22"/>
        </w:rPr>
        <w:t xml:space="preserve">Slovenia, </w:t>
      </w:r>
      <w:r w:rsidRPr="00CA1BCE">
        <w:rPr>
          <w:rFonts w:cstheme="minorHAnsi"/>
          <w:sz w:val="22"/>
          <w:szCs w:val="22"/>
        </w:rPr>
        <w:t>Criminal Procedure Act, ZKP, 2021</w:t>
      </w:r>
      <w:r>
        <w:rPr>
          <w:rFonts w:cstheme="minorHAnsi"/>
          <w:sz w:val="22"/>
          <w:szCs w:val="22"/>
        </w:rPr>
        <w:t xml:space="preserve"> with amendments</w:t>
      </w:r>
    </w:p>
    <w:p w14:paraId="4C3DBE07" w14:textId="77777777" w:rsidR="00B45B2B" w:rsidRPr="00B45B2B" w:rsidRDefault="00B45B2B" w:rsidP="00B45B2B">
      <w:pPr>
        <w:rPr>
          <w:rFonts w:cstheme="minorHAnsi"/>
          <w:sz w:val="22"/>
          <w:szCs w:val="22"/>
        </w:rPr>
      </w:pPr>
      <w:r w:rsidRPr="00B45B2B">
        <w:rPr>
          <w:rFonts w:cstheme="minorHAnsi"/>
          <w:sz w:val="22"/>
          <w:szCs w:val="22"/>
        </w:rPr>
        <w:t>Slovenia, A.A. and B.B. v. Supreme Court, Constitutional Court Decision No. Up-50/99, 2000</w:t>
      </w:r>
    </w:p>
    <w:p w14:paraId="77AFF1C6" w14:textId="77777777" w:rsidR="00B45B2B" w:rsidRPr="00B45B2B" w:rsidRDefault="00B45B2B" w:rsidP="00B45B2B">
      <w:pPr>
        <w:rPr>
          <w:rFonts w:cstheme="minorHAnsi"/>
          <w:sz w:val="22"/>
          <w:szCs w:val="22"/>
        </w:rPr>
      </w:pPr>
      <w:r w:rsidRPr="00B45B2B">
        <w:rPr>
          <w:rFonts w:cstheme="minorHAnsi"/>
          <w:sz w:val="22"/>
          <w:szCs w:val="22"/>
        </w:rPr>
        <w:t>Slovenia, A.A. v. Higher Court in Ljubljana, Constitutional Court Decision No. Up-406/05, 2007</w:t>
      </w:r>
    </w:p>
    <w:p w14:paraId="33DB33F7" w14:textId="77777777" w:rsidR="00B45B2B" w:rsidRPr="00B45B2B" w:rsidRDefault="00B45B2B" w:rsidP="00B45B2B">
      <w:pPr>
        <w:rPr>
          <w:rFonts w:cstheme="minorHAnsi"/>
          <w:sz w:val="22"/>
          <w:szCs w:val="22"/>
        </w:rPr>
      </w:pPr>
      <w:r w:rsidRPr="00B45B2B">
        <w:rPr>
          <w:rFonts w:cstheme="minorHAnsi"/>
          <w:sz w:val="22"/>
          <w:szCs w:val="22"/>
        </w:rPr>
        <w:t>Slovenia, A.A. v. Supreme Court, Constitutional Court Decision No. Up-422/02, 2005</w:t>
      </w:r>
    </w:p>
    <w:p w14:paraId="7B654818" w14:textId="77777777" w:rsidR="00B45B2B" w:rsidRPr="00B45B2B" w:rsidRDefault="00B45B2B" w:rsidP="00B45B2B">
      <w:pPr>
        <w:rPr>
          <w:rFonts w:cstheme="minorHAnsi"/>
          <w:sz w:val="22"/>
          <w:szCs w:val="22"/>
        </w:rPr>
      </w:pPr>
      <w:r w:rsidRPr="00B45B2B">
        <w:rPr>
          <w:rFonts w:cstheme="minorHAnsi"/>
          <w:sz w:val="22"/>
          <w:szCs w:val="22"/>
        </w:rPr>
        <w:t>Slovenia, A.A. v. Supreme Court, Constitutional Court Decision No. Up-46/99, 2002</w:t>
      </w:r>
    </w:p>
    <w:p w14:paraId="778BB7DA" w14:textId="77777777" w:rsidR="00B45B2B" w:rsidRPr="00B45B2B" w:rsidRDefault="00B45B2B" w:rsidP="00B45B2B">
      <w:pPr>
        <w:rPr>
          <w:rFonts w:cstheme="minorHAnsi"/>
          <w:sz w:val="22"/>
          <w:szCs w:val="22"/>
        </w:rPr>
      </w:pPr>
      <w:r w:rsidRPr="00B45B2B">
        <w:rPr>
          <w:rFonts w:cstheme="minorHAnsi"/>
          <w:sz w:val="22"/>
          <w:szCs w:val="22"/>
        </w:rPr>
        <w:lastRenderedPageBreak/>
        <w:t>Slovenia, A.A.A. v. Higher Court in Ljubljana, Constitutional Court Decision No. Up-406/05, 2007</w:t>
      </w:r>
    </w:p>
    <w:p w14:paraId="46191F34" w14:textId="77777777" w:rsidR="00B45B2B" w:rsidRPr="00B45B2B" w:rsidRDefault="00B45B2B" w:rsidP="00B45B2B">
      <w:pPr>
        <w:rPr>
          <w:rFonts w:cstheme="minorHAnsi"/>
          <w:sz w:val="22"/>
          <w:szCs w:val="22"/>
        </w:rPr>
      </w:pPr>
      <w:r w:rsidRPr="00B45B2B">
        <w:rPr>
          <w:rFonts w:cstheme="minorHAnsi"/>
          <w:sz w:val="22"/>
          <w:szCs w:val="22"/>
        </w:rPr>
        <w:t>Slovenia, A.A.A. v. Higher Court in Maribor, Constitutional Court Decision No. Up-168/98, 2001</w:t>
      </w:r>
    </w:p>
    <w:p w14:paraId="4CCEF537" w14:textId="77777777" w:rsidR="00B45B2B" w:rsidRPr="00B45B2B" w:rsidRDefault="00B45B2B" w:rsidP="00B45B2B">
      <w:pPr>
        <w:rPr>
          <w:rFonts w:cstheme="minorHAnsi"/>
          <w:sz w:val="22"/>
          <w:szCs w:val="22"/>
        </w:rPr>
      </w:pPr>
      <w:r w:rsidRPr="00B45B2B">
        <w:rPr>
          <w:rFonts w:cstheme="minorHAnsi"/>
          <w:sz w:val="22"/>
          <w:szCs w:val="22"/>
        </w:rPr>
        <w:t>Slovenia, A.B., C. v. Higher Court in Maribor, Constitutional Court Decision No. Up-320/14, U-I-5/17, 2017</w:t>
      </w:r>
    </w:p>
    <w:p w14:paraId="3AA22B54" w14:textId="77777777" w:rsidR="00B45B2B" w:rsidRPr="00B45B2B" w:rsidRDefault="00B45B2B" w:rsidP="00B45B2B">
      <w:pPr>
        <w:rPr>
          <w:rFonts w:cstheme="minorHAnsi"/>
          <w:sz w:val="22"/>
          <w:szCs w:val="22"/>
        </w:rPr>
      </w:pPr>
      <w:r w:rsidRPr="00B45B2B">
        <w:rPr>
          <w:rFonts w:cstheme="minorHAnsi"/>
          <w:sz w:val="22"/>
          <w:szCs w:val="22"/>
        </w:rPr>
        <w:t xml:space="preserve">Slovenia, Aleksander </w:t>
      </w:r>
      <w:proofErr w:type="spellStart"/>
      <w:r w:rsidRPr="00B45B2B">
        <w:rPr>
          <w:rFonts w:cstheme="minorHAnsi"/>
          <w:sz w:val="22"/>
          <w:szCs w:val="22"/>
        </w:rPr>
        <w:t>Hribar</w:t>
      </w:r>
      <w:proofErr w:type="spellEnd"/>
      <w:r w:rsidRPr="00B45B2B">
        <w:rPr>
          <w:rFonts w:cstheme="minorHAnsi"/>
          <w:sz w:val="22"/>
          <w:szCs w:val="22"/>
        </w:rPr>
        <w:t xml:space="preserve"> v. Higher Court in Ljubljana, Constitutional Court Decision No. Up-584/12, 2014</w:t>
      </w:r>
    </w:p>
    <w:p w14:paraId="7A650204" w14:textId="069D2581" w:rsidR="00B45B2B" w:rsidRPr="00B45B2B" w:rsidRDefault="00B45B2B" w:rsidP="00B45B2B">
      <w:pPr>
        <w:rPr>
          <w:rFonts w:cstheme="minorHAnsi"/>
          <w:sz w:val="22"/>
          <w:szCs w:val="22"/>
        </w:rPr>
      </w:pPr>
      <w:r w:rsidRPr="00B45B2B">
        <w:rPr>
          <w:rFonts w:cstheme="minorHAnsi"/>
          <w:sz w:val="22"/>
          <w:szCs w:val="22"/>
        </w:rPr>
        <w:t xml:space="preserve">Slovenia, Aleksander </w:t>
      </w:r>
      <w:proofErr w:type="spellStart"/>
      <w:r w:rsidRPr="00B45B2B">
        <w:rPr>
          <w:rFonts w:cstheme="minorHAnsi"/>
          <w:sz w:val="22"/>
          <w:szCs w:val="22"/>
        </w:rPr>
        <w:t>Hriba</w:t>
      </w:r>
      <w:r>
        <w:rPr>
          <w:rFonts w:cstheme="minorHAnsi"/>
          <w:sz w:val="22"/>
          <w:szCs w:val="22"/>
        </w:rPr>
        <w:t>r</w:t>
      </w:r>
      <w:proofErr w:type="spellEnd"/>
      <w:r w:rsidRPr="00B45B2B">
        <w:rPr>
          <w:rFonts w:cstheme="minorHAnsi"/>
          <w:sz w:val="22"/>
          <w:szCs w:val="22"/>
        </w:rPr>
        <w:t xml:space="preserve"> v. Higher Court in Ljubljana, Constitutional Court Decision No. Up-614/15, 2018</w:t>
      </w:r>
    </w:p>
    <w:p w14:paraId="100B3EC1" w14:textId="77777777" w:rsidR="00B45B2B" w:rsidRPr="00B45B2B" w:rsidRDefault="00B45B2B" w:rsidP="00B45B2B">
      <w:pPr>
        <w:rPr>
          <w:rFonts w:cstheme="minorHAnsi"/>
          <w:sz w:val="22"/>
          <w:szCs w:val="22"/>
        </w:rPr>
      </w:pPr>
      <w:r w:rsidRPr="00B45B2B">
        <w:rPr>
          <w:rFonts w:cstheme="minorHAnsi"/>
          <w:sz w:val="22"/>
          <w:szCs w:val="22"/>
        </w:rPr>
        <w:t xml:space="preserve">Slovenia, Ana </w:t>
      </w:r>
      <w:proofErr w:type="spellStart"/>
      <w:r w:rsidRPr="00B45B2B">
        <w:rPr>
          <w:rFonts w:cstheme="minorHAnsi"/>
          <w:sz w:val="22"/>
          <w:szCs w:val="22"/>
        </w:rPr>
        <w:t>Lapuh</w:t>
      </w:r>
      <w:proofErr w:type="spellEnd"/>
      <w:r w:rsidRPr="00B45B2B">
        <w:rPr>
          <w:rFonts w:cstheme="minorHAnsi"/>
          <w:sz w:val="22"/>
          <w:szCs w:val="22"/>
        </w:rPr>
        <w:t xml:space="preserve"> v. Supreme Court, Constitutional Court Decision No. Up-1019/12, 2015</w:t>
      </w:r>
    </w:p>
    <w:p w14:paraId="1A7329CA" w14:textId="77777777" w:rsidR="00B45B2B" w:rsidRPr="00B45B2B" w:rsidRDefault="00B45B2B" w:rsidP="00B45B2B">
      <w:pPr>
        <w:rPr>
          <w:rFonts w:cstheme="minorHAnsi"/>
          <w:sz w:val="22"/>
          <w:szCs w:val="22"/>
        </w:rPr>
      </w:pPr>
      <w:r w:rsidRPr="00B45B2B">
        <w:rPr>
          <w:rFonts w:cstheme="minorHAnsi"/>
          <w:sz w:val="22"/>
          <w:szCs w:val="22"/>
        </w:rPr>
        <w:t xml:space="preserve">Slovenia, Boris </w:t>
      </w:r>
      <w:proofErr w:type="spellStart"/>
      <w:r w:rsidRPr="00B45B2B">
        <w:rPr>
          <w:rFonts w:cstheme="minorHAnsi"/>
          <w:sz w:val="22"/>
          <w:szCs w:val="22"/>
        </w:rPr>
        <w:t>Popovič</w:t>
      </w:r>
      <w:proofErr w:type="spellEnd"/>
      <w:r w:rsidRPr="00B45B2B">
        <w:rPr>
          <w:rFonts w:cstheme="minorHAnsi"/>
          <w:sz w:val="22"/>
          <w:szCs w:val="22"/>
        </w:rPr>
        <w:t xml:space="preserve"> v. Supreme Court, Constitutional Court Decision No. Up-381/14, 2018</w:t>
      </w:r>
    </w:p>
    <w:p w14:paraId="4F16DC49" w14:textId="77777777" w:rsidR="00B45B2B" w:rsidRPr="00B45B2B" w:rsidRDefault="00B45B2B" w:rsidP="00B45B2B">
      <w:pPr>
        <w:rPr>
          <w:rFonts w:cstheme="minorHAnsi"/>
          <w:sz w:val="22"/>
          <w:szCs w:val="22"/>
        </w:rPr>
      </w:pPr>
      <w:r w:rsidRPr="00B45B2B">
        <w:rPr>
          <w:rFonts w:cstheme="minorHAnsi"/>
          <w:sz w:val="22"/>
          <w:szCs w:val="22"/>
        </w:rPr>
        <w:t xml:space="preserve">Slovenia, Branko </w:t>
      </w:r>
      <w:proofErr w:type="spellStart"/>
      <w:r w:rsidRPr="00B45B2B">
        <w:rPr>
          <w:rFonts w:cstheme="minorHAnsi"/>
          <w:sz w:val="22"/>
          <w:szCs w:val="22"/>
        </w:rPr>
        <w:t>Grims</w:t>
      </w:r>
      <w:proofErr w:type="spellEnd"/>
      <w:r w:rsidRPr="00B45B2B">
        <w:rPr>
          <w:rFonts w:cstheme="minorHAnsi"/>
          <w:sz w:val="22"/>
          <w:szCs w:val="22"/>
        </w:rPr>
        <w:t xml:space="preserve"> v. </w:t>
      </w:r>
      <w:proofErr w:type="spellStart"/>
      <w:r w:rsidRPr="00B45B2B">
        <w:rPr>
          <w:rFonts w:cstheme="minorHAnsi"/>
          <w:sz w:val="22"/>
          <w:szCs w:val="22"/>
        </w:rPr>
        <w:t>Mladina</w:t>
      </w:r>
      <w:proofErr w:type="spellEnd"/>
      <w:r w:rsidRPr="00B45B2B">
        <w:rPr>
          <w:rFonts w:cstheme="minorHAnsi"/>
          <w:sz w:val="22"/>
          <w:szCs w:val="22"/>
        </w:rPr>
        <w:t>, Constitutional Court Decision No. Up-407/14, 2016</w:t>
      </w:r>
    </w:p>
    <w:p w14:paraId="3B0DB54F" w14:textId="77777777" w:rsidR="00B45B2B" w:rsidRPr="00B45B2B" w:rsidRDefault="00B45B2B" w:rsidP="00B45B2B">
      <w:pPr>
        <w:rPr>
          <w:rFonts w:cstheme="minorHAnsi"/>
          <w:sz w:val="22"/>
          <w:szCs w:val="22"/>
        </w:rPr>
      </w:pPr>
      <w:r w:rsidRPr="00B45B2B">
        <w:rPr>
          <w:rFonts w:cstheme="minorHAnsi"/>
          <w:sz w:val="22"/>
          <w:szCs w:val="22"/>
        </w:rPr>
        <w:t>Slovenia, D.R. v. B.N., Supreme Court Judgment No. I Ips 237/1997, 1997</w:t>
      </w:r>
    </w:p>
    <w:p w14:paraId="17F17AE8" w14:textId="77777777" w:rsidR="00B45B2B" w:rsidRPr="00B45B2B" w:rsidRDefault="00B45B2B" w:rsidP="00B45B2B">
      <w:pPr>
        <w:rPr>
          <w:rFonts w:cstheme="minorHAnsi"/>
          <w:sz w:val="22"/>
          <w:szCs w:val="22"/>
        </w:rPr>
      </w:pPr>
      <w:r w:rsidRPr="00B45B2B">
        <w:rPr>
          <w:rFonts w:cstheme="minorHAnsi"/>
          <w:sz w:val="22"/>
          <w:szCs w:val="22"/>
        </w:rPr>
        <w:t xml:space="preserve">Slovenia, Franc </w:t>
      </w:r>
      <w:proofErr w:type="spellStart"/>
      <w:r w:rsidRPr="00B45B2B">
        <w:rPr>
          <w:rFonts w:cstheme="minorHAnsi"/>
          <w:sz w:val="22"/>
          <w:szCs w:val="22"/>
        </w:rPr>
        <w:t>Prislan</w:t>
      </w:r>
      <w:proofErr w:type="spellEnd"/>
      <w:r w:rsidRPr="00B45B2B">
        <w:rPr>
          <w:rFonts w:cstheme="minorHAnsi"/>
          <w:sz w:val="22"/>
          <w:szCs w:val="22"/>
        </w:rPr>
        <w:t xml:space="preserve"> v. Slovenia, Constitutional Court Resolution No. U-I-92/97, 1997</w:t>
      </w:r>
    </w:p>
    <w:p w14:paraId="2604DCA4" w14:textId="77777777" w:rsidR="00B45B2B" w:rsidRPr="00B45B2B" w:rsidRDefault="00B45B2B" w:rsidP="00B45B2B">
      <w:pPr>
        <w:rPr>
          <w:rFonts w:cstheme="minorHAnsi"/>
          <w:sz w:val="22"/>
          <w:szCs w:val="22"/>
        </w:rPr>
      </w:pPr>
      <w:r w:rsidRPr="00B45B2B">
        <w:rPr>
          <w:rFonts w:cstheme="minorHAnsi"/>
          <w:sz w:val="22"/>
          <w:szCs w:val="22"/>
        </w:rPr>
        <w:t xml:space="preserve">Slovenia, </w:t>
      </w:r>
      <w:proofErr w:type="spellStart"/>
      <w:r w:rsidRPr="00B45B2B">
        <w:rPr>
          <w:rFonts w:cstheme="minorHAnsi"/>
          <w:sz w:val="22"/>
          <w:szCs w:val="22"/>
        </w:rPr>
        <w:t>Janez</w:t>
      </w:r>
      <w:proofErr w:type="spellEnd"/>
      <w:r w:rsidRPr="00B45B2B">
        <w:rPr>
          <w:rFonts w:cstheme="minorHAnsi"/>
          <w:sz w:val="22"/>
          <w:szCs w:val="22"/>
        </w:rPr>
        <w:t xml:space="preserve"> </w:t>
      </w:r>
      <w:proofErr w:type="spellStart"/>
      <w:r w:rsidRPr="00B45B2B">
        <w:rPr>
          <w:rFonts w:cstheme="minorHAnsi"/>
          <w:sz w:val="22"/>
          <w:szCs w:val="22"/>
        </w:rPr>
        <w:t>Sirše</w:t>
      </w:r>
      <w:proofErr w:type="spellEnd"/>
      <w:r w:rsidRPr="00B45B2B">
        <w:rPr>
          <w:rFonts w:cstheme="minorHAnsi"/>
          <w:sz w:val="22"/>
          <w:szCs w:val="22"/>
        </w:rPr>
        <w:t xml:space="preserve"> v. Slovenia, Constitutional Court Decision No. U-I-226/95, 1999</w:t>
      </w:r>
    </w:p>
    <w:p w14:paraId="2391488F" w14:textId="77777777" w:rsidR="00B45B2B" w:rsidRPr="00B45B2B" w:rsidRDefault="00B45B2B" w:rsidP="00B45B2B">
      <w:pPr>
        <w:rPr>
          <w:rFonts w:cstheme="minorHAnsi"/>
          <w:sz w:val="22"/>
          <w:szCs w:val="22"/>
        </w:rPr>
      </w:pPr>
      <w:r w:rsidRPr="00B45B2B">
        <w:rPr>
          <w:rFonts w:cstheme="minorHAnsi"/>
          <w:sz w:val="22"/>
          <w:szCs w:val="22"/>
        </w:rPr>
        <w:t xml:space="preserve">Slovenia, </w:t>
      </w:r>
      <w:proofErr w:type="spellStart"/>
      <w:r w:rsidRPr="00B45B2B">
        <w:rPr>
          <w:rFonts w:cstheme="minorHAnsi"/>
          <w:sz w:val="22"/>
          <w:szCs w:val="22"/>
        </w:rPr>
        <w:t>Jaša</w:t>
      </w:r>
      <w:proofErr w:type="spellEnd"/>
      <w:r w:rsidRPr="00B45B2B">
        <w:rPr>
          <w:rFonts w:cstheme="minorHAnsi"/>
          <w:sz w:val="22"/>
          <w:szCs w:val="22"/>
        </w:rPr>
        <w:t xml:space="preserve"> </w:t>
      </w:r>
      <w:proofErr w:type="spellStart"/>
      <w:r w:rsidRPr="00B45B2B">
        <w:rPr>
          <w:rFonts w:cstheme="minorHAnsi"/>
          <w:sz w:val="22"/>
          <w:szCs w:val="22"/>
        </w:rPr>
        <w:t>Drnovšek</w:t>
      </w:r>
      <w:proofErr w:type="spellEnd"/>
      <w:r w:rsidRPr="00B45B2B">
        <w:rPr>
          <w:rFonts w:cstheme="minorHAnsi"/>
          <w:sz w:val="22"/>
          <w:szCs w:val="22"/>
        </w:rPr>
        <w:t xml:space="preserve"> v. Supreme Court, Constitutional Court Decision No. Up-1005/15, 2018</w:t>
      </w:r>
    </w:p>
    <w:p w14:paraId="17996CA5" w14:textId="77777777" w:rsidR="00B45B2B" w:rsidRPr="00B45B2B" w:rsidRDefault="00B45B2B" w:rsidP="00B45B2B">
      <w:pPr>
        <w:rPr>
          <w:rFonts w:cstheme="minorHAnsi"/>
          <w:sz w:val="22"/>
          <w:szCs w:val="22"/>
        </w:rPr>
      </w:pPr>
      <w:r w:rsidRPr="00B45B2B">
        <w:rPr>
          <w:rFonts w:cstheme="minorHAnsi"/>
          <w:sz w:val="22"/>
          <w:szCs w:val="22"/>
        </w:rPr>
        <w:t>Slovenia, J.H. v. Higher Court in Koper, Supreme Court Judgment No. I Ips 297/2010, 2011</w:t>
      </w:r>
    </w:p>
    <w:p w14:paraId="73E9AF7C" w14:textId="77777777" w:rsidR="00B45B2B" w:rsidRPr="00B45B2B" w:rsidRDefault="00B45B2B" w:rsidP="00B45B2B">
      <w:pPr>
        <w:rPr>
          <w:rFonts w:cstheme="minorHAnsi"/>
          <w:sz w:val="22"/>
          <w:szCs w:val="22"/>
        </w:rPr>
      </w:pPr>
      <w:r w:rsidRPr="00B45B2B">
        <w:rPr>
          <w:rFonts w:cstheme="minorHAnsi"/>
          <w:sz w:val="22"/>
          <w:szCs w:val="22"/>
        </w:rPr>
        <w:t>Slovenia, M.L., Higher Court in Koper, Supreme Court Judgment No. I Ips 45741/2012-59, 2015</w:t>
      </w:r>
    </w:p>
    <w:p w14:paraId="66FE1511" w14:textId="77777777" w:rsidR="00B45B2B" w:rsidRPr="00B45B2B" w:rsidRDefault="00B45B2B" w:rsidP="00B45B2B">
      <w:pPr>
        <w:rPr>
          <w:rFonts w:cstheme="minorHAnsi"/>
          <w:sz w:val="22"/>
          <w:szCs w:val="22"/>
        </w:rPr>
      </w:pPr>
      <w:r w:rsidRPr="00B45B2B">
        <w:rPr>
          <w:rFonts w:cstheme="minorHAnsi"/>
          <w:sz w:val="22"/>
          <w:szCs w:val="22"/>
        </w:rPr>
        <w:t xml:space="preserve">Slovenia, Miro </w:t>
      </w:r>
      <w:proofErr w:type="spellStart"/>
      <w:r w:rsidRPr="00B45B2B">
        <w:rPr>
          <w:rFonts w:cstheme="minorHAnsi"/>
          <w:sz w:val="22"/>
          <w:szCs w:val="22"/>
        </w:rPr>
        <w:t>Petek</w:t>
      </w:r>
      <w:proofErr w:type="spellEnd"/>
      <w:r w:rsidRPr="00B45B2B">
        <w:rPr>
          <w:rFonts w:cstheme="minorHAnsi"/>
          <w:sz w:val="22"/>
          <w:szCs w:val="22"/>
        </w:rPr>
        <w:t xml:space="preserve"> v. </w:t>
      </w:r>
      <w:proofErr w:type="spellStart"/>
      <w:r w:rsidRPr="00B45B2B">
        <w:rPr>
          <w:rFonts w:cstheme="minorHAnsi"/>
          <w:sz w:val="22"/>
          <w:szCs w:val="22"/>
        </w:rPr>
        <w:t>Večer</w:t>
      </w:r>
      <w:proofErr w:type="spellEnd"/>
      <w:r w:rsidRPr="00B45B2B">
        <w:rPr>
          <w:rFonts w:cstheme="minorHAnsi"/>
          <w:sz w:val="22"/>
          <w:szCs w:val="22"/>
        </w:rPr>
        <w:t>, Constitutional Court Decision No. Up-570/09, 2012</w:t>
      </w:r>
    </w:p>
    <w:p w14:paraId="3C7B121B" w14:textId="77777777" w:rsidR="00B45B2B" w:rsidRPr="00B45B2B" w:rsidRDefault="00B45B2B" w:rsidP="00B45B2B">
      <w:pPr>
        <w:rPr>
          <w:rFonts w:cstheme="minorHAnsi"/>
          <w:sz w:val="22"/>
          <w:szCs w:val="22"/>
        </w:rPr>
      </w:pPr>
      <w:r w:rsidRPr="00B45B2B">
        <w:rPr>
          <w:rFonts w:cstheme="minorHAnsi"/>
          <w:sz w:val="22"/>
          <w:szCs w:val="22"/>
        </w:rPr>
        <w:t>Slovenia, S.K. v. M.P., Supreme Court Judgment No. I Ips 231/2006, 2007</w:t>
      </w:r>
    </w:p>
    <w:p w14:paraId="587262FC" w14:textId="77777777" w:rsidR="00B45B2B" w:rsidRPr="00B45B2B" w:rsidRDefault="00B45B2B" w:rsidP="00B45B2B">
      <w:pPr>
        <w:rPr>
          <w:rFonts w:cstheme="minorHAnsi"/>
          <w:sz w:val="22"/>
          <w:szCs w:val="22"/>
        </w:rPr>
      </w:pPr>
      <w:r w:rsidRPr="00B45B2B">
        <w:rPr>
          <w:rFonts w:cstheme="minorHAnsi"/>
          <w:sz w:val="22"/>
          <w:szCs w:val="22"/>
        </w:rPr>
        <w:t xml:space="preserve">Slovenia, </w:t>
      </w:r>
      <w:proofErr w:type="spellStart"/>
      <w:r w:rsidRPr="00B45B2B">
        <w:rPr>
          <w:rFonts w:cstheme="minorHAnsi"/>
          <w:sz w:val="22"/>
          <w:szCs w:val="22"/>
        </w:rPr>
        <w:t>Slovenska</w:t>
      </w:r>
      <w:proofErr w:type="spellEnd"/>
      <w:r w:rsidRPr="00B45B2B">
        <w:rPr>
          <w:rFonts w:cstheme="minorHAnsi"/>
          <w:sz w:val="22"/>
          <w:szCs w:val="22"/>
        </w:rPr>
        <w:t xml:space="preserve"> </w:t>
      </w:r>
      <w:proofErr w:type="spellStart"/>
      <w:r w:rsidRPr="00B45B2B">
        <w:rPr>
          <w:rFonts w:cstheme="minorHAnsi"/>
          <w:sz w:val="22"/>
          <w:szCs w:val="22"/>
        </w:rPr>
        <w:t>Demokratska</w:t>
      </w:r>
      <w:proofErr w:type="spellEnd"/>
      <w:r w:rsidRPr="00B45B2B">
        <w:rPr>
          <w:rFonts w:cstheme="minorHAnsi"/>
          <w:sz w:val="22"/>
          <w:szCs w:val="22"/>
        </w:rPr>
        <w:t xml:space="preserve"> </w:t>
      </w:r>
      <w:proofErr w:type="spellStart"/>
      <w:r w:rsidRPr="00B45B2B">
        <w:rPr>
          <w:rFonts w:cstheme="minorHAnsi"/>
          <w:sz w:val="22"/>
          <w:szCs w:val="22"/>
        </w:rPr>
        <w:t>Stranka</w:t>
      </w:r>
      <w:proofErr w:type="spellEnd"/>
      <w:r w:rsidRPr="00B45B2B">
        <w:rPr>
          <w:rFonts w:cstheme="minorHAnsi"/>
          <w:sz w:val="22"/>
          <w:szCs w:val="22"/>
        </w:rPr>
        <w:t xml:space="preserve"> v. Delo, Constitutional Court Decision No. Up-530/14, 2017</w:t>
      </w:r>
    </w:p>
    <w:p w14:paraId="374C3AD5" w14:textId="77777777" w:rsidR="00B45B2B" w:rsidRPr="00B45B2B" w:rsidRDefault="00B45B2B" w:rsidP="00B45B2B">
      <w:pPr>
        <w:rPr>
          <w:rFonts w:cstheme="minorHAnsi"/>
          <w:sz w:val="22"/>
          <w:szCs w:val="22"/>
        </w:rPr>
      </w:pPr>
      <w:r w:rsidRPr="00B45B2B">
        <w:rPr>
          <w:rFonts w:cstheme="minorHAnsi"/>
          <w:sz w:val="22"/>
          <w:szCs w:val="22"/>
        </w:rPr>
        <w:t xml:space="preserve">Slovenia, </w:t>
      </w:r>
      <w:proofErr w:type="spellStart"/>
      <w:r w:rsidRPr="00B45B2B">
        <w:rPr>
          <w:rFonts w:cstheme="minorHAnsi"/>
          <w:sz w:val="22"/>
          <w:szCs w:val="22"/>
        </w:rPr>
        <w:t>Slovenska</w:t>
      </w:r>
      <w:proofErr w:type="spellEnd"/>
      <w:r w:rsidRPr="00B45B2B">
        <w:rPr>
          <w:rFonts w:cstheme="minorHAnsi"/>
          <w:sz w:val="22"/>
          <w:szCs w:val="22"/>
        </w:rPr>
        <w:t xml:space="preserve"> </w:t>
      </w:r>
      <w:proofErr w:type="spellStart"/>
      <w:r w:rsidRPr="00B45B2B">
        <w:rPr>
          <w:rFonts w:cstheme="minorHAnsi"/>
          <w:sz w:val="22"/>
          <w:szCs w:val="22"/>
        </w:rPr>
        <w:t>Demokratska</w:t>
      </w:r>
      <w:proofErr w:type="spellEnd"/>
      <w:r w:rsidRPr="00B45B2B">
        <w:rPr>
          <w:rFonts w:cstheme="minorHAnsi"/>
          <w:sz w:val="22"/>
          <w:szCs w:val="22"/>
        </w:rPr>
        <w:t xml:space="preserve"> </w:t>
      </w:r>
      <w:proofErr w:type="spellStart"/>
      <w:r w:rsidRPr="00B45B2B">
        <w:rPr>
          <w:rFonts w:cstheme="minorHAnsi"/>
          <w:sz w:val="22"/>
          <w:szCs w:val="22"/>
        </w:rPr>
        <w:t>Stranka</w:t>
      </w:r>
      <w:proofErr w:type="spellEnd"/>
      <w:r w:rsidRPr="00B45B2B">
        <w:rPr>
          <w:rFonts w:cstheme="minorHAnsi"/>
          <w:sz w:val="22"/>
          <w:szCs w:val="22"/>
        </w:rPr>
        <w:t xml:space="preserve"> v. Higher Court in Ljubljana, Constitutional Court Decision No. Up-515/14, 2017</w:t>
      </w:r>
    </w:p>
    <w:p w14:paraId="0279DCB1" w14:textId="77777777" w:rsidR="00B45B2B" w:rsidRPr="00B45B2B" w:rsidRDefault="00B45B2B" w:rsidP="00B45B2B">
      <w:pPr>
        <w:rPr>
          <w:rFonts w:cstheme="minorHAnsi"/>
          <w:sz w:val="22"/>
          <w:szCs w:val="22"/>
        </w:rPr>
      </w:pPr>
      <w:r w:rsidRPr="00B45B2B">
        <w:rPr>
          <w:rFonts w:cstheme="minorHAnsi"/>
          <w:sz w:val="22"/>
          <w:szCs w:val="22"/>
        </w:rPr>
        <w:t xml:space="preserve">Slovenia, </w:t>
      </w:r>
      <w:proofErr w:type="spellStart"/>
      <w:r w:rsidRPr="00B45B2B">
        <w:rPr>
          <w:rFonts w:cstheme="minorHAnsi"/>
          <w:sz w:val="22"/>
          <w:szCs w:val="22"/>
        </w:rPr>
        <w:t>Špela</w:t>
      </w:r>
      <w:proofErr w:type="spellEnd"/>
      <w:r w:rsidRPr="00B45B2B">
        <w:rPr>
          <w:rFonts w:cstheme="minorHAnsi"/>
          <w:sz w:val="22"/>
          <w:szCs w:val="22"/>
        </w:rPr>
        <w:t xml:space="preserve"> </w:t>
      </w:r>
      <w:proofErr w:type="spellStart"/>
      <w:r w:rsidRPr="00B45B2B">
        <w:rPr>
          <w:rFonts w:cstheme="minorHAnsi"/>
          <w:sz w:val="22"/>
          <w:szCs w:val="22"/>
        </w:rPr>
        <w:t>Mlakar</w:t>
      </w:r>
      <w:proofErr w:type="spellEnd"/>
      <w:r w:rsidRPr="00B45B2B">
        <w:rPr>
          <w:rFonts w:cstheme="minorHAnsi"/>
          <w:sz w:val="22"/>
          <w:szCs w:val="22"/>
        </w:rPr>
        <w:t xml:space="preserve"> v. Supreme Court, Constitutional Court Decision No. Up-1084/16, 2019</w:t>
      </w:r>
    </w:p>
    <w:p w14:paraId="02E1CA39" w14:textId="18142794" w:rsidR="008F0B94" w:rsidRPr="000230A6" w:rsidRDefault="00B45B2B" w:rsidP="00B45B2B">
      <w:pPr>
        <w:rPr>
          <w:rFonts w:cstheme="minorHAnsi"/>
          <w:sz w:val="22"/>
          <w:szCs w:val="22"/>
        </w:rPr>
      </w:pPr>
      <w:r w:rsidRPr="00B45B2B">
        <w:rPr>
          <w:rFonts w:cstheme="minorHAnsi"/>
          <w:sz w:val="22"/>
          <w:szCs w:val="22"/>
        </w:rPr>
        <w:t xml:space="preserve">Slovenia, </w:t>
      </w:r>
      <w:proofErr w:type="spellStart"/>
      <w:r w:rsidRPr="00B45B2B">
        <w:rPr>
          <w:rFonts w:cstheme="minorHAnsi"/>
          <w:sz w:val="22"/>
          <w:szCs w:val="22"/>
        </w:rPr>
        <w:t>Zmago</w:t>
      </w:r>
      <w:proofErr w:type="spellEnd"/>
      <w:r w:rsidRPr="00B45B2B">
        <w:rPr>
          <w:rFonts w:cstheme="minorHAnsi"/>
          <w:sz w:val="22"/>
          <w:szCs w:val="22"/>
        </w:rPr>
        <w:t xml:space="preserve"> </w:t>
      </w:r>
      <w:proofErr w:type="spellStart"/>
      <w:r w:rsidRPr="00B45B2B">
        <w:rPr>
          <w:rFonts w:cstheme="minorHAnsi"/>
          <w:sz w:val="22"/>
          <w:szCs w:val="22"/>
        </w:rPr>
        <w:t>Jelinčič</w:t>
      </w:r>
      <w:proofErr w:type="spellEnd"/>
      <w:r w:rsidRPr="00B45B2B">
        <w:rPr>
          <w:rFonts w:cstheme="minorHAnsi"/>
          <w:sz w:val="22"/>
          <w:szCs w:val="22"/>
        </w:rPr>
        <w:t xml:space="preserve"> </w:t>
      </w:r>
      <w:proofErr w:type="spellStart"/>
      <w:r w:rsidRPr="00B45B2B">
        <w:rPr>
          <w:rFonts w:cstheme="minorHAnsi"/>
          <w:sz w:val="22"/>
          <w:szCs w:val="22"/>
        </w:rPr>
        <w:t>Plemeniti</w:t>
      </w:r>
      <w:proofErr w:type="spellEnd"/>
      <w:r w:rsidRPr="00B45B2B">
        <w:rPr>
          <w:rFonts w:cstheme="minorHAnsi"/>
          <w:sz w:val="22"/>
          <w:szCs w:val="22"/>
        </w:rPr>
        <w:t xml:space="preserve"> v. Supreme Court, Constitutional Court Decision No. Up-1128/12, 2015</w:t>
      </w:r>
    </w:p>
    <w:p w14:paraId="2B17964B" w14:textId="77777777" w:rsidR="008F0B94" w:rsidRPr="000230A6" w:rsidRDefault="008F0B94" w:rsidP="00155ACF">
      <w:pPr>
        <w:rPr>
          <w:rFonts w:cstheme="minorHAnsi"/>
          <w:sz w:val="22"/>
          <w:szCs w:val="22"/>
        </w:rPr>
      </w:pPr>
    </w:p>
    <w:p w14:paraId="42ED8DD2" w14:textId="77777777" w:rsidR="00BB1DF3" w:rsidRPr="000230A6" w:rsidRDefault="00332A20" w:rsidP="00155ACF">
      <w:pPr>
        <w:rPr>
          <w:rFonts w:cstheme="minorHAnsi"/>
          <w:b/>
          <w:bCs/>
          <w:sz w:val="22"/>
          <w:szCs w:val="22"/>
        </w:rPr>
      </w:pPr>
      <w:r w:rsidRPr="000230A6">
        <w:rPr>
          <w:rFonts w:cstheme="minorHAnsi"/>
          <w:b/>
          <w:bCs/>
          <w:sz w:val="22"/>
          <w:szCs w:val="22"/>
        </w:rPr>
        <w:t>Case Significance</w:t>
      </w:r>
    </w:p>
    <w:p w14:paraId="2E668237" w14:textId="77777777" w:rsidR="00BB1DF3" w:rsidRPr="000230A6" w:rsidRDefault="00BB1DF3" w:rsidP="00155ACF">
      <w:pPr>
        <w:rPr>
          <w:rFonts w:cstheme="minorHAnsi"/>
          <w:sz w:val="22"/>
          <w:szCs w:val="22"/>
        </w:rPr>
      </w:pPr>
    </w:p>
    <w:p w14:paraId="2D9E320D" w14:textId="77777777" w:rsidR="00BB1DF3" w:rsidRPr="000230A6" w:rsidRDefault="00332A20" w:rsidP="00155ACF">
      <w:pPr>
        <w:rPr>
          <w:rFonts w:cstheme="minorHAnsi"/>
          <w:sz w:val="22"/>
          <w:szCs w:val="22"/>
        </w:rPr>
      </w:pPr>
      <w:r w:rsidRPr="000230A6">
        <w:rPr>
          <w:rFonts w:cstheme="minorHAnsi"/>
          <w:sz w:val="22"/>
          <w:szCs w:val="22"/>
        </w:rPr>
        <w:t>The decision establishes a binding or persuasive precedent within its jurisdiction.</w:t>
      </w:r>
    </w:p>
    <w:p w14:paraId="28F2EDCC" w14:textId="77777777" w:rsidR="003669D1" w:rsidRPr="000230A6" w:rsidRDefault="003669D1" w:rsidP="00155ACF">
      <w:pPr>
        <w:rPr>
          <w:rFonts w:cstheme="minorHAnsi"/>
          <w:sz w:val="22"/>
          <w:szCs w:val="22"/>
        </w:rPr>
      </w:pPr>
    </w:p>
    <w:p w14:paraId="0A99731E" w14:textId="77777777" w:rsidR="003669D1" w:rsidRPr="000230A6" w:rsidRDefault="00332A20" w:rsidP="003669D1">
      <w:pPr>
        <w:rPr>
          <w:rFonts w:cstheme="minorHAnsi"/>
          <w:b/>
          <w:bCs/>
          <w:sz w:val="22"/>
          <w:szCs w:val="22"/>
        </w:rPr>
      </w:pPr>
      <w:r w:rsidRPr="000230A6">
        <w:rPr>
          <w:rFonts w:cstheme="minorHAnsi"/>
          <w:b/>
          <w:bCs/>
          <w:sz w:val="22"/>
          <w:szCs w:val="22"/>
        </w:rPr>
        <w:t>Official Case Documents</w:t>
      </w:r>
    </w:p>
    <w:p w14:paraId="3BE20EBB" w14:textId="77777777" w:rsidR="003669D1" w:rsidRPr="000230A6" w:rsidRDefault="00332A20" w:rsidP="00155ACF">
      <w:pPr>
        <w:rPr>
          <w:rFonts w:cstheme="minorHAnsi"/>
          <w:sz w:val="22"/>
          <w:szCs w:val="22"/>
        </w:rPr>
      </w:pPr>
      <w:r w:rsidRPr="000230A6">
        <w:rPr>
          <w:rFonts w:cstheme="minorHAnsi"/>
          <w:sz w:val="22"/>
          <w:szCs w:val="22"/>
        </w:rPr>
        <w:t>https://www.us-rs.si/sl/informacijsko-sredisce/novice-in-objave/odlocba-ustavnega-sodisca-st-up-41716-z-dne-18-3-2021</w:t>
      </w:r>
    </w:p>
    <w:sectPr w:rsidR="003669D1" w:rsidRPr="000230A6" w:rsidSect="00E93B0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FC81" w14:textId="77777777" w:rsidR="00612597" w:rsidRDefault="00612597">
      <w:r>
        <w:separator/>
      </w:r>
    </w:p>
  </w:endnote>
  <w:endnote w:type="continuationSeparator" w:id="0">
    <w:p w14:paraId="65524C56" w14:textId="77777777" w:rsidR="00612597" w:rsidRDefault="0061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B3FA" w14:textId="77777777" w:rsidR="00612597" w:rsidRDefault="00612597">
      <w:r>
        <w:separator/>
      </w:r>
    </w:p>
  </w:footnote>
  <w:footnote w:type="continuationSeparator" w:id="0">
    <w:p w14:paraId="08265B8B" w14:textId="77777777" w:rsidR="00612597" w:rsidRDefault="0061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C9F6" w14:textId="77777777" w:rsidR="00811811" w:rsidRDefault="00332A20">
    <w:pPr>
      <w:pStyle w:val="Header"/>
    </w:pPr>
    <w:r>
      <w:rPr>
        <w:noProof/>
      </w:rPr>
      <w:drawing>
        <wp:inline distT="0" distB="0" distL="0" distR="0" wp14:anchorId="025891B7" wp14:editId="1ADACA30">
          <wp:extent cx="4572000" cy="661307"/>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603691" cy="6658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6B27"/>
    <w:multiLevelType w:val="hybridMultilevel"/>
    <w:tmpl w:val="B508A68E"/>
    <w:lvl w:ilvl="0" w:tplc="B87CE7FC">
      <w:start w:val="1"/>
      <w:numFmt w:val="bullet"/>
      <w:lvlText w:val="-"/>
      <w:lvlJc w:val="left"/>
      <w:pPr>
        <w:ind w:left="720" w:hanging="360"/>
      </w:pPr>
      <w:rPr>
        <w:rFonts w:ascii="Calibri" w:eastAsiaTheme="minorHAnsi" w:hAnsi="Calibri" w:cs="Calibri" w:hint="default"/>
      </w:rPr>
    </w:lvl>
    <w:lvl w:ilvl="1" w:tplc="7408BE4E" w:tentative="1">
      <w:start w:val="1"/>
      <w:numFmt w:val="bullet"/>
      <w:lvlText w:val="o"/>
      <w:lvlJc w:val="left"/>
      <w:pPr>
        <w:ind w:left="1440" w:hanging="360"/>
      </w:pPr>
      <w:rPr>
        <w:rFonts w:ascii="Courier New" w:hAnsi="Courier New" w:cs="Courier New" w:hint="default"/>
      </w:rPr>
    </w:lvl>
    <w:lvl w:ilvl="2" w:tplc="345ABA70" w:tentative="1">
      <w:start w:val="1"/>
      <w:numFmt w:val="bullet"/>
      <w:lvlText w:val=""/>
      <w:lvlJc w:val="left"/>
      <w:pPr>
        <w:ind w:left="2160" w:hanging="360"/>
      </w:pPr>
      <w:rPr>
        <w:rFonts w:ascii="Wingdings" w:hAnsi="Wingdings" w:hint="default"/>
      </w:rPr>
    </w:lvl>
    <w:lvl w:ilvl="3" w:tplc="E8F00638" w:tentative="1">
      <w:start w:val="1"/>
      <w:numFmt w:val="bullet"/>
      <w:lvlText w:val=""/>
      <w:lvlJc w:val="left"/>
      <w:pPr>
        <w:ind w:left="2880" w:hanging="360"/>
      </w:pPr>
      <w:rPr>
        <w:rFonts w:ascii="Symbol" w:hAnsi="Symbol" w:hint="default"/>
      </w:rPr>
    </w:lvl>
    <w:lvl w:ilvl="4" w:tplc="078A82C6" w:tentative="1">
      <w:start w:val="1"/>
      <w:numFmt w:val="bullet"/>
      <w:lvlText w:val="o"/>
      <w:lvlJc w:val="left"/>
      <w:pPr>
        <w:ind w:left="3600" w:hanging="360"/>
      </w:pPr>
      <w:rPr>
        <w:rFonts w:ascii="Courier New" w:hAnsi="Courier New" w:cs="Courier New" w:hint="default"/>
      </w:rPr>
    </w:lvl>
    <w:lvl w:ilvl="5" w:tplc="4514A1A8" w:tentative="1">
      <w:start w:val="1"/>
      <w:numFmt w:val="bullet"/>
      <w:lvlText w:val=""/>
      <w:lvlJc w:val="left"/>
      <w:pPr>
        <w:ind w:left="4320" w:hanging="360"/>
      </w:pPr>
      <w:rPr>
        <w:rFonts w:ascii="Wingdings" w:hAnsi="Wingdings" w:hint="default"/>
      </w:rPr>
    </w:lvl>
    <w:lvl w:ilvl="6" w:tplc="157A51DE" w:tentative="1">
      <w:start w:val="1"/>
      <w:numFmt w:val="bullet"/>
      <w:lvlText w:val=""/>
      <w:lvlJc w:val="left"/>
      <w:pPr>
        <w:ind w:left="5040" w:hanging="360"/>
      </w:pPr>
      <w:rPr>
        <w:rFonts w:ascii="Symbol" w:hAnsi="Symbol" w:hint="default"/>
      </w:rPr>
    </w:lvl>
    <w:lvl w:ilvl="7" w:tplc="0EA63E84" w:tentative="1">
      <w:start w:val="1"/>
      <w:numFmt w:val="bullet"/>
      <w:lvlText w:val="o"/>
      <w:lvlJc w:val="left"/>
      <w:pPr>
        <w:ind w:left="5760" w:hanging="360"/>
      </w:pPr>
      <w:rPr>
        <w:rFonts w:ascii="Courier New" w:hAnsi="Courier New" w:cs="Courier New" w:hint="default"/>
      </w:rPr>
    </w:lvl>
    <w:lvl w:ilvl="8" w:tplc="9EE2D296" w:tentative="1">
      <w:start w:val="1"/>
      <w:numFmt w:val="bullet"/>
      <w:lvlText w:val=""/>
      <w:lvlJc w:val="left"/>
      <w:pPr>
        <w:ind w:left="6480" w:hanging="360"/>
      </w:pPr>
      <w:rPr>
        <w:rFonts w:ascii="Wingdings" w:hAnsi="Wingdings" w:hint="default"/>
      </w:rPr>
    </w:lvl>
  </w:abstractNum>
  <w:abstractNum w:abstractNumId="1" w15:restartNumberingAfterBreak="0">
    <w:nsid w:val="1B3D26A3"/>
    <w:multiLevelType w:val="hybridMultilevel"/>
    <w:tmpl w:val="98B60686"/>
    <w:lvl w:ilvl="0" w:tplc="67B288CE">
      <w:start w:val="1"/>
      <w:numFmt w:val="decimal"/>
      <w:lvlText w:val="%1."/>
      <w:lvlJc w:val="left"/>
      <w:pPr>
        <w:ind w:left="720" w:hanging="360"/>
      </w:pPr>
      <w:rPr>
        <w:rFonts w:asciiTheme="minorHAnsi" w:eastAsiaTheme="minorHAnsi" w:hAnsiTheme="minorHAnsi" w:cstheme="minorBidi" w:hint="default"/>
      </w:rPr>
    </w:lvl>
    <w:lvl w:ilvl="1" w:tplc="BDA6FD94">
      <w:start w:val="1"/>
      <w:numFmt w:val="lowerLetter"/>
      <w:lvlText w:val="%2."/>
      <w:lvlJc w:val="left"/>
      <w:pPr>
        <w:ind w:left="1440" w:hanging="360"/>
      </w:pPr>
    </w:lvl>
    <w:lvl w:ilvl="2" w:tplc="B9CC6BCE" w:tentative="1">
      <w:start w:val="1"/>
      <w:numFmt w:val="lowerRoman"/>
      <w:lvlText w:val="%3."/>
      <w:lvlJc w:val="right"/>
      <w:pPr>
        <w:ind w:left="2160" w:hanging="180"/>
      </w:pPr>
    </w:lvl>
    <w:lvl w:ilvl="3" w:tplc="3C9C78E4" w:tentative="1">
      <w:start w:val="1"/>
      <w:numFmt w:val="decimal"/>
      <w:lvlText w:val="%4."/>
      <w:lvlJc w:val="left"/>
      <w:pPr>
        <w:ind w:left="2880" w:hanging="360"/>
      </w:pPr>
    </w:lvl>
    <w:lvl w:ilvl="4" w:tplc="4816E6A6" w:tentative="1">
      <w:start w:val="1"/>
      <w:numFmt w:val="lowerLetter"/>
      <w:lvlText w:val="%5."/>
      <w:lvlJc w:val="left"/>
      <w:pPr>
        <w:ind w:left="3600" w:hanging="360"/>
      </w:pPr>
    </w:lvl>
    <w:lvl w:ilvl="5" w:tplc="0B4A5454" w:tentative="1">
      <w:start w:val="1"/>
      <w:numFmt w:val="lowerRoman"/>
      <w:lvlText w:val="%6."/>
      <w:lvlJc w:val="right"/>
      <w:pPr>
        <w:ind w:left="4320" w:hanging="180"/>
      </w:pPr>
    </w:lvl>
    <w:lvl w:ilvl="6" w:tplc="70B67B12" w:tentative="1">
      <w:start w:val="1"/>
      <w:numFmt w:val="decimal"/>
      <w:lvlText w:val="%7."/>
      <w:lvlJc w:val="left"/>
      <w:pPr>
        <w:ind w:left="5040" w:hanging="360"/>
      </w:pPr>
    </w:lvl>
    <w:lvl w:ilvl="7" w:tplc="C3C4D7A8" w:tentative="1">
      <w:start w:val="1"/>
      <w:numFmt w:val="lowerLetter"/>
      <w:lvlText w:val="%8."/>
      <w:lvlJc w:val="left"/>
      <w:pPr>
        <w:ind w:left="5760" w:hanging="360"/>
      </w:pPr>
    </w:lvl>
    <w:lvl w:ilvl="8" w:tplc="FCCE2FC0" w:tentative="1">
      <w:start w:val="1"/>
      <w:numFmt w:val="lowerRoman"/>
      <w:lvlText w:val="%9."/>
      <w:lvlJc w:val="right"/>
      <w:pPr>
        <w:ind w:left="6480" w:hanging="180"/>
      </w:pPr>
    </w:lvl>
  </w:abstractNum>
  <w:abstractNum w:abstractNumId="2" w15:restartNumberingAfterBreak="0">
    <w:nsid w:val="1E584216"/>
    <w:multiLevelType w:val="multilevel"/>
    <w:tmpl w:val="32AC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FD2E33"/>
    <w:multiLevelType w:val="multilevel"/>
    <w:tmpl w:val="3FEA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D1EB7"/>
    <w:multiLevelType w:val="hybridMultilevel"/>
    <w:tmpl w:val="6396FDD4"/>
    <w:lvl w:ilvl="0" w:tplc="531E0328">
      <w:start w:val="1"/>
      <w:numFmt w:val="decimal"/>
      <w:lvlText w:val="%1."/>
      <w:lvlJc w:val="left"/>
      <w:pPr>
        <w:ind w:left="720" w:hanging="360"/>
      </w:pPr>
      <w:rPr>
        <w:rFonts w:hint="default"/>
      </w:rPr>
    </w:lvl>
    <w:lvl w:ilvl="1" w:tplc="8B886236" w:tentative="1">
      <w:start w:val="1"/>
      <w:numFmt w:val="lowerLetter"/>
      <w:lvlText w:val="%2."/>
      <w:lvlJc w:val="left"/>
      <w:pPr>
        <w:ind w:left="1440" w:hanging="360"/>
      </w:pPr>
    </w:lvl>
    <w:lvl w:ilvl="2" w:tplc="3D92931E" w:tentative="1">
      <w:start w:val="1"/>
      <w:numFmt w:val="lowerRoman"/>
      <w:lvlText w:val="%3."/>
      <w:lvlJc w:val="right"/>
      <w:pPr>
        <w:ind w:left="2160" w:hanging="180"/>
      </w:pPr>
    </w:lvl>
    <w:lvl w:ilvl="3" w:tplc="91A639EE" w:tentative="1">
      <w:start w:val="1"/>
      <w:numFmt w:val="decimal"/>
      <w:lvlText w:val="%4."/>
      <w:lvlJc w:val="left"/>
      <w:pPr>
        <w:ind w:left="2880" w:hanging="360"/>
      </w:pPr>
    </w:lvl>
    <w:lvl w:ilvl="4" w:tplc="C9F68A52" w:tentative="1">
      <w:start w:val="1"/>
      <w:numFmt w:val="lowerLetter"/>
      <w:lvlText w:val="%5."/>
      <w:lvlJc w:val="left"/>
      <w:pPr>
        <w:ind w:left="3600" w:hanging="360"/>
      </w:pPr>
    </w:lvl>
    <w:lvl w:ilvl="5" w:tplc="F2846DDE" w:tentative="1">
      <w:start w:val="1"/>
      <w:numFmt w:val="lowerRoman"/>
      <w:lvlText w:val="%6."/>
      <w:lvlJc w:val="right"/>
      <w:pPr>
        <w:ind w:left="4320" w:hanging="180"/>
      </w:pPr>
    </w:lvl>
    <w:lvl w:ilvl="6" w:tplc="79DA2A36" w:tentative="1">
      <w:start w:val="1"/>
      <w:numFmt w:val="decimal"/>
      <w:lvlText w:val="%7."/>
      <w:lvlJc w:val="left"/>
      <w:pPr>
        <w:ind w:left="5040" w:hanging="360"/>
      </w:pPr>
    </w:lvl>
    <w:lvl w:ilvl="7" w:tplc="9E780A06" w:tentative="1">
      <w:start w:val="1"/>
      <w:numFmt w:val="lowerLetter"/>
      <w:lvlText w:val="%8."/>
      <w:lvlJc w:val="left"/>
      <w:pPr>
        <w:ind w:left="5760" w:hanging="360"/>
      </w:pPr>
    </w:lvl>
    <w:lvl w:ilvl="8" w:tplc="ED36C40C" w:tentative="1">
      <w:start w:val="1"/>
      <w:numFmt w:val="lowerRoman"/>
      <w:lvlText w:val="%9."/>
      <w:lvlJc w:val="right"/>
      <w:pPr>
        <w:ind w:left="6480" w:hanging="180"/>
      </w:pPr>
    </w:lvl>
  </w:abstractNum>
  <w:abstractNum w:abstractNumId="5" w15:restartNumberingAfterBreak="0">
    <w:nsid w:val="6A0766E8"/>
    <w:multiLevelType w:val="hybridMultilevel"/>
    <w:tmpl w:val="36C8DF56"/>
    <w:lvl w:ilvl="0" w:tplc="BE682D20">
      <w:start w:val="1"/>
      <w:numFmt w:val="decimal"/>
      <w:lvlText w:val="%1."/>
      <w:lvlJc w:val="left"/>
      <w:pPr>
        <w:ind w:left="720" w:hanging="360"/>
      </w:pPr>
      <w:rPr>
        <w:rFonts w:hint="default"/>
      </w:rPr>
    </w:lvl>
    <w:lvl w:ilvl="1" w:tplc="A4FC0406" w:tentative="1">
      <w:start w:val="1"/>
      <w:numFmt w:val="lowerLetter"/>
      <w:lvlText w:val="%2."/>
      <w:lvlJc w:val="left"/>
      <w:pPr>
        <w:ind w:left="1440" w:hanging="360"/>
      </w:pPr>
    </w:lvl>
    <w:lvl w:ilvl="2" w:tplc="B5D4F4AA" w:tentative="1">
      <w:start w:val="1"/>
      <w:numFmt w:val="lowerRoman"/>
      <w:lvlText w:val="%3."/>
      <w:lvlJc w:val="right"/>
      <w:pPr>
        <w:ind w:left="2160" w:hanging="180"/>
      </w:pPr>
    </w:lvl>
    <w:lvl w:ilvl="3" w:tplc="A6E2B520" w:tentative="1">
      <w:start w:val="1"/>
      <w:numFmt w:val="decimal"/>
      <w:lvlText w:val="%4."/>
      <w:lvlJc w:val="left"/>
      <w:pPr>
        <w:ind w:left="2880" w:hanging="360"/>
      </w:pPr>
    </w:lvl>
    <w:lvl w:ilvl="4" w:tplc="039822D8" w:tentative="1">
      <w:start w:val="1"/>
      <w:numFmt w:val="lowerLetter"/>
      <w:lvlText w:val="%5."/>
      <w:lvlJc w:val="left"/>
      <w:pPr>
        <w:ind w:left="3600" w:hanging="360"/>
      </w:pPr>
    </w:lvl>
    <w:lvl w:ilvl="5" w:tplc="25F696FE" w:tentative="1">
      <w:start w:val="1"/>
      <w:numFmt w:val="lowerRoman"/>
      <w:lvlText w:val="%6."/>
      <w:lvlJc w:val="right"/>
      <w:pPr>
        <w:ind w:left="4320" w:hanging="180"/>
      </w:pPr>
    </w:lvl>
    <w:lvl w:ilvl="6" w:tplc="1916AA10" w:tentative="1">
      <w:start w:val="1"/>
      <w:numFmt w:val="decimal"/>
      <w:lvlText w:val="%7."/>
      <w:lvlJc w:val="left"/>
      <w:pPr>
        <w:ind w:left="5040" w:hanging="360"/>
      </w:pPr>
    </w:lvl>
    <w:lvl w:ilvl="7" w:tplc="BB6A7460" w:tentative="1">
      <w:start w:val="1"/>
      <w:numFmt w:val="lowerLetter"/>
      <w:lvlText w:val="%8."/>
      <w:lvlJc w:val="left"/>
      <w:pPr>
        <w:ind w:left="5760" w:hanging="360"/>
      </w:pPr>
    </w:lvl>
    <w:lvl w:ilvl="8" w:tplc="195AF60C" w:tentative="1">
      <w:start w:val="1"/>
      <w:numFmt w:val="lowerRoman"/>
      <w:lvlText w:val="%9."/>
      <w:lvlJc w:val="right"/>
      <w:pPr>
        <w:ind w:left="6480" w:hanging="180"/>
      </w:pPr>
    </w:lvl>
  </w:abstractNum>
  <w:abstractNum w:abstractNumId="6" w15:restartNumberingAfterBreak="0">
    <w:nsid w:val="765F5BEE"/>
    <w:multiLevelType w:val="hybridMultilevel"/>
    <w:tmpl w:val="151EA2D8"/>
    <w:lvl w:ilvl="0" w:tplc="D50490A8">
      <w:start w:val="1"/>
      <w:numFmt w:val="bullet"/>
      <w:lvlText w:val="-"/>
      <w:lvlJc w:val="left"/>
      <w:pPr>
        <w:ind w:left="720" w:hanging="360"/>
      </w:pPr>
      <w:rPr>
        <w:rFonts w:ascii="Calibri" w:eastAsiaTheme="minorHAnsi" w:hAnsi="Calibri" w:cs="Calibri" w:hint="default"/>
      </w:rPr>
    </w:lvl>
    <w:lvl w:ilvl="1" w:tplc="086A384E" w:tentative="1">
      <w:start w:val="1"/>
      <w:numFmt w:val="bullet"/>
      <w:lvlText w:val="o"/>
      <w:lvlJc w:val="left"/>
      <w:pPr>
        <w:ind w:left="1440" w:hanging="360"/>
      </w:pPr>
      <w:rPr>
        <w:rFonts w:ascii="Courier New" w:hAnsi="Courier New" w:cs="Courier New" w:hint="default"/>
      </w:rPr>
    </w:lvl>
    <w:lvl w:ilvl="2" w:tplc="665441C8" w:tentative="1">
      <w:start w:val="1"/>
      <w:numFmt w:val="bullet"/>
      <w:lvlText w:val=""/>
      <w:lvlJc w:val="left"/>
      <w:pPr>
        <w:ind w:left="2160" w:hanging="360"/>
      </w:pPr>
      <w:rPr>
        <w:rFonts w:ascii="Wingdings" w:hAnsi="Wingdings" w:hint="default"/>
      </w:rPr>
    </w:lvl>
    <w:lvl w:ilvl="3" w:tplc="2A80DD52" w:tentative="1">
      <w:start w:val="1"/>
      <w:numFmt w:val="bullet"/>
      <w:lvlText w:val=""/>
      <w:lvlJc w:val="left"/>
      <w:pPr>
        <w:ind w:left="2880" w:hanging="360"/>
      </w:pPr>
      <w:rPr>
        <w:rFonts w:ascii="Symbol" w:hAnsi="Symbol" w:hint="default"/>
      </w:rPr>
    </w:lvl>
    <w:lvl w:ilvl="4" w:tplc="57B42C9C" w:tentative="1">
      <w:start w:val="1"/>
      <w:numFmt w:val="bullet"/>
      <w:lvlText w:val="o"/>
      <w:lvlJc w:val="left"/>
      <w:pPr>
        <w:ind w:left="3600" w:hanging="360"/>
      </w:pPr>
      <w:rPr>
        <w:rFonts w:ascii="Courier New" w:hAnsi="Courier New" w:cs="Courier New" w:hint="default"/>
      </w:rPr>
    </w:lvl>
    <w:lvl w:ilvl="5" w:tplc="BFBE77DA" w:tentative="1">
      <w:start w:val="1"/>
      <w:numFmt w:val="bullet"/>
      <w:lvlText w:val=""/>
      <w:lvlJc w:val="left"/>
      <w:pPr>
        <w:ind w:left="4320" w:hanging="360"/>
      </w:pPr>
      <w:rPr>
        <w:rFonts w:ascii="Wingdings" w:hAnsi="Wingdings" w:hint="default"/>
      </w:rPr>
    </w:lvl>
    <w:lvl w:ilvl="6" w:tplc="4BE4CE80" w:tentative="1">
      <w:start w:val="1"/>
      <w:numFmt w:val="bullet"/>
      <w:lvlText w:val=""/>
      <w:lvlJc w:val="left"/>
      <w:pPr>
        <w:ind w:left="5040" w:hanging="360"/>
      </w:pPr>
      <w:rPr>
        <w:rFonts w:ascii="Symbol" w:hAnsi="Symbol" w:hint="default"/>
      </w:rPr>
    </w:lvl>
    <w:lvl w:ilvl="7" w:tplc="BB3A2796" w:tentative="1">
      <w:start w:val="1"/>
      <w:numFmt w:val="bullet"/>
      <w:lvlText w:val="o"/>
      <w:lvlJc w:val="left"/>
      <w:pPr>
        <w:ind w:left="5760" w:hanging="360"/>
      </w:pPr>
      <w:rPr>
        <w:rFonts w:ascii="Courier New" w:hAnsi="Courier New" w:cs="Courier New" w:hint="default"/>
      </w:rPr>
    </w:lvl>
    <w:lvl w:ilvl="8" w:tplc="0B1EE96E" w:tentative="1">
      <w:start w:val="1"/>
      <w:numFmt w:val="bullet"/>
      <w:lvlText w:val=""/>
      <w:lvlJc w:val="left"/>
      <w:pPr>
        <w:ind w:left="6480" w:hanging="360"/>
      </w:pPr>
      <w:rPr>
        <w:rFonts w:ascii="Wingdings" w:hAnsi="Wingdings" w:hint="default"/>
      </w:rPr>
    </w:lvl>
  </w:abstractNum>
  <w:num w:numId="1" w16cid:durableId="1948192600">
    <w:abstractNumId w:val="4"/>
  </w:num>
  <w:num w:numId="2" w16cid:durableId="1240754573">
    <w:abstractNumId w:val="5"/>
  </w:num>
  <w:num w:numId="3" w16cid:durableId="3943093">
    <w:abstractNumId w:val="1"/>
  </w:num>
  <w:num w:numId="4" w16cid:durableId="1493179748">
    <w:abstractNumId w:val="0"/>
  </w:num>
  <w:num w:numId="5" w16cid:durableId="1037005869">
    <w:abstractNumId w:val="6"/>
  </w:num>
  <w:num w:numId="6" w16cid:durableId="11222599">
    <w:abstractNumId w:val="2"/>
  </w:num>
  <w:num w:numId="7" w16cid:durableId="1607423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AB"/>
    <w:rsid w:val="0001022A"/>
    <w:rsid w:val="000230A6"/>
    <w:rsid w:val="0003092E"/>
    <w:rsid w:val="00067359"/>
    <w:rsid w:val="00076819"/>
    <w:rsid w:val="00083583"/>
    <w:rsid w:val="00093463"/>
    <w:rsid w:val="00096FF3"/>
    <w:rsid w:val="000976C5"/>
    <w:rsid w:val="000A199B"/>
    <w:rsid w:val="000B1871"/>
    <w:rsid w:val="000E3764"/>
    <w:rsid w:val="000F7373"/>
    <w:rsid w:val="000F7449"/>
    <w:rsid w:val="00120C73"/>
    <w:rsid w:val="0015292A"/>
    <w:rsid w:val="00152B05"/>
    <w:rsid w:val="00155ACF"/>
    <w:rsid w:val="00175199"/>
    <w:rsid w:val="00185ADC"/>
    <w:rsid w:val="00185EB1"/>
    <w:rsid w:val="001906C8"/>
    <w:rsid w:val="001B2ED6"/>
    <w:rsid w:val="001B5BDA"/>
    <w:rsid w:val="001C107B"/>
    <w:rsid w:val="001D4B84"/>
    <w:rsid w:val="001D7224"/>
    <w:rsid w:val="001F078F"/>
    <w:rsid w:val="00221B23"/>
    <w:rsid w:val="00244F64"/>
    <w:rsid w:val="0024595F"/>
    <w:rsid w:val="00245EF0"/>
    <w:rsid w:val="002477D9"/>
    <w:rsid w:val="0026738D"/>
    <w:rsid w:val="00277C0A"/>
    <w:rsid w:val="00282DEE"/>
    <w:rsid w:val="002A0420"/>
    <w:rsid w:val="002B2316"/>
    <w:rsid w:val="002B6C43"/>
    <w:rsid w:val="00305160"/>
    <w:rsid w:val="00321490"/>
    <w:rsid w:val="003228E1"/>
    <w:rsid w:val="00332A20"/>
    <w:rsid w:val="00353767"/>
    <w:rsid w:val="00356E6F"/>
    <w:rsid w:val="00360EAF"/>
    <w:rsid w:val="00365FBE"/>
    <w:rsid w:val="003669D1"/>
    <w:rsid w:val="00380D05"/>
    <w:rsid w:val="003868FA"/>
    <w:rsid w:val="00397DA2"/>
    <w:rsid w:val="003A3FC8"/>
    <w:rsid w:val="003A6497"/>
    <w:rsid w:val="003B5E99"/>
    <w:rsid w:val="003C0AF2"/>
    <w:rsid w:val="003C3705"/>
    <w:rsid w:val="003D02FE"/>
    <w:rsid w:val="004122DC"/>
    <w:rsid w:val="0045448D"/>
    <w:rsid w:val="00460F4C"/>
    <w:rsid w:val="004736A0"/>
    <w:rsid w:val="00491CD4"/>
    <w:rsid w:val="004A4B06"/>
    <w:rsid w:val="004A7676"/>
    <w:rsid w:val="004C6A2E"/>
    <w:rsid w:val="004D618D"/>
    <w:rsid w:val="004E4C7D"/>
    <w:rsid w:val="0050787B"/>
    <w:rsid w:val="005122CD"/>
    <w:rsid w:val="00524FC4"/>
    <w:rsid w:val="00542229"/>
    <w:rsid w:val="005541C0"/>
    <w:rsid w:val="00555C11"/>
    <w:rsid w:val="0057283D"/>
    <w:rsid w:val="00576C1D"/>
    <w:rsid w:val="00577D28"/>
    <w:rsid w:val="00577FE0"/>
    <w:rsid w:val="005931B8"/>
    <w:rsid w:val="00596A35"/>
    <w:rsid w:val="005A34B0"/>
    <w:rsid w:val="005A7977"/>
    <w:rsid w:val="005B797A"/>
    <w:rsid w:val="005E779D"/>
    <w:rsid w:val="00612597"/>
    <w:rsid w:val="00620A4A"/>
    <w:rsid w:val="00624419"/>
    <w:rsid w:val="00641886"/>
    <w:rsid w:val="00641C61"/>
    <w:rsid w:val="00652B4F"/>
    <w:rsid w:val="00675D08"/>
    <w:rsid w:val="0067729E"/>
    <w:rsid w:val="006806CA"/>
    <w:rsid w:val="00687181"/>
    <w:rsid w:val="006A4E7F"/>
    <w:rsid w:val="006A4F9C"/>
    <w:rsid w:val="006B3B44"/>
    <w:rsid w:val="006B480C"/>
    <w:rsid w:val="006C1D1A"/>
    <w:rsid w:val="006C4E30"/>
    <w:rsid w:val="006D36FD"/>
    <w:rsid w:val="006E1908"/>
    <w:rsid w:val="006E58C2"/>
    <w:rsid w:val="00712791"/>
    <w:rsid w:val="007312C1"/>
    <w:rsid w:val="00761BDD"/>
    <w:rsid w:val="00771FC2"/>
    <w:rsid w:val="00784740"/>
    <w:rsid w:val="00793000"/>
    <w:rsid w:val="00797015"/>
    <w:rsid w:val="007A7CE2"/>
    <w:rsid w:val="007B1285"/>
    <w:rsid w:val="007E16DC"/>
    <w:rsid w:val="008068AA"/>
    <w:rsid w:val="00811811"/>
    <w:rsid w:val="008240AB"/>
    <w:rsid w:val="0082612A"/>
    <w:rsid w:val="0082622D"/>
    <w:rsid w:val="00835D95"/>
    <w:rsid w:val="00891F5A"/>
    <w:rsid w:val="008A18B6"/>
    <w:rsid w:val="008A20CB"/>
    <w:rsid w:val="008B0B6E"/>
    <w:rsid w:val="008B3E7D"/>
    <w:rsid w:val="008C35B8"/>
    <w:rsid w:val="008C3F26"/>
    <w:rsid w:val="008F0B94"/>
    <w:rsid w:val="008F2597"/>
    <w:rsid w:val="008F7B33"/>
    <w:rsid w:val="00903680"/>
    <w:rsid w:val="00924D67"/>
    <w:rsid w:val="0095153C"/>
    <w:rsid w:val="00961C16"/>
    <w:rsid w:val="00967D94"/>
    <w:rsid w:val="00983942"/>
    <w:rsid w:val="00985FC1"/>
    <w:rsid w:val="00997CF8"/>
    <w:rsid w:val="009D1101"/>
    <w:rsid w:val="009D1422"/>
    <w:rsid w:val="009F7D08"/>
    <w:rsid w:val="00A03681"/>
    <w:rsid w:val="00A039EA"/>
    <w:rsid w:val="00A140D2"/>
    <w:rsid w:val="00A25F01"/>
    <w:rsid w:val="00A31FA1"/>
    <w:rsid w:val="00A3200D"/>
    <w:rsid w:val="00A44D9A"/>
    <w:rsid w:val="00A456CF"/>
    <w:rsid w:val="00A47785"/>
    <w:rsid w:val="00A6090C"/>
    <w:rsid w:val="00A83758"/>
    <w:rsid w:val="00AB1DE8"/>
    <w:rsid w:val="00AF2F99"/>
    <w:rsid w:val="00AF317E"/>
    <w:rsid w:val="00B041C9"/>
    <w:rsid w:val="00B04A07"/>
    <w:rsid w:val="00B055C1"/>
    <w:rsid w:val="00B12980"/>
    <w:rsid w:val="00B142DD"/>
    <w:rsid w:val="00B171E2"/>
    <w:rsid w:val="00B329D9"/>
    <w:rsid w:val="00B37EA8"/>
    <w:rsid w:val="00B45B2B"/>
    <w:rsid w:val="00B54271"/>
    <w:rsid w:val="00B549DD"/>
    <w:rsid w:val="00B64B7B"/>
    <w:rsid w:val="00B92B35"/>
    <w:rsid w:val="00BB1DF3"/>
    <w:rsid w:val="00BB37FB"/>
    <w:rsid w:val="00BB6E4C"/>
    <w:rsid w:val="00C24E31"/>
    <w:rsid w:val="00C267D7"/>
    <w:rsid w:val="00C32BE0"/>
    <w:rsid w:val="00C3378F"/>
    <w:rsid w:val="00C66B8D"/>
    <w:rsid w:val="00CA1BCE"/>
    <w:rsid w:val="00CA675C"/>
    <w:rsid w:val="00CB2F4C"/>
    <w:rsid w:val="00CE5219"/>
    <w:rsid w:val="00D10703"/>
    <w:rsid w:val="00D1711D"/>
    <w:rsid w:val="00D42DF1"/>
    <w:rsid w:val="00D44B18"/>
    <w:rsid w:val="00D62226"/>
    <w:rsid w:val="00D744D8"/>
    <w:rsid w:val="00D87353"/>
    <w:rsid w:val="00D924D9"/>
    <w:rsid w:val="00DB5C21"/>
    <w:rsid w:val="00DC14B4"/>
    <w:rsid w:val="00DE0FEB"/>
    <w:rsid w:val="00DE72BC"/>
    <w:rsid w:val="00E028A5"/>
    <w:rsid w:val="00E0754F"/>
    <w:rsid w:val="00E24400"/>
    <w:rsid w:val="00E32DB5"/>
    <w:rsid w:val="00E828D6"/>
    <w:rsid w:val="00E86E00"/>
    <w:rsid w:val="00E93B0B"/>
    <w:rsid w:val="00EC1ABE"/>
    <w:rsid w:val="00EC1F43"/>
    <w:rsid w:val="00EC44E1"/>
    <w:rsid w:val="00ED6E82"/>
    <w:rsid w:val="00EE792A"/>
    <w:rsid w:val="00F215E1"/>
    <w:rsid w:val="00F22B85"/>
    <w:rsid w:val="00F615C2"/>
    <w:rsid w:val="00F70E10"/>
    <w:rsid w:val="00F76A61"/>
    <w:rsid w:val="00F808A6"/>
    <w:rsid w:val="00F85CA1"/>
    <w:rsid w:val="00F86AE1"/>
    <w:rsid w:val="00F932DF"/>
    <w:rsid w:val="00FB3A49"/>
    <w:rsid w:val="00FB4D3E"/>
    <w:rsid w:val="00FC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2349"/>
  <w15:chartTrackingRefBased/>
  <w15:docId w15:val="{09E15D75-308C-0A4E-981F-981B6474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420"/>
    <w:pPr>
      <w:ind w:left="720"/>
      <w:contextualSpacing/>
    </w:pPr>
  </w:style>
  <w:style w:type="paragraph" w:styleId="Header">
    <w:name w:val="header"/>
    <w:basedOn w:val="Normal"/>
    <w:link w:val="HeaderChar"/>
    <w:uiPriority w:val="99"/>
    <w:unhideWhenUsed/>
    <w:rsid w:val="003A3FC8"/>
    <w:pPr>
      <w:tabs>
        <w:tab w:val="center" w:pos="4680"/>
        <w:tab w:val="right" w:pos="9360"/>
      </w:tabs>
    </w:pPr>
  </w:style>
  <w:style w:type="character" w:customStyle="1" w:styleId="HeaderChar">
    <w:name w:val="Header Char"/>
    <w:basedOn w:val="DefaultParagraphFont"/>
    <w:link w:val="Header"/>
    <w:uiPriority w:val="99"/>
    <w:rsid w:val="003A3FC8"/>
  </w:style>
  <w:style w:type="paragraph" w:styleId="Footer">
    <w:name w:val="footer"/>
    <w:basedOn w:val="Normal"/>
    <w:link w:val="FooterChar"/>
    <w:uiPriority w:val="99"/>
    <w:unhideWhenUsed/>
    <w:rsid w:val="003A3FC8"/>
    <w:pPr>
      <w:tabs>
        <w:tab w:val="center" w:pos="4680"/>
        <w:tab w:val="right" w:pos="9360"/>
      </w:tabs>
    </w:pPr>
  </w:style>
  <w:style w:type="character" w:customStyle="1" w:styleId="FooterChar">
    <w:name w:val="Footer Char"/>
    <w:basedOn w:val="DefaultParagraphFont"/>
    <w:link w:val="Footer"/>
    <w:uiPriority w:val="99"/>
    <w:rsid w:val="003A3FC8"/>
  </w:style>
  <w:style w:type="character" w:styleId="Hyperlink">
    <w:name w:val="Hyperlink"/>
    <w:basedOn w:val="DefaultParagraphFont"/>
    <w:uiPriority w:val="99"/>
    <w:unhideWhenUsed/>
    <w:rsid w:val="001B5BDA"/>
    <w:rPr>
      <w:color w:val="0563C1" w:themeColor="hyperlink"/>
      <w:u w:val="single"/>
    </w:rPr>
  </w:style>
  <w:style w:type="character" w:styleId="UnresolvedMention">
    <w:name w:val="Unresolved Mention"/>
    <w:basedOn w:val="DefaultParagraphFont"/>
    <w:uiPriority w:val="99"/>
    <w:semiHidden/>
    <w:unhideWhenUsed/>
    <w:rsid w:val="001B5BDA"/>
    <w:rPr>
      <w:color w:val="605E5C"/>
      <w:shd w:val="clear" w:color="auto" w:fill="E1DFDD"/>
    </w:rPr>
  </w:style>
  <w:style w:type="paragraph" w:styleId="Title">
    <w:name w:val="Title"/>
    <w:basedOn w:val="Normal"/>
    <w:next w:val="Normal"/>
    <w:link w:val="TitleChar"/>
    <w:uiPriority w:val="10"/>
    <w:qFormat/>
    <w:rsid w:val="008118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811"/>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811811"/>
    <w:rPr>
      <w:b/>
      <w:bCs/>
      <w:i/>
      <w:iCs/>
      <w:spacing w:val="5"/>
    </w:rPr>
  </w:style>
  <w:style w:type="character" w:styleId="SubtleEmphasis">
    <w:name w:val="Subtle Emphasis"/>
    <w:basedOn w:val="DefaultParagraphFont"/>
    <w:uiPriority w:val="19"/>
    <w:qFormat/>
    <w:rsid w:val="00811811"/>
    <w:rPr>
      <w:i/>
      <w:iCs/>
      <w:color w:val="404040" w:themeColor="text1" w:themeTint="BF"/>
    </w:rPr>
  </w:style>
  <w:style w:type="paragraph" w:styleId="NormalWeb">
    <w:name w:val="Normal (Web)"/>
    <w:basedOn w:val="Normal"/>
    <w:uiPriority w:val="99"/>
    <w:semiHidden/>
    <w:unhideWhenUsed/>
    <w:rsid w:val="00924D67"/>
    <w:pPr>
      <w:spacing w:before="100" w:beforeAutospacing="1" w:after="100" w:afterAutospacing="1"/>
    </w:pPr>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2346</Words>
  <Characters>13376</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hawley johnson</cp:lastModifiedBy>
  <cp:revision>2</cp:revision>
  <dcterms:created xsi:type="dcterms:W3CDTF">2025-05-20T15:02:00Z</dcterms:created>
  <dcterms:modified xsi:type="dcterms:W3CDTF">2025-05-20T15:02:00Z</dcterms:modified>
</cp:coreProperties>
</file>