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08FA" w14:textId="77777777" w:rsidR="00232CCE" w:rsidRPr="00232CCE" w:rsidRDefault="00232CCE" w:rsidP="0053049D">
      <w:pPr>
        <w:shd w:val="clear" w:color="auto" w:fill="8EAADB" w:themeFill="accent1" w:themeFillTint="99"/>
        <w:spacing w:line="276" w:lineRule="auto"/>
        <w:jc w:val="center"/>
        <w:rPr>
          <w:rFonts w:ascii="Garamond" w:hAnsi="Garamond"/>
          <w:sz w:val="22"/>
          <w:szCs w:val="22"/>
          <w:lang w:val="pt-BR"/>
        </w:rPr>
      </w:pPr>
      <w:r w:rsidRPr="00232CCE">
        <w:rPr>
          <w:rFonts w:ascii="Garamond" w:hAnsi="Garamond"/>
          <w:sz w:val="22"/>
          <w:szCs w:val="22"/>
          <w:lang w:val="pt-BR"/>
        </w:rPr>
        <w:t>Ferreira e Castro da Costa Laranjo v. Portugal</w:t>
      </w:r>
    </w:p>
    <w:p w14:paraId="44AD3616" w14:textId="0F9531B8" w:rsidR="00BB2804" w:rsidRPr="00B6689A" w:rsidRDefault="00BB2804" w:rsidP="0053049D">
      <w:pPr>
        <w:shd w:val="clear" w:color="auto" w:fill="8EAADB" w:themeFill="accent1" w:themeFillTint="99"/>
        <w:spacing w:line="276" w:lineRule="auto"/>
        <w:jc w:val="center"/>
        <w:rPr>
          <w:rFonts w:ascii="Garamond" w:hAnsi="Garamond"/>
          <w:b/>
          <w:bCs/>
          <w:sz w:val="22"/>
          <w:szCs w:val="22"/>
          <w:lang w:val="pt-BR"/>
        </w:rPr>
      </w:pPr>
      <w:r w:rsidRPr="00B6689A">
        <w:rPr>
          <w:rFonts w:ascii="Garamond" w:hAnsi="Garamond"/>
          <w:b/>
          <w:bCs/>
          <w:sz w:val="22"/>
          <w:szCs w:val="22"/>
          <w:lang w:val="pt-BR"/>
        </w:rPr>
        <w:t xml:space="preserve">Case </w:t>
      </w:r>
      <w:proofErr w:type="spellStart"/>
      <w:r w:rsidRPr="00B6689A">
        <w:rPr>
          <w:rFonts w:ascii="Garamond" w:hAnsi="Garamond"/>
          <w:b/>
          <w:bCs/>
          <w:sz w:val="22"/>
          <w:szCs w:val="22"/>
          <w:lang w:val="pt-BR"/>
        </w:rPr>
        <w:t>Analysis</w:t>
      </w:r>
      <w:proofErr w:type="spellEnd"/>
    </w:p>
    <w:p w14:paraId="4400C2A2" w14:textId="77777777" w:rsidR="00BB2804" w:rsidRPr="00B6689A" w:rsidRDefault="00BB2804" w:rsidP="0053049D">
      <w:pPr>
        <w:spacing w:line="276" w:lineRule="auto"/>
        <w:jc w:val="center"/>
        <w:rPr>
          <w:rFonts w:ascii="Garamond" w:hAnsi="Garamond"/>
          <w:sz w:val="22"/>
          <w:szCs w:val="22"/>
          <w:lang w:val="pt-BR"/>
        </w:rPr>
      </w:pPr>
    </w:p>
    <w:p w14:paraId="6C37961E" w14:textId="77777777" w:rsidR="00BB2804" w:rsidRPr="00B6689A" w:rsidRDefault="00BB2804" w:rsidP="0053049D">
      <w:pPr>
        <w:spacing w:line="276" w:lineRule="auto"/>
        <w:jc w:val="both"/>
        <w:rPr>
          <w:rFonts w:ascii="Garamond" w:hAnsi="Garamond"/>
          <w:b/>
          <w:bCs/>
          <w:sz w:val="22"/>
          <w:szCs w:val="22"/>
          <w:lang w:val="pt-BR"/>
        </w:rPr>
      </w:pPr>
      <w:r w:rsidRPr="00B6689A">
        <w:rPr>
          <w:rFonts w:ascii="Garamond" w:hAnsi="Garamond"/>
          <w:b/>
          <w:bCs/>
          <w:i/>
          <w:iCs/>
          <w:sz w:val="22"/>
          <w:szCs w:val="22"/>
          <w:u w:val="single"/>
          <w:lang w:val="pt-BR"/>
        </w:rPr>
        <w:t>Meta-Data</w:t>
      </w:r>
      <w:r w:rsidRPr="00B6689A">
        <w:rPr>
          <w:rFonts w:ascii="Garamond" w:hAnsi="Garamond"/>
          <w:b/>
          <w:bCs/>
          <w:sz w:val="22"/>
          <w:szCs w:val="22"/>
          <w:lang w:val="pt-BR"/>
        </w:rPr>
        <w:t xml:space="preserve">: </w:t>
      </w:r>
    </w:p>
    <w:p w14:paraId="2B86F1DD" w14:textId="77E7B807"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Case Number</w:t>
      </w:r>
      <w:r w:rsidRPr="00807F64">
        <w:rPr>
          <w:rFonts w:ascii="Garamond" w:hAnsi="Garamond"/>
          <w:sz w:val="22"/>
          <w:szCs w:val="22"/>
          <w:lang w:val="en-US"/>
        </w:rPr>
        <w:t xml:space="preserve">: </w:t>
      </w:r>
      <w:r w:rsidR="00950CFC" w:rsidRPr="00950CFC">
        <w:rPr>
          <w:rFonts w:ascii="Garamond" w:hAnsi="Garamond"/>
          <w:sz w:val="22"/>
          <w:szCs w:val="22"/>
          <w:lang w:val="pt-BR"/>
        </w:rPr>
        <w:t xml:space="preserve">33203/20 </w:t>
      </w:r>
      <w:proofErr w:type="spellStart"/>
      <w:r w:rsidR="00950CFC" w:rsidRPr="00950CFC">
        <w:rPr>
          <w:rFonts w:ascii="Garamond" w:hAnsi="Garamond"/>
          <w:sz w:val="22"/>
          <w:szCs w:val="22"/>
          <w:lang w:val="pt-BR"/>
        </w:rPr>
        <w:t>and</w:t>
      </w:r>
      <w:proofErr w:type="spellEnd"/>
      <w:r w:rsidR="00950CFC" w:rsidRPr="00950CFC">
        <w:rPr>
          <w:rFonts w:ascii="Garamond" w:hAnsi="Garamond"/>
          <w:sz w:val="22"/>
          <w:szCs w:val="22"/>
          <w:lang w:val="pt-BR"/>
        </w:rPr>
        <w:t xml:space="preserve"> 45884/22</w:t>
      </w:r>
    </w:p>
    <w:p w14:paraId="66D44C8F" w14:textId="78058632"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Date of decision</w:t>
      </w:r>
      <w:r w:rsidRPr="00807F64">
        <w:rPr>
          <w:rFonts w:ascii="Garamond" w:hAnsi="Garamond"/>
          <w:sz w:val="22"/>
          <w:szCs w:val="22"/>
          <w:lang w:val="en-US"/>
        </w:rPr>
        <w:t xml:space="preserve">: </w:t>
      </w:r>
      <w:r w:rsidR="00950CFC">
        <w:rPr>
          <w:rFonts w:ascii="Garamond" w:hAnsi="Garamond"/>
          <w:sz w:val="22"/>
          <w:szCs w:val="22"/>
          <w:lang w:val="en-US"/>
        </w:rPr>
        <w:t>November</w:t>
      </w:r>
      <w:r w:rsidR="001035EF">
        <w:rPr>
          <w:rFonts w:ascii="Garamond" w:hAnsi="Garamond"/>
          <w:sz w:val="22"/>
          <w:szCs w:val="22"/>
          <w:lang w:val="en-US"/>
        </w:rPr>
        <w:t xml:space="preserve"> </w:t>
      </w:r>
      <w:r w:rsidR="00950CFC">
        <w:rPr>
          <w:rFonts w:ascii="Garamond" w:hAnsi="Garamond"/>
          <w:sz w:val="22"/>
          <w:szCs w:val="22"/>
          <w:lang w:val="en-US"/>
        </w:rPr>
        <w:t>5</w:t>
      </w:r>
      <w:r w:rsidR="005E2CB2" w:rsidRPr="00807F64">
        <w:rPr>
          <w:rFonts w:ascii="Garamond" w:hAnsi="Garamond"/>
          <w:sz w:val="22"/>
          <w:szCs w:val="22"/>
          <w:lang w:val="en-US"/>
        </w:rPr>
        <w:t>, 202</w:t>
      </w:r>
      <w:r w:rsidR="00950CFC">
        <w:rPr>
          <w:rFonts w:ascii="Garamond" w:hAnsi="Garamond"/>
          <w:sz w:val="22"/>
          <w:szCs w:val="22"/>
          <w:lang w:val="en-US"/>
        </w:rPr>
        <w:t>4</w:t>
      </w:r>
    </w:p>
    <w:p w14:paraId="7989E895" w14:textId="77777777"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Featured case</w:t>
      </w:r>
      <w:r w:rsidRPr="00807F64">
        <w:rPr>
          <w:rFonts w:ascii="Garamond" w:hAnsi="Garamond"/>
          <w:sz w:val="22"/>
          <w:szCs w:val="22"/>
          <w:lang w:val="en-US"/>
        </w:rPr>
        <w:t>: N/A</w:t>
      </w:r>
    </w:p>
    <w:p w14:paraId="3AAC85C7" w14:textId="5426AEF0"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Region</w:t>
      </w:r>
      <w:r w:rsidRPr="00807F64">
        <w:rPr>
          <w:rFonts w:ascii="Garamond" w:hAnsi="Garamond"/>
          <w:sz w:val="22"/>
          <w:szCs w:val="22"/>
          <w:lang w:val="en-US"/>
        </w:rPr>
        <w:t xml:space="preserve">: </w:t>
      </w:r>
      <w:r w:rsidR="00950CFC">
        <w:rPr>
          <w:rFonts w:ascii="Garamond" w:hAnsi="Garamond"/>
          <w:sz w:val="22"/>
          <w:szCs w:val="22"/>
          <w:lang w:val="en-US"/>
        </w:rPr>
        <w:t>European Court of Human Rights</w:t>
      </w:r>
      <w:r w:rsidR="00DF7A38">
        <w:rPr>
          <w:rFonts w:ascii="Garamond" w:hAnsi="Garamond"/>
          <w:sz w:val="22"/>
          <w:szCs w:val="22"/>
          <w:lang w:val="en-US"/>
        </w:rPr>
        <w:t xml:space="preserve"> (ECtHR)</w:t>
      </w:r>
    </w:p>
    <w:p w14:paraId="079501A2" w14:textId="6DD3EBD1" w:rsidR="00BB2804" w:rsidRPr="00807F64" w:rsidRDefault="00BB2804" w:rsidP="0053049D">
      <w:pPr>
        <w:pStyle w:val="PargrafodaLista"/>
        <w:numPr>
          <w:ilvl w:val="0"/>
          <w:numId w:val="1"/>
        </w:numPr>
        <w:spacing w:line="276" w:lineRule="auto"/>
        <w:jc w:val="both"/>
        <w:rPr>
          <w:rFonts w:ascii="Garamond" w:hAnsi="Garamond"/>
          <w:sz w:val="22"/>
          <w:szCs w:val="22"/>
          <w:lang w:val="en-US"/>
        </w:rPr>
      </w:pPr>
      <w:r w:rsidRPr="00807F64">
        <w:rPr>
          <w:rFonts w:ascii="Garamond" w:hAnsi="Garamond"/>
          <w:b/>
          <w:bCs/>
          <w:sz w:val="22"/>
          <w:szCs w:val="22"/>
          <w:lang w:val="en-US"/>
        </w:rPr>
        <w:t>Country</w:t>
      </w:r>
      <w:r w:rsidRPr="00807F64">
        <w:rPr>
          <w:rFonts w:ascii="Garamond" w:hAnsi="Garamond"/>
          <w:sz w:val="22"/>
          <w:szCs w:val="22"/>
          <w:lang w:val="en-US"/>
        </w:rPr>
        <w:t xml:space="preserve">: </w:t>
      </w:r>
      <w:r w:rsidR="00950CFC">
        <w:rPr>
          <w:rFonts w:ascii="Garamond" w:hAnsi="Garamond"/>
          <w:sz w:val="22"/>
          <w:szCs w:val="22"/>
          <w:lang w:val="en-US"/>
        </w:rPr>
        <w:t>Portugal</w:t>
      </w:r>
      <w:r w:rsidR="00D100E8">
        <w:rPr>
          <w:rFonts w:ascii="Garamond" w:hAnsi="Garamond"/>
          <w:sz w:val="22"/>
          <w:szCs w:val="22"/>
          <w:lang w:val="en-US"/>
        </w:rPr>
        <w:t>, Europe and Central Asia</w:t>
      </w:r>
    </w:p>
    <w:p w14:paraId="7A6C4B43" w14:textId="0332E1D2"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Type of expression</w:t>
      </w:r>
      <w:r w:rsidRPr="00D11CB1">
        <w:rPr>
          <w:rFonts w:ascii="Garamond" w:hAnsi="Garamond"/>
          <w:sz w:val="22"/>
          <w:szCs w:val="22"/>
          <w:lang w:val="en-US"/>
        </w:rPr>
        <w:t>:</w:t>
      </w:r>
      <w:r w:rsidR="00363B1E" w:rsidRPr="00D11CB1">
        <w:rPr>
          <w:rFonts w:ascii="Garamond" w:hAnsi="Garamond"/>
          <w:sz w:val="22"/>
          <w:szCs w:val="22"/>
          <w:lang w:val="en-US"/>
        </w:rPr>
        <w:t xml:space="preserve"> </w:t>
      </w:r>
      <w:r w:rsidR="00D100E8" w:rsidRPr="00D11CB1">
        <w:rPr>
          <w:rFonts w:ascii="Garamond" w:hAnsi="Garamond"/>
          <w:sz w:val="22"/>
          <w:szCs w:val="22"/>
        </w:rPr>
        <w:t>Audio/ Visual Broadcastin</w:t>
      </w:r>
      <w:r w:rsidR="00D11CB1" w:rsidRPr="00D11CB1">
        <w:rPr>
          <w:rFonts w:ascii="Garamond" w:hAnsi="Garamond"/>
          <w:sz w:val="22"/>
          <w:szCs w:val="22"/>
        </w:rPr>
        <w:t>g/ Communication, Press/ Newspapers, Public Speech</w:t>
      </w:r>
    </w:p>
    <w:p w14:paraId="27903803" w14:textId="28108D36" w:rsidR="00BB2804" w:rsidRPr="00C77C43" w:rsidRDefault="00BB2804" w:rsidP="0053049D">
      <w:pPr>
        <w:pStyle w:val="PargrafodaLista"/>
        <w:numPr>
          <w:ilvl w:val="0"/>
          <w:numId w:val="1"/>
        </w:numPr>
        <w:spacing w:line="276" w:lineRule="auto"/>
        <w:jc w:val="both"/>
        <w:rPr>
          <w:rFonts w:ascii="Garamond" w:hAnsi="Garamond"/>
          <w:sz w:val="22"/>
          <w:szCs w:val="22"/>
          <w:lang w:val="en-US"/>
        </w:rPr>
      </w:pPr>
      <w:r w:rsidRPr="00C77C43">
        <w:rPr>
          <w:rFonts w:ascii="Garamond" w:hAnsi="Garamond"/>
          <w:b/>
          <w:bCs/>
          <w:sz w:val="22"/>
          <w:szCs w:val="22"/>
          <w:lang w:val="en-US"/>
        </w:rPr>
        <w:t>Judicial Body</w:t>
      </w:r>
      <w:r w:rsidRPr="00C77C43">
        <w:rPr>
          <w:rFonts w:ascii="Garamond" w:hAnsi="Garamond"/>
          <w:sz w:val="22"/>
          <w:szCs w:val="22"/>
          <w:lang w:val="en-US"/>
        </w:rPr>
        <w:t xml:space="preserve">: </w:t>
      </w:r>
      <w:r w:rsidR="00950CFC">
        <w:rPr>
          <w:rFonts w:ascii="Garamond" w:hAnsi="Garamond"/>
          <w:sz w:val="22"/>
          <w:szCs w:val="22"/>
          <w:lang w:val="en-US"/>
        </w:rPr>
        <w:t>European Court of Human Rights</w:t>
      </w:r>
    </w:p>
    <w:p w14:paraId="62C18981" w14:textId="6BDDF9E9"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Type of law</w:t>
      </w:r>
      <w:r w:rsidRPr="00D11CB1">
        <w:rPr>
          <w:rFonts w:ascii="Garamond" w:hAnsi="Garamond"/>
          <w:sz w:val="22"/>
          <w:szCs w:val="22"/>
          <w:lang w:val="en-US"/>
        </w:rPr>
        <w:t xml:space="preserve">: </w:t>
      </w:r>
      <w:r w:rsidR="00D11CB1" w:rsidRPr="00D11CB1">
        <w:rPr>
          <w:rFonts w:ascii="Garamond" w:hAnsi="Garamond"/>
          <w:sz w:val="22"/>
          <w:szCs w:val="22"/>
          <w:lang w:val="en-US"/>
        </w:rPr>
        <w:t xml:space="preserve">Constitutional Law, </w:t>
      </w:r>
      <w:r w:rsidR="00D100E8" w:rsidRPr="00D11CB1">
        <w:rPr>
          <w:rFonts w:ascii="Garamond" w:hAnsi="Garamond"/>
          <w:sz w:val="22"/>
          <w:szCs w:val="22"/>
        </w:rPr>
        <w:t>Criminal Law, International/Regional Human Rights Law</w:t>
      </w:r>
    </w:p>
    <w:p w14:paraId="35C4FF78" w14:textId="03C16656" w:rsidR="00BB2804" w:rsidRPr="00950CFC" w:rsidRDefault="00BB2804" w:rsidP="0053049D">
      <w:pPr>
        <w:pStyle w:val="PargrafodaLista"/>
        <w:numPr>
          <w:ilvl w:val="0"/>
          <w:numId w:val="1"/>
        </w:numPr>
        <w:spacing w:line="276" w:lineRule="auto"/>
        <w:jc w:val="both"/>
        <w:rPr>
          <w:rFonts w:ascii="Garamond" w:hAnsi="Garamond"/>
          <w:color w:val="FF0000"/>
          <w:sz w:val="22"/>
          <w:szCs w:val="22"/>
          <w:lang w:val="en-US"/>
        </w:rPr>
      </w:pPr>
      <w:r w:rsidRPr="00C77C43">
        <w:rPr>
          <w:rFonts w:ascii="Garamond" w:hAnsi="Garamond"/>
          <w:b/>
          <w:bCs/>
          <w:sz w:val="22"/>
          <w:szCs w:val="22"/>
          <w:lang w:val="en-US"/>
        </w:rPr>
        <w:t>Main</w:t>
      </w:r>
      <w:r w:rsidRPr="00D11CB1">
        <w:rPr>
          <w:rFonts w:ascii="Garamond" w:hAnsi="Garamond"/>
          <w:b/>
          <w:bCs/>
          <w:sz w:val="22"/>
          <w:szCs w:val="22"/>
          <w:lang w:val="en-US"/>
        </w:rPr>
        <w:t xml:space="preserve"> Themes</w:t>
      </w:r>
      <w:r w:rsidRPr="00D11CB1">
        <w:rPr>
          <w:rFonts w:ascii="Garamond" w:hAnsi="Garamond"/>
          <w:sz w:val="22"/>
          <w:szCs w:val="22"/>
          <w:lang w:val="en-US"/>
        </w:rPr>
        <w:t>:</w:t>
      </w:r>
      <w:r w:rsidR="00FA42AF" w:rsidRPr="00D11CB1">
        <w:rPr>
          <w:rFonts w:ascii="Garamond" w:hAnsi="Garamond"/>
          <w:sz w:val="22"/>
          <w:szCs w:val="22"/>
          <w:lang w:val="en-US"/>
        </w:rPr>
        <w:t xml:space="preserve"> </w:t>
      </w:r>
      <w:r w:rsidR="00D11CB1" w:rsidRPr="00D11CB1">
        <w:rPr>
          <w:rFonts w:ascii="Garamond" w:hAnsi="Garamond"/>
          <w:sz w:val="22"/>
          <w:szCs w:val="22"/>
        </w:rPr>
        <w:t>Access to Public Information, Content Moderation, Content Regulation/ Censorship, National Security, Press Freedom</w:t>
      </w:r>
    </w:p>
    <w:p w14:paraId="61895DC2" w14:textId="484D164D"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Outcome</w:t>
      </w:r>
      <w:r w:rsidR="002E1E37" w:rsidRPr="00D11CB1">
        <w:rPr>
          <w:rFonts w:ascii="Garamond" w:hAnsi="Garamond"/>
          <w:sz w:val="22"/>
          <w:szCs w:val="22"/>
          <w:lang w:val="en-US"/>
        </w:rPr>
        <w:t>:</w:t>
      </w:r>
      <w:r w:rsidR="00807F64" w:rsidRPr="00D11CB1">
        <w:rPr>
          <w:rFonts w:ascii="Garamond" w:hAnsi="Garamond"/>
          <w:sz w:val="22"/>
          <w:szCs w:val="22"/>
          <w:lang w:val="en-US"/>
        </w:rPr>
        <w:t xml:space="preserve"> </w:t>
      </w:r>
      <w:r w:rsidR="00D100E8" w:rsidRPr="00D11CB1">
        <w:rPr>
          <w:rFonts w:ascii="Garamond" w:hAnsi="Garamond"/>
          <w:sz w:val="22"/>
          <w:szCs w:val="22"/>
        </w:rPr>
        <w:t>ECtHR, Article 10 Violation</w:t>
      </w:r>
    </w:p>
    <w:p w14:paraId="6DDEBA09" w14:textId="726586BC"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Status</w:t>
      </w:r>
      <w:r w:rsidRPr="00D11CB1">
        <w:rPr>
          <w:rFonts w:ascii="Garamond" w:hAnsi="Garamond"/>
          <w:sz w:val="22"/>
          <w:szCs w:val="22"/>
          <w:lang w:val="en-US"/>
        </w:rPr>
        <w:t>:</w:t>
      </w:r>
      <w:r w:rsidR="00D71FFB" w:rsidRPr="00D11CB1">
        <w:rPr>
          <w:rFonts w:ascii="Garamond" w:hAnsi="Garamond"/>
          <w:sz w:val="22"/>
          <w:szCs w:val="22"/>
          <w:lang w:val="en-US"/>
        </w:rPr>
        <w:t xml:space="preserve"> </w:t>
      </w:r>
      <w:r w:rsidR="00D11CB1">
        <w:rPr>
          <w:rFonts w:ascii="Garamond" w:hAnsi="Garamond"/>
          <w:sz w:val="22"/>
          <w:szCs w:val="22"/>
        </w:rPr>
        <w:t>Closed</w:t>
      </w:r>
    </w:p>
    <w:p w14:paraId="0550C5A9" w14:textId="71B12036" w:rsidR="00BB2804" w:rsidRPr="00D11CB1" w:rsidRDefault="00BB2804" w:rsidP="0053049D">
      <w:pPr>
        <w:pStyle w:val="PargrafodaLista"/>
        <w:numPr>
          <w:ilvl w:val="0"/>
          <w:numId w:val="1"/>
        </w:numPr>
        <w:spacing w:line="276" w:lineRule="auto"/>
        <w:jc w:val="both"/>
        <w:rPr>
          <w:rFonts w:ascii="Garamond" w:hAnsi="Garamond"/>
          <w:sz w:val="22"/>
          <w:szCs w:val="22"/>
          <w:lang w:val="en-US"/>
        </w:rPr>
      </w:pPr>
      <w:r w:rsidRPr="00D11CB1">
        <w:rPr>
          <w:rFonts w:ascii="Garamond" w:hAnsi="Garamond"/>
          <w:b/>
          <w:bCs/>
          <w:sz w:val="22"/>
          <w:szCs w:val="22"/>
          <w:lang w:val="en-US"/>
        </w:rPr>
        <w:t>Tags</w:t>
      </w:r>
      <w:r w:rsidRPr="00D11CB1">
        <w:rPr>
          <w:rFonts w:ascii="Garamond" w:hAnsi="Garamond"/>
          <w:sz w:val="22"/>
          <w:szCs w:val="22"/>
          <w:lang w:val="en-US"/>
        </w:rPr>
        <w:t>:</w:t>
      </w:r>
      <w:r w:rsidR="00A0181F" w:rsidRPr="00D11CB1">
        <w:rPr>
          <w:rFonts w:ascii="Garamond" w:hAnsi="Garamond"/>
          <w:sz w:val="22"/>
          <w:szCs w:val="22"/>
          <w:lang w:val="en-US"/>
        </w:rPr>
        <w:t xml:space="preserve"> </w:t>
      </w:r>
      <w:r w:rsidR="00C77C43" w:rsidRPr="00D11CB1">
        <w:rPr>
          <w:rFonts w:ascii="Garamond" w:hAnsi="Garamond"/>
          <w:sz w:val="22"/>
          <w:szCs w:val="22"/>
          <w:lang w:val="en-US"/>
        </w:rPr>
        <w:t>Press freedom; Honor and Reputation</w:t>
      </w:r>
    </w:p>
    <w:p w14:paraId="1FB30DBC" w14:textId="77777777" w:rsidR="00AE66D0" w:rsidRPr="007466E0" w:rsidRDefault="00AE66D0" w:rsidP="0053049D">
      <w:pPr>
        <w:pStyle w:val="PargrafodaLista"/>
        <w:numPr>
          <w:ilvl w:val="0"/>
          <w:numId w:val="1"/>
        </w:numPr>
        <w:spacing w:line="276" w:lineRule="auto"/>
        <w:jc w:val="both"/>
        <w:rPr>
          <w:rFonts w:ascii="Garamond" w:hAnsi="Garamond"/>
          <w:sz w:val="22"/>
          <w:szCs w:val="22"/>
          <w:lang w:val="en-US"/>
        </w:rPr>
      </w:pPr>
    </w:p>
    <w:p w14:paraId="06BBAAD5" w14:textId="77777777" w:rsidR="00BB2804" w:rsidRPr="007466E0" w:rsidRDefault="00BB2804" w:rsidP="0053049D">
      <w:pPr>
        <w:spacing w:line="276" w:lineRule="auto"/>
        <w:jc w:val="both"/>
        <w:rPr>
          <w:rFonts w:ascii="Garamond" w:hAnsi="Garamond"/>
          <w:b/>
          <w:bCs/>
          <w:i/>
          <w:iCs/>
          <w:sz w:val="22"/>
          <w:szCs w:val="22"/>
          <w:u w:val="single"/>
          <w:lang w:val="en-US"/>
        </w:rPr>
      </w:pPr>
      <w:r w:rsidRPr="007466E0">
        <w:rPr>
          <w:rFonts w:ascii="Garamond" w:hAnsi="Garamond"/>
          <w:b/>
          <w:bCs/>
          <w:i/>
          <w:iCs/>
          <w:sz w:val="22"/>
          <w:szCs w:val="22"/>
          <w:u w:val="single"/>
          <w:lang w:val="en-US"/>
        </w:rPr>
        <w:t>Analysis:</w:t>
      </w:r>
    </w:p>
    <w:p w14:paraId="1320B35B" w14:textId="77777777" w:rsidR="00737367" w:rsidRPr="007466E0" w:rsidRDefault="00737367" w:rsidP="0053049D">
      <w:pPr>
        <w:spacing w:line="276" w:lineRule="auto"/>
        <w:jc w:val="both"/>
        <w:rPr>
          <w:rFonts w:ascii="Garamond" w:hAnsi="Garamond"/>
          <w:sz w:val="22"/>
          <w:szCs w:val="22"/>
          <w:lang w:val="en-US"/>
        </w:rPr>
      </w:pPr>
    </w:p>
    <w:p w14:paraId="18E63247" w14:textId="77777777" w:rsidR="000850BD" w:rsidRPr="007466E0" w:rsidRDefault="00BB2804" w:rsidP="0053049D">
      <w:pPr>
        <w:pStyle w:val="PargrafodaLista"/>
        <w:numPr>
          <w:ilvl w:val="0"/>
          <w:numId w:val="5"/>
        </w:numPr>
        <w:spacing w:line="276" w:lineRule="auto"/>
        <w:jc w:val="both"/>
        <w:rPr>
          <w:rFonts w:ascii="Garamond" w:hAnsi="Garamond"/>
          <w:sz w:val="22"/>
          <w:szCs w:val="22"/>
          <w:lang w:val="en-US"/>
        </w:rPr>
      </w:pPr>
      <w:r w:rsidRPr="007466E0">
        <w:rPr>
          <w:rFonts w:ascii="Garamond" w:hAnsi="Garamond"/>
          <w:b/>
          <w:bCs/>
          <w:sz w:val="22"/>
          <w:szCs w:val="22"/>
          <w:lang w:val="en-US"/>
        </w:rPr>
        <w:t>Summary and Outcome</w:t>
      </w:r>
      <w:r w:rsidRPr="007466E0">
        <w:rPr>
          <w:rFonts w:ascii="Garamond" w:hAnsi="Garamond"/>
          <w:sz w:val="22"/>
          <w:szCs w:val="22"/>
          <w:lang w:val="en-US"/>
        </w:rPr>
        <w:t>:</w:t>
      </w:r>
      <w:r w:rsidR="00734616" w:rsidRPr="007466E0">
        <w:rPr>
          <w:rFonts w:ascii="Garamond" w:hAnsi="Garamond"/>
          <w:sz w:val="22"/>
          <w:szCs w:val="22"/>
          <w:lang w:val="en-US"/>
        </w:rPr>
        <w:t xml:space="preserve"> </w:t>
      </w:r>
    </w:p>
    <w:p w14:paraId="5BA7FEA0" w14:textId="77777777" w:rsidR="000850BD" w:rsidRPr="007466E0" w:rsidRDefault="000850BD" w:rsidP="0053049D">
      <w:pPr>
        <w:spacing w:line="276" w:lineRule="auto"/>
        <w:jc w:val="both"/>
        <w:rPr>
          <w:rFonts w:ascii="Garamond" w:hAnsi="Garamond"/>
          <w:sz w:val="22"/>
          <w:szCs w:val="22"/>
          <w:lang w:val="en-US"/>
        </w:rPr>
      </w:pPr>
    </w:p>
    <w:p w14:paraId="2C6F84F1" w14:textId="17209FB6" w:rsidR="00377A05" w:rsidRDefault="00D11CB1" w:rsidP="00950CFC">
      <w:pPr>
        <w:spacing w:line="276" w:lineRule="auto"/>
        <w:jc w:val="both"/>
        <w:rPr>
          <w:rFonts w:ascii="Garamond" w:hAnsi="Garamond"/>
          <w:sz w:val="22"/>
          <w:szCs w:val="22"/>
        </w:rPr>
      </w:pPr>
      <w:r w:rsidRPr="00D11CB1">
        <w:rPr>
          <w:rFonts w:ascii="Garamond" w:hAnsi="Garamond"/>
          <w:sz w:val="22"/>
          <w:szCs w:val="22"/>
        </w:rPr>
        <w:t>The European Court of Human Rights ruled that Portugal violated a journalist's right to freedom of expression.</w:t>
      </w:r>
      <w:r>
        <w:rPr>
          <w:rFonts w:ascii="Garamond" w:hAnsi="Garamond"/>
          <w:sz w:val="22"/>
          <w:szCs w:val="22"/>
        </w:rPr>
        <w:t xml:space="preserve"> </w:t>
      </w:r>
      <w:r w:rsidRPr="00D11CB1">
        <w:rPr>
          <w:rFonts w:ascii="Garamond" w:hAnsi="Garamond"/>
          <w:sz w:val="22"/>
          <w:szCs w:val="22"/>
        </w:rPr>
        <w:t>The decision came after domestic courts criminally and civilly convicted her for broadcasting, without authorization, images and sound from a hearing by the Central Criminal Department for Investigation and Prosecution of a former Minister of Internal Affairs in a highly mediatised criminal investigation.</w:t>
      </w:r>
      <w:r>
        <w:rPr>
          <w:rFonts w:ascii="Garamond" w:hAnsi="Garamond"/>
          <w:sz w:val="22"/>
          <w:szCs w:val="22"/>
        </w:rPr>
        <w:t xml:space="preserve"> </w:t>
      </w:r>
      <w:r w:rsidR="00D13A67" w:rsidRPr="00D13A67">
        <w:rPr>
          <w:rFonts w:ascii="Garamond" w:hAnsi="Garamond"/>
          <w:sz w:val="22"/>
          <w:szCs w:val="22"/>
        </w:rPr>
        <w:t xml:space="preserve">The Criminal Court of Lisbon fined the journalist for disobedience and ordered her to pay compensation, a decision upheld by the Lisbon Court of Appeal and the Supreme Court of Portugal. In the civil proceedings, the District Court of Lisbon absolved the journalist and held only the TV broadcaster liable for compensation. However, the Lisbon Court of Appeal ruled that she should also be held responsible for non-pecuniary damage, a decision later confirmed by the Supreme Court of Justice. </w:t>
      </w:r>
      <w:r w:rsidR="002C1611" w:rsidRPr="002C1611">
        <w:rPr>
          <w:rFonts w:ascii="Garamond" w:hAnsi="Garamond"/>
          <w:sz w:val="22"/>
          <w:szCs w:val="22"/>
        </w:rPr>
        <w:t>The ECtHR found that the Portuguese Courts failed to properly balance the journalist’s right to freedom of expression and the then Minister's right to privacy and the presumption of innocence. It also considered that the sanctions were disproportionate and unjustified in a democratic society, noting the public interest in the matters discussed in the broadcast.</w:t>
      </w:r>
    </w:p>
    <w:p w14:paraId="217B68AA" w14:textId="77777777" w:rsidR="002C1611" w:rsidRPr="002C1611" w:rsidRDefault="002C1611" w:rsidP="00950CFC">
      <w:pPr>
        <w:spacing w:line="276" w:lineRule="auto"/>
        <w:jc w:val="both"/>
        <w:rPr>
          <w:rFonts w:ascii="Garamond" w:hAnsi="Garamond"/>
          <w:i/>
          <w:iCs/>
          <w:sz w:val="22"/>
          <w:szCs w:val="22"/>
          <w:lang w:val="en-US"/>
        </w:rPr>
      </w:pPr>
    </w:p>
    <w:p w14:paraId="07561819" w14:textId="1C35D7AA" w:rsidR="00F84F1C" w:rsidRPr="002C1611" w:rsidRDefault="00F84F1C" w:rsidP="00950CFC">
      <w:pPr>
        <w:spacing w:line="276" w:lineRule="auto"/>
        <w:jc w:val="both"/>
        <w:rPr>
          <w:rFonts w:ascii="Garamond" w:hAnsi="Garamond"/>
          <w:i/>
          <w:iCs/>
          <w:sz w:val="22"/>
          <w:szCs w:val="22"/>
          <w:lang w:val="en-US"/>
        </w:rPr>
      </w:pPr>
      <w:r w:rsidRPr="002C1611">
        <w:rPr>
          <w:rFonts w:ascii="Garamond" w:hAnsi="Garamond"/>
          <w:i/>
          <w:iCs/>
          <w:sz w:val="22"/>
          <w:szCs w:val="22"/>
          <w:lang w:val="en-US"/>
        </w:rPr>
        <w:t>Columbia Global Freedom of Expression notes that some of the information contained in this report was derived from secondary sources.</w:t>
      </w:r>
    </w:p>
    <w:p w14:paraId="75C1E801" w14:textId="77777777" w:rsidR="00F84F1C" w:rsidRPr="00950CFC" w:rsidRDefault="00F84F1C" w:rsidP="00950CFC">
      <w:pPr>
        <w:spacing w:line="276" w:lineRule="auto"/>
        <w:jc w:val="both"/>
        <w:rPr>
          <w:rFonts w:ascii="Garamond" w:hAnsi="Garamond"/>
          <w:sz w:val="22"/>
          <w:szCs w:val="22"/>
          <w:lang w:val="en-US"/>
        </w:rPr>
      </w:pPr>
    </w:p>
    <w:p w14:paraId="678B3913" w14:textId="1B4BA228" w:rsidR="00347E91" w:rsidRPr="007466E0" w:rsidRDefault="00BB2804" w:rsidP="0053049D">
      <w:pPr>
        <w:pStyle w:val="PargrafodaLista"/>
        <w:numPr>
          <w:ilvl w:val="0"/>
          <w:numId w:val="10"/>
        </w:numPr>
        <w:spacing w:line="276" w:lineRule="auto"/>
        <w:jc w:val="both"/>
        <w:rPr>
          <w:rFonts w:ascii="Garamond" w:hAnsi="Garamond"/>
          <w:sz w:val="22"/>
          <w:szCs w:val="22"/>
          <w:lang w:val="en-US"/>
        </w:rPr>
      </w:pPr>
      <w:r w:rsidRPr="007466E0">
        <w:rPr>
          <w:rFonts w:ascii="Garamond" w:hAnsi="Garamond"/>
          <w:b/>
          <w:bCs/>
          <w:sz w:val="22"/>
          <w:szCs w:val="22"/>
          <w:lang w:val="en-US"/>
        </w:rPr>
        <w:t>Facts</w:t>
      </w:r>
      <w:r w:rsidRPr="007466E0">
        <w:rPr>
          <w:rFonts w:ascii="Garamond" w:hAnsi="Garamond"/>
          <w:sz w:val="22"/>
          <w:szCs w:val="22"/>
          <w:lang w:val="en-US"/>
        </w:rPr>
        <w:t>:</w:t>
      </w:r>
      <w:r w:rsidR="00734616" w:rsidRPr="007466E0">
        <w:rPr>
          <w:rFonts w:ascii="Garamond" w:hAnsi="Garamond"/>
          <w:sz w:val="22"/>
          <w:szCs w:val="22"/>
          <w:lang w:val="en-US"/>
        </w:rPr>
        <w:t xml:space="preserve"> </w:t>
      </w:r>
    </w:p>
    <w:p w14:paraId="5697AF5E" w14:textId="77777777" w:rsidR="00505C6F" w:rsidRPr="007466E0" w:rsidRDefault="00505C6F" w:rsidP="0053049D">
      <w:pPr>
        <w:spacing w:line="276" w:lineRule="auto"/>
        <w:jc w:val="both"/>
        <w:rPr>
          <w:rFonts w:ascii="Garamond" w:hAnsi="Garamond"/>
          <w:sz w:val="22"/>
          <w:szCs w:val="22"/>
          <w:lang w:val="en-US"/>
        </w:rPr>
      </w:pPr>
    </w:p>
    <w:p w14:paraId="4BCF5AF1" w14:textId="16D58B8C" w:rsidR="000E5211" w:rsidRPr="00653318" w:rsidRDefault="009F55B8" w:rsidP="000E5211">
      <w:pPr>
        <w:spacing w:line="276" w:lineRule="auto"/>
        <w:jc w:val="both"/>
        <w:rPr>
          <w:rFonts w:ascii="Garamond" w:hAnsi="Garamond" w:cs="Open Sans"/>
          <w:color w:val="212529"/>
          <w:sz w:val="22"/>
          <w:szCs w:val="22"/>
          <w:shd w:val="clear" w:color="auto" w:fill="FFFFFF"/>
          <w:lang w:val="en-US"/>
        </w:rPr>
      </w:pPr>
      <w:r w:rsidRPr="009F55B8">
        <w:rPr>
          <w:rFonts w:ascii="Garamond" w:hAnsi="Garamond" w:cs="Open Sans"/>
          <w:color w:val="212529"/>
          <w:sz w:val="22"/>
          <w:szCs w:val="22"/>
          <w:shd w:val="clear" w:color="auto" w:fill="FFFFFF"/>
        </w:rPr>
        <w:t xml:space="preserve">On November 29, 2015, Tania Alexandra Ferreira e Castro da Costa Laranjo, a journalist for </w:t>
      </w:r>
      <w:r w:rsidR="00F84F1C">
        <w:rPr>
          <w:rFonts w:ascii="Garamond" w:hAnsi="Garamond" w:cs="Open Sans"/>
          <w:color w:val="212529"/>
          <w:sz w:val="22"/>
          <w:szCs w:val="22"/>
          <w:shd w:val="clear" w:color="auto" w:fill="FFFFFF"/>
        </w:rPr>
        <w:t>“</w:t>
      </w:r>
      <w:proofErr w:type="spellStart"/>
      <w:r w:rsidRPr="009F55B8">
        <w:rPr>
          <w:rFonts w:ascii="Garamond" w:hAnsi="Garamond" w:cs="Open Sans"/>
          <w:color w:val="212529"/>
          <w:sz w:val="22"/>
          <w:szCs w:val="22"/>
          <w:shd w:val="clear" w:color="auto" w:fill="FFFFFF"/>
        </w:rPr>
        <w:t>Correio</w:t>
      </w:r>
      <w:proofErr w:type="spellEnd"/>
      <w:r w:rsidRPr="009F55B8">
        <w:rPr>
          <w:rFonts w:ascii="Garamond" w:hAnsi="Garamond" w:cs="Open Sans"/>
          <w:color w:val="212529"/>
          <w:sz w:val="22"/>
          <w:szCs w:val="22"/>
          <w:shd w:val="clear" w:color="auto" w:fill="FFFFFF"/>
        </w:rPr>
        <w:t xml:space="preserve"> da Manhã TV</w:t>
      </w:r>
      <w:r w:rsidR="00F84F1C">
        <w:rPr>
          <w:rFonts w:ascii="Garamond" w:hAnsi="Garamond" w:cs="Open Sans"/>
          <w:color w:val="212529"/>
          <w:sz w:val="22"/>
          <w:szCs w:val="22"/>
          <w:shd w:val="clear" w:color="auto" w:fill="FFFFFF"/>
        </w:rPr>
        <w:t>”</w:t>
      </w:r>
      <w:r w:rsidRPr="009F55B8">
        <w:rPr>
          <w:rFonts w:ascii="Garamond" w:hAnsi="Garamond" w:cs="Open Sans"/>
          <w:color w:val="212529"/>
          <w:sz w:val="22"/>
          <w:szCs w:val="22"/>
          <w:shd w:val="clear" w:color="auto" w:fill="FFFFFF"/>
        </w:rPr>
        <w:t xml:space="preserve"> (CMTV), aired a report with audio and images from a hearing by Portugal’s Central Department of Criminal Investigation and Prosecution. </w:t>
      </w:r>
      <w:r w:rsidR="00F84F1C">
        <w:rPr>
          <w:rFonts w:ascii="Garamond" w:hAnsi="Garamond" w:cs="Open Sans"/>
          <w:color w:val="212529"/>
          <w:sz w:val="22"/>
          <w:szCs w:val="22"/>
          <w:shd w:val="clear" w:color="auto" w:fill="FFFFFF"/>
        </w:rPr>
        <w:t>[</w:t>
      </w:r>
      <w:r w:rsidR="00F84F1C" w:rsidRPr="00F84F1C">
        <w:rPr>
          <w:rFonts w:ascii="Garamond" w:hAnsi="Garamond" w:cs="Open Sans"/>
          <w:color w:val="212529"/>
          <w:sz w:val="22"/>
          <w:szCs w:val="22"/>
          <w:highlight w:val="yellow"/>
          <w:shd w:val="clear" w:color="auto" w:fill="FFFFFF"/>
        </w:rPr>
        <w:t xml:space="preserve">Note to the editor: I tried to find news about the fact, but it seems that after the lawsuits, the newspaper removed the reports. I did find a </w:t>
      </w:r>
      <w:r w:rsidR="00F84F1C">
        <w:rPr>
          <w:rFonts w:ascii="Garamond" w:hAnsi="Garamond" w:cs="Open Sans"/>
          <w:color w:val="212529"/>
          <w:sz w:val="22"/>
          <w:szCs w:val="22"/>
          <w:highlight w:val="yellow"/>
          <w:shd w:val="clear" w:color="auto" w:fill="FFFFFF"/>
        </w:rPr>
        <w:t xml:space="preserve">secondary </w:t>
      </w:r>
      <w:r w:rsidR="00F84F1C" w:rsidRPr="00F84F1C">
        <w:rPr>
          <w:rFonts w:ascii="Garamond" w:hAnsi="Garamond" w:cs="Open Sans"/>
          <w:color w:val="212529"/>
          <w:sz w:val="22"/>
          <w:szCs w:val="22"/>
          <w:highlight w:val="yellow"/>
          <w:shd w:val="clear" w:color="auto" w:fill="FFFFFF"/>
        </w:rPr>
        <w:t xml:space="preserve">source </w:t>
      </w:r>
      <w:r w:rsidR="00F84F1C">
        <w:rPr>
          <w:rFonts w:ascii="Garamond" w:hAnsi="Garamond" w:cs="Open Sans"/>
          <w:color w:val="212529"/>
          <w:sz w:val="22"/>
          <w:szCs w:val="22"/>
          <w:highlight w:val="yellow"/>
          <w:shd w:val="clear" w:color="auto" w:fill="FFFFFF"/>
        </w:rPr>
        <w:t xml:space="preserve">— </w:t>
      </w:r>
      <w:hyperlink r:id="rId5" w:history="1">
        <w:r w:rsidR="00F84F1C" w:rsidRPr="00AF0905">
          <w:rPr>
            <w:rStyle w:val="Hyperlink"/>
            <w:rFonts w:ascii="Garamond" w:hAnsi="Garamond" w:cs="Open Sans"/>
            <w:sz w:val="22"/>
            <w:szCs w:val="22"/>
            <w:highlight w:val="yellow"/>
            <w:shd w:val="clear" w:color="auto" w:fill="FFFFFF"/>
          </w:rPr>
          <w:t>https://ionline.sapo.pt/2015/11/29/macedo-informou-advogado-sobre-imagens-do-interrogatorio-na-cmtv/</w:t>
        </w:r>
      </w:hyperlink>
      <w:r w:rsidR="00F84F1C">
        <w:rPr>
          <w:rFonts w:ascii="Garamond" w:hAnsi="Garamond" w:cs="Open Sans"/>
          <w:color w:val="212529"/>
          <w:sz w:val="22"/>
          <w:szCs w:val="22"/>
          <w:highlight w:val="yellow"/>
          <w:shd w:val="clear" w:color="auto" w:fill="FFFFFF"/>
        </w:rPr>
        <w:t xml:space="preserve"> —,</w:t>
      </w:r>
      <w:r w:rsidR="00F84F1C" w:rsidRPr="00F84F1C">
        <w:rPr>
          <w:rFonts w:ascii="Garamond" w:hAnsi="Garamond" w:cs="Open Sans"/>
          <w:color w:val="212529"/>
          <w:sz w:val="22"/>
          <w:szCs w:val="22"/>
          <w:highlight w:val="yellow"/>
          <w:shd w:val="clear" w:color="auto" w:fill="FFFFFF"/>
        </w:rPr>
        <w:t xml:space="preserve"> as it mentions what </w:t>
      </w:r>
      <w:r w:rsidR="00682B1E">
        <w:rPr>
          <w:rFonts w:ascii="Garamond" w:hAnsi="Garamond" w:cs="Open Sans"/>
          <w:color w:val="212529"/>
          <w:sz w:val="22"/>
          <w:szCs w:val="22"/>
          <w:highlight w:val="yellow"/>
          <w:shd w:val="clear" w:color="auto" w:fill="FFFFFF"/>
        </w:rPr>
        <w:t xml:space="preserve">the former Minister, </w:t>
      </w:r>
      <w:r w:rsidR="00F84F1C" w:rsidRPr="00F84F1C">
        <w:rPr>
          <w:rFonts w:ascii="Garamond" w:hAnsi="Garamond" w:cs="Open Sans"/>
          <w:color w:val="212529"/>
          <w:sz w:val="22"/>
          <w:szCs w:val="22"/>
          <w:highlight w:val="yellow"/>
          <w:shd w:val="clear" w:color="auto" w:fill="FFFFFF"/>
        </w:rPr>
        <w:t>Macedo</w:t>
      </w:r>
      <w:r w:rsidR="00682B1E">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allegedly told </w:t>
      </w:r>
      <w:r w:rsidR="00F84F1C">
        <w:rPr>
          <w:rFonts w:ascii="Garamond" w:hAnsi="Garamond" w:cs="Open Sans"/>
          <w:color w:val="212529"/>
          <w:sz w:val="22"/>
          <w:szCs w:val="22"/>
          <w:highlight w:val="yellow"/>
          <w:shd w:val="clear" w:color="auto" w:fill="FFFFFF"/>
        </w:rPr>
        <w:t>“</w:t>
      </w:r>
      <w:proofErr w:type="spellStart"/>
      <w:r w:rsidR="00F84F1C" w:rsidRPr="00F84F1C">
        <w:rPr>
          <w:rFonts w:ascii="Garamond" w:hAnsi="Garamond" w:cs="Open Sans"/>
          <w:color w:val="212529"/>
          <w:sz w:val="22"/>
          <w:szCs w:val="22"/>
          <w:highlight w:val="yellow"/>
          <w:shd w:val="clear" w:color="auto" w:fill="FFFFFF"/>
        </w:rPr>
        <w:t>Agência</w:t>
      </w:r>
      <w:proofErr w:type="spellEnd"/>
      <w:r w:rsidR="00F84F1C" w:rsidRPr="00F84F1C">
        <w:rPr>
          <w:rFonts w:ascii="Garamond" w:hAnsi="Garamond" w:cs="Open Sans"/>
          <w:color w:val="212529"/>
          <w:sz w:val="22"/>
          <w:szCs w:val="22"/>
          <w:highlight w:val="yellow"/>
          <w:shd w:val="clear" w:color="auto" w:fill="FFFFFF"/>
        </w:rPr>
        <w:t xml:space="preserve"> Lusa</w:t>
      </w:r>
      <w:r w:rsidR="00F84F1C">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but when I searched for the direct source from </w:t>
      </w:r>
      <w:proofErr w:type="spellStart"/>
      <w:r w:rsidR="00F84F1C" w:rsidRPr="00F84F1C">
        <w:rPr>
          <w:rFonts w:ascii="Garamond" w:hAnsi="Garamond" w:cs="Open Sans"/>
          <w:color w:val="212529"/>
          <w:sz w:val="22"/>
          <w:szCs w:val="22"/>
          <w:highlight w:val="yellow"/>
          <w:shd w:val="clear" w:color="auto" w:fill="FFFFFF"/>
        </w:rPr>
        <w:t>Agência</w:t>
      </w:r>
      <w:proofErr w:type="spellEnd"/>
      <w:r w:rsidR="00F84F1C" w:rsidRPr="00F84F1C">
        <w:rPr>
          <w:rFonts w:ascii="Garamond" w:hAnsi="Garamond" w:cs="Open Sans"/>
          <w:color w:val="212529"/>
          <w:sz w:val="22"/>
          <w:szCs w:val="22"/>
          <w:highlight w:val="yellow"/>
          <w:shd w:val="clear" w:color="auto" w:fill="FFFFFF"/>
        </w:rPr>
        <w:t xml:space="preserve"> Lusa, I also found nothing</w:t>
      </w:r>
      <w:r w:rsidR="00F84F1C">
        <w:rPr>
          <w:rFonts w:ascii="Garamond" w:hAnsi="Garamond" w:cs="Open Sans"/>
          <w:color w:val="212529"/>
          <w:sz w:val="22"/>
          <w:szCs w:val="22"/>
          <w:shd w:val="clear" w:color="auto" w:fill="FFFFFF"/>
        </w:rPr>
        <w:t>.</w:t>
      </w:r>
      <w:r w:rsidR="00F84F1C" w:rsidRPr="00F84F1C">
        <w:rPr>
          <w:rFonts w:ascii="Garamond" w:hAnsi="Garamond" w:cs="Open Sans"/>
          <w:color w:val="212529"/>
          <w:sz w:val="22"/>
          <w:szCs w:val="22"/>
          <w:shd w:val="clear" w:color="auto" w:fill="FFFFFF"/>
        </w:rPr>
        <w:t xml:space="preserve"> </w:t>
      </w:r>
      <w:r w:rsidR="00F84F1C" w:rsidRPr="00F84F1C">
        <w:rPr>
          <w:rFonts w:ascii="Garamond" w:hAnsi="Garamond" w:cs="Open Sans"/>
          <w:color w:val="212529"/>
          <w:sz w:val="22"/>
          <w:szCs w:val="22"/>
          <w:highlight w:val="yellow"/>
          <w:shd w:val="clear" w:color="auto" w:fill="FFFFFF"/>
        </w:rPr>
        <w:t>So</w:t>
      </w:r>
      <w:r w:rsidR="00F84F1C">
        <w:rPr>
          <w:rFonts w:ascii="Garamond" w:hAnsi="Garamond" w:cs="Open Sans"/>
          <w:color w:val="212529"/>
          <w:sz w:val="22"/>
          <w:szCs w:val="22"/>
          <w:highlight w:val="yellow"/>
          <w:shd w:val="clear" w:color="auto" w:fill="FFFFFF"/>
        </w:rPr>
        <w:t>,</w:t>
      </w:r>
      <w:r w:rsidR="00F84F1C" w:rsidRPr="00F84F1C">
        <w:rPr>
          <w:rFonts w:ascii="Garamond" w:hAnsi="Garamond" w:cs="Open Sans"/>
          <w:color w:val="212529"/>
          <w:sz w:val="22"/>
          <w:szCs w:val="22"/>
          <w:highlight w:val="yellow"/>
          <w:shd w:val="clear" w:color="auto" w:fill="FFFFFF"/>
        </w:rPr>
        <w:t xml:space="preserve"> the information I used here was extracted from the European Court's report.]</w:t>
      </w:r>
      <w:r w:rsidR="00F84F1C">
        <w:rPr>
          <w:rFonts w:ascii="Garamond" w:hAnsi="Garamond" w:cs="Open Sans"/>
          <w:color w:val="212529"/>
          <w:sz w:val="22"/>
          <w:szCs w:val="22"/>
          <w:shd w:val="clear" w:color="auto" w:fill="FFFFFF"/>
        </w:rPr>
        <w:t xml:space="preserve"> </w:t>
      </w:r>
      <w:r w:rsidRPr="009F55B8">
        <w:rPr>
          <w:rFonts w:ascii="Garamond" w:hAnsi="Garamond" w:cs="Open Sans"/>
          <w:color w:val="212529"/>
          <w:sz w:val="22"/>
          <w:szCs w:val="22"/>
          <w:shd w:val="clear" w:color="auto" w:fill="FFFFFF"/>
        </w:rPr>
        <w:t xml:space="preserve">The hearing involved </w:t>
      </w:r>
      <w:r w:rsidR="00F84F1C">
        <w:rPr>
          <w:rFonts w:ascii="Garamond" w:hAnsi="Garamond" w:cs="Open Sans"/>
          <w:color w:val="212529"/>
          <w:sz w:val="22"/>
          <w:szCs w:val="22"/>
          <w:shd w:val="clear" w:color="auto" w:fill="FFFFFF"/>
        </w:rPr>
        <w:t>Miguel Macedo [</w:t>
      </w:r>
      <w:r w:rsidR="00F84F1C" w:rsidRPr="00F84F1C">
        <w:rPr>
          <w:rFonts w:ascii="Garamond" w:hAnsi="Garamond" w:cs="Open Sans"/>
          <w:color w:val="212529"/>
          <w:sz w:val="22"/>
          <w:szCs w:val="22"/>
          <w:highlight w:val="yellow"/>
          <w:shd w:val="clear" w:color="auto" w:fill="FFFFFF"/>
          <w:lang w:val="en-US"/>
        </w:rPr>
        <w:t>The Court uses only "M.M", but since this is my first analysis of an International Court, I</w:t>
      </w:r>
      <w:r w:rsidR="00F84F1C">
        <w:rPr>
          <w:rFonts w:ascii="Garamond" w:hAnsi="Garamond" w:cs="Open Sans"/>
          <w:color w:val="212529"/>
          <w:sz w:val="22"/>
          <w:szCs w:val="22"/>
          <w:highlight w:val="yellow"/>
          <w:shd w:val="clear" w:color="auto" w:fill="FFFFFF"/>
          <w:lang w:val="en-US"/>
        </w:rPr>
        <w:t xml:space="preserve">’m not sure </w:t>
      </w:r>
      <w:r w:rsidR="00F84F1C" w:rsidRPr="00F84F1C">
        <w:rPr>
          <w:rFonts w:ascii="Garamond" w:hAnsi="Garamond" w:cs="Open Sans"/>
          <w:color w:val="212529"/>
          <w:sz w:val="22"/>
          <w:szCs w:val="22"/>
          <w:highlight w:val="yellow"/>
          <w:shd w:val="clear" w:color="auto" w:fill="FFFFFF"/>
          <w:lang w:val="en-US"/>
        </w:rPr>
        <w:t>if this is the standard practice or if we should refer to it this way as well</w:t>
      </w:r>
      <w:r w:rsidR="00F84F1C">
        <w:rPr>
          <w:rFonts w:ascii="Garamond" w:hAnsi="Garamond" w:cs="Open Sans"/>
          <w:color w:val="212529"/>
          <w:sz w:val="22"/>
          <w:szCs w:val="22"/>
          <w:shd w:val="clear" w:color="auto" w:fill="FFFFFF"/>
          <w:lang w:val="en-US"/>
        </w:rPr>
        <w:t>]</w:t>
      </w:r>
      <w:r w:rsidR="00F84F1C">
        <w:rPr>
          <w:rFonts w:ascii="Garamond" w:hAnsi="Garamond" w:cs="Open Sans"/>
          <w:color w:val="212529"/>
          <w:sz w:val="22"/>
          <w:szCs w:val="22"/>
          <w:shd w:val="clear" w:color="auto" w:fill="FFFFFF"/>
        </w:rPr>
        <w:t>,</w:t>
      </w:r>
      <w:r w:rsidRPr="009F55B8">
        <w:rPr>
          <w:rFonts w:ascii="Garamond" w:hAnsi="Garamond" w:cs="Open Sans"/>
          <w:color w:val="212529"/>
          <w:sz w:val="22"/>
          <w:szCs w:val="22"/>
          <w:shd w:val="clear" w:color="auto" w:fill="FFFFFF"/>
        </w:rPr>
        <w:t xml:space="preserve"> who was being investigated for corruption and abuse of power related to “golden visas” during his time as a government minister. </w:t>
      </w:r>
      <w:r w:rsidR="003D3DD5" w:rsidRPr="003D3DD5">
        <w:rPr>
          <w:rFonts w:ascii="Garamond" w:hAnsi="Garamond" w:cs="Open Sans"/>
          <w:color w:val="212529"/>
          <w:sz w:val="22"/>
          <w:szCs w:val="22"/>
          <w:shd w:val="clear" w:color="auto" w:fill="FFFFFF"/>
        </w:rPr>
        <w:t>According to the European Court of Human Rights decision report, Ferreira e Castro da Costa Laranjo would have obtained the recording from another journalist who had access to it as part of the investigation.</w:t>
      </w:r>
      <w:r w:rsidR="000E5211">
        <w:rPr>
          <w:rFonts w:ascii="Garamond" w:hAnsi="Garamond" w:cs="Open Sans"/>
          <w:color w:val="212529"/>
          <w:sz w:val="22"/>
          <w:szCs w:val="22"/>
          <w:shd w:val="clear" w:color="auto" w:fill="FFFFFF"/>
        </w:rPr>
        <w:t xml:space="preserve"> [</w:t>
      </w:r>
      <w:r w:rsidR="00682B1E">
        <w:rPr>
          <w:rFonts w:ascii="Garamond" w:hAnsi="Garamond" w:cs="Open Sans"/>
          <w:color w:val="212529"/>
          <w:sz w:val="22"/>
          <w:szCs w:val="22"/>
          <w:shd w:val="clear" w:color="auto" w:fill="FFFFFF"/>
          <w:lang w:val="en-US"/>
        </w:rPr>
        <w:t>§</w:t>
      </w:r>
      <w:r w:rsidR="000E5211" w:rsidRPr="00653318">
        <w:rPr>
          <w:rFonts w:ascii="Garamond" w:hAnsi="Garamond" w:cs="Open Sans"/>
          <w:color w:val="212529"/>
          <w:sz w:val="22"/>
          <w:szCs w:val="22"/>
          <w:shd w:val="clear" w:color="auto" w:fill="FFFFFF"/>
          <w:lang w:val="en-US"/>
        </w:rPr>
        <w:t xml:space="preserve"> 2 of the ECtHR report]</w:t>
      </w:r>
    </w:p>
    <w:p w14:paraId="51C9AAAA" w14:textId="6CE0BA52" w:rsidR="009F55B8" w:rsidRDefault="009F55B8" w:rsidP="00950CFC">
      <w:pPr>
        <w:spacing w:line="276" w:lineRule="auto"/>
        <w:jc w:val="both"/>
        <w:rPr>
          <w:rFonts w:ascii="Garamond" w:hAnsi="Garamond" w:cs="Open Sans"/>
          <w:color w:val="212529"/>
          <w:sz w:val="22"/>
          <w:szCs w:val="22"/>
          <w:shd w:val="clear" w:color="auto" w:fill="FFFFFF"/>
        </w:rPr>
      </w:pPr>
    </w:p>
    <w:p w14:paraId="64ADC77E" w14:textId="77777777" w:rsidR="003D3DD5" w:rsidRDefault="003D3DD5" w:rsidP="00950CFC">
      <w:pPr>
        <w:spacing w:line="276" w:lineRule="auto"/>
        <w:jc w:val="both"/>
        <w:rPr>
          <w:rFonts w:ascii="Garamond" w:hAnsi="Garamond" w:cs="Open Sans"/>
          <w:color w:val="212529"/>
          <w:sz w:val="22"/>
          <w:szCs w:val="22"/>
          <w:shd w:val="clear" w:color="auto" w:fill="FFFFFF"/>
          <w:lang w:val="en-US"/>
        </w:rPr>
      </w:pPr>
    </w:p>
    <w:p w14:paraId="526EFCAD" w14:textId="77777777" w:rsidR="000E5211" w:rsidRDefault="000E5211" w:rsidP="00950CFC">
      <w:pPr>
        <w:spacing w:line="276" w:lineRule="auto"/>
        <w:jc w:val="both"/>
        <w:rPr>
          <w:rFonts w:ascii="Garamond" w:hAnsi="Garamond" w:cs="Open Sans"/>
          <w:color w:val="212529"/>
          <w:sz w:val="22"/>
          <w:szCs w:val="22"/>
          <w:shd w:val="clear" w:color="auto" w:fill="FFFFFF"/>
          <w:lang w:val="en-US"/>
        </w:rPr>
      </w:pPr>
    </w:p>
    <w:p w14:paraId="5451F5A6" w14:textId="1261BAA2" w:rsidR="000C5F84" w:rsidRDefault="00C657FE" w:rsidP="00950CFC">
      <w:pPr>
        <w:spacing w:line="276" w:lineRule="auto"/>
        <w:jc w:val="both"/>
        <w:rPr>
          <w:rFonts w:ascii="Garamond" w:hAnsi="Garamond" w:cs="Open Sans"/>
          <w:color w:val="212529"/>
          <w:sz w:val="22"/>
          <w:szCs w:val="22"/>
          <w:shd w:val="clear" w:color="auto" w:fill="FFFFFF"/>
          <w:lang w:val="en-US"/>
        </w:rPr>
      </w:pPr>
      <w:r w:rsidRPr="00C657FE">
        <w:rPr>
          <w:rFonts w:ascii="Garamond" w:hAnsi="Garamond" w:cs="Open Sans"/>
          <w:color w:val="212529"/>
          <w:sz w:val="22"/>
          <w:szCs w:val="22"/>
          <w:shd w:val="clear" w:color="auto" w:fill="FFFFFF"/>
        </w:rPr>
        <w:t xml:space="preserve">A criminal investigation was opened, and on September 3, 2019, the Criminal Court of Lisbon convicted Ferreira e Castro da Costa Laranjo for disobedience for broadcasting images and sound of the former minister's hearing without prior authorization. Ferreira e Castro da Costa Laranjo was sentenced to eighty day-fines, </w:t>
      </w:r>
      <w:proofErr w:type="spellStart"/>
      <w:r w:rsidRPr="00C657FE">
        <w:rPr>
          <w:rFonts w:ascii="Garamond" w:hAnsi="Garamond" w:cs="Open Sans"/>
          <w:color w:val="212529"/>
          <w:sz w:val="22"/>
          <w:szCs w:val="22"/>
          <w:shd w:val="clear" w:color="auto" w:fill="FFFFFF"/>
        </w:rPr>
        <w:t>totaling</w:t>
      </w:r>
      <w:proofErr w:type="spellEnd"/>
      <w:r w:rsidRPr="00C657FE">
        <w:rPr>
          <w:rFonts w:ascii="Garamond" w:hAnsi="Garamond" w:cs="Open Sans"/>
          <w:color w:val="212529"/>
          <w:sz w:val="22"/>
          <w:szCs w:val="22"/>
          <w:shd w:val="clear" w:color="auto" w:fill="FFFFFF"/>
        </w:rPr>
        <w:t xml:space="preserve"> 880 euros. </w:t>
      </w:r>
      <w:r w:rsidR="000E5211" w:rsidRPr="00C657FE">
        <w:rPr>
          <w:rFonts w:ascii="Garamond" w:hAnsi="Garamond" w:cs="Open Sans"/>
          <w:color w:val="212529"/>
          <w:sz w:val="22"/>
          <w:szCs w:val="22"/>
          <w:shd w:val="clear" w:color="auto" w:fill="FFFFFF"/>
        </w:rPr>
        <w:t>R</w:t>
      </w:r>
      <w:r w:rsidR="0080679A" w:rsidRPr="00C657FE">
        <w:rPr>
          <w:rFonts w:ascii="Garamond" w:hAnsi="Garamond" w:cs="Open Sans"/>
          <w:color w:val="212529"/>
          <w:sz w:val="22"/>
          <w:szCs w:val="22"/>
          <w:shd w:val="clear" w:color="auto" w:fill="FFFFFF"/>
        </w:rPr>
        <w:t xml:space="preserve">eferring to the </w:t>
      </w:r>
      <w:r w:rsidR="0080679A" w:rsidRPr="003B0156">
        <w:rPr>
          <w:rFonts w:ascii="Garamond" w:hAnsi="Garamond" w:cs="Open Sans"/>
          <w:i/>
          <w:iCs/>
          <w:sz w:val="22"/>
          <w:szCs w:val="22"/>
          <w:shd w:val="clear" w:color="auto" w:fill="FFFFFF"/>
        </w:rPr>
        <w:t>Pinto Coelho v. Portugal</w:t>
      </w:r>
      <w:r w:rsidRPr="00C657FE">
        <w:rPr>
          <w:rFonts w:ascii="Garamond" w:hAnsi="Garamond"/>
          <w:sz w:val="22"/>
          <w:szCs w:val="22"/>
        </w:rPr>
        <w:t xml:space="preserve"> </w:t>
      </w:r>
      <w:r w:rsidR="003B0156">
        <w:rPr>
          <w:rFonts w:ascii="Garamond" w:hAnsi="Garamond"/>
          <w:sz w:val="22"/>
          <w:szCs w:val="22"/>
        </w:rPr>
        <w:t xml:space="preserve">(2011) </w:t>
      </w:r>
      <w:r w:rsidRPr="00C657FE">
        <w:rPr>
          <w:rFonts w:ascii="Garamond" w:hAnsi="Garamond"/>
          <w:sz w:val="22"/>
          <w:szCs w:val="22"/>
        </w:rPr>
        <w:t>case</w:t>
      </w:r>
      <w:r w:rsidR="0064324C" w:rsidRPr="00C657FE">
        <w:rPr>
          <w:rFonts w:ascii="Garamond" w:hAnsi="Garamond" w:cs="Open Sans"/>
          <w:color w:val="212529"/>
          <w:sz w:val="22"/>
          <w:szCs w:val="22"/>
          <w:shd w:val="clear" w:color="auto" w:fill="FFFFFF"/>
        </w:rPr>
        <w:t>,</w:t>
      </w:r>
      <w:r w:rsidR="000E5211" w:rsidRPr="00C657FE">
        <w:rPr>
          <w:rFonts w:ascii="Garamond" w:hAnsi="Garamond" w:cs="Open Sans"/>
          <w:color w:val="212529"/>
          <w:sz w:val="22"/>
          <w:szCs w:val="22"/>
          <w:shd w:val="clear" w:color="auto" w:fill="FFFFFF"/>
        </w:rPr>
        <w:t xml:space="preserve"> the Court</w:t>
      </w:r>
      <w:r w:rsidR="0064324C" w:rsidRPr="00C657FE">
        <w:rPr>
          <w:rFonts w:ascii="Garamond" w:hAnsi="Garamond" w:cs="Open Sans"/>
          <w:color w:val="212529"/>
          <w:sz w:val="22"/>
          <w:szCs w:val="22"/>
          <w:shd w:val="clear" w:color="auto" w:fill="FFFFFF"/>
        </w:rPr>
        <w:t xml:space="preserve"> </w:t>
      </w:r>
      <w:r w:rsidR="0080679A" w:rsidRPr="00C657FE">
        <w:rPr>
          <w:rFonts w:ascii="Garamond" w:hAnsi="Garamond" w:cs="Open Sans"/>
          <w:color w:val="212529"/>
          <w:sz w:val="22"/>
          <w:szCs w:val="22"/>
          <w:shd w:val="clear" w:color="auto" w:fill="FFFFFF"/>
        </w:rPr>
        <w:t xml:space="preserve">held that the journalist's right to freedom of expression </w:t>
      </w:r>
      <w:r w:rsidRPr="00C657FE">
        <w:rPr>
          <w:rFonts w:ascii="Garamond" w:hAnsi="Garamond" w:cs="Open Sans"/>
          <w:color w:val="212529"/>
          <w:sz w:val="22"/>
          <w:szCs w:val="22"/>
          <w:shd w:val="clear" w:color="auto" w:fill="FFFFFF"/>
        </w:rPr>
        <w:t>needed</w:t>
      </w:r>
      <w:r w:rsidR="0080679A" w:rsidRPr="00C657FE">
        <w:rPr>
          <w:rFonts w:ascii="Garamond" w:hAnsi="Garamond" w:cs="Open Sans"/>
          <w:color w:val="212529"/>
          <w:sz w:val="22"/>
          <w:szCs w:val="22"/>
          <w:shd w:val="clear" w:color="auto" w:fill="FFFFFF"/>
        </w:rPr>
        <w:t xml:space="preserve"> to be balanced against </w:t>
      </w:r>
      <w:r w:rsidR="0064324C" w:rsidRPr="00C657FE">
        <w:rPr>
          <w:rFonts w:ascii="Garamond" w:hAnsi="Garamond" w:cs="Open Sans"/>
          <w:color w:val="212529"/>
          <w:sz w:val="22"/>
          <w:szCs w:val="22"/>
          <w:shd w:val="clear" w:color="auto" w:fill="FFFFFF"/>
        </w:rPr>
        <w:t>Macedo’s</w:t>
      </w:r>
      <w:r w:rsidR="0080679A" w:rsidRPr="00C657FE">
        <w:rPr>
          <w:rFonts w:ascii="Garamond" w:hAnsi="Garamond" w:cs="Open Sans"/>
          <w:color w:val="212529"/>
          <w:sz w:val="22"/>
          <w:szCs w:val="22"/>
          <w:shd w:val="clear" w:color="auto" w:fill="FFFFFF"/>
        </w:rPr>
        <w:t xml:space="preserve"> rights to privacy and the presumption of innocence, given that the criminal investigation was still ongoing at the time, as well as the general need for proper administration of justice. </w:t>
      </w:r>
      <w:r w:rsidR="00D13A67">
        <w:rPr>
          <w:rFonts w:ascii="Garamond" w:hAnsi="Garamond" w:cs="Open Sans"/>
          <w:color w:val="212529"/>
          <w:sz w:val="22"/>
          <w:szCs w:val="22"/>
          <w:shd w:val="clear" w:color="auto" w:fill="FFFFFF"/>
        </w:rPr>
        <w:t>Accordingly, t</w:t>
      </w:r>
      <w:r w:rsidRPr="00C657FE">
        <w:rPr>
          <w:rFonts w:ascii="Garamond" w:hAnsi="Garamond" w:cs="Open Sans"/>
          <w:color w:val="212529"/>
          <w:sz w:val="22"/>
          <w:szCs w:val="22"/>
          <w:shd w:val="clear" w:color="auto" w:fill="FFFFFF"/>
        </w:rPr>
        <w:t>he Criminal Court of Lisbon ruled that Macedo’s rights had to prevail.</w:t>
      </w:r>
      <w:r w:rsidR="000E5211" w:rsidRPr="00C657FE">
        <w:rPr>
          <w:rFonts w:ascii="Garamond" w:hAnsi="Garamond" w:cs="Open Sans"/>
          <w:color w:val="212529"/>
          <w:sz w:val="22"/>
          <w:szCs w:val="22"/>
          <w:shd w:val="clear" w:color="auto" w:fill="FFFFFF"/>
        </w:rPr>
        <w:t xml:space="preserve"> [</w:t>
      </w:r>
      <w:r w:rsidR="00682B1E" w:rsidRPr="00C657FE">
        <w:rPr>
          <w:rFonts w:ascii="Garamond" w:hAnsi="Garamond" w:cs="Open Sans"/>
          <w:color w:val="212529"/>
          <w:sz w:val="22"/>
          <w:szCs w:val="22"/>
          <w:shd w:val="clear" w:color="auto" w:fill="FFFFFF"/>
          <w:lang w:val="en-US"/>
        </w:rPr>
        <w:t xml:space="preserve">§§ </w:t>
      </w:r>
      <w:r w:rsidR="000E5211" w:rsidRPr="00C657FE">
        <w:rPr>
          <w:rFonts w:ascii="Garamond" w:hAnsi="Garamond" w:cs="Open Sans"/>
          <w:color w:val="212529"/>
          <w:sz w:val="22"/>
          <w:szCs w:val="22"/>
          <w:shd w:val="clear" w:color="auto" w:fill="FFFFFF"/>
          <w:lang w:val="en-US"/>
        </w:rPr>
        <w:t>3/4 of the ECtHR report]</w:t>
      </w:r>
      <w:r w:rsidR="000E5211" w:rsidRPr="00C657FE">
        <w:rPr>
          <w:rFonts w:ascii="Garamond" w:hAnsi="Garamond" w:cs="Open Sans"/>
          <w:color w:val="212529"/>
          <w:sz w:val="22"/>
          <w:szCs w:val="22"/>
          <w:shd w:val="clear" w:color="auto" w:fill="FFFFFF"/>
        </w:rPr>
        <w:t xml:space="preserve"> [</w:t>
      </w:r>
      <w:r w:rsidR="000E5211" w:rsidRPr="00C657FE">
        <w:rPr>
          <w:rFonts w:ascii="Garamond" w:hAnsi="Garamond" w:cs="Open Sans"/>
          <w:color w:val="212529"/>
          <w:sz w:val="22"/>
          <w:szCs w:val="22"/>
          <w:highlight w:val="yellow"/>
          <w:shd w:val="clear" w:color="auto" w:fill="FFFFFF"/>
          <w:lang w:val="en-US"/>
        </w:rPr>
        <w:t xml:space="preserve">I couldn't find this lower court decision on the Portuguese website (it's </w:t>
      </w:r>
      <w:r w:rsidR="001C3B97" w:rsidRPr="00C657FE">
        <w:rPr>
          <w:rFonts w:ascii="Garamond" w:hAnsi="Garamond" w:cs="Open Sans"/>
          <w:color w:val="212529"/>
          <w:sz w:val="22"/>
          <w:szCs w:val="22"/>
          <w:highlight w:val="yellow"/>
          <w:shd w:val="clear" w:color="auto" w:fill="FFFFFF"/>
          <w:lang w:val="en-US"/>
        </w:rPr>
        <w:t>confusing</w:t>
      </w:r>
      <w:r w:rsidR="000E5211" w:rsidRPr="00C657FE">
        <w:rPr>
          <w:rFonts w:ascii="Garamond" w:hAnsi="Garamond" w:cs="Open Sans"/>
          <w:color w:val="212529"/>
          <w:sz w:val="22"/>
          <w:szCs w:val="22"/>
          <w:highlight w:val="yellow"/>
          <w:shd w:val="clear" w:color="auto" w:fill="FFFFFF"/>
          <w:lang w:val="en-US"/>
        </w:rPr>
        <w:t>)</w:t>
      </w:r>
      <w:r w:rsidR="000E5211" w:rsidRPr="00C657FE">
        <w:rPr>
          <w:rFonts w:ascii="Garamond" w:hAnsi="Garamond" w:cs="Open Sans"/>
          <w:color w:val="212529"/>
          <w:sz w:val="22"/>
          <w:szCs w:val="22"/>
          <w:shd w:val="clear" w:color="auto" w:fill="FFFFFF"/>
          <w:lang w:val="en-US"/>
        </w:rPr>
        <w:t>]</w:t>
      </w:r>
      <w:r w:rsidR="00502694">
        <w:rPr>
          <w:rFonts w:ascii="Garamond" w:hAnsi="Garamond" w:cs="Open Sans"/>
          <w:color w:val="212529"/>
          <w:sz w:val="22"/>
          <w:szCs w:val="22"/>
          <w:shd w:val="clear" w:color="auto" w:fill="FFFFFF"/>
          <w:lang w:val="en-US"/>
        </w:rPr>
        <w:t xml:space="preserve"> </w:t>
      </w:r>
      <w:r w:rsidR="00A808BF" w:rsidRPr="00A808BF">
        <w:rPr>
          <w:rFonts w:ascii="Garamond" w:hAnsi="Garamond" w:cs="Open Sans"/>
          <w:color w:val="212529"/>
          <w:sz w:val="22"/>
          <w:szCs w:val="22"/>
          <w:shd w:val="clear" w:color="auto" w:fill="FFFFFF"/>
        </w:rPr>
        <w:t>On January 29, 2020, the Lisbon Court of Appeal (7995/15.8TDLSB.L1) upheld the lower court's decision. It noted that the journalist violated Portuguese law by failing to request authorization from the judicial authority or from Macedo before broadcasting the hearing and that she could have informed the public about the hearing without showing images and audio of it.</w:t>
      </w:r>
      <w:r w:rsidR="00CF0242">
        <w:rPr>
          <w:rFonts w:ascii="Garamond" w:hAnsi="Garamond" w:cs="Open Sans"/>
          <w:color w:val="212529"/>
          <w:sz w:val="22"/>
          <w:szCs w:val="22"/>
          <w:shd w:val="clear" w:color="auto" w:fill="FFFFFF"/>
          <w:lang w:val="en-US"/>
        </w:rPr>
        <w:t xml:space="preserve"> [§ </w:t>
      </w:r>
      <w:r w:rsidR="006345D3">
        <w:rPr>
          <w:rFonts w:ascii="Garamond" w:hAnsi="Garamond" w:cs="Open Sans"/>
          <w:color w:val="212529"/>
          <w:sz w:val="22"/>
          <w:szCs w:val="22"/>
          <w:shd w:val="clear" w:color="auto" w:fill="FFFFFF"/>
          <w:lang w:val="en-US"/>
        </w:rPr>
        <w:t xml:space="preserve">5 </w:t>
      </w:r>
      <w:r w:rsidR="006345D3" w:rsidRPr="000E5211">
        <w:rPr>
          <w:rFonts w:ascii="Garamond" w:hAnsi="Garamond" w:cs="Open Sans"/>
          <w:color w:val="212529"/>
          <w:sz w:val="22"/>
          <w:szCs w:val="22"/>
          <w:shd w:val="clear" w:color="auto" w:fill="FFFFFF"/>
          <w:lang w:val="en-US"/>
        </w:rPr>
        <w:t>of the ECtHR report</w:t>
      </w:r>
      <w:r w:rsidR="006345D3">
        <w:rPr>
          <w:rFonts w:ascii="Garamond" w:hAnsi="Garamond" w:cs="Open Sans"/>
          <w:color w:val="212529"/>
          <w:sz w:val="22"/>
          <w:szCs w:val="22"/>
          <w:shd w:val="clear" w:color="auto" w:fill="FFFFFF"/>
          <w:lang w:val="en-US"/>
        </w:rPr>
        <w:t>]</w:t>
      </w:r>
      <w:r w:rsidR="00CF0242">
        <w:rPr>
          <w:rFonts w:ascii="Garamond" w:hAnsi="Garamond" w:cs="Open Sans"/>
          <w:color w:val="212529"/>
          <w:sz w:val="22"/>
          <w:szCs w:val="22"/>
          <w:shd w:val="clear" w:color="auto" w:fill="FFFFFF"/>
        </w:rPr>
        <w:t xml:space="preserve"> [</w:t>
      </w:r>
      <w:r w:rsidR="00CF0242" w:rsidRPr="000E5211">
        <w:rPr>
          <w:rFonts w:ascii="Garamond" w:hAnsi="Garamond" w:cs="Open Sans"/>
          <w:color w:val="212529"/>
          <w:sz w:val="22"/>
          <w:szCs w:val="22"/>
          <w:highlight w:val="yellow"/>
          <w:shd w:val="clear" w:color="auto" w:fill="FFFFFF"/>
          <w:lang w:val="en-US"/>
        </w:rPr>
        <w:t>I couldn't find this decision on the Portuguese website</w:t>
      </w:r>
      <w:r w:rsidR="006345D3">
        <w:rPr>
          <w:rFonts w:ascii="Garamond" w:hAnsi="Garamond" w:cs="Open Sans"/>
          <w:color w:val="212529"/>
          <w:sz w:val="22"/>
          <w:szCs w:val="22"/>
          <w:shd w:val="clear" w:color="auto" w:fill="FFFFFF"/>
          <w:lang w:val="en-US"/>
        </w:rPr>
        <w:t>]</w:t>
      </w:r>
    </w:p>
    <w:p w14:paraId="14215AA8" w14:textId="77777777" w:rsidR="000C5F84" w:rsidRDefault="000C5F84" w:rsidP="00950CFC">
      <w:pPr>
        <w:spacing w:line="276" w:lineRule="auto"/>
        <w:jc w:val="both"/>
        <w:rPr>
          <w:rFonts w:ascii="Garamond" w:hAnsi="Garamond" w:cs="Open Sans"/>
          <w:color w:val="212529"/>
          <w:sz w:val="22"/>
          <w:szCs w:val="22"/>
          <w:shd w:val="clear" w:color="auto" w:fill="FFFFFF"/>
          <w:lang w:val="en-US"/>
        </w:rPr>
      </w:pPr>
    </w:p>
    <w:p w14:paraId="3896F702" w14:textId="3BAD6ED9" w:rsidR="000E5211" w:rsidRDefault="00A808BF" w:rsidP="00950CFC">
      <w:pPr>
        <w:spacing w:line="276" w:lineRule="auto"/>
        <w:jc w:val="both"/>
        <w:rPr>
          <w:rFonts w:ascii="Garamond" w:hAnsi="Garamond" w:cs="Open Sans"/>
          <w:color w:val="212529"/>
          <w:sz w:val="22"/>
          <w:szCs w:val="22"/>
          <w:shd w:val="clear" w:color="auto" w:fill="FFFFFF"/>
          <w:lang w:val="en-US"/>
        </w:rPr>
      </w:pPr>
      <w:r w:rsidRPr="00A808BF">
        <w:rPr>
          <w:rFonts w:ascii="Garamond" w:hAnsi="Garamond" w:cs="Open Sans"/>
          <w:color w:val="212529"/>
          <w:sz w:val="22"/>
          <w:szCs w:val="22"/>
          <w:shd w:val="clear" w:color="auto" w:fill="FFFFFF"/>
        </w:rPr>
        <w:t>After the criminal proceedings, Macedo filed a liability claim against the journalist and the TV broadcaster, seeking compensation for the harm caused by the news report. On December 4, 2019, the District Court of Lisbon dismissed his claim against the journalist but ordered the TV broadcaster to pay Macedo 55,000 euros as compensation for the non-pecuniary loss sustained.</w:t>
      </w:r>
      <w:r w:rsidR="000E5211">
        <w:rPr>
          <w:rFonts w:ascii="Garamond" w:hAnsi="Garamond" w:cs="Open Sans"/>
          <w:color w:val="212529"/>
          <w:sz w:val="22"/>
          <w:szCs w:val="22"/>
          <w:shd w:val="clear" w:color="auto" w:fill="FFFFFF"/>
        </w:rPr>
        <w:t xml:space="preserve"> [</w:t>
      </w:r>
      <w:r w:rsidR="006345D3">
        <w:rPr>
          <w:rFonts w:ascii="Garamond" w:hAnsi="Garamond" w:cs="Open Sans"/>
          <w:color w:val="212529"/>
          <w:sz w:val="22"/>
          <w:szCs w:val="22"/>
          <w:shd w:val="clear" w:color="auto" w:fill="FFFFFF"/>
          <w:lang w:val="en-US"/>
        </w:rPr>
        <w:t>§</w:t>
      </w:r>
      <w:r w:rsidR="000E5211" w:rsidRPr="000E5211">
        <w:rPr>
          <w:rFonts w:ascii="Garamond" w:hAnsi="Garamond" w:cs="Open Sans"/>
          <w:color w:val="212529"/>
          <w:sz w:val="22"/>
          <w:szCs w:val="22"/>
          <w:shd w:val="clear" w:color="auto" w:fill="FFFFFF"/>
          <w:lang w:val="en-US"/>
        </w:rPr>
        <w:t xml:space="preserve"> 6 of the ECtHR report]</w:t>
      </w:r>
    </w:p>
    <w:p w14:paraId="0A80F13B" w14:textId="77777777" w:rsidR="000E5211" w:rsidRPr="000E5211" w:rsidRDefault="000E5211" w:rsidP="00950CFC">
      <w:pPr>
        <w:spacing w:line="276" w:lineRule="auto"/>
        <w:jc w:val="both"/>
        <w:rPr>
          <w:rFonts w:ascii="Garamond" w:hAnsi="Garamond" w:cs="Open Sans"/>
          <w:color w:val="212529"/>
          <w:sz w:val="22"/>
          <w:szCs w:val="22"/>
          <w:shd w:val="clear" w:color="auto" w:fill="FFFFFF"/>
        </w:rPr>
      </w:pPr>
    </w:p>
    <w:p w14:paraId="139CDCB7" w14:textId="47BA741C" w:rsidR="0080679A" w:rsidRPr="00661DBA" w:rsidRDefault="00C26379" w:rsidP="00950CFC">
      <w:pPr>
        <w:spacing w:line="276" w:lineRule="auto"/>
        <w:jc w:val="both"/>
        <w:rPr>
          <w:rFonts w:ascii="Garamond" w:hAnsi="Garamond" w:cs="Open Sans"/>
          <w:color w:val="212529"/>
          <w:sz w:val="22"/>
          <w:szCs w:val="22"/>
          <w:shd w:val="clear" w:color="auto" w:fill="FFFFFF"/>
          <w:lang w:val="en-US"/>
        </w:rPr>
      </w:pPr>
      <w:r w:rsidRPr="00C26379">
        <w:rPr>
          <w:rFonts w:ascii="Garamond" w:hAnsi="Garamond" w:cs="Open Sans"/>
          <w:color w:val="212529"/>
          <w:sz w:val="22"/>
          <w:szCs w:val="22"/>
          <w:shd w:val="clear" w:color="auto" w:fill="FFFFFF"/>
          <w:lang w:val="en-US"/>
        </w:rPr>
        <w:t>On January 8, 2021, the 6th Section of the Lisbon Court of Appeal (14570/16.8T8LSB.L1-6) overturned the judgment and ordered the journalist and the broadcaster to jointly pay 35,000</w:t>
      </w:r>
      <w:r w:rsidR="000B5558">
        <w:rPr>
          <w:rFonts w:ascii="Garamond" w:hAnsi="Garamond" w:cs="Open Sans"/>
          <w:color w:val="212529"/>
          <w:sz w:val="22"/>
          <w:szCs w:val="22"/>
          <w:shd w:val="clear" w:color="auto" w:fill="FFFFFF"/>
          <w:lang w:val="en-US"/>
        </w:rPr>
        <w:t xml:space="preserve"> euros</w:t>
      </w:r>
      <w:r w:rsidRPr="00C26379">
        <w:rPr>
          <w:rFonts w:ascii="Garamond" w:hAnsi="Garamond" w:cs="Open Sans"/>
          <w:color w:val="212529"/>
          <w:sz w:val="22"/>
          <w:szCs w:val="22"/>
          <w:shd w:val="clear" w:color="auto" w:fill="FFFFFF"/>
          <w:lang w:val="en-US"/>
        </w:rPr>
        <w:t xml:space="preserve"> to Macedo for non-pecuniary damage.</w:t>
      </w:r>
      <w:r>
        <w:rPr>
          <w:rFonts w:ascii="Garamond" w:hAnsi="Garamond" w:cs="Open Sans"/>
          <w:color w:val="212529"/>
          <w:sz w:val="22"/>
          <w:szCs w:val="22"/>
          <w:shd w:val="clear" w:color="auto" w:fill="FFFFFF"/>
          <w:lang w:val="en-US"/>
        </w:rPr>
        <w:t xml:space="preserve"> </w:t>
      </w:r>
      <w:r w:rsidR="0080679A" w:rsidRPr="00C26379">
        <w:rPr>
          <w:rFonts w:ascii="Garamond" w:hAnsi="Garamond" w:cs="Open Sans"/>
          <w:color w:val="212529"/>
          <w:sz w:val="22"/>
          <w:szCs w:val="22"/>
          <w:shd w:val="clear" w:color="auto" w:fill="FFFFFF"/>
          <w:lang w:val="en-US"/>
        </w:rPr>
        <w:t xml:space="preserve">The </w:t>
      </w:r>
      <w:r w:rsidRPr="00C26379">
        <w:rPr>
          <w:rFonts w:ascii="Garamond" w:hAnsi="Garamond" w:cs="Open Sans"/>
          <w:color w:val="212529"/>
          <w:sz w:val="22"/>
          <w:szCs w:val="22"/>
          <w:shd w:val="clear" w:color="auto" w:fill="FFFFFF"/>
          <w:lang w:val="en-US"/>
        </w:rPr>
        <w:t xml:space="preserve">Court </w:t>
      </w:r>
      <w:r w:rsidR="0080679A" w:rsidRPr="00C26379">
        <w:rPr>
          <w:rFonts w:ascii="Garamond" w:hAnsi="Garamond" w:cs="Open Sans"/>
          <w:color w:val="212529"/>
          <w:sz w:val="22"/>
          <w:szCs w:val="22"/>
          <w:shd w:val="clear" w:color="auto" w:fill="FFFFFF"/>
          <w:lang w:val="en-US"/>
        </w:rPr>
        <w:t>found that the journalist should be held responsible along with the broadcaster, considering that she had been convicted and fined for the same actions in the criminal proceedings brought against her</w:t>
      </w:r>
      <w:r w:rsidR="00E9345D" w:rsidRPr="00C26379">
        <w:rPr>
          <w:rFonts w:ascii="Garamond" w:hAnsi="Garamond" w:cs="Open Sans"/>
          <w:color w:val="212529"/>
          <w:sz w:val="22"/>
          <w:szCs w:val="22"/>
          <w:shd w:val="clear" w:color="auto" w:fill="FFFFFF"/>
          <w:lang w:val="en-US"/>
        </w:rPr>
        <w:t xml:space="preserve">: </w:t>
      </w:r>
      <w:r w:rsidRPr="00C26379">
        <w:rPr>
          <w:rFonts w:ascii="Garamond" w:hAnsi="Garamond" w:cs="Open Sans"/>
          <w:color w:val="212529"/>
          <w:sz w:val="22"/>
          <w:szCs w:val="22"/>
          <w:shd w:val="clear" w:color="auto" w:fill="FFFFFF"/>
          <w:lang w:val="en-US"/>
        </w:rPr>
        <w:t xml:space="preserve">"[...] it is clear to us that the final conviction handed down in the criminal process must, </w:t>
      </w:r>
      <w:r w:rsidRPr="00661DBA">
        <w:rPr>
          <w:rFonts w:ascii="Garamond" w:hAnsi="Garamond" w:cs="Open Sans"/>
          <w:color w:val="212529"/>
          <w:sz w:val="22"/>
          <w:szCs w:val="22"/>
          <w:u w:val="single"/>
          <w:shd w:val="clear" w:color="auto" w:fill="FFFFFF"/>
          <w:lang w:val="en-US"/>
        </w:rPr>
        <w:t>at the very least</w:t>
      </w:r>
      <w:r w:rsidRPr="00C26379">
        <w:rPr>
          <w:rFonts w:ascii="Garamond" w:hAnsi="Garamond" w:cs="Open Sans"/>
          <w:color w:val="212529"/>
          <w:sz w:val="22"/>
          <w:szCs w:val="22"/>
          <w:shd w:val="clear" w:color="auto" w:fill="FFFFFF"/>
          <w:lang w:val="en-US"/>
        </w:rPr>
        <w:t xml:space="preserve">, constitute </w:t>
      </w:r>
      <w:r w:rsidRPr="00661DBA">
        <w:rPr>
          <w:rFonts w:ascii="Garamond" w:hAnsi="Garamond" w:cs="Open Sans"/>
          <w:color w:val="212529"/>
          <w:sz w:val="22"/>
          <w:szCs w:val="22"/>
          <w:u w:val="single"/>
          <w:shd w:val="clear" w:color="auto" w:fill="FFFFFF"/>
          <w:lang w:val="en-US"/>
        </w:rPr>
        <w:t>an irrebuttable presumption regarding the facts proven in the criminal judgment, in relation to the convicted party, and in a civil liability action based on the commission of the crime against them, with regard to the existence of the facts that make up the conditions for punishment and the elements of the legal type</w:t>
      </w:r>
      <w:r>
        <w:rPr>
          <w:rFonts w:ascii="Garamond" w:hAnsi="Garamond" w:cs="Open Sans"/>
          <w:color w:val="212529"/>
          <w:sz w:val="22"/>
          <w:szCs w:val="22"/>
          <w:shd w:val="clear" w:color="auto" w:fill="FFFFFF"/>
          <w:lang w:val="en-US"/>
        </w:rPr>
        <w:t>”. [p. 63</w:t>
      </w:r>
      <w:r w:rsidR="00A808BF">
        <w:rPr>
          <w:rFonts w:ascii="Garamond" w:hAnsi="Garamond" w:cs="Open Sans"/>
          <w:color w:val="212529"/>
          <w:sz w:val="22"/>
          <w:szCs w:val="22"/>
          <w:shd w:val="clear" w:color="auto" w:fill="FFFFFF"/>
          <w:lang w:val="en-US"/>
        </w:rPr>
        <w:t xml:space="preserve"> </w:t>
      </w:r>
      <w:r w:rsidR="00A808BF" w:rsidRPr="00661DBA">
        <w:rPr>
          <w:rFonts w:ascii="Garamond" w:hAnsi="Garamond" w:cs="Open Sans"/>
          <w:color w:val="212529"/>
          <w:sz w:val="22"/>
          <w:szCs w:val="22"/>
          <w:shd w:val="clear" w:color="auto" w:fill="FFFFFF"/>
          <w:lang w:val="en-US"/>
        </w:rPr>
        <w:t>of the Lisbon Court of Appeal's decision</w:t>
      </w:r>
      <w:r>
        <w:rPr>
          <w:rFonts w:ascii="Garamond" w:hAnsi="Garamond" w:cs="Open Sans"/>
          <w:color w:val="212529"/>
          <w:sz w:val="22"/>
          <w:szCs w:val="22"/>
          <w:shd w:val="clear" w:color="auto" w:fill="FFFFFF"/>
          <w:lang w:val="en-US"/>
        </w:rPr>
        <w:t>]</w:t>
      </w:r>
      <w:r w:rsidR="00661DBA">
        <w:rPr>
          <w:rFonts w:ascii="Garamond" w:hAnsi="Garamond" w:cs="Open Sans"/>
          <w:color w:val="212529"/>
          <w:sz w:val="22"/>
          <w:szCs w:val="22"/>
          <w:shd w:val="clear" w:color="auto" w:fill="FFFFFF"/>
          <w:lang w:val="en-US"/>
        </w:rPr>
        <w:t xml:space="preserve"> [</w:t>
      </w:r>
      <w:r w:rsidR="00661DBA" w:rsidRPr="00661DBA">
        <w:rPr>
          <w:rFonts w:ascii="Garamond" w:hAnsi="Garamond" w:cs="Open Sans"/>
          <w:color w:val="212529"/>
          <w:sz w:val="22"/>
          <w:szCs w:val="22"/>
          <w:shd w:val="clear" w:color="auto" w:fill="FFFFFF"/>
          <w:lang w:val="en-US"/>
        </w:rPr>
        <w:t>underlined in the original</w:t>
      </w:r>
      <w:r w:rsidR="00661DBA">
        <w:rPr>
          <w:rFonts w:ascii="Garamond" w:hAnsi="Garamond" w:cs="Open Sans"/>
          <w:color w:val="212529"/>
          <w:sz w:val="22"/>
          <w:szCs w:val="22"/>
          <w:shd w:val="clear" w:color="auto" w:fill="FFFFFF"/>
          <w:lang w:val="en-US"/>
        </w:rPr>
        <w:t>]</w:t>
      </w:r>
    </w:p>
    <w:p w14:paraId="624B6ED5" w14:textId="77777777" w:rsidR="00C26379" w:rsidRPr="00C26379" w:rsidRDefault="00C26379" w:rsidP="00950CFC">
      <w:pPr>
        <w:spacing w:line="276" w:lineRule="auto"/>
        <w:jc w:val="both"/>
        <w:rPr>
          <w:rFonts w:ascii="Garamond" w:hAnsi="Garamond" w:cs="Open Sans"/>
          <w:color w:val="212529"/>
          <w:sz w:val="22"/>
          <w:szCs w:val="22"/>
          <w:shd w:val="clear" w:color="auto" w:fill="FFFFFF"/>
          <w:lang w:val="en-US"/>
        </w:rPr>
      </w:pPr>
    </w:p>
    <w:p w14:paraId="150FD0F4" w14:textId="73DAD19A" w:rsidR="00BB6ACE" w:rsidRPr="00BB6ACE" w:rsidRDefault="00BB6ACE" w:rsidP="00BB6ACE">
      <w:pPr>
        <w:spacing w:line="276" w:lineRule="auto"/>
        <w:jc w:val="both"/>
        <w:rPr>
          <w:rFonts w:ascii="Garamond" w:hAnsi="Garamond" w:cs="Open Sans"/>
          <w:color w:val="212529"/>
          <w:sz w:val="22"/>
          <w:szCs w:val="22"/>
          <w:shd w:val="clear" w:color="auto" w:fill="FFFFFF"/>
          <w:lang w:val="en-US"/>
        </w:rPr>
      </w:pPr>
      <w:r w:rsidRPr="00BB6ACE">
        <w:rPr>
          <w:rFonts w:ascii="Garamond" w:hAnsi="Garamond" w:cs="Open Sans"/>
          <w:color w:val="212529"/>
          <w:sz w:val="22"/>
          <w:szCs w:val="22"/>
          <w:shd w:val="clear" w:color="auto" w:fill="FFFFFF"/>
          <w:lang w:val="en-US"/>
        </w:rPr>
        <w:t xml:space="preserve">On May 25, 2022, the Supreme Court of Justice (STJ) confirmed this </w:t>
      </w:r>
      <w:r w:rsidR="000B5558">
        <w:rPr>
          <w:rFonts w:ascii="Garamond" w:hAnsi="Garamond" w:cs="Open Sans"/>
          <w:color w:val="212529"/>
          <w:sz w:val="22"/>
          <w:szCs w:val="22"/>
          <w:shd w:val="clear" w:color="auto" w:fill="FFFFFF"/>
          <w:lang w:val="en-US"/>
        </w:rPr>
        <w:t>ruling</w:t>
      </w:r>
      <w:r w:rsidRPr="00BB6ACE">
        <w:rPr>
          <w:rFonts w:ascii="Garamond" w:hAnsi="Garamond" w:cs="Open Sans"/>
          <w:color w:val="212529"/>
          <w:sz w:val="22"/>
          <w:szCs w:val="22"/>
          <w:shd w:val="clear" w:color="auto" w:fill="FFFFFF"/>
          <w:lang w:val="en-US"/>
        </w:rPr>
        <w:t xml:space="preserve">. </w:t>
      </w:r>
      <w:r w:rsidR="000B5558">
        <w:rPr>
          <w:rFonts w:ascii="Garamond" w:hAnsi="Garamond" w:cs="Open Sans"/>
          <w:color w:val="212529"/>
          <w:sz w:val="22"/>
          <w:szCs w:val="22"/>
          <w:shd w:val="clear" w:color="auto" w:fill="FFFFFF"/>
          <w:lang w:val="en-US"/>
        </w:rPr>
        <w:t xml:space="preserve">The Court </w:t>
      </w:r>
      <w:r w:rsidR="00A808BF">
        <w:rPr>
          <w:rFonts w:ascii="Garamond" w:hAnsi="Garamond" w:cs="Open Sans"/>
          <w:color w:val="212529"/>
          <w:sz w:val="22"/>
          <w:szCs w:val="22"/>
          <w:shd w:val="clear" w:color="auto" w:fill="FFFFFF"/>
          <w:lang w:val="en-US"/>
        </w:rPr>
        <w:t>found</w:t>
      </w:r>
      <w:r w:rsidRPr="00BB6ACE">
        <w:rPr>
          <w:rFonts w:ascii="Garamond" w:hAnsi="Garamond" w:cs="Open Sans"/>
          <w:color w:val="212529"/>
          <w:sz w:val="22"/>
          <w:szCs w:val="22"/>
          <w:shd w:val="clear" w:color="auto" w:fill="FFFFFF"/>
          <w:lang w:val="en-US"/>
        </w:rPr>
        <w:t xml:space="preserve"> that </w:t>
      </w:r>
      <w:r w:rsidR="000B5558" w:rsidRPr="009F55B8">
        <w:rPr>
          <w:rFonts w:ascii="Garamond" w:hAnsi="Garamond" w:cs="Open Sans"/>
          <w:color w:val="212529"/>
          <w:sz w:val="22"/>
          <w:szCs w:val="22"/>
          <w:shd w:val="clear" w:color="auto" w:fill="FFFFFF"/>
        </w:rPr>
        <w:t>Ferreira e Castro da Costa Laranjo</w:t>
      </w:r>
      <w:r w:rsidR="000B5558">
        <w:rPr>
          <w:rFonts w:ascii="Garamond" w:hAnsi="Garamond" w:cs="Open Sans"/>
          <w:color w:val="212529"/>
          <w:sz w:val="22"/>
          <w:szCs w:val="22"/>
          <w:shd w:val="clear" w:color="auto" w:fill="FFFFFF"/>
        </w:rPr>
        <w:t xml:space="preserve">’s </w:t>
      </w:r>
      <w:r w:rsidRPr="00BB6ACE">
        <w:rPr>
          <w:rFonts w:ascii="Garamond" w:hAnsi="Garamond" w:cs="Open Sans"/>
          <w:color w:val="212529"/>
          <w:sz w:val="22"/>
          <w:szCs w:val="22"/>
          <w:shd w:val="clear" w:color="auto" w:fill="FFFFFF"/>
          <w:lang w:val="en-US"/>
        </w:rPr>
        <w:t xml:space="preserve">criminal conviction supported a violation of </w:t>
      </w:r>
      <w:r w:rsidR="00A069A6">
        <w:rPr>
          <w:rFonts w:ascii="Garamond" w:hAnsi="Garamond" w:cs="Open Sans"/>
          <w:color w:val="212529"/>
          <w:sz w:val="22"/>
          <w:szCs w:val="22"/>
          <w:shd w:val="clear" w:color="auto" w:fill="FFFFFF"/>
          <w:lang w:val="en-US"/>
        </w:rPr>
        <w:t>Macedo’s</w:t>
      </w:r>
      <w:r w:rsidRPr="00BB6ACE">
        <w:rPr>
          <w:rFonts w:ascii="Garamond" w:hAnsi="Garamond" w:cs="Open Sans"/>
          <w:color w:val="212529"/>
          <w:sz w:val="22"/>
          <w:szCs w:val="22"/>
          <w:shd w:val="clear" w:color="auto" w:fill="FFFFFF"/>
          <w:lang w:val="en-US"/>
        </w:rPr>
        <w:t xml:space="preserve"> personal rights, finding that </w:t>
      </w:r>
      <w:r w:rsidR="000B5558">
        <w:rPr>
          <w:rFonts w:ascii="Garamond" w:hAnsi="Garamond" w:cs="Open Sans"/>
          <w:color w:val="212529"/>
          <w:sz w:val="22"/>
          <w:szCs w:val="22"/>
          <w:shd w:val="clear" w:color="auto" w:fill="FFFFFF"/>
          <w:lang w:val="en-US"/>
        </w:rPr>
        <w:t xml:space="preserve">the </w:t>
      </w:r>
      <w:r w:rsidRPr="00BB6ACE">
        <w:rPr>
          <w:rFonts w:ascii="Garamond" w:hAnsi="Garamond" w:cs="Open Sans"/>
          <w:color w:val="212529"/>
          <w:sz w:val="22"/>
          <w:szCs w:val="22"/>
          <w:shd w:val="clear" w:color="auto" w:fill="FFFFFF"/>
          <w:lang w:val="en-US"/>
        </w:rPr>
        <w:t>right to inform the public had no place in the civil proceedings</w:t>
      </w:r>
      <w:r w:rsidR="0098175B">
        <w:rPr>
          <w:rFonts w:ascii="Garamond" w:hAnsi="Garamond" w:cs="Open Sans"/>
          <w:color w:val="212529"/>
          <w:sz w:val="22"/>
          <w:szCs w:val="22"/>
          <w:shd w:val="clear" w:color="auto" w:fill="FFFFFF"/>
          <w:lang w:val="en-US"/>
        </w:rPr>
        <w:t>: “</w:t>
      </w:r>
      <w:r w:rsidR="00B15348">
        <w:rPr>
          <w:rFonts w:ascii="Garamond" w:hAnsi="Garamond" w:cs="Open Sans"/>
          <w:color w:val="212529"/>
          <w:sz w:val="22"/>
          <w:szCs w:val="22"/>
          <w:shd w:val="clear" w:color="auto" w:fill="FFFFFF"/>
        </w:rPr>
        <w:t>[t]</w:t>
      </w:r>
      <w:r w:rsidR="00B15348" w:rsidRPr="00B15348">
        <w:rPr>
          <w:rFonts w:ascii="Garamond" w:hAnsi="Garamond" w:cs="Open Sans"/>
          <w:color w:val="212529"/>
          <w:sz w:val="22"/>
          <w:szCs w:val="22"/>
          <w:shd w:val="clear" w:color="auto" w:fill="FFFFFF"/>
        </w:rPr>
        <w:t xml:space="preserve">he act of collecting and disclosing unauthorized information, which has been criminally sanctioned by a final judgment, does not give rise to any conflict between the right or freedom of information, on the one hand, and the right to </w:t>
      </w:r>
      <w:proofErr w:type="spellStart"/>
      <w:r w:rsidR="00B15348" w:rsidRPr="00B15348">
        <w:rPr>
          <w:rFonts w:ascii="Garamond" w:hAnsi="Garamond" w:cs="Open Sans"/>
          <w:color w:val="212529"/>
          <w:sz w:val="22"/>
          <w:szCs w:val="22"/>
          <w:shd w:val="clear" w:color="auto" w:fill="FFFFFF"/>
        </w:rPr>
        <w:t>honor</w:t>
      </w:r>
      <w:proofErr w:type="spellEnd"/>
      <w:r w:rsidR="00B15348" w:rsidRPr="00B15348">
        <w:rPr>
          <w:rFonts w:ascii="Garamond" w:hAnsi="Garamond" w:cs="Open Sans"/>
          <w:color w:val="212529"/>
          <w:sz w:val="22"/>
          <w:szCs w:val="22"/>
          <w:shd w:val="clear" w:color="auto" w:fill="FFFFFF"/>
        </w:rPr>
        <w:t xml:space="preserve"> or a good name, on the other, as such conduct (due to its criminal sanction) is undoubtedly beyond the limits of freedom of information</w:t>
      </w:r>
      <w:r w:rsidR="00B15348">
        <w:rPr>
          <w:rFonts w:ascii="Garamond" w:hAnsi="Garamond" w:cs="Open Sans"/>
          <w:color w:val="212529"/>
          <w:sz w:val="22"/>
          <w:szCs w:val="22"/>
          <w:shd w:val="clear" w:color="auto" w:fill="FFFFFF"/>
        </w:rPr>
        <w:t xml:space="preserve">” </w:t>
      </w:r>
      <w:r w:rsidR="00B15348">
        <w:rPr>
          <w:rFonts w:ascii="Garamond" w:hAnsi="Garamond" w:cs="Open Sans"/>
          <w:color w:val="212529"/>
          <w:sz w:val="22"/>
          <w:szCs w:val="22"/>
          <w:shd w:val="clear" w:color="auto" w:fill="FFFFFF"/>
          <w:lang w:val="en-US"/>
        </w:rPr>
        <w:t xml:space="preserve">[p. 42 </w:t>
      </w:r>
      <w:r w:rsidR="00B15348" w:rsidRPr="00661DBA">
        <w:rPr>
          <w:rFonts w:ascii="Garamond" w:hAnsi="Garamond" w:cs="Open Sans"/>
          <w:color w:val="212529"/>
          <w:sz w:val="22"/>
          <w:szCs w:val="22"/>
          <w:shd w:val="clear" w:color="auto" w:fill="FFFFFF"/>
          <w:lang w:val="en-US"/>
        </w:rPr>
        <w:t xml:space="preserve">of the </w:t>
      </w:r>
      <w:r w:rsidR="00B15348" w:rsidRPr="00BB6ACE">
        <w:rPr>
          <w:rFonts w:ascii="Garamond" w:hAnsi="Garamond" w:cs="Open Sans"/>
          <w:color w:val="212529"/>
          <w:sz w:val="22"/>
          <w:szCs w:val="22"/>
          <w:shd w:val="clear" w:color="auto" w:fill="FFFFFF"/>
          <w:lang w:val="en-US"/>
        </w:rPr>
        <w:t>Supreme Court of Justice</w:t>
      </w:r>
      <w:r w:rsidR="00B15348">
        <w:rPr>
          <w:rFonts w:ascii="Garamond" w:hAnsi="Garamond" w:cs="Open Sans"/>
          <w:color w:val="212529"/>
          <w:sz w:val="22"/>
          <w:szCs w:val="22"/>
          <w:shd w:val="clear" w:color="auto" w:fill="FFFFFF"/>
          <w:lang w:val="en-US"/>
        </w:rPr>
        <w:t xml:space="preserve">’s </w:t>
      </w:r>
      <w:r w:rsidR="00B15348" w:rsidRPr="00661DBA">
        <w:rPr>
          <w:rFonts w:ascii="Garamond" w:hAnsi="Garamond" w:cs="Open Sans"/>
          <w:color w:val="212529"/>
          <w:sz w:val="22"/>
          <w:szCs w:val="22"/>
          <w:shd w:val="clear" w:color="auto" w:fill="FFFFFF"/>
          <w:lang w:val="en-US"/>
        </w:rPr>
        <w:t>decision</w:t>
      </w:r>
      <w:r w:rsidR="00B15348">
        <w:rPr>
          <w:rFonts w:ascii="Garamond" w:hAnsi="Garamond" w:cs="Open Sans"/>
          <w:color w:val="212529"/>
          <w:sz w:val="22"/>
          <w:szCs w:val="22"/>
          <w:shd w:val="clear" w:color="auto" w:fill="FFFFFF"/>
          <w:lang w:val="en-US"/>
        </w:rPr>
        <w:t>]</w:t>
      </w:r>
      <w:r w:rsidR="0098175B">
        <w:rPr>
          <w:rFonts w:ascii="Garamond" w:hAnsi="Garamond" w:cs="Open Sans"/>
          <w:color w:val="212529"/>
          <w:sz w:val="22"/>
          <w:szCs w:val="22"/>
          <w:shd w:val="clear" w:color="auto" w:fill="FFFFFF"/>
        </w:rPr>
        <w:t xml:space="preserve">. </w:t>
      </w:r>
      <w:proofErr w:type="gramStart"/>
      <w:r w:rsidRPr="00BB6ACE">
        <w:rPr>
          <w:rFonts w:ascii="Garamond" w:hAnsi="Garamond" w:cs="Open Sans"/>
          <w:color w:val="212529"/>
          <w:sz w:val="22"/>
          <w:szCs w:val="22"/>
          <w:shd w:val="clear" w:color="auto" w:fill="FFFFFF"/>
          <w:lang w:val="en-US"/>
        </w:rPr>
        <w:t>The STJ</w:t>
      </w:r>
      <w:proofErr w:type="gramEnd"/>
      <w:r w:rsidRPr="00BB6ACE">
        <w:rPr>
          <w:rFonts w:ascii="Garamond" w:hAnsi="Garamond" w:cs="Open Sans"/>
          <w:color w:val="212529"/>
          <w:sz w:val="22"/>
          <w:szCs w:val="22"/>
          <w:shd w:val="clear" w:color="auto" w:fill="FFFFFF"/>
          <w:lang w:val="en-US"/>
        </w:rPr>
        <w:t xml:space="preserve"> </w:t>
      </w:r>
      <w:r w:rsidR="00A808BF">
        <w:rPr>
          <w:rFonts w:ascii="Garamond" w:hAnsi="Garamond" w:cs="Open Sans"/>
          <w:color w:val="212529"/>
          <w:sz w:val="22"/>
          <w:szCs w:val="22"/>
          <w:shd w:val="clear" w:color="auto" w:fill="FFFFFF"/>
          <w:lang w:val="en-US"/>
        </w:rPr>
        <w:t xml:space="preserve">also </w:t>
      </w:r>
      <w:r w:rsidRPr="00BB6ACE">
        <w:rPr>
          <w:rFonts w:ascii="Garamond" w:hAnsi="Garamond" w:cs="Open Sans"/>
          <w:color w:val="212529"/>
          <w:sz w:val="22"/>
          <w:szCs w:val="22"/>
          <w:shd w:val="clear" w:color="auto" w:fill="FFFFFF"/>
          <w:lang w:val="en-US"/>
        </w:rPr>
        <w:t xml:space="preserve">noted that the compensation </w:t>
      </w:r>
      <w:r w:rsidR="000B5558">
        <w:rPr>
          <w:rFonts w:ascii="Garamond" w:hAnsi="Garamond" w:cs="Open Sans"/>
          <w:color w:val="212529"/>
          <w:sz w:val="22"/>
          <w:szCs w:val="22"/>
          <w:shd w:val="clear" w:color="auto" w:fill="FFFFFF"/>
          <w:lang w:val="en-US"/>
        </w:rPr>
        <w:t>the journalist</w:t>
      </w:r>
      <w:r w:rsidRPr="00BB6ACE">
        <w:rPr>
          <w:rFonts w:ascii="Garamond" w:hAnsi="Garamond" w:cs="Open Sans"/>
          <w:color w:val="212529"/>
          <w:sz w:val="22"/>
          <w:szCs w:val="22"/>
          <w:shd w:val="clear" w:color="auto" w:fill="FFFFFF"/>
          <w:lang w:val="en-US"/>
        </w:rPr>
        <w:t xml:space="preserve"> was ordered to pay with the broadcaster </w:t>
      </w:r>
      <w:r w:rsidR="00A069A6">
        <w:rPr>
          <w:rFonts w:ascii="Garamond" w:hAnsi="Garamond" w:cs="Open Sans"/>
          <w:color w:val="212529"/>
          <w:sz w:val="22"/>
          <w:szCs w:val="22"/>
          <w:shd w:val="clear" w:color="auto" w:fill="FFFFFF"/>
          <w:lang w:val="en-US"/>
        </w:rPr>
        <w:t xml:space="preserve">was </w:t>
      </w:r>
      <w:r w:rsidRPr="00BB6ACE">
        <w:rPr>
          <w:rFonts w:ascii="Garamond" w:hAnsi="Garamond" w:cs="Open Sans"/>
          <w:color w:val="212529"/>
          <w:sz w:val="22"/>
          <w:szCs w:val="22"/>
          <w:shd w:val="clear" w:color="auto" w:fill="FFFFFF"/>
          <w:lang w:val="en-US"/>
        </w:rPr>
        <w:t>not excessive</w:t>
      </w:r>
      <w:r w:rsidR="0098175B">
        <w:rPr>
          <w:rFonts w:ascii="Garamond" w:hAnsi="Garamond" w:cs="Open Sans"/>
          <w:color w:val="212529"/>
          <w:sz w:val="22"/>
          <w:szCs w:val="22"/>
          <w:shd w:val="clear" w:color="auto" w:fill="FFFFFF"/>
          <w:lang w:val="en-US"/>
        </w:rPr>
        <w:t>.</w:t>
      </w:r>
    </w:p>
    <w:p w14:paraId="5DC563BA" w14:textId="77777777" w:rsidR="00DF7A38" w:rsidRDefault="00DF7A38" w:rsidP="00DF7A38">
      <w:pPr>
        <w:spacing w:line="276" w:lineRule="auto"/>
        <w:jc w:val="both"/>
        <w:rPr>
          <w:rFonts w:ascii="Garamond" w:hAnsi="Garamond" w:cs="Open Sans"/>
          <w:color w:val="212529"/>
          <w:sz w:val="22"/>
          <w:szCs w:val="22"/>
          <w:shd w:val="clear" w:color="auto" w:fill="FFFFFF"/>
          <w:lang w:val="en-US"/>
        </w:rPr>
      </w:pPr>
    </w:p>
    <w:p w14:paraId="2E837F04" w14:textId="6E60EFF9" w:rsidR="00950CFC" w:rsidRDefault="00BB6ACE" w:rsidP="0053049D">
      <w:pPr>
        <w:spacing w:line="276" w:lineRule="auto"/>
        <w:jc w:val="both"/>
        <w:rPr>
          <w:rFonts w:ascii="Garamond" w:hAnsi="Garamond" w:cs="Open Sans"/>
          <w:color w:val="212529"/>
          <w:sz w:val="22"/>
          <w:szCs w:val="22"/>
          <w:shd w:val="clear" w:color="auto" w:fill="FFFFFF"/>
        </w:rPr>
      </w:pPr>
      <w:r w:rsidRPr="00BB6ACE">
        <w:rPr>
          <w:rFonts w:ascii="Garamond" w:hAnsi="Garamond" w:cs="Open Sans"/>
          <w:color w:val="212529"/>
          <w:sz w:val="22"/>
          <w:szCs w:val="22"/>
          <w:shd w:val="clear" w:color="auto" w:fill="FFFFFF"/>
        </w:rPr>
        <w:t xml:space="preserve">Based on Article 10 of the Convention for the Protection of Human Rights and Fundamental Freedoms, the journalist filed two applications against the Portuguese Republic with the European Court of Human Rights (ECtHR), arguing that the decisions of both the criminal and civil domestic courts had violated her right to freedom of expression and to </w:t>
      </w:r>
      <w:r w:rsidR="00A808BF">
        <w:rPr>
          <w:rFonts w:ascii="Garamond" w:hAnsi="Garamond" w:cs="Open Sans"/>
          <w:color w:val="212529"/>
          <w:sz w:val="22"/>
          <w:szCs w:val="22"/>
          <w:shd w:val="clear" w:color="auto" w:fill="FFFFFF"/>
        </w:rPr>
        <w:t xml:space="preserve">share </w:t>
      </w:r>
      <w:r w:rsidRPr="00BB6ACE">
        <w:rPr>
          <w:rFonts w:ascii="Garamond" w:hAnsi="Garamond" w:cs="Open Sans"/>
          <w:color w:val="212529"/>
          <w:sz w:val="22"/>
          <w:szCs w:val="22"/>
          <w:shd w:val="clear" w:color="auto" w:fill="FFFFFF"/>
        </w:rPr>
        <w:t>information.</w:t>
      </w:r>
    </w:p>
    <w:p w14:paraId="689082EE" w14:textId="77777777" w:rsidR="00BB6ACE" w:rsidRPr="00950CFC" w:rsidRDefault="00BB6ACE" w:rsidP="0053049D">
      <w:pPr>
        <w:spacing w:line="276" w:lineRule="auto"/>
        <w:jc w:val="both"/>
        <w:rPr>
          <w:rFonts w:ascii="Garamond" w:hAnsi="Garamond" w:cs="Open Sans"/>
          <w:color w:val="212529"/>
          <w:sz w:val="22"/>
          <w:szCs w:val="22"/>
          <w:shd w:val="clear" w:color="auto" w:fill="FFFFFF"/>
          <w:lang w:val="en-US"/>
        </w:rPr>
      </w:pPr>
    </w:p>
    <w:p w14:paraId="488D7929" w14:textId="77777777" w:rsidR="00C57040" w:rsidRPr="007466E0" w:rsidRDefault="00BB2804" w:rsidP="0053049D">
      <w:pPr>
        <w:pStyle w:val="PargrafodaLista"/>
        <w:numPr>
          <w:ilvl w:val="0"/>
          <w:numId w:val="4"/>
        </w:numPr>
        <w:spacing w:line="276" w:lineRule="auto"/>
        <w:jc w:val="both"/>
        <w:rPr>
          <w:rFonts w:ascii="Garamond" w:hAnsi="Garamond"/>
          <w:sz w:val="22"/>
          <w:szCs w:val="22"/>
          <w:lang w:val="en-US"/>
        </w:rPr>
      </w:pPr>
      <w:r w:rsidRPr="007466E0">
        <w:rPr>
          <w:rFonts w:ascii="Garamond" w:hAnsi="Garamond"/>
          <w:b/>
          <w:bCs/>
          <w:sz w:val="22"/>
          <w:szCs w:val="22"/>
          <w:lang w:val="en-US"/>
        </w:rPr>
        <w:t>Decision Overview</w:t>
      </w:r>
      <w:r w:rsidRPr="007466E0">
        <w:rPr>
          <w:rFonts w:ascii="Garamond" w:hAnsi="Garamond"/>
          <w:sz w:val="22"/>
          <w:szCs w:val="22"/>
          <w:lang w:val="en-US"/>
        </w:rPr>
        <w:t xml:space="preserve">: </w:t>
      </w:r>
      <w:r w:rsidR="00734616" w:rsidRPr="007466E0">
        <w:rPr>
          <w:rFonts w:ascii="Garamond" w:hAnsi="Garamond"/>
          <w:sz w:val="22"/>
          <w:szCs w:val="22"/>
          <w:lang w:val="en-US"/>
        </w:rPr>
        <w:t xml:space="preserve"> </w:t>
      </w:r>
    </w:p>
    <w:p w14:paraId="083F40CE" w14:textId="77777777" w:rsidR="00C57040" w:rsidRDefault="00C57040" w:rsidP="0053049D">
      <w:pPr>
        <w:spacing w:line="276" w:lineRule="auto"/>
        <w:jc w:val="both"/>
        <w:rPr>
          <w:rFonts w:ascii="Garamond" w:hAnsi="Garamond"/>
          <w:sz w:val="22"/>
          <w:szCs w:val="22"/>
          <w:lang w:val="en-US"/>
        </w:rPr>
      </w:pPr>
    </w:p>
    <w:p w14:paraId="3BAED00E" w14:textId="70583F7F" w:rsidR="00BB6ACE" w:rsidRDefault="00BB6ACE" w:rsidP="0053049D">
      <w:pPr>
        <w:spacing w:line="276" w:lineRule="auto"/>
        <w:jc w:val="both"/>
        <w:rPr>
          <w:rFonts w:ascii="Garamond" w:hAnsi="Garamond"/>
          <w:sz w:val="22"/>
          <w:szCs w:val="22"/>
        </w:rPr>
      </w:pPr>
      <w:r w:rsidRPr="000C5F84">
        <w:rPr>
          <w:rFonts w:ascii="Garamond" w:hAnsi="Garamond"/>
          <w:sz w:val="22"/>
          <w:szCs w:val="22"/>
        </w:rPr>
        <w:t xml:space="preserve">The Fourth Section of the European Court of Human Rights delivered a unanimous decision in this case. </w:t>
      </w:r>
      <w:r w:rsidR="000C5F84" w:rsidRPr="000C5F84">
        <w:rPr>
          <w:rFonts w:ascii="Garamond" w:hAnsi="Garamond"/>
          <w:sz w:val="22"/>
          <w:szCs w:val="22"/>
        </w:rPr>
        <w:t>The central issue it examined was whether the decisions handed down by the domestic courts of Portugal against the journalist violated her right to freedom of expression under Article 10 of the European Convention on Human Rights</w:t>
      </w:r>
      <w:r w:rsidR="00A808BF">
        <w:rPr>
          <w:rFonts w:ascii="Garamond" w:hAnsi="Garamond"/>
          <w:sz w:val="22"/>
          <w:szCs w:val="22"/>
        </w:rPr>
        <w:t>:</w:t>
      </w:r>
    </w:p>
    <w:p w14:paraId="11F5EEBC" w14:textId="77777777" w:rsidR="00A808BF" w:rsidRPr="00A808BF" w:rsidRDefault="00A808BF" w:rsidP="00A808BF">
      <w:pPr>
        <w:spacing w:line="276" w:lineRule="auto"/>
        <w:ind w:left="2268"/>
        <w:jc w:val="both"/>
        <w:rPr>
          <w:rFonts w:ascii="Garamond" w:hAnsi="Garamond"/>
          <w:i/>
          <w:iCs/>
          <w:sz w:val="22"/>
          <w:szCs w:val="22"/>
        </w:rPr>
      </w:pPr>
    </w:p>
    <w:p w14:paraId="5A118082" w14:textId="77777777" w:rsidR="00A808BF" w:rsidRPr="00A808BF" w:rsidRDefault="00A808BF" w:rsidP="00A808BF">
      <w:pPr>
        <w:spacing w:line="276" w:lineRule="auto"/>
        <w:ind w:left="2268"/>
        <w:jc w:val="both"/>
        <w:rPr>
          <w:rFonts w:ascii="Garamond" w:hAnsi="Garamond"/>
          <w:i/>
          <w:iCs/>
          <w:sz w:val="22"/>
          <w:szCs w:val="22"/>
        </w:rPr>
      </w:pPr>
      <w:r w:rsidRPr="00A808BF">
        <w:rPr>
          <w:rFonts w:ascii="Garamond" w:hAnsi="Garamond"/>
          <w:i/>
          <w:iCs/>
          <w:sz w:val="22"/>
          <w:szCs w:val="22"/>
        </w:rPr>
        <w:t xml:space="preserve">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14:paraId="482A703F" w14:textId="6002340F" w:rsidR="00A808BF" w:rsidRPr="00A808BF" w:rsidRDefault="00A808BF" w:rsidP="00A808BF">
      <w:pPr>
        <w:spacing w:line="276" w:lineRule="auto"/>
        <w:ind w:left="2268"/>
        <w:jc w:val="both"/>
        <w:rPr>
          <w:rFonts w:ascii="Garamond" w:hAnsi="Garamond"/>
          <w:i/>
          <w:iCs/>
          <w:sz w:val="22"/>
          <w:szCs w:val="22"/>
        </w:rPr>
      </w:pPr>
      <w:r w:rsidRPr="00A808BF">
        <w:rPr>
          <w:rFonts w:ascii="Garamond" w:hAnsi="Garamond"/>
          <w:i/>
          <w:iCs/>
          <w:sz w:val="22"/>
          <w:szCs w:val="22"/>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Pr>
          <w:rFonts w:ascii="Garamond" w:hAnsi="Garamond"/>
          <w:i/>
          <w:iCs/>
          <w:sz w:val="22"/>
          <w:szCs w:val="22"/>
        </w:rPr>
        <w:t>.</w:t>
      </w:r>
    </w:p>
    <w:p w14:paraId="41024C51" w14:textId="77777777" w:rsidR="000C5F84" w:rsidRPr="00653318" w:rsidRDefault="000C5F84" w:rsidP="0053049D">
      <w:pPr>
        <w:spacing w:line="276" w:lineRule="auto"/>
        <w:jc w:val="both"/>
        <w:rPr>
          <w:rFonts w:ascii="Garamond" w:hAnsi="Garamond"/>
          <w:sz w:val="22"/>
          <w:szCs w:val="22"/>
        </w:rPr>
      </w:pPr>
    </w:p>
    <w:p w14:paraId="56B4B898" w14:textId="1D14771F" w:rsidR="00653318" w:rsidRDefault="00A808BF" w:rsidP="00653318">
      <w:pPr>
        <w:spacing w:line="276" w:lineRule="auto"/>
        <w:jc w:val="both"/>
        <w:rPr>
          <w:rFonts w:ascii="Garamond" w:hAnsi="Garamond"/>
          <w:sz w:val="22"/>
          <w:szCs w:val="22"/>
          <w:lang w:val="en-US"/>
        </w:rPr>
      </w:pPr>
      <w:r w:rsidRPr="00A808BF">
        <w:rPr>
          <w:rFonts w:ascii="Garamond" w:hAnsi="Garamond"/>
          <w:sz w:val="22"/>
          <w:szCs w:val="22"/>
        </w:rPr>
        <w:t>Although the Court recognized prima facie that there was an interference with the journalist's freedom of expression, it considered that, given local legislation and the former minister's rights to privacy and the presumption of innocence, it was necessary to assess whether that interference was justified in a democratic society.</w:t>
      </w:r>
      <w:r w:rsidR="00653318">
        <w:rPr>
          <w:rFonts w:ascii="Garamond" w:hAnsi="Garamond"/>
          <w:sz w:val="22"/>
          <w:szCs w:val="22"/>
          <w:lang w:val="en-US"/>
        </w:rPr>
        <w:t xml:space="preserv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w:t>
      </w:r>
      <w:r w:rsidRPr="000E5211">
        <w:rPr>
          <w:rFonts w:ascii="Garamond" w:hAnsi="Garamond" w:cs="Open Sans"/>
          <w:color w:val="212529"/>
          <w:sz w:val="22"/>
          <w:szCs w:val="22"/>
          <w:shd w:val="clear" w:color="auto" w:fill="FFFFFF"/>
          <w:lang w:val="en-US"/>
        </w:rPr>
        <w:t xml:space="preserve"> </w:t>
      </w:r>
      <w:r>
        <w:rPr>
          <w:rFonts w:ascii="Garamond" w:hAnsi="Garamond" w:cs="Open Sans"/>
          <w:color w:val="212529"/>
          <w:sz w:val="22"/>
          <w:szCs w:val="22"/>
          <w:shd w:val="clear" w:color="auto" w:fill="FFFFFF"/>
          <w:lang w:val="en-US"/>
        </w:rPr>
        <w:t>12</w:t>
      </w:r>
      <w:r w:rsidRPr="000E5211">
        <w:rPr>
          <w:rFonts w:ascii="Garamond" w:hAnsi="Garamond" w:cs="Open Sans"/>
          <w:color w:val="212529"/>
          <w:sz w:val="22"/>
          <w:szCs w:val="22"/>
          <w:shd w:val="clear" w:color="auto" w:fill="FFFFFF"/>
          <w:lang w:val="en-US"/>
        </w:rPr>
        <w:t xml:space="preserve"> of the </w:t>
      </w:r>
      <w:proofErr w:type="spellStart"/>
      <w:r w:rsidRPr="000E5211">
        <w:rPr>
          <w:rFonts w:ascii="Garamond" w:hAnsi="Garamond" w:cs="Open Sans"/>
          <w:color w:val="212529"/>
          <w:sz w:val="22"/>
          <w:szCs w:val="22"/>
          <w:shd w:val="clear" w:color="auto" w:fill="FFFFFF"/>
          <w:lang w:val="en-US"/>
        </w:rPr>
        <w:t>ECtH</w:t>
      </w:r>
      <w:r>
        <w:rPr>
          <w:rFonts w:ascii="Garamond" w:hAnsi="Garamond" w:cs="Open Sans"/>
          <w:color w:val="212529"/>
          <w:sz w:val="22"/>
          <w:szCs w:val="22"/>
          <w:shd w:val="clear" w:color="auto" w:fill="FFFFFF"/>
          <w:lang w:val="en-US"/>
        </w:rPr>
        <w:t>’s</w:t>
      </w:r>
      <w:proofErr w:type="spellEnd"/>
      <w:r>
        <w:rPr>
          <w:rFonts w:ascii="Garamond" w:hAnsi="Garamond" w:cs="Open Sans"/>
          <w:color w:val="212529"/>
          <w:sz w:val="22"/>
          <w:szCs w:val="22"/>
          <w:shd w:val="clear" w:color="auto" w:fill="FFFFFF"/>
          <w:lang w:val="en-US"/>
        </w:rPr>
        <w:t xml:space="preserve"> decision]</w:t>
      </w:r>
      <w:r w:rsidR="000C5F84">
        <w:rPr>
          <w:rFonts w:ascii="Garamond" w:hAnsi="Garamond"/>
          <w:sz w:val="22"/>
          <w:szCs w:val="22"/>
          <w:lang w:val="en-US"/>
        </w:rPr>
        <w:t xml:space="preserve"> </w:t>
      </w:r>
      <w:r w:rsidRPr="00A808BF">
        <w:rPr>
          <w:rFonts w:ascii="Garamond" w:hAnsi="Garamond"/>
          <w:sz w:val="22"/>
          <w:szCs w:val="22"/>
        </w:rPr>
        <w:t xml:space="preserve">Thus, the Court summarized the relevant principles established in previous cases, including </w:t>
      </w:r>
      <w:hyperlink r:id="rId6" w:history="1">
        <w:proofErr w:type="spellStart"/>
        <w:r w:rsidRPr="00DB6435">
          <w:rPr>
            <w:rStyle w:val="Hyperlink"/>
            <w:rFonts w:ascii="Garamond" w:hAnsi="Garamond"/>
            <w:i/>
            <w:iCs/>
            <w:sz w:val="22"/>
            <w:szCs w:val="22"/>
          </w:rPr>
          <w:t>Bédat</w:t>
        </w:r>
        <w:proofErr w:type="spellEnd"/>
        <w:r w:rsidRPr="00DB6435">
          <w:rPr>
            <w:rStyle w:val="Hyperlink"/>
            <w:rFonts w:ascii="Garamond" w:hAnsi="Garamond"/>
            <w:i/>
            <w:iCs/>
            <w:sz w:val="22"/>
            <w:szCs w:val="22"/>
          </w:rPr>
          <w:t xml:space="preserve"> v. Switzerland</w:t>
        </w:r>
      </w:hyperlink>
      <w:r w:rsidRPr="00A808BF">
        <w:rPr>
          <w:rFonts w:ascii="Garamond" w:hAnsi="Garamond"/>
          <w:sz w:val="22"/>
          <w:szCs w:val="22"/>
        </w:rPr>
        <w:t xml:space="preserve"> (2016), </w:t>
      </w:r>
      <w:hyperlink r:id="rId7" w:history="1">
        <w:r w:rsidRPr="00DB6435">
          <w:rPr>
            <w:rStyle w:val="Hyperlink"/>
            <w:rFonts w:ascii="Garamond" w:hAnsi="Garamond"/>
            <w:i/>
            <w:iCs/>
            <w:sz w:val="22"/>
            <w:szCs w:val="22"/>
          </w:rPr>
          <w:t>Axel Springer AG v. Germany</w:t>
        </w:r>
      </w:hyperlink>
      <w:r w:rsidRPr="00A808BF">
        <w:rPr>
          <w:rFonts w:ascii="Garamond" w:hAnsi="Garamond"/>
          <w:sz w:val="22"/>
          <w:szCs w:val="22"/>
        </w:rPr>
        <w:t xml:space="preserve"> (2012), and </w:t>
      </w:r>
      <w:hyperlink r:id="rId8" w:history="1">
        <w:r w:rsidRPr="00DB6435">
          <w:rPr>
            <w:rStyle w:val="Hyperlink"/>
            <w:rFonts w:ascii="Garamond" w:hAnsi="Garamond"/>
            <w:i/>
            <w:iCs/>
            <w:sz w:val="22"/>
            <w:szCs w:val="22"/>
          </w:rPr>
          <w:t xml:space="preserve">Couderc and Hachette Filipacchi </w:t>
        </w:r>
        <w:proofErr w:type="spellStart"/>
        <w:r w:rsidRPr="00DB6435">
          <w:rPr>
            <w:rStyle w:val="Hyperlink"/>
            <w:rFonts w:ascii="Garamond" w:hAnsi="Garamond"/>
            <w:i/>
            <w:iCs/>
            <w:sz w:val="22"/>
            <w:szCs w:val="22"/>
          </w:rPr>
          <w:t>Associés</w:t>
        </w:r>
        <w:proofErr w:type="spellEnd"/>
        <w:r w:rsidRPr="00DB6435">
          <w:rPr>
            <w:rStyle w:val="Hyperlink"/>
            <w:rFonts w:ascii="Garamond" w:hAnsi="Garamond"/>
            <w:i/>
            <w:iCs/>
            <w:sz w:val="22"/>
            <w:szCs w:val="22"/>
          </w:rPr>
          <w:t xml:space="preserve"> v. France</w:t>
        </w:r>
      </w:hyperlink>
      <w:r w:rsidRPr="00A808BF">
        <w:rPr>
          <w:rFonts w:ascii="Garamond" w:hAnsi="Garamond"/>
          <w:sz w:val="22"/>
          <w:szCs w:val="22"/>
        </w:rPr>
        <w:t xml:space="preserve"> (2015), outlining the criteria for balancing the applicant’s right to freedom of expression with the protection of privacy and the presumption of innocence.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 13]</w:t>
      </w:r>
    </w:p>
    <w:p w14:paraId="1041F2CE" w14:textId="77777777" w:rsidR="00DF7A38" w:rsidRDefault="00DF7A38" w:rsidP="00DF7A38">
      <w:pPr>
        <w:spacing w:line="276" w:lineRule="auto"/>
        <w:jc w:val="both"/>
        <w:rPr>
          <w:rFonts w:ascii="Garamond" w:hAnsi="Garamond"/>
          <w:sz w:val="22"/>
          <w:szCs w:val="22"/>
          <w:lang w:val="en-US"/>
        </w:rPr>
      </w:pPr>
    </w:p>
    <w:p w14:paraId="1DDAF4CC" w14:textId="2633A93A" w:rsidR="003067F6" w:rsidRDefault="00653318" w:rsidP="00653318">
      <w:pPr>
        <w:spacing w:line="276" w:lineRule="auto"/>
        <w:jc w:val="both"/>
        <w:rPr>
          <w:rFonts w:ascii="Garamond" w:hAnsi="Garamond" w:cs="Open Sans"/>
          <w:color w:val="212529"/>
          <w:sz w:val="22"/>
          <w:szCs w:val="22"/>
          <w:shd w:val="clear" w:color="auto" w:fill="FFFFFF"/>
          <w:lang w:val="en-US"/>
        </w:rPr>
      </w:pPr>
      <w:r w:rsidRPr="00653318">
        <w:rPr>
          <w:rFonts w:ascii="Garamond" w:hAnsi="Garamond"/>
          <w:sz w:val="22"/>
          <w:szCs w:val="22"/>
          <w:lang w:val="en-US"/>
        </w:rPr>
        <w:t>The Court agreed with the domestic courts that the broadcast material was of considerable public interest, as it related to a judicial investigation into corruption and abuse of power by a high-ranking government official</w:t>
      </w:r>
      <w:r w:rsidR="003067F6">
        <w:rPr>
          <w:rFonts w:ascii="Garamond" w:hAnsi="Garamond"/>
          <w:sz w:val="22"/>
          <w:szCs w:val="22"/>
          <w:lang w:val="en-US"/>
        </w:rPr>
        <w:t xml:space="preserve">. </w:t>
      </w:r>
      <w:r w:rsidR="003067F6" w:rsidRPr="003067F6">
        <w:rPr>
          <w:rFonts w:ascii="Garamond" w:hAnsi="Garamond"/>
          <w:sz w:val="22"/>
          <w:szCs w:val="22"/>
        </w:rPr>
        <w:t xml:space="preserve">Referring to </w:t>
      </w:r>
      <w:r w:rsidR="003067F6" w:rsidRPr="003067F6">
        <w:rPr>
          <w:rFonts w:ascii="Garamond" w:hAnsi="Garamond"/>
          <w:i/>
          <w:iCs/>
          <w:sz w:val="22"/>
          <w:szCs w:val="22"/>
        </w:rPr>
        <w:t>Pinto Coelho v. Portugal</w:t>
      </w:r>
      <w:r w:rsidR="003067F6" w:rsidRPr="003067F6">
        <w:rPr>
          <w:rFonts w:ascii="Garamond" w:hAnsi="Garamond"/>
          <w:sz w:val="22"/>
          <w:szCs w:val="22"/>
        </w:rPr>
        <w:t xml:space="preserve"> </w:t>
      </w:r>
      <w:r w:rsidR="003067F6" w:rsidRPr="00A808BF">
        <w:rPr>
          <w:rFonts w:ascii="Garamond" w:hAnsi="Garamond"/>
          <w:sz w:val="22"/>
          <w:szCs w:val="22"/>
        </w:rPr>
        <w:t>(201</w:t>
      </w:r>
      <w:r w:rsidR="003067F6">
        <w:rPr>
          <w:rFonts w:ascii="Garamond" w:hAnsi="Garamond"/>
          <w:sz w:val="22"/>
          <w:szCs w:val="22"/>
        </w:rPr>
        <w:t>1</w:t>
      </w:r>
      <w:r w:rsidR="003067F6" w:rsidRPr="00A808BF">
        <w:rPr>
          <w:rFonts w:ascii="Garamond" w:hAnsi="Garamond"/>
          <w:sz w:val="22"/>
          <w:szCs w:val="22"/>
        </w:rPr>
        <w:t>)</w:t>
      </w:r>
      <w:r w:rsidR="003067F6">
        <w:rPr>
          <w:rFonts w:ascii="Garamond" w:hAnsi="Garamond"/>
          <w:sz w:val="22"/>
          <w:szCs w:val="22"/>
        </w:rPr>
        <w:t xml:space="preserve"> </w:t>
      </w:r>
      <w:r w:rsidR="003067F6" w:rsidRPr="003067F6">
        <w:rPr>
          <w:rFonts w:ascii="Garamond" w:hAnsi="Garamond"/>
          <w:sz w:val="22"/>
          <w:szCs w:val="22"/>
        </w:rPr>
        <w:t xml:space="preserve">and </w:t>
      </w:r>
      <w:r w:rsidR="003067F6" w:rsidRPr="003067F6">
        <w:rPr>
          <w:rFonts w:ascii="Garamond" w:hAnsi="Garamond"/>
          <w:i/>
          <w:iCs/>
          <w:sz w:val="22"/>
          <w:szCs w:val="22"/>
        </w:rPr>
        <w:t>Campos Dâmaso v. Portugal</w:t>
      </w:r>
      <w:r w:rsidR="003067F6">
        <w:rPr>
          <w:rFonts w:ascii="Garamond" w:hAnsi="Garamond"/>
          <w:i/>
          <w:iCs/>
          <w:sz w:val="22"/>
          <w:szCs w:val="22"/>
        </w:rPr>
        <w:t xml:space="preserve"> </w:t>
      </w:r>
      <w:r w:rsidR="003067F6" w:rsidRPr="00A808BF">
        <w:rPr>
          <w:rFonts w:ascii="Garamond" w:hAnsi="Garamond"/>
          <w:sz w:val="22"/>
          <w:szCs w:val="22"/>
        </w:rPr>
        <w:t>(20</w:t>
      </w:r>
      <w:r w:rsidR="003067F6">
        <w:rPr>
          <w:rFonts w:ascii="Garamond" w:hAnsi="Garamond"/>
          <w:sz w:val="22"/>
          <w:szCs w:val="22"/>
        </w:rPr>
        <w:t>08</w:t>
      </w:r>
      <w:r w:rsidR="003067F6" w:rsidRPr="00A808BF">
        <w:rPr>
          <w:rFonts w:ascii="Garamond" w:hAnsi="Garamond"/>
          <w:sz w:val="22"/>
          <w:szCs w:val="22"/>
        </w:rPr>
        <w:t>)</w:t>
      </w:r>
      <w:r w:rsidR="003067F6" w:rsidRPr="003067F6">
        <w:rPr>
          <w:rFonts w:ascii="Garamond" w:hAnsi="Garamond"/>
          <w:sz w:val="22"/>
          <w:szCs w:val="22"/>
        </w:rPr>
        <w:t>, the Court concluded that, in that position, "he [the former minister] inevitably and consciously exposed himself to a heightened level of scrutiny of his actions by both journalists and the general public</w:t>
      </w:r>
      <w:r w:rsidR="003067F6">
        <w:rPr>
          <w:rFonts w:ascii="Garamond" w:hAnsi="Garamond"/>
          <w:sz w:val="22"/>
          <w:szCs w:val="22"/>
        </w:rPr>
        <w:t xml:space="preserve">”. </w:t>
      </w:r>
      <w:r w:rsidR="003067F6">
        <w:rPr>
          <w:rFonts w:ascii="Garamond" w:hAnsi="Garamond" w:cs="Open Sans"/>
          <w:color w:val="212529"/>
          <w:sz w:val="22"/>
          <w:szCs w:val="22"/>
          <w:shd w:val="clear" w:color="auto" w:fill="FFFFFF"/>
        </w:rPr>
        <w:t>[</w:t>
      </w:r>
      <w:r w:rsidR="003067F6">
        <w:rPr>
          <w:rFonts w:ascii="Garamond" w:hAnsi="Garamond" w:cs="Open Sans"/>
          <w:color w:val="212529"/>
          <w:sz w:val="22"/>
          <w:szCs w:val="22"/>
          <w:shd w:val="clear" w:color="auto" w:fill="FFFFFF"/>
          <w:lang w:val="en-US"/>
        </w:rPr>
        <w:t>§ 14]</w:t>
      </w:r>
    </w:p>
    <w:p w14:paraId="5B190EBE" w14:textId="77777777" w:rsidR="003067F6" w:rsidRDefault="003067F6" w:rsidP="00653318">
      <w:pPr>
        <w:spacing w:line="276" w:lineRule="auto"/>
        <w:jc w:val="both"/>
        <w:rPr>
          <w:rFonts w:ascii="Garamond" w:hAnsi="Garamond"/>
          <w:sz w:val="22"/>
          <w:szCs w:val="22"/>
          <w:lang w:val="en-US"/>
        </w:rPr>
      </w:pPr>
    </w:p>
    <w:p w14:paraId="0EA675FA" w14:textId="6E8A98C3" w:rsidR="003067F6" w:rsidRPr="003067F6" w:rsidRDefault="003067F6" w:rsidP="003067F6">
      <w:pPr>
        <w:spacing w:line="276" w:lineRule="auto"/>
        <w:jc w:val="both"/>
        <w:rPr>
          <w:lang w:val="en-US"/>
        </w:rPr>
      </w:pPr>
      <w:r w:rsidRPr="003067F6">
        <w:rPr>
          <w:rFonts w:ascii="Garamond" w:hAnsi="Garamond"/>
          <w:sz w:val="22"/>
          <w:szCs w:val="22"/>
        </w:rPr>
        <w:t>The Court ruled that although the criminal proceedings established that Ferreira e Castro da Costa Laranjo breached domestic law by failing to obtain prior authorization and broadcasting excerpts from the hearing—material she received from a colleague interviewed as an auxiliary of the prosecutor—the domestic courts did not explain how the broadcast harmed the former minister given the extensive media coverage, why reporting without showing excerpts would have had a lesser impact, or how it affected the ongoing investigation.</w:t>
      </w:r>
      <w:r w:rsidRPr="003067F6">
        <w:rPr>
          <w:rFonts w:ascii="Garamond" w:hAnsi="Garamond"/>
          <w:sz w:val="22"/>
          <w:szCs w:val="22"/>
          <w:lang w:val="en-US"/>
        </w:rPr>
        <w:t xml:space="preserve"> </w:t>
      </w:r>
      <w:r w:rsidR="00D858EA">
        <w:rPr>
          <w:rFonts w:ascii="Garamond" w:hAnsi="Garamond"/>
          <w:sz w:val="22"/>
          <w:szCs w:val="22"/>
          <w:lang w:val="en-US"/>
        </w:rPr>
        <w:t xml:space="preserve">“[…] </w:t>
      </w:r>
      <w:r w:rsidRPr="003067F6">
        <w:rPr>
          <w:rFonts w:ascii="Garamond" w:hAnsi="Garamond"/>
          <w:sz w:val="22"/>
          <w:szCs w:val="22"/>
          <w:lang w:val="en-US"/>
        </w:rPr>
        <w:t>they did not explain how the</w:t>
      </w:r>
      <w:r>
        <w:rPr>
          <w:rFonts w:ascii="Garamond" w:hAnsi="Garamond"/>
          <w:sz w:val="22"/>
          <w:szCs w:val="22"/>
          <w:lang w:val="en-US"/>
        </w:rPr>
        <w:t xml:space="preserve"> </w:t>
      </w:r>
      <w:r w:rsidRPr="003067F6">
        <w:rPr>
          <w:rFonts w:ascii="Garamond" w:hAnsi="Garamond"/>
          <w:sz w:val="22"/>
          <w:szCs w:val="22"/>
          <w:lang w:val="en-US"/>
        </w:rPr>
        <w:t>impugned broadcasting exacerbated M.M.’s situation given the considerable</w:t>
      </w:r>
      <w:r>
        <w:rPr>
          <w:rFonts w:ascii="Garamond" w:hAnsi="Garamond"/>
          <w:sz w:val="22"/>
          <w:szCs w:val="22"/>
          <w:lang w:val="en-US"/>
        </w:rPr>
        <w:t xml:space="preserve"> </w:t>
      </w:r>
      <w:r w:rsidRPr="003067F6">
        <w:rPr>
          <w:rFonts w:ascii="Garamond" w:hAnsi="Garamond"/>
          <w:sz w:val="22"/>
          <w:szCs w:val="22"/>
          <w:lang w:val="en-US"/>
        </w:rPr>
        <w:t>media coverage of the criminal investigation against him at the time. They</w:t>
      </w:r>
      <w:r>
        <w:rPr>
          <w:rFonts w:ascii="Garamond" w:hAnsi="Garamond"/>
          <w:sz w:val="22"/>
          <w:szCs w:val="22"/>
          <w:lang w:val="en-US"/>
        </w:rPr>
        <w:t xml:space="preserve"> </w:t>
      </w:r>
      <w:r w:rsidRPr="003067F6">
        <w:rPr>
          <w:rFonts w:ascii="Garamond" w:hAnsi="Garamond"/>
          <w:sz w:val="22"/>
          <w:szCs w:val="22"/>
          <w:lang w:val="en-US"/>
        </w:rPr>
        <w:t>also failed to give reasons why retelling the hearing (without showing in</w:t>
      </w:r>
      <w:r>
        <w:rPr>
          <w:rFonts w:ascii="Garamond" w:hAnsi="Garamond"/>
          <w:sz w:val="22"/>
          <w:szCs w:val="22"/>
          <w:lang w:val="en-US"/>
        </w:rPr>
        <w:t xml:space="preserve"> </w:t>
      </w:r>
      <w:r w:rsidRPr="003067F6">
        <w:rPr>
          <w:rFonts w:ascii="Garamond" w:hAnsi="Garamond"/>
          <w:sz w:val="22"/>
          <w:szCs w:val="22"/>
          <w:lang w:val="en-US"/>
        </w:rPr>
        <w:t>public extracts thereof) would have affected M.M.’s rights to a lesser degree</w:t>
      </w:r>
      <w:r>
        <w:rPr>
          <w:rFonts w:ascii="Garamond" w:hAnsi="Garamond"/>
          <w:sz w:val="22"/>
          <w:szCs w:val="22"/>
          <w:lang w:val="en-US"/>
        </w:rPr>
        <w:t xml:space="preserve"> </w:t>
      </w:r>
      <w:r w:rsidRPr="003067F6">
        <w:rPr>
          <w:rFonts w:ascii="Garamond" w:hAnsi="Garamond"/>
          <w:sz w:val="22"/>
          <w:szCs w:val="22"/>
          <w:lang w:val="en-US"/>
        </w:rPr>
        <w:t>(see paragraph 5 above). Lastly, whereas they referred to the need to ensure</w:t>
      </w:r>
      <w:r>
        <w:rPr>
          <w:rFonts w:ascii="Garamond" w:hAnsi="Garamond"/>
          <w:sz w:val="22"/>
          <w:szCs w:val="22"/>
          <w:lang w:val="en-US"/>
        </w:rPr>
        <w:t xml:space="preserve"> </w:t>
      </w:r>
      <w:r w:rsidRPr="003067F6">
        <w:rPr>
          <w:rFonts w:ascii="Garamond" w:hAnsi="Garamond"/>
          <w:sz w:val="22"/>
          <w:szCs w:val="22"/>
          <w:lang w:val="en-US"/>
        </w:rPr>
        <w:t>proper administration of justice, they failed to show how the impugned</w:t>
      </w:r>
      <w:r>
        <w:rPr>
          <w:rFonts w:ascii="Garamond" w:hAnsi="Garamond"/>
          <w:sz w:val="22"/>
          <w:szCs w:val="22"/>
          <w:lang w:val="en-US"/>
        </w:rPr>
        <w:t xml:space="preserve"> </w:t>
      </w:r>
      <w:r w:rsidRPr="003067F6">
        <w:rPr>
          <w:rFonts w:ascii="Garamond" w:hAnsi="Garamond"/>
          <w:sz w:val="22"/>
          <w:szCs w:val="22"/>
          <w:lang w:val="en-US"/>
        </w:rPr>
        <w:t>broadcasting had affected the contemporaneous criminal investigation</w:t>
      </w:r>
      <w:r>
        <w:rPr>
          <w:rFonts w:ascii="Garamond" w:hAnsi="Garamond"/>
          <w:sz w:val="22"/>
          <w:szCs w:val="22"/>
          <w:lang w:val="en-US"/>
        </w:rPr>
        <w:t xml:space="preserve"> </w:t>
      </w:r>
      <w:r w:rsidRPr="003067F6">
        <w:rPr>
          <w:rFonts w:ascii="Garamond" w:hAnsi="Garamond"/>
          <w:sz w:val="22"/>
          <w:szCs w:val="22"/>
          <w:lang w:val="en-US"/>
        </w:rPr>
        <w:t>against M.M</w:t>
      </w:r>
      <w:r>
        <w:rPr>
          <w:rFonts w:ascii="Garamond" w:hAnsi="Garamond"/>
          <w:sz w:val="22"/>
          <w:szCs w:val="22"/>
          <w:lang w:val="en-US"/>
        </w:rPr>
        <w:t>”.</w:t>
      </w:r>
      <w:r w:rsidRPr="003067F6">
        <w:rPr>
          <w:rFonts w:ascii="Garamond" w:hAnsi="Garamond" w:cs="Open Sans"/>
          <w:color w:val="212529"/>
          <w:sz w:val="22"/>
          <w:szCs w:val="22"/>
          <w:shd w:val="clear" w:color="auto" w:fill="FFFFFF"/>
        </w:rPr>
        <w:t xml:space="preserve"> </w:t>
      </w:r>
      <w:r>
        <w:rPr>
          <w:rFonts w:ascii="Garamond" w:hAnsi="Garamond" w:cs="Open Sans"/>
          <w:color w:val="212529"/>
          <w:sz w:val="22"/>
          <w:szCs w:val="22"/>
          <w:shd w:val="clear" w:color="auto" w:fill="FFFFFF"/>
        </w:rPr>
        <w:t>[</w:t>
      </w:r>
      <w:r>
        <w:rPr>
          <w:rFonts w:ascii="Garamond" w:hAnsi="Garamond" w:cs="Open Sans"/>
          <w:color w:val="212529"/>
          <w:sz w:val="22"/>
          <w:szCs w:val="22"/>
          <w:shd w:val="clear" w:color="auto" w:fill="FFFFFF"/>
          <w:lang w:val="en-US"/>
        </w:rPr>
        <w:t>§ 15]</w:t>
      </w:r>
    </w:p>
    <w:p w14:paraId="41777518" w14:textId="77777777" w:rsidR="003067F6" w:rsidRDefault="003067F6" w:rsidP="00DF7A38">
      <w:pPr>
        <w:spacing w:line="276" w:lineRule="auto"/>
        <w:jc w:val="both"/>
        <w:rPr>
          <w:rFonts w:ascii="Garamond" w:hAnsi="Garamond"/>
          <w:sz w:val="22"/>
          <w:szCs w:val="22"/>
          <w:lang w:val="en-US"/>
        </w:rPr>
      </w:pPr>
    </w:p>
    <w:p w14:paraId="7961E3DA" w14:textId="6E762473" w:rsidR="00DF7A38" w:rsidRDefault="006822A7" w:rsidP="00DF7A38">
      <w:pPr>
        <w:spacing w:line="276" w:lineRule="auto"/>
        <w:jc w:val="both"/>
        <w:rPr>
          <w:rFonts w:ascii="Garamond" w:hAnsi="Garamond"/>
          <w:sz w:val="22"/>
          <w:szCs w:val="22"/>
        </w:rPr>
      </w:pPr>
      <w:r w:rsidRPr="006822A7">
        <w:rPr>
          <w:rFonts w:ascii="Garamond" w:hAnsi="Garamond"/>
          <w:sz w:val="22"/>
          <w:szCs w:val="22"/>
        </w:rPr>
        <w:t>Regarding the civ</w:t>
      </w:r>
      <w:r>
        <w:rPr>
          <w:rFonts w:ascii="Garamond" w:hAnsi="Garamond"/>
          <w:sz w:val="22"/>
          <w:szCs w:val="22"/>
        </w:rPr>
        <w:t>il</w:t>
      </w:r>
      <w:r w:rsidRPr="006822A7">
        <w:rPr>
          <w:rFonts w:ascii="Garamond" w:hAnsi="Garamond"/>
          <w:sz w:val="22"/>
          <w:szCs w:val="22"/>
        </w:rPr>
        <w:t xml:space="preserve"> fines imposed by the domestic courts, citing the cases </w:t>
      </w:r>
      <w:proofErr w:type="spellStart"/>
      <w:r w:rsidRPr="003067F6">
        <w:rPr>
          <w:rFonts w:ascii="Garamond" w:hAnsi="Garamond"/>
          <w:i/>
          <w:iCs/>
          <w:sz w:val="22"/>
          <w:szCs w:val="22"/>
        </w:rPr>
        <w:t>Medipress-Sociedade</w:t>
      </w:r>
      <w:proofErr w:type="spellEnd"/>
      <w:r w:rsidRPr="003067F6">
        <w:rPr>
          <w:rFonts w:ascii="Garamond" w:hAnsi="Garamond"/>
          <w:i/>
          <w:iCs/>
          <w:sz w:val="22"/>
          <w:szCs w:val="22"/>
        </w:rPr>
        <w:t xml:space="preserve"> </w:t>
      </w:r>
      <w:proofErr w:type="spellStart"/>
      <w:r w:rsidRPr="003067F6">
        <w:rPr>
          <w:rFonts w:ascii="Garamond" w:hAnsi="Garamond"/>
          <w:i/>
          <w:iCs/>
          <w:sz w:val="22"/>
          <w:szCs w:val="22"/>
        </w:rPr>
        <w:t>Jornalística</w:t>
      </w:r>
      <w:proofErr w:type="spellEnd"/>
      <w:r w:rsidRPr="003067F6">
        <w:rPr>
          <w:rFonts w:ascii="Garamond" w:hAnsi="Garamond"/>
          <w:i/>
          <w:iCs/>
          <w:sz w:val="22"/>
          <w:szCs w:val="22"/>
        </w:rPr>
        <w:t xml:space="preserve">, </w:t>
      </w:r>
      <w:proofErr w:type="spellStart"/>
      <w:r w:rsidRPr="003067F6">
        <w:rPr>
          <w:rFonts w:ascii="Garamond" w:hAnsi="Garamond"/>
          <w:i/>
          <w:iCs/>
          <w:sz w:val="22"/>
          <w:szCs w:val="22"/>
        </w:rPr>
        <w:t>Lda</w:t>
      </w:r>
      <w:proofErr w:type="spellEnd"/>
      <w:r w:rsidRPr="003067F6">
        <w:rPr>
          <w:rFonts w:ascii="Garamond" w:hAnsi="Garamond"/>
          <w:i/>
          <w:iCs/>
          <w:sz w:val="22"/>
          <w:szCs w:val="22"/>
        </w:rPr>
        <w:t xml:space="preserve"> v. Portugal</w:t>
      </w:r>
      <w:r w:rsidR="003067F6">
        <w:rPr>
          <w:rFonts w:ascii="Garamond" w:hAnsi="Garamond"/>
          <w:sz w:val="22"/>
          <w:szCs w:val="22"/>
        </w:rPr>
        <w:t xml:space="preserve"> (</w:t>
      </w:r>
      <w:r w:rsidRPr="006822A7">
        <w:rPr>
          <w:rFonts w:ascii="Garamond" w:hAnsi="Garamond"/>
          <w:sz w:val="22"/>
          <w:szCs w:val="22"/>
        </w:rPr>
        <w:t>2016</w:t>
      </w:r>
      <w:r w:rsidR="003067F6">
        <w:rPr>
          <w:rFonts w:ascii="Garamond" w:hAnsi="Garamond"/>
          <w:sz w:val="22"/>
          <w:szCs w:val="22"/>
        </w:rPr>
        <w:t>),</w:t>
      </w:r>
      <w:r w:rsidRPr="006822A7">
        <w:rPr>
          <w:rFonts w:ascii="Garamond" w:hAnsi="Garamond"/>
          <w:sz w:val="22"/>
          <w:szCs w:val="22"/>
        </w:rPr>
        <w:t xml:space="preserve"> </w:t>
      </w:r>
      <w:r w:rsidRPr="003067F6">
        <w:rPr>
          <w:rFonts w:ascii="Garamond" w:hAnsi="Garamond"/>
          <w:i/>
          <w:iCs/>
          <w:sz w:val="22"/>
          <w:szCs w:val="22"/>
        </w:rPr>
        <w:t xml:space="preserve">SIC - </w:t>
      </w:r>
      <w:proofErr w:type="spellStart"/>
      <w:r w:rsidRPr="003067F6">
        <w:rPr>
          <w:rFonts w:ascii="Garamond" w:hAnsi="Garamond"/>
          <w:i/>
          <w:iCs/>
          <w:sz w:val="22"/>
          <w:szCs w:val="22"/>
        </w:rPr>
        <w:t>Sociedade</w:t>
      </w:r>
      <w:proofErr w:type="spellEnd"/>
      <w:r w:rsidRPr="003067F6">
        <w:rPr>
          <w:rFonts w:ascii="Garamond" w:hAnsi="Garamond"/>
          <w:i/>
          <w:iCs/>
          <w:sz w:val="22"/>
          <w:szCs w:val="22"/>
        </w:rPr>
        <w:t xml:space="preserve"> Independente de </w:t>
      </w:r>
      <w:proofErr w:type="spellStart"/>
      <w:r w:rsidRPr="003067F6">
        <w:rPr>
          <w:rFonts w:ascii="Garamond" w:hAnsi="Garamond"/>
          <w:i/>
          <w:iCs/>
          <w:sz w:val="22"/>
          <w:szCs w:val="22"/>
        </w:rPr>
        <w:t>Comunicação</w:t>
      </w:r>
      <w:proofErr w:type="spellEnd"/>
      <w:r w:rsidRPr="003067F6">
        <w:rPr>
          <w:rFonts w:ascii="Garamond" w:hAnsi="Garamond"/>
          <w:i/>
          <w:iCs/>
          <w:sz w:val="22"/>
          <w:szCs w:val="22"/>
        </w:rPr>
        <w:t xml:space="preserve"> v. Portugal</w:t>
      </w:r>
      <w:r w:rsidR="003067F6">
        <w:rPr>
          <w:rFonts w:ascii="Garamond" w:hAnsi="Garamond"/>
          <w:sz w:val="22"/>
          <w:szCs w:val="22"/>
        </w:rPr>
        <w:t xml:space="preserve"> (</w:t>
      </w:r>
      <w:r w:rsidRPr="006822A7">
        <w:rPr>
          <w:rFonts w:ascii="Garamond" w:hAnsi="Garamond"/>
          <w:sz w:val="22"/>
          <w:szCs w:val="22"/>
        </w:rPr>
        <w:t>2021</w:t>
      </w:r>
      <w:r w:rsidR="003067F6">
        <w:rPr>
          <w:rFonts w:ascii="Garamond" w:hAnsi="Garamond"/>
          <w:sz w:val="22"/>
          <w:szCs w:val="22"/>
        </w:rPr>
        <w:t>) and</w:t>
      </w:r>
      <w:r w:rsidRPr="006822A7">
        <w:rPr>
          <w:rFonts w:ascii="Garamond" w:hAnsi="Garamond"/>
          <w:sz w:val="22"/>
          <w:szCs w:val="22"/>
        </w:rPr>
        <w:t xml:space="preserve"> </w:t>
      </w:r>
      <w:r w:rsidRPr="003067F6">
        <w:rPr>
          <w:rFonts w:ascii="Garamond" w:hAnsi="Garamond"/>
          <w:i/>
          <w:iCs/>
          <w:sz w:val="22"/>
          <w:szCs w:val="22"/>
        </w:rPr>
        <w:t>Pais Pires de Lima v. Portugal</w:t>
      </w:r>
      <w:r w:rsidR="003067F6">
        <w:rPr>
          <w:rFonts w:ascii="Garamond" w:hAnsi="Garamond"/>
          <w:sz w:val="22"/>
          <w:szCs w:val="22"/>
        </w:rPr>
        <w:t xml:space="preserve"> (</w:t>
      </w:r>
      <w:r w:rsidRPr="006822A7">
        <w:rPr>
          <w:rFonts w:ascii="Garamond" w:hAnsi="Garamond"/>
          <w:sz w:val="22"/>
          <w:szCs w:val="22"/>
        </w:rPr>
        <w:t>2019</w:t>
      </w:r>
      <w:r w:rsidR="003067F6">
        <w:rPr>
          <w:rFonts w:ascii="Garamond" w:hAnsi="Garamond"/>
          <w:sz w:val="22"/>
          <w:szCs w:val="22"/>
        </w:rPr>
        <w:t>)</w:t>
      </w:r>
      <w:r w:rsidRPr="006822A7">
        <w:rPr>
          <w:rFonts w:ascii="Garamond" w:hAnsi="Garamond"/>
          <w:sz w:val="22"/>
          <w:szCs w:val="22"/>
        </w:rPr>
        <w:t>, the ECtHR found that they were "significant" and "capable of discouraging the media from discussing matters of legitimate public concern and [had] a chilling effect on the freedom of expression and of the press</w:t>
      </w:r>
      <w:r w:rsidR="003067F6">
        <w:rPr>
          <w:rFonts w:ascii="Garamond" w:hAnsi="Garamond"/>
          <w:sz w:val="22"/>
          <w:szCs w:val="22"/>
        </w:rPr>
        <w:t>”.</w:t>
      </w:r>
      <w:r w:rsidR="00AA28BB">
        <w:rPr>
          <w:rFonts w:ascii="Garamond" w:hAnsi="Garamond"/>
          <w:sz w:val="22"/>
          <w:szCs w:val="22"/>
        </w:rPr>
        <w:t xml:space="preserve"> </w:t>
      </w:r>
      <w:r w:rsidR="00AA28BB">
        <w:rPr>
          <w:rFonts w:ascii="Garamond" w:hAnsi="Garamond" w:cs="Open Sans"/>
          <w:color w:val="212529"/>
          <w:sz w:val="22"/>
          <w:szCs w:val="22"/>
          <w:shd w:val="clear" w:color="auto" w:fill="FFFFFF"/>
        </w:rPr>
        <w:t>[</w:t>
      </w:r>
      <w:r w:rsidR="00AA28BB">
        <w:rPr>
          <w:rFonts w:ascii="Garamond" w:hAnsi="Garamond" w:cs="Open Sans"/>
          <w:color w:val="212529"/>
          <w:sz w:val="22"/>
          <w:szCs w:val="22"/>
          <w:shd w:val="clear" w:color="auto" w:fill="FFFFFF"/>
          <w:lang w:val="en-US"/>
        </w:rPr>
        <w:t xml:space="preserve">§ 16] </w:t>
      </w:r>
      <w:r w:rsidRPr="006822A7">
        <w:rPr>
          <w:rFonts w:ascii="Garamond" w:hAnsi="Garamond"/>
          <w:sz w:val="22"/>
          <w:szCs w:val="22"/>
        </w:rPr>
        <w:t xml:space="preserve">Moreover, relying on the </w:t>
      </w:r>
      <w:r w:rsidR="00AA28BB" w:rsidRPr="003B0156">
        <w:rPr>
          <w:rFonts w:ascii="Garamond" w:hAnsi="Garamond" w:cs="Open Sans"/>
          <w:i/>
          <w:iCs/>
          <w:sz w:val="22"/>
          <w:szCs w:val="22"/>
          <w:shd w:val="clear" w:color="auto" w:fill="FFFFFF"/>
        </w:rPr>
        <w:t>Pinto Coelho v. Portugal</w:t>
      </w:r>
      <w:r w:rsidR="00AA28BB">
        <w:rPr>
          <w:rFonts w:ascii="Garamond" w:hAnsi="Garamond"/>
          <w:i/>
          <w:iCs/>
          <w:sz w:val="22"/>
          <w:szCs w:val="22"/>
        </w:rPr>
        <w:t xml:space="preserve"> </w:t>
      </w:r>
      <w:r w:rsidR="003B0156" w:rsidRPr="003B0156">
        <w:rPr>
          <w:rFonts w:ascii="Garamond" w:hAnsi="Garamond"/>
          <w:sz w:val="22"/>
          <w:szCs w:val="22"/>
        </w:rPr>
        <w:t>(2011)</w:t>
      </w:r>
      <w:r w:rsidR="003B0156">
        <w:rPr>
          <w:rFonts w:ascii="Garamond" w:hAnsi="Garamond"/>
          <w:i/>
          <w:iCs/>
          <w:sz w:val="22"/>
          <w:szCs w:val="22"/>
        </w:rPr>
        <w:t xml:space="preserve"> </w:t>
      </w:r>
      <w:r w:rsidRPr="006822A7">
        <w:rPr>
          <w:rFonts w:ascii="Garamond" w:hAnsi="Garamond"/>
          <w:sz w:val="22"/>
          <w:szCs w:val="22"/>
        </w:rPr>
        <w:t xml:space="preserve">case, the Court also found that the sanction imposed in the criminal proceeding </w:t>
      </w:r>
      <w:r w:rsidR="00AA28BB">
        <w:rPr>
          <w:rFonts w:ascii="Garamond" w:hAnsi="Garamond"/>
          <w:sz w:val="22"/>
          <w:szCs w:val="22"/>
        </w:rPr>
        <w:t xml:space="preserve">— </w:t>
      </w:r>
      <w:r w:rsidRPr="006822A7">
        <w:rPr>
          <w:rFonts w:ascii="Garamond" w:hAnsi="Garamond"/>
          <w:sz w:val="22"/>
          <w:szCs w:val="22"/>
        </w:rPr>
        <w:t>eighty day-fines amounting to a total of 880 EUR</w:t>
      </w:r>
      <w:r w:rsidR="00AA28BB">
        <w:rPr>
          <w:rFonts w:ascii="Garamond" w:hAnsi="Garamond"/>
          <w:sz w:val="22"/>
          <w:szCs w:val="22"/>
        </w:rPr>
        <w:t xml:space="preserve"> —</w:t>
      </w:r>
      <w:r w:rsidRPr="006822A7">
        <w:rPr>
          <w:rFonts w:ascii="Garamond" w:hAnsi="Garamond"/>
          <w:sz w:val="22"/>
          <w:szCs w:val="22"/>
        </w:rPr>
        <w:t xml:space="preserve"> was "disproportionate in view of the particular circumstances of the case</w:t>
      </w:r>
      <w:r w:rsidR="00AA28BB">
        <w:rPr>
          <w:rFonts w:ascii="Garamond" w:hAnsi="Garamond"/>
          <w:sz w:val="22"/>
          <w:szCs w:val="22"/>
        </w:rPr>
        <w:t xml:space="preserve">”. </w:t>
      </w:r>
      <w:r w:rsidR="00AA28BB">
        <w:rPr>
          <w:rFonts w:ascii="Garamond" w:hAnsi="Garamond" w:cs="Open Sans"/>
          <w:color w:val="212529"/>
          <w:sz w:val="22"/>
          <w:szCs w:val="22"/>
          <w:shd w:val="clear" w:color="auto" w:fill="FFFFFF"/>
        </w:rPr>
        <w:t>[</w:t>
      </w:r>
      <w:r w:rsidR="00AA28BB">
        <w:rPr>
          <w:rFonts w:ascii="Garamond" w:hAnsi="Garamond" w:cs="Open Sans"/>
          <w:color w:val="212529"/>
          <w:sz w:val="22"/>
          <w:szCs w:val="22"/>
          <w:shd w:val="clear" w:color="auto" w:fill="FFFFFF"/>
          <w:lang w:val="en-US"/>
        </w:rPr>
        <w:t>§ 17]</w:t>
      </w:r>
    </w:p>
    <w:p w14:paraId="427F8A9F" w14:textId="77777777" w:rsidR="006822A7" w:rsidRDefault="006822A7" w:rsidP="00DF7A38">
      <w:pPr>
        <w:spacing w:line="276" w:lineRule="auto"/>
        <w:jc w:val="both"/>
        <w:rPr>
          <w:rFonts w:ascii="Garamond" w:hAnsi="Garamond"/>
          <w:sz w:val="22"/>
          <w:szCs w:val="22"/>
          <w:lang w:val="en-US"/>
        </w:rPr>
      </w:pPr>
    </w:p>
    <w:p w14:paraId="62155FD8" w14:textId="218EFD62" w:rsidR="0069358D" w:rsidRDefault="006822A7" w:rsidP="0053049D">
      <w:pPr>
        <w:spacing w:line="276" w:lineRule="auto"/>
        <w:jc w:val="both"/>
        <w:rPr>
          <w:rFonts w:ascii="Garamond" w:hAnsi="Garamond"/>
          <w:sz w:val="22"/>
          <w:szCs w:val="22"/>
        </w:rPr>
      </w:pPr>
      <w:r w:rsidRPr="006822A7">
        <w:rPr>
          <w:rFonts w:ascii="Garamond" w:hAnsi="Garamond"/>
          <w:sz w:val="22"/>
          <w:szCs w:val="22"/>
        </w:rPr>
        <w:t>Accordingly, given the disproportionate interference with the journalist's freedom of expression, the Court concluded that the domestic courts had violated Article 10 of the Convention.</w:t>
      </w:r>
    </w:p>
    <w:p w14:paraId="4250603E" w14:textId="77777777" w:rsidR="006822A7" w:rsidRPr="00DF7A38" w:rsidRDefault="006822A7" w:rsidP="0053049D">
      <w:pPr>
        <w:spacing w:line="276" w:lineRule="auto"/>
        <w:jc w:val="both"/>
        <w:rPr>
          <w:rFonts w:ascii="Garamond" w:hAnsi="Garamond"/>
          <w:sz w:val="22"/>
          <w:szCs w:val="22"/>
          <w:lang w:val="en-US"/>
        </w:rPr>
      </w:pPr>
    </w:p>
    <w:p w14:paraId="66E0BDC8" w14:textId="5235D650" w:rsidR="00BB2804" w:rsidRPr="007466E0" w:rsidRDefault="00BB2804" w:rsidP="0053049D">
      <w:pPr>
        <w:spacing w:line="276" w:lineRule="auto"/>
        <w:jc w:val="both"/>
        <w:rPr>
          <w:rFonts w:ascii="Garamond" w:hAnsi="Garamond"/>
          <w:sz w:val="22"/>
          <w:szCs w:val="22"/>
          <w:lang w:val="en-US"/>
        </w:rPr>
      </w:pPr>
      <w:r w:rsidRPr="007466E0">
        <w:rPr>
          <w:rFonts w:ascii="Garamond" w:hAnsi="Garamond"/>
          <w:b/>
          <w:bCs/>
          <w:i/>
          <w:iCs/>
          <w:sz w:val="22"/>
          <w:szCs w:val="22"/>
          <w:u w:val="single"/>
          <w:lang w:val="en-US"/>
        </w:rPr>
        <w:t>Direction:</w:t>
      </w:r>
    </w:p>
    <w:p w14:paraId="4BB21925" w14:textId="56E01EC2" w:rsidR="00BB2804" w:rsidRPr="007466E0" w:rsidRDefault="00BB2804" w:rsidP="0053049D">
      <w:pPr>
        <w:spacing w:line="276" w:lineRule="auto"/>
        <w:jc w:val="both"/>
        <w:rPr>
          <w:rFonts w:ascii="Garamond" w:hAnsi="Garamond"/>
          <w:b/>
          <w:bCs/>
          <w:sz w:val="22"/>
          <w:szCs w:val="22"/>
          <w:lang w:val="en-US"/>
        </w:rPr>
      </w:pPr>
    </w:p>
    <w:p w14:paraId="2EF389AA" w14:textId="5B2B53B2" w:rsidR="00043D5C" w:rsidRDefault="009E51D8" w:rsidP="0053049D">
      <w:pPr>
        <w:spacing w:line="276" w:lineRule="auto"/>
        <w:rPr>
          <w:rFonts w:ascii="Garamond" w:hAnsi="Garamond" w:cs="Segoe UI"/>
          <w:b/>
          <w:bCs/>
          <w:sz w:val="22"/>
          <w:szCs w:val="22"/>
          <w:shd w:val="clear" w:color="auto" w:fill="FFFFFF"/>
          <w:lang w:val="en-US"/>
        </w:rPr>
      </w:pPr>
      <w:r>
        <w:rPr>
          <w:rFonts w:ascii="Garamond" w:hAnsi="Garamond" w:cs="Segoe UI"/>
          <w:b/>
          <w:bCs/>
          <w:sz w:val="22"/>
          <w:szCs w:val="22"/>
          <w:shd w:val="clear" w:color="auto" w:fill="FFFFFF"/>
          <w:lang w:val="en-US"/>
        </w:rPr>
        <w:t>Expands expression</w:t>
      </w:r>
    </w:p>
    <w:p w14:paraId="374380EC" w14:textId="77777777" w:rsidR="00022C24" w:rsidRDefault="00022C24" w:rsidP="0053049D">
      <w:pPr>
        <w:spacing w:line="276" w:lineRule="auto"/>
        <w:rPr>
          <w:rFonts w:ascii="Garamond" w:hAnsi="Garamond" w:cs="Segoe UI"/>
          <w:b/>
          <w:bCs/>
          <w:sz w:val="22"/>
          <w:szCs w:val="22"/>
          <w:shd w:val="clear" w:color="auto" w:fill="FFFFFF"/>
          <w:lang w:val="en-US"/>
        </w:rPr>
      </w:pPr>
    </w:p>
    <w:p w14:paraId="3371791F" w14:textId="06F668C2" w:rsidR="00F32AF4" w:rsidRDefault="00AA28BB" w:rsidP="0053049D">
      <w:pPr>
        <w:spacing w:line="276" w:lineRule="auto"/>
        <w:jc w:val="both"/>
        <w:rPr>
          <w:rFonts w:ascii="Garamond" w:hAnsi="Garamond"/>
          <w:sz w:val="22"/>
          <w:szCs w:val="22"/>
        </w:rPr>
      </w:pPr>
      <w:r w:rsidRPr="00AA28BB">
        <w:rPr>
          <w:rFonts w:ascii="Garamond" w:hAnsi="Garamond"/>
          <w:sz w:val="22"/>
          <w:szCs w:val="22"/>
        </w:rPr>
        <w:t>This decision strengthened the protection of freedom of expression in journalistic reporting on matters of public interest. The Court stressed that criminal convictions and financial penalties could discourage journalists from covering high-profile investigations or public figures. It also reaffirmed that any restrictions must be carefully assessed to prevent disproportionate limits on press freedom.</w:t>
      </w:r>
    </w:p>
    <w:p w14:paraId="173FE173" w14:textId="77777777" w:rsidR="002F5D2A" w:rsidRDefault="002F5D2A" w:rsidP="0053049D">
      <w:pPr>
        <w:spacing w:line="276" w:lineRule="auto"/>
        <w:jc w:val="both"/>
        <w:rPr>
          <w:rFonts w:ascii="Garamond" w:hAnsi="Garamond"/>
          <w:sz w:val="22"/>
          <w:szCs w:val="22"/>
        </w:rPr>
      </w:pPr>
    </w:p>
    <w:p w14:paraId="07BFA2B1" w14:textId="16508BBA" w:rsidR="002F5D2A" w:rsidRDefault="002F5D2A" w:rsidP="0053049D">
      <w:pPr>
        <w:spacing w:line="276" w:lineRule="auto"/>
        <w:jc w:val="both"/>
        <w:rPr>
          <w:rFonts w:ascii="Garamond" w:hAnsi="Garamond"/>
          <w:sz w:val="22"/>
          <w:szCs w:val="22"/>
        </w:rPr>
      </w:pPr>
      <w:r w:rsidRPr="002F5D2A">
        <w:rPr>
          <w:rFonts w:ascii="Garamond" w:hAnsi="Garamond"/>
          <w:sz w:val="22"/>
          <w:szCs w:val="22"/>
        </w:rPr>
        <w:t>In the case of application 50253/18, also filed by journalist Ferreira e Castro da Costa Laranjo against decisions of Portuguese courts, she was convicted for publishing an article based on a taped telephone conversation between two politicians without their consent. The article, published in 2010, detailed a private exchange between A.V., a former Minister, and E.E., a Member of the European Parliament, obtained during high-profile criminal proceedings. However, in this case, the ECtHR declared the journalist’s application inadmissible, affirming that the courts had struck a fair balance between the conflicting rights. The Court emphasized that the publication was not in the public interest and served primarily to satisfy readers' curiosity, deeming the interference with the journalist’s freedom of expression proportionate and justified.</w:t>
      </w:r>
      <w:r>
        <w:rPr>
          <w:rFonts w:ascii="Garamond" w:hAnsi="Garamond"/>
          <w:sz w:val="22"/>
          <w:szCs w:val="22"/>
        </w:rPr>
        <w:t xml:space="preserve"> </w:t>
      </w:r>
      <w:r w:rsidRPr="002F5D2A">
        <w:rPr>
          <w:rFonts w:ascii="Garamond" w:hAnsi="Garamond"/>
          <w:b/>
          <w:bCs/>
          <w:sz w:val="22"/>
          <w:szCs w:val="22"/>
        </w:rPr>
        <w:t>(</w:t>
      </w:r>
      <w:r w:rsidRPr="002F5D2A">
        <w:rPr>
          <w:rFonts w:ascii="Garamond" w:hAnsi="Garamond"/>
          <w:b/>
          <w:bCs/>
          <w:sz w:val="22"/>
          <w:szCs w:val="22"/>
        </w:rPr>
        <w:t>https://globalfreedomofexpression.columbia.edu/?p=155012&amp;post_type=case&amp;preview_id=155012</w:t>
      </w:r>
      <w:r w:rsidRPr="002F5D2A">
        <w:rPr>
          <w:rFonts w:ascii="Garamond" w:hAnsi="Garamond"/>
          <w:b/>
          <w:bCs/>
          <w:sz w:val="22"/>
          <w:szCs w:val="22"/>
        </w:rPr>
        <w:t>)</w:t>
      </w:r>
    </w:p>
    <w:p w14:paraId="512B862F" w14:textId="77777777" w:rsidR="00AA28BB" w:rsidRDefault="00AA28BB" w:rsidP="0053049D">
      <w:pPr>
        <w:spacing w:line="276" w:lineRule="auto"/>
        <w:jc w:val="both"/>
        <w:rPr>
          <w:rFonts w:ascii="Garamond" w:hAnsi="Garamond"/>
          <w:sz w:val="22"/>
          <w:szCs w:val="22"/>
          <w:lang w:val="en-US"/>
        </w:rPr>
      </w:pPr>
    </w:p>
    <w:p w14:paraId="613E7E43" w14:textId="77777777" w:rsidR="002F5D2A" w:rsidRPr="001B0295" w:rsidRDefault="002F5D2A" w:rsidP="0053049D">
      <w:pPr>
        <w:spacing w:line="276" w:lineRule="auto"/>
        <w:jc w:val="both"/>
        <w:rPr>
          <w:rFonts w:ascii="Garamond" w:hAnsi="Garamond"/>
          <w:sz w:val="22"/>
          <w:szCs w:val="22"/>
          <w:lang w:val="en-US"/>
        </w:rPr>
      </w:pPr>
    </w:p>
    <w:p w14:paraId="261EAE6B" w14:textId="7A934A53" w:rsidR="00BB2804" w:rsidRPr="007466E0" w:rsidRDefault="00BB2804" w:rsidP="0053049D">
      <w:pPr>
        <w:spacing w:line="276" w:lineRule="auto"/>
        <w:jc w:val="both"/>
        <w:rPr>
          <w:rFonts w:ascii="Garamond" w:hAnsi="Garamond"/>
          <w:sz w:val="22"/>
          <w:szCs w:val="22"/>
          <w:lang w:val="en-US"/>
        </w:rPr>
      </w:pPr>
      <w:r w:rsidRPr="007466E0">
        <w:rPr>
          <w:rFonts w:ascii="Garamond" w:hAnsi="Garamond"/>
          <w:b/>
          <w:bCs/>
          <w:i/>
          <w:iCs/>
          <w:sz w:val="22"/>
          <w:szCs w:val="22"/>
          <w:u w:val="single"/>
          <w:lang w:val="en-US"/>
        </w:rPr>
        <w:lastRenderedPageBreak/>
        <w:t>Perspective</w:t>
      </w:r>
      <w:r w:rsidRPr="007466E0">
        <w:rPr>
          <w:rFonts w:ascii="Garamond" w:hAnsi="Garamond"/>
          <w:sz w:val="22"/>
          <w:szCs w:val="22"/>
          <w:lang w:val="en-US"/>
        </w:rPr>
        <w:t xml:space="preserve">: </w:t>
      </w:r>
    </w:p>
    <w:p w14:paraId="221FC9AA" w14:textId="77777777" w:rsidR="00737367" w:rsidRPr="007466E0" w:rsidRDefault="00737367" w:rsidP="0053049D">
      <w:pPr>
        <w:spacing w:line="276" w:lineRule="auto"/>
        <w:jc w:val="both"/>
        <w:rPr>
          <w:rFonts w:ascii="Garamond" w:hAnsi="Garamond"/>
          <w:sz w:val="22"/>
          <w:szCs w:val="22"/>
          <w:lang w:val="en-US"/>
        </w:rPr>
      </w:pPr>
    </w:p>
    <w:p w14:paraId="2C78066A" w14:textId="049119EC" w:rsidR="003B0156" w:rsidRPr="006822A7" w:rsidRDefault="003B0156" w:rsidP="003B0156">
      <w:pPr>
        <w:numPr>
          <w:ilvl w:val="0"/>
          <w:numId w:val="12"/>
        </w:numPr>
        <w:spacing w:line="276" w:lineRule="auto"/>
        <w:rPr>
          <w:rFonts w:ascii="Garamond" w:hAnsi="Garamond"/>
          <w:sz w:val="22"/>
          <w:szCs w:val="22"/>
          <w:lang w:val="de-DE"/>
        </w:rPr>
      </w:pPr>
      <w:hyperlink r:id="rId9" w:history="1">
        <w:hyperlink r:id="rId10" w:anchor="{" w:history="1">
          <w:r w:rsidRPr="006822A7">
            <w:rPr>
              <w:rStyle w:val="Hyperlink"/>
              <w:rFonts w:ascii="Garamond" w:hAnsi="Garamond"/>
              <w:sz w:val="22"/>
              <w:szCs w:val="22"/>
              <w:lang w:val="de-DE"/>
            </w:rPr>
            <w:t>ECtHR, Bédat v. Switzerland, App. No. 56925/08 (2016)</w:t>
          </w:r>
        </w:hyperlink>
      </w:hyperlink>
    </w:p>
    <w:p w14:paraId="139ACC87" w14:textId="299CC369" w:rsidR="003B0156" w:rsidRPr="006822A7" w:rsidRDefault="003B0156" w:rsidP="003B0156">
      <w:pPr>
        <w:numPr>
          <w:ilvl w:val="0"/>
          <w:numId w:val="12"/>
        </w:numPr>
        <w:spacing w:line="276" w:lineRule="auto"/>
        <w:rPr>
          <w:rFonts w:ascii="Garamond" w:hAnsi="Garamond"/>
          <w:sz w:val="22"/>
          <w:szCs w:val="22"/>
          <w:lang w:val="en-US"/>
        </w:rPr>
      </w:pPr>
      <w:hyperlink r:id="rId11" w:history="1">
        <w:r w:rsidRPr="006822A7">
          <w:rPr>
            <w:rStyle w:val="Hyperlink"/>
            <w:rFonts w:ascii="Garamond" w:hAnsi="Garamond"/>
            <w:sz w:val="22"/>
            <w:szCs w:val="22"/>
            <w:lang w:val="en-US"/>
          </w:rPr>
          <w:t>ECtHR, Axel Springer AG v. Germany, App. No.</w:t>
        </w:r>
        <w:r w:rsidRPr="00DB6435">
          <w:rPr>
            <w:rStyle w:val="Hyperlink"/>
            <w:rFonts w:ascii="TimesNewRomanPSMT" w:hAnsi="TimesNewRomanPSMT" w:cs="TimesNewRomanPSMT"/>
            <w:lang w:val="pt-BR"/>
            <w14:ligatures w14:val="standardContextual"/>
          </w:rPr>
          <w:t xml:space="preserve"> </w:t>
        </w:r>
        <w:r w:rsidRPr="00DB6435">
          <w:rPr>
            <w:rStyle w:val="Hyperlink"/>
            <w:rFonts w:ascii="Garamond" w:hAnsi="Garamond"/>
            <w:sz w:val="22"/>
            <w:szCs w:val="22"/>
            <w:lang w:val="pt-BR"/>
          </w:rPr>
          <w:t>39954/08</w:t>
        </w:r>
        <w:r w:rsidRPr="006822A7">
          <w:rPr>
            <w:rStyle w:val="Hyperlink"/>
            <w:rFonts w:ascii="Garamond" w:hAnsi="Garamond"/>
            <w:sz w:val="22"/>
            <w:szCs w:val="22"/>
            <w:lang w:val="en-US"/>
          </w:rPr>
          <w:t xml:space="preserve"> (201</w:t>
        </w:r>
        <w:r w:rsidRPr="00DB6435">
          <w:rPr>
            <w:rStyle w:val="Hyperlink"/>
            <w:rFonts w:ascii="Garamond" w:hAnsi="Garamond"/>
            <w:sz w:val="22"/>
            <w:szCs w:val="22"/>
            <w:lang w:val="en-US"/>
          </w:rPr>
          <w:t>2</w:t>
        </w:r>
        <w:r w:rsidRPr="006822A7">
          <w:rPr>
            <w:rStyle w:val="Hyperlink"/>
            <w:rFonts w:ascii="Garamond" w:hAnsi="Garamond"/>
            <w:sz w:val="22"/>
            <w:szCs w:val="22"/>
            <w:lang w:val="en-US"/>
          </w:rPr>
          <w:t>)</w:t>
        </w:r>
      </w:hyperlink>
    </w:p>
    <w:p w14:paraId="34A51D7A" w14:textId="439792D2" w:rsidR="003B0156" w:rsidRPr="006822A7" w:rsidRDefault="003B0156" w:rsidP="003B0156">
      <w:pPr>
        <w:numPr>
          <w:ilvl w:val="0"/>
          <w:numId w:val="12"/>
        </w:numPr>
        <w:spacing w:line="276" w:lineRule="auto"/>
        <w:rPr>
          <w:rFonts w:ascii="Garamond" w:hAnsi="Garamond"/>
          <w:sz w:val="22"/>
          <w:szCs w:val="22"/>
          <w:lang w:val="pt-BR"/>
        </w:rPr>
      </w:pPr>
      <w:hyperlink r:id="rId12" w:history="1">
        <w:hyperlink r:id="rId13" w:history="1">
          <w:r w:rsidRPr="006822A7">
            <w:rPr>
              <w:rStyle w:val="Hyperlink"/>
              <w:rFonts w:ascii="Garamond" w:hAnsi="Garamond"/>
              <w:sz w:val="22"/>
              <w:szCs w:val="22"/>
              <w:lang w:val="pt-BR"/>
            </w:rPr>
            <w:t>ECtHR, Couderc and Hachette Filipacchi Associés v. France, App. No. 40454/07 (201</w:t>
          </w:r>
          <w:r w:rsidRPr="00DB6435">
            <w:rPr>
              <w:rStyle w:val="Hyperlink"/>
              <w:rFonts w:ascii="Garamond" w:hAnsi="Garamond"/>
              <w:sz w:val="22"/>
              <w:szCs w:val="22"/>
              <w:lang w:val="pt-BR"/>
            </w:rPr>
            <w:t>5</w:t>
          </w:r>
          <w:r w:rsidRPr="006822A7">
            <w:rPr>
              <w:rStyle w:val="Hyperlink"/>
              <w:rFonts w:ascii="Garamond" w:hAnsi="Garamond"/>
              <w:sz w:val="22"/>
              <w:szCs w:val="22"/>
              <w:lang w:val="pt-BR"/>
            </w:rPr>
            <w:t>)</w:t>
          </w:r>
        </w:hyperlink>
      </w:hyperlink>
    </w:p>
    <w:p w14:paraId="71FFA6A2" w14:textId="17D4B63C" w:rsidR="003B0156" w:rsidRP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6822A7">
        <w:rPr>
          <w:rFonts w:ascii="Garamond" w:hAnsi="Garamond"/>
          <w:sz w:val="22"/>
          <w:szCs w:val="22"/>
          <w:lang w:val="pt-BR"/>
        </w:rPr>
        <w:t>, Campos Dâmaso v. Portugal, App. No. 17107/05 (2008)</w:t>
      </w:r>
    </w:p>
    <w:p w14:paraId="77A89B7F" w14:textId="77777777" w:rsidR="003B0156" w:rsidRPr="00F533A6" w:rsidRDefault="003B0156" w:rsidP="003B0156">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6822A7">
        <w:rPr>
          <w:rFonts w:ascii="Garamond" w:hAnsi="Garamond"/>
          <w:sz w:val="22"/>
          <w:szCs w:val="22"/>
          <w:lang w:val="pt-BR"/>
        </w:rPr>
        <w:t>, Pinto Coelho v. Portugal</w:t>
      </w:r>
      <w:r w:rsidRPr="00F533A6">
        <w:rPr>
          <w:rFonts w:ascii="Garamond" w:hAnsi="Garamond"/>
          <w:sz w:val="22"/>
          <w:szCs w:val="22"/>
          <w:lang w:val="pt-BR"/>
        </w:rPr>
        <w:t xml:space="preserve">, </w:t>
      </w:r>
      <w:r w:rsidRPr="006822A7">
        <w:rPr>
          <w:rFonts w:ascii="Garamond" w:hAnsi="Garamond"/>
          <w:sz w:val="22"/>
          <w:szCs w:val="22"/>
          <w:lang w:val="pt-BR"/>
        </w:rPr>
        <w:t xml:space="preserve">App. No. </w:t>
      </w:r>
      <w:r w:rsidRPr="00F533A6">
        <w:rPr>
          <w:rFonts w:ascii="Garamond" w:hAnsi="Garamond"/>
          <w:sz w:val="22"/>
          <w:szCs w:val="22"/>
          <w:lang w:val="pt-BR"/>
        </w:rPr>
        <w:t>28439</w:t>
      </w:r>
      <w:r w:rsidRPr="006822A7">
        <w:rPr>
          <w:rFonts w:ascii="Garamond" w:hAnsi="Garamond"/>
          <w:sz w:val="22"/>
          <w:szCs w:val="22"/>
          <w:lang w:val="pt-BR"/>
        </w:rPr>
        <w:t xml:space="preserve">/08 </w:t>
      </w:r>
      <w:r w:rsidRPr="00F533A6">
        <w:rPr>
          <w:rFonts w:ascii="Garamond" w:hAnsi="Garamond"/>
          <w:sz w:val="22"/>
          <w:szCs w:val="22"/>
          <w:lang w:val="pt-BR"/>
        </w:rPr>
        <w:t>(2011)</w:t>
      </w:r>
    </w:p>
    <w:p w14:paraId="1A6240B7" w14:textId="77777777" w:rsidR="003B0156" w:rsidRPr="00F533A6" w:rsidRDefault="003B0156" w:rsidP="003B0156">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F533A6">
        <w:rPr>
          <w:rFonts w:ascii="Garamond" w:hAnsi="Garamond"/>
          <w:sz w:val="22"/>
          <w:szCs w:val="22"/>
          <w:lang w:val="pt-BR"/>
        </w:rPr>
        <w:t xml:space="preserve">, </w:t>
      </w:r>
      <w:proofErr w:type="spellStart"/>
      <w:r w:rsidRPr="00F533A6">
        <w:rPr>
          <w:rFonts w:ascii="Garamond" w:hAnsi="Garamond"/>
          <w:sz w:val="22"/>
          <w:szCs w:val="22"/>
          <w:lang w:val="pt-BR"/>
        </w:rPr>
        <w:t>Medipress</w:t>
      </w:r>
      <w:proofErr w:type="spellEnd"/>
      <w:r w:rsidRPr="00F533A6">
        <w:rPr>
          <w:rFonts w:ascii="Garamond" w:hAnsi="Garamond"/>
          <w:sz w:val="22"/>
          <w:szCs w:val="22"/>
          <w:lang w:val="pt-BR"/>
        </w:rPr>
        <w:t xml:space="preserve">-Sociedade Jornalística, </w:t>
      </w:r>
      <w:proofErr w:type="spellStart"/>
      <w:r w:rsidRPr="00F533A6">
        <w:rPr>
          <w:rFonts w:ascii="Garamond" w:hAnsi="Garamond"/>
          <w:sz w:val="22"/>
          <w:szCs w:val="22"/>
          <w:lang w:val="pt-BR"/>
        </w:rPr>
        <w:t>Lda</w:t>
      </w:r>
      <w:proofErr w:type="spellEnd"/>
      <w:r w:rsidRPr="00F533A6">
        <w:rPr>
          <w:rFonts w:ascii="Garamond" w:hAnsi="Garamond"/>
          <w:sz w:val="22"/>
          <w:szCs w:val="22"/>
          <w:lang w:val="pt-BR"/>
        </w:rPr>
        <w:t xml:space="preserve"> v. Portugal, </w:t>
      </w:r>
      <w:r w:rsidRPr="006822A7">
        <w:rPr>
          <w:rFonts w:ascii="Garamond" w:hAnsi="Garamond"/>
          <w:sz w:val="22"/>
          <w:szCs w:val="22"/>
          <w:lang w:val="pt-BR"/>
        </w:rPr>
        <w:t xml:space="preserve">App. No. </w:t>
      </w:r>
      <w:r w:rsidRPr="00F533A6">
        <w:rPr>
          <w:rFonts w:ascii="Garamond" w:hAnsi="Garamond"/>
          <w:sz w:val="22"/>
          <w:szCs w:val="22"/>
          <w:lang w:val="pt-BR"/>
        </w:rPr>
        <w:t>55442/12</w:t>
      </w:r>
      <w:r w:rsidRPr="006822A7">
        <w:rPr>
          <w:rFonts w:ascii="Garamond" w:hAnsi="Garamond"/>
          <w:sz w:val="22"/>
          <w:szCs w:val="22"/>
          <w:lang w:val="pt-BR"/>
        </w:rPr>
        <w:t xml:space="preserve"> </w:t>
      </w:r>
      <w:r w:rsidRPr="00F533A6">
        <w:rPr>
          <w:rFonts w:ascii="Garamond" w:hAnsi="Garamond"/>
          <w:sz w:val="22"/>
          <w:szCs w:val="22"/>
          <w:lang w:val="pt-BR"/>
        </w:rPr>
        <w:t>(2016)</w:t>
      </w:r>
    </w:p>
    <w:p w14:paraId="13B3A56A" w14:textId="77777777" w:rsid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F533A6">
        <w:rPr>
          <w:rFonts w:ascii="Garamond" w:hAnsi="Garamond"/>
          <w:sz w:val="22"/>
          <w:szCs w:val="22"/>
          <w:lang w:val="pt-BR"/>
        </w:rPr>
        <w:t xml:space="preserve">, SIC - Sociedade Independente de Comunicação v. Portugal, </w:t>
      </w:r>
      <w:r w:rsidRPr="006822A7">
        <w:rPr>
          <w:rFonts w:ascii="Garamond" w:hAnsi="Garamond"/>
          <w:sz w:val="22"/>
          <w:szCs w:val="22"/>
          <w:lang w:val="pt-BR"/>
        </w:rPr>
        <w:t xml:space="preserve">App. No. </w:t>
      </w:r>
      <w:r w:rsidRPr="00F533A6">
        <w:rPr>
          <w:rFonts w:ascii="Garamond" w:hAnsi="Garamond"/>
          <w:sz w:val="22"/>
          <w:szCs w:val="22"/>
          <w:lang w:val="pt-BR"/>
        </w:rPr>
        <w:t>29856/13 (2021)</w:t>
      </w:r>
    </w:p>
    <w:p w14:paraId="4949B4F4" w14:textId="45C78E87" w:rsidR="003B0156" w:rsidRPr="00DB6435" w:rsidRDefault="003B0156" w:rsidP="00DB6435">
      <w:pPr>
        <w:numPr>
          <w:ilvl w:val="0"/>
          <w:numId w:val="12"/>
        </w:numPr>
        <w:spacing w:line="276" w:lineRule="auto"/>
        <w:rPr>
          <w:rFonts w:ascii="Garamond" w:hAnsi="Garamond"/>
          <w:sz w:val="22"/>
          <w:szCs w:val="22"/>
          <w:lang w:val="pt-BR"/>
        </w:rPr>
      </w:pPr>
      <w:proofErr w:type="spellStart"/>
      <w:r w:rsidRPr="006822A7">
        <w:rPr>
          <w:rFonts w:ascii="Garamond" w:hAnsi="Garamond"/>
          <w:sz w:val="22"/>
          <w:szCs w:val="22"/>
          <w:lang w:val="pt-BR"/>
        </w:rPr>
        <w:t>ECtHR</w:t>
      </w:r>
      <w:proofErr w:type="spellEnd"/>
      <w:r w:rsidRPr="00DB6435">
        <w:rPr>
          <w:rFonts w:ascii="Garamond" w:hAnsi="Garamond"/>
          <w:sz w:val="22"/>
          <w:szCs w:val="22"/>
          <w:lang w:val="pt-BR"/>
        </w:rPr>
        <w:t xml:space="preserve">, Pais Pires de Lima v. Portugal, </w:t>
      </w:r>
      <w:r w:rsidRPr="006822A7">
        <w:rPr>
          <w:rFonts w:ascii="Garamond" w:hAnsi="Garamond"/>
          <w:sz w:val="22"/>
          <w:szCs w:val="22"/>
          <w:lang w:val="pt-BR"/>
        </w:rPr>
        <w:t>App.</w:t>
      </w:r>
      <w:r w:rsidRPr="00DB6435">
        <w:rPr>
          <w:rFonts w:ascii="Garamond" w:hAnsi="Garamond"/>
          <w:sz w:val="22"/>
          <w:szCs w:val="22"/>
          <w:lang w:val="pt-BR"/>
        </w:rPr>
        <w:t xml:space="preserve"> 70465/12 (2019)</w:t>
      </w:r>
    </w:p>
    <w:p w14:paraId="32D6DE66" w14:textId="77777777" w:rsidR="00DF7A38" w:rsidRDefault="00DF7A38" w:rsidP="0053049D">
      <w:pPr>
        <w:spacing w:line="276" w:lineRule="auto"/>
        <w:rPr>
          <w:rFonts w:ascii="Garamond" w:hAnsi="Garamond"/>
          <w:b/>
          <w:bCs/>
          <w:i/>
          <w:iCs/>
          <w:sz w:val="22"/>
          <w:szCs w:val="22"/>
          <w:u w:val="single"/>
          <w:lang w:val="pt-BR"/>
        </w:rPr>
      </w:pPr>
    </w:p>
    <w:p w14:paraId="5C639FC8" w14:textId="77777777" w:rsidR="006822A7" w:rsidRDefault="006822A7" w:rsidP="006822A7">
      <w:pPr>
        <w:spacing w:line="276" w:lineRule="auto"/>
        <w:rPr>
          <w:rFonts w:ascii="Garamond" w:hAnsi="Garamond"/>
          <w:b/>
          <w:bCs/>
          <w:i/>
          <w:iCs/>
          <w:sz w:val="22"/>
          <w:szCs w:val="22"/>
          <w:u w:val="single"/>
          <w:lang w:val="pt-BR"/>
        </w:rPr>
      </w:pPr>
      <w:proofErr w:type="spellStart"/>
      <w:r w:rsidRPr="006822A7">
        <w:rPr>
          <w:rFonts w:ascii="Garamond" w:hAnsi="Garamond"/>
          <w:b/>
          <w:bCs/>
          <w:i/>
          <w:iCs/>
          <w:sz w:val="22"/>
          <w:szCs w:val="22"/>
          <w:u w:val="single"/>
          <w:lang w:val="pt-BR"/>
        </w:rPr>
        <w:t>National</w:t>
      </w:r>
      <w:proofErr w:type="spellEnd"/>
      <w:r w:rsidRPr="006822A7">
        <w:rPr>
          <w:rFonts w:ascii="Garamond" w:hAnsi="Garamond"/>
          <w:b/>
          <w:bCs/>
          <w:i/>
          <w:iCs/>
          <w:sz w:val="22"/>
          <w:szCs w:val="22"/>
          <w:u w:val="single"/>
          <w:lang w:val="pt-BR"/>
        </w:rPr>
        <w:t xml:space="preserve"> standards, </w:t>
      </w:r>
      <w:proofErr w:type="spellStart"/>
      <w:r w:rsidRPr="006822A7">
        <w:rPr>
          <w:rFonts w:ascii="Garamond" w:hAnsi="Garamond"/>
          <w:b/>
          <w:bCs/>
          <w:i/>
          <w:iCs/>
          <w:sz w:val="22"/>
          <w:szCs w:val="22"/>
          <w:u w:val="single"/>
          <w:lang w:val="pt-BR"/>
        </w:rPr>
        <w:t>law</w:t>
      </w:r>
      <w:proofErr w:type="spellEnd"/>
      <w:r w:rsidRPr="006822A7">
        <w:rPr>
          <w:rFonts w:ascii="Garamond" w:hAnsi="Garamond"/>
          <w:b/>
          <w:bCs/>
          <w:i/>
          <w:iCs/>
          <w:sz w:val="22"/>
          <w:szCs w:val="22"/>
          <w:u w:val="single"/>
          <w:lang w:val="pt-BR"/>
        </w:rPr>
        <w:t xml:space="preserve"> </w:t>
      </w:r>
      <w:proofErr w:type="spellStart"/>
      <w:r w:rsidRPr="006822A7">
        <w:rPr>
          <w:rFonts w:ascii="Garamond" w:hAnsi="Garamond"/>
          <w:b/>
          <w:bCs/>
          <w:i/>
          <w:iCs/>
          <w:sz w:val="22"/>
          <w:szCs w:val="22"/>
          <w:u w:val="single"/>
          <w:lang w:val="pt-BR"/>
        </w:rPr>
        <w:t>or</w:t>
      </w:r>
      <w:proofErr w:type="spellEnd"/>
      <w:r w:rsidRPr="006822A7">
        <w:rPr>
          <w:rFonts w:ascii="Garamond" w:hAnsi="Garamond"/>
          <w:b/>
          <w:bCs/>
          <w:i/>
          <w:iCs/>
          <w:sz w:val="22"/>
          <w:szCs w:val="22"/>
          <w:u w:val="single"/>
          <w:lang w:val="pt-BR"/>
        </w:rPr>
        <w:t xml:space="preserve"> </w:t>
      </w:r>
      <w:proofErr w:type="spellStart"/>
      <w:r w:rsidRPr="006822A7">
        <w:rPr>
          <w:rFonts w:ascii="Garamond" w:hAnsi="Garamond"/>
          <w:b/>
          <w:bCs/>
          <w:i/>
          <w:iCs/>
          <w:sz w:val="22"/>
          <w:szCs w:val="22"/>
          <w:u w:val="single"/>
          <w:lang w:val="pt-BR"/>
        </w:rPr>
        <w:t>jurisprudence</w:t>
      </w:r>
      <w:proofErr w:type="spellEnd"/>
    </w:p>
    <w:p w14:paraId="27C72ACE" w14:textId="77777777" w:rsidR="00F533A6" w:rsidRPr="006822A7" w:rsidRDefault="00F533A6" w:rsidP="006822A7">
      <w:pPr>
        <w:spacing w:line="276" w:lineRule="auto"/>
        <w:rPr>
          <w:rFonts w:ascii="Garamond" w:hAnsi="Garamond"/>
          <w:b/>
          <w:bCs/>
          <w:i/>
          <w:iCs/>
          <w:sz w:val="22"/>
          <w:szCs w:val="22"/>
          <w:u w:val="single"/>
          <w:lang w:val="pt-BR"/>
        </w:rPr>
      </w:pPr>
    </w:p>
    <w:p w14:paraId="6A9258C8" w14:textId="77777777" w:rsidR="00F533A6" w:rsidRPr="006822A7" w:rsidRDefault="00F533A6" w:rsidP="00F533A6">
      <w:pPr>
        <w:numPr>
          <w:ilvl w:val="0"/>
          <w:numId w:val="13"/>
        </w:numPr>
        <w:spacing w:line="276" w:lineRule="auto"/>
        <w:rPr>
          <w:rFonts w:ascii="Garamond" w:hAnsi="Garamond"/>
          <w:sz w:val="22"/>
          <w:szCs w:val="22"/>
          <w:lang w:val="fr-FR"/>
        </w:rPr>
      </w:pPr>
      <w:r w:rsidRPr="006822A7">
        <w:rPr>
          <w:rFonts w:ascii="Garamond" w:hAnsi="Garamond"/>
          <w:sz w:val="22"/>
          <w:szCs w:val="22"/>
          <w:lang w:val="fr-FR"/>
        </w:rPr>
        <w:t>Port., Penal Code of Portugal</w:t>
      </w:r>
      <w:r w:rsidRPr="008F5D0D">
        <w:rPr>
          <w:rFonts w:ascii="Garamond" w:hAnsi="Garamond"/>
          <w:sz w:val="22"/>
          <w:szCs w:val="22"/>
          <w:lang w:val="fr-FR"/>
        </w:rPr>
        <w:t>, Arti</w:t>
      </w:r>
      <w:r>
        <w:rPr>
          <w:rFonts w:ascii="Garamond" w:hAnsi="Garamond"/>
          <w:sz w:val="22"/>
          <w:szCs w:val="22"/>
          <w:lang w:val="fr-FR"/>
        </w:rPr>
        <w:t>cle 348, §1 a)</w:t>
      </w:r>
    </w:p>
    <w:p w14:paraId="0B64D716" w14:textId="77777777" w:rsidR="00F533A6" w:rsidRPr="006822A7" w:rsidRDefault="00F533A6" w:rsidP="00F533A6">
      <w:pPr>
        <w:numPr>
          <w:ilvl w:val="0"/>
          <w:numId w:val="13"/>
        </w:numPr>
        <w:spacing w:line="276" w:lineRule="auto"/>
        <w:rPr>
          <w:rFonts w:ascii="Garamond" w:hAnsi="Garamond"/>
          <w:sz w:val="22"/>
          <w:szCs w:val="22"/>
          <w:lang w:val="pt-BR"/>
        </w:rPr>
      </w:pPr>
      <w:r w:rsidRPr="006822A7">
        <w:rPr>
          <w:rFonts w:ascii="Garamond" w:hAnsi="Garamond"/>
          <w:sz w:val="22"/>
          <w:szCs w:val="22"/>
          <w:lang w:val="pt-BR"/>
        </w:rPr>
        <w:t xml:space="preserve">Port., </w:t>
      </w:r>
      <w:proofErr w:type="spellStart"/>
      <w:r w:rsidRPr="006822A7">
        <w:rPr>
          <w:rFonts w:ascii="Garamond" w:hAnsi="Garamond"/>
          <w:sz w:val="22"/>
          <w:szCs w:val="22"/>
          <w:lang w:val="pt-BR"/>
        </w:rPr>
        <w:t>Code</w:t>
      </w:r>
      <w:proofErr w:type="spellEnd"/>
      <w:r w:rsidRPr="006822A7">
        <w:rPr>
          <w:rFonts w:ascii="Garamond" w:hAnsi="Garamond"/>
          <w:sz w:val="22"/>
          <w:szCs w:val="22"/>
          <w:lang w:val="pt-BR"/>
        </w:rPr>
        <w:t xml:space="preserve"> </w:t>
      </w:r>
      <w:proofErr w:type="spellStart"/>
      <w:r w:rsidRPr="006822A7">
        <w:rPr>
          <w:rFonts w:ascii="Garamond" w:hAnsi="Garamond"/>
          <w:sz w:val="22"/>
          <w:szCs w:val="22"/>
          <w:lang w:val="pt-BR"/>
        </w:rPr>
        <w:t>of</w:t>
      </w:r>
      <w:proofErr w:type="spellEnd"/>
      <w:r w:rsidRPr="006822A7">
        <w:rPr>
          <w:rFonts w:ascii="Garamond" w:hAnsi="Garamond"/>
          <w:sz w:val="22"/>
          <w:szCs w:val="22"/>
          <w:lang w:val="pt-BR"/>
        </w:rPr>
        <w:t xml:space="preserve"> Criminal Procedure, </w:t>
      </w:r>
      <w:proofErr w:type="spellStart"/>
      <w:r w:rsidRPr="006822A7">
        <w:rPr>
          <w:rFonts w:ascii="Garamond" w:hAnsi="Garamond"/>
          <w:sz w:val="22"/>
          <w:szCs w:val="22"/>
          <w:lang w:val="pt-BR"/>
        </w:rPr>
        <w:t>Article</w:t>
      </w:r>
      <w:proofErr w:type="spellEnd"/>
      <w:r w:rsidRPr="006822A7">
        <w:rPr>
          <w:rFonts w:ascii="Garamond" w:hAnsi="Garamond"/>
          <w:sz w:val="22"/>
          <w:szCs w:val="22"/>
          <w:lang w:val="pt-BR"/>
        </w:rPr>
        <w:t xml:space="preserve"> 88 § 2 b)</w:t>
      </w:r>
    </w:p>
    <w:p w14:paraId="369C2615" w14:textId="77777777" w:rsidR="00F533A6" w:rsidRDefault="00F533A6" w:rsidP="00F533A6">
      <w:pPr>
        <w:numPr>
          <w:ilvl w:val="0"/>
          <w:numId w:val="13"/>
        </w:numPr>
        <w:spacing w:line="276" w:lineRule="auto"/>
        <w:rPr>
          <w:rFonts w:ascii="Garamond" w:hAnsi="Garamond"/>
          <w:sz w:val="22"/>
          <w:szCs w:val="22"/>
          <w:lang w:val="en-US"/>
        </w:rPr>
      </w:pPr>
      <w:r w:rsidRPr="006822A7">
        <w:rPr>
          <w:rFonts w:ascii="Garamond" w:hAnsi="Garamond"/>
          <w:sz w:val="22"/>
          <w:szCs w:val="22"/>
          <w:lang w:val="en-US"/>
        </w:rPr>
        <w:t xml:space="preserve">Port., Law no. 27/2007 (Law </w:t>
      </w:r>
      <w:proofErr w:type="gramStart"/>
      <w:r w:rsidRPr="006822A7">
        <w:rPr>
          <w:rFonts w:ascii="Garamond" w:hAnsi="Garamond"/>
          <w:sz w:val="22"/>
          <w:szCs w:val="22"/>
          <w:lang w:val="en-US"/>
        </w:rPr>
        <w:t>of</w:t>
      </w:r>
      <w:proofErr w:type="gramEnd"/>
      <w:r w:rsidRPr="006822A7">
        <w:rPr>
          <w:rFonts w:ascii="Garamond" w:hAnsi="Garamond"/>
          <w:sz w:val="22"/>
          <w:szCs w:val="22"/>
          <w:lang w:val="en-US"/>
        </w:rPr>
        <w:t xml:space="preserve"> Television), Article 70 § 2</w:t>
      </w:r>
    </w:p>
    <w:p w14:paraId="1F6DCB39" w14:textId="77777777" w:rsidR="00F533A6" w:rsidRDefault="00F533A6" w:rsidP="00F533A6">
      <w:pPr>
        <w:numPr>
          <w:ilvl w:val="0"/>
          <w:numId w:val="13"/>
        </w:numPr>
        <w:spacing w:line="276" w:lineRule="auto"/>
        <w:rPr>
          <w:rFonts w:ascii="Garamond" w:hAnsi="Garamond"/>
          <w:sz w:val="22"/>
          <w:szCs w:val="22"/>
          <w:lang w:val="en-US"/>
        </w:rPr>
      </w:pPr>
      <w:r>
        <w:rPr>
          <w:rFonts w:ascii="Garamond" w:hAnsi="Garamond"/>
          <w:sz w:val="22"/>
          <w:szCs w:val="22"/>
          <w:lang w:val="en-US"/>
        </w:rPr>
        <w:t>Port., Code of Civil Procedure, Article 623</w:t>
      </w:r>
    </w:p>
    <w:p w14:paraId="521A0A25" w14:textId="77777777" w:rsidR="00F533A6" w:rsidRPr="006822A7" w:rsidRDefault="00F533A6" w:rsidP="00F533A6">
      <w:pPr>
        <w:numPr>
          <w:ilvl w:val="0"/>
          <w:numId w:val="13"/>
        </w:numPr>
        <w:spacing w:line="276" w:lineRule="auto"/>
        <w:rPr>
          <w:rFonts w:ascii="Garamond" w:hAnsi="Garamond"/>
          <w:sz w:val="22"/>
          <w:szCs w:val="22"/>
          <w:lang w:val="en-US"/>
        </w:rPr>
      </w:pPr>
      <w:r>
        <w:rPr>
          <w:rFonts w:ascii="Garamond" w:hAnsi="Garamond"/>
          <w:sz w:val="22"/>
          <w:szCs w:val="22"/>
          <w:lang w:val="en-US"/>
        </w:rPr>
        <w:t>Port., Civil Code, Article 500</w:t>
      </w:r>
    </w:p>
    <w:p w14:paraId="25E08873" w14:textId="77777777" w:rsidR="006822A7" w:rsidRPr="006822A7" w:rsidRDefault="006822A7" w:rsidP="0053049D">
      <w:pPr>
        <w:spacing w:line="276" w:lineRule="auto"/>
        <w:rPr>
          <w:rFonts w:ascii="Garamond" w:hAnsi="Garamond"/>
          <w:b/>
          <w:bCs/>
          <w:i/>
          <w:iCs/>
          <w:sz w:val="22"/>
          <w:szCs w:val="22"/>
          <w:u w:val="single"/>
          <w:lang w:val="en-US"/>
        </w:rPr>
      </w:pPr>
    </w:p>
    <w:p w14:paraId="0025AE7F" w14:textId="77777777" w:rsidR="006822A7" w:rsidRPr="006822A7" w:rsidRDefault="006822A7" w:rsidP="0053049D">
      <w:pPr>
        <w:spacing w:line="276" w:lineRule="auto"/>
        <w:rPr>
          <w:rFonts w:ascii="Garamond" w:hAnsi="Garamond"/>
          <w:b/>
          <w:bCs/>
          <w:i/>
          <w:iCs/>
          <w:sz w:val="22"/>
          <w:szCs w:val="22"/>
          <w:u w:val="single"/>
          <w:lang w:val="en-US"/>
        </w:rPr>
      </w:pPr>
    </w:p>
    <w:p w14:paraId="677CCE68" w14:textId="1B1FED14" w:rsidR="00BB2804" w:rsidRPr="0008603F" w:rsidRDefault="00BB2804" w:rsidP="0053049D">
      <w:pPr>
        <w:spacing w:line="276" w:lineRule="auto"/>
        <w:rPr>
          <w:rFonts w:ascii="Garamond" w:hAnsi="Garamond"/>
          <w:sz w:val="22"/>
          <w:szCs w:val="22"/>
          <w:lang w:val="en-US"/>
        </w:rPr>
      </w:pPr>
      <w:r w:rsidRPr="0008603F">
        <w:rPr>
          <w:rFonts w:ascii="Garamond" w:hAnsi="Garamond"/>
          <w:b/>
          <w:bCs/>
          <w:i/>
          <w:iCs/>
          <w:sz w:val="22"/>
          <w:szCs w:val="22"/>
          <w:u w:val="single"/>
          <w:lang w:val="en-US"/>
        </w:rPr>
        <w:t>Significance</w:t>
      </w:r>
      <w:r w:rsidRPr="0008603F">
        <w:rPr>
          <w:rFonts w:ascii="Garamond" w:hAnsi="Garamond"/>
          <w:sz w:val="22"/>
          <w:szCs w:val="22"/>
          <w:lang w:val="en-US"/>
        </w:rPr>
        <w:t xml:space="preserve">: </w:t>
      </w:r>
    </w:p>
    <w:p w14:paraId="6CBEC4DF" w14:textId="77777777" w:rsidR="003B36F2" w:rsidRPr="0008603F" w:rsidRDefault="003B36F2" w:rsidP="0053049D">
      <w:pPr>
        <w:spacing w:line="276" w:lineRule="auto"/>
        <w:jc w:val="both"/>
        <w:rPr>
          <w:rFonts w:ascii="Garamond" w:hAnsi="Garamond"/>
          <w:b/>
          <w:bCs/>
          <w:sz w:val="22"/>
          <w:szCs w:val="22"/>
          <w:lang w:val="en-US"/>
        </w:rPr>
      </w:pPr>
    </w:p>
    <w:p w14:paraId="58C80B1A" w14:textId="6945E6C2" w:rsidR="003B36F2" w:rsidRPr="007466E0" w:rsidRDefault="00B850D6" w:rsidP="0053049D">
      <w:pPr>
        <w:spacing w:line="276" w:lineRule="auto"/>
        <w:jc w:val="both"/>
        <w:rPr>
          <w:rFonts w:ascii="Garamond" w:hAnsi="Garamond"/>
          <w:b/>
          <w:bCs/>
          <w:sz w:val="22"/>
          <w:szCs w:val="22"/>
          <w:lang w:val="en-US"/>
        </w:rPr>
      </w:pPr>
      <w:r w:rsidRPr="007466E0">
        <w:rPr>
          <w:rFonts w:ascii="Garamond" w:hAnsi="Garamond"/>
          <w:b/>
          <w:bCs/>
          <w:sz w:val="22"/>
          <w:szCs w:val="22"/>
          <w:lang w:val="en-US"/>
        </w:rPr>
        <w:t>The decision establishes a binding or persuasive precedent within its jurisdiction.</w:t>
      </w:r>
    </w:p>
    <w:p w14:paraId="188EA2E7" w14:textId="77777777" w:rsidR="005B10C1" w:rsidRPr="007466E0" w:rsidRDefault="005B10C1" w:rsidP="0053049D">
      <w:pPr>
        <w:spacing w:line="276" w:lineRule="auto"/>
        <w:jc w:val="both"/>
        <w:rPr>
          <w:rFonts w:ascii="Garamond" w:hAnsi="Garamond"/>
          <w:b/>
          <w:bCs/>
          <w:sz w:val="22"/>
          <w:szCs w:val="22"/>
          <w:lang w:val="en-US"/>
        </w:rPr>
      </w:pPr>
    </w:p>
    <w:p w14:paraId="5268A620" w14:textId="77777777" w:rsidR="002945C3" w:rsidRPr="007466E0" w:rsidRDefault="002945C3" w:rsidP="0053049D">
      <w:pPr>
        <w:spacing w:line="276" w:lineRule="auto"/>
        <w:jc w:val="both"/>
        <w:rPr>
          <w:rFonts w:ascii="Garamond" w:hAnsi="Garamond"/>
          <w:sz w:val="22"/>
          <w:szCs w:val="22"/>
        </w:rPr>
      </w:pPr>
    </w:p>
    <w:p w14:paraId="476B22B3" w14:textId="45FEBDE6" w:rsidR="00BB2804" w:rsidRPr="007466E0" w:rsidRDefault="00BB2804" w:rsidP="0053049D">
      <w:pPr>
        <w:pStyle w:val="PargrafodaLista"/>
        <w:numPr>
          <w:ilvl w:val="0"/>
          <w:numId w:val="2"/>
        </w:numPr>
        <w:spacing w:line="276" w:lineRule="auto"/>
        <w:jc w:val="both"/>
        <w:rPr>
          <w:rFonts w:ascii="Garamond" w:hAnsi="Garamond"/>
          <w:sz w:val="22"/>
          <w:szCs w:val="22"/>
        </w:rPr>
      </w:pPr>
      <w:r w:rsidRPr="007466E0">
        <w:rPr>
          <w:rFonts w:ascii="Garamond" w:hAnsi="Garamond"/>
          <w:b/>
          <w:bCs/>
          <w:sz w:val="22"/>
          <w:szCs w:val="22"/>
        </w:rPr>
        <w:t>Related Cases</w:t>
      </w:r>
      <w:r w:rsidRPr="007466E0">
        <w:rPr>
          <w:rFonts w:ascii="Garamond" w:hAnsi="Garamond"/>
          <w:sz w:val="22"/>
          <w:szCs w:val="22"/>
        </w:rPr>
        <w:t>: Self-generated</w:t>
      </w:r>
    </w:p>
    <w:p w14:paraId="741F01EB" w14:textId="77777777" w:rsidR="00BB2804" w:rsidRPr="007466E0" w:rsidRDefault="00BB2804" w:rsidP="0053049D">
      <w:pPr>
        <w:pStyle w:val="PargrafodaLista"/>
        <w:spacing w:line="276" w:lineRule="auto"/>
        <w:ind w:left="360"/>
        <w:jc w:val="both"/>
        <w:rPr>
          <w:rFonts w:ascii="Garamond" w:hAnsi="Garamond"/>
          <w:sz w:val="22"/>
          <w:szCs w:val="22"/>
        </w:rPr>
      </w:pPr>
    </w:p>
    <w:p w14:paraId="64998CDB" w14:textId="0B677EF5" w:rsidR="00BB2804" w:rsidRPr="007466E0" w:rsidRDefault="00BB2804" w:rsidP="0053049D">
      <w:pPr>
        <w:pStyle w:val="PargrafodaLista"/>
        <w:numPr>
          <w:ilvl w:val="0"/>
          <w:numId w:val="2"/>
        </w:numPr>
        <w:spacing w:line="276" w:lineRule="auto"/>
        <w:jc w:val="both"/>
        <w:rPr>
          <w:rFonts w:ascii="Garamond" w:hAnsi="Garamond"/>
          <w:sz w:val="22"/>
          <w:szCs w:val="22"/>
        </w:rPr>
      </w:pPr>
      <w:r w:rsidRPr="007466E0">
        <w:rPr>
          <w:rFonts w:ascii="Garamond" w:hAnsi="Garamond"/>
          <w:b/>
          <w:bCs/>
          <w:sz w:val="22"/>
          <w:szCs w:val="22"/>
        </w:rPr>
        <w:t>Date updated</w:t>
      </w:r>
      <w:r w:rsidRPr="007466E0">
        <w:rPr>
          <w:rFonts w:ascii="Garamond" w:hAnsi="Garamond"/>
          <w:sz w:val="22"/>
          <w:szCs w:val="22"/>
        </w:rPr>
        <w:t xml:space="preserve">: </w:t>
      </w:r>
      <w:r w:rsidR="00EC1B6E" w:rsidRPr="007466E0">
        <w:rPr>
          <w:rFonts w:ascii="Garamond" w:hAnsi="Garamond"/>
          <w:sz w:val="22"/>
          <w:szCs w:val="22"/>
        </w:rPr>
        <w:t>N/A</w:t>
      </w:r>
    </w:p>
    <w:p w14:paraId="71BD8A64" w14:textId="77777777" w:rsidR="00BB2804" w:rsidRPr="007466E0" w:rsidRDefault="00BB2804" w:rsidP="0053049D">
      <w:pPr>
        <w:spacing w:line="276" w:lineRule="auto"/>
        <w:jc w:val="both"/>
        <w:rPr>
          <w:rFonts w:ascii="Garamond" w:hAnsi="Garamond"/>
          <w:sz w:val="22"/>
          <w:szCs w:val="22"/>
        </w:rPr>
      </w:pPr>
    </w:p>
    <w:p w14:paraId="0F73208F" w14:textId="77777777" w:rsidR="00BB2804" w:rsidRPr="007466E0" w:rsidRDefault="00BB2804" w:rsidP="0053049D">
      <w:pPr>
        <w:spacing w:line="276" w:lineRule="auto"/>
        <w:jc w:val="both"/>
        <w:rPr>
          <w:rFonts w:ascii="Garamond" w:hAnsi="Garamond"/>
          <w:sz w:val="22"/>
          <w:szCs w:val="22"/>
        </w:rPr>
      </w:pPr>
      <w:r w:rsidRPr="007466E0">
        <w:rPr>
          <w:rFonts w:ascii="Garamond" w:hAnsi="Garamond"/>
          <w:b/>
          <w:bCs/>
          <w:i/>
          <w:iCs/>
          <w:sz w:val="22"/>
          <w:szCs w:val="22"/>
          <w:u w:val="single"/>
        </w:rPr>
        <w:t>Docs</w:t>
      </w:r>
      <w:r w:rsidRPr="007466E0">
        <w:rPr>
          <w:rFonts w:ascii="Garamond" w:hAnsi="Garamond"/>
          <w:sz w:val="22"/>
          <w:szCs w:val="22"/>
        </w:rPr>
        <w:t xml:space="preserve">: </w:t>
      </w:r>
    </w:p>
    <w:p w14:paraId="1AC4848C" w14:textId="77777777" w:rsidR="003B36F2" w:rsidRPr="007466E0" w:rsidRDefault="003B36F2" w:rsidP="0053049D">
      <w:pPr>
        <w:spacing w:line="276" w:lineRule="auto"/>
        <w:jc w:val="both"/>
        <w:rPr>
          <w:rFonts w:ascii="Garamond" w:hAnsi="Garamond"/>
          <w:sz w:val="22"/>
          <w:szCs w:val="22"/>
        </w:rPr>
      </w:pPr>
    </w:p>
    <w:p w14:paraId="577E387D" w14:textId="4804D574" w:rsidR="00C35AA4" w:rsidRPr="007466E0" w:rsidRDefault="00C35AA4" w:rsidP="0053049D">
      <w:pPr>
        <w:spacing w:line="276" w:lineRule="auto"/>
        <w:rPr>
          <w:rFonts w:ascii="Garamond" w:hAnsi="Garamond"/>
          <w:sz w:val="22"/>
          <w:szCs w:val="22"/>
        </w:rPr>
      </w:pPr>
    </w:p>
    <w:sectPr w:rsidR="00C35AA4" w:rsidRPr="007466E0" w:rsidSect="00A507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17B7"/>
    <w:multiLevelType w:val="hybridMultilevel"/>
    <w:tmpl w:val="7020FA76"/>
    <w:lvl w:ilvl="0" w:tplc="CDE8E2F4">
      <w:numFmt w:val="bullet"/>
      <w:lvlText w:val="-"/>
      <w:lvlJc w:val="left"/>
      <w:pPr>
        <w:ind w:left="720" w:hanging="360"/>
      </w:pPr>
      <w:rPr>
        <w:rFonts w:ascii="Garamond" w:eastAsiaTheme="minorHAnsi" w:hAnsi="Garamond" w:cstheme="minorBid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A46312"/>
    <w:multiLevelType w:val="multilevel"/>
    <w:tmpl w:val="01C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915AD"/>
    <w:multiLevelType w:val="multilevel"/>
    <w:tmpl w:val="61B2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43BA9"/>
    <w:multiLevelType w:val="multilevel"/>
    <w:tmpl w:val="223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2343343">
    <w:abstractNumId w:val="0"/>
  </w:num>
  <w:num w:numId="2" w16cid:durableId="621377382">
    <w:abstractNumId w:val="8"/>
  </w:num>
  <w:num w:numId="3" w16cid:durableId="276567850">
    <w:abstractNumId w:val="6"/>
  </w:num>
  <w:num w:numId="4" w16cid:durableId="1892109100">
    <w:abstractNumId w:val="2"/>
  </w:num>
  <w:num w:numId="5" w16cid:durableId="1639069319">
    <w:abstractNumId w:val="7"/>
  </w:num>
  <w:num w:numId="6" w16cid:durableId="2147354279">
    <w:abstractNumId w:val="12"/>
  </w:num>
  <w:num w:numId="7" w16cid:durableId="1267008194">
    <w:abstractNumId w:val="3"/>
  </w:num>
  <w:num w:numId="8" w16cid:durableId="901796843">
    <w:abstractNumId w:val="1"/>
  </w:num>
  <w:num w:numId="9" w16cid:durableId="115754876">
    <w:abstractNumId w:val="9"/>
  </w:num>
  <w:num w:numId="10" w16cid:durableId="264845544">
    <w:abstractNumId w:val="4"/>
  </w:num>
  <w:num w:numId="11" w16cid:durableId="1145976966">
    <w:abstractNumId w:val="5"/>
  </w:num>
  <w:num w:numId="12" w16cid:durableId="1778325909">
    <w:abstractNumId w:val="10"/>
  </w:num>
  <w:num w:numId="13" w16cid:durableId="1001011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0029"/>
    <w:rsid w:val="0000359C"/>
    <w:rsid w:val="000047B5"/>
    <w:rsid w:val="000047BA"/>
    <w:rsid w:val="00005DFD"/>
    <w:rsid w:val="00007237"/>
    <w:rsid w:val="000116B7"/>
    <w:rsid w:val="00016B76"/>
    <w:rsid w:val="00020F4E"/>
    <w:rsid w:val="00022513"/>
    <w:rsid w:val="00022C24"/>
    <w:rsid w:val="00027902"/>
    <w:rsid w:val="00030EB8"/>
    <w:rsid w:val="0003559C"/>
    <w:rsid w:val="00035C43"/>
    <w:rsid w:val="000364C8"/>
    <w:rsid w:val="00036E54"/>
    <w:rsid w:val="00037062"/>
    <w:rsid w:val="00043D5C"/>
    <w:rsid w:val="00055678"/>
    <w:rsid w:val="00061C55"/>
    <w:rsid w:val="0006259C"/>
    <w:rsid w:val="0006304B"/>
    <w:rsid w:val="000646FA"/>
    <w:rsid w:val="00064B22"/>
    <w:rsid w:val="00065F2C"/>
    <w:rsid w:val="00070F39"/>
    <w:rsid w:val="00071036"/>
    <w:rsid w:val="00071A07"/>
    <w:rsid w:val="00072CF3"/>
    <w:rsid w:val="00074D3D"/>
    <w:rsid w:val="0007618B"/>
    <w:rsid w:val="00080D1E"/>
    <w:rsid w:val="000850BD"/>
    <w:rsid w:val="0008603F"/>
    <w:rsid w:val="0009061F"/>
    <w:rsid w:val="000964E6"/>
    <w:rsid w:val="00096641"/>
    <w:rsid w:val="000A0596"/>
    <w:rsid w:val="000A0E38"/>
    <w:rsid w:val="000A40AB"/>
    <w:rsid w:val="000A50A1"/>
    <w:rsid w:val="000A5AAA"/>
    <w:rsid w:val="000A6851"/>
    <w:rsid w:val="000B3A66"/>
    <w:rsid w:val="000B3B93"/>
    <w:rsid w:val="000B5558"/>
    <w:rsid w:val="000B5EA4"/>
    <w:rsid w:val="000B747F"/>
    <w:rsid w:val="000C1EDA"/>
    <w:rsid w:val="000C2113"/>
    <w:rsid w:val="000C3530"/>
    <w:rsid w:val="000C3FB9"/>
    <w:rsid w:val="000C4099"/>
    <w:rsid w:val="000C5F84"/>
    <w:rsid w:val="000C753E"/>
    <w:rsid w:val="000D31D2"/>
    <w:rsid w:val="000D6F34"/>
    <w:rsid w:val="000E1273"/>
    <w:rsid w:val="000E1636"/>
    <w:rsid w:val="000E5211"/>
    <w:rsid w:val="000E544E"/>
    <w:rsid w:val="000E729A"/>
    <w:rsid w:val="000F5040"/>
    <w:rsid w:val="000F557A"/>
    <w:rsid w:val="000F76BC"/>
    <w:rsid w:val="000F7B21"/>
    <w:rsid w:val="001035EF"/>
    <w:rsid w:val="00104801"/>
    <w:rsid w:val="001048C3"/>
    <w:rsid w:val="001057DB"/>
    <w:rsid w:val="0010737E"/>
    <w:rsid w:val="00111B1B"/>
    <w:rsid w:val="0011450B"/>
    <w:rsid w:val="00115DF5"/>
    <w:rsid w:val="00120101"/>
    <w:rsid w:val="001212A7"/>
    <w:rsid w:val="00130F52"/>
    <w:rsid w:val="00131CC7"/>
    <w:rsid w:val="00132B2D"/>
    <w:rsid w:val="00134F4C"/>
    <w:rsid w:val="00144E0C"/>
    <w:rsid w:val="00145F1C"/>
    <w:rsid w:val="00153CD8"/>
    <w:rsid w:val="00154C52"/>
    <w:rsid w:val="00155D4D"/>
    <w:rsid w:val="00156AEC"/>
    <w:rsid w:val="00160B93"/>
    <w:rsid w:val="00161A6A"/>
    <w:rsid w:val="00163B5D"/>
    <w:rsid w:val="001646E6"/>
    <w:rsid w:val="001650DC"/>
    <w:rsid w:val="001710E0"/>
    <w:rsid w:val="00171C77"/>
    <w:rsid w:val="00172A10"/>
    <w:rsid w:val="001732DB"/>
    <w:rsid w:val="0017455F"/>
    <w:rsid w:val="00176CCA"/>
    <w:rsid w:val="00181333"/>
    <w:rsid w:val="001841A2"/>
    <w:rsid w:val="001A034B"/>
    <w:rsid w:val="001A2EAE"/>
    <w:rsid w:val="001A31DB"/>
    <w:rsid w:val="001A602E"/>
    <w:rsid w:val="001B0295"/>
    <w:rsid w:val="001B0474"/>
    <w:rsid w:val="001B0DCB"/>
    <w:rsid w:val="001B2410"/>
    <w:rsid w:val="001B4003"/>
    <w:rsid w:val="001B4E76"/>
    <w:rsid w:val="001B76E5"/>
    <w:rsid w:val="001C15A1"/>
    <w:rsid w:val="001C3575"/>
    <w:rsid w:val="001C3B97"/>
    <w:rsid w:val="001C621F"/>
    <w:rsid w:val="001C6655"/>
    <w:rsid w:val="001D50AC"/>
    <w:rsid w:val="001D581A"/>
    <w:rsid w:val="001E0E1C"/>
    <w:rsid w:val="001E1BA3"/>
    <w:rsid w:val="001E2EF7"/>
    <w:rsid w:val="001E4D3A"/>
    <w:rsid w:val="001F2A39"/>
    <w:rsid w:val="001F4DBE"/>
    <w:rsid w:val="001F74C9"/>
    <w:rsid w:val="00203474"/>
    <w:rsid w:val="00204CF3"/>
    <w:rsid w:val="00204E90"/>
    <w:rsid w:val="00206378"/>
    <w:rsid w:val="0020700B"/>
    <w:rsid w:val="002071D8"/>
    <w:rsid w:val="00210270"/>
    <w:rsid w:val="00210D45"/>
    <w:rsid w:val="002132BB"/>
    <w:rsid w:val="00213E27"/>
    <w:rsid w:val="00214966"/>
    <w:rsid w:val="002168F9"/>
    <w:rsid w:val="00224168"/>
    <w:rsid w:val="00225C00"/>
    <w:rsid w:val="00226488"/>
    <w:rsid w:val="0023037B"/>
    <w:rsid w:val="00231F46"/>
    <w:rsid w:val="00232CCE"/>
    <w:rsid w:val="00233076"/>
    <w:rsid w:val="002330B2"/>
    <w:rsid w:val="002349A2"/>
    <w:rsid w:val="002354E1"/>
    <w:rsid w:val="0023554B"/>
    <w:rsid w:val="00242775"/>
    <w:rsid w:val="002533A3"/>
    <w:rsid w:val="002545E7"/>
    <w:rsid w:val="00255D0E"/>
    <w:rsid w:val="00257F62"/>
    <w:rsid w:val="00261E48"/>
    <w:rsid w:val="00266FD4"/>
    <w:rsid w:val="0027019F"/>
    <w:rsid w:val="002708B3"/>
    <w:rsid w:val="00272504"/>
    <w:rsid w:val="0027612A"/>
    <w:rsid w:val="00276D37"/>
    <w:rsid w:val="002773C1"/>
    <w:rsid w:val="00281F90"/>
    <w:rsid w:val="00284E3E"/>
    <w:rsid w:val="0028525F"/>
    <w:rsid w:val="002858AE"/>
    <w:rsid w:val="00286FCE"/>
    <w:rsid w:val="0029093B"/>
    <w:rsid w:val="00293AC4"/>
    <w:rsid w:val="00293B37"/>
    <w:rsid w:val="0029421B"/>
    <w:rsid w:val="002945C3"/>
    <w:rsid w:val="0029491E"/>
    <w:rsid w:val="002955F9"/>
    <w:rsid w:val="0029586B"/>
    <w:rsid w:val="00297B99"/>
    <w:rsid w:val="002A2CDD"/>
    <w:rsid w:val="002A48D0"/>
    <w:rsid w:val="002A51E3"/>
    <w:rsid w:val="002B07E6"/>
    <w:rsid w:val="002B6964"/>
    <w:rsid w:val="002B7722"/>
    <w:rsid w:val="002C1264"/>
    <w:rsid w:val="002C1611"/>
    <w:rsid w:val="002C3D54"/>
    <w:rsid w:val="002C482C"/>
    <w:rsid w:val="002C5E2B"/>
    <w:rsid w:val="002D2DD8"/>
    <w:rsid w:val="002D329C"/>
    <w:rsid w:val="002D4886"/>
    <w:rsid w:val="002D6BE4"/>
    <w:rsid w:val="002E0A76"/>
    <w:rsid w:val="002E1AA6"/>
    <w:rsid w:val="002E1E37"/>
    <w:rsid w:val="002E3217"/>
    <w:rsid w:val="002E3BB6"/>
    <w:rsid w:val="002F2DA2"/>
    <w:rsid w:val="002F4414"/>
    <w:rsid w:val="002F59E4"/>
    <w:rsid w:val="002F5D2A"/>
    <w:rsid w:val="002F7C24"/>
    <w:rsid w:val="00301932"/>
    <w:rsid w:val="003023B2"/>
    <w:rsid w:val="003029A4"/>
    <w:rsid w:val="0030335C"/>
    <w:rsid w:val="00303E85"/>
    <w:rsid w:val="00303F98"/>
    <w:rsid w:val="003045E6"/>
    <w:rsid w:val="003048B3"/>
    <w:rsid w:val="003067F6"/>
    <w:rsid w:val="003071BD"/>
    <w:rsid w:val="00312048"/>
    <w:rsid w:val="003131E0"/>
    <w:rsid w:val="00315CCA"/>
    <w:rsid w:val="00316D50"/>
    <w:rsid w:val="0031705E"/>
    <w:rsid w:val="00320803"/>
    <w:rsid w:val="00320B87"/>
    <w:rsid w:val="00320C24"/>
    <w:rsid w:val="00322877"/>
    <w:rsid w:val="00325F59"/>
    <w:rsid w:val="00330BF5"/>
    <w:rsid w:val="00333715"/>
    <w:rsid w:val="00334256"/>
    <w:rsid w:val="003349FB"/>
    <w:rsid w:val="003357F3"/>
    <w:rsid w:val="00336424"/>
    <w:rsid w:val="00337DE0"/>
    <w:rsid w:val="00341128"/>
    <w:rsid w:val="00347B3D"/>
    <w:rsid w:val="00347E91"/>
    <w:rsid w:val="00350C6F"/>
    <w:rsid w:val="003515E3"/>
    <w:rsid w:val="0035234D"/>
    <w:rsid w:val="003548C7"/>
    <w:rsid w:val="003549F5"/>
    <w:rsid w:val="00361E90"/>
    <w:rsid w:val="003623ED"/>
    <w:rsid w:val="003637D3"/>
    <w:rsid w:val="00363B1E"/>
    <w:rsid w:val="003645D2"/>
    <w:rsid w:val="003668DD"/>
    <w:rsid w:val="003707E6"/>
    <w:rsid w:val="00371663"/>
    <w:rsid w:val="003723FB"/>
    <w:rsid w:val="0037482B"/>
    <w:rsid w:val="00377A05"/>
    <w:rsid w:val="00382058"/>
    <w:rsid w:val="00387FCD"/>
    <w:rsid w:val="0039114E"/>
    <w:rsid w:val="00392D4E"/>
    <w:rsid w:val="003965EE"/>
    <w:rsid w:val="0039790B"/>
    <w:rsid w:val="003A2261"/>
    <w:rsid w:val="003A359A"/>
    <w:rsid w:val="003A3DFD"/>
    <w:rsid w:val="003A5274"/>
    <w:rsid w:val="003A7F28"/>
    <w:rsid w:val="003B0156"/>
    <w:rsid w:val="003B25DA"/>
    <w:rsid w:val="003B36F2"/>
    <w:rsid w:val="003B4D24"/>
    <w:rsid w:val="003C2402"/>
    <w:rsid w:val="003C3B47"/>
    <w:rsid w:val="003D040E"/>
    <w:rsid w:val="003D19B6"/>
    <w:rsid w:val="003D1E2E"/>
    <w:rsid w:val="003D3DD5"/>
    <w:rsid w:val="003D4308"/>
    <w:rsid w:val="003D62F3"/>
    <w:rsid w:val="003E02B6"/>
    <w:rsid w:val="003E16E1"/>
    <w:rsid w:val="003E1917"/>
    <w:rsid w:val="003E37DB"/>
    <w:rsid w:val="003E5226"/>
    <w:rsid w:val="003F53A4"/>
    <w:rsid w:val="0040049B"/>
    <w:rsid w:val="0040108A"/>
    <w:rsid w:val="0040120C"/>
    <w:rsid w:val="004019BE"/>
    <w:rsid w:val="00406C72"/>
    <w:rsid w:val="004115A5"/>
    <w:rsid w:val="0041688B"/>
    <w:rsid w:val="00420273"/>
    <w:rsid w:val="00422191"/>
    <w:rsid w:val="00426C11"/>
    <w:rsid w:val="00430532"/>
    <w:rsid w:val="00431EB3"/>
    <w:rsid w:val="0043475D"/>
    <w:rsid w:val="00437B04"/>
    <w:rsid w:val="004419F0"/>
    <w:rsid w:val="00442124"/>
    <w:rsid w:val="004447C3"/>
    <w:rsid w:val="004505B8"/>
    <w:rsid w:val="00450FCD"/>
    <w:rsid w:val="0045189F"/>
    <w:rsid w:val="00452217"/>
    <w:rsid w:val="00454242"/>
    <w:rsid w:val="00456B21"/>
    <w:rsid w:val="00457776"/>
    <w:rsid w:val="00457E6B"/>
    <w:rsid w:val="00460C98"/>
    <w:rsid w:val="00463D53"/>
    <w:rsid w:val="00466503"/>
    <w:rsid w:val="00466F1E"/>
    <w:rsid w:val="00467170"/>
    <w:rsid w:val="004671F5"/>
    <w:rsid w:val="004701D8"/>
    <w:rsid w:val="00470364"/>
    <w:rsid w:val="0047198F"/>
    <w:rsid w:val="00473F6B"/>
    <w:rsid w:val="00480CA2"/>
    <w:rsid w:val="00480D16"/>
    <w:rsid w:val="00480E06"/>
    <w:rsid w:val="00481BCC"/>
    <w:rsid w:val="00486098"/>
    <w:rsid w:val="0049506C"/>
    <w:rsid w:val="0049703C"/>
    <w:rsid w:val="004A1BDF"/>
    <w:rsid w:val="004A702C"/>
    <w:rsid w:val="004A7672"/>
    <w:rsid w:val="004B3110"/>
    <w:rsid w:val="004B405D"/>
    <w:rsid w:val="004B4C61"/>
    <w:rsid w:val="004B5210"/>
    <w:rsid w:val="004B60F0"/>
    <w:rsid w:val="004B7A44"/>
    <w:rsid w:val="004B7BFF"/>
    <w:rsid w:val="004C0014"/>
    <w:rsid w:val="004C0B45"/>
    <w:rsid w:val="004C445B"/>
    <w:rsid w:val="004D2E5B"/>
    <w:rsid w:val="004D2FEE"/>
    <w:rsid w:val="004D7111"/>
    <w:rsid w:val="004E3902"/>
    <w:rsid w:val="004F32D4"/>
    <w:rsid w:val="004F670A"/>
    <w:rsid w:val="004F7BF2"/>
    <w:rsid w:val="004F7E46"/>
    <w:rsid w:val="00501621"/>
    <w:rsid w:val="00502694"/>
    <w:rsid w:val="0050392C"/>
    <w:rsid w:val="00505C6F"/>
    <w:rsid w:val="005115F0"/>
    <w:rsid w:val="005247F0"/>
    <w:rsid w:val="00525E0C"/>
    <w:rsid w:val="00525E8D"/>
    <w:rsid w:val="00525FDB"/>
    <w:rsid w:val="00526390"/>
    <w:rsid w:val="0052736D"/>
    <w:rsid w:val="0052790C"/>
    <w:rsid w:val="00527B86"/>
    <w:rsid w:val="0053049D"/>
    <w:rsid w:val="0053094C"/>
    <w:rsid w:val="00531F84"/>
    <w:rsid w:val="00536CA8"/>
    <w:rsid w:val="00540323"/>
    <w:rsid w:val="005407E4"/>
    <w:rsid w:val="00546332"/>
    <w:rsid w:val="00546967"/>
    <w:rsid w:val="00546EEF"/>
    <w:rsid w:val="00547D84"/>
    <w:rsid w:val="0055359D"/>
    <w:rsid w:val="00557BD4"/>
    <w:rsid w:val="00560B1C"/>
    <w:rsid w:val="00560E0D"/>
    <w:rsid w:val="00566306"/>
    <w:rsid w:val="005666E2"/>
    <w:rsid w:val="00577156"/>
    <w:rsid w:val="0057715B"/>
    <w:rsid w:val="005774DD"/>
    <w:rsid w:val="00577A00"/>
    <w:rsid w:val="005812CC"/>
    <w:rsid w:val="00583354"/>
    <w:rsid w:val="00583AB6"/>
    <w:rsid w:val="00584533"/>
    <w:rsid w:val="00585570"/>
    <w:rsid w:val="00590F4B"/>
    <w:rsid w:val="00591BF4"/>
    <w:rsid w:val="00592B60"/>
    <w:rsid w:val="00592BF0"/>
    <w:rsid w:val="00592CA3"/>
    <w:rsid w:val="00597E21"/>
    <w:rsid w:val="005A0990"/>
    <w:rsid w:val="005A3411"/>
    <w:rsid w:val="005A35E0"/>
    <w:rsid w:val="005A3AEB"/>
    <w:rsid w:val="005A5A4A"/>
    <w:rsid w:val="005A5B17"/>
    <w:rsid w:val="005B10C1"/>
    <w:rsid w:val="005B241E"/>
    <w:rsid w:val="005B3189"/>
    <w:rsid w:val="005B5CEE"/>
    <w:rsid w:val="005B726C"/>
    <w:rsid w:val="005C3F0A"/>
    <w:rsid w:val="005C4944"/>
    <w:rsid w:val="005C63F1"/>
    <w:rsid w:val="005C7A1B"/>
    <w:rsid w:val="005D03AE"/>
    <w:rsid w:val="005D0698"/>
    <w:rsid w:val="005D5256"/>
    <w:rsid w:val="005D6556"/>
    <w:rsid w:val="005E02B8"/>
    <w:rsid w:val="005E2CB2"/>
    <w:rsid w:val="005E358D"/>
    <w:rsid w:val="005E371E"/>
    <w:rsid w:val="005E3AB5"/>
    <w:rsid w:val="005E4B6F"/>
    <w:rsid w:val="005F1627"/>
    <w:rsid w:val="005F1644"/>
    <w:rsid w:val="005F1A16"/>
    <w:rsid w:val="005F1BF1"/>
    <w:rsid w:val="005F340D"/>
    <w:rsid w:val="00602515"/>
    <w:rsid w:val="00602ED2"/>
    <w:rsid w:val="00603464"/>
    <w:rsid w:val="006062AD"/>
    <w:rsid w:val="0061525A"/>
    <w:rsid w:val="006229E0"/>
    <w:rsid w:val="006312C7"/>
    <w:rsid w:val="006338AF"/>
    <w:rsid w:val="00633C98"/>
    <w:rsid w:val="00634034"/>
    <w:rsid w:val="006345D3"/>
    <w:rsid w:val="00634BC1"/>
    <w:rsid w:val="00634FC2"/>
    <w:rsid w:val="006408C1"/>
    <w:rsid w:val="0064324C"/>
    <w:rsid w:val="00653318"/>
    <w:rsid w:val="00656018"/>
    <w:rsid w:val="00657C10"/>
    <w:rsid w:val="00657F02"/>
    <w:rsid w:val="00661DBA"/>
    <w:rsid w:val="0067278E"/>
    <w:rsid w:val="006728AB"/>
    <w:rsid w:val="00673D99"/>
    <w:rsid w:val="006822A7"/>
    <w:rsid w:val="00682536"/>
    <w:rsid w:val="00682B1E"/>
    <w:rsid w:val="00684D95"/>
    <w:rsid w:val="006870A7"/>
    <w:rsid w:val="00687968"/>
    <w:rsid w:val="006933B2"/>
    <w:rsid w:val="0069358D"/>
    <w:rsid w:val="00694086"/>
    <w:rsid w:val="0069647F"/>
    <w:rsid w:val="006A575C"/>
    <w:rsid w:val="006A68B7"/>
    <w:rsid w:val="006A7613"/>
    <w:rsid w:val="006B0349"/>
    <w:rsid w:val="006B0A1D"/>
    <w:rsid w:val="006B1518"/>
    <w:rsid w:val="006B338A"/>
    <w:rsid w:val="006B5D5E"/>
    <w:rsid w:val="006B6407"/>
    <w:rsid w:val="006C6355"/>
    <w:rsid w:val="006C6D8A"/>
    <w:rsid w:val="006C7838"/>
    <w:rsid w:val="006D28BE"/>
    <w:rsid w:val="006D5661"/>
    <w:rsid w:val="006E009C"/>
    <w:rsid w:val="006E0D2D"/>
    <w:rsid w:val="006E24C0"/>
    <w:rsid w:val="006E4B77"/>
    <w:rsid w:val="006F2073"/>
    <w:rsid w:val="006F332B"/>
    <w:rsid w:val="00701F32"/>
    <w:rsid w:val="00703003"/>
    <w:rsid w:val="007030C7"/>
    <w:rsid w:val="00703B86"/>
    <w:rsid w:val="00710498"/>
    <w:rsid w:val="00720AED"/>
    <w:rsid w:val="00726F65"/>
    <w:rsid w:val="00731C7B"/>
    <w:rsid w:val="00734616"/>
    <w:rsid w:val="00736182"/>
    <w:rsid w:val="00736320"/>
    <w:rsid w:val="00737367"/>
    <w:rsid w:val="00740E04"/>
    <w:rsid w:val="00740FB7"/>
    <w:rsid w:val="007466E0"/>
    <w:rsid w:val="00752DEE"/>
    <w:rsid w:val="007543A1"/>
    <w:rsid w:val="00764133"/>
    <w:rsid w:val="00764F98"/>
    <w:rsid w:val="00765864"/>
    <w:rsid w:val="0076783F"/>
    <w:rsid w:val="00772B9D"/>
    <w:rsid w:val="00772EC9"/>
    <w:rsid w:val="00773C17"/>
    <w:rsid w:val="00774B4A"/>
    <w:rsid w:val="00775F8B"/>
    <w:rsid w:val="00785562"/>
    <w:rsid w:val="007904D4"/>
    <w:rsid w:val="007934FA"/>
    <w:rsid w:val="00794D87"/>
    <w:rsid w:val="007960C2"/>
    <w:rsid w:val="007962E7"/>
    <w:rsid w:val="007A057D"/>
    <w:rsid w:val="007A14B6"/>
    <w:rsid w:val="007A2093"/>
    <w:rsid w:val="007A308C"/>
    <w:rsid w:val="007A311F"/>
    <w:rsid w:val="007A4ACA"/>
    <w:rsid w:val="007A64D7"/>
    <w:rsid w:val="007A6743"/>
    <w:rsid w:val="007A6790"/>
    <w:rsid w:val="007B2CF4"/>
    <w:rsid w:val="007B2E1E"/>
    <w:rsid w:val="007B49C1"/>
    <w:rsid w:val="007B5E67"/>
    <w:rsid w:val="007B7FEB"/>
    <w:rsid w:val="007C14F4"/>
    <w:rsid w:val="007C4DA1"/>
    <w:rsid w:val="007D002C"/>
    <w:rsid w:val="007D221D"/>
    <w:rsid w:val="007E1185"/>
    <w:rsid w:val="007E4BFF"/>
    <w:rsid w:val="007E5041"/>
    <w:rsid w:val="007E5436"/>
    <w:rsid w:val="007F4CCB"/>
    <w:rsid w:val="007F632D"/>
    <w:rsid w:val="00800E0F"/>
    <w:rsid w:val="00802A76"/>
    <w:rsid w:val="00802B46"/>
    <w:rsid w:val="0080658A"/>
    <w:rsid w:val="0080679A"/>
    <w:rsid w:val="00807461"/>
    <w:rsid w:val="00807F64"/>
    <w:rsid w:val="008104DC"/>
    <w:rsid w:val="00810D4B"/>
    <w:rsid w:val="0081345B"/>
    <w:rsid w:val="00813A52"/>
    <w:rsid w:val="00815BEA"/>
    <w:rsid w:val="00816748"/>
    <w:rsid w:val="00822CBB"/>
    <w:rsid w:val="00822D2A"/>
    <w:rsid w:val="00825720"/>
    <w:rsid w:val="00825B74"/>
    <w:rsid w:val="008270A1"/>
    <w:rsid w:val="0083305D"/>
    <w:rsid w:val="00833EB7"/>
    <w:rsid w:val="0083490B"/>
    <w:rsid w:val="00835092"/>
    <w:rsid w:val="00836DCE"/>
    <w:rsid w:val="00841510"/>
    <w:rsid w:val="008432CF"/>
    <w:rsid w:val="00852EE3"/>
    <w:rsid w:val="00856E66"/>
    <w:rsid w:val="00860CFC"/>
    <w:rsid w:val="00871040"/>
    <w:rsid w:val="00881CF5"/>
    <w:rsid w:val="00890234"/>
    <w:rsid w:val="0089289B"/>
    <w:rsid w:val="00892A57"/>
    <w:rsid w:val="00895437"/>
    <w:rsid w:val="00896BA9"/>
    <w:rsid w:val="00897DCE"/>
    <w:rsid w:val="008A221F"/>
    <w:rsid w:val="008B09C7"/>
    <w:rsid w:val="008B1AB3"/>
    <w:rsid w:val="008B3F28"/>
    <w:rsid w:val="008B58B2"/>
    <w:rsid w:val="008B7061"/>
    <w:rsid w:val="008B75EF"/>
    <w:rsid w:val="008C237D"/>
    <w:rsid w:val="008C3770"/>
    <w:rsid w:val="008C7675"/>
    <w:rsid w:val="008D1A57"/>
    <w:rsid w:val="008D2D3A"/>
    <w:rsid w:val="008D32A7"/>
    <w:rsid w:val="008D357B"/>
    <w:rsid w:val="008D3ACB"/>
    <w:rsid w:val="008D7484"/>
    <w:rsid w:val="008E2A34"/>
    <w:rsid w:val="008E3672"/>
    <w:rsid w:val="008E72E0"/>
    <w:rsid w:val="008E74EC"/>
    <w:rsid w:val="008F12DD"/>
    <w:rsid w:val="008F1480"/>
    <w:rsid w:val="008F41A7"/>
    <w:rsid w:val="008F5E04"/>
    <w:rsid w:val="009004C5"/>
    <w:rsid w:val="00913100"/>
    <w:rsid w:val="009223B6"/>
    <w:rsid w:val="00927D9D"/>
    <w:rsid w:val="00931F43"/>
    <w:rsid w:val="00932A75"/>
    <w:rsid w:val="00935C5C"/>
    <w:rsid w:val="00936DC8"/>
    <w:rsid w:val="009377AD"/>
    <w:rsid w:val="00940621"/>
    <w:rsid w:val="009410BF"/>
    <w:rsid w:val="009417D1"/>
    <w:rsid w:val="009447D6"/>
    <w:rsid w:val="00950B70"/>
    <w:rsid w:val="00950CFC"/>
    <w:rsid w:val="00951688"/>
    <w:rsid w:val="00951F05"/>
    <w:rsid w:val="00953128"/>
    <w:rsid w:val="00957579"/>
    <w:rsid w:val="00960CED"/>
    <w:rsid w:val="009616CC"/>
    <w:rsid w:val="009637B9"/>
    <w:rsid w:val="00967036"/>
    <w:rsid w:val="009672E6"/>
    <w:rsid w:val="0096749C"/>
    <w:rsid w:val="00970093"/>
    <w:rsid w:val="009728E2"/>
    <w:rsid w:val="009771B5"/>
    <w:rsid w:val="00977D27"/>
    <w:rsid w:val="00977DD6"/>
    <w:rsid w:val="00980A87"/>
    <w:rsid w:val="009812DC"/>
    <w:rsid w:val="009816F1"/>
    <w:rsid w:val="0098175B"/>
    <w:rsid w:val="00982334"/>
    <w:rsid w:val="00982478"/>
    <w:rsid w:val="00992D0C"/>
    <w:rsid w:val="009936F4"/>
    <w:rsid w:val="0099379F"/>
    <w:rsid w:val="009972BF"/>
    <w:rsid w:val="009A749A"/>
    <w:rsid w:val="009B5D6D"/>
    <w:rsid w:val="009B64FF"/>
    <w:rsid w:val="009C1B9E"/>
    <w:rsid w:val="009C2A3E"/>
    <w:rsid w:val="009C55CB"/>
    <w:rsid w:val="009D2399"/>
    <w:rsid w:val="009D5D91"/>
    <w:rsid w:val="009D62B7"/>
    <w:rsid w:val="009E0F9D"/>
    <w:rsid w:val="009E4122"/>
    <w:rsid w:val="009E51D8"/>
    <w:rsid w:val="009E6419"/>
    <w:rsid w:val="009F1884"/>
    <w:rsid w:val="009F2E26"/>
    <w:rsid w:val="009F37CB"/>
    <w:rsid w:val="009F49B4"/>
    <w:rsid w:val="009F55B8"/>
    <w:rsid w:val="009F6322"/>
    <w:rsid w:val="00A0181F"/>
    <w:rsid w:val="00A028CD"/>
    <w:rsid w:val="00A02CE5"/>
    <w:rsid w:val="00A03443"/>
    <w:rsid w:val="00A035F1"/>
    <w:rsid w:val="00A04DBE"/>
    <w:rsid w:val="00A05232"/>
    <w:rsid w:val="00A05BCC"/>
    <w:rsid w:val="00A069A6"/>
    <w:rsid w:val="00A12238"/>
    <w:rsid w:val="00A15CAC"/>
    <w:rsid w:val="00A16EAF"/>
    <w:rsid w:val="00A16EB1"/>
    <w:rsid w:val="00A17622"/>
    <w:rsid w:val="00A255FB"/>
    <w:rsid w:val="00A2621B"/>
    <w:rsid w:val="00A30966"/>
    <w:rsid w:val="00A31AF3"/>
    <w:rsid w:val="00A33301"/>
    <w:rsid w:val="00A34194"/>
    <w:rsid w:val="00A35A8D"/>
    <w:rsid w:val="00A4204A"/>
    <w:rsid w:val="00A507F1"/>
    <w:rsid w:val="00A53586"/>
    <w:rsid w:val="00A55AE2"/>
    <w:rsid w:val="00A63696"/>
    <w:rsid w:val="00A6733D"/>
    <w:rsid w:val="00A676C2"/>
    <w:rsid w:val="00A71789"/>
    <w:rsid w:val="00A73ECB"/>
    <w:rsid w:val="00A7536B"/>
    <w:rsid w:val="00A777D1"/>
    <w:rsid w:val="00A808BF"/>
    <w:rsid w:val="00A81B37"/>
    <w:rsid w:val="00A91182"/>
    <w:rsid w:val="00A94320"/>
    <w:rsid w:val="00A95336"/>
    <w:rsid w:val="00AA001D"/>
    <w:rsid w:val="00AA2220"/>
    <w:rsid w:val="00AA28BB"/>
    <w:rsid w:val="00AA495D"/>
    <w:rsid w:val="00AA4AFE"/>
    <w:rsid w:val="00AA5060"/>
    <w:rsid w:val="00AA5373"/>
    <w:rsid w:val="00AB2048"/>
    <w:rsid w:val="00AB29C4"/>
    <w:rsid w:val="00AB4333"/>
    <w:rsid w:val="00AB67F4"/>
    <w:rsid w:val="00AE0C18"/>
    <w:rsid w:val="00AE3130"/>
    <w:rsid w:val="00AE34BF"/>
    <w:rsid w:val="00AE4079"/>
    <w:rsid w:val="00AE5148"/>
    <w:rsid w:val="00AE56A4"/>
    <w:rsid w:val="00AE66D0"/>
    <w:rsid w:val="00AE757A"/>
    <w:rsid w:val="00AE75D3"/>
    <w:rsid w:val="00AF0FF0"/>
    <w:rsid w:val="00AF27A3"/>
    <w:rsid w:val="00AF61DD"/>
    <w:rsid w:val="00AF6D94"/>
    <w:rsid w:val="00B047C6"/>
    <w:rsid w:val="00B078E9"/>
    <w:rsid w:val="00B11702"/>
    <w:rsid w:val="00B12E2B"/>
    <w:rsid w:val="00B136F6"/>
    <w:rsid w:val="00B1485F"/>
    <w:rsid w:val="00B15348"/>
    <w:rsid w:val="00B155BB"/>
    <w:rsid w:val="00B15872"/>
    <w:rsid w:val="00B177B5"/>
    <w:rsid w:val="00B225C2"/>
    <w:rsid w:val="00B2462C"/>
    <w:rsid w:val="00B25C43"/>
    <w:rsid w:val="00B320F7"/>
    <w:rsid w:val="00B35F13"/>
    <w:rsid w:val="00B430E2"/>
    <w:rsid w:val="00B44AD6"/>
    <w:rsid w:val="00B479FC"/>
    <w:rsid w:val="00B53F8D"/>
    <w:rsid w:val="00B54B43"/>
    <w:rsid w:val="00B621FF"/>
    <w:rsid w:val="00B63EEC"/>
    <w:rsid w:val="00B6689A"/>
    <w:rsid w:val="00B7048C"/>
    <w:rsid w:val="00B74639"/>
    <w:rsid w:val="00B82CB8"/>
    <w:rsid w:val="00B82F60"/>
    <w:rsid w:val="00B84EF6"/>
    <w:rsid w:val="00B850D6"/>
    <w:rsid w:val="00B9205E"/>
    <w:rsid w:val="00B942B6"/>
    <w:rsid w:val="00B94368"/>
    <w:rsid w:val="00B96DE2"/>
    <w:rsid w:val="00BA16D0"/>
    <w:rsid w:val="00BA1F3D"/>
    <w:rsid w:val="00BA4C8A"/>
    <w:rsid w:val="00BA6A71"/>
    <w:rsid w:val="00BB16C4"/>
    <w:rsid w:val="00BB2804"/>
    <w:rsid w:val="00BB561C"/>
    <w:rsid w:val="00BB5D29"/>
    <w:rsid w:val="00BB6A5D"/>
    <w:rsid w:val="00BB6ACE"/>
    <w:rsid w:val="00BC1C02"/>
    <w:rsid w:val="00BC1EFF"/>
    <w:rsid w:val="00BC30F2"/>
    <w:rsid w:val="00BC4CCF"/>
    <w:rsid w:val="00BC66A1"/>
    <w:rsid w:val="00BC7DB3"/>
    <w:rsid w:val="00BD10F4"/>
    <w:rsid w:val="00BD4365"/>
    <w:rsid w:val="00BD6052"/>
    <w:rsid w:val="00BD647C"/>
    <w:rsid w:val="00BD6835"/>
    <w:rsid w:val="00BD7FAA"/>
    <w:rsid w:val="00BE0DDF"/>
    <w:rsid w:val="00BE1EEF"/>
    <w:rsid w:val="00BE2CCC"/>
    <w:rsid w:val="00BE69B0"/>
    <w:rsid w:val="00BF08FE"/>
    <w:rsid w:val="00BF2313"/>
    <w:rsid w:val="00BF243D"/>
    <w:rsid w:val="00BF2DCF"/>
    <w:rsid w:val="00C00B36"/>
    <w:rsid w:val="00C04418"/>
    <w:rsid w:val="00C06FBA"/>
    <w:rsid w:val="00C12F81"/>
    <w:rsid w:val="00C13547"/>
    <w:rsid w:val="00C20F55"/>
    <w:rsid w:val="00C21B48"/>
    <w:rsid w:val="00C21E7B"/>
    <w:rsid w:val="00C2626B"/>
    <w:rsid w:val="00C26379"/>
    <w:rsid w:val="00C32C62"/>
    <w:rsid w:val="00C35AA4"/>
    <w:rsid w:val="00C42519"/>
    <w:rsid w:val="00C4587E"/>
    <w:rsid w:val="00C50B66"/>
    <w:rsid w:val="00C57040"/>
    <w:rsid w:val="00C62CE4"/>
    <w:rsid w:val="00C634BB"/>
    <w:rsid w:val="00C64206"/>
    <w:rsid w:val="00C657FE"/>
    <w:rsid w:val="00C67C13"/>
    <w:rsid w:val="00C711C1"/>
    <w:rsid w:val="00C716D0"/>
    <w:rsid w:val="00C72204"/>
    <w:rsid w:val="00C737DB"/>
    <w:rsid w:val="00C77C43"/>
    <w:rsid w:val="00C845A7"/>
    <w:rsid w:val="00C8704F"/>
    <w:rsid w:val="00C8712D"/>
    <w:rsid w:val="00C90BE6"/>
    <w:rsid w:val="00C9213C"/>
    <w:rsid w:val="00C924B7"/>
    <w:rsid w:val="00C954B6"/>
    <w:rsid w:val="00CA06DB"/>
    <w:rsid w:val="00CA0720"/>
    <w:rsid w:val="00CA11CF"/>
    <w:rsid w:val="00CA3A5D"/>
    <w:rsid w:val="00CA6983"/>
    <w:rsid w:val="00CB5FEF"/>
    <w:rsid w:val="00CB60FC"/>
    <w:rsid w:val="00CC4D40"/>
    <w:rsid w:val="00CD2DD6"/>
    <w:rsid w:val="00CE1B2A"/>
    <w:rsid w:val="00CE3E68"/>
    <w:rsid w:val="00CE7003"/>
    <w:rsid w:val="00CF0242"/>
    <w:rsid w:val="00CF035B"/>
    <w:rsid w:val="00CF353A"/>
    <w:rsid w:val="00CF3E87"/>
    <w:rsid w:val="00CF4069"/>
    <w:rsid w:val="00CF4FC1"/>
    <w:rsid w:val="00CF6D58"/>
    <w:rsid w:val="00CF70B5"/>
    <w:rsid w:val="00CF71AD"/>
    <w:rsid w:val="00D00061"/>
    <w:rsid w:val="00D0013F"/>
    <w:rsid w:val="00D00325"/>
    <w:rsid w:val="00D00E66"/>
    <w:rsid w:val="00D04CA3"/>
    <w:rsid w:val="00D100E8"/>
    <w:rsid w:val="00D11CB1"/>
    <w:rsid w:val="00D13A67"/>
    <w:rsid w:val="00D13FDB"/>
    <w:rsid w:val="00D23B31"/>
    <w:rsid w:val="00D24428"/>
    <w:rsid w:val="00D360D2"/>
    <w:rsid w:val="00D36D18"/>
    <w:rsid w:val="00D37E32"/>
    <w:rsid w:val="00D41B47"/>
    <w:rsid w:val="00D41DCE"/>
    <w:rsid w:val="00D42BFD"/>
    <w:rsid w:val="00D43FA1"/>
    <w:rsid w:val="00D4497B"/>
    <w:rsid w:val="00D46357"/>
    <w:rsid w:val="00D50564"/>
    <w:rsid w:val="00D521E5"/>
    <w:rsid w:val="00D54417"/>
    <w:rsid w:val="00D678DA"/>
    <w:rsid w:val="00D71FFB"/>
    <w:rsid w:val="00D73A3A"/>
    <w:rsid w:val="00D74052"/>
    <w:rsid w:val="00D76201"/>
    <w:rsid w:val="00D82DB0"/>
    <w:rsid w:val="00D83E92"/>
    <w:rsid w:val="00D858EA"/>
    <w:rsid w:val="00D86804"/>
    <w:rsid w:val="00D92056"/>
    <w:rsid w:val="00D97833"/>
    <w:rsid w:val="00D97EE2"/>
    <w:rsid w:val="00DA0EDD"/>
    <w:rsid w:val="00DA382F"/>
    <w:rsid w:val="00DA3FCF"/>
    <w:rsid w:val="00DA459F"/>
    <w:rsid w:val="00DB049B"/>
    <w:rsid w:val="00DB6435"/>
    <w:rsid w:val="00DC0298"/>
    <w:rsid w:val="00DC0496"/>
    <w:rsid w:val="00DC1A95"/>
    <w:rsid w:val="00DC1B6D"/>
    <w:rsid w:val="00DC2488"/>
    <w:rsid w:val="00DC313E"/>
    <w:rsid w:val="00DC5332"/>
    <w:rsid w:val="00DC6899"/>
    <w:rsid w:val="00DD38F7"/>
    <w:rsid w:val="00DD74A4"/>
    <w:rsid w:val="00DE6040"/>
    <w:rsid w:val="00DF09A3"/>
    <w:rsid w:val="00DF31AA"/>
    <w:rsid w:val="00DF63EA"/>
    <w:rsid w:val="00DF7129"/>
    <w:rsid w:val="00DF7A38"/>
    <w:rsid w:val="00E03B60"/>
    <w:rsid w:val="00E04DC7"/>
    <w:rsid w:val="00E12F95"/>
    <w:rsid w:val="00E12FA3"/>
    <w:rsid w:val="00E162C9"/>
    <w:rsid w:val="00E1696A"/>
    <w:rsid w:val="00E173B3"/>
    <w:rsid w:val="00E17BE7"/>
    <w:rsid w:val="00E2008B"/>
    <w:rsid w:val="00E246E8"/>
    <w:rsid w:val="00E24E8D"/>
    <w:rsid w:val="00E26330"/>
    <w:rsid w:val="00E2726D"/>
    <w:rsid w:val="00E3189E"/>
    <w:rsid w:val="00E34B5B"/>
    <w:rsid w:val="00E34C99"/>
    <w:rsid w:val="00E36B0C"/>
    <w:rsid w:val="00E37BBC"/>
    <w:rsid w:val="00E37F9A"/>
    <w:rsid w:val="00E41350"/>
    <w:rsid w:val="00E41D52"/>
    <w:rsid w:val="00E45C18"/>
    <w:rsid w:val="00E50C64"/>
    <w:rsid w:val="00E54ED6"/>
    <w:rsid w:val="00E558DC"/>
    <w:rsid w:val="00E56BE5"/>
    <w:rsid w:val="00E63976"/>
    <w:rsid w:val="00E66A72"/>
    <w:rsid w:val="00E66E63"/>
    <w:rsid w:val="00E75F2C"/>
    <w:rsid w:val="00E769B2"/>
    <w:rsid w:val="00E777DA"/>
    <w:rsid w:val="00E808FB"/>
    <w:rsid w:val="00E85E1B"/>
    <w:rsid w:val="00E90077"/>
    <w:rsid w:val="00E9345D"/>
    <w:rsid w:val="00E94A71"/>
    <w:rsid w:val="00E95147"/>
    <w:rsid w:val="00E960ED"/>
    <w:rsid w:val="00EA1AEB"/>
    <w:rsid w:val="00EA244C"/>
    <w:rsid w:val="00EA3921"/>
    <w:rsid w:val="00EA740D"/>
    <w:rsid w:val="00EB046F"/>
    <w:rsid w:val="00EB2880"/>
    <w:rsid w:val="00EB2CF5"/>
    <w:rsid w:val="00EB6FD4"/>
    <w:rsid w:val="00EC0CA2"/>
    <w:rsid w:val="00EC1B6E"/>
    <w:rsid w:val="00EC3F14"/>
    <w:rsid w:val="00EC525E"/>
    <w:rsid w:val="00ED0433"/>
    <w:rsid w:val="00ED43D7"/>
    <w:rsid w:val="00ED5671"/>
    <w:rsid w:val="00EE2647"/>
    <w:rsid w:val="00EE2C33"/>
    <w:rsid w:val="00EE30AD"/>
    <w:rsid w:val="00EE3129"/>
    <w:rsid w:val="00EE3366"/>
    <w:rsid w:val="00EE4216"/>
    <w:rsid w:val="00EE724E"/>
    <w:rsid w:val="00EE7C66"/>
    <w:rsid w:val="00EF1D98"/>
    <w:rsid w:val="00EF248F"/>
    <w:rsid w:val="00EF3D58"/>
    <w:rsid w:val="00EF49FE"/>
    <w:rsid w:val="00EF5041"/>
    <w:rsid w:val="00EF6BBA"/>
    <w:rsid w:val="00F0011A"/>
    <w:rsid w:val="00F00317"/>
    <w:rsid w:val="00F01657"/>
    <w:rsid w:val="00F01BE6"/>
    <w:rsid w:val="00F02DB7"/>
    <w:rsid w:val="00F0462C"/>
    <w:rsid w:val="00F1049B"/>
    <w:rsid w:val="00F13F07"/>
    <w:rsid w:val="00F141E3"/>
    <w:rsid w:val="00F16153"/>
    <w:rsid w:val="00F16D30"/>
    <w:rsid w:val="00F24C22"/>
    <w:rsid w:val="00F24FD4"/>
    <w:rsid w:val="00F257CA"/>
    <w:rsid w:val="00F2620D"/>
    <w:rsid w:val="00F26EF4"/>
    <w:rsid w:val="00F2722D"/>
    <w:rsid w:val="00F272DC"/>
    <w:rsid w:val="00F304E9"/>
    <w:rsid w:val="00F30A10"/>
    <w:rsid w:val="00F32AF4"/>
    <w:rsid w:val="00F32DE6"/>
    <w:rsid w:val="00F33D1D"/>
    <w:rsid w:val="00F37434"/>
    <w:rsid w:val="00F441A9"/>
    <w:rsid w:val="00F44615"/>
    <w:rsid w:val="00F44F3E"/>
    <w:rsid w:val="00F533A6"/>
    <w:rsid w:val="00F53FED"/>
    <w:rsid w:val="00F540B5"/>
    <w:rsid w:val="00F54349"/>
    <w:rsid w:val="00F5639C"/>
    <w:rsid w:val="00F64433"/>
    <w:rsid w:val="00F6585A"/>
    <w:rsid w:val="00F6601C"/>
    <w:rsid w:val="00F66ECC"/>
    <w:rsid w:val="00F67803"/>
    <w:rsid w:val="00F728C7"/>
    <w:rsid w:val="00F7403B"/>
    <w:rsid w:val="00F743E1"/>
    <w:rsid w:val="00F76573"/>
    <w:rsid w:val="00F766D8"/>
    <w:rsid w:val="00F80F8B"/>
    <w:rsid w:val="00F83DAB"/>
    <w:rsid w:val="00F84F1C"/>
    <w:rsid w:val="00F906C0"/>
    <w:rsid w:val="00F947D6"/>
    <w:rsid w:val="00F956AA"/>
    <w:rsid w:val="00F97A61"/>
    <w:rsid w:val="00FA0E73"/>
    <w:rsid w:val="00FA189C"/>
    <w:rsid w:val="00FA42AF"/>
    <w:rsid w:val="00FB7E0F"/>
    <w:rsid w:val="00FC2B9F"/>
    <w:rsid w:val="00FC785E"/>
    <w:rsid w:val="00FD0540"/>
    <w:rsid w:val="00FD16E7"/>
    <w:rsid w:val="00FD1C8E"/>
    <w:rsid w:val="00FD23F1"/>
    <w:rsid w:val="00FD3F26"/>
    <w:rsid w:val="00FD5AED"/>
    <w:rsid w:val="00FD78A5"/>
    <w:rsid w:val="00FD7FD8"/>
    <w:rsid w:val="00FE51F3"/>
    <w:rsid w:val="00FE6E56"/>
    <w:rsid w:val="00FE77B1"/>
    <w:rsid w:val="00FF083C"/>
    <w:rsid w:val="00FF19DD"/>
    <w:rsid w:val="00FF346E"/>
    <w:rsid w:val="00FF3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2804"/>
    <w:pPr>
      <w:ind w:left="720"/>
      <w:contextualSpacing/>
    </w:pPr>
  </w:style>
  <w:style w:type="character" w:styleId="Hyperlink">
    <w:name w:val="Hyperlink"/>
    <w:basedOn w:val="Fontepargpadro"/>
    <w:uiPriority w:val="99"/>
    <w:unhideWhenUsed/>
    <w:rsid w:val="00BB2804"/>
    <w:rPr>
      <w:color w:val="0563C1" w:themeColor="hyperlink"/>
      <w:u w:val="single"/>
    </w:rPr>
  </w:style>
  <w:style w:type="character" w:styleId="MenoPendente">
    <w:name w:val="Unresolved Mention"/>
    <w:basedOn w:val="Fontepargpadro"/>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HiperlinkVisitado">
    <w:name w:val="FollowedHyperlink"/>
    <w:basedOn w:val="Fontepargpadro"/>
    <w:uiPriority w:val="99"/>
    <w:semiHidden/>
    <w:unhideWhenUsed/>
    <w:rsid w:val="00BD7FAA"/>
    <w:rPr>
      <w:color w:val="954F72" w:themeColor="followedHyperlink"/>
      <w:u w:val="single"/>
    </w:rPr>
  </w:style>
  <w:style w:type="character" w:styleId="nfase">
    <w:name w:val="Emphasis"/>
    <w:basedOn w:val="Fontepargpadro"/>
    <w:uiPriority w:val="20"/>
    <w:qFormat/>
    <w:rsid w:val="00AB29C4"/>
    <w:rPr>
      <w:i/>
      <w:iCs/>
    </w:rPr>
  </w:style>
  <w:style w:type="paragraph" w:customStyle="1" w:styleId="bbc-hhl7in">
    <w:name w:val="bbc-hhl7in"/>
    <w:basedOn w:val="Normal"/>
    <w:rsid w:val="00505C6F"/>
    <w:pPr>
      <w:spacing w:before="100" w:beforeAutospacing="1" w:after="100" w:afterAutospacing="1"/>
    </w:pPr>
    <w:rPr>
      <w:rFonts w:ascii="Times New Roman" w:eastAsia="Times New Roman" w:hAnsi="Times New Roman" w:cs="Times New Roman"/>
      <w:lang w:val="pt-BR" w:eastAsia="pt-BR"/>
    </w:rPr>
  </w:style>
  <w:style w:type="paragraph" w:customStyle="1" w:styleId="artigo">
    <w:name w:val="artigo"/>
    <w:basedOn w:val="Normal"/>
    <w:rsid w:val="003965EE"/>
    <w:pPr>
      <w:spacing w:before="100" w:beforeAutospacing="1" w:after="100" w:afterAutospacing="1"/>
    </w:pPr>
    <w:rPr>
      <w:rFonts w:ascii="Times New Roman" w:eastAsia="Times New Roman" w:hAnsi="Times New Roman" w:cs="Times New Roman"/>
      <w:lang w:val="pt-BR" w:eastAsia="pt-BR"/>
    </w:rPr>
  </w:style>
  <w:style w:type="character" w:customStyle="1" w:styleId="ui-provider">
    <w:name w:val="ui-provider"/>
    <w:rsid w:val="001C15A1"/>
  </w:style>
  <w:style w:type="character" w:styleId="Refdecomentrio">
    <w:name w:val="annotation reference"/>
    <w:basedOn w:val="Fontepargpadro"/>
    <w:uiPriority w:val="99"/>
    <w:semiHidden/>
    <w:unhideWhenUsed/>
    <w:rsid w:val="00BD6052"/>
    <w:rPr>
      <w:sz w:val="16"/>
      <w:szCs w:val="16"/>
    </w:rPr>
  </w:style>
  <w:style w:type="paragraph" w:styleId="Textodecomentrio">
    <w:name w:val="annotation text"/>
    <w:basedOn w:val="Normal"/>
    <w:link w:val="TextodecomentrioChar"/>
    <w:uiPriority w:val="99"/>
    <w:unhideWhenUsed/>
    <w:rsid w:val="00BD6052"/>
    <w:rPr>
      <w:sz w:val="20"/>
      <w:szCs w:val="20"/>
    </w:rPr>
  </w:style>
  <w:style w:type="character" w:customStyle="1" w:styleId="TextodecomentrioChar">
    <w:name w:val="Texto de comentário Char"/>
    <w:basedOn w:val="Fontepargpadro"/>
    <w:link w:val="Textodecomentrio"/>
    <w:uiPriority w:val="99"/>
    <w:rsid w:val="00BD6052"/>
    <w:rPr>
      <w:sz w:val="20"/>
      <w:szCs w:val="20"/>
    </w:rPr>
  </w:style>
  <w:style w:type="character" w:styleId="TextodoEspaoReservado">
    <w:name w:val="Placeholder Text"/>
    <w:basedOn w:val="Fontepargpadro"/>
    <w:uiPriority w:val="99"/>
    <w:semiHidden/>
    <w:rsid w:val="00CF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761">
      <w:bodyDiv w:val="1"/>
      <w:marLeft w:val="0"/>
      <w:marRight w:val="0"/>
      <w:marTop w:val="0"/>
      <w:marBottom w:val="0"/>
      <w:divBdr>
        <w:top w:val="none" w:sz="0" w:space="0" w:color="auto"/>
        <w:left w:val="none" w:sz="0" w:space="0" w:color="auto"/>
        <w:bottom w:val="none" w:sz="0" w:space="0" w:color="auto"/>
        <w:right w:val="none" w:sz="0" w:space="0" w:color="auto"/>
      </w:divBdr>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083">
      <w:bodyDiv w:val="1"/>
      <w:marLeft w:val="0"/>
      <w:marRight w:val="0"/>
      <w:marTop w:val="0"/>
      <w:marBottom w:val="0"/>
      <w:divBdr>
        <w:top w:val="none" w:sz="0" w:space="0" w:color="auto"/>
        <w:left w:val="none" w:sz="0" w:space="0" w:color="auto"/>
        <w:bottom w:val="none" w:sz="0" w:space="0" w:color="auto"/>
        <w:right w:val="none" w:sz="0" w:space="0" w:color="auto"/>
      </w:divBdr>
      <w:divsChild>
        <w:div w:id="343433863">
          <w:marLeft w:val="0"/>
          <w:marRight w:val="0"/>
          <w:marTop w:val="0"/>
          <w:marBottom w:val="0"/>
          <w:divBdr>
            <w:top w:val="none" w:sz="0" w:space="0" w:color="auto"/>
            <w:left w:val="none" w:sz="0" w:space="0" w:color="auto"/>
            <w:bottom w:val="none" w:sz="0" w:space="0" w:color="auto"/>
            <w:right w:val="none" w:sz="0" w:space="0" w:color="auto"/>
          </w:divBdr>
          <w:divsChild>
            <w:div w:id="1353411729">
              <w:marLeft w:val="0"/>
              <w:marRight w:val="0"/>
              <w:marTop w:val="0"/>
              <w:marBottom w:val="0"/>
              <w:divBdr>
                <w:top w:val="none" w:sz="0" w:space="0" w:color="auto"/>
                <w:left w:val="none" w:sz="0" w:space="0" w:color="auto"/>
                <w:bottom w:val="none" w:sz="0" w:space="0" w:color="auto"/>
                <w:right w:val="none" w:sz="0" w:space="0" w:color="auto"/>
              </w:divBdr>
              <w:divsChild>
                <w:div w:id="212737522">
                  <w:marLeft w:val="0"/>
                  <w:marRight w:val="0"/>
                  <w:marTop w:val="0"/>
                  <w:marBottom w:val="0"/>
                  <w:divBdr>
                    <w:top w:val="none" w:sz="0" w:space="0" w:color="auto"/>
                    <w:left w:val="none" w:sz="0" w:space="0" w:color="auto"/>
                    <w:bottom w:val="none" w:sz="0" w:space="0" w:color="auto"/>
                    <w:right w:val="none" w:sz="0" w:space="0" w:color="auto"/>
                  </w:divBdr>
                  <w:divsChild>
                    <w:div w:id="1476994448">
                      <w:marLeft w:val="0"/>
                      <w:marRight w:val="0"/>
                      <w:marTop w:val="0"/>
                      <w:marBottom w:val="0"/>
                      <w:divBdr>
                        <w:top w:val="none" w:sz="0" w:space="0" w:color="auto"/>
                        <w:left w:val="none" w:sz="0" w:space="0" w:color="auto"/>
                        <w:bottom w:val="none" w:sz="0" w:space="0" w:color="auto"/>
                        <w:right w:val="none" w:sz="0" w:space="0" w:color="auto"/>
                      </w:divBdr>
                      <w:divsChild>
                        <w:div w:id="807475891">
                          <w:marLeft w:val="0"/>
                          <w:marRight w:val="0"/>
                          <w:marTop w:val="0"/>
                          <w:marBottom w:val="0"/>
                          <w:divBdr>
                            <w:top w:val="none" w:sz="0" w:space="0" w:color="auto"/>
                            <w:left w:val="none" w:sz="0" w:space="0" w:color="auto"/>
                            <w:bottom w:val="none" w:sz="0" w:space="0" w:color="auto"/>
                            <w:right w:val="none" w:sz="0" w:space="0" w:color="auto"/>
                          </w:divBdr>
                          <w:divsChild>
                            <w:div w:id="199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3960">
      <w:bodyDiv w:val="1"/>
      <w:marLeft w:val="0"/>
      <w:marRight w:val="0"/>
      <w:marTop w:val="0"/>
      <w:marBottom w:val="0"/>
      <w:divBdr>
        <w:top w:val="none" w:sz="0" w:space="0" w:color="auto"/>
        <w:left w:val="none" w:sz="0" w:space="0" w:color="auto"/>
        <w:bottom w:val="none" w:sz="0" w:space="0" w:color="auto"/>
        <w:right w:val="none" w:sz="0" w:space="0" w:color="auto"/>
      </w:divBdr>
    </w:div>
    <w:div w:id="131414121">
      <w:bodyDiv w:val="1"/>
      <w:marLeft w:val="0"/>
      <w:marRight w:val="0"/>
      <w:marTop w:val="0"/>
      <w:marBottom w:val="0"/>
      <w:divBdr>
        <w:top w:val="none" w:sz="0" w:space="0" w:color="auto"/>
        <w:left w:val="none" w:sz="0" w:space="0" w:color="auto"/>
        <w:bottom w:val="none" w:sz="0" w:space="0" w:color="auto"/>
        <w:right w:val="none" w:sz="0" w:space="0" w:color="auto"/>
      </w:divBdr>
    </w:div>
    <w:div w:id="133185294">
      <w:bodyDiv w:val="1"/>
      <w:marLeft w:val="0"/>
      <w:marRight w:val="0"/>
      <w:marTop w:val="0"/>
      <w:marBottom w:val="0"/>
      <w:divBdr>
        <w:top w:val="none" w:sz="0" w:space="0" w:color="auto"/>
        <w:left w:val="none" w:sz="0" w:space="0" w:color="auto"/>
        <w:bottom w:val="none" w:sz="0" w:space="0" w:color="auto"/>
        <w:right w:val="none" w:sz="0" w:space="0" w:color="auto"/>
      </w:divBdr>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187069528">
      <w:bodyDiv w:val="1"/>
      <w:marLeft w:val="0"/>
      <w:marRight w:val="0"/>
      <w:marTop w:val="0"/>
      <w:marBottom w:val="0"/>
      <w:divBdr>
        <w:top w:val="none" w:sz="0" w:space="0" w:color="auto"/>
        <w:left w:val="none" w:sz="0" w:space="0" w:color="auto"/>
        <w:bottom w:val="none" w:sz="0" w:space="0" w:color="auto"/>
        <w:right w:val="none" w:sz="0" w:space="0" w:color="auto"/>
      </w:divBdr>
    </w:div>
    <w:div w:id="190071025">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3350">
      <w:bodyDiv w:val="1"/>
      <w:marLeft w:val="0"/>
      <w:marRight w:val="0"/>
      <w:marTop w:val="0"/>
      <w:marBottom w:val="0"/>
      <w:divBdr>
        <w:top w:val="none" w:sz="0" w:space="0" w:color="auto"/>
        <w:left w:val="none" w:sz="0" w:space="0" w:color="auto"/>
        <w:bottom w:val="none" w:sz="0" w:space="0" w:color="auto"/>
        <w:right w:val="none" w:sz="0" w:space="0" w:color="auto"/>
      </w:divBdr>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2213">
      <w:bodyDiv w:val="1"/>
      <w:marLeft w:val="0"/>
      <w:marRight w:val="0"/>
      <w:marTop w:val="0"/>
      <w:marBottom w:val="0"/>
      <w:divBdr>
        <w:top w:val="none" w:sz="0" w:space="0" w:color="auto"/>
        <w:left w:val="none" w:sz="0" w:space="0" w:color="auto"/>
        <w:bottom w:val="none" w:sz="0" w:space="0" w:color="auto"/>
        <w:right w:val="none" w:sz="0" w:space="0" w:color="auto"/>
      </w:divBdr>
    </w:div>
    <w:div w:id="267353182">
      <w:bodyDiv w:val="1"/>
      <w:marLeft w:val="0"/>
      <w:marRight w:val="0"/>
      <w:marTop w:val="0"/>
      <w:marBottom w:val="0"/>
      <w:divBdr>
        <w:top w:val="none" w:sz="0" w:space="0" w:color="auto"/>
        <w:left w:val="none" w:sz="0" w:space="0" w:color="auto"/>
        <w:bottom w:val="none" w:sz="0" w:space="0" w:color="auto"/>
        <w:right w:val="none" w:sz="0" w:space="0" w:color="auto"/>
      </w:divBdr>
    </w:div>
    <w:div w:id="350035441">
      <w:bodyDiv w:val="1"/>
      <w:marLeft w:val="0"/>
      <w:marRight w:val="0"/>
      <w:marTop w:val="0"/>
      <w:marBottom w:val="0"/>
      <w:divBdr>
        <w:top w:val="none" w:sz="0" w:space="0" w:color="auto"/>
        <w:left w:val="none" w:sz="0" w:space="0" w:color="auto"/>
        <w:bottom w:val="none" w:sz="0" w:space="0" w:color="auto"/>
        <w:right w:val="none" w:sz="0" w:space="0" w:color="auto"/>
      </w:divBdr>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8319">
      <w:bodyDiv w:val="1"/>
      <w:marLeft w:val="0"/>
      <w:marRight w:val="0"/>
      <w:marTop w:val="0"/>
      <w:marBottom w:val="0"/>
      <w:divBdr>
        <w:top w:val="none" w:sz="0" w:space="0" w:color="auto"/>
        <w:left w:val="none" w:sz="0" w:space="0" w:color="auto"/>
        <w:bottom w:val="none" w:sz="0" w:space="0" w:color="auto"/>
        <w:right w:val="none" w:sz="0" w:space="0" w:color="auto"/>
      </w:divBdr>
    </w:div>
    <w:div w:id="392969712">
      <w:bodyDiv w:val="1"/>
      <w:marLeft w:val="0"/>
      <w:marRight w:val="0"/>
      <w:marTop w:val="0"/>
      <w:marBottom w:val="0"/>
      <w:divBdr>
        <w:top w:val="none" w:sz="0" w:space="0" w:color="auto"/>
        <w:left w:val="none" w:sz="0" w:space="0" w:color="auto"/>
        <w:bottom w:val="none" w:sz="0" w:space="0" w:color="auto"/>
        <w:right w:val="none" w:sz="0" w:space="0" w:color="auto"/>
      </w:divBdr>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9711">
      <w:bodyDiv w:val="1"/>
      <w:marLeft w:val="0"/>
      <w:marRight w:val="0"/>
      <w:marTop w:val="0"/>
      <w:marBottom w:val="0"/>
      <w:divBdr>
        <w:top w:val="none" w:sz="0" w:space="0" w:color="auto"/>
        <w:left w:val="none" w:sz="0" w:space="0" w:color="auto"/>
        <w:bottom w:val="none" w:sz="0" w:space="0" w:color="auto"/>
        <w:right w:val="none" w:sz="0" w:space="0" w:color="auto"/>
      </w:divBdr>
      <w:divsChild>
        <w:div w:id="869995002">
          <w:marLeft w:val="0"/>
          <w:marRight w:val="0"/>
          <w:marTop w:val="0"/>
          <w:marBottom w:val="0"/>
          <w:divBdr>
            <w:top w:val="none" w:sz="0" w:space="0" w:color="auto"/>
            <w:left w:val="none" w:sz="0" w:space="0" w:color="auto"/>
            <w:bottom w:val="none" w:sz="0" w:space="0" w:color="auto"/>
            <w:right w:val="none" w:sz="0" w:space="0" w:color="auto"/>
          </w:divBdr>
        </w:div>
        <w:div w:id="790396741">
          <w:marLeft w:val="0"/>
          <w:marRight w:val="0"/>
          <w:marTop w:val="0"/>
          <w:marBottom w:val="0"/>
          <w:divBdr>
            <w:top w:val="none" w:sz="0" w:space="0" w:color="auto"/>
            <w:left w:val="none" w:sz="0" w:space="0" w:color="auto"/>
            <w:bottom w:val="none" w:sz="0" w:space="0" w:color="auto"/>
            <w:right w:val="none" w:sz="0" w:space="0" w:color="auto"/>
          </w:divBdr>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7813">
      <w:bodyDiv w:val="1"/>
      <w:marLeft w:val="0"/>
      <w:marRight w:val="0"/>
      <w:marTop w:val="0"/>
      <w:marBottom w:val="0"/>
      <w:divBdr>
        <w:top w:val="none" w:sz="0" w:space="0" w:color="auto"/>
        <w:left w:val="none" w:sz="0" w:space="0" w:color="auto"/>
        <w:bottom w:val="none" w:sz="0" w:space="0" w:color="auto"/>
        <w:right w:val="none" w:sz="0" w:space="0" w:color="auto"/>
      </w:divBdr>
    </w:div>
    <w:div w:id="528372676">
      <w:bodyDiv w:val="1"/>
      <w:marLeft w:val="0"/>
      <w:marRight w:val="0"/>
      <w:marTop w:val="0"/>
      <w:marBottom w:val="0"/>
      <w:divBdr>
        <w:top w:val="none" w:sz="0" w:space="0" w:color="auto"/>
        <w:left w:val="none" w:sz="0" w:space="0" w:color="auto"/>
        <w:bottom w:val="none" w:sz="0" w:space="0" w:color="auto"/>
        <w:right w:val="none" w:sz="0" w:space="0" w:color="auto"/>
      </w:divBdr>
      <w:divsChild>
        <w:div w:id="1275867361">
          <w:marLeft w:val="0"/>
          <w:marRight w:val="0"/>
          <w:marTop w:val="0"/>
          <w:marBottom w:val="0"/>
          <w:divBdr>
            <w:top w:val="none" w:sz="0" w:space="0" w:color="auto"/>
            <w:left w:val="none" w:sz="0" w:space="0" w:color="auto"/>
            <w:bottom w:val="none" w:sz="0" w:space="0" w:color="auto"/>
            <w:right w:val="none" w:sz="0" w:space="0" w:color="auto"/>
          </w:divBdr>
        </w:div>
        <w:div w:id="1088386451">
          <w:marLeft w:val="0"/>
          <w:marRight w:val="0"/>
          <w:marTop w:val="0"/>
          <w:marBottom w:val="0"/>
          <w:divBdr>
            <w:top w:val="none" w:sz="0" w:space="0" w:color="auto"/>
            <w:left w:val="none" w:sz="0" w:space="0" w:color="auto"/>
            <w:bottom w:val="none" w:sz="0" w:space="0" w:color="auto"/>
            <w:right w:val="none" w:sz="0" w:space="0" w:color="auto"/>
          </w:divBdr>
        </w:div>
        <w:div w:id="716394973">
          <w:marLeft w:val="0"/>
          <w:marRight w:val="0"/>
          <w:marTop w:val="0"/>
          <w:marBottom w:val="0"/>
          <w:divBdr>
            <w:top w:val="none" w:sz="0" w:space="0" w:color="auto"/>
            <w:left w:val="none" w:sz="0" w:space="0" w:color="auto"/>
            <w:bottom w:val="none" w:sz="0" w:space="0" w:color="auto"/>
            <w:right w:val="none" w:sz="0" w:space="0" w:color="auto"/>
          </w:divBdr>
        </w:div>
        <w:div w:id="882407830">
          <w:marLeft w:val="0"/>
          <w:marRight w:val="0"/>
          <w:marTop w:val="0"/>
          <w:marBottom w:val="0"/>
          <w:divBdr>
            <w:top w:val="none" w:sz="0" w:space="0" w:color="auto"/>
            <w:left w:val="none" w:sz="0" w:space="0" w:color="auto"/>
            <w:bottom w:val="none" w:sz="0" w:space="0" w:color="auto"/>
            <w:right w:val="none" w:sz="0" w:space="0" w:color="auto"/>
          </w:divBdr>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4651">
      <w:bodyDiv w:val="1"/>
      <w:marLeft w:val="0"/>
      <w:marRight w:val="0"/>
      <w:marTop w:val="0"/>
      <w:marBottom w:val="0"/>
      <w:divBdr>
        <w:top w:val="none" w:sz="0" w:space="0" w:color="auto"/>
        <w:left w:val="none" w:sz="0" w:space="0" w:color="auto"/>
        <w:bottom w:val="none" w:sz="0" w:space="0" w:color="auto"/>
        <w:right w:val="none" w:sz="0" w:space="0" w:color="auto"/>
      </w:divBdr>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8816">
      <w:bodyDiv w:val="1"/>
      <w:marLeft w:val="0"/>
      <w:marRight w:val="0"/>
      <w:marTop w:val="0"/>
      <w:marBottom w:val="0"/>
      <w:divBdr>
        <w:top w:val="none" w:sz="0" w:space="0" w:color="auto"/>
        <w:left w:val="none" w:sz="0" w:space="0" w:color="auto"/>
        <w:bottom w:val="none" w:sz="0" w:space="0" w:color="auto"/>
        <w:right w:val="none" w:sz="0" w:space="0" w:color="auto"/>
      </w:divBdr>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2219">
      <w:bodyDiv w:val="1"/>
      <w:marLeft w:val="0"/>
      <w:marRight w:val="0"/>
      <w:marTop w:val="0"/>
      <w:marBottom w:val="0"/>
      <w:divBdr>
        <w:top w:val="none" w:sz="0" w:space="0" w:color="auto"/>
        <w:left w:val="none" w:sz="0" w:space="0" w:color="auto"/>
        <w:bottom w:val="none" w:sz="0" w:space="0" w:color="auto"/>
        <w:right w:val="none" w:sz="0" w:space="0" w:color="auto"/>
      </w:divBdr>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8082">
      <w:bodyDiv w:val="1"/>
      <w:marLeft w:val="0"/>
      <w:marRight w:val="0"/>
      <w:marTop w:val="0"/>
      <w:marBottom w:val="0"/>
      <w:divBdr>
        <w:top w:val="none" w:sz="0" w:space="0" w:color="auto"/>
        <w:left w:val="none" w:sz="0" w:space="0" w:color="auto"/>
        <w:bottom w:val="none" w:sz="0" w:space="0" w:color="auto"/>
        <w:right w:val="none" w:sz="0" w:space="0" w:color="auto"/>
      </w:divBdr>
    </w:div>
    <w:div w:id="669337596">
      <w:bodyDiv w:val="1"/>
      <w:marLeft w:val="0"/>
      <w:marRight w:val="0"/>
      <w:marTop w:val="0"/>
      <w:marBottom w:val="0"/>
      <w:divBdr>
        <w:top w:val="none" w:sz="0" w:space="0" w:color="auto"/>
        <w:left w:val="none" w:sz="0" w:space="0" w:color="auto"/>
        <w:bottom w:val="none" w:sz="0" w:space="0" w:color="auto"/>
        <w:right w:val="none" w:sz="0" w:space="0" w:color="auto"/>
      </w:divBdr>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094">
      <w:bodyDiv w:val="1"/>
      <w:marLeft w:val="0"/>
      <w:marRight w:val="0"/>
      <w:marTop w:val="0"/>
      <w:marBottom w:val="0"/>
      <w:divBdr>
        <w:top w:val="none" w:sz="0" w:space="0" w:color="auto"/>
        <w:left w:val="none" w:sz="0" w:space="0" w:color="auto"/>
        <w:bottom w:val="none" w:sz="0" w:space="0" w:color="auto"/>
        <w:right w:val="none" w:sz="0" w:space="0" w:color="auto"/>
      </w:divBdr>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14">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7679">
      <w:bodyDiv w:val="1"/>
      <w:marLeft w:val="0"/>
      <w:marRight w:val="0"/>
      <w:marTop w:val="0"/>
      <w:marBottom w:val="0"/>
      <w:divBdr>
        <w:top w:val="none" w:sz="0" w:space="0" w:color="auto"/>
        <w:left w:val="none" w:sz="0" w:space="0" w:color="auto"/>
        <w:bottom w:val="none" w:sz="0" w:space="0" w:color="auto"/>
        <w:right w:val="none" w:sz="0" w:space="0" w:color="auto"/>
      </w:divBdr>
      <w:divsChild>
        <w:div w:id="698820045">
          <w:marLeft w:val="0"/>
          <w:marRight w:val="0"/>
          <w:marTop w:val="0"/>
          <w:marBottom w:val="0"/>
          <w:divBdr>
            <w:top w:val="none" w:sz="0" w:space="0" w:color="auto"/>
            <w:left w:val="none" w:sz="0" w:space="0" w:color="auto"/>
            <w:bottom w:val="none" w:sz="0" w:space="0" w:color="auto"/>
            <w:right w:val="none" w:sz="0" w:space="0" w:color="auto"/>
          </w:divBdr>
          <w:divsChild>
            <w:div w:id="2017920795">
              <w:marLeft w:val="0"/>
              <w:marRight w:val="0"/>
              <w:marTop w:val="0"/>
              <w:marBottom w:val="0"/>
              <w:divBdr>
                <w:top w:val="none" w:sz="0" w:space="0" w:color="auto"/>
                <w:left w:val="none" w:sz="0" w:space="0" w:color="auto"/>
                <w:bottom w:val="none" w:sz="0" w:space="0" w:color="auto"/>
                <w:right w:val="none" w:sz="0" w:space="0" w:color="auto"/>
              </w:divBdr>
              <w:divsChild>
                <w:div w:id="126748425">
                  <w:marLeft w:val="0"/>
                  <w:marRight w:val="0"/>
                  <w:marTop w:val="0"/>
                  <w:marBottom w:val="0"/>
                  <w:divBdr>
                    <w:top w:val="none" w:sz="0" w:space="0" w:color="auto"/>
                    <w:left w:val="none" w:sz="0" w:space="0" w:color="auto"/>
                    <w:bottom w:val="none" w:sz="0" w:space="0" w:color="auto"/>
                    <w:right w:val="none" w:sz="0" w:space="0" w:color="auto"/>
                  </w:divBdr>
                  <w:divsChild>
                    <w:div w:id="1689135140">
                      <w:marLeft w:val="0"/>
                      <w:marRight w:val="0"/>
                      <w:marTop w:val="0"/>
                      <w:marBottom w:val="0"/>
                      <w:divBdr>
                        <w:top w:val="none" w:sz="0" w:space="0" w:color="auto"/>
                        <w:left w:val="none" w:sz="0" w:space="0" w:color="auto"/>
                        <w:bottom w:val="none" w:sz="0" w:space="0" w:color="auto"/>
                        <w:right w:val="none" w:sz="0" w:space="0" w:color="auto"/>
                      </w:divBdr>
                      <w:divsChild>
                        <w:div w:id="1611205392">
                          <w:marLeft w:val="0"/>
                          <w:marRight w:val="0"/>
                          <w:marTop w:val="0"/>
                          <w:marBottom w:val="0"/>
                          <w:divBdr>
                            <w:top w:val="none" w:sz="0" w:space="0" w:color="auto"/>
                            <w:left w:val="none" w:sz="0" w:space="0" w:color="auto"/>
                            <w:bottom w:val="none" w:sz="0" w:space="0" w:color="auto"/>
                            <w:right w:val="none" w:sz="0" w:space="0" w:color="auto"/>
                          </w:divBdr>
                          <w:divsChild>
                            <w:div w:id="5966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2760">
      <w:bodyDiv w:val="1"/>
      <w:marLeft w:val="0"/>
      <w:marRight w:val="0"/>
      <w:marTop w:val="0"/>
      <w:marBottom w:val="0"/>
      <w:divBdr>
        <w:top w:val="none" w:sz="0" w:space="0" w:color="auto"/>
        <w:left w:val="none" w:sz="0" w:space="0" w:color="auto"/>
        <w:bottom w:val="none" w:sz="0" w:space="0" w:color="auto"/>
        <w:right w:val="none" w:sz="0" w:space="0" w:color="auto"/>
      </w:divBdr>
    </w:div>
    <w:div w:id="962686907">
      <w:bodyDiv w:val="1"/>
      <w:marLeft w:val="0"/>
      <w:marRight w:val="0"/>
      <w:marTop w:val="0"/>
      <w:marBottom w:val="0"/>
      <w:divBdr>
        <w:top w:val="none" w:sz="0" w:space="0" w:color="auto"/>
        <w:left w:val="none" w:sz="0" w:space="0" w:color="auto"/>
        <w:bottom w:val="none" w:sz="0" w:space="0" w:color="auto"/>
        <w:right w:val="none" w:sz="0" w:space="0" w:color="auto"/>
      </w:divBdr>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709">
      <w:bodyDiv w:val="1"/>
      <w:marLeft w:val="0"/>
      <w:marRight w:val="0"/>
      <w:marTop w:val="0"/>
      <w:marBottom w:val="0"/>
      <w:divBdr>
        <w:top w:val="none" w:sz="0" w:space="0" w:color="auto"/>
        <w:left w:val="none" w:sz="0" w:space="0" w:color="auto"/>
        <w:bottom w:val="none" w:sz="0" w:space="0" w:color="auto"/>
        <w:right w:val="none" w:sz="0" w:space="0" w:color="auto"/>
      </w:divBdr>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21996">
      <w:bodyDiv w:val="1"/>
      <w:marLeft w:val="0"/>
      <w:marRight w:val="0"/>
      <w:marTop w:val="0"/>
      <w:marBottom w:val="0"/>
      <w:divBdr>
        <w:top w:val="none" w:sz="0" w:space="0" w:color="auto"/>
        <w:left w:val="none" w:sz="0" w:space="0" w:color="auto"/>
        <w:bottom w:val="none" w:sz="0" w:space="0" w:color="auto"/>
        <w:right w:val="none" w:sz="0" w:space="0" w:color="auto"/>
      </w:divBdr>
    </w:div>
    <w:div w:id="1172330157">
      <w:bodyDiv w:val="1"/>
      <w:marLeft w:val="0"/>
      <w:marRight w:val="0"/>
      <w:marTop w:val="0"/>
      <w:marBottom w:val="0"/>
      <w:divBdr>
        <w:top w:val="none" w:sz="0" w:space="0" w:color="auto"/>
        <w:left w:val="none" w:sz="0" w:space="0" w:color="auto"/>
        <w:bottom w:val="none" w:sz="0" w:space="0" w:color="auto"/>
        <w:right w:val="none" w:sz="0" w:space="0" w:color="auto"/>
      </w:divBdr>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6295">
      <w:bodyDiv w:val="1"/>
      <w:marLeft w:val="0"/>
      <w:marRight w:val="0"/>
      <w:marTop w:val="0"/>
      <w:marBottom w:val="0"/>
      <w:divBdr>
        <w:top w:val="none" w:sz="0" w:space="0" w:color="auto"/>
        <w:left w:val="none" w:sz="0" w:space="0" w:color="auto"/>
        <w:bottom w:val="none" w:sz="0" w:space="0" w:color="auto"/>
        <w:right w:val="none" w:sz="0" w:space="0" w:color="auto"/>
      </w:divBdr>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3983">
      <w:bodyDiv w:val="1"/>
      <w:marLeft w:val="0"/>
      <w:marRight w:val="0"/>
      <w:marTop w:val="0"/>
      <w:marBottom w:val="0"/>
      <w:divBdr>
        <w:top w:val="none" w:sz="0" w:space="0" w:color="auto"/>
        <w:left w:val="none" w:sz="0" w:space="0" w:color="auto"/>
        <w:bottom w:val="none" w:sz="0" w:space="0" w:color="auto"/>
        <w:right w:val="none" w:sz="0" w:space="0" w:color="auto"/>
      </w:divBdr>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1151852">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3640">
      <w:bodyDiv w:val="1"/>
      <w:marLeft w:val="0"/>
      <w:marRight w:val="0"/>
      <w:marTop w:val="0"/>
      <w:marBottom w:val="0"/>
      <w:divBdr>
        <w:top w:val="none" w:sz="0" w:space="0" w:color="auto"/>
        <w:left w:val="none" w:sz="0" w:space="0" w:color="auto"/>
        <w:bottom w:val="none" w:sz="0" w:space="0" w:color="auto"/>
        <w:right w:val="none" w:sz="0" w:space="0" w:color="auto"/>
      </w:divBdr>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6278">
      <w:bodyDiv w:val="1"/>
      <w:marLeft w:val="0"/>
      <w:marRight w:val="0"/>
      <w:marTop w:val="0"/>
      <w:marBottom w:val="0"/>
      <w:divBdr>
        <w:top w:val="none" w:sz="0" w:space="0" w:color="auto"/>
        <w:left w:val="none" w:sz="0" w:space="0" w:color="auto"/>
        <w:bottom w:val="none" w:sz="0" w:space="0" w:color="auto"/>
        <w:right w:val="none" w:sz="0" w:space="0" w:color="auto"/>
      </w:divBdr>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74313710">
      <w:bodyDiv w:val="1"/>
      <w:marLeft w:val="0"/>
      <w:marRight w:val="0"/>
      <w:marTop w:val="0"/>
      <w:marBottom w:val="0"/>
      <w:divBdr>
        <w:top w:val="none" w:sz="0" w:space="0" w:color="auto"/>
        <w:left w:val="none" w:sz="0" w:space="0" w:color="auto"/>
        <w:bottom w:val="none" w:sz="0" w:space="0" w:color="auto"/>
        <w:right w:val="none" w:sz="0" w:space="0" w:color="auto"/>
      </w:divBdr>
    </w:div>
    <w:div w:id="1589079441">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9968">
      <w:bodyDiv w:val="1"/>
      <w:marLeft w:val="0"/>
      <w:marRight w:val="0"/>
      <w:marTop w:val="0"/>
      <w:marBottom w:val="0"/>
      <w:divBdr>
        <w:top w:val="none" w:sz="0" w:space="0" w:color="auto"/>
        <w:left w:val="none" w:sz="0" w:space="0" w:color="auto"/>
        <w:bottom w:val="none" w:sz="0" w:space="0" w:color="auto"/>
        <w:right w:val="none" w:sz="0" w:space="0" w:color="auto"/>
      </w:divBdr>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307">
      <w:bodyDiv w:val="1"/>
      <w:marLeft w:val="0"/>
      <w:marRight w:val="0"/>
      <w:marTop w:val="0"/>
      <w:marBottom w:val="0"/>
      <w:divBdr>
        <w:top w:val="none" w:sz="0" w:space="0" w:color="auto"/>
        <w:left w:val="none" w:sz="0" w:space="0" w:color="auto"/>
        <w:bottom w:val="none" w:sz="0" w:space="0" w:color="auto"/>
        <w:right w:val="none" w:sz="0" w:space="0" w:color="auto"/>
      </w:divBdr>
    </w:div>
    <w:div w:id="1822889665">
      <w:bodyDiv w:val="1"/>
      <w:marLeft w:val="0"/>
      <w:marRight w:val="0"/>
      <w:marTop w:val="0"/>
      <w:marBottom w:val="0"/>
      <w:divBdr>
        <w:top w:val="none" w:sz="0" w:space="0" w:color="auto"/>
        <w:left w:val="none" w:sz="0" w:space="0" w:color="auto"/>
        <w:bottom w:val="none" w:sz="0" w:space="0" w:color="auto"/>
        <w:right w:val="none" w:sz="0" w:space="0" w:color="auto"/>
      </w:divBdr>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7902">
      <w:bodyDiv w:val="1"/>
      <w:marLeft w:val="0"/>
      <w:marRight w:val="0"/>
      <w:marTop w:val="0"/>
      <w:marBottom w:val="0"/>
      <w:divBdr>
        <w:top w:val="none" w:sz="0" w:space="0" w:color="auto"/>
        <w:left w:val="none" w:sz="0" w:space="0" w:color="auto"/>
        <w:bottom w:val="none" w:sz="0" w:space="0" w:color="auto"/>
        <w:right w:val="none" w:sz="0" w:space="0" w:color="auto"/>
      </w:divBdr>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983">
      <w:bodyDiv w:val="1"/>
      <w:marLeft w:val="0"/>
      <w:marRight w:val="0"/>
      <w:marTop w:val="0"/>
      <w:marBottom w:val="0"/>
      <w:divBdr>
        <w:top w:val="none" w:sz="0" w:space="0" w:color="auto"/>
        <w:left w:val="none" w:sz="0" w:space="0" w:color="auto"/>
        <w:bottom w:val="none" w:sz="0" w:space="0" w:color="auto"/>
        <w:right w:val="none" w:sz="0" w:space="0" w:color="auto"/>
      </w:divBdr>
    </w:div>
    <w:div w:id="1934775837">
      <w:bodyDiv w:val="1"/>
      <w:marLeft w:val="0"/>
      <w:marRight w:val="0"/>
      <w:marTop w:val="0"/>
      <w:marBottom w:val="0"/>
      <w:divBdr>
        <w:top w:val="none" w:sz="0" w:space="0" w:color="auto"/>
        <w:left w:val="none" w:sz="0" w:space="0" w:color="auto"/>
        <w:bottom w:val="none" w:sz="0" w:space="0" w:color="auto"/>
        <w:right w:val="none" w:sz="0" w:space="0" w:color="auto"/>
      </w:divBdr>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112">
      <w:bodyDiv w:val="1"/>
      <w:marLeft w:val="0"/>
      <w:marRight w:val="0"/>
      <w:marTop w:val="0"/>
      <w:marBottom w:val="0"/>
      <w:divBdr>
        <w:top w:val="none" w:sz="0" w:space="0" w:color="auto"/>
        <w:left w:val="none" w:sz="0" w:space="0" w:color="auto"/>
        <w:bottom w:val="none" w:sz="0" w:space="0" w:color="auto"/>
        <w:right w:val="none" w:sz="0" w:space="0" w:color="auto"/>
      </w:divBdr>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5554">
      <w:bodyDiv w:val="1"/>
      <w:marLeft w:val="0"/>
      <w:marRight w:val="0"/>
      <w:marTop w:val="0"/>
      <w:marBottom w:val="0"/>
      <w:divBdr>
        <w:top w:val="none" w:sz="0" w:space="0" w:color="auto"/>
        <w:left w:val="none" w:sz="0" w:space="0" w:color="auto"/>
        <w:bottom w:val="none" w:sz="0" w:space="0" w:color="auto"/>
        <w:right w:val="none" w:sz="0" w:space="0" w:color="auto"/>
      </w:divBdr>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6099">
      <w:bodyDiv w:val="1"/>
      <w:marLeft w:val="0"/>
      <w:marRight w:val="0"/>
      <w:marTop w:val="0"/>
      <w:marBottom w:val="0"/>
      <w:divBdr>
        <w:top w:val="none" w:sz="0" w:space="0" w:color="auto"/>
        <w:left w:val="none" w:sz="0" w:space="0" w:color="auto"/>
        <w:bottom w:val="none" w:sz="0" w:space="0" w:color="auto"/>
        <w:right w:val="none" w:sz="0" w:space="0" w:color="auto"/>
      </w:divBdr>
    </w:div>
    <w:div w:id="2088305557">
      <w:bodyDiv w:val="1"/>
      <w:marLeft w:val="0"/>
      <w:marRight w:val="0"/>
      <w:marTop w:val="0"/>
      <w:marBottom w:val="0"/>
      <w:divBdr>
        <w:top w:val="none" w:sz="0" w:space="0" w:color="auto"/>
        <w:left w:val="none" w:sz="0" w:space="0" w:color="auto"/>
        <w:bottom w:val="none" w:sz="0" w:space="0" w:color="auto"/>
        <w:right w:val="none" w:sz="0" w:space="0" w:color="auto"/>
      </w:divBdr>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3913">
      <w:bodyDiv w:val="1"/>
      <w:marLeft w:val="0"/>
      <w:marRight w:val="0"/>
      <w:marTop w:val="0"/>
      <w:marBottom w:val="0"/>
      <w:divBdr>
        <w:top w:val="none" w:sz="0" w:space="0" w:color="auto"/>
        <w:left w:val="none" w:sz="0" w:space="0" w:color="auto"/>
        <w:bottom w:val="none" w:sz="0" w:space="0" w:color="auto"/>
        <w:right w:val="none" w:sz="0" w:space="0" w:color="auto"/>
      </w:divBdr>
    </w:div>
    <w:div w:id="21406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freedomofexpression.columbia.edu/cases/couderc-v-france-2/" TargetMode="External"/><Relationship Id="rId13" Type="http://schemas.openxmlformats.org/officeDocument/2006/relationships/hyperlink" Target="http://hudoc.echr.coe.int/sites/eng/pages/search.aspx?i=001-144676" TargetMode="External"/><Relationship Id="rId3" Type="http://schemas.openxmlformats.org/officeDocument/2006/relationships/settings" Target="settings.xml"/><Relationship Id="rId7" Type="http://schemas.openxmlformats.org/officeDocument/2006/relationships/hyperlink" Target="https://globalfreedomofexpression.columbia.edu/cases/axel-springer-ag-v-germany/" TargetMode="External"/><Relationship Id="rId12" Type="http://schemas.openxmlformats.org/officeDocument/2006/relationships/hyperlink" Target="https://globalfreedomofexpression.columbia.edu/cases/couderc-v-franc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reedomofexpression.columbia.edu/cases/bedat-v-switzerland/" TargetMode="External"/><Relationship Id="rId11" Type="http://schemas.openxmlformats.org/officeDocument/2006/relationships/hyperlink" Target="https://globalfreedomofexpression.columbia.edu/cases/axel-springer-ag-v-germany/" TargetMode="External"/><Relationship Id="rId5" Type="http://schemas.openxmlformats.org/officeDocument/2006/relationships/hyperlink" Target="https://ionline.sapo.pt/2015/11/29/macedo-informou-advogado-sobre-imagens-do-interrogatorio-na-cmtv/" TargetMode="External"/><Relationship Id="rId15" Type="http://schemas.openxmlformats.org/officeDocument/2006/relationships/theme" Target="theme/theme1.xml"/><Relationship Id="rId10" Type="http://schemas.openxmlformats.org/officeDocument/2006/relationships/hyperlink" Target="http://hudoc.echr.coe.int/eng" TargetMode="External"/><Relationship Id="rId4" Type="http://schemas.openxmlformats.org/officeDocument/2006/relationships/webSettings" Target="webSettings.xml"/><Relationship Id="rId9" Type="http://schemas.openxmlformats.org/officeDocument/2006/relationships/hyperlink" Target="https://globalfreedomofexpression.columbia.edu/cases/bedat-v-switzer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4635</TotalTime>
  <Pages>4</Pages>
  <Words>2369</Words>
  <Characters>12797</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Tailine Hijaz</cp:lastModifiedBy>
  <cp:revision>199</cp:revision>
  <dcterms:created xsi:type="dcterms:W3CDTF">2024-05-17T09:48:00Z</dcterms:created>
  <dcterms:modified xsi:type="dcterms:W3CDTF">2025-02-12T11:50:00Z</dcterms:modified>
</cp:coreProperties>
</file>