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743FB" w14:textId="77777777" w:rsidR="00A728D4" w:rsidRDefault="00A728D4" w:rsidP="00CE7EA1">
      <w:pPr>
        <w:spacing w:after="0" w:line="240" w:lineRule="auto"/>
        <w:jc w:val="both"/>
        <w:rPr>
          <w:rFonts w:cstheme="minorHAnsi"/>
          <w:iCs/>
          <w:sz w:val="24"/>
          <w:szCs w:val="24"/>
          <w:lang w:val="en-GB"/>
        </w:rPr>
      </w:pPr>
      <w:r>
        <w:rPr>
          <w:rFonts w:cstheme="minorHAnsi"/>
          <w:iCs/>
          <w:sz w:val="24"/>
          <w:szCs w:val="24"/>
          <w:lang w:val="en-GB"/>
        </w:rPr>
        <w:t>HUNGARY</w:t>
      </w:r>
    </w:p>
    <w:p w14:paraId="47FA94FB" w14:textId="77777777" w:rsidR="00A728D4" w:rsidRDefault="00A728D4" w:rsidP="00CE7EA1">
      <w:pPr>
        <w:spacing w:after="0" w:line="240" w:lineRule="auto"/>
        <w:jc w:val="both"/>
        <w:rPr>
          <w:rFonts w:cstheme="minorHAnsi"/>
          <w:i/>
          <w:iCs/>
          <w:sz w:val="24"/>
          <w:szCs w:val="24"/>
          <w:lang w:val="en-GB"/>
        </w:rPr>
      </w:pPr>
    </w:p>
    <w:p w14:paraId="02791CEB" w14:textId="4B77A4D0" w:rsidR="00CE7EA1" w:rsidRPr="000D0823" w:rsidRDefault="00CE7EA1" w:rsidP="00CE7EA1">
      <w:pPr>
        <w:spacing w:after="0" w:line="240" w:lineRule="auto"/>
        <w:jc w:val="both"/>
        <w:rPr>
          <w:rFonts w:cstheme="minorHAnsi"/>
          <w:i/>
          <w:sz w:val="24"/>
          <w:szCs w:val="24"/>
          <w:lang w:val="en-GB"/>
        </w:rPr>
      </w:pPr>
      <w:r w:rsidRPr="000D0823">
        <w:rPr>
          <w:rFonts w:cstheme="minorHAnsi"/>
          <w:i/>
          <w:iCs/>
          <w:sz w:val="24"/>
          <w:szCs w:val="24"/>
          <w:lang w:val="en-GB"/>
        </w:rPr>
        <w:t>HVG weekly news magazine publisher vs members of the Catholic community</w:t>
      </w:r>
    </w:p>
    <w:p w14:paraId="7B571917" w14:textId="77777777" w:rsidR="00CE7EA1" w:rsidRPr="000D0823" w:rsidRDefault="00CE7EA1" w:rsidP="00CE7EA1">
      <w:pPr>
        <w:spacing w:after="0" w:line="240" w:lineRule="auto"/>
        <w:jc w:val="both"/>
        <w:rPr>
          <w:rFonts w:cstheme="minorHAnsi"/>
          <w:sz w:val="24"/>
          <w:szCs w:val="24"/>
          <w:lang w:val="en-GB"/>
        </w:rPr>
      </w:pPr>
    </w:p>
    <w:p w14:paraId="576A90A0" w14:textId="2E6392A5"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decision number: Constitutional Court </w:t>
      </w:r>
      <w:r w:rsidR="00A728D4">
        <w:rPr>
          <w:rFonts w:cstheme="minorHAnsi"/>
          <w:sz w:val="24"/>
          <w:szCs w:val="24"/>
          <w:lang w:val="en-GB"/>
        </w:rPr>
        <w:t>resolution</w:t>
      </w:r>
      <w:r w:rsidRPr="000D0823">
        <w:rPr>
          <w:rFonts w:cstheme="minorHAnsi"/>
          <w:sz w:val="24"/>
          <w:szCs w:val="24"/>
          <w:lang w:val="en-GB"/>
        </w:rPr>
        <w:t xml:space="preserve"> 7/2021</w:t>
      </w:r>
      <w:r w:rsidR="00A728D4">
        <w:rPr>
          <w:rFonts w:cstheme="minorHAnsi"/>
          <w:sz w:val="24"/>
          <w:szCs w:val="24"/>
          <w:lang w:val="en-GB"/>
        </w:rPr>
        <w:t>.</w:t>
      </w:r>
      <w:r w:rsidRPr="000D0823">
        <w:rPr>
          <w:rFonts w:cstheme="minorHAnsi"/>
          <w:sz w:val="24"/>
          <w:szCs w:val="24"/>
          <w:lang w:val="en-GB"/>
        </w:rPr>
        <w:t xml:space="preserve"> (II. 19.)</w:t>
      </w:r>
      <w:r w:rsidR="00A728D4">
        <w:rPr>
          <w:rFonts w:cstheme="minorHAnsi"/>
          <w:sz w:val="24"/>
          <w:szCs w:val="24"/>
          <w:lang w:val="en-GB"/>
        </w:rPr>
        <w:t xml:space="preserve"> AB</w:t>
      </w:r>
    </w:p>
    <w:p w14:paraId="2E3B320D"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date: 19 February 2021</w:t>
      </w:r>
    </w:p>
    <w:p w14:paraId="2FFBF417"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decision-making body (final): Constitutional Court</w:t>
      </w:r>
    </w:p>
    <w:p w14:paraId="6FCFE840" w14:textId="77777777" w:rsidR="00CE7EA1" w:rsidRPr="000D0823" w:rsidRDefault="00CE7EA1" w:rsidP="00CE7EA1">
      <w:pPr>
        <w:spacing w:after="0" w:line="240" w:lineRule="auto"/>
        <w:jc w:val="both"/>
        <w:rPr>
          <w:rFonts w:cstheme="minorHAnsi"/>
          <w:sz w:val="24"/>
          <w:szCs w:val="24"/>
          <w:lang w:val="en-GB"/>
        </w:rPr>
      </w:pPr>
    </w:p>
    <w:p w14:paraId="160DCD8C" w14:textId="77777777" w:rsidR="00CE7EA1" w:rsidRPr="000D0823" w:rsidRDefault="00CE7EA1" w:rsidP="00CE7EA1">
      <w:pPr>
        <w:spacing w:after="0" w:line="240" w:lineRule="auto"/>
        <w:jc w:val="both"/>
        <w:rPr>
          <w:rFonts w:cstheme="minorHAnsi"/>
          <w:sz w:val="24"/>
          <w:szCs w:val="24"/>
          <w:lang w:val="en-GB"/>
        </w:rPr>
      </w:pPr>
    </w:p>
    <w:p w14:paraId="2A9335B9" w14:textId="77777777" w:rsidR="00CE7EA1" w:rsidRPr="000D0823" w:rsidRDefault="00CE7EA1" w:rsidP="00CE7EA1">
      <w:pPr>
        <w:spacing w:after="0" w:line="240" w:lineRule="auto"/>
        <w:jc w:val="both"/>
        <w:rPr>
          <w:rFonts w:cstheme="minorHAnsi"/>
          <w:b/>
          <w:sz w:val="24"/>
          <w:szCs w:val="24"/>
          <w:lang w:val="en-GB"/>
        </w:rPr>
      </w:pPr>
      <w:r w:rsidRPr="000D0823">
        <w:rPr>
          <w:rFonts w:cstheme="minorHAnsi"/>
          <w:b/>
          <w:bCs/>
          <w:sz w:val="24"/>
          <w:szCs w:val="24"/>
          <w:lang w:val="en-GB"/>
        </w:rPr>
        <w:t>1. Summary and Outcome</w:t>
      </w:r>
    </w:p>
    <w:p w14:paraId="6C80C715" w14:textId="77777777" w:rsidR="00CE7EA1" w:rsidRPr="000D0823" w:rsidRDefault="00CE7EA1" w:rsidP="00CE7EA1">
      <w:pPr>
        <w:spacing w:after="0" w:line="240" w:lineRule="auto"/>
        <w:jc w:val="both"/>
        <w:rPr>
          <w:rFonts w:cstheme="minorHAnsi"/>
          <w:sz w:val="24"/>
          <w:szCs w:val="24"/>
          <w:lang w:val="en-GB"/>
        </w:rPr>
      </w:pPr>
    </w:p>
    <w:p w14:paraId="23625868" w14:textId="73323DB8"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The December 2014 issue (front page) of the national weekly HVG was entitled “Nagy Harácsony” (meaning “Great Greedmas”), and featured the portraits of well-known leading government politicians in a reworked version of Gerard van Honthorst’s </w:t>
      </w:r>
      <w:r w:rsidRPr="000D0823">
        <w:rPr>
          <w:rFonts w:cstheme="minorHAnsi"/>
          <w:i/>
          <w:iCs/>
          <w:sz w:val="24"/>
          <w:szCs w:val="24"/>
          <w:lang w:val="en-GB"/>
        </w:rPr>
        <w:t>The Adoration of the Shepherds</w:t>
      </w:r>
      <w:r w:rsidRPr="000D0823">
        <w:rPr>
          <w:rFonts w:cstheme="minorHAnsi"/>
          <w:sz w:val="24"/>
          <w:szCs w:val="24"/>
          <w:lang w:val="en-GB"/>
        </w:rPr>
        <w:t xml:space="preserve"> (1617), with a large pile of gold coins in the centre of a garment, while the portraits of some members of the holy family were replaced by the politicians. According to an individual who claims to be a member of the Catholic community, the media content on the front page of the weekly news magazine violated the honour and human dignity of the plaintiff as a member of the Catholic community.</w:t>
      </w:r>
    </w:p>
    <w:p w14:paraId="0EE6574A" w14:textId="77777777" w:rsidR="00CE7EA1" w:rsidRPr="000D0823" w:rsidRDefault="00CE7EA1" w:rsidP="00CE7EA1">
      <w:pPr>
        <w:spacing w:after="0" w:line="240" w:lineRule="auto"/>
        <w:jc w:val="both"/>
        <w:rPr>
          <w:rFonts w:cstheme="minorHAnsi"/>
          <w:sz w:val="24"/>
          <w:szCs w:val="24"/>
          <w:highlight w:val="yellow"/>
          <w:lang w:val="en-GB"/>
        </w:rPr>
      </w:pPr>
    </w:p>
    <w:p w14:paraId="35AF6CA1" w14:textId="6976A232"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Both the Metropolitan Court of Budapest, which heard the plaintiff’s action at first instance, and the Budapest Court of Appeal, which delivered the judgment at second instance, dismissed the action. As a result of its examination of the appeal against the decision of the court of second instance, the Curia upheld the final judgment. Finally, the plaintiff filed a constitutional appeal in which he requested the Constitutional Court to declare the Curia’s judgment unconstitutional and to annul it. The Constitutional Court rejected the appeal. The panel, agreeing with the findings of the Curia, recorded that the front page in question, also in view of the internal content of the weekly issue concerned, was not aimed at insulting the Christian community and did not convey a negative value judgment of believers. Based on the depiction, it was possible to identify the specific political opinion conveyed by the authors, the form of expression of which – the religious simile depicted in the image – was found by the Constitutional Court to be neither arbitrary nor unjustified in relation to the content of the opinion.</w:t>
      </w:r>
    </w:p>
    <w:p w14:paraId="25E71F8D" w14:textId="77777777" w:rsidR="00CE7EA1" w:rsidRPr="000D0823" w:rsidRDefault="00CE7EA1" w:rsidP="00CE7EA1">
      <w:pPr>
        <w:spacing w:after="0" w:line="240" w:lineRule="auto"/>
        <w:jc w:val="both"/>
        <w:rPr>
          <w:rFonts w:cstheme="minorHAnsi"/>
          <w:sz w:val="24"/>
          <w:szCs w:val="24"/>
          <w:lang w:val="en-GB"/>
        </w:rPr>
      </w:pPr>
    </w:p>
    <w:p w14:paraId="2EB22D81" w14:textId="77777777" w:rsidR="00CE7EA1" w:rsidRPr="000D0823" w:rsidRDefault="00CE7EA1" w:rsidP="00CE7EA1">
      <w:pPr>
        <w:spacing w:after="0" w:line="240" w:lineRule="auto"/>
        <w:jc w:val="both"/>
        <w:rPr>
          <w:rFonts w:cstheme="minorHAnsi"/>
          <w:b/>
          <w:sz w:val="24"/>
          <w:szCs w:val="24"/>
          <w:lang w:val="en-GB"/>
        </w:rPr>
      </w:pPr>
      <w:r w:rsidRPr="000D0823">
        <w:rPr>
          <w:rFonts w:cstheme="minorHAnsi"/>
          <w:b/>
          <w:bCs/>
          <w:sz w:val="24"/>
          <w:szCs w:val="24"/>
          <w:lang w:val="en-GB"/>
        </w:rPr>
        <w:t>2. Facts</w:t>
      </w:r>
    </w:p>
    <w:p w14:paraId="04887A12" w14:textId="77777777" w:rsidR="00CE7EA1" w:rsidRPr="000D0823" w:rsidRDefault="00CE7EA1" w:rsidP="00CE7EA1">
      <w:pPr>
        <w:spacing w:after="0" w:line="240" w:lineRule="auto"/>
        <w:jc w:val="both"/>
        <w:rPr>
          <w:rFonts w:cstheme="minorHAnsi"/>
          <w:sz w:val="24"/>
          <w:szCs w:val="24"/>
          <w:lang w:val="en-GB"/>
        </w:rPr>
      </w:pPr>
    </w:p>
    <w:p w14:paraId="02BFAD9B"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According to the plaintiff, a private individual, the publisher of the national weekly news magazine, as the defendant, violated the honour and human dignity of the plaintiff as a member of the Catholic community by the front page and the publication of the unlawful content published there. In his opinion, the parody of the classic painting depicting the birth of Jesus mocked Christianity’s most sacred holiday in a humiliating and hate-inciting manner. The plaintiff relied on the well-known fact that Christmas is one of the most important holidays for Catholics and its significance is well known. He also stressed that the symbols of the faith professed by Christian people do not have to be accepted by everyone, and he did not dispute that their symbols can be a target for irony and humour, but, in his opinion, no one should use the object of their religious veneration, or its symbols, in a self-serving </w:t>
      </w:r>
      <w:r w:rsidRPr="000D0823">
        <w:rPr>
          <w:rFonts w:cstheme="minorHAnsi"/>
          <w:sz w:val="24"/>
          <w:szCs w:val="24"/>
          <w:lang w:val="en-GB"/>
        </w:rPr>
        <w:lastRenderedPageBreak/>
        <w:t>manner, as an end in itself, as an illustration of unjustified negative political value judgments, or as a tool for hate propaganda.</w:t>
      </w:r>
    </w:p>
    <w:p w14:paraId="0E73B51B" w14:textId="77777777" w:rsidR="00CE7EA1" w:rsidRPr="000D0823" w:rsidRDefault="00CE7EA1" w:rsidP="00CE7EA1">
      <w:pPr>
        <w:spacing w:after="0" w:line="240" w:lineRule="auto"/>
        <w:jc w:val="both"/>
        <w:rPr>
          <w:rFonts w:cstheme="minorHAnsi"/>
          <w:sz w:val="24"/>
          <w:szCs w:val="24"/>
          <w:highlight w:val="yellow"/>
          <w:lang w:val="en-GB"/>
        </w:rPr>
      </w:pPr>
    </w:p>
    <w:p w14:paraId="07F77D38"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The Metropolitan Court of Budapest, acting at first instance, dismissed the plaintiff’s claim. In its decision, the court analysed in detail Section 2:54(5) of Act V of 2013 on the Civil Code (the Civil Code), which stipulates that “any member of the community may enforce his or her personality rights for a legal injury that is seriously offensive to the community or that is unduly insulting in its manner of expression, committed with great publicity, in relation to his or her membership of the Hungarian nation or of a national, ethnic, racial or religious community, which constitutes an essential characteristic of his or her personality”. In its view, the legal provision in question requires that the infringing conduct must be directed against the community in question, which in this context presupposes a certain level of awareness; at the same time, the subject of the front page is the conduct of the leading politicians featured there and their attitude towards money. The fact that the defendant made their negative value judgments in this context using the symbolism of a contemporary religious painting cannot in itself be prejudicial to the religious sensibilities of believers or to religious symbols. The court of first instance also examined separately whether the front page was exaggerated or offensive in itself or in its expression. The court of first instance did not dispute that there were people who were outraged or offended by the front page, but this does not mean that the defendant’s conduct in publishing the front page was offensive to the community.</w:t>
      </w:r>
    </w:p>
    <w:p w14:paraId="3C8B7E7F" w14:textId="77777777" w:rsidR="00CE7EA1" w:rsidRPr="000D0823" w:rsidRDefault="00CE7EA1" w:rsidP="00CE7EA1">
      <w:pPr>
        <w:spacing w:after="0" w:line="240" w:lineRule="auto"/>
        <w:jc w:val="both"/>
        <w:rPr>
          <w:rFonts w:cstheme="minorHAnsi"/>
          <w:sz w:val="24"/>
          <w:szCs w:val="24"/>
          <w:highlight w:val="yellow"/>
          <w:lang w:val="en-GB"/>
        </w:rPr>
      </w:pPr>
    </w:p>
    <w:p w14:paraId="4E80ADF8"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On appeal, the court of second instance upheld the judgment of the court of first instance. In the statement of reasons for its decision, it stated that it fully shared the view of the court of first instance that the conditions laid down in the legal provision had not been met. Paragraph (5) of Section 2:54 of the Civil Code does not contain the expression that the harm to the community must be targeted, but it does in any case presuppose a harm to the rights of a particular community that is seriously offensive or unjustifiably offensive in its expression, made in public. In this case, the community concerned was in fact not the Catholic Christian community, but the community of leading politicians. As a result, the plaintiff did not suffer any damage to his rights as a member of the Catholic community because of the publication of the defendant’s front page, which mocked politicians. In the case in question, the defendant’s aim was, according to the final judgment, to ridicule politicians and not religion or religious symbols.</w:t>
      </w:r>
    </w:p>
    <w:p w14:paraId="399EE926" w14:textId="77777777" w:rsidR="00CE7EA1" w:rsidRPr="000D0823" w:rsidRDefault="00CE7EA1" w:rsidP="00CE7EA1">
      <w:pPr>
        <w:spacing w:after="0" w:line="240" w:lineRule="auto"/>
        <w:jc w:val="both"/>
        <w:rPr>
          <w:rFonts w:cstheme="minorHAnsi"/>
          <w:sz w:val="24"/>
          <w:szCs w:val="24"/>
          <w:lang w:val="en-GB"/>
        </w:rPr>
      </w:pPr>
    </w:p>
    <w:p w14:paraId="2063196B"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The Curia, acting on a petition for review of the final judgment, upheld the judgment of the Budapest Court of Appeal. It agreed with the final judgment on the fundamental point that the contested communication must be assessed not from the point of view of the subjective sensitivity of the plaintiff, but from an external objective point of view. On this basis, the disputed front page was fundamentally to be assessed as a sharp, characteristic (political) expression of opinion on the person and activities of the public figure politicians depicted there: it expressed the opinion that the persons depicted had an almost religious devotion to material wealth, wealth acquisition and its various possibilities and, at the same time, they formed a community united by material wealth. According to the Curia, the opinion expressed and the way it was presented were not aimed at denigrating the Christian religion or the community of believers, and neither the front page nor the internal content of the news magazine dealt with religious life, nor the behaviour or perception of believers. It also </w:t>
      </w:r>
      <w:r w:rsidRPr="000D0823">
        <w:rPr>
          <w:rFonts w:cstheme="minorHAnsi"/>
          <w:sz w:val="24"/>
          <w:szCs w:val="24"/>
          <w:lang w:val="en-GB"/>
        </w:rPr>
        <w:lastRenderedPageBreak/>
        <w:t>explained, however, that the legislation does not require the infringement to be purposeful, it is basically a “result-oriented” regulation, but it must be assessed not only from the point of view of the community concerned, but also in the overall social, legal and political context.</w:t>
      </w:r>
    </w:p>
    <w:p w14:paraId="14D2E3B5" w14:textId="77777777" w:rsidR="00CE7EA1" w:rsidRPr="000D0823" w:rsidRDefault="00CE7EA1" w:rsidP="00CE7EA1">
      <w:pPr>
        <w:spacing w:after="0" w:line="240" w:lineRule="auto"/>
        <w:jc w:val="both"/>
        <w:rPr>
          <w:rFonts w:cstheme="minorHAnsi"/>
          <w:sz w:val="24"/>
          <w:szCs w:val="24"/>
          <w:lang w:val="en-GB"/>
        </w:rPr>
      </w:pPr>
    </w:p>
    <w:p w14:paraId="79765551" w14:textId="38F819C2"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In its constitutional appeal, the petitioner requested the Constitutional Court to declare that the judgment of the Curia No. Pfv.IV.20.636/2016/4 was unconstitutional and to annul it, citing a violation of Articles II, VII and IX (4)-(5) of the Fundamental Law.</w:t>
      </w:r>
    </w:p>
    <w:p w14:paraId="4BB3F7F7" w14:textId="77777777" w:rsidR="00CE7EA1" w:rsidRPr="000D0823" w:rsidRDefault="00CE7EA1" w:rsidP="00CE7EA1">
      <w:pPr>
        <w:spacing w:after="0" w:line="240" w:lineRule="auto"/>
        <w:jc w:val="both"/>
        <w:rPr>
          <w:rFonts w:cstheme="minorHAnsi"/>
          <w:sz w:val="24"/>
          <w:szCs w:val="24"/>
          <w:lang w:val="en-GB"/>
        </w:rPr>
      </w:pPr>
    </w:p>
    <w:p w14:paraId="523C9C2A" w14:textId="77777777" w:rsidR="00CE7EA1" w:rsidRPr="000D0823" w:rsidRDefault="00CE7EA1" w:rsidP="00CE7EA1">
      <w:pPr>
        <w:spacing w:after="0" w:line="240" w:lineRule="auto"/>
        <w:jc w:val="both"/>
        <w:rPr>
          <w:rFonts w:cstheme="minorHAnsi"/>
          <w:b/>
          <w:sz w:val="24"/>
          <w:szCs w:val="24"/>
          <w:lang w:val="en-GB"/>
        </w:rPr>
      </w:pPr>
      <w:r w:rsidRPr="000D0823">
        <w:rPr>
          <w:rFonts w:cstheme="minorHAnsi"/>
          <w:b/>
          <w:bCs/>
          <w:sz w:val="24"/>
          <w:szCs w:val="24"/>
          <w:lang w:val="en-GB"/>
        </w:rPr>
        <w:t>3. Decision Overview</w:t>
      </w:r>
    </w:p>
    <w:p w14:paraId="7A3FE480" w14:textId="77777777" w:rsidR="00CE7EA1" w:rsidRPr="000D0823" w:rsidRDefault="00CE7EA1" w:rsidP="00CE7EA1">
      <w:pPr>
        <w:spacing w:after="0" w:line="240" w:lineRule="auto"/>
        <w:jc w:val="both"/>
        <w:rPr>
          <w:rFonts w:cstheme="minorHAnsi"/>
          <w:sz w:val="24"/>
          <w:szCs w:val="24"/>
          <w:lang w:val="en-GB"/>
        </w:rPr>
      </w:pPr>
    </w:p>
    <w:p w14:paraId="002DFC43" w14:textId="02F89311"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In its decision, the Constitutional Court first of all laid down with regard to the scope of freedom of expression that “it also includes acts other than oral or written communication”; “the person expressing his or her opinion may communicate his or her ideas not only in words but also, for example, by using images, symbols or wearing clothes – symbolic speech, as manifested in the use of symbols, may be one of the classic issues of freedom of expression” {Constitutional Court </w:t>
      </w:r>
      <w:r w:rsidR="00A728D4">
        <w:rPr>
          <w:rFonts w:cstheme="minorHAnsi"/>
          <w:sz w:val="24"/>
          <w:szCs w:val="24"/>
          <w:lang w:val="en-GB"/>
        </w:rPr>
        <w:t>resolution</w:t>
      </w:r>
      <w:r w:rsidRPr="000D0823">
        <w:rPr>
          <w:rFonts w:cstheme="minorHAnsi"/>
          <w:sz w:val="24"/>
          <w:szCs w:val="24"/>
          <w:lang w:val="en-GB"/>
        </w:rPr>
        <w:t xml:space="preserve"> 3089/2019</w:t>
      </w:r>
      <w:r w:rsidR="00A728D4">
        <w:rPr>
          <w:rFonts w:cstheme="minorHAnsi"/>
          <w:sz w:val="24"/>
          <w:szCs w:val="24"/>
          <w:lang w:val="en-GB"/>
        </w:rPr>
        <w:t>.</w:t>
      </w:r>
      <w:r w:rsidRPr="000D0823">
        <w:rPr>
          <w:rFonts w:cstheme="minorHAnsi"/>
          <w:sz w:val="24"/>
          <w:szCs w:val="24"/>
          <w:lang w:val="en-GB"/>
        </w:rPr>
        <w:t xml:space="preserve"> (IV. 26.</w:t>
      </w:r>
      <w:proofErr w:type="gramStart"/>
      <w:r w:rsidRPr="000D0823">
        <w:rPr>
          <w:rFonts w:cstheme="minorHAnsi"/>
          <w:sz w:val="24"/>
          <w:szCs w:val="24"/>
          <w:lang w:val="en-GB"/>
        </w:rPr>
        <w:t>)</w:t>
      </w:r>
      <w:r w:rsidR="00A728D4">
        <w:rPr>
          <w:rFonts w:cstheme="minorHAnsi"/>
          <w:sz w:val="24"/>
          <w:szCs w:val="24"/>
          <w:lang w:val="en-GB"/>
        </w:rPr>
        <w:t xml:space="preserve"> </w:t>
      </w:r>
      <w:proofErr w:type="gramEnd"/>
      <w:r w:rsidR="00A728D4">
        <w:rPr>
          <w:rFonts w:cstheme="minorHAnsi"/>
          <w:sz w:val="24"/>
          <w:szCs w:val="24"/>
          <w:lang w:val="en-GB"/>
        </w:rPr>
        <w:t>AB</w:t>
      </w:r>
      <w:r w:rsidRPr="000D0823">
        <w:rPr>
          <w:rFonts w:cstheme="minorHAnsi"/>
          <w:sz w:val="24"/>
          <w:szCs w:val="24"/>
          <w:lang w:val="en-GB"/>
        </w:rPr>
        <w:t xml:space="preserve">, Statement of reasons </w:t>
      </w:r>
      <w:r w:rsidR="00A728D4">
        <w:rPr>
          <w:rFonts w:cstheme="minorHAnsi"/>
          <w:sz w:val="24"/>
          <w:szCs w:val="24"/>
          <w:lang w:val="en-GB"/>
        </w:rPr>
        <w:t xml:space="preserve">para </w:t>
      </w:r>
      <w:r w:rsidRPr="000D0823">
        <w:rPr>
          <w:rFonts w:cstheme="minorHAnsi"/>
          <w:sz w:val="24"/>
          <w:szCs w:val="24"/>
          <w:lang w:val="en-GB"/>
        </w:rPr>
        <w:t xml:space="preserve">[25]}. As a consequence, the scope of expression of opinions towards certain religious communities is wider than verbal or written communications, and in some cases may also protect communicative acts other than ordinary “speech”. In this context, the court underlines that “it is a necessary, but by no means a sufficient condition for treating an act as an expression of opinion that the perpetrator acts with the purpose of expressing his or her opinion – even though, from the point of view of freedom of opinion, the primary consideration for the law enforcement authorities in assessing an act is the purpose or motive of the perpetrator in taking the action. In order to apply freedom of opinion, it is also necessary that the form of communication chosen should be an objectively suitable means, a medium for the communication of ideas” {Constitutional Court </w:t>
      </w:r>
      <w:r w:rsidR="00A728D4">
        <w:rPr>
          <w:rFonts w:cstheme="minorHAnsi"/>
          <w:sz w:val="24"/>
          <w:szCs w:val="24"/>
          <w:lang w:val="en-GB"/>
        </w:rPr>
        <w:t>resolution</w:t>
      </w:r>
      <w:r w:rsidRPr="000D0823">
        <w:rPr>
          <w:rFonts w:cstheme="minorHAnsi"/>
          <w:sz w:val="24"/>
          <w:szCs w:val="24"/>
          <w:lang w:val="en-GB"/>
        </w:rPr>
        <w:t xml:space="preserve"> 1/2019</w:t>
      </w:r>
      <w:r w:rsidR="00A728D4">
        <w:rPr>
          <w:rFonts w:cstheme="minorHAnsi"/>
          <w:sz w:val="24"/>
          <w:szCs w:val="24"/>
          <w:lang w:val="en-GB"/>
        </w:rPr>
        <w:t>.</w:t>
      </w:r>
      <w:r w:rsidRPr="000D0823">
        <w:rPr>
          <w:rFonts w:cstheme="minorHAnsi"/>
          <w:sz w:val="24"/>
          <w:szCs w:val="24"/>
          <w:lang w:val="en-GB"/>
        </w:rPr>
        <w:t xml:space="preserve"> (II. 13.</w:t>
      </w:r>
      <w:proofErr w:type="gramStart"/>
      <w:r w:rsidRPr="000D0823">
        <w:rPr>
          <w:rFonts w:cstheme="minorHAnsi"/>
          <w:sz w:val="24"/>
          <w:szCs w:val="24"/>
          <w:lang w:val="en-GB"/>
        </w:rPr>
        <w:t>)</w:t>
      </w:r>
      <w:r w:rsidR="00A728D4">
        <w:rPr>
          <w:rFonts w:cstheme="minorHAnsi"/>
          <w:sz w:val="24"/>
          <w:szCs w:val="24"/>
          <w:lang w:val="en-GB"/>
        </w:rPr>
        <w:t xml:space="preserve"> </w:t>
      </w:r>
      <w:proofErr w:type="gramEnd"/>
      <w:r w:rsidR="00A728D4">
        <w:rPr>
          <w:rFonts w:cstheme="minorHAnsi"/>
          <w:sz w:val="24"/>
          <w:szCs w:val="24"/>
          <w:lang w:val="en-GB"/>
        </w:rPr>
        <w:t>AB</w:t>
      </w:r>
      <w:r w:rsidRPr="000D0823">
        <w:rPr>
          <w:rFonts w:cstheme="minorHAnsi"/>
          <w:sz w:val="24"/>
          <w:szCs w:val="24"/>
          <w:lang w:val="en-GB"/>
        </w:rPr>
        <w:t xml:space="preserve">, Statement of reasons </w:t>
      </w:r>
      <w:r w:rsidR="00A728D4">
        <w:rPr>
          <w:rFonts w:cstheme="minorHAnsi"/>
          <w:sz w:val="24"/>
          <w:szCs w:val="24"/>
          <w:lang w:val="en-GB"/>
        </w:rPr>
        <w:t xml:space="preserve">par </w:t>
      </w:r>
      <w:r w:rsidRPr="000D0823">
        <w:rPr>
          <w:rFonts w:cstheme="minorHAnsi"/>
          <w:sz w:val="24"/>
          <w:szCs w:val="24"/>
          <w:lang w:val="en-GB"/>
        </w:rPr>
        <w:t>[36]}.</w:t>
      </w:r>
    </w:p>
    <w:p w14:paraId="7F335042" w14:textId="77777777" w:rsidR="00CE7EA1" w:rsidRPr="000D0823" w:rsidRDefault="00CE7EA1" w:rsidP="00CE7EA1">
      <w:pPr>
        <w:spacing w:after="0" w:line="240" w:lineRule="auto"/>
        <w:jc w:val="both"/>
        <w:rPr>
          <w:rFonts w:cstheme="minorHAnsi"/>
          <w:sz w:val="24"/>
          <w:szCs w:val="24"/>
          <w:lang w:val="en-GB"/>
        </w:rPr>
      </w:pPr>
    </w:p>
    <w:p w14:paraId="6E9ADD79" w14:textId="099CE74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After establishing the principles concerning the scope of freedom of expression, the Constitutional Court stated that “a person who uses seriously offensive or insulting expressions in order to humiliate the human dignity of another person is not exercising his or her freedom of expression in matters of public affairs. Accordingly, human dignity, which is the direct embodiment of our humanity, marks the boundary of freedom of public debate. Speech on public affairs must yield to this inalienable essence of human dignity that determines human status” {Constitutional Court </w:t>
      </w:r>
      <w:r w:rsidR="00A728D4">
        <w:rPr>
          <w:rFonts w:cstheme="minorHAnsi"/>
          <w:sz w:val="24"/>
          <w:szCs w:val="24"/>
          <w:lang w:val="en-GB"/>
        </w:rPr>
        <w:t>resolution</w:t>
      </w:r>
      <w:r w:rsidRPr="000D0823">
        <w:rPr>
          <w:rFonts w:cstheme="minorHAnsi"/>
          <w:sz w:val="24"/>
          <w:szCs w:val="24"/>
          <w:lang w:val="en-GB"/>
        </w:rPr>
        <w:t xml:space="preserve"> 13/2014</w:t>
      </w:r>
      <w:r w:rsidR="00A728D4">
        <w:rPr>
          <w:rFonts w:cstheme="minorHAnsi"/>
          <w:sz w:val="24"/>
          <w:szCs w:val="24"/>
          <w:lang w:val="en-GB"/>
        </w:rPr>
        <w:t>.</w:t>
      </w:r>
      <w:r w:rsidRPr="000D0823">
        <w:rPr>
          <w:rFonts w:cstheme="minorHAnsi"/>
          <w:sz w:val="24"/>
          <w:szCs w:val="24"/>
          <w:lang w:val="en-GB"/>
        </w:rPr>
        <w:t xml:space="preserve"> (IV. 18.</w:t>
      </w:r>
      <w:proofErr w:type="gramStart"/>
      <w:r w:rsidRPr="000D0823">
        <w:rPr>
          <w:rFonts w:cstheme="minorHAnsi"/>
          <w:sz w:val="24"/>
          <w:szCs w:val="24"/>
          <w:lang w:val="en-GB"/>
        </w:rPr>
        <w:t>)</w:t>
      </w:r>
      <w:r w:rsidR="00A728D4">
        <w:rPr>
          <w:rFonts w:cstheme="minorHAnsi"/>
          <w:sz w:val="24"/>
          <w:szCs w:val="24"/>
          <w:lang w:val="en-GB"/>
        </w:rPr>
        <w:t xml:space="preserve"> </w:t>
      </w:r>
      <w:proofErr w:type="gramEnd"/>
      <w:r w:rsidR="00A728D4">
        <w:rPr>
          <w:rFonts w:cstheme="minorHAnsi"/>
          <w:sz w:val="24"/>
          <w:szCs w:val="24"/>
          <w:lang w:val="en-GB"/>
        </w:rPr>
        <w:t>AB</w:t>
      </w:r>
      <w:r w:rsidRPr="000D0823">
        <w:rPr>
          <w:rFonts w:cstheme="minorHAnsi"/>
          <w:sz w:val="24"/>
          <w:szCs w:val="24"/>
          <w:lang w:val="en-GB"/>
        </w:rPr>
        <w:t xml:space="preserve">, Statement of Reasons </w:t>
      </w:r>
      <w:r w:rsidR="00A728D4">
        <w:rPr>
          <w:rFonts w:cstheme="minorHAnsi"/>
          <w:sz w:val="24"/>
          <w:szCs w:val="24"/>
          <w:lang w:val="en-GB"/>
        </w:rPr>
        <w:t xml:space="preserve">para </w:t>
      </w:r>
      <w:r w:rsidRPr="000D0823">
        <w:rPr>
          <w:rFonts w:cstheme="minorHAnsi"/>
          <w:sz w:val="24"/>
          <w:szCs w:val="24"/>
          <w:lang w:val="en-GB"/>
        </w:rPr>
        <w:t xml:space="preserve">[29]; Constitutional Court </w:t>
      </w:r>
      <w:r w:rsidR="00A728D4">
        <w:rPr>
          <w:rFonts w:cstheme="minorHAnsi"/>
          <w:sz w:val="24"/>
          <w:szCs w:val="24"/>
          <w:lang w:val="en-GB"/>
        </w:rPr>
        <w:t>resolution</w:t>
      </w:r>
      <w:r w:rsidRPr="000D0823">
        <w:rPr>
          <w:rFonts w:cstheme="minorHAnsi"/>
          <w:sz w:val="24"/>
          <w:szCs w:val="24"/>
          <w:lang w:val="en-GB"/>
        </w:rPr>
        <w:t xml:space="preserve"> 3348/2018</w:t>
      </w:r>
      <w:r w:rsidR="00A728D4">
        <w:rPr>
          <w:rFonts w:cstheme="minorHAnsi"/>
          <w:sz w:val="24"/>
          <w:szCs w:val="24"/>
          <w:lang w:val="en-GB"/>
        </w:rPr>
        <w:t>.</w:t>
      </w:r>
      <w:r w:rsidRPr="000D0823">
        <w:rPr>
          <w:rFonts w:cstheme="minorHAnsi"/>
          <w:sz w:val="24"/>
          <w:szCs w:val="24"/>
          <w:lang w:val="en-GB"/>
        </w:rPr>
        <w:t xml:space="preserve"> (XI. 12.</w:t>
      </w:r>
      <w:proofErr w:type="gramStart"/>
      <w:r w:rsidRPr="000D0823">
        <w:rPr>
          <w:rFonts w:cstheme="minorHAnsi"/>
          <w:sz w:val="24"/>
          <w:szCs w:val="24"/>
          <w:lang w:val="en-GB"/>
        </w:rPr>
        <w:t>)</w:t>
      </w:r>
      <w:r w:rsidR="00A728D4">
        <w:rPr>
          <w:rFonts w:cstheme="minorHAnsi"/>
          <w:sz w:val="24"/>
          <w:szCs w:val="24"/>
          <w:lang w:val="en-GB"/>
        </w:rPr>
        <w:t xml:space="preserve"> </w:t>
      </w:r>
      <w:proofErr w:type="gramEnd"/>
      <w:r w:rsidR="00A728D4">
        <w:rPr>
          <w:rFonts w:cstheme="minorHAnsi"/>
          <w:sz w:val="24"/>
          <w:szCs w:val="24"/>
          <w:lang w:val="en-GB"/>
        </w:rPr>
        <w:t>AB</w:t>
      </w:r>
      <w:r w:rsidRPr="000D0823">
        <w:rPr>
          <w:rFonts w:cstheme="minorHAnsi"/>
          <w:sz w:val="24"/>
          <w:szCs w:val="24"/>
          <w:lang w:val="en-GB"/>
        </w:rPr>
        <w:t xml:space="preserve">, Statement of Reasons </w:t>
      </w:r>
      <w:r w:rsidR="00A728D4">
        <w:rPr>
          <w:rFonts w:cstheme="minorHAnsi"/>
          <w:sz w:val="24"/>
          <w:szCs w:val="24"/>
          <w:lang w:val="en-GB"/>
        </w:rPr>
        <w:t xml:space="preserve">para </w:t>
      </w:r>
      <w:r w:rsidRPr="000D0823">
        <w:rPr>
          <w:rFonts w:cstheme="minorHAnsi"/>
          <w:sz w:val="24"/>
          <w:szCs w:val="24"/>
          <w:lang w:val="en-GB"/>
        </w:rPr>
        <w:t>[26]}.</w:t>
      </w:r>
    </w:p>
    <w:p w14:paraId="462F6FF4" w14:textId="77777777" w:rsidR="00CE7EA1" w:rsidRPr="000D0823" w:rsidRDefault="00CE7EA1" w:rsidP="00CE7EA1">
      <w:pPr>
        <w:spacing w:after="0" w:line="240" w:lineRule="auto"/>
        <w:jc w:val="both"/>
        <w:rPr>
          <w:rFonts w:cstheme="minorHAnsi"/>
          <w:sz w:val="24"/>
          <w:szCs w:val="24"/>
          <w:lang w:val="en-GB"/>
        </w:rPr>
      </w:pPr>
    </w:p>
    <w:p w14:paraId="24E6CD5E" w14:textId="2AB3EA7C"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According to the jurisprudence of the Constitutional Court, freedom of opinion opens the door to the possibility of expression itself, and may involve a certain degree of exaggeration and provocation in order to control public power or those exercising public power and to inform and draw the attention of public opinion. It does not, however, protect against self-serving communications outside the scope of public debate, such as those relating to private or family life, which are intended to humiliate or insult, or to use abusive or offensive language or to cause other legal harm. Nor will it defend an opinion expressed in a public debate if the views expressed therein violate the inalienable core of human dignity, and thus </w:t>
      </w:r>
      <w:r w:rsidRPr="000D0823">
        <w:rPr>
          <w:rFonts w:cstheme="minorHAnsi"/>
          <w:sz w:val="24"/>
          <w:szCs w:val="24"/>
          <w:lang w:val="en-GB"/>
        </w:rPr>
        <w:lastRenderedPageBreak/>
        <w:t xml:space="preserve">amount to a manifest and serious denigration of human status {see Constitutional Court </w:t>
      </w:r>
      <w:r w:rsidR="00A728D4">
        <w:rPr>
          <w:rFonts w:cstheme="minorHAnsi"/>
          <w:sz w:val="24"/>
          <w:szCs w:val="24"/>
          <w:lang w:val="en-GB"/>
        </w:rPr>
        <w:t>resolution</w:t>
      </w:r>
      <w:r w:rsidRPr="000D0823">
        <w:rPr>
          <w:rFonts w:cstheme="minorHAnsi"/>
          <w:sz w:val="24"/>
          <w:szCs w:val="24"/>
          <w:lang w:val="en-GB"/>
        </w:rPr>
        <w:t xml:space="preserve"> 3145/2018</w:t>
      </w:r>
      <w:r w:rsidR="00A728D4">
        <w:rPr>
          <w:rFonts w:cstheme="minorHAnsi"/>
          <w:sz w:val="24"/>
          <w:szCs w:val="24"/>
          <w:lang w:val="en-GB"/>
        </w:rPr>
        <w:t>.</w:t>
      </w:r>
      <w:r w:rsidRPr="000D0823">
        <w:rPr>
          <w:rFonts w:cstheme="minorHAnsi"/>
          <w:sz w:val="24"/>
          <w:szCs w:val="24"/>
          <w:lang w:val="en-GB"/>
        </w:rPr>
        <w:t xml:space="preserve"> (V. 7.</w:t>
      </w:r>
      <w:proofErr w:type="gramStart"/>
      <w:r w:rsidRPr="000D0823">
        <w:rPr>
          <w:rFonts w:cstheme="minorHAnsi"/>
          <w:sz w:val="24"/>
          <w:szCs w:val="24"/>
          <w:lang w:val="en-GB"/>
        </w:rPr>
        <w:t>)</w:t>
      </w:r>
      <w:r w:rsidR="00A728D4">
        <w:rPr>
          <w:rFonts w:cstheme="minorHAnsi"/>
          <w:sz w:val="24"/>
          <w:szCs w:val="24"/>
          <w:lang w:val="en-GB"/>
        </w:rPr>
        <w:t xml:space="preserve"> </w:t>
      </w:r>
      <w:proofErr w:type="gramEnd"/>
      <w:r w:rsidR="00A728D4">
        <w:rPr>
          <w:rFonts w:cstheme="minorHAnsi"/>
          <w:sz w:val="24"/>
          <w:szCs w:val="24"/>
          <w:lang w:val="en-GB"/>
        </w:rPr>
        <w:t>AB</w:t>
      </w:r>
      <w:r w:rsidRPr="000D0823">
        <w:rPr>
          <w:rFonts w:cstheme="minorHAnsi"/>
          <w:sz w:val="24"/>
          <w:szCs w:val="24"/>
          <w:lang w:val="en-GB"/>
        </w:rPr>
        <w:t>, Statement of Reasons, paras [59] and [65]}. The limit to freedom of expression, however, is not the insult to someone, but an insult to human dignity. Expressions that are subjectively offensive to the personality but do not violate human dignity are protected by freedom of expression {Constitutional Court decision 3048/2020</w:t>
      </w:r>
      <w:r w:rsidR="00A728D4">
        <w:rPr>
          <w:rFonts w:cstheme="minorHAnsi"/>
          <w:sz w:val="24"/>
          <w:szCs w:val="24"/>
          <w:lang w:val="en-GB"/>
        </w:rPr>
        <w:t>.</w:t>
      </w:r>
      <w:r w:rsidRPr="000D0823">
        <w:rPr>
          <w:rFonts w:cstheme="minorHAnsi"/>
          <w:sz w:val="24"/>
          <w:szCs w:val="24"/>
          <w:lang w:val="en-GB"/>
        </w:rPr>
        <w:t xml:space="preserve"> (III. 2.)</w:t>
      </w:r>
      <w:r w:rsidR="00A728D4">
        <w:rPr>
          <w:rFonts w:cstheme="minorHAnsi"/>
          <w:sz w:val="24"/>
          <w:szCs w:val="24"/>
          <w:lang w:val="en-GB"/>
        </w:rPr>
        <w:t xml:space="preserve"> AB,</w:t>
      </w:r>
      <w:r w:rsidRPr="000D0823">
        <w:rPr>
          <w:rFonts w:cstheme="minorHAnsi"/>
          <w:sz w:val="24"/>
          <w:szCs w:val="24"/>
          <w:lang w:val="en-GB"/>
        </w:rPr>
        <w:t xml:space="preserve"> Statement of Reasons, para [31]}.</w:t>
      </w:r>
    </w:p>
    <w:p w14:paraId="45614DF0" w14:textId="77777777" w:rsidR="00CE7EA1" w:rsidRPr="000D0823" w:rsidRDefault="00CE7EA1" w:rsidP="00CE7EA1">
      <w:pPr>
        <w:spacing w:after="0" w:line="240" w:lineRule="auto"/>
        <w:jc w:val="both"/>
        <w:rPr>
          <w:rFonts w:cstheme="minorHAnsi"/>
          <w:sz w:val="24"/>
          <w:szCs w:val="24"/>
          <w:lang w:val="en-GB"/>
        </w:rPr>
      </w:pPr>
    </w:p>
    <w:p w14:paraId="40F7D245" w14:textId="166DCD83"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Based on the above practice of the Constitutional Court, it can be concluded that the limit to freedom of expression is not the violation of the community itself or of its individual members, but the violation of the dignity of the community. Based on Section 2:54 (5) of the Civil Code, a communication can be classified as “seriously offensive” or “unduly insulting in its manner of expression” if it “violates the inalienable core of the human dignity of the members of the community, or if it is otherwise self-servingly directed at violating the dignity of the community or its members” (Statement of Reasons, para [30]).</w:t>
      </w:r>
    </w:p>
    <w:p w14:paraId="7E4A71FC" w14:textId="77777777" w:rsidR="00CE7EA1" w:rsidRPr="000D0823" w:rsidRDefault="00CE7EA1" w:rsidP="00CE7EA1">
      <w:pPr>
        <w:spacing w:after="0" w:line="240" w:lineRule="auto"/>
        <w:jc w:val="both"/>
        <w:rPr>
          <w:rFonts w:cstheme="minorHAnsi"/>
          <w:sz w:val="24"/>
          <w:szCs w:val="24"/>
          <w:lang w:val="en-GB"/>
        </w:rPr>
      </w:pPr>
    </w:p>
    <w:p w14:paraId="0903D759" w14:textId="592DA41D"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The decision then went on to identify opinions that are closely related to the discussion of public affairs but which are “unduly insulting in their manner of expression”, and the Constitutional Court outlined two approaches. According to the first one, “the opinion can be considered as unduly insulting in its manner of expression if the person expressing the opinion could have sought a form of expression that was neutral or non-offensive from the point of view of the community concerned”. However, this approach was not considered defensible by the panel in several respects. According to the other approach, which the Constitutional Court considered to be the correct one, “when discussing a public matter, in particular when the purpose is to examine public power or those exercising public power and to inform and draw the attention of the public, the form and style of expression chosen must not be inconsistently or excessively offensive, but criticism, irony, a certain degree of provocation and, where appropriate, mildly offensive or insulting communications remain protected by the freedom of expression” (Statement of Reasons, para [31]).</w:t>
      </w:r>
    </w:p>
    <w:p w14:paraId="73691C1D" w14:textId="77777777" w:rsidR="00CE7EA1" w:rsidRPr="000D0823" w:rsidRDefault="00CE7EA1" w:rsidP="00CE7EA1">
      <w:pPr>
        <w:spacing w:after="0" w:line="240" w:lineRule="auto"/>
        <w:jc w:val="both"/>
        <w:rPr>
          <w:rFonts w:cstheme="minorHAnsi"/>
          <w:sz w:val="24"/>
          <w:szCs w:val="24"/>
          <w:lang w:val="en-GB"/>
        </w:rPr>
      </w:pPr>
    </w:p>
    <w:p w14:paraId="226879E0" w14:textId="7E82BFE8"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According to the Constitutional Court, the courts were right in principle to recognise the importance of the purpose of the communication. However, the Constitutional Court found that the conclusion of the court of first instance was not in line with the Fundamental Law. It is not correct to say that “if the expression of an opinion is intended to discuss public affairs, any use of the symbols of a particular religion in this context would necessarily be lawful”. The Curia – clarifying the reasoning of the court – considered paragraph (5) of Section 2:54 of the Civil Code applicable even in the absence of an express purpose, taking into account as a determining factor that “the communication, regardless of its purpose, may not result in serious injury or humiliation of members of the religious community”. According to the Constitutional Court, “based on the »external objective point of view« applied by the Curia as an examination method, on the one hand, the sense of grievance felt by the members of the community does not necessarily lead to the establishment of a legal violation; on the other hand, the courts cannot deny legal protection solely because the author of the statement that is severely insulting or unreasonably offensive in expression towards the community claims that their underlying intention was to convey a social or political message” (Statement of Reasons, para [37]).</w:t>
      </w:r>
    </w:p>
    <w:p w14:paraId="1D184B3D" w14:textId="77777777" w:rsidR="00CE7EA1" w:rsidRPr="000D0823" w:rsidRDefault="00CE7EA1" w:rsidP="00CE7EA1">
      <w:pPr>
        <w:spacing w:after="0" w:line="240" w:lineRule="auto"/>
        <w:jc w:val="both"/>
        <w:rPr>
          <w:rFonts w:cstheme="minorHAnsi"/>
          <w:sz w:val="24"/>
          <w:szCs w:val="24"/>
          <w:lang w:val="en-GB"/>
        </w:rPr>
      </w:pPr>
    </w:p>
    <w:p w14:paraId="480B13DD" w14:textId="66105B41"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lastRenderedPageBreak/>
        <w:t>In the case under review, the Curia correctly assessed the circumstances of the case that are relevant from a constitutional law point of view within this range of interpretation, stating that, on the one hand, the message was not aimed at violating the dignity of the (members of the) community concerned and, on the other hand, the content of the political opinion and value judgement conveyed by the message was clearly identifiable, “the form of expression of which – the religious simile displayed in the image – was not found to be arbitrary or unjustified in relation to the content of the opinion”. At the end of its decision, the panel referred to the fact that although Article IX</w:t>
      </w:r>
      <w:r w:rsidR="00A728D4">
        <w:rPr>
          <w:rFonts w:cstheme="minorHAnsi"/>
          <w:sz w:val="24"/>
          <w:szCs w:val="24"/>
          <w:lang w:val="en-GB"/>
        </w:rPr>
        <w:t xml:space="preserve"> </w:t>
      </w:r>
      <w:r w:rsidRPr="000D0823">
        <w:rPr>
          <w:rFonts w:cstheme="minorHAnsi"/>
          <w:sz w:val="24"/>
          <w:szCs w:val="24"/>
          <w:lang w:val="en-GB"/>
        </w:rPr>
        <w:t xml:space="preserve">(5) of the Fundamental Law of Hungary had not been applied on the merits before, and therefore the courts acting in the main proceedings could obviously not have </w:t>
      </w:r>
      <w:proofErr w:type="gramStart"/>
      <w:r w:rsidRPr="000D0823">
        <w:rPr>
          <w:rFonts w:cstheme="minorHAnsi"/>
          <w:sz w:val="24"/>
          <w:szCs w:val="24"/>
          <w:lang w:val="en-GB"/>
        </w:rPr>
        <w:t>taken into account</w:t>
      </w:r>
      <w:proofErr w:type="gramEnd"/>
      <w:r w:rsidRPr="000D0823">
        <w:rPr>
          <w:rFonts w:cstheme="minorHAnsi"/>
          <w:sz w:val="24"/>
          <w:szCs w:val="24"/>
          <w:lang w:val="en-GB"/>
        </w:rPr>
        <w:t xml:space="preserve"> the above-mentioned interpretative aspects, it nevertheless concluded that “the judgment under appeal remained within the range of constitutional interpretation” (Statement of Reasons, para [37]).</w:t>
      </w:r>
    </w:p>
    <w:p w14:paraId="6C05E1AB" w14:textId="77777777" w:rsidR="00CE7EA1" w:rsidRPr="000D0823" w:rsidRDefault="00CE7EA1" w:rsidP="00CE7EA1">
      <w:pPr>
        <w:spacing w:after="0" w:line="240" w:lineRule="auto"/>
        <w:jc w:val="both"/>
        <w:rPr>
          <w:rFonts w:cstheme="minorHAnsi"/>
          <w:sz w:val="24"/>
          <w:szCs w:val="24"/>
          <w:highlight w:val="yellow"/>
          <w:lang w:val="en-GB"/>
        </w:rPr>
      </w:pPr>
    </w:p>
    <w:p w14:paraId="38AF5BE7" w14:textId="58521452"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The Constitutional Court also pointed out that any person, including members of the community concerned, the press or public figures, may express a critical opinion on communications that are mildly offensive or insulting to a community, or that may be considered unethical or distasteful, in a manner compatible with the fundamental right to freedom of expression (Statement of reasons, para [40]).</w:t>
      </w:r>
    </w:p>
    <w:p w14:paraId="3A656D48" w14:textId="77777777" w:rsidR="00CE7EA1" w:rsidRPr="000D0823" w:rsidRDefault="00CE7EA1" w:rsidP="00CE7EA1">
      <w:pPr>
        <w:spacing w:after="0" w:line="240" w:lineRule="auto"/>
        <w:jc w:val="both"/>
        <w:rPr>
          <w:rFonts w:cstheme="minorHAnsi"/>
          <w:sz w:val="24"/>
          <w:szCs w:val="24"/>
          <w:lang w:val="en-GB"/>
        </w:rPr>
      </w:pPr>
    </w:p>
    <w:p w14:paraId="601E3E1E"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In view of the arguments set out above, the Constitutional Court rejected the constitutional appeal seeking to establish the unconstitutionality of and to annul the judgment of the Curia No. Pfv.IV.20.636/2016/4.</w:t>
      </w:r>
    </w:p>
    <w:p w14:paraId="0341F25F" w14:textId="77777777" w:rsidR="00CE7EA1" w:rsidRPr="000D0823" w:rsidRDefault="00CE7EA1" w:rsidP="00CE7EA1">
      <w:pPr>
        <w:spacing w:after="0" w:line="240" w:lineRule="auto"/>
        <w:jc w:val="both"/>
        <w:rPr>
          <w:rFonts w:cstheme="minorHAnsi"/>
          <w:sz w:val="24"/>
          <w:szCs w:val="24"/>
          <w:lang w:val="en-GB"/>
        </w:rPr>
      </w:pPr>
    </w:p>
    <w:p w14:paraId="13FBE874"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In connection with the decision, the Constitutional Court judges added five concurring opinions and five dissenting opinions.</w:t>
      </w:r>
    </w:p>
    <w:p w14:paraId="421157A0" w14:textId="77777777" w:rsidR="00CE7EA1" w:rsidRPr="000D0823" w:rsidRDefault="00CE7EA1" w:rsidP="00CE7EA1">
      <w:pPr>
        <w:spacing w:after="0" w:line="240" w:lineRule="auto"/>
        <w:jc w:val="both"/>
        <w:rPr>
          <w:rFonts w:cstheme="minorHAnsi"/>
          <w:sz w:val="24"/>
          <w:szCs w:val="24"/>
          <w:lang w:val="en-GB"/>
        </w:rPr>
      </w:pPr>
    </w:p>
    <w:p w14:paraId="2E5B696C" w14:textId="165D829E"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In connection with the majority position, the religious content and the instrumental character of the caricature appear in several opinions, such as, on the one hand, the position that, in the present case, “Christianity and a content related to the Christian faith is not the object but the instrument of the mockery. This, despite its possible distastefulness, is also protected free speech” (concurring opinion of Balázs </w:t>
      </w:r>
      <w:proofErr w:type="spellStart"/>
      <w:r w:rsidRPr="000D0823">
        <w:rPr>
          <w:rFonts w:cstheme="minorHAnsi"/>
          <w:sz w:val="24"/>
          <w:szCs w:val="24"/>
          <w:lang w:val="en-GB"/>
        </w:rPr>
        <w:t>Schanda</w:t>
      </w:r>
      <w:proofErr w:type="spellEnd"/>
      <w:r w:rsidRPr="000D0823">
        <w:rPr>
          <w:rFonts w:cstheme="minorHAnsi"/>
          <w:sz w:val="24"/>
          <w:szCs w:val="24"/>
          <w:lang w:val="en-GB"/>
        </w:rPr>
        <w:t xml:space="preserve">, para [74]). In his dissenting opinion, Constitutional Court judge Imre Juhász expressed the opposite opinion, stating that “the technique of expressing criticism should be such that it does not constitute an insult to the community or an affront to the human dignity of the persons belonging to that community” (Statement of Reasons, para [124]). Attila Horváth expressed a similar opinion, stating that “it is not under the protection of freedom of expression if the birth of Jesus and Mary, one of the most important religious symbols of Christianity, as well as the figures and values of the persons represented in Christianity, are used as a means of criticism and mockery of some public or social phenomenon” (dissenting opinion of Attila </w:t>
      </w:r>
      <w:proofErr w:type="spellStart"/>
      <w:r w:rsidRPr="000D0823">
        <w:rPr>
          <w:rFonts w:cstheme="minorHAnsi"/>
          <w:sz w:val="24"/>
          <w:szCs w:val="24"/>
          <w:lang w:val="en-GB"/>
        </w:rPr>
        <w:t>Horváth</w:t>
      </w:r>
      <w:proofErr w:type="spellEnd"/>
      <w:r w:rsidRPr="000D0823">
        <w:rPr>
          <w:rFonts w:cstheme="minorHAnsi"/>
          <w:sz w:val="24"/>
          <w:szCs w:val="24"/>
          <w:lang w:val="en-GB"/>
        </w:rPr>
        <w:t>, para [108]).</w:t>
      </w:r>
    </w:p>
    <w:p w14:paraId="03E814FA" w14:textId="77777777" w:rsidR="00CE7EA1" w:rsidRPr="000D0823" w:rsidRDefault="00CE7EA1" w:rsidP="00CE7EA1">
      <w:pPr>
        <w:spacing w:after="0" w:line="240" w:lineRule="auto"/>
        <w:jc w:val="both"/>
        <w:rPr>
          <w:rFonts w:cstheme="minorHAnsi"/>
          <w:sz w:val="24"/>
          <w:szCs w:val="24"/>
          <w:lang w:val="en-GB"/>
        </w:rPr>
      </w:pPr>
    </w:p>
    <w:p w14:paraId="79796BE5" w14:textId="7F07047D"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 xml:space="preserve">In addition to the aforementioned Miklós Juhász, Mária Szívós did not support the decision, and they both expressed their opinions dissenting with the majority position on the primacy of the fundamental right to freedom of expression in the face of Christian symbols. According to these opinions, on the one hand, “it cannot be disregarded that there is a close correlation between provocative press communications (memes, cartoons, caricatures, etc.) that do not spare religious symbols, founders of religions and religious people in general, </w:t>
      </w:r>
      <w:r w:rsidRPr="000D0823">
        <w:rPr>
          <w:rFonts w:cstheme="minorHAnsi"/>
          <w:sz w:val="24"/>
          <w:szCs w:val="24"/>
          <w:lang w:val="en-GB"/>
        </w:rPr>
        <w:lastRenderedPageBreak/>
        <w:t xml:space="preserve">and the wide range of reactions from the religious persons concerned (the persons offended)” (Imre Juhász’s dissenting opinion, Statement of reasons, paragraph [130]), and that the Constitutional Court “did not protect one of the most important Christian symbols – the birth of Jesus Christ – while in Europe we see that the extremist branch of Islam uses the most violent methods to repel even the slightest violation of religious symbols” (dissenting opinion of Mária </w:t>
      </w:r>
      <w:proofErr w:type="spellStart"/>
      <w:r w:rsidRPr="000D0823">
        <w:rPr>
          <w:rFonts w:cstheme="minorHAnsi"/>
          <w:sz w:val="24"/>
          <w:szCs w:val="24"/>
          <w:lang w:val="en-GB"/>
        </w:rPr>
        <w:t>Szívós</w:t>
      </w:r>
      <w:proofErr w:type="spellEnd"/>
      <w:r w:rsidRPr="000D0823">
        <w:rPr>
          <w:rFonts w:cstheme="minorHAnsi"/>
          <w:sz w:val="24"/>
          <w:szCs w:val="24"/>
          <w:lang w:val="en-GB"/>
        </w:rPr>
        <w:t>, para [139]).</w:t>
      </w:r>
    </w:p>
    <w:p w14:paraId="422D2F6B" w14:textId="77777777" w:rsidR="00CE7EA1" w:rsidRPr="000D0823" w:rsidRDefault="00CE7EA1" w:rsidP="00CE7EA1">
      <w:pPr>
        <w:spacing w:after="0" w:line="240" w:lineRule="auto"/>
        <w:jc w:val="both"/>
        <w:rPr>
          <w:rFonts w:cstheme="minorHAnsi"/>
          <w:sz w:val="24"/>
          <w:szCs w:val="24"/>
          <w:lang w:val="en-GB"/>
        </w:rPr>
      </w:pPr>
    </w:p>
    <w:p w14:paraId="5A810631" w14:textId="35038293"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Two concurring opinions touched on the relevance of the question of the evaluation of the cartoon by the audience, meaning the “average reader” (the “average person”). According to Miklós Juhász, “for the average reader, viewer or believer who encounters the opinion, if they do not know the original painting, there is no obvious, direct and clear connection between the message on the front page and the painting of the birth of Jesus conveying the symbolism” (Statement of Reasons, para</w:t>
      </w:r>
      <w:bookmarkStart w:id="0" w:name="_GoBack"/>
      <w:bookmarkEnd w:id="0"/>
      <w:r w:rsidRPr="000D0823">
        <w:rPr>
          <w:rFonts w:cstheme="minorHAnsi"/>
          <w:sz w:val="24"/>
          <w:szCs w:val="24"/>
          <w:lang w:val="en-GB"/>
        </w:rPr>
        <w:t xml:space="preserve"> [69]). According to Tünde Handó, however, “it would be incorrect to measure the grievance according to the average person’s reaction, as the essence of a violation of personality rights is that it must be realized in relation to a specific individual. The yardstick should therefore be adjusted, not according to what an ordinary person considers offensive but according to what is offensive to a believer in a religious community” (Statement of Reasons, para [95]).</w:t>
      </w:r>
    </w:p>
    <w:p w14:paraId="22D77C57" w14:textId="77777777" w:rsidR="00CE7EA1" w:rsidRPr="000D0823" w:rsidRDefault="00CE7EA1" w:rsidP="00CE7EA1">
      <w:pPr>
        <w:spacing w:after="0" w:line="240" w:lineRule="auto"/>
        <w:jc w:val="both"/>
        <w:rPr>
          <w:rFonts w:cstheme="minorHAnsi"/>
          <w:sz w:val="24"/>
          <w:szCs w:val="24"/>
          <w:lang w:val="en-GB"/>
        </w:rPr>
      </w:pPr>
    </w:p>
    <w:p w14:paraId="3FC9D6B8" w14:textId="77777777" w:rsidR="00CE7EA1" w:rsidRPr="000D0823" w:rsidRDefault="00CE7EA1" w:rsidP="00CE7EA1">
      <w:pPr>
        <w:spacing w:after="0" w:line="240" w:lineRule="auto"/>
        <w:jc w:val="both"/>
        <w:rPr>
          <w:rFonts w:cstheme="minorHAnsi"/>
          <w:b/>
          <w:sz w:val="24"/>
          <w:szCs w:val="24"/>
          <w:lang w:val="en-GB"/>
        </w:rPr>
      </w:pPr>
      <w:r w:rsidRPr="000D0823">
        <w:rPr>
          <w:rFonts w:cstheme="minorHAnsi"/>
          <w:b/>
          <w:bCs/>
          <w:sz w:val="24"/>
          <w:szCs w:val="24"/>
          <w:lang w:val="en-GB"/>
        </w:rPr>
        <w:t>4. Decision Direction</w:t>
      </w:r>
    </w:p>
    <w:p w14:paraId="3D3F24C4" w14:textId="77777777" w:rsidR="00CE7EA1" w:rsidRPr="000D0823" w:rsidRDefault="00CE7EA1" w:rsidP="00CE7EA1">
      <w:pPr>
        <w:spacing w:after="0" w:line="240" w:lineRule="auto"/>
        <w:jc w:val="both"/>
        <w:rPr>
          <w:rFonts w:cstheme="minorHAnsi"/>
          <w:sz w:val="24"/>
          <w:szCs w:val="24"/>
          <w:lang w:val="en-GB"/>
        </w:rPr>
      </w:pPr>
    </w:p>
    <w:p w14:paraId="3A723777"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Expressions of opinion that self-servingly insult or otherwise seriously offend religious symbols or objects of religious veneration may be restricted in order to protect the dignity of the religious community or its members. However, in the context of a – sometimes critical – discussion of public affairs, it is not inherently unlawful to use religious content in a visual form that is reasonably appropriate to the content of the opinion expressed, but the manner of expression of the communication must not be unduly offensive to the religion or religious community concerned.</w:t>
      </w:r>
    </w:p>
    <w:p w14:paraId="4AC695EA" w14:textId="77777777" w:rsidR="00CE7EA1" w:rsidRPr="000D0823" w:rsidRDefault="00CE7EA1" w:rsidP="00CE7EA1">
      <w:pPr>
        <w:spacing w:after="0" w:line="240" w:lineRule="auto"/>
        <w:jc w:val="both"/>
        <w:rPr>
          <w:rFonts w:cstheme="minorHAnsi"/>
          <w:sz w:val="24"/>
          <w:szCs w:val="24"/>
          <w:lang w:val="en-GB"/>
        </w:rPr>
      </w:pPr>
    </w:p>
    <w:p w14:paraId="3F720900" w14:textId="77777777" w:rsidR="00CE7EA1" w:rsidRPr="000D0823" w:rsidRDefault="00CE7EA1" w:rsidP="00CE7EA1">
      <w:pPr>
        <w:spacing w:after="0" w:line="240" w:lineRule="auto"/>
        <w:jc w:val="both"/>
        <w:rPr>
          <w:rFonts w:cstheme="minorHAnsi"/>
          <w:b/>
          <w:sz w:val="24"/>
          <w:szCs w:val="24"/>
          <w:lang w:val="en-GB"/>
        </w:rPr>
      </w:pPr>
      <w:r w:rsidRPr="000D0823">
        <w:rPr>
          <w:rFonts w:cstheme="minorHAnsi"/>
          <w:b/>
          <w:bCs/>
          <w:sz w:val="24"/>
          <w:szCs w:val="24"/>
          <w:lang w:val="en-GB"/>
        </w:rPr>
        <w:t>5. Global Perspective</w:t>
      </w:r>
    </w:p>
    <w:p w14:paraId="14D01A6C" w14:textId="77777777" w:rsidR="00CE7EA1" w:rsidRPr="000D0823" w:rsidRDefault="00CE7EA1" w:rsidP="00CE7EA1">
      <w:pPr>
        <w:spacing w:after="0" w:line="240" w:lineRule="auto"/>
        <w:jc w:val="both"/>
        <w:rPr>
          <w:rFonts w:cstheme="minorHAnsi"/>
          <w:bCs/>
          <w:sz w:val="24"/>
          <w:szCs w:val="24"/>
          <w:lang w:val="en-GB"/>
        </w:rPr>
      </w:pPr>
    </w:p>
    <w:p w14:paraId="0E925769" w14:textId="77777777" w:rsidR="00CE7EA1" w:rsidRPr="000D0823" w:rsidRDefault="00CE7EA1" w:rsidP="00CE7EA1">
      <w:pPr>
        <w:spacing w:after="0" w:line="240" w:lineRule="auto"/>
        <w:jc w:val="both"/>
        <w:rPr>
          <w:rFonts w:cstheme="minorHAnsi"/>
          <w:b/>
          <w:bCs/>
          <w:sz w:val="24"/>
          <w:szCs w:val="24"/>
          <w:lang w:val="en-GB"/>
        </w:rPr>
      </w:pPr>
      <w:r w:rsidRPr="000D0823">
        <w:rPr>
          <w:rFonts w:cstheme="minorHAnsi"/>
          <w:b/>
          <w:bCs/>
          <w:sz w:val="24"/>
          <w:szCs w:val="24"/>
          <w:lang w:val="en-GB"/>
        </w:rPr>
        <w:t>Related International and/or regional laws</w:t>
      </w:r>
    </w:p>
    <w:p w14:paraId="1F301723"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w:t>
      </w:r>
    </w:p>
    <w:p w14:paraId="12F451D7" w14:textId="77777777" w:rsidR="00CE7EA1" w:rsidRPr="000D0823" w:rsidRDefault="00CE7EA1" w:rsidP="00CE7EA1">
      <w:pPr>
        <w:spacing w:after="0" w:line="240" w:lineRule="auto"/>
        <w:jc w:val="both"/>
        <w:rPr>
          <w:rFonts w:cstheme="minorHAnsi"/>
          <w:bCs/>
          <w:sz w:val="24"/>
          <w:szCs w:val="24"/>
          <w:lang w:val="en-GB"/>
        </w:rPr>
      </w:pPr>
    </w:p>
    <w:p w14:paraId="41F45A74" w14:textId="77777777" w:rsidR="00CE7EA1" w:rsidRPr="000D0823" w:rsidRDefault="00CE7EA1" w:rsidP="00CE7EA1">
      <w:pPr>
        <w:spacing w:after="0" w:line="240" w:lineRule="auto"/>
        <w:jc w:val="both"/>
        <w:rPr>
          <w:rFonts w:cstheme="minorHAnsi"/>
          <w:b/>
          <w:bCs/>
          <w:sz w:val="24"/>
          <w:szCs w:val="24"/>
          <w:lang w:val="en-GB"/>
        </w:rPr>
      </w:pPr>
      <w:r w:rsidRPr="000D0823">
        <w:rPr>
          <w:rFonts w:cstheme="minorHAnsi"/>
          <w:b/>
          <w:bCs/>
          <w:sz w:val="24"/>
          <w:szCs w:val="24"/>
          <w:lang w:val="en-GB"/>
        </w:rPr>
        <w:t>National standards, law or jurisprudence</w:t>
      </w:r>
    </w:p>
    <w:p w14:paraId="563EFA91"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7" w:history="1">
        <w:r w:rsidR="00CE7EA1" w:rsidRPr="000D0823">
          <w:rPr>
            <w:rStyle w:val="Hiperhivatkozs"/>
            <w:rFonts w:cstheme="minorHAnsi"/>
            <w:sz w:val="24"/>
            <w:szCs w:val="24"/>
            <w:lang w:val="en-GB"/>
          </w:rPr>
          <w:t>Fundamental Law of Hungary</w:t>
        </w:r>
      </w:hyperlink>
      <w:r w:rsidR="00CE7EA1" w:rsidRPr="000D0823">
        <w:rPr>
          <w:rFonts w:cstheme="minorHAnsi"/>
          <w:sz w:val="24"/>
          <w:szCs w:val="24"/>
          <w:lang w:val="en-GB"/>
        </w:rPr>
        <w:t xml:space="preserve"> Articles II, VII and Article IX (4)-(5)</w:t>
      </w:r>
    </w:p>
    <w:p w14:paraId="491F7221"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8" w:history="1">
        <w:r w:rsidR="00CE7EA1" w:rsidRPr="000D0823">
          <w:rPr>
            <w:rStyle w:val="Hiperhivatkozs"/>
            <w:rFonts w:cstheme="minorHAnsi"/>
            <w:sz w:val="24"/>
            <w:szCs w:val="24"/>
            <w:lang w:val="en-GB"/>
          </w:rPr>
          <w:t>Act V of 2013 on the Civil Code</w:t>
        </w:r>
      </w:hyperlink>
      <w:r w:rsidR="00CE7EA1" w:rsidRPr="000D0823">
        <w:rPr>
          <w:rFonts w:cstheme="minorHAnsi"/>
          <w:sz w:val="24"/>
          <w:szCs w:val="24"/>
          <w:lang w:val="en-GB"/>
        </w:rPr>
        <w:t xml:space="preserve"> Section 2:54(5)</w:t>
      </w:r>
    </w:p>
    <w:p w14:paraId="566A3394"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9" w:history="1">
        <w:r w:rsidR="00CE7EA1" w:rsidRPr="000D0823">
          <w:rPr>
            <w:rStyle w:val="Hiperhivatkozs"/>
            <w:rFonts w:cstheme="minorHAnsi"/>
            <w:sz w:val="24"/>
            <w:szCs w:val="24"/>
            <w:lang w:val="en-GB"/>
          </w:rPr>
          <w:t>Constitutional Court decision 3048/2020 (III. 2.)</w:t>
        </w:r>
      </w:hyperlink>
    </w:p>
    <w:p w14:paraId="43499B91"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10" w:history="1">
        <w:r w:rsidR="00CE7EA1" w:rsidRPr="000D0823">
          <w:rPr>
            <w:rStyle w:val="Hiperhivatkozs"/>
            <w:rFonts w:cstheme="minorHAnsi"/>
            <w:sz w:val="24"/>
            <w:szCs w:val="24"/>
            <w:lang w:val="en-GB"/>
          </w:rPr>
          <w:t>Constitutional Court decision 3089/2019 (IV. 26.)</w:t>
        </w:r>
      </w:hyperlink>
    </w:p>
    <w:p w14:paraId="79E1EB9B"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11" w:history="1">
        <w:r w:rsidR="00CE7EA1" w:rsidRPr="000D0823">
          <w:rPr>
            <w:rStyle w:val="Hiperhivatkozs"/>
            <w:rFonts w:cstheme="minorHAnsi"/>
            <w:sz w:val="24"/>
            <w:szCs w:val="24"/>
            <w:lang w:val="en-GB"/>
          </w:rPr>
          <w:t>Constitutional Court decision 1/2019 (II. 13.)</w:t>
        </w:r>
      </w:hyperlink>
    </w:p>
    <w:p w14:paraId="6B1882A8"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12" w:history="1">
        <w:r w:rsidR="00CE7EA1" w:rsidRPr="000D0823">
          <w:rPr>
            <w:rStyle w:val="Hiperhivatkozs"/>
            <w:rFonts w:cstheme="minorHAnsi"/>
            <w:sz w:val="24"/>
            <w:szCs w:val="24"/>
            <w:lang w:val="en-GB"/>
          </w:rPr>
          <w:t>Constitutional Court decision 3348/2018 (XI. 12.)</w:t>
        </w:r>
      </w:hyperlink>
    </w:p>
    <w:p w14:paraId="26594FDC"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13" w:history="1">
        <w:r w:rsidR="00CE7EA1" w:rsidRPr="000D0823">
          <w:rPr>
            <w:rStyle w:val="Hiperhivatkozs"/>
            <w:rFonts w:cstheme="minorHAnsi"/>
            <w:sz w:val="24"/>
            <w:szCs w:val="24"/>
            <w:lang w:val="en-GB"/>
          </w:rPr>
          <w:t>Constitutional Court decision 3145/2018 (V. 7.)</w:t>
        </w:r>
      </w:hyperlink>
    </w:p>
    <w:p w14:paraId="4B5962E5"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14" w:history="1">
        <w:r w:rsidR="00CE7EA1" w:rsidRPr="000D0823">
          <w:rPr>
            <w:rStyle w:val="Hiperhivatkozs"/>
            <w:rFonts w:cstheme="minorHAnsi"/>
            <w:sz w:val="24"/>
            <w:szCs w:val="24"/>
            <w:lang w:val="en-GB"/>
          </w:rPr>
          <w:t>Constitutional Court decision 13/2014 (IV. 18.)</w:t>
        </w:r>
      </w:hyperlink>
    </w:p>
    <w:p w14:paraId="3F33B8F8"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15" w:history="1">
        <w:r w:rsidR="00CE7EA1" w:rsidRPr="000D0823">
          <w:rPr>
            <w:rStyle w:val="Hiperhivatkozs"/>
            <w:rFonts w:cstheme="minorHAnsi"/>
            <w:sz w:val="24"/>
            <w:szCs w:val="24"/>
            <w:lang w:val="en-GB"/>
          </w:rPr>
          <w:t>Constitutional Court decision 7/2014 (III. 7.)</w:t>
        </w:r>
      </w:hyperlink>
    </w:p>
    <w:p w14:paraId="3E4BCA66" w14:textId="77777777" w:rsidR="00CE7EA1" w:rsidRPr="000D0823" w:rsidRDefault="00A728D4" w:rsidP="00CE7EA1">
      <w:pPr>
        <w:pStyle w:val="Listaszerbekezds"/>
        <w:numPr>
          <w:ilvl w:val="0"/>
          <w:numId w:val="2"/>
        </w:numPr>
        <w:spacing w:after="0" w:line="240" w:lineRule="auto"/>
        <w:jc w:val="both"/>
        <w:rPr>
          <w:rFonts w:cstheme="minorHAnsi"/>
          <w:sz w:val="24"/>
          <w:szCs w:val="24"/>
          <w:lang w:val="en-GB"/>
        </w:rPr>
      </w:pPr>
      <w:hyperlink r:id="rId16" w:history="1">
        <w:r w:rsidR="00CE7EA1" w:rsidRPr="000D0823">
          <w:rPr>
            <w:rStyle w:val="Hiperhivatkozs"/>
            <w:rFonts w:cstheme="minorHAnsi"/>
            <w:sz w:val="24"/>
            <w:szCs w:val="24"/>
            <w:lang w:val="en-GB"/>
          </w:rPr>
          <w:t>Constitutional Court decision 4/2013 (II. 21.)</w:t>
        </w:r>
      </w:hyperlink>
    </w:p>
    <w:p w14:paraId="7CA08FC1" w14:textId="77777777" w:rsidR="00CE7EA1" w:rsidRPr="000D0823" w:rsidRDefault="00CE7EA1" w:rsidP="00CE7EA1">
      <w:pPr>
        <w:spacing w:after="0" w:line="240" w:lineRule="auto"/>
        <w:jc w:val="both"/>
        <w:rPr>
          <w:rFonts w:cstheme="minorHAnsi"/>
          <w:sz w:val="24"/>
          <w:szCs w:val="24"/>
          <w:lang w:val="en-GB"/>
        </w:rPr>
      </w:pPr>
    </w:p>
    <w:p w14:paraId="36B7E41D" w14:textId="77777777" w:rsidR="00CE7EA1" w:rsidRPr="000D0823" w:rsidRDefault="00CE7EA1" w:rsidP="00CE7EA1">
      <w:pPr>
        <w:spacing w:after="0" w:line="240" w:lineRule="auto"/>
        <w:jc w:val="both"/>
        <w:rPr>
          <w:rFonts w:cstheme="minorHAnsi"/>
          <w:b/>
          <w:sz w:val="24"/>
          <w:szCs w:val="24"/>
          <w:lang w:val="en-GB"/>
        </w:rPr>
      </w:pPr>
      <w:r w:rsidRPr="000D0823">
        <w:rPr>
          <w:rFonts w:cstheme="minorHAnsi"/>
          <w:b/>
          <w:bCs/>
          <w:sz w:val="24"/>
          <w:szCs w:val="24"/>
          <w:lang w:val="en-GB"/>
        </w:rPr>
        <w:t>6. Case Significance</w:t>
      </w:r>
    </w:p>
    <w:p w14:paraId="47B6EFE5" w14:textId="77777777" w:rsidR="00CE7EA1" w:rsidRPr="000D0823" w:rsidRDefault="00CE7EA1" w:rsidP="00CE7EA1">
      <w:pPr>
        <w:spacing w:after="0" w:line="240" w:lineRule="auto"/>
        <w:jc w:val="both"/>
        <w:rPr>
          <w:rFonts w:cstheme="minorHAnsi"/>
          <w:sz w:val="24"/>
          <w:szCs w:val="24"/>
          <w:lang w:val="en-GB"/>
        </w:rPr>
      </w:pPr>
    </w:p>
    <w:p w14:paraId="501E0958" w14:textId="77777777" w:rsidR="00CE7EA1" w:rsidRPr="000D0823" w:rsidRDefault="00CE7EA1" w:rsidP="00CE7EA1">
      <w:pPr>
        <w:spacing w:after="0" w:line="240" w:lineRule="auto"/>
        <w:jc w:val="both"/>
        <w:rPr>
          <w:rFonts w:cstheme="minorHAnsi"/>
          <w:bCs/>
          <w:iCs/>
          <w:sz w:val="24"/>
          <w:szCs w:val="24"/>
          <w:lang w:val="en-GB"/>
        </w:rPr>
      </w:pPr>
      <w:r w:rsidRPr="000D0823">
        <w:rPr>
          <w:rFonts w:cstheme="minorHAnsi"/>
          <w:sz w:val="24"/>
          <w:szCs w:val="24"/>
          <w:lang w:val="en-GB"/>
        </w:rPr>
        <w:t>The decision establishes a binding or persuasive precedent within its jurisdiction.</w:t>
      </w:r>
    </w:p>
    <w:p w14:paraId="2B59570D" w14:textId="77777777" w:rsidR="00CE7EA1" w:rsidRPr="000D0823" w:rsidRDefault="00CE7EA1" w:rsidP="00CE7EA1">
      <w:pPr>
        <w:spacing w:after="0" w:line="240" w:lineRule="auto"/>
        <w:jc w:val="both"/>
        <w:rPr>
          <w:rFonts w:cstheme="minorHAnsi"/>
          <w:sz w:val="24"/>
          <w:szCs w:val="24"/>
          <w:lang w:val="en-GB"/>
        </w:rPr>
      </w:pPr>
    </w:p>
    <w:p w14:paraId="1D6D5EA6" w14:textId="77777777" w:rsidR="00CE7EA1" w:rsidRPr="000D0823" w:rsidRDefault="00CE7EA1" w:rsidP="00CE7EA1">
      <w:pPr>
        <w:spacing w:after="0" w:line="240" w:lineRule="auto"/>
        <w:jc w:val="both"/>
        <w:rPr>
          <w:rFonts w:cstheme="minorHAnsi"/>
          <w:b/>
          <w:sz w:val="24"/>
          <w:szCs w:val="24"/>
          <w:lang w:val="en-GB"/>
        </w:rPr>
      </w:pPr>
      <w:r w:rsidRPr="000D0823">
        <w:rPr>
          <w:rFonts w:cstheme="minorHAnsi"/>
          <w:b/>
          <w:bCs/>
          <w:sz w:val="24"/>
          <w:szCs w:val="24"/>
          <w:lang w:val="en-GB"/>
        </w:rPr>
        <w:t>7. Official Case Documents</w:t>
      </w:r>
    </w:p>
    <w:p w14:paraId="07D4C061" w14:textId="77777777" w:rsidR="00CE7EA1" w:rsidRPr="000D0823" w:rsidRDefault="00CE7EA1" w:rsidP="00CE7EA1">
      <w:pPr>
        <w:spacing w:after="0" w:line="240" w:lineRule="auto"/>
        <w:jc w:val="both"/>
        <w:rPr>
          <w:rFonts w:cstheme="minorHAnsi"/>
          <w:sz w:val="24"/>
          <w:szCs w:val="24"/>
          <w:lang w:val="en-GB"/>
        </w:rPr>
      </w:pPr>
    </w:p>
    <w:p w14:paraId="07E4F3F3" w14:textId="77777777" w:rsidR="00CE7EA1" w:rsidRPr="000D0823" w:rsidRDefault="00CE7EA1" w:rsidP="00CE7EA1">
      <w:pPr>
        <w:spacing w:after="0" w:line="240" w:lineRule="auto"/>
        <w:jc w:val="both"/>
        <w:rPr>
          <w:rFonts w:cstheme="minorHAnsi"/>
          <w:sz w:val="24"/>
          <w:szCs w:val="24"/>
          <w:lang w:val="en-GB"/>
        </w:rPr>
      </w:pPr>
      <w:r w:rsidRPr="000D0823">
        <w:rPr>
          <w:rFonts w:cstheme="minorHAnsi"/>
          <w:sz w:val="24"/>
          <w:szCs w:val="24"/>
          <w:lang w:val="en-GB"/>
        </w:rPr>
        <w:t>Decision:</w:t>
      </w:r>
    </w:p>
    <w:p w14:paraId="6ECA8582" w14:textId="756F7948" w:rsidR="00FE2CA0" w:rsidRPr="000D0823" w:rsidRDefault="00A728D4" w:rsidP="00CE7EA1">
      <w:pPr>
        <w:spacing w:after="0" w:line="240" w:lineRule="auto"/>
        <w:jc w:val="both"/>
        <w:rPr>
          <w:rFonts w:cstheme="minorHAnsi"/>
          <w:sz w:val="24"/>
          <w:szCs w:val="24"/>
          <w:lang w:val="en-GB"/>
        </w:rPr>
      </w:pPr>
      <w:hyperlink r:id="rId17" w:history="1">
        <w:r w:rsidR="00CE7EA1" w:rsidRPr="000D0823">
          <w:rPr>
            <w:rStyle w:val="Hiperhivatkozs"/>
            <w:rFonts w:cstheme="minorHAnsi"/>
            <w:sz w:val="24"/>
            <w:szCs w:val="24"/>
            <w:lang w:val="en-GB"/>
          </w:rPr>
          <w:t>https://public.mkab.hu/dev/dontesek.nsf/0/ad7c87bce0d0b207c12580b2005e92e4/$FILE/7_2021%20AB_EN.pdf</w:t>
        </w:r>
      </w:hyperlink>
    </w:p>
    <w:sectPr w:rsidR="00FE2CA0" w:rsidRPr="000D08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1BC90" w14:textId="77777777" w:rsidR="00420EC3" w:rsidRDefault="00420EC3" w:rsidP="00CE7EA1">
      <w:pPr>
        <w:spacing w:after="0" w:line="240" w:lineRule="auto"/>
      </w:pPr>
      <w:r>
        <w:separator/>
      </w:r>
    </w:p>
  </w:endnote>
  <w:endnote w:type="continuationSeparator" w:id="0">
    <w:p w14:paraId="7B8002C3" w14:textId="77777777" w:rsidR="00420EC3" w:rsidRDefault="00420EC3" w:rsidP="00CE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742F8" w14:textId="77777777" w:rsidR="00420EC3" w:rsidRDefault="00420EC3" w:rsidP="00CE7EA1">
      <w:pPr>
        <w:spacing w:after="0" w:line="240" w:lineRule="auto"/>
      </w:pPr>
      <w:r>
        <w:separator/>
      </w:r>
    </w:p>
  </w:footnote>
  <w:footnote w:type="continuationSeparator" w:id="0">
    <w:p w14:paraId="4C3B1CC1" w14:textId="77777777" w:rsidR="00420EC3" w:rsidRDefault="00420EC3" w:rsidP="00CE7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86F92"/>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abstractNum w:abstractNumId="1" w15:restartNumberingAfterBreak="0">
    <w:nsid w:val="252E05AB"/>
    <w:multiLevelType w:val="hybridMultilevel"/>
    <w:tmpl w:val="32BE2E32"/>
    <w:lvl w:ilvl="0" w:tplc="B1D0F24E">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1CF75FF"/>
    <w:multiLevelType w:val="hybridMultilevel"/>
    <w:tmpl w:val="FCBC3A3E"/>
    <w:lvl w:ilvl="0" w:tplc="D2165046">
      <w:start w:val="1"/>
      <w:numFmt w:val="decimal"/>
      <w:lvlText w:val="[%1]"/>
      <w:lvlJc w:val="left"/>
      <w:pPr>
        <w:ind w:left="68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E0A24D9A">
      <w:numFmt w:val="bullet"/>
      <w:lvlText w:val="•"/>
      <w:lvlJc w:val="left"/>
      <w:pPr>
        <w:ind w:left="1678" w:hanging="341"/>
      </w:pPr>
      <w:rPr>
        <w:rFonts w:hint="default"/>
        <w:lang w:val="hu-HU" w:eastAsia="en-US" w:bidi="ar-SA"/>
      </w:rPr>
    </w:lvl>
    <w:lvl w:ilvl="2" w:tplc="691CDA60">
      <w:numFmt w:val="bullet"/>
      <w:lvlText w:val="•"/>
      <w:lvlJc w:val="left"/>
      <w:pPr>
        <w:ind w:left="2677" w:hanging="341"/>
      </w:pPr>
      <w:rPr>
        <w:rFonts w:hint="default"/>
        <w:lang w:val="hu-HU" w:eastAsia="en-US" w:bidi="ar-SA"/>
      </w:rPr>
    </w:lvl>
    <w:lvl w:ilvl="3" w:tplc="30F217C2">
      <w:numFmt w:val="bullet"/>
      <w:lvlText w:val="•"/>
      <w:lvlJc w:val="left"/>
      <w:pPr>
        <w:ind w:left="3675" w:hanging="341"/>
      </w:pPr>
      <w:rPr>
        <w:rFonts w:hint="default"/>
        <w:lang w:val="hu-HU" w:eastAsia="en-US" w:bidi="ar-SA"/>
      </w:rPr>
    </w:lvl>
    <w:lvl w:ilvl="4" w:tplc="AE906CD2">
      <w:numFmt w:val="bullet"/>
      <w:lvlText w:val="•"/>
      <w:lvlJc w:val="left"/>
      <w:pPr>
        <w:ind w:left="4674" w:hanging="341"/>
      </w:pPr>
      <w:rPr>
        <w:rFonts w:hint="default"/>
        <w:lang w:val="hu-HU" w:eastAsia="en-US" w:bidi="ar-SA"/>
      </w:rPr>
    </w:lvl>
    <w:lvl w:ilvl="5" w:tplc="27BE1928">
      <w:numFmt w:val="bullet"/>
      <w:lvlText w:val="•"/>
      <w:lvlJc w:val="left"/>
      <w:pPr>
        <w:ind w:left="5672" w:hanging="341"/>
      </w:pPr>
      <w:rPr>
        <w:rFonts w:hint="default"/>
        <w:lang w:val="hu-HU" w:eastAsia="en-US" w:bidi="ar-SA"/>
      </w:rPr>
    </w:lvl>
    <w:lvl w:ilvl="6" w:tplc="9C62C52E">
      <w:numFmt w:val="bullet"/>
      <w:lvlText w:val="•"/>
      <w:lvlJc w:val="left"/>
      <w:pPr>
        <w:ind w:left="6671" w:hanging="341"/>
      </w:pPr>
      <w:rPr>
        <w:rFonts w:hint="default"/>
        <w:lang w:val="hu-HU" w:eastAsia="en-US" w:bidi="ar-SA"/>
      </w:rPr>
    </w:lvl>
    <w:lvl w:ilvl="7" w:tplc="25988494">
      <w:numFmt w:val="bullet"/>
      <w:lvlText w:val="•"/>
      <w:lvlJc w:val="left"/>
      <w:pPr>
        <w:ind w:left="7669" w:hanging="341"/>
      </w:pPr>
      <w:rPr>
        <w:rFonts w:hint="default"/>
        <w:lang w:val="hu-HU" w:eastAsia="en-US" w:bidi="ar-SA"/>
      </w:rPr>
    </w:lvl>
    <w:lvl w:ilvl="8" w:tplc="9E9A1C4A">
      <w:numFmt w:val="bullet"/>
      <w:lvlText w:val="•"/>
      <w:lvlJc w:val="left"/>
      <w:pPr>
        <w:ind w:left="8668" w:hanging="341"/>
      </w:pPr>
      <w:rPr>
        <w:rFonts w:hint="default"/>
        <w:lang w:val="hu-HU" w:eastAsia="en-US" w:bidi="ar-SA"/>
      </w:rPr>
    </w:lvl>
  </w:abstractNum>
  <w:abstractNum w:abstractNumId="3" w15:restartNumberingAfterBreak="0">
    <w:nsid w:val="45923791"/>
    <w:multiLevelType w:val="hybridMultilevel"/>
    <w:tmpl w:val="F496DC58"/>
    <w:lvl w:ilvl="0" w:tplc="BB00A076">
      <w:start w:val="1"/>
      <w:numFmt w:val="decimal"/>
      <w:lvlText w:val="[%1]"/>
      <w:lvlJc w:val="left"/>
      <w:pPr>
        <w:ind w:left="56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3E1E903E">
      <w:start w:val="1"/>
      <w:numFmt w:val="decimal"/>
      <w:lvlText w:val="(%2)"/>
      <w:lvlJc w:val="left"/>
      <w:pPr>
        <w:ind w:left="833" w:hanging="270"/>
      </w:pPr>
      <w:rPr>
        <w:rFonts w:ascii="Calibri" w:eastAsia="Calibri" w:hAnsi="Calibri" w:cs="Calibri" w:hint="default"/>
        <w:b w:val="0"/>
        <w:bCs w:val="0"/>
        <w:i w:val="0"/>
        <w:iCs w:val="0"/>
        <w:color w:val="231F20"/>
        <w:spacing w:val="-17"/>
        <w:w w:val="91"/>
        <w:sz w:val="21"/>
        <w:szCs w:val="21"/>
        <w:lang w:val="hu-HU" w:eastAsia="en-US" w:bidi="ar-SA"/>
      </w:rPr>
    </w:lvl>
    <w:lvl w:ilvl="2" w:tplc="16C86270">
      <w:numFmt w:val="bullet"/>
      <w:lvlText w:val="•"/>
      <w:lvlJc w:val="left"/>
      <w:pPr>
        <w:ind w:left="1918" w:hanging="270"/>
      </w:pPr>
      <w:rPr>
        <w:rFonts w:hint="default"/>
        <w:lang w:val="hu-HU" w:eastAsia="en-US" w:bidi="ar-SA"/>
      </w:rPr>
    </w:lvl>
    <w:lvl w:ilvl="3" w:tplc="C63A23F2">
      <w:numFmt w:val="bullet"/>
      <w:lvlText w:val="•"/>
      <w:lvlJc w:val="left"/>
      <w:pPr>
        <w:ind w:left="2996" w:hanging="270"/>
      </w:pPr>
      <w:rPr>
        <w:rFonts w:hint="default"/>
        <w:lang w:val="hu-HU" w:eastAsia="en-US" w:bidi="ar-SA"/>
      </w:rPr>
    </w:lvl>
    <w:lvl w:ilvl="4" w:tplc="7076B964">
      <w:numFmt w:val="bullet"/>
      <w:lvlText w:val="•"/>
      <w:lvlJc w:val="left"/>
      <w:pPr>
        <w:ind w:left="4075" w:hanging="270"/>
      </w:pPr>
      <w:rPr>
        <w:rFonts w:hint="default"/>
        <w:lang w:val="hu-HU" w:eastAsia="en-US" w:bidi="ar-SA"/>
      </w:rPr>
    </w:lvl>
    <w:lvl w:ilvl="5" w:tplc="BC9E978C">
      <w:numFmt w:val="bullet"/>
      <w:lvlText w:val="•"/>
      <w:lvlJc w:val="left"/>
      <w:pPr>
        <w:ind w:left="5153" w:hanging="270"/>
      </w:pPr>
      <w:rPr>
        <w:rFonts w:hint="default"/>
        <w:lang w:val="hu-HU" w:eastAsia="en-US" w:bidi="ar-SA"/>
      </w:rPr>
    </w:lvl>
    <w:lvl w:ilvl="6" w:tplc="50903B60">
      <w:numFmt w:val="bullet"/>
      <w:lvlText w:val="•"/>
      <w:lvlJc w:val="left"/>
      <w:pPr>
        <w:ind w:left="6231" w:hanging="270"/>
      </w:pPr>
      <w:rPr>
        <w:rFonts w:hint="default"/>
        <w:lang w:val="hu-HU" w:eastAsia="en-US" w:bidi="ar-SA"/>
      </w:rPr>
    </w:lvl>
    <w:lvl w:ilvl="7" w:tplc="5BBA7CF6">
      <w:numFmt w:val="bullet"/>
      <w:lvlText w:val="•"/>
      <w:lvlJc w:val="left"/>
      <w:pPr>
        <w:ind w:left="7310" w:hanging="270"/>
      </w:pPr>
      <w:rPr>
        <w:rFonts w:hint="default"/>
        <w:lang w:val="hu-HU" w:eastAsia="en-US" w:bidi="ar-SA"/>
      </w:rPr>
    </w:lvl>
    <w:lvl w:ilvl="8" w:tplc="85A48194">
      <w:numFmt w:val="bullet"/>
      <w:lvlText w:val="•"/>
      <w:lvlJc w:val="left"/>
      <w:pPr>
        <w:ind w:left="8388" w:hanging="270"/>
      </w:pPr>
      <w:rPr>
        <w:rFonts w:hint="default"/>
        <w:lang w:val="hu-HU" w:eastAsia="en-US" w:bidi="ar-SA"/>
      </w:rPr>
    </w:lvl>
  </w:abstractNum>
  <w:abstractNum w:abstractNumId="4" w15:restartNumberingAfterBreak="0">
    <w:nsid w:val="46D653CE"/>
    <w:multiLevelType w:val="multilevel"/>
    <w:tmpl w:val="AB3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D4989"/>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732"/>
    <w:rsid w:val="00042FE7"/>
    <w:rsid w:val="00080C26"/>
    <w:rsid w:val="000B1413"/>
    <w:rsid w:val="000B7C71"/>
    <w:rsid w:val="000C1065"/>
    <w:rsid w:val="000C4BB7"/>
    <w:rsid w:val="000D0823"/>
    <w:rsid w:val="000D2A21"/>
    <w:rsid w:val="001065E3"/>
    <w:rsid w:val="0013745E"/>
    <w:rsid w:val="00140242"/>
    <w:rsid w:val="001751A3"/>
    <w:rsid w:val="00185145"/>
    <w:rsid w:val="001A1DED"/>
    <w:rsid w:val="001A2AC5"/>
    <w:rsid w:val="001B7557"/>
    <w:rsid w:val="001C05E8"/>
    <w:rsid w:val="001C0E57"/>
    <w:rsid w:val="001E44AF"/>
    <w:rsid w:val="00232E9F"/>
    <w:rsid w:val="00242D6D"/>
    <w:rsid w:val="002452C1"/>
    <w:rsid w:val="00246243"/>
    <w:rsid w:val="00256F12"/>
    <w:rsid w:val="0025729E"/>
    <w:rsid w:val="00266944"/>
    <w:rsid w:val="002774E4"/>
    <w:rsid w:val="00292A46"/>
    <w:rsid w:val="002A1B93"/>
    <w:rsid w:val="002A7046"/>
    <w:rsid w:val="002B3083"/>
    <w:rsid w:val="002B5432"/>
    <w:rsid w:val="002C2FFF"/>
    <w:rsid w:val="002C3E8F"/>
    <w:rsid w:val="002D1BFF"/>
    <w:rsid w:val="0030291A"/>
    <w:rsid w:val="00317033"/>
    <w:rsid w:val="00324950"/>
    <w:rsid w:val="00326B72"/>
    <w:rsid w:val="00333B68"/>
    <w:rsid w:val="00344203"/>
    <w:rsid w:val="00347178"/>
    <w:rsid w:val="0037642E"/>
    <w:rsid w:val="00390F87"/>
    <w:rsid w:val="003B298D"/>
    <w:rsid w:val="003B5D6A"/>
    <w:rsid w:val="003B6951"/>
    <w:rsid w:val="003D0050"/>
    <w:rsid w:val="003E328F"/>
    <w:rsid w:val="003F0608"/>
    <w:rsid w:val="00407C50"/>
    <w:rsid w:val="00412054"/>
    <w:rsid w:val="00420EC3"/>
    <w:rsid w:val="00436595"/>
    <w:rsid w:val="00456430"/>
    <w:rsid w:val="00474785"/>
    <w:rsid w:val="00492680"/>
    <w:rsid w:val="00494930"/>
    <w:rsid w:val="00495D2F"/>
    <w:rsid w:val="004961D6"/>
    <w:rsid w:val="004A059E"/>
    <w:rsid w:val="004A6132"/>
    <w:rsid w:val="004B11ED"/>
    <w:rsid w:val="004B7F25"/>
    <w:rsid w:val="004C3A0F"/>
    <w:rsid w:val="004C3C70"/>
    <w:rsid w:val="004D0D16"/>
    <w:rsid w:val="004D44E7"/>
    <w:rsid w:val="004E23C2"/>
    <w:rsid w:val="004F2ECA"/>
    <w:rsid w:val="00510BA0"/>
    <w:rsid w:val="0052729C"/>
    <w:rsid w:val="00563558"/>
    <w:rsid w:val="00567F4D"/>
    <w:rsid w:val="00572631"/>
    <w:rsid w:val="00582013"/>
    <w:rsid w:val="0058361C"/>
    <w:rsid w:val="005918E8"/>
    <w:rsid w:val="005A052B"/>
    <w:rsid w:val="005A1FCF"/>
    <w:rsid w:val="005B013F"/>
    <w:rsid w:val="005C5173"/>
    <w:rsid w:val="005C7B4B"/>
    <w:rsid w:val="005C7CEA"/>
    <w:rsid w:val="005D5130"/>
    <w:rsid w:val="005E5554"/>
    <w:rsid w:val="005E7C76"/>
    <w:rsid w:val="00620FED"/>
    <w:rsid w:val="00630985"/>
    <w:rsid w:val="0063549F"/>
    <w:rsid w:val="00636912"/>
    <w:rsid w:val="00652FA0"/>
    <w:rsid w:val="006649B7"/>
    <w:rsid w:val="00667CA6"/>
    <w:rsid w:val="00684CAF"/>
    <w:rsid w:val="006B68F7"/>
    <w:rsid w:val="006C7EED"/>
    <w:rsid w:val="006E2258"/>
    <w:rsid w:val="00731C5C"/>
    <w:rsid w:val="00735563"/>
    <w:rsid w:val="00741991"/>
    <w:rsid w:val="007450BD"/>
    <w:rsid w:val="00753202"/>
    <w:rsid w:val="00772A97"/>
    <w:rsid w:val="007B176F"/>
    <w:rsid w:val="007C40B0"/>
    <w:rsid w:val="007D60E7"/>
    <w:rsid w:val="007E18BC"/>
    <w:rsid w:val="00801C1C"/>
    <w:rsid w:val="00812FCC"/>
    <w:rsid w:val="008527F8"/>
    <w:rsid w:val="0087255B"/>
    <w:rsid w:val="00883915"/>
    <w:rsid w:val="008A3D70"/>
    <w:rsid w:val="008C0B9E"/>
    <w:rsid w:val="008C3CAC"/>
    <w:rsid w:val="008C7B89"/>
    <w:rsid w:val="008E07E9"/>
    <w:rsid w:val="009004EC"/>
    <w:rsid w:val="00914124"/>
    <w:rsid w:val="00917A1D"/>
    <w:rsid w:val="00925F14"/>
    <w:rsid w:val="00942A08"/>
    <w:rsid w:val="0094314E"/>
    <w:rsid w:val="00944B9A"/>
    <w:rsid w:val="00945BC3"/>
    <w:rsid w:val="00947D55"/>
    <w:rsid w:val="0095445D"/>
    <w:rsid w:val="00956824"/>
    <w:rsid w:val="00962631"/>
    <w:rsid w:val="00963438"/>
    <w:rsid w:val="00966807"/>
    <w:rsid w:val="009A4158"/>
    <w:rsid w:val="009A55C8"/>
    <w:rsid w:val="009B09D1"/>
    <w:rsid w:val="009B7ACD"/>
    <w:rsid w:val="009C1C37"/>
    <w:rsid w:val="009D5792"/>
    <w:rsid w:val="009E6A57"/>
    <w:rsid w:val="009E72DB"/>
    <w:rsid w:val="009F0DBD"/>
    <w:rsid w:val="00A0390B"/>
    <w:rsid w:val="00A2243B"/>
    <w:rsid w:val="00A224A0"/>
    <w:rsid w:val="00A3637D"/>
    <w:rsid w:val="00A5788A"/>
    <w:rsid w:val="00A701E3"/>
    <w:rsid w:val="00A70289"/>
    <w:rsid w:val="00A728D4"/>
    <w:rsid w:val="00A74303"/>
    <w:rsid w:val="00A83D98"/>
    <w:rsid w:val="00A84218"/>
    <w:rsid w:val="00A94D2E"/>
    <w:rsid w:val="00AA5FB2"/>
    <w:rsid w:val="00AB3593"/>
    <w:rsid w:val="00AC5BAE"/>
    <w:rsid w:val="00AE19E9"/>
    <w:rsid w:val="00AE2AFE"/>
    <w:rsid w:val="00AF7FEB"/>
    <w:rsid w:val="00B073C8"/>
    <w:rsid w:val="00B178E6"/>
    <w:rsid w:val="00B35B0B"/>
    <w:rsid w:val="00B53A5A"/>
    <w:rsid w:val="00B60F04"/>
    <w:rsid w:val="00B77971"/>
    <w:rsid w:val="00B90141"/>
    <w:rsid w:val="00B927B8"/>
    <w:rsid w:val="00B964FD"/>
    <w:rsid w:val="00BD10DA"/>
    <w:rsid w:val="00BE2D92"/>
    <w:rsid w:val="00BE4A9B"/>
    <w:rsid w:val="00C31250"/>
    <w:rsid w:val="00C405E3"/>
    <w:rsid w:val="00C4084D"/>
    <w:rsid w:val="00C457D6"/>
    <w:rsid w:val="00C57732"/>
    <w:rsid w:val="00C97CBA"/>
    <w:rsid w:val="00CA11C5"/>
    <w:rsid w:val="00CA3E99"/>
    <w:rsid w:val="00CB0A73"/>
    <w:rsid w:val="00CB2927"/>
    <w:rsid w:val="00CE002A"/>
    <w:rsid w:val="00CE7EA1"/>
    <w:rsid w:val="00D056BB"/>
    <w:rsid w:val="00D235F3"/>
    <w:rsid w:val="00D321A2"/>
    <w:rsid w:val="00D37A29"/>
    <w:rsid w:val="00D6286E"/>
    <w:rsid w:val="00D73DB9"/>
    <w:rsid w:val="00D774CB"/>
    <w:rsid w:val="00D82C5D"/>
    <w:rsid w:val="00DD6F16"/>
    <w:rsid w:val="00DE30A8"/>
    <w:rsid w:val="00DE39EA"/>
    <w:rsid w:val="00DF5D1A"/>
    <w:rsid w:val="00E067F3"/>
    <w:rsid w:val="00E2378C"/>
    <w:rsid w:val="00E50992"/>
    <w:rsid w:val="00E92B0C"/>
    <w:rsid w:val="00EC5D28"/>
    <w:rsid w:val="00EE5429"/>
    <w:rsid w:val="00EE71BC"/>
    <w:rsid w:val="00EF7932"/>
    <w:rsid w:val="00F00AFE"/>
    <w:rsid w:val="00F16B9D"/>
    <w:rsid w:val="00F30C79"/>
    <w:rsid w:val="00F43806"/>
    <w:rsid w:val="00F55486"/>
    <w:rsid w:val="00F57844"/>
    <w:rsid w:val="00F60A23"/>
    <w:rsid w:val="00F80126"/>
    <w:rsid w:val="00F81B15"/>
    <w:rsid w:val="00F843AA"/>
    <w:rsid w:val="00FB723C"/>
    <w:rsid w:val="00FD2A5F"/>
    <w:rsid w:val="00FE2CA0"/>
    <w:rsid w:val="00FF21CB"/>
    <w:rsid w:val="00FF5E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BF5D"/>
  <w15:docId w15:val="{F17C62C7-E88C-49AF-80DE-C4FAA487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66944"/>
    <w:rPr>
      <w:color w:val="0563C1" w:themeColor="hyperlink"/>
      <w:u w:val="single"/>
    </w:rPr>
  </w:style>
  <w:style w:type="character" w:customStyle="1" w:styleId="Feloldatlanmegemlts1">
    <w:name w:val="Feloldatlan megemlítés1"/>
    <w:basedOn w:val="Bekezdsalapbettpusa"/>
    <w:uiPriority w:val="99"/>
    <w:semiHidden/>
    <w:unhideWhenUsed/>
    <w:rsid w:val="00266944"/>
    <w:rPr>
      <w:color w:val="605E5C"/>
      <w:shd w:val="clear" w:color="auto" w:fill="E1DFDD"/>
    </w:rPr>
  </w:style>
  <w:style w:type="character" w:styleId="Jegyzethivatkozs">
    <w:name w:val="annotation reference"/>
    <w:basedOn w:val="Bekezdsalapbettpusa"/>
    <w:uiPriority w:val="99"/>
    <w:semiHidden/>
    <w:unhideWhenUsed/>
    <w:rsid w:val="00942A08"/>
    <w:rPr>
      <w:sz w:val="16"/>
      <w:szCs w:val="16"/>
    </w:rPr>
  </w:style>
  <w:style w:type="paragraph" w:styleId="Jegyzetszveg">
    <w:name w:val="annotation text"/>
    <w:basedOn w:val="Norml"/>
    <w:link w:val="JegyzetszvegChar"/>
    <w:uiPriority w:val="99"/>
    <w:semiHidden/>
    <w:unhideWhenUsed/>
    <w:rsid w:val="00942A08"/>
    <w:pPr>
      <w:spacing w:line="240" w:lineRule="auto"/>
    </w:pPr>
    <w:rPr>
      <w:sz w:val="20"/>
      <w:szCs w:val="20"/>
    </w:rPr>
  </w:style>
  <w:style w:type="character" w:customStyle="1" w:styleId="JegyzetszvegChar">
    <w:name w:val="Jegyzetszöveg Char"/>
    <w:basedOn w:val="Bekezdsalapbettpusa"/>
    <w:link w:val="Jegyzetszveg"/>
    <w:uiPriority w:val="99"/>
    <w:semiHidden/>
    <w:rsid w:val="00942A08"/>
    <w:rPr>
      <w:sz w:val="20"/>
      <w:szCs w:val="20"/>
    </w:rPr>
  </w:style>
  <w:style w:type="paragraph" w:styleId="Megjegyzstrgya">
    <w:name w:val="annotation subject"/>
    <w:basedOn w:val="Jegyzetszveg"/>
    <w:next w:val="Jegyzetszveg"/>
    <w:link w:val="MegjegyzstrgyaChar"/>
    <w:uiPriority w:val="99"/>
    <w:semiHidden/>
    <w:unhideWhenUsed/>
    <w:rsid w:val="00942A08"/>
    <w:rPr>
      <w:b/>
      <w:bCs/>
    </w:rPr>
  </w:style>
  <w:style w:type="character" w:customStyle="1" w:styleId="MegjegyzstrgyaChar">
    <w:name w:val="Megjegyzés tárgya Char"/>
    <w:basedOn w:val="JegyzetszvegChar"/>
    <w:link w:val="Megjegyzstrgya"/>
    <w:uiPriority w:val="99"/>
    <w:semiHidden/>
    <w:rsid w:val="00942A08"/>
    <w:rPr>
      <w:b/>
      <w:bCs/>
      <w:sz w:val="20"/>
      <w:szCs w:val="20"/>
    </w:rPr>
  </w:style>
  <w:style w:type="paragraph" w:styleId="Buborkszveg">
    <w:name w:val="Balloon Text"/>
    <w:basedOn w:val="Norml"/>
    <w:link w:val="BuborkszvegChar"/>
    <w:uiPriority w:val="99"/>
    <w:semiHidden/>
    <w:unhideWhenUsed/>
    <w:rsid w:val="00942A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42A08"/>
    <w:rPr>
      <w:rFonts w:ascii="Segoe UI" w:hAnsi="Segoe UI" w:cs="Segoe UI"/>
      <w:sz w:val="18"/>
      <w:szCs w:val="18"/>
    </w:rPr>
  </w:style>
  <w:style w:type="paragraph" w:styleId="Listaszerbekezds">
    <w:name w:val="List Paragraph"/>
    <w:basedOn w:val="Norml"/>
    <w:uiPriority w:val="1"/>
    <w:qFormat/>
    <w:rsid w:val="005918E8"/>
    <w:pPr>
      <w:ind w:left="720"/>
      <w:contextualSpacing/>
    </w:pPr>
  </w:style>
  <w:style w:type="table" w:customStyle="1" w:styleId="TableNormal">
    <w:name w:val="Table Normal"/>
    <w:uiPriority w:val="2"/>
    <w:semiHidden/>
    <w:unhideWhenUsed/>
    <w:qFormat/>
    <w:rsid w:val="00664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6649B7"/>
    <w:pPr>
      <w:widowControl w:val="0"/>
      <w:autoSpaceDE w:val="0"/>
      <w:autoSpaceDN w:val="0"/>
      <w:spacing w:after="0" w:line="240" w:lineRule="auto"/>
      <w:ind w:left="563"/>
      <w:jc w:val="both"/>
    </w:pPr>
    <w:rPr>
      <w:rFonts w:ascii="Calibri" w:eastAsia="Calibri" w:hAnsi="Calibri" w:cs="Calibri"/>
      <w:sz w:val="21"/>
      <w:szCs w:val="21"/>
    </w:rPr>
  </w:style>
  <w:style w:type="character" w:customStyle="1" w:styleId="SzvegtrzsChar">
    <w:name w:val="Szövegtörzs Char"/>
    <w:basedOn w:val="Bekezdsalapbettpusa"/>
    <w:link w:val="Szvegtrzs"/>
    <w:uiPriority w:val="1"/>
    <w:rsid w:val="006649B7"/>
    <w:rPr>
      <w:rFonts w:ascii="Calibri" w:eastAsia="Calibri" w:hAnsi="Calibri" w:cs="Calibri"/>
      <w:sz w:val="21"/>
      <w:szCs w:val="21"/>
    </w:rPr>
  </w:style>
  <w:style w:type="paragraph" w:styleId="Cm">
    <w:name w:val="Title"/>
    <w:basedOn w:val="Norml"/>
    <w:link w:val="CmChar"/>
    <w:uiPriority w:val="10"/>
    <w:qFormat/>
    <w:rsid w:val="006649B7"/>
    <w:pPr>
      <w:widowControl w:val="0"/>
      <w:autoSpaceDE w:val="0"/>
      <w:autoSpaceDN w:val="0"/>
      <w:spacing w:before="103" w:after="0" w:line="240" w:lineRule="auto"/>
      <w:ind w:left="563"/>
    </w:pPr>
    <w:rPr>
      <w:rFonts w:ascii="Calibri" w:eastAsia="Calibri" w:hAnsi="Calibri" w:cs="Calibri"/>
      <w:b/>
      <w:bCs/>
      <w:sz w:val="28"/>
      <w:szCs w:val="28"/>
    </w:rPr>
  </w:style>
  <w:style w:type="character" w:customStyle="1" w:styleId="CmChar">
    <w:name w:val="Cím Char"/>
    <w:basedOn w:val="Bekezdsalapbettpusa"/>
    <w:link w:val="Cm"/>
    <w:uiPriority w:val="10"/>
    <w:rsid w:val="006649B7"/>
    <w:rPr>
      <w:rFonts w:ascii="Calibri" w:eastAsia="Calibri" w:hAnsi="Calibri" w:cs="Calibri"/>
      <w:b/>
      <w:bCs/>
      <w:sz w:val="28"/>
      <w:szCs w:val="28"/>
    </w:rPr>
  </w:style>
  <w:style w:type="paragraph" w:customStyle="1" w:styleId="TableParagraph">
    <w:name w:val="Table Paragraph"/>
    <w:basedOn w:val="Norml"/>
    <w:uiPriority w:val="1"/>
    <w:qFormat/>
    <w:rsid w:val="006649B7"/>
    <w:pPr>
      <w:widowControl w:val="0"/>
      <w:autoSpaceDE w:val="0"/>
      <w:autoSpaceDN w:val="0"/>
      <w:spacing w:after="0" w:line="240" w:lineRule="auto"/>
    </w:pPr>
    <w:rPr>
      <w:rFonts w:ascii="Calibri" w:eastAsia="Calibri" w:hAnsi="Calibri" w:cs="Calibri"/>
    </w:rPr>
  </w:style>
  <w:style w:type="paragraph" w:styleId="lfej">
    <w:name w:val="header"/>
    <w:basedOn w:val="Norml"/>
    <w:link w:val="lfejChar"/>
    <w:uiPriority w:val="99"/>
    <w:unhideWhenUsed/>
    <w:rsid w:val="00CE7EA1"/>
    <w:pPr>
      <w:tabs>
        <w:tab w:val="center" w:pos="4536"/>
        <w:tab w:val="right" w:pos="9072"/>
      </w:tabs>
      <w:spacing w:after="0" w:line="240" w:lineRule="auto"/>
    </w:pPr>
  </w:style>
  <w:style w:type="character" w:customStyle="1" w:styleId="lfejChar">
    <w:name w:val="Élőfej Char"/>
    <w:basedOn w:val="Bekezdsalapbettpusa"/>
    <w:link w:val="lfej"/>
    <w:uiPriority w:val="99"/>
    <w:rsid w:val="00CE7EA1"/>
  </w:style>
  <w:style w:type="paragraph" w:styleId="llb">
    <w:name w:val="footer"/>
    <w:basedOn w:val="Norml"/>
    <w:link w:val="llbChar"/>
    <w:uiPriority w:val="99"/>
    <w:unhideWhenUsed/>
    <w:rsid w:val="00CE7EA1"/>
    <w:pPr>
      <w:tabs>
        <w:tab w:val="center" w:pos="4536"/>
        <w:tab w:val="right" w:pos="9072"/>
      </w:tabs>
      <w:spacing w:after="0" w:line="240" w:lineRule="auto"/>
    </w:pPr>
  </w:style>
  <w:style w:type="character" w:customStyle="1" w:styleId="llbChar">
    <w:name w:val="Élőláb Char"/>
    <w:basedOn w:val="Bekezdsalapbettpusa"/>
    <w:link w:val="llb"/>
    <w:uiPriority w:val="99"/>
    <w:rsid w:val="00CE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3789">
      <w:bodyDiv w:val="1"/>
      <w:marLeft w:val="0"/>
      <w:marRight w:val="0"/>
      <w:marTop w:val="0"/>
      <w:marBottom w:val="0"/>
      <w:divBdr>
        <w:top w:val="none" w:sz="0" w:space="0" w:color="auto"/>
        <w:left w:val="none" w:sz="0" w:space="0" w:color="auto"/>
        <w:bottom w:val="none" w:sz="0" w:space="0" w:color="auto"/>
        <w:right w:val="none" w:sz="0" w:space="0" w:color="auto"/>
      </w:divBdr>
    </w:div>
    <w:div w:id="1385838598">
      <w:bodyDiv w:val="1"/>
      <w:marLeft w:val="0"/>
      <w:marRight w:val="0"/>
      <w:marTop w:val="0"/>
      <w:marBottom w:val="0"/>
      <w:divBdr>
        <w:top w:val="none" w:sz="0" w:space="0" w:color="auto"/>
        <w:left w:val="none" w:sz="0" w:space="0" w:color="auto"/>
        <w:bottom w:val="none" w:sz="0" w:space="0" w:color="auto"/>
        <w:right w:val="none" w:sz="0" w:space="0" w:color="auto"/>
      </w:divBdr>
    </w:div>
    <w:div w:id="14716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3-5-00-00" TargetMode="External"/><Relationship Id="rId13" Type="http://schemas.openxmlformats.org/officeDocument/2006/relationships/hyperlink" Target="https://hunconcourt.hu/datasheet/?id=99C984B5B36D2380C125804F0058956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jt.hu/jogszabaly/2011-4301-02-00" TargetMode="External"/><Relationship Id="rId12" Type="http://schemas.openxmlformats.org/officeDocument/2006/relationships/hyperlink" Target="https://hunconcourt.hu/datasheet/?id=18BEBDC42A70F0B7C125804F00589192" TargetMode="External"/><Relationship Id="rId17" Type="http://schemas.openxmlformats.org/officeDocument/2006/relationships/hyperlink" Target="https://public.mkab.hu/dev/dontesek.nsf/0/ad7c87bce0d0b207c12580b2005e92e4/$FILE/7_2021%20AB_EN.pdf" TargetMode="External"/><Relationship Id="rId2" Type="http://schemas.openxmlformats.org/officeDocument/2006/relationships/styles" Target="styles.xml"/><Relationship Id="rId16" Type="http://schemas.openxmlformats.org/officeDocument/2006/relationships/hyperlink" Target="https://alkotmanybirosag.hu/ugyadatlap/?id=E1E95AF7B7C1A24EC1257ADA00524F2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mkab.hu/dev/dontesek.nsf/0/dcb12c4ca8736f72c12581a00058e8c5/$FILE/1_2019_EN_final.pdf" TargetMode="External"/><Relationship Id="rId5" Type="http://schemas.openxmlformats.org/officeDocument/2006/relationships/footnotes" Target="footnotes.xml"/><Relationship Id="rId15" Type="http://schemas.openxmlformats.org/officeDocument/2006/relationships/hyperlink" Target="https://alkotmanybirosag.hu/ugyadatlap/?id=DCAE82809F3037D2C1257BBF001BABA1" TargetMode="External"/><Relationship Id="rId10" Type="http://schemas.openxmlformats.org/officeDocument/2006/relationships/hyperlink" Target="https://hunconcourt.hu/datasheet/?id=0CADCD9BEFAE7C00C1258288005969A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unconcourt.hu/datasheet/?id=9F900C0BCA12DE49C1258435005B9545" TargetMode="External"/><Relationship Id="rId14" Type="http://schemas.openxmlformats.org/officeDocument/2006/relationships/hyperlink" Target="https://alkotmanybirosag.hu/ugyadatlap/?id=64E8BB597FE98F9CC1257C770021B94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7</Pages>
  <Words>2720</Words>
  <Characters>18772</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NMHH</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Szikora Tamás</dc:creator>
  <cp:keywords/>
  <dc:description/>
  <cp:lastModifiedBy>Koltay András dr.</cp:lastModifiedBy>
  <cp:revision>35</cp:revision>
  <cp:lastPrinted>2023-10-11T12:41:00Z</cp:lastPrinted>
  <dcterms:created xsi:type="dcterms:W3CDTF">2024-02-12T09:38:00Z</dcterms:created>
  <dcterms:modified xsi:type="dcterms:W3CDTF">2024-11-12T16:14:00Z</dcterms:modified>
</cp:coreProperties>
</file>