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3230" w14:textId="77777777" w:rsidR="007C3714" w:rsidRPr="00BD56F4" w:rsidRDefault="007C3714" w:rsidP="007C3714">
      <w:pPr>
        <w:rPr>
          <w:rFonts w:ascii="Arial" w:hAnsi="Arial" w:cs="Arial"/>
          <w:b/>
          <w:bCs/>
          <w:sz w:val="24"/>
          <w:szCs w:val="24"/>
        </w:rPr>
      </w:pPr>
      <w:proofErr w:type="spellStart"/>
      <w:r w:rsidRPr="00BD56F4">
        <w:rPr>
          <w:rFonts w:ascii="Arial" w:hAnsi="Arial" w:cs="Arial"/>
          <w:b/>
          <w:bCs/>
          <w:sz w:val="24"/>
          <w:szCs w:val="24"/>
        </w:rPr>
        <w:t>Tuanku</w:t>
      </w:r>
      <w:proofErr w:type="spellEnd"/>
      <w:r w:rsidRPr="00BD56F4">
        <w:rPr>
          <w:rFonts w:ascii="Arial" w:hAnsi="Arial" w:cs="Arial"/>
          <w:b/>
          <w:bCs/>
          <w:sz w:val="24"/>
          <w:szCs w:val="24"/>
        </w:rPr>
        <w:t> Nur Zahirah v Clare Louise Brown &amp; Ors [2024] 3 MLJ 735</w:t>
      </w:r>
    </w:p>
    <w:p w14:paraId="7BA94379" w14:textId="13B8B7B9" w:rsidR="007C3714" w:rsidRPr="00BD56F4" w:rsidRDefault="007C3714">
      <w:pPr>
        <w:rPr>
          <w:rFonts w:ascii="Arial" w:hAnsi="Arial" w:cs="Arial"/>
          <w:b/>
          <w:bCs/>
          <w:sz w:val="24"/>
          <w:szCs w:val="24"/>
        </w:rPr>
      </w:pPr>
    </w:p>
    <w:p w14:paraId="218B5778" w14:textId="77777777" w:rsidR="007C3714" w:rsidRPr="00BD56F4" w:rsidRDefault="007C3714">
      <w:pPr>
        <w:rPr>
          <w:rFonts w:ascii="Arial" w:hAnsi="Arial" w:cs="Arial"/>
          <w:b/>
          <w:bCs/>
          <w:sz w:val="24"/>
          <w:szCs w:val="24"/>
        </w:rPr>
      </w:pPr>
    </w:p>
    <w:p w14:paraId="7E06DDA3" w14:textId="278E84DA" w:rsidR="00B01D67" w:rsidRPr="00BD56F4" w:rsidRDefault="007C3714">
      <w:pPr>
        <w:rPr>
          <w:rFonts w:ascii="Arial" w:hAnsi="Arial" w:cs="Arial"/>
          <w:b/>
          <w:bCs/>
          <w:sz w:val="24"/>
          <w:szCs w:val="24"/>
        </w:rPr>
      </w:pPr>
      <w:r w:rsidRPr="00BD56F4">
        <w:rPr>
          <w:rFonts w:ascii="Arial" w:hAnsi="Arial" w:cs="Arial"/>
          <w:b/>
          <w:bCs/>
          <w:sz w:val="24"/>
          <w:szCs w:val="24"/>
        </w:rPr>
        <w:t>Summary and Outcome</w:t>
      </w:r>
    </w:p>
    <w:p w14:paraId="20CEF859" w14:textId="29FB5214" w:rsidR="003E3748" w:rsidRPr="002B23BB" w:rsidRDefault="00134824">
      <w:pPr>
        <w:rPr>
          <w:rFonts w:ascii="Arial" w:hAnsi="Arial" w:cs="Arial"/>
          <w:sz w:val="24"/>
          <w:szCs w:val="24"/>
        </w:rPr>
      </w:pPr>
      <w:r>
        <w:rPr>
          <w:rFonts w:ascii="Arial" w:hAnsi="Arial" w:cs="Arial"/>
          <w:sz w:val="24"/>
          <w:szCs w:val="24"/>
        </w:rPr>
        <w:t xml:space="preserve">The Court of Appeal found that the Defendants had defamed the Plaintiff </w:t>
      </w:r>
      <w:r w:rsidR="00C52F7E">
        <w:rPr>
          <w:rFonts w:ascii="Arial" w:hAnsi="Arial" w:cs="Arial"/>
          <w:sz w:val="24"/>
          <w:szCs w:val="24"/>
        </w:rPr>
        <w:t>in its collective publication of a book containing a passage which attributed part of the 1MDB scandal to the Plaintiff.</w:t>
      </w:r>
      <w:r w:rsidR="00DB5B68">
        <w:rPr>
          <w:rFonts w:ascii="Arial" w:hAnsi="Arial" w:cs="Arial"/>
          <w:sz w:val="24"/>
          <w:szCs w:val="24"/>
        </w:rPr>
        <w:t xml:space="preserve"> The Court of Appeal essentially held that the passage in question</w:t>
      </w:r>
      <w:r w:rsidR="00671EF8">
        <w:rPr>
          <w:rFonts w:ascii="Arial" w:hAnsi="Arial" w:cs="Arial"/>
          <w:sz w:val="24"/>
          <w:szCs w:val="24"/>
        </w:rPr>
        <w:t xml:space="preserve"> would</w:t>
      </w:r>
      <w:r w:rsidR="00DB5B68">
        <w:rPr>
          <w:rFonts w:ascii="Arial" w:hAnsi="Arial" w:cs="Arial"/>
          <w:sz w:val="24"/>
          <w:szCs w:val="24"/>
        </w:rPr>
        <w:t xml:space="preserve">, to a reasonable person, lower the </w:t>
      </w:r>
      <w:r w:rsidR="001C2280">
        <w:rPr>
          <w:rFonts w:ascii="Arial" w:hAnsi="Arial" w:cs="Arial"/>
          <w:sz w:val="24"/>
          <w:szCs w:val="24"/>
        </w:rPr>
        <w:t>Plaintiff in the estimation of right</w:t>
      </w:r>
      <w:r w:rsidR="00671EF8">
        <w:rPr>
          <w:rFonts w:ascii="Arial" w:hAnsi="Arial" w:cs="Arial"/>
          <w:sz w:val="24"/>
          <w:szCs w:val="24"/>
        </w:rPr>
        <w:t>-</w:t>
      </w:r>
      <w:r w:rsidR="001C2280">
        <w:rPr>
          <w:rFonts w:ascii="Arial" w:hAnsi="Arial" w:cs="Arial"/>
          <w:sz w:val="24"/>
          <w:szCs w:val="24"/>
        </w:rPr>
        <w:t xml:space="preserve">thinking members of society. </w:t>
      </w:r>
    </w:p>
    <w:p w14:paraId="1789BBBD" w14:textId="77777777" w:rsidR="007C3714" w:rsidRPr="00BD56F4" w:rsidRDefault="007C3714">
      <w:pPr>
        <w:rPr>
          <w:rFonts w:ascii="Arial" w:hAnsi="Arial" w:cs="Arial"/>
          <w:b/>
          <w:bCs/>
          <w:sz w:val="24"/>
          <w:szCs w:val="24"/>
        </w:rPr>
      </w:pPr>
    </w:p>
    <w:p w14:paraId="3E5DD968" w14:textId="5BFADF16" w:rsidR="007C3714" w:rsidRPr="00BD56F4" w:rsidRDefault="007C3714">
      <w:pPr>
        <w:rPr>
          <w:rFonts w:ascii="Arial" w:hAnsi="Arial" w:cs="Arial"/>
          <w:b/>
          <w:bCs/>
          <w:sz w:val="24"/>
          <w:szCs w:val="24"/>
        </w:rPr>
      </w:pPr>
      <w:r w:rsidRPr="00BD56F4">
        <w:rPr>
          <w:rFonts w:ascii="Arial" w:hAnsi="Arial" w:cs="Arial"/>
          <w:b/>
          <w:bCs/>
          <w:sz w:val="24"/>
          <w:szCs w:val="24"/>
        </w:rPr>
        <w:t>Facts</w:t>
      </w:r>
    </w:p>
    <w:p w14:paraId="26F8CFF9" w14:textId="77777777" w:rsidR="007C3714" w:rsidRPr="00BD56F4" w:rsidRDefault="007C3714">
      <w:pPr>
        <w:rPr>
          <w:rFonts w:ascii="Arial" w:hAnsi="Arial" w:cs="Arial"/>
          <w:sz w:val="24"/>
          <w:szCs w:val="24"/>
        </w:rPr>
      </w:pPr>
    </w:p>
    <w:p w14:paraId="07FD9F9B" w14:textId="6AC825E1" w:rsidR="0021402D" w:rsidRPr="00BD56F4" w:rsidRDefault="007C3714">
      <w:pPr>
        <w:rPr>
          <w:rFonts w:ascii="Arial" w:hAnsi="Arial" w:cs="Arial"/>
          <w:sz w:val="24"/>
          <w:szCs w:val="24"/>
        </w:rPr>
      </w:pPr>
      <w:r w:rsidRPr="00BD56F4">
        <w:rPr>
          <w:rFonts w:ascii="Arial" w:hAnsi="Arial" w:cs="Arial"/>
          <w:sz w:val="24"/>
          <w:szCs w:val="24"/>
        </w:rPr>
        <w:t xml:space="preserve">This was an appeal by the </w:t>
      </w:r>
      <w:r w:rsidR="00CF28DA">
        <w:rPr>
          <w:rFonts w:ascii="Arial" w:hAnsi="Arial" w:cs="Arial"/>
          <w:sz w:val="24"/>
          <w:szCs w:val="24"/>
        </w:rPr>
        <w:t>Plaintiff</w:t>
      </w:r>
      <w:r w:rsidRPr="00BD56F4">
        <w:rPr>
          <w:rFonts w:ascii="Arial" w:hAnsi="Arial" w:cs="Arial"/>
          <w:sz w:val="24"/>
          <w:szCs w:val="24"/>
        </w:rPr>
        <w:t xml:space="preserve"> against the decision of the High Court in dismissing her defamation claim against the Defendants. </w:t>
      </w:r>
      <w:r w:rsidR="00564A5D" w:rsidRPr="00BD56F4">
        <w:rPr>
          <w:rFonts w:ascii="Arial" w:hAnsi="Arial" w:cs="Arial"/>
          <w:sz w:val="24"/>
          <w:szCs w:val="24"/>
        </w:rPr>
        <w:t xml:space="preserve">The </w:t>
      </w:r>
      <w:r w:rsidR="00CF28DA">
        <w:rPr>
          <w:rFonts w:ascii="Arial" w:hAnsi="Arial" w:cs="Arial"/>
          <w:sz w:val="24"/>
          <w:szCs w:val="24"/>
        </w:rPr>
        <w:t>Plaintiff</w:t>
      </w:r>
      <w:r w:rsidR="00564A5D" w:rsidRPr="00BD56F4">
        <w:rPr>
          <w:rFonts w:ascii="Arial" w:hAnsi="Arial" w:cs="Arial"/>
          <w:sz w:val="24"/>
          <w:szCs w:val="24"/>
        </w:rPr>
        <w:t xml:space="preserve"> was the Sultanah of </w:t>
      </w:r>
      <w:r w:rsidR="00893D81" w:rsidRPr="00BD56F4">
        <w:rPr>
          <w:rFonts w:ascii="Arial" w:hAnsi="Arial" w:cs="Arial"/>
          <w:sz w:val="24"/>
          <w:szCs w:val="24"/>
        </w:rPr>
        <w:t>the Malaysian state of Terengganu</w:t>
      </w:r>
      <w:r w:rsidR="00564A5D" w:rsidRPr="00BD56F4">
        <w:rPr>
          <w:rFonts w:ascii="Arial" w:hAnsi="Arial" w:cs="Arial"/>
          <w:sz w:val="24"/>
          <w:szCs w:val="24"/>
        </w:rPr>
        <w:t>, the wife of the reigning Sultan of</w:t>
      </w:r>
      <w:r w:rsidR="00893D81">
        <w:rPr>
          <w:rFonts w:ascii="Arial" w:hAnsi="Arial" w:cs="Arial"/>
          <w:sz w:val="24"/>
          <w:szCs w:val="24"/>
        </w:rPr>
        <w:t xml:space="preserve"> Terengganu</w:t>
      </w:r>
      <w:r w:rsidR="00564A5D" w:rsidRPr="00BD56F4">
        <w:rPr>
          <w:rFonts w:ascii="Arial" w:hAnsi="Arial" w:cs="Arial"/>
          <w:sz w:val="24"/>
          <w:szCs w:val="24"/>
        </w:rPr>
        <w:t xml:space="preserve">. </w:t>
      </w:r>
      <w:r w:rsidRPr="00BD56F4">
        <w:rPr>
          <w:rFonts w:ascii="Arial" w:hAnsi="Arial" w:cs="Arial"/>
          <w:sz w:val="24"/>
          <w:szCs w:val="24"/>
        </w:rPr>
        <w:t>The first defendant was the author of </w:t>
      </w:r>
      <w:r w:rsidRPr="00BD56F4">
        <w:rPr>
          <w:rFonts w:ascii="Arial" w:hAnsi="Arial" w:cs="Arial"/>
          <w:i/>
          <w:iCs/>
          <w:sz w:val="24"/>
          <w:szCs w:val="24"/>
        </w:rPr>
        <w:t xml:space="preserve">The Sarawak Report: The </w:t>
      </w:r>
      <w:r w:rsidR="00375D0D">
        <w:rPr>
          <w:rFonts w:ascii="Arial" w:hAnsi="Arial" w:cs="Arial"/>
          <w:i/>
          <w:iCs/>
          <w:sz w:val="24"/>
          <w:szCs w:val="24"/>
        </w:rPr>
        <w:t>Inside</w:t>
      </w:r>
      <w:r w:rsidRPr="00BD56F4">
        <w:rPr>
          <w:rFonts w:ascii="Arial" w:hAnsi="Arial" w:cs="Arial"/>
          <w:i/>
          <w:iCs/>
          <w:sz w:val="24"/>
          <w:szCs w:val="24"/>
        </w:rPr>
        <w:t xml:space="preserve"> Story of the 1MDB Expose</w:t>
      </w:r>
      <w:r w:rsidRPr="00BD56F4">
        <w:rPr>
          <w:rFonts w:ascii="Arial" w:hAnsi="Arial" w:cs="Arial"/>
          <w:sz w:val="24"/>
          <w:szCs w:val="24"/>
        </w:rPr>
        <w:t xml:space="preserve"> (‘the book’) while the second and third defendants were the publisher and the printer of the book. </w:t>
      </w:r>
    </w:p>
    <w:p w14:paraId="4F762100" w14:textId="10742786" w:rsidR="00777F7A" w:rsidRPr="00BD56F4" w:rsidRDefault="00777F7A" w:rsidP="00777F7A">
      <w:pPr>
        <w:rPr>
          <w:rFonts w:ascii="Arial" w:hAnsi="Arial" w:cs="Arial"/>
          <w:sz w:val="24"/>
          <w:szCs w:val="24"/>
        </w:rPr>
      </w:pPr>
      <w:r w:rsidRPr="00BD56F4">
        <w:rPr>
          <w:rFonts w:ascii="Arial" w:hAnsi="Arial" w:cs="Arial"/>
          <w:sz w:val="24"/>
          <w:szCs w:val="24"/>
        </w:rPr>
        <w:t xml:space="preserve">The 1MDB crisis, and therefore the book in question, details a massive corruption scandal involving Malaysia's state investment fund, 1Malaysia Development </w:t>
      </w:r>
      <w:proofErr w:type="spellStart"/>
      <w:r w:rsidRPr="00BD56F4">
        <w:rPr>
          <w:rFonts w:ascii="Arial" w:hAnsi="Arial" w:cs="Arial"/>
          <w:sz w:val="24"/>
          <w:szCs w:val="24"/>
        </w:rPr>
        <w:t>Berhad</w:t>
      </w:r>
      <w:proofErr w:type="spellEnd"/>
      <w:r w:rsidRPr="00BD56F4">
        <w:rPr>
          <w:rFonts w:ascii="Arial" w:hAnsi="Arial" w:cs="Arial"/>
          <w:sz w:val="24"/>
          <w:szCs w:val="24"/>
        </w:rPr>
        <w:t xml:space="preserve"> (1MDB), which was established to drive economic development. Billions of dollars were allegedly misappropriated by high-ranking officials, including then-Prime Minister Najib Razak, and laundered globally, leading to international investigations and significant political fallout.</w:t>
      </w:r>
      <w:r w:rsidR="00494AAF" w:rsidRPr="00BD56F4">
        <w:rPr>
          <w:rFonts w:ascii="Arial" w:hAnsi="Arial" w:cs="Arial"/>
          <w:sz w:val="24"/>
          <w:szCs w:val="24"/>
        </w:rPr>
        <w:t xml:space="preserve"> </w:t>
      </w:r>
      <w:r w:rsidR="00092E70" w:rsidRPr="00BD56F4">
        <w:rPr>
          <w:rFonts w:ascii="Arial" w:hAnsi="Arial" w:cs="Arial"/>
          <w:sz w:val="24"/>
          <w:szCs w:val="24"/>
        </w:rPr>
        <w:t>Jho Low, a financier central to the scandal, was accused of masterminding the embezzlement and playing a pivotal role in diverting funds for personal enrichment and luxury acquisitions.</w:t>
      </w:r>
    </w:p>
    <w:p w14:paraId="388B770D" w14:textId="797BA5B6" w:rsidR="00EF33C8" w:rsidRPr="00BD56F4" w:rsidRDefault="00EF33C8" w:rsidP="00EF33C8">
      <w:pPr>
        <w:rPr>
          <w:rFonts w:ascii="Arial" w:hAnsi="Arial" w:cs="Arial"/>
          <w:sz w:val="24"/>
          <w:szCs w:val="24"/>
        </w:rPr>
      </w:pPr>
      <w:r w:rsidRPr="00BD56F4">
        <w:rPr>
          <w:rFonts w:ascii="Arial" w:hAnsi="Arial" w:cs="Arial"/>
          <w:sz w:val="24"/>
          <w:szCs w:val="24"/>
        </w:rPr>
        <w:t xml:space="preserve">The </w:t>
      </w:r>
      <w:r w:rsidR="00CF28DA">
        <w:rPr>
          <w:rFonts w:ascii="Arial" w:hAnsi="Arial" w:cs="Arial"/>
          <w:sz w:val="24"/>
          <w:szCs w:val="24"/>
        </w:rPr>
        <w:t>Plaintiff</w:t>
      </w:r>
      <w:r w:rsidRPr="00BD56F4">
        <w:rPr>
          <w:rFonts w:ascii="Arial" w:hAnsi="Arial" w:cs="Arial"/>
          <w:sz w:val="24"/>
          <w:szCs w:val="24"/>
        </w:rPr>
        <w:t xml:space="preserve">’s claim was founded specifically on a statement in the book </w:t>
      </w:r>
      <w:r w:rsidR="00FB00D5" w:rsidRPr="00BD56F4">
        <w:rPr>
          <w:rFonts w:ascii="Arial" w:hAnsi="Arial" w:cs="Arial"/>
          <w:sz w:val="24"/>
          <w:szCs w:val="24"/>
        </w:rPr>
        <w:t xml:space="preserve">which </w:t>
      </w:r>
      <w:r w:rsidR="007016DF" w:rsidRPr="00BD56F4">
        <w:rPr>
          <w:rFonts w:ascii="Arial" w:hAnsi="Arial" w:cs="Arial"/>
          <w:sz w:val="24"/>
          <w:szCs w:val="24"/>
        </w:rPr>
        <w:t>was</w:t>
      </w:r>
      <w:r w:rsidRPr="00BD56F4">
        <w:rPr>
          <w:rFonts w:ascii="Arial" w:hAnsi="Arial" w:cs="Arial"/>
          <w:sz w:val="24"/>
          <w:szCs w:val="24"/>
        </w:rPr>
        <w:t xml:space="preserve"> as follows</w:t>
      </w:r>
      <w:r w:rsidR="00904284" w:rsidRPr="00BD56F4">
        <w:rPr>
          <w:rFonts w:ascii="Arial" w:hAnsi="Arial" w:cs="Arial"/>
          <w:sz w:val="24"/>
          <w:szCs w:val="24"/>
        </w:rPr>
        <w:t xml:space="preserve"> (hereafter referred to as the impugned statement)</w:t>
      </w:r>
      <w:r w:rsidRPr="00BD56F4">
        <w:rPr>
          <w:rFonts w:ascii="Arial" w:hAnsi="Arial" w:cs="Arial"/>
          <w:sz w:val="24"/>
          <w:szCs w:val="24"/>
        </w:rPr>
        <w:t>: ‘</w:t>
      </w:r>
      <w:r w:rsidRPr="00BD56F4">
        <w:rPr>
          <w:rFonts w:ascii="Arial" w:hAnsi="Arial" w:cs="Arial"/>
          <w:i/>
          <w:iCs/>
          <w:sz w:val="24"/>
          <w:szCs w:val="24"/>
        </w:rPr>
        <w:t>Jho was also friendly with a key player in Terengganu, the wife of the Sultan, whose acquiescence was needed to set up the fund and he later cited her support as having been crucial to his obtaining the advisory position. This was the fund that would shortly be converted into the scandalous entity known as 1MDB’</w:t>
      </w:r>
      <w:r w:rsidRPr="00BD56F4">
        <w:rPr>
          <w:rFonts w:ascii="Arial" w:hAnsi="Arial" w:cs="Arial"/>
          <w:sz w:val="24"/>
          <w:szCs w:val="24"/>
        </w:rPr>
        <w:t>.</w:t>
      </w:r>
    </w:p>
    <w:p w14:paraId="5C4E748B" w14:textId="18AF651A" w:rsidR="008E1650" w:rsidRPr="00BD56F4" w:rsidRDefault="00F908B8" w:rsidP="00DC62F8">
      <w:pPr>
        <w:rPr>
          <w:rFonts w:ascii="Arial" w:hAnsi="Arial" w:cs="Arial"/>
          <w:sz w:val="24"/>
          <w:szCs w:val="24"/>
        </w:rPr>
      </w:pPr>
      <w:r w:rsidRPr="00BD56F4">
        <w:rPr>
          <w:rFonts w:ascii="Arial" w:hAnsi="Arial" w:cs="Arial"/>
          <w:sz w:val="24"/>
          <w:szCs w:val="24"/>
        </w:rPr>
        <w:t>It was common ground between the parties that</w:t>
      </w:r>
      <w:r w:rsidR="005B72C7" w:rsidRPr="00BD56F4">
        <w:rPr>
          <w:rFonts w:ascii="Arial" w:hAnsi="Arial" w:cs="Arial"/>
          <w:sz w:val="24"/>
          <w:szCs w:val="24"/>
        </w:rPr>
        <w:t xml:space="preserve"> the </w:t>
      </w:r>
      <w:r w:rsidR="00471DC2" w:rsidRPr="00BD56F4">
        <w:rPr>
          <w:rFonts w:ascii="Arial" w:hAnsi="Arial" w:cs="Arial"/>
          <w:sz w:val="24"/>
          <w:szCs w:val="24"/>
        </w:rPr>
        <w:t xml:space="preserve">First Defendant </w:t>
      </w:r>
      <w:r w:rsidR="00956BCE" w:rsidRPr="00BD56F4">
        <w:rPr>
          <w:rFonts w:ascii="Arial" w:hAnsi="Arial" w:cs="Arial"/>
          <w:sz w:val="24"/>
          <w:szCs w:val="24"/>
        </w:rPr>
        <w:t xml:space="preserve">made a mistake when writing the above statement; the First Defendant admitted that it was not the </w:t>
      </w:r>
      <w:r w:rsidR="00CF28DA">
        <w:rPr>
          <w:rFonts w:ascii="Arial" w:hAnsi="Arial" w:cs="Arial"/>
          <w:sz w:val="24"/>
          <w:szCs w:val="24"/>
        </w:rPr>
        <w:t>Plaintiff</w:t>
      </w:r>
      <w:r w:rsidR="00956BCE" w:rsidRPr="00BD56F4">
        <w:rPr>
          <w:rFonts w:ascii="Arial" w:hAnsi="Arial" w:cs="Arial"/>
          <w:sz w:val="24"/>
          <w:szCs w:val="24"/>
        </w:rPr>
        <w:t xml:space="preserve"> who introduced Jho Low to the Sultan but rather it was the Sultan’s sister</w:t>
      </w:r>
      <w:r w:rsidR="00DC62F8" w:rsidRPr="00BD56F4">
        <w:rPr>
          <w:rFonts w:ascii="Arial" w:hAnsi="Arial" w:cs="Arial"/>
          <w:sz w:val="24"/>
          <w:szCs w:val="24"/>
        </w:rPr>
        <w:t xml:space="preserve"> who made said introduction [para.39].</w:t>
      </w:r>
      <w:r w:rsidRPr="00BD56F4">
        <w:rPr>
          <w:rFonts w:ascii="Arial" w:hAnsi="Arial" w:cs="Arial"/>
          <w:sz w:val="24"/>
          <w:szCs w:val="24"/>
        </w:rPr>
        <w:t xml:space="preserve"> </w:t>
      </w:r>
      <w:r w:rsidR="00E823DC" w:rsidRPr="00BD56F4">
        <w:rPr>
          <w:rFonts w:ascii="Arial" w:hAnsi="Arial" w:cs="Arial"/>
          <w:sz w:val="24"/>
          <w:szCs w:val="24"/>
        </w:rPr>
        <w:t xml:space="preserve">Indeed, there was an amendment made by the Defendants in the later print of the book whereby reference to the </w:t>
      </w:r>
      <w:r w:rsidR="00CF28DA">
        <w:rPr>
          <w:rFonts w:ascii="Arial" w:hAnsi="Arial" w:cs="Arial"/>
          <w:sz w:val="24"/>
          <w:szCs w:val="24"/>
        </w:rPr>
        <w:t>Plaintiff</w:t>
      </w:r>
      <w:r w:rsidR="00E823DC" w:rsidRPr="00BD56F4">
        <w:rPr>
          <w:rFonts w:ascii="Arial" w:hAnsi="Arial" w:cs="Arial"/>
          <w:sz w:val="24"/>
          <w:szCs w:val="24"/>
        </w:rPr>
        <w:t xml:space="preserve"> was substituted with the Sultan’s sister.</w:t>
      </w:r>
      <w:r w:rsidR="00E823DC" w:rsidRPr="00BD56F4">
        <w:rPr>
          <w:rFonts w:ascii="Arial" w:hAnsi="Arial" w:cs="Arial"/>
          <w:sz w:val="24"/>
          <w:szCs w:val="24"/>
        </w:rPr>
        <w:br/>
      </w:r>
    </w:p>
    <w:p w14:paraId="26BB80D0" w14:textId="77777777" w:rsidR="007C3714" w:rsidRPr="00BD56F4" w:rsidRDefault="007C3714">
      <w:pPr>
        <w:rPr>
          <w:rFonts w:ascii="Arial" w:hAnsi="Arial" w:cs="Arial"/>
          <w:b/>
          <w:bCs/>
          <w:sz w:val="24"/>
          <w:szCs w:val="24"/>
        </w:rPr>
      </w:pPr>
    </w:p>
    <w:p w14:paraId="57A9C7F2" w14:textId="77777777" w:rsidR="007C3714" w:rsidRPr="00BD56F4" w:rsidRDefault="007C3714">
      <w:pPr>
        <w:rPr>
          <w:rFonts w:ascii="Arial" w:hAnsi="Arial" w:cs="Arial"/>
          <w:b/>
          <w:bCs/>
          <w:sz w:val="24"/>
          <w:szCs w:val="24"/>
        </w:rPr>
      </w:pPr>
    </w:p>
    <w:p w14:paraId="6C597358" w14:textId="5A59721D" w:rsidR="007C3714" w:rsidRPr="00BD56F4" w:rsidRDefault="007C3714">
      <w:pPr>
        <w:rPr>
          <w:rFonts w:ascii="Arial" w:hAnsi="Arial" w:cs="Arial"/>
          <w:b/>
          <w:bCs/>
          <w:sz w:val="24"/>
          <w:szCs w:val="24"/>
        </w:rPr>
      </w:pPr>
      <w:r w:rsidRPr="00BD56F4">
        <w:rPr>
          <w:rFonts w:ascii="Arial" w:hAnsi="Arial" w:cs="Arial"/>
          <w:b/>
          <w:bCs/>
          <w:sz w:val="24"/>
          <w:szCs w:val="24"/>
        </w:rPr>
        <w:t>Decision Overview</w:t>
      </w:r>
      <w:r w:rsidR="00A77014" w:rsidRPr="00BD56F4">
        <w:rPr>
          <w:rFonts w:ascii="Arial" w:hAnsi="Arial" w:cs="Arial"/>
          <w:b/>
          <w:bCs/>
          <w:sz w:val="24"/>
          <w:szCs w:val="24"/>
        </w:rPr>
        <w:t xml:space="preserve"> </w:t>
      </w:r>
    </w:p>
    <w:p w14:paraId="1B3956FC" w14:textId="23DD5414" w:rsidR="002B2EFB" w:rsidRPr="00BD56F4" w:rsidRDefault="002B2EFB" w:rsidP="002B2EFB">
      <w:pPr>
        <w:rPr>
          <w:rFonts w:ascii="Arial" w:hAnsi="Arial" w:cs="Arial"/>
          <w:sz w:val="24"/>
          <w:szCs w:val="24"/>
        </w:rPr>
      </w:pPr>
      <w:r w:rsidRPr="00BD56F4">
        <w:rPr>
          <w:rFonts w:ascii="Arial" w:hAnsi="Arial" w:cs="Arial"/>
          <w:sz w:val="24"/>
          <w:szCs w:val="24"/>
        </w:rPr>
        <w:t xml:space="preserve">The Malaysian Court of Appeal, speaking through </w:t>
      </w:r>
      <w:proofErr w:type="spellStart"/>
      <w:r w:rsidRPr="00BD56F4">
        <w:rPr>
          <w:rFonts w:ascii="Arial" w:hAnsi="Arial" w:cs="Arial"/>
          <w:sz w:val="24"/>
          <w:szCs w:val="24"/>
        </w:rPr>
        <w:t>Azhahari</w:t>
      </w:r>
      <w:proofErr w:type="spellEnd"/>
      <w:r w:rsidRPr="00BD56F4">
        <w:rPr>
          <w:rFonts w:ascii="Arial" w:hAnsi="Arial" w:cs="Arial"/>
          <w:sz w:val="24"/>
          <w:szCs w:val="24"/>
        </w:rPr>
        <w:t xml:space="preserve"> Ramli JCA, </w:t>
      </w:r>
      <w:r w:rsidR="004A73FF" w:rsidRPr="00BD56F4">
        <w:rPr>
          <w:rFonts w:ascii="Arial" w:hAnsi="Arial" w:cs="Arial"/>
          <w:sz w:val="24"/>
          <w:szCs w:val="24"/>
        </w:rPr>
        <w:t xml:space="preserve">delivered a judgement overturning the High Court’s decision and therefore held that the </w:t>
      </w:r>
      <w:r w:rsidR="00CF28DA">
        <w:rPr>
          <w:rFonts w:ascii="Arial" w:hAnsi="Arial" w:cs="Arial"/>
          <w:sz w:val="24"/>
          <w:szCs w:val="24"/>
        </w:rPr>
        <w:t>Plaintiff</w:t>
      </w:r>
      <w:r w:rsidR="004A73FF" w:rsidRPr="00BD56F4">
        <w:rPr>
          <w:rFonts w:ascii="Arial" w:hAnsi="Arial" w:cs="Arial"/>
          <w:sz w:val="24"/>
          <w:szCs w:val="24"/>
        </w:rPr>
        <w:t xml:space="preserve"> had a </w:t>
      </w:r>
      <w:r w:rsidR="00C3283B" w:rsidRPr="00BD56F4">
        <w:rPr>
          <w:rFonts w:ascii="Arial" w:hAnsi="Arial" w:cs="Arial"/>
          <w:sz w:val="24"/>
          <w:szCs w:val="24"/>
        </w:rPr>
        <w:t xml:space="preserve">valid claim in defamation against the Defendants. </w:t>
      </w:r>
    </w:p>
    <w:p w14:paraId="2C43A197" w14:textId="22665A1D" w:rsidR="001C04AE" w:rsidRPr="00BD56F4" w:rsidRDefault="00867241" w:rsidP="00867241">
      <w:pPr>
        <w:rPr>
          <w:rFonts w:ascii="Arial" w:hAnsi="Arial" w:cs="Arial"/>
          <w:sz w:val="24"/>
          <w:szCs w:val="24"/>
        </w:rPr>
      </w:pPr>
      <w:r w:rsidRPr="00BD56F4">
        <w:rPr>
          <w:rFonts w:ascii="Arial" w:hAnsi="Arial" w:cs="Arial"/>
          <w:sz w:val="24"/>
          <w:szCs w:val="24"/>
        </w:rPr>
        <w:t xml:space="preserve">The main issue before the Court was whether the statements published in Clare Louise Brown’s book, </w:t>
      </w:r>
      <w:r w:rsidRPr="00BD56F4">
        <w:rPr>
          <w:rFonts w:ascii="Arial" w:hAnsi="Arial" w:cs="Arial"/>
          <w:i/>
          <w:iCs/>
          <w:sz w:val="24"/>
          <w:szCs w:val="24"/>
        </w:rPr>
        <w:t>The Sarawak Report: The Insight Story of the 1MDB Exposé</w:t>
      </w:r>
      <w:r w:rsidRPr="00BD56F4">
        <w:rPr>
          <w:rFonts w:ascii="Arial" w:hAnsi="Arial" w:cs="Arial"/>
          <w:sz w:val="24"/>
          <w:szCs w:val="24"/>
        </w:rPr>
        <w:t xml:space="preserve">, were defamatory of </w:t>
      </w:r>
      <w:proofErr w:type="spellStart"/>
      <w:r w:rsidRPr="00BD56F4">
        <w:rPr>
          <w:rFonts w:ascii="Arial" w:hAnsi="Arial" w:cs="Arial"/>
          <w:sz w:val="24"/>
          <w:szCs w:val="24"/>
        </w:rPr>
        <w:t>Tuanku</w:t>
      </w:r>
      <w:proofErr w:type="spellEnd"/>
      <w:r w:rsidRPr="00BD56F4">
        <w:rPr>
          <w:rFonts w:ascii="Arial" w:hAnsi="Arial" w:cs="Arial"/>
          <w:sz w:val="24"/>
          <w:szCs w:val="24"/>
        </w:rPr>
        <w:t xml:space="preserve"> Nur Zahirah, the Sultanah of Terengganu. Specifically, the Court had to determine whether these statements, in their natural and ordinary meaning, </w:t>
      </w:r>
      <w:r w:rsidR="004E2296" w:rsidRPr="00BD56F4">
        <w:rPr>
          <w:rFonts w:ascii="Arial" w:hAnsi="Arial" w:cs="Arial"/>
          <w:sz w:val="24"/>
          <w:szCs w:val="24"/>
        </w:rPr>
        <w:t xml:space="preserve">would be likely to </w:t>
      </w:r>
      <w:r w:rsidR="00FA574B" w:rsidRPr="00BD56F4">
        <w:rPr>
          <w:rFonts w:ascii="Arial" w:hAnsi="Arial" w:cs="Arial"/>
          <w:sz w:val="24"/>
          <w:szCs w:val="24"/>
        </w:rPr>
        <w:t xml:space="preserve">be understood to a reasonable man as </w:t>
      </w:r>
      <w:r w:rsidR="004E2296" w:rsidRPr="00BD56F4">
        <w:rPr>
          <w:rFonts w:ascii="Arial" w:hAnsi="Arial" w:cs="Arial"/>
          <w:sz w:val="24"/>
          <w:szCs w:val="24"/>
        </w:rPr>
        <w:t>convey</w:t>
      </w:r>
      <w:r w:rsidR="00FA574B" w:rsidRPr="00BD56F4">
        <w:rPr>
          <w:rFonts w:ascii="Arial" w:hAnsi="Arial" w:cs="Arial"/>
          <w:sz w:val="24"/>
          <w:szCs w:val="24"/>
        </w:rPr>
        <w:t>ing</w:t>
      </w:r>
      <w:r w:rsidR="004E2296" w:rsidRPr="00BD56F4">
        <w:rPr>
          <w:rFonts w:ascii="Arial" w:hAnsi="Arial" w:cs="Arial"/>
          <w:sz w:val="24"/>
          <w:szCs w:val="24"/>
        </w:rPr>
        <w:t xml:space="preserve"> a defamatory meaning </w:t>
      </w:r>
      <w:r w:rsidR="0025410D" w:rsidRPr="00BD56F4">
        <w:rPr>
          <w:rFonts w:ascii="Arial" w:hAnsi="Arial" w:cs="Arial"/>
          <w:sz w:val="24"/>
          <w:szCs w:val="24"/>
        </w:rPr>
        <w:t>[para</w:t>
      </w:r>
      <w:r w:rsidR="005A07F2" w:rsidRPr="00BD56F4">
        <w:rPr>
          <w:rFonts w:ascii="Arial" w:hAnsi="Arial" w:cs="Arial"/>
          <w:sz w:val="24"/>
          <w:szCs w:val="24"/>
        </w:rPr>
        <w:t>s.</w:t>
      </w:r>
      <w:r w:rsidR="0025410D" w:rsidRPr="00BD56F4">
        <w:rPr>
          <w:rFonts w:ascii="Arial" w:hAnsi="Arial" w:cs="Arial"/>
          <w:sz w:val="24"/>
          <w:szCs w:val="24"/>
        </w:rPr>
        <w:t xml:space="preserve"> 14</w:t>
      </w:r>
      <w:r w:rsidR="005A07F2" w:rsidRPr="00BD56F4">
        <w:rPr>
          <w:rFonts w:ascii="Arial" w:hAnsi="Arial" w:cs="Arial"/>
          <w:sz w:val="24"/>
          <w:szCs w:val="24"/>
        </w:rPr>
        <w:t>-</w:t>
      </w:r>
      <w:r w:rsidR="0025410D" w:rsidRPr="00BD56F4">
        <w:rPr>
          <w:rFonts w:ascii="Arial" w:hAnsi="Arial" w:cs="Arial"/>
          <w:sz w:val="24"/>
          <w:szCs w:val="24"/>
        </w:rPr>
        <w:t>15]</w:t>
      </w:r>
      <w:r w:rsidR="00A20065" w:rsidRPr="00BD56F4">
        <w:rPr>
          <w:rFonts w:ascii="Arial" w:hAnsi="Arial" w:cs="Arial"/>
          <w:sz w:val="24"/>
          <w:szCs w:val="24"/>
        </w:rPr>
        <w:t xml:space="preserve">. </w:t>
      </w:r>
      <w:r w:rsidRPr="00BD56F4">
        <w:rPr>
          <w:rFonts w:ascii="Arial" w:hAnsi="Arial" w:cs="Arial"/>
          <w:sz w:val="24"/>
          <w:szCs w:val="24"/>
        </w:rPr>
        <w:t xml:space="preserve"> A further issue was whether the respondents, including the author, publisher, and printer of the book, could successfully raise the defence of justification</w:t>
      </w:r>
      <w:r w:rsidR="00094925" w:rsidRPr="00BD56F4">
        <w:rPr>
          <w:rFonts w:ascii="Arial" w:hAnsi="Arial" w:cs="Arial"/>
          <w:sz w:val="24"/>
          <w:szCs w:val="24"/>
        </w:rPr>
        <w:t xml:space="preserve"> </w:t>
      </w:r>
      <w:proofErr w:type="spellStart"/>
      <w:r w:rsidR="00094925" w:rsidRPr="00BD56F4">
        <w:rPr>
          <w:rFonts w:ascii="Arial" w:hAnsi="Arial" w:cs="Arial"/>
          <w:sz w:val="24"/>
          <w:szCs w:val="24"/>
        </w:rPr>
        <w:t>ie</w:t>
      </w:r>
      <w:proofErr w:type="spellEnd"/>
      <w:r w:rsidR="00094925" w:rsidRPr="00BD56F4">
        <w:rPr>
          <w:rFonts w:ascii="Arial" w:hAnsi="Arial" w:cs="Arial"/>
          <w:sz w:val="24"/>
          <w:szCs w:val="24"/>
        </w:rPr>
        <w:t xml:space="preserve">. to prove that </w:t>
      </w:r>
      <w:r w:rsidR="001C04AE" w:rsidRPr="00BD56F4">
        <w:rPr>
          <w:rFonts w:ascii="Arial" w:hAnsi="Arial" w:cs="Arial"/>
          <w:sz w:val="24"/>
          <w:szCs w:val="24"/>
        </w:rPr>
        <w:t>the statements made were true.</w:t>
      </w:r>
    </w:p>
    <w:p w14:paraId="14443EB9" w14:textId="3CA8A160" w:rsidR="00867241" w:rsidRPr="00BD56F4" w:rsidRDefault="0048776E" w:rsidP="00867241">
      <w:pPr>
        <w:rPr>
          <w:rFonts w:ascii="Arial" w:hAnsi="Arial" w:cs="Arial"/>
          <w:sz w:val="24"/>
          <w:szCs w:val="24"/>
        </w:rPr>
      </w:pPr>
      <w:r w:rsidRPr="00BD56F4">
        <w:rPr>
          <w:rFonts w:ascii="Arial" w:hAnsi="Arial" w:cs="Arial"/>
          <w:sz w:val="24"/>
          <w:szCs w:val="24"/>
        </w:rPr>
        <w:t xml:space="preserve"> </w:t>
      </w:r>
    </w:p>
    <w:p w14:paraId="1926FF33" w14:textId="69A35D28" w:rsidR="00867241" w:rsidRPr="00BD56F4" w:rsidRDefault="00867241" w:rsidP="00867241">
      <w:pPr>
        <w:rPr>
          <w:rFonts w:ascii="Arial" w:hAnsi="Arial" w:cs="Arial"/>
          <w:sz w:val="24"/>
          <w:szCs w:val="24"/>
        </w:rPr>
      </w:pPr>
      <w:r w:rsidRPr="00BD56F4">
        <w:rPr>
          <w:rFonts w:ascii="Arial" w:hAnsi="Arial" w:cs="Arial"/>
          <w:sz w:val="24"/>
          <w:szCs w:val="24"/>
        </w:rPr>
        <w:t xml:space="preserve">The </w:t>
      </w:r>
      <w:r w:rsidR="00CF28DA">
        <w:rPr>
          <w:rFonts w:ascii="Arial" w:hAnsi="Arial" w:cs="Arial"/>
          <w:sz w:val="24"/>
          <w:szCs w:val="24"/>
        </w:rPr>
        <w:t>Plaintiff</w:t>
      </w:r>
      <w:r w:rsidRPr="00BD56F4">
        <w:rPr>
          <w:rFonts w:ascii="Arial" w:hAnsi="Arial" w:cs="Arial"/>
          <w:sz w:val="24"/>
          <w:szCs w:val="24"/>
        </w:rPr>
        <w:t xml:space="preserve">, </w:t>
      </w:r>
      <w:proofErr w:type="spellStart"/>
      <w:r w:rsidRPr="00BD56F4">
        <w:rPr>
          <w:rFonts w:ascii="Arial" w:hAnsi="Arial" w:cs="Arial"/>
          <w:sz w:val="24"/>
          <w:szCs w:val="24"/>
        </w:rPr>
        <w:t>Tuanku</w:t>
      </w:r>
      <w:proofErr w:type="spellEnd"/>
      <w:r w:rsidRPr="00BD56F4">
        <w:rPr>
          <w:rFonts w:ascii="Arial" w:hAnsi="Arial" w:cs="Arial"/>
          <w:sz w:val="24"/>
          <w:szCs w:val="24"/>
        </w:rPr>
        <w:t xml:space="preserve"> Nur Zahirah, argued that the impugned statements falsely suggested she interfered in the administration of the State of Terengganu, supported Jho Low in obtaining an advisory position at the Terengganu Investment Authority (TIA), and was associated with corrupt practices. She contended that the statements exposed her to ridicule, hatred, and contempt, tarnishing her reputation as a respected royal figure. She criticised the High Court for relying on</w:t>
      </w:r>
      <w:r w:rsidR="00C6129E" w:rsidRPr="00BD56F4">
        <w:rPr>
          <w:rFonts w:ascii="Arial" w:hAnsi="Arial" w:cs="Arial"/>
          <w:sz w:val="24"/>
          <w:szCs w:val="24"/>
        </w:rPr>
        <w:t xml:space="preserve"> what she termed</w:t>
      </w:r>
      <w:r w:rsidRPr="00BD56F4">
        <w:rPr>
          <w:rFonts w:ascii="Arial" w:hAnsi="Arial" w:cs="Arial"/>
          <w:sz w:val="24"/>
          <w:szCs w:val="24"/>
        </w:rPr>
        <w:t xml:space="preserve"> extrinsic evidence, such as dictionary definitions, to interpret the natural and ordinary meaning of the statements. The </w:t>
      </w:r>
      <w:r w:rsidR="00CF28DA">
        <w:rPr>
          <w:rFonts w:ascii="Arial" w:hAnsi="Arial" w:cs="Arial"/>
          <w:sz w:val="24"/>
          <w:szCs w:val="24"/>
        </w:rPr>
        <w:t>Plaintiff</w:t>
      </w:r>
      <w:r w:rsidRPr="00BD56F4">
        <w:rPr>
          <w:rFonts w:ascii="Arial" w:hAnsi="Arial" w:cs="Arial"/>
          <w:sz w:val="24"/>
          <w:szCs w:val="24"/>
        </w:rPr>
        <w:t xml:space="preserve"> also highlighted the first defendant's admission that the statements were factually incorrect, further demonstrating their defamatory nature</w:t>
      </w:r>
      <w:r w:rsidR="00933126" w:rsidRPr="00BD56F4">
        <w:rPr>
          <w:rFonts w:ascii="Arial" w:hAnsi="Arial" w:cs="Arial"/>
          <w:sz w:val="24"/>
          <w:szCs w:val="24"/>
        </w:rPr>
        <w:t xml:space="preserve"> [para.9 summarises all of the </w:t>
      </w:r>
      <w:r w:rsidR="00CF28DA">
        <w:rPr>
          <w:rFonts w:ascii="Arial" w:hAnsi="Arial" w:cs="Arial"/>
          <w:sz w:val="24"/>
          <w:szCs w:val="24"/>
        </w:rPr>
        <w:t>Plaintiff</w:t>
      </w:r>
      <w:r w:rsidR="00933126" w:rsidRPr="00BD56F4">
        <w:rPr>
          <w:rFonts w:ascii="Arial" w:hAnsi="Arial" w:cs="Arial"/>
          <w:sz w:val="24"/>
          <w:szCs w:val="24"/>
        </w:rPr>
        <w:t>’s arguments]</w:t>
      </w:r>
      <w:r w:rsidRPr="00BD56F4">
        <w:rPr>
          <w:rFonts w:ascii="Arial" w:hAnsi="Arial" w:cs="Arial"/>
          <w:sz w:val="24"/>
          <w:szCs w:val="24"/>
        </w:rPr>
        <w:t>.</w:t>
      </w:r>
    </w:p>
    <w:p w14:paraId="0818FFA7" w14:textId="77EEAA0B" w:rsidR="00867241" w:rsidRPr="00BD56F4" w:rsidRDefault="00867241" w:rsidP="00867241">
      <w:pPr>
        <w:rPr>
          <w:rFonts w:ascii="Arial" w:hAnsi="Arial" w:cs="Arial"/>
          <w:sz w:val="24"/>
          <w:szCs w:val="24"/>
        </w:rPr>
      </w:pPr>
      <w:r w:rsidRPr="00BD56F4">
        <w:rPr>
          <w:rFonts w:ascii="Arial" w:hAnsi="Arial" w:cs="Arial"/>
          <w:sz w:val="24"/>
          <w:szCs w:val="24"/>
        </w:rPr>
        <w:t xml:space="preserve">The respondents, Clare Brown and her co-defendants, maintained that the statements did not carry any defamatory meaning. They asserted that terms like “key player” and “acquiescence” were neutral and not derogatory. The respondents argued that a reasonable interpretation of the text would not lead to the defamatory imputations alleged by the </w:t>
      </w:r>
      <w:r w:rsidR="00CF28DA">
        <w:rPr>
          <w:rFonts w:ascii="Arial" w:hAnsi="Arial" w:cs="Arial"/>
          <w:sz w:val="24"/>
          <w:szCs w:val="24"/>
        </w:rPr>
        <w:t>Plaintiff</w:t>
      </w:r>
      <w:r w:rsidRPr="00BD56F4">
        <w:rPr>
          <w:rFonts w:ascii="Arial" w:hAnsi="Arial" w:cs="Arial"/>
          <w:sz w:val="24"/>
          <w:szCs w:val="24"/>
        </w:rPr>
        <w:t>. They also pointed to their corrective efforts, including amendments to later editions of the book, as evidence of their good faith and lack of malice</w:t>
      </w:r>
      <w:r w:rsidR="008D5E39" w:rsidRPr="00BD56F4">
        <w:rPr>
          <w:rFonts w:ascii="Arial" w:hAnsi="Arial" w:cs="Arial"/>
          <w:sz w:val="24"/>
          <w:szCs w:val="24"/>
        </w:rPr>
        <w:t xml:space="preserve"> [para.10</w:t>
      </w:r>
      <w:r w:rsidR="00707BA9">
        <w:rPr>
          <w:rFonts w:ascii="Arial" w:hAnsi="Arial" w:cs="Arial"/>
          <w:sz w:val="24"/>
          <w:szCs w:val="24"/>
        </w:rPr>
        <w:t xml:space="preserve"> </w:t>
      </w:r>
      <w:r w:rsidR="00707BA9" w:rsidRPr="00BD56F4">
        <w:rPr>
          <w:rFonts w:ascii="Arial" w:hAnsi="Arial" w:cs="Arial"/>
          <w:sz w:val="24"/>
          <w:szCs w:val="24"/>
        </w:rPr>
        <w:t xml:space="preserve">summarises all of the </w:t>
      </w:r>
      <w:r w:rsidR="00707BA9">
        <w:rPr>
          <w:rFonts w:ascii="Arial" w:hAnsi="Arial" w:cs="Arial"/>
          <w:sz w:val="24"/>
          <w:szCs w:val="24"/>
        </w:rPr>
        <w:t>Defendants’</w:t>
      </w:r>
      <w:r w:rsidR="00707BA9" w:rsidRPr="00BD56F4">
        <w:rPr>
          <w:rFonts w:ascii="Arial" w:hAnsi="Arial" w:cs="Arial"/>
          <w:sz w:val="24"/>
          <w:szCs w:val="24"/>
        </w:rPr>
        <w:t xml:space="preserve"> arguments</w:t>
      </w:r>
      <w:r w:rsidR="008D5E39" w:rsidRPr="00BD56F4">
        <w:rPr>
          <w:rFonts w:ascii="Arial" w:hAnsi="Arial" w:cs="Arial"/>
          <w:sz w:val="24"/>
          <w:szCs w:val="24"/>
        </w:rPr>
        <w:t>]</w:t>
      </w:r>
      <w:r w:rsidRPr="00BD56F4">
        <w:rPr>
          <w:rFonts w:ascii="Arial" w:hAnsi="Arial" w:cs="Arial"/>
          <w:sz w:val="24"/>
          <w:szCs w:val="24"/>
        </w:rPr>
        <w:t>.</w:t>
      </w:r>
    </w:p>
    <w:p w14:paraId="42145F04" w14:textId="240EB7CA" w:rsidR="00867241" w:rsidRPr="00BD56F4" w:rsidRDefault="00867241" w:rsidP="00867241">
      <w:pPr>
        <w:rPr>
          <w:rFonts w:ascii="Arial" w:hAnsi="Arial" w:cs="Arial"/>
          <w:sz w:val="24"/>
          <w:szCs w:val="24"/>
        </w:rPr>
      </w:pPr>
      <w:r w:rsidRPr="00BD56F4">
        <w:rPr>
          <w:rFonts w:ascii="Arial" w:hAnsi="Arial" w:cs="Arial"/>
          <w:sz w:val="24"/>
          <w:szCs w:val="24"/>
        </w:rPr>
        <w:t xml:space="preserve">The applicable law in this case involved balancing freedom of </w:t>
      </w:r>
      <w:r w:rsidR="0079595A">
        <w:rPr>
          <w:rFonts w:ascii="Arial" w:hAnsi="Arial" w:cs="Arial"/>
          <w:sz w:val="24"/>
          <w:szCs w:val="24"/>
        </w:rPr>
        <w:t>speech</w:t>
      </w:r>
      <w:r w:rsidRPr="00BD56F4">
        <w:rPr>
          <w:rFonts w:ascii="Arial" w:hAnsi="Arial" w:cs="Arial"/>
          <w:sz w:val="24"/>
          <w:szCs w:val="24"/>
        </w:rPr>
        <w:t xml:space="preserve"> under Article 10(1)(a) of the Federal Constitution with the limitations imposed by defamation law under the Defamation Act 1957</w:t>
      </w:r>
      <w:r w:rsidR="0079595A">
        <w:rPr>
          <w:rFonts w:ascii="Arial" w:hAnsi="Arial" w:cs="Arial"/>
          <w:sz w:val="24"/>
          <w:szCs w:val="24"/>
        </w:rPr>
        <w:t xml:space="preserve"> [para</w:t>
      </w:r>
      <w:r w:rsidR="002C1D29">
        <w:rPr>
          <w:rFonts w:ascii="Arial" w:hAnsi="Arial" w:cs="Arial"/>
          <w:sz w:val="24"/>
          <w:szCs w:val="24"/>
        </w:rPr>
        <w:t>. 12]</w:t>
      </w:r>
      <w:r w:rsidRPr="00BD56F4">
        <w:rPr>
          <w:rFonts w:ascii="Arial" w:hAnsi="Arial" w:cs="Arial"/>
          <w:sz w:val="24"/>
          <w:szCs w:val="24"/>
        </w:rPr>
        <w:t xml:space="preserve">. The Court applied established legal principles, including the objective test for defamation: whether a reasonable person, considering the context, would interpret the statements as defamatory. </w:t>
      </w:r>
    </w:p>
    <w:p w14:paraId="228E02E2" w14:textId="1B621E27" w:rsidR="00867241" w:rsidRPr="00BD56F4" w:rsidRDefault="00867241" w:rsidP="00867241">
      <w:pPr>
        <w:rPr>
          <w:rFonts w:ascii="Arial" w:hAnsi="Arial" w:cs="Arial"/>
          <w:sz w:val="24"/>
          <w:szCs w:val="24"/>
        </w:rPr>
      </w:pPr>
      <w:r w:rsidRPr="00BD56F4">
        <w:rPr>
          <w:rFonts w:ascii="Arial" w:hAnsi="Arial" w:cs="Arial"/>
          <w:sz w:val="24"/>
          <w:szCs w:val="24"/>
        </w:rPr>
        <w:t>The Court’s discussion of its findings focused on three main issues: the admissibility of extrinsic evidence</w:t>
      </w:r>
      <w:r w:rsidR="00AC4645" w:rsidRPr="00BD56F4">
        <w:rPr>
          <w:rFonts w:ascii="Arial" w:hAnsi="Arial" w:cs="Arial"/>
          <w:sz w:val="24"/>
          <w:szCs w:val="24"/>
        </w:rPr>
        <w:t xml:space="preserve"> in determining the defamatory meaning</w:t>
      </w:r>
      <w:r w:rsidRPr="00BD56F4">
        <w:rPr>
          <w:rFonts w:ascii="Arial" w:hAnsi="Arial" w:cs="Arial"/>
          <w:sz w:val="24"/>
          <w:szCs w:val="24"/>
        </w:rPr>
        <w:t>,</w:t>
      </w:r>
      <w:r w:rsidR="00AC4645" w:rsidRPr="00BD56F4">
        <w:rPr>
          <w:rFonts w:ascii="Arial" w:hAnsi="Arial" w:cs="Arial"/>
          <w:sz w:val="24"/>
          <w:szCs w:val="24"/>
        </w:rPr>
        <w:t xml:space="preserve"> whether the impugned statements were in fact defamatory, </w:t>
      </w:r>
      <w:r w:rsidRPr="00BD56F4">
        <w:rPr>
          <w:rFonts w:ascii="Arial" w:hAnsi="Arial" w:cs="Arial"/>
          <w:sz w:val="24"/>
          <w:szCs w:val="24"/>
        </w:rPr>
        <w:t xml:space="preserve">and the </w:t>
      </w:r>
      <w:r w:rsidR="00AC4645" w:rsidRPr="00BD56F4">
        <w:rPr>
          <w:rFonts w:ascii="Arial" w:hAnsi="Arial" w:cs="Arial"/>
          <w:sz w:val="24"/>
          <w:szCs w:val="24"/>
        </w:rPr>
        <w:t xml:space="preserve">validity of the </w:t>
      </w:r>
      <w:r w:rsidRPr="00BD56F4">
        <w:rPr>
          <w:rFonts w:ascii="Arial" w:hAnsi="Arial" w:cs="Arial"/>
          <w:sz w:val="24"/>
          <w:szCs w:val="24"/>
        </w:rPr>
        <w:t>respondents’ defence of justification.</w:t>
      </w:r>
    </w:p>
    <w:p w14:paraId="5D4ACA64" w14:textId="2DC06CB9" w:rsidR="00867241" w:rsidRPr="00BD56F4" w:rsidRDefault="00827BF8" w:rsidP="00867241">
      <w:pPr>
        <w:rPr>
          <w:rFonts w:ascii="Arial" w:hAnsi="Arial" w:cs="Arial"/>
          <w:sz w:val="24"/>
          <w:szCs w:val="24"/>
        </w:rPr>
      </w:pPr>
      <w:r w:rsidRPr="00BD56F4">
        <w:rPr>
          <w:rFonts w:ascii="Arial" w:hAnsi="Arial" w:cs="Arial"/>
          <w:sz w:val="24"/>
          <w:szCs w:val="24"/>
        </w:rPr>
        <w:t xml:space="preserve">On the </w:t>
      </w:r>
      <w:r w:rsidR="00AC4645" w:rsidRPr="00BD56F4">
        <w:rPr>
          <w:rFonts w:ascii="Arial" w:hAnsi="Arial" w:cs="Arial"/>
          <w:sz w:val="24"/>
          <w:szCs w:val="24"/>
        </w:rPr>
        <w:t>first</w:t>
      </w:r>
      <w:r w:rsidRPr="00BD56F4">
        <w:rPr>
          <w:rFonts w:ascii="Arial" w:hAnsi="Arial" w:cs="Arial"/>
          <w:sz w:val="24"/>
          <w:szCs w:val="24"/>
        </w:rPr>
        <w:t xml:space="preserve"> issue, r</w:t>
      </w:r>
      <w:r w:rsidR="00867241" w:rsidRPr="00BD56F4">
        <w:rPr>
          <w:rFonts w:ascii="Arial" w:hAnsi="Arial" w:cs="Arial"/>
          <w:sz w:val="24"/>
          <w:szCs w:val="24"/>
        </w:rPr>
        <w:t xml:space="preserve">egarding the admissibility of extrinsic evidence, the Court found that the High Court erred in relying on dictionary definitions and expert testimony to </w:t>
      </w:r>
      <w:r w:rsidR="00867241" w:rsidRPr="00BD56F4">
        <w:rPr>
          <w:rFonts w:ascii="Arial" w:hAnsi="Arial" w:cs="Arial"/>
          <w:sz w:val="24"/>
          <w:szCs w:val="24"/>
        </w:rPr>
        <w:lastRenderedPageBreak/>
        <w:t>interpret the statements’ natural and ordinary meaning</w:t>
      </w:r>
      <w:r w:rsidR="00BE6787" w:rsidRPr="00BD56F4">
        <w:rPr>
          <w:rFonts w:ascii="Arial" w:hAnsi="Arial" w:cs="Arial"/>
          <w:sz w:val="24"/>
          <w:szCs w:val="24"/>
        </w:rPr>
        <w:t xml:space="preserve"> [para. 24]</w:t>
      </w:r>
      <w:r w:rsidR="00867241" w:rsidRPr="00BD56F4">
        <w:rPr>
          <w:rFonts w:ascii="Arial" w:hAnsi="Arial" w:cs="Arial"/>
          <w:sz w:val="24"/>
          <w:szCs w:val="24"/>
        </w:rPr>
        <w:t xml:space="preserve">. The Court clarified that the correct approach was to evaluate the statements as they would be understood by an ordinary reader, without resorting to </w:t>
      </w:r>
      <w:r w:rsidR="006D36DA" w:rsidRPr="00BD56F4">
        <w:rPr>
          <w:rFonts w:ascii="Arial" w:hAnsi="Arial" w:cs="Arial"/>
          <w:sz w:val="24"/>
          <w:szCs w:val="24"/>
        </w:rPr>
        <w:t xml:space="preserve">overly </w:t>
      </w:r>
      <w:r w:rsidR="00867241" w:rsidRPr="00BD56F4">
        <w:rPr>
          <w:rFonts w:ascii="Arial" w:hAnsi="Arial" w:cs="Arial"/>
          <w:sz w:val="24"/>
          <w:szCs w:val="24"/>
        </w:rPr>
        <w:t>technical</w:t>
      </w:r>
      <w:r w:rsidR="006D36DA" w:rsidRPr="00BD56F4">
        <w:rPr>
          <w:rFonts w:ascii="Arial" w:hAnsi="Arial" w:cs="Arial"/>
          <w:sz w:val="24"/>
          <w:szCs w:val="24"/>
        </w:rPr>
        <w:t xml:space="preserve"> linguistic</w:t>
      </w:r>
      <w:r w:rsidR="00867241" w:rsidRPr="00BD56F4">
        <w:rPr>
          <w:rFonts w:ascii="Arial" w:hAnsi="Arial" w:cs="Arial"/>
          <w:sz w:val="24"/>
          <w:szCs w:val="24"/>
        </w:rPr>
        <w:t xml:space="preserve"> analyses. </w:t>
      </w:r>
      <w:r w:rsidR="006D36DA" w:rsidRPr="00BD56F4">
        <w:rPr>
          <w:rFonts w:ascii="Arial" w:hAnsi="Arial" w:cs="Arial"/>
          <w:sz w:val="24"/>
          <w:szCs w:val="24"/>
        </w:rPr>
        <w:t>In doing this, the court relied</w:t>
      </w:r>
      <w:r w:rsidR="00B50E10" w:rsidRPr="00BD56F4">
        <w:rPr>
          <w:rFonts w:ascii="Arial" w:hAnsi="Arial" w:cs="Arial"/>
          <w:sz w:val="24"/>
          <w:szCs w:val="24"/>
        </w:rPr>
        <w:t xml:space="preserve"> chiefly</w:t>
      </w:r>
      <w:r w:rsidR="006D36DA" w:rsidRPr="00BD56F4">
        <w:rPr>
          <w:rFonts w:ascii="Arial" w:hAnsi="Arial" w:cs="Arial"/>
          <w:sz w:val="24"/>
          <w:szCs w:val="24"/>
        </w:rPr>
        <w:t xml:space="preserve"> on the UK Supreme Court’s pronouncement in</w:t>
      </w:r>
      <w:r w:rsidR="00B324D8" w:rsidRPr="00BD56F4">
        <w:rPr>
          <w:rFonts w:ascii="Arial" w:hAnsi="Arial" w:cs="Arial"/>
          <w:sz w:val="24"/>
          <w:szCs w:val="24"/>
        </w:rPr>
        <w:t xml:space="preserve"> </w:t>
      </w:r>
      <w:r w:rsidR="00B324D8" w:rsidRPr="00162DC8">
        <w:rPr>
          <w:rFonts w:ascii="Arial" w:hAnsi="Arial" w:cs="Arial"/>
          <w:i/>
          <w:iCs/>
          <w:sz w:val="24"/>
          <w:szCs w:val="24"/>
        </w:rPr>
        <w:t>Stocker v Stocker</w:t>
      </w:r>
      <w:r w:rsidR="00B324D8" w:rsidRPr="00BD56F4">
        <w:rPr>
          <w:rFonts w:ascii="Arial" w:hAnsi="Arial" w:cs="Arial"/>
          <w:i/>
          <w:iCs/>
          <w:sz w:val="24"/>
          <w:szCs w:val="24"/>
        </w:rPr>
        <w:t> </w:t>
      </w:r>
      <w:r w:rsidR="00B324D8" w:rsidRPr="00BD56F4">
        <w:rPr>
          <w:rFonts w:ascii="Arial" w:hAnsi="Arial" w:cs="Arial"/>
          <w:sz w:val="24"/>
          <w:szCs w:val="24"/>
        </w:rPr>
        <w:t xml:space="preserve">[2019] 3 All ER 647 [para. 24]. The court explained that </w:t>
      </w:r>
      <w:r w:rsidR="0077335B" w:rsidRPr="00BD56F4">
        <w:rPr>
          <w:rFonts w:ascii="Arial" w:hAnsi="Arial" w:cs="Arial"/>
          <w:sz w:val="24"/>
          <w:szCs w:val="24"/>
        </w:rPr>
        <w:t>an interpretation based on extrinsic evidence, such as dictionary definitions</w:t>
      </w:r>
      <w:r w:rsidR="00897CC4" w:rsidRPr="00BD56F4">
        <w:rPr>
          <w:rFonts w:ascii="Arial" w:hAnsi="Arial" w:cs="Arial"/>
          <w:sz w:val="24"/>
          <w:szCs w:val="24"/>
        </w:rPr>
        <w:t xml:space="preserve">, would place an unduly onerous burden on the party alleging defamation [para. 26]. </w:t>
      </w:r>
    </w:p>
    <w:p w14:paraId="08EFA002" w14:textId="6EBE8292" w:rsidR="00AC4645" w:rsidRPr="00BD56F4" w:rsidRDefault="00AC4645" w:rsidP="00AC4645">
      <w:pPr>
        <w:rPr>
          <w:rFonts w:ascii="Arial" w:hAnsi="Arial" w:cs="Arial"/>
          <w:sz w:val="24"/>
          <w:szCs w:val="24"/>
        </w:rPr>
      </w:pPr>
      <w:r w:rsidRPr="00BD56F4">
        <w:rPr>
          <w:rFonts w:ascii="Arial" w:hAnsi="Arial" w:cs="Arial"/>
          <w:sz w:val="24"/>
          <w:szCs w:val="24"/>
        </w:rPr>
        <w:t xml:space="preserve">On the second issue, the Court concluded, contrary to the High Court, that the </w:t>
      </w:r>
      <w:r w:rsidR="00F5174E" w:rsidRPr="00BD56F4">
        <w:rPr>
          <w:rFonts w:ascii="Arial" w:hAnsi="Arial" w:cs="Arial"/>
          <w:sz w:val="24"/>
          <w:szCs w:val="24"/>
        </w:rPr>
        <w:t xml:space="preserve">impugned </w:t>
      </w:r>
      <w:r w:rsidRPr="00BD56F4">
        <w:rPr>
          <w:rFonts w:ascii="Arial" w:hAnsi="Arial" w:cs="Arial"/>
          <w:sz w:val="24"/>
          <w:szCs w:val="24"/>
        </w:rPr>
        <w:t xml:space="preserve">statements were indeed defamatory. The Court of Appeal began their analysis of this issue by noting the First Defendant’s admission that she was mistaken in attributing Jho Low’s introduction to the Sultan to the </w:t>
      </w:r>
      <w:r w:rsidR="00CF28DA">
        <w:rPr>
          <w:rFonts w:ascii="Arial" w:hAnsi="Arial" w:cs="Arial"/>
          <w:sz w:val="24"/>
          <w:szCs w:val="24"/>
        </w:rPr>
        <w:t>Plaintiff</w:t>
      </w:r>
      <w:r w:rsidRPr="00BD56F4">
        <w:rPr>
          <w:rFonts w:ascii="Arial" w:hAnsi="Arial" w:cs="Arial"/>
          <w:sz w:val="24"/>
          <w:szCs w:val="24"/>
        </w:rPr>
        <w:t xml:space="preserve"> [para.28]. The statements, particularly those suggesting the </w:t>
      </w:r>
      <w:r w:rsidR="00CF28DA">
        <w:rPr>
          <w:rFonts w:ascii="Arial" w:hAnsi="Arial" w:cs="Arial"/>
          <w:sz w:val="24"/>
          <w:szCs w:val="24"/>
        </w:rPr>
        <w:t>Plaintiff</w:t>
      </w:r>
      <w:r w:rsidRPr="00BD56F4">
        <w:rPr>
          <w:rFonts w:ascii="Arial" w:hAnsi="Arial" w:cs="Arial"/>
          <w:sz w:val="24"/>
          <w:szCs w:val="24"/>
        </w:rPr>
        <w:t xml:space="preserve">’s support for Jho Low’s appointment to TIA and her association with corrupt practices, were capable of lowering her reputation in the eyes of right-thinking members of society [para.31]. The Court emphasised that an ordinary, reasonable reader, using general knowledge and common sense, would infer these negative connotations from the text [para.33]. In particular, reference was made to the societal context at the time of publication, as the book was published five months after the election, in which 1MDB was a pertinent issue [para.32]. </w:t>
      </w:r>
      <w:r w:rsidR="002E5991" w:rsidRPr="00BD56F4">
        <w:rPr>
          <w:rFonts w:ascii="Arial" w:hAnsi="Arial" w:cs="Arial"/>
          <w:sz w:val="24"/>
          <w:szCs w:val="24"/>
        </w:rPr>
        <w:t xml:space="preserve"> The court also took note of the negative public reaction toward the Sultanah as a result of the book, evidenced in particular </w:t>
      </w:r>
      <w:r w:rsidR="00BA148D" w:rsidRPr="00BD56F4">
        <w:rPr>
          <w:rFonts w:ascii="Arial" w:hAnsi="Arial" w:cs="Arial"/>
          <w:sz w:val="24"/>
          <w:szCs w:val="24"/>
        </w:rPr>
        <w:t>by comments on online Malaysian media websites [paras. 35 – 36].</w:t>
      </w:r>
    </w:p>
    <w:p w14:paraId="72C4F4C8" w14:textId="77777777" w:rsidR="00AC4645" w:rsidRPr="00BD56F4" w:rsidRDefault="00AC4645" w:rsidP="00867241">
      <w:pPr>
        <w:rPr>
          <w:rFonts w:ascii="Arial" w:hAnsi="Arial" w:cs="Arial"/>
          <w:sz w:val="24"/>
          <w:szCs w:val="24"/>
        </w:rPr>
      </w:pPr>
    </w:p>
    <w:p w14:paraId="19434522" w14:textId="37B3B984" w:rsidR="00867241" w:rsidRPr="00BD56F4" w:rsidRDefault="00867241" w:rsidP="00867241">
      <w:pPr>
        <w:rPr>
          <w:rFonts w:ascii="Arial" w:hAnsi="Arial" w:cs="Arial"/>
          <w:sz w:val="24"/>
          <w:szCs w:val="24"/>
        </w:rPr>
      </w:pPr>
      <w:r w:rsidRPr="00BD56F4">
        <w:rPr>
          <w:rFonts w:ascii="Arial" w:hAnsi="Arial" w:cs="Arial"/>
          <w:sz w:val="24"/>
          <w:szCs w:val="24"/>
        </w:rPr>
        <w:t>Finally, on the</w:t>
      </w:r>
      <w:r w:rsidR="00827BF8" w:rsidRPr="00BD56F4">
        <w:rPr>
          <w:rFonts w:ascii="Arial" w:hAnsi="Arial" w:cs="Arial"/>
          <w:sz w:val="24"/>
          <w:szCs w:val="24"/>
        </w:rPr>
        <w:t xml:space="preserve"> third issue pertaining to</w:t>
      </w:r>
      <w:r w:rsidRPr="00BD56F4">
        <w:rPr>
          <w:rFonts w:ascii="Arial" w:hAnsi="Arial" w:cs="Arial"/>
          <w:sz w:val="24"/>
          <w:szCs w:val="24"/>
        </w:rPr>
        <w:t xml:space="preserve"> justification, the Court rejected the respondents’ defence. The </w:t>
      </w:r>
      <w:r w:rsidR="00491563" w:rsidRPr="00BD56F4">
        <w:rPr>
          <w:rFonts w:ascii="Arial" w:hAnsi="Arial" w:cs="Arial"/>
          <w:sz w:val="24"/>
          <w:szCs w:val="24"/>
        </w:rPr>
        <w:t>court relied on the F</w:t>
      </w:r>
      <w:r w:rsidRPr="00BD56F4">
        <w:rPr>
          <w:rFonts w:ascii="Arial" w:hAnsi="Arial" w:cs="Arial"/>
          <w:sz w:val="24"/>
          <w:szCs w:val="24"/>
        </w:rPr>
        <w:t xml:space="preserve">irst </w:t>
      </w:r>
      <w:r w:rsidR="00491563" w:rsidRPr="00BD56F4">
        <w:rPr>
          <w:rFonts w:ascii="Arial" w:hAnsi="Arial" w:cs="Arial"/>
          <w:sz w:val="24"/>
          <w:szCs w:val="24"/>
        </w:rPr>
        <w:t>D</w:t>
      </w:r>
      <w:r w:rsidRPr="00BD56F4">
        <w:rPr>
          <w:rFonts w:ascii="Arial" w:hAnsi="Arial" w:cs="Arial"/>
          <w:sz w:val="24"/>
          <w:szCs w:val="24"/>
        </w:rPr>
        <w:t>efendant</w:t>
      </w:r>
      <w:r w:rsidR="00491563" w:rsidRPr="00BD56F4">
        <w:rPr>
          <w:rFonts w:ascii="Arial" w:hAnsi="Arial" w:cs="Arial"/>
          <w:sz w:val="24"/>
          <w:szCs w:val="24"/>
        </w:rPr>
        <w:t>’s admission</w:t>
      </w:r>
      <w:r w:rsidRPr="00BD56F4">
        <w:rPr>
          <w:rFonts w:ascii="Arial" w:hAnsi="Arial" w:cs="Arial"/>
          <w:sz w:val="24"/>
          <w:szCs w:val="24"/>
        </w:rPr>
        <w:t xml:space="preserve"> that the </w:t>
      </w:r>
      <w:r w:rsidR="00CF28DA">
        <w:rPr>
          <w:rFonts w:ascii="Arial" w:hAnsi="Arial" w:cs="Arial"/>
          <w:sz w:val="24"/>
          <w:szCs w:val="24"/>
        </w:rPr>
        <w:t>Plaintiff</w:t>
      </w:r>
      <w:r w:rsidRPr="00BD56F4">
        <w:rPr>
          <w:rFonts w:ascii="Arial" w:hAnsi="Arial" w:cs="Arial"/>
          <w:sz w:val="24"/>
          <w:szCs w:val="24"/>
        </w:rPr>
        <w:t xml:space="preserve"> was mistakenly identified in the impugned statements and that the references were intended for the Sultan’s sister, not the Sultanah</w:t>
      </w:r>
      <w:r w:rsidR="00491563" w:rsidRPr="00BD56F4">
        <w:rPr>
          <w:rFonts w:ascii="Arial" w:hAnsi="Arial" w:cs="Arial"/>
          <w:sz w:val="24"/>
          <w:szCs w:val="24"/>
        </w:rPr>
        <w:t xml:space="preserve"> [para.42]</w:t>
      </w:r>
      <w:r w:rsidRPr="00BD56F4">
        <w:rPr>
          <w:rFonts w:ascii="Arial" w:hAnsi="Arial" w:cs="Arial"/>
          <w:sz w:val="24"/>
          <w:szCs w:val="24"/>
        </w:rPr>
        <w:t>. This admission</w:t>
      </w:r>
      <w:r w:rsidR="006047EF" w:rsidRPr="00BD56F4">
        <w:rPr>
          <w:rFonts w:ascii="Arial" w:hAnsi="Arial" w:cs="Arial"/>
          <w:sz w:val="24"/>
          <w:szCs w:val="24"/>
        </w:rPr>
        <w:t xml:space="preserve"> clearly meant to the court that the Defendants were unable to prove the defence of justification which required the impugned statements to be true [para. 42]. </w:t>
      </w:r>
      <w:r w:rsidRPr="00BD56F4">
        <w:rPr>
          <w:rFonts w:ascii="Arial" w:hAnsi="Arial" w:cs="Arial"/>
          <w:sz w:val="24"/>
          <w:szCs w:val="24"/>
        </w:rPr>
        <w:t>The Court also criticised the respondents for failing to provide alternative meanings for the statements</w:t>
      </w:r>
      <w:r w:rsidR="006047EF" w:rsidRPr="00BD56F4">
        <w:rPr>
          <w:rFonts w:ascii="Arial" w:hAnsi="Arial" w:cs="Arial"/>
          <w:sz w:val="24"/>
          <w:szCs w:val="24"/>
        </w:rPr>
        <w:t xml:space="preserve"> [para. 40]. </w:t>
      </w:r>
      <w:r w:rsidRPr="00BD56F4">
        <w:rPr>
          <w:rFonts w:ascii="Arial" w:hAnsi="Arial" w:cs="Arial"/>
          <w:sz w:val="24"/>
          <w:szCs w:val="24"/>
        </w:rPr>
        <w:t>Consequently, the defence of justification could not succeed.</w:t>
      </w:r>
    </w:p>
    <w:p w14:paraId="1929FF62" w14:textId="52480FD0" w:rsidR="007C3714" w:rsidRPr="00BD56F4" w:rsidRDefault="00867241">
      <w:pPr>
        <w:rPr>
          <w:rFonts w:ascii="Arial" w:hAnsi="Arial" w:cs="Arial"/>
          <w:sz w:val="24"/>
          <w:szCs w:val="24"/>
        </w:rPr>
      </w:pPr>
      <w:r w:rsidRPr="00BD56F4">
        <w:rPr>
          <w:rFonts w:ascii="Arial" w:hAnsi="Arial" w:cs="Arial"/>
          <w:sz w:val="24"/>
          <w:szCs w:val="24"/>
        </w:rPr>
        <w:t xml:space="preserve">In conclusion, the Court overturned the High Court’s decision and ruled in favour of the </w:t>
      </w:r>
      <w:r w:rsidR="00CF28DA">
        <w:rPr>
          <w:rFonts w:ascii="Arial" w:hAnsi="Arial" w:cs="Arial"/>
          <w:sz w:val="24"/>
          <w:szCs w:val="24"/>
        </w:rPr>
        <w:t>Plaintiff</w:t>
      </w:r>
      <w:r w:rsidRPr="00BD56F4">
        <w:rPr>
          <w:rFonts w:ascii="Arial" w:hAnsi="Arial" w:cs="Arial"/>
          <w:sz w:val="24"/>
          <w:szCs w:val="24"/>
        </w:rPr>
        <w:t xml:space="preserve">. It found the statements defamatory and awarded RM300,000 in damages, holding the author, publisher, and printer jointly liable. </w:t>
      </w:r>
      <w:r w:rsidR="00C365E5" w:rsidRPr="00BD56F4">
        <w:rPr>
          <w:rFonts w:ascii="Arial" w:hAnsi="Arial" w:cs="Arial"/>
          <w:sz w:val="24"/>
          <w:szCs w:val="24"/>
        </w:rPr>
        <w:t xml:space="preserve">In awarding the </w:t>
      </w:r>
      <w:r w:rsidR="008D1CD7" w:rsidRPr="00BD56F4">
        <w:rPr>
          <w:rFonts w:ascii="Arial" w:hAnsi="Arial" w:cs="Arial"/>
          <w:sz w:val="24"/>
          <w:szCs w:val="24"/>
        </w:rPr>
        <w:t xml:space="preserve">amount of damages they did, the Malaysian Court of Appeal took into account the lack of an apology which they construed as a lack of remorse, the </w:t>
      </w:r>
      <w:r w:rsidR="00CF28DA">
        <w:rPr>
          <w:rFonts w:ascii="Arial" w:hAnsi="Arial" w:cs="Arial"/>
          <w:sz w:val="24"/>
          <w:szCs w:val="24"/>
        </w:rPr>
        <w:t>Plaintiff</w:t>
      </w:r>
      <w:r w:rsidR="008D1CD7" w:rsidRPr="00BD56F4">
        <w:rPr>
          <w:rFonts w:ascii="Arial" w:hAnsi="Arial" w:cs="Arial"/>
          <w:sz w:val="24"/>
          <w:szCs w:val="24"/>
        </w:rPr>
        <w:t xml:space="preserve">’s high standing in society as a member of the </w:t>
      </w:r>
      <w:r w:rsidR="00393652" w:rsidRPr="00BD56F4">
        <w:rPr>
          <w:rFonts w:ascii="Arial" w:hAnsi="Arial" w:cs="Arial"/>
          <w:sz w:val="24"/>
          <w:szCs w:val="24"/>
        </w:rPr>
        <w:t>Terengganu</w:t>
      </w:r>
      <w:r w:rsidR="008D1CD7" w:rsidRPr="00BD56F4">
        <w:rPr>
          <w:rFonts w:ascii="Arial" w:hAnsi="Arial" w:cs="Arial"/>
          <w:sz w:val="24"/>
          <w:szCs w:val="24"/>
        </w:rPr>
        <w:t xml:space="preserve"> royal family</w:t>
      </w:r>
      <w:r w:rsidR="009B3765">
        <w:rPr>
          <w:rFonts w:ascii="Arial" w:hAnsi="Arial" w:cs="Arial"/>
          <w:sz w:val="24"/>
          <w:szCs w:val="24"/>
        </w:rPr>
        <w:t>,</w:t>
      </w:r>
      <w:r w:rsidR="008D1CD7" w:rsidRPr="00BD56F4">
        <w:rPr>
          <w:rFonts w:ascii="Arial" w:hAnsi="Arial" w:cs="Arial"/>
          <w:sz w:val="24"/>
          <w:szCs w:val="24"/>
        </w:rPr>
        <w:t xml:space="preserve"> and the fact only 2000</w:t>
      </w:r>
      <w:r w:rsidR="004F4E9B" w:rsidRPr="00BD56F4">
        <w:rPr>
          <w:rFonts w:ascii="Arial" w:hAnsi="Arial" w:cs="Arial"/>
          <w:sz w:val="24"/>
          <w:szCs w:val="24"/>
        </w:rPr>
        <w:t xml:space="preserve"> copies of the book were sold i</w:t>
      </w:r>
      <w:r w:rsidR="009B3765">
        <w:rPr>
          <w:rFonts w:ascii="Arial" w:hAnsi="Arial" w:cs="Arial"/>
          <w:sz w:val="24"/>
          <w:szCs w:val="24"/>
        </w:rPr>
        <w:t>.</w:t>
      </w:r>
      <w:r w:rsidR="004F4E9B" w:rsidRPr="00BD56F4">
        <w:rPr>
          <w:rFonts w:ascii="Arial" w:hAnsi="Arial" w:cs="Arial"/>
          <w:sz w:val="24"/>
          <w:szCs w:val="24"/>
        </w:rPr>
        <w:t>e. it was not widely circulated</w:t>
      </w:r>
      <w:r w:rsidR="00393652" w:rsidRPr="00BD56F4">
        <w:rPr>
          <w:rFonts w:ascii="Arial" w:hAnsi="Arial" w:cs="Arial"/>
          <w:sz w:val="24"/>
          <w:szCs w:val="24"/>
        </w:rPr>
        <w:t xml:space="preserve"> [para. 45]</w:t>
      </w:r>
      <w:r w:rsidR="004F4E9B" w:rsidRPr="00BD56F4">
        <w:rPr>
          <w:rFonts w:ascii="Arial" w:hAnsi="Arial" w:cs="Arial"/>
          <w:sz w:val="24"/>
          <w:szCs w:val="24"/>
        </w:rPr>
        <w:t xml:space="preserve">. </w:t>
      </w:r>
    </w:p>
    <w:p w14:paraId="0AAE8AE5" w14:textId="77777777" w:rsidR="007C3714" w:rsidRPr="00BD56F4" w:rsidRDefault="007C3714">
      <w:pPr>
        <w:rPr>
          <w:rFonts w:ascii="Arial" w:hAnsi="Arial" w:cs="Arial"/>
          <w:b/>
          <w:bCs/>
          <w:sz w:val="24"/>
          <w:szCs w:val="24"/>
        </w:rPr>
      </w:pPr>
    </w:p>
    <w:p w14:paraId="40A4A5CE" w14:textId="77777777" w:rsidR="00283F90" w:rsidRDefault="00283F90" w:rsidP="00300DE4">
      <w:pPr>
        <w:rPr>
          <w:rFonts w:ascii="Arial" w:hAnsi="Arial" w:cs="Arial"/>
          <w:b/>
          <w:bCs/>
          <w:sz w:val="24"/>
          <w:szCs w:val="24"/>
        </w:rPr>
      </w:pPr>
    </w:p>
    <w:p w14:paraId="60722EE6" w14:textId="77777777" w:rsidR="00283F90" w:rsidRDefault="00283F90" w:rsidP="00300DE4">
      <w:pPr>
        <w:rPr>
          <w:rFonts w:ascii="Arial" w:hAnsi="Arial" w:cs="Arial"/>
          <w:b/>
          <w:bCs/>
          <w:sz w:val="24"/>
          <w:szCs w:val="24"/>
        </w:rPr>
      </w:pPr>
    </w:p>
    <w:p w14:paraId="0018E6F6" w14:textId="0779A316" w:rsidR="00300DE4" w:rsidRPr="00BD56F4" w:rsidRDefault="007C3714" w:rsidP="00300DE4">
      <w:pPr>
        <w:rPr>
          <w:rFonts w:ascii="Arial" w:hAnsi="Arial" w:cs="Arial"/>
          <w:b/>
          <w:bCs/>
          <w:sz w:val="24"/>
          <w:szCs w:val="24"/>
        </w:rPr>
      </w:pPr>
      <w:r w:rsidRPr="00BD56F4">
        <w:rPr>
          <w:rFonts w:ascii="Arial" w:hAnsi="Arial" w:cs="Arial"/>
          <w:b/>
          <w:bCs/>
          <w:sz w:val="24"/>
          <w:szCs w:val="24"/>
        </w:rPr>
        <w:lastRenderedPageBreak/>
        <w:t>Decision Direction</w:t>
      </w:r>
    </w:p>
    <w:p w14:paraId="49262B37" w14:textId="590EBD93" w:rsidR="00300DE4" w:rsidRPr="00BD56F4" w:rsidRDefault="003A3F8E" w:rsidP="00300DE4">
      <w:pPr>
        <w:rPr>
          <w:rFonts w:ascii="Arial" w:hAnsi="Arial" w:cs="Arial"/>
          <w:b/>
          <w:bCs/>
          <w:sz w:val="24"/>
          <w:szCs w:val="24"/>
        </w:rPr>
      </w:pPr>
      <w:r w:rsidRPr="00BD56F4">
        <w:rPr>
          <w:rFonts w:ascii="Arial" w:hAnsi="Arial" w:cs="Arial"/>
          <w:b/>
          <w:bCs/>
          <w:sz w:val="24"/>
          <w:szCs w:val="24"/>
        </w:rPr>
        <w:t>Contracts Expression</w:t>
      </w:r>
    </w:p>
    <w:p w14:paraId="173603F1" w14:textId="69A4E75A" w:rsidR="007C3714" w:rsidRPr="00BD56F4" w:rsidRDefault="003A3F8E">
      <w:pPr>
        <w:rPr>
          <w:rFonts w:ascii="Arial" w:hAnsi="Arial" w:cs="Arial"/>
          <w:b/>
          <w:bCs/>
          <w:sz w:val="24"/>
          <w:szCs w:val="24"/>
        </w:rPr>
      </w:pPr>
      <w:r w:rsidRPr="00BD56F4">
        <w:rPr>
          <w:rFonts w:ascii="Arial" w:hAnsi="Arial" w:cs="Arial"/>
          <w:sz w:val="24"/>
          <w:szCs w:val="24"/>
        </w:rPr>
        <w:t xml:space="preserve">On first view, it appears this </w:t>
      </w:r>
      <w:r w:rsidR="00124AB3" w:rsidRPr="00BD56F4">
        <w:rPr>
          <w:rFonts w:ascii="Arial" w:hAnsi="Arial" w:cs="Arial"/>
          <w:sz w:val="24"/>
          <w:szCs w:val="24"/>
        </w:rPr>
        <w:t>judgement contracts freedom of expression due to its imposition of damages on a reporter attempting to expose on</w:t>
      </w:r>
      <w:r w:rsidR="00313C65">
        <w:rPr>
          <w:rFonts w:ascii="Arial" w:hAnsi="Arial" w:cs="Arial"/>
          <w:sz w:val="24"/>
          <w:szCs w:val="24"/>
        </w:rPr>
        <w:t>e</w:t>
      </w:r>
      <w:r w:rsidR="00124AB3" w:rsidRPr="00BD56F4">
        <w:rPr>
          <w:rFonts w:ascii="Arial" w:hAnsi="Arial" w:cs="Arial"/>
          <w:sz w:val="24"/>
          <w:szCs w:val="24"/>
        </w:rPr>
        <w:t xml:space="preserve"> of the largest political scandals in Malaysian history. It may create a chilling effect on other </w:t>
      </w:r>
      <w:r w:rsidR="00DD521D" w:rsidRPr="00BD56F4">
        <w:rPr>
          <w:rFonts w:ascii="Arial" w:hAnsi="Arial" w:cs="Arial"/>
          <w:sz w:val="24"/>
          <w:szCs w:val="24"/>
        </w:rPr>
        <w:t>reporters who seek to expose other scandals. That being said, such a view is</w:t>
      </w:r>
      <w:r w:rsidR="00B931EF" w:rsidRPr="00BD56F4">
        <w:rPr>
          <w:rFonts w:ascii="Arial" w:hAnsi="Arial" w:cs="Arial"/>
          <w:sz w:val="24"/>
          <w:szCs w:val="24"/>
        </w:rPr>
        <w:t xml:space="preserve">, with respect, </w:t>
      </w:r>
      <w:r w:rsidR="00DD521D" w:rsidRPr="00BD56F4">
        <w:rPr>
          <w:rFonts w:ascii="Arial" w:hAnsi="Arial" w:cs="Arial"/>
          <w:sz w:val="24"/>
          <w:szCs w:val="24"/>
        </w:rPr>
        <w:t>unnuanced.</w:t>
      </w:r>
      <w:r w:rsidR="00845C6D" w:rsidRPr="00BD56F4">
        <w:rPr>
          <w:rFonts w:ascii="Arial" w:hAnsi="Arial" w:cs="Arial"/>
          <w:sz w:val="24"/>
          <w:szCs w:val="24"/>
        </w:rPr>
        <w:t xml:space="preserve"> This case can be contrasted to </w:t>
      </w:r>
      <w:r w:rsidR="00B931EF" w:rsidRPr="00BD56F4">
        <w:rPr>
          <w:rFonts w:ascii="Arial" w:hAnsi="Arial" w:cs="Arial"/>
          <w:sz w:val="24"/>
          <w:szCs w:val="24"/>
        </w:rPr>
        <w:t xml:space="preserve">Mohamed </w:t>
      </w:r>
      <w:proofErr w:type="spellStart"/>
      <w:r w:rsidR="00B931EF" w:rsidRPr="00BD56F4">
        <w:rPr>
          <w:rFonts w:ascii="Arial" w:hAnsi="Arial" w:cs="Arial"/>
          <w:sz w:val="24"/>
          <w:szCs w:val="24"/>
        </w:rPr>
        <w:t>Apandi</w:t>
      </w:r>
      <w:proofErr w:type="spellEnd"/>
      <w:r w:rsidR="00B931EF" w:rsidRPr="00BD56F4">
        <w:rPr>
          <w:rFonts w:ascii="Arial" w:hAnsi="Arial" w:cs="Arial"/>
          <w:sz w:val="24"/>
          <w:szCs w:val="24"/>
        </w:rPr>
        <w:t xml:space="preserve"> bin Ali v Lim Kit Siang [2024] 1 MLJ 306 </w:t>
      </w:r>
      <w:r w:rsidR="00647082" w:rsidRPr="00BD56F4">
        <w:rPr>
          <w:rFonts w:ascii="Arial" w:hAnsi="Arial" w:cs="Arial"/>
          <w:sz w:val="24"/>
          <w:szCs w:val="24"/>
        </w:rPr>
        <w:t xml:space="preserve">wherein </w:t>
      </w:r>
      <w:r w:rsidR="008F0C60" w:rsidRPr="00BD56F4">
        <w:rPr>
          <w:rFonts w:ascii="Arial" w:hAnsi="Arial" w:cs="Arial"/>
          <w:sz w:val="24"/>
          <w:szCs w:val="24"/>
        </w:rPr>
        <w:t>a minister’s accusation that a former Attorney General ‘aided and abetted’ in the 1MDB scandal</w:t>
      </w:r>
      <w:r w:rsidR="00DD521D" w:rsidRPr="00BD56F4">
        <w:rPr>
          <w:rFonts w:ascii="Arial" w:hAnsi="Arial" w:cs="Arial"/>
          <w:sz w:val="24"/>
          <w:szCs w:val="24"/>
        </w:rPr>
        <w:t xml:space="preserve"> </w:t>
      </w:r>
      <w:r w:rsidR="008F0C60" w:rsidRPr="00BD56F4">
        <w:rPr>
          <w:rFonts w:ascii="Arial" w:hAnsi="Arial" w:cs="Arial"/>
          <w:sz w:val="24"/>
          <w:szCs w:val="24"/>
        </w:rPr>
        <w:t xml:space="preserve">did not constitute defamation. </w:t>
      </w:r>
      <w:r w:rsidR="00425FD4" w:rsidRPr="00425FD4">
        <w:rPr>
          <w:rFonts w:ascii="Arial" w:hAnsi="Arial" w:cs="Arial"/>
          <w:sz w:val="24"/>
          <w:szCs w:val="24"/>
        </w:rPr>
        <w:t>The point simply is that the present case alone cannot be said to create a chilling effect; it should be confined strictly to its unique facts, wherein the Defendants misattributed an event to the wrong party and therefore defamed them.</w:t>
      </w:r>
    </w:p>
    <w:p w14:paraId="1579F7A9" w14:textId="77777777" w:rsidR="007C3714" w:rsidRPr="00BD56F4" w:rsidRDefault="007C3714">
      <w:pPr>
        <w:rPr>
          <w:rFonts w:ascii="Arial" w:hAnsi="Arial" w:cs="Arial"/>
          <w:b/>
          <w:bCs/>
          <w:sz w:val="24"/>
          <w:szCs w:val="24"/>
        </w:rPr>
      </w:pPr>
    </w:p>
    <w:p w14:paraId="58C5A019" w14:textId="77777777" w:rsidR="00FC2C7C" w:rsidRPr="00BD56F4" w:rsidRDefault="00FC2C7C">
      <w:pPr>
        <w:rPr>
          <w:rFonts w:ascii="Arial" w:hAnsi="Arial" w:cs="Arial"/>
          <w:sz w:val="24"/>
          <w:szCs w:val="24"/>
        </w:rPr>
      </w:pPr>
    </w:p>
    <w:p w14:paraId="6367EC81" w14:textId="77777777" w:rsidR="00FC2C7C" w:rsidRPr="00BD56F4" w:rsidRDefault="00FC2C7C">
      <w:pPr>
        <w:rPr>
          <w:rFonts w:ascii="Arial" w:hAnsi="Arial" w:cs="Arial"/>
          <w:sz w:val="24"/>
          <w:szCs w:val="24"/>
        </w:rPr>
      </w:pPr>
    </w:p>
    <w:p w14:paraId="585A9174" w14:textId="309BC882" w:rsidR="00CA1DC2" w:rsidRPr="00162DC8" w:rsidRDefault="00CA1DC2">
      <w:pPr>
        <w:rPr>
          <w:rFonts w:ascii="Arial" w:hAnsi="Arial" w:cs="Arial"/>
          <w:b/>
          <w:bCs/>
          <w:sz w:val="24"/>
          <w:szCs w:val="24"/>
        </w:rPr>
      </w:pPr>
      <w:r w:rsidRPr="00162DC8">
        <w:rPr>
          <w:rFonts w:ascii="Arial" w:hAnsi="Arial" w:cs="Arial"/>
          <w:b/>
          <w:bCs/>
          <w:sz w:val="24"/>
          <w:szCs w:val="24"/>
        </w:rPr>
        <w:t xml:space="preserve">National </w:t>
      </w:r>
      <w:r w:rsidR="00FC2C7C" w:rsidRPr="00162DC8">
        <w:rPr>
          <w:rFonts w:ascii="Arial" w:hAnsi="Arial" w:cs="Arial"/>
          <w:b/>
          <w:bCs/>
          <w:sz w:val="24"/>
          <w:szCs w:val="24"/>
        </w:rPr>
        <w:t>Standards, Law or Jurisprudence</w:t>
      </w:r>
    </w:p>
    <w:p w14:paraId="26D1E895" w14:textId="77777777" w:rsidR="00E84490" w:rsidRPr="00162DC8" w:rsidRDefault="00E84490">
      <w:pPr>
        <w:rPr>
          <w:rFonts w:ascii="Arial" w:hAnsi="Arial" w:cs="Arial"/>
          <w:b/>
          <w:bCs/>
          <w:sz w:val="24"/>
          <w:szCs w:val="24"/>
        </w:rPr>
      </w:pPr>
    </w:p>
    <w:p w14:paraId="42C13693" w14:textId="77777777" w:rsidR="00E84490" w:rsidRPr="00E84490" w:rsidRDefault="00E84490" w:rsidP="00E84490">
      <w:pPr>
        <w:rPr>
          <w:rFonts w:ascii="Arial" w:hAnsi="Arial" w:cs="Arial"/>
          <w:b/>
          <w:bCs/>
          <w:sz w:val="24"/>
          <w:szCs w:val="24"/>
        </w:rPr>
      </w:pPr>
      <w:r w:rsidRPr="00E84490">
        <w:rPr>
          <w:rFonts w:ascii="Arial" w:hAnsi="Arial" w:cs="Arial"/>
          <w:b/>
          <w:bCs/>
          <w:sz w:val="24"/>
          <w:szCs w:val="24"/>
        </w:rPr>
        <w:t>Cases referred to</w:t>
      </w:r>
    </w:p>
    <w:p w14:paraId="09577C8C" w14:textId="2383ACC6" w:rsidR="00E84490" w:rsidRPr="00E84490" w:rsidRDefault="00E84490" w:rsidP="00E84490">
      <w:pPr>
        <w:rPr>
          <w:rFonts w:ascii="Arial" w:hAnsi="Arial" w:cs="Arial"/>
          <w:sz w:val="24"/>
          <w:szCs w:val="24"/>
        </w:rPr>
      </w:pPr>
      <w:r w:rsidRPr="00E84490">
        <w:rPr>
          <w:rFonts w:ascii="Arial" w:hAnsi="Arial" w:cs="Arial"/>
          <w:sz w:val="24"/>
          <w:szCs w:val="24"/>
        </w:rPr>
        <w:t>AJA Peter v OG Nio &amp; Ors </w:t>
      </w:r>
      <w:hyperlink r:id="rId5" w:tooltip="Malayan Law Journal" w:history="1">
        <w:r w:rsidRPr="00E84490">
          <w:rPr>
            <w:rStyle w:val="Hyperlink"/>
            <w:rFonts w:ascii="Arial" w:hAnsi="Arial" w:cs="Arial"/>
            <w:color w:val="auto"/>
            <w:sz w:val="24"/>
            <w:szCs w:val="24"/>
            <w:u w:val="none"/>
          </w:rPr>
          <w:t>[1980] 1 MLJ 226</w:t>
        </w:r>
      </w:hyperlink>
      <w:r w:rsidRPr="00E84490">
        <w:rPr>
          <w:rFonts w:ascii="Arial" w:hAnsi="Arial" w:cs="Arial"/>
          <w:sz w:val="24"/>
          <w:szCs w:val="24"/>
        </w:rPr>
        <w:t> </w:t>
      </w:r>
    </w:p>
    <w:p w14:paraId="7C51C3D9" w14:textId="16846C73" w:rsidR="00E84490" w:rsidRPr="00E84490" w:rsidRDefault="00E84490" w:rsidP="00E84490">
      <w:pPr>
        <w:rPr>
          <w:rFonts w:ascii="Arial" w:hAnsi="Arial" w:cs="Arial"/>
          <w:sz w:val="24"/>
          <w:szCs w:val="24"/>
        </w:rPr>
      </w:pPr>
      <w:r w:rsidRPr="00E84490">
        <w:rPr>
          <w:rFonts w:ascii="Arial" w:hAnsi="Arial" w:cs="Arial"/>
          <w:sz w:val="24"/>
          <w:szCs w:val="24"/>
        </w:rPr>
        <w:t xml:space="preserve">Allied Physics </w:t>
      </w:r>
      <w:proofErr w:type="spellStart"/>
      <w:r w:rsidRPr="00E84490">
        <w:rPr>
          <w:rFonts w:ascii="Arial" w:hAnsi="Arial" w:cs="Arial"/>
          <w:sz w:val="24"/>
          <w:szCs w:val="24"/>
        </w:rPr>
        <w:t>Sdn</w:t>
      </w:r>
      <w:proofErr w:type="spellEnd"/>
      <w:r w:rsidRPr="00E84490">
        <w:rPr>
          <w:rFonts w:ascii="Arial" w:hAnsi="Arial" w:cs="Arial"/>
          <w:sz w:val="24"/>
          <w:szCs w:val="24"/>
        </w:rPr>
        <w:t xml:space="preserve"> </w:t>
      </w:r>
      <w:proofErr w:type="spellStart"/>
      <w:r w:rsidRPr="00E84490">
        <w:rPr>
          <w:rFonts w:ascii="Arial" w:hAnsi="Arial" w:cs="Arial"/>
          <w:sz w:val="24"/>
          <w:szCs w:val="24"/>
        </w:rPr>
        <w:t>Bhd</w:t>
      </w:r>
      <w:proofErr w:type="spellEnd"/>
      <w:r w:rsidRPr="00E84490">
        <w:rPr>
          <w:rFonts w:ascii="Arial" w:hAnsi="Arial" w:cs="Arial"/>
          <w:sz w:val="24"/>
          <w:szCs w:val="24"/>
        </w:rPr>
        <w:t xml:space="preserve"> v </w:t>
      </w:r>
      <w:proofErr w:type="spellStart"/>
      <w:r w:rsidRPr="00E84490">
        <w:rPr>
          <w:rFonts w:ascii="Arial" w:hAnsi="Arial" w:cs="Arial"/>
          <w:sz w:val="24"/>
          <w:szCs w:val="24"/>
        </w:rPr>
        <w:t>Ketua</w:t>
      </w:r>
      <w:proofErr w:type="spellEnd"/>
      <w:r w:rsidRPr="00E84490">
        <w:rPr>
          <w:rFonts w:ascii="Arial" w:hAnsi="Arial" w:cs="Arial"/>
          <w:sz w:val="24"/>
          <w:szCs w:val="24"/>
        </w:rPr>
        <w:t xml:space="preserve"> Audit Negara (Malaysia) &amp; Anor and other appeals </w:t>
      </w:r>
      <w:hyperlink r:id="rId6" w:tooltip="Malayan Law Journal" w:history="1">
        <w:r w:rsidRPr="00E84490">
          <w:rPr>
            <w:rStyle w:val="Hyperlink"/>
            <w:rFonts w:ascii="Arial" w:hAnsi="Arial" w:cs="Arial"/>
            <w:color w:val="auto"/>
            <w:sz w:val="24"/>
            <w:szCs w:val="24"/>
            <w:u w:val="none"/>
          </w:rPr>
          <w:t>[2016] 5 MLJ 113</w:t>
        </w:r>
      </w:hyperlink>
      <w:r w:rsidRPr="00E84490">
        <w:rPr>
          <w:rFonts w:ascii="Arial" w:hAnsi="Arial" w:cs="Arial"/>
          <w:sz w:val="24"/>
          <w:szCs w:val="24"/>
        </w:rPr>
        <w:t>; [2017]</w:t>
      </w:r>
      <w:r w:rsidR="00BD56F4" w:rsidRPr="00162DC8">
        <w:rPr>
          <w:rFonts w:ascii="Arial" w:hAnsi="Arial" w:cs="Arial"/>
          <w:sz w:val="24"/>
          <w:szCs w:val="24"/>
        </w:rPr>
        <w:t xml:space="preserve"> </w:t>
      </w:r>
      <w:r w:rsidRPr="00E84490">
        <w:rPr>
          <w:rFonts w:ascii="Arial" w:hAnsi="Arial" w:cs="Arial"/>
          <w:sz w:val="24"/>
          <w:szCs w:val="24"/>
        </w:rPr>
        <w:t>7 CLJ 347</w:t>
      </w:r>
    </w:p>
    <w:p w14:paraId="67D3567D" w14:textId="48AF3039" w:rsidR="00E84490" w:rsidRPr="00E84490" w:rsidRDefault="00E84490" w:rsidP="00E84490">
      <w:pPr>
        <w:rPr>
          <w:rFonts w:ascii="Arial" w:hAnsi="Arial" w:cs="Arial"/>
          <w:sz w:val="24"/>
          <w:szCs w:val="24"/>
        </w:rPr>
      </w:pPr>
      <w:r w:rsidRPr="00E84490">
        <w:rPr>
          <w:rFonts w:ascii="Arial" w:hAnsi="Arial" w:cs="Arial"/>
          <w:sz w:val="24"/>
          <w:szCs w:val="24"/>
        </w:rPr>
        <w:t>Chong Swee Huat &amp; Anor v Lim Shian Ghee (t/a L &amp; G Consultants &amp; Education Services </w:t>
      </w:r>
      <w:hyperlink r:id="rId7" w:tooltip="Malayan Law Journal" w:history="1">
        <w:r w:rsidRPr="00E84490">
          <w:rPr>
            <w:rStyle w:val="Hyperlink"/>
            <w:rFonts w:ascii="Arial" w:hAnsi="Arial" w:cs="Arial"/>
            <w:color w:val="auto"/>
            <w:sz w:val="24"/>
            <w:szCs w:val="24"/>
            <w:u w:val="none"/>
          </w:rPr>
          <w:t>[2009] 3 MLJ 665</w:t>
        </w:r>
      </w:hyperlink>
      <w:r w:rsidRPr="00E84490">
        <w:rPr>
          <w:rFonts w:ascii="Arial" w:hAnsi="Arial" w:cs="Arial"/>
          <w:sz w:val="24"/>
          <w:szCs w:val="24"/>
        </w:rPr>
        <w:t>; [2009] 4 CLJ 113</w:t>
      </w:r>
    </w:p>
    <w:p w14:paraId="31A9E096" w14:textId="55B0A7DD" w:rsidR="00E84490" w:rsidRPr="00E84490" w:rsidRDefault="00E84490" w:rsidP="00E84490">
      <w:pPr>
        <w:rPr>
          <w:rFonts w:ascii="Arial" w:hAnsi="Arial" w:cs="Arial"/>
          <w:sz w:val="24"/>
          <w:szCs w:val="24"/>
        </w:rPr>
      </w:pPr>
      <w:r w:rsidRPr="00E84490">
        <w:rPr>
          <w:rFonts w:ascii="Arial" w:hAnsi="Arial" w:cs="Arial"/>
          <w:sz w:val="24"/>
          <w:szCs w:val="24"/>
        </w:rPr>
        <w:t xml:space="preserve">Dato Seri Mohammad Nizar bin Jamaluddin v </w:t>
      </w:r>
      <w:proofErr w:type="spellStart"/>
      <w:r w:rsidRPr="00E84490">
        <w:rPr>
          <w:rFonts w:ascii="Arial" w:hAnsi="Arial" w:cs="Arial"/>
          <w:sz w:val="24"/>
          <w:szCs w:val="24"/>
        </w:rPr>
        <w:t>Sistem</w:t>
      </w:r>
      <w:proofErr w:type="spellEnd"/>
      <w:r w:rsidRPr="00E84490">
        <w:rPr>
          <w:rFonts w:ascii="Arial" w:hAnsi="Arial" w:cs="Arial"/>
          <w:sz w:val="24"/>
          <w:szCs w:val="24"/>
        </w:rPr>
        <w:t xml:space="preserve"> </w:t>
      </w:r>
      <w:proofErr w:type="spellStart"/>
      <w:r w:rsidRPr="00E84490">
        <w:rPr>
          <w:rFonts w:ascii="Arial" w:hAnsi="Arial" w:cs="Arial"/>
          <w:sz w:val="24"/>
          <w:szCs w:val="24"/>
        </w:rPr>
        <w:t>Televisyen</w:t>
      </w:r>
      <w:proofErr w:type="spellEnd"/>
      <w:r w:rsidRPr="00E84490">
        <w:rPr>
          <w:rFonts w:ascii="Arial" w:hAnsi="Arial" w:cs="Arial"/>
          <w:sz w:val="24"/>
          <w:szCs w:val="24"/>
        </w:rPr>
        <w:t xml:space="preserve"> Malaysia </w:t>
      </w:r>
      <w:proofErr w:type="spellStart"/>
      <w:r w:rsidRPr="00E84490">
        <w:rPr>
          <w:rFonts w:ascii="Arial" w:hAnsi="Arial" w:cs="Arial"/>
          <w:sz w:val="24"/>
          <w:szCs w:val="24"/>
        </w:rPr>
        <w:t>Bhd</w:t>
      </w:r>
      <w:proofErr w:type="spellEnd"/>
      <w:r w:rsidRPr="00E84490">
        <w:rPr>
          <w:rFonts w:ascii="Arial" w:hAnsi="Arial" w:cs="Arial"/>
          <w:sz w:val="24"/>
          <w:szCs w:val="24"/>
        </w:rPr>
        <w:t xml:space="preserve"> &amp; Anor </w:t>
      </w:r>
      <w:hyperlink r:id="rId8" w:tooltip="Malayan Law Journal" w:history="1">
        <w:r w:rsidRPr="00E84490">
          <w:rPr>
            <w:rStyle w:val="Hyperlink"/>
            <w:rFonts w:ascii="Arial" w:hAnsi="Arial" w:cs="Arial"/>
            <w:color w:val="auto"/>
            <w:sz w:val="24"/>
            <w:szCs w:val="24"/>
            <w:u w:val="none"/>
          </w:rPr>
          <w:t>[2014] 4 MLJ 242</w:t>
        </w:r>
      </w:hyperlink>
      <w:r w:rsidRPr="00E84490">
        <w:rPr>
          <w:rFonts w:ascii="Arial" w:hAnsi="Arial" w:cs="Arial"/>
          <w:sz w:val="24"/>
          <w:szCs w:val="24"/>
        </w:rPr>
        <w:t>; [2014] 3 CLJ 560</w:t>
      </w:r>
    </w:p>
    <w:p w14:paraId="5D19B8E6" w14:textId="1448382B" w:rsidR="00E84490" w:rsidRPr="00E84490" w:rsidRDefault="00E84490" w:rsidP="00E84490">
      <w:pPr>
        <w:rPr>
          <w:rFonts w:ascii="Arial" w:hAnsi="Arial" w:cs="Arial"/>
          <w:sz w:val="24"/>
          <w:szCs w:val="24"/>
        </w:rPr>
      </w:pPr>
      <w:r w:rsidRPr="00E84490">
        <w:rPr>
          <w:rFonts w:ascii="Arial" w:hAnsi="Arial" w:cs="Arial"/>
          <w:sz w:val="24"/>
          <w:szCs w:val="24"/>
        </w:rPr>
        <w:t xml:space="preserve">Institute of Commercial Management United Kingdom v New Straits Times Press (Malaysia) </w:t>
      </w:r>
      <w:proofErr w:type="spellStart"/>
      <w:r w:rsidRPr="00E84490">
        <w:rPr>
          <w:rFonts w:ascii="Arial" w:hAnsi="Arial" w:cs="Arial"/>
          <w:sz w:val="24"/>
          <w:szCs w:val="24"/>
        </w:rPr>
        <w:t>Bhd</w:t>
      </w:r>
      <w:proofErr w:type="spellEnd"/>
      <w:r w:rsidR="00BD56F4" w:rsidRPr="00162DC8">
        <w:rPr>
          <w:rFonts w:ascii="Arial" w:hAnsi="Arial" w:cs="Arial"/>
          <w:sz w:val="24"/>
          <w:szCs w:val="24"/>
        </w:rPr>
        <w:t xml:space="preserve"> </w:t>
      </w:r>
      <w:r w:rsidRPr="00E84490">
        <w:rPr>
          <w:rFonts w:ascii="Arial" w:hAnsi="Arial" w:cs="Arial"/>
          <w:sz w:val="24"/>
          <w:szCs w:val="24"/>
        </w:rPr>
        <w:t>[2024] 3 MLJ 735</w:t>
      </w:r>
      <w:hyperlink r:id="rId9" w:tooltip="Malayan Law Journal" w:history="1"/>
    </w:p>
    <w:p w14:paraId="3ED74AAA" w14:textId="384AA3E0" w:rsidR="00E84490" w:rsidRPr="00E84490" w:rsidRDefault="00E84490" w:rsidP="00E84490">
      <w:pPr>
        <w:rPr>
          <w:rFonts w:ascii="Arial" w:hAnsi="Arial" w:cs="Arial"/>
          <w:sz w:val="24"/>
          <w:szCs w:val="24"/>
        </w:rPr>
      </w:pPr>
      <w:r w:rsidRPr="00E84490">
        <w:rPr>
          <w:rFonts w:ascii="Arial" w:hAnsi="Arial" w:cs="Arial"/>
          <w:sz w:val="24"/>
          <w:szCs w:val="24"/>
        </w:rPr>
        <w:t xml:space="preserve">Joshua Benjamin </w:t>
      </w:r>
      <w:proofErr w:type="spellStart"/>
      <w:r w:rsidRPr="00E84490">
        <w:rPr>
          <w:rFonts w:ascii="Arial" w:hAnsi="Arial" w:cs="Arial"/>
          <w:sz w:val="24"/>
          <w:szCs w:val="24"/>
        </w:rPr>
        <w:t>Jeyaretnam</w:t>
      </w:r>
      <w:proofErr w:type="spellEnd"/>
      <w:r w:rsidRPr="00E84490">
        <w:rPr>
          <w:rFonts w:ascii="Arial" w:hAnsi="Arial" w:cs="Arial"/>
          <w:sz w:val="24"/>
          <w:szCs w:val="24"/>
        </w:rPr>
        <w:t xml:space="preserve"> v Goh Chok Tong </w:t>
      </w:r>
      <w:hyperlink r:id="rId10" w:tooltip="Malayan Law Journal" w:history="1">
        <w:r w:rsidRPr="00E84490">
          <w:rPr>
            <w:rStyle w:val="Hyperlink"/>
            <w:rFonts w:ascii="Arial" w:hAnsi="Arial" w:cs="Arial"/>
            <w:color w:val="auto"/>
            <w:sz w:val="24"/>
            <w:szCs w:val="24"/>
            <w:u w:val="none"/>
          </w:rPr>
          <w:t>[1989] 3 MLJ 1</w:t>
        </w:r>
      </w:hyperlink>
    </w:p>
    <w:p w14:paraId="64581FF1" w14:textId="227D95EE" w:rsidR="00E84490" w:rsidRPr="00E84490" w:rsidRDefault="00E84490" w:rsidP="00E84490">
      <w:pPr>
        <w:rPr>
          <w:rFonts w:ascii="Arial" w:hAnsi="Arial" w:cs="Arial"/>
          <w:sz w:val="24"/>
          <w:szCs w:val="24"/>
        </w:rPr>
      </w:pPr>
      <w:r w:rsidRPr="00E84490">
        <w:rPr>
          <w:rFonts w:ascii="Arial" w:hAnsi="Arial" w:cs="Arial"/>
          <w:sz w:val="24"/>
          <w:szCs w:val="24"/>
        </w:rPr>
        <w:t>Khairy Jamaluddin v Dato’ Seri Anwar Ibrahim </w:t>
      </w:r>
      <w:hyperlink r:id="rId11" w:tooltip="Malayan Law Journal Unreporteds" w:history="1">
        <w:r w:rsidRPr="00E84490">
          <w:rPr>
            <w:rStyle w:val="Hyperlink"/>
            <w:rFonts w:ascii="Arial" w:hAnsi="Arial" w:cs="Arial"/>
            <w:color w:val="auto"/>
            <w:sz w:val="24"/>
            <w:szCs w:val="24"/>
            <w:u w:val="none"/>
          </w:rPr>
          <w:t>[2014] MLJU 1936</w:t>
        </w:r>
      </w:hyperlink>
      <w:r w:rsidRPr="00E84490">
        <w:rPr>
          <w:rFonts w:ascii="Arial" w:hAnsi="Arial" w:cs="Arial"/>
          <w:sz w:val="24"/>
          <w:szCs w:val="24"/>
        </w:rPr>
        <w:t xml:space="preserve"> </w:t>
      </w:r>
    </w:p>
    <w:p w14:paraId="3B520C9A" w14:textId="46ED7EDD" w:rsidR="00E84490" w:rsidRPr="00E84490" w:rsidRDefault="00E84490" w:rsidP="00E84490">
      <w:pPr>
        <w:rPr>
          <w:rFonts w:ascii="Arial" w:hAnsi="Arial" w:cs="Arial"/>
          <w:sz w:val="24"/>
          <w:szCs w:val="24"/>
        </w:rPr>
      </w:pPr>
      <w:r w:rsidRPr="00E84490">
        <w:rPr>
          <w:rFonts w:ascii="Arial" w:hAnsi="Arial" w:cs="Arial"/>
          <w:sz w:val="24"/>
          <w:szCs w:val="24"/>
        </w:rPr>
        <w:t xml:space="preserve">MGG Pillai v Tan Sri Dato Vincent Tan Chee </w:t>
      </w:r>
      <w:proofErr w:type="spellStart"/>
      <w:r w:rsidRPr="00E84490">
        <w:rPr>
          <w:rFonts w:ascii="Arial" w:hAnsi="Arial" w:cs="Arial"/>
          <w:sz w:val="24"/>
          <w:szCs w:val="24"/>
        </w:rPr>
        <w:t>Yioun</w:t>
      </w:r>
      <w:proofErr w:type="spellEnd"/>
      <w:r w:rsidRPr="00E84490">
        <w:rPr>
          <w:rFonts w:ascii="Arial" w:hAnsi="Arial" w:cs="Arial"/>
          <w:sz w:val="24"/>
          <w:szCs w:val="24"/>
        </w:rPr>
        <w:t xml:space="preserve"> &amp; other appeals </w:t>
      </w:r>
      <w:hyperlink r:id="rId12" w:tooltip="Malayan Law Journal" w:history="1">
        <w:r w:rsidRPr="00E84490">
          <w:rPr>
            <w:rStyle w:val="Hyperlink"/>
            <w:rFonts w:ascii="Arial" w:hAnsi="Arial" w:cs="Arial"/>
            <w:color w:val="auto"/>
            <w:sz w:val="24"/>
            <w:szCs w:val="24"/>
            <w:u w:val="none"/>
          </w:rPr>
          <w:t>[1995] 2 MLJ 493</w:t>
        </w:r>
      </w:hyperlink>
      <w:r w:rsidRPr="00E84490">
        <w:rPr>
          <w:rFonts w:ascii="Arial" w:hAnsi="Arial" w:cs="Arial"/>
          <w:sz w:val="24"/>
          <w:szCs w:val="24"/>
        </w:rPr>
        <w:t xml:space="preserve"> </w:t>
      </w:r>
    </w:p>
    <w:p w14:paraId="55BA44FD" w14:textId="2028AEFE" w:rsidR="00E84490" w:rsidRPr="00E84490" w:rsidRDefault="00E84490" w:rsidP="00E84490">
      <w:pPr>
        <w:rPr>
          <w:rFonts w:ascii="Arial" w:hAnsi="Arial" w:cs="Arial"/>
          <w:sz w:val="24"/>
          <w:szCs w:val="24"/>
        </w:rPr>
      </w:pPr>
      <w:r w:rsidRPr="00E84490">
        <w:rPr>
          <w:rFonts w:ascii="Arial" w:hAnsi="Arial" w:cs="Arial"/>
          <w:sz w:val="24"/>
          <w:szCs w:val="24"/>
        </w:rPr>
        <w:t xml:space="preserve">Raub Australian Gold Mining </w:t>
      </w:r>
      <w:proofErr w:type="spellStart"/>
      <w:r w:rsidRPr="00E84490">
        <w:rPr>
          <w:rFonts w:ascii="Arial" w:hAnsi="Arial" w:cs="Arial"/>
          <w:sz w:val="24"/>
          <w:szCs w:val="24"/>
        </w:rPr>
        <w:t>Sdn</w:t>
      </w:r>
      <w:proofErr w:type="spellEnd"/>
      <w:r w:rsidRPr="00E84490">
        <w:rPr>
          <w:rFonts w:ascii="Arial" w:hAnsi="Arial" w:cs="Arial"/>
          <w:sz w:val="24"/>
          <w:szCs w:val="24"/>
        </w:rPr>
        <w:t xml:space="preserve"> </w:t>
      </w:r>
      <w:proofErr w:type="spellStart"/>
      <w:r w:rsidRPr="00E84490">
        <w:rPr>
          <w:rFonts w:ascii="Arial" w:hAnsi="Arial" w:cs="Arial"/>
          <w:sz w:val="24"/>
          <w:szCs w:val="24"/>
        </w:rPr>
        <w:t>Bhd</w:t>
      </w:r>
      <w:proofErr w:type="spellEnd"/>
      <w:r w:rsidRPr="00E84490">
        <w:rPr>
          <w:rFonts w:ascii="Arial" w:hAnsi="Arial" w:cs="Arial"/>
          <w:sz w:val="24"/>
          <w:szCs w:val="24"/>
        </w:rPr>
        <w:t xml:space="preserve"> v </w:t>
      </w:r>
      <w:proofErr w:type="spellStart"/>
      <w:r w:rsidRPr="00E84490">
        <w:rPr>
          <w:rFonts w:ascii="Arial" w:hAnsi="Arial" w:cs="Arial"/>
          <w:sz w:val="24"/>
          <w:szCs w:val="24"/>
        </w:rPr>
        <w:t>Mkini</w:t>
      </w:r>
      <w:proofErr w:type="spellEnd"/>
      <w:r w:rsidRPr="00E84490">
        <w:rPr>
          <w:rFonts w:ascii="Arial" w:hAnsi="Arial" w:cs="Arial"/>
          <w:sz w:val="24"/>
          <w:szCs w:val="24"/>
        </w:rPr>
        <w:t xml:space="preserve"> Dotcom </w:t>
      </w:r>
      <w:proofErr w:type="spellStart"/>
      <w:r w:rsidRPr="00E84490">
        <w:rPr>
          <w:rFonts w:ascii="Arial" w:hAnsi="Arial" w:cs="Arial"/>
          <w:sz w:val="24"/>
          <w:szCs w:val="24"/>
        </w:rPr>
        <w:t>Sdn</w:t>
      </w:r>
      <w:proofErr w:type="spellEnd"/>
      <w:r w:rsidRPr="00E84490">
        <w:rPr>
          <w:rFonts w:ascii="Arial" w:hAnsi="Arial" w:cs="Arial"/>
          <w:sz w:val="24"/>
          <w:szCs w:val="24"/>
        </w:rPr>
        <w:t xml:space="preserve"> </w:t>
      </w:r>
      <w:proofErr w:type="spellStart"/>
      <w:r w:rsidRPr="00E84490">
        <w:rPr>
          <w:rFonts w:ascii="Arial" w:hAnsi="Arial" w:cs="Arial"/>
          <w:sz w:val="24"/>
          <w:szCs w:val="24"/>
        </w:rPr>
        <w:t>Bhd</w:t>
      </w:r>
      <w:proofErr w:type="spellEnd"/>
      <w:r w:rsidRPr="00E84490">
        <w:rPr>
          <w:rFonts w:ascii="Arial" w:hAnsi="Arial" w:cs="Arial"/>
          <w:sz w:val="24"/>
          <w:szCs w:val="24"/>
        </w:rPr>
        <w:t xml:space="preserve"> &amp; Ors </w:t>
      </w:r>
      <w:hyperlink r:id="rId13" w:tooltip="Malayan Law Journal" w:history="1">
        <w:r w:rsidRPr="00E84490">
          <w:rPr>
            <w:rStyle w:val="Hyperlink"/>
            <w:rFonts w:ascii="Arial" w:hAnsi="Arial" w:cs="Arial"/>
            <w:color w:val="auto"/>
            <w:sz w:val="24"/>
            <w:szCs w:val="24"/>
            <w:u w:val="none"/>
          </w:rPr>
          <w:t>[2018] 4 MLJ 209</w:t>
        </w:r>
      </w:hyperlink>
      <w:r w:rsidRPr="00E84490">
        <w:rPr>
          <w:rFonts w:ascii="Arial" w:hAnsi="Arial" w:cs="Arial"/>
          <w:sz w:val="24"/>
          <w:szCs w:val="24"/>
        </w:rPr>
        <w:t xml:space="preserve"> </w:t>
      </w:r>
    </w:p>
    <w:p w14:paraId="65F57DF7" w14:textId="53CDFD6B" w:rsidR="00E84490" w:rsidRPr="00E84490" w:rsidRDefault="00E84490" w:rsidP="00E84490">
      <w:pPr>
        <w:rPr>
          <w:rFonts w:ascii="Arial" w:hAnsi="Arial" w:cs="Arial"/>
          <w:sz w:val="24"/>
          <w:szCs w:val="24"/>
        </w:rPr>
      </w:pPr>
      <w:r w:rsidRPr="00E84490">
        <w:rPr>
          <w:rFonts w:ascii="Arial" w:hAnsi="Arial" w:cs="Arial"/>
          <w:sz w:val="24"/>
          <w:szCs w:val="24"/>
        </w:rPr>
        <w:t xml:space="preserve">Raub Australian Gold Mining </w:t>
      </w:r>
      <w:proofErr w:type="spellStart"/>
      <w:r w:rsidRPr="00E84490">
        <w:rPr>
          <w:rFonts w:ascii="Arial" w:hAnsi="Arial" w:cs="Arial"/>
          <w:sz w:val="24"/>
          <w:szCs w:val="24"/>
        </w:rPr>
        <w:t>Sdn</w:t>
      </w:r>
      <w:proofErr w:type="spellEnd"/>
      <w:r w:rsidRPr="00E84490">
        <w:rPr>
          <w:rFonts w:ascii="Arial" w:hAnsi="Arial" w:cs="Arial"/>
          <w:sz w:val="24"/>
          <w:szCs w:val="24"/>
        </w:rPr>
        <w:t xml:space="preserve"> </w:t>
      </w:r>
      <w:proofErr w:type="spellStart"/>
      <w:r w:rsidRPr="00E84490">
        <w:rPr>
          <w:rFonts w:ascii="Arial" w:hAnsi="Arial" w:cs="Arial"/>
          <w:sz w:val="24"/>
          <w:szCs w:val="24"/>
        </w:rPr>
        <w:t>Bhd</w:t>
      </w:r>
      <w:proofErr w:type="spellEnd"/>
      <w:r w:rsidRPr="00E84490">
        <w:rPr>
          <w:rFonts w:ascii="Arial" w:hAnsi="Arial" w:cs="Arial"/>
          <w:sz w:val="24"/>
          <w:szCs w:val="24"/>
        </w:rPr>
        <w:t xml:space="preserve"> (in creditors’ voluntary liquidation) v Hue Shieh Lee  </w:t>
      </w:r>
    </w:p>
    <w:p w14:paraId="760CA78C" w14:textId="207FE616" w:rsidR="00E84490" w:rsidRPr="00E84490" w:rsidRDefault="00E84490" w:rsidP="00E84490">
      <w:pPr>
        <w:rPr>
          <w:rFonts w:ascii="Arial" w:hAnsi="Arial" w:cs="Arial"/>
          <w:sz w:val="24"/>
          <w:szCs w:val="24"/>
        </w:rPr>
      </w:pPr>
      <w:r w:rsidRPr="00E84490">
        <w:rPr>
          <w:rFonts w:ascii="Arial" w:hAnsi="Arial" w:cs="Arial"/>
          <w:sz w:val="24"/>
          <w:szCs w:val="24"/>
        </w:rPr>
        <w:t xml:space="preserve">Syed Husin Ali v </w:t>
      </w:r>
      <w:proofErr w:type="spellStart"/>
      <w:r w:rsidRPr="00E84490">
        <w:rPr>
          <w:rFonts w:ascii="Arial" w:hAnsi="Arial" w:cs="Arial"/>
          <w:sz w:val="24"/>
          <w:szCs w:val="24"/>
        </w:rPr>
        <w:t>Sharikat</w:t>
      </w:r>
      <w:proofErr w:type="spellEnd"/>
      <w:r w:rsidRPr="00E84490">
        <w:rPr>
          <w:rFonts w:ascii="Arial" w:hAnsi="Arial" w:cs="Arial"/>
          <w:sz w:val="24"/>
          <w:szCs w:val="24"/>
        </w:rPr>
        <w:t xml:space="preserve"> </w:t>
      </w:r>
      <w:proofErr w:type="spellStart"/>
      <w:r w:rsidRPr="00E84490">
        <w:rPr>
          <w:rFonts w:ascii="Arial" w:hAnsi="Arial" w:cs="Arial"/>
          <w:sz w:val="24"/>
          <w:szCs w:val="24"/>
        </w:rPr>
        <w:t>Penchetakan</w:t>
      </w:r>
      <w:proofErr w:type="spellEnd"/>
      <w:r w:rsidRPr="00E84490">
        <w:rPr>
          <w:rFonts w:ascii="Arial" w:hAnsi="Arial" w:cs="Arial"/>
          <w:sz w:val="24"/>
          <w:szCs w:val="24"/>
        </w:rPr>
        <w:t xml:space="preserve"> </w:t>
      </w:r>
      <w:proofErr w:type="spellStart"/>
      <w:r w:rsidRPr="00E84490">
        <w:rPr>
          <w:rFonts w:ascii="Arial" w:hAnsi="Arial" w:cs="Arial"/>
          <w:sz w:val="24"/>
          <w:szCs w:val="24"/>
        </w:rPr>
        <w:t>Utusan</w:t>
      </w:r>
      <w:proofErr w:type="spellEnd"/>
      <w:r w:rsidRPr="00E84490">
        <w:rPr>
          <w:rFonts w:ascii="Arial" w:hAnsi="Arial" w:cs="Arial"/>
          <w:sz w:val="24"/>
          <w:szCs w:val="24"/>
        </w:rPr>
        <w:t xml:space="preserve"> </w:t>
      </w:r>
      <w:proofErr w:type="spellStart"/>
      <w:r w:rsidRPr="00E84490">
        <w:rPr>
          <w:rFonts w:ascii="Arial" w:hAnsi="Arial" w:cs="Arial"/>
          <w:sz w:val="24"/>
          <w:szCs w:val="24"/>
        </w:rPr>
        <w:t>Melayu</w:t>
      </w:r>
      <w:proofErr w:type="spellEnd"/>
      <w:r w:rsidRPr="00E84490">
        <w:rPr>
          <w:rFonts w:ascii="Arial" w:hAnsi="Arial" w:cs="Arial"/>
          <w:sz w:val="24"/>
          <w:szCs w:val="24"/>
        </w:rPr>
        <w:t xml:space="preserve"> </w:t>
      </w:r>
      <w:proofErr w:type="spellStart"/>
      <w:r w:rsidRPr="00E84490">
        <w:rPr>
          <w:rFonts w:ascii="Arial" w:hAnsi="Arial" w:cs="Arial"/>
          <w:sz w:val="24"/>
          <w:szCs w:val="24"/>
        </w:rPr>
        <w:t>Berhad</w:t>
      </w:r>
      <w:proofErr w:type="spellEnd"/>
      <w:r w:rsidRPr="00E84490">
        <w:rPr>
          <w:rFonts w:ascii="Arial" w:hAnsi="Arial" w:cs="Arial"/>
          <w:sz w:val="24"/>
          <w:szCs w:val="24"/>
        </w:rPr>
        <w:t xml:space="preserve"> &amp; Anor </w:t>
      </w:r>
      <w:hyperlink r:id="rId14" w:tooltip="Malayan Law Journal" w:history="1">
        <w:r w:rsidRPr="00E84490">
          <w:rPr>
            <w:rStyle w:val="Hyperlink"/>
            <w:rFonts w:ascii="Arial" w:hAnsi="Arial" w:cs="Arial"/>
            <w:color w:val="auto"/>
            <w:sz w:val="24"/>
            <w:szCs w:val="24"/>
            <w:u w:val="none"/>
          </w:rPr>
          <w:t>[1973] 2 MLJ 56</w:t>
        </w:r>
      </w:hyperlink>
      <w:r w:rsidRPr="00E84490">
        <w:rPr>
          <w:rFonts w:ascii="Arial" w:hAnsi="Arial" w:cs="Arial"/>
          <w:sz w:val="24"/>
          <w:szCs w:val="24"/>
        </w:rPr>
        <w:t xml:space="preserve"> </w:t>
      </w:r>
    </w:p>
    <w:p w14:paraId="5E84932E" w14:textId="65AAA944" w:rsidR="00E84490" w:rsidRPr="00E84490" w:rsidRDefault="00E84490" w:rsidP="00E84490">
      <w:pPr>
        <w:rPr>
          <w:rFonts w:ascii="Arial" w:hAnsi="Arial" w:cs="Arial"/>
          <w:sz w:val="24"/>
          <w:szCs w:val="24"/>
        </w:rPr>
      </w:pPr>
      <w:r w:rsidRPr="00E84490">
        <w:rPr>
          <w:rFonts w:ascii="Arial" w:hAnsi="Arial" w:cs="Arial"/>
          <w:sz w:val="24"/>
          <w:szCs w:val="24"/>
        </w:rPr>
        <w:lastRenderedPageBreak/>
        <w:t xml:space="preserve">Tun Datuk </w:t>
      </w:r>
      <w:proofErr w:type="spellStart"/>
      <w:r w:rsidRPr="00E84490">
        <w:rPr>
          <w:rFonts w:ascii="Arial" w:hAnsi="Arial" w:cs="Arial"/>
          <w:sz w:val="24"/>
          <w:szCs w:val="24"/>
        </w:rPr>
        <w:t>Patinggi</w:t>
      </w:r>
      <w:proofErr w:type="spellEnd"/>
      <w:r w:rsidRPr="00E84490">
        <w:rPr>
          <w:rFonts w:ascii="Arial" w:hAnsi="Arial" w:cs="Arial"/>
          <w:sz w:val="24"/>
          <w:szCs w:val="24"/>
        </w:rPr>
        <w:t xml:space="preserve"> Haji Abdul-Rahman </w:t>
      </w:r>
      <w:proofErr w:type="spellStart"/>
      <w:r w:rsidRPr="00E84490">
        <w:rPr>
          <w:rFonts w:ascii="Arial" w:hAnsi="Arial" w:cs="Arial"/>
          <w:sz w:val="24"/>
          <w:szCs w:val="24"/>
        </w:rPr>
        <w:t>Ya’kub</w:t>
      </w:r>
      <w:proofErr w:type="spellEnd"/>
      <w:r w:rsidRPr="00E84490">
        <w:rPr>
          <w:rFonts w:ascii="Arial" w:hAnsi="Arial" w:cs="Arial"/>
          <w:sz w:val="24"/>
          <w:szCs w:val="24"/>
        </w:rPr>
        <w:t xml:space="preserve"> v Bre </w:t>
      </w:r>
      <w:proofErr w:type="spellStart"/>
      <w:r w:rsidRPr="00E84490">
        <w:rPr>
          <w:rFonts w:ascii="Arial" w:hAnsi="Arial" w:cs="Arial"/>
          <w:sz w:val="24"/>
          <w:szCs w:val="24"/>
        </w:rPr>
        <w:t>Sdn</w:t>
      </w:r>
      <w:proofErr w:type="spellEnd"/>
      <w:r w:rsidRPr="00E84490">
        <w:rPr>
          <w:rFonts w:ascii="Arial" w:hAnsi="Arial" w:cs="Arial"/>
          <w:sz w:val="24"/>
          <w:szCs w:val="24"/>
        </w:rPr>
        <w:t xml:space="preserve"> </w:t>
      </w:r>
      <w:proofErr w:type="spellStart"/>
      <w:r w:rsidRPr="00E84490">
        <w:rPr>
          <w:rFonts w:ascii="Arial" w:hAnsi="Arial" w:cs="Arial"/>
          <w:sz w:val="24"/>
          <w:szCs w:val="24"/>
        </w:rPr>
        <w:t>Bhd</w:t>
      </w:r>
      <w:proofErr w:type="spellEnd"/>
      <w:r w:rsidRPr="00E84490">
        <w:rPr>
          <w:rFonts w:ascii="Arial" w:hAnsi="Arial" w:cs="Arial"/>
          <w:sz w:val="24"/>
          <w:szCs w:val="24"/>
        </w:rPr>
        <w:t xml:space="preserve"> &amp; Ors </w:t>
      </w:r>
      <w:hyperlink r:id="rId15" w:tooltip="Malayan Law Journal" w:history="1">
        <w:r w:rsidRPr="00E84490">
          <w:rPr>
            <w:rStyle w:val="Hyperlink"/>
            <w:rFonts w:ascii="Arial" w:hAnsi="Arial" w:cs="Arial"/>
            <w:color w:val="auto"/>
            <w:sz w:val="24"/>
            <w:szCs w:val="24"/>
            <w:u w:val="none"/>
          </w:rPr>
          <w:t>[1996] 1 MLJ 393</w:t>
        </w:r>
      </w:hyperlink>
      <w:r w:rsidRPr="00E84490">
        <w:rPr>
          <w:rFonts w:ascii="Arial" w:hAnsi="Arial" w:cs="Arial"/>
          <w:sz w:val="24"/>
          <w:szCs w:val="24"/>
        </w:rPr>
        <w:t xml:space="preserve"> </w:t>
      </w:r>
    </w:p>
    <w:p w14:paraId="54004344" w14:textId="77777777" w:rsidR="00E84490" w:rsidRPr="00162DC8" w:rsidRDefault="00E84490" w:rsidP="00E84490">
      <w:pPr>
        <w:rPr>
          <w:rFonts w:ascii="Arial" w:hAnsi="Arial" w:cs="Arial"/>
          <w:b/>
          <w:bCs/>
          <w:sz w:val="24"/>
          <w:szCs w:val="24"/>
        </w:rPr>
      </w:pPr>
    </w:p>
    <w:p w14:paraId="00CA619F" w14:textId="77777777" w:rsidR="00E84490" w:rsidRPr="00162DC8" w:rsidRDefault="00E84490" w:rsidP="00E84490">
      <w:pPr>
        <w:rPr>
          <w:rFonts w:ascii="Arial" w:hAnsi="Arial" w:cs="Arial"/>
          <w:b/>
          <w:bCs/>
          <w:sz w:val="24"/>
          <w:szCs w:val="24"/>
        </w:rPr>
      </w:pPr>
    </w:p>
    <w:p w14:paraId="492D7DC0" w14:textId="77777777" w:rsidR="00E84490" w:rsidRPr="00162DC8" w:rsidRDefault="00E84490" w:rsidP="00E84490">
      <w:pPr>
        <w:rPr>
          <w:rFonts w:ascii="Arial" w:hAnsi="Arial" w:cs="Arial"/>
          <w:b/>
          <w:bCs/>
          <w:sz w:val="24"/>
          <w:szCs w:val="24"/>
        </w:rPr>
      </w:pPr>
    </w:p>
    <w:p w14:paraId="1F0F2627" w14:textId="0529301D" w:rsidR="00E84490" w:rsidRPr="00E84490" w:rsidRDefault="00BD56F4" w:rsidP="00E84490">
      <w:pPr>
        <w:rPr>
          <w:rFonts w:ascii="Arial" w:hAnsi="Arial" w:cs="Arial"/>
          <w:b/>
          <w:bCs/>
          <w:sz w:val="24"/>
          <w:szCs w:val="24"/>
        </w:rPr>
      </w:pPr>
      <w:r w:rsidRPr="00162DC8">
        <w:rPr>
          <w:rFonts w:ascii="Arial" w:hAnsi="Arial" w:cs="Arial"/>
          <w:b/>
          <w:bCs/>
          <w:sz w:val="24"/>
          <w:szCs w:val="24"/>
        </w:rPr>
        <w:t>National l</w:t>
      </w:r>
      <w:r w:rsidR="00E84490" w:rsidRPr="00E84490">
        <w:rPr>
          <w:rFonts w:ascii="Arial" w:hAnsi="Arial" w:cs="Arial"/>
          <w:b/>
          <w:bCs/>
          <w:sz w:val="24"/>
          <w:szCs w:val="24"/>
        </w:rPr>
        <w:t>egislation referred to</w:t>
      </w:r>
      <w:r w:rsidR="009D0E4C" w:rsidRPr="00162DC8">
        <w:rPr>
          <w:rFonts w:ascii="Arial" w:hAnsi="Arial" w:cs="Arial"/>
          <w:b/>
          <w:bCs/>
          <w:sz w:val="24"/>
          <w:szCs w:val="24"/>
        </w:rPr>
        <w:t>:</w:t>
      </w:r>
    </w:p>
    <w:p w14:paraId="233762DD" w14:textId="0585DD23" w:rsidR="00E84490" w:rsidRPr="00E84490" w:rsidRDefault="007E196A" w:rsidP="00E84490">
      <w:pPr>
        <w:rPr>
          <w:rStyle w:val="Hyperlink"/>
          <w:rFonts w:ascii="Arial" w:hAnsi="Arial" w:cs="Arial"/>
          <w:sz w:val="24"/>
          <w:szCs w:val="24"/>
        </w:rPr>
      </w:pPr>
      <w:r w:rsidRPr="00162DC8">
        <w:rPr>
          <w:rFonts w:ascii="Arial" w:hAnsi="Arial" w:cs="Arial"/>
          <w:sz w:val="24"/>
          <w:szCs w:val="24"/>
        </w:rPr>
        <w:fldChar w:fldCharType="begin"/>
      </w:r>
      <w:r w:rsidRPr="00162DC8">
        <w:rPr>
          <w:rFonts w:ascii="Arial" w:hAnsi="Arial" w:cs="Arial"/>
          <w:sz w:val="24"/>
          <w:szCs w:val="24"/>
        </w:rPr>
        <w:instrText>HYPERLINK "http://www.commonlii.org/my/legis/consol_act/da19571983174/" \o "Unannotated Statutes of Malaysia Primary Act"</w:instrText>
      </w:r>
      <w:r w:rsidRPr="00162DC8">
        <w:rPr>
          <w:rFonts w:ascii="Arial" w:hAnsi="Arial" w:cs="Arial"/>
          <w:sz w:val="24"/>
          <w:szCs w:val="24"/>
        </w:rPr>
      </w:r>
      <w:r w:rsidRPr="00162DC8">
        <w:rPr>
          <w:rFonts w:ascii="Arial" w:hAnsi="Arial" w:cs="Arial"/>
          <w:sz w:val="24"/>
          <w:szCs w:val="24"/>
        </w:rPr>
        <w:fldChar w:fldCharType="separate"/>
      </w:r>
      <w:r w:rsidR="00E84490" w:rsidRPr="00E84490">
        <w:rPr>
          <w:rStyle w:val="Hyperlink"/>
          <w:rFonts w:ascii="Arial" w:hAnsi="Arial" w:cs="Arial"/>
          <w:sz w:val="24"/>
          <w:szCs w:val="24"/>
        </w:rPr>
        <w:t>Defamation Act 1957</w:t>
      </w:r>
    </w:p>
    <w:p w14:paraId="1ED870B5" w14:textId="476A1833" w:rsidR="00E84490" w:rsidRPr="00E84490" w:rsidRDefault="007E196A" w:rsidP="00E84490">
      <w:pPr>
        <w:rPr>
          <w:rFonts w:ascii="Arial" w:hAnsi="Arial" w:cs="Arial"/>
          <w:sz w:val="24"/>
          <w:szCs w:val="24"/>
        </w:rPr>
      </w:pPr>
      <w:r w:rsidRPr="00162DC8">
        <w:rPr>
          <w:rFonts w:ascii="Arial" w:hAnsi="Arial" w:cs="Arial"/>
          <w:sz w:val="24"/>
          <w:szCs w:val="24"/>
        </w:rPr>
        <w:fldChar w:fldCharType="end"/>
      </w:r>
      <w:hyperlink r:id="rId16" w:history="1">
        <w:r w:rsidR="00E84490" w:rsidRPr="00E84490">
          <w:rPr>
            <w:rStyle w:val="Hyperlink"/>
            <w:rFonts w:ascii="Arial" w:hAnsi="Arial" w:cs="Arial"/>
            <w:sz w:val="24"/>
            <w:szCs w:val="24"/>
          </w:rPr>
          <w:t>Federal Constitution</w:t>
        </w:r>
        <w:r w:rsidR="00E84490" w:rsidRPr="00162DC8">
          <w:rPr>
            <w:rStyle w:val="Hyperlink"/>
            <w:rFonts w:ascii="Arial" w:hAnsi="Arial" w:cs="Arial"/>
            <w:sz w:val="24"/>
            <w:szCs w:val="24"/>
          </w:rPr>
          <w:t xml:space="preserve"> A</w:t>
        </w:r>
        <w:r w:rsidR="00E84490" w:rsidRPr="00E84490">
          <w:rPr>
            <w:rStyle w:val="Hyperlink"/>
            <w:rFonts w:ascii="Arial" w:hAnsi="Arial" w:cs="Arial"/>
            <w:sz w:val="24"/>
            <w:szCs w:val="24"/>
          </w:rPr>
          <w:t>rt 10(1)(a)</w:t>
        </w:r>
      </w:hyperlink>
    </w:p>
    <w:p w14:paraId="7068A0F9" w14:textId="0569109F" w:rsidR="00E84490" w:rsidRPr="00E84490" w:rsidRDefault="00F81487" w:rsidP="00E84490">
      <w:pPr>
        <w:rPr>
          <w:rFonts w:ascii="Arial" w:hAnsi="Arial" w:cs="Arial"/>
          <w:sz w:val="24"/>
          <w:szCs w:val="24"/>
        </w:rPr>
      </w:pPr>
      <w:hyperlink r:id="rId17" w:tooltip="Unannotated Statutes of Malaysia Primary Act" w:history="1">
        <w:r w:rsidRPr="00162DC8">
          <w:rPr>
            <w:rStyle w:val="Hyperlink"/>
            <w:rFonts w:ascii="Arial" w:hAnsi="Arial" w:cs="Arial"/>
            <w:sz w:val="24"/>
            <w:szCs w:val="24"/>
          </w:rPr>
          <w:t xml:space="preserve">Section 500 </w:t>
        </w:r>
        <w:r w:rsidR="00E84490" w:rsidRPr="00E84490">
          <w:rPr>
            <w:rStyle w:val="Hyperlink"/>
            <w:rFonts w:ascii="Arial" w:hAnsi="Arial" w:cs="Arial"/>
            <w:sz w:val="24"/>
            <w:szCs w:val="24"/>
          </w:rPr>
          <w:t>Penal Code</w:t>
        </w:r>
      </w:hyperlink>
      <w:hyperlink r:id="rId18" w:tooltip="Unannotated Statutes of Malaysia Primary Act" w:history="1">
        <w:r w:rsidR="00E84490" w:rsidRPr="00E84490">
          <w:rPr>
            <w:rStyle w:val="Hyperlink"/>
            <w:rFonts w:ascii="Arial" w:hAnsi="Arial" w:cs="Arial"/>
            <w:color w:val="auto"/>
            <w:sz w:val="24"/>
            <w:szCs w:val="24"/>
            <w:u w:val="none"/>
          </w:rPr>
          <w:t xml:space="preserve"> </w:t>
        </w:r>
      </w:hyperlink>
    </w:p>
    <w:p w14:paraId="7FB5C044" w14:textId="77777777" w:rsidR="00BD56F4" w:rsidRPr="00162DC8" w:rsidRDefault="00BD56F4">
      <w:pPr>
        <w:rPr>
          <w:rFonts w:ascii="Arial" w:hAnsi="Arial" w:cs="Arial"/>
          <w:b/>
          <w:bCs/>
          <w:sz w:val="24"/>
          <w:szCs w:val="24"/>
        </w:rPr>
      </w:pPr>
    </w:p>
    <w:p w14:paraId="0A36D9EF" w14:textId="4B93C9E9" w:rsidR="00BD56F4" w:rsidRPr="00162DC8" w:rsidRDefault="00BD56F4">
      <w:pPr>
        <w:rPr>
          <w:rFonts w:ascii="Arial" w:hAnsi="Arial" w:cs="Arial"/>
          <w:b/>
          <w:bCs/>
          <w:sz w:val="24"/>
          <w:szCs w:val="24"/>
        </w:rPr>
      </w:pPr>
      <w:r w:rsidRPr="00162DC8">
        <w:rPr>
          <w:rFonts w:ascii="Arial" w:hAnsi="Arial" w:cs="Arial"/>
          <w:b/>
          <w:bCs/>
          <w:sz w:val="24"/>
          <w:szCs w:val="24"/>
        </w:rPr>
        <w:t>UK Caselaw referred to:</w:t>
      </w:r>
    </w:p>
    <w:p w14:paraId="25AF6207" w14:textId="38F1DE19" w:rsidR="00BD56F4" w:rsidRPr="00162DC8" w:rsidRDefault="00DB4492" w:rsidP="00BD56F4">
      <w:pPr>
        <w:rPr>
          <w:rStyle w:val="Hyperlink"/>
          <w:rFonts w:ascii="Arial" w:hAnsi="Arial" w:cs="Arial"/>
          <w:sz w:val="24"/>
          <w:szCs w:val="24"/>
        </w:rPr>
      </w:pPr>
      <w:r w:rsidRPr="00162DC8">
        <w:rPr>
          <w:rFonts w:ascii="Arial" w:hAnsi="Arial" w:cs="Arial"/>
          <w:sz w:val="24"/>
          <w:szCs w:val="24"/>
          <w:lang w:val="de-DE"/>
        </w:rPr>
        <w:fldChar w:fldCharType="begin"/>
      </w:r>
      <w:r w:rsidRPr="00162DC8">
        <w:rPr>
          <w:rFonts w:ascii="Arial" w:hAnsi="Arial" w:cs="Arial"/>
          <w:sz w:val="24"/>
          <w:szCs w:val="24"/>
        </w:rPr>
        <w:instrText>HYPERLINK "https://www.supremecourt.uk/cases/uksc-2018-0045" \o "All England Law Reports"</w:instrText>
      </w:r>
      <w:r w:rsidRPr="00162DC8">
        <w:rPr>
          <w:rFonts w:ascii="Arial" w:hAnsi="Arial" w:cs="Arial"/>
          <w:sz w:val="24"/>
          <w:szCs w:val="24"/>
          <w:lang w:val="de-DE"/>
        </w:rPr>
      </w:r>
      <w:r w:rsidRPr="00162DC8">
        <w:rPr>
          <w:rFonts w:ascii="Arial" w:hAnsi="Arial" w:cs="Arial"/>
          <w:sz w:val="24"/>
          <w:szCs w:val="24"/>
          <w:lang w:val="de-DE"/>
        </w:rPr>
        <w:fldChar w:fldCharType="separate"/>
      </w:r>
      <w:r w:rsidR="00BD56F4" w:rsidRPr="00E84490">
        <w:rPr>
          <w:rStyle w:val="Hyperlink"/>
          <w:rFonts w:ascii="Arial" w:hAnsi="Arial" w:cs="Arial"/>
          <w:sz w:val="24"/>
          <w:szCs w:val="24"/>
        </w:rPr>
        <w:t>Stocker v Stocker [2019] 3 All ER 647</w:t>
      </w:r>
    </w:p>
    <w:p w14:paraId="2181680E" w14:textId="78F3107F" w:rsidR="00BD56F4" w:rsidRPr="00E84490" w:rsidRDefault="00DB4492" w:rsidP="00BD56F4">
      <w:pPr>
        <w:rPr>
          <w:rFonts w:ascii="Arial" w:hAnsi="Arial" w:cs="Arial"/>
          <w:sz w:val="24"/>
          <w:szCs w:val="24"/>
        </w:rPr>
      </w:pPr>
      <w:r w:rsidRPr="00162DC8">
        <w:rPr>
          <w:rFonts w:ascii="Arial" w:hAnsi="Arial" w:cs="Arial"/>
          <w:sz w:val="24"/>
          <w:szCs w:val="24"/>
          <w:lang w:val="de-DE"/>
        </w:rPr>
        <w:fldChar w:fldCharType="end"/>
      </w:r>
      <w:r w:rsidR="00BD56F4" w:rsidRPr="00E84490">
        <w:rPr>
          <w:rFonts w:ascii="Arial" w:hAnsi="Arial" w:cs="Arial"/>
          <w:sz w:val="24"/>
          <w:szCs w:val="24"/>
        </w:rPr>
        <w:t xml:space="preserve">Lucas-Box v News Group Newspapers Ltd; Lucas-Box v Associated Newspapers Group </w:t>
      </w:r>
      <w:proofErr w:type="spellStart"/>
      <w:r w:rsidR="00BD56F4" w:rsidRPr="00E84490">
        <w:rPr>
          <w:rFonts w:ascii="Arial" w:hAnsi="Arial" w:cs="Arial"/>
          <w:sz w:val="24"/>
          <w:szCs w:val="24"/>
        </w:rPr>
        <w:t>plcs</w:t>
      </w:r>
      <w:proofErr w:type="spellEnd"/>
      <w:r w:rsidR="00BD56F4" w:rsidRPr="00E84490">
        <w:rPr>
          <w:rFonts w:ascii="Arial" w:hAnsi="Arial" w:cs="Arial"/>
          <w:sz w:val="24"/>
          <w:szCs w:val="24"/>
        </w:rPr>
        <w:t xml:space="preserve"> and others </w:t>
      </w:r>
      <w:hyperlink r:id="rId19" w:tooltip="Weekly Law Reports" w:history="1">
        <w:r w:rsidR="00BD56F4" w:rsidRPr="00E84490">
          <w:rPr>
            <w:rStyle w:val="Hyperlink"/>
            <w:rFonts w:ascii="Arial" w:hAnsi="Arial" w:cs="Arial"/>
            <w:color w:val="auto"/>
            <w:sz w:val="24"/>
            <w:szCs w:val="24"/>
            <w:u w:val="none"/>
          </w:rPr>
          <w:t>[1986] 1 WLR 147</w:t>
        </w:r>
      </w:hyperlink>
    </w:p>
    <w:p w14:paraId="48B34C42" w14:textId="77777777" w:rsidR="00BD56F4" w:rsidRPr="00E84490" w:rsidRDefault="00BD56F4" w:rsidP="00BD56F4">
      <w:pPr>
        <w:rPr>
          <w:rFonts w:ascii="Arial" w:hAnsi="Arial" w:cs="Arial"/>
          <w:sz w:val="24"/>
          <w:szCs w:val="24"/>
        </w:rPr>
      </w:pPr>
    </w:p>
    <w:p w14:paraId="14FF6AC2" w14:textId="77777777" w:rsidR="00BD56F4" w:rsidRPr="00BD56F4" w:rsidRDefault="00BD56F4">
      <w:pPr>
        <w:rPr>
          <w:rFonts w:ascii="Arial" w:hAnsi="Arial" w:cs="Arial"/>
          <w:sz w:val="24"/>
          <w:szCs w:val="24"/>
        </w:rPr>
      </w:pPr>
    </w:p>
    <w:p w14:paraId="4BE4122B" w14:textId="77777777" w:rsidR="00BD56F4" w:rsidRPr="00BD56F4" w:rsidRDefault="00BD56F4">
      <w:pPr>
        <w:rPr>
          <w:rFonts w:ascii="Arial" w:hAnsi="Arial" w:cs="Arial"/>
          <w:sz w:val="24"/>
          <w:szCs w:val="24"/>
        </w:rPr>
      </w:pPr>
    </w:p>
    <w:sectPr w:rsidR="00BD56F4" w:rsidRPr="00BD5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E2AF3"/>
    <w:multiLevelType w:val="hybridMultilevel"/>
    <w:tmpl w:val="77349558"/>
    <w:lvl w:ilvl="0" w:tplc="7BE0CC0C">
      <w:start w:val="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62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14"/>
    <w:rsid w:val="00004220"/>
    <w:rsid w:val="0001045F"/>
    <w:rsid w:val="0003750F"/>
    <w:rsid w:val="000561D0"/>
    <w:rsid w:val="000911C3"/>
    <w:rsid w:val="00092E70"/>
    <w:rsid w:val="00094925"/>
    <w:rsid w:val="00124AB3"/>
    <w:rsid w:val="00134824"/>
    <w:rsid w:val="00162DC8"/>
    <w:rsid w:val="001823A7"/>
    <w:rsid w:val="001C04AE"/>
    <w:rsid w:val="001C2280"/>
    <w:rsid w:val="001E4631"/>
    <w:rsid w:val="0021402D"/>
    <w:rsid w:val="0025410D"/>
    <w:rsid w:val="002776CD"/>
    <w:rsid w:val="00283F90"/>
    <w:rsid w:val="002B23BB"/>
    <w:rsid w:val="002B2EFB"/>
    <w:rsid w:val="002C1D29"/>
    <w:rsid w:val="002C4ECB"/>
    <w:rsid w:val="002E5991"/>
    <w:rsid w:val="00300DE4"/>
    <w:rsid w:val="00313C65"/>
    <w:rsid w:val="00342121"/>
    <w:rsid w:val="00375D0D"/>
    <w:rsid w:val="00393652"/>
    <w:rsid w:val="003A3F8E"/>
    <w:rsid w:val="003E3748"/>
    <w:rsid w:val="003E4B98"/>
    <w:rsid w:val="00425FD4"/>
    <w:rsid w:val="00450F9B"/>
    <w:rsid w:val="00453887"/>
    <w:rsid w:val="004539FF"/>
    <w:rsid w:val="00461D18"/>
    <w:rsid w:val="00471DC2"/>
    <w:rsid w:val="0048142B"/>
    <w:rsid w:val="0048776E"/>
    <w:rsid w:val="00491563"/>
    <w:rsid w:val="00494AAF"/>
    <w:rsid w:val="004A44DB"/>
    <w:rsid w:val="004A73FF"/>
    <w:rsid w:val="004B38BA"/>
    <w:rsid w:val="004B5E7A"/>
    <w:rsid w:val="004E2296"/>
    <w:rsid w:val="004F4E9B"/>
    <w:rsid w:val="00564A5D"/>
    <w:rsid w:val="0057005F"/>
    <w:rsid w:val="005A07F2"/>
    <w:rsid w:val="005B72C7"/>
    <w:rsid w:val="005C70F7"/>
    <w:rsid w:val="006047EF"/>
    <w:rsid w:val="00647082"/>
    <w:rsid w:val="00671EF8"/>
    <w:rsid w:val="006D36DA"/>
    <w:rsid w:val="007016DF"/>
    <w:rsid w:val="00707BA9"/>
    <w:rsid w:val="0077335B"/>
    <w:rsid w:val="00777F7A"/>
    <w:rsid w:val="00795733"/>
    <w:rsid w:val="0079595A"/>
    <w:rsid w:val="007C3714"/>
    <w:rsid w:val="007E196A"/>
    <w:rsid w:val="00827BF8"/>
    <w:rsid w:val="008325FD"/>
    <w:rsid w:val="00845C6D"/>
    <w:rsid w:val="00867241"/>
    <w:rsid w:val="00893D81"/>
    <w:rsid w:val="00897CC4"/>
    <w:rsid w:val="008D1CD7"/>
    <w:rsid w:val="008D5E39"/>
    <w:rsid w:val="008E1650"/>
    <w:rsid w:val="008E1F5D"/>
    <w:rsid w:val="008F0C60"/>
    <w:rsid w:val="00904284"/>
    <w:rsid w:val="00933126"/>
    <w:rsid w:val="00956BCE"/>
    <w:rsid w:val="009949E1"/>
    <w:rsid w:val="009B1604"/>
    <w:rsid w:val="009B3765"/>
    <w:rsid w:val="009D0E4C"/>
    <w:rsid w:val="00A20065"/>
    <w:rsid w:val="00A41101"/>
    <w:rsid w:val="00A61BDE"/>
    <w:rsid w:val="00A77014"/>
    <w:rsid w:val="00AC4645"/>
    <w:rsid w:val="00AF3C46"/>
    <w:rsid w:val="00B01D67"/>
    <w:rsid w:val="00B324D8"/>
    <w:rsid w:val="00B50E10"/>
    <w:rsid w:val="00B931EF"/>
    <w:rsid w:val="00BA148D"/>
    <w:rsid w:val="00BC2BBE"/>
    <w:rsid w:val="00BD56F4"/>
    <w:rsid w:val="00BE6787"/>
    <w:rsid w:val="00BF1786"/>
    <w:rsid w:val="00BF3F5B"/>
    <w:rsid w:val="00C11CD6"/>
    <w:rsid w:val="00C16390"/>
    <w:rsid w:val="00C276F9"/>
    <w:rsid w:val="00C3283B"/>
    <w:rsid w:val="00C365E5"/>
    <w:rsid w:val="00C429FA"/>
    <w:rsid w:val="00C455AD"/>
    <w:rsid w:val="00C52F7E"/>
    <w:rsid w:val="00C6129E"/>
    <w:rsid w:val="00CA1DC2"/>
    <w:rsid w:val="00CE57AC"/>
    <w:rsid w:val="00CF28DA"/>
    <w:rsid w:val="00CF3EB1"/>
    <w:rsid w:val="00D35782"/>
    <w:rsid w:val="00D60E4D"/>
    <w:rsid w:val="00DA52AF"/>
    <w:rsid w:val="00DB4492"/>
    <w:rsid w:val="00DB5B68"/>
    <w:rsid w:val="00DC62F8"/>
    <w:rsid w:val="00DD521D"/>
    <w:rsid w:val="00E07C7C"/>
    <w:rsid w:val="00E17766"/>
    <w:rsid w:val="00E53BCE"/>
    <w:rsid w:val="00E823DC"/>
    <w:rsid w:val="00E84490"/>
    <w:rsid w:val="00EF33C8"/>
    <w:rsid w:val="00F5174E"/>
    <w:rsid w:val="00F81421"/>
    <w:rsid w:val="00F81487"/>
    <w:rsid w:val="00F908B8"/>
    <w:rsid w:val="00FA574B"/>
    <w:rsid w:val="00FB00D5"/>
    <w:rsid w:val="00FC2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1D34"/>
  <w15:chartTrackingRefBased/>
  <w15:docId w15:val="{C2FCA03F-DC64-46C6-8D83-63A7AA7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3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3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714"/>
    <w:rPr>
      <w:rFonts w:eastAsiaTheme="majorEastAsia" w:cstheme="majorBidi"/>
      <w:color w:val="272727" w:themeColor="text1" w:themeTint="D8"/>
    </w:rPr>
  </w:style>
  <w:style w:type="paragraph" w:styleId="Title">
    <w:name w:val="Title"/>
    <w:basedOn w:val="Normal"/>
    <w:next w:val="Normal"/>
    <w:link w:val="TitleChar"/>
    <w:uiPriority w:val="10"/>
    <w:qFormat/>
    <w:rsid w:val="007C3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14"/>
    <w:pPr>
      <w:spacing w:before="160"/>
      <w:jc w:val="center"/>
    </w:pPr>
    <w:rPr>
      <w:i/>
      <w:iCs/>
      <w:color w:val="404040" w:themeColor="text1" w:themeTint="BF"/>
    </w:rPr>
  </w:style>
  <w:style w:type="character" w:customStyle="1" w:styleId="QuoteChar">
    <w:name w:val="Quote Char"/>
    <w:basedOn w:val="DefaultParagraphFont"/>
    <w:link w:val="Quote"/>
    <w:uiPriority w:val="29"/>
    <w:rsid w:val="007C3714"/>
    <w:rPr>
      <w:i/>
      <w:iCs/>
      <w:color w:val="404040" w:themeColor="text1" w:themeTint="BF"/>
    </w:rPr>
  </w:style>
  <w:style w:type="paragraph" w:styleId="ListParagraph">
    <w:name w:val="List Paragraph"/>
    <w:basedOn w:val="Normal"/>
    <w:uiPriority w:val="34"/>
    <w:qFormat/>
    <w:rsid w:val="007C3714"/>
    <w:pPr>
      <w:ind w:left="720"/>
      <w:contextualSpacing/>
    </w:pPr>
  </w:style>
  <w:style w:type="character" w:styleId="IntenseEmphasis">
    <w:name w:val="Intense Emphasis"/>
    <w:basedOn w:val="DefaultParagraphFont"/>
    <w:uiPriority w:val="21"/>
    <w:qFormat/>
    <w:rsid w:val="007C3714"/>
    <w:rPr>
      <w:i/>
      <w:iCs/>
      <w:color w:val="0F4761" w:themeColor="accent1" w:themeShade="BF"/>
    </w:rPr>
  </w:style>
  <w:style w:type="paragraph" w:styleId="IntenseQuote">
    <w:name w:val="Intense Quote"/>
    <w:basedOn w:val="Normal"/>
    <w:next w:val="Normal"/>
    <w:link w:val="IntenseQuoteChar"/>
    <w:uiPriority w:val="30"/>
    <w:qFormat/>
    <w:rsid w:val="007C3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714"/>
    <w:rPr>
      <w:i/>
      <w:iCs/>
      <w:color w:val="0F4761" w:themeColor="accent1" w:themeShade="BF"/>
    </w:rPr>
  </w:style>
  <w:style w:type="character" w:styleId="IntenseReference">
    <w:name w:val="Intense Reference"/>
    <w:basedOn w:val="DefaultParagraphFont"/>
    <w:uiPriority w:val="32"/>
    <w:qFormat/>
    <w:rsid w:val="007C3714"/>
    <w:rPr>
      <w:b/>
      <w:bCs/>
      <w:smallCaps/>
      <w:color w:val="0F4761" w:themeColor="accent1" w:themeShade="BF"/>
      <w:spacing w:val="5"/>
    </w:rPr>
  </w:style>
  <w:style w:type="paragraph" w:styleId="NormalWeb">
    <w:name w:val="Normal (Web)"/>
    <w:basedOn w:val="Normal"/>
    <w:uiPriority w:val="99"/>
    <w:semiHidden/>
    <w:unhideWhenUsed/>
    <w:rsid w:val="00092E70"/>
    <w:rPr>
      <w:rFonts w:ascii="Times New Roman" w:hAnsi="Times New Roman" w:cs="Times New Roman"/>
      <w:sz w:val="24"/>
      <w:szCs w:val="24"/>
    </w:rPr>
  </w:style>
  <w:style w:type="character" w:styleId="Hyperlink">
    <w:name w:val="Hyperlink"/>
    <w:basedOn w:val="DefaultParagraphFont"/>
    <w:uiPriority w:val="99"/>
    <w:unhideWhenUsed/>
    <w:rsid w:val="00E84490"/>
    <w:rPr>
      <w:color w:val="467886" w:themeColor="hyperlink"/>
      <w:u w:val="single"/>
    </w:rPr>
  </w:style>
  <w:style w:type="character" w:styleId="UnresolvedMention">
    <w:name w:val="Unresolved Mention"/>
    <w:basedOn w:val="DefaultParagraphFont"/>
    <w:uiPriority w:val="99"/>
    <w:semiHidden/>
    <w:unhideWhenUsed/>
    <w:rsid w:val="00E8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899">
      <w:bodyDiv w:val="1"/>
      <w:marLeft w:val="0"/>
      <w:marRight w:val="0"/>
      <w:marTop w:val="0"/>
      <w:marBottom w:val="0"/>
      <w:divBdr>
        <w:top w:val="none" w:sz="0" w:space="0" w:color="auto"/>
        <w:left w:val="none" w:sz="0" w:space="0" w:color="auto"/>
        <w:bottom w:val="none" w:sz="0" w:space="0" w:color="auto"/>
        <w:right w:val="none" w:sz="0" w:space="0" w:color="auto"/>
      </w:divBdr>
    </w:div>
    <w:div w:id="767458883">
      <w:bodyDiv w:val="1"/>
      <w:marLeft w:val="0"/>
      <w:marRight w:val="0"/>
      <w:marTop w:val="0"/>
      <w:marBottom w:val="0"/>
      <w:divBdr>
        <w:top w:val="none" w:sz="0" w:space="0" w:color="auto"/>
        <w:left w:val="none" w:sz="0" w:space="0" w:color="auto"/>
        <w:bottom w:val="none" w:sz="0" w:space="0" w:color="auto"/>
        <w:right w:val="none" w:sz="0" w:space="0" w:color="auto"/>
      </w:divBdr>
    </w:div>
    <w:div w:id="781533132">
      <w:bodyDiv w:val="1"/>
      <w:marLeft w:val="0"/>
      <w:marRight w:val="0"/>
      <w:marTop w:val="0"/>
      <w:marBottom w:val="0"/>
      <w:divBdr>
        <w:top w:val="none" w:sz="0" w:space="0" w:color="auto"/>
        <w:left w:val="none" w:sz="0" w:space="0" w:color="auto"/>
        <w:bottom w:val="none" w:sz="0" w:space="0" w:color="auto"/>
        <w:right w:val="none" w:sz="0" w:space="0" w:color="auto"/>
      </w:divBdr>
    </w:div>
    <w:div w:id="857818473">
      <w:bodyDiv w:val="1"/>
      <w:marLeft w:val="0"/>
      <w:marRight w:val="0"/>
      <w:marTop w:val="0"/>
      <w:marBottom w:val="0"/>
      <w:divBdr>
        <w:top w:val="none" w:sz="0" w:space="0" w:color="auto"/>
        <w:left w:val="none" w:sz="0" w:space="0" w:color="auto"/>
        <w:bottom w:val="none" w:sz="0" w:space="0" w:color="auto"/>
        <w:right w:val="none" w:sz="0" w:space="0" w:color="auto"/>
      </w:divBdr>
    </w:div>
    <w:div w:id="872618331">
      <w:bodyDiv w:val="1"/>
      <w:marLeft w:val="0"/>
      <w:marRight w:val="0"/>
      <w:marTop w:val="0"/>
      <w:marBottom w:val="0"/>
      <w:divBdr>
        <w:top w:val="none" w:sz="0" w:space="0" w:color="auto"/>
        <w:left w:val="none" w:sz="0" w:space="0" w:color="auto"/>
        <w:bottom w:val="none" w:sz="0" w:space="0" w:color="auto"/>
        <w:right w:val="none" w:sz="0" w:space="0" w:color="auto"/>
      </w:divBdr>
      <w:divsChild>
        <w:div w:id="1399670934">
          <w:marLeft w:val="0"/>
          <w:marRight w:val="0"/>
          <w:marTop w:val="0"/>
          <w:marBottom w:val="0"/>
          <w:divBdr>
            <w:top w:val="none" w:sz="0" w:space="0" w:color="auto"/>
            <w:left w:val="none" w:sz="0" w:space="0" w:color="auto"/>
            <w:bottom w:val="none" w:sz="0" w:space="0" w:color="auto"/>
            <w:right w:val="none" w:sz="0" w:space="0" w:color="auto"/>
          </w:divBdr>
          <w:divsChild>
            <w:div w:id="1159348207">
              <w:marLeft w:val="0"/>
              <w:marRight w:val="0"/>
              <w:marTop w:val="0"/>
              <w:marBottom w:val="0"/>
              <w:divBdr>
                <w:top w:val="none" w:sz="0" w:space="0" w:color="auto"/>
                <w:left w:val="none" w:sz="0" w:space="0" w:color="auto"/>
                <w:bottom w:val="none" w:sz="0" w:space="0" w:color="auto"/>
                <w:right w:val="none" w:sz="0" w:space="0" w:color="auto"/>
              </w:divBdr>
              <w:divsChild>
                <w:div w:id="710376528">
                  <w:marLeft w:val="0"/>
                  <w:marRight w:val="0"/>
                  <w:marTop w:val="0"/>
                  <w:marBottom w:val="0"/>
                  <w:divBdr>
                    <w:top w:val="none" w:sz="0" w:space="0" w:color="auto"/>
                    <w:left w:val="none" w:sz="0" w:space="0" w:color="auto"/>
                    <w:bottom w:val="none" w:sz="0" w:space="0" w:color="auto"/>
                    <w:right w:val="none" w:sz="0" w:space="0" w:color="auto"/>
                  </w:divBdr>
                  <w:divsChild>
                    <w:div w:id="14867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80103">
      <w:bodyDiv w:val="1"/>
      <w:marLeft w:val="0"/>
      <w:marRight w:val="0"/>
      <w:marTop w:val="0"/>
      <w:marBottom w:val="0"/>
      <w:divBdr>
        <w:top w:val="none" w:sz="0" w:space="0" w:color="auto"/>
        <w:left w:val="none" w:sz="0" w:space="0" w:color="auto"/>
        <w:bottom w:val="none" w:sz="0" w:space="0" w:color="auto"/>
        <w:right w:val="none" w:sz="0" w:space="0" w:color="auto"/>
      </w:divBdr>
    </w:div>
    <w:div w:id="896086373">
      <w:bodyDiv w:val="1"/>
      <w:marLeft w:val="0"/>
      <w:marRight w:val="0"/>
      <w:marTop w:val="0"/>
      <w:marBottom w:val="0"/>
      <w:divBdr>
        <w:top w:val="none" w:sz="0" w:space="0" w:color="auto"/>
        <w:left w:val="none" w:sz="0" w:space="0" w:color="auto"/>
        <w:bottom w:val="none" w:sz="0" w:space="0" w:color="auto"/>
        <w:right w:val="none" w:sz="0" w:space="0" w:color="auto"/>
      </w:divBdr>
    </w:div>
    <w:div w:id="1120031401">
      <w:bodyDiv w:val="1"/>
      <w:marLeft w:val="0"/>
      <w:marRight w:val="0"/>
      <w:marTop w:val="0"/>
      <w:marBottom w:val="0"/>
      <w:divBdr>
        <w:top w:val="none" w:sz="0" w:space="0" w:color="auto"/>
        <w:left w:val="none" w:sz="0" w:space="0" w:color="auto"/>
        <w:bottom w:val="none" w:sz="0" w:space="0" w:color="auto"/>
        <w:right w:val="none" w:sz="0" w:space="0" w:color="auto"/>
      </w:divBdr>
    </w:div>
    <w:div w:id="1499345119">
      <w:bodyDiv w:val="1"/>
      <w:marLeft w:val="0"/>
      <w:marRight w:val="0"/>
      <w:marTop w:val="0"/>
      <w:marBottom w:val="0"/>
      <w:divBdr>
        <w:top w:val="none" w:sz="0" w:space="0" w:color="auto"/>
        <w:left w:val="none" w:sz="0" w:space="0" w:color="auto"/>
        <w:bottom w:val="none" w:sz="0" w:space="0" w:color="auto"/>
        <w:right w:val="none" w:sz="0" w:space="0" w:color="auto"/>
      </w:divBdr>
    </w:div>
    <w:div w:id="1547331221">
      <w:bodyDiv w:val="1"/>
      <w:marLeft w:val="0"/>
      <w:marRight w:val="0"/>
      <w:marTop w:val="0"/>
      <w:marBottom w:val="0"/>
      <w:divBdr>
        <w:top w:val="none" w:sz="0" w:space="0" w:color="auto"/>
        <w:left w:val="none" w:sz="0" w:space="0" w:color="auto"/>
        <w:bottom w:val="none" w:sz="0" w:space="0" w:color="auto"/>
        <w:right w:val="none" w:sz="0" w:space="0" w:color="auto"/>
      </w:divBdr>
    </w:div>
    <w:div w:id="1557667357">
      <w:bodyDiv w:val="1"/>
      <w:marLeft w:val="0"/>
      <w:marRight w:val="0"/>
      <w:marTop w:val="0"/>
      <w:marBottom w:val="0"/>
      <w:divBdr>
        <w:top w:val="none" w:sz="0" w:space="0" w:color="auto"/>
        <w:left w:val="none" w:sz="0" w:space="0" w:color="auto"/>
        <w:bottom w:val="none" w:sz="0" w:space="0" w:color="auto"/>
        <w:right w:val="none" w:sz="0" w:space="0" w:color="auto"/>
      </w:divBdr>
    </w:div>
    <w:div w:id="1565721871">
      <w:bodyDiv w:val="1"/>
      <w:marLeft w:val="0"/>
      <w:marRight w:val="0"/>
      <w:marTop w:val="0"/>
      <w:marBottom w:val="0"/>
      <w:divBdr>
        <w:top w:val="none" w:sz="0" w:space="0" w:color="auto"/>
        <w:left w:val="none" w:sz="0" w:space="0" w:color="auto"/>
        <w:bottom w:val="none" w:sz="0" w:space="0" w:color="auto"/>
        <w:right w:val="none" w:sz="0" w:space="0" w:color="auto"/>
      </w:divBdr>
    </w:div>
    <w:div w:id="1648319684">
      <w:bodyDiv w:val="1"/>
      <w:marLeft w:val="0"/>
      <w:marRight w:val="0"/>
      <w:marTop w:val="0"/>
      <w:marBottom w:val="0"/>
      <w:divBdr>
        <w:top w:val="none" w:sz="0" w:space="0" w:color="auto"/>
        <w:left w:val="none" w:sz="0" w:space="0" w:color="auto"/>
        <w:bottom w:val="none" w:sz="0" w:space="0" w:color="auto"/>
        <w:right w:val="none" w:sz="0" w:space="0" w:color="auto"/>
      </w:divBdr>
    </w:div>
    <w:div w:id="1760364350">
      <w:bodyDiv w:val="1"/>
      <w:marLeft w:val="0"/>
      <w:marRight w:val="0"/>
      <w:marTop w:val="0"/>
      <w:marBottom w:val="0"/>
      <w:divBdr>
        <w:top w:val="none" w:sz="0" w:space="0" w:color="auto"/>
        <w:left w:val="none" w:sz="0" w:space="0" w:color="auto"/>
        <w:bottom w:val="none" w:sz="0" w:space="0" w:color="auto"/>
        <w:right w:val="none" w:sz="0" w:space="0" w:color="auto"/>
      </w:divBdr>
    </w:div>
    <w:div w:id="1842962887">
      <w:bodyDiv w:val="1"/>
      <w:marLeft w:val="0"/>
      <w:marRight w:val="0"/>
      <w:marTop w:val="0"/>
      <w:marBottom w:val="0"/>
      <w:divBdr>
        <w:top w:val="none" w:sz="0" w:space="0" w:color="auto"/>
        <w:left w:val="none" w:sz="0" w:space="0" w:color="auto"/>
        <w:bottom w:val="none" w:sz="0" w:space="0" w:color="auto"/>
        <w:right w:val="none" w:sz="0" w:space="0" w:color="auto"/>
      </w:divBdr>
      <w:divsChild>
        <w:div w:id="223225398">
          <w:marLeft w:val="0"/>
          <w:marRight w:val="0"/>
          <w:marTop w:val="0"/>
          <w:marBottom w:val="0"/>
          <w:divBdr>
            <w:top w:val="none" w:sz="0" w:space="0" w:color="auto"/>
            <w:left w:val="none" w:sz="0" w:space="0" w:color="auto"/>
            <w:bottom w:val="none" w:sz="0" w:space="0" w:color="auto"/>
            <w:right w:val="none" w:sz="0" w:space="0" w:color="auto"/>
          </w:divBdr>
          <w:divsChild>
            <w:div w:id="216168900">
              <w:marLeft w:val="0"/>
              <w:marRight w:val="0"/>
              <w:marTop w:val="0"/>
              <w:marBottom w:val="0"/>
              <w:divBdr>
                <w:top w:val="none" w:sz="0" w:space="0" w:color="auto"/>
                <w:left w:val="none" w:sz="0" w:space="0" w:color="auto"/>
                <w:bottom w:val="none" w:sz="0" w:space="0" w:color="auto"/>
                <w:right w:val="none" w:sz="0" w:space="0" w:color="auto"/>
              </w:divBdr>
              <w:divsChild>
                <w:div w:id="1585145730">
                  <w:marLeft w:val="0"/>
                  <w:marRight w:val="0"/>
                  <w:marTop w:val="0"/>
                  <w:marBottom w:val="0"/>
                  <w:divBdr>
                    <w:top w:val="none" w:sz="0" w:space="0" w:color="auto"/>
                    <w:left w:val="none" w:sz="0" w:space="0" w:color="auto"/>
                    <w:bottom w:val="none" w:sz="0" w:space="0" w:color="auto"/>
                    <w:right w:val="none" w:sz="0" w:space="0" w:color="auto"/>
                  </w:divBdr>
                  <w:divsChild>
                    <w:div w:id="19023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6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3"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8"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2"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7" Type="http://schemas.openxmlformats.org/officeDocument/2006/relationships/hyperlink" Target="https://www.rcrc-resilience-southeastasia.org/wp-content/uploads/2017/12/Penal-Code-Act-574.pdf" TargetMode="External"/><Relationship Id="rId2" Type="http://schemas.openxmlformats.org/officeDocument/2006/relationships/styles" Target="styles.xml"/><Relationship Id="rId16" Type="http://schemas.openxmlformats.org/officeDocument/2006/relationships/hyperlink" Target="https://www.jac.gov.my/spk/images/stories/10_akta/perlembagaan_persekutuan/federal_constitutio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1"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5"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5"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0"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9"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4" Type="http://schemas.openxmlformats.org/officeDocument/2006/relationships/webSettings" Target="webSettings.xml"/><Relationship Id="rId9"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 Id="rId14" Type="http://schemas.openxmlformats.org/officeDocument/2006/relationships/hyperlink" Target="https://advance.lexis.com/document/teaserdocument/?pdmfid=1522468&amp;crid=79f1d470-8ad8-4467-9cd7-79eb8b1d20a5&amp;pdteaserkey=h1&amp;pdicsfeatureid=1521734&amp;pditab=allpods&amp;pddocfullpath=%2Fshared%2Fdocument%2Fcases-my%2Furn%3AcontentItem%3A6C5G-D0B3-RRJN-H4BC-00000-00&amp;ecomp=hcrrk&amp;earg=sr0&amp;prid=39f9dc52-4c9b-440f-8c06-3b115e7ad7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Rajh</dc:creator>
  <cp:keywords/>
  <dc:description/>
  <cp:lastModifiedBy>Hans Rajh</cp:lastModifiedBy>
  <cp:revision>2</cp:revision>
  <dcterms:created xsi:type="dcterms:W3CDTF">2025-01-04T15:50:00Z</dcterms:created>
  <dcterms:modified xsi:type="dcterms:W3CDTF">2025-01-04T15:50:00Z</dcterms:modified>
</cp:coreProperties>
</file>