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8eaadb" w:val="clear"/>
        <w:spacing w:line="276" w:lineRule="auto"/>
        <w:jc w:val="center"/>
        <w:rPr>
          <w:rFonts w:ascii="Garamond" w:cs="Garamond" w:eastAsia="Garamond" w:hAnsi="Garamond"/>
          <w:b w:val="1"/>
          <w:color w:val="000000"/>
          <w:sz w:val="22"/>
          <w:szCs w:val="22"/>
        </w:rPr>
      </w:pPr>
      <w:r w:rsidDel="00000000" w:rsidR="00000000" w:rsidRPr="00000000">
        <w:rPr>
          <w:rFonts w:ascii="Garamond" w:cs="Garamond" w:eastAsia="Garamond" w:hAnsi="Garamond"/>
          <w:b w:val="1"/>
          <w:i w:val="1"/>
          <w:color w:val="000000"/>
          <w:sz w:val="22"/>
          <w:szCs w:val="22"/>
          <w:rtl w:val="0"/>
        </w:rPr>
        <w:t xml:space="preserve">Case Title: The Case of </w:t>
      </w:r>
      <w:r w:rsidDel="00000000" w:rsidR="00000000" w:rsidRPr="00000000">
        <w:rPr>
          <w:rFonts w:ascii="Garamond" w:cs="Garamond" w:eastAsia="Garamond" w:hAnsi="Garamond"/>
          <w:b w:val="1"/>
          <w:i w:val="1"/>
          <w:sz w:val="22"/>
          <w:szCs w:val="22"/>
          <w:rtl w:val="0"/>
        </w:rPr>
        <w:t xml:space="preserve">Schild &amp; Vrienden (S&amp;V)</w:t>
      </w:r>
      <w:r w:rsidDel="00000000" w:rsidR="00000000" w:rsidRPr="00000000">
        <w:rPr>
          <w:rtl w:val="0"/>
        </w:rPr>
      </w:r>
    </w:p>
    <w:p w:rsidR="00000000" w:rsidDel="00000000" w:rsidP="00000000" w:rsidRDefault="00000000" w:rsidRPr="00000000" w14:paraId="00000002">
      <w:pPr>
        <w:shd w:fill="8eaadb" w:val="clear"/>
        <w:spacing w:line="276" w:lineRule="auto"/>
        <w:jc w:val="center"/>
        <w:rPr>
          <w:rFonts w:ascii="Garamond" w:cs="Garamond" w:eastAsia="Garamond" w:hAnsi="Garamond"/>
          <w:b w:val="1"/>
          <w:color w:val="000000"/>
          <w:sz w:val="22"/>
          <w:szCs w:val="22"/>
        </w:rPr>
      </w:pPr>
      <w:r w:rsidDel="00000000" w:rsidR="00000000" w:rsidRPr="00000000">
        <w:rPr>
          <w:rFonts w:ascii="Garamond" w:cs="Garamond" w:eastAsia="Garamond" w:hAnsi="Garamond"/>
          <w:b w:val="1"/>
          <w:color w:val="000000"/>
          <w:sz w:val="22"/>
          <w:szCs w:val="22"/>
          <w:rtl w:val="0"/>
        </w:rPr>
        <w:t xml:space="preserve">Case Analysis </w:t>
      </w:r>
    </w:p>
    <w:p w:rsidR="00000000" w:rsidDel="00000000" w:rsidP="00000000" w:rsidRDefault="00000000" w:rsidRPr="00000000" w14:paraId="00000003">
      <w:pPr>
        <w:spacing w:line="276" w:lineRule="auto"/>
        <w:jc w:val="cente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04">
      <w:pPr>
        <w:spacing w:line="276" w:lineRule="auto"/>
        <w:jc w:val="both"/>
        <w:rPr>
          <w:rFonts w:ascii="Garamond" w:cs="Garamond" w:eastAsia="Garamond" w:hAnsi="Garamond"/>
          <w:b w:val="1"/>
          <w:sz w:val="22"/>
          <w:szCs w:val="22"/>
        </w:rPr>
      </w:pPr>
      <w:r w:rsidDel="00000000" w:rsidR="00000000" w:rsidRPr="00000000">
        <w:rPr>
          <w:rFonts w:ascii="Garamond" w:cs="Garamond" w:eastAsia="Garamond" w:hAnsi="Garamond"/>
          <w:b w:val="1"/>
          <w:i w:val="1"/>
          <w:sz w:val="22"/>
          <w:szCs w:val="22"/>
          <w:u w:val="single"/>
          <w:rtl w:val="0"/>
        </w:rPr>
        <w:t xml:space="preserve">Meta-Data</w:t>
      </w:r>
      <w:r w:rsidDel="00000000" w:rsidR="00000000" w:rsidRPr="00000000">
        <w:rPr>
          <w:rFonts w:ascii="Garamond" w:cs="Garamond" w:eastAsia="Garamond" w:hAnsi="Garamond"/>
          <w:b w:val="1"/>
          <w:sz w:val="22"/>
          <w:szCs w:val="22"/>
          <w:rtl w:val="0"/>
        </w:rPr>
        <w:t xml:space="preserve">: </w:t>
      </w:r>
    </w:p>
    <w:p w:rsidR="00000000" w:rsidDel="00000000" w:rsidP="00000000" w:rsidRDefault="00000000" w:rsidRPr="00000000" w14:paraId="00000005">
      <w:pPr>
        <w:numPr>
          <w:ilvl w:val="0"/>
          <w:numId w:val="6"/>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Case Number</w:t>
      </w:r>
      <w:r w:rsidDel="00000000" w:rsidR="00000000" w:rsidRPr="00000000">
        <w:rPr>
          <w:rFonts w:ascii="Garamond" w:cs="Garamond" w:eastAsia="Garamond" w:hAnsi="Garamond"/>
          <w:sz w:val="22"/>
          <w:szCs w:val="22"/>
          <w:rtl w:val="0"/>
        </w:rPr>
        <w:t xml:space="preserve">: Redacted</w:t>
      </w:r>
    </w:p>
    <w:p w:rsidR="00000000" w:rsidDel="00000000" w:rsidP="00000000" w:rsidRDefault="00000000" w:rsidRPr="00000000" w14:paraId="00000006">
      <w:pPr>
        <w:numPr>
          <w:ilvl w:val="0"/>
          <w:numId w:val="6"/>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Date of decision</w:t>
      </w:r>
      <w:r w:rsidDel="00000000" w:rsidR="00000000" w:rsidRPr="00000000">
        <w:rPr>
          <w:rFonts w:ascii="Garamond" w:cs="Garamond" w:eastAsia="Garamond" w:hAnsi="Garamond"/>
          <w:sz w:val="22"/>
          <w:szCs w:val="22"/>
          <w:rtl w:val="0"/>
        </w:rPr>
        <w:t xml:space="preserve">: June 20, 2025</w:t>
      </w:r>
    </w:p>
    <w:p w:rsidR="00000000" w:rsidDel="00000000" w:rsidP="00000000" w:rsidRDefault="00000000" w:rsidRPr="00000000" w14:paraId="00000007">
      <w:pPr>
        <w:numPr>
          <w:ilvl w:val="0"/>
          <w:numId w:val="6"/>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Featured case</w:t>
      </w:r>
      <w:r w:rsidDel="00000000" w:rsidR="00000000" w:rsidRPr="00000000">
        <w:rPr>
          <w:rFonts w:ascii="Garamond" w:cs="Garamond" w:eastAsia="Garamond" w:hAnsi="Garamond"/>
          <w:sz w:val="22"/>
          <w:szCs w:val="22"/>
          <w:rtl w:val="0"/>
        </w:rPr>
        <w:t xml:space="preserve">: N/A</w:t>
      </w:r>
    </w:p>
    <w:p w:rsidR="00000000" w:rsidDel="00000000" w:rsidP="00000000" w:rsidRDefault="00000000" w:rsidRPr="00000000" w14:paraId="00000008">
      <w:pPr>
        <w:numPr>
          <w:ilvl w:val="0"/>
          <w:numId w:val="6"/>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Region</w:t>
      </w:r>
      <w:r w:rsidDel="00000000" w:rsidR="00000000" w:rsidRPr="00000000">
        <w:rPr>
          <w:rFonts w:ascii="Garamond" w:cs="Garamond" w:eastAsia="Garamond" w:hAnsi="Garamond"/>
          <w:sz w:val="22"/>
          <w:szCs w:val="22"/>
          <w:rtl w:val="0"/>
        </w:rPr>
        <w:t xml:space="preserve">: Europe and Central Asia</w:t>
      </w:r>
    </w:p>
    <w:p w:rsidR="00000000" w:rsidDel="00000000" w:rsidP="00000000" w:rsidRDefault="00000000" w:rsidRPr="00000000" w14:paraId="00000009">
      <w:pPr>
        <w:numPr>
          <w:ilvl w:val="0"/>
          <w:numId w:val="6"/>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Country</w:t>
      </w:r>
      <w:r w:rsidDel="00000000" w:rsidR="00000000" w:rsidRPr="00000000">
        <w:rPr>
          <w:rFonts w:ascii="Garamond" w:cs="Garamond" w:eastAsia="Garamond" w:hAnsi="Garamond"/>
          <w:sz w:val="22"/>
          <w:szCs w:val="22"/>
          <w:rtl w:val="0"/>
        </w:rPr>
        <w:t xml:space="preserve">: Belgium</w:t>
      </w:r>
    </w:p>
    <w:p w:rsidR="00000000" w:rsidDel="00000000" w:rsidP="00000000" w:rsidRDefault="00000000" w:rsidRPr="00000000" w14:paraId="0000000A">
      <w:pPr>
        <w:numPr>
          <w:ilvl w:val="0"/>
          <w:numId w:val="6"/>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Type of expression</w:t>
      </w:r>
      <w:r w:rsidDel="00000000" w:rsidR="00000000" w:rsidRPr="00000000">
        <w:rPr>
          <w:rFonts w:ascii="Garamond" w:cs="Garamond" w:eastAsia="Garamond" w:hAnsi="Garamond"/>
          <w:sz w:val="22"/>
          <w:szCs w:val="22"/>
          <w:rtl w:val="0"/>
        </w:rPr>
        <w:t xml:space="preserve">: Electronic / Internet-based Communication</w:t>
      </w:r>
    </w:p>
    <w:p w:rsidR="00000000" w:rsidDel="00000000" w:rsidP="00000000" w:rsidRDefault="00000000" w:rsidRPr="00000000" w14:paraId="0000000B">
      <w:pPr>
        <w:numPr>
          <w:ilvl w:val="0"/>
          <w:numId w:val="6"/>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Judicial Body</w:t>
      </w:r>
      <w:r w:rsidDel="00000000" w:rsidR="00000000" w:rsidRPr="00000000">
        <w:rPr>
          <w:rFonts w:ascii="Garamond" w:cs="Garamond" w:eastAsia="Garamond" w:hAnsi="Garamond"/>
          <w:sz w:val="22"/>
          <w:szCs w:val="22"/>
          <w:rtl w:val="0"/>
        </w:rPr>
        <w:t xml:space="preserve">: Court of Appeal, Ghent, 10th Chamber</w:t>
      </w:r>
    </w:p>
    <w:p w:rsidR="00000000" w:rsidDel="00000000" w:rsidP="00000000" w:rsidRDefault="00000000" w:rsidRPr="00000000" w14:paraId="0000000C">
      <w:pPr>
        <w:numPr>
          <w:ilvl w:val="0"/>
          <w:numId w:val="6"/>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Type of law</w:t>
      </w:r>
      <w:r w:rsidDel="00000000" w:rsidR="00000000" w:rsidRPr="00000000">
        <w:rPr>
          <w:rFonts w:ascii="Garamond" w:cs="Garamond" w:eastAsia="Garamond" w:hAnsi="Garamond"/>
          <w:sz w:val="22"/>
          <w:szCs w:val="22"/>
          <w:rtl w:val="0"/>
        </w:rPr>
        <w:t xml:space="preserve">: Criminal Law</w:t>
      </w:r>
    </w:p>
    <w:p w:rsidR="00000000" w:rsidDel="00000000" w:rsidP="00000000" w:rsidRDefault="00000000" w:rsidRPr="00000000" w14:paraId="0000000D">
      <w:pPr>
        <w:numPr>
          <w:ilvl w:val="0"/>
          <w:numId w:val="6"/>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Main Themes</w:t>
      </w:r>
      <w:r w:rsidDel="00000000" w:rsidR="00000000" w:rsidRPr="00000000">
        <w:rPr>
          <w:rFonts w:ascii="Garamond" w:cs="Garamond" w:eastAsia="Garamond" w:hAnsi="Garamond"/>
          <w:sz w:val="22"/>
          <w:szCs w:val="22"/>
          <w:rtl w:val="0"/>
        </w:rPr>
        <w:t xml:space="preserve">: Hate Speech, Political Expression</w:t>
      </w:r>
    </w:p>
    <w:p w:rsidR="00000000" w:rsidDel="00000000" w:rsidP="00000000" w:rsidRDefault="00000000" w:rsidRPr="00000000" w14:paraId="0000000E">
      <w:pPr>
        <w:numPr>
          <w:ilvl w:val="0"/>
          <w:numId w:val="6"/>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Outcome</w:t>
      </w:r>
      <w:r w:rsidDel="00000000" w:rsidR="00000000" w:rsidRPr="00000000">
        <w:rPr>
          <w:rFonts w:ascii="Garamond" w:cs="Garamond" w:eastAsia="Garamond" w:hAnsi="Garamond"/>
          <w:sz w:val="22"/>
          <w:szCs w:val="22"/>
          <w:rtl w:val="0"/>
        </w:rPr>
        <w:t xml:space="preserve">: Mixed Outcome</w:t>
      </w:r>
    </w:p>
    <w:p w:rsidR="00000000" w:rsidDel="00000000" w:rsidP="00000000" w:rsidRDefault="00000000" w:rsidRPr="00000000" w14:paraId="0000000F">
      <w:pPr>
        <w:numPr>
          <w:ilvl w:val="0"/>
          <w:numId w:val="6"/>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Status</w:t>
      </w:r>
      <w:r w:rsidDel="00000000" w:rsidR="00000000" w:rsidRPr="00000000">
        <w:rPr>
          <w:rFonts w:ascii="Garamond" w:cs="Garamond" w:eastAsia="Garamond" w:hAnsi="Garamond"/>
          <w:sz w:val="22"/>
          <w:szCs w:val="22"/>
          <w:rtl w:val="0"/>
        </w:rPr>
        <w:t xml:space="preserve">: On final appeal (Cassation)</w:t>
      </w:r>
    </w:p>
    <w:p w:rsidR="00000000" w:rsidDel="00000000" w:rsidP="00000000" w:rsidRDefault="00000000" w:rsidRPr="00000000" w14:paraId="00000010">
      <w:pPr>
        <w:numPr>
          <w:ilvl w:val="0"/>
          <w:numId w:val="6"/>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Tags</w:t>
      </w:r>
      <w:r w:rsidDel="00000000" w:rsidR="00000000" w:rsidRPr="00000000">
        <w:rPr>
          <w:rFonts w:ascii="Garamond" w:cs="Garamond" w:eastAsia="Garamond" w:hAnsi="Garamond"/>
          <w:sz w:val="22"/>
          <w:szCs w:val="22"/>
          <w:rtl w:val="0"/>
        </w:rPr>
        <w:t xml:space="preserve">: Social Media, Meme, Satire/Parody, Cartoons, Racism, Denialism</w:t>
      </w:r>
    </w:p>
    <w:p w:rsidR="00000000" w:rsidDel="00000000" w:rsidP="00000000" w:rsidRDefault="00000000" w:rsidRPr="00000000" w14:paraId="00000011">
      <w:pPr>
        <w:spacing w:line="276" w:lineRule="auto"/>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2">
      <w:pPr>
        <w:spacing w:line="276" w:lineRule="auto"/>
        <w:jc w:val="both"/>
        <w:rPr>
          <w:rFonts w:ascii="Garamond" w:cs="Garamond" w:eastAsia="Garamond" w:hAnsi="Garamond"/>
          <w:color w:val="000000"/>
          <w:sz w:val="22"/>
          <w:szCs w:val="22"/>
        </w:rPr>
      </w:pPr>
      <w:r w:rsidDel="00000000" w:rsidR="00000000" w:rsidRPr="00000000">
        <w:rPr>
          <w:rFonts w:ascii="Garamond" w:cs="Garamond" w:eastAsia="Garamond" w:hAnsi="Garamond"/>
          <w:b w:val="1"/>
          <w:i w:val="1"/>
          <w:color w:val="000000"/>
          <w:sz w:val="22"/>
          <w:szCs w:val="22"/>
          <w:u w:val="single"/>
          <w:rtl w:val="0"/>
        </w:rPr>
        <w:t xml:space="preserve">Analysis:</w:t>
      </w:r>
      <w:r w:rsidDel="00000000" w:rsidR="00000000" w:rsidRPr="00000000">
        <w:rPr>
          <w:rtl w:val="0"/>
        </w:rPr>
      </w:r>
    </w:p>
    <w:p w:rsidR="00000000" w:rsidDel="00000000" w:rsidP="00000000" w:rsidRDefault="00000000" w:rsidRPr="00000000" w14:paraId="00000013">
      <w:pPr>
        <w:numPr>
          <w:ilvl w:val="0"/>
          <w:numId w:val="3"/>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Summary and Outcome</w:t>
      </w:r>
      <w:r w:rsidDel="00000000" w:rsidR="00000000" w:rsidRPr="00000000">
        <w:rPr>
          <w:rFonts w:ascii="Garamond" w:cs="Garamond" w:eastAsia="Garamond" w:hAnsi="Garamond"/>
          <w:sz w:val="22"/>
          <w:szCs w:val="22"/>
          <w:rtl w:val="0"/>
        </w:rPr>
        <w:t xml:space="preserve">: </w:t>
      </w:r>
    </w:p>
    <w:p w:rsidR="00000000" w:rsidDel="00000000" w:rsidP="00000000" w:rsidRDefault="00000000" w:rsidRPr="00000000" w14:paraId="00000014">
      <w:pPr>
        <w:spacing w:line="276" w:lineRule="auto"/>
        <w:ind w:left="0" w:firstLine="0"/>
        <w:jc w:val="both"/>
        <w:rPr>
          <w:rFonts w:ascii="Garamond" w:cs="Garamond" w:eastAsia="Garamond" w:hAnsi="Garamond"/>
          <w:color w:val="38761d"/>
          <w:sz w:val="22"/>
          <w:szCs w:val="22"/>
        </w:rPr>
      </w:pPr>
      <w:r w:rsidDel="00000000" w:rsidR="00000000" w:rsidRPr="00000000">
        <w:rPr>
          <w:rFonts w:ascii="Garamond" w:cs="Garamond" w:eastAsia="Garamond" w:hAnsi="Garamond"/>
          <w:sz w:val="22"/>
          <w:szCs w:val="22"/>
          <w:rtl w:val="0"/>
        </w:rPr>
        <w:t xml:space="preserve">The Ghent Court of Appeal upheld the conviction of several members of Schild &amp; Vrienden (S&amp;V), a far-right youth movement, for promoting racial discrimination, Holocaust denial, and incitement to hatred and violence. The case arose after a documentary revealed S&amp;V’s closed Facebook and Discord groups where members shared racist, antisemitic, and violent content under the guise of humor. The Court found that these groups functioned as a structured association that intentionally disseminated hateful messages to incite discrimination and prepare for violence against racial minorities and Jewish communities. It rejected the defense that the content was merely jokes, emphasizing that the use of memes was a deliberate strategy to normalize racism. The Court also held the group’s leader responsible as a co-perpetrator for allowing Holocaust denial content to circulate in the virtual spaces he controlled. By recognizing delays in the trial, the Court confirmed the convictions but reduced some of the penalties.</w:t>
      </w:r>
      <w:r w:rsidDel="00000000" w:rsidR="00000000" w:rsidRPr="00000000">
        <w:rPr>
          <w:rtl w:val="0"/>
        </w:rPr>
      </w:r>
    </w:p>
    <w:p w:rsidR="00000000" w:rsidDel="00000000" w:rsidP="00000000" w:rsidRDefault="00000000" w:rsidRPr="00000000" w14:paraId="00000015">
      <w:pPr>
        <w:spacing w:line="276" w:lineRule="auto"/>
        <w:ind w:left="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6">
      <w:pPr>
        <w:spacing w:line="276" w:lineRule="auto"/>
        <w:ind w:left="0" w:firstLine="0"/>
        <w:jc w:val="both"/>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Columbia Global Freedom of Expression notes that some of the information contained in this report was derived from secondary sources.</w:t>
      </w:r>
    </w:p>
    <w:p w:rsidR="00000000" w:rsidDel="00000000" w:rsidP="00000000" w:rsidRDefault="00000000" w:rsidRPr="00000000" w14:paraId="00000017">
      <w:pPr>
        <w:spacing w:line="276" w:lineRule="auto"/>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8">
      <w:pPr>
        <w:numPr>
          <w:ilvl w:val="0"/>
          <w:numId w:val="8"/>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Facts</w:t>
      </w:r>
      <w:r w:rsidDel="00000000" w:rsidR="00000000" w:rsidRPr="00000000">
        <w:rPr>
          <w:rFonts w:ascii="Garamond" w:cs="Garamond" w:eastAsia="Garamond" w:hAnsi="Garamond"/>
          <w:sz w:val="22"/>
          <w:szCs w:val="22"/>
          <w:rtl w:val="0"/>
        </w:rPr>
        <w:t xml:space="preserve">: </w:t>
      </w:r>
    </w:p>
    <w:p w:rsidR="00000000" w:rsidDel="00000000" w:rsidP="00000000" w:rsidRDefault="00000000" w:rsidRPr="00000000" w14:paraId="00000019">
      <w:pPr>
        <w:spacing w:line="276" w:lineRule="auto"/>
        <w:ind w:lef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On September 5, 2018, the Flemish Radio and Television Broadcasting Organization (VRT) aired a documentary on Schild &amp; Vrienden (S&amp;V), a popular far-right youth movement. The documentary revealed S&amp;V’s secret “inner workings” through an undercover journalist and discussed how S&amp;V maintained private chat groups on Facebook and Discord where they shared racist, fascist and sexist messages and Holocaust denial memes. </w:t>
      </w:r>
    </w:p>
    <w:p w:rsidR="00000000" w:rsidDel="00000000" w:rsidP="00000000" w:rsidRDefault="00000000" w:rsidRPr="00000000" w14:paraId="0000001A">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documentary prompted a criminal investigation. Authorities seized raw VRT footage and suspects’ computers. While Facebook declined to cooperate, an “ethical hacker” (NOBOT) verified deleted Discord content. A report by Textgain, which uses AI to detect hate speech, confirmed the presence of “large quantities of [racist and negationist] material.” [First Instance Court decision, para. 7] Several suspects also admitted the existence of the private groups during interrogation.</w:t>
      </w:r>
    </w:p>
    <w:p w:rsidR="00000000" w:rsidDel="00000000" w:rsidP="00000000" w:rsidRDefault="00000000" w:rsidRPr="00000000" w14:paraId="0000001B">
      <w:pPr>
        <w:spacing w:line="276" w:lineRule="auto"/>
        <w:ind w:lef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Eleven members of S&amp;V were charged with inciting racial discrimination, segregation, hatred, or violence against a group, a community, or its members (under </w:t>
      </w:r>
      <w:hyperlink r:id="rId9">
        <w:r w:rsidDel="00000000" w:rsidR="00000000" w:rsidRPr="00000000">
          <w:rPr>
            <w:rFonts w:ascii="Garamond" w:cs="Garamond" w:eastAsia="Garamond" w:hAnsi="Garamond"/>
            <w:color w:val="1155cc"/>
            <w:sz w:val="22"/>
            <w:szCs w:val="22"/>
            <w:u w:val="single"/>
            <w:rtl w:val="0"/>
          </w:rPr>
          <w:t xml:space="preserve">Article 20, 3º and 4º Anti-Racism Law</w:t>
        </w:r>
      </w:hyperlink>
      <w:r w:rsidDel="00000000" w:rsidR="00000000" w:rsidRPr="00000000">
        <w:rPr>
          <w:rFonts w:ascii="Garamond" w:cs="Garamond" w:eastAsia="Garamond" w:hAnsi="Garamond"/>
          <w:sz w:val="22"/>
          <w:szCs w:val="22"/>
          <w:rtl w:val="0"/>
        </w:rPr>
        <w:t xml:space="preserve">); denying, minimizing, justifying, or approving of the Holocaust (under </w:t>
      </w:r>
      <w:hyperlink r:id="rId10">
        <w:r w:rsidDel="00000000" w:rsidR="00000000" w:rsidRPr="00000000">
          <w:rPr>
            <w:rFonts w:ascii="Garamond" w:cs="Garamond" w:eastAsia="Garamond" w:hAnsi="Garamond"/>
            <w:color w:val="1155cc"/>
            <w:sz w:val="22"/>
            <w:szCs w:val="22"/>
            <w:u w:val="single"/>
            <w:rtl w:val="0"/>
          </w:rPr>
          <w:t xml:space="preserve">Article 1 Holocaust Denialism Law</w:t>
        </w:r>
      </w:hyperlink>
      <w:r w:rsidDel="00000000" w:rsidR="00000000" w:rsidRPr="00000000">
        <w:rPr>
          <w:rFonts w:ascii="Garamond" w:cs="Garamond" w:eastAsia="Garamond" w:hAnsi="Garamond"/>
          <w:sz w:val="22"/>
          <w:szCs w:val="22"/>
          <w:rtl w:val="0"/>
        </w:rPr>
        <w:t xml:space="preserve">); spreading ideas based on racial hatred and racial superiority (under </w:t>
      </w:r>
      <w:hyperlink r:id="rId11">
        <w:r w:rsidDel="00000000" w:rsidR="00000000" w:rsidRPr="00000000">
          <w:rPr>
            <w:rFonts w:ascii="Garamond" w:cs="Garamond" w:eastAsia="Garamond" w:hAnsi="Garamond"/>
            <w:color w:val="1155cc"/>
            <w:sz w:val="22"/>
            <w:szCs w:val="22"/>
            <w:u w:val="single"/>
            <w:rtl w:val="0"/>
          </w:rPr>
          <w:t xml:space="preserve">Article 21 Anti-Racism Law</w:t>
        </w:r>
      </w:hyperlink>
      <w:r w:rsidDel="00000000" w:rsidR="00000000" w:rsidRPr="00000000">
        <w:rPr>
          <w:rFonts w:ascii="Garamond" w:cs="Garamond" w:eastAsia="Garamond" w:hAnsi="Garamond"/>
          <w:sz w:val="22"/>
          <w:szCs w:val="22"/>
          <w:rtl w:val="0"/>
        </w:rPr>
        <w:t xml:space="preserve">); belonging to an association that promotes discrimination and segregation (under </w:t>
      </w:r>
      <w:hyperlink r:id="rId12">
        <w:r w:rsidDel="00000000" w:rsidR="00000000" w:rsidRPr="00000000">
          <w:rPr>
            <w:rFonts w:ascii="Garamond" w:cs="Garamond" w:eastAsia="Garamond" w:hAnsi="Garamond"/>
            <w:color w:val="1155cc"/>
            <w:sz w:val="22"/>
            <w:szCs w:val="22"/>
            <w:u w:val="single"/>
            <w:rtl w:val="0"/>
          </w:rPr>
          <w:t xml:space="preserve">Article 22 Anti-Racism Law</w:t>
        </w:r>
      </w:hyperlink>
      <w:r w:rsidDel="00000000" w:rsidR="00000000" w:rsidRPr="00000000">
        <w:rPr>
          <w:rFonts w:ascii="Garamond" w:cs="Garamond" w:eastAsia="Garamond" w:hAnsi="Garamond"/>
          <w:sz w:val="22"/>
          <w:szCs w:val="22"/>
          <w:rtl w:val="0"/>
        </w:rPr>
        <w:t xml:space="preserve">); and selling or offering for sale prohibited weapons (under </w:t>
      </w:r>
      <w:hyperlink r:id="rId13">
        <w:r w:rsidDel="00000000" w:rsidR="00000000" w:rsidRPr="00000000">
          <w:rPr>
            <w:rFonts w:ascii="Garamond" w:cs="Garamond" w:eastAsia="Garamond" w:hAnsi="Garamond"/>
            <w:color w:val="1155cc"/>
            <w:sz w:val="22"/>
            <w:szCs w:val="22"/>
            <w:u w:val="single"/>
            <w:rtl w:val="0"/>
          </w:rPr>
          <w:t xml:space="preserve">Article 19 Weapons Law</w:t>
        </w:r>
      </w:hyperlink>
      <w:r w:rsidDel="00000000" w:rsidR="00000000" w:rsidRPr="00000000">
        <w:rPr>
          <w:rFonts w:ascii="Garamond" w:cs="Garamond" w:eastAsia="Garamond" w:hAnsi="Garamond"/>
          <w:sz w:val="22"/>
          <w:szCs w:val="22"/>
          <w:rtl w:val="0"/>
        </w:rPr>
        <w:t xml:space="preserve">).</w:t>
      </w:r>
    </w:p>
    <w:p w:rsidR="00000000" w:rsidDel="00000000" w:rsidP="00000000" w:rsidRDefault="00000000" w:rsidRPr="00000000" w14:paraId="0000001C">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Dries Van Langenhove, the leader of S&amp;V, was charged with all counts, while the other members faced at least two charges. [para. 7]</w:t>
      </w:r>
    </w:p>
    <w:p w:rsidR="00000000" w:rsidDel="00000000" w:rsidP="00000000" w:rsidRDefault="00000000" w:rsidRPr="00000000" w14:paraId="0000001D">
      <w:pPr>
        <w:spacing w:line="276" w:lineRule="auto"/>
        <w:jc w:val="both"/>
        <w:rPr>
          <w:rFonts w:ascii="Garamond" w:cs="Garamond" w:eastAsia="Garamond" w:hAnsi="Garamond"/>
          <w:b w:val="1"/>
          <w:sz w:val="22"/>
          <w:szCs w:val="22"/>
        </w:rPr>
      </w:pPr>
      <w:r w:rsidDel="00000000" w:rsidR="00000000" w:rsidRPr="00000000">
        <w:rPr>
          <w:rFonts w:ascii="Garamond" w:cs="Garamond" w:eastAsia="Garamond" w:hAnsi="Garamond"/>
          <w:sz w:val="22"/>
          <w:szCs w:val="22"/>
          <w:rtl w:val="0"/>
        </w:rPr>
        <w:t xml:space="preserve">Although the documentary sparked </w:t>
      </w:r>
      <w:hyperlink r:id="rId14">
        <w:r w:rsidDel="00000000" w:rsidR="00000000" w:rsidRPr="00000000">
          <w:rPr>
            <w:rFonts w:ascii="Garamond" w:cs="Garamond" w:eastAsia="Garamond" w:hAnsi="Garamond"/>
            <w:color w:val="1155cc"/>
            <w:sz w:val="22"/>
            <w:szCs w:val="22"/>
            <w:u w:val="single"/>
            <w:rtl w:val="0"/>
          </w:rPr>
          <w:t xml:space="preserve">significant</w:t>
        </w:r>
      </w:hyperlink>
      <w:r w:rsidDel="00000000" w:rsidR="00000000" w:rsidRPr="00000000">
        <w:rPr>
          <w:rFonts w:ascii="Garamond" w:cs="Garamond" w:eastAsia="Garamond" w:hAnsi="Garamond"/>
          <w:color w:val="1155cc"/>
          <w:sz w:val="22"/>
          <w:szCs w:val="22"/>
          <w:rtl w:val="0"/>
        </w:rPr>
        <w:t xml:space="preserve"> </w:t>
      </w:r>
      <w:hyperlink r:id="rId15">
        <w:r w:rsidDel="00000000" w:rsidR="00000000" w:rsidRPr="00000000">
          <w:rPr>
            <w:rFonts w:ascii="Garamond" w:cs="Garamond" w:eastAsia="Garamond" w:hAnsi="Garamond"/>
            <w:color w:val="1155cc"/>
            <w:sz w:val="22"/>
            <w:szCs w:val="22"/>
            <w:u w:val="single"/>
            <w:rtl w:val="0"/>
          </w:rPr>
          <w:t xml:space="preserve">public</w:t>
        </w:r>
      </w:hyperlink>
      <w:r w:rsidDel="00000000" w:rsidR="00000000" w:rsidRPr="00000000">
        <w:rPr>
          <w:rFonts w:ascii="Garamond" w:cs="Garamond" w:eastAsia="Garamond" w:hAnsi="Garamond"/>
          <w:color w:val="1155cc"/>
          <w:sz w:val="22"/>
          <w:szCs w:val="22"/>
          <w:rtl w:val="0"/>
        </w:rPr>
        <w:t xml:space="preserve"> </w:t>
      </w:r>
      <w:r w:rsidDel="00000000" w:rsidR="00000000" w:rsidRPr="00000000">
        <w:rPr>
          <w:rFonts w:ascii="Garamond" w:cs="Garamond" w:eastAsia="Garamond" w:hAnsi="Garamond"/>
          <w:sz w:val="22"/>
          <w:szCs w:val="22"/>
          <w:rtl w:val="0"/>
        </w:rPr>
        <w:t xml:space="preserve">criticism, it also bolstered Van Langenhove’s political career: he was elected to Belgium’s federal parliament in 2019 as an </w:t>
      </w:r>
      <w:hyperlink r:id="rId16">
        <w:r w:rsidDel="00000000" w:rsidR="00000000" w:rsidRPr="00000000">
          <w:rPr>
            <w:rFonts w:ascii="Garamond" w:cs="Garamond" w:eastAsia="Garamond" w:hAnsi="Garamond"/>
            <w:color w:val="1155cc"/>
            <w:sz w:val="22"/>
            <w:szCs w:val="22"/>
            <w:u w:val="single"/>
            <w:rtl w:val="0"/>
          </w:rPr>
          <w:t xml:space="preserve">independent candidate</w:t>
        </w:r>
      </w:hyperlink>
      <w:r w:rsidDel="00000000" w:rsidR="00000000" w:rsidRPr="00000000">
        <w:rPr>
          <w:rFonts w:ascii="Garamond" w:cs="Garamond" w:eastAsia="Garamond" w:hAnsi="Garamond"/>
          <w:sz w:val="22"/>
          <w:szCs w:val="22"/>
          <w:rtl w:val="0"/>
        </w:rPr>
        <w:t xml:space="preserve"> for the far-right Vlaams Belang party, receiving over </w:t>
      </w:r>
      <w:hyperlink r:id="rId17">
        <w:r w:rsidDel="00000000" w:rsidR="00000000" w:rsidRPr="00000000">
          <w:rPr>
            <w:rFonts w:ascii="Garamond" w:cs="Garamond" w:eastAsia="Garamond" w:hAnsi="Garamond"/>
            <w:color w:val="1155cc"/>
            <w:sz w:val="22"/>
            <w:szCs w:val="22"/>
            <w:u w:val="single"/>
            <w:rtl w:val="0"/>
          </w:rPr>
          <w:t xml:space="preserve">39,000 preferential votes</w:t>
        </w:r>
      </w:hyperlink>
      <w:r w:rsidDel="00000000" w:rsidR="00000000" w:rsidRPr="00000000">
        <w:rPr>
          <w:rFonts w:ascii="Garamond" w:cs="Garamond" w:eastAsia="Garamond" w:hAnsi="Garamond"/>
          <w:sz w:val="22"/>
          <w:szCs w:val="22"/>
          <w:rtl w:val="0"/>
        </w:rPr>
        <w:t xml:space="preserve">. In 2021, his parliamentary immunity was </w:t>
      </w:r>
      <w:hyperlink r:id="rId18">
        <w:r w:rsidDel="00000000" w:rsidR="00000000" w:rsidRPr="00000000">
          <w:rPr>
            <w:rFonts w:ascii="Garamond" w:cs="Garamond" w:eastAsia="Garamond" w:hAnsi="Garamond"/>
            <w:color w:val="1155cc"/>
            <w:sz w:val="22"/>
            <w:szCs w:val="22"/>
            <w:u w:val="single"/>
            <w:rtl w:val="0"/>
          </w:rPr>
          <w:t xml:space="preserve">lifted</w:t>
        </w:r>
      </w:hyperlink>
      <w:r w:rsidDel="00000000" w:rsidR="00000000" w:rsidRPr="00000000">
        <w:rPr>
          <w:rFonts w:ascii="Garamond" w:cs="Garamond" w:eastAsia="Garamond" w:hAnsi="Garamond"/>
          <w:sz w:val="22"/>
          <w:szCs w:val="22"/>
          <w:rtl w:val="0"/>
        </w:rPr>
        <w:t xml:space="preserve">, and in 2023, he voluntarily </w:t>
      </w:r>
      <w:hyperlink r:id="rId19">
        <w:r w:rsidDel="00000000" w:rsidR="00000000" w:rsidRPr="00000000">
          <w:rPr>
            <w:rFonts w:ascii="Garamond" w:cs="Garamond" w:eastAsia="Garamond" w:hAnsi="Garamond"/>
            <w:color w:val="1155cc"/>
            <w:sz w:val="22"/>
            <w:szCs w:val="22"/>
            <w:u w:val="single"/>
            <w:rtl w:val="0"/>
          </w:rPr>
          <w:t xml:space="preserve">resigned</w:t>
        </w:r>
      </w:hyperlink>
      <w:r w:rsidDel="00000000" w:rsidR="00000000" w:rsidRPr="00000000">
        <w:rPr>
          <w:rFonts w:ascii="Garamond" w:cs="Garamond" w:eastAsia="Garamond" w:hAnsi="Garamond"/>
          <w:sz w:val="22"/>
          <w:szCs w:val="22"/>
          <w:rtl w:val="0"/>
        </w:rPr>
        <w:t xml:space="preserve"> to focus on activism and his upcoming S&amp;V trial.</w:t>
      </w:r>
      <w:r w:rsidDel="00000000" w:rsidR="00000000" w:rsidRPr="00000000">
        <w:rPr>
          <w:rtl w:val="0"/>
        </w:rPr>
      </w:r>
    </w:p>
    <w:p w:rsidR="00000000" w:rsidDel="00000000" w:rsidP="00000000" w:rsidRDefault="00000000" w:rsidRPr="00000000" w14:paraId="0000001E">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On March 12, 2024 the First Instance Court of Ghent held that the S&amp;V Facebook and Discord groups “were directed towards like-minded individuals and those susceptible to a racist discourse” and that racial minorities and Jews were “repeatedly and systematically mocked on those forums” [First Instance Court decision, para. 13.2] The Court added that the S&amp;V members’ defense that “sharing some jokes should be allowed”, was not applicable and that the “humor” used within S&amp;V was “deliberately and systematically employed to make racism accessible and light-hearted”. [para. 13.2] The Court found that by “encouraging the frequent posting of racist and negationist ‘humor,’ the members were deliberately and gradually convinced of their own superiority and the necessity to achieve S&amp;V’s objectives through discrimination and violence.” [para. 13.1] </w:t>
      </w:r>
    </w:p>
    <w:p w:rsidR="00000000" w:rsidDel="00000000" w:rsidP="00000000" w:rsidRDefault="00000000" w:rsidRPr="00000000" w14:paraId="0000001F">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As a consequence, the Court sentenced Van Langenhove to one year’s imprisonment, a €16,000 fine, and a 10‑year suspension of his civil liberties and political rights (which includes a ban on holding public office). Five other members received suspended prison terms of six months and partially-suspended fines of €8,000 each. One member, Y.D.S., showed genuine remorse and distanced himself from his past actions by apologizing to the civil parties and so the Court granted him the favor of probation which stipulates that as long as he committed no further crimes he would not receive a punishment.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Van Langenhove and the five other convicted members lodged an appeal with the Ghent Court of Appeal, seeking to have the first‑instance decision overturned.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Garamond" w:cs="Garamond" w:eastAsia="Garamond" w:hAnsi="Garamond"/>
          <w:b w:val="1"/>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Decision Overview</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spacing w:line="276" w:lineRule="auto"/>
        <w:ind w:lef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central issue for the Court’s determination was whether the First Instance Court had rightfully held that the sharing and creation of thousands of memes and messages in S&amp;V’s private Facebook and Discord groups constituted violations of Anti-Racism and Holocaust Denial laws. </w:t>
      </w:r>
    </w:p>
    <w:p w:rsidR="00000000" w:rsidDel="00000000" w:rsidP="00000000" w:rsidRDefault="00000000" w:rsidRPr="00000000" w14:paraId="00000024">
      <w:pPr>
        <w:spacing w:line="276" w:lineRule="auto"/>
        <w:ind w:left="36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25">
      <w:pPr>
        <w:spacing w:line="276" w:lineRule="auto"/>
        <w:ind w:lef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Court analyzed the different charges.</w:t>
      </w:r>
    </w:p>
    <w:p w:rsidR="00000000" w:rsidDel="00000000" w:rsidP="00000000" w:rsidRDefault="00000000" w:rsidRPr="00000000" w14:paraId="00000026">
      <w:pPr>
        <w:spacing w:line="276" w:lineRule="auto"/>
        <w:ind w:left="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720" w:hanging="360"/>
        <w:jc w:val="both"/>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Belonging to an association that knowingly and repeatedly  promotes discrimination (under </w:t>
      </w:r>
      <w:hyperlink r:id="rId20">
        <w:r w:rsidDel="00000000" w:rsidR="00000000" w:rsidRPr="00000000">
          <w:rPr>
            <w:rFonts w:ascii="Garamond" w:cs="Garamond" w:eastAsia="Garamond" w:hAnsi="Garamond"/>
            <w:b w:val="1"/>
            <w:color w:val="1155cc"/>
            <w:sz w:val="22"/>
            <w:szCs w:val="22"/>
            <w:u w:val="single"/>
            <w:rtl w:val="0"/>
          </w:rPr>
          <w:t xml:space="preserve">Article 22 Anti-Racism Law</w:t>
        </w:r>
      </w:hyperlink>
      <w:r w:rsidDel="00000000" w:rsidR="00000000" w:rsidRPr="00000000">
        <w:rPr>
          <w:rFonts w:ascii="Garamond" w:cs="Garamond" w:eastAsia="Garamond" w:hAnsi="Garamond"/>
          <w:b w:val="1"/>
          <w:sz w:val="22"/>
          <w:szCs w:val="22"/>
          <w:rtl w:val="0"/>
        </w:rPr>
        <w:t xml:space="preserve">)</w:t>
      </w:r>
      <w:r w:rsidDel="00000000" w:rsidR="00000000" w:rsidRPr="00000000">
        <w:rPr>
          <w:rtl w:val="0"/>
        </w:rPr>
      </w:r>
    </w:p>
    <w:p w:rsidR="00000000" w:rsidDel="00000000" w:rsidP="00000000" w:rsidRDefault="00000000" w:rsidRPr="00000000" w14:paraId="00000028">
      <w:pPr>
        <w:spacing w:line="276" w:lineRule="auto"/>
        <w:ind w:lef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defendants argued that S&amp;V cannot be considered an association in the legal sense, but was merely a “movement.” The Court rejected this argument and held that Schild &amp; Vrienden met the legal definition of a structured association, because it operated with organized activities and internal hierarchies (normie, recruit, warrior, veteran, and final boss). S&amp;V also had its own uniform (a blue t-shirt with their logo), a website describing their common goal, and a webshop on which they sold stickers, flags, and other promotional material to help financially support their activities. Internal communication showed that the Facebook group was created with the goal to “become the mouthpiece for ‘white’ boys and girls who feel discriminated against by the elite” [para. 5.2.3]. The police also discovered S&amp;V’s mission statement that reads as follows: “After originating as an internet forum for Flemish-minded youth, Schild &amp; Vrienden wants to turn its words into action. Consistent internet activity remains a crucial tool for marketing and promotion. However, S&amp;V does not limit itself to mere ‘keyboard warriorism’.” [para. 5.2.3.]</w:t>
      </w:r>
    </w:p>
    <w:p w:rsidR="00000000" w:rsidDel="00000000" w:rsidP="00000000" w:rsidRDefault="00000000" w:rsidRPr="00000000" w14:paraId="00000029">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Court found that S&amp;V, through its closed Facebook and Discord groups, openly and repeatedly disseminated content that was racist, antisemitic, and glorified Nazi ideology. It noted numerous examples of dehumanizing “jokes,” memes, and visual content aimed at racial minorities (mostly non-white non-Europeans) and Jews [para. 5.2.4.].</w:t>
      </w:r>
    </w:p>
    <w:p w:rsidR="00000000" w:rsidDel="00000000" w:rsidP="00000000" w:rsidRDefault="00000000" w:rsidRPr="00000000" w14:paraId="0000002A">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defendants maintained that “the jokes and cartoons were merely intended to be humorous, 'just for laughs.'” The Court disagreed: “One cannot hide behind humor when the true intention is to incite hatred.” The Court saw this intention proven by different posts made by its most prominent members. Vanlangenhove posted that “Memes are a means, not an end in themselves. Don’t lose sight of that” and “It starts with memes, it ends with a Flemish Empire from the North Sea to Katanga.” They also found a logo of the “Bureau of Memetic Warfare” on Vanlangenhove’s pc. Another user posted: “We (right-wing youth) use memes to funnel our politically incorrect ideas to the general public (read: normies). The red pill is sweet and must be administered in small doses.” [para. 5.2.4.]</w:t>
      </w:r>
    </w:p>
    <w:p w:rsidR="00000000" w:rsidDel="00000000" w:rsidP="00000000" w:rsidRDefault="00000000" w:rsidRPr="00000000" w14:paraId="0000002B">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Court emphasized that the closed Facebook and Discord groups were employed not just to share jokes, but also “other, ordinary messages” aimed at inciting hatred and discrimination. It then has many examples of such messages. The Court found that the hateful messages were mostly aimed at people with non-European origins, purely based on their different physical aspects. These people are called the “others” and are blamed for all the ills of modern-day society, such as robberies, rape, and violence. The content, language, volume, variety of senders, duration, and frequent posting in private groups clearly show that Schild &amp; Vrienden aimed to incite hatred and discrimination against any other ethnicity besides white Europeans, especially Muslims and Maghreb people [para. 5.2.4.].</w:t>
      </w:r>
    </w:p>
    <w:p w:rsidR="00000000" w:rsidDel="00000000" w:rsidP="00000000" w:rsidRDefault="00000000" w:rsidRPr="00000000" w14:paraId="0000002C">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Court also found that S&amp;V incited violence. S&amp;V talked a lot about the “prepping-phenomena,” where Van Langenhove advised joining a shooting club to learn how to handle firearms and to develop good physical fitness and conditioning. The Court states that these conversations about “the day of violence” are not criminal on their own. However, they indicate that D did not “shy away from violence” and urged his followers to prepare for when violence would become necessary. The Court therefore sees these messages as incitement to violence against people of non-European origin.</w:t>
      </w:r>
    </w:p>
    <w:p w:rsidR="00000000" w:rsidDel="00000000" w:rsidP="00000000" w:rsidRDefault="00000000" w:rsidRPr="00000000" w14:paraId="0000002D">
      <w:pPr>
        <w:spacing w:after="240" w:before="240" w:line="276" w:lineRule="auto"/>
        <w:ind w:lef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Court thus found Dries Van Langenhove, along with five other S&amp;V members, guilty of knowingly belonging to an association that promotes discrimination [para. 5.2.12.].</w:t>
      </w:r>
      <w:r w:rsidDel="00000000" w:rsidR="00000000" w:rsidRPr="00000000">
        <w:rPr>
          <w:rtl w:val="0"/>
        </w:rPr>
      </w:r>
    </w:p>
    <w:p w:rsidR="00000000" w:rsidDel="00000000" w:rsidP="00000000" w:rsidRDefault="00000000" w:rsidRPr="00000000" w14:paraId="0000002E">
      <w:pPr>
        <w:numPr>
          <w:ilvl w:val="0"/>
          <w:numId w:val="1"/>
        </w:numPr>
        <w:spacing w:line="276" w:lineRule="auto"/>
        <w:ind w:left="720" w:hanging="360"/>
        <w:jc w:val="both"/>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Inciting racial discrimination, segregation, hatred, or violence (under </w:t>
      </w:r>
      <w:hyperlink r:id="rId21">
        <w:r w:rsidDel="00000000" w:rsidR="00000000" w:rsidRPr="00000000">
          <w:rPr>
            <w:rFonts w:ascii="Garamond" w:cs="Garamond" w:eastAsia="Garamond" w:hAnsi="Garamond"/>
            <w:b w:val="1"/>
            <w:color w:val="1155cc"/>
            <w:sz w:val="22"/>
            <w:szCs w:val="22"/>
            <w:u w:val="single"/>
            <w:rtl w:val="0"/>
          </w:rPr>
          <w:t xml:space="preserve">Article 20, 3º and 4º Anti-Racism Law</w:t>
        </w:r>
      </w:hyperlink>
      <w:r w:rsidDel="00000000" w:rsidR="00000000" w:rsidRPr="00000000">
        <w:rPr>
          <w:rFonts w:ascii="Garamond" w:cs="Garamond" w:eastAsia="Garamond" w:hAnsi="Garamond"/>
          <w:b w:val="1"/>
          <w:sz w:val="22"/>
          <w:szCs w:val="22"/>
          <w:rtl w:val="0"/>
        </w:rPr>
        <w:t xml:space="preserve">)</w:t>
      </w:r>
    </w:p>
    <w:p w:rsidR="00000000" w:rsidDel="00000000" w:rsidP="00000000" w:rsidRDefault="00000000" w:rsidRPr="00000000" w14:paraId="0000002F">
      <w:pPr>
        <w:spacing w:line="276" w:lineRule="auto"/>
        <w:ind w:lef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Court also found all six defendants guilty of the charge for inciting racial discrimination, segregation, hatred, and violence. The Court again supported this finding with many examples of S&amp;V’s discourse as discovered on the closed Facebook and Discord groups. The defendants again tried to argue that they had shared these memes and jokes with “a genuine intent to be humorous” and they “were meant to be funny and not serious” [para. 6.6]. The Court disagreed, referring to its earlier finding on memetic warfare and how humor was “nothing more than a means to get away with the message” [para. 6.6 junto 5.2.4].</w:t>
      </w:r>
    </w:p>
    <w:p w:rsidR="00000000" w:rsidDel="00000000" w:rsidP="00000000" w:rsidRDefault="00000000" w:rsidRPr="00000000" w14:paraId="00000030">
      <w:pPr>
        <w:spacing w:line="276" w:lineRule="auto"/>
        <w:ind w:left="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1">
      <w:pPr>
        <w:numPr>
          <w:ilvl w:val="0"/>
          <w:numId w:val="1"/>
        </w:numPr>
        <w:spacing w:line="276" w:lineRule="auto"/>
        <w:ind w:left="720" w:hanging="360"/>
        <w:jc w:val="both"/>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Holocaust Denialism (under </w:t>
      </w:r>
      <w:hyperlink r:id="rId22">
        <w:r w:rsidDel="00000000" w:rsidR="00000000" w:rsidRPr="00000000">
          <w:rPr>
            <w:rFonts w:ascii="Garamond" w:cs="Garamond" w:eastAsia="Garamond" w:hAnsi="Garamond"/>
            <w:b w:val="1"/>
            <w:color w:val="1155cc"/>
            <w:sz w:val="22"/>
            <w:szCs w:val="22"/>
            <w:u w:val="single"/>
            <w:rtl w:val="0"/>
          </w:rPr>
          <w:t xml:space="preserve">Article 1 Holocaust Denialism Law</w:t>
        </w:r>
      </w:hyperlink>
      <w:r w:rsidDel="00000000" w:rsidR="00000000" w:rsidRPr="00000000">
        <w:rPr>
          <w:rFonts w:ascii="Garamond" w:cs="Garamond" w:eastAsia="Garamond" w:hAnsi="Garamond"/>
          <w:b w:val="1"/>
          <w:sz w:val="22"/>
          <w:szCs w:val="22"/>
          <w:rtl w:val="0"/>
        </w:rPr>
        <w:t xml:space="preserve">)</w:t>
      </w:r>
    </w:p>
    <w:p w:rsidR="00000000" w:rsidDel="00000000" w:rsidP="00000000" w:rsidRDefault="00000000" w:rsidRPr="00000000" w14:paraId="00000032">
      <w:pPr>
        <w:spacing w:line="276" w:lineRule="auto"/>
        <w:ind w:lef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Court gave some examples of memes that minimized or denied the existence of the Holocaust, written by the five other members on trial and found them guilty of violating Article 1 Holocaust Denialism Law [para. 7.7.]. The Court rejected the defendants' argument that the jokes were just “tasteless humor” and a way to “ventilate frustrations in a closed group” [para 7.5]. The Court stresses that they are not “punishing an opinion, which would violate Article 10 of the European Convention on Human Rights. [...] However, the right to free expression is not absolute. According to Article 19 of the Constitution, Article 10.2 of the ECHR, and Article 19.3 of the ICCPR, freedom of expression may be subject to restrictions or sanctions established by law.” [para 7.5].</w:t>
      </w:r>
    </w:p>
    <w:p w:rsidR="00000000" w:rsidDel="00000000" w:rsidP="00000000" w:rsidRDefault="00000000" w:rsidRPr="00000000" w14:paraId="00000033">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Regarding Van Langenhove’s charge of Holocaust Denialism, the Court recognized that Van Langenhove did not share any posts or memes regarding the Holocaust himself [para. 7.3.]. The Court, however, still considered him a co-perpetrator of the crime since he had created and controlled the virtual space in which others were expressing themselves this way. In one post he called upon the S&amp;V members to share their “most dark humor,” which led to a flood of Holocaust-related memes. Vanlangenhove, as moderator, could have deleted these messages but refrained from doing so [para. 7.3.]. So, he was also found guilty of this charge, as co-perpetrator [para. 7.7].</w:t>
      </w:r>
    </w:p>
    <w:p w:rsidR="00000000" w:rsidDel="00000000" w:rsidP="00000000" w:rsidRDefault="00000000" w:rsidRPr="00000000" w14:paraId="00000034">
      <w:pPr>
        <w:spacing w:line="276" w:lineRule="auto"/>
        <w:ind w:left="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5">
      <w:pPr>
        <w:spacing w:line="276" w:lineRule="auto"/>
        <w:ind w:left="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6">
      <w:pPr>
        <w:numPr>
          <w:ilvl w:val="0"/>
          <w:numId w:val="1"/>
        </w:numPr>
        <w:spacing w:line="276" w:lineRule="auto"/>
        <w:ind w:left="720" w:hanging="360"/>
        <w:jc w:val="both"/>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Spreading ideas based on racial hatred and racial superiority (under </w:t>
      </w:r>
      <w:hyperlink r:id="rId23">
        <w:r w:rsidDel="00000000" w:rsidR="00000000" w:rsidRPr="00000000">
          <w:rPr>
            <w:rFonts w:ascii="Garamond" w:cs="Garamond" w:eastAsia="Garamond" w:hAnsi="Garamond"/>
            <w:b w:val="1"/>
            <w:color w:val="1155cc"/>
            <w:sz w:val="22"/>
            <w:szCs w:val="22"/>
            <w:u w:val="single"/>
            <w:rtl w:val="0"/>
          </w:rPr>
          <w:t xml:space="preserve">Article 21 Anti-Racism Law</w:t>
        </w:r>
      </w:hyperlink>
      <w:r w:rsidDel="00000000" w:rsidR="00000000" w:rsidRPr="00000000">
        <w:rPr>
          <w:rFonts w:ascii="Garamond" w:cs="Garamond" w:eastAsia="Garamond" w:hAnsi="Garamond"/>
          <w:b w:val="1"/>
          <w:sz w:val="22"/>
          <w:szCs w:val="22"/>
          <w:rtl w:val="0"/>
        </w:rPr>
        <w:t xml:space="preserve">)</w:t>
      </w:r>
    </w:p>
    <w:p w:rsidR="00000000" w:rsidDel="00000000" w:rsidP="00000000" w:rsidRDefault="00000000" w:rsidRPr="00000000" w14:paraId="00000037">
      <w:pPr>
        <w:spacing w:line="276" w:lineRule="auto"/>
        <w:ind w:lef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Court, again, gave some examples of posts and memes that could be considered to spread racist ideas. It was then up to the Court to prove that the defendants also had the special intention of spreading ideas based on racial superiority. The Court found different evidence on the defendants' personal computers that showed this intent, like listening to radio monologues and reading papers where Black people are compared to animals and blamed for crime (“Send them all back,” “A white world,” and “Racial fitness and survival”). The Court stressed that listening to racist lectures or saving racist pictures is not criminal behaviour, but that it can show the defendants’ vision that “the white race is superior, and Black people and foreigners are inferior.” [para. 8.3]</w:t>
      </w:r>
    </w:p>
    <w:p w:rsidR="00000000" w:rsidDel="00000000" w:rsidP="00000000" w:rsidRDefault="00000000" w:rsidRPr="00000000" w14:paraId="00000038">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be charged with this crime it is necessary that the racist ideas are shared in public (Article 444(6) Belgian Penal Code). Although the Facebook and Discord groups were closed channels, they had 750 and 163 members respectively. Thus, the Court found that they had reached a wide range of receivers and found the publicity requirement met [para. 8.4 junto para. 5.2.5.] and found all six defendants guilty of this charge.</w:t>
      </w:r>
      <w:r w:rsidDel="00000000" w:rsidR="00000000" w:rsidRPr="00000000">
        <w:rPr>
          <w:rtl w:val="0"/>
        </w:rPr>
      </w:r>
    </w:p>
    <w:p w:rsidR="00000000" w:rsidDel="00000000" w:rsidP="00000000" w:rsidRDefault="00000000" w:rsidRPr="00000000" w14:paraId="00000039">
      <w:pPr>
        <w:numPr>
          <w:ilvl w:val="0"/>
          <w:numId w:val="1"/>
        </w:numPr>
        <w:spacing w:line="276" w:lineRule="auto"/>
        <w:ind w:left="720" w:hanging="360"/>
        <w:jc w:val="both"/>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Selling or offering for sale prohibited weapons (under </w:t>
      </w:r>
      <w:hyperlink r:id="rId24">
        <w:r w:rsidDel="00000000" w:rsidR="00000000" w:rsidRPr="00000000">
          <w:rPr>
            <w:rFonts w:ascii="Garamond" w:cs="Garamond" w:eastAsia="Garamond" w:hAnsi="Garamond"/>
            <w:b w:val="1"/>
            <w:color w:val="1155cc"/>
            <w:sz w:val="22"/>
            <w:szCs w:val="22"/>
            <w:u w:val="single"/>
            <w:rtl w:val="0"/>
          </w:rPr>
          <w:t xml:space="preserve">Article 19 Weapons Law</w:t>
        </w:r>
      </w:hyperlink>
      <w:r w:rsidDel="00000000" w:rsidR="00000000" w:rsidRPr="00000000">
        <w:rPr>
          <w:rFonts w:ascii="Garamond" w:cs="Garamond" w:eastAsia="Garamond" w:hAnsi="Garamond"/>
          <w:b w:val="1"/>
          <w:sz w:val="22"/>
          <w:szCs w:val="22"/>
          <w:rtl w:val="0"/>
        </w:rPr>
        <w:t xml:space="preserve">)</w:t>
      </w:r>
    </w:p>
    <w:p w:rsidR="00000000" w:rsidDel="00000000" w:rsidP="00000000" w:rsidRDefault="00000000" w:rsidRPr="00000000" w14:paraId="0000003A">
      <w:pPr>
        <w:spacing w:line="276" w:lineRule="auto"/>
        <w:ind w:lef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Van Langenhove also used the Facebook and Discord channels to sell pepper spray, which is a prohibited weapon in Belgium. Thus, the Court found Vanlangenhove guilty of the charge of selling or offering for sale prohibited weapons [para. 9].</w:t>
      </w:r>
    </w:p>
    <w:p w:rsidR="00000000" w:rsidDel="00000000" w:rsidP="00000000" w:rsidRDefault="00000000" w:rsidRPr="00000000" w14:paraId="0000003B">
      <w:pPr>
        <w:spacing w:line="276" w:lineRule="auto"/>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C">
      <w:pPr>
        <w:numPr>
          <w:ilvl w:val="0"/>
          <w:numId w:val="1"/>
        </w:numPr>
        <w:spacing w:line="276" w:lineRule="auto"/>
        <w:ind w:left="720" w:hanging="360"/>
        <w:jc w:val="both"/>
        <w:rPr>
          <w:rFonts w:ascii="Garamond" w:cs="Garamond" w:eastAsia="Garamond" w:hAnsi="Garamond"/>
          <w:b w:val="1"/>
          <w:sz w:val="22"/>
          <w:szCs w:val="22"/>
          <w:u w:val="none"/>
        </w:rPr>
      </w:pPr>
      <w:r w:rsidDel="00000000" w:rsidR="00000000" w:rsidRPr="00000000">
        <w:rPr>
          <w:rFonts w:ascii="Garamond" w:cs="Garamond" w:eastAsia="Garamond" w:hAnsi="Garamond"/>
          <w:b w:val="1"/>
          <w:sz w:val="22"/>
          <w:szCs w:val="22"/>
          <w:rtl w:val="0"/>
        </w:rPr>
        <w:t xml:space="preserve">Punishment</w:t>
      </w:r>
    </w:p>
    <w:p w:rsidR="00000000" w:rsidDel="00000000" w:rsidP="00000000" w:rsidRDefault="00000000" w:rsidRPr="00000000" w14:paraId="0000003D">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Van Langenhove also used the Facebook and Discord channels to sell pepper spray, which is a prohibited weapon in Belgium. Thus, the Court found Vanlangenhove guilty of the charge of selling or offering for sale prohibited weapons [para. 9].</w:t>
      </w:r>
    </w:p>
    <w:p w:rsidR="00000000" w:rsidDel="00000000" w:rsidP="00000000" w:rsidRDefault="00000000" w:rsidRPr="00000000" w14:paraId="0000003E">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Court then turned to the punishment. All defendants committed their crimes with the same criminal intent, which means the Court needed to apply one penalty per person, choosing the heaviest (Article 65(1) Belgian Penal Code) [para 10.1].</w:t>
      </w:r>
    </w:p>
    <w:p w:rsidR="00000000" w:rsidDel="00000000" w:rsidP="00000000" w:rsidRDefault="00000000" w:rsidRPr="00000000" w14:paraId="0000003F">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Court considered the crimes committed by the defendants very severe. They drew each other, and many others, into a racist and hateful discourse. The content and language they used were “deeply shocking.” Equally disturbing was their “cunning and calculated approach.” Outwardly, they presented S&amp;V as a movement aimed at strengthening Flemish youth identity and promoting physical and mental resilience. But in reality, their goal was to pit this youth against other groups, whom they deemed inferior. They believed they could do this unnoticed and without punishment, hiding behind humor and using two social media platforms that, while somewhat restricted, were still accessible to a wide audience. All defendants “contributed to intolerance and hostility in our society, showing utter contempt for the fundamental rights and freedoms of others” [para. 10,2].</w:t>
      </w:r>
    </w:p>
    <w:p w:rsidR="00000000" w:rsidDel="00000000" w:rsidP="00000000" w:rsidRDefault="00000000" w:rsidRPr="00000000" w14:paraId="00000040">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However, the Court also had to take into account that more than six years had passed between the events and today’s ruling. This means the defendants’ right to a trial within a reasonable time had been exceeded [para. 10.3]. The Court found this delay not serious enough to dismiss the charges entirely [para. 4.9], but considered that sentences should be mitigated.</w:t>
      </w:r>
    </w:p>
    <w:p w:rsidR="00000000" w:rsidDel="00000000" w:rsidP="00000000" w:rsidRDefault="00000000" w:rsidRPr="00000000" w14:paraId="00000041">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Although the Court thus also found all six defendants guilty of the charges they were charged with, the Court proceeded to lower the defendants’ punishments substantially.</w:t>
        <w:br w:type="textWrapping"/>
      </w:r>
    </w:p>
    <w:p w:rsidR="00000000" w:rsidDel="00000000" w:rsidP="00000000" w:rsidRDefault="00000000" w:rsidRPr="00000000" w14:paraId="00000042">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Van Langenhove, as founder and leader of S&amp;V, played the largest role in these offenses. Originally facing 18 months in prison and a €4,000 fine, his sentence was reduced to 12 months suspended and a €200 fine. Because the Weapons Law, which is the law providing the heaviest penalty and must thus be applied according to Article 65(1) Belgian Penal Code, does not allow </w:t>
      </w:r>
      <w:sdt>
        <w:sdtPr>
          <w:id w:val="-1676972405"/>
          <w:tag w:val="goog_rdk_0"/>
        </w:sdtPr>
        <w:sdtContent>
          <w:commentRangeStart w:id="0"/>
        </w:sdtContent>
      </w:sdt>
      <w:r w:rsidDel="00000000" w:rsidR="00000000" w:rsidRPr="00000000">
        <w:rPr>
          <w:rFonts w:ascii="Garamond" w:cs="Garamond" w:eastAsia="Garamond" w:hAnsi="Garamond"/>
          <w:sz w:val="22"/>
          <w:szCs w:val="22"/>
          <w:rtl w:val="0"/>
        </w:rPr>
        <w:t xml:space="preserve">disqualification of political rights</w:t>
      </w:r>
      <w:commentRangeEnd w:id="0"/>
      <w:r w:rsidDel="00000000" w:rsidR="00000000" w:rsidRPr="00000000">
        <w:commentReference w:id="0"/>
      </w:r>
      <w:r w:rsidDel="00000000" w:rsidR="00000000" w:rsidRPr="00000000">
        <w:rPr>
          <w:rFonts w:ascii="Garamond" w:cs="Garamond" w:eastAsia="Garamond" w:hAnsi="Garamond"/>
          <w:sz w:val="22"/>
          <w:szCs w:val="22"/>
          <w:rtl w:val="0"/>
        </w:rPr>
        <w:t xml:space="preserve">, this additional sanction could not be applied to him [para. 10.3].</w:t>
      </w:r>
    </w:p>
    <w:p w:rsidR="00000000" w:rsidDel="00000000" w:rsidP="00000000" w:rsidRDefault="00000000" w:rsidRPr="00000000" w14:paraId="00000043">
      <w:pPr>
        <w:spacing w:after="240" w:before="24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other five members were given a €1,600 fine, combined with community service or suspended prison sentences [para. 10.4 – 10.8].</w:t>
      </w:r>
      <w:r w:rsidDel="00000000" w:rsidR="00000000" w:rsidRPr="00000000">
        <w:rPr>
          <w:rtl w:val="0"/>
        </w:rPr>
      </w:r>
    </w:p>
    <w:p w:rsidR="00000000" w:rsidDel="00000000" w:rsidP="00000000" w:rsidRDefault="00000000" w:rsidRPr="00000000" w14:paraId="00000044">
      <w:pPr>
        <w:spacing w:line="276" w:lineRule="auto"/>
        <w:ind w:lef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Dries Van Langenhove </w:t>
      </w:r>
      <w:hyperlink r:id="rId25">
        <w:r w:rsidDel="00000000" w:rsidR="00000000" w:rsidRPr="00000000">
          <w:rPr>
            <w:rFonts w:ascii="Garamond" w:cs="Garamond" w:eastAsia="Garamond" w:hAnsi="Garamond"/>
            <w:color w:val="1155cc"/>
            <w:sz w:val="22"/>
            <w:szCs w:val="22"/>
            <w:u w:val="single"/>
            <w:rtl w:val="0"/>
          </w:rPr>
          <w:t xml:space="preserve">reacted</w:t>
        </w:r>
      </w:hyperlink>
      <w:r w:rsidDel="00000000" w:rsidR="00000000" w:rsidRPr="00000000">
        <w:rPr>
          <w:rFonts w:ascii="Garamond" w:cs="Garamond" w:eastAsia="Garamond" w:hAnsi="Garamond"/>
          <w:sz w:val="22"/>
          <w:szCs w:val="22"/>
          <w:rtl w:val="0"/>
        </w:rPr>
        <w:t xml:space="preserve"> to the appellate decision calling it “a dark day for free speech” and plans to appeal the ruling at the Court of Cassation. </w:t>
      </w:r>
    </w:p>
    <w:p w:rsidR="00000000" w:rsidDel="00000000" w:rsidP="00000000" w:rsidRDefault="00000000" w:rsidRPr="00000000" w14:paraId="00000045">
      <w:pPr>
        <w:spacing w:line="276" w:lineRule="auto"/>
        <w:ind w:left="36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6">
      <w:pPr>
        <w:spacing w:line="276" w:lineRule="auto"/>
        <w:ind w:lef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NOTE: A crowdfunding campaign titled “</w:t>
      </w:r>
      <w:hyperlink r:id="rId26">
        <w:r w:rsidDel="00000000" w:rsidR="00000000" w:rsidRPr="00000000">
          <w:rPr>
            <w:rFonts w:ascii="Garamond" w:cs="Garamond" w:eastAsia="Garamond" w:hAnsi="Garamond"/>
            <w:color w:val="1155cc"/>
            <w:sz w:val="22"/>
            <w:szCs w:val="22"/>
            <w:u w:val="single"/>
            <w:rtl w:val="0"/>
          </w:rPr>
          <w:t xml:space="preserve">Free Dries</w:t>
        </w:r>
      </w:hyperlink>
      <w:r w:rsidDel="00000000" w:rsidR="00000000" w:rsidRPr="00000000">
        <w:rPr>
          <w:rFonts w:ascii="Garamond" w:cs="Garamond" w:eastAsia="Garamond" w:hAnsi="Garamond"/>
          <w:sz w:val="22"/>
          <w:szCs w:val="22"/>
          <w:rtl w:val="0"/>
        </w:rPr>
        <w:t xml:space="preserve">” has already raised over </w:t>
      </w:r>
      <w:sdt>
        <w:sdtPr>
          <w:id w:val="989335227"/>
          <w:tag w:val="goog_rdk_1"/>
        </w:sdtPr>
        <w:sdtContent>
          <w:commentRangeStart w:id="1"/>
        </w:sdtContent>
      </w:sdt>
      <w:r w:rsidDel="00000000" w:rsidR="00000000" w:rsidRPr="00000000">
        <w:rPr>
          <w:rFonts w:ascii="Garamond" w:cs="Garamond" w:eastAsia="Garamond" w:hAnsi="Garamond"/>
          <w:sz w:val="22"/>
          <w:szCs w:val="22"/>
          <w:rtl w:val="0"/>
        </w:rPr>
        <w:t xml:space="preserve">100,000 euros</w:t>
      </w:r>
      <w:commentRangeEnd w:id="1"/>
      <w:r w:rsidDel="00000000" w:rsidR="00000000" w:rsidRPr="00000000">
        <w:commentReference w:id="1"/>
      </w:r>
      <w:r w:rsidDel="00000000" w:rsidR="00000000" w:rsidRPr="00000000">
        <w:rPr>
          <w:rFonts w:ascii="Garamond" w:cs="Garamond" w:eastAsia="Garamond" w:hAnsi="Garamond"/>
          <w:sz w:val="22"/>
          <w:szCs w:val="22"/>
          <w:rtl w:val="0"/>
        </w:rPr>
        <w:t xml:space="preserve"> to help cover Van Langenhove’s criminal fines and legal expenses.</w:t>
      </w:r>
      <w:r w:rsidDel="00000000" w:rsidR="00000000" w:rsidRPr="00000000">
        <w:rPr>
          <w:rtl w:val="0"/>
        </w:rPr>
      </w:r>
    </w:p>
    <w:p w:rsidR="00000000" w:rsidDel="00000000" w:rsidP="00000000" w:rsidRDefault="00000000" w:rsidRPr="00000000" w14:paraId="00000047">
      <w:pPr>
        <w:spacing w:line="276" w:lineRule="auto"/>
        <w:ind w:left="36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8">
      <w:pPr>
        <w:numPr>
          <w:ilvl w:val="0"/>
          <w:numId w:val="2"/>
        </w:numPr>
        <w:spacing w:line="276" w:lineRule="auto"/>
        <w:ind w:left="360" w:hanging="360"/>
        <w:jc w:val="both"/>
        <w:rPr>
          <w:rFonts w:ascii="Garamond" w:cs="Garamond" w:eastAsia="Garamond" w:hAnsi="Garamond"/>
          <w:sz w:val="22"/>
          <w:szCs w:val="22"/>
        </w:rPr>
      </w:pPr>
      <w:r w:rsidDel="00000000" w:rsidR="00000000" w:rsidRPr="00000000">
        <w:rPr>
          <w:rFonts w:ascii="Garamond" w:cs="Garamond" w:eastAsia="Garamond" w:hAnsi="Garamond"/>
          <w:sz w:val="22"/>
          <w:szCs w:val="22"/>
          <w:u w:val="single"/>
          <w:rtl w:val="0"/>
        </w:rPr>
        <w:t xml:space="preserve">Dissenting Opinions of Judges …</w:t>
      </w:r>
      <w:r w:rsidDel="00000000" w:rsidR="00000000" w:rsidRPr="00000000">
        <w:rPr>
          <w:rFonts w:ascii="Garamond" w:cs="Garamond" w:eastAsia="Garamond" w:hAnsi="Garamond"/>
          <w:sz w:val="22"/>
          <w:szCs w:val="22"/>
          <w:rtl w:val="0"/>
        </w:rPr>
        <w:t xml:space="preserve">: N/A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spacing w:line="276" w:lineRule="auto"/>
        <w:jc w:val="both"/>
        <w:rPr>
          <w:rFonts w:ascii="Garamond" w:cs="Garamond" w:eastAsia="Garamond" w:hAnsi="Garamond"/>
          <w:sz w:val="22"/>
          <w:szCs w:val="22"/>
        </w:rPr>
      </w:pPr>
      <w:r w:rsidDel="00000000" w:rsidR="00000000" w:rsidRPr="00000000">
        <w:rPr>
          <w:rFonts w:ascii="Garamond" w:cs="Garamond" w:eastAsia="Garamond" w:hAnsi="Garamond"/>
          <w:b w:val="1"/>
          <w:i w:val="1"/>
          <w:sz w:val="22"/>
          <w:szCs w:val="22"/>
          <w:u w:val="single"/>
          <w:rtl w:val="0"/>
        </w:rPr>
        <w:t xml:space="preserve">Direction:</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Outcome</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w:t>
      </w:r>
      <w:r w:rsidDel="00000000" w:rsidR="00000000" w:rsidRPr="00000000">
        <w:rPr>
          <w:rFonts w:ascii="Garamond" w:cs="Garamond" w:eastAsia="Garamond" w:hAnsi="Garamond"/>
          <w:sz w:val="22"/>
          <w:szCs w:val="22"/>
          <w:rtl w:val="0"/>
        </w:rPr>
        <w:t xml:space="preserve"> </w:t>
      </w:r>
      <w:r w:rsidDel="00000000" w:rsidR="00000000" w:rsidRPr="00000000">
        <w:rPr>
          <w:rFonts w:ascii="Garamond" w:cs="Garamond" w:eastAsia="Garamond" w:hAnsi="Garamond"/>
          <w:b w:val="1"/>
          <w:i w:val="0"/>
          <w:smallCaps w:val="0"/>
          <w:strike w:val="0"/>
          <w:color w:val="000000"/>
          <w:sz w:val="22"/>
          <w:szCs w:val="22"/>
          <w:u w:val="none"/>
          <w:vertAlign w:val="baseline"/>
          <w:rtl w:val="0"/>
        </w:rPr>
        <w:t xml:space="preserve">Mixed Outcome</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The ruling does not explicitly broaden or narrow the scope of freedom of expression in a general sense. Freedom of expression is a fundamental right that can be restricted to protect the rights of others. Extensive ECtHR jurisprudence establishes that criminal sanctions can be imposed to address the most extreme forms of expression, such as hate speech or incitement to violence. This sentence serves as an example of such a limitation.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F">
      <w:pPr>
        <w:spacing w:line="276" w:lineRule="auto"/>
        <w:jc w:val="both"/>
        <w:rPr>
          <w:rFonts w:ascii="Garamond" w:cs="Garamond" w:eastAsia="Garamond" w:hAnsi="Garamond"/>
          <w:sz w:val="22"/>
          <w:szCs w:val="22"/>
        </w:rPr>
      </w:pPr>
      <w:r w:rsidDel="00000000" w:rsidR="00000000" w:rsidRPr="00000000">
        <w:rPr>
          <w:rFonts w:ascii="Garamond" w:cs="Garamond" w:eastAsia="Garamond" w:hAnsi="Garamond"/>
          <w:b w:val="1"/>
          <w:i w:val="1"/>
          <w:sz w:val="22"/>
          <w:szCs w:val="22"/>
          <w:u w:val="single"/>
          <w:rtl w:val="0"/>
        </w:rPr>
        <w:t xml:space="preserve">Perspective</w:t>
      </w:r>
      <w:r w:rsidDel="00000000" w:rsidR="00000000" w:rsidRPr="00000000">
        <w:rPr>
          <w:rFonts w:ascii="Garamond" w:cs="Garamond" w:eastAsia="Garamond" w:hAnsi="Garamond"/>
          <w:sz w:val="22"/>
          <w:szCs w:val="22"/>
          <w:rtl w:val="0"/>
        </w:rPr>
        <w:t xml:space="preserve">: </w:t>
      </w:r>
    </w:p>
    <w:p w:rsidR="00000000" w:rsidDel="00000000" w:rsidP="00000000" w:rsidRDefault="00000000" w:rsidRPr="00000000" w14:paraId="00000050">
      <w:pPr>
        <w:spacing w:line="276" w:lineRule="auto"/>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Related International and/or regional laws</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sz w:val="22"/>
          <w:szCs w:val="22"/>
          <w:rtl w:val="0"/>
        </w:rPr>
        <w:t xml:space="preserve">N/A</w:t>
      </w:r>
      <w:r w:rsidDel="00000000" w:rsidR="00000000" w:rsidRPr="00000000">
        <w:rPr>
          <w:rtl w:val="0"/>
        </w:rPr>
      </w:r>
    </w:p>
    <w:p w:rsidR="00000000" w:rsidDel="00000000" w:rsidP="00000000" w:rsidRDefault="00000000" w:rsidRPr="00000000" w14:paraId="00000052">
      <w:pPr>
        <w:spacing w:line="276" w:lineRule="auto"/>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National law or jurisprudence</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numPr>
          <w:ilvl w:val="1"/>
          <w:numId w:val="9"/>
        </w:numPr>
        <w:spacing w:line="276" w:lineRule="auto"/>
        <w:ind w:left="1080" w:hanging="36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Belg., Penal Code, art. 31</w:t>
      </w:r>
    </w:p>
    <w:p w:rsidR="00000000" w:rsidDel="00000000" w:rsidP="00000000" w:rsidRDefault="00000000" w:rsidRPr="00000000" w14:paraId="00000055">
      <w:pPr>
        <w:numPr>
          <w:ilvl w:val="1"/>
          <w:numId w:val="9"/>
        </w:numPr>
        <w:spacing w:line="276" w:lineRule="auto"/>
        <w:ind w:left="1080" w:hanging="36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Belg., Penal Code, art. 444</w:t>
      </w:r>
    </w:p>
    <w:p w:rsidR="00000000" w:rsidDel="00000000" w:rsidP="00000000" w:rsidRDefault="00000000" w:rsidRPr="00000000" w14:paraId="00000056">
      <w:pPr>
        <w:numPr>
          <w:ilvl w:val="1"/>
          <w:numId w:val="9"/>
        </w:numPr>
        <w:spacing w:line="276" w:lineRule="auto"/>
        <w:ind w:left="1080" w:hanging="36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Belg., Law of 30 July 1981 on the punishment of certain acts inspired by racism or xenophobia ("Anti-Racism Law", art. 20</w:t>
      </w:r>
    </w:p>
    <w:p w:rsidR="00000000" w:rsidDel="00000000" w:rsidP="00000000" w:rsidRDefault="00000000" w:rsidRPr="00000000" w14:paraId="00000057">
      <w:pPr>
        <w:numPr>
          <w:ilvl w:val="1"/>
          <w:numId w:val="9"/>
        </w:numPr>
        <w:spacing w:line="276" w:lineRule="auto"/>
        <w:ind w:left="1080" w:hanging="36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Belg., Law of 30 July 1981 on the punishment of certain acts inspired by racism or xenophobia ("Anti-Racism Law"), art. 21</w:t>
      </w:r>
    </w:p>
    <w:p w:rsidR="00000000" w:rsidDel="00000000" w:rsidP="00000000" w:rsidRDefault="00000000" w:rsidRPr="00000000" w14:paraId="00000058">
      <w:pPr>
        <w:numPr>
          <w:ilvl w:val="1"/>
          <w:numId w:val="9"/>
        </w:numPr>
        <w:spacing w:line="276" w:lineRule="auto"/>
        <w:ind w:left="1080" w:hanging="36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Belg., Law of 30 July 1981 on the punishment of certain acts inspired by racism or xenophobia ("Anti-Racism Law"), art. 22</w:t>
      </w:r>
    </w:p>
    <w:p w:rsidR="00000000" w:rsidDel="00000000" w:rsidP="00000000" w:rsidRDefault="00000000" w:rsidRPr="00000000" w14:paraId="00000059">
      <w:pPr>
        <w:numPr>
          <w:ilvl w:val="1"/>
          <w:numId w:val="9"/>
        </w:numPr>
        <w:spacing w:line="276" w:lineRule="auto"/>
        <w:ind w:left="1080" w:hanging="36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Belg., Law of 23 March 1995 ("Holocaust Denialism Law), art. 1</w:t>
      </w:r>
    </w:p>
    <w:p w:rsidR="00000000" w:rsidDel="00000000" w:rsidP="00000000" w:rsidRDefault="00000000" w:rsidRPr="00000000" w14:paraId="0000005A">
      <w:pPr>
        <w:numPr>
          <w:ilvl w:val="1"/>
          <w:numId w:val="9"/>
        </w:numPr>
        <w:spacing w:line="276" w:lineRule="auto"/>
        <w:ind w:left="1080" w:hanging="36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Belg., Law of 8 June 2006 ("Weapons Law"), art. 19</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Garamond" w:cs="Garamond" w:eastAsia="Garamond" w:hAnsi="Garamond"/>
          <w:sz w:val="22"/>
          <w:szCs w:val="22"/>
          <w:u w:val="no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Other national law or jurisprudence</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sz w:val="22"/>
          <w:szCs w:val="22"/>
          <w:rtl w:val="0"/>
        </w:rPr>
        <w:t xml:space="preserve">N/A</w:t>
      </w:r>
      <w:r w:rsidDel="00000000" w:rsidR="00000000" w:rsidRPr="00000000">
        <w:rPr>
          <w:rtl w:val="0"/>
        </w:rPr>
      </w:r>
    </w:p>
    <w:p w:rsidR="00000000" w:rsidDel="00000000" w:rsidP="00000000" w:rsidRDefault="00000000" w:rsidRPr="00000000" w14:paraId="0000005D">
      <w:pPr>
        <w:spacing w:line="276" w:lineRule="auto"/>
        <w:ind w:left="72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5E">
      <w:pPr>
        <w:spacing w:line="276" w:lineRule="auto"/>
        <w:jc w:val="both"/>
        <w:rPr>
          <w:rFonts w:ascii="Garamond" w:cs="Garamond" w:eastAsia="Garamond" w:hAnsi="Garamond"/>
          <w:sz w:val="22"/>
          <w:szCs w:val="22"/>
        </w:rPr>
      </w:pPr>
      <w:r w:rsidDel="00000000" w:rsidR="00000000" w:rsidRPr="00000000">
        <w:rPr>
          <w:rFonts w:ascii="Garamond" w:cs="Garamond" w:eastAsia="Garamond" w:hAnsi="Garamond"/>
          <w:b w:val="1"/>
          <w:i w:val="1"/>
          <w:sz w:val="22"/>
          <w:szCs w:val="22"/>
          <w:u w:val="single"/>
          <w:rtl w:val="0"/>
        </w:rPr>
        <w:t xml:space="preserve">Significance</w:t>
      </w:r>
      <w:r w:rsidDel="00000000" w:rsidR="00000000" w:rsidRPr="00000000">
        <w:rPr>
          <w:rFonts w:ascii="Garamond" w:cs="Garamond" w:eastAsia="Garamond" w:hAnsi="Garamond"/>
          <w:sz w:val="22"/>
          <w:szCs w:val="22"/>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sz w:val="22"/>
          <w:szCs w:val="22"/>
          <w:rtl w:val="0"/>
        </w:rPr>
        <w:t xml:space="preserve">The decision establishes a binding or persuasive precedent within its jurisdiction.</w:t>
      </w:r>
      <w:r w:rsidDel="00000000" w:rsidR="00000000" w:rsidRPr="00000000">
        <w:rPr>
          <w:rtl w:val="0"/>
        </w:rPr>
      </w:r>
    </w:p>
    <w:p w:rsidR="00000000" w:rsidDel="00000000" w:rsidP="00000000" w:rsidRDefault="00000000" w:rsidRPr="00000000" w14:paraId="00000060">
      <w:pPr>
        <w:spacing w:line="276" w:lineRule="auto"/>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Related Cases</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Self-generated</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Date updated</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N/A</w:t>
      </w:r>
    </w:p>
    <w:p w:rsidR="00000000" w:rsidDel="00000000" w:rsidP="00000000" w:rsidRDefault="00000000" w:rsidRPr="00000000" w14:paraId="00000064">
      <w:pPr>
        <w:spacing w:line="276" w:lineRule="auto"/>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65">
      <w:pPr>
        <w:spacing w:line="276" w:lineRule="auto"/>
        <w:jc w:val="both"/>
        <w:rPr>
          <w:rFonts w:ascii="Garamond" w:cs="Garamond" w:eastAsia="Garamond" w:hAnsi="Garamond"/>
          <w:sz w:val="22"/>
          <w:szCs w:val="22"/>
        </w:rPr>
      </w:pPr>
      <w:r w:rsidDel="00000000" w:rsidR="00000000" w:rsidRPr="00000000">
        <w:rPr>
          <w:rFonts w:ascii="Garamond" w:cs="Garamond" w:eastAsia="Garamond" w:hAnsi="Garamond"/>
          <w:b w:val="1"/>
          <w:i w:val="1"/>
          <w:sz w:val="22"/>
          <w:szCs w:val="22"/>
          <w:u w:val="single"/>
          <w:rtl w:val="0"/>
        </w:rPr>
        <w:t xml:space="preserve">Docs</w:t>
      </w:r>
      <w:r w:rsidDel="00000000" w:rsidR="00000000" w:rsidRPr="00000000">
        <w:rPr>
          <w:rFonts w:ascii="Garamond" w:cs="Garamond" w:eastAsia="Garamond" w:hAnsi="Garamond"/>
          <w:sz w:val="22"/>
          <w:szCs w:val="22"/>
          <w:rtl w:val="0"/>
        </w:rPr>
        <w:t xml:space="preserve">: </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Official Case Documents</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Examples: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Judgement Court of Appeal, July 7, 2025 (in Dutch) [</w:t>
      </w:r>
      <w:r w:rsidDel="00000000" w:rsidR="00000000" w:rsidRPr="00000000">
        <w:rPr>
          <w:rFonts w:ascii="Garamond" w:cs="Garamond" w:eastAsia="Garamond" w:hAnsi="Garamond"/>
          <w:sz w:val="22"/>
          <w:szCs w:val="22"/>
          <w:rtl w:val="0"/>
        </w:rPr>
        <w:t xml:space="preserve">Attached</w:t>
      </w:r>
      <w:r w:rsidDel="00000000" w:rsidR="00000000" w:rsidRPr="00000000">
        <w:rPr>
          <w:rFonts w:ascii="Garamond" w:cs="Garamond" w:eastAsia="Garamond" w:hAnsi="Garamond"/>
          <w:sz w:val="22"/>
          <w:szCs w:val="22"/>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Judgment First I</w:t>
      </w:r>
      <w:r w:rsidDel="00000000" w:rsidR="00000000" w:rsidRPr="00000000">
        <w:rPr>
          <w:rFonts w:ascii="Garamond" w:cs="Garamond" w:eastAsia="Garamond" w:hAnsi="Garamond"/>
          <w:sz w:val="22"/>
          <w:szCs w:val="22"/>
          <w:rtl w:val="0"/>
        </w:rPr>
        <w:t xml:space="preserve">nstance Court, March 12, 2024 </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(in </w:t>
      </w:r>
      <w:r w:rsidDel="00000000" w:rsidR="00000000" w:rsidRPr="00000000">
        <w:rPr>
          <w:rFonts w:ascii="Garamond" w:cs="Garamond" w:eastAsia="Garamond" w:hAnsi="Garamond"/>
          <w:sz w:val="22"/>
          <w:szCs w:val="22"/>
          <w:rtl w:val="0"/>
        </w:rPr>
        <w:t xml:space="preserve">Dutch)</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w:t>
      </w:r>
      <w:hyperlink r:id="rId27">
        <w:r w:rsidDel="00000000" w:rsidR="00000000" w:rsidRPr="00000000">
          <w:rPr>
            <w:rFonts w:ascii="Garamond" w:cs="Garamond" w:eastAsia="Garamond" w:hAnsi="Garamond"/>
            <w:b w:val="0"/>
            <w:i w:val="0"/>
            <w:smallCaps w:val="0"/>
            <w:strike w:val="0"/>
            <w:color w:val="1155cc"/>
            <w:sz w:val="22"/>
            <w:szCs w:val="22"/>
            <w:u w:val="single"/>
            <w:shd w:fill="auto" w:val="clear"/>
            <w:vertAlign w:val="baseline"/>
            <w:rtl w:val="0"/>
          </w:rPr>
          <w:t xml:space="preserve">Attached</w:t>
        </w:r>
      </w:hyperlink>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Reports, Analysis, and News Articles</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C">
      <w:pPr>
        <w:numPr>
          <w:ilvl w:val="1"/>
          <w:numId w:val="4"/>
        </w:numPr>
        <w:spacing w:line="276" w:lineRule="auto"/>
        <w:ind w:left="1080" w:hanging="360"/>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Online Humor in Court: Two Belgian cases</w:t>
      </w:r>
      <w:r w:rsidDel="00000000" w:rsidR="00000000" w:rsidRPr="00000000">
        <w:rPr>
          <w:rFonts w:ascii="Garamond" w:cs="Garamond" w:eastAsia="Garamond" w:hAnsi="Garamond"/>
          <w:sz w:val="22"/>
          <w:szCs w:val="22"/>
          <w:rtl w:val="0"/>
        </w:rPr>
        <w:t xml:space="preserve">, </w:t>
      </w:r>
      <w:hyperlink r:id="rId28">
        <w:r w:rsidDel="00000000" w:rsidR="00000000" w:rsidRPr="00000000">
          <w:rPr>
            <w:rFonts w:ascii="Garamond" w:cs="Garamond" w:eastAsia="Garamond" w:hAnsi="Garamond"/>
            <w:color w:val="1155cc"/>
            <w:sz w:val="22"/>
            <w:szCs w:val="22"/>
            <w:u w:val="single"/>
            <w:rtl w:val="0"/>
          </w:rPr>
          <w:t xml:space="preserve">https://www.forhum.org/blog/two-belgian-cases/</w:t>
        </w:r>
      </w:hyperlink>
      <w:r w:rsidDel="00000000" w:rsidR="00000000" w:rsidRPr="00000000">
        <w:rPr>
          <w:rFonts w:ascii="Garamond" w:cs="Garamond" w:eastAsia="Garamond" w:hAnsi="Garamond"/>
          <w:sz w:val="22"/>
          <w:szCs w:val="22"/>
          <w:rtl w:val="0"/>
        </w:rPr>
        <w:t xml:space="preserve">. </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sz w:val="22"/>
          <w:szCs w:val="22"/>
          <w:rtl w:val="0"/>
        </w:rPr>
        <w:t xml:space="preserve">Belgium’s far-right prodigy gets prison term for inciting violence</w:t>
      </w:r>
      <w:r w:rsidDel="00000000" w:rsidR="00000000" w:rsidRPr="00000000">
        <w:rPr>
          <w:rFonts w:ascii="Garamond" w:cs="Garamond" w:eastAsia="Garamond" w:hAnsi="Garamond"/>
          <w:sz w:val="22"/>
          <w:szCs w:val="22"/>
          <w:rtl w:val="0"/>
        </w:rPr>
        <w:t xml:space="preserve">, </w:t>
      </w:r>
      <w:r w:rsidDel="00000000" w:rsidR="00000000" w:rsidRPr="00000000">
        <w:rPr>
          <w:rFonts w:ascii="Garamond" w:cs="Garamond" w:eastAsia="Garamond" w:hAnsi="Garamond"/>
          <w:sz w:val="22"/>
          <w:szCs w:val="22"/>
          <w:rtl w:val="0"/>
        </w:rPr>
        <w:t xml:space="preserve"> </w:t>
      </w:r>
      <w:hyperlink r:id="rId29">
        <w:r w:rsidDel="00000000" w:rsidR="00000000" w:rsidRPr="00000000">
          <w:rPr>
            <w:rFonts w:ascii="Garamond" w:cs="Garamond" w:eastAsia="Garamond" w:hAnsi="Garamond"/>
            <w:color w:val="1155cc"/>
            <w:sz w:val="22"/>
            <w:szCs w:val="22"/>
            <w:u w:val="single"/>
            <w:rtl w:val="0"/>
          </w:rPr>
          <w:t xml:space="preserve">https://www.politico.eu/article/belgium-far-right-prodigy-dries-van-langenhove-prison-term-incite-violence-deny-holocaust/</w:t>
        </w:r>
      </w:hyperlink>
      <w:r w:rsidDel="00000000" w:rsidR="00000000" w:rsidRPr="00000000">
        <w:rPr>
          <w:rFonts w:ascii="Garamond" w:cs="Garamond" w:eastAsia="Garamond" w:hAnsi="Garamond"/>
          <w:sz w:val="22"/>
          <w:szCs w:val="22"/>
          <w:rtl w:val="0"/>
        </w:rPr>
        <w:t xml:space="preserve">.   </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rPr>
          <w:rFonts w:ascii="Garamond" w:cs="Garamond" w:eastAsia="Garamond" w:hAnsi="Garamond"/>
          <w:sz w:val="22"/>
          <w:szCs w:val="22"/>
          <w:u w:val="none"/>
        </w:rPr>
      </w:pPr>
      <w:r w:rsidDel="00000000" w:rsidR="00000000" w:rsidRPr="00000000">
        <w:rPr>
          <w:rFonts w:ascii="Garamond" w:cs="Garamond" w:eastAsia="Garamond" w:hAnsi="Garamond"/>
          <w:b w:val="1"/>
          <w:sz w:val="22"/>
          <w:szCs w:val="22"/>
          <w:rtl w:val="0"/>
        </w:rPr>
        <w:t xml:space="preserve">Former MP given 1-year prison sentence,</w:t>
      </w:r>
      <w:r w:rsidDel="00000000" w:rsidR="00000000" w:rsidRPr="00000000">
        <w:rPr>
          <w:rFonts w:ascii="Garamond" w:cs="Garamond" w:eastAsia="Garamond" w:hAnsi="Garamond"/>
          <w:sz w:val="22"/>
          <w:szCs w:val="22"/>
          <w:rtl w:val="0"/>
        </w:rPr>
        <w:t xml:space="preserve"> </w:t>
      </w:r>
      <w:hyperlink r:id="rId30">
        <w:r w:rsidDel="00000000" w:rsidR="00000000" w:rsidRPr="00000000">
          <w:rPr>
            <w:rFonts w:ascii="Garamond" w:cs="Garamond" w:eastAsia="Garamond" w:hAnsi="Garamond"/>
            <w:color w:val="1155cc"/>
            <w:sz w:val="22"/>
            <w:szCs w:val="22"/>
            <w:u w:val="single"/>
            <w:rtl w:val="0"/>
          </w:rPr>
          <w:t xml:space="preserve">https://www.vrt.be/vrtnws/en/2024/03/12/former-mp-given-1-year-prison-sentence/</w:t>
        </w:r>
      </w:hyperlink>
      <w:r w:rsidDel="00000000" w:rsidR="00000000" w:rsidRPr="00000000">
        <w:rPr>
          <w:rFonts w:ascii="Garamond" w:cs="Garamond" w:eastAsia="Garamond" w:hAnsi="Garamond"/>
          <w:sz w:val="22"/>
          <w:szCs w:val="22"/>
          <w:rtl w:val="0"/>
        </w:rPr>
        <w:t xml:space="preserve">. </w:t>
      </w:r>
    </w:p>
    <w:p w:rsidR="00000000" w:rsidDel="00000000" w:rsidP="00000000" w:rsidRDefault="00000000" w:rsidRPr="00000000" w14:paraId="0000006F">
      <w:pPr>
        <w:numPr>
          <w:ilvl w:val="1"/>
          <w:numId w:val="4"/>
        </w:numPr>
        <w:spacing w:line="276" w:lineRule="auto"/>
        <w:ind w:left="1080" w:hanging="360"/>
        <w:rPr>
          <w:rFonts w:ascii="Garamond" w:cs="Garamond" w:eastAsia="Garamond" w:hAnsi="Garamond"/>
          <w:sz w:val="22"/>
          <w:szCs w:val="22"/>
        </w:rPr>
      </w:pPr>
      <w:r w:rsidDel="00000000" w:rsidR="00000000" w:rsidRPr="00000000">
        <w:rPr>
          <w:rFonts w:ascii="Garamond" w:cs="Garamond" w:eastAsia="Garamond" w:hAnsi="Garamond"/>
          <w:b w:val="1"/>
          <w:sz w:val="22"/>
          <w:szCs w:val="22"/>
          <w:rtl w:val="0"/>
        </w:rPr>
        <w:t xml:space="preserve">Far-right activist Dries Van Langenhove given lighter sentence by Court of Appeal. </w:t>
      </w:r>
      <w:hyperlink r:id="rId31">
        <w:r w:rsidDel="00000000" w:rsidR="00000000" w:rsidRPr="00000000">
          <w:rPr>
            <w:rFonts w:ascii="Garamond" w:cs="Garamond" w:eastAsia="Garamond" w:hAnsi="Garamond"/>
            <w:color w:val="1155cc"/>
            <w:sz w:val="22"/>
            <w:szCs w:val="22"/>
            <w:u w:val="single"/>
            <w:rtl w:val="0"/>
          </w:rPr>
          <w:t xml:space="preserve">https://www.vrt.be/vrtnws/en/2025/06/20/far-right-activist-dries-van-langenhove-given-lighter-sentence-b/</w:t>
        </w:r>
      </w:hyperlink>
      <w:r w:rsidDel="00000000" w:rsidR="00000000" w:rsidRPr="00000000">
        <w:rPr>
          <w:rFonts w:ascii="Garamond" w:cs="Garamond" w:eastAsia="Garamond" w:hAnsi="Garamond"/>
          <w:sz w:val="22"/>
          <w:szCs w:val="22"/>
          <w:rtl w:val="0"/>
        </w:rPr>
        <w:t xml:space="preserve">. </w:t>
      </w:r>
      <w:r w:rsidDel="00000000" w:rsidR="00000000" w:rsidRPr="00000000">
        <w:rPr>
          <w:rtl w:val="0"/>
        </w:rPr>
      </w:r>
    </w:p>
    <w:sectPr>
      <w:pgSz w:h="16838" w:w="11906" w:orient="portrait"/>
      <w:pgMar w:bottom="720" w:top="720" w:left="720" w:right="72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ABETTE DE NAEYER" w:id="0" w:date="2025-07-08T15:19:05Z">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we should find a way to include a personal comment about the Court’s complete omission of Van Langenhove’s status as a political figure and former member of the Belgian Federal Parliament. I find it quite astonishing that this is not mentioned anywhere in the ruling. Of course, we should phrase this more subtly, but do you have any ideas on where we could add such a remark?</w:t>
      </w:r>
    </w:p>
  </w:comment>
  <w:comment w:author="BABETTE DE NAEYER" w:id="1" w:date="2025-07-08T11:53:42Z">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the First Instance Court's decision, this was only 35,000 euros (as you can see in the current version of this case note in the database). This really shows that there is still public support for him, unfortunately...</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0" w15:done="0"/>
  <w15:commentEx w15:paraId="0000007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B2804"/>
    <w:pPr>
      <w:ind w:left="720"/>
      <w:contextualSpacing w:val="1"/>
    </w:pPr>
  </w:style>
  <w:style w:type="character" w:styleId="Hyperlink">
    <w:name w:val="Hyperlink"/>
    <w:basedOn w:val="DefaultParagraphFont"/>
    <w:uiPriority w:val="99"/>
    <w:unhideWhenUsed w:val="1"/>
    <w:rsid w:val="00BB2804"/>
    <w:rPr>
      <w:color w:val="0563c1" w:themeColor="hyperlink"/>
      <w:u w:val="single"/>
    </w:rPr>
  </w:style>
  <w:style w:type="character" w:styleId="UnresolvedMention">
    <w:name w:val="Unresolved Mention"/>
    <w:basedOn w:val="DefaultParagraphFont"/>
    <w:uiPriority w:val="99"/>
    <w:semiHidden w:val="1"/>
    <w:unhideWhenUsed w:val="1"/>
    <w:rsid w:val="009223B6"/>
    <w:rPr>
      <w:color w:val="605e5c"/>
      <w:shd w:color="auto" w:fill="e1dfdd" w:val="clear"/>
    </w:rPr>
  </w:style>
  <w:style w:type="paragraph" w:styleId="NormalWeb">
    <w:name w:val="Normal (Web)"/>
    <w:basedOn w:val="Normal"/>
    <w:uiPriority w:val="99"/>
    <w:unhideWhenUsed w:val="1"/>
    <w:rsid w:val="00CD2DD6"/>
    <w:pPr>
      <w:spacing w:after="100" w:afterAutospacing="1" w:before="100" w:beforeAutospacing="1"/>
    </w:pPr>
    <w:rPr>
      <w:rFonts w:ascii="Times New Roman" w:cs="Times New Roman" w:eastAsia="Times New Roman" w:hAnsi="Times New Roman"/>
      <w:lang w:eastAsia="en-GB"/>
    </w:rPr>
  </w:style>
  <w:style w:type="character" w:styleId="FollowedHyperlink">
    <w:name w:val="FollowedHyperlink"/>
    <w:basedOn w:val="DefaultParagraphFont"/>
    <w:uiPriority w:val="99"/>
    <w:semiHidden w:val="1"/>
    <w:unhideWhenUsed w:val="1"/>
    <w:rsid w:val="00BD7FAA"/>
    <w:rPr>
      <w:color w:val="954f72" w:themeColor="followedHyperlink"/>
      <w:u w:val="single"/>
    </w:rPr>
  </w:style>
  <w:style w:type="character" w:styleId="Emphasis">
    <w:name w:val="Emphasis"/>
    <w:basedOn w:val="DefaultParagraphFont"/>
    <w:uiPriority w:val="20"/>
    <w:qFormat w:val="1"/>
    <w:rsid w:val="00AB29C4"/>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ejustice.just.fgov.be/cgi_loi/change_lg.pl?language=nl&amp;la=N&amp;table_name=wet&amp;cn=1981073035#LNK0013" TargetMode="External"/><Relationship Id="rId22" Type="http://schemas.openxmlformats.org/officeDocument/2006/relationships/hyperlink" Target="https://www.ejustice.just.fgov.be/eli/wet/1995/03/23/1995009273/justel" TargetMode="External"/><Relationship Id="rId21" Type="http://schemas.openxmlformats.org/officeDocument/2006/relationships/hyperlink" Target="https://www.ejustice.just.fgov.be/cgi_loi/change_lg.pl?language=nl&amp;la=N&amp;table_name=wet&amp;cn=1981073035#LNK0013" TargetMode="External"/><Relationship Id="rId24" Type="http://schemas.openxmlformats.org/officeDocument/2006/relationships/hyperlink" Target="https://www.ejustice.just.fgov.be/cgi_loi/change_lg.pl?language=nl&amp;la=N&amp;cn=2006060830&amp;table_name=wet#LNK0008" TargetMode="External"/><Relationship Id="rId23" Type="http://schemas.openxmlformats.org/officeDocument/2006/relationships/hyperlink" Target="https://www.ejustice.just.fgov.be/cgi_loi/change_lg.pl?language=nl&amp;la=N&amp;table_name=wet&amp;cn=1981073035#LNK0013"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ejustice.just.fgov.be/cgi_loi/change_lg.pl?language=nl&amp;la=N&amp;table_name=wet&amp;cn=1981073035#LNK0013" TargetMode="External"/><Relationship Id="rId26" Type="http://schemas.openxmlformats.org/officeDocument/2006/relationships/hyperlink" Target="https://www.givesendgo.com/Dries" TargetMode="External"/><Relationship Id="rId25" Type="http://schemas.openxmlformats.org/officeDocument/2006/relationships/hyperlink" Target="https://www.vrt.be/vrtnws/en/2025/06/20/far-right-activist-dries-van-langenhove-given-lighter-sentence-b/" TargetMode="External"/><Relationship Id="rId28" Type="http://schemas.openxmlformats.org/officeDocument/2006/relationships/hyperlink" Target="https://www.forhum.org/blog/two-belgian-cases/" TargetMode="External"/><Relationship Id="rId27" Type="http://schemas.openxmlformats.org/officeDocument/2006/relationships/hyperlink" Target="https://www.rechtbanken-tribunaux.be/nl/nieuws/vonnis-oprichter-en-zes-leden-schild-en-vrienden-schuldig-bevonden"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politico.eu/article/belgium-far-right-prodigy-dries-van-langenhove-prison-term-incite-violence-deny-holocaust/"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s://www.vrt.be/vrtnws/en/2025/06/20/far-right-activist-dries-van-langenhove-given-lighter-sentence-b/" TargetMode="External"/><Relationship Id="rId30" Type="http://schemas.openxmlformats.org/officeDocument/2006/relationships/hyperlink" Target="https://www.vrt.be/vrtnws/en/2024/03/12/former-mp-given-1-year-prison-sentence/" TargetMode="External"/><Relationship Id="rId11" Type="http://schemas.openxmlformats.org/officeDocument/2006/relationships/hyperlink" Target="https://www.ejustice.just.fgov.be/cgi_loi/change_lg.pl?language=nl&amp;la=N&amp;table_name=wet&amp;cn=1981073035#LNK0013" TargetMode="External"/><Relationship Id="rId10" Type="http://schemas.openxmlformats.org/officeDocument/2006/relationships/hyperlink" Target="https://www.ejustice.just.fgov.be/eli/wet/1995/03/23/1995009273/justel" TargetMode="External"/><Relationship Id="rId13" Type="http://schemas.openxmlformats.org/officeDocument/2006/relationships/hyperlink" Target="https://www.ejustice.just.fgov.be/cgi_loi/change_lg.pl?language=nl&amp;la=N&amp;cn=2006060830&amp;table_name=wet#LNK0008" TargetMode="External"/><Relationship Id="rId12" Type="http://schemas.openxmlformats.org/officeDocument/2006/relationships/hyperlink" Target="https://www.ejustice.just.fgov.be/cgi_loi/change_lg.pl?language=nl&amp;la=N&amp;table_name=wet&amp;cn=1981073035#LNK0013" TargetMode="External"/><Relationship Id="rId15" Type="http://schemas.openxmlformats.org/officeDocument/2006/relationships/hyperlink" Target="https://www.vrt.be/vrtnws/nl/2018/09/09/waardige-reacties-op-onwaardige-uitingen/" TargetMode="External"/><Relationship Id="rId14" Type="http://schemas.openxmlformats.org/officeDocument/2006/relationships/hyperlink" Target="https://www.vrt.be/vrtnws/nl/2018/09/05/politieke-reacties-na-pano-reportage-over-schild-vrienden/" TargetMode="External"/><Relationship Id="rId17" Type="http://schemas.openxmlformats.org/officeDocument/2006/relationships/hyperlink" Target="https://www.vrt.be/vrtnws/nl/2023/02/04/dries-van-langenhove-persco/" TargetMode="External"/><Relationship Id="rId16" Type="http://schemas.openxmlformats.org/officeDocument/2006/relationships/hyperlink" Target="https://www.vrt.be/vrtnws/nl/2019/01/09/dries-van-langenhove-van-uiterst-rechts-schild-vrienden-wordt/" TargetMode="External"/><Relationship Id="rId19" Type="http://schemas.openxmlformats.org/officeDocument/2006/relationships/hyperlink" Target="https://www.vrt.be/vrtnws/nl/2023/02/04/dries-van-langenhove-persco/" TargetMode="External"/><Relationship Id="rId18" Type="http://schemas.openxmlformats.org/officeDocument/2006/relationships/hyperlink" Target="https://www.dekamer.be/kvvcr/showpage.cfm?section=/flwb&amp;language=nl&amp;cfm=/site/wwwcfm/flwb/flwbn.cfm?lang=N&amp;legislat=55&amp;dossierID=183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O3fmmXf62/8kosG0dQZ9dUJ1w==">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2021-11-05T17:01:00Z</dcterms:created>
  <dc:creator>Sanskriti Sanghi</dc:creator>
</cp:coreProperties>
</file>