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884C5" w14:textId="4E6F6161" w:rsidR="00BC1499" w:rsidRPr="00E33A69" w:rsidRDefault="00000000" w:rsidP="00E33A69">
      <w:pPr>
        <w:shd w:val="clear" w:color="auto" w:fill="8EAADB"/>
        <w:spacing w:line="276" w:lineRule="auto"/>
        <w:jc w:val="center"/>
        <w:rPr>
          <w:rFonts w:ascii="Garamond" w:eastAsia="Garamond" w:hAnsi="Garamond" w:cs="Garamond"/>
          <w:b/>
          <w:bCs/>
          <w:i/>
          <w:lang w:val="en-EG"/>
        </w:rPr>
      </w:pPr>
      <w:r>
        <w:rPr>
          <w:rFonts w:ascii="Garamond" w:eastAsia="Garamond" w:hAnsi="Garamond" w:cs="Garamond"/>
          <w:b/>
          <w:i/>
          <w:color w:val="000000"/>
        </w:rPr>
        <w:t xml:space="preserve">Case Title: </w:t>
      </w:r>
      <w:r>
        <w:rPr>
          <w:rFonts w:ascii="Garamond" w:eastAsia="Garamond" w:hAnsi="Garamond" w:cs="Garamond"/>
          <w:b/>
          <w:i/>
        </w:rPr>
        <w:t xml:space="preserve">Oversight Board case of </w:t>
      </w:r>
      <w:r w:rsidR="00E33A69" w:rsidRPr="00E33A69">
        <w:rPr>
          <w:rFonts w:ascii="Garamond" w:eastAsia="Garamond" w:hAnsi="Garamond" w:cs="Garamond"/>
          <w:b/>
          <w:bCs/>
          <w:i/>
          <w:lang w:val="en-EG"/>
        </w:rPr>
        <w:t>Posts That Include “From the River to the Sea”</w:t>
      </w:r>
    </w:p>
    <w:p w14:paraId="089A50F0" w14:textId="77777777" w:rsidR="00BC1499" w:rsidRDefault="00000000">
      <w:pPr>
        <w:shd w:val="clear" w:color="auto" w:fill="8EAADB"/>
        <w:spacing w:line="276" w:lineRule="auto"/>
        <w:jc w:val="center"/>
        <w:rPr>
          <w:rFonts w:ascii="Garamond" w:eastAsia="Garamond" w:hAnsi="Garamond" w:cs="Garamond"/>
          <w:b/>
        </w:rPr>
      </w:pPr>
      <w:r>
        <w:rPr>
          <w:rFonts w:ascii="Garamond" w:eastAsia="Garamond" w:hAnsi="Garamond" w:cs="Garamond"/>
          <w:b/>
          <w:color w:val="000000"/>
        </w:rPr>
        <w:t xml:space="preserve">Case Analysis </w:t>
      </w:r>
    </w:p>
    <w:p w14:paraId="231FB2B9" w14:textId="77777777" w:rsidR="00BC1499" w:rsidRDefault="00BC1499">
      <w:pPr>
        <w:spacing w:line="276" w:lineRule="auto"/>
        <w:jc w:val="both"/>
        <w:rPr>
          <w:rFonts w:ascii="Garamond" w:eastAsia="Garamond" w:hAnsi="Garamond" w:cs="Garamond"/>
        </w:rPr>
      </w:pPr>
    </w:p>
    <w:p w14:paraId="12182B24" w14:textId="77777777" w:rsidR="00BC1499" w:rsidRDefault="00000000">
      <w:pPr>
        <w:spacing w:line="276" w:lineRule="auto"/>
        <w:jc w:val="both"/>
        <w:rPr>
          <w:rFonts w:ascii="Garamond" w:eastAsia="Garamond" w:hAnsi="Garamond" w:cs="Garamond"/>
        </w:rPr>
      </w:pPr>
      <w:r>
        <w:rPr>
          <w:rFonts w:ascii="Garamond" w:eastAsia="Garamond" w:hAnsi="Garamond" w:cs="Garamond"/>
        </w:rPr>
        <w:t xml:space="preserve">General notes for the researcher: Please use this guide to fill the </w:t>
      </w:r>
      <w:r>
        <w:rPr>
          <w:rFonts w:ascii="Garamond" w:eastAsia="Garamond" w:hAnsi="Garamond" w:cs="Garamond"/>
          <w:i/>
        </w:rPr>
        <w:t xml:space="preserve">case analysis form </w:t>
      </w:r>
      <w:r>
        <w:rPr>
          <w:rFonts w:ascii="Garamond" w:eastAsia="Garamond" w:hAnsi="Garamond" w:cs="Garamond"/>
        </w:rPr>
        <w:t xml:space="preserve">in WordPress. This form is specifically tailored for the Oversight Board's decisions. Before writing the case analysis, please review the </w:t>
      </w:r>
      <w:hyperlink r:id="rId8">
        <w:r w:rsidR="00BC1499">
          <w:rPr>
            <w:rFonts w:ascii="Garamond" w:eastAsia="Garamond" w:hAnsi="Garamond" w:cs="Garamond"/>
            <w:color w:val="1155CC"/>
            <w:u w:val="single"/>
          </w:rPr>
          <w:t>Global Freedom of Expression Style Guide</w:t>
        </w:r>
      </w:hyperlink>
      <w:r>
        <w:rPr>
          <w:rFonts w:ascii="Garamond" w:eastAsia="Garamond" w:hAnsi="Garamond" w:cs="Garamond"/>
        </w:rPr>
        <w:t xml:space="preserve">. </w:t>
      </w:r>
    </w:p>
    <w:p w14:paraId="443BC5F1" w14:textId="77777777" w:rsidR="00BC1499" w:rsidRDefault="00BC1499">
      <w:pPr>
        <w:spacing w:line="276" w:lineRule="auto"/>
        <w:jc w:val="both"/>
        <w:rPr>
          <w:rFonts w:ascii="Garamond" w:eastAsia="Garamond" w:hAnsi="Garamond" w:cs="Garamond"/>
        </w:rPr>
      </w:pPr>
    </w:p>
    <w:tbl>
      <w:tblPr>
        <w:tblStyle w:val="a5"/>
        <w:tblW w:w="1046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BC1499" w14:paraId="313CBF4B" w14:textId="77777777">
        <w:tc>
          <w:tcPr>
            <w:tcW w:w="10466" w:type="dxa"/>
            <w:shd w:val="clear" w:color="auto" w:fill="auto"/>
            <w:tcMar>
              <w:top w:w="100" w:type="dxa"/>
              <w:left w:w="100" w:type="dxa"/>
              <w:bottom w:w="100" w:type="dxa"/>
              <w:right w:w="100" w:type="dxa"/>
            </w:tcMar>
          </w:tcPr>
          <w:p w14:paraId="44257B6D" w14:textId="77777777" w:rsidR="00BC1499" w:rsidRDefault="00000000">
            <w:pPr>
              <w:spacing w:line="276" w:lineRule="auto"/>
              <w:jc w:val="both"/>
              <w:rPr>
                <w:rFonts w:ascii="Garamond" w:eastAsia="Garamond" w:hAnsi="Garamond" w:cs="Garamond"/>
                <w:b/>
              </w:rPr>
            </w:pPr>
            <w:r>
              <w:rPr>
                <w:rFonts w:ascii="Garamond" w:eastAsia="Garamond" w:hAnsi="Garamond" w:cs="Garamond"/>
                <w:b/>
              </w:rPr>
              <w:t>Don't forget!</w:t>
            </w:r>
          </w:p>
          <w:p w14:paraId="6CFCEC5F" w14:textId="77777777" w:rsidR="00BC1499" w:rsidRDefault="00000000">
            <w:pPr>
              <w:numPr>
                <w:ilvl w:val="0"/>
                <w:numId w:val="1"/>
              </w:numPr>
              <w:spacing w:line="276" w:lineRule="auto"/>
              <w:jc w:val="both"/>
              <w:rPr>
                <w:rFonts w:ascii="Garamond" w:eastAsia="Garamond" w:hAnsi="Garamond" w:cs="Garamond"/>
              </w:rPr>
            </w:pPr>
            <w:r>
              <w:rPr>
                <w:rFonts w:ascii="Garamond" w:eastAsia="Garamond" w:hAnsi="Garamond" w:cs="Garamond"/>
              </w:rPr>
              <w:t>Avoid the passive tense unless you don’t know the subject or, for some reason, the subject is selected to be vague.</w:t>
            </w:r>
          </w:p>
          <w:p w14:paraId="3E04E84E" w14:textId="77777777" w:rsidR="00BC1499" w:rsidRDefault="00000000">
            <w:pPr>
              <w:numPr>
                <w:ilvl w:val="0"/>
                <w:numId w:val="1"/>
              </w:numPr>
              <w:spacing w:line="276" w:lineRule="auto"/>
              <w:jc w:val="both"/>
              <w:rPr>
                <w:rFonts w:ascii="Garamond" w:eastAsia="Garamond" w:hAnsi="Garamond" w:cs="Garamond"/>
              </w:rPr>
            </w:pPr>
            <w:r>
              <w:rPr>
                <w:rFonts w:ascii="Garamond" w:eastAsia="Garamond" w:hAnsi="Garamond" w:cs="Garamond"/>
              </w:rPr>
              <w:t>Use the past tense in most circumstances.</w:t>
            </w:r>
          </w:p>
          <w:p w14:paraId="5D50D279" w14:textId="77777777" w:rsidR="00BC1499" w:rsidRDefault="00000000">
            <w:pPr>
              <w:numPr>
                <w:ilvl w:val="0"/>
                <w:numId w:val="1"/>
              </w:numPr>
              <w:spacing w:line="276" w:lineRule="auto"/>
              <w:jc w:val="both"/>
              <w:rPr>
                <w:rFonts w:ascii="Garamond" w:eastAsia="Garamond" w:hAnsi="Garamond" w:cs="Garamond"/>
              </w:rPr>
            </w:pPr>
            <w:r>
              <w:rPr>
                <w:rFonts w:ascii="Garamond" w:eastAsia="Garamond" w:hAnsi="Garamond" w:cs="Garamond"/>
              </w:rPr>
              <w:t xml:space="preserve">When filling in the large fields, do not indent the beginning of paragraphs and put a blank line between paragraphs for easy reading. </w:t>
            </w:r>
          </w:p>
          <w:p w14:paraId="00A75982" w14:textId="77777777" w:rsidR="00BC1499" w:rsidRDefault="00000000">
            <w:pPr>
              <w:numPr>
                <w:ilvl w:val="0"/>
                <w:numId w:val="1"/>
              </w:numPr>
              <w:spacing w:line="276" w:lineRule="auto"/>
              <w:jc w:val="both"/>
              <w:rPr>
                <w:rFonts w:ascii="Garamond" w:eastAsia="Garamond" w:hAnsi="Garamond" w:cs="Garamond"/>
              </w:rPr>
            </w:pPr>
            <w:r>
              <w:rPr>
                <w:rFonts w:ascii="Garamond" w:eastAsia="Garamond" w:hAnsi="Garamond" w:cs="Garamond"/>
              </w:rPr>
              <w:t>Use one space at the beginning of sentences, not two.</w:t>
            </w:r>
          </w:p>
          <w:p w14:paraId="2F2172C5" w14:textId="77777777" w:rsidR="00BC1499" w:rsidRDefault="00000000">
            <w:pPr>
              <w:numPr>
                <w:ilvl w:val="0"/>
                <w:numId w:val="1"/>
              </w:numPr>
              <w:spacing w:line="276" w:lineRule="auto"/>
              <w:jc w:val="both"/>
              <w:rPr>
                <w:rFonts w:ascii="Garamond" w:eastAsia="Garamond" w:hAnsi="Garamond" w:cs="Garamond"/>
              </w:rPr>
            </w:pPr>
            <w:r>
              <w:rPr>
                <w:rFonts w:ascii="Garamond" w:eastAsia="Garamond" w:hAnsi="Garamond" w:cs="Garamond"/>
              </w:rPr>
              <w:t>Where an important proper noun is in a language other than English, write out in italics the proper noun in the original language in parentheses following the first usage of the noun in English.</w:t>
            </w:r>
          </w:p>
        </w:tc>
      </w:tr>
    </w:tbl>
    <w:p w14:paraId="0283696B" w14:textId="77777777" w:rsidR="00BC1499" w:rsidRDefault="00BC1499">
      <w:pPr>
        <w:spacing w:line="276" w:lineRule="auto"/>
        <w:jc w:val="both"/>
        <w:rPr>
          <w:rFonts w:ascii="Garamond" w:eastAsia="Garamond" w:hAnsi="Garamond" w:cs="Garamond"/>
        </w:rPr>
      </w:pPr>
    </w:p>
    <w:p w14:paraId="066FDC71" w14:textId="77777777" w:rsidR="00BC1499" w:rsidRDefault="00BC1499">
      <w:pPr>
        <w:spacing w:line="276" w:lineRule="auto"/>
        <w:jc w:val="both"/>
        <w:rPr>
          <w:rFonts w:ascii="Garamond" w:eastAsia="Garamond" w:hAnsi="Garamond" w:cs="Garamond"/>
        </w:rPr>
      </w:pPr>
    </w:p>
    <w:p w14:paraId="0C689D7B" w14:textId="77777777" w:rsidR="00BC1499" w:rsidRDefault="00000000">
      <w:pPr>
        <w:spacing w:line="276" w:lineRule="auto"/>
        <w:jc w:val="both"/>
        <w:rPr>
          <w:rFonts w:ascii="Garamond" w:eastAsia="Garamond" w:hAnsi="Garamond" w:cs="Garamond"/>
          <w:b/>
        </w:rPr>
      </w:pPr>
      <w:r>
        <w:rPr>
          <w:rFonts w:ascii="Garamond" w:eastAsia="Garamond" w:hAnsi="Garamond" w:cs="Garamond"/>
          <w:b/>
          <w:i/>
          <w:u w:val="single"/>
        </w:rPr>
        <w:t>Meta-Data</w:t>
      </w:r>
      <w:r>
        <w:rPr>
          <w:rFonts w:ascii="Garamond" w:eastAsia="Garamond" w:hAnsi="Garamond" w:cs="Garamond"/>
          <w:b/>
        </w:rPr>
        <w:t xml:space="preserve">: </w:t>
      </w:r>
    </w:p>
    <w:p w14:paraId="246E2FE9" w14:textId="1F7D2998"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Case Number</w:t>
      </w:r>
      <w:r>
        <w:rPr>
          <w:rFonts w:ascii="Garamond" w:eastAsia="Garamond" w:hAnsi="Garamond" w:cs="Garamond"/>
          <w:color w:val="000000"/>
        </w:rPr>
        <w:t xml:space="preserve">: </w:t>
      </w:r>
      <w:r w:rsidR="00E33A69" w:rsidRPr="00E33A69">
        <w:rPr>
          <w:rFonts w:ascii="Garamond" w:eastAsia="Garamond" w:hAnsi="Garamond" w:cs="Garamond"/>
        </w:rPr>
        <w:t>2024-004-FB-UA, 2024-005-FB-UA, 2024-006-FB-UA</w:t>
      </w:r>
    </w:p>
    <w:p w14:paraId="3230C15F" w14:textId="01C8B17E"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Date of decision</w:t>
      </w:r>
      <w:r w:rsidR="00E33A69">
        <w:rPr>
          <w:rFonts w:ascii="Garamond" w:eastAsia="Garamond" w:hAnsi="Garamond" w:cs="Garamond"/>
          <w:color w:val="000000"/>
        </w:rPr>
        <w:t>: 09/04/2024</w:t>
      </w:r>
      <w:r>
        <w:rPr>
          <w:rFonts w:ascii="Garamond" w:eastAsia="Garamond" w:hAnsi="Garamond" w:cs="Garamond"/>
        </w:rPr>
        <w:t xml:space="preserve"> </w:t>
      </w:r>
    </w:p>
    <w:p w14:paraId="13772BE6" w14:textId="77777777"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Featured case</w:t>
      </w:r>
      <w:r>
        <w:rPr>
          <w:rFonts w:ascii="Garamond" w:eastAsia="Garamond" w:hAnsi="Garamond" w:cs="Garamond"/>
          <w:color w:val="000000"/>
        </w:rPr>
        <w:t>: N/A</w:t>
      </w:r>
      <w:r>
        <w:rPr>
          <w:rFonts w:ascii="Garamond" w:eastAsia="Garamond" w:hAnsi="Garamond" w:cs="Garamond"/>
        </w:rPr>
        <w:t xml:space="preserve"> [not applicable]</w:t>
      </w:r>
    </w:p>
    <w:p w14:paraId="5DDBD23C" w14:textId="00A105C0"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Region</w:t>
      </w:r>
      <w:r w:rsidR="00E33A69">
        <w:rPr>
          <w:rFonts w:ascii="Garamond" w:eastAsia="Garamond" w:hAnsi="Garamond" w:cs="Garamond"/>
          <w:color w:val="000000"/>
        </w:rPr>
        <w:t>:</w:t>
      </w:r>
      <w:r w:rsidR="00E33A69">
        <w:rPr>
          <w:rFonts w:ascii="Garamond" w:eastAsia="Garamond" w:hAnsi="Garamond" w:cs="Garamond"/>
        </w:rPr>
        <w:t xml:space="preserve"> International</w:t>
      </w:r>
      <w:r>
        <w:rPr>
          <w:rFonts w:ascii="Garamond" w:eastAsia="Garamond" w:hAnsi="Garamond" w:cs="Garamond"/>
        </w:rPr>
        <w:t xml:space="preserve"> </w:t>
      </w:r>
    </w:p>
    <w:p w14:paraId="551D286A" w14:textId="363CA812"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Country</w:t>
      </w:r>
      <w:r>
        <w:rPr>
          <w:rFonts w:ascii="Garamond" w:eastAsia="Garamond" w:hAnsi="Garamond" w:cs="Garamond"/>
          <w:color w:val="000000"/>
        </w:rPr>
        <w:t xml:space="preserve">: </w:t>
      </w:r>
      <w:r w:rsidR="00E33A69">
        <w:rPr>
          <w:rFonts w:ascii="Garamond" w:eastAsia="Garamond" w:hAnsi="Garamond" w:cs="Garamond"/>
          <w:color w:val="000000"/>
        </w:rPr>
        <w:t>International</w:t>
      </w:r>
      <w:r>
        <w:rPr>
          <w:rFonts w:ascii="Garamond" w:eastAsia="Garamond" w:hAnsi="Garamond" w:cs="Garamond"/>
        </w:rPr>
        <w:t xml:space="preserve"> </w:t>
      </w:r>
    </w:p>
    <w:p w14:paraId="5AA46025" w14:textId="71237308"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Type of expression</w:t>
      </w:r>
      <w:r>
        <w:rPr>
          <w:rFonts w:ascii="Garamond" w:eastAsia="Garamond" w:hAnsi="Garamond" w:cs="Garamond"/>
          <w:color w:val="000000"/>
        </w:rPr>
        <w:t xml:space="preserve">: </w:t>
      </w:r>
      <w:r>
        <w:rPr>
          <w:rFonts w:ascii="Garamond" w:eastAsia="Garamond" w:hAnsi="Garamond" w:cs="Garamond"/>
        </w:rPr>
        <w:t>Electronic / Internet-based Communication</w:t>
      </w:r>
    </w:p>
    <w:p w14:paraId="6F094C05" w14:textId="6E1759B6"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Judicial Body</w:t>
      </w:r>
      <w:r>
        <w:rPr>
          <w:rFonts w:ascii="Garamond" w:eastAsia="Garamond" w:hAnsi="Garamond" w:cs="Garamond"/>
          <w:color w:val="000000"/>
        </w:rPr>
        <w:t>: Oversight Board</w:t>
      </w:r>
    </w:p>
    <w:p w14:paraId="52B66130" w14:textId="4B9376D3"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Type of law</w:t>
      </w:r>
      <w:r>
        <w:rPr>
          <w:rFonts w:ascii="Garamond" w:eastAsia="Garamond" w:hAnsi="Garamond" w:cs="Garamond"/>
          <w:color w:val="000000"/>
        </w:rPr>
        <w:t xml:space="preserve">: International Human Rights </w:t>
      </w:r>
      <w:r>
        <w:rPr>
          <w:rFonts w:ascii="Garamond" w:eastAsia="Garamond" w:hAnsi="Garamond" w:cs="Garamond"/>
        </w:rPr>
        <w:t>Law</w:t>
      </w:r>
      <w:r w:rsidR="00E33A69">
        <w:rPr>
          <w:rFonts w:ascii="Garamond" w:eastAsia="Garamond" w:hAnsi="Garamond" w:cs="Garamond"/>
        </w:rPr>
        <w:t xml:space="preserve"> </w:t>
      </w:r>
      <w:r>
        <w:rPr>
          <w:rFonts w:ascii="Garamond" w:eastAsia="Garamond" w:hAnsi="Garamond" w:cs="Garamond"/>
        </w:rPr>
        <w:t>&amp;</w:t>
      </w:r>
      <w:r>
        <w:rPr>
          <w:rFonts w:ascii="Garamond" w:eastAsia="Garamond" w:hAnsi="Garamond" w:cs="Garamond"/>
          <w:b/>
        </w:rPr>
        <w:t xml:space="preserve"> </w:t>
      </w:r>
      <w:r>
        <w:rPr>
          <w:rFonts w:ascii="Garamond" w:eastAsia="Garamond" w:hAnsi="Garamond" w:cs="Garamond"/>
        </w:rPr>
        <w:t>Meta’s content policies</w:t>
      </w:r>
    </w:p>
    <w:p w14:paraId="39BB5491" w14:textId="77777777"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Main Themes</w:t>
      </w:r>
      <w:r>
        <w:rPr>
          <w:rFonts w:ascii="Garamond" w:eastAsia="Garamond" w:hAnsi="Garamond" w:cs="Garamond"/>
          <w:color w:val="000000"/>
        </w:rPr>
        <w:t xml:space="preserve">: [ </w:t>
      </w:r>
      <w:r>
        <w:rPr>
          <w:rFonts w:ascii="Garamond" w:eastAsia="Garamond" w:hAnsi="Garamond" w:cs="Garamond"/>
        </w:rPr>
        <w:t>S</w:t>
      </w:r>
      <w:r>
        <w:rPr>
          <w:rFonts w:ascii="Garamond" w:eastAsia="Garamond" w:hAnsi="Garamond" w:cs="Garamond"/>
          <w:color w:val="000000"/>
        </w:rPr>
        <w:t xml:space="preserve">elect both </w:t>
      </w:r>
      <w:r>
        <w:rPr>
          <w:rFonts w:ascii="Garamond" w:eastAsia="Garamond" w:hAnsi="Garamond" w:cs="Garamond"/>
        </w:rPr>
        <w:t xml:space="preserve">“General Community Standard” &amp; “Specific Community Standard”. For more info, see table 1 below] </w:t>
      </w:r>
    </w:p>
    <w:p w14:paraId="62A80841" w14:textId="6B13D06A"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color w:val="000000"/>
        </w:rPr>
        <w:t xml:space="preserve">Outcome: </w:t>
      </w:r>
      <w:r>
        <w:rPr>
          <w:rFonts w:ascii="Garamond" w:eastAsia="Garamond" w:hAnsi="Garamond" w:cs="Garamond"/>
        </w:rPr>
        <w:t xml:space="preserve">Agreed with Meta’s initial decision </w:t>
      </w:r>
    </w:p>
    <w:p w14:paraId="63518DB0" w14:textId="77777777"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Status</w:t>
      </w:r>
      <w:r>
        <w:rPr>
          <w:rFonts w:ascii="Garamond" w:eastAsia="Garamond" w:hAnsi="Garamond" w:cs="Garamond"/>
          <w:color w:val="000000"/>
        </w:rPr>
        <w:t>:  [</w:t>
      </w:r>
      <w:r>
        <w:rPr>
          <w:rFonts w:ascii="Garamond" w:eastAsia="Garamond" w:hAnsi="Garamond" w:cs="Garamond"/>
        </w:rPr>
        <w:t>S</w:t>
      </w:r>
      <w:r>
        <w:rPr>
          <w:rFonts w:ascii="Garamond" w:eastAsia="Garamond" w:hAnsi="Garamond" w:cs="Garamond"/>
          <w:color w:val="000000"/>
        </w:rPr>
        <w:t>elect Closed</w:t>
      </w:r>
      <w:r>
        <w:rPr>
          <w:rFonts w:ascii="Garamond" w:eastAsia="Garamond" w:hAnsi="Garamond" w:cs="Garamond"/>
        </w:rPr>
        <w:t xml:space="preserve">] </w:t>
      </w:r>
    </w:p>
    <w:p w14:paraId="4AB57E3D"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rPr>
      </w:pPr>
    </w:p>
    <w:p w14:paraId="2FB8DA2E" w14:textId="77777777"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Tags</w:t>
      </w:r>
      <w:r>
        <w:rPr>
          <w:rFonts w:ascii="Garamond" w:eastAsia="Garamond" w:hAnsi="Garamond" w:cs="Garamond"/>
          <w:color w:val="000000"/>
        </w:rPr>
        <w:t>: [</w:t>
      </w:r>
      <w:r>
        <w:rPr>
          <w:rFonts w:ascii="Garamond" w:eastAsia="Garamond" w:hAnsi="Garamond" w:cs="Garamond"/>
        </w:rPr>
        <w:t>I</w:t>
      </w:r>
      <w:r>
        <w:rPr>
          <w:rFonts w:ascii="Garamond" w:eastAsia="Garamond" w:hAnsi="Garamond" w:cs="Garamond"/>
          <w:color w:val="000000"/>
        </w:rPr>
        <w:t xml:space="preserve">nclude </w:t>
      </w:r>
      <w:r>
        <w:rPr>
          <w:rFonts w:ascii="Garamond" w:eastAsia="Garamond" w:hAnsi="Garamond" w:cs="Garamond"/>
        </w:rPr>
        <w:t>the applicable tags (or add any other relevance tags according to the case’s central issues):  Meta Newsworthiness allowance, Meta Spirit of the Policy allowance, Oversight Board on Meta Interstitials, Oversight Board Policy advisory statement, Oversight Board Content Policy Recommendation, Oversight Board Enforcement Recommendation, Oversight Board Transparency Recommendation]</w:t>
      </w:r>
    </w:p>
    <w:p w14:paraId="6196DF64" w14:textId="77777777" w:rsidR="00BC1499" w:rsidRDefault="00BC1499">
      <w:pPr>
        <w:pBdr>
          <w:top w:val="nil"/>
          <w:left w:val="nil"/>
          <w:bottom w:val="nil"/>
          <w:right w:val="nil"/>
          <w:between w:val="nil"/>
        </w:pBdr>
        <w:spacing w:line="276" w:lineRule="auto"/>
        <w:jc w:val="both"/>
        <w:rPr>
          <w:rFonts w:ascii="Garamond" w:eastAsia="Garamond" w:hAnsi="Garamond" w:cs="Garamond"/>
          <w:highlight w:val="yellow"/>
        </w:rPr>
      </w:pPr>
    </w:p>
    <w:p w14:paraId="7404E082"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rPr>
      </w:pPr>
    </w:p>
    <w:p w14:paraId="7A25CB9E" w14:textId="77777777" w:rsidR="00BC1499" w:rsidRDefault="00000000">
      <w:pPr>
        <w:spacing w:line="276" w:lineRule="auto"/>
        <w:jc w:val="both"/>
        <w:rPr>
          <w:rFonts w:ascii="Garamond" w:eastAsia="Garamond" w:hAnsi="Garamond" w:cs="Garamond"/>
          <w:b/>
          <w:i/>
          <w:color w:val="000000"/>
          <w:u w:val="single"/>
        </w:rPr>
      </w:pPr>
      <w:r>
        <w:rPr>
          <w:rFonts w:ascii="Garamond" w:eastAsia="Garamond" w:hAnsi="Garamond" w:cs="Garamond"/>
          <w:b/>
          <w:i/>
          <w:color w:val="000000"/>
          <w:u w:val="single"/>
        </w:rPr>
        <w:t>Analysis:</w:t>
      </w:r>
    </w:p>
    <w:p w14:paraId="170157EC" w14:textId="77777777" w:rsidR="00BC1499" w:rsidRDefault="00BC1499">
      <w:pPr>
        <w:spacing w:line="276" w:lineRule="auto"/>
        <w:jc w:val="both"/>
        <w:rPr>
          <w:rFonts w:ascii="Garamond" w:eastAsia="Garamond" w:hAnsi="Garamond" w:cs="Garamond"/>
          <w:b/>
          <w:i/>
          <w:u w:val="single"/>
        </w:rPr>
      </w:pPr>
    </w:p>
    <w:p w14:paraId="2996C563" w14:textId="77777777" w:rsidR="00BC1499" w:rsidRDefault="00000000">
      <w:pPr>
        <w:numPr>
          <w:ilvl w:val="0"/>
          <w:numId w:val="4"/>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Summary and Outcome</w:t>
      </w:r>
      <w:r>
        <w:rPr>
          <w:rFonts w:ascii="Garamond" w:eastAsia="Garamond" w:hAnsi="Garamond" w:cs="Garamond"/>
          <w:color w:val="000000"/>
        </w:rPr>
        <w:t xml:space="preserve">: </w:t>
      </w:r>
    </w:p>
    <w:p w14:paraId="187B4CC5" w14:textId="71747F05" w:rsidR="00BC1499" w:rsidRDefault="00E33A69" w:rsidP="00BD5F9F">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 xml:space="preserve">On September 4, 2024, the Oversight Board upheld Meta’s decision to keep three pieces of content </w:t>
      </w:r>
      <w:r w:rsidR="00BD5F9F">
        <w:rPr>
          <w:rFonts w:ascii="Garamond" w:eastAsia="Garamond" w:hAnsi="Garamond" w:cs="Garamond"/>
        </w:rPr>
        <w:t>containing the phrase “From the River to the Sea” on Facebook. In the first case, a</w:t>
      </w:r>
      <w:r w:rsidR="00BD5F9F" w:rsidRPr="00BD5F9F">
        <w:rPr>
          <w:rFonts w:ascii="Garamond" w:eastAsia="Garamond" w:hAnsi="Garamond" w:cs="Garamond"/>
        </w:rPr>
        <w:t xml:space="preserve"> user’s comment include</w:t>
      </w:r>
      <w:r w:rsidR="00BD5F9F">
        <w:rPr>
          <w:rFonts w:ascii="Garamond" w:eastAsia="Garamond" w:hAnsi="Garamond" w:cs="Garamond"/>
        </w:rPr>
        <w:t xml:space="preserve">d </w:t>
      </w:r>
      <w:r w:rsidR="00BD5F9F" w:rsidRPr="00BD5F9F">
        <w:rPr>
          <w:rFonts w:ascii="Garamond" w:eastAsia="Garamond" w:hAnsi="Garamond" w:cs="Garamond"/>
        </w:rPr>
        <w:t>the phrase “</w:t>
      </w:r>
      <w:proofErr w:type="spellStart"/>
      <w:r w:rsidR="00BD5F9F" w:rsidRPr="00BD5F9F">
        <w:rPr>
          <w:rFonts w:ascii="Garamond" w:eastAsia="Garamond" w:hAnsi="Garamond" w:cs="Garamond"/>
        </w:rPr>
        <w:t>FromTheRiverToTheSea</w:t>
      </w:r>
      <w:proofErr w:type="spellEnd"/>
      <w:r w:rsidR="00BD5F9F" w:rsidRPr="00BD5F9F">
        <w:rPr>
          <w:rFonts w:ascii="Garamond" w:eastAsia="Garamond" w:hAnsi="Garamond" w:cs="Garamond"/>
        </w:rPr>
        <w:t>” in hashtag form, additional hashtags such as “#</w:t>
      </w:r>
      <w:proofErr w:type="spellStart"/>
      <w:r w:rsidR="00BD5F9F" w:rsidRPr="00BD5F9F">
        <w:rPr>
          <w:rFonts w:ascii="Garamond" w:eastAsia="Garamond" w:hAnsi="Garamond" w:cs="Garamond"/>
        </w:rPr>
        <w:t>DefundIsrael</w:t>
      </w:r>
      <w:proofErr w:type="spellEnd"/>
      <w:r w:rsidR="00BD5F9F" w:rsidRPr="00BD5F9F">
        <w:rPr>
          <w:rFonts w:ascii="Garamond" w:eastAsia="Garamond" w:hAnsi="Garamond" w:cs="Garamond"/>
        </w:rPr>
        <w:t>” and heart emojis in the colors of the Palestinian flag</w:t>
      </w:r>
      <w:r w:rsidR="00BD5F9F">
        <w:rPr>
          <w:rFonts w:ascii="Garamond" w:eastAsia="Garamond" w:hAnsi="Garamond" w:cs="Garamond"/>
        </w:rPr>
        <w:t>. In the second case,  a user posted</w:t>
      </w:r>
      <w:r w:rsidR="00BD5F9F" w:rsidRPr="00BD5F9F">
        <w:rPr>
          <w:rFonts w:ascii="Garamond" w:eastAsia="Garamond" w:hAnsi="Garamond" w:cs="Garamond"/>
        </w:rPr>
        <w:t> a generated image of floating watermelon slices that form the words from the phrase, alongside “Palestine will be free.” </w:t>
      </w:r>
      <w:r w:rsidR="00BD5F9F">
        <w:rPr>
          <w:rFonts w:ascii="Garamond" w:eastAsia="Garamond" w:hAnsi="Garamond" w:cs="Garamond"/>
        </w:rPr>
        <w:t>In</w:t>
      </w:r>
      <w:r w:rsidR="00BD5F9F" w:rsidRPr="00BD5F9F">
        <w:rPr>
          <w:rFonts w:ascii="Garamond" w:eastAsia="Garamond" w:hAnsi="Garamond" w:cs="Garamond"/>
        </w:rPr>
        <w:t xml:space="preserve"> the third case, </w:t>
      </w:r>
      <w:r w:rsidR="00BD5F9F" w:rsidRPr="00BD5F9F">
        <w:rPr>
          <w:rFonts w:ascii="Garamond" w:eastAsia="Garamond" w:hAnsi="Garamond" w:cs="Garamond"/>
        </w:rPr>
        <w:lastRenderedPageBreak/>
        <w:t>an administrator of a Facebook page reshared a post by a Canadian community organization, in which the founding members declared support for the Palestinian people, condemned their “senseless slaughter” and “Zionist Israeli occupiers.”</w:t>
      </w:r>
      <w:r w:rsidR="00BD5F9F">
        <w:rPr>
          <w:rFonts w:ascii="Garamond" w:eastAsia="Garamond" w:hAnsi="Garamond" w:cs="Garamond"/>
        </w:rPr>
        <w:t xml:space="preserve"> The Board acknowledged that the phrase is used by some to incite to hatred. However, the Board highlighted that the phrase had multiple interpretations and predated the existence of Hamas, and that a blanket ban on the phrase would infringe with users’ freedom of expression. The Board noted that the contextual clues in the three cases indicated that the users were supporting Palestine and Palestinian people and not inciting to hatred or violence.</w:t>
      </w:r>
    </w:p>
    <w:p w14:paraId="4D3CE710" w14:textId="77777777" w:rsidR="00BC1499" w:rsidRDefault="00000000">
      <w:pPr>
        <w:spacing w:line="276" w:lineRule="auto"/>
        <w:ind w:left="360"/>
        <w:jc w:val="both"/>
        <w:rPr>
          <w:rFonts w:ascii="Garamond" w:eastAsia="Garamond" w:hAnsi="Garamond" w:cs="Garamond"/>
          <w:i/>
        </w:rPr>
      </w:pPr>
      <w:r>
        <w:rPr>
          <w:rFonts w:ascii="Garamond" w:eastAsia="Garamond" w:hAnsi="Garamond" w:cs="Garamond"/>
          <w:i/>
        </w:rPr>
        <w:t xml:space="preserve">*The </w:t>
      </w:r>
      <w:hyperlink r:id="rId9">
        <w:r w:rsidR="00BC1499">
          <w:rPr>
            <w:rFonts w:ascii="Garamond" w:eastAsia="Garamond" w:hAnsi="Garamond" w:cs="Garamond"/>
            <w:i/>
            <w:color w:val="1155CC"/>
            <w:u w:val="single"/>
          </w:rPr>
          <w:t xml:space="preserve">Oversight Board </w:t>
        </w:r>
      </w:hyperlink>
      <w:r>
        <w:rPr>
          <w:rFonts w:ascii="Garamond" w:eastAsia="Garamond" w:hAnsi="Garamond" w:cs="Garamond"/>
          <w:i/>
        </w:rPr>
        <w:t>is a separate entity from Meta and will provide its independent judgment on both individual cases and questions of policy. Both the Board and its administration are funded by an independent trust. The Board has the authority to decide whether Facebook and Instagram should allow or remove content. These decisions are binding, unless implementing them could violate the law. The Board can also choose to issue recommendations on the company’s content policies.</w:t>
      </w:r>
    </w:p>
    <w:p w14:paraId="34792991" w14:textId="77777777" w:rsidR="00BC1499" w:rsidRDefault="00BC1499">
      <w:pPr>
        <w:spacing w:line="276" w:lineRule="auto"/>
        <w:jc w:val="both"/>
        <w:rPr>
          <w:rFonts w:ascii="Garamond" w:eastAsia="Garamond" w:hAnsi="Garamond" w:cs="Garamond"/>
        </w:rPr>
      </w:pPr>
    </w:p>
    <w:p w14:paraId="273C6C41" w14:textId="77777777" w:rsidR="00BC1499" w:rsidRDefault="00000000">
      <w:pPr>
        <w:numPr>
          <w:ilvl w:val="0"/>
          <w:numId w:val="8"/>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Facts</w:t>
      </w:r>
      <w:r>
        <w:rPr>
          <w:rFonts w:ascii="Garamond" w:eastAsia="Garamond" w:hAnsi="Garamond" w:cs="Garamond"/>
          <w:color w:val="000000"/>
        </w:rPr>
        <w:t>:</w:t>
      </w:r>
    </w:p>
    <w:p w14:paraId="1A523D68" w14:textId="77777777" w:rsidR="002C4875" w:rsidRDefault="002C4875" w:rsidP="002C4875">
      <w:pPr>
        <w:pBdr>
          <w:top w:val="nil"/>
          <w:left w:val="nil"/>
          <w:bottom w:val="nil"/>
          <w:right w:val="nil"/>
          <w:between w:val="nil"/>
        </w:pBdr>
        <w:spacing w:line="276" w:lineRule="auto"/>
        <w:ind w:left="360"/>
        <w:jc w:val="both"/>
        <w:rPr>
          <w:rFonts w:ascii="Garamond" w:eastAsia="Garamond" w:hAnsi="Garamond" w:cs="Garamond"/>
        </w:rPr>
      </w:pPr>
    </w:p>
    <w:p w14:paraId="5411C584" w14:textId="61026034" w:rsidR="00BC1499" w:rsidRDefault="002C4875" w:rsidP="002C4875">
      <w:pPr>
        <w:pBdr>
          <w:top w:val="nil"/>
          <w:left w:val="nil"/>
          <w:bottom w:val="nil"/>
          <w:right w:val="nil"/>
          <w:between w:val="nil"/>
        </w:pBdr>
        <w:spacing w:line="276" w:lineRule="auto"/>
        <w:ind w:left="360"/>
        <w:jc w:val="both"/>
        <w:rPr>
          <w:rFonts w:ascii="Garamond" w:eastAsia="Garamond" w:hAnsi="Garamond" w:cs="Garamond"/>
        </w:rPr>
      </w:pPr>
      <w:r w:rsidRPr="002C4875">
        <w:rPr>
          <w:rFonts w:ascii="Garamond" w:eastAsia="Garamond" w:hAnsi="Garamond" w:cs="Garamond"/>
        </w:rPr>
        <w:t>The Board reviewed three cases involving Facebook content posted in November 2023, after the October 7 Hamas attacks and Israel’s military campaign in Gaza. Each piece of content included the phrase “From the River to the Sea.”</w:t>
      </w:r>
      <w:r w:rsidR="00000000">
        <w:rPr>
          <w:rFonts w:ascii="Garamond" w:eastAsia="Garamond" w:hAnsi="Garamond" w:cs="Garamond"/>
        </w:rPr>
        <w:t xml:space="preserve"> </w:t>
      </w:r>
    </w:p>
    <w:p w14:paraId="48D332DE"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rPr>
      </w:pPr>
    </w:p>
    <w:p w14:paraId="1547A67C" w14:textId="6448B81D" w:rsidR="007D7DFD" w:rsidRDefault="007D7DFD" w:rsidP="007D7DFD">
      <w:pPr>
        <w:pBdr>
          <w:top w:val="nil"/>
          <w:left w:val="nil"/>
          <w:bottom w:val="nil"/>
          <w:right w:val="nil"/>
          <w:between w:val="nil"/>
        </w:pBdr>
        <w:spacing w:line="276" w:lineRule="auto"/>
        <w:ind w:left="360"/>
        <w:jc w:val="both"/>
        <w:rPr>
          <w:rFonts w:ascii="Garamond" w:eastAsia="Garamond" w:hAnsi="Garamond" w:cs="Garamond"/>
        </w:rPr>
      </w:pPr>
      <w:r w:rsidRPr="007D7DFD">
        <w:rPr>
          <w:rFonts w:ascii="Garamond" w:eastAsia="Garamond" w:hAnsi="Garamond" w:cs="Garamond"/>
        </w:rPr>
        <w:t xml:space="preserve">In the first case, a user commented on </w:t>
      </w:r>
      <w:r>
        <w:rPr>
          <w:rFonts w:ascii="Garamond" w:eastAsia="Garamond" w:hAnsi="Garamond" w:cs="Garamond"/>
        </w:rPr>
        <w:t xml:space="preserve">another’s user </w:t>
      </w:r>
      <w:r w:rsidRPr="007D7DFD">
        <w:rPr>
          <w:rFonts w:ascii="Garamond" w:eastAsia="Garamond" w:hAnsi="Garamond" w:cs="Garamond"/>
        </w:rPr>
        <w:t xml:space="preserve">video with the caption encouraging others to </w:t>
      </w:r>
      <w:r w:rsidR="00BA43A2">
        <w:rPr>
          <w:rFonts w:ascii="Garamond" w:eastAsia="Garamond" w:hAnsi="Garamond" w:cs="Garamond"/>
        </w:rPr>
        <w:t>“s</w:t>
      </w:r>
      <w:r w:rsidRPr="007D7DFD">
        <w:rPr>
          <w:rFonts w:ascii="Garamond" w:eastAsia="Garamond" w:hAnsi="Garamond" w:cs="Garamond"/>
        </w:rPr>
        <w:t>peak up</w:t>
      </w:r>
      <w:r w:rsidR="00BA43A2">
        <w:rPr>
          <w:rFonts w:ascii="Garamond" w:eastAsia="Garamond" w:hAnsi="Garamond" w:cs="Garamond"/>
        </w:rPr>
        <w:t xml:space="preserve">” </w:t>
      </w:r>
      <w:r w:rsidRPr="007D7DFD">
        <w:rPr>
          <w:rFonts w:ascii="Garamond" w:eastAsia="Garamond" w:hAnsi="Garamond" w:cs="Garamond"/>
        </w:rPr>
        <w:t xml:space="preserve">and hashtags like </w:t>
      </w:r>
      <w:r w:rsidR="00BA43A2">
        <w:rPr>
          <w:rFonts w:ascii="Garamond" w:eastAsia="Garamond" w:hAnsi="Garamond" w:cs="Garamond"/>
        </w:rPr>
        <w:t>“</w:t>
      </w:r>
      <w:r w:rsidRPr="007D7DFD">
        <w:rPr>
          <w:rFonts w:ascii="Garamond" w:eastAsia="Garamond" w:hAnsi="Garamond" w:cs="Garamond"/>
        </w:rPr>
        <w:t>#ceasefire</w:t>
      </w:r>
      <w:r w:rsidR="00BA43A2">
        <w:rPr>
          <w:rFonts w:ascii="Garamond" w:eastAsia="Garamond" w:hAnsi="Garamond" w:cs="Garamond"/>
        </w:rPr>
        <w:t>”</w:t>
      </w:r>
      <w:r>
        <w:rPr>
          <w:rFonts w:ascii="Garamond" w:eastAsia="Garamond" w:hAnsi="Garamond" w:cs="Garamond"/>
        </w:rPr>
        <w:t xml:space="preserve"> </w:t>
      </w:r>
      <w:r w:rsidRPr="007D7DFD">
        <w:rPr>
          <w:rFonts w:ascii="Garamond" w:eastAsia="Garamond" w:hAnsi="Garamond" w:cs="Garamond"/>
        </w:rPr>
        <w:t xml:space="preserve">and </w:t>
      </w:r>
      <w:r w:rsidR="00BA43A2">
        <w:rPr>
          <w:rFonts w:ascii="Garamond" w:eastAsia="Garamond" w:hAnsi="Garamond" w:cs="Garamond"/>
        </w:rPr>
        <w:t>“</w:t>
      </w:r>
      <w:r w:rsidRPr="007D7DFD">
        <w:rPr>
          <w:rFonts w:ascii="Garamond" w:eastAsia="Garamond" w:hAnsi="Garamond" w:cs="Garamond"/>
        </w:rPr>
        <w:t>#</w:t>
      </w:r>
      <w:proofErr w:type="spellStart"/>
      <w:r w:rsidRPr="007D7DFD">
        <w:rPr>
          <w:rFonts w:ascii="Garamond" w:eastAsia="Garamond" w:hAnsi="Garamond" w:cs="Garamond"/>
        </w:rPr>
        <w:t>freepalestine</w:t>
      </w:r>
      <w:proofErr w:type="spellEnd"/>
      <w:r w:rsidRPr="007D7DFD">
        <w:rPr>
          <w:rFonts w:ascii="Garamond" w:eastAsia="Garamond" w:hAnsi="Garamond" w:cs="Garamond"/>
        </w:rPr>
        <w:t>.</w:t>
      </w:r>
      <w:r w:rsidR="00BA43A2">
        <w:rPr>
          <w:rFonts w:ascii="Garamond" w:eastAsia="Garamond" w:hAnsi="Garamond" w:cs="Garamond"/>
        </w:rPr>
        <w:t>”</w:t>
      </w:r>
      <w:r w:rsidRPr="007D7DFD">
        <w:rPr>
          <w:rFonts w:ascii="Garamond" w:eastAsia="Garamond" w:hAnsi="Garamond" w:cs="Garamond"/>
        </w:rPr>
        <w:t xml:space="preserve"> The comment included the phrase </w:t>
      </w:r>
      <w:r w:rsidR="00BA43A2">
        <w:rPr>
          <w:rFonts w:ascii="Garamond" w:eastAsia="Garamond" w:hAnsi="Garamond" w:cs="Garamond"/>
        </w:rPr>
        <w:t>“</w:t>
      </w:r>
      <w:r>
        <w:rPr>
          <w:rFonts w:ascii="Garamond" w:eastAsia="Garamond" w:hAnsi="Garamond" w:cs="Garamond"/>
        </w:rPr>
        <w:t>#</w:t>
      </w:r>
      <w:proofErr w:type="spellStart"/>
      <w:r w:rsidRPr="007D7DFD">
        <w:rPr>
          <w:rFonts w:ascii="Garamond" w:eastAsia="Garamond" w:hAnsi="Garamond" w:cs="Garamond"/>
        </w:rPr>
        <w:t>FromTheRiverToTheSea</w:t>
      </w:r>
      <w:proofErr w:type="spellEnd"/>
      <w:r w:rsidR="00BA43A2">
        <w:rPr>
          <w:rFonts w:ascii="Garamond" w:eastAsia="Garamond" w:hAnsi="Garamond" w:cs="Garamond"/>
        </w:rPr>
        <w:t>”</w:t>
      </w:r>
      <w:r w:rsidRPr="007D7DFD">
        <w:rPr>
          <w:rFonts w:ascii="Garamond" w:eastAsia="Garamond" w:hAnsi="Garamond" w:cs="Garamond"/>
        </w:rPr>
        <w:t xml:space="preserve">, along with </w:t>
      </w:r>
      <w:r w:rsidR="00BA43A2">
        <w:rPr>
          <w:rFonts w:ascii="Garamond" w:eastAsia="Garamond" w:hAnsi="Garamond" w:cs="Garamond"/>
        </w:rPr>
        <w:t>“</w:t>
      </w:r>
      <w:r w:rsidRPr="007D7DFD">
        <w:rPr>
          <w:rFonts w:ascii="Garamond" w:eastAsia="Garamond" w:hAnsi="Garamond" w:cs="Garamond"/>
        </w:rPr>
        <w:t>#</w:t>
      </w:r>
      <w:proofErr w:type="spellStart"/>
      <w:r w:rsidRPr="007D7DFD">
        <w:rPr>
          <w:rFonts w:ascii="Garamond" w:eastAsia="Garamond" w:hAnsi="Garamond" w:cs="Garamond"/>
        </w:rPr>
        <w:t>DefundIsrael</w:t>
      </w:r>
      <w:proofErr w:type="spellEnd"/>
      <w:r w:rsidR="00BA43A2">
        <w:rPr>
          <w:rFonts w:ascii="Garamond" w:eastAsia="Garamond" w:hAnsi="Garamond" w:cs="Garamond"/>
        </w:rPr>
        <w:t xml:space="preserve">” </w:t>
      </w:r>
      <w:r w:rsidRPr="007D7DFD">
        <w:rPr>
          <w:rFonts w:ascii="Garamond" w:eastAsia="Garamond" w:hAnsi="Garamond" w:cs="Garamond"/>
        </w:rPr>
        <w:t>and heart emojis in Palestinian flag colors. The user had fewer than 500 friends and no followers. The comment ga</w:t>
      </w:r>
      <w:r>
        <w:rPr>
          <w:rFonts w:ascii="Garamond" w:eastAsia="Garamond" w:hAnsi="Garamond" w:cs="Garamond"/>
        </w:rPr>
        <w:t>ined</w:t>
      </w:r>
      <w:r w:rsidRPr="007D7DFD">
        <w:rPr>
          <w:rFonts w:ascii="Garamond" w:eastAsia="Garamond" w:hAnsi="Garamond" w:cs="Garamond"/>
        </w:rPr>
        <w:t xml:space="preserve"> about 3,000 views and was reported seven times by four users. However, </w:t>
      </w:r>
      <w:r>
        <w:rPr>
          <w:rFonts w:ascii="Garamond" w:eastAsia="Garamond" w:hAnsi="Garamond" w:cs="Garamond"/>
        </w:rPr>
        <w:t xml:space="preserve">the appeals were automatically closed after </w:t>
      </w:r>
      <w:r w:rsidRPr="007D7DFD">
        <w:rPr>
          <w:rFonts w:ascii="Garamond" w:eastAsia="Garamond" w:hAnsi="Garamond" w:cs="Garamond"/>
        </w:rPr>
        <w:t>Meta's automated systems did not prioritize the reports for human review within 48 hours. One of the users who reported the content later appealed to Meta.</w:t>
      </w:r>
    </w:p>
    <w:p w14:paraId="187E1380" w14:textId="77777777" w:rsidR="007D7DFD" w:rsidRDefault="007D7DFD" w:rsidP="007D7DFD">
      <w:pPr>
        <w:pBdr>
          <w:top w:val="nil"/>
          <w:left w:val="nil"/>
          <w:bottom w:val="nil"/>
          <w:right w:val="nil"/>
          <w:between w:val="nil"/>
        </w:pBdr>
        <w:spacing w:line="276" w:lineRule="auto"/>
        <w:ind w:left="360"/>
        <w:jc w:val="both"/>
        <w:rPr>
          <w:rFonts w:ascii="Garamond" w:eastAsia="Garamond" w:hAnsi="Garamond" w:cs="Garamond"/>
        </w:rPr>
      </w:pPr>
    </w:p>
    <w:p w14:paraId="1FCE11AD" w14:textId="755AE767" w:rsidR="007D7DFD" w:rsidRDefault="007D7DFD" w:rsidP="007D7DFD">
      <w:pPr>
        <w:ind w:left="426"/>
        <w:rPr>
          <w:rFonts w:ascii="Garamond" w:eastAsia="Garamond" w:hAnsi="Garamond" w:cs="Garamond"/>
        </w:rPr>
      </w:pPr>
      <w:r w:rsidRPr="007D7DFD">
        <w:rPr>
          <w:rFonts w:ascii="Garamond" w:eastAsia="Garamond" w:hAnsi="Garamond" w:cs="Garamond"/>
        </w:rPr>
        <w:t>In the second case, a user posted a generated image featuring floating watermelon slices that formed the words “From the River to the Sea” alongside “Palestine will be free.” The user had fewer than 500 friends and no followers, yet the post received about 8 million views and was reported 951 times by 937 users. The first report was automatically closed</w:t>
      </w:r>
      <w:r>
        <w:rPr>
          <w:rFonts w:ascii="Garamond" w:eastAsia="Garamond" w:hAnsi="Garamond" w:cs="Garamond"/>
        </w:rPr>
        <w:t xml:space="preserve">. </w:t>
      </w:r>
      <w:r w:rsidRPr="007D7DFD">
        <w:rPr>
          <w:rFonts w:ascii="Garamond" w:eastAsia="Garamond" w:hAnsi="Garamond" w:cs="Garamond"/>
        </w:rPr>
        <w:t>Some of the other reports were reviewed by human moderators, who determined the content did not violate Meta’s policies. Several users who reported the content then appealed Meta's decision.</w:t>
      </w:r>
    </w:p>
    <w:p w14:paraId="3B1DFA6D" w14:textId="77777777" w:rsidR="007D7DFD" w:rsidRDefault="007D7DFD" w:rsidP="007D7DFD">
      <w:pPr>
        <w:ind w:left="426"/>
        <w:rPr>
          <w:rFonts w:ascii="Garamond" w:eastAsia="Garamond" w:hAnsi="Garamond" w:cs="Garamond"/>
        </w:rPr>
      </w:pPr>
    </w:p>
    <w:p w14:paraId="5D486649" w14:textId="0F152BB0" w:rsidR="007D7DFD" w:rsidRDefault="007D7DFD" w:rsidP="007D7DFD">
      <w:pPr>
        <w:ind w:left="426"/>
        <w:rPr>
          <w:rFonts w:ascii="Garamond" w:eastAsia="Garamond" w:hAnsi="Garamond" w:cs="Garamond"/>
        </w:rPr>
      </w:pPr>
      <w:r w:rsidRPr="007D7DFD">
        <w:rPr>
          <w:rFonts w:ascii="Garamond" w:eastAsia="Garamond" w:hAnsi="Garamond" w:cs="Garamond"/>
        </w:rPr>
        <w:t>In the third case, a page administrator reshared a post from a Canadian community organization. The post, written by the organization's founding members, condemned the</w:t>
      </w:r>
      <w:r>
        <w:rPr>
          <w:rFonts w:ascii="Garamond" w:eastAsia="Garamond" w:hAnsi="Garamond" w:cs="Garamond"/>
        </w:rPr>
        <w:t xml:space="preserve"> </w:t>
      </w:r>
      <w:r w:rsidR="00BA43A2">
        <w:rPr>
          <w:rFonts w:ascii="Garamond" w:eastAsia="Garamond" w:hAnsi="Garamond" w:cs="Garamond"/>
        </w:rPr>
        <w:t>“</w:t>
      </w:r>
      <w:r w:rsidRPr="007D7DFD">
        <w:rPr>
          <w:rFonts w:ascii="Garamond" w:eastAsia="Garamond" w:hAnsi="Garamond" w:cs="Garamond"/>
        </w:rPr>
        <w:t>senseless slaughter</w:t>
      </w:r>
      <w:r w:rsidR="00BA43A2">
        <w:rPr>
          <w:rFonts w:ascii="Garamond" w:eastAsia="Garamond" w:hAnsi="Garamond" w:cs="Garamond"/>
        </w:rPr>
        <w:t>”</w:t>
      </w:r>
      <w:r>
        <w:rPr>
          <w:rFonts w:ascii="Garamond" w:eastAsia="Garamond" w:hAnsi="Garamond" w:cs="Garamond"/>
        </w:rPr>
        <w:t xml:space="preserve"> of Palestinians</w:t>
      </w:r>
      <w:r w:rsidRPr="007D7DFD">
        <w:rPr>
          <w:rFonts w:ascii="Garamond" w:eastAsia="Garamond" w:hAnsi="Garamond" w:cs="Garamond"/>
        </w:rPr>
        <w:t xml:space="preserve"> by the </w:t>
      </w:r>
      <w:r w:rsidR="00BA43A2">
        <w:rPr>
          <w:rFonts w:ascii="Garamond" w:eastAsia="Garamond" w:hAnsi="Garamond" w:cs="Garamond"/>
        </w:rPr>
        <w:t>“</w:t>
      </w:r>
      <w:r w:rsidRPr="007D7DFD">
        <w:rPr>
          <w:rFonts w:ascii="Garamond" w:eastAsia="Garamond" w:hAnsi="Garamond" w:cs="Garamond"/>
        </w:rPr>
        <w:t>Zionist State of Israel</w:t>
      </w:r>
      <w:r w:rsidR="00BA43A2">
        <w:rPr>
          <w:rFonts w:ascii="Garamond" w:eastAsia="Garamond" w:hAnsi="Garamond" w:cs="Garamond"/>
        </w:rPr>
        <w:t>”</w:t>
      </w:r>
      <w:r w:rsidRPr="007D7DFD">
        <w:rPr>
          <w:rFonts w:ascii="Garamond" w:eastAsia="Garamond" w:hAnsi="Garamond" w:cs="Garamond"/>
        </w:rPr>
        <w:t xml:space="preserve"> and </w:t>
      </w:r>
      <w:r w:rsidR="00BA43A2">
        <w:rPr>
          <w:rFonts w:ascii="Garamond" w:eastAsia="Garamond" w:hAnsi="Garamond" w:cs="Garamond"/>
        </w:rPr>
        <w:t>“</w:t>
      </w:r>
      <w:r w:rsidRPr="007D7DFD">
        <w:rPr>
          <w:rFonts w:ascii="Garamond" w:eastAsia="Garamond" w:hAnsi="Garamond" w:cs="Garamond"/>
        </w:rPr>
        <w:t>Zionist Israeli occupiers</w:t>
      </w:r>
      <w:r>
        <w:rPr>
          <w:rFonts w:ascii="Garamond" w:eastAsia="Garamond" w:hAnsi="Garamond" w:cs="Garamond"/>
        </w:rPr>
        <w:t>.</w:t>
      </w:r>
      <w:r w:rsidR="00BA43A2">
        <w:rPr>
          <w:rFonts w:ascii="Garamond" w:eastAsia="Garamond" w:hAnsi="Garamond" w:cs="Garamond"/>
        </w:rPr>
        <w:t>”</w:t>
      </w:r>
      <w:r w:rsidRPr="007D7DFD">
        <w:rPr>
          <w:rFonts w:ascii="Garamond" w:eastAsia="Garamond" w:hAnsi="Garamond" w:cs="Garamond"/>
        </w:rPr>
        <w:t xml:space="preserve"> </w:t>
      </w:r>
      <w:r>
        <w:rPr>
          <w:rFonts w:ascii="Garamond" w:eastAsia="Garamond" w:hAnsi="Garamond" w:cs="Garamond"/>
        </w:rPr>
        <w:t>The post expressed</w:t>
      </w:r>
      <w:r w:rsidRPr="007D7DFD">
        <w:rPr>
          <w:rFonts w:ascii="Garamond" w:eastAsia="Garamond" w:hAnsi="Garamond" w:cs="Garamond"/>
        </w:rPr>
        <w:t xml:space="preserve"> solidarity with Palestinian Muslims, Christians, and anti-Zionist Jews. The post concluded with the phrase </w:t>
      </w:r>
      <w:r w:rsidR="00BA43A2">
        <w:rPr>
          <w:rFonts w:ascii="Garamond" w:eastAsia="Garamond" w:hAnsi="Garamond" w:cs="Garamond"/>
        </w:rPr>
        <w:t>“</w:t>
      </w:r>
      <w:r w:rsidRPr="007D7DFD">
        <w:rPr>
          <w:rFonts w:ascii="Garamond" w:eastAsia="Garamond" w:hAnsi="Garamond" w:cs="Garamond"/>
        </w:rPr>
        <w:t xml:space="preserve">From </w:t>
      </w:r>
      <w:proofErr w:type="gramStart"/>
      <w:r>
        <w:rPr>
          <w:rFonts w:ascii="Garamond" w:eastAsia="Garamond" w:hAnsi="Garamond" w:cs="Garamond"/>
        </w:rPr>
        <w:t>T</w:t>
      </w:r>
      <w:r w:rsidRPr="007D7DFD">
        <w:rPr>
          <w:rFonts w:ascii="Garamond" w:eastAsia="Garamond" w:hAnsi="Garamond" w:cs="Garamond"/>
        </w:rPr>
        <w:t>he</w:t>
      </w:r>
      <w:proofErr w:type="gramEnd"/>
      <w:r w:rsidRPr="007D7DFD">
        <w:rPr>
          <w:rFonts w:ascii="Garamond" w:eastAsia="Garamond" w:hAnsi="Garamond" w:cs="Garamond"/>
        </w:rPr>
        <w:t xml:space="preserve"> River To The Sea.</w:t>
      </w:r>
      <w:r w:rsidR="00BA43A2">
        <w:rPr>
          <w:rFonts w:ascii="Garamond" w:eastAsia="Garamond" w:hAnsi="Garamond" w:cs="Garamond"/>
        </w:rPr>
        <w:t>”</w:t>
      </w:r>
      <w:r w:rsidRPr="007D7DFD">
        <w:rPr>
          <w:rFonts w:ascii="Garamond" w:eastAsia="Garamond" w:hAnsi="Garamond" w:cs="Garamond"/>
        </w:rPr>
        <w:t xml:space="preserve"> It received fewer than 1,000 views and was reported by one user, but the report was automatically closed. The user who reported the content then appealed to Meta.</w:t>
      </w:r>
    </w:p>
    <w:p w14:paraId="5FA8BEDE" w14:textId="77777777" w:rsidR="007D7DFD" w:rsidRDefault="007D7DFD" w:rsidP="007D7DFD">
      <w:pPr>
        <w:ind w:left="426"/>
        <w:rPr>
          <w:rFonts w:ascii="Garamond" w:eastAsia="Garamond" w:hAnsi="Garamond" w:cs="Garamond"/>
        </w:rPr>
      </w:pPr>
    </w:p>
    <w:p w14:paraId="484DBC18" w14:textId="267C5B85" w:rsidR="007D7DFD" w:rsidRDefault="007D7DFD" w:rsidP="007D7DFD">
      <w:pPr>
        <w:ind w:left="426"/>
        <w:rPr>
          <w:rFonts w:ascii="Garamond" w:eastAsia="Garamond" w:hAnsi="Garamond" w:cs="Garamond"/>
        </w:rPr>
      </w:pPr>
      <w:r>
        <w:rPr>
          <w:rFonts w:ascii="Garamond" w:eastAsia="Garamond" w:hAnsi="Garamond" w:cs="Garamond"/>
        </w:rPr>
        <w:t>After reviewing the appeals,</w:t>
      </w:r>
      <w:r w:rsidRPr="007D7DFD">
        <w:rPr>
          <w:rFonts w:ascii="Garamond" w:eastAsia="Garamond" w:hAnsi="Garamond" w:cs="Garamond"/>
        </w:rPr>
        <w:t xml:space="preserve"> Meta upheld its decision to keep the content on the platform. The users who reported the content then appealed to the Board</w:t>
      </w:r>
      <w:r>
        <w:rPr>
          <w:rFonts w:ascii="Garamond" w:eastAsia="Garamond" w:hAnsi="Garamond" w:cs="Garamond"/>
        </w:rPr>
        <w:t xml:space="preserve">. </w:t>
      </w:r>
      <w:r w:rsidRPr="007D7DFD">
        <w:rPr>
          <w:rFonts w:ascii="Garamond" w:eastAsia="Garamond" w:hAnsi="Garamond" w:cs="Garamond"/>
        </w:rPr>
        <w:t>After the Board selected and announced these cases for review, the user in the third case deleted their post from Facebook.</w:t>
      </w:r>
    </w:p>
    <w:p w14:paraId="07B0CB38" w14:textId="77777777" w:rsidR="007D7DFD" w:rsidRDefault="007D7DFD" w:rsidP="007D7DFD">
      <w:pPr>
        <w:pBdr>
          <w:top w:val="nil"/>
          <w:left w:val="nil"/>
          <w:bottom w:val="nil"/>
          <w:right w:val="nil"/>
          <w:between w:val="nil"/>
        </w:pBdr>
        <w:spacing w:line="276" w:lineRule="auto"/>
        <w:jc w:val="both"/>
        <w:rPr>
          <w:rFonts w:ascii="Garamond" w:eastAsia="Garamond" w:hAnsi="Garamond" w:cs="Garamond"/>
        </w:rPr>
      </w:pPr>
    </w:p>
    <w:p w14:paraId="69534749" w14:textId="77777777" w:rsidR="00BC1499" w:rsidRDefault="00000000">
      <w:pPr>
        <w:numPr>
          <w:ilvl w:val="0"/>
          <w:numId w:val="8"/>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Decision Overview</w:t>
      </w:r>
      <w:r>
        <w:rPr>
          <w:rFonts w:ascii="Garamond" w:eastAsia="Garamond" w:hAnsi="Garamond" w:cs="Garamond"/>
          <w:color w:val="000000"/>
        </w:rPr>
        <w:t xml:space="preserve">: </w:t>
      </w:r>
    </w:p>
    <w:p w14:paraId="3AE2B727" w14:textId="181D9F64" w:rsidR="00BC1499" w:rsidRDefault="00BA43A2">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rPr>
        <w:t>The main issue before the Board was whether Meta’s decision to keep up content containing the phrase “From the River to the Sea” in reference to Palestine was compatible with Meta’s values, content policies, and human rights obligations.</w:t>
      </w:r>
    </w:p>
    <w:p w14:paraId="7EE779DC" w14:textId="77777777" w:rsidR="00BA43A2" w:rsidRDefault="00BA43A2">
      <w:pPr>
        <w:pBdr>
          <w:top w:val="nil"/>
          <w:left w:val="nil"/>
          <w:bottom w:val="nil"/>
          <w:right w:val="nil"/>
          <w:between w:val="nil"/>
        </w:pBdr>
        <w:spacing w:line="276" w:lineRule="auto"/>
        <w:ind w:left="360"/>
        <w:jc w:val="both"/>
        <w:rPr>
          <w:rFonts w:ascii="Garamond" w:eastAsia="Garamond" w:hAnsi="Garamond" w:cs="Garamond"/>
        </w:rPr>
      </w:pPr>
    </w:p>
    <w:p w14:paraId="197FFAA4" w14:textId="344B02FE" w:rsidR="00BA43A2" w:rsidRDefault="00BA43A2" w:rsidP="00BA43A2">
      <w:pPr>
        <w:pBdr>
          <w:top w:val="nil"/>
          <w:left w:val="nil"/>
          <w:bottom w:val="nil"/>
          <w:right w:val="nil"/>
          <w:between w:val="nil"/>
        </w:pBdr>
        <w:spacing w:line="276" w:lineRule="auto"/>
        <w:ind w:left="360"/>
        <w:jc w:val="both"/>
        <w:rPr>
          <w:rFonts w:ascii="Garamond" w:eastAsia="Garamond" w:hAnsi="Garamond" w:cs="Garamond"/>
        </w:rPr>
      </w:pPr>
      <w:r w:rsidRPr="00BA43A2">
        <w:rPr>
          <w:rFonts w:ascii="Garamond" w:eastAsia="Garamond" w:hAnsi="Garamond" w:cs="Garamond"/>
        </w:rPr>
        <w:lastRenderedPageBreak/>
        <w:t xml:space="preserve">The users who </w:t>
      </w:r>
      <w:r>
        <w:rPr>
          <w:rFonts w:ascii="Garamond" w:eastAsia="Garamond" w:hAnsi="Garamond" w:cs="Garamond"/>
        </w:rPr>
        <w:t xml:space="preserve">appealed </w:t>
      </w:r>
      <w:r w:rsidRPr="00BA43A2">
        <w:rPr>
          <w:rFonts w:ascii="Garamond" w:eastAsia="Garamond" w:hAnsi="Garamond" w:cs="Garamond"/>
        </w:rPr>
        <w:t>to the Board argued that the phrase "From the River to the Sea" violated Meta's policies on Hate Speech, Violence and Incitement, or Dangerous Organizations and Individuals. The</w:t>
      </w:r>
      <w:r>
        <w:rPr>
          <w:rFonts w:ascii="Garamond" w:eastAsia="Garamond" w:hAnsi="Garamond" w:cs="Garamond"/>
        </w:rPr>
        <w:t xml:space="preserve"> reporting</w:t>
      </w:r>
      <w:r w:rsidRPr="00BA43A2">
        <w:rPr>
          <w:rFonts w:ascii="Garamond" w:eastAsia="Garamond" w:hAnsi="Garamond" w:cs="Garamond"/>
        </w:rPr>
        <w:t xml:space="preserve"> user in the first case claimed that the phrase promoted violence and supported terrorism, while the users in the second and third cases contended that the phrase constituted hate speech, was antisemitic, and represented a call for genocide and the abolition of the state of Israel.</w:t>
      </w:r>
    </w:p>
    <w:p w14:paraId="1E346E3B" w14:textId="77777777" w:rsidR="00BA43A2" w:rsidRDefault="00BA43A2">
      <w:pPr>
        <w:pBdr>
          <w:top w:val="nil"/>
          <w:left w:val="nil"/>
          <w:bottom w:val="nil"/>
          <w:right w:val="nil"/>
          <w:between w:val="nil"/>
        </w:pBdr>
        <w:spacing w:line="276" w:lineRule="auto"/>
        <w:ind w:left="360"/>
        <w:jc w:val="both"/>
        <w:rPr>
          <w:rFonts w:ascii="Garamond" w:eastAsia="Garamond" w:hAnsi="Garamond" w:cs="Garamond"/>
        </w:rPr>
      </w:pPr>
    </w:p>
    <w:p w14:paraId="7E90C448" w14:textId="4E0A611D" w:rsidR="00FE0997" w:rsidRPr="00FE0997" w:rsidRDefault="00FE0997" w:rsidP="00FE0997">
      <w:pPr>
        <w:pBdr>
          <w:top w:val="nil"/>
          <w:left w:val="nil"/>
          <w:bottom w:val="nil"/>
          <w:right w:val="nil"/>
          <w:between w:val="nil"/>
        </w:pBdr>
        <w:spacing w:line="276" w:lineRule="auto"/>
        <w:ind w:left="360"/>
        <w:rPr>
          <w:rFonts w:ascii="Garamond" w:eastAsia="Garamond" w:hAnsi="Garamond" w:cs="Garamond"/>
        </w:rPr>
      </w:pPr>
      <w:r w:rsidRPr="00FE0997">
        <w:rPr>
          <w:rFonts w:ascii="Garamond" w:eastAsia="Garamond" w:hAnsi="Garamond" w:cs="Garamond"/>
        </w:rPr>
        <w:t xml:space="preserve">Meta explained that the phrase </w:t>
      </w:r>
      <w:r w:rsidR="00271B03">
        <w:rPr>
          <w:rFonts w:ascii="Garamond" w:eastAsia="Garamond" w:hAnsi="Garamond" w:cs="Garamond"/>
        </w:rPr>
        <w:t>“</w:t>
      </w:r>
      <w:r w:rsidRPr="00FE0997">
        <w:rPr>
          <w:rFonts w:ascii="Garamond" w:eastAsia="Garamond" w:hAnsi="Garamond" w:cs="Garamond"/>
        </w:rPr>
        <w:t>From the River to the Sea</w:t>
      </w:r>
      <w:r w:rsidR="00271B03">
        <w:rPr>
          <w:rFonts w:ascii="Garamond" w:eastAsia="Garamond" w:hAnsi="Garamond" w:cs="Garamond"/>
        </w:rPr>
        <w:t xml:space="preserve">” </w:t>
      </w:r>
      <w:r w:rsidRPr="00FE0997">
        <w:rPr>
          <w:rFonts w:ascii="Garamond" w:eastAsia="Garamond" w:hAnsi="Garamond" w:cs="Garamond"/>
        </w:rPr>
        <w:t xml:space="preserve">on its own does not violate its policies on Hate Speech, Violence and Incitement, or Dangerous Organizations and Individuals. Therefore, Meta only removes content with the phrase if other parts of the content independently breach its Community Standards. </w:t>
      </w:r>
    </w:p>
    <w:p w14:paraId="12C706E7" w14:textId="77777777" w:rsidR="00FE0997" w:rsidRPr="00FE0997" w:rsidRDefault="00FE0997" w:rsidP="00FE0997">
      <w:pPr>
        <w:pBdr>
          <w:top w:val="nil"/>
          <w:left w:val="nil"/>
          <w:bottom w:val="nil"/>
          <w:right w:val="nil"/>
          <w:between w:val="nil"/>
        </w:pBdr>
        <w:spacing w:line="276" w:lineRule="auto"/>
        <w:ind w:left="360"/>
        <w:rPr>
          <w:rFonts w:ascii="Garamond" w:eastAsia="Garamond" w:hAnsi="Garamond" w:cs="Garamond"/>
        </w:rPr>
      </w:pPr>
    </w:p>
    <w:p w14:paraId="752146F1" w14:textId="5C719D35" w:rsidR="00BA43A2" w:rsidRDefault="00FE0997" w:rsidP="00FE0997">
      <w:pPr>
        <w:pBdr>
          <w:top w:val="nil"/>
          <w:left w:val="nil"/>
          <w:bottom w:val="nil"/>
          <w:right w:val="nil"/>
          <w:between w:val="nil"/>
        </w:pBdr>
        <w:spacing w:line="276" w:lineRule="auto"/>
        <w:ind w:left="360"/>
        <w:jc w:val="both"/>
        <w:rPr>
          <w:rFonts w:ascii="Garamond" w:eastAsia="Garamond" w:hAnsi="Garamond" w:cs="Garamond"/>
        </w:rPr>
      </w:pPr>
      <w:r w:rsidRPr="00FE0997">
        <w:rPr>
          <w:rFonts w:ascii="Garamond" w:eastAsia="Garamond" w:hAnsi="Garamond" w:cs="Garamond"/>
        </w:rPr>
        <w:t>Although Meta has not conducted a full development process with global stakeholders and experts, the company reviewed the phrase's use after the October 7 attacks and Israel's military response. Meta acknowledged the phrase's complex history, noting that some view</w:t>
      </w:r>
      <w:r>
        <w:rPr>
          <w:rFonts w:ascii="Garamond" w:eastAsia="Garamond" w:hAnsi="Garamond" w:cs="Garamond"/>
        </w:rPr>
        <w:t xml:space="preserve">ed </w:t>
      </w:r>
      <w:r w:rsidRPr="00FE0997">
        <w:rPr>
          <w:rFonts w:ascii="Garamond" w:eastAsia="Garamond" w:hAnsi="Garamond" w:cs="Garamond"/>
        </w:rPr>
        <w:t>it as antisemitic or a threat to Israel, while others use</w:t>
      </w:r>
      <w:r>
        <w:rPr>
          <w:rFonts w:ascii="Garamond" w:eastAsia="Garamond" w:hAnsi="Garamond" w:cs="Garamond"/>
        </w:rPr>
        <w:t>d</w:t>
      </w:r>
      <w:r w:rsidRPr="00FE0997">
        <w:rPr>
          <w:rFonts w:ascii="Garamond" w:eastAsia="Garamond" w:hAnsi="Garamond" w:cs="Garamond"/>
        </w:rPr>
        <w:t xml:space="preserve"> it to express support for Palestinians, </w:t>
      </w:r>
      <w:r>
        <w:rPr>
          <w:rFonts w:ascii="Garamond" w:eastAsia="Garamond" w:hAnsi="Garamond" w:cs="Garamond"/>
        </w:rPr>
        <w:t>and saw</w:t>
      </w:r>
      <w:r w:rsidRPr="00FE0997">
        <w:rPr>
          <w:rFonts w:ascii="Garamond" w:eastAsia="Garamond" w:hAnsi="Garamond" w:cs="Garamond"/>
        </w:rPr>
        <w:t xml:space="preserve"> that labeling it antisemitic is either inaccurate or rooted in Islamophobia. Due to these differing interpretations, Meta stated it could not conclude without further context that the phrase was used to incite violence or promote the exclusion of a particular group.</w:t>
      </w:r>
    </w:p>
    <w:p w14:paraId="2620EDD1" w14:textId="77777777" w:rsidR="00BA43A2" w:rsidRDefault="00BA43A2">
      <w:pPr>
        <w:pBdr>
          <w:top w:val="nil"/>
          <w:left w:val="nil"/>
          <w:bottom w:val="nil"/>
          <w:right w:val="nil"/>
          <w:between w:val="nil"/>
        </w:pBdr>
        <w:spacing w:line="276" w:lineRule="auto"/>
        <w:ind w:left="360"/>
        <w:jc w:val="both"/>
        <w:rPr>
          <w:rFonts w:ascii="Garamond" w:eastAsia="Garamond" w:hAnsi="Garamond" w:cs="Garamond"/>
        </w:rPr>
      </w:pPr>
    </w:p>
    <w:p w14:paraId="4E55DFD2" w14:textId="7B461051" w:rsidR="00FE0997" w:rsidRPr="00FE0997" w:rsidRDefault="00FE0997" w:rsidP="00FE0997">
      <w:pPr>
        <w:pBdr>
          <w:top w:val="nil"/>
          <w:left w:val="nil"/>
          <w:bottom w:val="nil"/>
          <w:right w:val="nil"/>
          <w:between w:val="nil"/>
        </w:pBdr>
        <w:spacing w:line="276" w:lineRule="auto"/>
        <w:ind w:left="360"/>
        <w:rPr>
          <w:rFonts w:ascii="Garamond" w:eastAsia="Garamond" w:hAnsi="Garamond" w:cs="Garamond"/>
        </w:rPr>
      </w:pPr>
      <w:r w:rsidRPr="00FE0997">
        <w:rPr>
          <w:rFonts w:ascii="Garamond" w:eastAsia="Garamond" w:hAnsi="Garamond" w:cs="Garamond"/>
        </w:rPr>
        <w:t xml:space="preserve">In assessing the phrase </w:t>
      </w:r>
      <w:r w:rsidR="00271B03">
        <w:rPr>
          <w:rFonts w:ascii="Garamond" w:eastAsia="Garamond" w:hAnsi="Garamond" w:cs="Garamond"/>
        </w:rPr>
        <w:t>“</w:t>
      </w:r>
      <w:r w:rsidRPr="00FE0997">
        <w:rPr>
          <w:rFonts w:ascii="Garamond" w:eastAsia="Garamond" w:hAnsi="Garamond" w:cs="Garamond"/>
        </w:rPr>
        <w:t>From the River to the Sea</w:t>
      </w:r>
      <w:r w:rsidR="00271B03">
        <w:rPr>
          <w:rFonts w:ascii="Garamond" w:eastAsia="Garamond" w:hAnsi="Garamond" w:cs="Garamond"/>
        </w:rPr>
        <w:t>”</w:t>
      </w:r>
      <w:r w:rsidRPr="00FE0997">
        <w:rPr>
          <w:rFonts w:ascii="Garamond" w:eastAsia="Garamond" w:hAnsi="Garamond" w:cs="Garamond"/>
        </w:rPr>
        <w:t xml:space="preserve"> under the Dangerous Organizations and Individuals policy, Meta concluded that </w:t>
      </w:r>
      <w:r>
        <w:rPr>
          <w:rFonts w:ascii="Garamond" w:eastAsia="Garamond" w:hAnsi="Garamond" w:cs="Garamond"/>
        </w:rPr>
        <w:t>the phrase</w:t>
      </w:r>
      <w:r w:rsidRPr="00FE0997">
        <w:rPr>
          <w:rFonts w:ascii="Garamond" w:eastAsia="Garamond" w:hAnsi="Garamond" w:cs="Garamond"/>
        </w:rPr>
        <w:t xml:space="preserve"> is not exclusively linked to Hamas, despite being used in Hamas’ 2017 charter. The phrase predates Hamas and is also used by people not affiliated with or supportive of the group’s ideology. Meta found that none of the three pieces of content under review suggested support for or glorified Hamas, and therefore determined that the content did not violate its</w:t>
      </w:r>
      <w:r>
        <w:rPr>
          <w:rFonts w:ascii="Garamond" w:eastAsia="Garamond" w:hAnsi="Garamond" w:cs="Garamond"/>
        </w:rPr>
        <w:t xml:space="preserve"> policies</w:t>
      </w:r>
      <w:r w:rsidRPr="00FE0997">
        <w:rPr>
          <w:rFonts w:ascii="Garamond" w:eastAsia="Garamond" w:hAnsi="Garamond" w:cs="Garamond"/>
        </w:rPr>
        <w:t>.</w:t>
      </w:r>
    </w:p>
    <w:p w14:paraId="4F785BF2" w14:textId="77777777" w:rsidR="00FE0997" w:rsidRPr="00FE0997" w:rsidRDefault="00FE0997" w:rsidP="00FE0997">
      <w:pPr>
        <w:pBdr>
          <w:top w:val="nil"/>
          <w:left w:val="nil"/>
          <w:bottom w:val="nil"/>
          <w:right w:val="nil"/>
          <w:between w:val="nil"/>
        </w:pBdr>
        <w:spacing w:line="276" w:lineRule="auto"/>
        <w:ind w:left="360"/>
        <w:rPr>
          <w:rFonts w:ascii="Garamond" w:eastAsia="Garamond" w:hAnsi="Garamond" w:cs="Garamond"/>
        </w:rPr>
      </w:pPr>
    </w:p>
    <w:p w14:paraId="25021EAC" w14:textId="3FB22EAA" w:rsidR="00FE0997" w:rsidRDefault="00FE0997" w:rsidP="00FE0997">
      <w:pPr>
        <w:pBdr>
          <w:top w:val="nil"/>
          <w:left w:val="nil"/>
          <w:bottom w:val="nil"/>
          <w:right w:val="nil"/>
          <w:between w:val="nil"/>
        </w:pBdr>
        <w:spacing w:line="276" w:lineRule="auto"/>
        <w:ind w:left="360"/>
        <w:jc w:val="both"/>
        <w:rPr>
          <w:rFonts w:ascii="Garamond" w:eastAsia="Garamond" w:hAnsi="Garamond" w:cs="Garamond"/>
        </w:rPr>
      </w:pPr>
      <w:r w:rsidRPr="00FE0997">
        <w:rPr>
          <w:rFonts w:ascii="Garamond" w:eastAsia="Garamond" w:hAnsi="Garamond" w:cs="Garamond"/>
        </w:rPr>
        <w:t xml:space="preserve">Meta's Policy team reviewed how the phrase was being used on its platforms and assessed it against its </w:t>
      </w:r>
      <w:r>
        <w:rPr>
          <w:rFonts w:ascii="Garamond" w:eastAsia="Garamond" w:hAnsi="Garamond" w:cs="Garamond"/>
        </w:rPr>
        <w:t>policie</w:t>
      </w:r>
      <w:r w:rsidRPr="00FE0997">
        <w:rPr>
          <w:rFonts w:ascii="Garamond" w:eastAsia="Garamond" w:hAnsi="Garamond" w:cs="Garamond"/>
        </w:rPr>
        <w:t>s. They also analyzed whether to block hashtags containing the phrase but found only a small amount of content using it violated their policies, and for reasons unrelated to the phrase itself. Meta also confirmed receiving requests from the German government to restrict content using the phrase under local law, and in response, Meta restricted access to the content in Germany.</w:t>
      </w:r>
    </w:p>
    <w:p w14:paraId="3B8F51D8" w14:textId="77777777" w:rsidR="00BC1499" w:rsidRDefault="00BC1499">
      <w:pPr>
        <w:pBdr>
          <w:top w:val="nil"/>
          <w:left w:val="nil"/>
          <w:bottom w:val="nil"/>
          <w:right w:val="nil"/>
          <w:between w:val="nil"/>
        </w:pBdr>
        <w:spacing w:line="276" w:lineRule="auto"/>
        <w:jc w:val="both"/>
        <w:rPr>
          <w:rFonts w:ascii="Garamond" w:eastAsia="Garamond" w:hAnsi="Garamond" w:cs="Garamond"/>
        </w:rPr>
      </w:pPr>
    </w:p>
    <w:p w14:paraId="0443AE3A" w14:textId="77777777" w:rsidR="00BC1499" w:rsidRDefault="00000000">
      <w:p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 xml:space="preserve">(1) Compliance with Meta’s content </w:t>
      </w:r>
      <w:proofErr w:type="gramStart"/>
      <w:r>
        <w:rPr>
          <w:rFonts w:ascii="Garamond" w:eastAsia="Garamond" w:hAnsi="Garamond" w:cs="Garamond"/>
        </w:rPr>
        <w:t>policies;</w:t>
      </w:r>
      <w:proofErr w:type="gramEnd"/>
    </w:p>
    <w:p w14:paraId="337FA9FB" w14:textId="77777777" w:rsidR="00BC1499" w:rsidRDefault="00BC1499">
      <w:pPr>
        <w:pBdr>
          <w:top w:val="nil"/>
          <w:left w:val="nil"/>
          <w:bottom w:val="nil"/>
          <w:right w:val="nil"/>
          <w:between w:val="nil"/>
        </w:pBdr>
        <w:spacing w:line="276" w:lineRule="auto"/>
        <w:jc w:val="both"/>
        <w:rPr>
          <w:rFonts w:ascii="Garamond" w:eastAsia="Garamond" w:hAnsi="Garamond" w:cs="Garamond"/>
        </w:rPr>
      </w:pPr>
    </w:p>
    <w:p w14:paraId="1FCAB50D" w14:textId="70C8A232" w:rsidR="00271B03" w:rsidRDefault="00271B03">
      <w:pPr>
        <w:pBdr>
          <w:top w:val="nil"/>
          <w:left w:val="nil"/>
          <w:bottom w:val="nil"/>
          <w:right w:val="nil"/>
          <w:between w:val="nil"/>
        </w:pBdr>
        <w:spacing w:line="276" w:lineRule="auto"/>
        <w:jc w:val="both"/>
        <w:rPr>
          <w:rFonts w:ascii="Garamond" w:eastAsia="Garamond" w:hAnsi="Garamond" w:cs="Garamond"/>
        </w:rPr>
      </w:pPr>
      <w:r w:rsidRPr="00271B03">
        <w:rPr>
          <w:rFonts w:ascii="Garamond" w:eastAsia="Garamond" w:hAnsi="Garamond" w:cs="Garamond"/>
        </w:rPr>
        <w:t xml:space="preserve">The Board concluded that the three pieces of content, which included the phrase </w:t>
      </w:r>
      <w:r>
        <w:rPr>
          <w:rFonts w:ascii="Garamond" w:eastAsia="Garamond" w:hAnsi="Garamond" w:cs="Garamond"/>
        </w:rPr>
        <w:t>“</w:t>
      </w:r>
      <w:r w:rsidRPr="00271B03">
        <w:rPr>
          <w:rFonts w:ascii="Garamond" w:eastAsia="Garamond" w:hAnsi="Garamond" w:cs="Garamond"/>
        </w:rPr>
        <w:t>From the River to the Sea,</w:t>
      </w:r>
      <w:r>
        <w:rPr>
          <w:rFonts w:ascii="Garamond" w:eastAsia="Garamond" w:hAnsi="Garamond" w:cs="Garamond"/>
        </w:rPr>
        <w:t xml:space="preserve">” </w:t>
      </w:r>
      <w:r w:rsidRPr="00271B03">
        <w:rPr>
          <w:rFonts w:ascii="Garamond" w:eastAsia="Garamond" w:hAnsi="Garamond" w:cs="Garamond"/>
        </w:rPr>
        <w:t xml:space="preserve">did not violate Meta's policies. </w:t>
      </w:r>
      <w:r>
        <w:rPr>
          <w:rFonts w:ascii="Garamond" w:eastAsia="Garamond" w:hAnsi="Garamond" w:cs="Garamond"/>
        </w:rPr>
        <w:t>The Board examined each post in its full context as t</w:t>
      </w:r>
      <w:r w:rsidRPr="00271B03">
        <w:rPr>
          <w:rFonts w:ascii="Garamond" w:eastAsia="Garamond" w:hAnsi="Garamond" w:cs="Garamond"/>
        </w:rPr>
        <w:t>he phrase can have various interpretations</w:t>
      </w:r>
      <w:r>
        <w:rPr>
          <w:rFonts w:ascii="Garamond" w:eastAsia="Garamond" w:hAnsi="Garamond" w:cs="Garamond"/>
        </w:rPr>
        <w:t xml:space="preserve"> to assess whether the posts violated the Hate Speech policy. The Board found that none </w:t>
      </w:r>
      <w:r w:rsidRPr="00271B03">
        <w:rPr>
          <w:rFonts w:ascii="Garamond" w:eastAsia="Garamond" w:hAnsi="Garamond" w:cs="Garamond"/>
        </w:rPr>
        <w:t xml:space="preserve">of the content attacked Jewish or Israeli people, incited violence, or called for exclusion based on protected characteristics. Instead, the posts showed solidarity with Palestinians without promoting violence or hate speech. </w:t>
      </w:r>
      <w:r>
        <w:rPr>
          <w:rFonts w:ascii="Garamond" w:eastAsia="Garamond" w:hAnsi="Garamond" w:cs="Garamond"/>
        </w:rPr>
        <w:t xml:space="preserve">The Board noted </w:t>
      </w:r>
      <w:r w:rsidRPr="00271B03">
        <w:rPr>
          <w:rFonts w:ascii="Garamond" w:eastAsia="Garamond" w:hAnsi="Garamond" w:cs="Garamond"/>
        </w:rPr>
        <w:t xml:space="preserve">the first case included hashtags like </w:t>
      </w:r>
      <w:r>
        <w:rPr>
          <w:rFonts w:ascii="Garamond" w:eastAsia="Garamond" w:hAnsi="Garamond" w:cs="Garamond"/>
        </w:rPr>
        <w:t>“</w:t>
      </w:r>
      <w:r w:rsidRPr="00271B03">
        <w:rPr>
          <w:rFonts w:ascii="Garamond" w:eastAsia="Garamond" w:hAnsi="Garamond" w:cs="Garamond"/>
        </w:rPr>
        <w:t>#ceasefire</w:t>
      </w:r>
      <w:r>
        <w:rPr>
          <w:rFonts w:ascii="Garamond" w:eastAsia="Garamond" w:hAnsi="Garamond" w:cs="Garamond"/>
        </w:rPr>
        <w:t xml:space="preserve">” </w:t>
      </w:r>
      <w:r w:rsidRPr="00271B03">
        <w:rPr>
          <w:rFonts w:ascii="Garamond" w:eastAsia="Garamond" w:hAnsi="Garamond" w:cs="Garamond"/>
        </w:rPr>
        <w:t xml:space="preserve">and </w:t>
      </w:r>
      <w:r>
        <w:rPr>
          <w:rFonts w:ascii="Garamond" w:eastAsia="Garamond" w:hAnsi="Garamond" w:cs="Garamond"/>
        </w:rPr>
        <w:t>“</w:t>
      </w:r>
      <w:r w:rsidRPr="00271B03">
        <w:rPr>
          <w:rFonts w:ascii="Garamond" w:eastAsia="Garamond" w:hAnsi="Garamond" w:cs="Garamond"/>
        </w:rPr>
        <w:t>#</w:t>
      </w:r>
      <w:proofErr w:type="spellStart"/>
      <w:r w:rsidRPr="00271B03">
        <w:rPr>
          <w:rFonts w:ascii="Garamond" w:eastAsia="Garamond" w:hAnsi="Garamond" w:cs="Garamond"/>
        </w:rPr>
        <w:t>PalestineWillBeFree</w:t>
      </w:r>
      <w:proofErr w:type="spellEnd"/>
      <w:r>
        <w:rPr>
          <w:rFonts w:ascii="Garamond" w:eastAsia="Garamond" w:hAnsi="Garamond" w:cs="Garamond"/>
        </w:rPr>
        <w:t xml:space="preserve">,” </w:t>
      </w:r>
      <w:r w:rsidRPr="00271B03">
        <w:rPr>
          <w:rFonts w:ascii="Garamond" w:eastAsia="Garamond" w:hAnsi="Garamond" w:cs="Garamond"/>
        </w:rPr>
        <w:t>the second featured a symbolic image of watermelon slices</w:t>
      </w:r>
      <w:r>
        <w:rPr>
          <w:rFonts w:ascii="Garamond" w:eastAsia="Garamond" w:hAnsi="Garamond" w:cs="Garamond"/>
        </w:rPr>
        <w:t>, a symbol of solidarity with Palestine</w:t>
      </w:r>
      <w:r w:rsidRPr="00271B03">
        <w:rPr>
          <w:rFonts w:ascii="Garamond" w:eastAsia="Garamond" w:hAnsi="Garamond" w:cs="Garamond"/>
        </w:rPr>
        <w:t>, and the third expressed support for Palestinians of all faiths.</w:t>
      </w:r>
    </w:p>
    <w:p w14:paraId="0EEE46D3" w14:textId="77777777" w:rsidR="00271B03" w:rsidRDefault="00271B03">
      <w:pPr>
        <w:pBdr>
          <w:top w:val="nil"/>
          <w:left w:val="nil"/>
          <w:bottom w:val="nil"/>
          <w:right w:val="nil"/>
          <w:between w:val="nil"/>
        </w:pBdr>
        <w:spacing w:line="276" w:lineRule="auto"/>
        <w:jc w:val="both"/>
        <w:rPr>
          <w:rFonts w:ascii="Garamond" w:eastAsia="Garamond" w:hAnsi="Garamond" w:cs="Garamond"/>
        </w:rPr>
      </w:pPr>
    </w:p>
    <w:p w14:paraId="6E4DBECD" w14:textId="77777777" w:rsidR="00271B03" w:rsidRDefault="00271B03">
      <w:pPr>
        <w:pBdr>
          <w:top w:val="nil"/>
          <w:left w:val="nil"/>
          <w:bottom w:val="nil"/>
          <w:right w:val="nil"/>
          <w:between w:val="nil"/>
        </w:pBdr>
        <w:spacing w:line="276" w:lineRule="auto"/>
        <w:jc w:val="both"/>
        <w:rPr>
          <w:rFonts w:ascii="Garamond" w:eastAsia="Garamond" w:hAnsi="Garamond" w:cs="Garamond"/>
        </w:rPr>
      </w:pPr>
    </w:p>
    <w:p w14:paraId="37E70BD0" w14:textId="4D18B095" w:rsidR="00271B03" w:rsidRDefault="00271B03">
      <w:pPr>
        <w:pBdr>
          <w:top w:val="nil"/>
          <w:left w:val="nil"/>
          <w:bottom w:val="nil"/>
          <w:right w:val="nil"/>
          <w:between w:val="nil"/>
        </w:pBdr>
        <w:spacing w:line="276" w:lineRule="auto"/>
        <w:jc w:val="both"/>
        <w:rPr>
          <w:rFonts w:ascii="Garamond" w:eastAsia="Garamond" w:hAnsi="Garamond" w:cs="Garamond"/>
        </w:rPr>
      </w:pPr>
      <w:r w:rsidRPr="00271B03">
        <w:rPr>
          <w:rFonts w:ascii="Garamond" w:eastAsia="Garamond" w:hAnsi="Garamond" w:cs="Garamond"/>
        </w:rPr>
        <w:t xml:space="preserve">The Board found that none of the three pieces of content violated Meta’s Violence and Incitement policy, as they did not contain threats of violence or physical harm. </w:t>
      </w:r>
      <w:r>
        <w:rPr>
          <w:rFonts w:ascii="Garamond" w:eastAsia="Garamond" w:hAnsi="Garamond" w:cs="Garamond"/>
        </w:rPr>
        <w:t>The Board</w:t>
      </w:r>
      <w:r w:rsidR="004E2BA3">
        <w:rPr>
          <w:rFonts w:ascii="Garamond" w:eastAsia="Garamond" w:hAnsi="Garamond" w:cs="Garamond"/>
        </w:rPr>
        <w:t xml:space="preserve"> highlighted that </w:t>
      </w:r>
      <w:r w:rsidRPr="00271B03">
        <w:rPr>
          <w:rFonts w:ascii="Garamond" w:eastAsia="Garamond" w:hAnsi="Garamond" w:cs="Garamond"/>
        </w:rPr>
        <w:t xml:space="preserve">Meta’s policy requires both a "threat" and a "target" to be present for content to be considered in violation, and the Board found no such threats in these cases. Although the policy also prohibits "coded statements" with veiled or implicit threats, the Board determined that no "threat signals" or "contextual signals" suggesting imminent violence were present in the </w:t>
      </w:r>
      <w:r w:rsidRPr="00271B03">
        <w:rPr>
          <w:rFonts w:ascii="Garamond" w:eastAsia="Garamond" w:hAnsi="Garamond" w:cs="Garamond"/>
        </w:rPr>
        <w:lastRenderedPageBreak/>
        <w:t xml:space="preserve">reviewed content. </w:t>
      </w:r>
      <w:r w:rsidR="004E2BA3">
        <w:rPr>
          <w:rFonts w:ascii="Garamond" w:eastAsia="Garamond" w:hAnsi="Garamond" w:cs="Garamond"/>
        </w:rPr>
        <w:t>The Board acknowledged that</w:t>
      </w:r>
      <w:r w:rsidRPr="00271B03">
        <w:rPr>
          <w:rFonts w:ascii="Garamond" w:eastAsia="Garamond" w:hAnsi="Garamond" w:cs="Garamond"/>
        </w:rPr>
        <w:t xml:space="preserve"> the phrase "From the River to the Sea" c</w:t>
      </w:r>
      <w:r w:rsidR="004E2BA3">
        <w:rPr>
          <w:rFonts w:ascii="Garamond" w:eastAsia="Garamond" w:hAnsi="Garamond" w:cs="Garamond"/>
        </w:rPr>
        <w:t>ould</w:t>
      </w:r>
      <w:r w:rsidRPr="00271B03">
        <w:rPr>
          <w:rFonts w:ascii="Garamond" w:eastAsia="Garamond" w:hAnsi="Garamond" w:cs="Garamond"/>
        </w:rPr>
        <w:t xml:space="preserve"> sometimes be used to incite violence</w:t>
      </w:r>
      <w:r w:rsidR="004E2BA3">
        <w:rPr>
          <w:rFonts w:ascii="Garamond" w:eastAsia="Garamond" w:hAnsi="Garamond" w:cs="Garamond"/>
        </w:rPr>
        <w:t>. However, the Board stressed</w:t>
      </w:r>
      <w:r w:rsidRPr="00271B03">
        <w:rPr>
          <w:rFonts w:ascii="Garamond" w:eastAsia="Garamond" w:hAnsi="Garamond" w:cs="Garamond"/>
        </w:rPr>
        <w:t xml:space="preserve"> there was no indication that these specific posts could lead to </w:t>
      </w:r>
      <w:r w:rsidR="004E2BA3">
        <w:rPr>
          <w:rFonts w:ascii="Garamond" w:eastAsia="Garamond" w:hAnsi="Garamond" w:cs="Garamond"/>
        </w:rPr>
        <w:t>imminent violence.</w:t>
      </w:r>
    </w:p>
    <w:p w14:paraId="55F9FF49" w14:textId="77777777" w:rsidR="004E2BA3" w:rsidRDefault="004E2BA3">
      <w:pPr>
        <w:pBdr>
          <w:top w:val="nil"/>
          <w:left w:val="nil"/>
          <w:bottom w:val="nil"/>
          <w:right w:val="nil"/>
          <w:between w:val="nil"/>
        </w:pBdr>
        <w:spacing w:line="276" w:lineRule="auto"/>
        <w:jc w:val="both"/>
        <w:rPr>
          <w:rFonts w:ascii="Garamond" w:eastAsia="Garamond" w:hAnsi="Garamond" w:cs="Garamond"/>
        </w:rPr>
      </w:pPr>
    </w:p>
    <w:p w14:paraId="507A9ABF" w14:textId="7500CD09" w:rsidR="004E2BA3" w:rsidRDefault="004E2BA3">
      <w:pPr>
        <w:pBdr>
          <w:top w:val="nil"/>
          <w:left w:val="nil"/>
          <w:bottom w:val="nil"/>
          <w:right w:val="nil"/>
          <w:between w:val="nil"/>
        </w:pBdr>
        <w:spacing w:line="276" w:lineRule="auto"/>
        <w:jc w:val="both"/>
        <w:rPr>
          <w:rFonts w:ascii="Garamond" w:eastAsia="Garamond" w:hAnsi="Garamond" w:cs="Garamond"/>
        </w:rPr>
      </w:pPr>
      <w:r w:rsidRPr="004E2BA3">
        <w:rPr>
          <w:rFonts w:ascii="Garamond" w:eastAsia="Garamond" w:hAnsi="Garamond" w:cs="Garamond"/>
        </w:rPr>
        <w:t xml:space="preserve">The Board also determined that </w:t>
      </w:r>
      <w:r>
        <w:rPr>
          <w:rFonts w:ascii="Garamond" w:eastAsia="Garamond" w:hAnsi="Garamond" w:cs="Garamond"/>
        </w:rPr>
        <w:t>none of the</w:t>
      </w:r>
      <w:r w:rsidRPr="004E2BA3">
        <w:rPr>
          <w:rFonts w:ascii="Garamond" w:eastAsia="Garamond" w:hAnsi="Garamond" w:cs="Garamond"/>
        </w:rPr>
        <w:t xml:space="preserve"> content glorif</w:t>
      </w:r>
      <w:r>
        <w:rPr>
          <w:rFonts w:ascii="Garamond" w:eastAsia="Garamond" w:hAnsi="Garamond" w:cs="Garamond"/>
        </w:rPr>
        <w:t>ied</w:t>
      </w:r>
      <w:r w:rsidRPr="004E2BA3">
        <w:rPr>
          <w:rFonts w:ascii="Garamond" w:eastAsia="Garamond" w:hAnsi="Garamond" w:cs="Garamond"/>
        </w:rPr>
        <w:t xml:space="preserve"> Hamas, a designated terrorist organization under Meta's Dangerous Organizations and Individuals policy. </w:t>
      </w:r>
      <w:r>
        <w:rPr>
          <w:rFonts w:ascii="Garamond" w:eastAsia="Garamond" w:hAnsi="Garamond" w:cs="Garamond"/>
        </w:rPr>
        <w:t>The Board underlined that n</w:t>
      </w:r>
      <w:r w:rsidRPr="004E2BA3">
        <w:rPr>
          <w:rFonts w:ascii="Garamond" w:eastAsia="Garamond" w:hAnsi="Garamond" w:cs="Garamond"/>
        </w:rPr>
        <w:t xml:space="preserve">one of the </w:t>
      </w:r>
      <w:r>
        <w:rPr>
          <w:rFonts w:ascii="Garamond" w:eastAsia="Garamond" w:hAnsi="Garamond" w:cs="Garamond"/>
        </w:rPr>
        <w:t>content</w:t>
      </w:r>
      <w:r w:rsidRPr="004E2BA3">
        <w:rPr>
          <w:rFonts w:ascii="Garamond" w:eastAsia="Garamond" w:hAnsi="Garamond" w:cs="Garamond"/>
        </w:rPr>
        <w:t xml:space="preserve"> reference</w:t>
      </w:r>
      <w:r>
        <w:rPr>
          <w:rFonts w:ascii="Garamond" w:eastAsia="Garamond" w:hAnsi="Garamond" w:cs="Garamond"/>
        </w:rPr>
        <w:t>d</w:t>
      </w:r>
      <w:r w:rsidRPr="004E2BA3">
        <w:rPr>
          <w:rFonts w:ascii="Garamond" w:eastAsia="Garamond" w:hAnsi="Garamond" w:cs="Garamond"/>
        </w:rPr>
        <w:t xml:space="preserve"> Hamas or attempt to glorify its actions. While some public comments suggested that using the phrase "From the River to the Sea" inherently supports Hamas, the Board rejected this view, noting that the phrase predate</w:t>
      </w:r>
      <w:r>
        <w:rPr>
          <w:rFonts w:ascii="Garamond" w:eastAsia="Garamond" w:hAnsi="Garamond" w:cs="Garamond"/>
        </w:rPr>
        <w:t xml:space="preserve">d </w:t>
      </w:r>
      <w:r w:rsidRPr="004E2BA3">
        <w:rPr>
          <w:rFonts w:ascii="Garamond" w:eastAsia="Garamond" w:hAnsi="Garamond" w:cs="Garamond"/>
        </w:rPr>
        <w:t>Hamas and d</w:t>
      </w:r>
      <w:r>
        <w:rPr>
          <w:rFonts w:ascii="Garamond" w:eastAsia="Garamond" w:hAnsi="Garamond" w:cs="Garamond"/>
        </w:rPr>
        <w:t>id</w:t>
      </w:r>
      <w:r w:rsidRPr="004E2BA3">
        <w:rPr>
          <w:rFonts w:ascii="Garamond" w:eastAsia="Garamond" w:hAnsi="Garamond" w:cs="Garamond"/>
        </w:rPr>
        <w:t xml:space="preserve"> not have a single, universally understood meaning. Furthermore,</w:t>
      </w:r>
      <w:r>
        <w:rPr>
          <w:rFonts w:ascii="Garamond" w:eastAsia="Garamond" w:hAnsi="Garamond" w:cs="Garamond"/>
        </w:rPr>
        <w:t xml:space="preserve"> the Board saw that</w:t>
      </w:r>
      <w:r w:rsidRPr="004E2BA3">
        <w:rPr>
          <w:rFonts w:ascii="Garamond" w:eastAsia="Garamond" w:hAnsi="Garamond" w:cs="Garamond"/>
        </w:rPr>
        <w:t xml:space="preserve"> none of the content reviewed </w:t>
      </w:r>
      <w:r>
        <w:rPr>
          <w:rFonts w:ascii="Garamond" w:eastAsia="Garamond" w:hAnsi="Garamond" w:cs="Garamond"/>
        </w:rPr>
        <w:t>attempted t</w:t>
      </w:r>
      <w:r w:rsidRPr="004E2BA3">
        <w:rPr>
          <w:rFonts w:ascii="Garamond" w:eastAsia="Garamond" w:hAnsi="Garamond" w:cs="Garamond"/>
        </w:rPr>
        <w:t>o justify Hamas' actions, including the attacks of October 7. Therefore, the</w:t>
      </w:r>
      <w:r>
        <w:rPr>
          <w:rFonts w:ascii="Garamond" w:eastAsia="Garamond" w:hAnsi="Garamond" w:cs="Garamond"/>
        </w:rPr>
        <w:t xml:space="preserve"> Board found that the</w:t>
      </w:r>
      <w:r w:rsidRPr="004E2BA3">
        <w:rPr>
          <w:rFonts w:ascii="Garamond" w:eastAsia="Garamond" w:hAnsi="Garamond" w:cs="Garamond"/>
        </w:rPr>
        <w:t xml:space="preserve"> content d</w:t>
      </w:r>
      <w:r>
        <w:rPr>
          <w:rFonts w:ascii="Garamond" w:eastAsia="Garamond" w:hAnsi="Garamond" w:cs="Garamond"/>
        </w:rPr>
        <w:t>id</w:t>
      </w:r>
      <w:r w:rsidRPr="004E2BA3">
        <w:rPr>
          <w:rFonts w:ascii="Garamond" w:eastAsia="Garamond" w:hAnsi="Garamond" w:cs="Garamond"/>
        </w:rPr>
        <w:t xml:space="preserve"> not violate Meta's policy on Dangerous Organizations.</w:t>
      </w:r>
    </w:p>
    <w:p w14:paraId="77268D7A" w14:textId="77777777" w:rsidR="004E2BA3" w:rsidRDefault="004E2BA3">
      <w:pPr>
        <w:pBdr>
          <w:top w:val="nil"/>
          <w:left w:val="nil"/>
          <w:bottom w:val="nil"/>
          <w:right w:val="nil"/>
          <w:between w:val="nil"/>
        </w:pBdr>
        <w:spacing w:line="276" w:lineRule="auto"/>
        <w:jc w:val="both"/>
        <w:rPr>
          <w:rFonts w:ascii="Garamond" w:eastAsia="Garamond" w:hAnsi="Garamond" w:cs="Garamond"/>
        </w:rPr>
      </w:pPr>
    </w:p>
    <w:p w14:paraId="5221111E" w14:textId="28756F96" w:rsidR="004E2BA3" w:rsidRDefault="004E2BA3">
      <w:pPr>
        <w:pBdr>
          <w:top w:val="nil"/>
          <w:left w:val="nil"/>
          <w:bottom w:val="nil"/>
          <w:right w:val="nil"/>
          <w:between w:val="nil"/>
        </w:pBdr>
        <w:spacing w:line="276" w:lineRule="auto"/>
        <w:jc w:val="both"/>
        <w:rPr>
          <w:rFonts w:ascii="Garamond" w:eastAsia="Garamond" w:hAnsi="Garamond" w:cs="Garamond"/>
        </w:rPr>
      </w:pPr>
      <w:r w:rsidRPr="004E2BA3">
        <w:rPr>
          <w:rFonts w:ascii="Garamond" w:eastAsia="Garamond" w:hAnsi="Garamond" w:cs="Garamond"/>
        </w:rPr>
        <w:t xml:space="preserve">The Board emphasized that the use of a phrase by an extremist group does not make the phrase inherently hateful or violent, considering its broader usage by other actors. </w:t>
      </w:r>
      <w:r>
        <w:rPr>
          <w:rFonts w:ascii="Garamond" w:eastAsia="Garamond" w:hAnsi="Garamond" w:cs="Garamond"/>
        </w:rPr>
        <w:t>T</w:t>
      </w:r>
      <w:r w:rsidRPr="004E2BA3">
        <w:rPr>
          <w:rFonts w:ascii="Garamond" w:eastAsia="Garamond" w:hAnsi="Garamond" w:cs="Garamond"/>
        </w:rPr>
        <w:t xml:space="preserve">he Board </w:t>
      </w:r>
      <w:r w:rsidR="009D47AD">
        <w:rPr>
          <w:rFonts w:ascii="Garamond" w:eastAsia="Garamond" w:hAnsi="Garamond" w:cs="Garamond"/>
        </w:rPr>
        <w:t xml:space="preserve">noted </w:t>
      </w:r>
      <w:r w:rsidRPr="004E2BA3">
        <w:rPr>
          <w:rFonts w:ascii="Garamond" w:eastAsia="Garamond" w:hAnsi="Garamond" w:cs="Garamond"/>
        </w:rPr>
        <w:t>that symbols and emblems with multiple meanings should not be restricted unless they are directly associated with incitement to discrimination, hostility, or violence.</w:t>
      </w:r>
    </w:p>
    <w:p w14:paraId="2E3C6227" w14:textId="77777777" w:rsidR="00271B03" w:rsidRDefault="00271B03">
      <w:pPr>
        <w:pBdr>
          <w:top w:val="nil"/>
          <w:left w:val="nil"/>
          <w:bottom w:val="nil"/>
          <w:right w:val="nil"/>
          <w:between w:val="nil"/>
        </w:pBdr>
        <w:spacing w:line="276" w:lineRule="auto"/>
        <w:jc w:val="both"/>
        <w:rPr>
          <w:rFonts w:ascii="Garamond" w:eastAsia="Garamond" w:hAnsi="Garamond" w:cs="Garamond"/>
        </w:rPr>
      </w:pPr>
    </w:p>
    <w:p w14:paraId="43A8E3E4" w14:textId="3083364E" w:rsidR="00BC1499" w:rsidRDefault="00000000">
      <w:p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(2) Compliance with Meta’s values</w:t>
      </w:r>
    </w:p>
    <w:p w14:paraId="55CAAA20" w14:textId="77777777" w:rsidR="009D47AD" w:rsidRDefault="009D47AD">
      <w:pPr>
        <w:pBdr>
          <w:top w:val="nil"/>
          <w:left w:val="nil"/>
          <w:bottom w:val="nil"/>
          <w:right w:val="nil"/>
          <w:between w:val="nil"/>
        </w:pBdr>
        <w:spacing w:line="276" w:lineRule="auto"/>
        <w:jc w:val="both"/>
        <w:rPr>
          <w:rFonts w:ascii="Garamond" w:eastAsia="Garamond" w:hAnsi="Garamond" w:cs="Garamond"/>
        </w:rPr>
      </w:pPr>
    </w:p>
    <w:p w14:paraId="60CF5017" w14:textId="56EF9353" w:rsidR="009D47AD" w:rsidRDefault="008C6172" w:rsidP="008C6172">
      <w:p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The Board noted that t</w:t>
      </w:r>
      <w:r w:rsidRPr="008C6172">
        <w:rPr>
          <w:rFonts w:ascii="Garamond" w:eastAsia="Garamond" w:hAnsi="Garamond" w:cs="Garamond"/>
        </w:rPr>
        <w:t xml:space="preserve">hese three cases highlighted the tension between Meta's commitment to protecting </w:t>
      </w:r>
      <w:r>
        <w:rPr>
          <w:rFonts w:ascii="Garamond" w:eastAsia="Garamond" w:hAnsi="Garamond" w:cs="Garamond"/>
        </w:rPr>
        <w:t>its value of voice and freedom of expression</w:t>
      </w:r>
      <w:r w:rsidRPr="008C6172">
        <w:rPr>
          <w:rFonts w:ascii="Garamond" w:eastAsia="Garamond" w:hAnsi="Garamond" w:cs="Garamond"/>
        </w:rPr>
        <w:t xml:space="preserve">, especially political speech during times of conflict, and its responsibility to ensure safety and dignity by preventing intimidation, exclusion, and violence. </w:t>
      </w:r>
      <w:r>
        <w:rPr>
          <w:rFonts w:ascii="Garamond" w:eastAsia="Garamond" w:hAnsi="Garamond" w:cs="Garamond"/>
        </w:rPr>
        <w:t>The Board underlined that t</w:t>
      </w:r>
      <w:r w:rsidRPr="008C6172">
        <w:rPr>
          <w:rFonts w:ascii="Garamond" w:eastAsia="Garamond" w:hAnsi="Garamond" w:cs="Garamond"/>
        </w:rPr>
        <w:t>his tension became particularly important during the conflict following Hamas's attack in October 2023 and Israel’s military response, as political protests and accusations of international law violations surged globally</w:t>
      </w:r>
    </w:p>
    <w:p w14:paraId="413B7646" w14:textId="77777777" w:rsidR="00BC1499" w:rsidRDefault="00BC1499">
      <w:pPr>
        <w:pBdr>
          <w:top w:val="nil"/>
          <w:left w:val="nil"/>
          <w:bottom w:val="nil"/>
          <w:right w:val="nil"/>
          <w:between w:val="nil"/>
        </w:pBdr>
        <w:spacing w:line="276" w:lineRule="auto"/>
        <w:jc w:val="both"/>
        <w:rPr>
          <w:rFonts w:ascii="Garamond" w:eastAsia="Garamond" w:hAnsi="Garamond" w:cs="Garamond"/>
        </w:rPr>
      </w:pPr>
    </w:p>
    <w:p w14:paraId="3FF7F00E" w14:textId="77777777" w:rsidR="00207ED3" w:rsidRDefault="00000000">
      <w:p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(3) Compliance with Meta’s human rights responsibilities</w:t>
      </w:r>
    </w:p>
    <w:p w14:paraId="7D8B0E16" w14:textId="77777777" w:rsidR="00207ED3" w:rsidRDefault="00207ED3">
      <w:pPr>
        <w:pBdr>
          <w:top w:val="nil"/>
          <w:left w:val="nil"/>
          <w:bottom w:val="nil"/>
          <w:right w:val="nil"/>
          <w:between w:val="nil"/>
        </w:pBdr>
        <w:spacing w:line="276" w:lineRule="auto"/>
        <w:jc w:val="both"/>
        <w:rPr>
          <w:rFonts w:ascii="Garamond" w:eastAsia="Garamond" w:hAnsi="Garamond" w:cs="Garamond"/>
        </w:rPr>
      </w:pPr>
    </w:p>
    <w:p w14:paraId="21352A1B" w14:textId="28B4A4FB" w:rsidR="00BC1499" w:rsidRDefault="00207ED3" w:rsidP="00617497">
      <w:p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The Board underlined that a</w:t>
      </w:r>
      <w:r w:rsidRPr="00207ED3">
        <w:rPr>
          <w:rFonts w:ascii="Garamond" w:eastAsia="Garamond" w:hAnsi="Garamond" w:cs="Garamond"/>
        </w:rPr>
        <w:t>rticle 19 of the International Covenant on Civil and Political Rights (ICCPR) broadly protected the right to freedom of expression, including the "freedom to seek, receive and impart information and ideas of all kinds," such as political discourse and commentary on public affairs.</w:t>
      </w:r>
      <w:r>
        <w:rPr>
          <w:rFonts w:ascii="Garamond" w:eastAsia="Garamond" w:hAnsi="Garamond" w:cs="Garamond"/>
        </w:rPr>
        <w:t xml:space="preserve">, and </w:t>
      </w:r>
      <w:r w:rsidRPr="00207ED3">
        <w:rPr>
          <w:rFonts w:ascii="Garamond" w:eastAsia="Garamond" w:hAnsi="Garamond" w:cs="Garamond"/>
        </w:rPr>
        <w:t>that this right extend even to expression that might be considered deeply offensive</w:t>
      </w:r>
      <w:r>
        <w:rPr>
          <w:rFonts w:ascii="Garamond" w:eastAsia="Garamond" w:hAnsi="Garamond" w:cs="Garamond"/>
        </w:rPr>
        <w:t>.</w:t>
      </w:r>
      <w:r w:rsidR="00617497">
        <w:rPr>
          <w:rFonts w:ascii="Garamond" w:eastAsia="Garamond" w:hAnsi="Garamond" w:cs="Garamond"/>
        </w:rPr>
        <w:t xml:space="preserve"> </w:t>
      </w:r>
      <w:r w:rsidR="00617497" w:rsidRPr="009E6991">
        <w:rPr>
          <w:rFonts w:ascii="Garamond" w:eastAsia="Garamond" w:hAnsi="Garamond" w:cs="Garamond"/>
        </w:rPr>
        <w:t>Th</w:t>
      </w:r>
      <w:r w:rsidR="00617497">
        <w:rPr>
          <w:rFonts w:ascii="Garamond" w:eastAsia="Garamond" w:hAnsi="Garamond" w:cs="Garamond"/>
        </w:rPr>
        <w:t>e</w:t>
      </w:r>
      <w:r w:rsidR="00617497" w:rsidRPr="009E6991">
        <w:rPr>
          <w:rFonts w:ascii="Garamond" w:eastAsia="Garamond" w:hAnsi="Garamond" w:cs="Garamond"/>
        </w:rPr>
        <w:t xml:space="preserve"> Board applie</w:t>
      </w:r>
      <w:r w:rsidR="00617497">
        <w:rPr>
          <w:rFonts w:ascii="Garamond" w:eastAsia="Garamond" w:hAnsi="Garamond" w:cs="Garamond"/>
        </w:rPr>
        <w:t>d</w:t>
      </w:r>
      <w:r w:rsidR="00617497" w:rsidRPr="009E6991">
        <w:rPr>
          <w:rFonts w:ascii="Garamond" w:eastAsia="Garamond" w:hAnsi="Garamond" w:cs="Garamond"/>
        </w:rPr>
        <w:t xml:space="preserve"> t</w:t>
      </w:r>
      <w:r w:rsidR="00617497">
        <w:rPr>
          <w:rFonts w:ascii="Garamond" w:eastAsia="Garamond" w:hAnsi="Garamond" w:cs="Garamond"/>
        </w:rPr>
        <w:t>he three-part test to evaluate whether</w:t>
      </w:r>
      <w:r w:rsidR="00617497" w:rsidRPr="009E6991">
        <w:rPr>
          <w:rFonts w:ascii="Garamond" w:eastAsia="Garamond" w:hAnsi="Garamond" w:cs="Garamond"/>
        </w:rPr>
        <w:t xml:space="preserve"> Meta</w:t>
      </w:r>
      <w:r w:rsidR="00617497">
        <w:rPr>
          <w:rFonts w:ascii="Garamond" w:eastAsia="Garamond" w:hAnsi="Garamond" w:cs="Garamond"/>
        </w:rPr>
        <w:t xml:space="preserve"> fulfilled its obligations regarding </w:t>
      </w:r>
      <w:r w:rsidR="00617497" w:rsidRPr="009E6991">
        <w:rPr>
          <w:rFonts w:ascii="Garamond" w:eastAsia="Garamond" w:hAnsi="Garamond" w:cs="Garamond"/>
        </w:rPr>
        <w:t>users' freedom of expression</w:t>
      </w:r>
      <w:r w:rsidR="00617497">
        <w:rPr>
          <w:rFonts w:ascii="Garamond" w:eastAsia="Garamond" w:hAnsi="Garamond" w:cs="Garamond"/>
        </w:rPr>
        <w:t xml:space="preserve"> in accordance with article 19 of the ICCP</w:t>
      </w:r>
      <w:r w:rsidR="00617497">
        <w:rPr>
          <w:rFonts w:ascii="Garamond" w:eastAsia="Garamond" w:hAnsi="Garamond" w:cs="Garamond"/>
        </w:rPr>
        <w:t>R</w:t>
      </w:r>
      <w:r w:rsidR="00617497">
        <w:rPr>
          <w:rFonts w:ascii="Garamond" w:eastAsia="Garamond" w:hAnsi="Garamond" w:cs="Garamond"/>
        </w:rPr>
        <w:t>.</w:t>
      </w:r>
    </w:p>
    <w:p w14:paraId="0F9D1D03" w14:textId="33456C94" w:rsidR="00BC1499" w:rsidRDefault="00000000" w:rsidP="00617497">
      <w:pPr>
        <w:pStyle w:val="ListParagraph"/>
        <w:numPr>
          <w:ilvl w:val="0"/>
          <w:numId w:val="12"/>
        </w:numPr>
        <w:pBdr>
          <w:top w:val="nil"/>
          <w:left w:val="nil"/>
          <w:bottom w:val="nil"/>
          <w:right w:val="nil"/>
          <w:between w:val="nil"/>
        </w:pBdr>
        <w:spacing w:line="276" w:lineRule="auto"/>
        <w:jc w:val="both"/>
        <w:rPr>
          <w:rFonts w:ascii="Garamond" w:eastAsia="Garamond" w:hAnsi="Garamond" w:cs="Garamond"/>
        </w:rPr>
      </w:pPr>
      <w:r w:rsidRPr="00617497">
        <w:rPr>
          <w:rFonts w:ascii="Garamond" w:eastAsia="Garamond" w:hAnsi="Garamond" w:cs="Garamond"/>
        </w:rPr>
        <w:t>Legality (clarity and accessibility of the rules</w:t>
      </w:r>
      <w:proofErr w:type="gramStart"/>
      <w:r w:rsidRPr="00617497">
        <w:rPr>
          <w:rFonts w:ascii="Garamond" w:eastAsia="Garamond" w:hAnsi="Garamond" w:cs="Garamond"/>
        </w:rPr>
        <w:t>);</w:t>
      </w:r>
      <w:proofErr w:type="gramEnd"/>
      <w:r w:rsidRPr="00617497">
        <w:rPr>
          <w:rFonts w:ascii="Garamond" w:eastAsia="Garamond" w:hAnsi="Garamond" w:cs="Garamond"/>
        </w:rPr>
        <w:t xml:space="preserve"> </w:t>
      </w:r>
    </w:p>
    <w:p w14:paraId="341A3123" w14:textId="77777777" w:rsidR="00617497" w:rsidRPr="00617497" w:rsidRDefault="00617497" w:rsidP="00617497">
      <w:pPr>
        <w:pStyle w:val="ListParagraph"/>
        <w:pBdr>
          <w:top w:val="nil"/>
          <w:left w:val="nil"/>
          <w:bottom w:val="nil"/>
          <w:right w:val="nil"/>
          <w:between w:val="nil"/>
        </w:pBdr>
        <w:spacing w:line="276" w:lineRule="auto"/>
        <w:ind w:left="1440"/>
        <w:jc w:val="both"/>
        <w:rPr>
          <w:rFonts w:ascii="Garamond" w:eastAsia="Garamond" w:hAnsi="Garamond" w:cs="Garamond"/>
        </w:rPr>
      </w:pPr>
    </w:p>
    <w:p w14:paraId="2456DC12" w14:textId="7EEDF014" w:rsidR="00617497" w:rsidRDefault="00617497" w:rsidP="00617497">
      <w:pPr>
        <w:pBdr>
          <w:top w:val="nil"/>
          <w:left w:val="nil"/>
          <w:bottom w:val="nil"/>
          <w:right w:val="nil"/>
          <w:between w:val="nil"/>
        </w:pBdr>
        <w:spacing w:line="276" w:lineRule="auto"/>
        <w:jc w:val="both"/>
        <w:rPr>
          <w:rFonts w:ascii="Garamond" w:eastAsia="Garamond" w:hAnsi="Garamond" w:cs="Garamond"/>
        </w:rPr>
      </w:pPr>
      <w:r w:rsidRPr="00617497">
        <w:rPr>
          <w:rFonts w:ascii="Garamond" w:eastAsia="Garamond" w:hAnsi="Garamond" w:cs="Garamond"/>
        </w:rPr>
        <w:t>The principle of legality require</w:t>
      </w:r>
      <w:r>
        <w:rPr>
          <w:rFonts w:ascii="Garamond" w:eastAsia="Garamond" w:hAnsi="Garamond" w:cs="Garamond"/>
        </w:rPr>
        <w:t>s</w:t>
      </w:r>
      <w:r w:rsidRPr="00617497">
        <w:rPr>
          <w:rFonts w:ascii="Garamond" w:eastAsia="Garamond" w:hAnsi="Garamond" w:cs="Garamond"/>
        </w:rPr>
        <w:t xml:space="preserve"> that rules limiting expression be clear and accessible, with enough precision to allow individuals to regulate their behavior accordingly. These rules c</w:t>
      </w:r>
      <w:r>
        <w:rPr>
          <w:rFonts w:ascii="Garamond" w:eastAsia="Garamond" w:hAnsi="Garamond" w:cs="Garamond"/>
        </w:rPr>
        <w:t>annot</w:t>
      </w:r>
      <w:r w:rsidRPr="00617497">
        <w:rPr>
          <w:rFonts w:ascii="Garamond" w:eastAsia="Garamond" w:hAnsi="Garamond" w:cs="Garamond"/>
        </w:rPr>
        <w:t xml:space="preserve"> not grant unrestricted discretion to those enforcing them and had to provide sufficient guidance on what types of expression were properly restricted. The Board found that Meta's policies were sufficiently clear for users</w:t>
      </w:r>
      <w:r w:rsidRPr="00617497">
        <w:rPr>
          <w:rFonts w:ascii="Garamond" w:eastAsia="Garamond" w:hAnsi="Garamond" w:cs="Garamond"/>
        </w:rPr>
        <w:t xml:space="preserve"> </w:t>
      </w:r>
      <w:r w:rsidRPr="00617497">
        <w:rPr>
          <w:rFonts w:ascii="Garamond" w:eastAsia="Garamond" w:hAnsi="Garamond" w:cs="Garamond"/>
        </w:rPr>
        <w:t>in the cases reviewed</w:t>
      </w:r>
      <w:r>
        <w:rPr>
          <w:rFonts w:ascii="Garamond" w:eastAsia="Garamond" w:hAnsi="Garamond" w:cs="Garamond"/>
        </w:rPr>
        <w:t>.</w:t>
      </w:r>
    </w:p>
    <w:p w14:paraId="4B4E0D9C" w14:textId="77777777" w:rsidR="00617497" w:rsidRPr="00617497" w:rsidRDefault="00617497" w:rsidP="00617497">
      <w:pPr>
        <w:pBdr>
          <w:top w:val="nil"/>
          <w:left w:val="nil"/>
          <w:bottom w:val="nil"/>
          <w:right w:val="nil"/>
          <w:between w:val="nil"/>
        </w:pBdr>
        <w:spacing w:line="276" w:lineRule="auto"/>
        <w:jc w:val="both"/>
        <w:rPr>
          <w:rFonts w:ascii="Garamond" w:eastAsia="Garamond" w:hAnsi="Garamond" w:cs="Garamond"/>
        </w:rPr>
      </w:pPr>
    </w:p>
    <w:p w14:paraId="196EAF58" w14:textId="1FA2864F" w:rsidR="00BC1499" w:rsidRPr="00617497" w:rsidRDefault="00000000" w:rsidP="00617497">
      <w:pPr>
        <w:pStyle w:val="ListParagraph"/>
        <w:numPr>
          <w:ilvl w:val="0"/>
          <w:numId w:val="12"/>
        </w:numPr>
        <w:pBdr>
          <w:top w:val="nil"/>
          <w:left w:val="nil"/>
          <w:bottom w:val="nil"/>
          <w:right w:val="nil"/>
          <w:between w:val="nil"/>
        </w:pBdr>
        <w:spacing w:line="276" w:lineRule="auto"/>
        <w:jc w:val="both"/>
        <w:rPr>
          <w:rFonts w:ascii="Garamond" w:eastAsia="Garamond" w:hAnsi="Garamond" w:cs="Garamond"/>
        </w:rPr>
      </w:pPr>
      <w:r w:rsidRPr="00617497">
        <w:rPr>
          <w:rFonts w:ascii="Garamond" w:eastAsia="Garamond" w:hAnsi="Garamond" w:cs="Garamond"/>
        </w:rPr>
        <w:t>Legitimate aim</w:t>
      </w:r>
    </w:p>
    <w:p w14:paraId="6589A537" w14:textId="77777777" w:rsidR="00617497" w:rsidRDefault="00617497" w:rsidP="00617497">
      <w:pPr>
        <w:pBdr>
          <w:top w:val="nil"/>
          <w:left w:val="nil"/>
          <w:bottom w:val="nil"/>
          <w:right w:val="nil"/>
          <w:between w:val="nil"/>
        </w:pBdr>
        <w:spacing w:line="276" w:lineRule="auto"/>
        <w:jc w:val="both"/>
        <w:rPr>
          <w:rFonts w:ascii="Garamond" w:eastAsia="Garamond" w:hAnsi="Garamond" w:cs="Garamond"/>
        </w:rPr>
      </w:pPr>
    </w:p>
    <w:p w14:paraId="1DAEBF04" w14:textId="5969244C" w:rsidR="00FB08E0" w:rsidRPr="00FB08E0" w:rsidRDefault="00FB08E0" w:rsidP="00FB08E0">
      <w:pPr>
        <w:pBdr>
          <w:top w:val="nil"/>
          <w:left w:val="nil"/>
          <w:bottom w:val="nil"/>
          <w:right w:val="nil"/>
          <w:between w:val="nil"/>
        </w:pBdr>
        <w:spacing w:line="276" w:lineRule="auto"/>
        <w:jc w:val="both"/>
        <w:rPr>
          <w:rFonts w:ascii="Garamond" w:eastAsia="Garamond" w:hAnsi="Garamond" w:cs="Garamond"/>
          <w:lang w:val="en-EG"/>
        </w:rPr>
      </w:pPr>
      <w:r w:rsidRPr="00FB08E0">
        <w:rPr>
          <w:rFonts w:ascii="Garamond" w:eastAsia="Garamond" w:hAnsi="Garamond" w:cs="Garamond"/>
          <w:lang w:val="en-EG"/>
        </w:rPr>
        <w:t>Any restriction on freedom of expression needed to pursue a legitimate aim as outlined in the ICCPR. In several decisions, the Board recognized that Meta's Hate Speech policy pursued the legitimate aim of protecting others' rights</w:t>
      </w:r>
      <w:r>
        <w:rPr>
          <w:rFonts w:ascii="Garamond" w:eastAsia="Garamond" w:hAnsi="Garamond" w:cs="Garamond"/>
          <w:lang w:val="en-EG"/>
        </w:rPr>
        <w:t xml:space="preserve"> </w:t>
      </w:r>
      <w:r w:rsidRPr="00FB08E0">
        <w:rPr>
          <w:rFonts w:ascii="Garamond" w:eastAsia="Garamond" w:hAnsi="Garamond" w:cs="Garamond"/>
          <w:lang w:val="en-EG"/>
        </w:rPr>
        <w:t xml:space="preserve">to life and the rights to equality and non-discrimination, as hate speech fosters intimidation, exclusion, and sometimes offline violence. However, the Board reiterated </w:t>
      </w:r>
      <w:r>
        <w:rPr>
          <w:rFonts w:ascii="Garamond" w:eastAsia="Garamond" w:hAnsi="Garamond" w:cs="Garamond"/>
          <w:lang w:val="en-EG"/>
        </w:rPr>
        <w:t xml:space="preserve">its stance from the </w:t>
      </w:r>
      <w:r>
        <w:rPr>
          <w:rFonts w:ascii="Garamond" w:eastAsia="Garamond" w:hAnsi="Garamond" w:cs="Garamond"/>
          <w:i/>
          <w:iCs/>
        </w:rPr>
        <w:fldChar w:fldCharType="begin"/>
      </w:r>
      <w:r>
        <w:rPr>
          <w:rFonts w:ascii="Garamond" w:eastAsia="Garamond" w:hAnsi="Garamond" w:cs="Garamond"/>
          <w:i/>
          <w:iCs/>
        </w:rPr>
        <w:instrText>HYPERLINK "https://globalfreedomofexpression.columbia.edu/cases/oversight-board-case-of-depiction-of-zwarte-piet/"</w:instrText>
      </w:r>
      <w:r>
        <w:rPr>
          <w:rFonts w:ascii="Garamond" w:eastAsia="Garamond" w:hAnsi="Garamond" w:cs="Garamond"/>
          <w:i/>
          <w:iCs/>
        </w:rPr>
      </w:r>
      <w:r>
        <w:rPr>
          <w:rFonts w:ascii="Garamond" w:eastAsia="Garamond" w:hAnsi="Garamond" w:cs="Garamond"/>
          <w:i/>
          <w:iCs/>
        </w:rPr>
        <w:fldChar w:fldCharType="separate"/>
      </w:r>
      <w:r w:rsidRPr="00FB08E0">
        <w:rPr>
          <w:rStyle w:val="Hyperlink"/>
          <w:rFonts w:ascii="Garamond" w:eastAsia="Garamond" w:hAnsi="Garamond" w:cs="Garamond"/>
          <w:i/>
          <w:iCs/>
        </w:rPr>
        <w:t xml:space="preserve">Depiction of </w:t>
      </w:r>
      <w:proofErr w:type="spellStart"/>
      <w:r w:rsidRPr="00FB08E0">
        <w:rPr>
          <w:rStyle w:val="Hyperlink"/>
          <w:rFonts w:ascii="Garamond" w:eastAsia="Garamond" w:hAnsi="Garamond" w:cs="Garamond"/>
          <w:i/>
          <w:iCs/>
        </w:rPr>
        <w:t>Zwarte</w:t>
      </w:r>
      <w:proofErr w:type="spellEnd"/>
      <w:r w:rsidRPr="00FB08E0">
        <w:rPr>
          <w:rStyle w:val="Hyperlink"/>
          <w:rFonts w:ascii="Garamond" w:eastAsia="Garamond" w:hAnsi="Garamond" w:cs="Garamond"/>
          <w:i/>
          <w:iCs/>
        </w:rPr>
        <w:t xml:space="preserve"> Piet</w:t>
      </w:r>
      <w:r>
        <w:rPr>
          <w:rFonts w:ascii="Garamond" w:eastAsia="Garamond" w:hAnsi="Garamond" w:cs="Garamond"/>
          <w:i/>
          <w:iCs/>
        </w:rPr>
        <w:fldChar w:fldCharType="end"/>
      </w:r>
      <w:r w:rsidRPr="00FB08E0">
        <w:rPr>
          <w:rFonts w:ascii="Garamond" w:eastAsia="Garamond" w:hAnsi="Garamond" w:cs="Garamond"/>
          <w:lang w:val="en-EG"/>
        </w:rPr>
        <w:t xml:space="preserve"> </w:t>
      </w:r>
      <w:r>
        <w:rPr>
          <w:rFonts w:ascii="Garamond" w:eastAsia="Garamond" w:hAnsi="Garamond" w:cs="Garamond"/>
          <w:lang w:val="en-EG"/>
        </w:rPr>
        <w:t xml:space="preserve">decision </w:t>
      </w:r>
      <w:r w:rsidRPr="00FB08E0">
        <w:rPr>
          <w:rFonts w:ascii="Garamond" w:eastAsia="Garamond" w:hAnsi="Garamond" w:cs="Garamond"/>
          <w:lang w:val="en-EG"/>
        </w:rPr>
        <w:t>that restricting expression solely to prevent offense was not a legitimate aim.</w:t>
      </w:r>
    </w:p>
    <w:p w14:paraId="53E2CD3A" w14:textId="36605F88" w:rsidR="00FB08E0" w:rsidRPr="00FB08E0" w:rsidRDefault="00FB08E0" w:rsidP="00FB08E0">
      <w:pPr>
        <w:pBdr>
          <w:top w:val="nil"/>
          <w:left w:val="nil"/>
          <w:bottom w:val="nil"/>
          <w:right w:val="nil"/>
          <w:between w:val="nil"/>
        </w:pBdr>
        <w:spacing w:line="276" w:lineRule="auto"/>
        <w:jc w:val="both"/>
        <w:rPr>
          <w:rFonts w:ascii="Garamond" w:eastAsia="Garamond" w:hAnsi="Garamond" w:cs="Garamond"/>
          <w:lang w:val="en-EG"/>
        </w:rPr>
      </w:pPr>
      <w:r>
        <w:rPr>
          <w:rFonts w:ascii="Garamond" w:eastAsia="Garamond" w:hAnsi="Garamond" w:cs="Garamond"/>
          <w:lang w:val="en-EG"/>
        </w:rPr>
        <w:lastRenderedPageBreak/>
        <w:t xml:space="preserve">The Board highlighted the </w:t>
      </w:r>
      <w:r>
        <w:rPr>
          <w:rFonts w:ascii="Garamond" w:eastAsia="Garamond" w:hAnsi="Garamond" w:cs="Garamond"/>
          <w:i/>
          <w:iCs/>
        </w:rPr>
        <w:fldChar w:fldCharType="begin"/>
      </w:r>
      <w:r>
        <w:rPr>
          <w:rFonts w:ascii="Garamond" w:eastAsia="Garamond" w:hAnsi="Garamond" w:cs="Garamond"/>
          <w:i/>
          <w:iCs/>
        </w:rPr>
        <w:instrText>HYPERLINK "https://globalfreedomofexpression.columbia.edu/cases/oversight-board-case-of-alleged-crimes-in-raya-kobo/"</w:instrText>
      </w:r>
      <w:r>
        <w:rPr>
          <w:rFonts w:ascii="Garamond" w:eastAsia="Garamond" w:hAnsi="Garamond" w:cs="Garamond"/>
          <w:i/>
          <w:iCs/>
        </w:rPr>
      </w:r>
      <w:r>
        <w:rPr>
          <w:rFonts w:ascii="Garamond" w:eastAsia="Garamond" w:hAnsi="Garamond" w:cs="Garamond"/>
          <w:i/>
          <w:iCs/>
        </w:rPr>
        <w:fldChar w:fldCharType="separate"/>
      </w:r>
      <w:r w:rsidRPr="00FB08E0">
        <w:rPr>
          <w:rStyle w:val="Hyperlink"/>
          <w:rFonts w:ascii="Garamond" w:eastAsia="Garamond" w:hAnsi="Garamond" w:cs="Garamond"/>
          <w:i/>
          <w:iCs/>
        </w:rPr>
        <w:t>Alleged Crimes in Raya Kobo</w:t>
      </w:r>
      <w:r>
        <w:rPr>
          <w:rFonts w:ascii="Garamond" w:eastAsia="Garamond" w:hAnsi="Garamond" w:cs="Garamond"/>
          <w:i/>
          <w:iCs/>
        </w:rPr>
        <w:fldChar w:fldCharType="end"/>
      </w:r>
      <w:r w:rsidRPr="00FB08E0">
        <w:rPr>
          <w:rFonts w:ascii="Garamond" w:eastAsia="Garamond" w:hAnsi="Garamond" w:cs="Garamond"/>
          <w:i/>
          <w:iCs/>
        </w:rPr>
        <w:t xml:space="preserve"> </w:t>
      </w:r>
      <w:r w:rsidRPr="00FB08E0">
        <w:rPr>
          <w:rFonts w:ascii="Garamond" w:eastAsia="Garamond" w:hAnsi="Garamond" w:cs="Garamond"/>
        </w:rPr>
        <w:t>decision</w:t>
      </w:r>
      <w:r>
        <w:rPr>
          <w:rFonts w:ascii="Garamond" w:eastAsia="Garamond" w:hAnsi="Garamond" w:cs="Garamond"/>
        </w:rPr>
        <w:t xml:space="preserve"> where it found</w:t>
      </w:r>
      <w:r w:rsidRPr="00FB08E0">
        <w:rPr>
          <w:rFonts w:ascii="Garamond" w:eastAsia="Garamond" w:hAnsi="Garamond" w:cs="Garamond"/>
          <w:lang w:val="en-EG"/>
        </w:rPr>
        <w:t xml:space="preserve"> </w:t>
      </w:r>
      <w:r>
        <w:rPr>
          <w:rFonts w:ascii="Garamond" w:eastAsia="Garamond" w:hAnsi="Garamond" w:cs="Garamond"/>
          <w:lang w:val="en-EG"/>
        </w:rPr>
        <w:t xml:space="preserve">that </w:t>
      </w:r>
      <w:r w:rsidRPr="00FB08E0">
        <w:rPr>
          <w:rFonts w:ascii="Garamond" w:eastAsia="Garamond" w:hAnsi="Garamond" w:cs="Garamond"/>
          <w:lang w:val="en-EG"/>
        </w:rPr>
        <w:t>Meta's Violence and Incitement policy</w:t>
      </w:r>
      <w:r>
        <w:rPr>
          <w:rFonts w:ascii="Garamond" w:eastAsia="Garamond" w:hAnsi="Garamond" w:cs="Garamond"/>
          <w:lang w:val="en-EG"/>
        </w:rPr>
        <w:t xml:space="preserve"> </w:t>
      </w:r>
      <w:r w:rsidRPr="00FB08E0">
        <w:rPr>
          <w:rFonts w:ascii="Garamond" w:eastAsia="Garamond" w:hAnsi="Garamond" w:cs="Garamond"/>
          <w:lang w:val="en-EG"/>
        </w:rPr>
        <w:t>aimed to protect the right to life</w:t>
      </w:r>
      <w:r>
        <w:rPr>
          <w:rFonts w:ascii="Garamond" w:eastAsia="Garamond" w:hAnsi="Garamond" w:cs="Garamond"/>
          <w:lang w:val="en-EG"/>
        </w:rPr>
        <w:t xml:space="preserve"> as it aims to </w:t>
      </w:r>
      <w:r w:rsidRPr="00FB08E0">
        <w:rPr>
          <w:rFonts w:ascii="Garamond" w:eastAsia="Garamond" w:hAnsi="Garamond" w:cs="Garamond"/>
          <w:lang w:val="en-EG"/>
        </w:rPr>
        <w:t xml:space="preserve">prevent offline violence by removing violent speech targeting protected groups, Similarly, </w:t>
      </w:r>
      <w:r>
        <w:rPr>
          <w:rFonts w:ascii="Garamond" w:eastAsia="Garamond" w:hAnsi="Garamond" w:cs="Garamond"/>
          <w:lang w:val="en-EG"/>
        </w:rPr>
        <w:t xml:space="preserve">The Board stressed that </w:t>
      </w:r>
      <w:r w:rsidRPr="00FB08E0">
        <w:rPr>
          <w:rFonts w:ascii="Garamond" w:eastAsia="Garamond" w:hAnsi="Garamond" w:cs="Garamond"/>
          <w:lang w:val="en-EG"/>
        </w:rPr>
        <w:t xml:space="preserve">Meta’s Dangerous Organizations and Individuals policy </w:t>
      </w:r>
      <w:r>
        <w:rPr>
          <w:rFonts w:ascii="Garamond" w:eastAsia="Garamond" w:hAnsi="Garamond" w:cs="Garamond"/>
          <w:lang w:val="en-EG"/>
        </w:rPr>
        <w:t>aimed</w:t>
      </w:r>
      <w:r w:rsidRPr="00FB08E0">
        <w:rPr>
          <w:rFonts w:ascii="Garamond" w:eastAsia="Garamond" w:hAnsi="Garamond" w:cs="Garamond"/>
          <w:lang w:val="en-EG"/>
        </w:rPr>
        <w:t xml:space="preserve"> to prevent real-world harm by addressing organizations that promote hate and violence</w:t>
      </w:r>
      <w:r>
        <w:rPr>
          <w:rFonts w:ascii="Garamond" w:eastAsia="Garamond" w:hAnsi="Garamond" w:cs="Garamond"/>
          <w:lang w:val="en-EG"/>
        </w:rPr>
        <w:t xml:space="preserve"> to</w:t>
      </w:r>
      <w:r w:rsidRPr="00FB08E0">
        <w:rPr>
          <w:rFonts w:ascii="Garamond" w:eastAsia="Garamond" w:hAnsi="Garamond" w:cs="Garamond"/>
          <w:lang w:val="en-EG"/>
        </w:rPr>
        <w:t xml:space="preserve"> protect</w:t>
      </w:r>
      <w:r>
        <w:rPr>
          <w:rFonts w:ascii="Garamond" w:eastAsia="Garamond" w:hAnsi="Garamond" w:cs="Garamond"/>
          <w:lang w:val="en-EG"/>
        </w:rPr>
        <w:t xml:space="preserve"> </w:t>
      </w:r>
      <w:r w:rsidRPr="00FB08E0">
        <w:rPr>
          <w:rFonts w:ascii="Garamond" w:eastAsia="Garamond" w:hAnsi="Garamond" w:cs="Garamond"/>
          <w:lang w:val="en-EG"/>
        </w:rPr>
        <w:t>others' rights</w:t>
      </w:r>
      <w:r>
        <w:rPr>
          <w:rFonts w:ascii="Garamond" w:eastAsia="Garamond" w:hAnsi="Garamond" w:cs="Garamond"/>
          <w:lang w:val="en-EG"/>
        </w:rPr>
        <w:t xml:space="preserve"> </w:t>
      </w:r>
      <w:r w:rsidRPr="00FB08E0">
        <w:rPr>
          <w:rFonts w:ascii="Garamond" w:eastAsia="Garamond" w:hAnsi="Garamond" w:cs="Garamond"/>
          <w:lang w:val="en-EG"/>
        </w:rPr>
        <w:t>to life, equality, and non-discrimination</w:t>
      </w:r>
      <w:r>
        <w:rPr>
          <w:rFonts w:ascii="Garamond" w:eastAsia="Garamond" w:hAnsi="Garamond" w:cs="Garamond"/>
          <w:lang w:val="en-EG"/>
        </w:rPr>
        <w:t xml:space="preserve"> as the Board previously found in </w:t>
      </w:r>
      <w:r w:rsidRPr="00FB08E0">
        <w:rPr>
          <w:rFonts w:ascii="Garamond" w:eastAsia="Garamond" w:hAnsi="Garamond" w:cs="Garamond"/>
          <w:i/>
          <w:iCs/>
        </w:rPr>
        <w:t>Sudan’s Rapid Support Forces Video Captive</w:t>
      </w:r>
      <w:r w:rsidRPr="00FB08E0">
        <w:rPr>
          <w:rFonts w:ascii="Garamond" w:eastAsia="Garamond" w:hAnsi="Garamond" w:cs="Garamond"/>
        </w:rPr>
        <w:t xml:space="preserve"> and </w:t>
      </w:r>
      <w:r w:rsidRPr="00FB08E0">
        <w:rPr>
          <w:rFonts w:ascii="Garamond" w:eastAsia="Garamond" w:hAnsi="Garamond" w:cs="Garamond"/>
          <w:i/>
          <w:iCs/>
        </w:rPr>
        <w:t>Greek 2023 Elections Campaign</w:t>
      </w:r>
      <w:r w:rsidRPr="00FB08E0">
        <w:rPr>
          <w:rFonts w:ascii="Garamond" w:eastAsia="Garamond" w:hAnsi="Garamond" w:cs="Garamond"/>
        </w:rPr>
        <w:t xml:space="preserve"> decisions</w:t>
      </w:r>
      <w:r>
        <w:rPr>
          <w:rFonts w:ascii="Garamond" w:eastAsia="Garamond" w:hAnsi="Garamond" w:cs="Garamond"/>
        </w:rPr>
        <w:t>.</w:t>
      </w:r>
    </w:p>
    <w:p w14:paraId="7EF4830D" w14:textId="77777777" w:rsidR="00FB08E0" w:rsidRPr="00FB08E0" w:rsidRDefault="00FB08E0" w:rsidP="00617497">
      <w:pPr>
        <w:pBdr>
          <w:top w:val="nil"/>
          <w:left w:val="nil"/>
          <w:bottom w:val="nil"/>
          <w:right w:val="nil"/>
          <w:between w:val="nil"/>
        </w:pBdr>
        <w:spacing w:line="276" w:lineRule="auto"/>
        <w:jc w:val="both"/>
        <w:rPr>
          <w:rFonts w:ascii="Garamond" w:eastAsia="Garamond" w:hAnsi="Garamond" w:cs="Garamond"/>
          <w:lang w:val="en-EG"/>
        </w:rPr>
      </w:pPr>
    </w:p>
    <w:p w14:paraId="46497FBC" w14:textId="30AFCE6F" w:rsidR="00BC1499" w:rsidRPr="006E380E" w:rsidRDefault="00000000" w:rsidP="006E380E">
      <w:pPr>
        <w:pStyle w:val="ListParagraph"/>
        <w:numPr>
          <w:ilvl w:val="0"/>
          <w:numId w:val="12"/>
        </w:numPr>
        <w:pBdr>
          <w:top w:val="nil"/>
          <w:left w:val="nil"/>
          <w:bottom w:val="nil"/>
          <w:right w:val="nil"/>
          <w:between w:val="nil"/>
        </w:pBdr>
        <w:spacing w:line="276" w:lineRule="auto"/>
        <w:jc w:val="both"/>
        <w:rPr>
          <w:rFonts w:ascii="Garamond" w:eastAsia="Garamond" w:hAnsi="Garamond" w:cs="Garamond"/>
        </w:rPr>
      </w:pPr>
      <w:r w:rsidRPr="006E380E">
        <w:rPr>
          <w:rFonts w:ascii="Garamond" w:eastAsia="Garamond" w:hAnsi="Garamond" w:cs="Garamond"/>
        </w:rPr>
        <w:t>Necessity and proportionality.</w:t>
      </w:r>
    </w:p>
    <w:p w14:paraId="0A4C6AF4" w14:textId="77777777" w:rsidR="006E380E" w:rsidRDefault="006E380E" w:rsidP="006E380E">
      <w:pPr>
        <w:pBdr>
          <w:top w:val="nil"/>
          <w:left w:val="nil"/>
          <w:bottom w:val="nil"/>
          <w:right w:val="nil"/>
          <w:between w:val="nil"/>
        </w:pBdr>
        <w:spacing w:line="276" w:lineRule="auto"/>
        <w:jc w:val="both"/>
        <w:rPr>
          <w:rFonts w:ascii="Garamond" w:eastAsia="Garamond" w:hAnsi="Garamond" w:cs="Garamond"/>
        </w:rPr>
      </w:pPr>
    </w:p>
    <w:p w14:paraId="33684817" w14:textId="58564190" w:rsidR="00837CF9" w:rsidRPr="00837CF9" w:rsidRDefault="00837CF9" w:rsidP="00837CF9">
      <w:pPr>
        <w:pBdr>
          <w:top w:val="nil"/>
          <w:left w:val="nil"/>
          <w:bottom w:val="nil"/>
          <w:right w:val="nil"/>
          <w:between w:val="nil"/>
        </w:pBdr>
        <w:spacing w:line="276" w:lineRule="auto"/>
        <w:rPr>
          <w:rFonts w:ascii="Garamond" w:eastAsia="Garamond" w:hAnsi="Garamond" w:cs="Garamond"/>
        </w:rPr>
      </w:pPr>
      <w:r w:rsidRPr="00837CF9">
        <w:rPr>
          <w:rFonts w:ascii="Garamond" w:eastAsia="Garamond" w:hAnsi="Garamond" w:cs="Garamond"/>
        </w:rPr>
        <w:t xml:space="preserve">Under </w:t>
      </w:r>
      <w:r>
        <w:rPr>
          <w:rFonts w:ascii="Garamond" w:eastAsia="Garamond" w:hAnsi="Garamond" w:cs="Garamond"/>
        </w:rPr>
        <w:t>a</w:t>
      </w:r>
      <w:r w:rsidRPr="00837CF9">
        <w:rPr>
          <w:rFonts w:ascii="Garamond" w:eastAsia="Garamond" w:hAnsi="Garamond" w:cs="Garamond"/>
        </w:rPr>
        <w:t xml:space="preserve">rticle 19(3), necessity and proportionality require that restrictions on expression be </w:t>
      </w:r>
      <w:r>
        <w:rPr>
          <w:rFonts w:ascii="Garamond" w:eastAsia="Garamond" w:hAnsi="Garamond" w:cs="Garamond"/>
        </w:rPr>
        <w:t>necessary</w:t>
      </w:r>
      <w:r w:rsidRPr="00837CF9">
        <w:rPr>
          <w:rFonts w:ascii="Garamond" w:eastAsia="Garamond" w:hAnsi="Garamond" w:cs="Garamond"/>
        </w:rPr>
        <w:t xml:space="preserve"> to achieve their protective purpose</w:t>
      </w:r>
      <w:r>
        <w:rPr>
          <w:rFonts w:ascii="Garamond" w:eastAsia="Garamond" w:hAnsi="Garamond" w:cs="Garamond"/>
        </w:rPr>
        <w:t xml:space="preserve"> while </w:t>
      </w:r>
      <w:r w:rsidRPr="00837CF9">
        <w:rPr>
          <w:rFonts w:ascii="Garamond" w:eastAsia="Garamond" w:hAnsi="Garamond" w:cs="Garamond"/>
        </w:rPr>
        <w:t>be</w:t>
      </w:r>
      <w:r>
        <w:rPr>
          <w:rFonts w:ascii="Garamond" w:eastAsia="Garamond" w:hAnsi="Garamond" w:cs="Garamond"/>
        </w:rPr>
        <w:t xml:space="preserve">ing </w:t>
      </w:r>
      <w:r w:rsidRPr="00837CF9">
        <w:rPr>
          <w:rFonts w:ascii="Garamond" w:eastAsia="Garamond" w:hAnsi="Garamond" w:cs="Garamond"/>
        </w:rPr>
        <w:t>the least intrusive means available</w:t>
      </w:r>
      <w:r>
        <w:rPr>
          <w:rFonts w:ascii="Garamond" w:eastAsia="Garamond" w:hAnsi="Garamond" w:cs="Garamond"/>
        </w:rPr>
        <w:t>.</w:t>
      </w:r>
      <w:r w:rsidRPr="00837CF9">
        <w:rPr>
          <w:rFonts w:ascii="Garamond" w:eastAsia="Garamond" w:hAnsi="Garamond" w:cs="Garamond"/>
        </w:rPr>
        <w:t xml:space="preserve"> The Board emphasized that Meta had a responsibility to identify, prevent, and mitigate adverse human rights impacts, especially during conflicts when risks to vulnerable minorities increased. The Board had</w:t>
      </w:r>
      <w:r>
        <w:rPr>
          <w:rFonts w:ascii="Garamond" w:eastAsia="Garamond" w:hAnsi="Garamond" w:cs="Garamond"/>
        </w:rPr>
        <w:t>,</w:t>
      </w:r>
      <w:r w:rsidRPr="00837CF9">
        <w:rPr>
          <w:rFonts w:ascii="Garamond" w:eastAsia="Garamond" w:hAnsi="Garamond" w:cs="Garamond"/>
        </w:rPr>
        <w:t xml:space="preserve"> in </w:t>
      </w:r>
      <w:hyperlink r:id="rId10" w:history="1">
        <w:r w:rsidRPr="00151766">
          <w:rPr>
            <w:rStyle w:val="Hyperlink"/>
            <w:rFonts w:ascii="Garamond" w:eastAsia="Garamond" w:hAnsi="Garamond" w:cs="Garamond"/>
            <w:i/>
            <w:iCs/>
          </w:rPr>
          <w:t>“</w:t>
        </w:r>
        <w:r w:rsidRPr="00151766">
          <w:rPr>
            <w:rStyle w:val="Hyperlink"/>
            <w:rFonts w:ascii="Garamond" w:eastAsia="Garamond" w:hAnsi="Garamond" w:cs="Garamond"/>
            <w:i/>
            <w:iCs/>
          </w:rPr>
          <w:t>Two Buttons” Meme</w:t>
        </w:r>
      </w:hyperlink>
      <w:r w:rsidRPr="00837CF9">
        <w:rPr>
          <w:rFonts w:ascii="Garamond" w:eastAsia="Garamond" w:hAnsi="Garamond" w:cs="Garamond"/>
        </w:rPr>
        <w:t xml:space="preserve">, </w:t>
      </w:r>
      <w:r w:rsidRPr="00837CF9">
        <w:rPr>
          <w:rFonts w:ascii="Garamond" w:eastAsia="Garamond" w:hAnsi="Garamond" w:cs="Garamond"/>
          <w:i/>
          <w:iCs/>
        </w:rPr>
        <w:t>Haitian Police Station Video</w:t>
      </w:r>
      <w:r w:rsidRPr="00837CF9">
        <w:rPr>
          <w:rFonts w:ascii="Garamond" w:eastAsia="Garamond" w:hAnsi="Garamond" w:cs="Garamond"/>
        </w:rPr>
        <w:t xml:space="preserve"> and </w:t>
      </w:r>
      <w:hyperlink r:id="rId11" w:history="1">
        <w:r w:rsidRPr="00151766">
          <w:rPr>
            <w:rStyle w:val="Hyperlink"/>
            <w:rFonts w:ascii="Garamond" w:eastAsia="Garamond" w:hAnsi="Garamond" w:cs="Garamond"/>
            <w:i/>
            <w:iCs/>
          </w:rPr>
          <w:t>Tigray Communication Affairs Bureau</w:t>
        </w:r>
      </w:hyperlink>
      <w:r w:rsidRPr="00837CF9">
        <w:rPr>
          <w:rFonts w:ascii="Garamond" w:eastAsia="Garamond" w:hAnsi="Garamond" w:cs="Garamond"/>
        </w:rPr>
        <w:t xml:space="preserve"> decisions</w:t>
      </w:r>
      <w:r>
        <w:rPr>
          <w:rFonts w:ascii="Garamond" w:eastAsia="Garamond" w:hAnsi="Garamond" w:cs="Garamond"/>
        </w:rPr>
        <w:t>,</w:t>
      </w:r>
      <w:r w:rsidRPr="00837CF9">
        <w:rPr>
          <w:rFonts w:ascii="Garamond" w:eastAsia="Garamond" w:hAnsi="Garamond" w:cs="Garamond"/>
        </w:rPr>
        <w:t xml:space="preserve"> called for a transparent framework for moderating hate speech in crisis situations. </w:t>
      </w:r>
    </w:p>
    <w:p w14:paraId="42A27638" w14:textId="77777777" w:rsidR="00837CF9" w:rsidRPr="00837CF9" w:rsidRDefault="00837CF9" w:rsidP="00837CF9">
      <w:pPr>
        <w:pBdr>
          <w:top w:val="nil"/>
          <w:left w:val="nil"/>
          <w:bottom w:val="nil"/>
          <w:right w:val="nil"/>
          <w:between w:val="nil"/>
        </w:pBdr>
        <w:spacing w:line="276" w:lineRule="auto"/>
        <w:rPr>
          <w:rFonts w:ascii="Garamond" w:eastAsia="Garamond" w:hAnsi="Garamond" w:cs="Garamond"/>
        </w:rPr>
      </w:pPr>
    </w:p>
    <w:p w14:paraId="6717D664" w14:textId="2E0166A3" w:rsidR="00837CF9" w:rsidRDefault="00837CF9" w:rsidP="00837CF9">
      <w:pPr>
        <w:pBdr>
          <w:top w:val="nil"/>
          <w:left w:val="nil"/>
          <w:bottom w:val="nil"/>
          <w:right w:val="nil"/>
          <w:between w:val="nil"/>
        </w:pBdr>
        <w:spacing w:line="276" w:lineRule="auto"/>
        <w:jc w:val="both"/>
        <w:rPr>
          <w:rFonts w:ascii="Garamond" w:eastAsia="Garamond" w:hAnsi="Garamond" w:cs="Garamond"/>
        </w:rPr>
      </w:pPr>
      <w:r w:rsidRPr="00837CF9">
        <w:rPr>
          <w:rFonts w:ascii="Garamond" w:eastAsia="Garamond" w:hAnsi="Garamond" w:cs="Garamond"/>
        </w:rPr>
        <w:t>In the cases</w:t>
      </w:r>
      <w:r w:rsidR="00151766">
        <w:rPr>
          <w:rFonts w:ascii="Garamond" w:eastAsia="Garamond" w:hAnsi="Garamond" w:cs="Garamond"/>
        </w:rPr>
        <w:t xml:space="preserve"> at hand</w:t>
      </w:r>
      <w:r w:rsidRPr="00837CF9">
        <w:rPr>
          <w:rFonts w:ascii="Garamond" w:eastAsia="Garamond" w:hAnsi="Garamond" w:cs="Garamond"/>
        </w:rPr>
        <w:t xml:space="preserve">, </w:t>
      </w:r>
      <w:proofErr w:type="gramStart"/>
      <w:r w:rsidRPr="00837CF9">
        <w:rPr>
          <w:rFonts w:ascii="Garamond" w:eastAsia="Garamond" w:hAnsi="Garamond" w:cs="Garamond"/>
        </w:rPr>
        <w:t>the majority of</w:t>
      </w:r>
      <w:proofErr w:type="gramEnd"/>
      <w:r w:rsidRPr="00837CF9">
        <w:rPr>
          <w:rFonts w:ascii="Garamond" w:eastAsia="Garamond" w:hAnsi="Garamond" w:cs="Garamond"/>
        </w:rPr>
        <w:t xml:space="preserve"> the Board found that leaving the content up was consistent with the principle of necessity, noting the importance of evaluating content within its specific context. While</w:t>
      </w:r>
      <w:r w:rsidR="00151766">
        <w:rPr>
          <w:rFonts w:ascii="Garamond" w:eastAsia="Garamond" w:hAnsi="Garamond" w:cs="Garamond"/>
        </w:rPr>
        <w:t xml:space="preserve"> “</w:t>
      </w:r>
      <w:r w:rsidRPr="00837CF9">
        <w:rPr>
          <w:rFonts w:ascii="Garamond" w:eastAsia="Garamond" w:hAnsi="Garamond" w:cs="Garamond"/>
        </w:rPr>
        <w:t>From the River to the Sea</w:t>
      </w:r>
      <w:r w:rsidR="00151766">
        <w:rPr>
          <w:rFonts w:ascii="Garamond" w:eastAsia="Garamond" w:hAnsi="Garamond" w:cs="Garamond"/>
        </w:rPr>
        <w:t>”</w:t>
      </w:r>
      <w:r w:rsidRPr="00837CF9">
        <w:rPr>
          <w:rFonts w:ascii="Garamond" w:eastAsia="Garamond" w:hAnsi="Garamond" w:cs="Garamond"/>
        </w:rPr>
        <w:t xml:space="preserve"> could be used to incite violence or support Hamas, the phrase itself, especially when part of political speech, could not be universally understood as a call for violence or exclusion without further context. The Board also urged Meta to invest more resources in understanding the links between online content and offline harm.</w:t>
      </w:r>
    </w:p>
    <w:p w14:paraId="42318442" w14:textId="77777777" w:rsidR="00151766" w:rsidRDefault="00151766" w:rsidP="00837CF9">
      <w:pPr>
        <w:pBdr>
          <w:top w:val="nil"/>
          <w:left w:val="nil"/>
          <w:bottom w:val="nil"/>
          <w:right w:val="nil"/>
          <w:between w:val="nil"/>
        </w:pBdr>
        <w:spacing w:line="276" w:lineRule="auto"/>
        <w:jc w:val="both"/>
        <w:rPr>
          <w:rFonts w:ascii="Garamond" w:eastAsia="Garamond" w:hAnsi="Garamond" w:cs="Garamond"/>
        </w:rPr>
      </w:pPr>
    </w:p>
    <w:p w14:paraId="546D00A2" w14:textId="008300D3" w:rsidR="00151766" w:rsidRDefault="00BC1340" w:rsidP="00BC1340">
      <w:pPr>
        <w:pBdr>
          <w:top w:val="nil"/>
          <w:left w:val="nil"/>
          <w:bottom w:val="nil"/>
          <w:right w:val="nil"/>
          <w:between w:val="nil"/>
        </w:pBdr>
        <w:spacing w:line="276" w:lineRule="auto"/>
        <w:jc w:val="both"/>
        <w:rPr>
          <w:rFonts w:ascii="Garamond" w:eastAsia="Garamond" w:hAnsi="Garamond" w:cs="Garamond"/>
        </w:rPr>
      </w:pPr>
      <w:r w:rsidRPr="00BC1340">
        <w:rPr>
          <w:rFonts w:ascii="Garamond" w:eastAsia="Garamond" w:hAnsi="Garamond" w:cs="Garamond"/>
        </w:rPr>
        <w:t>As part of its analysis, the Board used the six factors from the Rabat Plan of Action</w:t>
      </w:r>
      <w:r>
        <w:rPr>
          <w:rFonts w:ascii="Garamond" w:eastAsia="Garamond" w:hAnsi="Garamond" w:cs="Garamond"/>
        </w:rPr>
        <w:t xml:space="preserve">, which examine the </w:t>
      </w:r>
      <w:r w:rsidRPr="00BC1340">
        <w:rPr>
          <w:rFonts w:ascii="Garamond" w:eastAsia="Garamond" w:hAnsi="Garamond" w:cs="Garamond"/>
        </w:rPr>
        <w:t>context of the statement, speaker's status, intent to incite, content and form of expression, extent of dissemination, and likelihood of harm</w:t>
      </w:r>
      <w:r>
        <w:rPr>
          <w:rFonts w:ascii="Garamond" w:eastAsia="Garamond" w:hAnsi="Garamond" w:cs="Garamond"/>
        </w:rPr>
        <w:t xml:space="preserve">, </w:t>
      </w:r>
      <w:r w:rsidRPr="00BC1340">
        <w:rPr>
          <w:rFonts w:ascii="Garamond" w:eastAsia="Garamond" w:hAnsi="Garamond" w:cs="Garamond"/>
        </w:rPr>
        <w:t xml:space="preserve">to assess whether the content in these cases, and the standalone phrase "From the River to the Sea," posed a serious risk of inciting discrimination, violence, or other harmful actions. The Rabat factors were designed to evaluate when advocacy of national, racial, or religious hatred leads to incitement, and the Board had previously applied them in the </w:t>
      </w:r>
      <w:hyperlink r:id="rId12" w:history="1">
        <w:r w:rsidRPr="00BC1340">
          <w:rPr>
            <w:rStyle w:val="Hyperlink"/>
            <w:rFonts w:ascii="Garamond" w:eastAsia="Garamond" w:hAnsi="Garamond" w:cs="Garamond"/>
            <w:i/>
            <w:iCs/>
          </w:rPr>
          <w:t>Knin Cartoon</w:t>
        </w:r>
      </w:hyperlink>
      <w:r w:rsidRPr="00BC1340">
        <w:rPr>
          <w:rFonts w:ascii="Garamond" w:eastAsia="Garamond" w:hAnsi="Garamond" w:cs="Garamond"/>
        </w:rPr>
        <w:t xml:space="preserve"> decision.</w:t>
      </w:r>
    </w:p>
    <w:p w14:paraId="2AF93BC2" w14:textId="77777777" w:rsidR="00BC1340" w:rsidRDefault="00BC1340" w:rsidP="00BC1340">
      <w:pPr>
        <w:pBdr>
          <w:top w:val="nil"/>
          <w:left w:val="nil"/>
          <w:bottom w:val="nil"/>
          <w:right w:val="nil"/>
          <w:between w:val="nil"/>
        </w:pBdr>
        <w:spacing w:line="276" w:lineRule="auto"/>
        <w:jc w:val="both"/>
        <w:rPr>
          <w:rFonts w:ascii="Garamond" w:eastAsia="Garamond" w:hAnsi="Garamond" w:cs="Garamond"/>
        </w:rPr>
      </w:pPr>
    </w:p>
    <w:p w14:paraId="7594445A" w14:textId="18CDDBDA" w:rsidR="00BC1340" w:rsidRDefault="00BC1340" w:rsidP="00BC1340">
      <w:pPr>
        <w:pBdr>
          <w:top w:val="nil"/>
          <w:left w:val="nil"/>
          <w:bottom w:val="nil"/>
          <w:right w:val="nil"/>
          <w:between w:val="nil"/>
        </w:pBdr>
        <w:spacing w:line="276" w:lineRule="auto"/>
        <w:jc w:val="both"/>
        <w:rPr>
          <w:rFonts w:ascii="Garamond" w:eastAsia="Garamond" w:hAnsi="Garamond" w:cs="Garamond"/>
          <w:i/>
          <w:iCs/>
        </w:rPr>
      </w:pPr>
      <w:r>
        <w:rPr>
          <w:rFonts w:ascii="Garamond" w:eastAsia="Garamond" w:hAnsi="Garamond" w:cs="Garamond"/>
          <w:i/>
          <w:iCs/>
        </w:rPr>
        <w:t>Context</w:t>
      </w:r>
    </w:p>
    <w:p w14:paraId="128652E6" w14:textId="77777777" w:rsidR="00BC1340" w:rsidRDefault="00BC1340" w:rsidP="00BC1340">
      <w:pPr>
        <w:pBdr>
          <w:top w:val="nil"/>
          <w:left w:val="nil"/>
          <w:bottom w:val="nil"/>
          <w:right w:val="nil"/>
          <w:between w:val="nil"/>
        </w:pBdr>
        <w:spacing w:line="276" w:lineRule="auto"/>
        <w:jc w:val="both"/>
        <w:rPr>
          <w:rFonts w:ascii="Garamond" w:eastAsia="Garamond" w:hAnsi="Garamond" w:cs="Garamond"/>
          <w:i/>
          <w:iCs/>
        </w:rPr>
      </w:pPr>
    </w:p>
    <w:p w14:paraId="3B72BA90" w14:textId="47324413" w:rsidR="00BC1340" w:rsidRPr="00BC1340" w:rsidRDefault="00BC1340" w:rsidP="00BC1340">
      <w:pPr>
        <w:pBdr>
          <w:top w:val="nil"/>
          <w:left w:val="nil"/>
          <w:bottom w:val="nil"/>
          <w:right w:val="nil"/>
          <w:between w:val="nil"/>
        </w:pBdr>
        <w:spacing w:line="276" w:lineRule="auto"/>
        <w:rPr>
          <w:rFonts w:ascii="Garamond" w:eastAsia="Garamond" w:hAnsi="Garamond" w:cs="Garamond"/>
        </w:rPr>
      </w:pPr>
      <w:r w:rsidRPr="00BC1340">
        <w:rPr>
          <w:rFonts w:ascii="Garamond" w:eastAsia="Garamond" w:hAnsi="Garamond" w:cs="Garamond"/>
        </w:rPr>
        <w:t>The</w:t>
      </w:r>
      <w:r>
        <w:rPr>
          <w:rFonts w:ascii="Garamond" w:eastAsia="Garamond" w:hAnsi="Garamond" w:cs="Garamond"/>
        </w:rPr>
        <w:t xml:space="preserve"> Board noted</w:t>
      </w:r>
      <w:r w:rsidRPr="00BC1340">
        <w:rPr>
          <w:rFonts w:ascii="Garamond" w:eastAsia="Garamond" w:hAnsi="Garamond" w:cs="Garamond"/>
        </w:rPr>
        <w:t xml:space="preserve"> content in these three cases, as well as the broader use of the phrase, responded to an ongoing conflict with significant global and regional consequences. All three pieces of content were posted soon after the October 7 attacks, during Israel's ground offensive in Gaza. </w:t>
      </w:r>
      <w:r>
        <w:rPr>
          <w:rFonts w:ascii="Garamond" w:eastAsia="Garamond" w:hAnsi="Garamond" w:cs="Garamond"/>
        </w:rPr>
        <w:t>The Board concluded t</w:t>
      </w:r>
      <w:r w:rsidRPr="00BC1340">
        <w:rPr>
          <w:rFonts w:ascii="Garamond" w:eastAsia="Garamond" w:hAnsi="Garamond" w:cs="Garamond"/>
        </w:rPr>
        <w:t xml:space="preserve">he users appeared to be drawing attention to the suffering of the Palestinian people or condemning Israeli military actions. </w:t>
      </w:r>
      <w:r>
        <w:rPr>
          <w:rFonts w:ascii="Garamond" w:eastAsia="Garamond" w:hAnsi="Garamond" w:cs="Garamond"/>
        </w:rPr>
        <w:t>The Board highlighted that t</w:t>
      </w:r>
      <w:r w:rsidRPr="00BC1340">
        <w:rPr>
          <w:rFonts w:ascii="Garamond" w:eastAsia="Garamond" w:hAnsi="Garamond" w:cs="Garamond"/>
        </w:rPr>
        <w:t>he public debate on Israel’s actions in Gaza, including their legitimacy, had been part of legal processes before the International Court of Justice and the International Criminal Court.</w:t>
      </w:r>
    </w:p>
    <w:p w14:paraId="3B6BE9F9" w14:textId="77777777" w:rsidR="00BC1340" w:rsidRPr="00BC1340" w:rsidRDefault="00BC1340" w:rsidP="00BC1340">
      <w:pPr>
        <w:pBdr>
          <w:top w:val="nil"/>
          <w:left w:val="nil"/>
          <w:bottom w:val="nil"/>
          <w:right w:val="nil"/>
          <w:between w:val="nil"/>
        </w:pBdr>
        <w:spacing w:line="276" w:lineRule="auto"/>
        <w:rPr>
          <w:rFonts w:ascii="Garamond" w:eastAsia="Garamond" w:hAnsi="Garamond" w:cs="Garamond"/>
        </w:rPr>
      </w:pPr>
    </w:p>
    <w:p w14:paraId="35FBD01F" w14:textId="14056EC2" w:rsidR="00BC1340" w:rsidRPr="00BC1340" w:rsidRDefault="00A82E8B" w:rsidP="00BC1340">
      <w:pPr>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 xml:space="preserve">The Board stressed </w:t>
      </w:r>
      <w:r w:rsidR="00BC1340" w:rsidRPr="00BC1340">
        <w:rPr>
          <w:rFonts w:ascii="Garamond" w:eastAsia="Garamond" w:hAnsi="Garamond" w:cs="Garamond"/>
        </w:rPr>
        <w:t xml:space="preserve">he phrase </w:t>
      </w:r>
      <w:r>
        <w:rPr>
          <w:rFonts w:ascii="Garamond" w:eastAsia="Garamond" w:hAnsi="Garamond" w:cs="Garamond"/>
        </w:rPr>
        <w:t>“</w:t>
      </w:r>
      <w:r w:rsidR="00BC1340" w:rsidRPr="00BC1340">
        <w:rPr>
          <w:rFonts w:ascii="Garamond" w:eastAsia="Garamond" w:hAnsi="Garamond" w:cs="Garamond"/>
        </w:rPr>
        <w:t>From the River to the Sea</w:t>
      </w:r>
      <w:r>
        <w:rPr>
          <w:rFonts w:ascii="Garamond" w:eastAsia="Garamond" w:hAnsi="Garamond" w:cs="Garamond"/>
        </w:rPr>
        <w:t>”</w:t>
      </w:r>
      <w:r w:rsidR="00BC1340" w:rsidRPr="00BC1340">
        <w:rPr>
          <w:rFonts w:ascii="Garamond" w:eastAsia="Garamond" w:hAnsi="Garamond" w:cs="Garamond"/>
        </w:rPr>
        <w:t xml:space="preserve"> carried different interpretations, influenced by the evolving conflict. </w:t>
      </w:r>
      <w:r>
        <w:rPr>
          <w:rFonts w:ascii="Garamond" w:eastAsia="Garamond" w:hAnsi="Garamond" w:cs="Garamond"/>
        </w:rPr>
        <w:t>The Board recognized that whil</w:t>
      </w:r>
      <w:r w:rsidR="00BC1340" w:rsidRPr="00BC1340">
        <w:rPr>
          <w:rFonts w:ascii="Garamond" w:eastAsia="Garamond" w:hAnsi="Garamond" w:cs="Garamond"/>
        </w:rPr>
        <w:t xml:space="preserve">e some used it to endorse Hamas and violence, others invoked it to support Palestinian self-determination and equal rights, or to call for a ceasefire. </w:t>
      </w:r>
      <w:r>
        <w:rPr>
          <w:rFonts w:ascii="Garamond" w:eastAsia="Garamond" w:hAnsi="Garamond" w:cs="Garamond"/>
        </w:rPr>
        <w:t xml:space="preserve">The Board underscored that there has been </w:t>
      </w:r>
      <w:r w:rsidR="00BC1340" w:rsidRPr="00BC1340">
        <w:rPr>
          <w:rFonts w:ascii="Garamond" w:eastAsia="Garamond" w:hAnsi="Garamond" w:cs="Garamond"/>
        </w:rPr>
        <w:t>a surge in dangerous and discriminatory rhetoric targeting various groups, including Arabs, Israelis, Jews, Muslims, and Palestinians.</w:t>
      </w:r>
    </w:p>
    <w:p w14:paraId="186C06DD" w14:textId="77777777" w:rsidR="00BC1340" w:rsidRPr="00BC1340" w:rsidRDefault="00BC1340" w:rsidP="00BC1340">
      <w:pPr>
        <w:pBdr>
          <w:top w:val="nil"/>
          <w:left w:val="nil"/>
          <w:bottom w:val="nil"/>
          <w:right w:val="nil"/>
          <w:between w:val="nil"/>
        </w:pBdr>
        <w:spacing w:line="276" w:lineRule="auto"/>
        <w:rPr>
          <w:rFonts w:ascii="Garamond" w:eastAsia="Garamond" w:hAnsi="Garamond" w:cs="Garamond"/>
        </w:rPr>
      </w:pPr>
    </w:p>
    <w:p w14:paraId="5EB88F68" w14:textId="083162B8" w:rsidR="00BC1340" w:rsidRDefault="00BC1340" w:rsidP="00BC1340">
      <w:pPr>
        <w:pBdr>
          <w:top w:val="nil"/>
          <w:left w:val="nil"/>
          <w:bottom w:val="nil"/>
          <w:right w:val="nil"/>
          <w:between w:val="nil"/>
        </w:pBdr>
        <w:spacing w:line="276" w:lineRule="auto"/>
        <w:jc w:val="both"/>
        <w:rPr>
          <w:rFonts w:ascii="Garamond" w:eastAsia="Garamond" w:hAnsi="Garamond" w:cs="Garamond"/>
        </w:rPr>
      </w:pPr>
      <w:r w:rsidRPr="00BC1340">
        <w:rPr>
          <w:rFonts w:ascii="Garamond" w:eastAsia="Garamond" w:hAnsi="Garamond" w:cs="Garamond"/>
        </w:rPr>
        <w:t xml:space="preserve">The Board highlighted that while content advocating violence could be removed based on context, a blanket ban on the phrase would be inappropriate, as it has multiple meanings. </w:t>
      </w:r>
      <w:r w:rsidR="00A82E8B">
        <w:rPr>
          <w:rFonts w:ascii="Garamond" w:eastAsia="Garamond" w:hAnsi="Garamond" w:cs="Garamond"/>
        </w:rPr>
        <w:t>The Board noted that M</w:t>
      </w:r>
      <w:r w:rsidRPr="00BC1340">
        <w:rPr>
          <w:rFonts w:ascii="Garamond" w:eastAsia="Garamond" w:hAnsi="Garamond" w:cs="Garamond"/>
        </w:rPr>
        <w:t xml:space="preserve">eta's use of aggressive automated tools during the conflict raised concerns about over-censorship of political speech on matters of public </w:t>
      </w:r>
      <w:r w:rsidRPr="00BC1340">
        <w:rPr>
          <w:rFonts w:ascii="Garamond" w:eastAsia="Garamond" w:hAnsi="Garamond" w:cs="Garamond"/>
        </w:rPr>
        <w:lastRenderedPageBreak/>
        <w:t xml:space="preserve">concern. The Board also acknowledged the role of the phrase in pro-Palestinian protests and emphasized the importance of protecting the rights to peaceful assembly and association, especially in conflict settings. </w:t>
      </w:r>
    </w:p>
    <w:p w14:paraId="769D2BAE" w14:textId="77777777" w:rsidR="00A82E8B" w:rsidRDefault="00A82E8B" w:rsidP="00BC1340">
      <w:pPr>
        <w:pBdr>
          <w:top w:val="nil"/>
          <w:left w:val="nil"/>
          <w:bottom w:val="nil"/>
          <w:right w:val="nil"/>
          <w:between w:val="nil"/>
        </w:pBdr>
        <w:spacing w:line="276" w:lineRule="auto"/>
        <w:jc w:val="both"/>
        <w:rPr>
          <w:rFonts w:ascii="Garamond" w:eastAsia="Garamond" w:hAnsi="Garamond" w:cs="Garamond"/>
        </w:rPr>
      </w:pPr>
    </w:p>
    <w:p w14:paraId="0399E605" w14:textId="3A5C71D5" w:rsidR="00A82E8B" w:rsidRDefault="00A82E8B" w:rsidP="00A82E8B">
      <w:pPr>
        <w:pBdr>
          <w:top w:val="nil"/>
          <w:left w:val="nil"/>
          <w:bottom w:val="nil"/>
          <w:right w:val="nil"/>
          <w:between w:val="nil"/>
        </w:pBdr>
        <w:spacing w:line="276" w:lineRule="auto"/>
        <w:jc w:val="both"/>
        <w:rPr>
          <w:rFonts w:ascii="Garamond" w:eastAsia="Garamond" w:hAnsi="Garamond" w:cs="Garamond"/>
          <w:i/>
          <w:iCs/>
        </w:rPr>
      </w:pPr>
      <w:r w:rsidRPr="00A82E8B">
        <w:rPr>
          <w:rFonts w:ascii="Garamond" w:eastAsia="Garamond" w:hAnsi="Garamond" w:cs="Garamond"/>
          <w:i/>
          <w:iCs/>
        </w:rPr>
        <w:t>Identity of the Speaker</w:t>
      </w:r>
    </w:p>
    <w:p w14:paraId="68E83DB0" w14:textId="77777777" w:rsidR="00A82E8B" w:rsidRDefault="00A82E8B" w:rsidP="00A82E8B">
      <w:pPr>
        <w:pBdr>
          <w:top w:val="nil"/>
          <w:left w:val="nil"/>
          <w:bottom w:val="nil"/>
          <w:right w:val="nil"/>
          <w:between w:val="nil"/>
        </w:pBdr>
        <w:spacing w:line="276" w:lineRule="auto"/>
        <w:jc w:val="both"/>
        <w:rPr>
          <w:rFonts w:ascii="Garamond" w:eastAsia="Garamond" w:hAnsi="Garamond" w:cs="Garamond"/>
          <w:i/>
          <w:iCs/>
        </w:rPr>
      </w:pPr>
    </w:p>
    <w:p w14:paraId="2260B109" w14:textId="7D23C662" w:rsidR="00A82E8B" w:rsidRDefault="009C38DA" w:rsidP="009C38DA">
      <w:p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The Board noted that t</w:t>
      </w:r>
      <w:r w:rsidRPr="009C38DA">
        <w:rPr>
          <w:rFonts w:ascii="Garamond" w:eastAsia="Garamond" w:hAnsi="Garamond" w:cs="Garamond"/>
        </w:rPr>
        <w:t>here was no indication that the users who posted the content in these three cases, or the pages where the posts were shared, showed support for designated organizations such as Hamas, or for discrimination and exclusion.</w:t>
      </w:r>
    </w:p>
    <w:p w14:paraId="734AFE03" w14:textId="77777777" w:rsidR="009C38DA" w:rsidRDefault="009C38DA" w:rsidP="009C38DA">
      <w:pPr>
        <w:pBdr>
          <w:top w:val="nil"/>
          <w:left w:val="nil"/>
          <w:bottom w:val="nil"/>
          <w:right w:val="nil"/>
          <w:between w:val="nil"/>
        </w:pBdr>
        <w:spacing w:line="276" w:lineRule="auto"/>
        <w:jc w:val="both"/>
        <w:rPr>
          <w:rFonts w:ascii="Garamond" w:eastAsia="Garamond" w:hAnsi="Garamond" w:cs="Garamond"/>
        </w:rPr>
      </w:pPr>
    </w:p>
    <w:p w14:paraId="5296EDE0" w14:textId="64D241BF" w:rsidR="009C38DA" w:rsidRDefault="009C38DA" w:rsidP="009C38DA">
      <w:pPr>
        <w:pBdr>
          <w:top w:val="nil"/>
          <w:left w:val="nil"/>
          <w:bottom w:val="nil"/>
          <w:right w:val="nil"/>
          <w:between w:val="nil"/>
        </w:pBdr>
        <w:spacing w:line="276" w:lineRule="auto"/>
        <w:jc w:val="both"/>
        <w:rPr>
          <w:rFonts w:ascii="Garamond" w:eastAsia="Garamond" w:hAnsi="Garamond" w:cs="Garamond"/>
          <w:i/>
          <w:iCs/>
        </w:rPr>
      </w:pPr>
      <w:r w:rsidRPr="009C38DA">
        <w:rPr>
          <w:rFonts w:ascii="Garamond" w:eastAsia="Garamond" w:hAnsi="Garamond" w:cs="Garamond"/>
          <w:i/>
          <w:iCs/>
        </w:rPr>
        <w:t>Intent, Content and Form of Expression</w:t>
      </w:r>
      <w:r>
        <w:rPr>
          <w:rFonts w:ascii="Garamond" w:eastAsia="Garamond" w:hAnsi="Garamond" w:cs="Garamond"/>
          <w:i/>
          <w:iCs/>
        </w:rPr>
        <w:t xml:space="preserve"> </w:t>
      </w:r>
    </w:p>
    <w:p w14:paraId="07A0CD88" w14:textId="77777777" w:rsidR="009C38DA" w:rsidRDefault="009C38DA" w:rsidP="009C38DA">
      <w:pPr>
        <w:pBdr>
          <w:top w:val="nil"/>
          <w:left w:val="nil"/>
          <w:bottom w:val="nil"/>
          <w:right w:val="nil"/>
          <w:between w:val="nil"/>
        </w:pBdr>
        <w:spacing w:line="276" w:lineRule="auto"/>
        <w:jc w:val="both"/>
        <w:rPr>
          <w:rFonts w:ascii="Garamond" w:eastAsia="Garamond" w:hAnsi="Garamond" w:cs="Garamond"/>
          <w:i/>
          <w:iCs/>
        </w:rPr>
      </w:pPr>
    </w:p>
    <w:p w14:paraId="095A0B08" w14:textId="17BB8AF4" w:rsidR="009C38DA" w:rsidRDefault="009C38DA" w:rsidP="009C38DA">
      <w:pPr>
        <w:pBdr>
          <w:top w:val="nil"/>
          <w:left w:val="nil"/>
          <w:bottom w:val="nil"/>
          <w:right w:val="nil"/>
          <w:between w:val="nil"/>
        </w:pBdr>
        <w:spacing w:line="276" w:lineRule="auto"/>
        <w:jc w:val="both"/>
        <w:rPr>
          <w:rFonts w:ascii="Garamond" w:eastAsia="Garamond" w:hAnsi="Garamond" w:cs="Garamond"/>
        </w:rPr>
      </w:pPr>
      <w:r w:rsidRPr="009C38DA">
        <w:rPr>
          <w:rFonts w:ascii="Garamond" w:eastAsia="Garamond" w:hAnsi="Garamond" w:cs="Garamond"/>
        </w:rPr>
        <w:t xml:space="preserve">The Board found that the three pieces of content under review did not show intent to incite discrimination or violence, advocate for the exclusion of a group, or support designated entities or their actions. </w:t>
      </w:r>
      <w:r>
        <w:rPr>
          <w:rFonts w:ascii="Garamond" w:eastAsia="Garamond" w:hAnsi="Garamond" w:cs="Garamond"/>
        </w:rPr>
        <w:t>The Board acknowledged that t</w:t>
      </w:r>
      <w:r w:rsidRPr="009C38DA">
        <w:rPr>
          <w:rFonts w:ascii="Garamond" w:eastAsia="Garamond" w:hAnsi="Garamond" w:cs="Garamond"/>
        </w:rPr>
        <w:t xml:space="preserve">he phrase </w:t>
      </w:r>
      <w:r>
        <w:rPr>
          <w:rFonts w:ascii="Garamond" w:eastAsia="Garamond" w:hAnsi="Garamond" w:cs="Garamond"/>
        </w:rPr>
        <w:t>“</w:t>
      </w:r>
      <w:r w:rsidRPr="009C38DA">
        <w:rPr>
          <w:rFonts w:ascii="Garamond" w:eastAsia="Garamond" w:hAnsi="Garamond" w:cs="Garamond"/>
        </w:rPr>
        <w:t>From the River to the Sea</w:t>
      </w:r>
      <w:r>
        <w:rPr>
          <w:rFonts w:ascii="Garamond" w:eastAsia="Garamond" w:hAnsi="Garamond" w:cs="Garamond"/>
        </w:rPr>
        <w:t>”</w:t>
      </w:r>
      <w:r w:rsidRPr="009C38DA">
        <w:rPr>
          <w:rFonts w:ascii="Garamond" w:eastAsia="Garamond" w:hAnsi="Garamond" w:cs="Garamond"/>
        </w:rPr>
        <w:t xml:space="preserve"> spread quickly after the October 7 attacks and Israel’s military operations in Gaza, with varying meanings and intentions. Research commissioned by the Board indicated a significant rise in the use of the phrase on Meta’s platforms after October 7, particularly in response to the humanitarian crisis in Gaza. Experts noted that Meta appeared to remove content with the phrase when accompanied by explicit signals of violence or discrimination. The research</w:t>
      </w:r>
      <w:r>
        <w:rPr>
          <w:rFonts w:ascii="Garamond" w:eastAsia="Garamond" w:hAnsi="Garamond" w:cs="Garamond"/>
        </w:rPr>
        <w:t xml:space="preserve"> further </w:t>
      </w:r>
      <w:r w:rsidRPr="009C38DA">
        <w:rPr>
          <w:rFonts w:ascii="Garamond" w:eastAsia="Garamond" w:hAnsi="Garamond" w:cs="Garamond"/>
        </w:rPr>
        <w:t>showed that most posts using the phrase raised awareness about the war’s impact on Palestinians or called for a ceasefire. However, Meta did not provide data on removed content or conduct comprehensive research on the phrase's prevalence. The Board recognized that the phrase could still be used to incite violence or exclusion, but more data was needed to fully assess the nature and prevalence of such content removed from Meta’s platforms.</w:t>
      </w:r>
    </w:p>
    <w:p w14:paraId="591F1F58" w14:textId="77777777" w:rsidR="009C38DA" w:rsidRDefault="009C38DA" w:rsidP="009C38DA">
      <w:pPr>
        <w:pBdr>
          <w:top w:val="nil"/>
          <w:left w:val="nil"/>
          <w:bottom w:val="nil"/>
          <w:right w:val="nil"/>
          <w:between w:val="nil"/>
        </w:pBdr>
        <w:spacing w:line="276" w:lineRule="auto"/>
        <w:jc w:val="both"/>
        <w:rPr>
          <w:rFonts w:ascii="Garamond" w:eastAsia="Garamond" w:hAnsi="Garamond" w:cs="Garamond"/>
        </w:rPr>
      </w:pPr>
    </w:p>
    <w:p w14:paraId="68ECC8F8" w14:textId="3D943239" w:rsidR="009C38DA" w:rsidRDefault="009C38DA" w:rsidP="009C38DA">
      <w:pPr>
        <w:pBdr>
          <w:top w:val="nil"/>
          <w:left w:val="nil"/>
          <w:bottom w:val="nil"/>
          <w:right w:val="nil"/>
          <w:between w:val="nil"/>
        </w:pBdr>
        <w:spacing w:line="276" w:lineRule="auto"/>
        <w:jc w:val="both"/>
        <w:rPr>
          <w:rFonts w:ascii="Garamond" w:eastAsia="Garamond" w:hAnsi="Garamond" w:cs="Garamond"/>
          <w:i/>
          <w:iCs/>
        </w:rPr>
      </w:pPr>
      <w:r w:rsidRPr="009C38DA">
        <w:rPr>
          <w:rFonts w:ascii="Garamond" w:eastAsia="Garamond" w:hAnsi="Garamond" w:cs="Garamond"/>
          <w:i/>
          <w:iCs/>
        </w:rPr>
        <w:t>Likelihood and Imminence and Reach</w:t>
      </w:r>
    </w:p>
    <w:p w14:paraId="25F3990E" w14:textId="77777777" w:rsidR="009C38DA" w:rsidRDefault="009C38DA" w:rsidP="009C38DA">
      <w:pPr>
        <w:pBdr>
          <w:top w:val="nil"/>
          <w:left w:val="nil"/>
          <w:bottom w:val="nil"/>
          <w:right w:val="nil"/>
          <w:between w:val="nil"/>
        </w:pBdr>
        <w:spacing w:line="276" w:lineRule="auto"/>
        <w:jc w:val="both"/>
        <w:rPr>
          <w:rFonts w:ascii="Garamond" w:eastAsia="Garamond" w:hAnsi="Garamond" w:cs="Garamond"/>
          <w:i/>
          <w:iCs/>
        </w:rPr>
      </w:pPr>
    </w:p>
    <w:p w14:paraId="55D1E971" w14:textId="0B59BB86" w:rsidR="00243967" w:rsidRPr="00243967" w:rsidRDefault="00243967" w:rsidP="00243967">
      <w:pPr>
        <w:pBdr>
          <w:top w:val="nil"/>
          <w:left w:val="nil"/>
          <w:bottom w:val="nil"/>
          <w:right w:val="nil"/>
          <w:between w:val="nil"/>
        </w:pBdr>
        <w:spacing w:line="276" w:lineRule="auto"/>
        <w:rPr>
          <w:rFonts w:ascii="Garamond" w:eastAsia="Garamond" w:hAnsi="Garamond" w:cs="Garamond"/>
        </w:rPr>
      </w:pPr>
      <w:r w:rsidRPr="00243967">
        <w:rPr>
          <w:rFonts w:ascii="Garamond" w:eastAsia="Garamond" w:hAnsi="Garamond" w:cs="Garamond"/>
        </w:rPr>
        <w:t xml:space="preserve">The Board found that none of the content in these three cases posed a likelihood or risk of imminent violence or discrimination. Due to the phrase </w:t>
      </w:r>
      <w:r>
        <w:rPr>
          <w:rFonts w:ascii="Garamond" w:eastAsia="Garamond" w:hAnsi="Garamond" w:cs="Garamond"/>
        </w:rPr>
        <w:t>“</w:t>
      </w:r>
      <w:r w:rsidRPr="00243967">
        <w:rPr>
          <w:rFonts w:ascii="Garamond" w:eastAsia="Garamond" w:hAnsi="Garamond" w:cs="Garamond"/>
        </w:rPr>
        <w:t>From the River to the Sea</w:t>
      </w:r>
      <w:r>
        <w:rPr>
          <w:rFonts w:ascii="Garamond" w:eastAsia="Garamond" w:hAnsi="Garamond" w:cs="Garamond"/>
        </w:rPr>
        <w:t>”</w:t>
      </w:r>
      <w:r w:rsidRPr="00243967">
        <w:rPr>
          <w:rFonts w:ascii="Garamond" w:eastAsia="Garamond" w:hAnsi="Garamond" w:cs="Garamond"/>
        </w:rPr>
        <w:t xml:space="preserve"> having multiple meanings, </w:t>
      </w:r>
      <w:proofErr w:type="gramStart"/>
      <w:r w:rsidRPr="00243967">
        <w:rPr>
          <w:rFonts w:ascii="Garamond" w:eastAsia="Garamond" w:hAnsi="Garamond" w:cs="Garamond"/>
        </w:rPr>
        <w:t>the majority of</w:t>
      </w:r>
      <w:proofErr w:type="gramEnd"/>
      <w:r w:rsidRPr="00243967">
        <w:rPr>
          <w:rFonts w:ascii="Garamond" w:eastAsia="Garamond" w:hAnsi="Garamond" w:cs="Garamond"/>
        </w:rPr>
        <w:t xml:space="preserve"> the Board determined it could not be inherently understood as harmful, violent, or discriminatory in all contexts. While the phrase could be used with threatening language or to celebrate violence, the Board emphasized that Meta's human rights responsibilities required a balanced approach, respecting the voices of communities affected by violence.</w:t>
      </w:r>
    </w:p>
    <w:p w14:paraId="70F588DC" w14:textId="77777777" w:rsidR="00243967" w:rsidRPr="00243967" w:rsidRDefault="00243967" w:rsidP="00243967">
      <w:pPr>
        <w:pBdr>
          <w:top w:val="nil"/>
          <w:left w:val="nil"/>
          <w:bottom w:val="nil"/>
          <w:right w:val="nil"/>
          <w:between w:val="nil"/>
        </w:pBdr>
        <w:spacing w:line="276" w:lineRule="auto"/>
        <w:rPr>
          <w:rFonts w:ascii="Garamond" w:eastAsia="Garamond" w:hAnsi="Garamond" w:cs="Garamond"/>
        </w:rPr>
      </w:pPr>
    </w:p>
    <w:p w14:paraId="169066F2" w14:textId="33C98080" w:rsidR="00243967" w:rsidRPr="00243967" w:rsidRDefault="00243967" w:rsidP="00243967">
      <w:pPr>
        <w:pBdr>
          <w:top w:val="nil"/>
          <w:left w:val="nil"/>
          <w:bottom w:val="nil"/>
          <w:right w:val="nil"/>
          <w:between w:val="nil"/>
        </w:pBdr>
        <w:spacing w:line="276" w:lineRule="auto"/>
        <w:rPr>
          <w:rFonts w:ascii="Garamond" w:eastAsia="Garamond" w:hAnsi="Garamond" w:cs="Garamond"/>
        </w:rPr>
      </w:pPr>
      <w:r w:rsidRPr="00243967">
        <w:rPr>
          <w:rFonts w:ascii="Garamond" w:eastAsia="Garamond" w:hAnsi="Garamond" w:cs="Garamond"/>
        </w:rPr>
        <w:t xml:space="preserve">The Board also highlighted the risk of removing content that raised awareness about the suffering of Palestinians or the dehumanization of individuals during military campaigns. </w:t>
      </w:r>
      <w:r>
        <w:rPr>
          <w:rFonts w:ascii="Garamond" w:eastAsia="Garamond" w:hAnsi="Garamond" w:cs="Garamond"/>
        </w:rPr>
        <w:t xml:space="preserve">The Board underlined that </w:t>
      </w:r>
      <w:r w:rsidRPr="00243967">
        <w:rPr>
          <w:rFonts w:ascii="Garamond" w:eastAsia="Garamond" w:hAnsi="Garamond" w:cs="Garamond"/>
        </w:rPr>
        <w:t>Meta's platforms served as crucial tools for documenting events in Gaza, mobilizing international support, countering rising antisemitism and Islamophobia, and providing education. The Board</w:t>
      </w:r>
      <w:r>
        <w:rPr>
          <w:rFonts w:ascii="Garamond" w:eastAsia="Garamond" w:hAnsi="Garamond" w:cs="Garamond"/>
        </w:rPr>
        <w:t xml:space="preserve"> emphasized</w:t>
      </w:r>
      <w:r w:rsidRPr="00243967">
        <w:rPr>
          <w:rFonts w:ascii="Garamond" w:eastAsia="Garamond" w:hAnsi="Garamond" w:cs="Garamond"/>
        </w:rPr>
        <w:t xml:space="preserve"> the importance of ensuring these functions could be carried out in a safe and respectful environment.</w:t>
      </w:r>
    </w:p>
    <w:p w14:paraId="3CCA1187" w14:textId="77777777" w:rsidR="00243967" w:rsidRPr="00243967" w:rsidRDefault="00243967" w:rsidP="00243967">
      <w:pPr>
        <w:pBdr>
          <w:top w:val="nil"/>
          <w:left w:val="nil"/>
          <w:bottom w:val="nil"/>
          <w:right w:val="nil"/>
          <w:between w:val="nil"/>
        </w:pBdr>
        <w:spacing w:line="276" w:lineRule="auto"/>
        <w:rPr>
          <w:rFonts w:ascii="Garamond" w:eastAsia="Garamond" w:hAnsi="Garamond" w:cs="Garamond"/>
        </w:rPr>
      </w:pPr>
    </w:p>
    <w:p w14:paraId="72BF80E5" w14:textId="0F64D60C" w:rsidR="009C38DA" w:rsidRDefault="00243967" w:rsidP="00243967">
      <w:p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 xml:space="preserve">The Board noted that </w:t>
      </w:r>
      <w:r w:rsidR="008F54AF" w:rsidRPr="008F54AF">
        <w:rPr>
          <w:rFonts w:ascii="Garamond" w:eastAsia="Garamond" w:hAnsi="Garamond" w:cs="Garamond"/>
        </w:rPr>
        <w:t>the first and third</w:t>
      </w:r>
      <w:r w:rsidR="008F54AF">
        <w:rPr>
          <w:rFonts w:ascii="Garamond" w:eastAsia="Garamond" w:hAnsi="Garamond" w:cs="Garamond"/>
        </w:rPr>
        <w:t xml:space="preserve"> pieces of content received low views. The Board highlighted that </w:t>
      </w:r>
      <w:r>
        <w:rPr>
          <w:rFonts w:ascii="Garamond" w:eastAsia="Garamond" w:hAnsi="Garamond" w:cs="Garamond"/>
        </w:rPr>
        <w:t>w</w:t>
      </w:r>
      <w:r w:rsidRPr="00243967">
        <w:rPr>
          <w:rFonts w:ascii="Garamond" w:eastAsia="Garamond" w:hAnsi="Garamond" w:cs="Garamond"/>
        </w:rPr>
        <w:t>hile the second post had about 8 million views, the reach of the content did not indicate a necessity for removal, especially when the risk of harm was unclear.</w:t>
      </w:r>
    </w:p>
    <w:p w14:paraId="4738DAA4" w14:textId="77777777" w:rsidR="008F54AF" w:rsidRDefault="008F54AF" w:rsidP="00243967">
      <w:pPr>
        <w:pBdr>
          <w:top w:val="nil"/>
          <w:left w:val="nil"/>
          <w:bottom w:val="nil"/>
          <w:right w:val="nil"/>
          <w:between w:val="nil"/>
        </w:pBdr>
        <w:spacing w:line="276" w:lineRule="auto"/>
        <w:jc w:val="both"/>
        <w:rPr>
          <w:rFonts w:ascii="Garamond" w:eastAsia="Garamond" w:hAnsi="Garamond" w:cs="Garamond"/>
        </w:rPr>
      </w:pPr>
    </w:p>
    <w:p w14:paraId="0F592A7B" w14:textId="03219CD0" w:rsidR="008F54AF" w:rsidRDefault="008F54AF" w:rsidP="008F54AF">
      <w:pPr>
        <w:pBdr>
          <w:top w:val="nil"/>
          <w:left w:val="nil"/>
          <w:bottom w:val="nil"/>
          <w:right w:val="nil"/>
          <w:between w:val="nil"/>
        </w:pBdr>
        <w:spacing w:line="276" w:lineRule="auto"/>
        <w:jc w:val="both"/>
        <w:rPr>
          <w:rFonts w:ascii="Garamond" w:eastAsia="Garamond" w:hAnsi="Garamond" w:cs="Garamond"/>
        </w:rPr>
      </w:pPr>
      <w:proofErr w:type="gramStart"/>
      <w:r w:rsidRPr="008F54AF">
        <w:rPr>
          <w:rFonts w:ascii="Garamond" w:eastAsia="Garamond" w:hAnsi="Garamond" w:cs="Garamond"/>
        </w:rPr>
        <w:t>The majority of</w:t>
      </w:r>
      <w:proofErr w:type="gramEnd"/>
      <w:r w:rsidRPr="008F54AF">
        <w:rPr>
          <w:rFonts w:ascii="Garamond" w:eastAsia="Garamond" w:hAnsi="Garamond" w:cs="Garamond"/>
        </w:rPr>
        <w:t xml:space="preserve"> the Board </w:t>
      </w:r>
      <w:r>
        <w:rPr>
          <w:rFonts w:ascii="Garamond" w:eastAsia="Garamond" w:hAnsi="Garamond" w:cs="Garamond"/>
        </w:rPr>
        <w:t>refused to associate</w:t>
      </w:r>
      <w:r w:rsidRPr="008F54AF">
        <w:rPr>
          <w:rFonts w:ascii="Garamond" w:eastAsia="Garamond" w:hAnsi="Garamond" w:cs="Garamond"/>
        </w:rPr>
        <w:t xml:space="preserve"> </w:t>
      </w:r>
      <w:r>
        <w:rPr>
          <w:rFonts w:ascii="Garamond" w:eastAsia="Garamond" w:hAnsi="Garamond" w:cs="Garamond"/>
        </w:rPr>
        <w:t>“</w:t>
      </w:r>
      <w:r w:rsidRPr="008F54AF">
        <w:rPr>
          <w:rFonts w:ascii="Garamond" w:eastAsia="Garamond" w:hAnsi="Garamond" w:cs="Garamond"/>
        </w:rPr>
        <w:t>From the River to the Sea</w:t>
      </w:r>
      <w:r>
        <w:rPr>
          <w:rFonts w:ascii="Garamond" w:eastAsia="Garamond" w:hAnsi="Garamond" w:cs="Garamond"/>
        </w:rPr>
        <w:t>”</w:t>
      </w:r>
      <w:r w:rsidRPr="008F54AF">
        <w:rPr>
          <w:rFonts w:ascii="Garamond" w:eastAsia="Garamond" w:hAnsi="Garamond" w:cs="Garamond"/>
        </w:rPr>
        <w:t xml:space="preserve"> solely with Hamas, as the phrase existed before the group's formation and does not have a singular meaning or intent. They also emphasized the warning from the UN Special Rapporteur on the risks of delegitimizing civil society by loosely labeling them as "terrorist," which could increase their vulnerability to abuse by state and non-state actors. </w:t>
      </w:r>
    </w:p>
    <w:p w14:paraId="16E78FBF" w14:textId="77777777" w:rsidR="00F07F72" w:rsidRDefault="00F07F72" w:rsidP="008F54AF">
      <w:pPr>
        <w:pBdr>
          <w:top w:val="nil"/>
          <w:left w:val="nil"/>
          <w:bottom w:val="nil"/>
          <w:right w:val="nil"/>
          <w:between w:val="nil"/>
        </w:pBdr>
        <w:spacing w:line="276" w:lineRule="auto"/>
        <w:jc w:val="both"/>
        <w:rPr>
          <w:rFonts w:ascii="Garamond" w:eastAsia="Garamond" w:hAnsi="Garamond" w:cs="Garamond"/>
        </w:rPr>
      </w:pPr>
    </w:p>
    <w:p w14:paraId="40037B53" w14:textId="35C71558" w:rsidR="00F07F72" w:rsidRDefault="00F07F72" w:rsidP="008F54AF">
      <w:pPr>
        <w:pBdr>
          <w:top w:val="nil"/>
          <w:left w:val="nil"/>
          <w:bottom w:val="nil"/>
          <w:right w:val="nil"/>
          <w:between w:val="nil"/>
        </w:pBdr>
        <w:spacing w:line="276" w:lineRule="auto"/>
        <w:jc w:val="both"/>
        <w:rPr>
          <w:rFonts w:ascii="Garamond" w:eastAsia="Garamond" w:hAnsi="Garamond" w:cs="Garamond"/>
        </w:rPr>
      </w:pPr>
      <w:r w:rsidRPr="00F07F72">
        <w:rPr>
          <w:rFonts w:ascii="Garamond" w:eastAsia="Garamond" w:hAnsi="Garamond" w:cs="Garamond"/>
        </w:rPr>
        <w:lastRenderedPageBreak/>
        <w:t xml:space="preserve">The Board acknowledged that Meta had developed policies to address the risks of discriminatory content online. Evidence from the </w:t>
      </w:r>
      <w:r w:rsidRPr="00F07F72">
        <w:rPr>
          <w:rFonts w:ascii="Garamond" w:eastAsia="Garamond" w:hAnsi="Garamond" w:cs="Garamond"/>
          <w:i/>
          <w:iCs/>
        </w:rPr>
        <w:t xml:space="preserve">Holocaust Denial </w:t>
      </w:r>
      <w:r w:rsidRPr="00F07F72">
        <w:rPr>
          <w:rFonts w:ascii="Garamond" w:eastAsia="Garamond" w:hAnsi="Garamond" w:cs="Garamond"/>
        </w:rPr>
        <w:t xml:space="preserve">decision demonstrated the harm caused by the rapid spread of antisemitic and harmful content on Meta’s platforms, highlighting the need for effective enforcement tools to moderate such content without unnecessarily restricting political expression. The Board recognized that if properly enforced, Meta’s policies provided important safeguards to prevent violence and harm from terrorist groups and their supporters using the platform. In response to a previous recommendation </w:t>
      </w:r>
      <w:r>
        <w:rPr>
          <w:rFonts w:ascii="Garamond" w:eastAsia="Garamond" w:hAnsi="Garamond" w:cs="Garamond"/>
        </w:rPr>
        <w:t xml:space="preserve">from </w:t>
      </w:r>
      <w:r w:rsidRPr="00F07F72">
        <w:rPr>
          <w:rFonts w:ascii="Garamond" w:eastAsia="Garamond" w:hAnsi="Garamond" w:cs="Garamond"/>
        </w:rPr>
        <w:t>the</w:t>
      </w:r>
      <w:r w:rsidRPr="00F07F72">
        <w:rPr>
          <w:rFonts w:ascii="Garamond" w:eastAsia="Garamond" w:hAnsi="Garamond" w:cs="Garamond"/>
          <w:i/>
          <w:iCs/>
        </w:rPr>
        <w:t xml:space="preserve"> </w:t>
      </w:r>
      <w:hyperlink r:id="rId13" w:history="1">
        <w:r w:rsidRPr="00F07F72">
          <w:rPr>
            <w:rStyle w:val="Hyperlink"/>
            <w:rFonts w:ascii="Garamond" w:eastAsia="Garamond" w:hAnsi="Garamond" w:cs="Garamond"/>
            <w:i/>
            <w:iCs/>
          </w:rPr>
          <w:t>Mention of the Taliban in News Reporting</w:t>
        </w:r>
      </w:hyperlink>
      <w:r w:rsidRPr="00F07F72">
        <w:rPr>
          <w:rFonts w:ascii="Garamond" w:eastAsia="Garamond" w:hAnsi="Garamond" w:cs="Garamond"/>
        </w:rPr>
        <w:t xml:space="preserve"> case, Meta committed to developing tools to gather more detailed enforcement data for its Dangerous Organizations and Individuals policy. The Board recommended that similar efforts be applied to enforcing Meta’s Hate Speech policy, as in the </w:t>
      </w:r>
      <w:r w:rsidRPr="00F07F72">
        <w:rPr>
          <w:rFonts w:ascii="Garamond" w:eastAsia="Garamond" w:hAnsi="Garamond" w:cs="Garamond"/>
          <w:i/>
          <w:iCs/>
        </w:rPr>
        <w:t>Holocaust Denial</w:t>
      </w:r>
      <w:r w:rsidRPr="00F07F72">
        <w:rPr>
          <w:rFonts w:ascii="Garamond" w:eastAsia="Garamond" w:hAnsi="Garamond" w:cs="Garamond"/>
        </w:rPr>
        <w:t xml:space="preserve"> decision, and the Violence and Incitement policy, as in the </w:t>
      </w:r>
      <w:r w:rsidRPr="00F07F72">
        <w:rPr>
          <w:rFonts w:ascii="Garamond" w:eastAsia="Garamond" w:hAnsi="Garamond" w:cs="Garamond"/>
          <w:i/>
          <w:iCs/>
        </w:rPr>
        <w:t>United States Posts Discussing Abortion</w:t>
      </w:r>
      <w:r w:rsidRPr="00F07F72">
        <w:rPr>
          <w:rFonts w:ascii="Garamond" w:eastAsia="Garamond" w:hAnsi="Garamond" w:cs="Garamond"/>
        </w:rPr>
        <w:t xml:space="preserve"> decision.</w:t>
      </w:r>
    </w:p>
    <w:p w14:paraId="24321EA4" w14:textId="77777777" w:rsidR="008F54AF" w:rsidRDefault="008F54AF" w:rsidP="008F54AF">
      <w:pPr>
        <w:pBdr>
          <w:top w:val="nil"/>
          <w:left w:val="nil"/>
          <w:bottom w:val="nil"/>
          <w:right w:val="nil"/>
          <w:between w:val="nil"/>
        </w:pBdr>
        <w:spacing w:line="276" w:lineRule="auto"/>
        <w:jc w:val="both"/>
        <w:rPr>
          <w:rFonts w:ascii="Garamond" w:eastAsia="Garamond" w:hAnsi="Garamond" w:cs="Garamond"/>
        </w:rPr>
      </w:pPr>
    </w:p>
    <w:p w14:paraId="0B76F142" w14:textId="3A048689" w:rsidR="00F07F72" w:rsidRDefault="00F07F72" w:rsidP="008F54AF">
      <w:pPr>
        <w:pBdr>
          <w:top w:val="nil"/>
          <w:left w:val="nil"/>
          <w:bottom w:val="nil"/>
          <w:right w:val="nil"/>
          <w:between w:val="nil"/>
        </w:pBdr>
        <w:spacing w:line="276" w:lineRule="auto"/>
        <w:jc w:val="both"/>
        <w:rPr>
          <w:rFonts w:ascii="Garamond" w:eastAsia="Garamond" w:hAnsi="Garamond" w:cs="Garamond"/>
          <w:i/>
          <w:iCs/>
        </w:rPr>
      </w:pPr>
      <w:r>
        <w:rPr>
          <w:rFonts w:ascii="Garamond" w:eastAsia="Garamond" w:hAnsi="Garamond" w:cs="Garamond"/>
          <w:i/>
          <w:iCs/>
        </w:rPr>
        <w:t>Data Access</w:t>
      </w:r>
    </w:p>
    <w:p w14:paraId="4A5377C4" w14:textId="77777777" w:rsidR="00F07F72" w:rsidRDefault="00F07F72" w:rsidP="008F54AF">
      <w:pPr>
        <w:pBdr>
          <w:top w:val="nil"/>
          <w:left w:val="nil"/>
          <w:bottom w:val="nil"/>
          <w:right w:val="nil"/>
          <w:between w:val="nil"/>
        </w:pBdr>
        <w:spacing w:line="276" w:lineRule="auto"/>
        <w:jc w:val="both"/>
        <w:rPr>
          <w:rFonts w:ascii="Garamond" w:eastAsia="Garamond" w:hAnsi="Garamond" w:cs="Garamond"/>
          <w:i/>
          <w:iCs/>
        </w:rPr>
      </w:pPr>
    </w:p>
    <w:p w14:paraId="7F924EEF" w14:textId="45E7CF59" w:rsidR="00F07F72" w:rsidRPr="00F07F72" w:rsidRDefault="00F07F72" w:rsidP="0088124D">
      <w:pPr>
        <w:pBdr>
          <w:top w:val="nil"/>
          <w:left w:val="nil"/>
          <w:bottom w:val="nil"/>
          <w:right w:val="nil"/>
          <w:between w:val="nil"/>
        </w:pBdr>
        <w:spacing w:line="276" w:lineRule="auto"/>
        <w:jc w:val="both"/>
        <w:rPr>
          <w:rFonts w:ascii="Garamond" w:eastAsia="Garamond" w:hAnsi="Garamond" w:cs="Garamond"/>
        </w:rPr>
      </w:pPr>
      <w:r w:rsidRPr="00F07F72">
        <w:rPr>
          <w:rFonts w:ascii="Garamond" w:eastAsia="Garamond" w:hAnsi="Garamond" w:cs="Garamond"/>
        </w:rPr>
        <w:t>The Board</w:t>
      </w:r>
      <w:r>
        <w:rPr>
          <w:rFonts w:ascii="Garamond" w:eastAsia="Garamond" w:hAnsi="Garamond" w:cs="Garamond"/>
        </w:rPr>
        <w:t xml:space="preserve"> emphasized that the Board</w:t>
      </w:r>
      <w:r w:rsidRPr="00F07F72">
        <w:rPr>
          <w:rFonts w:ascii="Garamond" w:eastAsia="Garamond" w:hAnsi="Garamond" w:cs="Garamond"/>
        </w:rPr>
        <w:t xml:space="preserve"> and external stakeholders would be better equipped to assess the necessity and proportionality of Meta's content moderation during armed conflicts if Meta continues to provide access to platform data. In March 2024, Meta announced it would shut down </w:t>
      </w:r>
      <w:proofErr w:type="spellStart"/>
      <w:r w:rsidRPr="00F07F72">
        <w:rPr>
          <w:rFonts w:ascii="Garamond" w:eastAsia="Garamond" w:hAnsi="Garamond" w:cs="Garamond"/>
        </w:rPr>
        <w:t>CrowdTangle</w:t>
      </w:r>
      <w:proofErr w:type="spellEnd"/>
      <w:r w:rsidRPr="00F07F72">
        <w:rPr>
          <w:rFonts w:ascii="Garamond" w:eastAsia="Garamond" w:hAnsi="Garamond" w:cs="Garamond"/>
        </w:rPr>
        <w:t xml:space="preserve"> by August 2024, replacing it with the Meta Content Library &amp; Content Library API.</w:t>
      </w:r>
      <w:r w:rsidR="0088124D">
        <w:rPr>
          <w:rFonts w:ascii="Garamond" w:eastAsia="Garamond" w:hAnsi="Garamond" w:cs="Garamond"/>
        </w:rPr>
        <w:t xml:space="preserve"> </w:t>
      </w:r>
      <w:proofErr w:type="spellStart"/>
      <w:r w:rsidR="0088124D">
        <w:rPr>
          <w:rFonts w:ascii="Garamond" w:eastAsia="Garamond" w:hAnsi="Garamond" w:cs="Garamond"/>
        </w:rPr>
        <w:t>CrowdTangle</w:t>
      </w:r>
      <w:proofErr w:type="spellEnd"/>
      <w:r w:rsidR="0088124D">
        <w:rPr>
          <w:rFonts w:ascii="Garamond" w:eastAsia="Garamond" w:hAnsi="Garamond" w:cs="Garamond"/>
        </w:rPr>
        <w:t xml:space="preserve"> is </w:t>
      </w:r>
      <w:r w:rsidR="0088124D" w:rsidRPr="0088124D">
        <w:rPr>
          <w:rFonts w:ascii="Garamond" w:eastAsia="Garamond" w:hAnsi="Garamond" w:cs="Garamond"/>
        </w:rPr>
        <w:t>a data analysis tool owned and operated by Meta</w:t>
      </w:r>
      <w:r w:rsidR="0088124D">
        <w:rPr>
          <w:rFonts w:ascii="Garamond" w:eastAsia="Garamond" w:hAnsi="Garamond" w:cs="Garamond"/>
        </w:rPr>
        <w:t xml:space="preserve"> that </w:t>
      </w:r>
      <w:r w:rsidR="0088124D" w:rsidRPr="0088124D">
        <w:rPr>
          <w:rFonts w:ascii="Garamond" w:eastAsia="Garamond" w:hAnsi="Garamond" w:cs="Garamond"/>
        </w:rPr>
        <w:t> tracks public content from the largest public pages, groups and accounts across all countries and languages, but does not include all content on Meta’s platforms or information about content that was removed by the company</w:t>
      </w:r>
      <w:r w:rsidR="0088124D">
        <w:rPr>
          <w:rFonts w:ascii="Garamond" w:eastAsia="Garamond" w:hAnsi="Garamond" w:cs="Garamond"/>
        </w:rPr>
        <w:t>.”</w:t>
      </w:r>
      <w:r w:rsidRPr="00F07F72">
        <w:rPr>
          <w:rFonts w:ascii="Garamond" w:eastAsia="Garamond" w:hAnsi="Garamond" w:cs="Garamond"/>
        </w:rPr>
        <w:t xml:space="preserve"> While the Board commended the development of new tools, it expressed concern about discontinuing </w:t>
      </w:r>
      <w:proofErr w:type="spellStart"/>
      <w:r w:rsidRPr="00F07F72">
        <w:rPr>
          <w:rFonts w:ascii="Garamond" w:eastAsia="Garamond" w:hAnsi="Garamond" w:cs="Garamond"/>
        </w:rPr>
        <w:t>CrowdTangle</w:t>
      </w:r>
      <w:proofErr w:type="spellEnd"/>
      <w:r w:rsidRPr="00F07F72">
        <w:rPr>
          <w:rFonts w:ascii="Garamond" w:eastAsia="Garamond" w:hAnsi="Garamond" w:cs="Garamond"/>
        </w:rPr>
        <w:t xml:space="preserve"> before fully establishing an effective replacement. Several organizations and the European Commission raised similar concerns, particularly during an election year, leading to formal proceedings under the Digital Services Act. The Board also noted limitations in </w:t>
      </w:r>
      <w:proofErr w:type="spellStart"/>
      <w:r w:rsidRPr="00F07F72">
        <w:rPr>
          <w:rFonts w:ascii="Garamond" w:eastAsia="Garamond" w:hAnsi="Garamond" w:cs="Garamond"/>
        </w:rPr>
        <w:t>CrowdTangle</w:t>
      </w:r>
      <w:proofErr w:type="spellEnd"/>
      <w:r w:rsidRPr="00F07F72">
        <w:rPr>
          <w:rFonts w:ascii="Garamond" w:eastAsia="Garamond" w:hAnsi="Garamond" w:cs="Garamond"/>
        </w:rPr>
        <w:t xml:space="preserve"> and Meta's transparency reporting, particularly in tracking surges of antisemitic, anti-Muslim, and racist content. The Board urged Meta to implement recommendation no. 16 from the BSR Human Rights Due Diligence report,</w:t>
      </w:r>
      <w:r w:rsidR="0088124D">
        <w:rPr>
          <w:rFonts w:ascii="Garamond" w:eastAsia="Garamond" w:hAnsi="Garamond" w:cs="Garamond"/>
        </w:rPr>
        <w:t xml:space="preserve"> which it shared earlier in the </w:t>
      </w:r>
      <w:hyperlink r:id="rId14" w:history="1">
        <w:r w:rsidR="0088124D" w:rsidRPr="0088124D">
          <w:rPr>
            <w:rStyle w:val="Hyperlink"/>
            <w:rFonts w:ascii="Garamond" w:eastAsia="Garamond" w:hAnsi="Garamond" w:cs="Garamond"/>
            <w:i/>
            <w:iCs/>
          </w:rPr>
          <w:t>Shared Al Jazeera Post</w:t>
        </w:r>
      </w:hyperlink>
      <w:r w:rsidR="0088124D" w:rsidRPr="0088124D">
        <w:rPr>
          <w:rFonts w:ascii="Garamond" w:eastAsia="Garamond" w:hAnsi="Garamond" w:cs="Garamond"/>
        </w:rPr>
        <w:t xml:space="preserve"> decision</w:t>
      </w:r>
      <w:r w:rsidRPr="00F07F72">
        <w:rPr>
          <w:rFonts w:ascii="Garamond" w:eastAsia="Garamond" w:hAnsi="Garamond" w:cs="Garamond"/>
        </w:rPr>
        <w:t xml:space="preserve"> which called for a mechanism to track content targeting protected groups, as Meta was still assessing its feasibility a year after the report’s release.</w:t>
      </w:r>
    </w:p>
    <w:p w14:paraId="1B028E60" w14:textId="77777777" w:rsidR="0088124D" w:rsidRDefault="0088124D" w:rsidP="00F07F72">
      <w:pPr>
        <w:pBdr>
          <w:top w:val="nil"/>
          <w:left w:val="nil"/>
          <w:bottom w:val="nil"/>
          <w:right w:val="nil"/>
          <w:between w:val="nil"/>
        </w:pBdr>
        <w:spacing w:line="276" w:lineRule="auto"/>
        <w:jc w:val="both"/>
        <w:rPr>
          <w:rFonts w:ascii="Garamond" w:eastAsia="Garamond" w:hAnsi="Garamond" w:cs="Garamond"/>
        </w:rPr>
      </w:pPr>
    </w:p>
    <w:p w14:paraId="4EAE97BB" w14:textId="483E59A9" w:rsidR="008F54AF" w:rsidRPr="009C38DA" w:rsidRDefault="00F07F72" w:rsidP="00F07F72">
      <w:pPr>
        <w:pBdr>
          <w:top w:val="nil"/>
          <w:left w:val="nil"/>
          <w:bottom w:val="nil"/>
          <w:right w:val="nil"/>
          <w:between w:val="nil"/>
        </w:pBdr>
        <w:spacing w:line="276" w:lineRule="auto"/>
        <w:jc w:val="both"/>
        <w:rPr>
          <w:rFonts w:ascii="Garamond" w:eastAsia="Garamond" w:hAnsi="Garamond" w:cs="Garamond"/>
        </w:rPr>
      </w:pPr>
      <w:r w:rsidRPr="00F07F72">
        <w:rPr>
          <w:rFonts w:ascii="Garamond" w:eastAsia="Garamond" w:hAnsi="Garamond" w:cs="Garamond"/>
        </w:rPr>
        <w:t>The Board uph</w:t>
      </w:r>
      <w:r>
        <w:rPr>
          <w:rFonts w:ascii="Garamond" w:eastAsia="Garamond" w:hAnsi="Garamond" w:cs="Garamond"/>
        </w:rPr>
        <w:t>e</w:t>
      </w:r>
      <w:r w:rsidRPr="00F07F72">
        <w:rPr>
          <w:rFonts w:ascii="Garamond" w:eastAsia="Garamond" w:hAnsi="Garamond" w:cs="Garamond"/>
        </w:rPr>
        <w:t>ld</w:t>
      </w:r>
      <w:r>
        <w:rPr>
          <w:rFonts w:ascii="Garamond" w:eastAsia="Garamond" w:hAnsi="Garamond" w:cs="Garamond"/>
        </w:rPr>
        <w:t xml:space="preserve"> </w:t>
      </w:r>
      <w:r w:rsidRPr="00F07F72">
        <w:rPr>
          <w:rFonts w:ascii="Garamond" w:eastAsia="Garamond" w:hAnsi="Garamond" w:cs="Garamond"/>
        </w:rPr>
        <w:t>Meta’s decisions to leave up the content in all three cases.</w:t>
      </w:r>
    </w:p>
    <w:p w14:paraId="0CB6350E" w14:textId="77777777" w:rsidR="00BC1499" w:rsidRDefault="00BC1499">
      <w:pPr>
        <w:widowControl w:val="0"/>
        <w:rPr>
          <w:rFonts w:ascii="Georgia" w:eastAsia="Georgia" w:hAnsi="Georgia" w:cs="Georgia"/>
          <w:i/>
          <w:color w:val="445264"/>
          <w:highlight w:val="white"/>
        </w:rPr>
      </w:pPr>
    </w:p>
    <w:p w14:paraId="47F2D624" w14:textId="77777777" w:rsidR="00F07F72" w:rsidRDefault="00000000" w:rsidP="00F07F72">
      <w:pPr>
        <w:widowControl w:val="0"/>
        <w:rPr>
          <w:rFonts w:ascii="Garamond" w:eastAsia="Garamond" w:hAnsi="Garamond" w:cs="Garamond"/>
        </w:rPr>
      </w:pPr>
      <w:r>
        <w:rPr>
          <w:rFonts w:ascii="Garamond" w:eastAsia="Garamond" w:hAnsi="Garamond" w:cs="Garamond"/>
          <w:i/>
          <w:u w:val="single"/>
        </w:rPr>
        <w:t xml:space="preserve">Policy advisory statement: </w:t>
      </w:r>
      <w:r>
        <w:rPr>
          <w:rFonts w:ascii="Garamond" w:eastAsia="Garamond" w:hAnsi="Garamond" w:cs="Garamond"/>
        </w:rPr>
        <w:t xml:space="preserve"> </w:t>
      </w:r>
    </w:p>
    <w:p w14:paraId="135C6FB0" w14:textId="77777777" w:rsidR="00F07F72" w:rsidRDefault="00F07F72" w:rsidP="00F07F72">
      <w:pPr>
        <w:widowControl w:val="0"/>
        <w:rPr>
          <w:rFonts w:ascii="Garamond" w:eastAsia="Garamond" w:hAnsi="Garamond" w:cs="Garamond"/>
        </w:rPr>
      </w:pPr>
    </w:p>
    <w:p w14:paraId="451E00D3" w14:textId="7839DC19" w:rsidR="00BC1499" w:rsidRDefault="00F07F72" w:rsidP="00F07F72">
      <w:pPr>
        <w:widowControl w:val="0"/>
        <w:spacing w:line="276" w:lineRule="auto"/>
        <w:rPr>
          <w:rFonts w:ascii="Garamond" w:eastAsia="Garamond" w:hAnsi="Garamond" w:cs="Garamond"/>
        </w:rPr>
      </w:pPr>
      <w:r w:rsidRPr="00F07F72">
        <w:rPr>
          <w:rFonts w:ascii="Garamond" w:eastAsia="Garamond" w:hAnsi="Garamond" w:cs="Garamond"/>
        </w:rPr>
        <w:t xml:space="preserve">The Board recommended that Meta ensure qualified researchers, civil society organizations, and journalists who previously had access to </w:t>
      </w:r>
      <w:proofErr w:type="spellStart"/>
      <w:r w:rsidRPr="00F07F72">
        <w:rPr>
          <w:rFonts w:ascii="Garamond" w:eastAsia="Garamond" w:hAnsi="Garamond" w:cs="Garamond"/>
        </w:rPr>
        <w:t>CrowdTangle</w:t>
      </w:r>
      <w:proofErr w:type="spellEnd"/>
      <w:r w:rsidRPr="00F07F72">
        <w:rPr>
          <w:rFonts w:ascii="Garamond" w:eastAsia="Garamond" w:hAnsi="Garamond" w:cs="Garamond"/>
        </w:rPr>
        <w:t xml:space="preserve"> be onboarded to the company's new Content Library within three weeks of submitting their application. </w:t>
      </w:r>
      <w:r>
        <w:rPr>
          <w:rFonts w:ascii="Garamond" w:eastAsia="Garamond" w:hAnsi="Garamond" w:cs="Garamond"/>
        </w:rPr>
        <w:t xml:space="preserve">Additionally, </w:t>
      </w:r>
      <w:r w:rsidRPr="00F07F72">
        <w:rPr>
          <w:rFonts w:ascii="Garamond" w:eastAsia="Garamond" w:hAnsi="Garamond" w:cs="Garamond"/>
        </w:rPr>
        <w:t xml:space="preserve">Meta should ensure that the Content Library serves as an equal or better replacement for </w:t>
      </w:r>
      <w:proofErr w:type="spellStart"/>
      <w:r w:rsidRPr="00F07F72">
        <w:rPr>
          <w:rFonts w:ascii="Garamond" w:eastAsia="Garamond" w:hAnsi="Garamond" w:cs="Garamond"/>
        </w:rPr>
        <w:t>CrowdTangle</w:t>
      </w:r>
      <w:proofErr w:type="spellEnd"/>
      <w:r w:rsidRPr="00F07F72">
        <w:rPr>
          <w:rFonts w:ascii="Garamond" w:eastAsia="Garamond" w:hAnsi="Garamond" w:cs="Garamond"/>
        </w:rPr>
        <w:t xml:space="preserve">, providing comparable functionality and data access. Additionally, Meta should implement recommendation no. 16 from the </w:t>
      </w:r>
      <w:hyperlink r:id="rId15" w:history="1">
        <w:r w:rsidRPr="00F07F72">
          <w:rPr>
            <w:rStyle w:val="Hyperlink"/>
            <w:rFonts w:ascii="Garamond" w:eastAsia="Garamond" w:hAnsi="Garamond" w:cs="Garamond"/>
          </w:rPr>
          <w:t>BSR Human Rights Due Diligence</w:t>
        </w:r>
      </w:hyperlink>
      <w:r w:rsidRPr="00F07F72">
        <w:rPr>
          <w:rFonts w:ascii="Garamond" w:eastAsia="Garamond" w:hAnsi="Garamond" w:cs="Garamond"/>
        </w:rPr>
        <w:t xml:space="preserve"> of Meta’s Impacts in Israel and Palestine report, which advises developing a mechanism to track the prevalence of content attacking individuals based on protected characteristics, such as antisemitic, Islamophobic, and homophobic content.</w:t>
      </w:r>
    </w:p>
    <w:p w14:paraId="2B1274F9" w14:textId="77777777" w:rsidR="00BC1499" w:rsidRDefault="00BC1499">
      <w:pPr>
        <w:widowControl w:val="0"/>
        <w:rPr>
          <w:rFonts w:ascii="Garamond" w:eastAsia="Garamond" w:hAnsi="Garamond" w:cs="Garamond"/>
        </w:rPr>
      </w:pPr>
    </w:p>
    <w:p w14:paraId="7E1E3185" w14:textId="1A980C87" w:rsidR="00BC1499" w:rsidRDefault="00000000" w:rsidP="008C6172">
      <w:pPr>
        <w:widowControl w:val="0"/>
        <w:jc w:val="both"/>
        <w:rPr>
          <w:rFonts w:ascii="Garamond" w:eastAsia="Garamond" w:hAnsi="Garamond" w:cs="Garamond"/>
          <w:i/>
          <w:u w:val="single"/>
        </w:rPr>
      </w:pPr>
      <w:r>
        <w:rPr>
          <w:rFonts w:ascii="Garamond" w:eastAsia="Garamond" w:hAnsi="Garamond" w:cs="Garamond"/>
          <w:i/>
          <w:u w:val="single"/>
        </w:rPr>
        <w:t>Dissenting</w:t>
      </w:r>
      <w:r w:rsidR="008C6172">
        <w:rPr>
          <w:rFonts w:ascii="Garamond" w:eastAsia="Garamond" w:hAnsi="Garamond" w:cs="Garamond"/>
          <w:i/>
          <w:u w:val="single"/>
        </w:rPr>
        <w:t xml:space="preserve"> </w:t>
      </w:r>
      <w:r>
        <w:rPr>
          <w:rFonts w:ascii="Garamond" w:eastAsia="Garamond" w:hAnsi="Garamond" w:cs="Garamond"/>
          <w:i/>
          <w:u w:val="single"/>
        </w:rPr>
        <w:t>Opinions</w:t>
      </w:r>
      <w:r w:rsidR="008C6172">
        <w:rPr>
          <w:rFonts w:ascii="Garamond" w:eastAsia="Garamond" w:hAnsi="Garamond" w:cs="Garamond"/>
          <w:i/>
          <w:u w:val="single"/>
        </w:rPr>
        <w:t>:</w:t>
      </w:r>
    </w:p>
    <w:p w14:paraId="72FB7BB4" w14:textId="77777777" w:rsidR="008C6172" w:rsidRDefault="008C6172" w:rsidP="008C6172">
      <w:pPr>
        <w:widowControl w:val="0"/>
        <w:jc w:val="both"/>
        <w:rPr>
          <w:rFonts w:ascii="Garamond" w:eastAsia="Garamond" w:hAnsi="Garamond" w:cs="Garamond"/>
          <w:i/>
          <w:u w:val="single"/>
        </w:rPr>
      </w:pPr>
    </w:p>
    <w:p w14:paraId="03C9C3C5" w14:textId="7C28ADCF" w:rsidR="008C6172" w:rsidRDefault="008C6172" w:rsidP="008C6172">
      <w:pPr>
        <w:widowControl w:val="0"/>
        <w:jc w:val="both"/>
        <w:rPr>
          <w:rFonts w:ascii="Garamond" w:eastAsia="Garamond" w:hAnsi="Garamond" w:cs="Garamond"/>
          <w:iCs/>
        </w:rPr>
      </w:pPr>
      <w:r w:rsidRPr="008C6172">
        <w:rPr>
          <w:rFonts w:ascii="Garamond" w:eastAsia="Garamond" w:hAnsi="Garamond" w:cs="Garamond"/>
          <w:iCs/>
        </w:rPr>
        <w:t>A minority of the Board believed that, although the three pieces of content did not violate Meta's policies, the phrase "From the River to the Sea" should have been presumed to glorify Hamas, a designated terrorist organization</w:t>
      </w:r>
      <w:r>
        <w:rPr>
          <w:rFonts w:ascii="Garamond" w:eastAsia="Garamond" w:hAnsi="Garamond" w:cs="Garamond"/>
          <w:iCs/>
        </w:rPr>
        <w:t xml:space="preserve"> under Meta’s policies</w:t>
      </w:r>
      <w:r w:rsidRPr="008C6172">
        <w:rPr>
          <w:rFonts w:ascii="Garamond" w:eastAsia="Garamond" w:hAnsi="Garamond" w:cs="Garamond"/>
          <w:iCs/>
        </w:rPr>
        <w:t xml:space="preserve">, and should be removed unless it was clear that the content did not endorse Hamas and its objectives. </w:t>
      </w:r>
      <w:r>
        <w:rPr>
          <w:rFonts w:ascii="Garamond" w:eastAsia="Garamond" w:hAnsi="Garamond" w:cs="Garamond"/>
          <w:iCs/>
        </w:rPr>
        <w:t xml:space="preserve">According to </w:t>
      </w:r>
      <w:r w:rsidRPr="008C6172">
        <w:rPr>
          <w:rFonts w:ascii="Garamond" w:eastAsia="Garamond" w:hAnsi="Garamond" w:cs="Garamond"/>
          <w:iCs/>
        </w:rPr>
        <w:t>these Board Members, the context changed significantly after the October 7 attacks, and any ambiguous use of the phrase should have been assumed to support Hamas and its actions. However, the minority agreed that in these specific cases, there were clear indications that the content did not glorify Hamas or the events of October 7.</w:t>
      </w:r>
    </w:p>
    <w:p w14:paraId="14F26953" w14:textId="1853CDD5" w:rsidR="00E33A69" w:rsidRDefault="00E33A69" w:rsidP="00E33A69">
      <w:pPr>
        <w:widowControl w:val="0"/>
        <w:jc w:val="both"/>
        <w:rPr>
          <w:rFonts w:ascii="Garamond" w:eastAsia="Garamond" w:hAnsi="Garamond" w:cs="Garamond"/>
          <w:iCs/>
        </w:rPr>
      </w:pPr>
      <w:r w:rsidRPr="00E33A69">
        <w:rPr>
          <w:rFonts w:ascii="Garamond" w:eastAsia="Garamond" w:hAnsi="Garamond" w:cs="Garamond"/>
          <w:iCs/>
        </w:rPr>
        <w:lastRenderedPageBreak/>
        <w:t xml:space="preserve">This minority </w:t>
      </w:r>
      <w:r>
        <w:rPr>
          <w:rFonts w:ascii="Garamond" w:eastAsia="Garamond" w:hAnsi="Garamond" w:cs="Garamond"/>
          <w:iCs/>
        </w:rPr>
        <w:t xml:space="preserve">recommended </w:t>
      </w:r>
      <w:r w:rsidRPr="00E33A69">
        <w:rPr>
          <w:rFonts w:ascii="Garamond" w:eastAsia="Garamond" w:hAnsi="Garamond" w:cs="Garamond"/>
          <w:iCs/>
        </w:rPr>
        <w:t xml:space="preserve">Meta provide guidance to content moderators on how to identify non-violating uses of the phrase. </w:t>
      </w:r>
      <w:r>
        <w:rPr>
          <w:rFonts w:ascii="Garamond" w:eastAsia="Garamond" w:hAnsi="Garamond" w:cs="Garamond"/>
          <w:iCs/>
        </w:rPr>
        <w:t>They believed t</w:t>
      </w:r>
      <w:r w:rsidRPr="00E33A69">
        <w:rPr>
          <w:rFonts w:ascii="Garamond" w:eastAsia="Garamond" w:hAnsi="Garamond" w:cs="Garamond"/>
          <w:iCs/>
        </w:rPr>
        <w:t>his approach</w:t>
      </w:r>
      <w:r>
        <w:rPr>
          <w:rFonts w:ascii="Garamond" w:eastAsia="Garamond" w:hAnsi="Garamond" w:cs="Garamond"/>
          <w:iCs/>
        </w:rPr>
        <w:t xml:space="preserve"> </w:t>
      </w:r>
      <w:r w:rsidRPr="00E33A69">
        <w:rPr>
          <w:rFonts w:ascii="Garamond" w:eastAsia="Garamond" w:hAnsi="Garamond" w:cs="Garamond"/>
          <w:iCs/>
        </w:rPr>
        <w:t>would balance the protection of free expression for users supporting Palestinian solidarity with the need to address the current risk of violence related to the phrase.</w:t>
      </w:r>
    </w:p>
    <w:p w14:paraId="06DC08A3" w14:textId="77777777" w:rsidR="00E33A69" w:rsidRDefault="00E33A69" w:rsidP="00E33A69">
      <w:pPr>
        <w:widowControl w:val="0"/>
        <w:jc w:val="both"/>
        <w:rPr>
          <w:rFonts w:ascii="Garamond" w:eastAsia="Garamond" w:hAnsi="Garamond" w:cs="Garamond"/>
          <w:iCs/>
        </w:rPr>
      </w:pPr>
    </w:p>
    <w:p w14:paraId="47561CBD" w14:textId="77777777" w:rsidR="00E33A69" w:rsidRPr="008C6172" w:rsidRDefault="00E33A69" w:rsidP="00E33A69">
      <w:pPr>
        <w:widowControl w:val="0"/>
        <w:jc w:val="both"/>
        <w:rPr>
          <w:rFonts w:ascii="Garamond" w:eastAsia="Garamond" w:hAnsi="Garamond" w:cs="Garamond"/>
          <w:iCs/>
        </w:rPr>
      </w:pPr>
    </w:p>
    <w:p w14:paraId="675EBCF1" w14:textId="18048588" w:rsidR="00BC1499" w:rsidRDefault="00E33A69">
      <w:pPr>
        <w:widowControl w:val="0"/>
        <w:rPr>
          <w:rFonts w:ascii="Garamond" w:eastAsia="Garamond" w:hAnsi="Garamond" w:cs="Garamond"/>
        </w:rPr>
      </w:pPr>
      <w:r w:rsidRPr="00E33A69">
        <w:rPr>
          <w:rFonts w:ascii="Garamond" w:eastAsia="Garamond" w:hAnsi="Garamond" w:cs="Garamond"/>
        </w:rPr>
        <w:t>Another minority of the Board strongly felt that highlighting the use of a phrase adopted by a terrorist group should not imply that individuals posting such content are themselves terrorists. This minority argued that in evaluating online content, the origin and meaning of phrases must be carefully analyzed and interpreted. They stressed that this analysis should not be confused with efforts to delegitimize civil society actors.</w:t>
      </w:r>
    </w:p>
    <w:p w14:paraId="38834CAF" w14:textId="77777777" w:rsidR="00BC1499" w:rsidRDefault="00BC1499">
      <w:pPr>
        <w:pBdr>
          <w:top w:val="nil"/>
          <w:left w:val="nil"/>
          <w:bottom w:val="nil"/>
          <w:right w:val="nil"/>
          <w:between w:val="nil"/>
        </w:pBdr>
        <w:spacing w:line="276" w:lineRule="auto"/>
        <w:jc w:val="both"/>
        <w:rPr>
          <w:rFonts w:ascii="Garamond" w:eastAsia="Garamond" w:hAnsi="Garamond" w:cs="Garamond"/>
        </w:rPr>
      </w:pPr>
    </w:p>
    <w:p w14:paraId="202194F7" w14:textId="77777777" w:rsidR="00BC1499" w:rsidRDefault="00000000">
      <w:pPr>
        <w:spacing w:line="276" w:lineRule="auto"/>
        <w:jc w:val="both"/>
        <w:rPr>
          <w:rFonts w:ascii="Garamond" w:eastAsia="Garamond" w:hAnsi="Garamond" w:cs="Garamond"/>
        </w:rPr>
      </w:pPr>
      <w:r>
        <w:rPr>
          <w:rFonts w:ascii="Garamond" w:eastAsia="Garamond" w:hAnsi="Garamond" w:cs="Garamond"/>
          <w:b/>
          <w:i/>
          <w:u w:val="single"/>
        </w:rPr>
        <w:t>Direction:</w:t>
      </w:r>
    </w:p>
    <w:p w14:paraId="435C94D5" w14:textId="305D51AE" w:rsidR="00BC1499" w:rsidRDefault="00000000">
      <w:pPr>
        <w:numPr>
          <w:ilvl w:val="0"/>
          <w:numId w:val="8"/>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Outcome</w:t>
      </w:r>
      <w:r>
        <w:rPr>
          <w:rFonts w:ascii="Garamond" w:eastAsia="Garamond" w:hAnsi="Garamond" w:cs="Garamond"/>
          <w:color w:val="000000"/>
        </w:rPr>
        <w:t>: Expands Expression</w:t>
      </w:r>
    </w:p>
    <w:p w14:paraId="4803E118" w14:textId="77777777" w:rsidR="00BC1499" w:rsidRDefault="00BC1499">
      <w:pPr>
        <w:pBdr>
          <w:top w:val="nil"/>
          <w:left w:val="nil"/>
          <w:bottom w:val="nil"/>
          <w:right w:val="nil"/>
          <w:between w:val="nil"/>
        </w:pBdr>
        <w:spacing w:line="276" w:lineRule="auto"/>
        <w:jc w:val="both"/>
        <w:rPr>
          <w:rFonts w:ascii="Garamond" w:eastAsia="Garamond" w:hAnsi="Garamond" w:cs="Garamond"/>
          <w:color w:val="000000"/>
        </w:rPr>
      </w:pPr>
    </w:p>
    <w:p w14:paraId="093C5B63" w14:textId="4EA74555" w:rsidR="00983126" w:rsidRDefault="00983126">
      <w:p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color w:val="000000"/>
        </w:rPr>
        <w:t>The Board’s decision expands expression as it protects the phrase “From the River to the Sea” from arbitrary restriction, even if it is offensive to some</w:t>
      </w:r>
      <w:r w:rsidR="00FF1806">
        <w:rPr>
          <w:rFonts w:ascii="Garamond" w:eastAsia="Garamond" w:hAnsi="Garamond" w:cs="Garamond"/>
          <w:color w:val="000000"/>
        </w:rPr>
        <w:t xml:space="preserve"> following agreed upon principles from the Human Rights Committee and the European jurisdiction</w:t>
      </w:r>
      <w:r>
        <w:rPr>
          <w:rFonts w:ascii="Garamond" w:eastAsia="Garamond" w:hAnsi="Garamond" w:cs="Garamond"/>
          <w:color w:val="000000"/>
        </w:rPr>
        <w:t xml:space="preserve">. The Board recognized the historical </w:t>
      </w:r>
      <w:r w:rsidR="00FF1806">
        <w:rPr>
          <w:rFonts w:ascii="Garamond" w:eastAsia="Garamond" w:hAnsi="Garamond" w:cs="Garamond"/>
          <w:color w:val="000000"/>
        </w:rPr>
        <w:t xml:space="preserve">and linguistic </w:t>
      </w:r>
      <w:r>
        <w:rPr>
          <w:rFonts w:ascii="Garamond" w:eastAsia="Garamond" w:hAnsi="Garamond" w:cs="Garamond"/>
          <w:color w:val="000000"/>
        </w:rPr>
        <w:t xml:space="preserve">complexity of </w:t>
      </w:r>
      <w:r w:rsidR="00FF1806">
        <w:rPr>
          <w:rFonts w:ascii="Garamond" w:eastAsia="Garamond" w:hAnsi="Garamond" w:cs="Garamond"/>
          <w:color w:val="000000"/>
        </w:rPr>
        <w:t xml:space="preserve">the phrase and its position in advocating for Palestinian people. Additionally, the Board utilized the internationally recognized Rabat Plan of Action to determine whether the phrase was inciting or </w:t>
      </w:r>
      <w:r w:rsidR="00BA6DBF">
        <w:rPr>
          <w:rFonts w:ascii="Garamond" w:eastAsia="Garamond" w:hAnsi="Garamond" w:cs="Garamond"/>
          <w:color w:val="000000"/>
        </w:rPr>
        <w:t>not and</w:t>
      </w:r>
      <w:r w:rsidR="00FF1806">
        <w:rPr>
          <w:rFonts w:ascii="Garamond" w:eastAsia="Garamond" w:hAnsi="Garamond" w:cs="Garamond"/>
          <w:color w:val="000000"/>
        </w:rPr>
        <w:t xml:space="preserve"> reached the conclusion that it is not through assessing it against the elements of the Rabat Plan of Action.</w:t>
      </w:r>
    </w:p>
    <w:p w14:paraId="57DF30FB" w14:textId="77777777" w:rsidR="00BC1499" w:rsidRDefault="00000000">
      <w:pPr>
        <w:spacing w:line="276" w:lineRule="auto"/>
        <w:jc w:val="both"/>
        <w:rPr>
          <w:rFonts w:ascii="Garamond" w:eastAsia="Garamond" w:hAnsi="Garamond" w:cs="Garamond"/>
        </w:rPr>
      </w:pPr>
      <w:r>
        <w:rPr>
          <w:rFonts w:ascii="Garamond" w:eastAsia="Garamond" w:hAnsi="Garamond" w:cs="Garamond"/>
          <w:b/>
          <w:i/>
          <w:u w:val="single"/>
        </w:rPr>
        <w:t>Perspective</w:t>
      </w:r>
      <w:r>
        <w:rPr>
          <w:rFonts w:ascii="Garamond" w:eastAsia="Garamond" w:hAnsi="Garamond" w:cs="Garamond"/>
        </w:rPr>
        <w:t xml:space="preserve">: </w:t>
      </w:r>
    </w:p>
    <w:p w14:paraId="2866F02A" w14:textId="77777777" w:rsidR="00BC1499" w:rsidRDefault="00000000">
      <w:pPr>
        <w:spacing w:line="276" w:lineRule="auto"/>
        <w:jc w:val="both"/>
        <w:rPr>
          <w:rFonts w:ascii="Garamond" w:eastAsia="Garamond" w:hAnsi="Garamond" w:cs="Garamond"/>
        </w:rPr>
      </w:pPr>
      <w:r>
        <w:rPr>
          <w:rFonts w:ascii="Garamond" w:eastAsia="Garamond" w:hAnsi="Garamond" w:cs="Garamond"/>
        </w:rPr>
        <w:t xml:space="preserve">The Perspective section should only contain law references of international, regional, and national judicial decisions or legislative materials that are substantively relevant to the issues in the case at hand. Thus, the law references in this section should be limited only to those that the Oversight Board cited, relied on, or applied in reaching its decision on matters of the right to freedom of expression. </w:t>
      </w:r>
    </w:p>
    <w:p w14:paraId="10185314" w14:textId="77777777" w:rsidR="00BC1499" w:rsidRDefault="00BC1499">
      <w:pPr>
        <w:spacing w:line="276" w:lineRule="auto"/>
        <w:jc w:val="both"/>
        <w:rPr>
          <w:rFonts w:ascii="Garamond" w:eastAsia="Garamond" w:hAnsi="Garamond" w:cs="Garamond"/>
          <w:highlight w:val="yellow"/>
        </w:rPr>
      </w:pPr>
    </w:p>
    <w:p w14:paraId="1037D540" w14:textId="77777777" w:rsidR="00BC1499" w:rsidRDefault="00000000">
      <w:pPr>
        <w:numPr>
          <w:ilvl w:val="0"/>
          <w:numId w:val="2"/>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Related International and/or regional laws</w:t>
      </w:r>
      <w:r>
        <w:rPr>
          <w:rFonts w:ascii="Garamond" w:eastAsia="Garamond" w:hAnsi="Garamond" w:cs="Garamond"/>
          <w:color w:val="000000"/>
        </w:rPr>
        <w:t xml:space="preserve">: </w:t>
      </w:r>
    </w:p>
    <w:p w14:paraId="48FCA774" w14:textId="77777777" w:rsidR="00BC1499" w:rsidRDefault="00000000">
      <w:pPr>
        <w:numPr>
          <w:ilvl w:val="1"/>
          <w:numId w:val="2"/>
        </w:num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 xml:space="preserve">Please include a brief explanation of how the standard is used by the Board. Indicate if the standard is used as a legal basis for the Board’s decision or if it is employed as a marginal reference].  </w:t>
      </w:r>
    </w:p>
    <w:p w14:paraId="1FB0F79E" w14:textId="77777777" w:rsidR="00BC1499" w:rsidRDefault="00000000">
      <w:pPr>
        <w:numPr>
          <w:ilvl w:val="1"/>
          <w:numId w:val="2"/>
        </w:numPr>
        <w:spacing w:line="276" w:lineRule="auto"/>
        <w:jc w:val="both"/>
        <w:rPr>
          <w:rFonts w:ascii="Garamond" w:eastAsia="Garamond" w:hAnsi="Garamond" w:cs="Garamond"/>
        </w:rPr>
      </w:pPr>
      <w:r>
        <w:rPr>
          <w:rFonts w:ascii="Garamond" w:eastAsia="Garamond" w:hAnsi="Garamond" w:cs="Garamond"/>
        </w:rPr>
        <w:t xml:space="preserve">Please include all previous Oversight Board decisions used by the Board in the decision. When you add the law references, please also include a hyperlink to the original source. </w:t>
      </w:r>
    </w:p>
    <w:p w14:paraId="63182025" w14:textId="77777777" w:rsidR="00BC1499" w:rsidRDefault="00BC1499">
      <w:pPr>
        <w:pBdr>
          <w:top w:val="nil"/>
          <w:left w:val="nil"/>
          <w:bottom w:val="nil"/>
          <w:right w:val="nil"/>
          <w:between w:val="nil"/>
        </w:pBdr>
        <w:spacing w:line="276" w:lineRule="auto"/>
        <w:ind w:left="1080"/>
        <w:jc w:val="both"/>
        <w:rPr>
          <w:rFonts w:ascii="Garamond" w:eastAsia="Garamond" w:hAnsi="Garamond" w:cs="Garamond"/>
          <w:b/>
        </w:rPr>
      </w:pPr>
    </w:p>
    <w:p w14:paraId="2F960AAD" w14:textId="77777777" w:rsidR="00BC1499" w:rsidRDefault="00000000">
      <w:pPr>
        <w:numPr>
          <w:ilvl w:val="0"/>
          <w:numId w:val="2"/>
        </w:num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b/>
          <w:color w:val="000000"/>
        </w:rPr>
        <w:t>National law or jurisprudence</w:t>
      </w:r>
      <w:r>
        <w:rPr>
          <w:rFonts w:ascii="Garamond" w:eastAsia="Garamond" w:hAnsi="Garamond" w:cs="Garamond"/>
          <w:color w:val="000000"/>
        </w:rPr>
        <w:t xml:space="preserve">: </w:t>
      </w:r>
    </w:p>
    <w:p w14:paraId="2A246385" w14:textId="77777777" w:rsidR="00BC1499" w:rsidRDefault="00000000">
      <w:pPr>
        <w:numPr>
          <w:ilvl w:val="1"/>
          <w:numId w:val="2"/>
        </w:num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Unless the Board states otherwise include in the “note” box the following text: The Oversight Board cites national legal standards as mere references.</w:t>
      </w:r>
    </w:p>
    <w:p w14:paraId="510AA288" w14:textId="77777777" w:rsidR="00BC1499" w:rsidRDefault="00BC1499">
      <w:pPr>
        <w:spacing w:line="276" w:lineRule="auto"/>
        <w:jc w:val="both"/>
        <w:rPr>
          <w:rFonts w:ascii="Garamond" w:eastAsia="Garamond" w:hAnsi="Garamond" w:cs="Garamond"/>
        </w:rPr>
      </w:pPr>
    </w:p>
    <w:p w14:paraId="200A249C" w14:textId="77777777" w:rsidR="00BC1499" w:rsidRDefault="00000000">
      <w:pPr>
        <w:spacing w:line="276" w:lineRule="auto"/>
        <w:jc w:val="both"/>
        <w:rPr>
          <w:rFonts w:ascii="Garamond" w:eastAsia="Garamond" w:hAnsi="Garamond" w:cs="Garamond"/>
        </w:rPr>
      </w:pPr>
      <w:r>
        <w:rPr>
          <w:rFonts w:ascii="Garamond" w:eastAsia="Garamond" w:hAnsi="Garamond" w:cs="Garamond"/>
          <w:b/>
          <w:i/>
          <w:u w:val="single"/>
        </w:rPr>
        <w:t>Significance</w:t>
      </w:r>
      <w:r>
        <w:rPr>
          <w:rFonts w:ascii="Garamond" w:eastAsia="Garamond" w:hAnsi="Garamond" w:cs="Garamond"/>
        </w:rPr>
        <w:t xml:space="preserve">: </w:t>
      </w:r>
    </w:p>
    <w:p w14:paraId="402B290C" w14:textId="77777777" w:rsidR="00BC1499" w:rsidRDefault="00000000">
      <w:pPr>
        <w:numPr>
          <w:ilvl w:val="0"/>
          <w:numId w:val="6"/>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Binding or persuasive precedent within jurisdiction</w:t>
      </w:r>
      <w:r>
        <w:rPr>
          <w:rFonts w:ascii="Garamond" w:eastAsia="Garamond" w:hAnsi="Garamond" w:cs="Garamond"/>
          <w:color w:val="000000"/>
        </w:rPr>
        <w:t xml:space="preserve">; </w:t>
      </w:r>
      <w:r>
        <w:rPr>
          <w:rFonts w:ascii="Garamond" w:eastAsia="Garamond" w:hAnsi="Garamond" w:cs="Garamond"/>
          <w:b/>
          <w:color w:val="000000"/>
        </w:rPr>
        <w:t>Decision establishes influential or persuasive precedent outside jurisdiction</w:t>
      </w:r>
      <w:r>
        <w:rPr>
          <w:rFonts w:ascii="Garamond" w:eastAsia="Garamond" w:hAnsi="Garamond" w:cs="Garamond"/>
          <w:color w:val="000000"/>
        </w:rPr>
        <w:t xml:space="preserve">; </w:t>
      </w:r>
      <w:r>
        <w:rPr>
          <w:rFonts w:ascii="Garamond" w:eastAsia="Garamond" w:hAnsi="Garamond" w:cs="Garamond"/>
          <w:b/>
          <w:color w:val="000000"/>
        </w:rPr>
        <w:t>Explanation</w:t>
      </w:r>
      <w:r>
        <w:rPr>
          <w:rFonts w:ascii="Garamond" w:eastAsia="Garamond" w:hAnsi="Garamond" w:cs="Garamond"/>
          <w:color w:val="000000"/>
        </w:rPr>
        <w:t xml:space="preserve">: </w:t>
      </w:r>
    </w:p>
    <w:p w14:paraId="52D289EC"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u w:val="single"/>
        </w:rPr>
      </w:pPr>
    </w:p>
    <w:p w14:paraId="72021765" w14:textId="77777777" w:rsidR="00BC1499" w:rsidRDefault="00000000">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color w:val="000000"/>
          <w:u w:val="single"/>
        </w:rPr>
        <w:t>Standard I</w:t>
      </w:r>
      <w:r>
        <w:rPr>
          <w:rFonts w:ascii="Garamond" w:eastAsia="Garamond" w:hAnsi="Garamond" w:cs="Garamond"/>
          <w:color w:val="000000"/>
        </w:rPr>
        <w:t xml:space="preserve">: The decision establishes a binding or persuasive precedent within its jurisdiction. [Select this </w:t>
      </w:r>
      <w:r>
        <w:rPr>
          <w:rFonts w:ascii="Garamond" w:eastAsia="Garamond" w:hAnsi="Garamond" w:cs="Garamond"/>
        </w:rPr>
        <w:t xml:space="preserve">Standard and include the following note:] </w:t>
      </w:r>
    </w:p>
    <w:p w14:paraId="554876C6"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rPr>
      </w:pPr>
    </w:p>
    <w:p w14:paraId="58017826" w14:textId="77777777" w:rsidR="00BC1499" w:rsidRDefault="00000000">
      <w:pPr>
        <w:spacing w:line="276" w:lineRule="auto"/>
        <w:ind w:left="360"/>
        <w:jc w:val="both"/>
        <w:rPr>
          <w:rFonts w:ascii="Garamond" w:eastAsia="Garamond" w:hAnsi="Garamond" w:cs="Garamond"/>
        </w:rPr>
      </w:pPr>
      <w:r>
        <w:rPr>
          <w:rFonts w:ascii="Garamond" w:eastAsia="Garamond" w:hAnsi="Garamond" w:cs="Garamond"/>
        </w:rPr>
        <w:t xml:space="preserve">According to Article 2 of the </w:t>
      </w:r>
      <w:hyperlink r:id="rId16">
        <w:r w:rsidR="00BC1499">
          <w:rPr>
            <w:rFonts w:ascii="Garamond" w:eastAsia="Garamond" w:hAnsi="Garamond" w:cs="Garamond"/>
            <w:color w:val="1155CC"/>
            <w:u w:val="single"/>
          </w:rPr>
          <w:t>Oversight Board Charter</w:t>
        </w:r>
      </w:hyperlink>
      <w:r>
        <w:rPr>
          <w:rFonts w:ascii="Garamond" w:eastAsia="Garamond" w:hAnsi="Garamond" w:cs="Garamond"/>
        </w:rPr>
        <w:t xml:space="preserve">, “For each decision, any prior board decisions will have precedential value and should be viewed as highly persuasive when the facts, applicable policies, or other factors are substantially similar.” In addition, Article 4 of the Oversight Board Charter establishes, “The board’s resolution of each case will be </w:t>
      </w:r>
      <w:proofErr w:type="gramStart"/>
      <w:r>
        <w:rPr>
          <w:rFonts w:ascii="Garamond" w:eastAsia="Garamond" w:hAnsi="Garamond" w:cs="Garamond"/>
        </w:rPr>
        <w:t>binding</w:t>
      </w:r>
      <w:proofErr w:type="gramEnd"/>
      <w:r>
        <w:rPr>
          <w:rFonts w:ascii="Garamond" w:eastAsia="Garamond" w:hAnsi="Garamond" w:cs="Garamond"/>
        </w:rPr>
        <w:t xml:space="preserve"> and Facebook (now Meta) will implement it promptly, unless implementation of a resolution could violate the law. In instances where Facebook identifies that identical content with parallel context – which the board has already decided upon – remains on Facebook (now Meta), </w:t>
      </w:r>
      <w:r>
        <w:rPr>
          <w:rFonts w:ascii="Garamond" w:eastAsia="Garamond" w:hAnsi="Garamond" w:cs="Garamond"/>
        </w:rPr>
        <w:lastRenderedPageBreak/>
        <w:t xml:space="preserve">it will </w:t>
      </w:r>
      <w:proofErr w:type="gramStart"/>
      <w:r>
        <w:rPr>
          <w:rFonts w:ascii="Garamond" w:eastAsia="Garamond" w:hAnsi="Garamond" w:cs="Garamond"/>
        </w:rPr>
        <w:t>take action</w:t>
      </w:r>
      <w:proofErr w:type="gramEnd"/>
      <w:r>
        <w:rPr>
          <w:rFonts w:ascii="Garamond" w:eastAsia="Garamond" w:hAnsi="Garamond" w:cs="Garamond"/>
        </w:rPr>
        <w:t xml:space="preserve"> by analyzing whether it is technically and operationally feasible to apply the board’s decision to that content as well. When a decision includes policy guidance or a policy advisory opinion, Facebook (now Meta) will take further action by analyzing the operational procedures required to implement the guidance, considering it in the formal policy development process of Facebook (now Meta), and transparently communicating about actions taken as a result.”</w:t>
      </w:r>
    </w:p>
    <w:p w14:paraId="4B6B2B10" w14:textId="77777777" w:rsidR="00BC1499" w:rsidRDefault="00BC1499">
      <w:pPr>
        <w:pBdr>
          <w:top w:val="nil"/>
          <w:left w:val="nil"/>
          <w:bottom w:val="nil"/>
          <w:right w:val="nil"/>
          <w:between w:val="nil"/>
        </w:pBdr>
        <w:spacing w:line="276" w:lineRule="auto"/>
        <w:jc w:val="both"/>
        <w:rPr>
          <w:rFonts w:ascii="Garamond" w:eastAsia="Garamond" w:hAnsi="Garamond" w:cs="Garamond"/>
          <w:color w:val="000000"/>
        </w:rPr>
      </w:pPr>
    </w:p>
    <w:p w14:paraId="695FD5CF" w14:textId="77777777" w:rsidR="00BC1499" w:rsidRDefault="00000000">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color w:val="000000"/>
          <w:u w:val="single"/>
        </w:rPr>
        <w:t>Standard II</w:t>
      </w:r>
      <w:r>
        <w:rPr>
          <w:rFonts w:ascii="Garamond" w:eastAsia="Garamond" w:hAnsi="Garamond" w:cs="Garamond"/>
          <w:color w:val="000000"/>
        </w:rPr>
        <w:t xml:space="preserve">: Decision (including concurring or dissenting opinions) establishes influential or persuasive precedent outside its jurisdiction. </w:t>
      </w:r>
      <w:r>
        <w:rPr>
          <w:rFonts w:ascii="Garamond" w:eastAsia="Garamond" w:hAnsi="Garamond" w:cs="Garamond"/>
        </w:rPr>
        <w:t xml:space="preserve">[Do not select this Standard]  </w:t>
      </w:r>
    </w:p>
    <w:p w14:paraId="1C9A4D9A"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rPr>
      </w:pPr>
    </w:p>
    <w:p w14:paraId="669FD9E5" w14:textId="77777777" w:rsidR="00BC1499" w:rsidRDefault="00000000">
      <w:pPr>
        <w:numPr>
          <w:ilvl w:val="0"/>
          <w:numId w:val="6"/>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Related Cases</w:t>
      </w:r>
      <w:r>
        <w:rPr>
          <w:rFonts w:ascii="Garamond" w:eastAsia="Garamond" w:hAnsi="Garamond" w:cs="Garamond"/>
          <w:color w:val="000000"/>
        </w:rPr>
        <w:t>: Self-generated [N/A]</w:t>
      </w:r>
    </w:p>
    <w:p w14:paraId="1D7714F0"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color w:val="000000"/>
        </w:rPr>
      </w:pPr>
    </w:p>
    <w:p w14:paraId="7C6B007E" w14:textId="77777777" w:rsidR="00BC1499" w:rsidRDefault="00000000">
      <w:pPr>
        <w:numPr>
          <w:ilvl w:val="0"/>
          <w:numId w:val="6"/>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Date updated</w:t>
      </w:r>
      <w:r>
        <w:rPr>
          <w:rFonts w:ascii="Garamond" w:eastAsia="Garamond" w:hAnsi="Garamond" w:cs="Garamond"/>
          <w:color w:val="000000"/>
        </w:rPr>
        <w:t>: [N/A]</w:t>
      </w:r>
    </w:p>
    <w:p w14:paraId="2FFEE2A7" w14:textId="77777777" w:rsidR="00BC1499" w:rsidRDefault="00BC1499">
      <w:pPr>
        <w:spacing w:line="276" w:lineRule="auto"/>
        <w:jc w:val="both"/>
        <w:rPr>
          <w:rFonts w:ascii="Garamond" w:eastAsia="Garamond" w:hAnsi="Garamond" w:cs="Garamond"/>
        </w:rPr>
      </w:pPr>
    </w:p>
    <w:p w14:paraId="6049E454" w14:textId="77777777" w:rsidR="00BC1499" w:rsidRDefault="00000000">
      <w:pPr>
        <w:spacing w:line="276" w:lineRule="auto"/>
        <w:jc w:val="both"/>
        <w:rPr>
          <w:rFonts w:ascii="Garamond" w:eastAsia="Garamond" w:hAnsi="Garamond" w:cs="Garamond"/>
        </w:rPr>
      </w:pPr>
      <w:r>
        <w:rPr>
          <w:rFonts w:ascii="Garamond" w:eastAsia="Garamond" w:hAnsi="Garamond" w:cs="Garamond"/>
          <w:b/>
          <w:i/>
          <w:u w:val="single"/>
        </w:rPr>
        <w:t>Docs</w:t>
      </w:r>
      <w:r>
        <w:rPr>
          <w:rFonts w:ascii="Garamond" w:eastAsia="Garamond" w:hAnsi="Garamond" w:cs="Garamond"/>
        </w:rPr>
        <w:t xml:space="preserve">: </w:t>
      </w:r>
    </w:p>
    <w:p w14:paraId="0DC9452F" w14:textId="77777777" w:rsidR="00BC1499" w:rsidRDefault="00000000">
      <w:pPr>
        <w:numPr>
          <w:ilvl w:val="0"/>
          <w:numId w:val="9"/>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Official Case Documents</w:t>
      </w:r>
      <w:r>
        <w:rPr>
          <w:rFonts w:ascii="Garamond" w:eastAsia="Garamond" w:hAnsi="Garamond" w:cs="Garamond"/>
          <w:color w:val="000000"/>
        </w:rPr>
        <w:t xml:space="preserve">: </w:t>
      </w:r>
    </w:p>
    <w:p w14:paraId="7D6FC74E" w14:textId="77777777" w:rsidR="00BC1499" w:rsidRDefault="00000000">
      <w:pPr>
        <w:pBdr>
          <w:top w:val="nil"/>
          <w:left w:val="nil"/>
          <w:bottom w:val="nil"/>
          <w:right w:val="nil"/>
          <w:between w:val="nil"/>
        </w:pBdr>
        <w:spacing w:line="276" w:lineRule="auto"/>
        <w:ind w:left="360"/>
        <w:jc w:val="both"/>
        <w:rPr>
          <w:rFonts w:ascii="Garamond" w:eastAsia="Garamond" w:hAnsi="Garamond" w:cs="Garamond"/>
          <w:color w:val="000000"/>
        </w:rPr>
      </w:pPr>
      <w:r>
        <w:rPr>
          <w:rFonts w:ascii="Garamond" w:eastAsia="Garamond" w:hAnsi="Garamond" w:cs="Garamond"/>
        </w:rPr>
        <w:t xml:space="preserve">Please include the following: </w:t>
      </w:r>
    </w:p>
    <w:p w14:paraId="443DF41F" w14:textId="77777777" w:rsidR="00BC1499" w:rsidRDefault="00000000">
      <w:pPr>
        <w:numPr>
          <w:ilvl w:val="0"/>
          <w:numId w:val="5"/>
        </w:num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 xml:space="preserve">Decision </w:t>
      </w:r>
      <w:r>
        <w:rPr>
          <w:rFonts w:ascii="Garamond" w:eastAsia="Garamond" w:hAnsi="Garamond" w:cs="Garamond"/>
          <w:color w:val="000000"/>
        </w:rPr>
        <w:t>(in English) [Attached]</w:t>
      </w:r>
    </w:p>
    <w:p w14:paraId="17CB1B9C" w14:textId="77777777" w:rsidR="00BC1499" w:rsidRDefault="00000000">
      <w:pPr>
        <w:numPr>
          <w:ilvl w:val="0"/>
          <w:numId w:val="5"/>
        </w:num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color w:val="000000"/>
        </w:rPr>
        <w:t xml:space="preserve">Press Release issued by …. (in English) [Attached] </w:t>
      </w:r>
    </w:p>
    <w:p w14:paraId="65EEFB0C" w14:textId="77777777" w:rsidR="00BC1499" w:rsidRDefault="00000000">
      <w:pPr>
        <w:numPr>
          <w:ilvl w:val="0"/>
          <w:numId w:val="5"/>
        </w:num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 xml:space="preserve">All the available languages versions of the decision in the following format: </w:t>
      </w:r>
    </w:p>
    <w:p w14:paraId="1C21F139" w14:textId="77777777" w:rsidR="00BC1499" w:rsidRDefault="00000000">
      <w:pPr>
        <w:numPr>
          <w:ilvl w:val="1"/>
          <w:numId w:val="5"/>
        </w:numPr>
        <w:spacing w:line="276" w:lineRule="auto"/>
        <w:jc w:val="both"/>
        <w:rPr>
          <w:rFonts w:ascii="Garamond" w:eastAsia="Garamond" w:hAnsi="Garamond" w:cs="Garamond"/>
        </w:rPr>
      </w:pPr>
      <w:r>
        <w:rPr>
          <w:rFonts w:ascii="Garamond" w:eastAsia="Garamond" w:hAnsi="Garamond" w:cs="Garamond"/>
        </w:rPr>
        <w:t>Decision (in “Language”) [Attached]</w:t>
      </w:r>
    </w:p>
    <w:p w14:paraId="5D2FE6D4" w14:textId="77777777" w:rsidR="00BC1499" w:rsidRDefault="00000000">
      <w:pPr>
        <w:numPr>
          <w:ilvl w:val="2"/>
          <w:numId w:val="5"/>
        </w:numPr>
        <w:spacing w:line="276" w:lineRule="auto"/>
        <w:jc w:val="both"/>
        <w:rPr>
          <w:rFonts w:ascii="Garamond" w:eastAsia="Garamond" w:hAnsi="Garamond" w:cs="Garamond"/>
        </w:rPr>
      </w:pPr>
      <w:r>
        <w:rPr>
          <w:rFonts w:ascii="Garamond" w:eastAsia="Garamond" w:hAnsi="Garamond" w:cs="Garamond"/>
        </w:rPr>
        <w:t>Ex. Decision (in Spanish) [Attached]</w:t>
      </w:r>
    </w:p>
    <w:p w14:paraId="11B74C07" w14:textId="77777777" w:rsidR="00BC1499" w:rsidRDefault="00000000">
      <w:pPr>
        <w:numPr>
          <w:ilvl w:val="0"/>
          <w:numId w:val="7"/>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rPr>
        <w:t>Amicus briefs and other legal authorities</w:t>
      </w:r>
    </w:p>
    <w:p w14:paraId="3FEC696E" w14:textId="77777777" w:rsidR="00BC1499" w:rsidRDefault="00000000">
      <w:pPr>
        <w:numPr>
          <w:ilvl w:val="1"/>
          <w:numId w:val="7"/>
        </w:num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 xml:space="preserve">Please include all documents submitted to the Oversight Board by third parties to the decision. Ex: Public Comment Appendix. </w:t>
      </w:r>
    </w:p>
    <w:p w14:paraId="6B958656" w14:textId="77777777" w:rsidR="00BC1499" w:rsidRDefault="00000000">
      <w:pPr>
        <w:numPr>
          <w:ilvl w:val="0"/>
          <w:numId w:val="7"/>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Reports, Analysis, and News Articles</w:t>
      </w:r>
      <w:r>
        <w:rPr>
          <w:rFonts w:ascii="Garamond" w:eastAsia="Garamond" w:hAnsi="Garamond" w:cs="Garamond"/>
          <w:color w:val="000000"/>
        </w:rPr>
        <w:t>:</w:t>
      </w:r>
    </w:p>
    <w:p w14:paraId="624F883A" w14:textId="77777777" w:rsidR="00BC1499" w:rsidRDefault="00000000">
      <w:pPr>
        <w:numPr>
          <w:ilvl w:val="1"/>
          <w:numId w:val="7"/>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color w:val="000000"/>
        </w:rPr>
        <w:t xml:space="preserve">Please list any titles and </w:t>
      </w:r>
      <w:r>
        <w:rPr>
          <w:rFonts w:ascii="Garamond" w:eastAsia="Garamond" w:hAnsi="Garamond" w:cs="Garamond"/>
        </w:rPr>
        <w:t>URLs</w:t>
      </w:r>
      <w:r>
        <w:rPr>
          <w:rFonts w:ascii="Garamond" w:eastAsia="Garamond" w:hAnsi="Garamond" w:cs="Garamond"/>
          <w:color w:val="000000"/>
        </w:rPr>
        <w:t xml:space="preserve"> of interesting articles, Meta response or analyses about the case that might be of interest to readers</w:t>
      </w:r>
    </w:p>
    <w:p w14:paraId="202A03FF"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color w:val="000000"/>
        </w:rPr>
      </w:pPr>
    </w:p>
    <w:p w14:paraId="06E808D5" w14:textId="77777777" w:rsidR="00BC1499" w:rsidRDefault="00BC1499">
      <w:pPr>
        <w:spacing w:after="120"/>
        <w:ind w:left="2880"/>
        <w:rPr>
          <w:rFonts w:ascii="Garamond" w:eastAsia="Garamond" w:hAnsi="Garamond" w:cs="Garamond"/>
          <w:shd w:val="clear" w:color="auto" w:fill="FFF2CC"/>
        </w:rPr>
      </w:pPr>
    </w:p>
    <w:tbl>
      <w:tblPr>
        <w:tblStyle w:val="a6"/>
        <w:tblW w:w="9855" w:type="dxa"/>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6435"/>
      </w:tblGrid>
      <w:tr w:rsidR="00BC1499" w14:paraId="4EC77062" w14:textId="77777777">
        <w:trPr>
          <w:trHeight w:val="405"/>
        </w:trPr>
        <w:tc>
          <w:tcPr>
            <w:tcW w:w="9855" w:type="dxa"/>
            <w:gridSpan w:val="2"/>
            <w:shd w:val="clear" w:color="auto" w:fill="C9DAF8"/>
            <w:tcMar>
              <w:top w:w="100" w:type="dxa"/>
              <w:left w:w="100" w:type="dxa"/>
              <w:bottom w:w="100" w:type="dxa"/>
              <w:right w:w="100" w:type="dxa"/>
            </w:tcMar>
          </w:tcPr>
          <w:p w14:paraId="0EA799E4" w14:textId="77777777" w:rsidR="00BC1499" w:rsidRDefault="00000000">
            <w:pPr>
              <w:widowControl w:val="0"/>
              <w:ind w:left="360"/>
              <w:jc w:val="center"/>
              <w:rPr>
                <w:rFonts w:ascii="Garamond" w:eastAsia="Garamond" w:hAnsi="Garamond" w:cs="Garamond"/>
                <w:b/>
              </w:rPr>
            </w:pPr>
            <w:r>
              <w:rPr>
                <w:rFonts w:ascii="Garamond" w:eastAsia="Garamond" w:hAnsi="Garamond" w:cs="Garamond"/>
                <w:b/>
              </w:rPr>
              <w:t xml:space="preserve">TABLE 1 </w:t>
            </w:r>
          </w:p>
        </w:tc>
      </w:tr>
      <w:tr w:rsidR="00BC1499" w14:paraId="31068962" w14:textId="77777777">
        <w:trPr>
          <w:trHeight w:val="370"/>
        </w:trPr>
        <w:tc>
          <w:tcPr>
            <w:tcW w:w="9855" w:type="dxa"/>
            <w:gridSpan w:val="2"/>
            <w:shd w:val="clear" w:color="auto" w:fill="CFE2F3"/>
            <w:tcMar>
              <w:top w:w="100" w:type="dxa"/>
              <w:left w:w="100" w:type="dxa"/>
              <w:bottom w:w="100" w:type="dxa"/>
              <w:right w:w="100" w:type="dxa"/>
            </w:tcMar>
          </w:tcPr>
          <w:p w14:paraId="542F2E0D" w14:textId="77777777" w:rsidR="00BC1499" w:rsidRDefault="00000000">
            <w:pPr>
              <w:widowControl w:val="0"/>
              <w:ind w:left="360"/>
              <w:jc w:val="center"/>
              <w:rPr>
                <w:rFonts w:ascii="Garamond" w:eastAsia="Garamond" w:hAnsi="Garamond" w:cs="Garamond"/>
                <w:b/>
                <w:highlight w:val="yellow"/>
              </w:rPr>
            </w:pPr>
            <w:r>
              <w:rPr>
                <w:rFonts w:ascii="Garamond" w:eastAsia="Garamond" w:hAnsi="Garamond" w:cs="Garamond"/>
                <w:b/>
              </w:rPr>
              <w:t>Meta´s Content Policies</w:t>
            </w:r>
          </w:p>
        </w:tc>
      </w:tr>
      <w:tr w:rsidR="00BC1499" w14:paraId="0ECD03FD" w14:textId="77777777">
        <w:trPr>
          <w:trHeight w:val="405"/>
        </w:trPr>
        <w:tc>
          <w:tcPr>
            <w:tcW w:w="9855" w:type="dxa"/>
            <w:gridSpan w:val="2"/>
            <w:shd w:val="clear" w:color="auto" w:fill="9FC5E8"/>
            <w:tcMar>
              <w:top w:w="100" w:type="dxa"/>
              <w:left w:w="100" w:type="dxa"/>
              <w:bottom w:w="100" w:type="dxa"/>
              <w:right w:w="100" w:type="dxa"/>
            </w:tcMar>
          </w:tcPr>
          <w:p w14:paraId="62D13437" w14:textId="77777777" w:rsidR="00BC1499" w:rsidRDefault="00000000">
            <w:pPr>
              <w:widowControl w:val="0"/>
              <w:ind w:left="360"/>
              <w:jc w:val="center"/>
              <w:rPr>
                <w:rFonts w:ascii="Garamond" w:eastAsia="Garamond" w:hAnsi="Garamond" w:cs="Garamond"/>
              </w:rPr>
            </w:pPr>
            <w:r>
              <w:rPr>
                <w:rFonts w:ascii="Garamond" w:eastAsia="Garamond" w:hAnsi="Garamond" w:cs="Garamond"/>
              </w:rPr>
              <w:t xml:space="preserve">Note to the researcher: Please constantly check  on Meta’s website which standards are in use. If you notice there is a new standard, please advise the project coordinator. In any case, use the one(s) employed by the Oversight Board in its decisions. </w:t>
            </w:r>
          </w:p>
        </w:tc>
      </w:tr>
      <w:tr w:rsidR="00BC1499" w14:paraId="14BB165E" w14:textId="77777777">
        <w:trPr>
          <w:trHeight w:val="490"/>
        </w:trPr>
        <w:tc>
          <w:tcPr>
            <w:tcW w:w="3420" w:type="dxa"/>
            <w:shd w:val="clear" w:color="auto" w:fill="auto"/>
            <w:tcMar>
              <w:top w:w="100" w:type="dxa"/>
              <w:left w:w="100" w:type="dxa"/>
              <w:bottom w:w="100" w:type="dxa"/>
              <w:right w:w="100" w:type="dxa"/>
            </w:tcMar>
          </w:tcPr>
          <w:p w14:paraId="6A1ECADD" w14:textId="77777777" w:rsidR="00BC1499" w:rsidRDefault="00BC1499">
            <w:pPr>
              <w:widowControl w:val="0"/>
              <w:ind w:left="360"/>
              <w:rPr>
                <w:rFonts w:ascii="Garamond" w:eastAsia="Garamond" w:hAnsi="Garamond" w:cs="Garamond"/>
                <w:b/>
              </w:rPr>
            </w:pPr>
            <w:hyperlink r:id="rId17">
              <w:r>
                <w:rPr>
                  <w:rFonts w:ascii="Garamond" w:eastAsia="Garamond" w:hAnsi="Garamond" w:cs="Garamond"/>
                  <w:b/>
                  <w:color w:val="1155CC"/>
                  <w:u w:val="single"/>
                </w:rPr>
                <w:t>Instagram Community Guidelines</w:t>
              </w:r>
            </w:hyperlink>
          </w:p>
          <w:p w14:paraId="3A5964D7" w14:textId="77777777" w:rsidR="00BC1499" w:rsidRDefault="00BC1499">
            <w:pPr>
              <w:widowControl w:val="0"/>
              <w:rPr>
                <w:rFonts w:ascii="Garamond" w:eastAsia="Garamond" w:hAnsi="Garamond" w:cs="Garamond"/>
              </w:rPr>
            </w:pPr>
          </w:p>
        </w:tc>
        <w:tc>
          <w:tcPr>
            <w:tcW w:w="6435" w:type="dxa"/>
            <w:shd w:val="clear" w:color="auto" w:fill="auto"/>
            <w:tcMar>
              <w:top w:w="100" w:type="dxa"/>
              <w:left w:w="100" w:type="dxa"/>
              <w:bottom w:w="100" w:type="dxa"/>
              <w:right w:w="100" w:type="dxa"/>
            </w:tcMar>
          </w:tcPr>
          <w:p w14:paraId="127E5CCE" w14:textId="77777777" w:rsidR="00BC1499" w:rsidRDefault="00BC1499">
            <w:pPr>
              <w:spacing w:after="120"/>
              <w:rPr>
                <w:rFonts w:ascii="Garamond" w:eastAsia="Garamond" w:hAnsi="Garamond" w:cs="Garamond"/>
                <w:b/>
              </w:rPr>
            </w:pPr>
            <w:hyperlink r:id="rId18">
              <w:r>
                <w:rPr>
                  <w:rFonts w:ascii="Garamond" w:eastAsia="Garamond" w:hAnsi="Garamond" w:cs="Garamond"/>
                  <w:b/>
                  <w:color w:val="1155CC"/>
                  <w:u w:val="single"/>
                </w:rPr>
                <w:t>Facebook Community Standards</w:t>
              </w:r>
            </w:hyperlink>
            <w:r w:rsidR="00000000">
              <w:rPr>
                <w:rFonts w:ascii="Garamond" w:eastAsia="Garamond" w:hAnsi="Garamond" w:cs="Garamond"/>
                <w:b/>
              </w:rPr>
              <w:t xml:space="preserve"> </w:t>
            </w:r>
          </w:p>
        </w:tc>
      </w:tr>
      <w:tr w:rsidR="00BC1499" w14:paraId="563327BF" w14:textId="77777777">
        <w:tc>
          <w:tcPr>
            <w:tcW w:w="3420" w:type="dxa"/>
            <w:shd w:val="clear" w:color="auto" w:fill="auto"/>
            <w:tcMar>
              <w:top w:w="100" w:type="dxa"/>
              <w:left w:w="100" w:type="dxa"/>
              <w:bottom w:w="100" w:type="dxa"/>
              <w:right w:w="100" w:type="dxa"/>
            </w:tcMar>
          </w:tcPr>
          <w:p w14:paraId="6855CB38" w14:textId="77777777" w:rsidR="00BC1499" w:rsidRDefault="00000000">
            <w:pPr>
              <w:widowControl w:val="0"/>
              <w:numPr>
                <w:ilvl w:val="0"/>
                <w:numId w:val="10"/>
              </w:numPr>
              <w:rPr>
                <w:rFonts w:ascii="Garamond" w:eastAsia="Garamond" w:hAnsi="Garamond" w:cs="Garamond"/>
              </w:rPr>
            </w:pPr>
            <w:r>
              <w:rPr>
                <w:rFonts w:ascii="Garamond" w:eastAsia="Garamond" w:hAnsi="Garamond" w:cs="Garamond"/>
              </w:rPr>
              <w:t>Intellectual Property</w:t>
            </w:r>
          </w:p>
          <w:p w14:paraId="3E621097" w14:textId="77777777" w:rsidR="00BC1499" w:rsidRDefault="00000000">
            <w:pPr>
              <w:widowControl w:val="0"/>
              <w:numPr>
                <w:ilvl w:val="0"/>
                <w:numId w:val="10"/>
              </w:numPr>
              <w:rPr>
                <w:rFonts w:ascii="Garamond" w:eastAsia="Garamond" w:hAnsi="Garamond" w:cs="Garamond"/>
              </w:rPr>
            </w:pPr>
            <w:r>
              <w:rPr>
                <w:rFonts w:ascii="Garamond" w:eastAsia="Garamond" w:hAnsi="Garamond" w:cs="Garamond"/>
              </w:rPr>
              <w:t xml:space="preserve">Spam </w:t>
            </w:r>
          </w:p>
          <w:p w14:paraId="53234440" w14:textId="77777777" w:rsidR="00BC1499" w:rsidRDefault="00000000">
            <w:pPr>
              <w:widowControl w:val="0"/>
              <w:numPr>
                <w:ilvl w:val="0"/>
                <w:numId w:val="10"/>
              </w:numPr>
              <w:rPr>
                <w:rFonts w:ascii="Garamond" w:eastAsia="Garamond" w:hAnsi="Garamond" w:cs="Garamond"/>
              </w:rPr>
            </w:pPr>
            <w:r>
              <w:rPr>
                <w:rFonts w:ascii="Garamond" w:eastAsia="Garamond" w:hAnsi="Garamond" w:cs="Garamond"/>
              </w:rPr>
              <w:t>Illegal Content</w:t>
            </w:r>
          </w:p>
          <w:p w14:paraId="0AFE2B76" w14:textId="77777777" w:rsidR="00BC1499" w:rsidRDefault="00000000">
            <w:pPr>
              <w:widowControl w:val="0"/>
              <w:numPr>
                <w:ilvl w:val="0"/>
                <w:numId w:val="10"/>
              </w:numPr>
              <w:rPr>
                <w:rFonts w:ascii="Garamond" w:eastAsia="Garamond" w:hAnsi="Garamond" w:cs="Garamond"/>
              </w:rPr>
            </w:pPr>
            <w:r>
              <w:rPr>
                <w:rFonts w:ascii="Garamond" w:eastAsia="Garamond" w:hAnsi="Garamond" w:cs="Garamond"/>
              </w:rPr>
              <w:t>Hate Speech, Bullying and Abuse</w:t>
            </w:r>
          </w:p>
          <w:p w14:paraId="53D60A09" w14:textId="77777777" w:rsidR="00BC1499" w:rsidRDefault="00000000">
            <w:pPr>
              <w:widowControl w:val="0"/>
              <w:numPr>
                <w:ilvl w:val="0"/>
                <w:numId w:val="10"/>
              </w:numPr>
              <w:rPr>
                <w:rFonts w:ascii="Garamond" w:eastAsia="Garamond" w:hAnsi="Garamond" w:cs="Garamond"/>
              </w:rPr>
            </w:pPr>
            <w:proofErr w:type="spellStart"/>
            <w:r>
              <w:rPr>
                <w:rFonts w:ascii="Garamond" w:eastAsia="Garamond" w:hAnsi="Garamond" w:cs="Garamond"/>
              </w:rPr>
              <w:t>Self Injury</w:t>
            </w:r>
            <w:proofErr w:type="spellEnd"/>
          </w:p>
          <w:p w14:paraId="554BCFA3" w14:textId="77777777" w:rsidR="00BC1499" w:rsidRDefault="00000000">
            <w:pPr>
              <w:widowControl w:val="0"/>
              <w:numPr>
                <w:ilvl w:val="0"/>
                <w:numId w:val="10"/>
              </w:numPr>
              <w:rPr>
                <w:rFonts w:ascii="Garamond" w:eastAsia="Garamond" w:hAnsi="Garamond" w:cs="Garamond"/>
              </w:rPr>
            </w:pPr>
            <w:r>
              <w:rPr>
                <w:rFonts w:ascii="Garamond" w:eastAsia="Garamond" w:hAnsi="Garamond" w:cs="Garamond"/>
              </w:rPr>
              <w:t>Graphic Violence</w:t>
            </w:r>
          </w:p>
          <w:p w14:paraId="58698E49" w14:textId="77777777" w:rsidR="00BC1499" w:rsidRDefault="00000000">
            <w:pPr>
              <w:widowControl w:val="0"/>
              <w:numPr>
                <w:ilvl w:val="0"/>
                <w:numId w:val="10"/>
              </w:numPr>
              <w:rPr>
                <w:rFonts w:ascii="Garamond" w:eastAsia="Garamond" w:hAnsi="Garamond" w:cs="Garamond"/>
              </w:rPr>
            </w:pPr>
            <w:proofErr w:type="spellStart"/>
            <w:r>
              <w:rPr>
                <w:rFonts w:ascii="Garamond" w:eastAsia="Garamond" w:hAnsi="Garamond" w:cs="Garamond"/>
              </w:rPr>
              <w:lastRenderedPageBreak/>
              <w:t>Referal</w:t>
            </w:r>
            <w:proofErr w:type="spellEnd"/>
            <w:r>
              <w:rPr>
                <w:rFonts w:ascii="Garamond" w:eastAsia="Garamond" w:hAnsi="Garamond" w:cs="Garamond"/>
              </w:rPr>
              <w:t xml:space="preserve"> to Facebook Community Standards  </w:t>
            </w:r>
          </w:p>
          <w:p w14:paraId="648459D6" w14:textId="77777777" w:rsidR="00BC1499" w:rsidRDefault="00BC1499">
            <w:pPr>
              <w:widowControl w:val="0"/>
              <w:ind w:left="720"/>
              <w:rPr>
                <w:rFonts w:ascii="Garamond" w:eastAsia="Garamond" w:hAnsi="Garamond" w:cs="Garamond"/>
              </w:rPr>
            </w:pPr>
          </w:p>
        </w:tc>
        <w:tc>
          <w:tcPr>
            <w:tcW w:w="6435" w:type="dxa"/>
            <w:shd w:val="clear" w:color="auto" w:fill="auto"/>
            <w:tcMar>
              <w:top w:w="100" w:type="dxa"/>
              <w:left w:w="100" w:type="dxa"/>
              <w:bottom w:w="100" w:type="dxa"/>
              <w:right w:w="100" w:type="dxa"/>
            </w:tcMar>
          </w:tcPr>
          <w:p w14:paraId="44776658" w14:textId="77777777" w:rsidR="00BC1499" w:rsidRDefault="00000000">
            <w:pPr>
              <w:widowControl w:val="0"/>
              <w:numPr>
                <w:ilvl w:val="0"/>
                <w:numId w:val="11"/>
              </w:numPr>
              <w:rPr>
                <w:rFonts w:ascii="Garamond" w:eastAsia="Garamond" w:hAnsi="Garamond" w:cs="Garamond"/>
              </w:rPr>
            </w:pPr>
            <w:r>
              <w:rPr>
                <w:rFonts w:ascii="Garamond" w:eastAsia="Garamond" w:hAnsi="Garamond" w:cs="Garamond"/>
              </w:rPr>
              <w:lastRenderedPageBreak/>
              <w:t>Violence And Criminal Behavior</w:t>
            </w:r>
          </w:p>
          <w:p w14:paraId="339E249F"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​​Violence and Incitement</w:t>
            </w:r>
          </w:p>
          <w:p w14:paraId="54EFBBC1"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Dangerous Individuals and Organizations</w:t>
            </w:r>
          </w:p>
          <w:p w14:paraId="0C02CCB5"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Coordinating Harm and Promoting Crime</w:t>
            </w:r>
          </w:p>
          <w:p w14:paraId="6273FD50"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Restricted Goods and Services</w:t>
            </w:r>
          </w:p>
          <w:p w14:paraId="16C9E3CC"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Fraud and Deception</w:t>
            </w:r>
          </w:p>
          <w:p w14:paraId="5A34B4A4" w14:textId="77777777" w:rsidR="00BC1499" w:rsidRDefault="00000000">
            <w:pPr>
              <w:widowControl w:val="0"/>
              <w:numPr>
                <w:ilvl w:val="0"/>
                <w:numId w:val="11"/>
              </w:numPr>
              <w:rPr>
                <w:rFonts w:ascii="Garamond" w:eastAsia="Garamond" w:hAnsi="Garamond" w:cs="Garamond"/>
              </w:rPr>
            </w:pPr>
            <w:r>
              <w:rPr>
                <w:rFonts w:ascii="Garamond" w:eastAsia="Garamond" w:hAnsi="Garamond" w:cs="Garamond"/>
              </w:rPr>
              <w:t>Safety</w:t>
            </w:r>
          </w:p>
          <w:p w14:paraId="3302E5E0"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lastRenderedPageBreak/>
              <w:t>Suicide and Self-Injury</w:t>
            </w:r>
          </w:p>
          <w:p w14:paraId="1139843D"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Child Sexual Exploitation, Abuse and Nudity</w:t>
            </w:r>
          </w:p>
          <w:p w14:paraId="6692E509"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Adult Sexual Exploitation</w:t>
            </w:r>
          </w:p>
          <w:p w14:paraId="2C69720C"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Bullying and Harassment</w:t>
            </w:r>
          </w:p>
          <w:p w14:paraId="6448FFCA"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Human Exploitation</w:t>
            </w:r>
          </w:p>
          <w:p w14:paraId="5F89C285"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Privacy Violations</w:t>
            </w:r>
          </w:p>
          <w:p w14:paraId="42F855DD" w14:textId="77777777" w:rsidR="00BC1499" w:rsidRDefault="00000000">
            <w:pPr>
              <w:widowControl w:val="0"/>
              <w:numPr>
                <w:ilvl w:val="0"/>
                <w:numId w:val="11"/>
              </w:numPr>
              <w:rPr>
                <w:rFonts w:ascii="Garamond" w:eastAsia="Garamond" w:hAnsi="Garamond" w:cs="Garamond"/>
              </w:rPr>
            </w:pPr>
            <w:r>
              <w:rPr>
                <w:rFonts w:ascii="Garamond" w:eastAsia="Garamond" w:hAnsi="Garamond" w:cs="Garamond"/>
              </w:rPr>
              <w:t>Objectionable Content</w:t>
            </w:r>
          </w:p>
          <w:p w14:paraId="4C02C831"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Hate Speech</w:t>
            </w:r>
          </w:p>
          <w:p w14:paraId="21C6CF87"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Violent and graphic content</w:t>
            </w:r>
          </w:p>
          <w:p w14:paraId="63142BB5"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Adult Nudity and Sexual Activity</w:t>
            </w:r>
          </w:p>
          <w:p w14:paraId="17DDAB67"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Sexual Solicitation</w:t>
            </w:r>
          </w:p>
          <w:p w14:paraId="2E05506E" w14:textId="77777777" w:rsidR="00BC1499" w:rsidRDefault="00000000">
            <w:pPr>
              <w:widowControl w:val="0"/>
              <w:numPr>
                <w:ilvl w:val="0"/>
                <w:numId w:val="11"/>
              </w:numPr>
              <w:rPr>
                <w:rFonts w:ascii="Garamond" w:eastAsia="Garamond" w:hAnsi="Garamond" w:cs="Garamond"/>
              </w:rPr>
            </w:pPr>
            <w:r>
              <w:rPr>
                <w:rFonts w:ascii="Garamond" w:eastAsia="Garamond" w:hAnsi="Garamond" w:cs="Garamond"/>
              </w:rPr>
              <w:t>Integrity And Authenticity</w:t>
            </w:r>
          </w:p>
          <w:p w14:paraId="1CEB66C7"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Account Integrity and Authentic Identity</w:t>
            </w:r>
          </w:p>
          <w:p w14:paraId="0DD29977"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Spam</w:t>
            </w:r>
          </w:p>
          <w:p w14:paraId="63563468"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Cybersecurity</w:t>
            </w:r>
          </w:p>
          <w:p w14:paraId="7D25733D"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Inauthentic Behavior</w:t>
            </w:r>
          </w:p>
          <w:p w14:paraId="20C2D5DC"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Misinformation</w:t>
            </w:r>
          </w:p>
          <w:p w14:paraId="6D932592"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Memorialization</w:t>
            </w:r>
          </w:p>
          <w:p w14:paraId="41154B46" w14:textId="77777777" w:rsidR="00BC1499" w:rsidRDefault="00000000">
            <w:pPr>
              <w:widowControl w:val="0"/>
              <w:numPr>
                <w:ilvl w:val="0"/>
                <w:numId w:val="11"/>
              </w:numPr>
              <w:rPr>
                <w:rFonts w:ascii="Garamond" w:eastAsia="Garamond" w:hAnsi="Garamond" w:cs="Garamond"/>
              </w:rPr>
            </w:pPr>
            <w:r>
              <w:rPr>
                <w:rFonts w:ascii="Garamond" w:eastAsia="Garamond" w:hAnsi="Garamond" w:cs="Garamond"/>
              </w:rPr>
              <w:t>Respecting Intellectual Property</w:t>
            </w:r>
          </w:p>
          <w:p w14:paraId="68F5925F"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Intellectual Property</w:t>
            </w:r>
          </w:p>
          <w:p w14:paraId="2FFD2D77" w14:textId="77777777" w:rsidR="00BC1499" w:rsidRDefault="00000000">
            <w:pPr>
              <w:widowControl w:val="0"/>
              <w:numPr>
                <w:ilvl w:val="0"/>
                <w:numId w:val="11"/>
              </w:numPr>
              <w:rPr>
                <w:rFonts w:ascii="Garamond" w:eastAsia="Garamond" w:hAnsi="Garamond" w:cs="Garamond"/>
              </w:rPr>
            </w:pPr>
            <w:r>
              <w:rPr>
                <w:rFonts w:ascii="Garamond" w:eastAsia="Garamond" w:hAnsi="Garamond" w:cs="Garamond"/>
              </w:rPr>
              <w:t>Content-Related Requests and Decisions</w:t>
            </w:r>
          </w:p>
          <w:p w14:paraId="1EC5F7BD"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User Requests</w:t>
            </w:r>
          </w:p>
          <w:p w14:paraId="2BBDC868"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Additional Protection of Minors</w:t>
            </w:r>
          </w:p>
          <w:p w14:paraId="2ABE00D8" w14:textId="77777777" w:rsidR="00BC1499" w:rsidRDefault="00BC1499">
            <w:pPr>
              <w:widowControl w:val="0"/>
              <w:rPr>
                <w:rFonts w:ascii="Garamond" w:eastAsia="Garamond" w:hAnsi="Garamond" w:cs="Garamond"/>
              </w:rPr>
            </w:pPr>
          </w:p>
        </w:tc>
      </w:tr>
    </w:tbl>
    <w:p w14:paraId="0388BCF5" w14:textId="77777777" w:rsidR="00BC1499" w:rsidRDefault="00BC1499">
      <w:pPr>
        <w:spacing w:after="120"/>
        <w:rPr>
          <w:rFonts w:ascii="Garamond" w:eastAsia="Garamond" w:hAnsi="Garamond" w:cs="Garamond"/>
        </w:rPr>
      </w:pPr>
    </w:p>
    <w:p w14:paraId="2FC5AC11" w14:textId="77777777" w:rsidR="00BC1499" w:rsidRDefault="00BC1499">
      <w:pPr>
        <w:spacing w:after="120"/>
        <w:rPr>
          <w:rFonts w:ascii="Garamond" w:eastAsia="Garamond" w:hAnsi="Garamond" w:cs="Garamond"/>
        </w:rPr>
      </w:pPr>
    </w:p>
    <w:p w14:paraId="4D66D055" w14:textId="77777777" w:rsidR="00BC1499" w:rsidRDefault="00BC1499">
      <w:pPr>
        <w:spacing w:after="120"/>
        <w:rPr>
          <w:rFonts w:ascii="Garamond" w:eastAsia="Garamond" w:hAnsi="Garamond" w:cs="Garamond"/>
        </w:rPr>
      </w:pPr>
    </w:p>
    <w:p w14:paraId="7C5323A4" w14:textId="77777777" w:rsidR="00BC1499" w:rsidRDefault="00BC1499">
      <w:pPr>
        <w:spacing w:after="120"/>
        <w:rPr>
          <w:rFonts w:ascii="Garamond" w:eastAsia="Garamond" w:hAnsi="Garamond" w:cs="Garamond"/>
        </w:rPr>
      </w:pPr>
    </w:p>
    <w:p w14:paraId="1C8B57D2" w14:textId="77777777" w:rsidR="00BC1499" w:rsidRDefault="00BC1499">
      <w:pPr>
        <w:spacing w:after="120"/>
        <w:rPr>
          <w:rFonts w:ascii="Garamond" w:eastAsia="Garamond" w:hAnsi="Garamond" w:cs="Garamond"/>
        </w:rPr>
      </w:pPr>
    </w:p>
    <w:sectPr w:rsidR="00BC1499">
      <w:headerReference w:type="default" r:id="rId19"/>
      <w:footerReference w:type="default" r:id="rId20"/>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9EA77" w14:textId="77777777" w:rsidR="007D1C50" w:rsidRDefault="007D1C50">
      <w:r>
        <w:separator/>
      </w:r>
    </w:p>
  </w:endnote>
  <w:endnote w:type="continuationSeparator" w:id="0">
    <w:p w14:paraId="052AA8DD" w14:textId="77777777" w:rsidR="007D1C50" w:rsidRDefault="007D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786E7" w14:textId="77777777" w:rsidR="00BC1499" w:rsidRDefault="00BC14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60E6E" w14:textId="77777777" w:rsidR="007D1C50" w:rsidRDefault="007D1C50">
      <w:r>
        <w:separator/>
      </w:r>
    </w:p>
  </w:footnote>
  <w:footnote w:type="continuationSeparator" w:id="0">
    <w:p w14:paraId="51617F0F" w14:textId="77777777" w:rsidR="007D1C50" w:rsidRDefault="007D1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041FB" w14:textId="77777777" w:rsidR="00BC1499" w:rsidRDefault="00BC14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92843"/>
    <w:multiLevelType w:val="multilevel"/>
    <w:tmpl w:val="90EC2B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F933C90"/>
    <w:multiLevelType w:val="multilevel"/>
    <w:tmpl w:val="47CA89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3A305E2"/>
    <w:multiLevelType w:val="multilevel"/>
    <w:tmpl w:val="98FC6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351105"/>
    <w:multiLevelType w:val="multilevel"/>
    <w:tmpl w:val="447E07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740530C"/>
    <w:multiLevelType w:val="multilevel"/>
    <w:tmpl w:val="61BE4D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DB80332"/>
    <w:multiLevelType w:val="multilevel"/>
    <w:tmpl w:val="812AC6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A100A5C"/>
    <w:multiLevelType w:val="multilevel"/>
    <w:tmpl w:val="278A60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558812C0"/>
    <w:multiLevelType w:val="multilevel"/>
    <w:tmpl w:val="F8383E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CFE3DE4"/>
    <w:multiLevelType w:val="multilevel"/>
    <w:tmpl w:val="3D5C7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7640ED"/>
    <w:multiLevelType w:val="multilevel"/>
    <w:tmpl w:val="E9668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9B1770A"/>
    <w:multiLevelType w:val="hybridMultilevel"/>
    <w:tmpl w:val="5CDE2338"/>
    <w:lvl w:ilvl="0" w:tplc="E836E4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E76375"/>
    <w:multiLevelType w:val="multilevel"/>
    <w:tmpl w:val="B868DB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371197025">
    <w:abstractNumId w:val="2"/>
  </w:num>
  <w:num w:numId="2" w16cid:durableId="1404835932">
    <w:abstractNumId w:val="5"/>
  </w:num>
  <w:num w:numId="3" w16cid:durableId="1412509451">
    <w:abstractNumId w:val="3"/>
  </w:num>
  <w:num w:numId="4" w16cid:durableId="885680718">
    <w:abstractNumId w:val="4"/>
  </w:num>
  <w:num w:numId="5" w16cid:durableId="638847784">
    <w:abstractNumId w:val="7"/>
  </w:num>
  <w:num w:numId="6" w16cid:durableId="1372997038">
    <w:abstractNumId w:val="11"/>
  </w:num>
  <w:num w:numId="7" w16cid:durableId="963198134">
    <w:abstractNumId w:val="6"/>
  </w:num>
  <w:num w:numId="8" w16cid:durableId="1755469441">
    <w:abstractNumId w:val="1"/>
  </w:num>
  <w:num w:numId="9" w16cid:durableId="572351330">
    <w:abstractNumId w:val="0"/>
  </w:num>
  <w:num w:numId="10" w16cid:durableId="114176508">
    <w:abstractNumId w:val="8"/>
  </w:num>
  <w:num w:numId="11" w16cid:durableId="89472630">
    <w:abstractNumId w:val="9"/>
  </w:num>
  <w:num w:numId="12" w16cid:durableId="11956595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499"/>
    <w:rsid w:val="00151766"/>
    <w:rsid w:val="00207ED3"/>
    <w:rsid w:val="00243967"/>
    <w:rsid w:val="00271B03"/>
    <w:rsid w:val="002C4875"/>
    <w:rsid w:val="004E2BA3"/>
    <w:rsid w:val="00617497"/>
    <w:rsid w:val="006E380E"/>
    <w:rsid w:val="0075524D"/>
    <w:rsid w:val="007D1C50"/>
    <w:rsid w:val="007D7DFD"/>
    <w:rsid w:val="00837CF9"/>
    <w:rsid w:val="0088124D"/>
    <w:rsid w:val="008C6172"/>
    <w:rsid w:val="008F54AF"/>
    <w:rsid w:val="00983126"/>
    <w:rsid w:val="009C38DA"/>
    <w:rsid w:val="009D47AD"/>
    <w:rsid w:val="00A214EA"/>
    <w:rsid w:val="00A82E8B"/>
    <w:rsid w:val="00BA43A2"/>
    <w:rsid w:val="00BA6DBF"/>
    <w:rsid w:val="00BC1340"/>
    <w:rsid w:val="00BC1499"/>
    <w:rsid w:val="00BD5F9F"/>
    <w:rsid w:val="00D46A5D"/>
    <w:rsid w:val="00E33A69"/>
    <w:rsid w:val="00F07F72"/>
    <w:rsid w:val="00FB08E0"/>
    <w:rsid w:val="00FE0997"/>
    <w:rsid w:val="00FF18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27EE593"/>
  <w15:docId w15:val="{9729E95E-6FCD-3B46-A464-859A69B2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B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B2804"/>
    <w:pPr>
      <w:ind w:left="720"/>
      <w:contextualSpacing/>
    </w:pPr>
  </w:style>
  <w:style w:type="character" w:styleId="Hyperlink">
    <w:name w:val="Hyperlink"/>
    <w:basedOn w:val="DefaultParagraphFont"/>
    <w:uiPriority w:val="99"/>
    <w:unhideWhenUsed/>
    <w:rsid w:val="00BB2804"/>
    <w:rPr>
      <w:color w:val="0563C1" w:themeColor="hyperlink"/>
      <w:u w:val="single"/>
    </w:rPr>
  </w:style>
  <w:style w:type="character" w:styleId="UnresolvedMention">
    <w:name w:val="Unresolved Mention"/>
    <w:basedOn w:val="DefaultParagraphFont"/>
    <w:uiPriority w:val="99"/>
    <w:semiHidden/>
    <w:unhideWhenUsed/>
    <w:rsid w:val="009223B6"/>
    <w:rPr>
      <w:color w:val="605E5C"/>
      <w:shd w:val="clear" w:color="auto" w:fill="E1DFDD"/>
    </w:rPr>
  </w:style>
  <w:style w:type="paragraph" w:styleId="NormalWeb">
    <w:name w:val="Normal (Web)"/>
    <w:basedOn w:val="Normal"/>
    <w:uiPriority w:val="99"/>
    <w:unhideWhenUsed/>
    <w:rsid w:val="00CD2DD6"/>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D7FAA"/>
    <w:rPr>
      <w:color w:val="954F72" w:themeColor="followedHyperlink"/>
      <w:u w:val="single"/>
    </w:rPr>
  </w:style>
  <w:style w:type="character" w:styleId="Emphasis">
    <w:name w:val="Emphasis"/>
    <w:basedOn w:val="DefaultParagraphFont"/>
    <w:uiPriority w:val="20"/>
    <w:qFormat/>
    <w:rsid w:val="00AB29C4"/>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E1693"/>
    <w:rPr>
      <w:b/>
      <w:bCs/>
    </w:rPr>
  </w:style>
  <w:style w:type="character" w:customStyle="1" w:styleId="CommentSubjectChar">
    <w:name w:val="Comment Subject Char"/>
    <w:basedOn w:val="CommentTextChar"/>
    <w:link w:val="CommentSubject"/>
    <w:uiPriority w:val="99"/>
    <w:semiHidden/>
    <w:rsid w:val="007E1693"/>
    <w:rPr>
      <w:b/>
      <w:bCs/>
      <w:sz w:val="20"/>
      <w:szCs w:val="20"/>
    </w:rPr>
  </w:style>
  <w:style w:type="paragraph" w:styleId="Revision">
    <w:name w:val="Revision"/>
    <w:hidden/>
    <w:uiPriority w:val="99"/>
    <w:semiHidden/>
    <w:rsid w:val="007156F4"/>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5569">
      <w:bodyDiv w:val="1"/>
      <w:marLeft w:val="0"/>
      <w:marRight w:val="0"/>
      <w:marTop w:val="0"/>
      <w:marBottom w:val="0"/>
      <w:divBdr>
        <w:top w:val="none" w:sz="0" w:space="0" w:color="auto"/>
        <w:left w:val="none" w:sz="0" w:space="0" w:color="auto"/>
        <w:bottom w:val="none" w:sz="0" w:space="0" w:color="auto"/>
        <w:right w:val="none" w:sz="0" w:space="0" w:color="auto"/>
      </w:divBdr>
      <w:divsChild>
        <w:div w:id="31465761">
          <w:marLeft w:val="0"/>
          <w:marRight w:val="0"/>
          <w:marTop w:val="0"/>
          <w:marBottom w:val="0"/>
          <w:divBdr>
            <w:top w:val="single" w:sz="2" w:space="24" w:color="E5E7EB"/>
            <w:left w:val="single" w:sz="2" w:space="24" w:color="E5E7EB"/>
            <w:bottom w:val="single" w:sz="2" w:space="24" w:color="E5E7EB"/>
            <w:right w:val="single" w:sz="2" w:space="24" w:color="E5E7EB"/>
          </w:divBdr>
        </w:div>
      </w:divsChild>
    </w:div>
    <w:div w:id="246350779">
      <w:bodyDiv w:val="1"/>
      <w:marLeft w:val="0"/>
      <w:marRight w:val="0"/>
      <w:marTop w:val="0"/>
      <w:marBottom w:val="0"/>
      <w:divBdr>
        <w:top w:val="none" w:sz="0" w:space="0" w:color="auto"/>
        <w:left w:val="none" w:sz="0" w:space="0" w:color="auto"/>
        <w:bottom w:val="none" w:sz="0" w:space="0" w:color="auto"/>
        <w:right w:val="none" w:sz="0" w:space="0" w:color="auto"/>
      </w:divBdr>
      <w:divsChild>
        <w:div w:id="1977684910">
          <w:marLeft w:val="0"/>
          <w:marRight w:val="0"/>
          <w:marTop w:val="0"/>
          <w:marBottom w:val="0"/>
          <w:divBdr>
            <w:top w:val="single" w:sz="2" w:space="24" w:color="E5E7EB"/>
            <w:left w:val="single" w:sz="2" w:space="24" w:color="E5E7EB"/>
            <w:bottom w:val="single" w:sz="2" w:space="24" w:color="E5E7EB"/>
            <w:right w:val="single" w:sz="2" w:space="24" w:color="E5E7EB"/>
          </w:divBdr>
        </w:div>
      </w:divsChild>
    </w:div>
    <w:div w:id="447312799">
      <w:bodyDiv w:val="1"/>
      <w:marLeft w:val="0"/>
      <w:marRight w:val="0"/>
      <w:marTop w:val="0"/>
      <w:marBottom w:val="0"/>
      <w:divBdr>
        <w:top w:val="none" w:sz="0" w:space="0" w:color="auto"/>
        <w:left w:val="none" w:sz="0" w:space="0" w:color="auto"/>
        <w:bottom w:val="none" w:sz="0" w:space="0" w:color="auto"/>
        <w:right w:val="none" w:sz="0" w:space="0" w:color="auto"/>
      </w:divBdr>
      <w:divsChild>
        <w:div w:id="227498821">
          <w:marLeft w:val="0"/>
          <w:marRight w:val="0"/>
          <w:marTop w:val="0"/>
          <w:marBottom w:val="0"/>
          <w:divBdr>
            <w:top w:val="single" w:sz="2" w:space="24" w:color="E5E7EB"/>
            <w:left w:val="single" w:sz="2" w:space="24" w:color="E5E7EB"/>
            <w:bottom w:val="single" w:sz="2" w:space="24" w:color="E5E7EB"/>
            <w:right w:val="single" w:sz="2" w:space="24" w:color="E5E7EB"/>
          </w:divBdr>
        </w:div>
      </w:divsChild>
    </w:div>
    <w:div w:id="614361652">
      <w:bodyDiv w:val="1"/>
      <w:marLeft w:val="0"/>
      <w:marRight w:val="0"/>
      <w:marTop w:val="0"/>
      <w:marBottom w:val="0"/>
      <w:divBdr>
        <w:top w:val="none" w:sz="0" w:space="0" w:color="auto"/>
        <w:left w:val="none" w:sz="0" w:space="0" w:color="auto"/>
        <w:bottom w:val="none" w:sz="0" w:space="0" w:color="auto"/>
        <w:right w:val="none" w:sz="0" w:space="0" w:color="auto"/>
      </w:divBdr>
    </w:div>
    <w:div w:id="641346931">
      <w:bodyDiv w:val="1"/>
      <w:marLeft w:val="0"/>
      <w:marRight w:val="0"/>
      <w:marTop w:val="0"/>
      <w:marBottom w:val="0"/>
      <w:divBdr>
        <w:top w:val="none" w:sz="0" w:space="0" w:color="auto"/>
        <w:left w:val="none" w:sz="0" w:space="0" w:color="auto"/>
        <w:bottom w:val="none" w:sz="0" w:space="0" w:color="auto"/>
        <w:right w:val="none" w:sz="0" w:space="0" w:color="auto"/>
      </w:divBdr>
      <w:divsChild>
        <w:div w:id="1222909782">
          <w:marLeft w:val="0"/>
          <w:marRight w:val="0"/>
          <w:marTop w:val="0"/>
          <w:marBottom w:val="0"/>
          <w:divBdr>
            <w:top w:val="single" w:sz="2" w:space="24" w:color="E5E7EB"/>
            <w:left w:val="single" w:sz="2" w:space="24" w:color="E5E7EB"/>
            <w:bottom w:val="single" w:sz="2" w:space="24" w:color="E5E7EB"/>
            <w:right w:val="single" w:sz="2" w:space="24" w:color="E5E7EB"/>
          </w:divBdr>
        </w:div>
      </w:divsChild>
    </w:div>
    <w:div w:id="844856971">
      <w:bodyDiv w:val="1"/>
      <w:marLeft w:val="0"/>
      <w:marRight w:val="0"/>
      <w:marTop w:val="0"/>
      <w:marBottom w:val="0"/>
      <w:divBdr>
        <w:top w:val="none" w:sz="0" w:space="0" w:color="auto"/>
        <w:left w:val="none" w:sz="0" w:space="0" w:color="auto"/>
        <w:bottom w:val="none" w:sz="0" w:space="0" w:color="auto"/>
        <w:right w:val="none" w:sz="0" w:space="0" w:color="auto"/>
      </w:divBdr>
      <w:divsChild>
        <w:div w:id="2117751288">
          <w:marLeft w:val="0"/>
          <w:marRight w:val="0"/>
          <w:marTop w:val="0"/>
          <w:marBottom w:val="0"/>
          <w:divBdr>
            <w:top w:val="none" w:sz="0" w:space="0" w:color="auto"/>
            <w:left w:val="none" w:sz="0" w:space="0" w:color="auto"/>
            <w:bottom w:val="none" w:sz="0" w:space="0" w:color="auto"/>
            <w:right w:val="none" w:sz="0" w:space="0" w:color="auto"/>
          </w:divBdr>
          <w:divsChild>
            <w:div w:id="1772118533">
              <w:marLeft w:val="0"/>
              <w:marRight w:val="0"/>
              <w:marTop w:val="0"/>
              <w:marBottom w:val="0"/>
              <w:divBdr>
                <w:top w:val="none" w:sz="0" w:space="0" w:color="auto"/>
                <w:left w:val="none" w:sz="0" w:space="0" w:color="auto"/>
                <w:bottom w:val="none" w:sz="0" w:space="0" w:color="auto"/>
                <w:right w:val="none" w:sz="0" w:space="0" w:color="auto"/>
              </w:divBdr>
              <w:divsChild>
                <w:div w:id="1067652397">
                  <w:marLeft w:val="0"/>
                  <w:marRight w:val="0"/>
                  <w:marTop w:val="0"/>
                  <w:marBottom w:val="0"/>
                  <w:divBdr>
                    <w:top w:val="none" w:sz="0" w:space="0" w:color="auto"/>
                    <w:left w:val="none" w:sz="0" w:space="0" w:color="auto"/>
                    <w:bottom w:val="none" w:sz="0" w:space="0" w:color="auto"/>
                    <w:right w:val="none" w:sz="0" w:space="0" w:color="auto"/>
                  </w:divBdr>
                  <w:divsChild>
                    <w:div w:id="1938711998">
                      <w:marLeft w:val="0"/>
                      <w:marRight w:val="0"/>
                      <w:marTop w:val="0"/>
                      <w:marBottom w:val="0"/>
                      <w:divBdr>
                        <w:top w:val="none" w:sz="0" w:space="0" w:color="auto"/>
                        <w:left w:val="none" w:sz="0" w:space="0" w:color="auto"/>
                        <w:bottom w:val="none" w:sz="0" w:space="0" w:color="auto"/>
                        <w:right w:val="none" w:sz="0" w:space="0" w:color="auto"/>
                      </w:divBdr>
                      <w:divsChild>
                        <w:div w:id="2001689092">
                          <w:marLeft w:val="0"/>
                          <w:marRight w:val="0"/>
                          <w:marTop w:val="0"/>
                          <w:marBottom w:val="0"/>
                          <w:divBdr>
                            <w:top w:val="none" w:sz="0" w:space="0" w:color="auto"/>
                            <w:left w:val="none" w:sz="0" w:space="0" w:color="auto"/>
                            <w:bottom w:val="none" w:sz="0" w:space="0" w:color="auto"/>
                            <w:right w:val="none" w:sz="0" w:space="0" w:color="auto"/>
                          </w:divBdr>
                          <w:divsChild>
                            <w:div w:id="82385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761624">
      <w:bodyDiv w:val="1"/>
      <w:marLeft w:val="0"/>
      <w:marRight w:val="0"/>
      <w:marTop w:val="0"/>
      <w:marBottom w:val="0"/>
      <w:divBdr>
        <w:top w:val="none" w:sz="0" w:space="0" w:color="auto"/>
        <w:left w:val="none" w:sz="0" w:space="0" w:color="auto"/>
        <w:bottom w:val="none" w:sz="0" w:space="0" w:color="auto"/>
        <w:right w:val="none" w:sz="0" w:space="0" w:color="auto"/>
      </w:divBdr>
    </w:div>
    <w:div w:id="1575704208">
      <w:bodyDiv w:val="1"/>
      <w:marLeft w:val="0"/>
      <w:marRight w:val="0"/>
      <w:marTop w:val="0"/>
      <w:marBottom w:val="0"/>
      <w:divBdr>
        <w:top w:val="none" w:sz="0" w:space="0" w:color="auto"/>
        <w:left w:val="none" w:sz="0" w:space="0" w:color="auto"/>
        <w:bottom w:val="none" w:sz="0" w:space="0" w:color="auto"/>
        <w:right w:val="none" w:sz="0" w:space="0" w:color="auto"/>
      </w:divBdr>
      <w:divsChild>
        <w:div w:id="1665547524">
          <w:marLeft w:val="0"/>
          <w:marRight w:val="0"/>
          <w:marTop w:val="0"/>
          <w:marBottom w:val="0"/>
          <w:divBdr>
            <w:top w:val="none" w:sz="0" w:space="0" w:color="auto"/>
            <w:left w:val="none" w:sz="0" w:space="0" w:color="auto"/>
            <w:bottom w:val="none" w:sz="0" w:space="0" w:color="auto"/>
            <w:right w:val="none" w:sz="0" w:space="0" w:color="auto"/>
          </w:divBdr>
          <w:divsChild>
            <w:div w:id="1933394698">
              <w:marLeft w:val="0"/>
              <w:marRight w:val="0"/>
              <w:marTop w:val="0"/>
              <w:marBottom w:val="0"/>
              <w:divBdr>
                <w:top w:val="none" w:sz="0" w:space="0" w:color="auto"/>
                <w:left w:val="none" w:sz="0" w:space="0" w:color="auto"/>
                <w:bottom w:val="none" w:sz="0" w:space="0" w:color="auto"/>
                <w:right w:val="none" w:sz="0" w:space="0" w:color="auto"/>
              </w:divBdr>
              <w:divsChild>
                <w:div w:id="1415468655">
                  <w:marLeft w:val="0"/>
                  <w:marRight w:val="0"/>
                  <w:marTop w:val="0"/>
                  <w:marBottom w:val="0"/>
                  <w:divBdr>
                    <w:top w:val="none" w:sz="0" w:space="0" w:color="auto"/>
                    <w:left w:val="none" w:sz="0" w:space="0" w:color="auto"/>
                    <w:bottom w:val="none" w:sz="0" w:space="0" w:color="auto"/>
                    <w:right w:val="none" w:sz="0" w:space="0" w:color="auto"/>
                  </w:divBdr>
                  <w:divsChild>
                    <w:div w:id="898129875">
                      <w:marLeft w:val="0"/>
                      <w:marRight w:val="0"/>
                      <w:marTop w:val="0"/>
                      <w:marBottom w:val="0"/>
                      <w:divBdr>
                        <w:top w:val="none" w:sz="0" w:space="0" w:color="auto"/>
                        <w:left w:val="none" w:sz="0" w:space="0" w:color="auto"/>
                        <w:bottom w:val="none" w:sz="0" w:space="0" w:color="auto"/>
                        <w:right w:val="none" w:sz="0" w:space="0" w:color="auto"/>
                      </w:divBdr>
                      <w:divsChild>
                        <w:div w:id="280957090">
                          <w:marLeft w:val="0"/>
                          <w:marRight w:val="0"/>
                          <w:marTop w:val="0"/>
                          <w:marBottom w:val="0"/>
                          <w:divBdr>
                            <w:top w:val="none" w:sz="0" w:space="0" w:color="auto"/>
                            <w:left w:val="none" w:sz="0" w:space="0" w:color="auto"/>
                            <w:bottom w:val="none" w:sz="0" w:space="0" w:color="auto"/>
                            <w:right w:val="none" w:sz="0" w:space="0" w:color="auto"/>
                          </w:divBdr>
                          <w:divsChild>
                            <w:div w:id="108456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242414">
      <w:bodyDiv w:val="1"/>
      <w:marLeft w:val="0"/>
      <w:marRight w:val="0"/>
      <w:marTop w:val="0"/>
      <w:marBottom w:val="0"/>
      <w:divBdr>
        <w:top w:val="none" w:sz="0" w:space="0" w:color="auto"/>
        <w:left w:val="none" w:sz="0" w:space="0" w:color="auto"/>
        <w:bottom w:val="none" w:sz="0" w:space="0" w:color="auto"/>
        <w:right w:val="none" w:sz="0" w:space="0" w:color="auto"/>
      </w:divBdr>
      <w:divsChild>
        <w:div w:id="1527251027">
          <w:marLeft w:val="0"/>
          <w:marRight w:val="0"/>
          <w:marTop w:val="0"/>
          <w:marBottom w:val="0"/>
          <w:divBdr>
            <w:top w:val="none" w:sz="0" w:space="0" w:color="auto"/>
            <w:left w:val="none" w:sz="0" w:space="0" w:color="auto"/>
            <w:bottom w:val="none" w:sz="0" w:space="0" w:color="auto"/>
            <w:right w:val="none" w:sz="0" w:space="0" w:color="auto"/>
          </w:divBdr>
          <w:divsChild>
            <w:div w:id="1585142052">
              <w:marLeft w:val="0"/>
              <w:marRight w:val="0"/>
              <w:marTop w:val="0"/>
              <w:marBottom w:val="0"/>
              <w:divBdr>
                <w:top w:val="none" w:sz="0" w:space="0" w:color="auto"/>
                <w:left w:val="none" w:sz="0" w:space="0" w:color="auto"/>
                <w:bottom w:val="none" w:sz="0" w:space="0" w:color="auto"/>
                <w:right w:val="none" w:sz="0" w:space="0" w:color="auto"/>
              </w:divBdr>
              <w:divsChild>
                <w:div w:id="111286142">
                  <w:marLeft w:val="0"/>
                  <w:marRight w:val="0"/>
                  <w:marTop w:val="0"/>
                  <w:marBottom w:val="0"/>
                  <w:divBdr>
                    <w:top w:val="none" w:sz="0" w:space="0" w:color="auto"/>
                    <w:left w:val="none" w:sz="0" w:space="0" w:color="auto"/>
                    <w:bottom w:val="none" w:sz="0" w:space="0" w:color="auto"/>
                    <w:right w:val="none" w:sz="0" w:space="0" w:color="auto"/>
                  </w:divBdr>
                  <w:divsChild>
                    <w:div w:id="430707837">
                      <w:marLeft w:val="0"/>
                      <w:marRight w:val="0"/>
                      <w:marTop w:val="0"/>
                      <w:marBottom w:val="0"/>
                      <w:divBdr>
                        <w:top w:val="none" w:sz="0" w:space="0" w:color="auto"/>
                        <w:left w:val="none" w:sz="0" w:space="0" w:color="auto"/>
                        <w:bottom w:val="none" w:sz="0" w:space="0" w:color="auto"/>
                        <w:right w:val="none" w:sz="0" w:space="0" w:color="auto"/>
                      </w:divBdr>
                      <w:divsChild>
                        <w:div w:id="46491409">
                          <w:marLeft w:val="0"/>
                          <w:marRight w:val="0"/>
                          <w:marTop w:val="0"/>
                          <w:marBottom w:val="0"/>
                          <w:divBdr>
                            <w:top w:val="none" w:sz="0" w:space="0" w:color="auto"/>
                            <w:left w:val="none" w:sz="0" w:space="0" w:color="auto"/>
                            <w:bottom w:val="none" w:sz="0" w:space="0" w:color="auto"/>
                            <w:right w:val="none" w:sz="0" w:space="0" w:color="auto"/>
                          </w:divBdr>
                          <w:divsChild>
                            <w:div w:id="3944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bs8BnePh92B5VeKSDEuDfPruBjbbaiu1?usp=sharing" TargetMode="External"/><Relationship Id="rId13" Type="http://schemas.openxmlformats.org/officeDocument/2006/relationships/hyperlink" Target="https://globalfreedomofexpression.columbia.edu/cases/oversight-board-case-of-mention-of-the-taliban-in-news-reporting/" TargetMode="External"/><Relationship Id="rId18" Type="http://schemas.openxmlformats.org/officeDocument/2006/relationships/hyperlink" Target="https://transparency.fb.com/es-la/policies/community-standard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lobalfreedomofexpression.columbia.edu/cases/oversight-board-case-of-knin-cartoon/" TargetMode="External"/><Relationship Id="rId17" Type="http://schemas.openxmlformats.org/officeDocument/2006/relationships/hyperlink" Target="https://about.instagram.com/blog/announcements/instagram-community-guidelines-faqs" TargetMode="External"/><Relationship Id="rId2" Type="http://schemas.openxmlformats.org/officeDocument/2006/relationships/numbering" Target="numbering.xml"/><Relationship Id="rId16" Type="http://schemas.openxmlformats.org/officeDocument/2006/relationships/hyperlink" Target="https://www.oversightboard.com/governan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balfreedomofexpression.columbia.edu/cases/oversight-board-case-of-tigray-communication-affairs-bureau/" TargetMode="External"/><Relationship Id="rId5" Type="http://schemas.openxmlformats.org/officeDocument/2006/relationships/webSettings" Target="webSettings.xml"/><Relationship Id="rId15" Type="http://schemas.openxmlformats.org/officeDocument/2006/relationships/hyperlink" Target="https://www.bsr.org/en/reports/meta-human-rights-israel-palestine" TargetMode="External"/><Relationship Id="rId10" Type="http://schemas.openxmlformats.org/officeDocument/2006/relationships/hyperlink" Target="https://globalfreedomofexpression.columbia.edu/cases/oversight-board-case-of-two-buttons-mem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versightboard.com/" TargetMode="External"/><Relationship Id="rId14" Type="http://schemas.openxmlformats.org/officeDocument/2006/relationships/hyperlink" Target="https://globalfreedomofexpression.columbia.edu/cases/oversight-board-case-of-shared-al-jazeera-pos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mcecs9JyjpoET6J0gdg/Zbgww==">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4858</Words>
  <Characters>27693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Sanskriti Sanghi</dc:creator>
  <cp:lastModifiedBy>Reem El-Shazly</cp:lastModifiedBy>
  <cp:revision>3</cp:revision>
  <dcterms:created xsi:type="dcterms:W3CDTF">2024-09-26T22:32:00Z</dcterms:created>
  <dcterms:modified xsi:type="dcterms:W3CDTF">2024-09-26T22:35:00Z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c41a93-8c9a-47f9-8ab4-1661933663f8_Enabled">
    <vt:lpwstr>true</vt:lpwstr>
  </property>
  <property fmtid="{D5CDD505-2E9C-101B-9397-08002B2CF9AE}" pid="3" name="MSIP_Label_8ec41a93-8c9a-47f9-8ab4-1661933663f8_SetDate">
    <vt:lpwstr>2022-09-16T12:20:36Z</vt:lpwstr>
  </property>
  <property fmtid="{D5CDD505-2E9C-101B-9397-08002B2CF9AE}" pid="4" name="MSIP_Label_8ec41a93-8c9a-47f9-8ab4-1661933663f8_Method">
    <vt:lpwstr>Standard</vt:lpwstr>
  </property>
  <property fmtid="{D5CDD505-2E9C-101B-9397-08002B2CF9AE}" pid="5" name="MSIP_Label_8ec41a93-8c9a-47f9-8ab4-1661933663f8_Name">
    <vt:lpwstr>Public</vt:lpwstr>
  </property>
  <property fmtid="{D5CDD505-2E9C-101B-9397-08002B2CF9AE}" pid="6" name="MSIP_Label_8ec41a93-8c9a-47f9-8ab4-1661933663f8_SiteId">
    <vt:lpwstr>f607527e-f4e9-4b2c-b0b5-42287e7bec19</vt:lpwstr>
  </property>
  <property fmtid="{D5CDD505-2E9C-101B-9397-08002B2CF9AE}" pid="7" name="MSIP_Label_8ec41a93-8c9a-47f9-8ab4-1661933663f8_ActionId">
    <vt:lpwstr>143f9224-8abc-44a7-8413-e64408e3ec29</vt:lpwstr>
  </property>
  <property fmtid="{D5CDD505-2E9C-101B-9397-08002B2CF9AE}" pid="8" name="MSIP_Label_8ec41a93-8c9a-47f9-8ab4-1661933663f8_ContentBits">
    <vt:lpwstr>0</vt:lpwstr>
  </property>
</Properties>
</file>