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6321D" w14:textId="61C6A5A7" w:rsidR="00BB2804" w:rsidRPr="00F23F4B" w:rsidRDefault="00EE4216" w:rsidP="00B536A8">
      <w:pPr>
        <w:shd w:val="clear" w:color="auto" w:fill="8EAADB" w:themeFill="accent1" w:themeFillTint="99"/>
        <w:spacing w:line="360" w:lineRule="auto"/>
        <w:jc w:val="both"/>
        <w:rPr>
          <w:rFonts w:ascii="Garamond" w:hAnsi="Garamond"/>
          <w:b/>
          <w:bCs/>
          <w:color w:val="000000" w:themeColor="text1"/>
          <w:sz w:val="22"/>
          <w:szCs w:val="22"/>
          <w:lang w:val="en-US"/>
        </w:rPr>
      </w:pPr>
      <w:r w:rsidRPr="00F23F4B">
        <w:rPr>
          <w:rFonts w:ascii="Garamond" w:hAnsi="Garamond"/>
          <w:b/>
          <w:bCs/>
          <w:i/>
          <w:iCs/>
          <w:color w:val="000000" w:themeColor="text1"/>
          <w:sz w:val="22"/>
          <w:szCs w:val="22"/>
          <w:lang w:val="en-US"/>
        </w:rPr>
        <w:t xml:space="preserve">Case Title: </w:t>
      </w:r>
      <w:r w:rsidR="00B74AFA" w:rsidRPr="00F23F4B">
        <w:rPr>
          <w:rFonts w:ascii="Garamond" w:hAnsi="Garamond"/>
          <w:color w:val="000000"/>
          <w:sz w:val="22"/>
          <w:szCs w:val="22"/>
          <w:lang w:val="en-US"/>
        </w:rPr>
        <w:t>Tuleya</w:t>
      </w:r>
      <w:r w:rsidR="0085724B" w:rsidRPr="00F23F4B">
        <w:rPr>
          <w:rFonts w:ascii="Garamond" w:hAnsi="Garamond"/>
          <w:color w:val="000000"/>
          <w:sz w:val="22"/>
          <w:szCs w:val="22"/>
          <w:lang w:val="en-US"/>
        </w:rPr>
        <w:t xml:space="preserve"> v. Poland</w:t>
      </w:r>
    </w:p>
    <w:p w14:paraId="44AD3616" w14:textId="3236C18F" w:rsidR="00BB2804" w:rsidRPr="00F23F4B" w:rsidRDefault="00BB2804" w:rsidP="00B536A8">
      <w:pPr>
        <w:shd w:val="clear" w:color="auto" w:fill="8EAADB" w:themeFill="accent1" w:themeFillTint="99"/>
        <w:spacing w:line="360" w:lineRule="auto"/>
        <w:jc w:val="both"/>
        <w:rPr>
          <w:rFonts w:ascii="Garamond" w:hAnsi="Garamond"/>
          <w:b/>
          <w:bCs/>
          <w:color w:val="000000" w:themeColor="text1"/>
          <w:sz w:val="22"/>
          <w:szCs w:val="22"/>
          <w:lang w:val="en-US"/>
        </w:rPr>
      </w:pPr>
      <w:r w:rsidRPr="00F23F4B">
        <w:rPr>
          <w:rFonts w:ascii="Garamond" w:hAnsi="Garamond"/>
          <w:b/>
          <w:bCs/>
          <w:color w:val="000000" w:themeColor="text1"/>
          <w:sz w:val="22"/>
          <w:szCs w:val="22"/>
          <w:lang w:val="en-US"/>
        </w:rPr>
        <w:t>Case Analysis</w:t>
      </w:r>
    </w:p>
    <w:p w14:paraId="4400C2A2" w14:textId="77777777" w:rsidR="00BB2804" w:rsidRPr="00F23F4B" w:rsidRDefault="00BB2804" w:rsidP="00B536A8">
      <w:pPr>
        <w:spacing w:line="360" w:lineRule="auto"/>
        <w:jc w:val="both"/>
        <w:rPr>
          <w:rFonts w:ascii="Garamond" w:hAnsi="Garamond"/>
          <w:sz w:val="22"/>
          <w:szCs w:val="22"/>
          <w:lang w:val="en-US"/>
        </w:rPr>
      </w:pPr>
    </w:p>
    <w:p w14:paraId="6C37961E" w14:textId="77777777" w:rsidR="00BB2804" w:rsidRPr="00F23F4B" w:rsidRDefault="00BB2804" w:rsidP="00B536A8">
      <w:pPr>
        <w:spacing w:line="360" w:lineRule="auto"/>
        <w:jc w:val="both"/>
        <w:rPr>
          <w:rFonts w:ascii="Garamond" w:hAnsi="Garamond"/>
          <w:b/>
          <w:bCs/>
          <w:sz w:val="22"/>
          <w:szCs w:val="22"/>
          <w:lang w:val="en-US"/>
        </w:rPr>
      </w:pPr>
      <w:r w:rsidRPr="00F23F4B">
        <w:rPr>
          <w:rFonts w:ascii="Garamond" w:hAnsi="Garamond"/>
          <w:b/>
          <w:bCs/>
          <w:i/>
          <w:iCs/>
          <w:sz w:val="22"/>
          <w:szCs w:val="22"/>
          <w:u w:val="single"/>
          <w:lang w:val="en-US"/>
        </w:rPr>
        <w:t>Meta-Data</w:t>
      </w:r>
      <w:r w:rsidRPr="00F23F4B">
        <w:rPr>
          <w:rFonts w:ascii="Garamond" w:hAnsi="Garamond"/>
          <w:b/>
          <w:bCs/>
          <w:sz w:val="22"/>
          <w:szCs w:val="22"/>
          <w:lang w:val="en-US"/>
        </w:rPr>
        <w:t xml:space="preserve">: </w:t>
      </w:r>
    </w:p>
    <w:p w14:paraId="2B86F1DD" w14:textId="2E52BB95" w:rsidR="00BB2804" w:rsidRPr="00F23F4B" w:rsidRDefault="00BB2804" w:rsidP="00B536A8">
      <w:pPr>
        <w:pStyle w:val="ListParagraph"/>
        <w:numPr>
          <w:ilvl w:val="0"/>
          <w:numId w:val="1"/>
        </w:numPr>
        <w:spacing w:line="360" w:lineRule="auto"/>
        <w:jc w:val="both"/>
        <w:rPr>
          <w:rFonts w:ascii="Garamond" w:hAnsi="Garamond"/>
          <w:sz w:val="22"/>
          <w:szCs w:val="22"/>
          <w:lang w:val="en-US"/>
        </w:rPr>
      </w:pPr>
      <w:r w:rsidRPr="00F23F4B">
        <w:rPr>
          <w:rFonts w:ascii="Garamond" w:hAnsi="Garamond"/>
          <w:b/>
          <w:bCs/>
          <w:sz w:val="22"/>
          <w:szCs w:val="22"/>
          <w:lang w:val="en-US"/>
        </w:rPr>
        <w:t>Case Number</w:t>
      </w:r>
      <w:r w:rsidRPr="00F23F4B">
        <w:rPr>
          <w:rFonts w:ascii="Garamond" w:hAnsi="Garamond"/>
          <w:sz w:val="22"/>
          <w:szCs w:val="22"/>
          <w:lang w:val="en-US"/>
        </w:rPr>
        <w:t xml:space="preserve">: </w:t>
      </w:r>
      <w:r w:rsidR="00B74AFA" w:rsidRPr="00F23F4B">
        <w:rPr>
          <w:rFonts w:ascii="Garamond" w:hAnsi="Garamond"/>
          <w:sz w:val="22"/>
          <w:szCs w:val="22"/>
          <w:lang w:val="en-US"/>
        </w:rPr>
        <w:t>Applications nos. 21181/19 and 51751/20</w:t>
      </w:r>
    </w:p>
    <w:p w14:paraId="66D44C8F" w14:textId="2BBF6F9C" w:rsidR="00BB2804" w:rsidRPr="00F23F4B" w:rsidRDefault="00BB2804" w:rsidP="00B536A8">
      <w:pPr>
        <w:pStyle w:val="ListParagraph"/>
        <w:numPr>
          <w:ilvl w:val="0"/>
          <w:numId w:val="1"/>
        </w:numPr>
        <w:spacing w:line="360" w:lineRule="auto"/>
        <w:jc w:val="both"/>
        <w:rPr>
          <w:rFonts w:ascii="Garamond" w:hAnsi="Garamond"/>
          <w:sz w:val="22"/>
          <w:szCs w:val="22"/>
          <w:lang w:val="en-US"/>
        </w:rPr>
      </w:pPr>
      <w:r w:rsidRPr="00F23F4B">
        <w:rPr>
          <w:rFonts w:ascii="Garamond" w:hAnsi="Garamond"/>
          <w:b/>
          <w:bCs/>
          <w:sz w:val="22"/>
          <w:szCs w:val="22"/>
          <w:lang w:val="en-US"/>
        </w:rPr>
        <w:t>Date of decision</w:t>
      </w:r>
      <w:r w:rsidRPr="00F23F4B">
        <w:rPr>
          <w:rFonts w:ascii="Garamond" w:hAnsi="Garamond"/>
          <w:sz w:val="22"/>
          <w:szCs w:val="22"/>
          <w:lang w:val="en-US"/>
        </w:rPr>
        <w:t xml:space="preserve">: </w:t>
      </w:r>
      <w:r w:rsidR="00B74AFA" w:rsidRPr="00F23F4B">
        <w:rPr>
          <w:rFonts w:ascii="Garamond" w:hAnsi="Garamond"/>
          <w:color w:val="000000"/>
          <w:sz w:val="22"/>
          <w:szCs w:val="22"/>
          <w:lang w:val="en-US"/>
        </w:rPr>
        <w:t>July</w:t>
      </w:r>
      <w:r w:rsidR="00DD1EB8" w:rsidRPr="00F23F4B">
        <w:rPr>
          <w:rFonts w:ascii="Garamond" w:hAnsi="Garamond"/>
          <w:color w:val="000000"/>
          <w:sz w:val="22"/>
          <w:szCs w:val="22"/>
          <w:lang w:val="en-US"/>
        </w:rPr>
        <w:t xml:space="preserve"> </w:t>
      </w:r>
      <w:r w:rsidR="0023774E" w:rsidRPr="00F23F4B">
        <w:rPr>
          <w:rFonts w:ascii="Garamond" w:hAnsi="Garamond"/>
          <w:color w:val="000000"/>
          <w:sz w:val="22"/>
          <w:szCs w:val="22"/>
          <w:lang w:val="en-US"/>
        </w:rPr>
        <w:t>6</w:t>
      </w:r>
      <w:r w:rsidR="00DD1EB8" w:rsidRPr="00F23F4B">
        <w:rPr>
          <w:rFonts w:ascii="Garamond" w:hAnsi="Garamond"/>
          <w:color w:val="000000"/>
          <w:sz w:val="22"/>
          <w:szCs w:val="22"/>
          <w:lang w:val="en-US"/>
        </w:rPr>
        <w:t>, 20</w:t>
      </w:r>
      <w:r w:rsidR="00B74AFA" w:rsidRPr="00F23F4B">
        <w:rPr>
          <w:rFonts w:ascii="Garamond" w:hAnsi="Garamond"/>
          <w:color w:val="000000"/>
          <w:sz w:val="22"/>
          <w:szCs w:val="22"/>
          <w:lang w:val="en-US"/>
        </w:rPr>
        <w:t>23</w:t>
      </w:r>
      <w:r w:rsidR="008E232A" w:rsidRPr="00F23F4B">
        <w:rPr>
          <w:rFonts w:ascii="Garamond" w:hAnsi="Garamond"/>
          <w:color w:val="000000"/>
          <w:sz w:val="22"/>
          <w:szCs w:val="22"/>
          <w:lang w:val="en-US"/>
        </w:rPr>
        <w:t xml:space="preserve"> [0</w:t>
      </w:r>
      <w:r w:rsidR="00C235CB" w:rsidRPr="00F23F4B">
        <w:rPr>
          <w:rFonts w:ascii="Garamond" w:hAnsi="Garamond"/>
          <w:color w:val="000000"/>
          <w:sz w:val="22"/>
          <w:szCs w:val="22"/>
          <w:lang w:val="en-US"/>
        </w:rPr>
        <w:t>7</w:t>
      </w:r>
      <w:r w:rsidR="008E232A" w:rsidRPr="00F23F4B">
        <w:rPr>
          <w:rFonts w:ascii="Garamond" w:hAnsi="Garamond"/>
          <w:color w:val="000000"/>
          <w:sz w:val="22"/>
          <w:szCs w:val="22"/>
          <w:lang w:val="en-US"/>
        </w:rPr>
        <w:t>.</w:t>
      </w:r>
      <w:r w:rsidR="00C235CB" w:rsidRPr="00F23F4B">
        <w:rPr>
          <w:rFonts w:ascii="Garamond" w:hAnsi="Garamond"/>
          <w:color w:val="000000"/>
          <w:sz w:val="22"/>
          <w:szCs w:val="22"/>
          <w:lang w:val="en-US"/>
        </w:rPr>
        <w:t>0</w:t>
      </w:r>
      <w:r w:rsidR="0023774E" w:rsidRPr="00F23F4B">
        <w:rPr>
          <w:rFonts w:ascii="Garamond" w:hAnsi="Garamond"/>
          <w:color w:val="000000"/>
          <w:sz w:val="22"/>
          <w:szCs w:val="22"/>
          <w:lang w:val="en-US"/>
        </w:rPr>
        <w:t>6</w:t>
      </w:r>
      <w:r w:rsidR="008E232A" w:rsidRPr="00F23F4B">
        <w:rPr>
          <w:rFonts w:ascii="Garamond" w:hAnsi="Garamond"/>
          <w:color w:val="000000"/>
          <w:sz w:val="22"/>
          <w:szCs w:val="22"/>
          <w:lang w:val="en-US"/>
        </w:rPr>
        <w:t>.20</w:t>
      </w:r>
      <w:r w:rsidR="0023774E" w:rsidRPr="00F23F4B">
        <w:rPr>
          <w:rFonts w:ascii="Garamond" w:hAnsi="Garamond"/>
          <w:color w:val="000000"/>
          <w:sz w:val="22"/>
          <w:szCs w:val="22"/>
          <w:lang w:val="en-US"/>
        </w:rPr>
        <w:t>2</w:t>
      </w:r>
      <w:r w:rsidR="00C235CB" w:rsidRPr="00F23F4B">
        <w:rPr>
          <w:rFonts w:ascii="Garamond" w:hAnsi="Garamond"/>
          <w:color w:val="000000"/>
          <w:sz w:val="22"/>
          <w:szCs w:val="22"/>
          <w:lang w:val="en-US"/>
        </w:rPr>
        <w:t>3</w:t>
      </w:r>
      <w:r w:rsidR="008E232A" w:rsidRPr="00F23F4B">
        <w:rPr>
          <w:rFonts w:ascii="Garamond" w:hAnsi="Garamond"/>
          <w:color w:val="000000"/>
          <w:sz w:val="22"/>
          <w:szCs w:val="22"/>
          <w:lang w:val="en-US"/>
        </w:rPr>
        <w:t>]</w:t>
      </w:r>
    </w:p>
    <w:p w14:paraId="7989E895" w14:textId="77777777" w:rsidR="00BB2804" w:rsidRPr="00F23F4B" w:rsidRDefault="00BB2804" w:rsidP="00B536A8">
      <w:pPr>
        <w:pStyle w:val="ListParagraph"/>
        <w:numPr>
          <w:ilvl w:val="0"/>
          <w:numId w:val="1"/>
        </w:numPr>
        <w:spacing w:line="360" w:lineRule="auto"/>
        <w:jc w:val="both"/>
        <w:rPr>
          <w:rFonts w:ascii="Garamond" w:hAnsi="Garamond"/>
          <w:sz w:val="22"/>
          <w:szCs w:val="22"/>
          <w:lang w:val="en-US"/>
        </w:rPr>
      </w:pPr>
      <w:r w:rsidRPr="00F23F4B">
        <w:rPr>
          <w:rFonts w:ascii="Garamond" w:hAnsi="Garamond"/>
          <w:b/>
          <w:bCs/>
          <w:sz w:val="22"/>
          <w:szCs w:val="22"/>
          <w:lang w:val="en-US"/>
        </w:rPr>
        <w:t>Featured case</w:t>
      </w:r>
      <w:r w:rsidRPr="00F23F4B">
        <w:rPr>
          <w:rFonts w:ascii="Garamond" w:hAnsi="Garamond"/>
          <w:sz w:val="22"/>
          <w:szCs w:val="22"/>
          <w:lang w:val="en-US"/>
        </w:rPr>
        <w:t>: N/A</w:t>
      </w:r>
    </w:p>
    <w:p w14:paraId="3AAC85C7" w14:textId="298952C2" w:rsidR="00BB2804" w:rsidRPr="00F23F4B" w:rsidRDefault="00BB2804" w:rsidP="00B536A8">
      <w:pPr>
        <w:pStyle w:val="ListParagraph"/>
        <w:numPr>
          <w:ilvl w:val="0"/>
          <w:numId w:val="1"/>
        </w:numPr>
        <w:spacing w:line="360" w:lineRule="auto"/>
        <w:jc w:val="both"/>
        <w:rPr>
          <w:rFonts w:ascii="Garamond" w:hAnsi="Garamond"/>
          <w:sz w:val="22"/>
          <w:szCs w:val="22"/>
          <w:lang w:val="en-US"/>
        </w:rPr>
      </w:pPr>
      <w:r w:rsidRPr="00F23F4B">
        <w:rPr>
          <w:rFonts w:ascii="Garamond" w:hAnsi="Garamond"/>
          <w:b/>
          <w:bCs/>
          <w:sz w:val="22"/>
          <w:szCs w:val="22"/>
          <w:lang w:val="en-US"/>
        </w:rPr>
        <w:t>Region</w:t>
      </w:r>
      <w:r w:rsidRPr="00F23F4B">
        <w:rPr>
          <w:rFonts w:ascii="Garamond" w:hAnsi="Garamond"/>
          <w:sz w:val="22"/>
          <w:szCs w:val="22"/>
          <w:lang w:val="en-US"/>
        </w:rPr>
        <w:t xml:space="preserve">: </w:t>
      </w:r>
      <w:r w:rsidR="00DD1EB8" w:rsidRPr="00F23F4B">
        <w:rPr>
          <w:rFonts w:ascii="Garamond" w:hAnsi="Garamond"/>
          <w:sz w:val="22"/>
          <w:szCs w:val="22"/>
          <w:lang w:val="en-US"/>
        </w:rPr>
        <w:t>Europe and Central Asia</w:t>
      </w:r>
    </w:p>
    <w:p w14:paraId="079501A2" w14:textId="3DEF2919" w:rsidR="00BB2804" w:rsidRPr="00F23F4B" w:rsidRDefault="00BB2804" w:rsidP="00B536A8">
      <w:pPr>
        <w:pStyle w:val="ListParagraph"/>
        <w:numPr>
          <w:ilvl w:val="0"/>
          <w:numId w:val="1"/>
        </w:numPr>
        <w:spacing w:line="360" w:lineRule="auto"/>
        <w:jc w:val="both"/>
        <w:rPr>
          <w:rFonts w:ascii="Garamond" w:hAnsi="Garamond"/>
          <w:sz w:val="22"/>
          <w:szCs w:val="22"/>
          <w:lang w:val="en-US"/>
        </w:rPr>
      </w:pPr>
      <w:r w:rsidRPr="00F23F4B">
        <w:rPr>
          <w:rFonts w:ascii="Garamond" w:hAnsi="Garamond"/>
          <w:b/>
          <w:bCs/>
          <w:sz w:val="22"/>
          <w:szCs w:val="22"/>
          <w:lang w:val="en-US"/>
        </w:rPr>
        <w:t>Country</w:t>
      </w:r>
      <w:r w:rsidRPr="00F23F4B">
        <w:rPr>
          <w:rFonts w:ascii="Garamond" w:hAnsi="Garamond"/>
          <w:sz w:val="22"/>
          <w:szCs w:val="22"/>
          <w:lang w:val="en-US"/>
        </w:rPr>
        <w:t xml:space="preserve">: </w:t>
      </w:r>
      <w:r w:rsidR="00DD1EB8" w:rsidRPr="00F23F4B">
        <w:rPr>
          <w:rFonts w:ascii="Garamond" w:hAnsi="Garamond"/>
          <w:sz w:val="22"/>
          <w:szCs w:val="22"/>
          <w:lang w:val="en-US"/>
        </w:rPr>
        <w:t>Poland</w:t>
      </w:r>
    </w:p>
    <w:p w14:paraId="7A6C4B43" w14:textId="5C41E799" w:rsidR="00BB2804" w:rsidRPr="00F23F4B" w:rsidRDefault="00BB2804" w:rsidP="00B536A8">
      <w:pPr>
        <w:pStyle w:val="ListParagraph"/>
        <w:numPr>
          <w:ilvl w:val="0"/>
          <w:numId w:val="1"/>
        </w:numPr>
        <w:spacing w:line="360" w:lineRule="auto"/>
        <w:jc w:val="both"/>
        <w:rPr>
          <w:rFonts w:ascii="Garamond" w:hAnsi="Garamond"/>
          <w:sz w:val="22"/>
          <w:szCs w:val="22"/>
          <w:lang w:val="en-US"/>
        </w:rPr>
      </w:pPr>
      <w:r w:rsidRPr="00F23F4B">
        <w:rPr>
          <w:rFonts w:ascii="Garamond" w:hAnsi="Garamond"/>
          <w:b/>
          <w:bCs/>
          <w:sz w:val="22"/>
          <w:szCs w:val="22"/>
          <w:lang w:val="en-US"/>
        </w:rPr>
        <w:t>Type of expression</w:t>
      </w:r>
      <w:r w:rsidRPr="00F23F4B">
        <w:rPr>
          <w:rFonts w:ascii="Garamond" w:hAnsi="Garamond"/>
          <w:sz w:val="22"/>
          <w:szCs w:val="22"/>
          <w:lang w:val="en-US"/>
        </w:rPr>
        <w:t>:</w:t>
      </w:r>
      <w:r w:rsidR="00FD1C8E" w:rsidRPr="00F23F4B">
        <w:rPr>
          <w:rFonts w:ascii="Garamond" w:hAnsi="Garamond"/>
          <w:sz w:val="22"/>
          <w:szCs w:val="22"/>
          <w:lang w:val="en-US"/>
        </w:rPr>
        <w:t xml:space="preserve"> </w:t>
      </w:r>
      <w:r w:rsidR="001E4432" w:rsidRPr="00F23F4B">
        <w:rPr>
          <w:rFonts w:ascii="Garamond" w:hAnsi="Garamond"/>
          <w:sz w:val="22"/>
          <w:szCs w:val="22"/>
          <w:lang w:val="en-US"/>
        </w:rPr>
        <w:t>Public Speech</w:t>
      </w:r>
    </w:p>
    <w:p w14:paraId="27903803" w14:textId="79C34D0E" w:rsidR="00BB2804" w:rsidRPr="00F23F4B" w:rsidRDefault="00BB2804" w:rsidP="00B536A8">
      <w:pPr>
        <w:pStyle w:val="ListParagraph"/>
        <w:numPr>
          <w:ilvl w:val="0"/>
          <w:numId w:val="1"/>
        </w:numPr>
        <w:spacing w:line="360" w:lineRule="auto"/>
        <w:jc w:val="both"/>
        <w:rPr>
          <w:rFonts w:ascii="Garamond" w:hAnsi="Garamond"/>
          <w:sz w:val="22"/>
          <w:szCs w:val="22"/>
          <w:lang w:val="en-US"/>
        </w:rPr>
      </w:pPr>
      <w:r w:rsidRPr="00F23F4B">
        <w:rPr>
          <w:rFonts w:ascii="Garamond" w:hAnsi="Garamond"/>
          <w:b/>
          <w:bCs/>
          <w:sz w:val="22"/>
          <w:szCs w:val="22"/>
          <w:lang w:val="en-US"/>
        </w:rPr>
        <w:t>Judicial Body</w:t>
      </w:r>
      <w:r w:rsidRPr="00F23F4B">
        <w:rPr>
          <w:rFonts w:ascii="Garamond" w:hAnsi="Garamond"/>
          <w:sz w:val="22"/>
          <w:szCs w:val="22"/>
          <w:lang w:val="en-US"/>
        </w:rPr>
        <w:t xml:space="preserve">: </w:t>
      </w:r>
      <w:r w:rsidR="001E4432" w:rsidRPr="00F23F4B">
        <w:rPr>
          <w:rFonts w:ascii="Garamond" w:hAnsi="Garamond"/>
          <w:sz w:val="22"/>
          <w:szCs w:val="22"/>
          <w:lang w:val="en-US"/>
        </w:rPr>
        <w:t>European Court of Human Rights (ECtHR)</w:t>
      </w:r>
    </w:p>
    <w:p w14:paraId="62C18981" w14:textId="53FDEDFF" w:rsidR="00BB2804" w:rsidRPr="00F23F4B" w:rsidRDefault="00BB2804" w:rsidP="00B536A8">
      <w:pPr>
        <w:pStyle w:val="ListParagraph"/>
        <w:numPr>
          <w:ilvl w:val="0"/>
          <w:numId w:val="1"/>
        </w:numPr>
        <w:spacing w:line="360" w:lineRule="auto"/>
        <w:jc w:val="both"/>
        <w:rPr>
          <w:rFonts w:ascii="Garamond" w:hAnsi="Garamond"/>
          <w:sz w:val="22"/>
          <w:szCs w:val="22"/>
          <w:lang w:val="en-US"/>
        </w:rPr>
      </w:pPr>
      <w:r w:rsidRPr="00F23F4B">
        <w:rPr>
          <w:rFonts w:ascii="Garamond" w:hAnsi="Garamond"/>
          <w:b/>
          <w:bCs/>
          <w:sz w:val="22"/>
          <w:szCs w:val="22"/>
          <w:lang w:val="en-US"/>
        </w:rPr>
        <w:t>Type of law</w:t>
      </w:r>
      <w:r w:rsidRPr="00F23F4B">
        <w:rPr>
          <w:rFonts w:ascii="Garamond" w:hAnsi="Garamond"/>
          <w:sz w:val="22"/>
          <w:szCs w:val="22"/>
          <w:lang w:val="en-US"/>
        </w:rPr>
        <w:t xml:space="preserve">: </w:t>
      </w:r>
      <w:r w:rsidR="00234ACE" w:rsidRPr="00F23F4B">
        <w:rPr>
          <w:rFonts w:ascii="Garamond" w:hAnsi="Garamond"/>
          <w:sz w:val="22"/>
          <w:szCs w:val="22"/>
          <w:lang w:val="en-US"/>
        </w:rPr>
        <w:t xml:space="preserve">Constitutional Law, </w:t>
      </w:r>
      <w:r w:rsidR="007837D9" w:rsidRPr="00F23F4B">
        <w:rPr>
          <w:rFonts w:ascii="Garamond" w:hAnsi="Garamond"/>
          <w:sz w:val="22"/>
          <w:szCs w:val="22"/>
          <w:lang w:val="en-US"/>
        </w:rPr>
        <w:t>International/Regional Human Rights Law</w:t>
      </w:r>
    </w:p>
    <w:p w14:paraId="086EBA65" w14:textId="1D1AB846" w:rsidR="00271601" w:rsidRPr="00F23F4B" w:rsidRDefault="00BB2804" w:rsidP="00B536A8">
      <w:pPr>
        <w:pStyle w:val="ListParagraph"/>
        <w:numPr>
          <w:ilvl w:val="0"/>
          <w:numId w:val="1"/>
        </w:numPr>
        <w:spacing w:line="360" w:lineRule="auto"/>
        <w:jc w:val="both"/>
        <w:rPr>
          <w:rFonts w:ascii="Garamond" w:hAnsi="Garamond" w:cs="Times New Roman"/>
          <w:sz w:val="22"/>
          <w:szCs w:val="22"/>
          <w:lang w:val="en-US"/>
        </w:rPr>
      </w:pPr>
      <w:r w:rsidRPr="00F23F4B">
        <w:rPr>
          <w:rFonts w:ascii="Garamond" w:hAnsi="Garamond" w:cs="Times New Roman"/>
          <w:b/>
          <w:bCs/>
          <w:sz w:val="22"/>
          <w:szCs w:val="22"/>
          <w:lang w:val="en-US"/>
        </w:rPr>
        <w:t>Main Themes</w:t>
      </w:r>
      <w:r w:rsidRPr="00F23F4B">
        <w:rPr>
          <w:rFonts w:ascii="Garamond" w:hAnsi="Garamond" w:cs="Times New Roman"/>
          <w:sz w:val="22"/>
          <w:szCs w:val="22"/>
          <w:lang w:val="en-US"/>
        </w:rPr>
        <w:t>:</w:t>
      </w:r>
      <w:r w:rsidR="00FA42AF" w:rsidRPr="00F23F4B">
        <w:rPr>
          <w:rFonts w:ascii="Garamond" w:hAnsi="Garamond" w:cs="Times New Roman"/>
          <w:sz w:val="22"/>
          <w:szCs w:val="22"/>
          <w:lang w:val="en-US"/>
        </w:rPr>
        <w:t xml:space="preserve"> </w:t>
      </w:r>
      <w:r w:rsidR="0059526C" w:rsidRPr="00F23F4B">
        <w:rPr>
          <w:rFonts w:ascii="Garamond" w:hAnsi="Garamond" w:cs="Times New Roman"/>
          <w:sz w:val="22"/>
          <w:szCs w:val="22"/>
          <w:lang w:val="en-US"/>
        </w:rPr>
        <w:t>Privacy</w:t>
      </w:r>
      <w:r w:rsidR="00C25CA7" w:rsidRPr="00F23F4B">
        <w:rPr>
          <w:rFonts w:ascii="Garamond" w:hAnsi="Garamond" w:cs="Times New Roman"/>
          <w:sz w:val="22"/>
          <w:szCs w:val="22"/>
          <w:lang w:val="en-US"/>
        </w:rPr>
        <w:t>, Defamation / Reputation</w:t>
      </w:r>
      <w:r w:rsidR="00D21771">
        <w:rPr>
          <w:rFonts w:ascii="Garamond" w:hAnsi="Garamond" w:cs="Times New Roman"/>
          <w:sz w:val="22"/>
          <w:szCs w:val="22"/>
          <w:lang w:val="en-US"/>
        </w:rPr>
        <w:t>, Political Expression</w:t>
      </w:r>
    </w:p>
    <w:p w14:paraId="57B70CF0" w14:textId="00065B9C" w:rsidR="00A77BDF" w:rsidRPr="00F23F4B" w:rsidRDefault="00BB2804" w:rsidP="00B536A8">
      <w:pPr>
        <w:pStyle w:val="ListParagraph"/>
        <w:numPr>
          <w:ilvl w:val="0"/>
          <w:numId w:val="1"/>
        </w:numPr>
        <w:spacing w:line="360" w:lineRule="auto"/>
        <w:jc w:val="both"/>
        <w:rPr>
          <w:rFonts w:ascii="Garamond" w:hAnsi="Garamond"/>
          <w:sz w:val="22"/>
          <w:szCs w:val="22"/>
          <w:lang w:val="fr-FR"/>
        </w:rPr>
      </w:pPr>
      <w:r w:rsidRPr="00F23F4B">
        <w:rPr>
          <w:rFonts w:ascii="Garamond" w:hAnsi="Garamond"/>
          <w:b/>
          <w:bCs/>
          <w:sz w:val="22"/>
          <w:szCs w:val="22"/>
          <w:lang w:val="fr-FR"/>
        </w:rPr>
        <w:t>Outcome</w:t>
      </w:r>
      <w:r w:rsidR="002E1E37" w:rsidRPr="00F23F4B">
        <w:rPr>
          <w:rFonts w:ascii="Garamond" w:hAnsi="Garamond"/>
          <w:sz w:val="22"/>
          <w:szCs w:val="22"/>
          <w:lang w:val="fr-FR"/>
        </w:rPr>
        <w:t>:</w:t>
      </w:r>
      <w:r w:rsidR="00272504" w:rsidRPr="00F23F4B">
        <w:rPr>
          <w:rFonts w:ascii="Garamond" w:hAnsi="Garamond"/>
          <w:sz w:val="22"/>
          <w:szCs w:val="22"/>
          <w:lang w:val="fr-FR"/>
        </w:rPr>
        <w:t xml:space="preserve"> </w:t>
      </w:r>
      <w:r w:rsidR="00C25CA7" w:rsidRPr="00F23F4B">
        <w:rPr>
          <w:rFonts w:ascii="Garamond" w:hAnsi="Garamond"/>
          <w:sz w:val="22"/>
          <w:szCs w:val="22"/>
          <w:lang w:val="fr-FR"/>
        </w:rPr>
        <w:t>Article 6 Violation,</w:t>
      </w:r>
      <w:r w:rsidR="00C235CB" w:rsidRPr="00F23F4B">
        <w:rPr>
          <w:rFonts w:ascii="Garamond" w:hAnsi="Garamond"/>
          <w:sz w:val="22"/>
          <w:szCs w:val="22"/>
          <w:lang w:val="fr-FR"/>
        </w:rPr>
        <w:t xml:space="preserve"> Article 8 Violation,</w:t>
      </w:r>
      <w:r w:rsidR="00C25CA7" w:rsidRPr="00F23F4B">
        <w:rPr>
          <w:rFonts w:ascii="Garamond" w:hAnsi="Garamond"/>
          <w:sz w:val="22"/>
          <w:szCs w:val="22"/>
          <w:lang w:val="fr-FR"/>
        </w:rPr>
        <w:t xml:space="preserve"> Article 10 Violation </w:t>
      </w:r>
    </w:p>
    <w:p w14:paraId="6DDEBA09" w14:textId="685EE34B" w:rsidR="00BB2804" w:rsidRPr="00F23F4B" w:rsidRDefault="00BB2804" w:rsidP="00B536A8">
      <w:pPr>
        <w:pStyle w:val="ListParagraph"/>
        <w:numPr>
          <w:ilvl w:val="0"/>
          <w:numId w:val="1"/>
        </w:numPr>
        <w:spacing w:line="360" w:lineRule="auto"/>
        <w:jc w:val="both"/>
        <w:rPr>
          <w:rFonts w:ascii="Garamond" w:hAnsi="Garamond"/>
          <w:sz w:val="22"/>
          <w:szCs w:val="22"/>
          <w:lang w:val="en-US"/>
        </w:rPr>
      </w:pPr>
      <w:r w:rsidRPr="00F23F4B">
        <w:rPr>
          <w:rFonts w:ascii="Garamond" w:hAnsi="Garamond"/>
          <w:b/>
          <w:bCs/>
          <w:sz w:val="22"/>
          <w:szCs w:val="22"/>
          <w:lang w:val="en-US"/>
        </w:rPr>
        <w:t>Status</w:t>
      </w:r>
      <w:r w:rsidRPr="00F23F4B">
        <w:rPr>
          <w:rFonts w:ascii="Garamond" w:hAnsi="Garamond"/>
          <w:sz w:val="22"/>
          <w:szCs w:val="22"/>
          <w:lang w:val="en-US"/>
        </w:rPr>
        <w:t xml:space="preserve">:  </w:t>
      </w:r>
      <w:r w:rsidR="00A77BDF" w:rsidRPr="00F23F4B">
        <w:rPr>
          <w:rFonts w:ascii="Garamond" w:hAnsi="Garamond"/>
          <w:sz w:val="22"/>
          <w:szCs w:val="22"/>
          <w:lang w:val="en-US"/>
        </w:rPr>
        <w:t>Closed</w:t>
      </w:r>
    </w:p>
    <w:p w14:paraId="7FB76545" w14:textId="2FDD037F" w:rsidR="000803EC" w:rsidRPr="00F23F4B" w:rsidRDefault="00BB2804" w:rsidP="00B536A8">
      <w:pPr>
        <w:pStyle w:val="ListParagraph"/>
        <w:numPr>
          <w:ilvl w:val="0"/>
          <w:numId w:val="1"/>
        </w:numPr>
        <w:spacing w:line="360" w:lineRule="auto"/>
        <w:jc w:val="both"/>
        <w:rPr>
          <w:rFonts w:ascii="Garamond" w:hAnsi="Garamond"/>
          <w:sz w:val="22"/>
          <w:szCs w:val="22"/>
          <w:lang w:val="en-US"/>
        </w:rPr>
      </w:pPr>
      <w:r w:rsidRPr="00F23F4B">
        <w:rPr>
          <w:rFonts w:ascii="Garamond" w:hAnsi="Garamond"/>
          <w:b/>
          <w:bCs/>
          <w:sz w:val="22"/>
          <w:szCs w:val="22"/>
          <w:lang w:val="en-US"/>
        </w:rPr>
        <w:t>Tags</w:t>
      </w:r>
      <w:r w:rsidRPr="00F23F4B">
        <w:rPr>
          <w:rFonts w:ascii="Garamond" w:hAnsi="Garamond"/>
          <w:sz w:val="22"/>
          <w:szCs w:val="22"/>
          <w:lang w:val="en-US"/>
        </w:rPr>
        <w:t>:</w:t>
      </w:r>
      <w:r w:rsidR="00210281">
        <w:rPr>
          <w:rFonts w:ascii="Garamond" w:hAnsi="Garamond"/>
          <w:sz w:val="22"/>
          <w:szCs w:val="22"/>
          <w:lang w:val="en-US"/>
        </w:rPr>
        <w:t xml:space="preserve"> </w:t>
      </w:r>
      <w:r w:rsidR="00210281" w:rsidRPr="00210281">
        <w:rPr>
          <w:rFonts w:ascii="Garamond" w:hAnsi="Garamond"/>
          <w:sz w:val="22"/>
          <w:szCs w:val="22"/>
          <w:lang w:val="en-US"/>
        </w:rPr>
        <w:t>Judicial censorship, Public Figures</w:t>
      </w:r>
    </w:p>
    <w:p w14:paraId="5886E3A0" w14:textId="77777777" w:rsidR="000803EC" w:rsidRPr="00F23F4B" w:rsidRDefault="000803EC" w:rsidP="00B536A8">
      <w:pPr>
        <w:spacing w:line="360" w:lineRule="auto"/>
        <w:jc w:val="both"/>
        <w:rPr>
          <w:rFonts w:ascii="Garamond" w:hAnsi="Garamond"/>
          <w:sz w:val="22"/>
          <w:szCs w:val="22"/>
          <w:lang w:val="en-US"/>
        </w:rPr>
      </w:pPr>
    </w:p>
    <w:p w14:paraId="06BBAAD5" w14:textId="77777777" w:rsidR="00BB2804" w:rsidRPr="00F23F4B" w:rsidRDefault="00BB2804" w:rsidP="00B536A8">
      <w:pPr>
        <w:spacing w:line="360" w:lineRule="auto"/>
        <w:jc w:val="both"/>
        <w:rPr>
          <w:rFonts w:ascii="Garamond" w:hAnsi="Garamond"/>
          <w:color w:val="000000" w:themeColor="text1"/>
          <w:sz w:val="22"/>
          <w:szCs w:val="22"/>
          <w:lang w:val="en-US"/>
        </w:rPr>
      </w:pPr>
      <w:r w:rsidRPr="00F23F4B">
        <w:rPr>
          <w:rFonts w:ascii="Garamond" w:hAnsi="Garamond"/>
          <w:b/>
          <w:bCs/>
          <w:i/>
          <w:iCs/>
          <w:color w:val="000000" w:themeColor="text1"/>
          <w:sz w:val="22"/>
          <w:szCs w:val="22"/>
          <w:u w:val="single"/>
          <w:lang w:val="en-US"/>
        </w:rPr>
        <w:t>Analysis:</w:t>
      </w:r>
    </w:p>
    <w:p w14:paraId="689556F6" w14:textId="77777777" w:rsidR="00BB2804" w:rsidRPr="00F23F4B" w:rsidRDefault="00BB2804" w:rsidP="00B536A8">
      <w:pPr>
        <w:pStyle w:val="ListParagraph"/>
        <w:numPr>
          <w:ilvl w:val="0"/>
          <w:numId w:val="5"/>
        </w:numPr>
        <w:spacing w:line="360" w:lineRule="auto"/>
        <w:jc w:val="both"/>
        <w:rPr>
          <w:rFonts w:ascii="Garamond" w:hAnsi="Garamond"/>
          <w:sz w:val="22"/>
          <w:szCs w:val="22"/>
          <w:lang w:val="en-US"/>
        </w:rPr>
      </w:pPr>
      <w:r w:rsidRPr="00F23F4B">
        <w:rPr>
          <w:rFonts w:ascii="Garamond" w:hAnsi="Garamond"/>
          <w:b/>
          <w:bCs/>
          <w:sz w:val="22"/>
          <w:szCs w:val="22"/>
          <w:lang w:val="en-US"/>
        </w:rPr>
        <w:t>Summary and Outcome</w:t>
      </w:r>
      <w:r w:rsidRPr="00F23F4B">
        <w:rPr>
          <w:rFonts w:ascii="Garamond" w:hAnsi="Garamond"/>
          <w:sz w:val="22"/>
          <w:szCs w:val="22"/>
          <w:lang w:val="en-US"/>
        </w:rPr>
        <w:t>:</w:t>
      </w:r>
    </w:p>
    <w:p w14:paraId="51FB4FAE" w14:textId="77777777" w:rsidR="00BC239A" w:rsidRPr="00BC239A" w:rsidRDefault="00BC239A" w:rsidP="00B536A8">
      <w:pPr>
        <w:spacing w:line="360" w:lineRule="auto"/>
        <w:jc w:val="both"/>
        <w:rPr>
          <w:rFonts w:ascii="Garamond" w:hAnsi="Garamond"/>
          <w:sz w:val="22"/>
          <w:szCs w:val="22"/>
          <w:lang w:val="en-US"/>
        </w:rPr>
      </w:pPr>
    </w:p>
    <w:p w14:paraId="4EBD6110" w14:textId="3D6244DA" w:rsidR="00BC239A" w:rsidRPr="00BC239A" w:rsidRDefault="00BC239A" w:rsidP="00B536A8">
      <w:pPr>
        <w:spacing w:line="360" w:lineRule="auto"/>
        <w:jc w:val="both"/>
        <w:rPr>
          <w:rFonts w:ascii="Garamond" w:hAnsi="Garamond"/>
          <w:sz w:val="22"/>
          <w:szCs w:val="22"/>
          <w:lang w:val="en-US"/>
        </w:rPr>
      </w:pPr>
      <w:r w:rsidRPr="00BC239A">
        <w:rPr>
          <w:rFonts w:ascii="Garamond" w:hAnsi="Garamond"/>
          <w:sz w:val="22"/>
          <w:szCs w:val="22"/>
          <w:lang w:val="en-US"/>
        </w:rPr>
        <w:t xml:space="preserve">In July 2023, the European Court of Human Rights ruled that the measures taken by the authorities against Igor Tuleya, a judge </w:t>
      </w:r>
      <w:r w:rsidR="00F43818" w:rsidRPr="00BC239A">
        <w:rPr>
          <w:rFonts w:ascii="Garamond" w:hAnsi="Garamond"/>
          <w:sz w:val="22"/>
          <w:szCs w:val="22"/>
          <w:lang w:val="en-US"/>
        </w:rPr>
        <w:t>recognized</w:t>
      </w:r>
      <w:r w:rsidRPr="00BC239A">
        <w:rPr>
          <w:rFonts w:ascii="Garamond" w:hAnsi="Garamond"/>
          <w:sz w:val="22"/>
          <w:szCs w:val="22"/>
          <w:lang w:val="en-US"/>
        </w:rPr>
        <w:t xml:space="preserve"> by civil society as a defender of the rule of law and the independence of the judiciary during the Polish constitutional crisis, violated Article 10.</w:t>
      </w:r>
      <w:r w:rsidR="00C16039">
        <w:rPr>
          <w:rFonts w:ascii="Garamond" w:hAnsi="Garamond"/>
          <w:sz w:val="22"/>
          <w:szCs w:val="22"/>
          <w:lang w:val="en-US"/>
        </w:rPr>
        <w:t xml:space="preserve"> </w:t>
      </w:r>
      <w:r w:rsidR="00C16039" w:rsidRPr="00C16039">
        <w:rPr>
          <w:rFonts w:ascii="Garamond" w:hAnsi="Garamond"/>
          <w:sz w:val="22"/>
          <w:szCs w:val="22"/>
          <w:lang w:val="en-US"/>
        </w:rPr>
        <w:t>The impugned measures in the relevant case were a number of preliminary inquiries initiated by the disciplinary officer; and the resolution of the Disciplinary Chamber of 18 November 20</w:t>
      </w:r>
      <w:r w:rsidR="004D2CCA">
        <w:rPr>
          <w:rFonts w:ascii="Garamond" w:hAnsi="Garamond"/>
          <w:sz w:val="22"/>
          <w:szCs w:val="22"/>
          <w:lang w:val="en-US"/>
        </w:rPr>
        <w:t>20</w:t>
      </w:r>
      <w:r w:rsidR="00C16039" w:rsidRPr="00C16039">
        <w:rPr>
          <w:rFonts w:ascii="Garamond" w:hAnsi="Garamond"/>
          <w:sz w:val="22"/>
          <w:szCs w:val="22"/>
          <w:lang w:val="en-US"/>
        </w:rPr>
        <w:t xml:space="preserve"> to lift the applicant's immunity and suspend him from judicial office.</w:t>
      </w:r>
      <w:r w:rsidR="004D2CCA">
        <w:rPr>
          <w:rFonts w:ascii="Garamond" w:hAnsi="Garamond"/>
          <w:sz w:val="22"/>
          <w:szCs w:val="22"/>
          <w:lang w:val="en-US"/>
        </w:rPr>
        <w:t xml:space="preserve"> </w:t>
      </w:r>
      <w:r w:rsidR="00C16039" w:rsidRPr="00C16039">
        <w:rPr>
          <w:rFonts w:ascii="Garamond" w:hAnsi="Garamond"/>
          <w:sz w:val="22"/>
          <w:szCs w:val="22"/>
          <w:lang w:val="en-US"/>
        </w:rPr>
        <w:t xml:space="preserve">According to the Court, the measures taken by the authorities against </w:t>
      </w:r>
      <w:r w:rsidR="00E4433E">
        <w:rPr>
          <w:rFonts w:ascii="Garamond" w:hAnsi="Garamond"/>
          <w:sz w:val="22"/>
          <w:szCs w:val="22"/>
          <w:lang w:val="en-US"/>
        </w:rPr>
        <w:t>Mr Tuleya</w:t>
      </w:r>
      <w:r w:rsidR="00C16039" w:rsidRPr="00C16039">
        <w:rPr>
          <w:rFonts w:ascii="Garamond" w:hAnsi="Garamond"/>
          <w:sz w:val="22"/>
          <w:szCs w:val="22"/>
          <w:lang w:val="en-US"/>
        </w:rPr>
        <w:t xml:space="preserve"> were in response to his critical statements and constituted a disguised sanction. </w:t>
      </w:r>
      <w:r w:rsidR="004D2CCA" w:rsidRPr="004D2CCA">
        <w:rPr>
          <w:rFonts w:ascii="Garamond" w:hAnsi="Garamond"/>
          <w:sz w:val="22"/>
          <w:szCs w:val="22"/>
          <w:lang w:val="en-US"/>
        </w:rPr>
        <w:t>The EC</w:t>
      </w:r>
      <w:r w:rsidR="002F6D70">
        <w:rPr>
          <w:rFonts w:ascii="Garamond" w:hAnsi="Garamond"/>
          <w:sz w:val="22"/>
          <w:szCs w:val="22"/>
          <w:lang w:val="en-US"/>
        </w:rPr>
        <w:t>t</w:t>
      </w:r>
      <w:r w:rsidR="004D2CCA" w:rsidRPr="004D2CCA">
        <w:rPr>
          <w:rFonts w:ascii="Garamond" w:hAnsi="Garamond"/>
          <w:sz w:val="22"/>
          <w:szCs w:val="22"/>
          <w:lang w:val="en-US"/>
        </w:rPr>
        <w:t>HR found that the interfere</w:t>
      </w:r>
      <w:r w:rsidR="004D2CCA">
        <w:rPr>
          <w:rFonts w:ascii="Garamond" w:hAnsi="Garamond"/>
          <w:sz w:val="22"/>
          <w:szCs w:val="22"/>
          <w:lang w:val="en-US"/>
        </w:rPr>
        <w:t>nce was not "prescribed by law". Additionally,</w:t>
      </w:r>
      <w:r w:rsidR="004D2CCA" w:rsidRPr="004D2CCA">
        <w:rPr>
          <w:rFonts w:ascii="Garamond" w:hAnsi="Garamond"/>
          <w:sz w:val="22"/>
          <w:szCs w:val="22"/>
          <w:lang w:val="en-US"/>
        </w:rPr>
        <w:t xml:space="preserve"> the Court considered it important to provide reasons why the interference did not pursue one of the legitimate aims referred to in Article 10(2).</w:t>
      </w:r>
      <w:r w:rsidR="004D2CCA">
        <w:rPr>
          <w:rFonts w:ascii="Garamond" w:hAnsi="Garamond"/>
          <w:sz w:val="22"/>
          <w:szCs w:val="22"/>
          <w:lang w:val="en-US"/>
        </w:rPr>
        <w:t xml:space="preserve"> </w:t>
      </w:r>
      <w:r w:rsidR="00C16039" w:rsidRPr="00C16039">
        <w:rPr>
          <w:rFonts w:ascii="Garamond" w:hAnsi="Garamond"/>
          <w:sz w:val="22"/>
          <w:szCs w:val="22"/>
          <w:lang w:val="en-US"/>
        </w:rPr>
        <w:t>The EC</w:t>
      </w:r>
      <w:r w:rsidR="002F6D70">
        <w:rPr>
          <w:rFonts w:ascii="Garamond" w:hAnsi="Garamond"/>
          <w:sz w:val="22"/>
          <w:szCs w:val="22"/>
          <w:lang w:val="en-US"/>
        </w:rPr>
        <w:t>t</w:t>
      </w:r>
      <w:r w:rsidR="00C16039" w:rsidRPr="00C16039">
        <w:rPr>
          <w:rFonts w:ascii="Garamond" w:hAnsi="Garamond"/>
          <w:sz w:val="22"/>
          <w:szCs w:val="22"/>
          <w:lang w:val="en-US"/>
        </w:rPr>
        <w:t>HR unanimously held that there had been a violation of Article 10.</w:t>
      </w:r>
    </w:p>
    <w:p w14:paraId="4A3F5EA3" w14:textId="0F218C8E" w:rsidR="00733913" w:rsidRPr="00F23F4B" w:rsidRDefault="00C556D8" w:rsidP="00B536A8">
      <w:pPr>
        <w:tabs>
          <w:tab w:val="left" w:pos="7214"/>
        </w:tabs>
        <w:spacing w:line="360" w:lineRule="auto"/>
        <w:jc w:val="both"/>
        <w:rPr>
          <w:rFonts w:ascii="Garamond" w:hAnsi="Garamond"/>
          <w:sz w:val="22"/>
          <w:szCs w:val="22"/>
          <w:lang w:val="en-US"/>
        </w:rPr>
      </w:pPr>
      <w:r w:rsidRPr="00F23F4B">
        <w:rPr>
          <w:rFonts w:ascii="Garamond" w:hAnsi="Garamond"/>
          <w:sz w:val="22"/>
          <w:szCs w:val="22"/>
          <w:lang w:val="en-US"/>
        </w:rPr>
        <w:tab/>
      </w:r>
    </w:p>
    <w:p w14:paraId="50938D54" w14:textId="2DDF42CE" w:rsidR="00ED391E" w:rsidRPr="00F23F4B" w:rsidRDefault="00BB2804" w:rsidP="00B536A8">
      <w:pPr>
        <w:pStyle w:val="ListParagraph"/>
        <w:numPr>
          <w:ilvl w:val="0"/>
          <w:numId w:val="4"/>
        </w:numPr>
        <w:spacing w:line="360" w:lineRule="auto"/>
        <w:jc w:val="both"/>
        <w:rPr>
          <w:rFonts w:ascii="Garamond" w:hAnsi="Garamond"/>
          <w:sz w:val="22"/>
          <w:szCs w:val="22"/>
          <w:lang w:val="en-US"/>
        </w:rPr>
      </w:pPr>
      <w:r w:rsidRPr="00F23F4B">
        <w:rPr>
          <w:rFonts w:ascii="Garamond" w:hAnsi="Garamond"/>
          <w:b/>
          <w:bCs/>
          <w:sz w:val="22"/>
          <w:szCs w:val="22"/>
          <w:lang w:val="en-US"/>
        </w:rPr>
        <w:t>Facts</w:t>
      </w:r>
      <w:r w:rsidRPr="00F23F4B">
        <w:rPr>
          <w:rFonts w:ascii="Garamond" w:hAnsi="Garamond"/>
          <w:sz w:val="22"/>
          <w:szCs w:val="22"/>
          <w:lang w:val="en-US"/>
        </w:rPr>
        <w:t>:</w:t>
      </w:r>
    </w:p>
    <w:p w14:paraId="455D1175" w14:textId="77777777" w:rsidR="001832EA" w:rsidRPr="00F27F2B" w:rsidRDefault="001832EA" w:rsidP="00B536A8">
      <w:pPr>
        <w:spacing w:line="360" w:lineRule="auto"/>
        <w:jc w:val="both"/>
        <w:rPr>
          <w:rFonts w:ascii="Garamond" w:hAnsi="Garamond"/>
          <w:sz w:val="22"/>
          <w:szCs w:val="22"/>
          <w:lang w:val="en-US"/>
        </w:rPr>
      </w:pPr>
    </w:p>
    <w:p w14:paraId="7DF56122" w14:textId="4A82F184" w:rsidR="005C26A0" w:rsidRPr="00F27F2B" w:rsidRDefault="001832EA" w:rsidP="00B536A8">
      <w:pPr>
        <w:spacing w:line="360" w:lineRule="auto"/>
        <w:jc w:val="both"/>
        <w:rPr>
          <w:rFonts w:ascii="Garamond" w:hAnsi="Garamond"/>
          <w:sz w:val="22"/>
          <w:szCs w:val="22"/>
          <w:lang w:val="en-US"/>
        </w:rPr>
      </w:pPr>
      <w:r w:rsidRPr="00F27F2B">
        <w:rPr>
          <w:rFonts w:ascii="Garamond" w:hAnsi="Garamond"/>
          <w:sz w:val="22"/>
          <w:szCs w:val="22"/>
          <w:lang w:val="en-US"/>
        </w:rPr>
        <w:t>The applicant, Mr Tuleya, is known in Polish society as an active figure in the context of the Polish constitutional crisis, opposing reforms of political power and defending the independence of the judiciary.</w:t>
      </w:r>
      <w:r w:rsidR="005C26A0" w:rsidRPr="00F27F2B">
        <w:rPr>
          <w:rFonts w:ascii="Garamond" w:hAnsi="Garamond"/>
          <w:sz w:val="22"/>
          <w:szCs w:val="22"/>
          <w:lang w:val="en-US"/>
        </w:rPr>
        <w:t xml:space="preserve"> </w:t>
      </w:r>
      <w:r w:rsidR="007D38C2" w:rsidRPr="00F27F2B">
        <w:rPr>
          <w:rFonts w:ascii="Garamond" w:hAnsi="Garamond"/>
          <w:sz w:val="22"/>
          <w:szCs w:val="22"/>
          <w:lang w:val="en-US"/>
        </w:rPr>
        <w:t xml:space="preserve">He is an activist of the Polish judges' association </w:t>
      </w:r>
      <w:r w:rsidR="00AB3B40" w:rsidRPr="00F27F2B">
        <w:rPr>
          <w:rFonts w:ascii="Garamond" w:hAnsi="Garamond"/>
          <w:sz w:val="22"/>
          <w:szCs w:val="22"/>
          <w:lang w:val="en-US"/>
        </w:rPr>
        <w:t>"Iustitia"</w:t>
      </w:r>
      <w:r w:rsidR="007D38C2" w:rsidRPr="00F27F2B">
        <w:rPr>
          <w:rFonts w:ascii="Garamond" w:hAnsi="Garamond"/>
          <w:sz w:val="22"/>
          <w:szCs w:val="22"/>
          <w:lang w:val="en-US"/>
        </w:rPr>
        <w:t xml:space="preserve">. </w:t>
      </w:r>
      <w:r w:rsidR="005C26A0" w:rsidRPr="00F27F2B">
        <w:rPr>
          <w:rFonts w:ascii="Garamond" w:hAnsi="Garamond"/>
          <w:sz w:val="22"/>
          <w:szCs w:val="22"/>
          <w:lang w:val="en-US"/>
        </w:rPr>
        <w:t xml:space="preserve">At the material time, Mr Tuleya was a judge at the Warsaw Regional Court, sitting in the criminal division. </w:t>
      </w:r>
    </w:p>
    <w:p w14:paraId="03F34A9B" w14:textId="77777777" w:rsidR="001832EA" w:rsidRPr="00F27F2B" w:rsidRDefault="001832EA" w:rsidP="00B536A8">
      <w:pPr>
        <w:spacing w:line="360" w:lineRule="auto"/>
        <w:jc w:val="both"/>
        <w:rPr>
          <w:sz w:val="22"/>
          <w:szCs w:val="22"/>
          <w:lang w:val="en-US"/>
        </w:rPr>
      </w:pPr>
    </w:p>
    <w:p w14:paraId="2FE3DC9B" w14:textId="447813C3" w:rsidR="00096E53" w:rsidRPr="00F27F2B" w:rsidRDefault="001832EA" w:rsidP="00B536A8">
      <w:pPr>
        <w:spacing w:line="360" w:lineRule="auto"/>
        <w:jc w:val="both"/>
        <w:rPr>
          <w:rFonts w:ascii="Garamond" w:hAnsi="Garamond"/>
          <w:sz w:val="22"/>
          <w:szCs w:val="22"/>
          <w:lang w:val="en-US"/>
        </w:rPr>
      </w:pPr>
      <w:r w:rsidRPr="00F27F2B">
        <w:rPr>
          <w:rFonts w:ascii="Garamond" w:hAnsi="Garamond"/>
          <w:sz w:val="22"/>
          <w:szCs w:val="22"/>
          <w:lang w:val="en-US"/>
        </w:rPr>
        <w:lastRenderedPageBreak/>
        <w:t xml:space="preserve">NOTE: In October 2023, the political force that had ruled Poland since 2015 lost the elections and another political grouping took over the state, taking a different approach to the justice system.  </w:t>
      </w:r>
    </w:p>
    <w:p w14:paraId="4D9B01C5" w14:textId="77777777" w:rsidR="001832EA" w:rsidRPr="00F27F2B" w:rsidRDefault="001832EA" w:rsidP="00B536A8">
      <w:pPr>
        <w:spacing w:line="360" w:lineRule="auto"/>
        <w:jc w:val="both"/>
        <w:rPr>
          <w:rFonts w:ascii="Garamond" w:hAnsi="Garamond"/>
          <w:sz w:val="22"/>
          <w:szCs w:val="22"/>
          <w:lang w:val="en-US"/>
        </w:rPr>
      </w:pPr>
    </w:p>
    <w:p w14:paraId="376EA0D3" w14:textId="3472ED02" w:rsidR="00426E4C" w:rsidRPr="000525A3" w:rsidRDefault="001832EA" w:rsidP="00B536A8">
      <w:pPr>
        <w:spacing w:line="360" w:lineRule="auto"/>
        <w:jc w:val="both"/>
        <w:rPr>
          <w:rFonts w:ascii="Garamond" w:hAnsi="Garamond"/>
          <w:sz w:val="22"/>
          <w:szCs w:val="22"/>
        </w:rPr>
      </w:pPr>
      <w:r w:rsidRPr="000525A3">
        <w:rPr>
          <w:rFonts w:ascii="Garamond" w:hAnsi="Garamond"/>
          <w:sz w:val="22"/>
          <w:szCs w:val="22"/>
          <w:lang w:val="en-US"/>
        </w:rPr>
        <w:t>In addition to Article 10, the provisions of the Convention challenged by Mr Tuley</w:t>
      </w:r>
      <w:r w:rsidR="005C26A0" w:rsidRPr="000525A3">
        <w:rPr>
          <w:rFonts w:ascii="Garamond" w:hAnsi="Garamond"/>
          <w:sz w:val="22"/>
          <w:szCs w:val="22"/>
          <w:lang w:val="en-US"/>
        </w:rPr>
        <w:t>a</w:t>
      </w:r>
      <w:r w:rsidR="00FB1E10" w:rsidRPr="000525A3">
        <w:rPr>
          <w:rFonts w:ascii="Garamond" w:hAnsi="Garamond"/>
          <w:sz w:val="22"/>
          <w:szCs w:val="22"/>
          <w:lang w:val="en-US"/>
        </w:rPr>
        <w:t xml:space="preserve"> included Article 6(</w:t>
      </w:r>
      <w:r w:rsidRPr="000525A3">
        <w:rPr>
          <w:rFonts w:ascii="Garamond" w:hAnsi="Garamond"/>
          <w:sz w:val="22"/>
          <w:szCs w:val="22"/>
          <w:lang w:val="en-US"/>
        </w:rPr>
        <w:t>1</w:t>
      </w:r>
      <w:r w:rsidR="00FB1E10" w:rsidRPr="000525A3">
        <w:rPr>
          <w:rFonts w:ascii="Garamond" w:hAnsi="Garamond"/>
          <w:sz w:val="22"/>
          <w:szCs w:val="22"/>
          <w:lang w:val="en-US"/>
        </w:rPr>
        <w:t>)</w:t>
      </w:r>
      <w:r w:rsidRPr="000525A3">
        <w:rPr>
          <w:rFonts w:ascii="Garamond" w:hAnsi="Garamond"/>
          <w:sz w:val="22"/>
          <w:szCs w:val="22"/>
          <w:lang w:val="en-US"/>
        </w:rPr>
        <w:t>, Article 8 and Article 13. As regards freedom of expression, the case concerned</w:t>
      </w:r>
      <w:r w:rsidR="00AB796B" w:rsidRPr="000525A3">
        <w:rPr>
          <w:rFonts w:ascii="Garamond" w:hAnsi="Garamond"/>
          <w:sz w:val="22"/>
          <w:szCs w:val="22"/>
          <w:lang w:val="en-US"/>
        </w:rPr>
        <w:t xml:space="preserve"> the following measures</w:t>
      </w:r>
      <w:r w:rsidRPr="000525A3">
        <w:rPr>
          <w:rFonts w:ascii="Garamond" w:hAnsi="Garamond"/>
          <w:sz w:val="22"/>
          <w:szCs w:val="22"/>
          <w:lang w:val="en-US"/>
        </w:rPr>
        <w:t>: (1) a number of preliminary inquiries initiated by the disciplinary officer; and (2) the resolution of the Disciplinary Chamber of 18 November 20</w:t>
      </w:r>
      <w:r w:rsidR="004D2CCA" w:rsidRPr="000525A3">
        <w:rPr>
          <w:rFonts w:ascii="Garamond" w:hAnsi="Garamond"/>
          <w:sz w:val="22"/>
          <w:szCs w:val="22"/>
          <w:lang w:val="en-US"/>
        </w:rPr>
        <w:t>20</w:t>
      </w:r>
      <w:r w:rsidRPr="000525A3">
        <w:rPr>
          <w:rFonts w:ascii="Garamond" w:hAnsi="Garamond"/>
          <w:sz w:val="22"/>
          <w:szCs w:val="22"/>
          <w:lang w:val="en-US"/>
        </w:rPr>
        <w:t xml:space="preserve"> to</w:t>
      </w:r>
      <w:r w:rsidR="005C26A0" w:rsidRPr="000525A3">
        <w:rPr>
          <w:sz w:val="22"/>
          <w:szCs w:val="22"/>
        </w:rPr>
        <w:t xml:space="preserve"> </w:t>
      </w:r>
      <w:r w:rsidR="005C26A0" w:rsidRPr="000525A3">
        <w:rPr>
          <w:rFonts w:ascii="Garamond" w:hAnsi="Garamond"/>
          <w:sz w:val="22"/>
          <w:szCs w:val="22"/>
          <w:lang w:val="en-US"/>
        </w:rPr>
        <w:t>lift the applicant’s immunity and suspend him from judicial office.</w:t>
      </w:r>
    </w:p>
    <w:p w14:paraId="6D64AE67" w14:textId="77777777" w:rsidR="00F27F2B" w:rsidRPr="00F27F2B" w:rsidRDefault="00F27F2B" w:rsidP="00B536A8">
      <w:pPr>
        <w:spacing w:line="360" w:lineRule="auto"/>
        <w:jc w:val="both"/>
        <w:rPr>
          <w:rFonts w:ascii="Garamond" w:hAnsi="Garamond"/>
          <w:sz w:val="22"/>
          <w:szCs w:val="22"/>
        </w:rPr>
      </w:pPr>
    </w:p>
    <w:p w14:paraId="4516B8B7" w14:textId="06AB14EA" w:rsidR="00F52CB2" w:rsidRPr="00F27F2B" w:rsidRDefault="00980C54" w:rsidP="00B536A8">
      <w:pPr>
        <w:spacing w:line="360" w:lineRule="auto"/>
        <w:jc w:val="both"/>
        <w:rPr>
          <w:rFonts w:ascii="Garamond" w:hAnsi="Garamond"/>
          <w:sz w:val="22"/>
          <w:szCs w:val="22"/>
        </w:rPr>
      </w:pPr>
      <w:r w:rsidRPr="00F27F2B">
        <w:rPr>
          <w:rFonts w:ascii="Garamond" w:hAnsi="Garamond"/>
          <w:sz w:val="22"/>
          <w:szCs w:val="22"/>
        </w:rPr>
        <w:t xml:space="preserve">As far as preliminary inquiries </w:t>
      </w:r>
      <w:r w:rsidR="00426E4C" w:rsidRPr="00F27F2B">
        <w:rPr>
          <w:rFonts w:ascii="Garamond" w:hAnsi="Garamond"/>
          <w:sz w:val="22"/>
          <w:szCs w:val="22"/>
          <w:lang w:val="en-US"/>
        </w:rPr>
        <w:t>(</w:t>
      </w:r>
      <w:r w:rsidR="00426E4C" w:rsidRPr="00F27F2B">
        <w:rPr>
          <w:rFonts w:ascii="Garamond" w:hAnsi="Garamond"/>
          <w:i/>
          <w:sz w:val="22"/>
          <w:szCs w:val="22"/>
          <w:lang w:val="en-US"/>
        </w:rPr>
        <w:t>czynności wyjaśniajace</w:t>
      </w:r>
      <w:r w:rsidR="00426E4C" w:rsidRPr="00F27F2B">
        <w:rPr>
          <w:rFonts w:ascii="Garamond" w:hAnsi="Garamond"/>
          <w:sz w:val="22"/>
          <w:szCs w:val="22"/>
          <w:lang w:val="en-US"/>
        </w:rPr>
        <w:t>)</w:t>
      </w:r>
      <w:r w:rsidRPr="00F27F2B">
        <w:rPr>
          <w:rFonts w:ascii="Garamond" w:hAnsi="Garamond"/>
          <w:sz w:val="22"/>
          <w:szCs w:val="22"/>
        </w:rPr>
        <w:t xml:space="preserve"> are concerned, they </w:t>
      </w:r>
      <w:r w:rsidRPr="000525A3">
        <w:rPr>
          <w:rFonts w:ascii="Garamond" w:hAnsi="Garamond"/>
          <w:sz w:val="22"/>
          <w:szCs w:val="22"/>
        </w:rPr>
        <w:t xml:space="preserve">were governed </w:t>
      </w:r>
      <w:r w:rsidR="00426E4C" w:rsidRPr="000525A3">
        <w:rPr>
          <w:rFonts w:ascii="Garamond" w:hAnsi="Garamond"/>
          <w:sz w:val="22"/>
          <w:szCs w:val="22"/>
        </w:rPr>
        <w:t xml:space="preserve">by section 114(1) of the Act of 27 July 2001 on the Organisation of Ordinary Courts (hereinafter: </w:t>
      </w:r>
      <w:r w:rsidR="002F6D70" w:rsidRPr="000525A3">
        <w:rPr>
          <w:rFonts w:ascii="Garamond" w:hAnsi="Garamond"/>
          <w:sz w:val="22"/>
          <w:szCs w:val="22"/>
        </w:rPr>
        <w:t>"</w:t>
      </w:r>
      <w:r w:rsidR="00426E4C" w:rsidRPr="000525A3">
        <w:rPr>
          <w:rFonts w:ascii="Garamond" w:hAnsi="Garamond"/>
          <w:sz w:val="22"/>
          <w:szCs w:val="22"/>
        </w:rPr>
        <w:t>the 2001 Act</w:t>
      </w:r>
      <w:r w:rsidR="002F6D70" w:rsidRPr="000525A3">
        <w:rPr>
          <w:rFonts w:ascii="Garamond" w:hAnsi="Garamond"/>
          <w:sz w:val="22"/>
          <w:lang w:val="en-US"/>
        </w:rPr>
        <w:t>"</w:t>
      </w:r>
      <w:r w:rsidR="00426E4C" w:rsidRPr="000525A3">
        <w:rPr>
          <w:rFonts w:ascii="Garamond" w:hAnsi="Garamond"/>
          <w:sz w:val="22"/>
          <w:szCs w:val="22"/>
        </w:rPr>
        <w:t>).</w:t>
      </w:r>
      <w:r w:rsidR="00426E4C" w:rsidRPr="000525A3">
        <w:rPr>
          <w:rFonts w:ascii="Garamond" w:hAnsi="Garamond"/>
          <w:b/>
          <w:sz w:val="22"/>
          <w:szCs w:val="22"/>
        </w:rPr>
        <w:t xml:space="preserve"> </w:t>
      </w:r>
      <w:r w:rsidR="00426E4C" w:rsidRPr="00F27F2B">
        <w:rPr>
          <w:rFonts w:ascii="Garamond" w:hAnsi="Garamond"/>
          <w:sz w:val="22"/>
          <w:szCs w:val="22"/>
        </w:rPr>
        <w:t xml:space="preserve">The relevant instrument was to </w:t>
      </w:r>
      <w:r w:rsidR="00F52CB2" w:rsidRPr="00F27F2B">
        <w:rPr>
          <w:rFonts w:ascii="Garamond" w:hAnsi="Garamond"/>
          <w:sz w:val="22"/>
          <w:szCs w:val="22"/>
        </w:rPr>
        <w:t xml:space="preserve">be initiated by </w:t>
      </w:r>
      <w:r w:rsidR="00AB3B40" w:rsidRPr="00F27F2B">
        <w:rPr>
          <w:rFonts w:ascii="Garamond" w:hAnsi="Garamond"/>
          <w:sz w:val="22"/>
          <w:szCs w:val="22"/>
        </w:rPr>
        <w:t xml:space="preserve">the </w:t>
      </w:r>
      <w:r w:rsidR="00AB3B40" w:rsidRPr="000525A3">
        <w:rPr>
          <w:rFonts w:ascii="Garamond" w:hAnsi="Garamond"/>
          <w:sz w:val="22"/>
          <w:szCs w:val="22"/>
        </w:rPr>
        <w:t>disciplinary officer for ordinary court judges (</w:t>
      </w:r>
      <w:r w:rsidR="00AB3B40" w:rsidRPr="000525A3">
        <w:rPr>
          <w:rFonts w:ascii="Garamond" w:hAnsi="Garamond"/>
          <w:i/>
          <w:sz w:val="22"/>
          <w:szCs w:val="22"/>
        </w:rPr>
        <w:t>Rzecznik Dyscyplin</w:t>
      </w:r>
      <w:r w:rsidR="00F52CB2" w:rsidRPr="000525A3">
        <w:rPr>
          <w:rFonts w:ascii="Garamond" w:hAnsi="Garamond"/>
          <w:i/>
          <w:sz w:val="22"/>
          <w:szCs w:val="22"/>
        </w:rPr>
        <w:t>arny Sędziów Sądów Powszechnych</w:t>
      </w:r>
      <w:r w:rsidR="00F52CB2" w:rsidRPr="000525A3">
        <w:rPr>
          <w:rFonts w:ascii="Garamond" w:hAnsi="Garamond"/>
          <w:sz w:val="22"/>
          <w:szCs w:val="22"/>
        </w:rPr>
        <w:t>, hereinafter:</w:t>
      </w:r>
      <w:r w:rsidR="00AB3B40" w:rsidRPr="000525A3">
        <w:rPr>
          <w:rFonts w:ascii="Garamond" w:hAnsi="Garamond"/>
          <w:sz w:val="22"/>
          <w:szCs w:val="22"/>
        </w:rPr>
        <w:t xml:space="preserve"> </w:t>
      </w:r>
      <w:r w:rsidR="002F6D70" w:rsidRPr="000525A3">
        <w:rPr>
          <w:rFonts w:ascii="Garamond" w:hAnsi="Garamond"/>
          <w:sz w:val="22"/>
          <w:szCs w:val="22"/>
        </w:rPr>
        <w:t>"</w:t>
      </w:r>
      <w:r w:rsidR="00AB3B40" w:rsidRPr="000525A3">
        <w:rPr>
          <w:rFonts w:ascii="Garamond" w:hAnsi="Garamond"/>
          <w:sz w:val="22"/>
          <w:szCs w:val="22"/>
        </w:rPr>
        <w:t>the disciplinary officer</w:t>
      </w:r>
      <w:r w:rsidR="002F6D70" w:rsidRPr="000525A3">
        <w:rPr>
          <w:rFonts w:ascii="Garamond" w:hAnsi="Garamond"/>
          <w:sz w:val="22"/>
          <w:lang w:val="en-US"/>
        </w:rPr>
        <w:t>"</w:t>
      </w:r>
      <w:r w:rsidR="00AB3B40" w:rsidRPr="000525A3">
        <w:rPr>
          <w:rFonts w:ascii="Garamond" w:hAnsi="Garamond"/>
          <w:sz w:val="22"/>
          <w:szCs w:val="22"/>
        </w:rPr>
        <w:t>)</w:t>
      </w:r>
      <w:r w:rsidR="00F52CB2" w:rsidRPr="000525A3">
        <w:rPr>
          <w:rFonts w:ascii="Garamond" w:hAnsi="Garamond"/>
          <w:sz w:val="22"/>
          <w:szCs w:val="22"/>
        </w:rPr>
        <w:t>.</w:t>
      </w:r>
    </w:p>
    <w:p w14:paraId="42406507" w14:textId="77777777" w:rsidR="00F06A3D" w:rsidRPr="00F27F2B" w:rsidRDefault="00F06A3D" w:rsidP="00B536A8">
      <w:pPr>
        <w:spacing w:line="360" w:lineRule="auto"/>
        <w:jc w:val="both"/>
        <w:rPr>
          <w:sz w:val="22"/>
          <w:szCs w:val="22"/>
          <w:lang w:val="en-US"/>
        </w:rPr>
      </w:pPr>
    </w:p>
    <w:p w14:paraId="34C1D18E" w14:textId="1B9705AF" w:rsidR="00F1382E" w:rsidRPr="00F27F2B" w:rsidRDefault="00F1382E" w:rsidP="00B536A8">
      <w:pPr>
        <w:spacing w:line="360" w:lineRule="auto"/>
        <w:jc w:val="both"/>
        <w:rPr>
          <w:rFonts w:ascii="Garamond" w:hAnsi="Garamond"/>
          <w:sz w:val="22"/>
          <w:szCs w:val="22"/>
          <w:lang w:val="en-US"/>
        </w:rPr>
      </w:pPr>
      <w:r w:rsidRPr="00F27F2B">
        <w:rPr>
          <w:rFonts w:ascii="Garamond" w:hAnsi="Garamond"/>
          <w:sz w:val="22"/>
          <w:szCs w:val="22"/>
          <w:lang w:val="en-US"/>
        </w:rPr>
        <w:t xml:space="preserve">In connection with the applicant's alleged disregard for the limits of judicial independence, five sets of preliminary inquiries were initiated against him. The cases were conducted by the deputy disciplinary officers, </w:t>
      </w:r>
      <w:r w:rsidR="007A000F" w:rsidRPr="00F27F2B">
        <w:rPr>
          <w:rFonts w:ascii="Garamond" w:hAnsi="Garamond"/>
          <w:sz w:val="22"/>
          <w:szCs w:val="22"/>
          <w:lang w:val="en-US"/>
        </w:rPr>
        <w:t>Judges</w:t>
      </w:r>
      <w:r w:rsidRPr="00F27F2B">
        <w:rPr>
          <w:rFonts w:ascii="Garamond" w:hAnsi="Garamond"/>
          <w:sz w:val="22"/>
          <w:szCs w:val="22"/>
          <w:lang w:val="en-US"/>
        </w:rPr>
        <w:t xml:space="preserve"> M. Lasota and P.W. Radzik. The following three were relevant to the Article 10 issues:</w:t>
      </w:r>
    </w:p>
    <w:p w14:paraId="2EB4FB27" w14:textId="3FDEEFD1" w:rsidR="00426E4C" w:rsidRPr="00F27F2B" w:rsidRDefault="00426E4C" w:rsidP="00B536A8">
      <w:pPr>
        <w:spacing w:line="360" w:lineRule="auto"/>
        <w:jc w:val="both"/>
        <w:rPr>
          <w:rFonts w:ascii="Garamond" w:hAnsi="Garamond"/>
          <w:sz w:val="22"/>
          <w:szCs w:val="22"/>
        </w:rPr>
      </w:pPr>
      <w:r w:rsidRPr="00F27F2B">
        <w:rPr>
          <w:rFonts w:ascii="Garamond" w:hAnsi="Garamond"/>
          <w:sz w:val="22"/>
          <w:szCs w:val="22"/>
        </w:rPr>
        <w:t>– the inquiry related to the applicant's interview on the TVN24 television news channel (17 July 2018)</w:t>
      </w:r>
      <w:r w:rsidR="00C737A1" w:rsidRPr="00F27F2B">
        <w:rPr>
          <w:rFonts w:ascii="Garamond" w:hAnsi="Garamond"/>
          <w:sz w:val="22"/>
          <w:szCs w:val="22"/>
        </w:rPr>
        <w:t xml:space="preserve"> –</w:t>
      </w:r>
      <w:r w:rsidR="007A000F" w:rsidRPr="00F27F2B">
        <w:rPr>
          <w:rFonts w:ascii="Garamond" w:hAnsi="Garamond"/>
          <w:sz w:val="22"/>
          <w:szCs w:val="22"/>
        </w:rPr>
        <w:t xml:space="preserve"> </w:t>
      </w:r>
      <w:r w:rsidR="00C737A1" w:rsidRPr="00F27F2B">
        <w:rPr>
          <w:rFonts w:ascii="Garamond" w:hAnsi="Garamond"/>
          <w:sz w:val="22"/>
          <w:szCs w:val="22"/>
        </w:rPr>
        <w:t xml:space="preserve"> </w:t>
      </w:r>
      <w:r w:rsidR="007A000F" w:rsidRPr="00F27F2B">
        <w:rPr>
          <w:rFonts w:ascii="Garamond" w:hAnsi="Garamond"/>
          <w:sz w:val="22"/>
          <w:szCs w:val="22"/>
        </w:rPr>
        <w:t>particularly relevant were statements on the National Council of the Judiciary and the administration of justice;</w:t>
      </w:r>
    </w:p>
    <w:p w14:paraId="776D86A2" w14:textId="1A352530" w:rsidR="007A000F" w:rsidRPr="00F27F2B" w:rsidRDefault="00F27F2B" w:rsidP="00B536A8">
      <w:pPr>
        <w:spacing w:line="360" w:lineRule="auto"/>
        <w:jc w:val="both"/>
        <w:rPr>
          <w:rFonts w:ascii="Garamond" w:hAnsi="Garamond"/>
          <w:sz w:val="22"/>
          <w:szCs w:val="22"/>
        </w:rPr>
      </w:pPr>
      <w:r>
        <w:rPr>
          <w:rFonts w:ascii="Garamond" w:hAnsi="Garamond"/>
          <w:sz w:val="22"/>
          <w:szCs w:val="22"/>
        </w:rPr>
        <w:t>–</w:t>
      </w:r>
      <w:r w:rsidR="007A000F" w:rsidRPr="00F27F2B">
        <w:rPr>
          <w:rFonts w:ascii="Garamond" w:hAnsi="Garamond"/>
          <w:sz w:val="22"/>
          <w:szCs w:val="22"/>
        </w:rPr>
        <w:t xml:space="preserve"> the inquiry concerning the applicant's participation in a public meeting in Gdańsk (28 September 2018), which took place at the European Solidarity Centre. It was organised by the Polish Judges' Association Iustitia, the Gdańsk Bar Council and the Gdańsk Council of Attorneys-at-Law, and the topics included the Constitution, freedom and the role of courts in a democratic society;</w:t>
      </w:r>
    </w:p>
    <w:p w14:paraId="0B95E8FC" w14:textId="04B99BEE" w:rsidR="00426E4C" w:rsidRPr="001169E1" w:rsidRDefault="00426E4C" w:rsidP="00B536A8">
      <w:pPr>
        <w:spacing w:line="360" w:lineRule="auto"/>
        <w:jc w:val="both"/>
        <w:rPr>
          <w:rFonts w:ascii="Garamond" w:hAnsi="Garamond"/>
          <w:sz w:val="22"/>
          <w:szCs w:val="22"/>
        </w:rPr>
      </w:pPr>
      <w:r w:rsidRPr="00F27F2B">
        <w:rPr>
          <w:rFonts w:ascii="Garamond" w:hAnsi="Garamond"/>
          <w:sz w:val="22"/>
          <w:szCs w:val="22"/>
        </w:rPr>
        <w:t>– the inquiry concerning the applicant's participation in public meeting in Lublin (30 September 2018).</w:t>
      </w:r>
    </w:p>
    <w:p w14:paraId="3149C1C8" w14:textId="17AF3A3F" w:rsidR="001169E1" w:rsidRDefault="001169E1" w:rsidP="00B536A8">
      <w:pPr>
        <w:spacing w:line="360" w:lineRule="auto"/>
        <w:jc w:val="both"/>
        <w:rPr>
          <w:rFonts w:ascii="Garamond" w:hAnsi="Garamond"/>
          <w:sz w:val="22"/>
          <w:szCs w:val="22"/>
          <w:lang w:val="en-US"/>
        </w:rPr>
      </w:pPr>
      <w:r w:rsidRPr="001169E1">
        <w:rPr>
          <w:rFonts w:ascii="Garamond" w:hAnsi="Garamond"/>
          <w:sz w:val="22"/>
          <w:szCs w:val="22"/>
          <w:lang w:val="en-US"/>
        </w:rPr>
        <w:t>In each case, the deputy disciplinary officers had not found sufficient grounds for bringing disciplinary proceedings. Despite this, Mr Tuleya claimed that he had not been informed of the termination of the preliminary inquiries.</w:t>
      </w:r>
    </w:p>
    <w:p w14:paraId="402091A0" w14:textId="77777777" w:rsidR="001169E1" w:rsidRDefault="001169E1" w:rsidP="00B536A8">
      <w:pPr>
        <w:spacing w:line="360" w:lineRule="auto"/>
        <w:jc w:val="both"/>
        <w:rPr>
          <w:rFonts w:ascii="Garamond" w:hAnsi="Garamond"/>
          <w:sz w:val="22"/>
          <w:szCs w:val="22"/>
          <w:lang w:val="en-US"/>
        </w:rPr>
      </w:pPr>
    </w:p>
    <w:p w14:paraId="390FA590" w14:textId="307BD66C" w:rsidR="003A2D28" w:rsidRDefault="008A3939" w:rsidP="00B536A8">
      <w:pPr>
        <w:spacing w:line="360" w:lineRule="auto"/>
        <w:jc w:val="both"/>
        <w:rPr>
          <w:rFonts w:ascii="Garamond" w:hAnsi="Garamond"/>
          <w:sz w:val="22"/>
          <w:szCs w:val="22"/>
          <w:lang w:val="en-US"/>
        </w:rPr>
      </w:pPr>
      <w:r w:rsidRPr="002D1114">
        <w:rPr>
          <w:rFonts w:ascii="Garamond" w:hAnsi="Garamond" w:cs="Times New Roman"/>
          <w:sz w:val="22"/>
          <w:szCs w:val="22"/>
          <w:lang w:val="en-US"/>
        </w:rPr>
        <w:t xml:space="preserve">As regards the resolution of the </w:t>
      </w:r>
      <w:r w:rsidRPr="000525A3">
        <w:rPr>
          <w:rFonts w:ascii="Garamond" w:hAnsi="Garamond" w:cs="Times New Roman"/>
          <w:sz w:val="22"/>
          <w:szCs w:val="22"/>
          <w:lang w:val="en-US"/>
        </w:rPr>
        <w:t>Disciplinary Chamber of 18 November 20</w:t>
      </w:r>
      <w:r w:rsidR="004D2CCA" w:rsidRPr="000525A3">
        <w:rPr>
          <w:rFonts w:ascii="Garamond" w:hAnsi="Garamond" w:cs="Times New Roman"/>
          <w:sz w:val="22"/>
          <w:szCs w:val="22"/>
          <w:lang w:val="en-US"/>
        </w:rPr>
        <w:t>20</w:t>
      </w:r>
      <w:r w:rsidRPr="000525A3">
        <w:rPr>
          <w:rFonts w:ascii="Garamond" w:hAnsi="Garamond" w:cs="Times New Roman"/>
          <w:sz w:val="22"/>
          <w:szCs w:val="22"/>
          <w:lang w:val="en-US"/>
        </w:rPr>
        <w:t xml:space="preserve"> to lift the applicant's immunity and to suspend him from his judicial office, Mr Tuleya's decision of </w:t>
      </w:r>
      <w:r w:rsidRPr="000525A3">
        <w:rPr>
          <w:rFonts w:ascii="Garamond" w:hAnsi="Garamond"/>
          <w:sz w:val="22"/>
          <w:szCs w:val="22"/>
        </w:rPr>
        <w:t xml:space="preserve">18 December 2017 </w:t>
      </w:r>
      <w:r w:rsidRPr="000525A3">
        <w:rPr>
          <w:rFonts w:ascii="Garamond" w:hAnsi="Garamond" w:cs="Times New Roman"/>
          <w:sz w:val="22"/>
          <w:szCs w:val="22"/>
          <w:lang w:val="en-US"/>
        </w:rPr>
        <w:t>was</w:t>
      </w:r>
      <w:r w:rsidRPr="002D1114">
        <w:rPr>
          <w:rFonts w:ascii="Garamond" w:hAnsi="Garamond" w:cs="Times New Roman"/>
          <w:sz w:val="22"/>
          <w:szCs w:val="22"/>
          <w:lang w:val="en-US"/>
        </w:rPr>
        <w:t xml:space="preserve"> concerned. Mr Tuleya, sitting as a single judge in the Warsaw Regional Court, ruled on a controversial political issue concerning irregularities in the adoption of the 2017 Budget Act. Some opposition MPs claimed that they had not been allowed to take part in the parliamentary debate. The Warsaw Regional Prosecutor discontinued the investigation and four people filed an interlocutory appeal (</w:t>
      </w:r>
      <w:r w:rsidRPr="002D1114">
        <w:rPr>
          <w:rFonts w:ascii="Garamond" w:hAnsi="Garamond" w:cs="Times New Roman"/>
          <w:i/>
          <w:sz w:val="22"/>
          <w:szCs w:val="22"/>
          <w:lang w:val="en-US"/>
        </w:rPr>
        <w:t>zażalenie</w:t>
      </w:r>
      <w:r w:rsidRPr="002D1114">
        <w:rPr>
          <w:rFonts w:ascii="Garamond" w:hAnsi="Garamond" w:cs="Times New Roman"/>
          <w:sz w:val="22"/>
          <w:szCs w:val="22"/>
          <w:lang w:val="en-US"/>
        </w:rPr>
        <w:t xml:space="preserve">), which was considered by the applicant. Journalists requested permission to record the court session and Mr Tuleya, after consultation and </w:t>
      </w:r>
      <w:r w:rsidRPr="0096212B">
        <w:rPr>
          <w:rFonts w:ascii="Garamond" w:hAnsi="Garamond" w:cs="Times New Roman"/>
          <w:sz w:val="22"/>
          <w:szCs w:val="22"/>
          <w:lang w:val="en-US"/>
        </w:rPr>
        <w:t xml:space="preserve">no objections from the representatives of the MPs and the prosecutor, decided to hold the court session in public and to allow media representatives to record the court session </w:t>
      </w:r>
      <w:r w:rsidR="00FB1E10">
        <w:rPr>
          <w:rFonts w:ascii="Garamond" w:hAnsi="Garamond" w:cs="Times New Roman"/>
          <w:sz w:val="22"/>
          <w:szCs w:val="22"/>
          <w:lang w:val="en-US"/>
        </w:rPr>
        <w:t>in accordance with Article 357(</w:t>
      </w:r>
      <w:r w:rsidRPr="0096212B">
        <w:rPr>
          <w:rFonts w:ascii="Garamond" w:hAnsi="Garamond" w:cs="Times New Roman"/>
          <w:sz w:val="22"/>
          <w:szCs w:val="22"/>
          <w:lang w:val="en-US"/>
        </w:rPr>
        <w:t>1</w:t>
      </w:r>
      <w:r w:rsidR="00FB1E10">
        <w:rPr>
          <w:rFonts w:ascii="Garamond" w:hAnsi="Garamond" w:cs="Times New Roman"/>
          <w:sz w:val="22"/>
          <w:szCs w:val="22"/>
          <w:lang w:val="en-US"/>
        </w:rPr>
        <w:t>)</w:t>
      </w:r>
      <w:r w:rsidRPr="0096212B">
        <w:rPr>
          <w:rFonts w:ascii="Garamond" w:hAnsi="Garamond" w:cs="Times New Roman"/>
          <w:sz w:val="22"/>
          <w:szCs w:val="22"/>
          <w:lang w:val="en-US"/>
        </w:rPr>
        <w:t xml:space="preserve"> of the </w:t>
      </w:r>
      <w:r w:rsidR="0096212B" w:rsidRPr="0096212B">
        <w:rPr>
          <w:rFonts w:ascii="Garamond" w:hAnsi="Garamond" w:cs="Times New Roman"/>
          <w:sz w:val="22"/>
          <w:szCs w:val="22"/>
          <w:lang w:val="en-US"/>
        </w:rPr>
        <w:t>Code of Criminal Procedure</w:t>
      </w:r>
      <w:r w:rsidRPr="0096212B">
        <w:rPr>
          <w:rFonts w:ascii="Garamond" w:hAnsi="Garamond" w:cs="Times New Roman"/>
          <w:sz w:val="22"/>
          <w:szCs w:val="22"/>
          <w:lang w:val="en-US"/>
        </w:rPr>
        <w:t xml:space="preserve">. </w:t>
      </w:r>
      <w:r w:rsidR="00154839" w:rsidRPr="0096212B">
        <w:rPr>
          <w:rFonts w:ascii="Garamond" w:hAnsi="Garamond" w:cs="Times New Roman"/>
          <w:sz w:val="22"/>
          <w:szCs w:val="22"/>
          <w:lang w:val="en-US"/>
        </w:rPr>
        <w:t xml:space="preserve">As for </w:t>
      </w:r>
      <w:r w:rsidR="00154839" w:rsidRPr="002D1114">
        <w:rPr>
          <w:rFonts w:ascii="Garamond" w:hAnsi="Garamond" w:cs="Times New Roman"/>
          <w:sz w:val="22"/>
          <w:szCs w:val="22"/>
          <w:lang w:val="en-US"/>
        </w:rPr>
        <w:t>the settlement of this case</w:t>
      </w:r>
      <w:r w:rsidRPr="002D1114">
        <w:rPr>
          <w:rFonts w:ascii="Garamond" w:hAnsi="Garamond" w:cs="Times New Roman"/>
          <w:sz w:val="22"/>
          <w:szCs w:val="22"/>
          <w:lang w:val="en-US"/>
        </w:rPr>
        <w:t>, the applicant allowed the interlocutory appeal and ordered the prosecutor to continue the investigation.</w:t>
      </w:r>
      <w:r w:rsidR="00F77A72" w:rsidRPr="002D1114">
        <w:rPr>
          <w:rFonts w:ascii="Garamond" w:hAnsi="Garamond"/>
          <w:sz w:val="22"/>
          <w:szCs w:val="22"/>
          <w:lang w:val="en-US"/>
        </w:rPr>
        <w:t xml:space="preserve"> </w:t>
      </w:r>
    </w:p>
    <w:p w14:paraId="41B87444" w14:textId="77777777" w:rsidR="001C352B" w:rsidRDefault="001C352B" w:rsidP="00B536A8">
      <w:pPr>
        <w:spacing w:line="360" w:lineRule="auto"/>
        <w:jc w:val="both"/>
        <w:rPr>
          <w:rFonts w:ascii="Garamond" w:hAnsi="Garamond"/>
          <w:sz w:val="22"/>
          <w:szCs w:val="22"/>
          <w:lang w:val="en-US"/>
        </w:rPr>
      </w:pPr>
    </w:p>
    <w:p w14:paraId="40D1BB7A" w14:textId="05CE2DD0" w:rsidR="00F06BD1" w:rsidRDefault="00142CE4" w:rsidP="00B536A8">
      <w:pPr>
        <w:spacing w:line="360" w:lineRule="auto"/>
        <w:jc w:val="both"/>
        <w:rPr>
          <w:rFonts w:ascii="Garamond" w:hAnsi="Garamond"/>
          <w:sz w:val="22"/>
          <w:szCs w:val="22"/>
          <w:lang w:val="en-US"/>
        </w:rPr>
      </w:pPr>
      <w:r w:rsidRPr="00142CE4">
        <w:rPr>
          <w:rFonts w:ascii="Garamond" w:hAnsi="Garamond"/>
          <w:sz w:val="22"/>
          <w:szCs w:val="22"/>
          <w:lang w:val="en-US"/>
        </w:rPr>
        <w:t xml:space="preserve">Following the decision to allow the media to record the </w:t>
      </w:r>
      <w:r w:rsidRPr="000525A3">
        <w:rPr>
          <w:rFonts w:ascii="Garamond" w:hAnsi="Garamond"/>
          <w:sz w:val="22"/>
          <w:szCs w:val="22"/>
          <w:lang w:val="en-US"/>
        </w:rPr>
        <w:t>session of 18 December 2017</w:t>
      </w:r>
      <w:r w:rsidR="00F361D4" w:rsidRPr="000525A3">
        <w:rPr>
          <w:rFonts w:ascii="Garamond" w:hAnsi="Garamond"/>
          <w:sz w:val="22"/>
          <w:szCs w:val="22"/>
          <w:lang w:val="en-US"/>
        </w:rPr>
        <w:t xml:space="preserve"> (including the delivery of the decision in the case and </w:t>
      </w:r>
      <w:r w:rsidR="00A73A16" w:rsidRPr="000525A3">
        <w:rPr>
          <w:rFonts w:ascii="Garamond" w:hAnsi="Garamond"/>
          <w:sz w:val="22"/>
          <w:szCs w:val="22"/>
          <w:lang w:val="en-US"/>
        </w:rPr>
        <w:t xml:space="preserve">the </w:t>
      </w:r>
      <w:r w:rsidR="00F361D4" w:rsidRPr="000525A3">
        <w:rPr>
          <w:rFonts w:ascii="Garamond" w:hAnsi="Garamond"/>
          <w:sz w:val="22"/>
          <w:szCs w:val="22"/>
          <w:lang w:val="en-US"/>
        </w:rPr>
        <w:t>oral reasons for it)</w:t>
      </w:r>
      <w:r w:rsidRPr="000525A3">
        <w:rPr>
          <w:rFonts w:ascii="Garamond" w:hAnsi="Garamond"/>
          <w:sz w:val="22"/>
          <w:szCs w:val="22"/>
          <w:lang w:val="en-US"/>
        </w:rPr>
        <w:t>, on 10 January 2018 the</w:t>
      </w:r>
      <w:r w:rsidRPr="00142CE4">
        <w:rPr>
          <w:rFonts w:ascii="Garamond" w:hAnsi="Garamond"/>
          <w:sz w:val="22"/>
          <w:szCs w:val="22"/>
          <w:lang w:val="en-US"/>
        </w:rPr>
        <w:t xml:space="preserve"> Prosecutor's Office opened an investigation into the possible </w:t>
      </w:r>
      <w:r w:rsidR="00F06BD1" w:rsidRPr="00142CE4">
        <w:rPr>
          <w:rFonts w:ascii="Garamond" w:hAnsi="Garamond"/>
          <w:sz w:val="22"/>
          <w:szCs w:val="22"/>
          <w:lang w:val="en-US"/>
        </w:rPr>
        <w:t>unauthorized</w:t>
      </w:r>
      <w:r w:rsidRPr="00142CE4">
        <w:rPr>
          <w:rFonts w:ascii="Garamond" w:hAnsi="Garamond"/>
          <w:sz w:val="22"/>
          <w:szCs w:val="22"/>
          <w:lang w:val="en-US"/>
        </w:rPr>
        <w:t xml:space="preserve"> disclosure of information from the pre-trial proceedings by the applicant.</w:t>
      </w:r>
      <w:r w:rsidR="00F06BD1">
        <w:rPr>
          <w:rFonts w:ascii="Garamond" w:hAnsi="Garamond"/>
          <w:sz w:val="22"/>
          <w:szCs w:val="22"/>
          <w:lang w:val="en-US"/>
        </w:rPr>
        <w:t xml:space="preserve"> </w:t>
      </w:r>
      <w:r w:rsidR="000525A3">
        <w:rPr>
          <w:rFonts w:ascii="Garamond" w:hAnsi="Garamond"/>
          <w:sz w:val="22"/>
          <w:szCs w:val="22"/>
          <w:lang w:val="en-US"/>
        </w:rPr>
        <w:t>I</w:t>
      </w:r>
      <w:r w:rsidR="00F06BD1" w:rsidRPr="00F06BD1">
        <w:rPr>
          <w:rFonts w:ascii="Garamond" w:hAnsi="Garamond"/>
          <w:sz w:val="22"/>
          <w:szCs w:val="22"/>
          <w:lang w:val="en-US"/>
        </w:rPr>
        <w:t>t took more than two years before one of the prosecutors applied</w:t>
      </w:r>
      <w:r w:rsidR="00F06BD1" w:rsidRPr="007E5ED9">
        <w:rPr>
          <w:rFonts w:ascii="Garamond" w:hAnsi="Garamond"/>
          <w:sz w:val="22"/>
          <w:szCs w:val="22"/>
          <w:lang w:val="en-US"/>
        </w:rPr>
        <w:t>, on 17</w:t>
      </w:r>
      <w:r w:rsidR="00F06BD1" w:rsidRPr="000525A3">
        <w:rPr>
          <w:rFonts w:ascii="Garamond" w:hAnsi="Garamond"/>
          <w:sz w:val="22"/>
          <w:szCs w:val="22"/>
          <w:lang w:val="en-US"/>
        </w:rPr>
        <w:t xml:space="preserve"> February 2020, to the Disciplinary Chamber of the Supreme Court to issue a decision allowing the applicant to be held criminally liable.</w:t>
      </w:r>
      <w:r w:rsidR="00DC3BBE" w:rsidRPr="000525A3">
        <w:rPr>
          <w:rFonts w:ascii="Garamond" w:hAnsi="Garamond"/>
          <w:sz w:val="22"/>
          <w:szCs w:val="22"/>
          <w:lang w:val="en-US"/>
        </w:rPr>
        <w:t xml:space="preserve"> The prosecutor argued that the applicant had failed to fulfill his duties under the </w:t>
      </w:r>
      <w:r w:rsidR="0096212B" w:rsidRPr="000525A3">
        <w:rPr>
          <w:rFonts w:ascii="Garamond" w:hAnsi="Garamond"/>
          <w:sz w:val="22"/>
          <w:szCs w:val="22"/>
          <w:lang w:val="en-US"/>
        </w:rPr>
        <w:t xml:space="preserve">Code of Criminal Procedure </w:t>
      </w:r>
      <w:r w:rsidR="00DC3BBE" w:rsidRPr="000525A3">
        <w:rPr>
          <w:rFonts w:ascii="Garamond" w:hAnsi="Garamond"/>
          <w:sz w:val="22"/>
          <w:szCs w:val="22"/>
          <w:lang w:val="en-US"/>
        </w:rPr>
        <w:t xml:space="preserve">and </w:t>
      </w:r>
      <w:r w:rsidR="0096212B" w:rsidRPr="000525A3">
        <w:rPr>
          <w:rFonts w:ascii="Garamond" w:hAnsi="Garamond"/>
          <w:sz w:val="22"/>
          <w:szCs w:val="22"/>
          <w:lang w:val="en-US"/>
        </w:rPr>
        <w:t>the Criminal Code</w:t>
      </w:r>
      <w:r w:rsidR="00DC3BBE" w:rsidRPr="000525A3">
        <w:rPr>
          <w:rFonts w:ascii="Garamond" w:hAnsi="Garamond"/>
          <w:sz w:val="22"/>
          <w:szCs w:val="22"/>
          <w:lang w:val="en-US"/>
        </w:rPr>
        <w:t xml:space="preserve"> by disclosing</w:t>
      </w:r>
      <w:r w:rsidR="00DC3BBE" w:rsidRPr="00DC3BBE">
        <w:rPr>
          <w:rFonts w:ascii="Garamond" w:hAnsi="Garamond"/>
          <w:sz w:val="22"/>
          <w:szCs w:val="22"/>
          <w:lang w:val="en-US"/>
        </w:rPr>
        <w:t xml:space="preserve"> to unauthorized persons information from the investigation conducted by the Warsaw Regional Prosecutor Office.</w:t>
      </w:r>
    </w:p>
    <w:p w14:paraId="38B95DE6" w14:textId="77777777" w:rsidR="00E70DFA" w:rsidRDefault="00E70DFA" w:rsidP="00B536A8">
      <w:pPr>
        <w:spacing w:line="360" w:lineRule="auto"/>
        <w:jc w:val="both"/>
      </w:pPr>
    </w:p>
    <w:p w14:paraId="0CB7355B" w14:textId="560A0925" w:rsidR="00D735B2" w:rsidRPr="00D735B2" w:rsidRDefault="00EB6DF6" w:rsidP="00B536A8">
      <w:pPr>
        <w:spacing w:line="360" w:lineRule="auto"/>
        <w:jc w:val="both"/>
        <w:rPr>
          <w:rFonts w:ascii="Garamond" w:hAnsi="Garamond"/>
          <w:sz w:val="22"/>
          <w:szCs w:val="22"/>
          <w:lang w:val="en-US"/>
        </w:rPr>
      </w:pPr>
      <w:r w:rsidRPr="000E4D6A">
        <w:rPr>
          <w:rFonts w:ascii="Garamond" w:hAnsi="Garamond"/>
          <w:sz w:val="22"/>
          <w:szCs w:val="22"/>
        </w:rPr>
        <w:t>On 9 June 2020, the Disciplinary Chamber adopted a resolution (</w:t>
      </w:r>
      <w:r w:rsidRPr="000E4D6A">
        <w:rPr>
          <w:rFonts w:ascii="Garamond" w:hAnsi="Garamond"/>
          <w:i/>
          <w:sz w:val="22"/>
          <w:szCs w:val="22"/>
        </w:rPr>
        <w:t>uchwała</w:t>
      </w:r>
      <w:r w:rsidRPr="000E4D6A">
        <w:rPr>
          <w:rFonts w:ascii="Garamond" w:hAnsi="Garamond"/>
          <w:sz w:val="22"/>
          <w:szCs w:val="22"/>
        </w:rPr>
        <w:t xml:space="preserve">) rejecting the application to allow </w:t>
      </w:r>
      <w:r w:rsidR="00F54F5D" w:rsidRPr="000E4D6A">
        <w:rPr>
          <w:rFonts w:ascii="Garamond" w:hAnsi="Garamond"/>
          <w:sz w:val="22"/>
          <w:szCs w:val="22"/>
        </w:rPr>
        <w:t>Mr Tuleya</w:t>
      </w:r>
      <w:r w:rsidR="00B16C17" w:rsidRPr="000E4D6A">
        <w:rPr>
          <w:rFonts w:ascii="Garamond" w:hAnsi="Garamond"/>
          <w:sz w:val="22"/>
          <w:szCs w:val="22"/>
        </w:rPr>
        <w:t xml:space="preserve"> to be held criminally liable</w:t>
      </w:r>
      <w:r w:rsidR="00F54F5D" w:rsidRPr="00B16C17">
        <w:rPr>
          <w:rFonts w:ascii="Garamond" w:hAnsi="Garamond"/>
          <w:sz w:val="22"/>
          <w:szCs w:val="22"/>
          <w:lang w:val="en-US"/>
        </w:rPr>
        <w:t>. The Disciplinary Chamber, sitting as a court of first instance in this case, found that there was no reasonable suspicion that the applicant had committed the criminal offen</w:t>
      </w:r>
      <w:r w:rsidR="00981437">
        <w:rPr>
          <w:rFonts w:ascii="Garamond" w:hAnsi="Garamond"/>
          <w:sz w:val="22"/>
          <w:szCs w:val="22"/>
          <w:lang w:val="en-US"/>
        </w:rPr>
        <w:t>s</w:t>
      </w:r>
      <w:r w:rsidR="00F54F5D" w:rsidRPr="00B16C17">
        <w:rPr>
          <w:rFonts w:ascii="Garamond" w:hAnsi="Garamond"/>
          <w:sz w:val="22"/>
          <w:szCs w:val="22"/>
          <w:lang w:val="en-US"/>
        </w:rPr>
        <w:t>e in question.</w:t>
      </w:r>
      <w:r w:rsidR="00CF04C3">
        <w:rPr>
          <w:rFonts w:ascii="Garamond" w:hAnsi="Garamond"/>
          <w:sz w:val="22"/>
          <w:szCs w:val="22"/>
          <w:lang w:val="en-US"/>
        </w:rPr>
        <w:t xml:space="preserve"> </w:t>
      </w:r>
      <w:r w:rsidR="00CF04C3" w:rsidRPr="00CF04C3">
        <w:rPr>
          <w:rFonts w:ascii="Garamond" w:hAnsi="Garamond"/>
          <w:sz w:val="22"/>
          <w:szCs w:val="22"/>
          <w:lang w:val="en-US"/>
        </w:rPr>
        <w:t>In short, in the opinion of this body, Mr Tuleya was acting on the basis of the powers conferred on him by the law.</w:t>
      </w:r>
      <w:r w:rsidR="00C2320C">
        <w:rPr>
          <w:rFonts w:ascii="Garamond" w:hAnsi="Garamond"/>
          <w:sz w:val="22"/>
          <w:szCs w:val="22"/>
          <w:lang w:val="en-US"/>
        </w:rPr>
        <w:t xml:space="preserve"> </w:t>
      </w:r>
      <w:r w:rsidR="00CF04C3" w:rsidRPr="00A13C47">
        <w:rPr>
          <w:rFonts w:ascii="Garamond" w:hAnsi="Garamond"/>
          <w:sz w:val="22"/>
          <w:szCs w:val="22"/>
        </w:rPr>
        <w:t>On 16 June 2020 an</w:t>
      </w:r>
      <w:r w:rsidR="00CF04C3" w:rsidRPr="00C2320C">
        <w:rPr>
          <w:rFonts w:ascii="Garamond" w:hAnsi="Garamond"/>
          <w:sz w:val="22"/>
          <w:szCs w:val="22"/>
        </w:rPr>
        <w:t xml:space="preserve"> interlocutory appeal was lodged by a prosecutor.</w:t>
      </w:r>
      <w:r w:rsidR="00C2320C" w:rsidRPr="00C2320C">
        <w:rPr>
          <w:rFonts w:ascii="Garamond" w:hAnsi="Garamond"/>
          <w:sz w:val="22"/>
          <w:szCs w:val="22"/>
          <w:lang w:val="en-US"/>
        </w:rPr>
        <w:t xml:space="preserve"> On this occasion, the Disciplinary Chamber, sitting as a court of second instance, </w:t>
      </w:r>
      <w:r w:rsidR="00C2320C" w:rsidRPr="00D31B29">
        <w:rPr>
          <w:rFonts w:ascii="Garamond" w:hAnsi="Garamond"/>
          <w:sz w:val="22"/>
          <w:szCs w:val="22"/>
          <w:lang w:val="en-US"/>
        </w:rPr>
        <w:t xml:space="preserve">decided </w:t>
      </w:r>
      <w:r w:rsidR="00A13C47">
        <w:rPr>
          <w:rFonts w:ascii="Garamond" w:hAnsi="Garamond"/>
          <w:sz w:val="22"/>
          <w:szCs w:val="22"/>
          <w:lang w:val="en-US"/>
        </w:rPr>
        <w:t xml:space="preserve">on </w:t>
      </w:r>
      <w:r w:rsidR="00A13C47" w:rsidRPr="00A13C47">
        <w:rPr>
          <w:rFonts w:ascii="Garamond" w:hAnsi="Garamond"/>
          <w:sz w:val="22"/>
          <w:szCs w:val="22"/>
          <w:lang w:val="en-US"/>
        </w:rPr>
        <w:t>18 November 2020</w:t>
      </w:r>
      <w:r w:rsidR="000E4D6A">
        <w:rPr>
          <w:rFonts w:ascii="Garamond" w:hAnsi="Garamond"/>
          <w:sz w:val="22"/>
          <w:szCs w:val="22"/>
          <w:lang w:val="en-US"/>
        </w:rPr>
        <w:t xml:space="preserve"> </w:t>
      </w:r>
      <w:r w:rsidR="00C2320C" w:rsidRPr="00D31B29">
        <w:rPr>
          <w:rFonts w:ascii="Garamond" w:hAnsi="Garamond"/>
          <w:sz w:val="22"/>
          <w:szCs w:val="22"/>
          <w:lang w:val="en-US"/>
        </w:rPr>
        <w:t xml:space="preserve">to lift the applicant's immunity and to allow him to be held criminally </w:t>
      </w:r>
      <w:r w:rsidR="00C2320C" w:rsidRPr="000E4D6A">
        <w:rPr>
          <w:rFonts w:ascii="Garamond" w:hAnsi="Garamond"/>
          <w:sz w:val="22"/>
          <w:szCs w:val="22"/>
          <w:lang w:val="en-US"/>
        </w:rPr>
        <w:t xml:space="preserve">liable </w:t>
      </w:r>
      <w:r w:rsidR="00A73A16" w:rsidRPr="000E4D6A">
        <w:rPr>
          <w:rFonts w:ascii="Garamond" w:hAnsi="Garamond"/>
          <w:sz w:val="22"/>
          <w:szCs w:val="22"/>
          <w:lang w:val="en-US"/>
        </w:rPr>
        <w:t>in regard to the charge under</w:t>
      </w:r>
      <w:r w:rsidR="00C2320C" w:rsidRPr="000E4D6A">
        <w:rPr>
          <w:rFonts w:ascii="Garamond" w:hAnsi="Garamond"/>
          <w:sz w:val="22"/>
          <w:szCs w:val="22"/>
          <w:lang w:val="en-US"/>
        </w:rPr>
        <w:t xml:space="preserve"> Article 241</w:t>
      </w:r>
      <w:r w:rsidR="00FB1E10" w:rsidRPr="000E4D6A">
        <w:rPr>
          <w:rFonts w:ascii="Garamond" w:hAnsi="Garamond"/>
          <w:sz w:val="22"/>
          <w:szCs w:val="22"/>
          <w:lang w:val="en-US"/>
        </w:rPr>
        <w:t>(</w:t>
      </w:r>
      <w:r w:rsidR="00A850BA" w:rsidRPr="000E4D6A">
        <w:rPr>
          <w:rFonts w:ascii="Garamond" w:hAnsi="Garamond"/>
          <w:sz w:val="22"/>
          <w:szCs w:val="22"/>
          <w:lang w:val="en-US"/>
        </w:rPr>
        <w:t>1</w:t>
      </w:r>
      <w:r w:rsidR="00FB1E10" w:rsidRPr="000E4D6A">
        <w:rPr>
          <w:rFonts w:ascii="Garamond" w:hAnsi="Garamond"/>
          <w:sz w:val="22"/>
          <w:szCs w:val="22"/>
          <w:lang w:val="en-US"/>
        </w:rPr>
        <w:t>)</w:t>
      </w:r>
      <w:r w:rsidR="00A850BA" w:rsidRPr="000E4D6A">
        <w:rPr>
          <w:rFonts w:ascii="Garamond" w:hAnsi="Garamond"/>
          <w:sz w:val="22"/>
          <w:szCs w:val="22"/>
          <w:lang w:val="en-US"/>
        </w:rPr>
        <w:t xml:space="preserve"> </w:t>
      </w:r>
      <w:r w:rsidR="00C2320C" w:rsidRPr="000E4D6A">
        <w:rPr>
          <w:rFonts w:ascii="Garamond" w:hAnsi="Garamond"/>
          <w:sz w:val="22"/>
          <w:szCs w:val="22"/>
          <w:lang w:val="en-US"/>
        </w:rPr>
        <w:t xml:space="preserve">of the </w:t>
      </w:r>
      <w:r w:rsidR="0052540E" w:rsidRPr="000E4D6A">
        <w:rPr>
          <w:rFonts w:ascii="Garamond" w:hAnsi="Garamond"/>
          <w:sz w:val="22"/>
          <w:szCs w:val="22"/>
          <w:lang w:val="en-US"/>
        </w:rPr>
        <w:t>Criminal Code</w:t>
      </w:r>
      <w:r w:rsidR="00A73A16" w:rsidRPr="000E4D6A">
        <w:rPr>
          <w:rFonts w:ascii="Garamond" w:hAnsi="Garamond"/>
          <w:sz w:val="22"/>
          <w:szCs w:val="22"/>
          <w:lang w:val="en-US"/>
        </w:rPr>
        <w:t xml:space="preserve">. </w:t>
      </w:r>
      <w:r w:rsidR="00392A6B" w:rsidRPr="000E4D6A">
        <w:rPr>
          <w:rFonts w:ascii="Garamond" w:hAnsi="Garamond"/>
          <w:sz w:val="22"/>
          <w:szCs w:val="22"/>
          <w:lang w:val="en-US"/>
        </w:rPr>
        <w:t xml:space="preserve">Pursuant to section 129(2) and (3) of the 2001 Act, </w:t>
      </w:r>
      <w:r w:rsidR="00D31B29" w:rsidRPr="000E4D6A">
        <w:rPr>
          <w:rFonts w:ascii="Garamond" w:hAnsi="Garamond"/>
          <w:sz w:val="22"/>
          <w:szCs w:val="22"/>
          <w:lang w:val="en-US"/>
        </w:rPr>
        <w:t>the applicant was</w:t>
      </w:r>
      <w:r w:rsidR="00392A6B" w:rsidRPr="000E4D6A">
        <w:rPr>
          <w:rFonts w:ascii="Garamond" w:hAnsi="Garamond"/>
          <w:sz w:val="22"/>
          <w:szCs w:val="22"/>
          <w:lang w:val="en-US"/>
        </w:rPr>
        <w:t xml:space="preserve"> </w:t>
      </w:r>
      <w:r w:rsidR="00392A6B">
        <w:rPr>
          <w:rFonts w:ascii="Garamond" w:hAnsi="Garamond"/>
          <w:sz w:val="22"/>
          <w:szCs w:val="22"/>
          <w:lang w:val="en-US"/>
        </w:rPr>
        <w:t>also</w:t>
      </w:r>
      <w:r w:rsidR="00D31B29" w:rsidRPr="00D31B29">
        <w:rPr>
          <w:rFonts w:ascii="Garamond" w:hAnsi="Garamond"/>
          <w:sz w:val="22"/>
          <w:szCs w:val="22"/>
          <w:lang w:val="en-US"/>
        </w:rPr>
        <w:t xml:space="preserve"> suspended from his judicial duties and his salary was reduced by 25% for the duration of the suspension.</w:t>
      </w:r>
      <w:r w:rsidR="00392A6B">
        <w:rPr>
          <w:rFonts w:ascii="Garamond" w:hAnsi="Garamond"/>
          <w:sz w:val="22"/>
          <w:szCs w:val="22"/>
          <w:lang w:val="en-US"/>
        </w:rPr>
        <w:t xml:space="preserve"> </w:t>
      </w:r>
      <w:r w:rsidR="00D735B2" w:rsidRPr="00D735B2">
        <w:rPr>
          <w:rFonts w:ascii="Garamond" w:hAnsi="Garamond"/>
          <w:sz w:val="22"/>
          <w:lang w:val="en-US"/>
        </w:rPr>
        <w:t>The judgment</w:t>
      </w:r>
      <w:r w:rsidR="00D735B2">
        <w:rPr>
          <w:rFonts w:ascii="Garamond" w:hAnsi="Garamond"/>
          <w:sz w:val="22"/>
          <w:lang w:val="en-US"/>
        </w:rPr>
        <w:t xml:space="preserve"> generally</w:t>
      </w:r>
      <w:r w:rsidR="00D735B2" w:rsidRPr="00D735B2">
        <w:rPr>
          <w:rFonts w:ascii="Garamond" w:hAnsi="Garamond"/>
          <w:sz w:val="22"/>
          <w:lang w:val="en-US"/>
        </w:rPr>
        <w:t xml:space="preserve"> criticized the </w:t>
      </w:r>
      <w:r w:rsidR="00FB1E10">
        <w:rPr>
          <w:rFonts w:ascii="Garamond" w:hAnsi="Garamond"/>
          <w:sz w:val="22"/>
          <w:lang w:val="en-US"/>
        </w:rPr>
        <w:t>interpretation of Article 241(</w:t>
      </w:r>
      <w:r w:rsidR="00D735B2" w:rsidRPr="00D735B2">
        <w:rPr>
          <w:rFonts w:ascii="Garamond" w:hAnsi="Garamond"/>
          <w:sz w:val="22"/>
          <w:lang w:val="en-US"/>
        </w:rPr>
        <w:t>1</w:t>
      </w:r>
      <w:r w:rsidR="00FB1E10">
        <w:rPr>
          <w:rFonts w:ascii="Garamond" w:hAnsi="Garamond"/>
          <w:sz w:val="22"/>
          <w:lang w:val="en-US"/>
        </w:rPr>
        <w:t>)</w:t>
      </w:r>
      <w:r w:rsidR="00D735B2" w:rsidRPr="00D735B2">
        <w:rPr>
          <w:rFonts w:ascii="Garamond" w:hAnsi="Garamond"/>
          <w:sz w:val="22"/>
          <w:lang w:val="en-US"/>
        </w:rPr>
        <w:t xml:space="preserve"> of the </w:t>
      </w:r>
      <w:r w:rsidR="0096212B">
        <w:rPr>
          <w:rFonts w:ascii="Garamond" w:hAnsi="Garamond"/>
          <w:sz w:val="22"/>
          <w:lang w:val="en-US"/>
        </w:rPr>
        <w:t>Criminal Code</w:t>
      </w:r>
      <w:r w:rsidR="00D735B2" w:rsidRPr="00D735B2">
        <w:rPr>
          <w:rFonts w:ascii="Garamond" w:hAnsi="Garamond"/>
          <w:sz w:val="22"/>
          <w:lang w:val="en-US"/>
        </w:rPr>
        <w:t xml:space="preserve"> adopted in the first instance judgment. The last few minutes of the applicant's oral argument, in which he was to reveal previously unknown material from the pre-trial proceedings, were also considered crucial to the case.</w:t>
      </w:r>
    </w:p>
    <w:p w14:paraId="416BD19B" w14:textId="77777777" w:rsidR="00D735B2" w:rsidRPr="00D735B2" w:rsidRDefault="00D735B2" w:rsidP="00B536A8">
      <w:pPr>
        <w:tabs>
          <w:tab w:val="left" w:pos="7146"/>
        </w:tabs>
        <w:spacing w:line="360" w:lineRule="auto"/>
        <w:jc w:val="both"/>
        <w:rPr>
          <w:rFonts w:ascii="Garamond" w:hAnsi="Garamond"/>
          <w:sz w:val="22"/>
          <w:szCs w:val="22"/>
          <w:lang w:val="en-US"/>
        </w:rPr>
      </w:pPr>
    </w:p>
    <w:p w14:paraId="01DD7031" w14:textId="02B03994" w:rsidR="004C7CC6" w:rsidRPr="007D0C20" w:rsidRDefault="004102F7" w:rsidP="00B536A8">
      <w:pPr>
        <w:tabs>
          <w:tab w:val="left" w:pos="7146"/>
        </w:tabs>
        <w:spacing w:line="360" w:lineRule="auto"/>
        <w:jc w:val="both"/>
        <w:rPr>
          <w:rFonts w:ascii="Garamond" w:hAnsi="Garamond"/>
          <w:b/>
          <w:sz w:val="22"/>
          <w:lang w:val="en-US"/>
        </w:rPr>
      </w:pPr>
      <w:r w:rsidRPr="004102F7">
        <w:rPr>
          <w:rFonts w:ascii="Garamond" w:hAnsi="Garamond"/>
          <w:sz w:val="22"/>
          <w:lang w:val="en-US"/>
        </w:rPr>
        <w:t>The applicant was summoned three times, on 20 January, 10 February and 12 March 2021, to appear before the prosecut</w:t>
      </w:r>
      <w:r w:rsidR="0052540E">
        <w:rPr>
          <w:rFonts w:ascii="Garamond" w:hAnsi="Garamond"/>
          <w:sz w:val="22"/>
          <w:lang w:val="en-US"/>
        </w:rPr>
        <w:t xml:space="preserve">or conducting the investigation </w:t>
      </w:r>
      <w:r w:rsidR="0052540E" w:rsidRPr="0052540E">
        <w:rPr>
          <w:rFonts w:ascii="Garamond" w:hAnsi="Garamond"/>
          <w:sz w:val="22"/>
          <w:lang w:val="en-US"/>
        </w:rPr>
        <w:t>in order to be presented with the charges.</w:t>
      </w:r>
      <w:r w:rsidR="0052540E">
        <w:rPr>
          <w:rFonts w:ascii="Garamond" w:hAnsi="Garamond"/>
          <w:sz w:val="22"/>
          <w:lang w:val="en-US"/>
        </w:rPr>
        <w:t xml:space="preserve"> </w:t>
      </w:r>
      <w:r w:rsidRPr="004102F7">
        <w:rPr>
          <w:rFonts w:ascii="Garamond" w:hAnsi="Garamond"/>
          <w:sz w:val="22"/>
          <w:lang w:val="en-US"/>
        </w:rPr>
        <w:t>However, Mr Tuleya did not appear; instead, on each of the three dates mentioned above, he took part in a demonstration in front of the State Prosecutor's Office building, challenging the legality of the Disciplinary Chamber's resolution of 18 November 2020.</w:t>
      </w:r>
      <w:r w:rsidR="007D0C20">
        <w:rPr>
          <w:rFonts w:ascii="Garamond" w:hAnsi="Garamond"/>
          <w:sz w:val="22"/>
          <w:lang w:val="en-US"/>
        </w:rPr>
        <w:t xml:space="preserve"> </w:t>
      </w:r>
    </w:p>
    <w:p w14:paraId="7A681A2B" w14:textId="77777777" w:rsidR="004102F7" w:rsidRDefault="004102F7" w:rsidP="00B536A8">
      <w:pPr>
        <w:tabs>
          <w:tab w:val="left" w:pos="7146"/>
        </w:tabs>
        <w:spacing w:line="360" w:lineRule="auto"/>
        <w:jc w:val="both"/>
      </w:pPr>
    </w:p>
    <w:p w14:paraId="63162EE0" w14:textId="4238629F" w:rsidR="00BD2A84" w:rsidRPr="004102F7" w:rsidRDefault="004102F7" w:rsidP="00B536A8">
      <w:pPr>
        <w:tabs>
          <w:tab w:val="left" w:pos="7146"/>
        </w:tabs>
        <w:spacing w:line="360" w:lineRule="auto"/>
        <w:jc w:val="both"/>
        <w:rPr>
          <w:rFonts w:ascii="Garamond" w:hAnsi="Garamond"/>
          <w:sz w:val="22"/>
        </w:rPr>
      </w:pPr>
      <w:r w:rsidRPr="001C352B">
        <w:rPr>
          <w:rFonts w:ascii="Garamond" w:hAnsi="Garamond"/>
          <w:sz w:val="22"/>
          <w:szCs w:val="22"/>
        </w:rPr>
        <w:t xml:space="preserve">Consequently, the prosecutor of the State Prosecutor's Office applied to the Disciplinary Chamber for </w:t>
      </w:r>
      <w:r w:rsidR="001C352B" w:rsidRPr="001C352B">
        <w:rPr>
          <w:rFonts w:ascii="Garamond" w:hAnsi="Garamond"/>
          <w:sz w:val="22"/>
          <w:szCs w:val="22"/>
        </w:rPr>
        <w:t>leave to have the applicant arrested</w:t>
      </w:r>
      <w:r w:rsidR="001C352B" w:rsidRPr="00AF57B6">
        <w:rPr>
          <w:rFonts w:ascii="Garamond" w:hAnsi="Garamond"/>
          <w:sz w:val="22"/>
        </w:rPr>
        <w:t xml:space="preserve"> </w:t>
      </w:r>
      <w:r w:rsidRPr="00AF57B6">
        <w:rPr>
          <w:rFonts w:ascii="Garamond" w:hAnsi="Garamond"/>
          <w:sz w:val="22"/>
        </w:rPr>
        <w:t>(</w:t>
      </w:r>
      <w:r w:rsidR="00AF57B6" w:rsidRPr="00AF57B6">
        <w:rPr>
          <w:rFonts w:ascii="Garamond" w:hAnsi="Garamond"/>
          <w:i/>
          <w:sz w:val="22"/>
        </w:rPr>
        <w:t>zatrzymanie i przymusowe doprowadzenie</w:t>
      </w:r>
      <w:r w:rsidR="00AF57B6" w:rsidRPr="00AF57B6">
        <w:rPr>
          <w:rFonts w:ascii="Garamond" w:hAnsi="Garamond"/>
          <w:sz w:val="22"/>
        </w:rPr>
        <w:t>)</w:t>
      </w:r>
      <w:r w:rsidRPr="004102F7">
        <w:rPr>
          <w:rFonts w:ascii="Garamond" w:hAnsi="Garamond"/>
          <w:sz w:val="22"/>
        </w:rPr>
        <w:t xml:space="preserve"> with a view to charging him under Article 241(1</w:t>
      </w:r>
      <w:r w:rsidRPr="00981437">
        <w:rPr>
          <w:rFonts w:ascii="Garamond" w:hAnsi="Garamond"/>
          <w:sz w:val="22"/>
        </w:rPr>
        <w:t xml:space="preserve">) of the </w:t>
      </w:r>
      <w:r w:rsidR="0096212B" w:rsidRPr="00981437">
        <w:rPr>
          <w:rFonts w:ascii="Garamond" w:hAnsi="Garamond"/>
          <w:sz w:val="22"/>
        </w:rPr>
        <w:t>Criminal Code</w:t>
      </w:r>
      <w:r w:rsidRPr="00981437">
        <w:rPr>
          <w:rFonts w:ascii="Garamond" w:hAnsi="Garamond"/>
          <w:sz w:val="22"/>
        </w:rPr>
        <w:t xml:space="preserve"> and questioning him as a suspect. This application was dismissed by the Disciplinary Chamber on 22 April 2021</w:t>
      </w:r>
      <w:r w:rsidR="00D20AC5" w:rsidRPr="00981437">
        <w:rPr>
          <w:rFonts w:ascii="Garamond" w:hAnsi="Garamond"/>
          <w:sz w:val="22"/>
        </w:rPr>
        <w:t>, which again considered whether there were reasonable grounds to suspect that an offen</w:t>
      </w:r>
      <w:r w:rsidR="00981437">
        <w:rPr>
          <w:rFonts w:ascii="Garamond" w:hAnsi="Garamond"/>
          <w:sz w:val="22"/>
        </w:rPr>
        <w:t>s</w:t>
      </w:r>
      <w:r w:rsidR="00D20AC5" w:rsidRPr="00981437">
        <w:rPr>
          <w:rFonts w:ascii="Garamond" w:hAnsi="Garamond"/>
          <w:sz w:val="22"/>
        </w:rPr>
        <w:t>e had been committed and</w:t>
      </w:r>
      <w:r w:rsidR="00D20AC5" w:rsidRPr="00D20AC5">
        <w:rPr>
          <w:rFonts w:ascii="Garamond" w:hAnsi="Garamond"/>
          <w:sz w:val="22"/>
        </w:rPr>
        <w:t xml:space="preserve"> made findings that were generally favourable to the applicant.</w:t>
      </w:r>
      <w:r w:rsidR="00D20AC5">
        <w:rPr>
          <w:rFonts w:ascii="Garamond" w:hAnsi="Garamond"/>
          <w:sz w:val="22"/>
        </w:rPr>
        <w:t xml:space="preserve"> Importantly, </w:t>
      </w:r>
      <w:r w:rsidR="00D20AC5" w:rsidRPr="004102F7">
        <w:rPr>
          <w:rFonts w:ascii="Garamond" w:hAnsi="Garamond"/>
          <w:sz w:val="22"/>
        </w:rPr>
        <w:t>the Disciplinary Chamber</w:t>
      </w:r>
      <w:r w:rsidR="00D20AC5">
        <w:rPr>
          <w:rFonts w:ascii="Garamond" w:hAnsi="Garamond"/>
          <w:sz w:val="22"/>
        </w:rPr>
        <w:t xml:space="preserve"> </w:t>
      </w:r>
      <w:r w:rsidR="00D20AC5" w:rsidRPr="00D20AC5">
        <w:rPr>
          <w:rFonts w:ascii="Garamond" w:hAnsi="Garamond"/>
          <w:sz w:val="22"/>
        </w:rPr>
        <w:t>noted that the prosecutor did not specify the information allegedly disclosed by the applicant</w:t>
      </w:r>
      <w:r w:rsidR="00D20AC5">
        <w:rPr>
          <w:rFonts w:ascii="Garamond" w:hAnsi="Garamond"/>
          <w:sz w:val="22"/>
        </w:rPr>
        <w:t xml:space="preserve">. </w:t>
      </w:r>
    </w:p>
    <w:p w14:paraId="06C0CB40" w14:textId="77777777" w:rsidR="004102F7" w:rsidRDefault="004102F7" w:rsidP="00B536A8">
      <w:pPr>
        <w:tabs>
          <w:tab w:val="left" w:pos="7146"/>
        </w:tabs>
        <w:spacing w:line="360" w:lineRule="auto"/>
        <w:jc w:val="both"/>
      </w:pPr>
    </w:p>
    <w:p w14:paraId="65113944" w14:textId="311684FA" w:rsidR="00BD2A84" w:rsidRDefault="001C352B" w:rsidP="00B536A8">
      <w:pPr>
        <w:tabs>
          <w:tab w:val="left" w:pos="7146"/>
        </w:tabs>
        <w:spacing w:line="360" w:lineRule="auto"/>
        <w:jc w:val="both"/>
        <w:rPr>
          <w:rFonts w:ascii="Garamond" w:hAnsi="Garamond"/>
          <w:sz w:val="22"/>
          <w:szCs w:val="22"/>
          <w:lang w:val="en-US"/>
        </w:rPr>
      </w:pPr>
      <w:r w:rsidRPr="00255D0B">
        <w:rPr>
          <w:rFonts w:ascii="Garamond" w:hAnsi="Garamond"/>
          <w:sz w:val="22"/>
          <w:szCs w:val="22"/>
        </w:rPr>
        <w:t xml:space="preserve">The interlocutory appeal lodged by the prosecutor against this decision was </w:t>
      </w:r>
      <w:r w:rsidRPr="00981437">
        <w:rPr>
          <w:rFonts w:ascii="Garamond" w:hAnsi="Garamond"/>
          <w:sz w:val="22"/>
          <w:szCs w:val="22"/>
        </w:rPr>
        <w:t>considered</w:t>
      </w:r>
      <w:r w:rsidR="00EE6B30" w:rsidRPr="00981437">
        <w:rPr>
          <w:rFonts w:ascii="Garamond" w:hAnsi="Garamond"/>
          <w:sz w:val="22"/>
          <w:szCs w:val="22"/>
        </w:rPr>
        <w:t xml:space="preserve"> on 29 November 2022</w:t>
      </w:r>
      <w:r w:rsidRPr="00981437">
        <w:rPr>
          <w:rFonts w:ascii="Garamond" w:hAnsi="Garamond"/>
          <w:sz w:val="22"/>
          <w:szCs w:val="22"/>
        </w:rPr>
        <w:t xml:space="preserve"> by the body that replaced the Disciplinary Chamber - the Chamber of Professional Liability.</w:t>
      </w:r>
      <w:r w:rsidR="00255D0B" w:rsidRPr="00981437">
        <w:rPr>
          <w:rFonts w:ascii="Garamond" w:hAnsi="Garamond"/>
          <w:sz w:val="22"/>
          <w:szCs w:val="22"/>
        </w:rPr>
        <w:t xml:space="preserve"> </w:t>
      </w:r>
      <w:r w:rsidR="007C5807" w:rsidRPr="00981437">
        <w:rPr>
          <w:rFonts w:ascii="Garamond" w:hAnsi="Garamond"/>
          <w:sz w:val="22"/>
          <w:szCs w:val="22"/>
          <w:lang w:val="en-US"/>
        </w:rPr>
        <w:t>The new disciplinary body</w:t>
      </w:r>
      <w:r w:rsidR="007C5807" w:rsidRPr="00255D0B">
        <w:rPr>
          <w:rFonts w:ascii="Garamond" w:hAnsi="Garamond"/>
          <w:sz w:val="22"/>
          <w:szCs w:val="22"/>
          <w:lang w:val="en-US"/>
        </w:rPr>
        <w:t xml:space="preserve"> upheld the Disciplinary Chamber's decision of 22 April 2021, considering the interlocutory appeal to be manifestly ill-founded.</w:t>
      </w:r>
      <w:r w:rsidR="00255D0B" w:rsidRPr="00255D0B">
        <w:rPr>
          <w:rFonts w:ascii="Garamond" w:hAnsi="Garamond"/>
          <w:sz w:val="22"/>
          <w:szCs w:val="22"/>
          <w:lang w:val="en-US"/>
        </w:rPr>
        <w:t xml:space="preserve"> </w:t>
      </w:r>
      <w:r w:rsidR="007C5807" w:rsidRPr="00255D0B">
        <w:rPr>
          <w:rFonts w:ascii="Garamond" w:hAnsi="Garamond"/>
          <w:sz w:val="22"/>
          <w:szCs w:val="22"/>
          <w:lang w:val="en-US"/>
        </w:rPr>
        <w:t>Second</w:t>
      </w:r>
      <w:r w:rsidR="00994A52">
        <w:rPr>
          <w:rFonts w:ascii="Garamond" w:hAnsi="Garamond"/>
          <w:sz w:val="22"/>
          <w:szCs w:val="22"/>
          <w:lang w:val="en-US"/>
        </w:rPr>
        <w:t>ly</w:t>
      </w:r>
      <w:r w:rsidR="007C5807" w:rsidRPr="00255D0B">
        <w:rPr>
          <w:rFonts w:ascii="Garamond" w:hAnsi="Garamond"/>
          <w:sz w:val="22"/>
          <w:szCs w:val="22"/>
          <w:lang w:val="en-US"/>
        </w:rPr>
        <w:t xml:space="preserve">, </w:t>
      </w:r>
      <w:r w:rsidR="00994A52">
        <w:rPr>
          <w:rFonts w:ascii="Garamond" w:hAnsi="Garamond"/>
          <w:sz w:val="22"/>
          <w:szCs w:val="22"/>
        </w:rPr>
        <w:t>the Chamber of Professional</w:t>
      </w:r>
      <w:r w:rsidR="00584746" w:rsidRPr="00584746">
        <w:rPr>
          <w:rFonts w:ascii="Garamond" w:hAnsi="Garamond"/>
          <w:sz w:val="22"/>
          <w:szCs w:val="22"/>
        </w:rPr>
        <w:t xml:space="preserve"> </w:t>
      </w:r>
      <w:r w:rsidR="00584746" w:rsidRPr="00255D0B">
        <w:rPr>
          <w:rFonts w:ascii="Garamond" w:hAnsi="Garamond"/>
          <w:sz w:val="22"/>
          <w:szCs w:val="22"/>
        </w:rPr>
        <w:t>Liability</w:t>
      </w:r>
      <w:r w:rsidR="00994A52">
        <w:rPr>
          <w:rFonts w:ascii="Garamond" w:hAnsi="Garamond"/>
          <w:sz w:val="22"/>
          <w:szCs w:val="22"/>
        </w:rPr>
        <w:t xml:space="preserve"> </w:t>
      </w:r>
      <w:r w:rsidR="007C5807" w:rsidRPr="00255D0B">
        <w:rPr>
          <w:rFonts w:ascii="Garamond" w:hAnsi="Garamond"/>
          <w:sz w:val="22"/>
          <w:szCs w:val="22"/>
          <w:lang w:val="en-US"/>
        </w:rPr>
        <w:t xml:space="preserve">set aside of its own motion the Disciplinary Chamber's </w:t>
      </w:r>
      <w:r w:rsidR="00255D0B" w:rsidRPr="00255D0B">
        <w:rPr>
          <w:rFonts w:ascii="Garamond" w:hAnsi="Garamond"/>
          <w:sz w:val="22"/>
          <w:szCs w:val="22"/>
          <w:lang w:val="en-US"/>
        </w:rPr>
        <w:t>resolution</w:t>
      </w:r>
      <w:r w:rsidR="007C5807" w:rsidRPr="00255D0B">
        <w:rPr>
          <w:rFonts w:ascii="Garamond" w:hAnsi="Garamond"/>
          <w:sz w:val="22"/>
          <w:szCs w:val="22"/>
          <w:lang w:val="en-US"/>
        </w:rPr>
        <w:t xml:space="preserve"> of 18 November 2020 in so far as it concerned the applicant's suspension from judicial </w:t>
      </w:r>
      <w:r w:rsidR="00255D0B" w:rsidRPr="00255D0B">
        <w:rPr>
          <w:rFonts w:ascii="Garamond" w:hAnsi="Garamond"/>
          <w:sz w:val="22"/>
          <w:szCs w:val="22"/>
          <w:lang w:val="en-US"/>
        </w:rPr>
        <w:t>duties</w:t>
      </w:r>
      <w:r w:rsidR="007C5807" w:rsidRPr="00255D0B">
        <w:rPr>
          <w:rFonts w:ascii="Garamond" w:hAnsi="Garamond"/>
          <w:sz w:val="22"/>
          <w:szCs w:val="22"/>
          <w:lang w:val="en-US"/>
        </w:rPr>
        <w:t xml:space="preserve"> and the reduction of his salary for the duration of that suspension.</w:t>
      </w:r>
    </w:p>
    <w:p w14:paraId="2364AE91" w14:textId="77777777" w:rsidR="002660FE" w:rsidRDefault="002660FE" w:rsidP="00B536A8">
      <w:pPr>
        <w:tabs>
          <w:tab w:val="left" w:pos="7146"/>
        </w:tabs>
        <w:spacing w:line="360" w:lineRule="auto"/>
        <w:jc w:val="both"/>
        <w:rPr>
          <w:rFonts w:ascii="Garamond" w:hAnsi="Garamond"/>
          <w:sz w:val="22"/>
          <w:szCs w:val="22"/>
          <w:lang w:val="en-US"/>
        </w:rPr>
      </w:pPr>
    </w:p>
    <w:p w14:paraId="5D11543B" w14:textId="3FC27F66" w:rsidR="00C65EBE" w:rsidRDefault="00D53843" w:rsidP="00B536A8">
      <w:pPr>
        <w:tabs>
          <w:tab w:val="left" w:pos="7146"/>
        </w:tabs>
        <w:spacing w:line="360" w:lineRule="auto"/>
        <w:jc w:val="both"/>
        <w:rPr>
          <w:rFonts w:ascii="Garamond" w:hAnsi="Garamond"/>
          <w:sz w:val="22"/>
          <w:szCs w:val="22"/>
          <w:lang w:val="en-US"/>
        </w:rPr>
      </w:pPr>
      <w:r>
        <w:rPr>
          <w:rFonts w:ascii="Garamond" w:hAnsi="Garamond"/>
          <w:sz w:val="22"/>
          <w:szCs w:val="22"/>
          <w:lang w:val="en-US"/>
        </w:rPr>
        <w:t xml:space="preserve">Somewhat </w:t>
      </w:r>
      <w:r w:rsidRPr="00981437">
        <w:rPr>
          <w:rFonts w:ascii="Garamond" w:hAnsi="Garamond"/>
          <w:sz w:val="22"/>
          <w:szCs w:val="22"/>
          <w:lang w:val="en-US"/>
        </w:rPr>
        <w:t>earlier</w:t>
      </w:r>
      <w:r w:rsidR="009C3349" w:rsidRPr="00981437">
        <w:rPr>
          <w:rFonts w:ascii="Garamond" w:hAnsi="Garamond"/>
          <w:sz w:val="22"/>
          <w:szCs w:val="22"/>
          <w:lang w:val="en-US"/>
        </w:rPr>
        <w:t>,</w:t>
      </w:r>
      <w:r w:rsidRPr="00981437">
        <w:rPr>
          <w:rFonts w:ascii="Garamond" w:hAnsi="Garamond"/>
          <w:sz w:val="22"/>
          <w:szCs w:val="22"/>
          <w:lang w:val="en-US"/>
        </w:rPr>
        <w:t xml:space="preserve"> </w:t>
      </w:r>
      <w:r w:rsidRPr="00981437">
        <w:rPr>
          <w:rFonts w:ascii="Garamond" w:hAnsi="Garamond"/>
          <w:sz w:val="22"/>
          <w:szCs w:val="22"/>
        </w:rPr>
        <w:t>in November 2020,</w:t>
      </w:r>
      <w:r w:rsidR="009C3349" w:rsidRPr="00981437">
        <w:rPr>
          <w:rFonts w:ascii="Garamond" w:hAnsi="Garamond"/>
          <w:sz w:val="22"/>
          <w:szCs w:val="22"/>
          <w:lang w:val="en-US"/>
        </w:rPr>
        <w:t xml:space="preserve"> the Warsaw</w:t>
      </w:r>
      <w:r w:rsidR="009C3349" w:rsidRPr="00981437">
        <w:rPr>
          <w:rFonts w:ascii="Garamond" w:hAnsi="Garamond"/>
          <w:szCs w:val="22"/>
          <w:lang w:val="en-US"/>
        </w:rPr>
        <w:t xml:space="preserve"> </w:t>
      </w:r>
      <w:r w:rsidR="009C3349" w:rsidRPr="00981437">
        <w:rPr>
          <w:rFonts w:ascii="Garamond" w:hAnsi="Garamond"/>
          <w:sz w:val="22"/>
          <w:szCs w:val="22"/>
          <w:lang w:val="en-US"/>
        </w:rPr>
        <w:t>Regional Court, sitting in a panel composed of the applicant, stayed the criminal proceedings as a result of</w:t>
      </w:r>
      <w:r w:rsidR="009C3349" w:rsidRPr="009C3349">
        <w:rPr>
          <w:rFonts w:ascii="Garamond" w:hAnsi="Garamond"/>
          <w:sz w:val="22"/>
          <w:szCs w:val="22"/>
          <w:lang w:val="en-US"/>
        </w:rPr>
        <w:t xml:space="preserve"> a reference to the CJEU</w:t>
      </w:r>
      <w:r w:rsidR="00F54614">
        <w:rPr>
          <w:rFonts w:ascii="Garamond" w:hAnsi="Garamond"/>
          <w:sz w:val="22"/>
          <w:szCs w:val="22"/>
          <w:lang w:val="en-US"/>
        </w:rPr>
        <w:t xml:space="preserve"> </w:t>
      </w:r>
      <w:r w:rsidR="009C3349" w:rsidRPr="009C3349">
        <w:rPr>
          <w:rFonts w:ascii="Garamond" w:hAnsi="Garamond"/>
          <w:sz w:val="22"/>
          <w:szCs w:val="22"/>
          <w:lang w:val="en-US"/>
        </w:rPr>
        <w:t>for a preliminary ruling. The prosecutor filed an interlocutory appeal against the decision to stay the proceedings, w</w:t>
      </w:r>
      <w:r w:rsidR="009C3349" w:rsidRPr="00981437">
        <w:rPr>
          <w:rFonts w:ascii="Garamond" w:hAnsi="Garamond"/>
          <w:sz w:val="22"/>
          <w:szCs w:val="22"/>
          <w:lang w:val="en-US"/>
        </w:rPr>
        <w:t xml:space="preserve">hich was dismissed by the Warsaw Court of Appeal on 24 February 2021. The applicant later </w:t>
      </w:r>
      <w:r w:rsidR="009C3349" w:rsidRPr="009C3349">
        <w:rPr>
          <w:rFonts w:ascii="Garamond" w:hAnsi="Garamond"/>
          <w:sz w:val="22"/>
          <w:szCs w:val="22"/>
          <w:lang w:val="en-US"/>
        </w:rPr>
        <w:t>relied on this judgment, which undermined the status of the Disciplinary Chamber as a court, and in light of this, Mr Tuleya remained an ordinary judge with immunity and the right to adjudicate.</w:t>
      </w:r>
    </w:p>
    <w:p w14:paraId="3C404DC9" w14:textId="77777777" w:rsidR="009C3349" w:rsidRDefault="009C3349" w:rsidP="00B536A8">
      <w:pPr>
        <w:tabs>
          <w:tab w:val="left" w:pos="7146"/>
        </w:tabs>
        <w:spacing w:line="360" w:lineRule="auto"/>
        <w:jc w:val="both"/>
        <w:rPr>
          <w:rFonts w:ascii="Garamond" w:hAnsi="Garamond"/>
          <w:sz w:val="22"/>
          <w:szCs w:val="22"/>
          <w:lang w:val="en-US"/>
        </w:rPr>
      </w:pPr>
    </w:p>
    <w:p w14:paraId="3D4C37B2" w14:textId="7EF068B1" w:rsidR="00252054" w:rsidRDefault="00272D45" w:rsidP="00B536A8">
      <w:pPr>
        <w:tabs>
          <w:tab w:val="left" w:pos="7146"/>
        </w:tabs>
        <w:spacing w:line="360" w:lineRule="auto"/>
        <w:jc w:val="both"/>
        <w:rPr>
          <w:rFonts w:ascii="Garamond" w:hAnsi="Garamond"/>
          <w:sz w:val="22"/>
          <w:szCs w:val="22"/>
          <w:lang w:val="en-US"/>
        </w:rPr>
      </w:pPr>
      <w:r w:rsidRPr="00272D45">
        <w:rPr>
          <w:rFonts w:ascii="Garamond" w:hAnsi="Garamond"/>
          <w:sz w:val="22"/>
          <w:szCs w:val="22"/>
          <w:lang w:val="en-US"/>
        </w:rPr>
        <w:t>The events described above have provoked a reaction from civil society, including international legal institutions. The institutions concerned</w:t>
      </w:r>
      <w:r>
        <w:rPr>
          <w:rFonts w:ascii="Garamond" w:hAnsi="Garamond"/>
          <w:sz w:val="22"/>
          <w:szCs w:val="22"/>
          <w:lang w:val="en-US"/>
        </w:rPr>
        <w:t xml:space="preserve"> –</w:t>
      </w:r>
      <w:r w:rsidRPr="00272D45">
        <w:t xml:space="preserve"> </w:t>
      </w:r>
      <w:r>
        <w:rPr>
          <w:rFonts w:ascii="Garamond" w:hAnsi="Garamond"/>
          <w:sz w:val="22"/>
          <w:szCs w:val="22"/>
          <w:lang w:val="en-US"/>
        </w:rPr>
        <w:t>t</w:t>
      </w:r>
      <w:r w:rsidRPr="00272D45">
        <w:rPr>
          <w:rFonts w:ascii="Garamond" w:hAnsi="Garamond"/>
          <w:sz w:val="22"/>
          <w:szCs w:val="22"/>
          <w:lang w:val="en-US"/>
        </w:rPr>
        <w:t xml:space="preserve">he OSCE Office for Democratic Institutions and Human Rights, </w:t>
      </w:r>
      <w:r>
        <w:rPr>
          <w:rFonts w:ascii="Garamond" w:hAnsi="Garamond"/>
          <w:sz w:val="22"/>
          <w:szCs w:val="22"/>
          <w:lang w:val="en-US"/>
        </w:rPr>
        <w:t>t</w:t>
      </w:r>
      <w:r w:rsidRPr="00272D45">
        <w:rPr>
          <w:rFonts w:ascii="Garamond" w:hAnsi="Garamond"/>
          <w:sz w:val="22"/>
          <w:szCs w:val="22"/>
          <w:lang w:val="en-US"/>
        </w:rPr>
        <w:t xml:space="preserve">he International Association of Judges, </w:t>
      </w:r>
      <w:r>
        <w:rPr>
          <w:rFonts w:ascii="Garamond" w:hAnsi="Garamond"/>
          <w:sz w:val="22"/>
          <w:szCs w:val="22"/>
          <w:lang w:val="en-US"/>
        </w:rPr>
        <w:t>t</w:t>
      </w:r>
      <w:r w:rsidRPr="00272D45">
        <w:rPr>
          <w:rFonts w:ascii="Garamond" w:hAnsi="Garamond"/>
          <w:sz w:val="22"/>
          <w:szCs w:val="22"/>
          <w:lang w:val="en-US"/>
        </w:rPr>
        <w:t>he Bar Council of England and Wales, the American Bar Assoc</w:t>
      </w:r>
      <w:r>
        <w:rPr>
          <w:rFonts w:ascii="Garamond" w:hAnsi="Garamond"/>
          <w:sz w:val="22"/>
          <w:szCs w:val="22"/>
          <w:lang w:val="en-US"/>
        </w:rPr>
        <w:t xml:space="preserve">iation Center for Human Rights and </w:t>
      </w:r>
      <w:r w:rsidRPr="00272D45">
        <w:rPr>
          <w:rFonts w:ascii="Garamond" w:hAnsi="Garamond"/>
          <w:sz w:val="22"/>
          <w:szCs w:val="22"/>
          <w:lang w:val="en-US"/>
        </w:rPr>
        <w:t>Amnesty International</w:t>
      </w:r>
      <w:r>
        <w:rPr>
          <w:rFonts w:ascii="Garamond" w:hAnsi="Garamond"/>
          <w:sz w:val="22"/>
          <w:szCs w:val="22"/>
          <w:lang w:val="en-US"/>
        </w:rPr>
        <w:t xml:space="preserve"> –</w:t>
      </w:r>
      <w:r w:rsidRPr="00272D45">
        <w:rPr>
          <w:rFonts w:ascii="Garamond" w:hAnsi="Garamond"/>
          <w:sz w:val="22"/>
          <w:szCs w:val="22"/>
          <w:lang w:val="en-US"/>
        </w:rPr>
        <w:t xml:space="preserve"> have essentially pointed to a threat to the independence of the judiciary in Poland </w:t>
      </w:r>
      <w:r w:rsidR="00325F0F">
        <w:rPr>
          <w:rFonts w:ascii="Garamond" w:hAnsi="Garamond"/>
          <w:sz w:val="22"/>
          <w:szCs w:val="22"/>
          <w:lang w:val="en-US"/>
        </w:rPr>
        <w:t>in the context</w:t>
      </w:r>
      <w:r w:rsidRPr="00272D45">
        <w:rPr>
          <w:rFonts w:ascii="Garamond" w:hAnsi="Garamond"/>
          <w:sz w:val="22"/>
          <w:szCs w:val="22"/>
          <w:lang w:val="en-US"/>
        </w:rPr>
        <w:t xml:space="preserve"> of the conduct of the political authorities towards the applicant.</w:t>
      </w:r>
      <w:r w:rsidR="00252054">
        <w:rPr>
          <w:rFonts w:ascii="Garamond" w:hAnsi="Garamond"/>
          <w:sz w:val="22"/>
          <w:szCs w:val="22"/>
          <w:lang w:val="en-US"/>
        </w:rPr>
        <w:t xml:space="preserve"> </w:t>
      </w:r>
      <w:r w:rsidR="00252054" w:rsidRPr="00252054">
        <w:rPr>
          <w:rFonts w:ascii="Garamond" w:hAnsi="Garamond"/>
          <w:sz w:val="22"/>
          <w:szCs w:val="22"/>
          <w:lang w:val="en-US"/>
        </w:rPr>
        <w:t>On the other hand, the events in question were accompanied by statements from people linked to the Polish ruling camp, positioning Mr Tuleya as a political activist.</w:t>
      </w:r>
    </w:p>
    <w:p w14:paraId="1FE264A5" w14:textId="77777777" w:rsidR="002C4EF6" w:rsidRPr="002C4EF6" w:rsidRDefault="002C4EF6" w:rsidP="00B536A8">
      <w:pPr>
        <w:tabs>
          <w:tab w:val="left" w:pos="7146"/>
        </w:tabs>
        <w:spacing w:line="360" w:lineRule="auto"/>
        <w:jc w:val="both"/>
        <w:rPr>
          <w:rFonts w:ascii="Garamond" w:hAnsi="Garamond"/>
          <w:sz w:val="22"/>
          <w:szCs w:val="22"/>
          <w:lang w:val="en-US"/>
        </w:rPr>
      </w:pPr>
    </w:p>
    <w:p w14:paraId="422A7C7B" w14:textId="76A8A21E" w:rsidR="00C23B78" w:rsidRPr="00305358" w:rsidRDefault="00A345C6" w:rsidP="00B536A8">
      <w:pPr>
        <w:tabs>
          <w:tab w:val="left" w:pos="7146"/>
        </w:tabs>
        <w:spacing w:line="360" w:lineRule="auto"/>
        <w:jc w:val="both"/>
        <w:rPr>
          <w:rFonts w:ascii="Garamond" w:hAnsi="Garamond"/>
          <w:sz w:val="22"/>
        </w:rPr>
      </w:pPr>
      <w:r w:rsidRPr="00A345C6">
        <w:rPr>
          <w:rFonts w:ascii="Garamond" w:hAnsi="Garamond"/>
          <w:sz w:val="22"/>
          <w:lang w:val="en-US"/>
        </w:rPr>
        <w:t xml:space="preserve">The allegation of a violation of Article 10 was raised by the applicant in his second application (no. 51751/20), which was combined with the earlier application (no. 21181/19). </w:t>
      </w:r>
      <w:r w:rsidRPr="00A345C6">
        <w:rPr>
          <w:rFonts w:ascii="Garamond" w:hAnsi="Garamond"/>
          <w:sz w:val="22"/>
        </w:rPr>
        <w:t xml:space="preserve">According to the Government, the remedies available under domestic law had not been exhausted. In particular, they referred to a civil action for the protection </w:t>
      </w:r>
      <w:r w:rsidR="009A1C71">
        <w:rPr>
          <w:rFonts w:ascii="Garamond" w:hAnsi="Garamond"/>
          <w:sz w:val="22"/>
        </w:rPr>
        <w:t>of</w:t>
      </w:r>
      <w:r w:rsidRPr="00A345C6">
        <w:rPr>
          <w:rFonts w:ascii="Garamond" w:hAnsi="Garamond"/>
          <w:sz w:val="22"/>
        </w:rPr>
        <w:t xml:space="preserve"> personal rights under Articles 23 and 24 of the Civil Code.</w:t>
      </w:r>
      <w:r>
        <w:rPr>
          <w:rFonts w:ascii="Garamond" w:hAnsi="Garamond"/>
          <w:sz w:val="22"/>
        </w:rPr>
        <w:t xml:space="preserve"> </w:t>
      </w:r>
      <w:r w:rsidR="008A7E6E">
        <w:rPr>
          <w:rFonts w:ascii="Garamond" w:hAnsi="Garamond"/>
          <w:sz w:val="22"/>
        </w:rPr>
        <w:t xml:space="preserve">However, </w:t>
      </w:r>
      <w:r w:rsidR="00305358" w:rsidRPr="00305358">
        <w:rPr>
          <w:rFonts w:ascii="Garamond" w:hAnsi="Garamond"/>
          <w:sz w:val="22"/>
          <w:lang w:val="en-US"/>
        </w:rPr>
        <w:t xml:space="preserve">Mr Tuleya denied that a civil action could be an effective remedy </w:t>
      </w:r>
      <w:r w:rsidR="005B332C">
        <w:rPr>
          <w:rFonts w:ascii="Garamond" w:hAnsi="Garamond"/>
          <w:sz w:val="22"/>
          <w:lang w:val="en-US"/>
        </w:rPr>
        <w:t>in the context of</w:t>
      </w:r>
      <w:r w:rsidR="00305358" w:rsidRPr="00305358">
        <w:rPr>
          <w:rFonts w:ascii="Garamond" w:hAnsi="Garamond"/>
          <w:sz w:val="22"/>
          <w:lang w:val="en-US"/>
        </w:rPr>
        <w:t xml:space="preserve"> the systematic violations of his rights committed by the State in this case. </w:t>
      </w:r>
      <w:r w:rsidR="00305358" w:rsidRPr="007C7F27">
        <w:rPr>
          <w:rFonts w:ascii="Garamond" w:hAnsi="Garamond"/>
          <w:sz w:val="22"/>
          <w:lang w:val="en-US"/>
        </w:rPr>
        <w:t>The applicant also pointed out that, despite the successful judgment of the Warsaw Court of Appeal of 24 February 2021, he was</w:t>
      </w:r>
      <w:r w:rsidR="00305358" w:rsidRPr="00305358">
        <w:rPr>
          <w:rFonts w:ascii="Garamond" w:hAnsi="Garamond"/>
          <w:sz w:val="22"/>
          <w:lang w:val="en-US"/>
        </w:rPr>
        <w:t xml:space="preserve"> not allowed to resume his judicial duties (which should be taken as a suggestion that even formally obtained remedies under domestic law may not be enforced).</w:t>
      </w:r>
    </w:p>
    <w:p w14:paraId="6647C760" w14:textId="77777777" w:rsidR="007B6387" w:rsidRPr="007A49D9" w:rsidRDefault="007B6387" w:rsidP="00B536A8">
      <w:pPr>
        <w:tabs>
          <w:tab w:val="left" w:pos="7146"/>
        </w:tabs>
        <w:spacing w:line="360" w:lineRule="auto"/>
        <w:jc w:val="both"/>
        <w:rPr>
          <w:lang w:val="en-US"/>
        </w:rPr>
      </w:pPr>
    </w:p>
    <w:p w14:paraId="01084D7E" w14:textId="7DF82E64" w:rsidR="00610159" w:rsidRDefault="007B6387" w:rsidP="00B536A8">
      <w:pPr>
        <w:tabs>
          <w:tab w:val="left" w:pos="7146"/>
        </w:tabs>
        <w:spacing w:line="360" w:lineRule="auto"/>
        <w:jc w:val="both"/>
        <w:rPr>
          <w:rFonts w:ascii="Garamond" w:hAnsi="Garamond"/>
          <w:sz w:val="22"/>
          <w:szCs w:val="22"/>
          <w:lang w:val="en-US"/>
        </w:rPr>
      </w:pPr>
      <w:r w:rsidRPr="00916669">
        <w:rPr>
          <w:rFonts w:ascii="Garamond" w:hAnsi="Garamond"/>
          <w:sz w:val="22"/>
          <w:szCs w:val="22"/>
          <w:lang w:val="en-US"/>
        </w:rPr>
        <w:t>The Court first noted that three preliminary inquiries initiated by the Disciplinary Officer and the decision of the Disciplinary Chamber of 18 November 20</w:t>
      </w:r>
      <w:r w:rsidR="00916669">
        <w:rPr>
          <w:rFonts w:ascii="Garamond" w:hAnsi="Garamond"/>
          <w:sz w:val="22"/>
          <w:szCs w:val="22"/>
          <w:lang w:val="en-US"/>
        </w:rPr>
        <w:t>20</w:t>
      </w:r>
      <w:r w:rsidRPr="00916669">
        <w:rPr>
          <w:rFonts w:ascii="Garamond" w:hAnsi="Garamond"/>
          <w:sz w:val="22"/>
          <w:szCs w:val="22"/>
          <w:lang w:val="en-US"/>
        </w:rPr>
        <w:t xml:space="preserve"> lifting his immunity and suspending him from judicial duties were relevant to the allegation of a violation of Article 10. The EC</w:t>
      </w:r>
      <w:r w:rsidR="002F6D70">
        <w:rPr>
          <w:rFonts w:ascii="Garamond" w:hAnsi="Garamond"/>
          <w:sz w:val="22"/>
          <w:szCs w:val="22"/>
          <w:lang w:val="en-US"/>
        </w:rPr>
        <w:t>t</w:t>
      </w:r>
      <w:r w:rsidRPr="00916669">
        <w:rPr>
          <w:rFonts w:ascii="Garamond" w:hAnsi="Garamond"/>
          <w:sz w:val="22"/>
          <w:szCs w:val="22"/>
          <w:lang w:val="en-US"/>
        </w:rPr>
        <w:t>HR agreed with the applicant that the remedies referred to by the Government could not be regarded as effective and that domestic remedies must therefore be considered exhausted.</w:t>
      </w:r>
      <w:r w:rsidR="007A49D9" w:rsidRPr="00916669">
        <w:rPr>
          <w:rFonts w:ascii="Garamond" w:hAnsi="Garamond"/>
          <w:sz w:val="22"/>
          <w:szCs w:val="22"/>
          <w:lang w:val="en-US"/>
        </w:rPr>
        <w:t xml:space="preserve"> The Court also held that the application was neither manifestly ill-founded nor inadmissible on any of the other grounds listed in Article 35 of the Convention.</w:t>
      </w:r>
      <w:r w:rsidR="005B332C">
        <w:rPr>
          <w:rFonts w:ascii="Garamond" w:hAnsi="Garamond"/>
          <w:sz w:val="22"/>
          <w:szCs w:val="22"/>
          <w:lang w:val="en-US"/>
        </w:rPr>
        <w:t xml:space="preserve"> </w:t>
      </w:r>
      <w:r w:rsidR="005B332C" w:rsidRPr="005B332C">
        <w:rPr>
          <w:rFonts w:ascii="Garamond" w:hAnsi="Garamond"/>
          <w:sz w:val="22"/>
          <w:szCs w:val="22"/>
          <w:lang w:val="en-US"/>
        </w:rPr>
        <w:t>The complaint was therefore deemed admissible.</w:t>
      </w:r>
      <w:r w:rsidR="005B332C">
        <w:rPr>
          <w:rFonts w:ascii="Garamond" w:hAnsi="Garamond"/>
          <w:sz w:val="22"/>
          <w:szCs w:val="22"/>
          <w:lang w:val="en-US"/>
        </w:rPr>
        <w:t xml:space="preserve"> </w:t>
      </w:r>
    </w:p>
    <w:p w14:paraId="5CCA3E41" w14:textId="77777777" w:rsidR="00FE5485" w:rsidRPr="00FE5485" w:rsidRDefault="00FE5485" w:rsidP="00B536A8">
      <w:pPr>
        <w:tabs>
          <w:tab w:val="left" w:pos="7146"/>
        </w:tabs>
        <w:spacing w:line="360" w:lineRule="auto"/>
        <w:jc w:val="both"/>
        <w:rPr>
          <w:rFonts w:ascii="Garamond" w:hAnsi="Garamond"/>
          <w:sz w:val="22"/>
          <w:szCs w:val="22"/>
          <w:lang w:val="en-US"/>
        </w:rPr>
      </w:pPr>
    </w:p>
    <w:p w14:paraId="1803B20A" w14:textId="5B1C54C0" w:rsidR="00FE5485" w:rsidRDefault="00610159" w:rsidP="00B536A8">
      <w:pPr>
        <w:tabs>
          <w:tab w:val="left" w:pos="7146"/>
        </w:tabs>
        <w:spacing w:line="360" w:lineRule="auto"/>
        <w:jc w:val="both"/>
        <w:rPr>
          <w:rFonts w:ascii="Garamond" w:hAnsi="Garamond"/>
          <w:sz w:val="22"/>
          <w:szCs w:val="22"/>
          <w:lang w:val="en-US"/>
        </w:rPr>
      </w:pPr>
      <w:r w:rsidRPr="00CA45F7">
        <w:rPr>
          <w:rFonts w:ascii="Garamond" w:hAnsi="Garamond"/>
          <w:sz w:val="22"/>
          <w:szCs w:val="22"/>
          <w:lang w:val="en-US"/>
        </w:rPr>
        <w:t xml:space="preserve">In his submission, the applicant described his </w:t>
      </w:r>
      <w:r w:rsidR="00F10A60">
        <w:rPr>
          <w:rFonts w:ascii="Garamond" w:hAnsi="Garamond"/>
          <w:sz w:val="22"/>
          <w:szCs w:val="22"/>
          <w:lang w:val="en-US"/>
        </w:rPr>
        <w:t>position</w:t>
      </w:r>
      <w:r w:rsidRPr="00CA45F7">
        <w:rPr>
          <w:rFonts w:ascii="Garamond" w:hAnsi="Garamond"/>
          <w:sz w:val="22"/>
          <w:szCs w:val="22"/>
          <w:lang w:val="en-US"/>
        </w:rPr>
        <w:t xml:space="preserve"> as a so-called "civic judge" and defender of the rule of law during the Polish constitutional crisis. He gave examples of how his position had been appreciated by civil society and expert bodies. In his opinion, the challenged measures were consequences of his public activity. According to Mr. Tuleya, it is important to see his case in the context of the crisis of the rule of law and the</w:t>
      </w:r>
      <w:r w:rsidR="00020A01">
        <w:rPr>
          <w:rFonts w:ascii="Garamond" w:hAnsi="Garamond"/>
          <w:sz w:val="22"/>
          <w:szCs w:val="22"/>
          <w:lang w:val="en-US"/>
        </w:rPr>
        <w:t xml:space="preserve"> threat to the</w:t>
      </w:r>
      <w:r w:rsidRPr="00CA45F7">
        <w:rPr>
          <w:rFonts w:ascii="Garamond" w:hAnsi="Garamond"/>
          <w:sz w:val="22"/>
          <w:szCs w:val="22"/>
          <w:lang w:val="en-US"/>
        </w:rPr>
        <w:t xml:space="preserve"> independence of the judiciary. In his view, </w:t>
      </w:r>
      <w:r w:rsidR="002F6D70" w:rsidRPr="007E20AF">
        <w:rPr>
          <w:rFonts w:ascii="Garamond" w:hAnsi="Garamond"/>
          <w:sz w:val="22"/>
          <w:szCs w:val="22"/>
        </w:rPr>
        <w:t>"</w:t>
      </w:r>
      <w:r w:rsidR="00CA45F7" w:rsidRPr="00CA45F7">
        <w:rPr>
          <w:rFonts w:ascii="Garamond" w:hAnsi="Garamond"/>
          <w:sz w:val="22"/>
          <w:szCs w:val="22"/>
          <w:lang w:val="en-US"/>
        </w:rPr>
        <w:t>the true aim of all the measures taken against him by the authorities was to produce a «chilling effect» with a view to discouraging him and other judges from taking a position on the Government’s actions against the judiciary</w:t>
      </w:r>
      <w:r w:rsidR="002F6D70" w:rsidRPr="008C42B5">
        <w:rPr>
          <w:rFonts w:ascii="Garamond" w:hAnsi="Garamond"/>
          <w:sz w:val="22"/>
          <w:lang w:val="en-US"/>
        </w:rPr>
        <w:t>"</w:t>
      </w:r>
      <w:r w:rsidR="00CA45F7" w:rsidRPr="00CA45F7">
        <w:rPr>
          <w:rFonts w:ascii="Garamond" w:hAnsi="Garamond"/>
          <w:sz w:val="22"/>
          <w:szCs w:val="22"/>
          <w:lang w:val="en-US"/>
        </w:rPr>
        <w:t xml:space="preserve"> (</w:t>
      </w:r>
      <w:r w:rsidR="00FB1E10">
        <w:rPr>
          <w:rFonts w:ascii="Garamond" w:hAnsi="Garamond"/>
          <w:sz w:val="22"/>
          <w:szCs w:val="22"/>
          <w:lang w:val="en-US"/>
        </w:rPr>
        <w:t xml:space="preserve">para. </w:t>
      </w:r>
      <w:r w:rsidR="00CA45F7" w:rsidRPr="00CA45F7">
        <w:rPr>
          <w:rFonts w:ascii="Garamond" w:hAnsi="Garamond"/>
          <w:sz w:val="22"/>
          <w:szCs w:val="22"/>
          <w:lang w:val="en-US"/>
        </w:rPr>
        <w:t xml:space="preserve"> 464).</w:t>
      </w:r>
      <w:r w:rsidR="00CA45F7">
        <w:rPr>
          <w:rFonts w:ascii="Garamond" w:hAnsi="Garamond"/>
          <w:sz w:val="22"/>
          <w:szCs w:val="22"/>
          <w:lang w:val="en-US"/>
        </w:rPr>
        <w:t xml:space="preserve"> </w:t>
      </w:r>
    </w:p>
    <w:p w14:paraId="76DF2FBA" w14:textId="77777777" w:rsidR="00FE5485" w:rsidRDefault="00FE5485" w:rsidP="00B536A8">
      <w:pPr>
        <w:tabs>
          <w:tab w:val="left" w:pos="7146"/>
        </w:tabs>
        <w:spacing w:line="360" w:lineRule="auto"/>
        <w:jc w:val="both"/>
        <w:rPr>
          <w:rFonts w:ascii="Garamond" w:hAnsi="Garamond"/>
          <w:sz w:val="22"/>
          <w:szCs w:val="22"/>
          <w:lang w:val="en-US"/>
        </w:rPr>
      </w:pPr>
    </w:p>
    <w:p w14:paraId="1F6C7714" w14:textId="53C44884" w:rsidR="00682EDA" w:rsidRPr="00FE5485" w:rsidRDefault="00610159" w:rsidP="00B536A8">
      <w:pPr>
        <w:tabs>
          <w:tab w:val="left" w:pos="7146"/>
        </w:tabs>
        <w:spacing w:line="360" w:lineRule="auto"/>
        <w:jc w:val="both"/>
        <w:rPr>
          <w:rFonts w:ascii="Garamond" w:hAnsi="Garamond"/>
          <w:sz w:val="22"/>
          <w:szCs w:val="22"/>
          <w:lang w:val="en-US"/>
        </w:rPr>
      </w:pPr>
      <w:r w:rsidRPr="00FE5485">
        <w:rPr>
          <w:rFonts w:ascii="Garamond" w:hAnsi="Garamond"/>
          <w:sz w:val="22"/>
          <w:szCs w:val="22"/>
          <w:lang w:val="en-US"/>
        </w:rPr>
        <w:t>According to the applicant, none o</w:t>
      </w:r>
      <w:r w:rsidR="00CA45F7" w:rsidRPr="00FE5485">
        <w:rPr>
          <w:rFonts w:ascii="Garamond" w:hAnsi="Garamond"/>
          <w:sz w:val="22"/>
          <w:szCs w:val="22"/>
          <w:lang w:val="en-US"/>
        </w:rPr>
        <w:t xml:space="preserve">f the requirements of the </w:t>
      </w:r>
      <w:r w:rsidR="00550A83" w:rsidRPr="00FE5485">
        <w:rPr>
          <w:rFonts w:ascii="Garamond" w:hAnsi="Garamond"/>
          <w:sz w:val="22"/>
          <w:szCs w:val="22"/>
          <w:lang w:val="en-US"/>
        </w:rPr>
        <w:t>tripartite</w:t>
      </w:r>
      <w:r w:rsidRPr="00FE5485">
        <w:rPr>
          <w:rFonts w:ascii="Garamond" w:hAnsi="Garamond"/>
          <w:sz w:val="22"/>
          <w:szCs w:val="22"/>
          <w:lang w:val="en-US"/>
        </w:rPr>
        <w:t xml:space="preserve"> test had been met.</w:t>
      </w:r>
      <w:r w:rsidR="00CA45F7" w:rsidRPr="00FE5485">
        <w:rPr>
          <w:rFonts w:ascii="Garamond" w:hAnsi="Garamond"/>
          <w:sz w:val="22"/>
          <w:szCs w:val="22"/>
          <w:lang w:val="en-US"/>
        </w:rPr>
        <w:t xml:space="preserve"> </w:t>
      </w:r>
      <w:r w:rsidR="00FE5485" w:rsidRPr="00FE5485">
        <w:rPr>
          <w:rFonts w:ascii="Garamond" w:hAnsi="Garamond"/>
          <w:sz w:val="22"/>
          <w:szCs w:val="22"/>
          <w:lang w:val="en-US"/>
        </w:rPr>
        <w:t xml:space="preserve">First, the interference was not "prescribed by law" because the Disciplinary Chamber applied the provisions of the 2001 Act in an arbitrary manner in order to deprive </w:t>
      </w:r>
      <w:r w:rsidR="00F10A60">
        <w:rPr>
          <w:rFonts w:ascii="Garamond" w:hAnsi="Garamond"/>
          <w:sz w:val="22"/>
          <w:szCs w:val="22"/>
          <w:lang w:val="en-US"/>
        </w:rPr>
        <w:t>him</w:t>
      </w:r>
      <w:r w:rsidR="00FE5485" w:rsidRPr="00FE5485">
        <w:rPr>
          <w:rFonts w:ascii="Garamond" w:hAnsi="Garamond"/>
          <w:sz w:val="22"/>
          <w:szCs w:val="22"/>
          <w:lang w:val="en-US"/>
        </w:rPr>
        <w:t xml:space="preserve"> of his judicial </w:t>
      </w:r>
      <w:r w:rsidR="00FE5485" w:rsidRPr="00F54614">
        <w:rPr>
          <w:rFonts w:ascii="Garamond" w:hAnsi="Garamond"/>
          <w:sz w:val="22"/>
          <w:szCs w:val="22"/>
          <w:lang w:val="en-US"/>
        </w:rPr>
        <w:t>immunity. Moreover, his judicial immunity had not been lawfully lifted, which was recognized by the decision of the Warsaw Court of Appeal of 24 February 20</w:t>
      </w:r>
      <w:r w:rsidR="00FB1E10" w:rsidRPr="00F54614">
        <w:rPr>
          <w:rFonts w:ascii="Garamond" w:hAnsi="Garamond"/>
          <w:sz w:val="22"/>
          <w:szCs w:val="22"/>
          <w:lang w:val="en-US"/>
        </w:rPr>
        <w:t>21</w:t>
      </w:r>
      <w:r w:rsidR="00FE5485" w:rsidRPr="00F54614">
        <w:rPr>
          <w:rFonts w:ascii="Garamond" w:hAnsi="Garamond"/>
          <w:sz w:val="22"/>
          <w:szCs w:val="22"/>
          <w:lang w:val="en-US"/>
        </w:rPr>
        <w:t xml:space="preserve">. Secondly, the interference in question did not pursue </w:t>
      </w:r>
      <w:r w:rsidR="002C6170" w:rsidRPr="00F54614">
        <w:rPr>
          <w:rFonts w:ascii="Garamond" w:hAnsi="Garamond"/>
          <w:sz w:val="22"/>
          <w:szCs w:val="22"/>
          <w:lang w:val="en-US"/>
        </w:rPr>
        <w:t>any</w:t>
      </w:r>
      <w:r w:rsidR="00FE5485" w:rsidRPr="00F54614">
        <w:rPr>
          <w:rFonts w:ascii="Garamond" w:hAnsi="Garamond"/>
          <w:sz w:val="22"/>
          <w:szCs w:val="22"/>
          <w:lang w:val="en-US"/>
        </w:rPr>
        <w:t xml:space="preserve"> legitimate aim. The applicant </w:t>
      </w:r>
      <w:r w:rsidR="00FE5485" w:rsidRPr="00FE5485">
        <w:rPr>
          <w:rFonts w:ascii="Garamond" w:hAnsi="Garamond"/>
          <w:sz w:val="22"/>
          <w:szCs w:val="22"/>
          <w:lang w:val="en-US"/>
        </w:rPr>
        <w:t xml:space="preserve">claimed that his activity served to maintain the authority and </w:t>
      </w:r>
      <w:r w:rsidR="00FE5485" w:rsidRPr="007C7F27">
        <w:rPr>
          <w:rFonts w:ascii="Garamond" w:hAnsi="Garamond"/>
          <w:sz w:val="22"/>
          <w:szCs w:val="22"/>
          <w:lang w:val="en-US"/>
        </w:rPr>
        <w:t xml:space="preserve">impartiality of the judiciary. </w:t>
      </w:r>
      <w:r w:rsidR="002C6170" w:rsidRPr="007C7F27">
        <w:rPr>
          <w:rFonts w:ascii="Garamond" w:hAnsi="Garamond"/>
          <w:sz w:val="22"/>
          <w:szCs w:val="22"/>
          <w:lang w:val="en-US"/>
        </w:rPr>
        <w:t>He</w:t>
      </w:r>
      <w:r w:rsidR="00FE5485" w:rsidRPr="007C7F27">
        <w:rPr>
          <w:rFonts w:ascii="Garamond" w:hAnsi="Garamond"/>
          <w:sz w:val="22"/>
          <w:szCs w:val="22"/>
          <w:lang w:val="en-US"/>
        </w:rPr>
        <w:t xml:space="preserve"> referred to two resolutions of the Disciplinary Chamber (dated 9 June 2020 and 22 April 2021) in which</w:t>
      </w:r>
      <w:r w:rsidR="00FE5485" w:rsidRPr="00FB1E10">
        <w:rPr>
          <w:rFonts w:ascii="Garamond" w:hAnsi="Garamond"/>
          <w:sz w:val="22"/>
          <w:szCs w:val="22"/>
          <w:lang w:val="en-US"/>
        </w:rPr>
        <w:t xml:space="preserve"> it was found that there was no reasonable suspicion that he had committed</w:t>
      </w:r>
      <w:r w:rsidR="00FB1E10">
        <w:rPr>
          <w:rFonts w:ascii="Garamond" w:hAnsi="Garamond"/>
          <w:sz w:val="22"/>
          <w:szCs w:val="22"/>
          <w:lang w:val="en-US"/>
        </w:rPr>
        <w:t xml:space="preserve"> an offense under Article 241(</w:t>
      </w:r>
      <w:r w:rsidR="00FE5485" w:rsidRPr="00FB1E10">
        <w:rPr>
          <w:rFonts w:ascii="Garamond" w:hAnsi="Garamond"/>
          <w:sz w:val="22"/>
          <w:szCs w:val="22"/>
          <w:lang w:val="en-US"/>
        </w:rPr>
        <w:t>1</w:t>
      </w:r>
      <w:r w:rsidR="00FB1E10">
        <w:rPr>
          <w:rFonts w:ascii="Garamond" w:hAnsi="Garamond"/>
          <w:sz w:val="22"/>
          <w:szCs w:val="22"/>
          <w:lang w:val="en-US"/>
        </w:rPr>
        <w:t>)</w:t>
      </w:r>
      <w:r w:rsidR="00FE5485" w:rsidRPr="00FB1E10">
        <w:rPr>
          <w:rFonts w:ascii="Garamond" w:hAnsi="Garamond"/>
          <w:sz w:val="22"/>
          <w:szCs w:val="22"/>
          <w:lang w:val="en-US"/>
        </w:rPr>
        <w:t xml:space="preserve"> of the </w:t>
      </w:r>
      <w:r w:rsidR="00A55870">
        <w:rPr>
          <w:rFonts w:ascii="Garamond" w:hAnsi="Garamond"/>
          <w:sz w:val="22"/>
          <w:szCs w:val="22"/>
          <w:lang w:val="en-US"/>
        </w:rPr>
        <w:t>Criminal Code</w:t>
      </w:r>
      <w:r w:rsidR="00FE5485" w:rsidRPr="00FB1E10">
        <w:rPr>
          <w:rFonts w:ascii="Garamond" w:hAnsi="Garamond"/>
          <w:sz w:val="22"/>
          <w:szCs w:val="22"/>
          <w:lang w:val="en-US"/>
        </w:rPr>
        <w:t>. Thirdly,</w:t>
      </w:r>
      <w:r w:rsidR="00CC4321" w:rsidRPr="00FB1E10">
        <w:rPr>
          <w:rFonts w:ascii="Garamond" w:hAnsi="Garamond"/>
          <w:sz w:val="22"/>
          <w:szCs w:val="22"/>
          <w:lang w:val="en-US"/>
        </w:rPr>
        <w:t xml:space="preserve"> according to Mr Tuleya</w:t>
      </w:r>
      <w:r w:rsidR="00FE5485" w:rsidRPr="00FB1E10">
        <w:rPr>
          <w:rFonts w:ascii="Garamond" w:hAnsi="Garamond"/>
          <w:sz w:val="22"/>
          <w:szCs w:val="22"/>
          <w:lang w:val="en-US"/>
        </w:rPr>
        <w:t xml:space="preserve"> </w:t>
      </w:r>
      <w:r w:rsidR="00FE5485" w:rsidRPr="00FE5485">
        <w:rPr>
          <w:rFonts w:ascii="Garamond" w:hAnsi="Garamond"/>
          <w:sz w:val="22"/>
          <w:szCs w:val="22"/>
          <w:lang w:val="en-US"/>
        </w:rPr>
        <w:t xml:space="preserve">the measure in question was not necessary in a democratic society. </w:t>
      </w:r>
      <w:r w:rsidR="00572EFC">
        <w:rPr>
          <w:rFonts w:ascii="Garamond" w:hAnsi="Garamond"/>
          <w:sz w:val="22"/>
          <w:szCs w:val="22"/>
          <w:lang w:val="en-US"/>
        </w:rPr>
        <w:t xml:space="preserve">He </w:t>
      </w:r>
      <w:r w:rsidR="00FE5485" w:rsidRPr="00FE5485">
        <w:rPr>
          <w:rFonts w:ascii="Garamond" w:hAnsi="Garamond"/>
          <w:sz w:val="22"/>
          <w:szCs w:val="22"/>
          <w:lang w:val="en-US"/>
        </w:rPr>
        <w:t>argued that the exercise of his judicial functions and his participation in public debate could not justify the interference with his freedom of expression.</w:t>
      </w:r>
    </w:p>
    <w:p w14:paraId="7382E3B7" w14:textId="77777777" w:rsidR="0008799F" w:rsidRDefault="0008799F" w:rsidP="00B536A8">
      <w:pPr>
        <w:tabs>
          <w:tab w:val="left" w:pos="7146"/>
        </w:tabs>
        <w:spacing w:line="360" w:lineRule="auto"/>
        <w:jc w:val="both"/>
      </w:pPr>
    </w:p>
    <w:p w14:paraId="638B041F" w14:textId="7DFB6A1E" w:rsidR="00463406" w:rsidRPr="00A65848" w:rsidRDefault="00416224" w:rsidP="00B536A8">
      <w:pPr>
        <w:tabs>
          <w:tab w:val="left" w:pos="7146"/>
        </w:tabs>
        <w:spacing w:line="360" w:lineRule="auto"/>
        <w:jc w:val="both"/>
        <w:rPr>
          <w:rFonts w:ascii="Garamond" w:hAnsi="Garamond"/>
          <w:sz w:val="22"/>
          <w:lang w:val="en-US"/>
        </w:rPr>
      </w:pPr>
      <w:r w:rsidRPr="00A65848">
        <w:rPr>
          <w:rFonts w:ascii="Garamond" w:hAnsi="Garamond"/>
          <w:sz w:val="22"/>
          <w:lang w:val="en-US"/>
        </w:rPr>
        <w:t xml:space="preserve">With regard to the Government's position, they submitted that there had been no interference with the applicant's freedom of expression. As to the preliminary inquiries, they had not led to the initiation of disciplinary proceedings and no sanction had been imposed on Mr. Tuleya as a result. The Government also pointed out that the measures in question had not stopped the applicant's activity in the public sphere. On the contrary, the applicant continued his public activities. In these two aspects - the absence of sanctions and the actual chilling effect - the present case is said to differ from </w:t>
      </w:r>
      <w:r w:rsidRPr="00A65848">
        <w:rPr>
          <w:rFonts w:ascii="Garamond" w:hAnsi="Garamond"/>
          <w:i/>
          <w:sz w:val="22"/>
          <w:lang w:val="en-US"/>
        </w:rPr>
        <w:t>Baka v. Hungary</w:t>
      </w:r>
      <w:r w:rsidRPr="00A65848">
        <w:rPr>
          <w:rFonts w:ascii="Garamond" w:hAnsi="Garamond"/>
          <w:sz w:val="22"/>
          <w:lang w:val="en-US"/>
        </w:rPr>
        <w:t xml:space="preserve"> and </w:t>
      </w:r>
      <w:r w:rsidRPr="00A65848">
        <w:rPr>
          <w:rFonts w:ascii="Garamond" w:hAnsi="Garamond"/>
          <w:i/>
          <w:sz w:val="22"/>
          <w:lang w:val="en-US"/>
        </w:rPr>
        <w:t>Kudeshkina v. Russia</w:t>
      </w:r>
      <w:r w:rsidRPr="00A65848">
        <w:rPr>
          <w:rFonts w:ascii="Garamond" w:hAnsi="Garamond"/>
          <w:sz w:val="22"/>
          <w:lang w:val="en-US"/>
        </w:rPr>
        <w:t>. According to the Government, the applicant violated the judicial duty of discretion derived from the Polish Constitution, statutes and the Collection of Principles of Judges' Professional Ethics. As to the Disciplinary Chamber's resolution of November 18, 2020, according to the Government, this act was not related to Mr. Tuleya's statements and views expressed in the context of public debate on the Polish judicial system, but to the applicant's professional activity during the sess</w:t>
      </w:r>
      <w:r w:rsidR="00A65848" w:rsidRPr="00A65848">
        <w:rPr>
          <w:rFonts w:ascii="Garamond" w:hAnsi="Garamond"/>
          <w:sz w:val="22"/>
          <w:lang w:val="en-US"/>
        </w:rPr>
        <w:t xml:space="preserve">ion held on December 18, 2017. </w:t>
      </w:r>
      <w:r w:rsidRPr="00A65848">
        <w:rPr>
          <w:rFonts w:ascii="Garamond" w:hAnsi="Garamond"/>
          <w:sz w:val="22"/>
          <w:lang w:val="en-US"/>
        </w:rPr>
        <w:t xml:space="preserve">They also stated that lifting the applicant's immunity had not been a sanction. Again, the Government pointed out that Mr. Tuleya had continued his activities after the relevant resolution. </w:t>
      </w:r>
    </w:p>
    <w:p w14:paraId="672A0ED2" w14:textId="77777777" w:rsidR="00463406" w:rsidRPr="00920DBE" w:rsidRDefault="00463406" w:rsidP="00B536A8">
      <w:pPr>
        <w:tabs>
          <w:tab w:val="left" w:pos="7146"/>
        </w:tabs>
        <w:spacing w:line="360" w:lineRule="auto"/>
        <w:jc w:val="both"/>
        <w:rPr>
          <w:lang w:val="en-US"/>
        </w:rPr>
      </w:pPr>
    </w:p>
    <w:p w14:paraId="2F31C14B" w14:textId="1BD5BD16" w:rsidR="00A65848" w:rsidRPr="008C42B5" w:rsidRDefault="008C42B5" w:rsidP="00B536A8">
      <w:pPr>
        <w:tabs>
          <w:tab w:val="left" w:pos="7146"/>
        </w:tabs>
        <w:spacing w:line="360" w:lineRule="auto"/>
        <w:jc w:val="both"/>
        <w:rPr>
          <w:rFonts w:ascii="Garamond" w:hAnsi="Garamond"/>
          <w:sz w:val="22"/>
          <w:lang w:val="en-US"/>
        </w:rPr>
      </w:pPr>
      <w:r w:rsidRPr="008C42B5">
        <w:rPr>
          <w:rFonts w:ascii="Garamond" w:hAnsi="Garamond"/>
          <w:sz w:val="22"/>
          <w:lang w:val="en-US"/>
        </w:rPr>
        <w:t xml:space="preserve">In the event that the Court found that the impugned measures constituted an interference with the applicant's freedom of expression, the Government argued that the interference was justified in the light of the tripartite test of Article 10(2). They submitted that the "prescribed by law" criterion was met, as the preliminary inquiries had a legal </w:t>
      </w:r>
      <w:r w:rsidR="00791E0E">
        <w:rPr>
          <w:rFonts w:ascii="Garamond" w:hAnsi="Garamond"/>
          <w:sz w:val="22"/>
          <w:lang w:val="en-US"/>
        </w:rPr>
        <w:t>foundation</w:t>
      </w:r>
      <w:r w:rsidRPr="008C42B5">
        <w:rPr>
          <w:rFonts w:ascii="Garamond" w:hAnsi="Garamond"/>
          <w:sz w:val="22"/>
          <w:lang w:val="en-US"/>
        </w:rPr>
        <w:t xml:space="preserve"> and the resolution of the Disciplinary Chamber of 18 November 2020 was taken on the basis of a reasonable suspicion that the applicant might have committed an </w:t>
      </w:r>
      <w:r w:rsidRPr="00FB1E10">
        <w:rPr>
          <w:rFonts w:ascii="Garamond" w:hAnsi="Garamond"/>
          <w:sz w:val="22"/>
          <w:lang w:val="en-US"/>
        </w:rPr>
        <w:t>offen</w:t>
      </w:r>
      <w:r w:rsidR="00D66719">
        <w:rPr>
          <w:rFonts w:ascii="Garamond" w:hAnsi="Garamond"/>
          <w:sz w:val="22"/>
          <w:lang w:val="en-US"/>
        </w:rPr>
        <w:t>s</w:t>
      </w:r>
      <w:r w:rsidRPr="00FB1E10">
        <w:rPr>
          <w:rFonts w:ascii="Garamond" w:hAnsi="Garamond"/>
          <w:sz w:val="22"/>
          <w:lang w:val="en-US"/>
        </w:rPr>
        <w:t>e, a</w:t>
      </w:r>
      <w:r w:rsidR="00FB1E10">
        <w:rPr>
          <w:rFonts w:ascii="Garamond" w:hAnsi="Garamond"/>
          <w:sz w:val="22"/>
          <w:lang w:val="en-US"/>
        </w:rPr>
        <w:t xml:space="preserve">s provided for in Article 241(1) </w:t>
      </w:r>
      <w:r w:rsidRPr="00FB1E10">
        <w:rPr>
          <w:rFonts w:ascii="Garamond" w:hAnsi="Garamond"/>
          <w:sz w:val="22"/>
          <w:lang w:val="en-US"/>
        </w:rPr>
        <w:t xml:space="preserve">of the </w:t>
      </w:r>
      <w:r w:rsidR="00DF3F93">
        <w:rPr>
          <w:rFonts w:ascii="Garamond" w:hAnsi="Garamond"/>
          <w:sz w:val="22"/>
          <w:lang w:val="en-US"/>
        </w:rPr>
        <w:t>Criminal Code</w:t>
      </w:r>
      <w:r w:rsidRPr="00FB1E10">
        <w:rPr>
          <w:rFonts w:ascii="Garamond" w:hAnsi="Garamond"/>
          <w:sz w:val="22"/>
          <w:lang w:val="en-US"/>
        </w:rPr>
        <w:t xml:space="preserve">. With regard to the legitimate aims, the Government listed the following: the prevention of crime and the protection of the reputation of others, as well as the prevention of the disclosure of information received in confidence and the maintenance of the authority and impartiality of the judiciary. Finally, the Government argued that the interference was necessary and proportionate to the legitimate aims pursued. In view of the applicant's </w:t>
      </w:r>
      <w:r w:rsidRPr="008C42B5">
        <w:rPr>
          <w:rFonts w:ascii="Garamond" w:hAnsi="Garamond"/>
          <w:sz w:val="22"/>
          <w:lang w:val="en-US"/>
        </w:rPr>
        <w:t xml:space="preserve">numerous activities in which he openly criticized the Polish judicial system, the competent authorities were obliged to verify that the requirements of impartiality and independence had not been violated. With regard to the resolution of the Disciplinary Chamber, it was noted, </w:t>
      </w:r>
      <w:r w:rsidRPr="008C42B5">
        <w:rPr>
          <w:rFonts w:ascii="Garamond" w:hAnsi="Garamond"/>
          <w:i/>
          <w:sz w:val="22"/>
          <w:lang w:val="en-US"/>
        </w:rPr>
        <w:t>inter alia</w:t>
      </w:r>
      <w:r w:rsidRPr="008C42B5">
        <w:rPr>
          <w:rFonts w:ascii="Garamond" w:hAnsi="Garamond"/>
          <w:sz w:val="22"/>
          <w:lang w:val="en-US"/>
        </w:rPr>
        <w:t>, that the applicant may have failed to exercise caution by allowing the media to record the court session of December 18, 2017.</w:t>
      </w:r>
    </w:p>
    <w:p w14:paraId="398074D8" w14:textId="77777777" w:rsidR="00920DBE" w:rsidRDefault="00920DBE" w:rsidP="00B536A8">
      <w:pPr>
        <w:tabs>
          <w:tab w:val="left" w:pos="7146"/>
        </w:tabs>
        <w:spacing w:line="360" w:lineRule="auto"/>
        <w:jc w:val="both"/>
        <w:rPr>
          <w:lang w:val="en-US"/>
        </w:rPr>
      </w:pPr>
    </w:p>
    <w:p w14:paraId="59FD0DAE" w14:textId="7DC48E99" w:rsidR="00B02D52" w:rsidRPr="000345BD" w:rsidRDefault="00947FDA" w:rsidP="00B536A8">
      <w:pPr>
        <w:tabs>
          <w:tab w:val="left" w:pos="7146"/>
        </w:tabs>
        <w:spacing w:line="360" w:lineRule="auto"/>
        <w:jc w:val="both"/>
        <w:rPr>
          <w:rFonts w:ascii="Garamond" w:hAnsi="Garamond"/>
          <w:sz w:val="22"/>
          <w:lang w:val="en-US"/>
        </w:rPr>
      </w:pPr>
      <w:r w:rsidRPr="000345BD">
        <w:rPr>
          <w:rFonts w:ascii="Garamond" w:hAnsi="Garamond"/>
          <w:sz w:val="22"/>
          <w:lang w:val="en-US"/>
        </w:rPr>
        <w:t>T</w:t>
      </w:r>
      <w:r w:rsidR="000345BD">
        <w:rPr>
          <w:rFonts w:ascii="Garamond" w:hAnsi="Garamond"/>
          <w:sz w:val="22"/>
          <w:lang w:val="en-US"/>
        </w:rPr>
        <w:t>he following t</w:t>
      </w:r>
      <w:r w:rsidRPr="000345BD">
        <w:rPr>
          <w:rFonts w:ascii="Garamond" w:hAnsi="Garamond"/>
          <w:sz w:val="22"/>
          <w:lang w:val="en-US"/>
        </w:rPr>
        <w:t xml:space="preserve">hird-party interveners submitted briefs in the case: the Commissioner for Human Rights of the Republic of Poland; Judges for Judges Foundation and Professor L. Pech; Amnesty International and the International Commission of Jurists; Polish Judges' Association Iustitia; </w:t>
      </w:r>
      <w:r w:rsidR="003F27E2">
        <w:rPr>
          <w:rFonts w:ascii="Garamond" w:hAnsi="Garamond"/>
          <w:sz w:val="22"/>
          <w:lang w:val="en-US"/>
        </w:rPr>
        <w:t xml:space="preserve">and </w:t>
      </w:r>
      <w:r w:rsidRPr="000345BD">
        <w:rPr>
          <w:rFonts w:ascii="Garamond" w:hAnsi="Garamond"/>
          <w:sz w:val="22"/>
          <w:lang w:val="en-US"/>
        </w:rPr>
        <w:t>the Government of the Kingdom of the Netherlands.</w:t>
      </w:r>
      <w:r w:rsidR="000A5395">
        <w:rPr>
          <w:rFonts w:ascii="Garamond" w:hAnsi="Garamond"/>
          <w:sz w:val="22"/>
          <w:lang w:val="en-US"/>
        </w:rPr>
        <w:t xml:space="preserve"> </w:t>
      </w:r>
      <w:r w:rsidR="000345BD" w:rsidRPr="000345BD">
        <w:rPr>
          <w:rFonts w:ascii="Garamond" w:hAnsi="Garamond"/>
          <w:sz w:val="22"/>
          <w:lang w:val="en-US"/>
        </w:rPr>
        <w:t>All third-party interveners generally supported the applicant's position, essentially pointing to the importance of judicial speech in protecting the independence of the judiciary. The specific context of the rule of law crisis in Poland and its impact on the case was also a frequently raised issue.</w:t>
      </w:r>
    </w:p>
    <w:p w14:paraId="14CFF5A4" w14:textId="6832AE9C" w:rsidR="00D11E45" w:rsidRPr="00C23B78" w:rsidRDefault="00A853B0" w:rsidP="00B536A8">
      <w:pPr>
        <w:tabs>
          <w:tab w:val="left" w:pos="7146"/>
        </w:tabs>
        <w:spacing w:line="360" w:lineRule="auto"/>
        <w:jc w:val="both"/>
        <w:rPr>
          <w:rFonts w:ascii="Garamond" w:hAnsi="Garamond"/>
          <w:sz w:val="22"/>
          <w:szCs w:val="22"/>
          <w:lang w:val="en-US"/>
        </w:rPr>
      </w:pPr>
      <w:r w:rsidRPr="00C23B78">
        <w:rPr>
          <w:rFonts w:ascii="Garamond" w:hAnsi="Garamond"/>
          <w:sz w:val="22"/>
          <w:szCs w:val="22"/>
          <w:lang w:val="en-US"/>
        </w:rPr>
        <w:tab/>
      </w:r>
    </w:p>
    <w:p w14:paraId="010BA86B" w14:textId="77777777" w:rsidR="00BB2804" w:rsidRPr="00F23F4B" w:rsidRDefault="00BB2804" w:rsidP="00B536A8">
      <w:pPr>
        <w:pStyle w:val="ListParagraph"/>
        <w:numPr>
          <w:ilvl w:val="0"/>
          <w:numId w:val="4"/>
        </w:numPr>
        <w:spacing w:line="360" w:lineRule="auto"/>
        <w:jc w:val="both"/>
        <w:rPr>
          <w:rFonts w:ascii="Garamond" w:hAnsi="Garamond"/>
          <w:sz w:val="22"/>
          <w:szCs w:val="22"/>
          <w:lang w:val="en-US"/>
        </w:rPr>
      </w:pPr>
      <w:r w:rsidRPr="00F23F4B">
        <w:rPr>
          <w:rFonts w:ascii="Garamond" w:hAnsi="Garamond"/>
          <w:b/>
          <w:bCs/>
          <w:sz w:val="22"/>
          <w:szCs w:val="22"/>
          <w:lang w:val="en-US"/>
        </w:rPr>
        <w:t>Decision Overview</w:t>
      </w:r>
      <w:r w:rsidRPr="00F23F4B">
        <w:rPr>
          <w:rFonts w:ascii="Garamond" w:hAnsi="Garamond"/>
          <w:sz w:val="22"/>
          <w:szCs w:val="22"/>
          <w:lang w:val="en-US"/>
        </w:rPr>
        <w:t xml:space="preserve">: </w:t>
      </w:r>
    </w:p>
    <w:p w14:paraId="09DC2E99" w14:textId="77777777" w:rsidR="001B5F43" w:rsidRPr="00D822ED" w:rsidRDefault="001B5F43" w:rsidP="00B536A8">
      <w:pPr>
        <w:spacing w:line="360" w:lineRule="auto"/>
        <w:jc w:val="both"/>
        <w:rPr>
          <w:rFonts w:ascii="Garamond" w:hAnsi="Garamond"/>
          <w:sz w:val="22"/>
          <w:szCs w:val="22"/>
          <w:lang w:val="en-US"/>
        </w:rPr>
      </w:pPr>
    </w:p>
    <w:p w14:paraId="3F052F07" w14:textId="7BE02206" w:rsidR="001B5F43" w:rsidRPr="001B5F43" w:rsidRDefault="001B5F43" w:rsidP="00B536A8">
      <w:pPr>
        <w:spacing w:line="360" w:lineRule="auto"/>
        <w:jc w:val="both"/>
        <w:rPr>
          <w:rFonts w:ascii="Garamond" w:eastAsia="Times New Roman" w:hAnsi="Garamond" w:cs="Times New Roman"/>
          <w:sz w:val="22"/>
          <w:szCs w:val="22"/>
          <w:lang w:val="en-US"/>
        </w:rPr>
      </w:pPr>
      <w:r w:rsidRPr="00D822ED">
        <w:rPr>
          <w:rFonts w:ascii="Garamond" w:hAnsi="Garamond"/>
          <w:sz w:val="22"/>
          <w:szCs w:val="22"/>
          <w:lang w:val="en-US"/>
        </w:rPr>
        <w:t>Firstly, the Court had to decide whether there has been interference in the case at hand. T</w:t>
      </w:r>
      <w:r w:rsidRPr="001B5F43">
        <w:rPr>
          <w:rFonts w:ascii="Garamond" w:eastAsia="Times New Roman" w:hAnsi="Garamond" w:cs="Times New Roman"/>
          <w:sz w:val="22"/>
          <w:szCs w:val="22"/>
          <w:lang w:val="en-US"/>
        </w:rPr>
        <w:t xml:space="preserve">he Court acknowledged that Article 10 does apply to civil servants, and that it has previously held that, in cases involving disciplinary proceedings against judges or their removal or appointment, it must determine whether the measure constitutes an interference with the exercise of freedom of expression, or whether it merely affects the exercise of the right to hold a public post in the administration of justice. Article 10 only applies if the right to freedom of expression has been infringed, and not if the ability to perform </w:t>
      </w:r>
      <w:r w:rsidR="00C25E1F" w:rsidRPr="00951B74">
        <w:rPr>
          <w:rFonts w:ascii="Garamond" w:eastAsia="Times New Roman" w:hAnsi="Garamond" w:cs="Times New Roman"/>
          <w:sz w:val="22"/>
          <w:szCs w:val="22"/>
          <w:lang w:val="en-US"/>
        </w:rPr>
        <w:t>professional</w:t>
      </w:r>
      <w:r w:rsidRPr="00951B74">
        <w:rPr>
          <w:rFonts w:ascii="Garamond" w:eastAsia="Times New Roman" w:hAnsi="Garamond" w:cs="Times New Roman"/>
          <w:sz w:val="22"/>
          <w:szCs w:val="22"/>
          <w:lang w:val="en-US"/>
        </w:rPr>
        <w:t xml:space="preserve"> </w:t>
      </w:r>
      <w:r w:rsidRPr="001B5F43">
        <w:rPr>
          <w:rFonts w:ascii="Garamond" w:eastAsia="Times New Roman" w:hAnsi="Garamond" w:cs="Times New Roman"/>
          <w:sz w:val="22"/>
          <w:szCs w:val="22"/>
          <w:lang w:val="en-US"/>
        </w:rPr>
        <w:t xml:space="preserve">duties is affected. This can only be determined by analyzing the scope of the measure in the context of the facts of the case and the relevant legislation, including reasons given by the authorities, the arguments put forward in the context of subsequent appeal proceedings and the submissions of the parties. The Court stressed the importance of </w:t>
      </w:r>
      <w:r w:rsidRPr="00D822ED">
        <w:rPr>
          <w:rFonts w:ascii="Garamond" w:eastAsia="Times New Roman" w:hAnsi="Garamond" w:cs="Times New Roman"/>
          <w:i/>
          <w:iCs/>
          <w:sz w:val="22"/>
          <w:szCs w:val="22"/>
          <w:lang w:val="en-US"/>
        </w:rPr>
        <w:t>prima facie</w:t>
      </w:r>
      <w:r w:rsidRPr="001B5F43">
        <w:rPr>
          <w:rFonts w:ascii="Garamond" w:eastAsia="Times New Roman" w:hAnsi="Garamond" w:cs="Times New Roman"/>
          <w:sz w:val="22"/>
          <w:szCs w:val="22"/>
          <w:lang w:val="en-US"/>
        </w:rPr>
        <w:t xml:space="preserve"> evidence supporting the version of events submitted by an applicant which may indicate the existence of a causal link between the measures complained of and freedom of expression as this would be sufficient to conclude that the State must then prove that the measures were taken for other reasons.</w:t>
      </w:r>
    </w:p>
    <w:p w14:paraId="5B0B3609" w14:textId="77777777" w:rsidR="00046FE8" w:rsidRPr="00D822ED" w:rsidRDefault="00046FE8" w:rsidP="00B536A8">
      <w:pPr>
        <w:spacing w:line="360" w:lineRule="auto"/>
        <w:jc w:val="both"/>
        <w:rPr>
          <w:rFonts w:ascii="Garamond" w:hAnsi="Garamond"/>
          <w:sz w:val="22"/>
          <w:szCs w:val="22"/>
          <w:lang w:val="en-US"/>
        </w:rPr>
      </w:pPr>
    </w:p>
    <w:p w14:paraId="17C1AD7C" w14:textId="5CCEA9E4" w:rsidR="00046FE8" w:rsidRPr="00D822ED" w:rsidRDefault="00FB1E10" w:rsidP="00B536A8">
      <w:pPr>
        <w:spacing w:line="360" w:lineRule="auto"/>
        <w:jc w:val="both"/>
        <w:rPr>
          <w:rFonts w:ascii="Garamond" w:hAnsi="Garamond"/>
          <w:sz w:val="22"/>
          <w:szCs w:val="22"/>
          <w:lang w:val="en-US"/>
        </w:rPr>
      </w:pPr>
      <w:r>
        <w:rPr>
          <w:rFonts w:ascii="Garamond" w:hAnsi="Garamond"/>
          <w:sz w:val="22"/>
          <w:szCs w:val="22"/>
          <w:lang w:val="en-US"/>
        </w:rPr>
        <w:t>NOTE: The above reasoning (paras.</w:t>
      </w:r>
      <w:r w:rsidR="00854F6D" w:rsidRPr="00D822ED">
        <w:rPr>
          <w:rFonts w:ascii="Garamond" w:hAnsi="Garamond"/>
          <w:sz w:val="22"/>
          <w:szCs w:val="22"/>
          <w:lang w:val="en-US"/>
        </w:rPr>
        <w:t xml:space="preserve"> 515-518) is </w:t>
      </w:r>
      <w:r w:rsidR="008400BA" w:rsidRPr="00D822ED">
        <w:rPr>
          <w:rFonts w:ascii="Garamond" w:hAnsi="Garamond"/>
          <w:sz w:val="22"/>
          <w:szCs w:val="22"/>
          <w:lang w:val="en-US"/>
        </w:rPr>
        <w:t>a repetition of</w:t>
      </w:r>
      <w:r w:rsidR="00854F6D" w:rsidRPr="00D822ED">
        <w:rPr>
          <w:rFonts w:ascii="Garamond" w:hAnsi="Garamond"/>
          <w:sz w:val="22"/>
          <w:szCs w:val="22"/>
          <w:lang w:val="en-US"/>
        </w:rPr>
        <w:t xml:space="preserve"> the Court's</w:t>
      </w:r>
      <w:r>
        <w:rPr>
          <w:rFonts w:ascii="Garamond" w:hAnsi="Garamond"/>
          <w:sz w:val="22"/>
          <w:szCs w:val="22"/>
          <w:lang w:val="en-US"/>
        </w:rPr>
        <w:t xml:space="preserve"> position in </w:t>
      </w:r>
      <w:r w:rsidRPr="00823B5A">
        <w:rPr>
          <w:rFonts w:ascii="Garamond" w:hAnsi="Garamond"/>
          <w:i/>
          <w:sz w:val="22"/>
          <w:szCs w:val="22"/>
          <w:lang w:val="en-US"/>
        </w:rPr>
        <w:t>Żurek v. Poland</w:t>
      </w:r>
      <w:r>
        <w:rPr>
          <w:rFonts w:ascii="Garamond" w:hAnsi="Garamond"/>
          <w:sz w:val="22"/>
          <w:szCs w:val="22"/>
          <w:lang w:val="en-US"/>
        </w:rPr>
        <w:t xml:space="preserve"> (paras.</w:t>
      </w:r>
      <w:r w:rsidR="00854F6D" w:rsidRPr="00D822ED">
        <w:rPr>
          <w:rFonts w:ascii="Garamond" w:hAnsi="Garamond"/>
          <w:sz w:val="22"/>
          <w:szCs w:val="22"/>
          <w:lang w:val="en-US"/>
        </w:rPr>
        <w:t xml:space="preserve"> 201-204)</w:t>
      </w:r>
      <w:r w:rsidR="0041080F" w:rsidRPr="00D822ED">
        <w:rPr>
          <w:rFonts w:ascii="Garamond" w:hAnsi="Garamond"/>
          <w:sz w:val="22"/>
          <w:szCs w:val="22"/>
          <w:lang w:val="en-US"/>
        </w:rPr>
        <w:t xml:space="preserve">. </w:t>
      </w:r>
    </w:p>
    <w:p w14:paraId="053D029C" w14:textId="77777777" w:rsidR="00973248" w:rsidRPr="00D822ED" w:rsidRDefault="00973248" w:rsidP="00B536A8">
      <w:pPr>
        <w:spacing w:line="360" w:lineRule="auto"/>
        <w:jc w:val="both"/>
        <w:rPr>
          <w:rFonts w:ascii="Garamond" w:hAnsi="Garamond"/>
          <w:sz w:val="22"/>
          <w:szCs w:val="22"/>
          <w:lang w:val="en-US"/>
        </w:rPr>
      </w:pPr>
    </w:p>
    <w:p w14:paraId="492DF328" w14:textId="73A64350" w:rsidR="00665CF5" w:rsidRPr="00FB1E10" w:rsidRDefault="004643B0" w:rsidP="00B536A8">
      <w:pPr>
        <w:spacing w:line="360" w:lineRule="auto"/>
        <w:jc w:val="both"/>
        <w:rPr>
          <w:rFonts w:ascii="Garamond" w:hAnsi="Garamond"/>
          <w:sz w:val="22"/>
          <w:szCs w:val="22"/>
          <w:lang w:val="en-US"/>
        </w:rPr>
      </w:pPr>
      <w:r w:rsidRPr="00FB1E10">
        <w:rPr>
          <w:rFonts w:ascii="Garamond" w:hAnsi="Garamond"/>
          <w:sz w:val="22"/>
          <w:szCs w:val="22"/>
          <w:lang w:val="en-US"/>
        </w:rPr>
        <w:t>According to the applicant, the following measures should be taken into account as constituting interference:</w:t>
      </w:r>
      <w:r w:rsidR="00665CF5" w:rsidRPr="00FB1E10">
        <w:rPr>
          <w:rFonts w:ascii="Garamond" w:hAnsi="Garamond"/>
          <w:sz w:val="22"/>
          <w:szCs w:val="22"/>
          <w:lang w:val="en-US"/>
        </w:rPr>
        <w:t xml:space="preserve"> various preliminary inquiries instituted by the disciplinary officer</w:t>
      </w:r>
      <w:r w:rsidR="00984871" w:rsidRPr="00FB1E10">
        <w:rPr>
          <w:rFonts w:ascii="Garamond" w:hAnsi="Garamond"/>
          <w:sz w:val="22"/>
          <w:szCs w:val="22"/>
          <w:lang w:val="en-US"/>
        </w:rPr>
        <w:t xml:space="preserve"> (1)</w:t>
      </w:r>
      <w:r w:rsidR="00665CF5" w:rsidRPr="00FB1E10">
        <w:rPr>
          <w:rFonts w:ascii="Garamond" w:hAnsi="Garamond"/>
          <w:sz w:val="22"/>
          <w:szCs w:val="22"/>
          <w:lang w:val="en-US"/>
        </w:rPr>
        <w:t xml:space="preserve"> and the Disciplinary Chamber's resolution of 18 November 2020 lifting his immunity and suspending him from judicial duties</w:t>
      </w:r>
      <w:r w:rsidR="00984871" w:rsidRPr="00FB1E10">
        <w:rPr>
          <w:rFonts w:ascii="Garamond" w:hAnsi="Garamond"/>
          <w:sz w:val="22"/>
          <w:szCs w:val="22"/>
          <w:lang w:val="en-US"/>
        </w:rPr>
        <w:t xml:space="preserve"> (2)</w:t>
      </w:r>
      <w:r w:rsidR="00665CF5" w:rsidRPr="00FB1E10">
        <w:rPr>
          <w:rFonts w:ascii="Garamond" w:hAnsi="Garamond"/>
          <w:sz w:val="22"/>
          <w:szCs w:val="22"/>
          <w:lang w:val="en-US"/>
        </w:rPr>
        <w:t xml:space="preserve">. As for the first issue (preliminary inquiries), the </w:t>
      </w:r>
      <w:r w:rsidR="00984871" w:rsidRPr="00FB1E10">
        <w:rPr>
          <w:rFonts w:ascii="Garamond" w:hAnsi="Garamond"/>
          <w:sz w:val="22"/>
          <w:szCs w:val="22"/>
          <w:lang w:val="en-US"/>
        </w:rPr>
        <w:t>C</w:t>
      </w:r>
      <w:r w:rsidR="00665CF5" w:rsidRPr="00FB1E10">
        <w:rPr>
          <w:rFonts w:ascii="Garamond" w:hAnsi="Garamond"/>
          <w:sz w:val="22"/>
          <w:szCs w:val="22"/>
          <w:lang w:val="en-US"/>
        </w:rPr>
        <w:t>ourt found three of the five raised by Mr</w:t>
      </w:r>
      <w:r w:rsidR="00984871" w:rsidRPr="00FB1E10">
        <w:rPr>
          <w:rFonts w:ascii="Garamond" w:hAnsi="Garamond"/>
          <w:sz w:val="22"/>
          <w:szCs w:val="22"/>
          <w:lang w:val="en-US"/>
        </w:rPr>
        <w:t>.</w:t>
      </w:r>
      <w:r w:rsidR="00665CF5" w:rsidRPr="00FB1E10">
        <w:rPr>
          <w:rFonts w:ascii="Garamond" w:hAnsi="Garamond"/>
          <w:sz w:val="22"/>
          <w:szCs w:val="22"/>
          <w:lang w:val="en-US"/>
        </w:rPr>
        <w:t xml:space="preserve"> Tuleya to be relevant for the purposes of its examination under Article 10:</w:t>
      </w:r>
    </w:p>
    <w:p w14:paraId="02D6255E" w14:textId="7A869FBB" w:rsidR="00665CF5" w:rsidRPr="00FB1E10" w:rsidRDefault="00C11519" w:rsidP="00B536A8">
      <w:pPr>
        <w:spacing w:line="360" w:lineRule="auto"/>
        <w:jc w:val="both"/>
        <w:rPr>
          <w:rFonts w:ascii="Garamond" w:hAnsi="Garamond"/>
          <w:sz w:val="22"/>
          <w:szCs w:val="22"/>
          <w:lang w:val="en-US"/>
        </w:rPr>
      </w:pPr>
      <w:r w:rsidRPr="00FB1E10">
        <w:rPr>
          <w:rFonts w:ascii="Garamond" w:hAnsi="Garamond"/>
          <w:sz w:val="22"/>
          <w:szCs w:val="22"/>
          <w:lang w:val="en-US"/>
        </w:rPr>
        <w:t xml:space="preserve">– </w:t>
      </w:r>
      <w:r w:rsidR="00665CF5" w:rsidRPr="00FB1E10">
        <w:rPr>
          <w:rFonts w:ascii="Garamond" w:hAnsi="Garamond"/>
          <w:sz w:val="22"/>
          <w:szCs w:val="22"/>
          <w:lang w:val="en-US"/>
        </w:rPr>
        <w:t>the inquiry related to the applicant's interview on the TVN24 television news channel (17 July 2018);</w:t>
      </w:r>
    </w:p>
    <w:p w14:paraId="6C6446D6" w14:textId="4829B314" w:rsidR="00665CF5" w:rsidRPr="00FB1E10" w:rsidRDefault="00C11519" w:rsidP="00B536A8">
      <w:pPr>
        <w:spacing w:line="360" w:lineRule="auto"/>
        <w:jc w:val="both"/>
        <w:rPr>
          <w:rFonts w:ascii="Garamond" w:hAnsi="Garamond"/>
          <w:sz w:val="22"/>
          <w:szCs w:val="22"/>
          <w:lang w:val="en-US"/>
        </w:rPr>
      </w:pPr>
      <w:r w:rsidRPr="00FB1E10">
        <w:rPr>
          <w:rFonts w:ascii="Garamond" w:hAnsi="Garamond"/>
          <w:sz w:val="22"/>
          <w:szCs w:val="22"/>
          <w:lang w:val="en-US"/>
        </w:rPr>
        <w:t>–</w:t>
      </w:r>
      <w:r w:rsidR="00665CF5" w:rsidRPr="00FB1E10">
        <w:rPr>
          <w:rFonts w:ascii="Garamond" w:hAnsi="Garamond"/>
          <w:sz w:val="22"/>
          <w:szCs w:val="22"/>
          <w:lang w:val="en-US"/>
        </w:rPr>
        <w:t xml:space="preserve"> the inquiry concerning the applicant's participation in public meeting in Gdańsk (28 September 2018);</w:t>
      </w:r>
    </w:p>
    <w:p w14:paraId="5D0AADA9" w14:textId="5323CF8C" w:rsidR="00E14760" w:rsidRPr="00FB1E10" w:rsidRDefault="00C11519" w:rsidP="00B536A8">
      <w:pPr>
        <w:spacing w:line="360" w:lineRule="auto"/>
        <w:jc w:val="both"/>
        <w:rPr>
          <w:rFonts w:ascii="Garamond" w:hAnsi="Garamond"/>
          <w:sz w:val="22"/>
          <w:szCs w:val="22"/>
          <w:lang w:val="en-US"/>
        </w:rPr>
      </w:pPr>
      <w:r w:rsidRPr="00FB1E10">
        <w:rPr>
          <w:rFonts w:ascii="Garamond" w:hAnsi="Garamond"/>
          <w:sz w:val="22"/>
          <w:szCs w:val="22"/>
          <w:lang w:val="en-US"/>
        </w:rPr>
        <w:t>–</w:t>
      </w:r>
      <w:r w:rsidR="00665CF5" w:rsidRPr="00FB1E10">
        <w:rPr>
          <w:rFonts w:ascii="Garamond" w:hAnsi="Garamond"/>
          <w:sz w:val="22"/>
          <w:szCs w:val="22"/>
          <w:lang w:val="en-US"/>
        </w:rPr>
        <w:t xml:space="preserve"> the inquiry concerning the applicant's participation in public meeting in Lublin (30 September 2018).</w:t>
      </w:r>
    </w:p>
    <w:p w14:paraId="7DB51D75" w14:textId="22E55613" w:rsidR="00E14760" w:rsidRPr="00FB1E10" w:rsidRDefault="00E14760" w:rsidP="00B536A8">
      <w:pPr>
        <w:spacing w:line="360" w:lineRule="auto"/>
        <w:jc w:val="both"/>
        <w:rPr>
          <w:rFonts w:ascii="Garamond" w:hAnsi="Garamond"/>
          <w:sz w:val="22"/>
          <w:szCs w:val="22"/>
        </w:rPr>
      </w:pPr>
      <w:r w:rsidRPr="00FB1E10">
        <w:rPr>
          <w:rFonts w:ascii="Garamond" w:hAnsi="Garamond" w:cs="Times New Roman"/>
          <w:sz w:val="22"/>
          <w:szCs w:val="22"/>
        </w:rPr>
        <w:t>As noted above, the said inquiries were terminated on an unspecified dates without any disciplinary charges being brought and without the applicant being informed of this fact.</w:t>
      </w:r>
    </w:p>
    <w:p w14:paraId="246B973B" w14:textId="77777777" w:rsidR="00B57A05" w:rsidRPr="00D822ED" w:rsidRDefault="00B57A05" w:rsidP="00B536A8">
      <w:pPr>
        <w:spacing w:line="360" w:lineRule="auto"/>
        <w:jc w:val="both"/>
        <w:rPr>
          <w:rFonts w:ascii="Garamond" w:hAnsi="Garamond"/>
          <w:sz w:val="22"/>
          <w:szCs w:val="22"/>
          <w:lang w:val="en-US"/>
        </w:rPr>
      </w:pPr>
    </w:p>
    <w:p w14:paraId="1D2B6863" w14:textId="707D3B28" w:rsidR="004643B0" w:rsidRPr="00D822ED" w:rsidRDefault="008E341B" w:rsidP="00B536A8">
      <w:pPr>
        <w:spacing w:line="360" w:lineRule="auto"/>
        <w:jc w:val="both"/>
        <w:rPr>
          <w:rFonts w:ascii="Garamond" w:hAnsi="Garamond"/>
          <w:sz w:val="22"/>
          <w:szCs w:val="22"/>
          <w:lang w:val="en-US"/>
        </w:rPr>
      </w:pPr>
      <w:r w:rsidRPr="00D822ED">
        <w:rPr>
          <w:rFonts w:ascii="Garamond" w:hAnsi="Garamond"/>
          <w:sz w:val="22"/>
          <w:szCs w:val="22"/>
          <w:lang w:val="en-US"/>
        </w:rPr>
        <w:t>The EC</w:t>
      </w:r>
      <w:r w:rsidR="002F6D70">
        <w:rPr>
          <w:rFonts w:ascii="Garamond" w:hAnsi="Garamond"/>
          <w:sz w:val="22"/>
          <w:szCs w:val="22"/>
          <w:lang w:val="en-US"/>
        </w:rPr>
        <w:t>t</w:t>
      </w:r>
      <w:r w:rsidRPr="00D822ED">
        <w:rPr>
          <w:rFonts w:ascii="Garamond" w:hAnsi="Garamond"/>
          <w:sz w:val="22"/>
          <w:szCs w:val="22"/>
          <w:lang w:val="en-US"/>
        </w:rPr>
        <w:t xml:space="preserve">HR </w:t>
      </w:r>
      <w:r w:rsidR="00F43D71" w:rsidRPr="00D822ED">
        <w:rPr>
          <w:rFonts w:ascii="Garamond" w:hAnsi="Garamond"/>
          <w:sz w:val="22"/>
          <w:szCs w:val="22"/>
          <w:lang w:val="en-US"/>
        </w:rPr>
        <w:t>recognized</w:t>
      </w:r>
      <w:r w:rsidRPr="00D822ED">
        <w:rPr>
          <w:rFonts w:ascii="Garamond" w:hAnsi="Garamond"/>
          <w:sz w:val="22"/>
          <w:szCs w:val="22"/>
          <w:lang w:val="en-US"/>
        </w:rPr>
        <w:t xml:space="preserve"> that the applicant, in his capacity as a judge and a member of</w:t>
      </w:r>
      <w:r w:rsidR="002649AB">
        <w:rPr>
          <w:rFonts w:ascii="Garamond" w:hAnsi="Garamond"/>
          <w:sz w:val="22"/>
          <w:szCs w:val="22"/>
          <w:lang w:val="en-US"/>
        </w:rPr>
        <w:t xml:space="preserve"> the Polish Judges' Association </w:t>
      </w:r>
      <w:r w:rsidR="002649AB" w:rsidRPr="002649AB">
        <w:rPr>
          <w:rFonts w:ascii="Garamond" w:hAnsi="Garamond"/>
          <w:sz w:val="22"/>
          <w:szCs w:val="22"/>
          <w:lang w:val="en-US"/>
        </w:rPr>
        <w:t>"</w:t>
      </w:r>
      <w:r w:rsidRPr="00D822ED">
        <w:rPr>
          <w:rFonts w:ascii="Garamond" w:hAnsi="Garamond"/>
          <w:sz w:val="22"/>
          <w:szCs w:val="22"/>
          <w:lang w:val="en-US"/>
        </w:rPr>
        <w:t>Iustitia</w:t>
      </w:r>
      <w:r w:rsidR="002649AB" w:rsidRPr="002649AB">
        <w:rPr>
          <w:rFonts w:ascii="Garamond" w:hAnsi="Garamond"/>
          <w:sz w:val="22"/>
          <w:szCs w:val="22"/>
          <w:lang w:val="en-US"/>
        </w:rPr>
        <w:t>"</w:t>
      </w:r>
      <w:r w:rsidRPr="00D822ED">
        <w:rPr>
          <w:rFonts w:ascii="Garamond" w:hAnsi="Garamond"/>
          <w:sz w:val="22"/>
          <w:szCs w:val="22"/>
          <w:lang w:val="en-US"/>
        </w:rPr>
        <w:t xml:space="preserve">, had actively participated in discussions concerning changes to the judiciary introduced by legislation, expressing critical views. It was subject to verification that the applicant's </w:t>
      </w:r>
      <w:r w:rsidR="00F43D71" w:rsidRPr="00D822ED">
        <w:rPr>
          <w:rFonts w:ascii="Garamond" w:hAnsi="Garamond"/>
          <w:sz w:val="22"/>
          <w:szCs w:val="22"/>
          <w:lang w:val="en-US"/>
        </w:rPr>
        <w:t xml:space="preserve">position, to which the Government objected, was correct that the measures taken against him by the authorities were in response to his critical statements. </w:t>
      </w:r>
      <w:r w:rsidR="00145130" w:rsidRPr="00D822ED">
        <w:rPr>
          <w:rFonts w:ascii="Garamond" w:hAnsi="Garamond"/>
          <w:sz w:val="22"/>
          <w:szCs w:val="22"/>
          <w:lang w:val="en-US"/>
        </w:rPr>
        <w:t xml:space="preserve">In line with the need to take into account the </w:t>
      </w:r>
      <w:r w:rsidR="00DF4191" w:rsidRPr="00D822ED">
        <w:rPr>
          <w:rFonts w:ascii="Garamond" w:hAnsi="Garamond"/>
          <w:sz w:val="22"/>
          <w:szCs w:val="22"/>
          <w:lang w:val="en-US"/>
        </w:rPr>
        <w:t xml:space="preserve">broad </w:t>
      </w:r>
      <w:r w:rsidR="00145130" w:rsidRPr="00D822ED">
        <w:rPr>
          <w:rFonts w:ascii="Garamond" w:hAnsi="Garamond"/>
          <w:sz w:val="22"/>
          <w:szCs w:val="22"/>
          <w:lang w:val="en-US"/>
        </w:rPr>
        <w:t xml:space="preserve">context of the case, the Court drew attention to the finding, initiated in the </w:t>
      </w:r>
      <w:r w:rsidR="00750E26">
        <w:rPr>
          <w:rFonts w:ascii="Garamond" w:hAnsi="Garamond"/>
          <w:i/>
          <w:sz w:val="22"/>
          <w:szCs w:val="22"/>
          <w:lang w:val="en-US"/>
        </w:rPr>
        <w:t>Grzęda v. Poland</w:t>
      </w:r>
      <w:r w:rsidR="00145130" w:rsidRPr="00D822ED">
        <w:rPr>
          <w:rFonts w:ascii="Garamond" w:hAnsi="Garamond"/>
          <w:sz w:val="22"/>
          <w:szCs w:val="22"/>
          <w:lang w:val="en-US"/>
        </w:rPr>
        <w:t xml:space="preserve">, that the successive judicial reforms of the ruling camp were aimed at weakening the independence of the judiciary. </w:t>
      </w:r>
      <w:r w:rsidR="00C11519" w:rsidRPr="00D822ED">
        <w:rPr>
          <w:rFonts w:ascii="Garamond" w:hAnsi="Garamond"/>
          <w:sz w:val="22"/>
          <w:szCs w:val="22"/>
        </w:rPr>
        <w:t xml:space="preserve">The Court also noted that in light of the CJEU's judgment of 15 July 2021 in </w:t>
      </w:r>
      <w:r w:rsidR="00C11519" w:rsidRPr="00750E26">
        <w:rPr>
          <w:rFonts w:ascii="Garamond" w:hAnsi="Garamond"/>
          <w:i/>
          <w:sz w:val="22"/>
          <w:szCs w:val="22"/>
        </w:rPr>
        <w:t>Commission v. Poland</w:t>
      </w:r>
      <w:r w:rsidR="00C11519" w:rsidRPr="00D822ED">
        <w:rPr>
          <w:rFonts w:ascii="Garamond" w:hAnsi="Garamond"/>
          <w:sz w:val="22"/>
          <w:szCs w:val="22"/>
        </w:rPr>
        <w:t xml:space="preserve"> (Disciplinary regime for judges, C-791/19) the new disciplinary regime for Polish judges was not compatible with EU law.</w:t>
      </w:r>
    </w:p>
    <w:p w14:paraId="0B4BF2BF" w14:textId="77777777" w:rsidR="004E4A1C" w:rsidRPr="00D822ED" w:rsidRDefault="004E4A1C" w:rsidP="00B536A8">
      <w:pPr>
        <w:spacing w:line="360" w:lineRule="auto"/>
        <w:jc w:val="both"/>
        <w:rPr>
          <w:rFonts w:ascii="Garamond" w:hAnsi="Garamond"/>
          <w:sz w:val="22"/>
          <w:szCs w:val="22"/>
        </w:rPr>
      </w:pPr>
    </w:p>
    <w:p w14:paraId="2D496557" w14:textId="77777777" w:rsidR="000872DF" w:rsidRPr="00D822ED" w:rsidRDefault="00C07FB2" w:rsidP="00B536A8">
      <w:pPr>
        <w:spacing w:line="360" w:lineRule="auto"/>
        <w:jc w:val="both"/>
        <w:rPr>
          <w:rFonts w:ascii="Garamond" w:hAnsi="Garamond"/>
          <w:sz w:val="22"/>
          <w:szCs w:val="22"/>
        </w:rPr>
      </w:pPr>
      <w:r w:rsidRPr="00D822ED">
        <w:rPr>
          <w:rFonts w:ascii="Garamond" w:hAnsi="Garamond"/>
          <w:sz w:val="22"/>
          <w:szCs w:val="22"/>
        </w:rPr>
        <w:t>Regarding the preliminary inquiries initiated by the disciplinary officer, the Court found</w:t>
      </w:r>
      <w:r w:rsidR="004E4A1C" w:rsidRPr="00D822ED">
        <w:rPr>
          <w:rFonts w:ascii="Garamond" w:hAnsi="Garamond"/>
          <w:sz w:val="22"/>
          <w:szCs w:val="22"/>
        </w:rPr>
        <w:t xml:space="preserve"> it evident</w:t>
      </w:r>
      <w:r w:rsidRPr="00D822ED">
        <w:rPr>
          <w:rFonts w:ascii="Garamond" w:hAnsi="Garamond"/>
          <w:sz w:val="22"/>
          <w:szCs w:val="22"/>
        </w:rPr>
        <w:t xml:space="preserve"> that they were primarily a result of the applicant's exercise of his freedom of expression. This is because they related to statements made by Mr. Tuleya on television and at public meetings.</w:t>
      </w:r>
      <w:r w:rsidR="00BC4E1A" w:rsidRPr="00D822ED">
        <w:rPr>
          <w:rFonts w:ascii="Garamond" w:hAnsi="Garamond"/>
          <w:sz w:val="22"/>
          <w:szCs w:val="22"/>
        </w:rPr>
        <w:t xml:space="preserve"> </w:t>
      </w:r>
    </w:p>
    <w:p w14:paraId="6285C0D0" w14:textId="77777777" w:rsidR="000872DF" w:rsidRPr="00D822ED" w:rsidRDefault="000872DF" w:rsidP="00B536A8">
      <w:pPr>
        <w:spacing w:line="360" w:lineRule="auto"/>
        <w:jc w:val="both"/>
        <w:rPr>
          <w:rFonts w:ascii="Garamond" w:hAnsi="Garamond"/>
          <w:sz w:val="22"/>
          <w:szCs w:val="22"/>
        </w:rPr>
      </w:pPr>
    </w:p>
    <w:p w14:paraId="5D0D9D08" w14:textId="545423ED" w:rsidR="00351D10" w:rsidRPr="00D822ED" w:rsidRDefault="00BC4E1A" w:rsidP="00B536A8">
      <w:pPr>
        <w:spacing w:line="360" w:lineRule="auto"/>
        <w:jc w:val="both"/>
        <w:rPr>
          <w:rFonts w:ascii="Garamond" w:hAnsi="Garamond"/>
          <w:sz w:val="22"/>
          <w:szCs w:val="22"/>
        </w:rPr>
      </w:pPr>
      <w:r w:rsidRPr="00D822ED">
        <w:rPr>
          <w:rFonts w:ascii="Garamond" w:hAnsi="Garamond"/>
          <w:sz w:val="22"/>
          <w:szCs w:val="22"/>
        </w:rPr>
        <w:t xml:space="preserve">As for the Disciplinary Chamber's </w:t>
      </w:r>
      <w:r w:rsidR="00034F1F" w:rsidRPr="00FB1E10">
        <w:rPr>
          <w:rFonts w:ascii="Garamond" w:hAnsi="Garamond"/>
          <w:sz w:val="22"/>
          <w:szCs w:val="22"/>
        </w:rPr>
        <w:t>resolution</w:t>
      </w:r>
      <w:r w:rsidRPr="00FB1E10">
        <w:rPr>
          <w:rFonts w:ascii="Garamond" w:hAnsi="Garamond"/>
          <w:sz w:val="22"/>
          <w:szCs w:val="22"/>
        </w:rPr>
        <w:t xml:space="preserve"> of 18 November 2020, the Court noted </w:t>
      </w:r>
      <w:r w:rsidR="00DA5859" w:rsidRPr="00FB1E10">
        <w:rPr>
          <w:rFonts w:ascii="Garamond" w:hAnsi="Garamond"/>
          <w:sz w:val="22"/>
          <w:szCs w:val="22"/>
        </w:rPr>
        <w:t>the following facts as relevant to the background of this issue.</w:t>
      </w:r>
      <w:r w:rsidRPr="00FB1E10">
        <w:rPr>
          <w:rFonts w:ascii="Garamond" w:hAnsi="Garamond"/>
          <w:sz w:val="22"/>
          <w:szCs w:val="22"/>
        </w:rPr>
        <w:t xml:space="preserve"> Firstly, five preliminary inquiries were initiated.</w:t>
      </w:r>
      <w:r w:rsidR="00FE2AC5" w:rsidRPr="00FB1E10">
        <w:rPr>
          <w:rFonts w:ascii="Garamond" w:hAnsi="Garamond"/>
          <w:sz w:val="22"/>
          <w:szCs w:val="22"/>
        </w:rPr>
        <w:t xml:space="preserve"> As the Court stated despite the fact that none of those inquiries led to disciplinary charges against </w:t>
      </w:r>
      <w:r w:rsidR="00D822ED" w:rsidRPr="00FB1E10">
        <w:rPr>
          <w:rFonts w:ascii="Garamond" w:hAnsi="Garamond"/>
          <w:sz w:val="22"/>
          <w:szCs w:val="22"/>
        </w:rPr>
        <w:t>Mr Tuleya</w:t>
      </w:r>
      <w:r w:rsidR="00FE2AC5" w:rsidRPr="00FB1E10">
        <w:rPr>
          <w:rFonts w:ascii="Garamond" w:hAnsi="Garamond"/>
          <w:sz w:val="22"/>
          <w:szCs w:val="22"/>
        </w:rPr>
        <w:t xml:space="preserve">, they were nevertheless </w:t>
      </w:r>
      <w:r w:rsidR="00FE2AC5" w:rsidRPr="00D822ED">
        <w:rPr>
          <w:rFonts w:ascii="Garamond" w:hAnsi="Garamond"/>
          <w:sz w:val="22"/>
          <w:szCs w:val="22"/>
        </w:rPr>
        <w:t>conducted with the objective of constructing a negative narrative and maintaining</w:t>
      </w:r>
      <w:r w:rsidR="00D822ED">
        <w:rPr>
          <w:rFonts w:ascii="Garamond" w:hAnsi="Garamond"/>
          <w:sz w:val="22"/>
          <w:szCs w:val="22"/>
        </w:rPr>
        <w:t xml:space="preserve"> him in</w:t>
      </w:r>
      <w:r w:rsidR="00FE2AC5" w:rsidRPr="00D822ED">
        <w:rPr>
          <w:rFonts w:ascii="Garamond" w:hAnsi="Garamond"/>
          <w:sz w:val="22"/>
          <w:szCs w:val="22"/>
        </w:rPr>
        <w:t xml:space="preserve"> a sta</w:t>
      </w:r>
      <w:r w:rsidR="00806090" w:rsidRPr="00D822ED">
        <w:rPr>
          <w:rFonts w:ascii="Garamond" w:hAnsi="Garamond"/>
          <w:sz w:val="22"/>
          <w:szCs w:val="22"/>
        </w:rPr>
        <w:t xml:space="preserve">te of </w:t>
      </w:r>
      <w:r w:rsidR="00806090" w:rsidRPr="00FB1E10">
        <w:rPr>
          <w:rFonts w:ascii="Garamond" w:hAnsi="Garamond"/>
          <w:sz w:val="22"/>
          <w:szCs w:val="22"/>
        </w:rPr>
        <w:t xml:space="preserve">uncertainty. </w:t>
      </w:r>
      <w:r w:rsidR="009E5D9F" w:rsidRPr="00FB1E10">
        <w:rPr>
          <w:rFonts w:ascii="Garamond" w:hAnsi="Garamond"/>
          <w:sz w:val="22"/>
          <w:szCs w:val="22"/>
          <w:lang w:val="en-US"/>
        </w:rPr>
        <w:t xml:space="preserve">The </w:t>
      </w:r>
      <w:r w:rsidR="003078BB" w:rsidRPr="00D66719">
        <w:rPr>
          <w:rFonts w:ascii="Garamond" w:hAnsi="Garamond"/>
          <w:sz w:val="22"/>
          <w:szCs w:val="22"/>
          <w:lang w:val="en-US"/>
        </w:rPr>
        <w:t>EC</w:t>
      </w:r>
      <w:r w:rsidR="002F6D70" w:rsidRPr="00D66719">
        <w:rPr>
          <w:rFonts w:ascii="Garamond" w:hAnsi="Garamond"/>
          <w:sz w:val="22"/>
          <w:szCs w:val="22"/>
          <w:lang w:val="en-US"/>
        </w:rPr>
        <w:t>t</w:t>
      </w:r>
      <w:r w:rsidR="003078BB" w:rsidRPr="00D66719">
        <w:rPr>
          <w:rFonts w:ascii="Garamond" w:hAnsi="Garamond"/>
          <w:sz w:val="22"/>
          <w:szCs w:val="22"/>
          <w:lang w:val="en-US"/>
        </w:rPr>
        <w:t>HR</w:t>
      </w:r>
      <w:r w:rsidR="009E5D9F" w:rsidRPr="00D66719">
        <w:rPr>
          <w:rFonts w:ascii="Garamond" w:hAnsi="Garamond"/>
          <w:sz w:val="22"/>
          <w:szCs w:val="22"/>
          <w:lang w:val="en-US"/>
        </w:rPr>
        <w:t xml:space="preserve"> subsequently</w:t>
      </w:r>
      <w:r w:rsidR="00806090" w:rsidRPr="00D66719">
        <w:rPr>
          <w:rFonts w:ascii="Garamond" w:hAnsi="Garamond"/>
          <w:sz w:val="22"/>
          <w:szCs w:val="22"/>
          <w:lang w:val="en-US"/>
        </w:rPr>
        <w:t xml:space="preserve"> noted that the actions to lift the applicant's immunity were accompanied by statements </w:t>
      </w:r>
      <w:r w:rsidR="00341D50" w:rsidRPr="00D66719">
        <w:rPr>
          <w:rFonts w:ascii="Garamond" w:hAnsi="Garamond"/>
          <w:sz w:val="22"/>
          <w:szCs w:val="22"/>
          <w:lang w:val="en-US"/>
        </w:rPr>
        <w:t>of</w:t>
      </w:r>
      <w:r w:rsidR="00806090" w:rsidRPr="00D66719">
        <w:rPr>
          <w:rFonts w:ascii="Garamond" w:hAnsi="Garamond"/>
          <w:sz w:val="22"/>
          <w:szCs w:val="22"/>
          <w:lang w:val="en-US"/>
        </w:rPr>
        <w:t xml:space="preserve"> politicians from the ruling camp, including the Minister of Justice/Prosecutor General, </w:t>
      </w:r>
      <w:r w:rsidR="008C6179" w:rsidRPr="00D66719">
        <w:rPr>
          <w:rFonts w:ascii="Garamond" w:hAnsi="Garamond"/>
          <w:sz w:val="22"/>
          <w:szCs w:val="22"/>
          <w:lang w:val="en-US"/>
        </w:rPr>
        <w:t>who</w:t>
      </w:r>
      <w:r w:rsidR="00806090" w:rsidRPr="00D66719">
        <w:rPr>
          <w:rFonts w:ascii="Garamond" w:hAnsi="Garamond"/>
          <w:sz w:val="22"/>
          <w:szCs w:val="22"/>
          <w:lang w:val="en-US"/>
        </w:rPr>
        <w:t xml:space="preserve"> suggested that the applicant had committed a criminal offen</w:t>
      </w:r>
      <w:r w:rsidR="00D66719">
        <w:rPr>
          <w:rFonts w:ascii="Garamond" w:hAnsi="Garamond"/>
          <w:sz w:val="22"/>
          <w:szCs w:val="22"/>
          <w:lang w:val="en-US"/>
        </w:rPr>
        <w:t>s</w:t>
      </w:r>
      <w:r w:rsidR="00806090" w:rsidRPr="00D66719">
        <w:rPr>
          <w:rFonts w:ascii="Garamond" w:hAnsi="Garamond"/>
          <w:sz w:val="22"/>
          <w:szCs w:val="22"/>
          <w:lang w:val="en-US"/>
        </w:rPr>
        <w:t>e.</w:t>
      </w:r>
      <w:r w:rsidR="00D01722" w:rsidRPr="00D66719">
        <w:rPr>
          <w:rFonts w:ascii="Garamond" w:hAnsi="Garamond"/>
          <w:sz w:val="22"/>
          <w:szCs w:val="22"/>
          <w:lang w:val="en-US"/>
        </w:rPr>
        <w:t xml:space="preserve"> </w:t>
      </w:r>
      <w:r w:rsidR="0045063B" w:rsidRPr="00D66719">
        <w:rPr>
          <w:rFonts w:ascii="Garamond" w:hAnsi="Garamond" w:cs="Times New Roman"/>
          <w:sz w:val="22"/>
          <w:szCs w:val="22"/>
          <w:lang w:val="en-US"/>
        </w:rPr>
        <w:t xml:space="preserve">The </w:t>
      </w:r>
      <w:r w:rsidR="008C6179" w:rsidRPr="00D66719">
        <w:rPr>
          <w:rFonts w:ascii="Garamond" w:hAnsi="Garamond" w:cs="Times New Roman"/>
          <w:sz w:val="22"/>
          <w:szCs w:val="22"/>
          <w:lang w:val="en-US"/>
        </w:rPr>
        <w:t>Court</w:t>
      </w:r>
      <w:r w:rsidR="0045063B" w:rsidRPr="00D66719">
        <w:rPr>
          <w:rFonts w:ascii="Garamond" w:hAnsi="Garamond" w:cs="Times New Roman"/>
          <w:sz w:val="22"/>
          <w:szCs w:val="22"/>
          <w:lang w:val="en-US"/>
        </w:rPr>
        <w:t xml:space="preserve"> also drew attention to the fact that the measures leading to the lifting of the applicant's immunity and his suspension were initiated by prosecutors subordinate to the Prosecutor General and that the</w:t>
      </w:r>
      <w:r w:rsidR="00D01722" w:rsidRPr="00D66719">
        <w:rPr>
          <w:rFonts w:ascii="Garamond" w:hAnsi="Garamond" w:cs="Times New Roman"/>
          <w:sz w:val="22"/>
          <w:szCs w:val="22"/>
          <w:lang w:val="en-US"/>
        </w:rPr>
        <w:t xml:space="preserve"> final</w:t>
      </w:r>
      <w:r w:rsidR="0045063B" w:rsidRPr="00D66719">
        <w:rPr>
          <w:rFonts w:ascii="Garamond" w:hAnsi="Garamond" w:cs="Times New Roman"/>
          <w:sz w:val="22"/>
          <w:szCs w:val="22"/>
          <w:lang w:val="en-US"/>
        </w:rPr>
        <w:t xml:space="preserve"> decision itself was taken by the Disciplinary Chamber, a body which, in the light of previous EC</w:t>
      </w:r>
      <w:r w:rsidR="002F6D70" w:rsidRPr="00D66719">
        <w:rPr>
          <w:rFonts w:ascii="Garamond" w:hAnsi="Garamond" w:cs="Times New Roman"/>
          <w:sz w:val="22"/>
          <w:szCs w:val="22"/>
          <w:lang w:val="en-US"/>
        </w:rPr>
        <w:t>t</w:t>
      </w:r>
      <w:r w:rsidR="0045063B" w:rsidRPr="00D66719">
        <w:rPr>
          <w:rFonts w:ascii="Garamond" w:hAnsi="Garamond" w:cs="Times New Roman"/>
          <w:sz w:val="22"/>
          <w:szCs w:val="22"/>
          <w:lang w:val="en-US"/>
        </w:rPr>
        <w:t xml:space="preserve">HR case-law, does not satisfy the requirements </w:t>
      </w:r>
      <w:r w:rsidR="0045063B" w:rsidRPr="00D822ED">
        <w:rPr>
          <w:rFonts w:ascii="Garamond" w:hAnsi="Garamond" w:cs="Times New Roman"/>
          <w:sz w:val="22"/>
          <w:szCs w:val="22"/>
          <w:lang w:val="en-US"/>
        </w:rPr>
        <w:t xml:space="preserve">of </w:t>
      </w:r>
      <w:r w:rsidR="00FB1E10">
        <w:rPr>
          <w:rFonts w:ascii="Garamond" w:hAnsi="Garamond" w:cs="Times New Roman"/>
          <w:sz w:val="22"/>
          <w:szCs w:val="22"/>
          <w:lang w:val="en-US"/>
        </w:rPr>
        <w:t>Article 6(</w:t>
      </w:r>
      <w:r w:rsidR="00D01722" w:rsidRPr="00D822ED">
        <w:rPr>
          <w:rFonts w:ascii="Garamond" w:hAnsi="Garamond" w:cs="Times New Roman"/>
          <w:sz w:val="22"/>
          <w:szCs w:val="22"/>
          <w:lang w:val="en-US"/>
        </w:rPr>
        <w:t>1</w:t>
      </w:r>
      <w:r w:rsidR="00FB1E10">
        <w:rPr>
          <w:rFonts w:ascii="Garamond" w:hAnsi="Garamond" w:cs="Times New Roman"/>
          <w:sz w:val="22"/>
          <w:szCs w:val="22"/>
          <w:lang w:val="en-US"/>
        </w:rPr>
        <w:t>)</w:t>
      </w:r>
      <w:r w:rsidR="00D01722" w:rsidRPr="00D822ED">
        <w:rPr>
          <w:rFonts w:ascii="Garamond" w:hAnsi="Garamond" w:cs="Times New Roman"/>
          <w:sz w:val="22"/>
          <w:szCs w:val="22"/>
          <w:lang w:val="en-US"/>
        </w:rPr>
        <w:t xml:space="preserve"> of the Convention. </w:t>
      </w:r>
      <w:r w:rsidR="00244172" w:rsidRPr="00D822ED">
        <w:rPr>
          <w:rFonts w:ascii="Garamond" w:hAnsi="Garamond" w:cs="Times New Roman"/>
          <w:sz w:val="22"/>
          <w:szCs w:val="22"/>
        </w:rPr>
        <w:t>Moreover, the Court</w:t>
      </w:r>
      <w:r w:rsidR="00D01722" w:rsidRPr="00D822ED">
        <w:rPr>
          <w:rFonts w:ascii="Garamond" w:hAnsi="Garamond" w:cs="Times New Roman"/>
          <w:sz w:val="22"/>
          <w:szCs w:val="22"/>
        </w:rPr>
        <w:t xml:space="preserve"> expressed doubts as to the decision of the Disciplinary Chamber that there was a reasonable suspicion that the applicant had committed the offen</w:t>
      </w:r>
      <w:r w:rsidR="00981437">
        <w:rPr>
          <w:rFonts w:ascii="Garamond" w:hAnsi="Garamond" w:cs="Times New Roman"/>
          <w:sz w:val="22"/>
          <w:szCs w:val="22"/>
        </w:rPr>
        <w:t>s</w:t>
      </w:r>
      <w:r w:rsidR="00D01722" w:rsidRPr="00D822ED">
        <w:rPr>
          <w:rFonts w:ascii="Garamond" w:hAnsi="Garamond" w:cs="Times New Roman"/>
          <w:sz w:val="22"/>
          <w:szCs w:val="22"/>
        </w:rPr>
        <w:t>e referred to in Article 241</w:t>
      </w:r>
      <w:r w:rsidR="00FB1E10">
        <w:rPr>
          <w:rFonts w:ascii="Garamond" w:hAnsi="Garamond" w:cs="Times New Roman"/>
          <w:sz w:val="22"/>
          <w:szCs w:val="22"/>
        </w:rPr>
        <w:t>(</w:t>
      </w:r>
      <w:r w:rsidR="00D01722" w:rsidRPr="00D822ED">
        <w:rPr>
          <w:rFonts w:ascii="Garamond" w:hAnsi="Garamond" w:cs="Times New Roman"/>
          <w:sz w:val="22"/>
          <w:szCs w:val="22"/>
          <w:lang w:val="en-US"/>
        </w:rPr>
        <w:t>1</w:t>
      </w:r>
      <w:r w:rsidR="00FB1E10">
        <w:rPr>
          <w:rFonts w:ascii="Garamond" w:hAnsi="Garamond" w:cs="Times New Roman"/>
          <w:sz w:val="22"/>
          <w:szCs w:val="22"/>
          <w:lang w:val="en-US"/>
        </w:rPr>
        <w:t xml:space="preserve">) </w:t>
      </w:r>
      <w:r w:rsidR="00D01722" w:rsidRPr="00D822ED">
        <w:rPr>
          <w:rFonts w:ascii="Garamond" w:hAnsi="Garamond" w:cs="Times New Roman"/>
          <w:sz w:val="22"/>
          <w:szCs w:val="22"/>
        </w:rPr>
        <w:t xml:space="preserve">of the </w:t>
      </w:r>
      <w:r w:rsidR="00936740">
        <w:rPr>
          <w:rFonts w:ascii="Garamond" w:hAnsi="Garamond" w:cs="Times New Roman"/>
          <w:sz w:val="22"/>
          <w:szCs w:val="22"/>
        </w:rPr>
        <w:t>Criminal Code</w:t>
      </w:r>
      <w:r w:rsidR="00D01722" w:rsidRPr="00D822ED">
        <w:rPr>
          <w:rFonts w:ascii="Garamond" w:hAnsi="Garamond" w:cs="Times New Roman"/>
          <w:sz w:val="22"/>
          <w:szCs w:val="22"/>
        </w:rPr>
        <w:t>.</w:t>
      </w:r>
    </w:p>
    <w:p w14:paraId="078A8367" w14:textId="77777777" w:rsidR="00D822ED" w:rsidRPr="00D822ED" w:rsidRDefault="00D822ED" w:rsidP="00B536A8">
      <w:pPr>
        <w:spacing w:line="360" w:lineRule="auto"/>
        <w:jc w:val="both"/>
        <w:rPr>
          <w:rFonts w:ascii="Garamond" w:hAnsi="Garamond"/>
          <w:sz w:val="22"/>
          <w:szCs w:val="22"/>
        </w:rPr>
      </w:pPr>
    </w:p>
    <w:p w14:paraId="76F27D18" w14:textId="275607A6" w:rsidR="00117F90" w:rsidRDefault="00351D10" w:rsidP="00B536A8">
      <w:pPr>
        <w:spacing w:line="360" w:lineRule="auto"/>
        <w:jc w:val="both"/>
        <w:rPr>
          <w:rFonts w:ascii="Garamond" w:hAnsi="Garamond" w:cs="Times New Roman"/>
          <w:sz w:val="22"/>
          <w:szCs w:val="22"/>
          <w:lang w:val="en-US"/>
        </w:rPr>
      </w:pPr>
      <w:r w:rsidRPr="00D822ED">
        <w:rPr>
          <w:rFonts w:ascii="Garamond" w:hAnsi="Garamond" w:cs="Times New Roman"/>
          <w:sz w:val="22"/>
          <w:szCs w:val="22"/>
          <w:lang w:val="en-US"/>
        </w:rPr>
        <w:t>On the basis of the above, the EC</w:t>
      </w:r>
      <w:r w:rsidR="002F6D70">
        <w:rPr>
          <w:rFonts w:ascii="Garamond" w:hAnsi="Garamond" w:cs="Times New Roman"/>
          <w:sz w:val="22"/>
          <w:szCs w:val="22"/>
          <w:lang w:val="en-US"/>
        </w:rPr>
        <w:t>t</w:t>
      </w:r>
      <w:r w:rsidRPr="00D822ED">
        <w:rPr>
          <w:rFonts w:ascii="Garamond" w:hAnsi="Garamond" w:cs="Times New Roman"/>
          <w:sz w:val="22"/>
          <w:szCs w:val="22"/>
          <w:lang w:val="en-US"/>
        </w:rPr>
        <w:t xml:space="preserve">HR concluded that the measures leading to the lifting of the applicant's immunity could be regarded as a disguised sanction and that there is </w:t>
      </w:r>
      <w:r w:rsidRPr="0042136C">
        <w:rPr>
          <w:rFonts w:ascii="Garamond" w:hAnsi="Garamond" w:cs="Times New Roman"/>
          <w:i/>
          <w:sz w:val="22"/>
          <w:szCs w:val="22"/>
          <w:lang w:val="en-US"/>
        </w:rPr>
        <w:t>prima facie</w:t>
      </w:r>
      <w:r w:rsidRPr="00D822ED">
        <w:rPr>
          <w:rFonts w:ascii="Garamond" w:hAnsi="Garamond" w:cs="Times New Roman"/>
          <w:sz w:val="22"/>
          <w:szCs w:val="22"/>
          <w:lang w:val="en-US"/>
        </w:rPr>
        <w:t xml:space="preserve"> evidence of a causal link between the applicant's exercise of his freedom of expression and the decision of the Disciplinary Chamber of 18 November 20</w:t>
      </w:r>
      <w:r w:rsidR="0042136C">
        <w:rPr>
          <w:rFonts w:ascii="Garamond" w:hAnsi="Garamond" w:cs="Times New Roman"/>
          <w:sz w:val="22"/>
          <w:szCs w:val="22"/>
          <w:lang w:val="en-US"/>
        </w:rPr>
        <w:t>20</w:t>
      </w:r>
      <w:r w:rsidRPr="00D822ED">
        <w:rPr>
          <w:rFonts w:ascii="Garamond" w:hAnsi="Garamond" w:cs="Times New Roman"/>
          <w:sz w:val="22"/>
          <w:szCs w:val="22"/>
          <w:lang w:val="en-US"/>
        </w:rPr>
        <w:t xml:space="preserve">. </w:t>
      </w:r>
      <w:r w:rsidR="00BD4334" w:rsidRPr="00D822ED">
        <w:rPr>
          <w:rFonts w:ascii="Garamond" w:hAnsi="Garamond" w:cs="Times New Roman"/>
          <w:sz w:val="22"/>
          <w:szCs w:val="22"/>
          <w:lang w:val="en-US"/>
        </w:rPr>
        <w:t xml:space="preserve">The Court also considered relevant the existence of </w:t>
      </w:r>
      <w:r w:rsidR="00BD4334" w:rsidRPr="00326BE1">
        <w:rPr>
          <w:rFonts w:ascii="Garamond" w:hAnsi="Garamond" w:cs="Times New Roman"/>
          <w:sz w:val="22"/>
          <w:szCs w:val="22"/>
          <w:lang w:val="en-US"/>
        </w:rPr>
        <w:t>numerous documents indicating a widespread perception that such a causal link existed.</w:t>
      </w:r>
    </w:p>
    <w:p w14:paraId="4FB5EBE4" w14:textId="77777777" w:rsidR="00117F90" w:rsidRPr="00FB1E10" w:rsidRDefault="00117F90" w:rsidP="00B536A8">
      <w:pPr>
        <w:spacing w:line="360" w:lineRule="auto"/>
        <w:jc w:val="both"/>
        <w:rPr>
          <w:rFonts w:ascii="Garamond" w:hAnsi="Garamond" w:cs="Times New Roman"/>
          <w:sz w:val="22"/>
          <w:szCs w:val="22"/>
          <w:lang w:val="en-US"/>
        </w:rPr>
      </w:pPr>
    </w:p>
    <w:p w14:paraId="35F9E942" w14:textId="2439BB2C" w:rsidR="00DA1824" w:rsidRPr="00117F90" w:rsidRDefault="00A05282" w:rsidP="00B536A8">
      <w:pPr>
        <w:spacing w:line="360" w:lineRule="auto"/>
        <w:jc w:val="both"/>
        <w:rPr>
          <w:rFonts w:ascii="Garamond" w:hAnsi="Garamond" w:cs="Times New Roman"/>
          <w:sz w:val="22"/>
          <w:lang w:val="en-US"/>
        </w:rPr>
      </w:pPr>
      <w:r>
        <w:rPr>
          <w:rFonts w:ascii="Garamond" w:hAnsi="Garamond" w:cs="Times New Roman"/>
          <w:sz w:val="22"/>
          <w:lang w:val="en-US"/>
        </w:rPr>
        <w:t>T</w:t>
      </w:r>
      <w:r w:rsidR="00B7009F" w:rsidRPr="00FB1E10">
        <w:rPr>
          <w:rFonts w:ascii="Garamond" w:hAnsi="Garamond" w:cs="Times New Roman"/>
          <w:sz w:val="22"/>
          <w:lang w:val="en-US"/>
        </w:rPr>
        <w:t xml:space="preserve">he Court </w:t>
      </w:r>
      <w:r w:rsidR="00B7009F" w:rsidRPr="00326BE1">
        <w:rPr>
          <w:rFonts w:ascii="Garamond" w:hAnsi="Garamond" w:cs="Times New Roman"/>
          <w:sz w:val="22"/>
          <w:lang w:val="en-US"/>
        </w:rPr>
        <w:t>found that the measures in question were prompted by the views and criticisms which Mr Tuleya had publicly expressed in his professional capacity.</w:t>
      </w:r>
      <w:r w:rsidR="00791A65" w:rsidRPr="00326BE1">
        <w:rPr>
          <w:rFonts w:ascii="Garamond" w:hAnsi="Garamond" w:cs="Times New Roman"/>
          <w:sz w:val="22"/>
          <w:lang w:val="en-US"/>
        </w:rPr>
        <w:t xml:space="preserve"> In those circumstances, it remained to be considered whether the interference</w:t>
      </w:r>
      <w:r w:rsidR="002F6D70">
        <w:rPr>
          <w:rFonts w:ascii="Garamond" w:hAnsi="Garamond" w:cs="Times New Roman"/>
          <w:sz w:val="22"/>
          <w:lang w:val="en-US"/>
        </w:rPr>
        <w:t xml:space="preserve"> was justified under Article 10(</w:t>
      </w:r>
      <w:r w:rsidR="00791A65" w:rsidRPr="00326BE1">
        <w:rPr>
          <w:rFonts w:ascii="Garamond" w:hAnsi="Garamond" w:cs="Times New Roman"/>
          <w:sz w:val="22"/>
        </w:rPr>
        <w:t>2</w:t>
      </w:r>
      <w:r w:rsidR="002F6D70">
        <w:rPr>
          <w:rFonts w:ascii="Garamond" w:hAnsi="Garamond" w:cs="Times New Roman"/>
          <w:sz w:val="22"/>
        </w:rPr>
        <w:t>)</w:t>
      </w:r>
      <w:r w:rsidR="00DA1824" w:rsidRPr="00326BE1">
        <w:rPr>
          <w:rFonts w:ascii="Garamond" w:hAnsi="Garamond" w:cs="Times New Roman"/>
          <w:sz w:val="22"/>
          <w:lang w:val="en-US"/>
        </w:rPr>
        <w:t xml:space="preserve">, </w:t>
      </w:r>
      <w:r w:rsidR="004829F9" w:rsidRPr="00326BE1">
        <w:rPr>
          <w:rFonts w:ascii="Garamond" w:hAnsi="Garamond" w:cs="Times New Roman"/>
          <w:sz w:val="22"/>
          <w:lang w:val="en-US"/>
        </w:rPr>
        <w:t xml:space="preserve">i.e. whether it was "prescribed by law", pursued a "legitimate aim" and was "necessary in a democratic society" to achieve that aim or aims. </w:t>
      </w:r>
    </w:p>
    <w:p w14:paraId="2E12C7EF" w14:textId="77777777" w:rsidR="00791A65" w:rsidRPr="00326BE1" w:rsidRDefault="00791A65" w:rsidP="00B536A8">
      <w:pPr>
        <w:spacing w:line="360" w:lineRule="auto"/>
        <w:jc w:val="both"/>
        <w:rPr>
          <w:rFonts w:ascii="Garamond" w:hAnsi="Garamond"/>
          <w:sz w:val="22"/>
        </w:rPr>
      </w:pPr>
    </w:p>
    <w:p w14:paraId="393E6741" w14:textId="65EC1829" w:rsidR="00FA33AD" w:rsidRPr="008152CA" w:rsidRDefault="00791A65" w:rsidP="00B536A8">
      <w:pPr>
        <w:spacing w:line="360" w:lineRule="auto"/>
        <w:jc w:val="both"/>
        <w:rPr>
          <w:rFonts w:ascii="Garamond" w:hAnsi="Garamond"/>
          <w:sz w:val="22"/>
          <w:szCs w:val="22"/>
        </w:rPr>
      </w:pPr>
      <w:r w:rsidRPr="007E20AF">
        <w:rPr>
          <w:rFonts w:ascii="Garamond" w:hAnsi="Garamond" w:cs="Times New Roman"/>
          <w:sz w:val="22"/>
          <w:szCs w:val="22"/>
          <w:lang w:val="en-US"/>
        </w:rPr>
        <w:t xml:space="preserve">As regards the condition "prescribed by law", </w:t>
      </w:r>
      <w:r w:rsidR="004D0A69" w:rsidRPr="007E20AF">
        <w:rPr>
          <w:rFonts w:ascii="Garamond" w:hAnsi="Garamond" w:cs="Times New Roman"/>
          <w:sz w:val="22"/>
          <w:szCs w:val="22"/>
          <w:lang w:val="en-US"/>
        </w:rPr>
        <w:t xml:space="preserve">the </w:t>
      </w:r>
      <w:r w:rsidR="007C0A2E" w:rsidRPr="007E20AF">
        <w:rPr>
          <w:rFonts w:ascii="Garamond" w:hAnsi="Garamond" w:cs="Times New Roman"/>
          <w:sz w:val="22"/>
          <w:szCs w:val="22"/>
          <w:lang w:val="en-US"/>
        </w:rPr>
        <w:t>EC</w:t>
      </w:r>
      <w:r w:rsidR="002F6D70">
        <w:rPr>
          <w:rFonts w:ascii="Garamond" w:hAnsi="Garamond" w:cs="Times New Roman"/>
          <w:sz w:val="22"/>
          <w:szCs w:val="22"/>
          <w:lang w:val="en-US"/>
        </w:rPr>
        <w:t>t</w:t>
      </w:r>
      <w:r w:rsidR="007C0A2E" w:rsidRPr="007E20AF">
        <w:rPr>
          <w:rFonts w:ascii="Garamond" w:hAnsi="Garamond" w:cs="Times New Roman"/>
          <w:sz w:val="22"/>
          <w:szCs w:val="22"/>
          <w:lang w:val="en-US"/>
        </w:rPr>
        <w:t>HR</w:t>
      </w:r>
      <w:r w:rsidR="004D0A69" w:rsidRPr="007E20AF">
        <w:rPr>
          <w:rFonts w:ascii="Garamond" w:hAnsi="Garamond" w:cs="Times New Roman"/>
          <w:sz w:val="22"/>
          <w:szCs w:val="22"/>
          <w:lang w:val="en-US"/>
        </w:rPr>
        <w:t xml:space="preserve"> addressed separately </w:t>
      </w:r>
      <w:r w:rsidR="00FE7292">
        <w:rPr>
          <w:rFonts w:ascii="Garamond" w:hAnsi="Garamond" w:cs="Times New Roman"/>
          <w:sz w:val="22"/>
          <w:szCs w:val="22"/>
        </w:rPr>
        <w:t>three relevant</w:t>
      </w:r>
      <w:r w:rsidR="004D0A69" w:rsidRPr="007E20AF">
        <w:rPr>
          <w:rFonts w:ascii="Garamond" w:hAnsi="Garamond" w:cs="Times New Roman"/>
          <w:sz w:val="22"/>
          <w:szCs w:val="22"/>
        </w:rPr>
        <w:t xml:space="preserve"> preliminary inquiries and the Disciplinary Chamber’s resolution of 18 </w:t>
      </w:r>
      <w:r w:rsidR="004D0A69" w:rsidRPr="00FB1E10">
        <w:rPr>
          <w:rFonts w:ascii="Garamond" w:hAnsi="Garamond" w:cs="Times New Roman"/>
          <w:sz w:val="22"/>
          <w:szCs w:val="22"/>
        </w:rPr>
        <w:t>November 2020</w:t>
      </w:r>
      <w:r w:rsidR="00DE6451" w:rsidRPr="00FB1E10">
        <w:rPr>
          <w:rFonts w:ascii="Garamond" w:hAnsi="Garamond" w:cs="Times New Roman"/>
          <w:sz w:val="22"/>
          <w:szCs w:val="22"/>
        </w:rPr>
        <w:t xml:space="preserve">. </w:t>
      </w:r>
      <w:r w:rsidR="00326BE1" w:rsidRPr="00FB1E10">
        <w:rPr>
          <w:rFonts w:ascii="Garamond" w:hAnsi="Garamond" w:cs="Times New Roman"/>
          <w:sz w:val="22"/>
          <w:szCs w:val="22"/>
        </w:rPr>
        <w:t>With regard to the former,</w:t>
      </w:r>
      <w:r w:rsidR="008B03CD" w:rsidRPr="00FB1E10">
        <w:rPr>
          <w:rFonts w:ascii="Garamond" w:hAnsi="Garamond" w:cs="Times New Roman"/>
          <w:sz w:val="22"/>
          <w:szCs w:val="22"/>
        </w:rPr>
        <w:t xml:space="preserve"> as noted above,</w:t>
      </w:r>
      <w:r w:rsidR="00326BE1" w:rsidRPr="00FB1E10">
        <w:rPr>
          <w:rFonts w:ascii="Garamond" w:hAnsi="Garamond" w:cs="Times New Roman"/>
          <w:sz w:val="22"/>
          <w:szCs w:val="22"/>
        </w:rPr>
        <w:t xml:space="preserve"> </w:t>
      </w:r>
      <w:r w:rsidR="00E14760" w:rsidRPr="00FB1E10">
        <w:rPr>
          <w:rFonts w:ascii="Garamond" w:hAnsi="Garamond" w:cs="Times New Roman"/>
          <w:sz w:val="22"/>
          <w:szCs w:val="22"/>
        </w:rPr>
        <w:t>they related to</w:t>
      </w:r>
      <w:r w:rsidR="00326BE1" w:rsidRPr="00FB1E10">
        <w:rPr>
          <w:rFonts w:ascii="Garamond" w:hAnsi="Garamond" w:cs="Times New Roman"/>
          <w:sz w:val="22"/>
          <w:szCs w:val="22"/>
        </w:rPr>
        <w:t xml:space="preserve"> the applicant's statements in the media which allegedly disregarded the limits of judicial independence</w:t>
      </w:r>
      <w:r w:rsidR="00E14760" w:rsidRPr="00FB1E10">
        <w:rPr>
          <w:rFonts w:ascii="Garamond" w:hAnsi="Garamond" w:cs="Times New Roman"/>
          <w:sz w:val="22"/>
          <w:szCs w:val="22"/>
        </w:rPr>
        <w:t xml:space="preserve">. </w:t>
      </w:r>
      <w:r w:rsidR="00652088" w:rsidRPr="00FB1E10">
        <w:rPr>
          <w:rFonts w:ascii="Garamond" w:hAnsi="Garamond"/>
          <w:sz w:val="22"/>
          <w:szCs w:val="22"/>
          <w:lang w:val="en-US"/>
        </w:rPr>
        <w:t xml:space="preserve">The legal basis for the inquiries in question was section 114(1) of the 2001 Act. However, the Court found that there was a lack of minimum procedural safeguards, in particular the right to be informed </w:t>
      </w:r>
      <w:r w:rsidR="00652088" w:rsidRPr="007E20AF">
        <w:rPr>
          <w:rFonts w:ascii="Garamond" w:hAnsi="Garamond"/>
          <w:sz w:val="22"/>
          <w:szCs w:val="22"/>
          <w:lang w:val="en-US"/>
        </w:rPr>
        <w:t>of the termin</w:t>
      </w:r>
      <w:r w:rsidR="00E14760">
        <w:rPr>
          <w:rFonts w:ascii="Garamond" w:hAnsi="Garamond"/>
          <w:sz w:val="22"/>
          <w:szCs w:val="22"/>
          <w:lang w:val="en-US"/>
        </w:rPr>
        <w:t>ation of a preliminary inquiry.</w:t>
      </w:r>
      <w:r w:rsidR="00652088" w:rsidRPr="007E20AF">
        <w:rPr>
          <w:rFonts w:ascii="Garamond" w:hAnsi="Garamond"/>
          <w:sz w:val="22"/>
          <w:szCs w:val="22"/>
          <w:lang w:val="en-US"/>
        </w:rPr>
        <w:t xml:space="preserve"> In such a case, an inquiry may be used as a form of interference with the judge's freedom of expre</w:t>
      </w:r>
      <w:r w:rsidR="007C0A2E" w:rsidRPr="007E20AF">
        <w:rPr>
          <w:rFonts w:ascii="Garamond" w:hAnsi="Garamond"/>
          <w:sz w:val="22"/>
          <w:szCs w:val="22"/>
          <w:lang w:val="en-US"/>
        </w:rPr>
        <w:t>ssion. In view of this, the Court</w:t>
      </w:r>
      <w:r w:rsidR="00652088" w:rsidRPr="007E20AF">
        <w:rPr>
          <w:rFonts w:ascii="Garamond" w:hAnsi="Garamond"/>
          <w:sz w:val="22"/>
          <w:szCs w:val="22"/>
          <w:lang w:val="en-US"/>
        </w:rPr>
        <w:t xml:space="preserve"> found that the "quality of the law" requirements (which form part of the analysis under the "prescribed by law" condition) were not met</w:t>
      </w:r>
      <w:r w:rsidR="00A94DC2">
        <w:rPr>
          <w:rFonts w:ascii="Garamond" w:hAnsi="Garamond"/>
          <w:sz w:val="22"/>
          <w:szCs w:val="22"/>
          <w:lang w:val="en-US"/>
        </w:rPr>
        <w:t xml:space="preserve"> in this case</w:t>
      </w:r>
      <w:r w:rsidR="00652088" w:rsidRPr="007E20AF">
        <w:rPr>
          <w:rFonts w:ascii="Garamond" w:hAnsi="Garamond"/>
          <w:sz w:val="22"/>
          <w:szCs w:val="22"/>
          <w:lang w:val="en-US"/>
        </w:rPr>
        <w:t>.</w:t>
      </w:r>
      <w:r w:rsidR="007E20AF" w:rsidRPr="007E20AF">
        <w:rPr>
          <w:rFonts w:ascii="Garamond" w:hAnsi="Garamond" w:cs="Times New Roman"/>
          <w:sz w:val="22"/>
          <w:szCs w:val="22"/>
          <w:lang w:val="en-US"/>
        </w:rPr>
        <w:t xml:space="preserve"> </w:t>
      </w:r>
      <w:r w:rsidR="007C0A2E" w:rsidRPr="007E20AF">
        <w:rPr>
          <w:rFonts w:ascii="Garamond" w:hAnsi="Garamond"/>
          <w:sz w:val="22"/>
          <w:szCs w:val="22"/>
        </w:rPr>
        <w:t xml:space="preserve">With regard to the decision of the Disciplinary Chamber lifting the applicant's immunity and suspending </w:t>
      </w:r>
      <w:r w:rsidR="00E14760">
        <w:rPr>
          <w:rFonts w:ascii="Garamond" w:hAnsi="Garamond"/>
          <w:sz w:val="22"/>
          <w:szCs w:val="22"/>
        </w:rPr>
        <w:t>Mr Tuleya</w:t>
      </w:r>
      <w:r w:rsidR="007C0A2E" w:rsidRPr="007E20AF">
        <w:rPr>
          <w:rFonts w:ascii="Garamond" w:hAnsi="Garamond"/>
          <w:sz w:val="22"/>
          <w:szCs w:val="22"/>
        </w:rPr>
        <w:t xml:space="preserve"> from judicial duties, the EC</w:t>
      </w:r>
      <w:r w:rsidR="002F6D70">
        <w:rPr>
          <w:rFonts w:ascii="Garamond" w:hAnsi="Garamond"/>
          <w:sz w:val="22"/>
          <w:szCs w:val="22"/>
        </w:rPr>
        <w:t>t</w:t>
      </w:r>
      <w:r w:rsidR="007C0A2E" w:rsidRPr="007E20AF">
        <w:rPr>
          <w:rFonts w:ascii="Garamond" w:hAnsi="Garamond"/>
          <w:sz w:val="22"/>
          <w:szCs w:val="22"/>
        </w:rPr>
        <w:t xml:space="preserve">HR </w:t>
      </w:r>
      <w:r w:rsidR="00A94DC2">
        <w:rPr>
          <w:rFonts w:ascii="Garamond" w:hAnsi="Garamond"/>
          <w:sz w:val="22"/>
          <w:szCs w:val="22"/>
        </w:rPr>
        <w:t>stated</w:t>
      </w:r>
      <w:r w:rsidR="007C0A2E" w:rsidRPr="007E20AF">
        <w:rPr>
          <w:rFonts w:ascii="Garamond" w:hAnsi="Garamond"/>
          <w:sz w:val="22"/>
          <w:szCs w:val="22"/>
        </w:rPr>
        <w:t xml:space="preserve"> that the decision in question was not taken by a "court" </w:t>
      </w:r>
      <w:r w:rsidR="007E20AF" w:rsidRPr="007E20AF">
        <w:rPr>
          <w:rFonts w:ascii="Garamond" w:hAnsi="Garamond"/>
          <w:sz w:val="22"/>
          <w:szCs w:val="22"/>
        </w:rPr>
        <w:t>for the purposes</w:t>
      </w:r>
      <w:r w:rsidR="00A579B9">
        <w:rPr>
          <w:rFonts w:ascii="Garamond" w:hAnsi="Garamond"/>
          <w:sz w:val="22"/>
          <w:szCs w:val="22"/>
        </w:rPr>
        <w:t xml:space="preserve"> of the Convention</w:t>
      </w:r>
      <w:r w:rsidR="0051378C" w:rsidRPr="0051378C">
        <w:rPr>
          <w:rFonts w:ascii="Garamond" w:hAnsi="Garamond"/>
          <w:sz w:val="22"/>
          <w:szCs w:val="22"/>
        </w:rPr>
        <w:t>, although under Articles 181 and 180(2) of the Polish Constitution such a de</w:t>
      </w:r>
      <w:r w:rsidR="0051378C">
        <w:rPr>
          <w:rFonts w:ascii="Garamond" w:hAnsi="Garamond"/>
          <w:sz w:val="22"/>
          <w:szCs w:val="22"/>
        </w:rPr>
        <w:t>cision must be taken by a court</w:t>
      </w:r>
      <w:r w:rsidR="001038A8" w:rsidRPr="008152CA">
        <w:rPr>
          <w:rFonts w:ascii="Garamond" w:hAnsi="Garamond"/>
          <w:sz w:val="22"/>
          <w:szCs w:val="22"/>
        </w:rPr>
        <w:t>.</w:t>
      </w:r>
      <w:r w:rsidR="007E20AF" w:rsidRPr="008152CA">
        <w:rPr>
          <w:rFonts w:ascii="Garamond" w:hAnsi="Garamond"/>
          <w:sz w:val="22"/>
          <w:szCs w:val="22"/>
        </w:rPr>
        <w:t xml:space="preserve"> </w:t>
      </w:r>
      <w:r w:rsidR="00FA33AD" w:rsidRPr="008152CA">
        <w:rPr>
          <w:rFonts w:ascii="Garamond" w:hAnsi="Garamond"/>
          <w:sz w:val="22"/>
          <w:szCs w:val="22"/>
          <w:lang w:val="en-US"/>
        </w:rPr>
        <w:t xml:space="preserve">In view of the </w:t>
      </w:r>
      <w:r w:rsidR="007E20AF" w:rsidRPr="008152CA">
        <w:rPr>
          <w:rFonts w:ascii="Garamond" w:hAnsi="Garamond"/>
          <w:sz w:val="22"/>
          <w:szCs w:val="22"/>
          <w:lang w:val="en-US"/>
        </w:rPr>
        <w:t xml:space="preserve">above, the impugned measure was recognized </w:t>
      </w:r>
      <w:r w:rsidR="007E20AF" w:rsidRPr="008152CA">
        <w:rPr>
          <w:rFonts w:ascii="Garamond" w:hAnsi="Garamond"/>
          <w:sz w:val="22"/>
          <w:szCs w:val="22"/>
        </w:rPr>
        <w:t xml:space="preserve">not </w:t>
      </w:r>
      <w:r w:rsidR="002F6D70" w:rsidRPr="007E20AF">
        <w:rPr>
          <w:rFonts w:ascii="Garamond" w:hAnsi="Garamond"/>
          <w:sz w:val="22"/>
          <w:szCs w:val="22"/>
        </w:rPr>
        <w:t>"</w:t>
      </w:r>
      <w:r w:rsidR="007E20AF" w:rsidRPr="008152CA">
        <w:rPr>
          <w:rFonts w:ascii="Garamond" w:hAnsi="Garamond"/>
          <w:sz w:val="22"/>
          <w:szCs w:val="22"/>
        </w:rPr>
        <w:t>prescribed by law</w:t>
      </w:r>
      <w:r w:rsidR="002F6D70" w:rsidRPr="008C42B5">
        <w:rPr>
          <w:rFonts w:ascii="Garamond" w:hAnsi="Garamond"/>
          <w:sz w:val="22"/>
          <w:lang w:val="en-US"/>
        </w:rPr>
        <w:t>"</w:t>
      </w:r>
      <w:r w:rsidR="007E20AF" w:rsidRPr="008152CA">
        <w:rPr>
          <w:rFonts w:ascii="Garamond" w:hAnsi="Garamond"/>
          <w:sz w:val="22"/>
          <w:szCs w:val="22"/>
        </w:rPr>
        <w:t xml:space="preserve">. </w:t>
      </w:r>
    </w:p>
    <w:p w14:paraId="3008E9CD" w14:textId="77777777" w:rsidR="000A183B" w:rsidRPr="008152CA" w:rsidRDefault="000A183B" w:rsidP="00B536A8">
      <w:pPr>
        <w:spacing w:line="360" w:lineRule="auto"/>
        <w:jc w:val="both"/>
        <w:rPr>
          <w:rFonts w:ascii="Garamond" w:hAnsi="Garamond"/>
          <w:sz w:val="22"/>
          <w:szCs w:val="22"/>
        </w:rPr>
      </w:pPr>
    </w:p>
    <w:p w14:paraId="7D8A0413" w14:textId="40B48E90" w:rsidR="00781D4C" w:rsidRDefault="00446F0A" w:rsidP="00B536A8">
      <w:pPr>
        <w:spacing w:line="360" w:lineRule="auto"/>
        <w:jc w:val="both"/>
        <w:rPr>
          <w:rFonts w:ascii="Garamond" w:hAnsi="Garamond"/>
          <w:sz w:val="22"/>
          <w:szCs w:val="22"/>
          <w:lang w:val="en-US"/>
        </w:rPr>
      </w:pPr>
      <w:r w:rsidRPr="008152CA">
        <w:rPr>
          <w:rFonts w:ascii="Garamond" w:hAnsi="Garamond"/>
          <w:sz w:val="22"/>
          <w:szCs w:val="22"/>
        </w:rPr>
        <w:t xml:space="preserve">Notwithstanding the fact that the first criterion of the tripartite test was not met, the Court also considered it important to </w:t>
      </w:r>
      <w:r w:rsidR="008152CA">
        <w:rPr>
          <w:rFonts w:ascii="Garamond" w:hAnsi="Garamond"/>
          <w:sz w:val="22"/>
          <w:szCs w:val="22"/>
        </w:rPr>
        <w:t xml:space="preserve">present the </w:t>
      </w:r>
      <w:r w:rsidR="007C5E9C">
        <w:rPr>
          <w:rFonts w:ascii="Garamond" w:hAnsi="Garamond"/>
          <w:sz w:val="22"/>
          <w:szCs w:val="22"/>
        </w:rPr>
        <w:t>reasoning</w:t>
      </w:r>
      <w:r w:rsidR="008152CA">
        <w:rPr>
          <w:rFonts w:ascii="Garamond" w:hAnsi="Garamond"/>
          <w:sz w:val="22"/>
          <w:szCs w:val="22"/>
        </w:rPr>
        <w:t xml:space="preserve"> concerning </w:t>
      </w:r>
      <w:r w:rsidR="008152CA" w:rsidRPr="00FB1E10">
        <w:rPr>
          <w:rFonts w:ascii="Garamond" w:hAnsi="Garamond"/>
          <w:sz w:val="22"/>
          <w:szCs w:val="22"/>
        </w:rPr>
        <w:t xml:space="preserve">the second </w:t>
      </w:r>
      <w:r w:rsidR="007C5E9C" w:rsidRPr="00FB1E10">
        <w:rPr>
          <w:rFonts w:ascii="Garamond" w:hAnsi="Garamond"/>
          <w:sz w:val="22"/>
          <w:szCs w:val="22"/>
        </w:rPr>
        <w:t>criterion</w:t>
      </w:r>
      <w:r w:rsidR="008152CA" w:rsidRPr="00FB1E10">
        <w:rPr>
          <w:rFonts w:ascii="Garamond" w:hAnsi="Garamond"/>
          <w:sz w:val="22"/>
          <w:szCs w:val="22"/>
        </w:rPr>
        <w:t>, i.e.</w:t>
      </w:r>
      <w:r w:rsidRPr="00FB1E10">
        <w:rPr>
          <w:rFonts w:ascii="Garamond" w:hAnsi="Garamond"/>
          <w:sz w:val="22"/>
          <w:szCs w:val="22"/>
        </w:rPr>
        <w:t xml:space="preserve"> whether the interference pursued one of the legitimate aims referred to in Article 10(2). </w:t>
      </w:r>
      <w:r w:rsidRPr="00FB1E10">
        <w:rPr>
          <w:rFonts w:ascii="Garamond" w:hAnsi="Garamond"/>
          <w:sz w:val="22"/>
          <w:szCs w:val="22"/>
          <w:lang w:val="en-US"/>
        </w:rPr>
        <w:t>According to the Government</w:t>
      </w:r>
      <w:r w:rsidR="00F605C5" w:rsidRPr="00FB1E10">
        <w:rPr>
          <w:rFonts w:ascii="Garamond" w:hAnsi="Garamond"/>
          <w:sz w:val="22"/>
          <w:szCs w:val="22"/>
          <w:lang w:val="en-US"/>
        </w:rPr>
        <w:t>,</w:t>
      </w:r>
      <w:r w:rsidRPr="00FB1E10">
        <w:rPr>
          <w:rFonts w:ascii="Garamond" w:hAnsi="Garamond"/>
          <w:sz w:val="22"/>
          <w:szCs w:val="22"/>
          <w:lang w:val="en-US"/>
        </w:rPr>
        <w:t xml:space="preserve"> the impugned measures </w:t>
      </w:r>
      <w:r w:rsidRPr="00FB1E10">
        <w:rPr>
          <w:rFonts w:ascii="Garamond" w:hAnsi="Garamond"/>
          <w:sz w:val="22"/>
          <w:szCs w:val="22"/>
        </w:rPr>
        <w:t xml:space="preserve">pursued the legitimate aims of the prevention of crime and the protection of the reputation of others as well as preventing the disclosure of information received in confidence and maintaining the authority and impartiality of the judiciary. </w:t>
      </w:r>
      <w:r w:rsidR="008152CA" w:rsidRPr="00FB1E10">
        <w:rPr>
          <w:rFonts w:ascii="Garamond" w:hAnsi="Garamond"/>
          <w:sz w:val="22"/>
          <w:szCs w:val="22"/>
          <w:lang w:val="en-US"/>
        </w:rPr>
        <w:t xml:space="preserve">For its part, the Court pointed to the role of Mr Tuleya as one of the most emblematic </w:t>
      </w:r>
      <w:r w:rsidR="008152CA" w:rsidRPr="008152CA">
        <w:rPr>
          <w:rFonts w:ascii="Garamond" w:hAnsi="Garamond"/>
          <w:sz w:val="22"/>
          <w:szCs w:val="22"/>
          <w:lang w:val="en-US"/>
        </w:rPr>
        <w:t xml:space="preserve">defenders of the rule of law in Poland, </w:t>
      </w:r>
      <w:r w:rsidR="00151168" w:rsidRPr="008152CA">
        <w:rPr>
          <w:rFonts w:ascii="Garamond" w:hAnsi="Garamond"/>
          <w:sz w:val="22"/>
          <w:szCs w:val="22"/>
        </w:rPr>
        <w:t>whose statements presented str</w:t>
      </w:r>
      <w:r w:rsidR="00DA791E">
        <w:rPr>
          <w:rFonts w:ascii="Garamond" w:hAnsi="Garamond"/>
          <w:sz w:val="22"/>
          <w:szCs w:val="22"/>
        </w:rPr>
        <w:t>ictly professional perspective.</w:t>
      </w:r>
      <w:r w:rsidR="008152CA" w:rsidRPr="008152CA">
        <w:rPr>
          <w:rFonts w:ascii="Garamond" w:hAnsi="Garamond"/>
          <w:sz w:val="22"/>
          <w:szCs w:val="22"/>
        </w:rPr>
        <w:t xml:space="preserve"> According to the EC</w:t>
      </w:r>
      <w:r w:rsidR="002F6D70">
        <w:rPr>
          <w:rFonts w:ascii="Garamond" w:hAnsi="Garamond"/>
          <w:sz w:val="22"/>
          <w:szCs w:val="22"/>
        </w:rPr>
        <w:t>t</w:t>
      </w:r>
      <w:r w:rsidR="008152CA" w:rsidRPr="008152CA">
        <w:rPr>
          <w:rFonts w:ascii="Garamond" w:hAnsi="Garamond"/>
          <w:sz w:val="22"/>
          <w:szCs w:val="22"/>
        </w:rPr>
        <w:t>HR</w:t>
      </w:r>
      <w:r w:rsidR="00F605C5">
        <w:rPr>
          <w:rFonts w:ascii="Garamond" w:hAnsi="Garamond"/>
          <w:sz w:val="22"/>
          <w:szCs w:val="22"/>
        </w:rPr>
        <w:t xml:space="preserve">: </w:t>
      </w:r>
      <w:r w:rsidR="002F6D70" w:rsidRPr="007E20AF">
        <w:rPr>
          <w:rFonts w:ascii="Garamond" w:hAnsi="Garamond"/>
          <w:sz w:val="22"/>
          <w:szCs w:val="22"/>
        </w:rPr>
        <w:t>"</w:t>
      </w:r>
      <w:r w:rsidRPr="008152CA">
        <w:rPr>
          <w:rFonts w:ascii="Garamond" w:hAnsi="Garamond"/>
          <w:sz w:val="22"/>
          <w:szCs w:val="22"/>
        </w:rPr>
        <w:t xml:space="preserve">Having regard to the circumstances of the present case, it appears that the measures taken by the authorities could be characterised as a strategy aimed at intimidating (or even silencing) the applicant in connection with the views that he had expressed in defence of the rule of law and judicial independence. The Court considers that the impugned measures undoubtedly had a </w:t>
      </w:r>
      <w:r w:rsidR="008152CA" w:rsidRPr="008152CA">
        <w:rPr>
          <w:rFonts w:ascii="Garamond" w:hAnsi="Garamond"/>
          <w:sz w:val="22"/>
          <w:szCs w:val="22"/>
        </w:rPr>
        <w:t>«</w:t>
      </w:r>
      <w:r w:rsidRPr="008152CA">
        <w:rPr>
          <w:rFonts w:ascii="Garamond" w:hAnsi="Garamond"/>
          <w:sz w:val="22"/>
          <w:szCs w:val="22"/>
        </w:rPr>
        <w:t>chilling effect</w:t>
      </w:r>
      <w:r w:rsidR="008152CA" w:rsidRPr="008152CA">
        <w:rPr>
          <w:rFonts w:ascii="Garamond" w:hAnsi="Garamond"/>
          <w:sz w:val="22"/>
          <w:szCs w:val="22"/>
        </w:rPr>
        <w:t>»</w:t>
      </w:r>
      <w:r w:rsidRPr="008152CA">
        <w:rPr>
          <w:rFonts w:ascii="Garamond" w:hAnsi="Garamond"/>
          <w:sz w:val="22"/>
          <w:szCs w:val="22"/>
        </w:rPr>
        <w:t xml:space="preserve"> in that they must have discouraged not only the applicant but also other judges from participating in public debate on legislative reforms affecting the judiciary and more generally on issues concerning the independence of the judiciary (see Baka, § 173; Kövesi, § 209; and Żurek, § 227, all cited above)</w:t>
      </w:r>
      <w:r w:rsidR="002F6D70" w:rsidRPr="008C42B5">
        <w:rPr>
          <w:rFonts w:ascii="Garamond" w:hAnsi="Garamond"/>
          <w:sz w:val="22"/>
          <w:lang w:val="en-US"/>
        </w:rPr>
        <w:t>"</w:t>
      </w:r>
      <w:r w:rsidR="009C1801">
        <w:rPr>
          <w:rFonts w:ascii="Garamond" w:hAnsi="Garamond"/>
          <w:sz w:val="22"/>
          <w:szCs w:val="22"/>
        </w:rPr>
        <w:t xml:space="preserve"> (</w:t>
      </w:r>
      <w:r w:rsidR="002F6D70">
        <w:rPr>
          <w:rFonts w:ascii="Garamond" w:hAnsi="Garamond"/>
          <w:sz w:val="22"/>
          <w:szCs w:val="22"/>
        </w:rPr>
        <w:t>para.</w:t>
      </w:r>
      <w:r w:rsidR="009C1801">
        <w:rPr>
          <w:rFonts w:ascii="Garamond" w:hAnsi="Garamond"/>
          <w:sz w:val="22"/>
          <w:szCs w:val="22"/>
        </w:rPr>
        <w:t xml:space="preserve"> 544).</w:t>
      </w:r>
      <w:r w:rsidR="003B390A">
        <w:rPr>
          <w:rFonts w:ascii="Garamond" w:hAnsi="Garamond"/>
          <w:sz w:val="22"/>
          <w:szCs w:val="22"/>
        </w:rPr>
        <w:t xml:space="preserve"> </w:t>
      </w:r>
      <w:r w:rsidR="00F605C5" w:rsidRPr="003B390A">
        <w:rPr>
          <w:rFonts w:ascii="Garamond" w:hAnsi="Garamond"/>
          <w:sz w:val="22"/>
          <w:szCs w:val="22"/>
        </w:rPr>
        <w:t xml:space="preserve">Additionally, the Court stressed that </w:t>
      </w:r>
      <w:r w:rsidR="00F605C5" w:rsidRPr="003B390A">
        <w:rPr>
          <w:rFonts w:ascii="Garamond" w:hAnsi="Garamond" w:cs="Times New Roman"/>
          <w:sz w:val="22"/>
          <w:szCs w:val="22"/>
        </w:rPr>
        <w:t>the Disciplinary Chamber’s resolution of 18 November 2020</w:t>
      </w:r>
      <w:r w:rsidR="009C1801" w:rsidRPr="003B390A">
        <w:rPr>
          <w:rFonts w:ascii="Garamond" w:hAnsi="Garamond" w:cs="Times New Roman"/>
          <w:sz w:val="22"/>
          <w:szCs w:val="22"/>
        </w:rPr>
        <w:t xml:space="preserve"> </w:t>
      </w:r>
      <w:r w:rsidR="003B390A" w:rsidRPr="003B390A">
        <w:rPr>
          <w:rFonts w:ascii="Garamond" w:hAnsi="Garamond" w:cs="Times New Roman"/>
          <w:sz w:val="22"/>
          <w:szCs w:val="22"/>
        </w:rPr>
        <w:t xml:space="preserve">was made </w:t>
      </w:r>
      <w:r w:rsidR="003B390A" w:rsidRPr="003B390A">
        <w:rPr>
          <w:rFonts w:ascii="Garamond" w:hAnsi="Garamond"/>
          <w:sz w:val="22"/>
          <w:szCs w:val="22"/>
        </w:rPr>
        <w:t>in connection with an act intrinsically linked to the exercise of judicial functions (i.e. adjudication), which undermines the role of judges in a democratic society.</w:t>
      </w:r>
      <w:r w:rsidR="00BF7B2E">
        <w:rPr>
          <w:rFonts w:ascii="Garamond" w:hAnsi="Garamond"/>
          <w:sz w:val="22"/>
          <w:szCs w:val="22"/>
        </w:rPr>
        <w:t xml:space="preserve"> </w:t>
      </w:r>
      <w:r w:rsidR="00BF7B2E" w:rsidRPr="00BF7B2E">
        <w:rPr>
          <w:rFonts w:ascii="Garamond" w:hAnsi="Garamond"/>
          <w:sz w:val="22"/>
          <w:szCs w:val="22"/>
          <w:lang w:val="en-US"/>
        </w:rPr>
        <w:t>Accordingly, the Court concluded that, in addition to failing to meet the requirement of being "prescribed by law", the contested measure did not pursue any of the legitimate aims permitted.</w:t>
      </w:r>
      <w:r w:rsidR="00781D4C">
        <w:rPr>
          <w:rFonts w:ascii="Garamond" w:hAnsi="Garamond"/>
          <w:sz w:val="22"/>
          <w:szCs w:val="22"/>
          <w:lang w:val="en-US"/>
        </w:rPr>
        <w:t xml:space="preserve"> </w:t>
      </w:r>
      <w:r w:rsidR="00A52203" w:rsidRPr="00A52203">
        <w:rPr>
          <w:rFonts w:ascii="Garamond" w:hAnsi="Garamond"/>
          <w:sz w:val="22"/>
          <w:szCs w:val="22"/>
          <w:lang w:val="en-US"/>
        </w:rPr>
        <w:t>The EC</w:t>
      </w:r>
      <w:r w:rsidR="002F6D70">
        <w:rPr>
          <w:rFonts w:ascii="Garamond" w:hAnsi="Garamond"/>
          <w:sz w:val="22"/>
          <w:szCs w:val="22"/>
          <w:lang w:val="en-US"/>
        </w:rPr>
        <w:t>t</w:t>
      </w:r>
      <w:r w:rsidR="00A52203" w:rsidRPr="00A52203">
        <w:rPr>
          <w:rFonts w:ascii="Garamond" w:hAnsi="Garamond"/>
          <w:sz w:val="22"/>
          <w:szCs w:val="22"/>
          <w:lang w:val="en-US"/>
        </w:rPr>
        <w:t>HR held, unanimously, that there has b</w:t>
      </w:r>
      <w:r w:rsidR="00781D4C">
        <w:rPr>
          <w:rFonts w:ascii="Garamond" w:hAnsi="Garamond"/>
          <w:sz w:val="22"/>
          <w:szCs w:val="22"/>
          <w:lang w:val="en-US"/>
        </w:rPr>
        <w:t>een a violation of Article 10.</w:t>
      </w:r>
    </w:p>
    <w:p w14:paraId="3C37581C" w14:textId="77777777" w:rsidR="00781D4C" w:rsidRDefault="00781D4C" w:rsidP="00B536A8">
      <w:pPr>
        <w:spacing w:line="360" w:lineRule="auto"/>
        <w:jc w:val="both"/>
        <w:rPr>
          <w:rFonts w:ascii="Garamond" w:hAnsi="Garamond"/>
          <w:sz w:val="22"/>
          <w:szCs w:val="22"/>
          <w:lang w:val="en-US"/>
        </w:rPr>
      </w:pPr>
    </w:p>
    <w:p w14:paraId="2193397C" w14:textId="2E216B38" w:rsidR="006C3A7A" w:rsidRPr="00781D4C" w:rsidRDefault="00A72827" w:rsidP="00B536A8">
      <w:pPr>
        <w:spacing w:line="360" w:lineRule="auto"/>
        <w:jc w:val="both"/>
        <w:rPr>
          <w:rFonts w:ascii="Garamond" w:hAnsi="Garamond"/>
          <w:sz w:val="22"/>
          <w:szCs w:val="22"/>
        </w:rPr>
      </w:pPr>
      <w:r w:rsidRPr="00A72827">
        <w:rPr>
          <w:rFonts w:ascii="Garamond" w:hAnsi="Garamond"/>
          <w:sz w:val="22"/>
          <w:szCs w:val="22"/>
          <w:lang w:val="en-US"/>
        </w:rPr>
        <w:t xml:space="preserve">Judge Wojtyczek issued a partly dissenting opinion. </w:t>
      </w:r>
      <w:r w:rsidR="00D17E6D" w:rsidRPr="00D17E6D">
        <w:rPr>
          <w:rFonts w:ascii="Garamond" w:hAnsi="Garamond"/>
          <w:sz w:val="22"/>
          <w:szCs w:val="22"/>
        </w:rPr>
        <w:t>Although he challenged the majority opinion on the allegations relating to Art</w:t>
      </w:r>
      <w:r w:rsidR="00F730FB">
        <w:rPr>
          <w:rFonts w:ascii="Garamond" w:hAnsi="Garamond"/>
          <w:sz w:val="22"/>
          <w:szCs w:val="22"/>
        </w:rPr>
        <w:t>icle</w:t>
      </w:r>
      <w:r w:rsidR="00D17E6D" w:rsidRPr="00D17E6D">
        <w:rPr>
          <w:rFonts w:ascii="Garamond" w:hAnsi="Garamond"/>
          <w:sz w:val="22"/>
          <w:szCs w:val="22"/>
        </w:rPr>
        <w:t xml:space="preserve"> 6 and</w:t>
      </w:r>
      <w:r w:rsidR="00F730FB">
        <w:rPr>
          <w:rFonts w:ascii="Garamond" w:hAnsi="Garamond"/>
          <w:sz w:val="22"/>
          <w:szCs w:val="22"/>
        </w:rPr>
        <w:t xml:space="preserve"> Article</w:t>
      </w:r>
      <w:r w:rsidR="00D17E6D" w:rsidRPr="00D17E6D">
        <w:rPr>
          <w:rFonts w:ascii="Garamond" w:hAnsi="Garamond"/>
          <w:sz w:val="22"/>
          <w:szCs w:val="22"/>
        </w:rPr>
        <w:t xml:space="preserve"> 8, not</w:t>
      </w:r>
      <w:r w:rsidR="00F730FB">
        <w:rPr>
          <w:rFonts w:ascii="Garamond" w:hAnsi="Garamond"/>
          <w:sz w:val="22"/>
          <w:szCs w:val="22"/>
        </w:rPr>
        <w:t xml:space="preserve"> Article</w:t>
      </w:r>
      <w:r w:rsidR="00D17E6D" w:rsidRPr="00D17E6D">
        <w:rPr>
          <w:rFonts w:ascii="Garamond" w:hAnsi="Garamond"/>
          <w:sz w:val="22"/>
          <w:szCs w:val="22"/>
        </w:rPr>
        <w:t xml:space="preserve"> 10, </w:t>
      </w:r>
      <w:r w:rsidR="00E64934">
        <w:rPr>
          <w:rFonts w:ascii="Garamond" w:hAnsi="Garamond"/>
          <w:sz w:val="22"/>
          <w:szCs w:val="22"/>
        </w:rPr>
        <w:t>his position</w:t>
      </w:r>
      <w:r w:rsidR="00D17E6D" w:rsidRPr="00D17E6D">
        <w:rPr>
          <w:rFonts w:ascii="Garamond" w:hAnsi="Garamond"/>
          <w:sz w:val="22"/>
          <w:szCs w:val="22"/>
        </w:rPr>
        <w:t xml:space="preserve"> provides some insights into freedom of expression.</w:t>
      </w:r>
      <w:r w:rsidR="00D17E6D">
        <w:rPr>
          <w:rFonts w:ascii="Garamond" w:hAnsi="Garamond"/>
          <w:sz w:val="22"/>
          <w:szCs w:val="22"/>
        </w:rPr>
        <w:t xml:space="preserve"> </w:t>
      </w:r>
      <w:r w:rsidR="00D17E6D" w:rsidRPr="00D17E6D">
        <w:rPr>
          <w:rFonts w:ascii="Garamond" w:hAnsi="Garamond"/>
          <w:sz w:val="22"/>
          <w:szCs w:val="22"/>
        </w:rPr>
        <w:t>According to Judge Wojtyczek, the foreseeability of interference with freedom of expression was indeed one of the main problems in this case.</w:t>
      </w:r>
      <w:r w:rsidR="002C1440">
        <w:rPr>
          <w:rFonts w:ascii="Garamond" w:hAnsi="Garamond"/>
          <w:sz w:val="22"/>
          <w:szCs w:val="22"/>
        </w:rPr>
        <w:t xml:space="preserve"> However, t</w:t>
      </w:r>
      <w:r w:rsidR="00D17E6D" w:rsidRPr="00D17E6D">
        <w:rPr>
          <w:rFonts w:ascii="Garamond" w:hAnsi="Garamond"/>
          <w:sz w:val="22"/>
          <w:szCs w:val="22"/>
        </w:rPr>
        <w:t xml:space="preserve">he author of the partly dissenting opinion also noted that Article 7 and the paremia </w:t>
      </w:r>
      <w:r w:rsidR="00D17E6D" w:rsidRPr="00D17E6D">
        <w:rPr>
          <w:rFonts w:ascii="Garamond" w:hAnsi="Garamond"/>
          <w:i/>
          <w:sz w:val="22"/>
          <w:szCs w:val="22"/>
        </w:rPr>
        <w:t>nullum crimen sine lege</w:t>
      </w:r>
      <w:r w:rsidR="00D17E6D" w:rsidRPr="00D17E6D">
        <w:rPr>
          <w:rFonts w:ascii="Garamond" w:hAnsi="Garamond"/>
          <w:sz w:val="22"/>
          <w:szCs w:val="22"/>
        </w:rPr>
        <w:t xml:space="preserve"> were highly relevant. In his view: </w:t>
      </w:r>
      <w:r w:rsidR="002F6D70" w:rsidRPr="007E20AF">
        <w:rPr>
          <w:rFonts w:ascii="Garamond" w:hAnsi="Garamond"/>
          <w:sz w:val="22"/>
          <w:szCs w:val="22"/>
        </w:rPr>
        <w:t>"</w:t>
      </w:r>
      <w:r w:rsidR="000810E8" w:rsidRPr="00D17E6D">
        <w:rPr>
          <w:rFonts w:ascii="Garamond" w:hAnsi="Garamond"/>
          <w:sz w:val="22"/>
          <w:szCs w:val="22"/>
        </w:rPr>
        <w:t>Given the specific circumstances of the case, instead of relying separately on Article 8 and Article 10 in the assessment of the same problem, it would have been preferable to address the relevant issues under Article 10 read in the light of Article 7. The Court could also have decided to reclassify the applicant’s complaints as being under Article 7 taken alone</w:t>
      </w:r>
      <w:r w:rsidR="002F6D70" w:rsidRPr="008C42B5">
        <w:rPr>
          <w:rFonts w:ascii="Garamond" w:hAnsi="Garamond"/>
          <w:sz w:val="22"/>
          <w:lang w:val="en-US"/>
        </w:rPr>
        <w:t>"</w:t>
      </w:r>
      <w:r w:rsidR="000810E8" w:rsidRPr="00D17E6D">
        <w:rPr>
          <w:rFonts w:ascii="Garamond" w:hAnsi="Garamond"/>
          <w:sz w:val="22"/>
          <w:szCs w:val="22"/>
        </w:rPr>
        <w:t xml:space="preserve"> (</w:t>
      </w:r>
      <w:r w:rsidR="002F6D70">
        <w:rPr>
          <w:rFonts w:ascii="Garamond" w:hAnsi="Garamond"/>
          <w:sz w:val="22"/>
          <w:szCs w:val="22"/>
        </w:rPr>
        <w:t xml:space="preserve">para. </w:t>
      </w:r>
      <w:r w:rsidR="000810E8" w:rsidRPr="00D17E6D">
        <w:rPr>
          <w:rFonts w:ascii="Garamond" w:hAnsi="Garamond"/>
          <w:sz w:val="22"/>
          <w:szCs w:val="22"/>
        </w:rPr>
        <w:t>6.2.).</w:t>
      </w:r>
    </w:p>
    <w:p w14:paraId="700646B7" w14:textId="77777777" w:rsidR="00513802" w:rsidRPr="00FB1E10" w:rsidRDefault="00513802" w:rsidP="00B536A8">
      <w:pPr>
        <w:spacing w:line="360" w:lineRule="auto"/>
        <w:jc w:val="both"/>
        <w:rPr>
          <w:rFonts w:ascii="Garamond" w:hAnsi="Garamond"/>
          <w:sz w:val="22"/>
          <w:szCs w:val="22"/>
          <w:lang w:val="en-US"/>
        </w:rPr>
      </w:pPr>
    </w:p>
    <w:p w14:paraId="66E0BDC8" w14:textId="77777777" w:rsidR="00BB2804" w:rsidRPr="00F23F4B" w:rsidRDefault="00BB2804" w:rsidP="00B536A8">
      <w:pPr>
        <w:spacing w:line="360" w:lineRule="auto"/>
        <w:jc w:val="both"/>
        <w:rPr>
          <w:rFonts w:ascii="Garamond" w:hAnsi="Garamond"/>
          <w:sz w:val="22"/>
          <w:szCs w:val="22"/>
          <w:lang w:val="en-US"/>
        </w:rPr>
      </w:pPr>
      <w:r w:rsidRPr="00F23F4B">
        <w:rPr>
          <w:rFonts w:ascii="Garamond" w:hAnsi="Garamond"/>
          <w:b/>
          <w:bCs/>
          <w:i/>
          <w:iCs/>
          <w:sz w:val="22"/>
          <w:szCs w:val="22"/>
          <w:u w:val="single"/>
          <w:lang w:val="en-US"/>
        </w:rPr>
        <w:t>Direction:</w:t>
      </w:r>
    </w:p>
    <w:p w14:paraId="46085AF4" w14:textId="77777777" w:rsidR="00495443" w:rsidRPr="00F23F4B" w:rsidRDefault="00BB2804" w:rsidP="00B536A8">
      <w:pPr>
        <w:pStyle w:val="ListParagraph"/>
        <w:numPr>
          <w:ilvl w:val="0"/>
          <w:numId w:val="4"/>
        </w:numPr>
        <w:spacing w:line="360" w:lineRule="auto"/>
        <w:jc w:val="both"/>
        <w:rPr>
          <w:rFonts w:ascii="Garamond" w:hAnsi="Garamond"/>
          <w:sz w:val="22"/>
          <w:szCs w:val="22"/>
          <w:lang w:val="en-US"/>
        </w:rPr>
      </w:pPr>
      <w:r w:rsidRPr="00F23F4B">
        <w:rPr>
          <w:rFonts w:ascii="Garamond" w:hAnsi="Garamond"/>
          <w:b/>
          <w:bCs/>
          <w:sz w:val="22"/>
          <w:szCs w:val="22"/>
          <w:lang w:val="en-US"/>
        </w:rPr>
        <w:t>Outcome</w:t>
      </w:r>
      <w:r w:rsidRPr="00F23F4B">
        <w:rPr>
          <w:rFonts w:ascii="Garamond" w:hAnsi="Garamond"/>
          <w:sz w:val="22"/>
          <w:szCs w:val="22"/>
          <w:lang w:val="en-US"/>
        </w:rPr>
        <w:t xml:space="preserve">: </w:t>
      </w:r>
    </w:p>
    <w:p w14:paraId="587A3162" w14:textId="77777777" w:rsidR="00495443" w:rsidRPr="00F23F4B" w:rsidRDefault="00495443" w:rsidP="00B536A8">
      <w:pPr>
        <w:spacing w:line="360" w:lineRule="auto"/>
        <w:jc w:val="both"/>
        <w:rPr>
          <w:rFonts w:ascii="Garamond" w:hAnsi="Garamond"/>
          <w:sz w:val="22"/>
          <w:szCs w:val="22"/>
          <w:lang w:val="en-US"/>
        </w:rPr>
      </w:pPr>
    </w:p>
    <w:p w14:paraId="0CA9085A" w14:textId="45762BAA" w:rsidR="00BB2804" w:rsidRPr="00F23F4B" w:rsidRDefault="00417FA9" w:rsidP="00B536A8">
      <w:pPr>
        <w:spacing w:line="360" w:lineRule="auto"/>
        <w:jc w:val="both"/>
        <w:rPr>
          <w:rFonts w:ascii="Garamond" w:hAnsi="Garamond"/>
          <w:sz w:val="22"/>
          <w:szCs w:val="22"/>
          <w:lang w:val="en-US"/>
        </w:rPr>
      </w:pPr>
      <w:r w:rsidRPr="00F23F4B">
        <w:rPr>
          <w:rFonts w:ascii="Garamond" w:hAnsi="Garamond"/>
          <w:sz w:val="22"/>
          <w:szCs w:val="22"/>
          <w:lang w:val="en-US"/>
        </w:rPr>
        <w:t>Expands Expression</w:t>
      </w:r>
    </w:p>
    <w:p w14:paraId="6176052D" w14:textId="77777777" w:rsidR="00417FA9" w:rsidRPr="00F23F4B" w:rsidRDefault="00417FA9" w:rsidP="00B536A8">
      <w:pPr>
        <w:spacing w:line="360" w:lineRule="auto"/>
        <w:jc w:val="both"/>
        <w:rPr>
          <w:rFonts w:ascii="Garamond" w:hAnsi="Garamond"/>
          <w:sz w:val="22"/>
          <w:szCs w:val="22"/>
          <w:lang w:val="en-US"/>
        </w:rPr>
      </w:pPr>
    </w:p>
    <w:p w14:paraId="05B0795E" w14:textId="709E089B" w:rsidR="000B4B60" w:rsidRPr="000B4B60" w:rsidRDefault="003E37DB" w:rsidP="00B536A8">
      <w:pPr>
        <w:pStyle w:val="ListParagraph"/>
        <w:numPr>
          <w:ilvl w:val="0"/>
          <w:numId w:val="4"/>
        </w:numPr>
        <w:spacing w:line="360" w:lineRule="auto"/>
        <w:jc w:val="both"/>
        <w:rPr>
          <w:rFonts w:ascii="Garamond" w:hAnsi="Garamond"/>
          <w:sz w:val="22"/>
          <w:szCs w:val="22"/>
          <w:lang w:val="en-US"/>
        </w:rPr>
      </w:pPr>
      <w:r w:rsidRPr="00F23F4B">
        <w:rPr>
          <w:rFonts w:ascii="Garamond" w:hAnsi="Garamond"/>
          <w:b/>
          <w:bCs/>
          <w:sz w:val="22"/>
          <w:szCs w:val="22"/>
          <w:lang w:val="en-US"/>
        </w:rPr>
        <w:t xml:space="preserve">Explanation </w:t>
      </w:r>
      <w:r w:rsidR="002168F9" w:rsidRPr="00F23F4B">
        <w:rPr>
          <w:rFonts w:ascii="Garamond" w:hAnsi="Garamond"/>
          <w:b/>
          <w:bCs/>
          <w:sz w:val="22"/>
          <w:szCs w:val="22"/>
          <w:lang w:val="en-US"/>
        </w:rPr>
        <w:t xml:space="preserve">for </w:t>
      </w:r>
      <w:r w:rsidR="00F02DB7" w:rsidRPr="00F23F4B">
        <w:rPr>
          <w:rFonts w:ascii="Garamond" w:hAnsi="Garamond"/>
          <w:b/>
          <w:bCs/>
          <w:sz w:val="22"/>
          <w:szCs w:val="22"/>
          <w:lang w:val="en-US"/>
        </w:rPr>
        <w:t xml:space="preserve">why and how it contracts or expands expression or has a mixed outcome. </w:t>
      </w:r>
    </w:p>
    <w:p w14:paraId="5E2CAC31" w14:textId="77777777" w:rsidR="000B4B60" w:rsidRDefault="000B4B60" w:rsidP="00B536A8">
      <w:pPr>
        <w:spacing w:line="360" w:lineRule="auto"/>
        <w:jc w:val="both"/>
        <w:rPr>
          <w:rFonts w:ascii="Garamond" w:hAnsi="Garamond"/>
          <w:sz w:val="22"/>
          <w:szCs w:val="22"/>
          <w:lang w:val="en-US"/>
        </w:rPr>
      </w:pPr>
    </w:p>
    <w:p w14:paraId="3ACF95BF" w14:textId="120F106A" w:rsidR="002F6D70" w:rsidRDefault="00733486" w:rsidP="00B536A8">
      <w:pPr>
        <w:spacing w:line="360" w:lineRule="auto"/>
        <w:jc w:val="both"/>
        <w:rPr>
          <w:rFonts w:ascii="Garamond" w:hAnsi="Garamond"/>
          <w:sz w:val="22"/>
          <w:szCs w:val="22"/>
          <w:lang w:val="en-US"/>
        </w:rPr>
      </w:pPr>
      <w:r w:rsidRPr="00733486">
        <w:rPr>
          <w:rFonts w:ascii="Garamond" w:hAnsi="Garamond"/>
          <w:sz w:val="22"/>
          <w:szCs w:val="22"/>
          <w:lang w:val="en-US"/>
        </w:rPr>
        <w:t>The judgment underlines the importance of protecting the broad freedom of expression of the judiciary in the context of safeguarding the independence of judges. It also sends a strong signal about the need to protect members of the judiciary from measures that could have a chilling effect on them.</w:t>
      </w:r>
      <w:bookmarkStart w:id="0" w:name="_GoBack"/>
      <w:bookmarkEnd w:id="0"/>
    </w:p>
    <w:p w14:paraId="66F565FB" w14:textId="77777777" w:rsidR="00733486" w:rsidRPr="00F23F4B" w:rsidRDefault="00733486" w:rsidP="00B536A8">
      <w:pPr>
        <w:spacing w:line="360" w:lineRule="auto"/>
        <w:jc w:val="both"/>
        <w:rPr>
          <w:rFonts w:ascii="Garamond" w:hAnsi="Garamond"/>
          <w:sz w:val="22"/>
          <w:szCs w:val="22"/>
          <w:lang w:val="en-US"/>
        </w:rPr>
      </w:pPr>
    </w:p>
    <w:p w14:paraId="261EAE6B" w14:textId="7FFE370D" w:rsidR="00BB2804" w:rsidRPr="00F23F4B" w:rsidRDefault="00BB2804" w:rsidP="00B536A8">
      <w:pPr>
        <w:spacing w:line="360" w:lineRule="auto"/>
        <w:jc w:val="both"/>
        <w:rPr>
          <w:rFonts w:ascii="Garamond" w:hAnsi="Garamond"/>
          <w:sz w:val="22"/>
          <w:szCs w:val="22"/>
          <w:lang w:val="en-US"/>
        </w:rPr>
      </w:pPr>
      <w:r w:rsidRPr="00F23F4B">
        <w:rPr>
          <w:rFonts w:ascii="Garamond" w:hAnsi="Garamond"/>
          <w:b/>
          <w:bCs/>
          <w:i/>
          <w:iCs/>
          <w:sz w:val="22"/>
          <w:szCs w:val="22"/>
          <w:u w:val="single"/>
          <w:lang w:val="en-US"/>
        </w:rPr>
        <w:t>Perspective</w:t>
      </w:r>
      <w:r w:rsidRPr="00F23F4B">
        <w:rPr>
          <w:rFonts w:ascii="Garamond" w:hAnsi="Garamond"/>
          <w:sz w:val="22"/>
          <w:szCs w:val="22"/>
          <w:lang w:val="en-US"/>
        </w:rPr>
        <w:t xml:space="preserve">: </w:t>
      </w:r>
    </w:p>
    <w:p w14:paraId="02160B87" w14:textId="77777777" w:rsidR="00BB2804" w:rsidRPr="00F23F4B" w:rsidRDefault="00BB2804" w:rsidP="00B536A8">
      <w:pPr>
        <w:spacing w:line="360" w:lineRule="auto"/>
        <w:jc w:val="both"/>
        <w:rPr>
          <w:rFonts w:ascii="Garamond" w:hAnsi="Garamond"/>
          <w:sz w:val="22"/>
          <w:szCs w:val="22"/>
          <w:lang w:val="en-US"/>
        </w:rPr>
      </w:pPr>
    </w:p>
    <w:p w14:paraId="4574DA79" w14:textId="48D34444" w:rsidR="00BB2804" w:rsidRPr="00646EC4" w:rsidRDefault="00BB2804" w:rsidP="00B536A8">
      <w:pPr>
        <w:pStyle w:val="ListParagraph"/>
        <w:numPr>
          <w:ilvl w:val="0"/>
          <w:numId w:val="3"/>
        </w:numPr>
        <w:spacing w:line="360" w:lineRule="auto"/>
        <w:jc w:val="both"/>
        <w:rPr>
          <w:rFonts w:ascii="Garamond" w:hAnsi="Garamond"/>
          <w:sz w:val="22"/>
          <w:szCs w:val="22"/>
          <w:lang w:val="en-US"/>
        </w:rPr>
      </w:pPr>
      <w:r w:rsidRPr="00646EC4">
        <w:rPr>
          <w:rFonts w:ascii="Garamond" w:hAnsi="Garamond"/>
          <w:b/>
          <w:bCs/>
          <w:sz w:val="22"/>
          <w:szCs w:val="22"/>
          <w:lang w:val="en-US"/>
        </w:rPr>
        <w:t>Related International and/or regional laws</w:t>
      </w:r>
      <w:r w:rsidR="008132E6" w:rsidRPr="00646EC4">
        <w:rPr>
          <w:rFonts w:ascii="Garamond" w:hAnsi="Garamond"/>
          <w:b/>
          <w:bCs/>
          <w:sz w:val="22"/>
          <w:szCs w:val="22"/>
          <w:lang w:val="en-US"/>
        </w:rPr>
        <w:t xml:space="preserve"> or jurisprudence</w:t>
      </w:r>
      <w:r w:rsidRPr="00646EC4">
        <w:rPr>
          <w:rFonts w:ascii="Garamond" w:hAnsi="Garamond"/>
          <w:sz w:val="22"/>
          <w:szCs w:val="22"/>
          <w:lang w:val="en-US"/>
        </w:rPr>
        <w:t xml:space="preserve">: </w:t>
      </w:r>
    </w:p>
    <w:p w14:paraId="5D41FE92" w14:textId="77777777" w:rsidR="001241B5" w:rsidRPr="00646EC4" w:rsidRDefault="001241B5" w:rsidP="00B536A8">
      <w:pPr>
        <w:spacing w:line="360" w:lineRule="auto"/>
        <w:jc w:val="both"/>
        <w:rPr>
          <w:rFonts w:ascii="Garamond" w:hAnsi="Garamond"/>
          <w:color w:val="FF0000"/>
          <w:sz w:val="22"/>
          <w:szCs w:val="22"/>
          <w:lang w:val="en-US"/>
        </w:rPr>
      </w:pPr>
    </w:p>
    <w:p w14:paraId="3B2DC3B6" w14:textId="21E02105" w:rsidR="00BF2572" w:rsidRPr="00646EC4" w:rsidRDefault="00BF2572" w:rsidP="00B536A8">
      <w:pPr>
        <w:spacing w:line="360" w:lineRule="auto"/>
        <w:jc w:val="both"/>
        <w:rPr>
          <w:rFonts w:ascii="Garamond" w:hAnsi="Garamond"/>
          <w:sz w:val="22"/>
          <w:szCs w:val="22"/>
          <w:lang w:val="en-US"/>
        </w:rPr>
      </w:pPr>
      <w:r w:rsidRPr="00646EC4">
        <w:rPr>
          <w:rFonts w:ascii="Garamond" w:hAnsi="Garamond"/>
          <w:sz w:val="22"/>
          <w:szCs w:val="22"/>
          <w:lang w:val="en-US"/>
        </w:rPr>
        <w:t>CJEU, Commission v. Poland (Disciplinary regime for judges), C-791/19, EU:C:2021:596 (2021)</w:t>
      </w:r>
    </w:p>
    <w:p w14:paraId="1D001D7B" w14:textId="21F2F5EC" w:rsidR="00BF2572" w:rsidRPr="00646EC4" w:rsidRDefault="00BF2572" w:rsidP="00B536A8">
      <w:pPr>
        <w:spacing w:line="360" w:lineRule="auto"/>
        <w:jc w:val="both"/>
        <w:rPr>
          <w:rFonts w:ascii="Garamond" w:hAnsi="Garamond"/>
          <w:sz w:val="22"/>
          <w:szCs w:val="22"/>
          <w:lang w:val="en-US"/>
        </w:rPr>
      </w:pPr>
      <w:r w:rsidRPr="00646EC4">
        <w:rPr>
          <w:rFonts w:ascii="Garamond" w:hAnsi="Garamond"/>
          <w:sz w:val="22"/>
          <w:szCs w:val="22"/>
          <w:lang w:val="en-US"/>
        </w:rPr>
        <w:t>CJEU, Commission v. Poland (Independence and private life of judges), C-204/21, EU:C:2023:442 (2023)</w:t>
      </w:r>
    </w:p>
    <w:p w14:paraId="43A75099" w14:textId="77777777" w:rsidR="004054C4" w:rsidRPr="00646EC4" w:rsidRDefault="004054C4" w:rsidP="00B536A8">
      <w:pPr>
        <w:spacing w:line="360" w:lineRule="auto"/>
        <w:jc w:val="both"/>
        <w:rPr>
          <w:rFonts w:ascii="Garamond" w:hAnsi="Garamond"/>
          <w:sz w:val="22"/>
          <w:szCs w:val="22"/>
          <w:lang w:val="en-US"/>
        </w:rPr>
      </w:pPr>
      <w:r w:rsidRPr="00646EC4">
        <w:rPr>
          <w:rFonts w:ascii="Garamond" w:hAnsi="Garamond"/>
          <w:sz w:val="22"/>
          <w:szCs w:val="22"/>
          <w:lang w:val="en-US"/>
        </w:rPr>
        <w:t>ECtHR, Vogt v. Germany, App. No. 17851/91 (1995)</w:t>
      </w:r>
    </w:p>
    <w:p w14:paraId="04CBD58D" w14:textId="77777777" w:rsidR="004054C4" w:rsidRPr="00646EC4" w:rsidRDefault="004054C4" w:rsidP="00B536A8">
      <w:pPr>
        <w:spacing w:line="360" w:lineRule="auto"/>
        <w:jc w:val="both"/>
        <w:rPr>
          <w:rFonts w:ascii="Garamond" w:hAnsi="Garamond"/>
          <w:sz w:val="22"/>
          <w:szCs w:val="22"/>
          <w:lang w:val="en-US"/>
        </w:rPr>
      </w:pPr>
      <w:r w:rsidRPr="00646EC4">
        <w:rPr>
          <w:rFonts w:ascii="Garamond" w:hAnsi="Garamond"/>
          <w:sz w:val="22"/>
          <w:szCs w:val="22"/>
          <w:lang w:val="en-US"/>
        </w:rPr>
        <w:t>ECtHR, Wille v. Liechtenstein, App. No. 28396/95 (1999)</w:t>
      </w:r>
    </w:p>
    <w:p w14:paraId="7A04FBA3" w14:textId="45B12B54" w:rsidR="004054C4" w:rsidRPr="00646EC4" w:rsidRDefault="004054C4" w:rsidP="00B536A8">
      <w:pPr>
        <w:pStyle w:val="FootnoteText"/>
        <w:spacing w:line="360" w:lineRule="auto"/>
        <w:jc w:val="both"/>
        <w:rPr>
          <w:rFonts w:ascii="Garamond" w:hAnsi="Garamond"/>
          <w:sz w:val="22"/>
          <w:szCs w:val="22"/>
          <w:lang w:val="en-US"/>
        </w:rPr>
      </w:pPr>
      <w:r w:rsidRPr="00646EC4">
        <w:rPr>
          <w:rFonts w:ascii="Garamond" w:hAnsi="Garamond"/>
          <w:sz w:val="22"/>
          <w:szCs w:val="22"/>
          <w:lang w:val="en-US"/>
        </w:rPr>
        <w:t>ECtHR, Harabin v. Slovakia (dec.), App. No. 62584/00 (2004)</w:t>
      </w:r>
    </w:p>
    <w:p w14:paraId="1ACC3F24" w14:textId="77777777" w:rsidR="004054C4" w:rsidRPr="00646EC4" w:rsidRDefault="004054C4" w:rsidP="00B536A8">
      <w:pPr>
        <w:spacing w:line="360" w:lineRule="auto"/>
        <w:jc w:val="both"/>
        <w:rPr>
          <w:rFonts w:ascii="Garamond" w:hAnsi="Garamond"/>
          <w:sz w:val="22"/>
          <w:szCs w:val="22"/>
          <w:lang w:val="en-US"/>
        </w:rPr>
      </w:pPr>
      <w:r w:rsidRPr="00646EC4">
        <w:rPr>
          <w:rFonts w:ascii="Garamond" w:hAnsi="Garamond"/>
          <w:sz w:val="22"/>
          <w:szCs w:val="22"/>
          <w:lang w:val="en-US"/>
        </w:rPr>
        <w:t>ECtHR, Guja v. Moldova [GC], App. No. 14277/04 (2008)</w:t>
      </w:r>
    </w:p>
    <w:p w14:paraId="5C5F5492" w14:textId="77777777" w:rsidR="004054C4" w:rsidRPr="00646EC4" w:rsidRDefault="004054C4" w:rsidP="00B536A8">
      <w:pPr>
        <w:pStyle w:val="FootnoteText"/>
        <w:spacing w:line="360" w:lineRule="auto"/>
        <w:jc w:val="both"/>
        <w:rPr>
          <w:rFonts w:ascii="Garamond" w:hAnsi="Garamond"/>
          <w:sz w:val="22"/>
          <w:szCs w:val="22"/>
          <w:lang w:val="en-US"/>
        </w:rPr>
      </w:pPr>
      <w:r w:rsidRPr="00646EC4">
        <w:rPr>
          <w:rFonts w:ascii="Garamond" w:hAnsi="Garamond"/>
          <w:sz w:val="22"/>
          <w:szCs w:val="22"/>
          <w:lang w:val="en-US"/>
        </w:rPr>
        <w:t>ECtHR, Kayasu v. Turkey, App. Nos. 64119/00 and 76292/01 (2008)</w:t>
      </w:r>
    </w:p>
    <w:p w14:paraId="383B775F" w14:textId="0A7EAB7C" w:rsidR="004054C4" w:rsidRPr="00646EC4" w:rsidRDefault="004054C4" w:rsidP="00B536A8">
      <w:pPr>
        <w:pStyle w:val="FootnoteText"/>
        <w:spacing w:line="360" w:lineRule="auto"/>
        <w:jc w:val="both"/>
        <w:rPr>
          <w:rFonts w:ascii="Garamond" w:hAnsi="Garamond"/>
          <w:sz w:val="22"/>
          <w:szCs w:val="22"/>
          <w:lang w:val="en-US"/>
        </w:rPr>
      </w:pPr>
      <w:r w:rsidRPr="00646EC4">
        <w:rPr>
          <w:rFonts w:ascii="Garamond" w:hAnsi="Garamond"/>
          <w:sz w:val="22"/>
          <w:szCs w:val="22"/>
          <w:lang w:val="en-US"/>
        </w:rPr>
        <w:t>ECtHR, Kudeshkina v. Russia, App. No. 29492/05 (2009)</w:t>
      </w:r>
    </w:p>
    <w:p w14:paraId="2C364008" w14:textId="05F8AEB0" w:rsidR="004054C4" w:rsidRPr="00646EC4" w:rsidRDefault="004054C4" w:rsidP="00B536A8">
      <w:pPr>
        <w:pStyle w:val="FootnoteText"/>
        <w:spacing w:line="360" w:lineRule="auto"/>
        <w:jc w:val="both"/>
        <w:rPr>
          <w:rFonts w:ascii="Garamond" w:hAnsi="Garamond"/>
          <w:sz w:val="22"/>
          <w:szCs w:val="22"/>
          <w:lang w:val="en-US"/>
        </w:rPr>
      </w:pPr>
      <w:r w:rsidRPr="00646EC4">
        <w:rPr>
          <w:rFonts w:ascii="Garamond" w:hAnsi="Garamond"/>
          <w:sz w:val="22"/>
          <w:szCs w:val="22"/>
          <w:lang w:val="en-US"/>
        </w:rPr>
        <w:t>ECtHR, Poyraz v. Turkey, App. No. 15966/06 (2010)</w:t>
      </w:r>
    </w:p>
    <w:p w14:paraId="00FC5229" w14:textId="76B8CA11" w:rsidR="004054C4" w:rsidRPr="00646EC4" w:rsidRDefault="004054C4" w:rsidP="00B536A8">
      <w:pPr>
        <w:pStyle w:val="FootnoteText"/>
        <w:spacing w:line="360" w:lineRule="auto"/>
        <w:jc w:val="both"/>
        <w:rPr>
          <w:rFonts w:ascii="Garamond" w:hAnsi="Garamond"/>
          <w:sz w:val="22"/>
          <w:szCs w:val="22"/>
          <w:lang w:val="en-US"/>
        </w:rPr>
      </w:pPr>
      <w:r w:rsidRPr="00646EC4">
        <w:rPr>
          <w:rFonts w:ascii="Garamond" w:hAnsi="Garamond"/>
          <w:sz w:val="22"/>
          <w:szCs w:val="22"/>
          <w:lang w:val="en-US"/>
        </w:rPr>
        <w:t>ECtHR, Harabin v. Slovakia, App. No. 58688/11 (2012)</w:t>
      </w:r>
    </w:p>
    <w:p w14:paraId="4ACF1400" w14:textId="7FB7AA03" w:rsidR="00517348" w:rsidRPr="00646EC4" w:rsidRDefault="00517348" w:rsidP="00B536A8">
      <w:pPr>
        <w:pStyle w:val="FootnoteText"/>
        <w:spacing w:line="360" w:lineRule="auto"/>
        <w:jc w:val="both"/>
        <w:rPr>
          <w:rFonts w:ascii="Garamond" w:hAnsi="Garamond"/>
          <w:sz w:val="22"/>
          <w:szCs w:val="22"/>
          <w:lang w:val="en-US"/>
        </w:rPr>
      </w:pPr>
      <w:r w:rsidRPr="00646EC4">
        <w:rPr>
          <w:rFonts w:ascii="Garamond" w:hAnsi="Garamond"/>
          <w:sz w:val="22"/>
          <w:szCs w:val="22"/>
          <w:lang w:val="en-US"/>
        </w:rPr>
        <w:t>ECtHR, Nenkova-Lalova v. Bulgaria, App. No. 35745/05 (2012)</w:t>
      </w:r>
    </w:p>
    <w:p w14:paraId="3D00209A" w14:textId="00CCEE4B" w:rsidR="00B4502E" w:rsidRPr="00646EC4" w:rsidRDefault="004054C4" w:rsidP="00B536A8">
      <w:pPr>
        <w:pStyle w:val="FootnoteText"/>
        <w:spacing w:line="360" w:lineRule="auto"/>
        <w:jc w:val="both"/>
        <w:rPr>
          <w:rFonts w:ascii="Garamond" w:hAnsi="Garamond"/>
          <w:sz w:val="22"/>
          <w:szCs w:val="22"/>
          <w:lang w:val="en-US"/>
        </w:rPr>
      </w:pPr>
      <w:r w:rsidRPr="00646EC4">
        <w:rPr>
          <w:rFonts w:ascii="Garamond" w:hAnsi="Garamond"/>
          <w:sz w:val="22"/>
          <w:szCs w:val="22"/>
          <w:lang w:val="en-US"/>
        </w:rPr>
        <w:t>ECtHR, Baka v. Hungary [GC], App. No. 20261/12 (2016)</w:t>
      </w:r>
    </w:p>
    <w:p w14:paraId="3F19B2CD" w14:textId="44A83542" w:rsidR="00B4502E" w:rsidRPr="00646EC4" w:rsidRDefault="00B4502E" w:rsidP="00B536A8">
      <w:pPr>
        <w:pStyle w:val="FootnoteText"/>
        <w:spacing w:line="360" w:lineRule="auto"/>
        <w:jc w:val="both"/>
        <w:rPr>
          <w:rFonts w:ascii="Garamond" w:hAnsi="Garamond"/>
          <w:sz w:val="22"/>
          <w:szCs w:val="22"/>
          <w:lang w:val="en-US"/>
        </w:rPr>
      </w:pPr>
      <w:r w:rsidRPr="00646EC4">
        <w:rPr>
          <w:rFonts w:ascii="Garamond" w:hAnsi="Garamond"/>
          <w:sz w:val="22"/>
          <w:szCs w:val="22"/>
          <w:lang w:val="en-US"/>
        </w:rPr>
        <w:t>ECtHR, Simić v. Bosnia-Herzegovina (dec.), App. No. 75255/10 (2016)</w:t>
      </w:r>
    </w:p>
    <w:p w14:paraId="6ACEFE28" w14:textId="3BD01074" w:rsidR="009A7F4E" w:rsidRPr="00646EC4" w:rsidRDefault="009A7F4E" w:rsidP="00B536A8">
      <w:pPr>
        <w:pStyle w:val="FootnoteText"/>
        <w:spacing w:line="360" w:lineRule="auto"/>
        <w:jc w:val="both"/>
        <w:rPr>
          <w:rFonts w:ascii="Garamond" w:hAnsi="Garamond"/>
          <w:sz w:val="22"/>
          <w:szCs w:val="22"/>
          <w:lang w:val="en-US"/>
        </w:rPr>
      </w:pPr>
      <w:r w:rsidRPr="00646EC4">
        <w:rPr>
          <w:rFonts w:ascii="Garamond" w:hAnsi="Garamond"/>
          <w:sz w:val="22"/>
          <w:szCs w:val="22"/>
          <w:lang w:val="en-US"/>
        </w:rPr>
        <w:t>ECtHR, Köseoğlu v. Turkey (dec.), App. No. 24067/05 (2018)</w:t>
      </w:r>
    </w:p>
    <w:p w14:paraId="4C2E2897" w14:textId="48281B23" w:rsidR="002358E7" w:rsidRPr="00646EC4" w:rsidRDefault="006046E7" w:rsidP="00B536A8">
      <w:pPr>
        <w:spacing w:line="360" w:lineRule="auto"/>
        <w:jc w:val="both"/>
        <w:rPr>
          <w:rFonts w:ascii="Garamond" w:hAnsi="Garamond"/>
          <w:sz w:val="22"/>
          <w:szCs w:val="22"/>
        </w:rPr>
      </w:pPr>
      <w:r w:rsidRPr="00646EC4">
        <w:rPr>
          <w:rFonts w:ascii="Garamond" w:hAnsi="Garamond"/>
          <w:sz w:val="22"/>
          <w:szCs w:val="22"/>
          <w:lang w:val="en-US"/>
        </w:rPr>
        <w:t>ECtHR</w:t>
      </w:r>
      <w:r w:rsidRPr="00646EC4">
        <w:rPr>
          <w:rFonts w:ascii="Garamond" w:hAnsi="Garamond"/>
          <w:sz w:val="22"/>
          <w:szCs w:val="22"/>
        </w:rPr>
        <w:t xml:space="preserve">, </w:t>
      </w:r>
      <w:r w:rsidR="002358E7" w:rsidRPr="00646EC4">
        <w:rPr>
          <w:rFonts w:ascii="Garamond" w:hAnsi="Garamond"/>
          <w:sz w:val="22"/>
          <w:szCs w:val="22"/>
        </w:rPr>
        <w:t>Magyar Kétfarkú Kutya Párt v. Hungary [GC], App. No. 201/17 (2020)</w:t>
      </w:r>
    </w:p>
    <w:p w14:paraId="6993FC84" w14:textId="78B29035" w:rsidR="00431828" w:rsidRPr="00646EC4" w:rsidRDefault="00431828" w:rsidP="00B536A8">
      <w:pPr>
        <w:pStyle w:val="FootnoteText"/>
        <w:spacing w:line="360" w:lineRule="auto"/>
        <w:jc w:val="both"/>
        <w:rPr>
          <w:rFonts w:ascii="Garamond" w:hAnsi="Garamond"/>
          <w:sz w:val="22"/>
          <w:szCs w:val="22"/>
          <w:lang w:val="en-US"/>
        </w:rPr>
      </w:pPr>
      <w:r w:rsidRPr="00646EC4">
        <w:rPr>
          <w:rFonts w:ascii="Garamond" w:hAnsi="Garamond"/>
          <w:sz w:val="22"/>
          <w:szCs w:val="22"/>
          <w:lang w:val="en-US"/>
        </w:rPr>
        <w:t>ECtHR, Kövesi v. Romania, App. No. 3594/19 (2020)</w:t>
      </w:r>
    </w:p>
    <w:p w14:paraId="18A3923C" w14:textId="33569F86" w:rsidR="009B6D06" w:rsidRPr="00646EC4" w:rsidRDefault="009B6D06" w:rsidP="00B536A8">
      <w:pPr>
        <w:pStyle w:val="FootnoteText"/>
        <w:spacing w:line="360" w:lineRule="auto"/>
        <w:jc w:val="both"/>
        <w:rPr>
          <w:rFonts w:ascii="Garamond" w:hAnsi="Garamond"/>
          <w:sz w:val="22"/>
          <w:szCs w:val="22"/>
          <w:lang w:val="en-US"/>
        </w:rPr>
      </w:pPr>
      <w:r w:rsidRPr="00646EC4">
        <w:rPr>
          <w:rFonts w:ascii="Garamond" w:hAnsi="Garamond"/>
          <w:sz w:val="22"/>
          <w:szCs w:val="22"/>
          <w:lang w:val="en-US"/>
        </w:rPr>
        <w:t>ECtHR, Goryaynova v. Ukraine, App. No. 41752/09 (2020)</w:t>
      </w:r>
    </w:p>
    <w:p w14:paraId="6E064335" w14:textId="099A2804" w:rsidR="00431828" w:rsidRPr="00646EC4" w:rsidRDefault="00431828" w:rsidP="00B536A8">
      <w:pPr>
        <w:pStyle w:val="FootnoteText"/>
        <w:spacing w:line="360" w:lineRule="auto"/>
        <w:jc w:val="both"/>
        <w:rPr>
          <w:rFonts w:ascii="Garamond" w:hAnsi="Garamond"/>
          <w:sz w:val="22"/>
          <w:szCs w:val="22"/>
          <w:lang w:val="en-US"/>
        </w:rPr>
      </w:pPr>
      <w:r w:rsidRPr="00646EC4">
        <w:rPr>
          <w:rFonts w:ascii="Garamond" w:hAnsi="Garamond"/>
          <w:sz w:val="22"/>
          <w:szCs w:val="22"/>
          <w:lang w:val="en-US"/>
        </w:rPr>
        <w:t>ECtHR, Cimperšek v. Slovenia, App. No. 58512/16 (2020)</w:t>
      </w:r>
    </w:p>
    <w:p w14:paraId="4425D361" w14:textId="60A72D81" w:rsidR="00747FAD" w:rsidRPr="00646EC4" w:rsidRDefault="00747FAD" w:rsidP="00B536A8">
      <w:pPr>
        <w:pStyle w:val="FootnoteText"/>
        <w:spacing w:line="360" w:lineRule="auto"/>
        <w:jc w:val="both"/>
        <w:rPr>
          <w:rFonts w:ascii="Garamond" w:hAnsi="Garamond"/>
          <w:sz w:val="22"/>
          <w:szCs w:val="22"/>
          <w:lang w:val="pl-PL"/>
        </w:rPr>
      </w:pPr>
      <w:r w:rsidRPr="00646EC4">
        <w:rPr>
          <w:rFonts w:ascii="Garamond" w:hAnsi="Garamond"/>
          <w:sz w:val="22"/>
          <w:szCs w:val="22"/>
          <w:lang w:val="pl-PL"/>
        </w:rPr>
        <w:t>ECtHR, Reczkowicz v. Poland, App. No. 43447/19 (2021)</w:t>
      </w:r>
    </w:p>
    <w:p w14:paraId="60F9F397" w14:textId="36268BD1" w:rsidR="00747FAD" w:rsidRPr="00646EC4" w:rsidRDefault="00747FAD" w:rsidP="00B536A8">
      <w:pPr>
        <w:pStyle w:val="FootnoteText"/>
        <w:spacing w:line="360" w:lineRule="auto"/>
        <w:jc w:val="both"/>
        <w:rPr>
          <w:rFonts w:ascii="Garamond" w:hAnsi="Garamond"/>
          <w:sz w:val="22"/>
          <w:szCs w:val="22"/>
          <w:lang w:val="en-US"/>
        </w:rPr>
      </w:pPr>
      <w:r w:rsidRPr="00646EC4">
        <w:rPr>
          <w:rFonts w:ascii="Garamond" w:hAnsi="Garamond"/>
          <w:sz w:val="22"/>
          <w:szCs w:val="22"/>
          <w:lang w:val="en-US"/>
        </w:rPr>
        <w:t>ECtHR, Miroslava Todorova v. Bulgaria, App. No. 40072/13 (2021)</w:t>
      </w:r>
    </w:p>
    <w:p w14:paraId="4B3BCE01" w14:textId="28A79F49" w:rsidR="002C4EF6" w:rsidRPr="00646EC4" w:rsidRDefault="004054C4" w:rsidP="00B536A8">
      <w:pPr>
        <w:spacing w:line="360" w:lineRule="auto"/>
        <w:jc w:val="both"/>
        <w:rPr>
          <w:rFonts w:ascii="Garamond" w:hAnsi="Garamond"/>
          <w:sz w:val="22"/>
          <w:szCs w:val="22"/>
          <w:lang w:val="pl-PL"/>
        </w:rPr>
      </w:pPr>
      <w:r w:rsidRPr="00646EC4">
        <w:rPr>
          <w:rFonts w:ascii="Garamond" w:hAnsi="Garamond"/>
          <w:sz w:val="22"/>
          <w:szCs w:val="22"/>
          <w:lang w:val="pl-PL"/>
        </w:rPr>
        <w:t>ECtHR, Żurek v. Poland, App. No. 39650/18 (2022)</w:t>
      </w:r>
    </w:p>
    <w:p w14:paraId="2D7A851C" w14:textId="77777777" w:rsidR="002358E7" w:rsidRPr="00646EC4" w:rsidRDefault="002358E7" w:rsidP="00B536A8">
      <w:pPr>
        <w:spacing w:line="360" w:lineRule="auto"/>
        <w:jc w:val="both"/>
        <w:rPr>
          <w:rFonts w:ascii="Garamond" w:hAnsi="Garamond"/>
          <w:sz w:val="22"/>
          <w:szCs w:val="22"/>
        </w:rPr>
      </w:pPr>
    </w:p>
    <w:p w14:paraId="521E7446" w14:textId="0A01856B" w:rsidR="002C4EF6" w:rsidRPr="00646EC4" w:rsidRDefault="002C4EF6" w:rsidP="00B536A8">
      <w:pPr>
        <w:spacing w:line="360" w:lineRule="auto"/>
        <w:jc w:val="both"/>
        <w:rPr>
          <w:rFonts w:ascii="Garamond" w:hAnsi="Garamond"/>
          <w:sz w:val="22"/>
          <w:szCs w:val="22"/>
        </w:rPr>
      </w:pPr>
      <w:r w:rsidRPr="00646EC4">
        <w:rPr>
          <w:rFonts w:ascii="Garamond" w:hAnsi="Garamond"/>
          <w:sz w:val="22"/>
          <w:szCs w:val="22"/>
        </w:rPr>
        <w:t xml:space="preserve">Opinion no. 25 (2022) of the CCJE for the attention of the Committee of Ministers of the Council of Europe on the Freedom of Expression of Judges </w:t>
      </w:r>
      <w:r w:rsidR="00887E78" w:rsidRPr="00646EC4">
        <w:rPr>
          <w:rFonts w:ascii="Garamond" w:hAnsi="Garamond"/>
          <w:sz w:val="22"/>
          <w:szCs w:val="22"/>
        </w:rPr>
        <w:t>(</w:t>
      </w:r>
      <w:r w:rsidRPr="00646EC4">
        <w:rPr>
          <w:rFonts w:ascii="Garamond" w:hAnsi="Garamond"/>
          <w:sz w:val="22"/>
          <w:szCs w:val="22"/>
        </w:rPr>
        <w:t>2022</w:t>
      </w:r>
      <w:r w:rsidR="00887E78" w:rsidRPr="00646EC4">
        <w:rPr>
          <w:rFonts w:ascii="Garamond" w:hAnsi="Garamond"/>
          <w:sz w:val="22"/>
          <w:szCs w:val="22"/>
        </w:rPr>
        <w:t>)</w:t>
      </w:r>
    </w:p>
    <w:p w14:paraId="1C0A7257" w14:textId="2CCCF572" w:rsidR="005615E0" w:rsidRPr="00646EC4" w:rsidRDefault="00073614" w:rsidP="00B536A8">
      <w:pPr>
        <w:spacing w:line="360" w:lineRule="auto"/>
        <w:jc w:val="both"/>
        <w:rPr>
          <w:rFonts w:ascii="Garamond" w:hAnsi="Garamond"/>
          <w:sz w:val="22"/>
          <w:szCs w:val="22"/>
          <w:lang w:val="pl-PL"/>
        </w:rPr>
      </w:pPr>
      <w:r w:rsidRPr="00646EC4">
        <w:rPr>
          <w:rFonts w:ascii="Garamond" w:hAnsi="Garamond"/>
          <w:sz w:val="22"/>
          <w:szCs w:val="22"/>
          <w:lang w:val="pl-PL"/>
        </w:rPr>
        <w:tab/>
      </w:r>
    </w:p>
    <w:p w14:paraId="6672CC91" w14:textId="26BE361F" w:rsidR="00CD2DD6" w:rsidRPr="00646EC4" w:rsidRDefault="00BB2804" w:rsidP="00B536A8">
      <w:pPr>
        <w:pStyle w:val="ListParagraph"/>
        <w:numPr>
          <w:ilvl w:val="0"/>
          <w:numId w:val="3"/>
        </w:numPr>
        <w:spacing w:line="360" w:lineRule="auto"/>
        <w:jc w:val="both"/>
        <w:rPr>
          <w:rFonts w:ascii="Garamond" w:hAnsi="Garamond"/>
          <w:sz w:val="22"/>
          <w:szCs w:val="22"/>
          <w:lang w:val="en-US"/>
        </w:rPr>
      </w:pPr>
      <w:r w:rsidRPr="00646EC4">
        <w:rPr>
          <w:rFonts w:ascii="Garamond" w:hAnsi="Garamond"/>
          <w:b/>
          <w:bCs/>
          <w:sz w:val="22"/>
          <w:szCs w:val="22"/>
          <w:lang w:val="en-US"/>
        </w:rPr>
        <w:t>National law or jurisprudence</w:t>
      </w:r>
      <w:r w:rsidRPr="00646EC4">
        <w:rPr>
          <w:rFonts w:ascii="Garamond" w:hAnsi="Garamond"/>
          <w:sz w:val="22"/>
          <w:szCs w:val="22"/>
          <w:lang w:val="en-US"/>
        </w:rPr>
        <w:t>:</w:t>
      </w:r>
    </w:p>
    <w:p w14:paraId="6096E63A" w14:textId="77777777" w:rsidR="00EC1B6E" w:rsidRPr="00646EC4" w:rsidRDefault="00EC1B6E" w:rsidP="00B536A8">
      <w:pPr>
        <w:spacing w:line="360" w:lineRule="auto"/>
        <w:jc w:val="both"/>
        <w:rPr>
          <w:rFonts w:ascii="Garamond" w:hAnsi="Garamond"/>
          <w:color w:val="FF0000"/>
          <w:sz w:val="22"/>
          <w:szCs w:val="22"/>
          <w:lang w:val="en-US"/>
        </w:rPr>
      </w:pPr>
    </w:p>
    <w:p w14:paraId="58FFCCF9" w14:textId="5CA97E5E" w:rsidR="00510F6B" w:rsidRPr="00646EC4" w:rsidRDefault="00C86E39" w:rsidP="00B536A8">
      <w:pPr>
        <w:spacing w:line="360" w:lineRule="auto"/>
        <w:jc w:val="both"/>
        <w:rPr>
          <w:rFonts w:ascii="Garamond" w:hAnsi="Garamond"/>
          <w:sz w:val="22"/>
          <w:szCs w:val="22"/>
          <w:lang w:val="en-US"/>
        </w:rPr>
      </w:pPr>
      <w:r w:rsidRPr="00646EC4">
        <w:rPr>
          <w:rFonts w:ascii="Garamond" w:hAnsi="Garamond"/>
          <w:sz w:val="22"/>
          <w:szCs w:val="22"/>
          <w:lang w:val="en-US"/>
        </w:rPr>
        <w:t>Pol., Const.</w:t>
      </w:r>
      <w:r w:rsidR="00510F6B" w:rsidRPr="00646EC4">
        <w:rPr>
          <w:rFonts w:ascii="Garamond" w:hAnsi="Garamond"/>
          <w:sz w:val="22"/>
          <w:szCs w:val="22"/>
          <w:lang w:val="en-US"/>
        </w:rPr>
        <w:t xml:space="preserve"> </w:t>
      </w:r>
      <w:r w:rsidRPr="00646EC4">
        <w:rPr>
          <w:rFonts w:ascii="Garamond" w:hAnsi="Garamond"/>
          <w:sz w:val="22"/>
          <w:szCs w:val="22"/>
          <w:lang w:val="en-US"/>
        </w:rPr>
        <w:t>(</w:t>
      </w:r>
      <w:r w:rsidR="00510F6B" w:rsidRPr="00646EC4">
        <w:rPr>
          <w:rFonts w:ascii="Garamond" w:hAnsi="Garamond"/>
          <w:sz w:val="22"/>
          <w:szCs w:val="22"/>
          <w:lang w:val="en-US"/>
        </w:rPr>
        <w:t>1997</w:t>
      </w:r>
      <w:r w:rsidRPr="00646EC4">
        <w:rPr>
          <w:rFonts w:ascii="Garamond" w:hAnsi="Garamond"/>
          <w:sz w:val="22"/>
          <w:szCs w:val="22"/>
          <w:lang w:val="en-US"/>
        </w:rPr>
        <w:t>)</w:t>
      </w:r>
    </w:p>
    <w:p w14:paraId="47448B6A" w14:textId="155BACC5" w:rsidR="0031536B" w:rsidRPr="00646EC4" w:rsidRDefault="007B56A8" w:rsidP="00B536A8">
      <w:pPr>
        <w:spacing w:line="360" w:lineRule="auto"/>
        <w:jc w:val="both"/>
        <w:rPr>
          <w:rFonts w:ascii="Garamond" w:hAnsi="Garamond"/>
          <w:sz w:val="22"/>
          <w:szCs w:val="22"/>
          <w:lang w:val="en-US"/>
        </w:rPr>
      </w:pPr>
      <w:r w:rsidRPr="00646EC4">
        <w:rPr>
          <w:rFonts w:ascii="Garamond" w:hAnsi="Garamond"/>
          <w:sz w:val="22"/>
          <w:szCs w:val="22"/>
          <w:lang w:val="en-US"/>
        </w:rPr>
        <w:t xml:space="preserve">Pol., </w:t>
      </w:r>
      <w:r w:rsidR="0031536B" w:rsidRPr="00646EC4">
        <w:rPr>
          <w:rFonts w:ascii="Garamond" w:hAnsi="Garamond"/>
          <w:sz w:val="22"/>
          <w:szCs w:val="22"/>
          <w:lang w:val="en-US"/>
        </w:rPr>
        <w:t>Criminal Code</w:t>
      </w:r>
      <w:r w:rsidR="00BB6E69" w:rsidRPr="00646EC4">
        <w:rPr>
          <w:rFonts w:ascii="Garamond" w:hAnsi="Garamond"/>
          <w:sz w:val="22"/>
          <w:szCs w:val="22"/>
          <w:lang w:val="en-US"/>
        </w:rPr>
        <w:t xml:space="preserve"> (1997)</w:t>
      </w:r>
    </w:p>
    <w:p w14:paraId="2BA54BC2" w14:textId="454D5CFF" w:rsidR="0031536B" w:rsidRPr="00646EC4" w:rsidRDefault="007B56A8" w:rsidP="00B536A8">
      <w:pPr>
        <w:spacing w:line="360" w:lineRule="auto"/>
        <w:jc w:val="both"/>
        <w:rPr>
          <w:rFonts w:ascii="Garamond" w:hAnsi="Garamond"/>
          <w:sz w:val="22"/>
          <w:szCs w:val="22"/>
          <w:lang w:val="en-US"/>
        </w:rPr>
      </w:pPr>
      <w:r w:rsidRPr="00646EC4">
        <w:rPr>
          <w:rFonts w:ascii="Garamond" w:hAnsi="Garamond"/>
          <w:sz w:val="22"/>
          <w:szCs w:val="22"/>
          <w:lang w:val="en-US"/>
        </w:rPr>
        <w:t xml:space="preserve">Pol., </w:t>
      </w:r>
      <w:r w:rsidR="0031536B" w:rsidRPr="00646EC4">
        <w:rPr>
          <w:rFonts w:ascii="Garamond" w:hAnsi="Garamond"/>
          <w:sz w:val="22"/>
          <w:szCs w:val="22"/>
          <w:lang w:val="en-US"/>
        </w:rPr>
        <w:t>Code of Criminal Procedure</w:t>
      </w:r>
      <w:r w:rsidR="00BB6E69" w:rsidRPr="00646EC4">
        <w:rPr>
          <w:rFonts w:ascii="Garamond" w:hAnsi="Garamond"/>
          <w:sz w:val="22"/>
          <w:szCs w:val="22"/>
          <w:lang w:val="en-US"/>
        </w:rPr>
        <w:t xml:space="preserve"> (1997)</w:t>
      </w:r>
    </w:p>
    <w:p w14:paraId="514BE842" w14:textId="3B580430" w:rsidR="00DC25E1" w:rsidRPr="00646EC4" w:rsidRDefault="00B069C7" w:rsidP="00B536A8">
      <w:pPr>
        <w:spacing w:line="360" w:lineRule="auto"/>
        <w:jc w:val="both"/>
        <w:rPr>
          <w:rFonts w:ascii="Garamond" w:hAnsi="Garamond"/>
          <w:sz w:val="22"/>
          <w:szCs w:val="22"/>
          <w:lang w:val="en-US"/>
        </w:rPr>
      </w:pPr>
      <w:r w:rsidRPr="00646EC4">
        <w:rPr>
          <w:rFonts w:ascii="Garamond" w:hAnsi="Garamond"/>
          <w:sz w:val="22"/>
          <w:szCs w:val="22"/>
          <w:lang w:val="en-US"/>
        </w:rPr>
        <w:t>Pol., Act on the Organization of Ordinary Courts (2001)</w:t>
      </w:r>
    </w:p>
    <w:p w14:paraId="3729A7C5" w14:textId="77777777" w:rsidR="00B069C7" w:rsidRPr="00646EC4" w:rsidRDefault="00B069C7" w:rsidP="00B536A8">
      <w:pPr>
        <w:spacing w:line="360" w:lineRule="auto"/>
        <w:jc w:val="both"/>
        <w:rPr>
          <w:rFonts w:ascii="Garamond" w:hAnsi="Garamond"/>
          <w:sz w:val="22"/>
          <w:szCs w:val="22"/>
          <w:lang w:val="en-US"/>
        </w:rPr>
      </w:pPr>
    </w:p>
    <w:p w14:paraId="677CCE68" w14:textId="77777777" w:rsidR="00BB2804" w:rsidRPr="00646EC4" w:rsidRDefault="00BB2804" w:rsidP="00B536A8">
      <w:pPr>
        <w:spacing w:line="360" w:lineRule="auto"/>
        <w:jc w:val="both"/>
        <w:rPr>
          <w:rFonts w:ascii="Garamond" w:hAnsi="Garamond"/>
          <w:sz w:val="22"/>
          <w:szCs w:val="22"/>
          <w:lang w:val="en-US"/>
        </w:rPr>
      </w:pPr>
      <w:r w:rsidRPr="00646EC4">
        <w:rPr>
          <w:rFonts w:ascii="Garamond" w:hAnsi="Garamond"/>
          <w:b/>
          <w:bCs/>
          <w:i/>
          <w:iCs/>
          <w:sz w:val="22"/>
          <w:szCs w:val="22"/>
          <w:u w:val="single"/>
          <w:lang w:val="en-US"/>
        </w:rPr>
        <w:t>Significance</w:t>
      </w:r>
      <w:r w:rsidRPr="00646EC4">
        <w:rPr>
          <w:rFonts w:ascii="Garamond" w:hAnsi="Garamond"/>
          <w:sz w:val="22"/>
          <w:szCs w:val="22"/>
          <w:lang w:val="en-US"/>
        </w:rPr>
        <w:t xml:space="preserve">: </w:t>
      </w:r>
    </w:p>
    <w:p w14:paraId="54D87A58" w14:textId="77777777" w:rsidR="0032719E" w:rsidRPr="00646EC4" w:rsidRDefault="0032719E" w:rsidP="00B536A8">
      <w:pPr>
        <w:spacing w:line="360" w:lineRule="auto"/>
        <w:jc w:val="both"/>
        <w:rPr>
          <w:rFonts w:ascii="Garamond" w:hAnsi="Garamond"/>
          <w:sz w:val="22"/>
          <w:szCs w:val="22"/>
          <w:lang w:val="en-US"/>
        </w:rPr>
      </w:pPr>
    </w:p>
    <w:p w14:paraId="470633E7" w14:textId="17C6229E" w:rsidR="00BB2804" w:rsidRPr="00646EC4" w:rsidRDefault="00BB2804" w:rsidP="00B536A8">
      <w:pPr>
        <w:spacing w:line="360" w:lineRule="auto"/>
        <w:jc w:val="both"/>
        <w:rPr>
          <w:rFonts w:ascii="Garamond" w:hAnsi="Garamond"/>
          <w:sz w:val="22"/>
          <w:szCs w:val="22"/>
          <w:lang w:val="en-US"/>
        </w:rPr>
      </w:pPr>
      <w:r w:rsidRPr="00646EC4">
        <w:rPr>
          <w:rFonts w:ascii="Garamond" w:hAnsi="Garamond"/>
          <w:sz w:val="22"/>
          <w:szCs w:val="22"/>
          <w:lang w:val="en-US"/>
        </w:rPr>
        <w:t xml:space="preserve">The decision establishes a </w:t>
      </w:r>
      <w:r w:rsidR="00C23E10" w:rsidRPr="00646EC4">
        <w:rPr>
          <w:rFonts w:ascii="Garamond" w:hAnsi="Garamond"/>
          <w:sz w:val="22"/>
          <w:szCs w:val="22"/>
          <w:lang w:val="en-US"/>
        </w:rPr>
        <w:t xml:space="preserve">binding or </w:t>
      </w:r>
      <w:r w:rsidRPr="00646EC4">
        <w:rPr>
          <w:rFonts w:ascii="Garamond" w:hAnsi="Garamond"/>
          <w:sz w:val="22"/>
          <w:szCs w:val="22"/>
          <w:lang w:val="en-US"/>
        </w:rPr>
        <w:t>persuasive precedent within its jurisdiction.</w:t>
      </w:r>
    </w:p>
    <w:p w14:paraId="71BD8A64" w14:textId="77777777" w:rsidR="00BB2804" w:rsidRPr="00646EC4" w:rsidRDefault="00BB2804" w:rsidP="00B536A8">
      <w:pPr>
        <w:spacing w:line="360" w:lineRule="auto"/>
        <w:jc w:val="both"/>
        <w:rPr>
          <w:rFonts w:ascii="Garamond" w:hAnsi="Garamond"/>
          <w:sz w:val="22"/>
          <w:szCs w:val="22"/>
          <w:lang w:val="en-US"/>
        </w:rPr>
      </w:pPr>
    </w:p>
    <w:p w14:paraId="0F73208F" w14:textId="77777777" w:rsidR="00BB2804" w:rsidRPr="00F23F4B" w:rsidRDefault="00BB2804" w:rsidP="00B536A8">
      <w:pPr>
        <w:spacing w:line="360" w:lineRule="auto"/>
        <w:jc w:val="both"/>
        <w:rPr>
          <w:rFonts w:ascii="Garamond" w:hAnsi="Garamond"/>
          <w:sz w:val="22"/>
          <w:szCs w:val="22"/>
          <w:lang w:val="en-US"/>
        </w:rPr>
      </w:pPr>
      <w:r w:rsidRPr="00F23F4B">
        <w:rPr>
          <w:rFonts w:ascii="Garamond" w:hAnsi="Garamond"/>
          <w:b/>
          <w:bCs/>
          <w:i/>
          <w:iCs/>
          <w:sz w:val="22"/>
          <w:szCs w:val="22"/>
          <w:u w:val="single"/>
          <w:lang w:val="en-US"/>
        </w:rPr>
        <w:t>Docs</w:t>
      </w:r>
      <w:r w:rsidRPr="00F23F4B">
        <w:rPr>
          <w:rFonts w:ascii="Garamond" w:hAnsi="Garamond"/>
          <w:sz w:val="22"/>
          <w:szCs w:val="22"/>
          <w:lang w:val="en-US"/>
        </w:rPr>
        <w:t xml:space="preserve">: </w:t>
      </w:r>
    </w:p>
    <w:p w14:paraId="4EB4B5BC" w14:textId="77777777" w:rsidR="00BB2804" w:rsidRPr="00F23F4B" w:rsidRDefault="00BB2804" w:rsidP="00B536A8">
      <w:pPr>
        <w:pStyle w:val="ListParagraph"/>
        <w:numPr>
          <w:ilvl w:val="0"/>
          <w:numId w:val="7"/>
        </w:numPr>
        <w:spacing w:line="360" w:lineRule="auto"/>
        <w:jc w:val="both"/>
        <w:rPr>
          <w:rFonts w:ascii="Garamond" w:hAnsi="Garamond"/>
          <w:sz w:val="22"/>
          <w:szCs w:val="22"/>
          <w:lang w:val="en-US"/>
        </w:rPr>
      </w:pPr>
      <w:r w:rsidRPr="00F23F4B">
        <w:rPr>
          <w:rFonts w:ascii="Garamond" w:hAnsi="Garamond"/>
          <w:b/>
          <w:bCs/>
          <w:sz w:val="22"/>
          <w:szCs w:val="22"/>
          <w:lang w:val="en-US"/>
        </w:rPr>
        <w:t>Official Case Documents</w:t>
      </w:r>
      <w:r w:rsidRPr="00F23F4B">
        <w:rPr>
          <w:rFonts w:ascii="Garamond" w:hAnsi="Garamond"/>
          <w:sz w:val="22"/>
          <w:szCs w:val="22"/>
          <w:lang w:val="en-US"/>
        </w:rPr>
        <w:t xml:space="preserve">: </w:t>
      </w:r>
    </w:p>
    <w:p w14:paraId="068A2B3F" w14:textId="77777777" w:rsidR="00DF7737" w:rsidRPr="00F23F4B" w:rsidRDefault="00DF7737" w:rsidP="00B536A8">
      <w:pPr>
        <w:spacing w:line="360" w:lineRule="auto"/>
        <w:jc w:val="both"/>
        <w:rPr>
          <w:rFonts w:ascii="Garamond" w:hAnsi="Garamond"/>
          <w:sz w:val="22"/>
          <w:szCs w:val="22"/>
          <w:lang w:val="en-US"/>
        </w:rPr>
      </w:pPr>
    </w:p>
    <w:p w14:paraId="7AEF1A70" w14:textId="676E2302" w:rsidR="00AD10E2" w:rsidRPr="00F23F4B" w:rsidRDefault="00AD10E2" w:rsidP="00B536A8">
      <w:pPr>
        <w:spacing w:line="360" w:lineRule="auto"/>
        <w:jc w:val="both"/>
        <w:rPr>
          <w:rFonts w:ascii="Garamond" w:hAnsi="Garamond"/>
          <w:b/>
          <w:sz w:val="22"/>
          <w:szCs w:val="22"/>
          <w:lang w:val="en-US"/>
        </w:rPr>
      </w:pPr>
      <w:r w:rsidRPr="00F23F4B">
        <w:rPr>
          <w:rFonts w:ascii="Garamond" w:hAnsi="Garamond"/>
          <w:b/>
          <w:sz w:val="22"/>
          <w:szCs w:val="22"/>
          <w:lang w:val="en-US"/>
        </w:rPr>
        <w:t>Reports, Analysis, and News Articles:</w:t>
      </w:r>
    </w:p>
    <w:p w14:paraId="600D2A9A" w14:textId="77777777" w:rsidR="00987790" w:rsidRPr="00987790" w:rsidRDefault="00987790" w:rsidP="00B536A8">
      <w:pPr>
        <w:spacing w:line="360" w:lineRule="auto"/>
        <w:jc w:val="both"/>
        <w:rPr>
          <w:rFonts w:ascii="Garamond" w:hAnsi="Garamond"/>
          <w:b/>
          <w:color w:val="FF0000"/>
          <w:sz w:val="22"/>
          <w:szCs w:val="22"/>
        </w:rPr>
      </w:pPr>
    </w:p>
    <w:p w14:paraId="7BFF1B9D" w14:textId="0CE8C121" w:rsidR="0034684E" w:rsidRPr="004715F4" w:rsidRDefault="00987790" w:rsidP="00B536A8">
      <w:pPr>
        <w:spacing w:line="360" w:lineRule="auto"/>
        <w:jc w:val="both"/>
        <w:rPr>
          <w:rFonts w:ascii="Garamond" w:hAnsi="Garamond"/>
          <w:b/>
          <w:sz w:val="22"/>
          <w:szCs w:val="22"/>
        </w:rPr>
      </w:pPr>
      <w:r w:rsidRPr="004715F4">
        <w:rPr>
          <w:rFonts w:ascii="Garamond" w:hAnsi="Garamond"/>
          <w:b/>
          <w:sz w:val="22"/>
          <w:szCs w:val="22"/>
        </w:rPr>
        <w:t>The Case of Judge Igor Tuleya: Continued Threats to Judicial Independence in Poland (2020)</w:t>
      </w:r>
    </w:p>
    <w:p w14:paraId="2886A59D" w14:textId="39CF0CD5" w:rsidR="004715F4" w:rsidRPr="004715F4" w:rsidRDefault="00987790" w:rsidP="00B536A8">
      <w:pPr>
        <w:spacing w:line="360" w:lineRule="auto"/>
        <w:jc w:val="both"/>
        <w:rPr>
          <w:rFonts w:ascii="Garamond" w:hAnsi="Garamond"/>
          <w:sz w:val="22"/>
          <w:szCs w:val="22"/>
        </w:rPr>
      </w:pPr>
      <w:hyperlink r:id="rId9" w:history="1">
        <w:r w:rsidRPr="00EB7154">
          <w:rPr>
            <w:rStyle w:val="Hyperlink"/>
            <w:rFonts w:ascii="Garamond" w:hAnsi="Garamond"/>
            <w:sz w:val="22"/>
            <w:szCs w:val="22"/>
          </w:rPr>
          <w:t>https://www.americanbar.org/groups/human_rights/reports/the-case-of-judge-igor-tuleya--continued-threats-to-judicial-ind/</w:t>
        </w:r>
      </w:hyperlink>
    </w:p>
    <w:p w14:paraId="60B389EC" w14:textId="0421159D" w:rsidR="004715F4" w:rsidRPr="004715F4" w:rsidRDefault="004715F4" w:rsidP="00B536A8">
      <w:pPr>
        <w:spacing w:line="360" w:lineRule="auto"/>
        <w:jc w:val="both"/>
        <w:rPr>
          <w:rFonts w:ascii="Garamond" w:hAnsi="Garamond"/>
          <w:b/>
          <w:sz w:val="22"/>
          <w:szCs w:val="22"/>
          <w:lang w:val="en-US"/>
        </w:rPr>
      </w:pPr>
      <w:r w:rsidRPr="004715F4">
        <w:rPr>
          <w:rFonts w:ascii="Garamond" w:hAnsi="Garamond"/>
          <w:b/>
          <w:sz w:val="22"/>
          <w:szCs w:val="22"/>
          <w:lang w:val="en-US"/>
        </w:rPr>
        <w:t>Poland violated rights of judge critical of government reforms, rules European court (2023)</w:t>
      </w:r>
    </w:p>
    <w:p w14:paraId="0446E901" w14:textId="199D122D" w:rsidR="004715F4" w:rsidRDefault="004715F4" w:rsidP="00B536A8">
      <w:pPr>
        <w:spacing w:line="360" w:lineRule="auto"/>
        <w:jc w:val="both"/>
        <w:rPr>
          <w:rFonts w:ascii="Garamond" w:hAnsi="Garamond"/>
          <w:sz w:val="22"/>
          <w:szCs w:val="22"/>
          <w:lang w:val="en-US"/>
        </w:rPr>
      </w:pPr>
      <w:hyperlink r:id="rId10" w:history="1">
        <w:r w:rsidRPr="00EB7154">
          <w:rPr>
            <w:rStyle w:val="Hyperlink"/>
            <w:rFonts w:ascii="Garamond" w:hAnsi="Garamond"/>
            <w:sz w:val="22"/>
            <w:szCs w:val="22"/>
            <w:lang w:val="en-US"/>
          </w:rPr>
          <w:t>https://notesfrompoland.com/2023/07/06/poland-violated-rights-of-judge-critical-of-government-reforms-rules-european-court/</w:t>
        </w:r>
      </w:hyperlink>
    </w:p>
    <w:p w14:paraId="2F656AFC" w14:textId="10C76C0E" w:rsidR="004715F4" w:rsidRPr="004715F4" w:rsidRDefault="004715F4" w:rsidP="00B536A8">
      <w:pPr>
        <w:spacing w:line="360" w:lineRule="auto"/>
        <w:jc w:val="both"/>
        <w:rPr>
          <w:rFonts w:ascii="Garamond" w:hAnsi="Garamond"/>
          <w:b/>
          <w:sz w:val="22"/>
          <w:szCs w:val="22"/>
          <w:lang w:val="en-US"/>
        </w:rPr>
      </w:pPr>
      <w:r w:rsidRPr="004715F4">
        <w:rPr>
          <w:rFonts w:ascii="Garamond" w:hAnsi="Garamond"/>
          <w:b/>
          <w:sz w:val="22"/>
          <w:szCs w:val="22"/>
          <w:lang w:val="en-US"/>
        </w:rPr>
        <w:t>"Another battle won". ECHR ruled Poland violated judge Igor Tuleya's rights (2023)</w:t>
      </w:r>
    </w:p>
    <w:p w14:paraId="63A964C9" w14:textId="59688401" w:rsidR="004715F4" w:rsidRPr="004715F4" w:rsidRDefault="004715F4" w:rsidP="00B536A8">
      <w:pPr>
        <w:spacing w:line="360" w:lineRule="auto"/>
        <w:jc w:val="both"/>
        <w:rPr>
          <w:rFonts w:ascii="Garamond" w:hAnsi="Garamond"/>
          <w:sz w:val="22"/>
          <w:szCs w:val="22"/>
          <w:lang w:val="en-US"/>
        </w:rPr>
      </w:pPr>
      <w:hyperlink r:id="rId11" w:history="1">
        <w:r w:rsidRPr="004715F4">
          <w:rPr>
            <w:rStyle w:val="Hyperlink"/>
            <w:rFonts w:ascii="Garamond" w:hAnsi="Garamond"/>
            <w:sz w:val="22"/>
            <w:szCs w:val="22"/>
            <w:lang w:val="en-US"/>
          </w:rPr>
          <w:t>https://tvn24.pl/tvn24-news-in-english/echr-orders-poland-to-compensate-judge-igor-tuleya-for-violating-his-rights-st7206880</w:t>
        </w:r>
      </w:hyperlink>
    </w:p>
    <w:p w14:paraId="44280D80" w14:textId="6B82C707" w:rsidR="004715F4" w:rsidRPr="004715F4" w:rsidRDefault="004715F4" w:rsidP="00B536A8">
      <w:pPr>
        <w:spacing w:line="360" w:lineRule="auto"/>
        <w:jc w:val="both"/>
        <w:rPr>
          <w:rFonts w:ascii="Garamond" w:hAnsi="Garamond"/>
          <w:b/>
          <w:sz w:val="22"/>
          <w:szCs w:val="22"/>
          <w:lang w:val="en-US"/>
        </w:rPr>
      </w:pPr>
      <w:r w:rsidRPr="004715F4">
        <w:rPr>
          <w:rFonts w:ascii="Garamond" w:hAnsi="Garamond"/>
          <w:b/>
          <w:sz w:val="22"/>
          <w:szCs w:val="22"/>
          <w:lang w:val="en-US"/>
        </w:rPr>
        <w:t>European Court of Human Rights: ICJ welcomes a landmark decision upholding judicial independence in Poland</w:t>
      </w:r>
      <w:r>
        <w:rPr>
          <w:rFonts w:ascii="Garamond" w:hAnsi="Garamond"/>
          <w:b/>
          <w:sz w:val="22"/>
          <w:szCs w:val="22"/>
          <w:lang w:val="en-US"/>
        </w:rPr>
        <w:t xml:space="preserve"> (2023)</w:t>
      </w:r>
    </w:p>
    <w:p w14:paraId="4595A3C8" w14:textId="0A5B4B25" w:rsidR="004715F4" w:rsidRDefault="004715F4" w:rsidP="00B536A8">
      <w:pPr>
        <w:spacing w:line="360" w:lineRule="auto"/>
        <w:jc w:val="both"/>
        <w:rPr>
          <w:rFonts w:ascii="Garamond" w:hAnsi="Garamond"/>
          <w:sz w:val="22"/>
          <w:szCs w:val="22"/>
          <w:lang w:val="en-US"/>
        </w:rPr>
      </w:pPr>
      <w:hyperlink r:id="rId12" w:history="1">
        <w:r w:rsidRPr="00EB7154">
          <w:rPr>
            <w:rStyle w:val="Hyperlink"/>
            <w:rFonts w:ascii="Garamond" w:hAnsi="Garamond"/>
            <w:sz w:val="22"/>
            <w:szCs w:val="22"/>
            <w:lang w:val="en-US"/>
          </w:rPr>
          <w:t>https://www.icj.org/european-court-of-human-rights-icj-welcomes-a-landmark-decision-upholding-judicial-independence-in-poland/</w:t>
        </w:r>
      </w:hyperlink>
    </w:p>
    <w:p w14:paraId="54D25ABA" w14:textId="77777777" w:rsidR="004715F4" w:rsidRPr="0034684E" w:rsidRDefault="004715F4" w:rsidP="00B536A8">
      <w:pPr>
        <w:spacing w:line="360" w:lineRule="auto"/>
        <w:jc w:val="both"/>
        <w:rPr>
          <w:rFonts w:ascii="Garamond" w:hAnsi="Garamond"/>
          <w:color w:val="FF0000"/>
          <w:sz w:val="22"/>
          <w:szCs w:val="22"/>
          <w:lang w:val="en-US"/>
        </w:rPr>
      </w:pPr>
    </w:p>
    <w:p w14:paraId="7CC7D661" w14:textId="3750C0AD" w:rsidR="00AD10E2" w:rsidRPr="00F23F4B" w:rsidRDefault="00AD10E2" w:rsidP="00B536A8">
      <w:pPr>
        <w:spacing w:line="360" w:lineRule="auto"/>
        <w:jc w:val="both"/>
        <w:rPr>
          <w:rFonts w:ascii="Garamond" w:hAnsi="Garamond"/>
          <w:b/>
          <w:sz w:val="22"/>
          <w:szCs w:val="22"/>
          <w:lang w:val="en-US"/>
        </w:rPr>
      </w:pPr>
      <w:r w:rsidRPr="00F23F4B">
        <w:rPr>
          <w:rFonts w:ascii="Garamond" w:hAnsi="Garamond"/>
          <w:b/>
          <w:sz w:val="22"/>
          <w:szCs w:val="22"/>
          <w:lang w:val="en-US"/>
        </w:rPr>
        <w:t>Attachments:</w:t>
      </w:r>
    </w:p>
    <w:p w14:paraId="6F4534F3" w14:textId="59318D55" w:rsidR="008602F3" w:rsidRDefault="008602F3" w:rsidP="00B536A8">
      <w:pPr>
        <w:jc w:val="both"/>
      </w:pPr>
    </w:p>
    <w:p w14:paraId="5D07D8A2" w14:textId="065B225C" w:rsidR="00C43237" w:rsidRPr="00646EC4" w:rsidRDefault="00646EC4" w:rsidP="00B536A8">
      <w:pPr>
        <w:jc w:val="both"/>
        <w:rPr>
          <w:rFonts w:ascii="Garamond" w:hAnsi="Garamond"/>
          <w:b/>
          <w:sz w:val="22"/>
        </w:rPr>
      </w:pPr>
      <w:hyperlink r:id="rId13" w:anchor="{%22itemid%22:[%22001-225672%22]}" w:history="1">
        <w:r w:rsidRPr="00646EC4">
          <w:rPr>
            <w:rStyle w:val="Hyperlink"/>
            <w:rFonts w:ascii="Garamond" w:hAnsi="Garamond"/>
            <w:b/>
            <w:sz w:val="22"/>
          </w:rPr>
          <w:t>Judgement</w:t>
        </w:r>
      </w:hyperlink>
    </w:p>
    <w:p w14:paraId="5E871063" w14:textId="77777777" w:rsidR="00646EC4" w:rsidRPr="00646EC4" w:rsidRDefault="00646EC4" w:rsidP="00B536A8">
      <w:pPr>
        <w:jc w:val="both"/>
        <w:rPr>
          <w:rFonts w:ascii="Garamond" w:hAnsi="Garamond"/>
          <w:sz w:val="20"/>
          <w:szCs w:val="22"/>
          <w:lang w:val="en-US"/>
        </w:rPr>
      </w:pPr>
    </w:p>
    <w:p w14:paraId="78519A84" w14:textId="77777777" w:rsidR="00B536A8" w:rsidRPr="00646EC4" w:rsidRDefault="00B536A8">
      <w:pPr>
        <w:jc w:val="both"/>
        <w:rPr>
          <w:rFonts w:ascii="Garamond" w:hAnsi="Garamond"/>
          <w:sz w:val="20"/>
          <w:szCs w:val="22"/>
          <w:lang w:val="en-US"/>
        </w:rPr>
      </w:pPr>
    </w:p>
    <w:sectPr w:rsidR="00B536A8" w:rsidRPr="00646EC4" w:rsidSect="00936DC8">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E92A7" w14:textId="77777777" w:rsidR="007F7C49" w:rsidRDefault="007F7C49" w:rsidP="005649B8">
      <w:r>
        <w:separator/>
      </w:r>
    </w:p>
  </w:endnote>
  <w:endnote w:type="continuationSeparator" w:id="0">
    <w:p w14:paraId="56C184B2" w14:textId="77777777" w:rsidR="007F7C49" w:rsidRDefault="007F7C49" w:rsidP="00564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87217" w14:textId="35DC0751" w:rsidR="00F730FB" w:rsidRDefault="00F730FB" w:rsidP="003A69E1">
    <w:pPr>
      <w:pStyle w:val="Footer"/>
      <w:tabs>
        <w:tab w:val="center" w:pos="5233"/>
        <w:tab w:val="left" w:pos="6045"/>
      </w:tabs>
    </w:pPr>
    <w:r>
      <w:tab/>
    </w:r>
    <w:r>
      <w:tab/>
    </w:r>
    <w:sdt>
      <w:sdtPr>
        <w:id w:val="-132319234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F7C49">
          <w:rPr>
            <w:noProof/>
          </w:rPr>
          <w:t>1</w:t>
        </w:r>
        <w:r>
          <w:rPr>
            <w:noProof/>
          </w:rPr>
          <w:fldChar w:fldCharType="end"/>
        </w:r>
      </w:sdtContent>
    </w:sdt>
    <w:r>
      <w:rPr>
        <w:noProof/>
      </w:rPr>
      <w:tab/>
    </w:r>
  </w:p>
  <w:p w14:paraId="1DE7D7F6" w14:textId="77777777" w:rsidR="00F730FB" w:rsidRDefault="00F730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E3692" w14:textId="77777777" w:rsidR="007F7C49" w:rsidRDefault="007F7C49" w:rsidP="005649B8">
      <w:r>
        <w:separator/>
      </w:r>
    </w:p>
  </w:footnote>
  <w:footnote w:type="continuationSeparator" w:id="0">
    <w:p w14:paraId="2886F584" w14:textId="77777777" w:rsidR="007F7C49" w:rsidRDefault="007F7C49" w:rsidP="005649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64F"/>
    <w:multiLevelType w:val="hybridMultilevel"/>
    <w:tmpl w:val="3138A1C6"/>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F721DF"/>
    <w:multiLevelType w:val="hybridMultilevel"/>
    <w:tmpl w:val="E0DE5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C1FE7"/>
    <w:multiLevelType w:val="hybridMultilevel"/>
    <w:tmpl w:val="63320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7A39F3"/>
    <w:multiLevelType w:val="hybridMultilevel"/>
    <w:tmpl w:val="7A1E43DE"/>
    <w:lvl w:ilvl="0" w:tplc="08090003">
      <w:start w:val="1"/>
      <w:numFmt w:val="bullet"/>
      <w:lvlText w:val="o"/>
      <w:lvlJc w:val="left"/>
      <w:pPr>
        <w:ind w:left="501" w:hanging="360"/>
      </w:pPr>
      <w:rPr>
        <w:rFonts w:ascii="Courier New" w:hAnsi="Courier New" w:cs="Courier New"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
    <w:nsid w:val="1A1020AC"/>
    <w:multiLevelType w:val="hybridMultilevel"/>
    <w:tmpl w:val="B1603EDA"/>
    <w:lvl w:ilvl="0" w:tplc="7CEA904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B3D26A3"/>
    <w:multiLevelType w:val="hybridMultilevel"/>
    <w:tmpl w:val="98B60686"/>
    <w:lvl w:ilvl="0" w:tplc="66984000">
      <w:start w:val="1"/>
      <w:numFmt w:val="decimal"/>
      <w:lvlText w:val="%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7466EF"/>
    <w:multiLevelType w:val="hybridMultilevel"/>
    <w:tmpl w:val="5CF6DB7C"/>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28D7D7C"/>
    <w:multiLevelType w:val="hybridMultilevel"/>
    <w:tmpl w:val="29621128"/>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E3A6D6F"/>
    <w:multiLevelType w:val="hybridMultilevel"/>
    <w:tmpl w:val="EFC62AD8"/>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1F058EB"/>
    <w:multiLevelType w:val="hybridMultilevel"/>
    <w:tmpl w:val="C7CEBC52"/>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448400A"/>
    <w:multiLevelType w:val="hybridMultilevel"/>
    <w:tmpl w:val="AF9EBB7C"/>
    <w:lvl w:ilvl="0" w:tplc="B62A095E">
      <w:start w:val="28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73495E"/>
    <w:multiLevelType w:val="hybridMultilevel"/>
    <w:tmpl w:val="9D1E253E"/>
    <w:lvl w:ilvl="0" w:tplc="7CEA904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F1B1073"/>
    <w:multiLevelType w:val="hybridMultilevel"/>
    <w:tmpl w:val="9D80B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4"/>
  </w:num>
  <w:num w:numId="5">
    <w:abstractNumId w:val="8"/>
  </w:num>
  <w:num w:numId="6">
    <w:abstractNumId w:val="11"/>
  </w:num>
  <w:num w:numId="7">
    <w:abstractNumId w:val="6"/>
  </w:num>
  <w:num w:numId="8">
    <w:abstractNumId w:val="3"/>
  </w:num>
  <w:num w:numId="9">
    <w:abstractNumId w:val="10"/>
  </w:num>
  <w:num w:numId="10">
    <w:abstractNumId w:val="2"/>
  </w:num>
  <w:num w:numId="11">
    <w:abstractNumId w:val="5"/>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804"/>
    <w:rsid w:val="0000291B"/>
    <w:rsid w:val="0000359C"/>
    <w:rsid w:val="0000362F"/>
    <w:rsid w:val="000047BA"/>
    <w:rsid w:val="00006C9B"/>
    <w:rsid w:val="00010646"/>
    <w:rsid w:val="000110E3"/>
    <w:rsid w:val="0001367A"/>
    <w:rsid w:val="000153D3"/>
    <w:rsid w:val="00017001"/>
    <w:rsid w:val="00020A01"/>
    <w:rsid w:val="00022513"/>
    <w:rsid w:val="0002351A"/>
    <w:rsid w:val="00025B4A"/>
    <w:rsid w:val="00026219"/>
    <w:rsid w:val="00030297"/>
    <w:rsid w:val="00030EB8"/>
    <w:rsid w:val="00034158"/>
    <w:rsid w:val="000345BD"/>
    <w:rsid w:val="00034F1F"/>
    <w:rsid w:val="0003559C"/>
    <w:rsid w:val="00035C43"/>
    <w:rsid w:val="00036835"/>
    <w:rsid w:val="00036E61"/>
    <w:rsid w:val="00043623"/>
    <w:rsid w:val="00044ADA"/>
    <w:rsid w:val="00046FE8"/>
    <w:rsid w:val="00047DF5"/>
    <w:rsid w:val="000525A3"/>
    <w:rsid w:val="00054A30"/>
    <w:rsid w:val="00054D24"/>
    <w:rsid w:val="00057E5C"/>
    <w:rsid w:val="00060E10"/>
    <w:rsid w:val="00061C55"/>
    <w:rsid w:val="000639F6"/>
    <w:rsid w:val="00063F0F"/>
    <w:rsid w:val="000646F4"/>
    <w:rsid w:val="00064C29"/>
    <w:rsid w:val="00065F2C"/>
    <w:rsid w:val="00071036"/>
    <w:rsid w:val="00071E56"/>
    <w:rsid w:val="00073614"/>
    <w:rsid w:val="00073A00"/>
    <w:rsid w:val="00074D3D"/>
    <w:rsid w:val="00077BA0"/>
    <w:rsid w:val="00077F10"/>
    <w:rsid w:val="000803EC"/>
    <w:rsid w:val="00080D1E"/>
    <w:rsid w:val="000810E8"/>
    <w:rsid w:val="000822C8"/>
    <w:rsid w:val="00086E1B"/>
    <w:rsid w:val="000872DF"/>
    <w:rsid w:val="0008799F"/>
    <w:rsid w:val="000959F5"/>
    <w:rsid w:val="000964E6"/>
    <w:rsid w:val="00096E53"/>
    <w:rsid w:val="00097D68"/>
    <w:rsid w:val="000A0596"/>
    <w:rsid w:val="000A1177"/>
    <w:rsid w:val="000A183B"/>
    <w:rsid w:val="000A50A1"/>
    <w:rsid w:val="000A5395"/>
    <w:rsid w:val="000B4B60"/>
    <w:rsid w:val="000B66A3"/>
    <w:rsid w:val="000B681F"/>
    <w:rsid w:val="000C1627"/>
    <w:rsid w:val="000C1759"/>
    <w:rsid w:val="000C1EDA"/>
    <w:rsid w:val="000C2143"/>
    <w:rsid w:val="000C3375"/>
    <w:rsid w:val="000C3530"/>
    <w:rsid w:val="000C63C7"/>
    <w:rsid w:val="000D0B3D"/>
    <w:rsid w:val="000D31D2"/>
    <w:rsid w:val="000D38AE"/>
    <w:rsid w:val="000D66DE"/>
    <w:rsid w:val="000D722C"/>
    <w:rsid w:val="000E009B"/>
    <w:rsid w:val="000E1458"/>
    <w:rsid w:val="000E4D6A"/>
    <w:rsid w:val="000E5024"/>
    <w:rsid w:val="000E60DF"/>
    <w:rsid w:val="000E729A"/>
    <w:rsid w:val="000F08E0"/>
    <w:rsid w:val="000F14BB"/>
    <w:rsid w:val="000F3A61"/>
    <w:rsid w:val="000F4323"/>
    <w:rsid w:val="000F50FB"/>
    <w:rsid w:val="000F58A1"/>
    <w:rsid w:val="001038A8"/>
    <w:rsid w:val="00105B90"/>
    <w:rsid w:val="001063A8"/>
    <w:rsid w:val="00113170"/>
    <w:rsid w:val="0011450B"/>
    <w:rsid w:val="001169E1"/>
    <w:rsid w:val="00116E5C"/>
    <w:rsid w:val="00117EE7"/>
    <w:rsid w:val="00117F90"/>
    <w:rsid w:val="00122E50"/>
    <w:rsid w:val="001241B5"/>
    <w:rsid w:val="00124783"/>
    <w:rsid w:val="00124C4E"/>
    <w:rsid w:val="00125730"/>
    <w:rsid w:val="00133943"/>
    <w:rsid w:val="00142C94"/>
    <w:rsid w:val="00142CE4"/>
    <w:rsid w:val="00143F87"/>
    <w:rsid w:val="00144E0C"/>
    <w:rsid w:val="00145130"/>
    <w:rsid w:val="0014530F"/>
    <w:rsid w:val="001457A3"/>
    <w:rsid w:val="0014645A"/>
    <w:rsid w:val="00151021"/>
    <w:rsid w:val="00151168"/>
    <w:rsid w:val="00152E2D"/>
    <w:rsid w:val="00153CD8"/>
    <w:rsid w:val="00154839"/>
    <w:rsid w:val="00154C52"/>
    <w:rsid w:val="001554B5"/>
    <w:rsid w:val="00156AEC"/>
    <w:rsid w:val="001650DC"/>
    <w:rsid w:val="00173355"/>
    <w:rsid w:val="00176889"/>
    <w:rsid w:val="00176CCA"/>
    <w:rsid w:val="00177997"/>
    <w:rsid w:val="00181333"/>
    <w:rsid w:val="001832EA"/>
    <w:rsid w:val="00183D1A"/>
    <w:rsid w:val="00184437"/>
    <w:rsid w:val="0019011E"/>
    <w:rsid w:val="0019174D"/>
    <w:rsid w:val="001941CB"/>
    <w:rsid w:val="001A00C3"/>
    <w:rsid w:val="001A2129"/>
    <w:rsid w:val="001A2EAE"/>
    <w:rsid w:val="001A31DB"/>
    <w:rsid w:val="001A3293"/>
    <w:rsid w:val="001A4A74"/>
    <w:rsid w:val="001A50B0"/>
    <w:rsid w:val="001A6B56"/>
    <w:rsid w:val="001B3549"/>
    <w:rsid w:val="001B4F2E"/>
    <w:rsid w:val="001B5F43"/>
    <w:rsid w:val="001C2FD9"/>
    <w:rsid w:val="001C352B"/>
    <w:rsid w:val="001C3575"/>
    <w:rsid w:val="001C5208"/>
    <w:rsid w:val="001C6655"/>
    <w:rsid w:val="001D1F75"/>
    <w:rsid w:val="001D7503"/>
    <w:rsid w:val="001E0E1C"/>
    <w:rsid w:val="001E2771"/>
    <w:rsid w:val="001E4432"/>
    <w:rsid w:val="001E4D3A"/>
    <w:rsid w:val="001F2A39"/>
    <w:rsid w:val="001F4DBE"/>
    <w:rsid w:val="001F50FF"/>
    <w:rsid w:val="001F5591"/>
    <w:rsid w:val="002026CF"/>
    <w:rsid w:val="002031B2"/>
    <w:rsid w:val="00203474"/>
    <w:rsid w:val="00204CF3"/>
    <w:rsid w:val="00204E90"/>
    <w:rsid w:val="00206C1D"/>
    <w:rsid w:val="00210281"/>
    <w:rsid w:val="00212E48"/>
    <w:rsid w:val="002132BB"/>
    <w:rsid w:val="00213E27"/>
    <w:rsid w:val="00214766"/>
    <w:rsid w:val="002168F9"/>
    <w:rsid w:val="002176B8"/>
    <w:rsid w:val="002247A2"/>
    <w:rsid w:val="00225976"/>
    <w:rsid w:val="00226488"/>
    <w:rsid w:val="00226503"/>
    <w:rsid w:val="00233076"/>
    <w:rsid w:val="00234ACE"/>
    <w:rsid w:val="002358E7"/>
    <w:rsid w:val="0023774E"/>
    <w:rsid w:val="0024005C"/>
    <w:rsid w:val="00241B78"/>
    <w:rsid w:val="00242808"/>
    <w:rsid w:val="00244172"/>
    <w:rsid w:val="00246001"/>
    <w:rsid w:val="00246935"/>
    <w:rsid w:val="002514E0"/>
    <w:rsid w:val="00252054"/>
    <w:rsid w:val="00252FF9"/>
    <w:rsid w:val="00253698"/>
    <w:rsid w:val="00255D0B"/>
    <w:rsid w:val="00255F21"/>
    <w:rsid w:val="002567D3"/>
    <w:rsid w:val="00260849"/>
    <w:rsid w:val="00261E48"/>
    <w:rsid w:val="00263EB8"/>
    <w:rsid w:val="002649AB"/>
    <w:rsid w:val="00265172"/>
    <w:rsid w:val="002660FE"/>
    <w:rsid w:val="002670F0"/>
    <w:rsid w:val="00267391"/>
    <w:rsid w:val="0027019F"/>
    <w:rsid w:val="00271601"/>
    <w:rsid w:val="00271A20"/>
    <w:rsid w:val="00272504"/>
    <w:rsid w:val="00272D45"/>
    <w:rsid w:val="0027612A"/>
    <w:rsid w:val="00276D37"/>
    <w:rsid w:val="00281F90"/>
    <w:rsid w:val="0028287F"/>
    <w:rsid w:val="00284E3E"/>
    <w:rsid w:val="0029093B"/>
    <w:rsid w:val="00293AC4"/>
    <w:rsid w:val="00293B37"/>
    <w:rsid w:val="00293C8B"/>
    <w:rsid w:val="0029421B"/>
    <w:rsid w:val="0029423D"/>
    <w:rsid w:val="0029491E"/>
    <w:rsid w:val="00295148"/>
    <w:rsid w:val="002960AD"/>
    <w:rsid w:val="0029611C"/>
    <w:rsid w:val="002A06D8"/>
    <w:rsid w:val="002A35A8"/>
    <w:rsid w:val="002A7DD7"/>
    <w:rsid w:val="002B07E6"/>
    <w:rsid w:val="002B30C9"/>
    <w:rsid w:val="002C0736"/>
    <w:rsid w:val="002C0BF6"/>
    <w:rsid w:val="002C1440"/>
    <w:rsid w:val="002C3FE6"/>
    <w:rsid w:val="002C47E9"/>
    <w:rsid w:val="002C4EF6"/>
    <w:rsid w:val="002C6170"/>
    <w:rsid w:val="002D0970"/>
    <w:rsid w:val="002D1114"/>
    <w:rsid w:val="002D1C7C"/>
    <w:rsid w:val="002D402D"/>
    <w:rsid w:val="002E1E37"/>
    <w:rsid w:val="002F4414"/>
    <w:rsid w:val="002F68B2"/>
    <w:rsid w:val="002F69D1"/>
    <w:rsid w:val="002F6D70"/>
    <w:rsid w:val="002F6F96"/>
    <w:rsid w:val="0030350E"/>
    <w:rsid w:val="0030383A"/>
    <w:rsid w:val="00303E85"/>
    <w:rsid w:val="00304EED"/>
    <w:rsid w:val="00305358"/>
    <w:rsid w:val="003055A1"/>
    <w:rsid w:val="00305FDA"/>
    <w:rsid w:val="003078BB"/>
    <w:rsid w:val="00312C20"/>
    <w:rsid w:val="003131E0"/>
    <w:rsid w:val="0031536B"/>
    <w:rsid w:val="00316D50"/>
    <w:rsid w:val="00321557"/>
    <w:rsid w:val="003219BA"/>
    <w:rsid w:val="00323173"/>
    <w:rsid w:val="00325F0F"/>
    <w:rsid w:val="003266A8"/>
    <w:rsid w:val="00326BE1"/>
    <w:rsid w:val="0032719E"/>
    <w:rsid w:val="00330BF5"/>
    <w:rsid w:val="00330EB9"/>
    <w:rsid w:val="00331BA3"/>
    <w:rsid w:val="0033475E"/>
    <w:rsid w:val="003357F3"/>
    <w:rsid w:val="003362A6"/>
    <w:rsid w:val="00337DE0"/>
    <w:rsid w:val="00341982"/>
    <w:rsid w:val="00341B68"/>
    <w:rsid w:val="00341D50"/>
    <w:rsid w:val="00342E49"/>
    <w:rsid w:val="00344812"/>
    <w:rsid w:val="00344D0E"/>
    <w:rsid w:val="0034684E"/>
    <w:rsid w:val="00347B3D"/>
    <w:rsid w:val="00351D10"/>
    <w:rsid w:val="0035234D"/>
    <w:rsid w:val="003548C7"/>
    <w:rsid w:val="00355846"/>
    <w:rsid w:val="00355E05"/>
    <w:rsid w:val="00361BD4"/>
    <w:rsid w:val="003623ED"/>
    <w:rsid w:val="003637D3"/>
    <w:rsid w:val="003645D2"/>
    <w:rsid w:val="0036569E"/>
    <w:rsid w:val="003668DD"/>
    <w:rsid w:val="00367678"/>
    <w:rsid w:val="0037057A"/>
    <w:rsid w:val="00375B55"/>
    <w:rsid w:val="003769D7"/>
    <w:rsid w:val="003778E8"/>
    <w:rsid w:val="0037790E"/>
    <w:rsid w:val="003800BF"/>
    <w:rsid w:val="00381B7B"/>
    <w:rsid w:val="00383EDB"/>
    <w:rsid w:val="0038446F"/>
    <w:rsid w:val="00392A58"/>
    <w:rsid w:val="00392A6B"/>
    <w:rsid w:val="00394B17"/>
    <w:rsid w:val="00395A3C"/>
    <w:rsid w:val="003A0732"/>
    <w:rsid w:val="003A1E08"/>
    <w:rsid w:val="003A1FFA"/>
    <w:rsid w:val="003A2363"/>
    <w:rsid w:val="003A2D28"/>
    <w:rsid w:val="003A3DFD"/>
    <w:rsid w:val="003A620D"/>
    <w:rsid w:val="003A69E1"/>
    <w:rsid w:val="003B2CFB"/>
    <w:rsid w:val="003B390A"/>
    <w:rsid w:val="003D040E"/>
    <w:rsid w:val="003D071D"/>
    <w:rsid w:val="003D1D7B"/>
    <w:rsid w:val="003D1F52"/>
    <w:rsid w:val="003D3B29"/>
    <w:rsid w:val="003D4308"/>
    <w:rsid w:val="003E0E22"/>
    <w:rsid w:val="003E28C8"/>
    <w:rsid w:val="003E37DB"/>
    <w:rsid w:val="003E7771"/>
    <w:rsid w:val="003F0FF8"/>
    <w:rsid w:val="003F169C"/>
    <w:rsid w:val="003F27E2"/>
    <w:rsid w:val="003F2FD6"/>
    <w:rsid w:val="003F3BE0"/>
    <w:rsid w:val="003F53A4"/>
    <w:rsid w:val="003F684B"/>
    <w:rsid w:val="0040049B"/>
    <w:rsid w:val="00402643"/>
    <w:rsid w:val="004054C4"/>
    <w:rsid w:val="004057A9"/>
    <w:rsid w:val="004070D5"/>
    <w:rsid w:val="004102F7"/>
    <w:rsid w:val="0041080F"/>
    <w:rsid w:val="00410EA6"/>
    <w:rsid w:val="004117C5"/>
    <w:rsid w:val="00411A10"/>
    <w:rsid w:val="00416224"/>
    <w:rsid w:val="00417FA9"/>
    <w:rsid w:val="00420273"/>
    <w:rsid w:val="004202B2"/>
    <w:rsid w:val="00420B41"/>
    <w:rsid w:val="00421272"/>
    <w:rsid w:val="0042136C"/>
    <w:rsid w:val="00425ADD"/>
    <w:rsid w:val="00425B72"/>
    <w:rsid w:val="00425CFD"/>
    <w:rsid w:val="00426E4C"/>
    <w:rsid w:val="00427236"/>
    <w:rsid w:val="00430F42"/>
    <w:rsid w:val="00431828"/>
    <w:rsid w:val="0043475D"/>
    <w:rsid w:val="004357BE"/>
    <w:rsid w:val="00442BF5"/>
    <w:rsid w:val="00444E58"/>
    <w:rsid w:val="0044668C"/>
    <w:rsid w:val="00446F0A"/>
    <w:rsid w:val="0045063B"/>
    <w:rsid w:val="004508C3"/>
    <w:rsid w:val="0045158D"/>
    <w:rsid w:val="0045189F"/>
    <w:rsid w:val="004518AB"/>
    <w:rsid w:val="00456285"/>
    <w:rsid w:val="00456B21"/>
    <w:rsid w:val="00457776"/>
    <w:rsid w:val="004602AE"/>
    <w:rsid w:val="00463406"/>
    <w:rsid w:val="00463D53"/>
    <w:rsid w:val="004643B0"/>
    <w:rsid w:val="00466503"/>
    <w:rsid w:val="00466F1E"/>
    <w:rsid w:val="0046770E"/>
    <w:rsid w:val="004715F4"/>
    <w:rsid w:val="00471E69"/>
    <w:rsid w:val="0047331E"/>
    <w:rsid w:val="00474095"/>
    <w:rsid w:val="004829F9"/>
    <w:rsid w:val="00483AF5"/>
    <w:rsid w:val="0049071B"/>
    <w:rsid w:val="00491C31"/>
    <w:rsid w:val="0049495F"/>
    <w:rsid w:val="00495443"/>
    <w:rsid w:val="00497A0B"/>
    <w:rsid w:val="004A18F6"/>
    <w:rsid w:val="004A1BDF"/>
    <w:rsid w:val="004A21E2"/>
    <w:rsid w:val="004A2EC8"/>
    <w:rsid w:val="004A410A"/>
    <w:rsid w:val="004A5B27"/>
    <w:rsid w:val="004A7672"/>
    <w:rsid w:val="004A7992"/>
    <w:rsid w:val="004B0CB8"/>
    <w:rsid w:val="004B3D4F"/>
    <w:rsid w:val="004B4C61"/>
    <w:rsid w:val="004C0014"/>
    <w:rsid w:val="004C1C1B"/>
    <w:rsid w:val="004C24B4"/>
    <w:rsid w:val="004C34FD"/>
    <w:rsid w:val="004C4D85"/>
    <w:rsid w:val="004C5948"/>
    <w:rsid w:val="004C780E"/>
    <w:rsid w:val="004C7CC6"/>
    <w:rsid w:val="004D0785"/>
    <w:rsid w:val="004D0A69"/>
    <w:rsid w:val="004D2CCA"/>
    <w:rsid w:val="004D3458"/>
    <w:rsid w:val="004D4563"/>
    <w:rsid w:val="004D5CC5"/>
    <w:rsid w:val="004E2210"/>
    <w:rsid w:val="004E2A12"/>
    <w:rsid w:val="004E4A1C"/>
    <w:rsid w:val="004E4C96"/>
    <w:rsid w:val="004E4D69"/>
    <w:rsid w:val="004F5656"/>
    <w:rsid w:val="004F7BF2"/>
    <w:rsid w:val="00501621"/>
    <w:rsid w:val="00501E9B"/>
    <w:rsid w:val="00502114"/>
    <w:rsid w:val="0050392C"/>
    <w:rsid w:val="00504353"/>
    <w:rsid w:val="005064DD"/>
    <w:rsid w:val="00507470"/>
    <w:rsid w:val="00510F6B"/>
    <w:rsid w:val="005115F0"/>
    <w:rsid w:val="00511D1A"/>
    <w:rsid w:val="0051378C"/>
    <w:rsid w:val="00513802"/>
    <w:rsid w:val="005146FA"/>
    <w:rsid w:val="00517348"/>
    <w:rsid w:val="005213FD"/>
    <w:rsid w:val="005218E2"/>
    <w:rsid w:val="00522DB4"/>
    <w:rsid w:val="005247F0"/>
    <w:rsid w:val="0052540E"/>
    <w:rsid w:val="00525809"/>
    <w:rsid w:val="0052692A"/>
    <w:rsid w:val="00527B86"/>
    <w:rsid w:val="00531A17"/>
    <w:rsid w:val="00535913"/>
    <w:rsid w:val="00535C6D"/>
    <w:rsid w:val="00536C4A"/>
    <w:rsid w:val="00540C07"/>
    <w:rsid w:val="00544375"/>
    <w:rsid w:val="00550A83"/>
    <w:rsid w:val="0055359D"/>
    <w:rsid w:val="005570E9"/>
    <w:rsid w:val="00557BD4"/>
    <w:rsid w:val="005610F6"/>
    <w:rsid w:val="005615E0"/>
    <w:rsid w:val="0056350A"/>
    <w:rsid w:val="005649B8"/>
    <w:rsid w:val="00566306"/>
    <w:rsid w:val="005663D1"/>
    <w:rsid w:val="00567AC3"/>
    <w:rsid w:val="00572EFC"/>
    <w:rsid w:val="00573A19"/>
    <w:rsid w:val="00574C86"/>
    <w:rsid w:val="00576FF8"/>
    <w:rsid w:val="00577668"/>
    <w:rsid w:val="00577A00"/>
    <w:rsid w:val="00577F63"/>
    <w:rsid w:val="00580017"/>
    <w:rsid w:val="005812CC"/>
    <w:rsid w:val="00583186"/>
    <w:rsid w:val="00584746"/>
    <w:rsid w:val="005872BC"/>
    <w:rsid w:val="00587B23"/>
    <w:rsid w:val="00590F4B"/>
    <w:rsid w:val="00592B60"/>
    <w:rsid w:val="0059521C"/>
    <w:rsid w:val="0059526C"/>
    <w:rsid w:val="005A018D"/>
    <w:rsid w:val="005A1DBB"/>
    <w:rsid w:val="005A2191"/>
    <w:rsid w:val="005A2BA8"/>
    <w:rsid w:val="005A35E0"/>
    <w:rsid w:val="005A4F1D"/>
    <w:rsid w:val="005A5A4A"/>
    <w:rsid w:val="005A7821"/>
    <w:rsid w:val="005A7C9F"/>
    <w:rsid w:val="005A7EFD"/>
    <w:rsid w:val="005B2DE7"/>
    <w:rsid w:val="005B332C"/>
    <w:rsid w:val="005B5D5F"/>
    <w:rsid w:val="005B7A33"/>
    <w:rsid w:val="005C1E32"/>
    <w:rsid w:val="005C1E3C"/>
    <w:rsid w:val="005C26A0"/>
    <w:rsid w:val="005C2C5A"/>
    <w:rsid w:val="005C3698"/>
    <w:rsid w:val="005C67ED"/>
    <w:rsid w:val="005C7A1B"/>
    <w:rsid w:val="005C7B0B"/>
    <w:rsid w:val="005D19C3"/>
    <w:rsid w:val="005D2B7A"/>
    <w:rsid w:val="005D3212"/>
    <w:rsid w:val="005D6F9E"/>
    <w:rsid w:val="005E02B8"/>
    <w:rsid w:val="005E453F"/>
    <w:rsid w:val="005F0726"/>
    <w:rsid w:val="005F0E5C"/>
    <w:rsid w:val="005F1627"/>
    <w:rsid w:val="005F1F2B"/>
    <w:rsid w:val="005F36D2"/>
    <w:rsid w:val="00600C10"/>
    <w:rsid w:val="00601316"/>
    <w:rsid w:val="00602515"/>
    <w:rsid w:val="00603B61"/>
    <w:rsid w:val="006046E7"/>
    <w:rsid w:val="0060498E"/>
    <w:rsid w:val="006079C4"/>
    <w:rsid w:val="00610159"/>
    <w:rsid w:val="00611D50"/>
    <w:rsid w:val="00611E6E"/>
    <w:rsid w:val="00616F7B"/>
    <w:rsid w:val="0062257A"/>
    <w:rsid w:val="00624ED6"/>
    <w:rsid w:val="006253BA"/>
    <w:rsid w:val="00625801"/>
    <w:rsid w:val="00633C98"/>
    <w:rsid w:val="00634034"/>
    <w:rsid w:val="00634BC1"/>
    <w:rsid w:val="00634E7B"/>
    <w:rsid w:val="00634E9C"/>
    <w:rsid w:val="006408C1"/>
    <w:rsid w:val="00641CA9"/>
    <w:rsid w:val="0064386C"/>
    <w:rsid w:val="00646A50"/>
    <w:rsid w:val="00646EC4"/>
    <w:rsid w:val="00652088"/>
    <w:rsid w:val="00653058"/>
    <w:rsid w:val="00655289"/>
    <w:rsid w:val="00657C10"/>
    <w:rsid w:val="00657F02"/>
    <w:rsid w:val="0066061B"/>
    <w:rsid w:val="006609D8"/>
    <w:rsid w:val="00663C96"/>
    <w:rsid w:val="00664F42"/>
    <w:rsid w:val="00665CF5"/>
    <w:rsid w:val="00666B02"/>
    <w:rsid w:val="00667F7B"/>
    <w:rsid w:val="006711E4"/>
    <w:rsid w:val="0067278E"/>
    <w:rsid w:val="006728AB"/>
    <w:rsid w:val="00674059"/>
    <w:rsid w:val="00677302"/>
    <w:rsid w:val="00682EDA"/>
    <w:rsid w:val="00684745"/>
    <w:rsid w:val="00690FA0"/>
    <w:rsid w:val="00694086"/>
    <w:rsid w:val="0069747B"/>
    <w:rsid w:val="006A100F"/>
    <w:rsid w:val="006A2A27"/>
    <w:rsid w:val="006A3F99"/>
    <w:rsid w:val="006A654E"/>
    <w:rsid w:val="006A6B4B"/>
    <w:rsid w:val="006B0349"/>
    <w:rsid w:val="006B0A1D"/>
    <w:rsid w:val="006B338A"/>
    <w:rsid w:val="006B5D5E"/>
    <w:rsid w:val="006B6407"/>
    <w:rsid w:val="006B729D"/>
    <w:rsid w:val="006C095D"/>
    <w:rsid w:val="006C206A"/>
    <w:rsid w:val="006C3A7A"/>
    <w:rsid w:val="006C4F5F"/>
    <w:rsid w:val="006C6164"/>
    <w:rsid w:val="006C6D8A"/>
    <w:rsid w:val="006C7838"/>
    <w:rsid w:val="006D1444"/>
    <w:rsid w:val="006D5DD2"/>
    <w:rsid w:val="006E1518"/>
    <w:rsid w:val="006E24C0"/>
    <w:rsid w:val="006E6341"/>
    <w:rsid w:val="006E6955"/>
    <w:rsid w:val="006F332B"/>
    <w:rsid w:val="006F5E8E"/>
    <w:rsid w:val="006F6C1F"/>
    <w:rsid w:val="00700279"/>
    <w:rsid w:val="00702F25"/>
    <w:rsid w:val="007030C7"/>
    <w:rsid w:val="00703994"/>
    <w:rsid w:val="0070410C"/>
    <w:rsid w:val="007058D4"/>
    <w:rsid w:val="00716675"/>
    <w:rsid w:val="00720AED"/>
    <w:rsid w:val="007301CB"/>
    <w:rsid w:val="007307CC"/>
    <w:rsid w:val="00731CB9"/>
    <w:rsid w:val="00733486"/>
    <w:rsid w:val="00733913"/>
    <w:rsid w:val="00735181"/>
    <w:rsid w:val="007377B3"/>
    <w:rsid w:val="00740424"/>
    <w:rsid w:val="00742E43"/>
    <w:rsid w:val="00743876"/>
    <w:rsid w:val="00745245"/>
    <w:rsid w:val="00747FAD"/>
    <w:rsid w:val="00750E26"/>
    <w:rsid w:val="007511F9"/>
    <w:rsid w:val="00752DEE"/>
    <w:rsid w:val="007537A8"/>
    <w:rsid w:val="0076245C"/>
    <w:rsid w:val="00762CAF"/>
    <w:rsid w:val="00763AAF"/>
    <w:rsid w:val="00764F98"/>
    <w:rsid w:val="007653DF"/>
    <w:rsid w:val="00765864"/>
    <w:rsid w:val="0076783F"/>
    <w:rsid w:val="00770B98"/>
    <w:rsid w:val="007717EF"/>
    <w:rsid w:val="00773C17"/>
    <w:rsid w:val="00775816"/>
    <w:rsid w:val="00775F8B"/>
    <w:rsid w:val="00776FF5"/>
    <w:rsid w:val="00781D4C"/>
    <w:rsid w:val="007837D9"/>
    <w:rsid w:val="00786649"/>
    <w:rsid w:val="007904D4"/>
    <w:rsid w:val="00790A78"/>
    <w:rsid w:val="00791A65"/>
    <w:rsid w:val="00791E0E"/>
    <w:rsid w:val="00793A38"/>
    <w:rsid w:val="00795F7B"/>
    <w:rsid w:val="007969BE"/>
    <w:rsid w:val="0079713A"/>
    <w:rsid w:val="00797B3E"/>
    <w:rsid w:val="007A000F"/>
    <w:rsid w:val="007A02A1"/>
    <w:rsid w:val="007A2093"/>
    <w:rsid w:val="007A2B65"/>
    <w:rsid w:val="007A3334"/>
    <w:rsid w:val="007A3CD4"/>
    <w:rsid w:val="007A49D9"/>
    <w:rsid w:val="007A4ACA"/>
    <w:rsid w:val="007A56F6"/>
    <w:rsid w:val="007A64D7"/>
    <w:rsid w:val="007A6790"/>
    <w:rsid w:val="007B0747"/>
    <w:rsid w:val="007B2E1E"/>
    <w:rsid w:val="007B2F38"/>
    <w:rsid w:val="007B3A2E"/>
    <w:rsid w:val="007B49C1"/>
    <w:rsid w:val="007B56A8"/>
    <w:rsid w:val="007B6387"/>
    <w:rsid w:val="007C0A2E"/>
    <w:rsid w:val="007C1934"/>
    <w:rsid w:val="007C5807"/>
    <w:rsid w:val="007C5E9C"/>
    <w:rsid w:val="007C7F27"/>
    <w:rsid w:val="007D0C20"/>
    <w:rsid w:val="007D31D6"/>
    <w:rsid w:val="007D38C2"/>
    <w:rsid w:val="007D433D"/>
    <w:rsid w:val="007D5BD7"/>
    <w:rsid w:val="007D66BE"/>
    <w:rsid w:val="007E05D9"/>
    <w:rsid w:val="007E1185"/>
    <w:rsid w:val="007E1DA1"/>
    <w:rsid w:val="007E20AF"/>
    <w:rsid w:val="007E5ED9"/>
    <w:rsid w:val="007E69DE"/>
    <w:rsid w:val="007E7A88"/>
    <w:rsid w:val="007E7CFC"/>
    <w:rsid w:val="007F1A0E"/>
    <w:rsid w:val="007F7C49"/>
    <w:rsid w:val="00802B46"/>
    <w:rsid w:val="0080470E"/>
    <w:rsid w:val="008050E6"/>
    <w:rsid w:val="0080596C"/>
    <w:rsid w:val="00806040"/>
    <w:rsid w:val="00806090"/>
    <w:rsid w:val="00807461"/>
    <w:rsid w:val="00811DDB"/>
    <w:rsid w:val="008120BA"/>
    <w:rsid w:val="00812D1C"/>
    <w:rsid w:val="008132E6"/>
    <w:rsid w:val="0081345B"/>
    <w:rsid w:val="008152CA"/>
    <w:rsid w:val="00815BEA"/>
    <w:rsid w:val="00820B56"/>
    <w:rsid w:val="00820D95"/>
    <w:rsid w:val="0082277F"/>
    <w:rsid w:val="0082278D"/>
    <w:rsid w:val="00823B5A"/>
    <w:rsid w:val="00825720"/>
    <w:rsid w:val="00826033"/>
    <w:rsid w:val="00826EA1"/>
    <w:rsid w:val="00834132"/>
    <w:rsid w:val="00835092"/>
    <w:rsid w:val="00836DCE"/>
    <w:rsid w:val="008372A6"/>
    <w:rsid w:val="008400BA"/>
    <w:rsid w:val="00841510"/>
    <w:rsid w:val="00845377"/>
    <w:rsid w:val="008463A9"/>
    <w:rsid w:val="00847C8C"/>
    <w:rsid w:val="00854F6D"/>
    <w:rsid w:val="00856E66"/>
    <w:rsid w:val="0085724B"/>
    <w:rsid w:val="008602F3"/>
    <w:rsid w:val="00863797"/>
    <w:rsid w:val="00863AB7"/>
    <w:rsid w:val="0086474A"/>
    <w:rsid w:val="00866153"/>
    <w:rsid w:val="008664BE"/>
    <w:rsid w:val="00866761"/>
    <w:rsid w:val="008667A6"/>
    <w:rsid w:val="00866E8A"/>
    <w:rsid w:val="00867751"/>
    <w:rsid w:val="0087098D"/>
    <w:rsid w:val="008725C8"/>
    <w:rsid w:val="008765CC"/>
    <w:rsid w:val="00877E4C"/>
    <w:rsid w:val="00882F63"/>
    <w:rsid w:val="00883DA1"/>
    <w:rsid w:val="00886C64"/>
    <w:rsid w:val="00887B1C"/>
    <w:rsid w:val="00887E78"/>
    <w:rsid w:val="00893D69"/>
    <w:rsid w:val="00894C8A"/>
    <w:rsid w:val="00895437"/>
    <w:rsid w:val="008966E6"/>
    <w:rsid w:val="00896BA9"/>
    <w:rsid w:val="00897A1A"/>
    <w:rsid w:val="008A076F"/>
    <w:rsid w:val="008A334E"/>
    <w:rsid w:val="008A3939"/>
    <w:rsid w:val="008A4811"/>
    <w:rsid w:val="008A7E6E"/>
    <w:rsid w:val="008B03CD"/>
    <w:rsid w:val="008B1C44"/>
    <w:rsid w:val="008B608E"/>
    <w:rsid w:val="008B75EF"/>
    <w:rsid w:val="008C0902"/>
    <w:rsid w:val="008C17C5"/>
    <w:rsid w:val="008C22BA"/>
    <w:rsid w:val="008C2F74"/>
    <w:rsid w:val="008C42B5"/>
    <w:rsid w:val="008C48BA"/>
    <w:rsid w:val="008C4984"/>
    <w:rsid w:val="008C5583"/>
    <w:rsid w:val="008C6179"/>
    <w:rsid w:val="008C694A"/>
    <w:rsid w:val="008C6EC5"/>
    <w:rsid w:val="008D020B"/>
    <w:rsid w:val="008D2D3A"/>
    <w:rsid w:val="008D3E23"/>
    <w:rsid w:val="008D7484"/>
    <w:rsid w:val="008D7E3E"/>
    <w:rsid w:val="008E232A"/>
    <w:rsid w:val="008E29FC"/>
    <w:rsid w:val="008E2A34"/>
    <w:rsid w:val="008E341B"/>
    <w:rsid w:val="008E34F1"/>
    <w:rsid w:val="008E3667"/>
    <w:rsid w:val="008E3672"/>
    <w:rsid w:val="008E72E0"/>
    <w:rsid w:val="008E7367"/>
    <w:rsid w:val="008F07D8"/>
    <w:rsid w:val="008F12DD"/>
    <w:rsid w:val="008F3886"/>
    <w:rsid w:val="008F41C0"/>
    <w:rsid w:val="008F6FE1"/>
    <w:rsid w:val="008F7C4B"/>
    <w:rsid w:val="00901F77"/>
    <w:rsid w:val="00902928"/>
    <w:rsid w:val="0091218D"/>
    <w:rsid w:val="00915E9B"/>
    <w:rsid w:val="0091615B"/>
    <w:rsid w:val="00916669"/>
    <w:rsid w:val="00920DBE"/>
    <w:rsid w:val="009223B6"/>
    <w:rsid w:val="009255A4"/>
    <w:rsid w:val="0092600B"/>
    <w:rsid w:val="00930E69"/>
    <w:rsid w:val="00931005"/>
    <w:rsid w:val="0093104D"/>
    <w:rsid w:val="00931F43"/>
    <w:rsid w:val="00933A18"/>
    <w:rsid w:val="009345BB"/>
    <w:rsid w:val="00936587"/>
    <w:rsid w:val="00936740"/>
    <w:rsid w:val="00936DC8"/>
    <w:rsid w:val="00940621"/>
    <w:rsid w:val="009410BF"/>
    <w:rsid w:val="009417D1"/>
    <w:rsid w:val="009447D6"/>
    <w:rsid w:val="00945F3C"/>
    <w:rsid w:val="009472EE"/>
    <w:rsid w:val="009473BF"/>
    <w:rsid w:val="00947FDA"/>
    <w:rsid w:val="00950B9A"/>
    <w:rsid w:val="00951B74"/>
    <w:rsid w:val="00955A40"/>
    <w:rsid w:val="00956853"/>
    <w:rsid w:val="00961E80"/>
    <w:rsid w:val="0096212B"/>
    <w:rsid w:val="009644B8"/>
    <w:rsid w:val="00965156"/>
    <w:rsid w:val="009672E6"/>
    <w:rsid w:val="00970093"/>
    <w:rsid w:val="009728E2"/>
    <w:rsid w:val="00973248"/>
    <w:rsid w:val="00976D6C"/>
    <w:rsid w:val="009771B5"/>
    <w:rsid w:val="0098047D"/>
    <w:rsid w:val="00980A87"/>
    <w:rsid w:val="00980C54"/>
    <w:rsid w:val="009812DC"/>
    <w:rsid w:val="00981437"/>
    <w:rsid w:val="00981AED"/>
    <w:rsid w:val="00982334"/>
    <w:rsid w:val="0098437A"/>
    <w:rsid w:val="00984871"/>
    <w:rsid w:val="009854F5"/>
    <w:rsid w:val="00987790"/>
    <w:rsid w:val="00992D0C"/>
    <w:rsid w:val="0099379F"/>
    <w:rsid w:val="00994A52"/>
    <w:rsid w:val="00994B4D"/>
    <w:rsid w:val="00994C56"/>
    <w:rsid w:val="009953FE"/>
    <w:rsid w:val="00996130"/>
    <w:rsid w:val="009A1C71"/>
    <w:rsid w:val="009A4DC4"/>
    <w:rsid w:val="009A7F4E"/>
    <w:rsid w:val="009B0CF0"/>
    <w:rsid w:val="009B0EF3"/>
    <w:rsid w:val="009B5D54"/>
    <w:rsid w:val="009B6D06"/>
    <w:rsid w:val="009B7065"/>
    <w:rsid w:val="009C0282"/>
    <w:rsid w:val="009C1801"/>
    <w:rsid w:val="009C3349"/>
    <w:rsid w:val="009C55CB"/>
    <w:rsid w:val="009C613A"/>
    <w:rsid w:val="009D0235"/>
    <w:rsid w:val="009D2399"/>
    <w:rsid w:val="009D3DBC"/>
    <w:rsid w:val="009D6F09"/>
    <w:rsid w:val="009E0F9D"/>
    <w:rsid w:val="009E491B"/>
    <w:rsid w:val="009E5D9F"/>
    <w:rsid w:val="009E5E8D"/>
    <w:rsid w:val="009F0831"/>
    <w:rsid w:val="009F0B15"/>
    <w:rsid w:val="009F2E26"/>
    <w:rsid w:val="009F37CB"/>
    <w:rsid w:val="009F6322"/>
    <w:rsid w:val="009F6CB5"/>
    <w:rsid w:val="00A01B7C"/>
    <w:rsid w:val="00A02214"/>
    <w:rsid w:val="00A028CD"/>
    <w:rsid w:val="00A035F1"/>
    <w:rsid w:val="00A03ED9"/>
    <w:rsid w:val="00A04602"/>
    <w:rsid w:val="00A05282"/>
    <w:rsid w:val="00A12238"/>
    <w:rsid w:val="00A12B91"/>
    <w:rsid w:val="00A13C47"/>
    <w:rsid w:val="00A16204"/>
    <w:rsid w:val="00A16C3B"/>
    <w:rsid w:val="00A17622"/>
    <w:rsid w:val="00A222D1"/>
    <w:rsid w:val="00A235FE"/>
    <w:rsid w:val="00A23ED8"/>
    <w:rsid w:val="00A248FC"/>
    <w:rsid w:val="00A25648"/>
    <w:rsid w:val="00A27780"/>
    <w:rsid w:val="00A31AF3"/>
    <w:rsid w:val="00A32FAF"/>
    <w:rsid w:val="00A345C6"/>
    <w:rsid w:val="00A36C5D"/>
    <w:rsid w:val="00A4551F"/>
    <w:rsid w:val="00A46B89"/>
    <w:rsid w:val="00A52203"/>
    <w:rsid w:val="00A52FF2"/>
    <w:rsid w:val="00A55444"/>
    <w:rsid w:val="00A55870"/>
    <w:rsid w:val="00A579B9"/>
    <w:rsid w:val="00A604E8"/>
    <w:rsid w:val="00A60608"/>
    <w:rsid w:val="00A60A39"/>
    <w:rsid w:val="00A632C0"/>
    <w:rsid w:val="00A65848"/>
    <w:rsid w:val="00A676C2"/>
    <w:rsid w:val="00A71789"/>
    <w:rsid w:val="00A72827"/>
    <w:rsid w:val="00A736CD"/>
    <w:rsid w:val="00A73A16"/>
    <w:rsid w:val="00A769AD"/>
    <w:rsid w:val="00A777D1"/>
    <w:rsid w:val="00A77BDF"/>
    <w:rsid w:val="00A81B37"/>
    <w:rsid w:val="00A83931"/>
    <w:rsid w:val="00A84512"/>
    <w:rsid w:val="00A850BA"/>
    <w:rsid w:val="00A853B0"/>
    <w:rsid w:val="00A90BF8"/>
    <w:rsid w:val="00A91196"/>
    <w:rsid w:val="00A94DC2"/>
    <w:rsid w:val="00AA2220"/>
    <w:rsid w:val="00AA495D"/>
    <w:rsid w:val="00AA5060"/>
    <w:rsid w:val="00AA7F0B"/>
    <w:rsid w:val="00AB29C4"/>
    <w:rsid w:val="00AB33CD"/>
    <w:rsid w:val="00AB3B40"/>
    <w:rsid w:val="00AB796B"/>
    <w:rsid w:val="00AD0FD2"/>
    <w:rsid w:val="00AD10E2"/>
    <w:rsid w:val="00AD20C3"/>
    <w:rsid w:val="00AD6EAE"/>
    <w:rsid w:val="00AD7FCC"/>
    <w:rsid w:val="00AE3130"/>
    <w:rsid w:val="00AE4079"/>
    <w:rsid w:val="00AE51A0"/>
    <w:rsid w:val="00AF2E62"/>
    <w:rsid w:val="00AF41E6"/>
    <w:rsid w:val="00AF4E13"/>
    <w:rsid w:val="00AF57B6"/>
    <w:rsid w:val="00AF5BE2"/>
    <w:rsid w:val="00AF61DD"/>
    <w:rsid w:val="00AF6D94"/>
    <w:rsid w:val="00B02D52"/>
    <w:rsid w:val="00B03890"/>
    <w:rsid w:val="00B05E4D"/>
    <w:rsid w:val="00B069C7"/>
    <w:rsid w:val="00B073D7"/>
    <w:rsid w:val="00B078E9"/>
    <w:rsid w:val="00B07C78"/>
    <w:rsid w:val="00B11702"/>
    <w:rsid w:val="00B131A2"/>
    <w:rsid w:val="00B136F6"/>
    <w:rsid w:val="00B16C17"/>
    <w:rsid w:val="00B177B5"/>
    <w:rsid w:val="00B20271"/>
    <w:rsid w:val="00B20A00"/>
    <w:rsid w:val="00B22535"/>
    <w:rsid w:val="00B2611B"/>
    <w:rsid w:val="00B313CF"/>
    <w:rsid w:val="00B3490B"/>
    <w:rsid w:val="00B349A3"/>
    <w:rsid w:val="00B34A8E"/>
    <w:rsid w:val="00B35681"/>
    <w:rsid w:val="00B356F7"/>
    <w:rsid w:val="00B41934"/>
    <w:rsid w:val="00B43610"/>
    <w:rsid w:val="00B4502E"/>
    <w:rsid w:val="00B456E8"/>
    <w:rsid w:val="00B46D71"/>
    <w:rsid w:val="00B479F9"/>
    <w:rsid w:val="00B536A8"/>
    <w:rsid w:val="00B559B3"/>
    <w:rsid w:val="00B5768F"/>
    <w:rsid w:val="00B57A05"/>
    <w:rsid w:val="00B60D97"/>
    <w:rsid w:val="00B621FF"/>
    <w:rsid w:val="00B63785"/>
    <w:rsid w:val="00B6398E"/>
    <w:rsid w:val="00B65C28"/>
    <w:rsid w:val="00B7009F"/>
    <w:rsid w:val="00B701A3"/>
    <w:rsid w:val="00B72FC1"/>
    <w:rsid w:val="00B74AFA"/>
    <w:rsid w:val="00B76184"/>
    <w:rsid w:val="00B767B6"/>
    <w:rsid w:val="00B82CB8"/>
    <w:rsid w:val="00B82FEC"/>
    <w:rsid w:val="00B85AAA"/>
    <w:rsid w:val="00B86527"/>
    <w:rsid w:val="00B9015E"/>
    <w:rsid w:val="00B9118F"/>
    <w:rsid w:val="00B92A03"/>
    <w:rsid w:val="00B94368"/>
    <w:rsid w:val="00B94B43"/>
    <w:rsid w:val="00B95265"/>
    <w:rsid w:val="00B9622D"/>
    <w:rsid w:val="00B97C43"/>
    <w:rsid w:val="00B97CAD"/>
    <w:rsid w:val="00BA0A78"/>
    <w:rsid w:val="00BA1F3D"/>
    <w:rsid w:val="00BA4B34"/>
    <w:rsid w:val="00BA4C8A"/>
    <w:rsid w:val="00BA5219"/>
    <w:rsid w:val="00BA52CA"/>
    <w:rsid w:val="00BA559A"/>
    <w:rsid w:val="00BB2804"/>
    <w:rsid w:val="00BB3FC8"/>
    <w:rsid w:val="00BB5F1A"/>
    <w:rsid w:val="00BB6E69"/>
    <w:rsid w:val="00BC1EFF"/>
    <w:rsid w:val="00BC239A"/>
    <w:rsid w:val="00BC4E1A"/>
    <w:rsid w:val="00BC698F"/>
    <w:rsid w:val="00BD12C8"/>
    <w:rsid w:val="00BD2A32"/>
    <w:rsid w:val="00BD2A84"/>
    <w:rsid w:val="00BD4334"/>
    <w:rsid w:val="00BD54F6"/>
    <w:rsid w:val="00BD5718"/>
    <w:rsid w:val="00BD5B45"/>
    <w:rsid w:val="00BD6835"/>
    <w:rsid w:val="00BD6ED7"/>
    <w:rsid w:val="00BD7DB4"/>
    <w:rsid w:val="00BD7FAA"/>
    <w:rsid w:val="00BE0637"/>
    <w:rsid w:val="00BE197F"/>
    <w:rsid w:val="00BE360D"/>
    <w:rsid w:val="00BE5DA5"/>
    <w:rsid w:val="00BE62D7"/>
    <w:rsid w:val="00BE710D"/>
    <w:rsid w:val="00BF01C0"/>
    <w:rsid w:val="00BF243D"/>
    <w:rsid w:val="00BF2572"/>
    <w:rsid w:val="00BF36EA"/>
    <w:rsid w:val="00BF475B"/>
    <w:rsid w:val="00BF56E7"/>
    <w:rsid w:val="00BF59F0"/>
    <w:rsid w:val="00BF6B4F"/>
    <w:rsid w:val="00BF7B2E"/>
    <w:rsid w:val="00BF7EB1"/>
    <w:rsid w:val="00C00B36"/>
    <w:rsid w:val="00C00E56"/>
    <w:rsid w:val="00C00FF3"/>
    <w:rsid w:val="00C03428"/>
    <w:rsid w:val="00C043CB"/>
    <w:rsid w:val="00C051BA"/>
    <w:rsid w:val="00C06FBA"/>
    <w:rsid w:val="00C07FB2"/>
    <w:rsid w:val="00C11519"/>
    <w:rsid w:val="00C14254"/>
    <w:rsid w:val="00C15450"/>
    <w:rsid w:val="00C16039"/>
    <w:rsid w:val="00C21E7B"/>
    <w:rsid w:val="00C2320C"/>
    <w:rsid w:val="00C235CB"/>
    <w:rsid w:val="00C23B78"/>
    <w:rsid w:val="00C23E10"/>
    <w:rsid w:val="00C23FAE"/>
    <w:rsid w:val="00C25CA7"/>
    <w:rsid w:val="00C25E1F"/>
    <w:rsid w:val="00C32C62"/>
    <w:rsid w:val="00C32FD3"/>
    <w:rsid w:val="00C35AA4"/>
    <w:rsid w:val="00C36441"/>
    <w:rsid w:val="00C40B7F"/>
    <w:rsid w:val="00C415F2"/>
    <w:rsid w:val="00C42519"/>
    <w:rsid w:val="00C4288D"/>
    <w:rsid w:val="00C42B14"/>
    <w:rsid w:val="00C42F44"/>
    <w:rsid w:val="00C43237"/>
    <w:rsid w:val="00C43DD2"/>
    <w:rsid w:val="00C455D1"/>
    <w:rsid w:val="00C47B4E"/>
    <w:rsid w:val="00C50B66"/>
    <w:rsid w:val="00C51C6C"/>
    <w:rsid w:val="00C51DB2"/>
    <w:rsid w:val="00C542BE"/>
    <w:rsid w:val="00C5501B"/>
    <w:rsid w:val="00C556D8"/>
    <w:rsid w:val="00C55DAA"/>
    <w:rsid w:val="00C56572"/>
    <w:rsid w:val="00C56C33"/>
    <w:rsid w:val="00C65EBE"/>
    <w:rsid w:val="00C663A9"/>
    <w:rsid w:val="00C670EA"/>
    <w:rsid w:val="00C703AD"/>
    <w:rsid w:val="00C711C1"/>
    <w:rsid w:val="00C72C8B"/>
    <w:rsid w:val="00C737A1"/>
    <w:rsid w:val="00C73B92"/>
    <w:rsid w:val="00C74297"/>
    <w:rsid w:val="00C80B96"/>
    <w:rsid w:val="00C822FC"/>
    <w:rsid w:val="00C82739"/>
    <w:rsid w:val="00C82CB7"/>
    <w:rsid w:val="00C8308D"/>
    <w:rsid w:val="00C86E39"/>
    <w:rsid w:val="00C8712D"/>
    <w:rsid w:val="00C91C44"/>
    <w:rsid w:val="00C93BC3"/>
    <w:rsid w:val="00C95A96"/>
    <w:rsid w:val="00C96F83"/>
    <w:rsid w:val="00C979A1"/>
    <w:rsid w:val="00CA064D"/>
    <w:rsid w:val="00CA06DB"/>
    <w:rsid w:val="00CA0A7F"/>
    <w:rsid w:val="00CA3FF4"/>
    <w:rsid w:val="00CA45F7"/>
    <w:rsid w:val="00CB742F"/>
    <w:rsid w:val="00CC21A2"/>
    <w:rsid w:val="00CC4321"/>
    <w:rsid w:val="00CC5BB7"/>
    <w:rsid w:val="00CD23FE"/>
    <w:rsid w:val="00CD2DD6"/>
    <w:rsid w:val="00CD482D"/>
    <w:rsid w:val="00CD6B76"/>
    <w:rsid w:val="00CE0E89"/>
    <w:rsid w:val="00CE3303"/>
    <w:rsid w:val="00CE49FE"/>
    <w:rsid w:val="00CE6211"/>
    <w:rsid w:val="00CF04C3"/>
    <w:rsid w:val="00CF2F5F"/>
    <w:rsid w:val="00CF6D58"/>
    <w:rsid w:val="00D00061"/>
    <w:rsid w:val="00D01722"/>
    <w:rsid w:val="00D01B37"/>
    <w:rsid w:val="00D03522"/>
    <w:rsid w:val="00D04AEF"/>
    <w:rsid w:val="00D11803"/>
    <w:rsid w:val="00D11E45"/>
    <w:rsid w:val="00D13FDB"/>
    <w:rsid w:val="00D142B5"/>
    <w:rsid w:val="00D1619B"/>
    <w:rsid w:val="00D17E6D"/>
    <w:rsid w:val="00D20AC5"/>
    <w:rsid w:val="00D21771"/>
    <w:rsid w:val="00D2490F"/>
    <w:rsid w:val="00D31A89"/>
    <w:rsid w:val="00D31B29"/>
    <w:rsid w:val="00D31C21"/>
    <w:rsid w:val="00D34C16"/>
    <w:rsid w:val="00D4417E"/>
    <w:rsid w:val="00D446EA"/>
    <w:rsid w:val="00D46357"/>
    <w:rsid w:val="00D4725B"/>
    <w:rsid w:val="00D514E7"/>
    <w:rsid w:val="00D52652"/>
    <w:rsid w:val="00D53843"/>
    <w:rsid w:val="00D57CD1"/>
    <w:rsid w:val="00D60856"/>
    <w:rsid w:val="00D656D1"/>
    <w:rsid w:val="00D66719"/>
    <w:rsid w:val="00D678DA"/>
    <w:rsid w:val="00D70252"/>
    <w:rsid w:val="00D7165A"/>
    <w:rsid w:val="00D735B2"/>
    <w:rsid w:val="00D768CB"/>
    <w:rsid w:val="00D76CD4"/>
    <w:rsid w:val="00D808BF"/>
    <w:rsid w:val="00D81245"/>
    <w:rsid w:val="00D815D0"/>
    <w:rsid w:val="00D822ED"/>
    <w:rsid w:val="00D82DB0"/>
    <w:rsid w:val="00D85C12"/>
    <w:rsid w:val="00D86804"/>
    <w:rsid w:val="00D92995"/>
    <w:rsid w:val="00D954C1"/>
    <w:rsid w:val="00D970C4"/>
    <w:rsid w:val="00DA1824"/>
    <w:rsid w:val="00DA3DAA"/>
    <w:rsid w:val="00DA459F"/>
    <w:rsid w:val="00DA5859"/>
    <w:rsid w:val="00DA5E11"/>
    <w:rsid w:val="00DA791E"/>
    <w:rsid w:val="00DA7C2E"/>
    <w:rsid w:val="00DB0E74"/>
    <w:rsid w:val="00DB1105"/>
    <w:rsid w:val="00DB7CFE"/>
    <w:rsid w:val="00DC1011"/>
    <w:rsid w:val="00DC1A95"/>
    <w:rsid w:val="00DC25E1"/>
    <w:rsid w:val="00DC3BBE"/>
    <w:rsid w:val="00DC409D"/>
    <w:rsid w:val="00DC5EA7"/>
    <w:rsid w:val="00DC6899"/>
    <w:rsid w:val="00DD1EB8"/>
    <w:rsid w:val="00DD2C27"/>
    <w:rsid w:val="00DD38F7"/>
    <w:rsid w:val="00DD4077"/>
    <w:rsid w:val="00DD5C9A"/>
    <w:rsid w:val="00DE2C0F"/>
    <w:rsid w:val="00DE6451"/>
    <w:rsid w:val="00DE761D"/>
    <w:rsid w:val="00DF1341"/>
    <w:rsid w:val="00DF3F93"/>
    <w:rsid w:val="00DF4191"/>
    <w:rsid w:val="00DF47AF"/>
    <w:rsid w:val="00DF4B08"/>
    <w:rsid w:val="00DF7737"/>
    <w:rsid w:val="00E026A4"/>
    <w:rsid w:val="00E03B60"/>
    <w:rsid w:val="00E06E7B"/>
    <w:rsid w:val="00E14760"/>
    <w:rsid w:val="00E15AB3"/>
    <w:rsid w:val="00E162C0"/>
    <w:rsid w:val="00E167FD"/>
    <w:rsid w:val="00E21183"/>
    <w:rsid w:val="00E21506"/>
    <w:rsid w:val="00E21536"/>
    <w:rsid w:val="00E21931"/>
    <w:rsid w:val="00E21B16"/>
    <w:rsid w:val="00E246E8"/>
    <w:rsid w:val="00E24B2F"/>
    <w:rsid w:val="00E24E8D"/>
    <w:rsid w:val="00E3384F"/>
    <w:rsid w:val="00E341B6"/>
    <w:rsid w:val="00E34B5B"/>
    <w:rsid w:val="00E34C99"/>
    <w:rsid w:val="00E37BBC"/>
    <w:rsid w:val="00E37F9A"/>
    <w:rsid w:val="00E41D52"/>
    <w:rsid w:val="00E4433E"/>
    <w:rsid w:val="00E44EA1"/>
    <w:rsid w:val="00E45C18"/>
    <w:rsid w:val="00E45D96"/>
    <w:rsid w:val="00E46075"/>
    <w:rsid w:val="00E47C06"/>
    <w:rsid w:val="00E51AF9"/>
    <w:rsid w:val="00E51B89"/>
    <w:rsid w:val="00E616C7"/>
    <w:rsid w:val="00E64115"/>
    <w:rsid w:val="00E64934"/>
    <w:rsid w:val="00E64BF3"/>
    <w:rsid w:val="00E70DFA"/>
    <w:rsid w:val="00E72259"/>
    <w:rsid w:val="00E73B90"/>
    <w:rsid w:val="00E777DA"/>
    <w:rsid w:val="00E80E5C"/>
    <w:rsid w:val="00E85E1B"/>
    <w:rsid w:val="00E876B6"/>
    <w:rsid w:val="00E91C65"/>
    <w:rsid w:val="00E93F4D"/>
    <w:rsid w:val="00E94A71"/>
    <w:rsid w:val="00E95A3C"/>
    <w:rsid w:val="00E960ED"/>
    <w:rsid w:val="00EA1AEB"/>
    <w:rsid w:val="00EA25B2"/>
    <w:rsid w:val="00EA3B4B"/>
    <w:rsid w:val="00EA5B0A"/>
    <w:rsid w:val="00EA5C21"/>
    <w:rsid w:val="00EB046F"/>
    <w:rsid w:val="00EB2B1F"/>
    <w:rsid w:val="00EB4999"/>
    <w:rsid w:val="00EB55E1"/>
    <w:rsid w:val="00EB6947"/>
    <w:rsid w:val="00EB6DF6"/>
    <w:rsid w:val="00EB78C4"/>
    <w:rsid w:val="00EB790C"/>
    <w:rsid w:val="00EC1B6E"/>
    <w:rsid w:val="00EC3F14"/>
    <w:rsid w:val="00EC69F3"/>
    <w:rsid w:val="00EC7D84"/>
    <w:rsid w:val="00ED18D8"/>
    <w:rsid w:val="00ED314C"/>
    <w:rsid w:val="00ED391E"/>
    <w:rsid w:val="00ED43D7"/>
    <w:rsid w:val="00ED7A6D"/>
    <w:rsid w:val="00EE2C33"/>
    <w:rsid w:val="00EE3129"/>
    <w:rsid w:val="00EE3D32"/>
    <w:rsid w:val="00EE4216"/>
    <w:rsid w:val="00EE6B30"/>
    <w:rsid w:val="00EF029F"/>
    <w:rsid w:val="00EF3839"/>
    <w:rsid w:val="00EF3B93"/>
    <w:rsid w:val="00EF42BC"/>
    <w:rsid w:val="00EF49FE"/>
    <w:rsid w:val="00EF4D1B"/>
    <w:rsid w:val="00EF4EA0"/>
    <w:rsid w:val="00EF6B17"/>
    <w:rsid w:val="00EF71F9"/>
    <w:rsid w:val="00F00572"/>
    <w:rsid w:val="00F02C91"/>
    <w:rsid w:val="00F02DB7"/>
    <w:rsid w:val="00F0462C"/>
    <w:rsid w:val="00F06A3D"/>
    <w:rsid w:val="00F06BD1"/>
    <w:rsid w:val="00F1049B"/>
    <w:rsid w:val="00F10A60"/>
    <w:rsid w:val="00F1382E"/>
    <w:rsid w:val="00F13F07"/>
    <w:rsid w:val="00F20654"/>
    <w:rsid w:val="00F23713"/>
    <w:rsid w:val="00F23F4B"/>
    <w:rsid w:val="00F24C22"/>
    <w:rsid w:val="00F24FD4"/>
    <w:rsid w:val="00F257CA"/>
    <w:rsid w:val="00F27F2B"/>
    <w:rsid w:val="00F304E9"/>
    <w:rsid w:val="00F3056F"/>
    <w:rsid w:val="00F361D4"/>
    <w:rsid w:val="00F40DF8"/>
    <w:rsid w:val="00F40F72"/>
    <w:rsid w:val="00F41ED7"/>
    <w:rsid w:val="00F4378F"/>
    <w:rsid w:val="00F43818"/>
    <w:rsid w:val="00F43D71"/>
    <w:rsid w:val="00F446BA"/>
    <w:rsid w:val="00F47EA0"/>
    <w:rsid w:val="00F50338"/>
    <w:rsid w:val="00F52CB2"/>
    <w:rsid w:val="00F54349"/>
    <w:rsid w:val="00F54614"/>
    <w:rsid w:val="00F54F5D"/>
    <w:rsid w:val="00F56216"/>
    <w:rsid w:val="00F605C5"/>
    <w:rsid w:val="00F6080F"/>
    <w:rsid w:val="00F62892"/>
    <w:rsid w:val="00F62AD6"/>
    <w:rsid w:val="00F66AF7"/>
    <w:rsid w:val="00F67803"/>
    <w:rsid w:val="00F67E18"/>
    <w:rsid w:val="00F702CA"/>
    <w:rsid w:val="00F7164B"/>
    <w:rsid w:val="00F730FB"/>
    <w:rsid w:val="00F758D4"/>
    <w:rsid w:val="00F762C0"/>
    <w:rsid w:val="00F76521"/>
    <w:rsid w:val="00F766D8"/>
    <w:rsid w:val="00F7769C"/>
    <w:rsid w:val="00F77A72"/>
    <w:rsid w:val="00F80076"/>
    <w:rsid w:val="00F826B4"/>
    <w:rsid w:val="00F879B9"/>
    <w:rsid w:val="00F944C6"/>
    <w:rsid w:val="00F95094"/>
    <w:rsid w:val="00FA0196"/>
    <w:rsid w:val="00FA2761"/>
    <w:rsid w:val="00FA33AD"/>
    <w:rsid w:val="00FA42AF"/>
    <w:rsid w:val="00FA6FBF"/>
    <w:rsid w:val="00FB1E10"/>
    <w:rsid w:val="00FB4A0F"/>
    <w:rsid w:val="00FB7E0F"/>
    <w:rsid w:val="00FC2197"/>
    <w:rsid w:val="00FC413C"/>
    <w:rsid w:val="00FD0540"/>
    <w:rsid w:val="00FD1C8E"/>
    <w:rsid w:val="00FD2711"/>
    <w:rsid w:val="00FD3F26"/>
    <w:rsid w:val="00FD5B61"/>
    <w:rsid w:val="00FD7FD8"/>
    <w:rsid w:val="00FE1671"/>
    <w:rsid w:val="00FE2310"/>
    <w:rsid w:val="00FE27F6"/>
    <w:rsid w:val="00FE2AC5"/>
    <w:rsid w:val="00FE46AE"/>
    <w:rsid w:val="00FE4CBD"/>
    <w:rsid w:val="00FE5485"/>
    <w:rsid w:val="00FE6E56"/>
    <w:rsid w:val="00FE7292"/>
    <w:rsid w:val="00FF078C"/>
    <w:rsid w:val="00FF1B38"/>
    <w:rsid w:val="00FF1B65"/>
    <w:rsid w:val="00FF220E"/>
    <w:rsid w:val="00FF57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9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804"/>
    <w:pPr>
      <w:ind w:left="720"/>
      <w:contextualSpacing/>
    </w:pPr>
  </w:style>
  <w:style w:type="character" w:styleId="Hyperlink">
    <w:name w:val="Hyperlink"/>
    <w:basedOn w:val="DefaultParagraphFont"/>
    <w:uiPriority w:val="99"/>
    <w:unhideWhenUsed/>
    <w:rsid w:val="00BB2804"/>
    <w:rPr>
      <w:color w:val="0563C1" w:themeColor="hyperlink"/>
      <w:u w:val="single"/>
    </w:rPr>
  </w:style>
  <w:style w:type="character" w:customStyle="1" w:styleId="UnresolvedMention">
    <w:name w:val="Unresolved Mention"/>
    <w:basedOn w:val="DefaultParagraphFont"/>
    <w:uiPriority w:val="99"/>
    <w:semiHidden/>
    <w:unhideWhenUsed/>
    <w:rsid w:val="009223B6"/>
    <w:rPr>
      <w:color w:val="605E5C"/>
      <w:shd w:val="clear" w:color="auto" w:fill="E1DFDD"/>
    </w:rPr>
  </w:style>
  <w:style w:type="paragraph" w:styleId="NormalWeb">
    <w:name w:val="Normal (Web)"/>
    <w:basedOn w:val="Normal"/>
    <w:uiPriority w:val="99"/>
    <w:unhideWhenUsed/>
    <w:rsid w:val="00CD2DD6"/>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BD7FAA"/>
    <w:rPr>
      <w:color w:val="954F72" w:themeColor="followedHyperlink"/>
      <w:u w:val="single"/>
    </w:rPr>
  </w:style>
  <w:style w:type="character" w:styleId="Emphasis">
    <w:name w:val="Emphasis"/>
    <w:basedOn w:val="DefaultParagraphFont"/>
    <w:uiPriority w:val="20"/>
    <w:qFormat/>
    <w:rsid w:val="00AB29C4"/>
    <w:rPr>
      <w:i/>
      <w:iCs/>
    </w:rPr>
  </w:style>
  <w:style w:type="paragraph" w:styleId="Header">
    <w:name w:val="header"/>
    <w:basedOn w:val="Normal"/>
    <w:link w:val="HeaderChar"/>
    <w:uiPriority w:val="99"/>
    <w:unhideWhenUsed/>
    <w:rsid w:val="005649B8"/>
    <w:pPr>
      <w:tabs>
        <w:tab w:val="center" w:pos="4703"/>
        <w:tab w:val="right" w:pos="9406"/>
      </w:tabs>
    </w:pPr>
  </w:style>
  <w:style w:type="character" w:customStyle="1" w:styleId="HeaderChar">
    <w:name w:val="Header Char"/>
    <w:basedOn w:val="DefaultParagraphFont"/>
    <w:link w:val="Header"/>
    <w:uiPriority w:val="99"/>
    <w:rsid w:val="005649B8"/>
  </w:style>
  <w:style w:type="paragraph" w:styleId="Footer">
    <w:name w:val="footer"/>
    <w:basedOn w:val="Normal"/>
    <w:link w:val="FooterChar"/>
    <w:uiPriority w:val="99"/>
    <w:unhideWhenUsed/>
    <w:rsid w:val="005649B8"/>
    <w:pPr>
      <w:tabs>
        <w:tab w:val="center" w:pos="4703"/>
        <w:tab w:val="right" w:pos="9406"/>
      </w:tabs>
    </w:pPr>
  </w:style>
  <w:style w:type="character" w:customStyle="1" w:styleId="FooterChar">
    <w:name w:val="Footer Char"/>
    <w:basedOn w:val="DefaultParagraphFont"/>
    <w:link w:val="Footer"/>
    <w:uiPriority w:val="99"/>
    <w:rsid w:val="005649B8"/>
  </w:style>
  <w:style w:type="character" w:styleId="Strong">
    <w:name w:val="Strong"/>
    <w:basedOn w:val="DefaultParagraphFont"/>
    <w:uiPriority w:val="22"/>
    <w:qFormat/>
    <w:rsid w:val="003A1FFA"/>
    <w:rPr>
      <w:b/>
      <w:bCs/>
    </w:rPr>
  </w:style>
  <w:style w:type="paragraph" w:styleId="HTMLPreformatted">
    <w:name w:val="HTML Preformatted"/>
    <w:basedOn w:val="Normal"/>
    <w:link w:val="HTMLPreformattedChar"/>
    <w:uiPriority w:val="99"/>
    <w:semiHidden/>
    <w:unhideWhenUsed/>
    <w:rsid w:val="009B5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9B5D54"/>
    <w:rPr>
      <w:rFonts w:ascii="Courier New" w:eastAsia="Times New Roman" w:hAnsi="Courier New" w:cs="Courier New"/>
      <w:sz w:val="20"/>
      <w:szCs w:val="20"/>
      <w:lang w:val="en-US"/>
    </w:rPr>
  </w:style>
  <w:style w:type="character" w:customStyle="1" w:styleId="y2iqfc">
    <w:name w:val="y2iqfc"/>
    <w:basedOn w:val="DefaultParagraphFont"/>
    <w:rsid w:val="009B5D54"/>
  </w:style>
  <w:style w:type="character" w:customStyle="1" w:styleId="FootnoteTextChar">
    <w:name w:val="Footnote Text Char"/>
    <w:aliases w:val="Char Char,Footnote Text Char2 Char Char,Footnote Text Char Char1 Char Char,Footnote Text Char1 Char Char Char Char,Footnote Text Char Char Char Char Char Char,Footnote Text Char1 Char1 Char Char,Footnote Text Char Char Char1 Char Char"/>
    <w:basedOn w:val="DefaultParagraphFont"/>
    <w:link w:val="FootnoteText"/>
    <w:uiPriority w:val="99"/>
    <w:locked/>
    <w:rsid w:val="0029611C"/>
    <w:rPr>
      <w:lang w:val="cs-CZ" w:eastAsia="cs-CZ"/>
    </w:rPr>
  </w:style>
  <w:style w:type="paragraph" w:styleId="FootnoteText">
    <w:name w:val="footnote text"/>
    <w:aliases w:val="Char,Footnote Text Char2 Char,Footnote Text Char Char1 Char,Footnote Text Char1 Char Char Char,Footnote Text Char Char Char Char Char,Footnote Text Char1 Char1 Char,Footnote Text Char Char Char1 Char,fn"/>
    <w:basedOn w:val="Normal"/>
    <w:link w:val="FootnoteTextChar"/>
    <w:uiPriority w:val="99"/>
    <w:unhideWhenUsed/>
    <w:qFormat/>
    <w:rsid w:val="0029611C"/>
    <w:rPr>
      <w:lang w:val="cs-CZ" w:eastAsia="cs-CZ"/>
    </w:rPr>
  </w:style>
  <w:style w:type="character" w:customStyle="1" w:styleId="FootnoteTextChar1">
    <w:name w:val="Footnote Text Char1"/>
    <w:basedOn w:val="DefaultParagraphFont"/>
    <w:uiPriority w:val="99"/>
    <w:semiHidden/>
    <w:rsid w:val="0029611C"/>
    <w:rPr>
      <w:sz w:val="20"/>
      <w:szCs w:val="20"/>
    </w:rPr>
  </w:style>
  <w:style w:type="character" w:styleId="FootnoteReference">
    <w:name w:val="footnote reference"/>
    <w:aliases w:val="Footnote number"/>
    <w:uiPriority w:val="99"/>
    <w:semiHidden/>
    <w:unhideWhenUsed/>
    <w:rsid w:val="0029611C"/>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804"/>
    <w:pPr>
      <w:ind w:left="720"/>
      <w:contextualSpacing/>
    </w:pPr>
  </w:style>
  <w:style w:type="character" w:styleId="Hyperlink">
    <w:name w:val="Hyperlink"/>
    <w:basedOn w:val="DefaultParagraphFont"/>
    <w:uiPriority w:val="99"/>
    <w:unhideWhenUsed/>
    <w:rsid w:val="00BB2804"/>
    <w:rPr>
      <w:color w:val="0563C1" w:themeColor="hyperlink"/>
      <w:u w:val="single"/>
    </w:rPr>
  </w:style>
  <w:style w:type="character" w:customStyle="1" w:styleId="UnresolvedMention">
    <w:name w:val="Unresolved Mention"/>
    <w:basedOn w:val="DefaultParagraphFont"/>
    <w:uiPriority w:val="99"/>
    <w:semiHidden/>
    <w:unhideWhenUsed/>
    <w:rsid w:val="009223B6"/>
    <w:rPr>
      <w:color w:val="605E5C"/>
      <w:shd w:val="clear" w:color="auto" w:fill="E1DFDD"/>
    </w:rPr>
  </w:style>
  <w:style w:type="paragraph" w:styleId="NormalWeb">
    <w:name w:val="Normal (Web)"/>
    <w:basedOn w:val="Normal"/>
    <w:uiPriority w:val="99"/>
    <w:unhideWhenUsed/>
    <w:rsid w:val="00CD2DD6"/>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BD7FAA"/>
    <w:rPr>
      <w:color w:val="954F72" w:themeColor="followedHyperlink"/>
      <w:u w:val="single"/>
    </w:rPr>
  </w:style>
  <w:style w:type="character" w:styleId="Emphasis">
    <w:name w:val="Emphasis"/>
    <w:basedOn w:val="DefaultParagraphFont"/>
    <w:uiPriority w:val="20"/>
    <w:qFormat/>
    <w:rsid w:val="00AB29C4"/>
    <w:rPr>
      <w:i/>
      <w:iCs/>
    </w:rPr>
  </w:style>
  <w:style w:type="paragraph" w:styleId="Header">
    <w:name w:val="header"/>
    <w:basedOn w:val="Normal"/>
    <w:link w:val="HeaderChar"/>
    <w:uiPriority w:val="99"/>
    <w:unhideWhenUsed/>
    <w:rsid w:val="005649B8"/>
    <w:pPr>
      <w:tabs>
        <w:tab w:val="center" w:pos="4703"/>
        <w:tab w:val="right" w:pos="9406"/>
      </w:tabs>
    </w:pPr>
  </w:style>
  <w:style w:type="character" w:customStyle="1" w:styleId="HeaderChar">
    <w:name w:val="Header Char"/>
    <w:basedOn w:val="DefaultParagraphFont"/>
    <w:link w:val="Header"/>
    <w:uiPriority w:val="99"/>
    <w:rsid w:val="005649B8"/>
  </w:style>
  <w:style w:type="paragraph" w:styleId="Footer">
    <w:name w:val="footer"/>
    <w:basedOn w:val="Normal"/>
    <w:link w:val="FooterChar"/>
    <w:uiPriority w:val="99"/>
    <w:unhideWhenUsed/>
    <w:rsid w:val="005649B8"/>
    <w:pPr>
      <w:tabs>
        <w:tab w:val="center" w:pos="4703"/>
        <w:tab w:val="right" w:pos="9406"/>
      </w:tabs>
    </w:pPr>
  </w:style>
  <w:style w:type="character" w:customStyle="1" w:styleId="FooterChar">
    <w:name w:val="Footer Char"/>
    <w:basedOn w:val="DefaultParagraphFont"/>
    <w:link w:val="Footer"/>
    <w:uiPriority w:val="99"/>
    <w:rsid w:val="005649B8"/>
  </w:style>
  <w:style w:type="character" w:styleId="Strong">
    <w:name w:val="Strong"/>
    <w:basedOn w:val="DefaultParagraphFont"/>
    <w:uiPriority w:val="22"/>
    <w:qFormat/>
    <w:rsid w:val="003A1FFA"/>
    <w:rPr>
      <w:b/>
      <w:bCs/>
    </w:rPr>
  </w:style>
  <w:style w:type="paragraph" w:styleId="HTMLPreformatted">
    <w:name w:val="HTML Preformatted"/>
    <w:basedOn w:val="Normal"/>
    <w:link w:val="HTMLPreformattedChar"/>
    <w:uiPriority w:val="99"/>
    <w:semiHidden/>
    <w:unhideWhenUsed/>
    <w:rsid w:val="009B5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9B5D54"/>
    <w:rPr>
      <w:rFonts w:ascii="Courier New" w:eastAsia="Times New Roman" w:hAnsi="Courier New" w:cs="Courier New"/>
      <w:sz w:val="20"/>
      <w:szCs w:val="20"/>
      <w:lang w:val="en-US"/>
    </w:rPr>
  </w:style>
  <w:style w:type="character" w:customStyle="1" w:styleId="y2iqfc">
    <w:name w:val="y2iqfc"/>
    <w:basedOn w:val="DefaultParagraphFont"/>
    <w:rsid w:val="009B5D54"/>
  </w:style>
  <w:style w:type="character" w:customStyle="1" w:styleId="FootnoteTextChar">
    <w:name w:val="Footnote Text Char"/>
    <w:aliases w:val="Char Char,Footnote Text Char2 Char Char,Footnote Text Char Char1 Char Char,Footnote Text Char1 Char Char Char Char,Footnote Text Char Char Char Char Char Char,Footnote Text Char1 Char1 Char Char,Footnote Text Char Char Char1 Char Char"/>
    <w:basedOn w:val="DefaultParagraphFont"/>
    <w:link w:val="FootnoteText"/>
    <w:uiPriority w:val="99"/>
    <w:locked/>
    <w:rsid w:val="0029611C"/>
    <w:rPr>
      <w:lang w:val="cs-CZ" w:eastAsia="cs-CZ"/>
    </w:rPr>
  </w:style>
  <w:style w:type="paragraph" w:styleId="FootnoteText">
    <w:name w:val="footnote text"/>
    <w:aliases w:val="Char,Footnote Text Char2 Char,Footnote Text Char Char1 Char,Footnote Text Char1 Char Char Char,Footnote Text Char Char Char Char Char,Footnote Text Char1 Char1 Char,Footnote Text Char Char Char1 Char,fn"/>
    <w:basedOn w:val="Normal"/>
    <w:link w:val="FootnoteTextChar"/>
    <w:uiPriority w:val="99"/>
    <w:unhideWhenUsed/>
    <w:qFormat/>
    <w:rsid w:val="0029611C"/>
    <w:rPr>
      <w:lang w:val="cs-CZ" w:eastAsia="cs-CZ"/>
    </w:rPr>
  </w:style>
  <w:style w:type="character" w:customStyle="1" w:styleId="FootnoteTextChar1">
    <w:name w:val="Footnote Text Char1"/>
    <w:basedOn w:val="DefaultParagraphFont"/>
    <w:uiPriority w:val="99"/>
    <w:semiHidden/>
    <w:rsid w:val="0029611C"/>
    <w:rPr>
      <w:sz w:val="20"/>
      <w:szCs w:val="20"/>
    </w:rPr>
  </w:style>
  <w:style w:type="character" w:styleId="FootnoteReference">
    <w:name w:val="footnote reference"/>
    <w:aliases w:val="Footnote number"/>
    <w:uiPriority w:val="99"/>
    <w:semiHidden/>
    <w:unhideWhenUsed/>
    <w:rsid w:val="0029611C"/>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039">
      <w:bodyDiv w:val="1"/>
      <w:marLeft w:val="0"/>
      <w:marRight w:val="0"/>
      <w:marTop w:val="0"/>
      <w:marBottom w:val="0"/>
      <w:divBdr>
        <w:top w:val="none" w:sz="0" w:space="0" w:color="auto"/>
        <w:left w:val="none" w:sz="0" w:space="0" w:color="auto"/>
        <w:bottom w:val="none" w:sz="0" w:space="0" w:color="auto"/>
        <w:right w:val="none" w:sz="0" w:space="0" w:color="auto"/>
      </w:divBdr>
      <w:divsChild>
        <w:div w:id="1104886571">
          <w:marLeft w:val="0"/>
          <w:marRight w:val="0"/>
          <w:marTop w:val="0"/>
          <w:marBottom w:val="0"/>
          <w:divBdr>
            <w:top w:val="none" w:sz="0" w:space="0" w:color="auto"/>
            <w:left w:val="none" w:sz="0" w:space="0" w:color="auto"/>
            <w:bottom w:val="none" w:sz="0" w:space="0" w:color="auto"/>
            <w:right w:val="none" w:sz="0" w:space="0" w:color="auto"/>
          </w:divBdr>
          <w:divsChild>
            <w:div w:id="464199360">
              <w:marLeft w:val="0"/>
              <w:marRight w:val="0"/>
              <w:marTop w:val="0"/>
              <w:marBottom w:val="0"/>
              <w:divBdr>
                <w:top w:val="none" w:sz="0" w:space="0" w:color="auto"/>
                <w:left w:val="none" w:sz="0" w:space="0" w:color="auto"/>
                <w:bottom w:val="none" w:sz="0" w:space="0" w:color="auto"/>
                <w:right w:val="none" w:sz="0" w:space="0" w:color="auto"/>
              </w:divBdr>
              <w:divsChild>
                <w:div w:id="1243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9597">
      <w:bodyDiv w:val="1"/>
      <w:marLeft w:val="0"/>
      <w:marRight w:val="0"/>
      <w:marTop w:val="0"/>
      <w:marBottom w:val="0"/>
      <w:divBdr>
        <w:top w:val="none" w:sz="0" w:space="0" w:color="auto"/>
        <w:left w:val="none" w:sz="0" w:space="0" w:color="auto"/>
        <w:bottom w:val="none" w:sz="0" w:space="0" w:color="auto"/>
        <w:right w:val="none" w:sz="0" w:space="0" w:color="auto"/>
      </w:divBdr>
    </w:div>
    <w:div w:id="23412771">
      <w:bodyDiv w:val="1"/>
      <w:marLeft w:val="0"/>
      <w:marRight w:val="0"/>
      <w:marTop w:val="0"/>
      <w:marBottom w:val="0"/>
      <w:divBdr>
        <w:top w:val="none" w:sz="0" w:space="0" w:color="auto"/>
        <w:left w:val="none" w:sz="0" w:space="0" w:color="auto"/>
        <w:bottom w:val="none" w:sz="0" w:space="0" w:color="auto"/>
        <w:right w:val="none" w:sz="0" w:space="0" w:color="auto"/>
      </w:divBdr>
      <w:divsChild>
        <w:div w:id="1506092588">
          <w:marLeft w:val="0"/>
          <w:marRight w:val="0"/>
          <w:marTop w:val="0"/>
          <w:marBottom w:val="0"/>
          <w:divBdr>
            <w:top w:val="none" w:sz="0" w:space="0" w:color="auto"/>
            <w:left w:val="none" w:sz="0" w:space="0" w:color="auto"/>
            <w:bottom w:val="none" w:sz="0" w:space="0" w:color="auto"/>
            <w:right w:val="none" w:sz="0" w:space="0" w:color="auto"/>
          </w:divBdr>
          <w:divsChild>
            <w:div w:id="749692137">
              <w:marLeft w:val="0"/>
              <w:marRight w:val="0"/>
              <w:marTop w:val="0"/>
              <w:marBottom w:val="0"/>
              <w:divBdr>
                <w:top w:val="none" w:sz="0" w:space="0" w:color="auto"/>
                <w:left w:val="none" w:sz="0" w:space="0" w:color="auto"/>
                <w:bottom w:val="none" w:sz="0" w:space="0" w:color="auto"/>
                <w:right w:val="none" w:sz="0" w:space="0" w:color="auto"/>
              </w:divBdr>
              <w:divsChild>
                <w:div w:id="5414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1942">
      <w:bodyDiv w:val="1"/>
      <w:marLeft w:val="0"/>
      <w:marRight w:val="0"/>
      <w:marTop w:val="0"/>
      <w:marBottom w:val="0"/>
      <w:divBdr>
        <w:top w:val="none" w:sz="0" w:space="0" w:color="auto"/>
        <w:left w:val="none" w:sz="0" w:space="0" w:color="auto"/>
        <w:bottom w:val="none" w:sz="0" w:space="0" w:color="auto"/>
        <w:right w:val="none" w:sz="0" w:space="0" w:color="auto"/>
      </w:divBdr>
      <w:divsChild>
        <w:div w:id="1870800295">
          <w:marLeft w:val="0"/>
          <w:marRight w:val="0"/>
          <w:marTop w:val="0"/>
          <w:marBottom w:val="0"/>
          <w:divBdr>
            <w:top w:val="none" w:sz="0" w:space="0" w:color="auto"/>
            <w:left w:val="none" w:sz="0" w:space="0" w:color="auto"/>
            <w:bottom w:val="none" w:sz="0" w:space="0" w:color="auto"/>
            <w:right w:val="none" w:sz="0" w:space="0" w:color="auto"/>
          </w:divBdr>
          <w:divsChild>
            <w:div w:id="2147038732">
              <w:marLeft w:val="0"/>
              <w:marRight w:val="0"/>
              <w:marTop w:val="0"/>
              <w:marBottom w:val="0"/>
              <w:divBdr>
                <w:top w:val="none" w:sz="0" w:space="0" w:color="auto"/>
                <w:left w:val="none" w:sz="0" w:space="0" w:color="auto"/>
                <w:bottom w:val="none" w:sz="0" w:space="0" w:color="auto"/>
                <w:right w:val="none" w:sz="0" w:space="0" w:color="auto"/>
              </w:divBdr>
              <w:divsChild>
                <w:div w:id="17316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883">
      <w:bodyDiv w:val="1"/>
      <w:marLeft w:val="0"/>
      <w:marRight w:val="0"/>
      <w:marTop w:val="0"/>
      <w:marBottom w:val="0"/>
      <w:divBdr>
        <w:top w:val="none" w:sz="0" w:space="0" w:color="auto"/>
        <w:left w:val="none" w:sz="0" w:space="0" w:color="auto"/>
        <w:bottom w:val="none" w:sz="0" w:space="0" w:color="auto"/>
        <w:right w:val="none" w:sz="0" w:space="0" w:color="auto"/>
      </w:divBdr>
      <w:divsChild>
        <w:div w:id="162480186">
          <w:marLeft w:val="0"/>
          <w:marRight w:val="0"/>
          <w:marTop w:val="0"/>
          <w:marBottom w:val="0"/>
          <w:divBdr>
            <w:top w:val="none" w:sz="0" w:space="0" w:color="auto"/>
            <w:left w:val="none" w:sz="0" w:space="0" w:color="auto"/>
            <w:bottom w:val="none" w:sz="0" w:space="0" w:color="auto"/>
            <w:right w:val="none" w:sz="0" w:space="0" w:color="auto"/>
          </w:divBdr>
          <w:divsChild>
            <w:div w:id="2143188310">
              <w:marLeft w:val="0"/>
              <w:marRight w:val="0"/>
              <w:marTop w:val="0"/>
              <w:marBottom w:val="0"/>
              <w:divBdr>
                <w:top w:val="none" w:sz="0" w:space="0" w:color="auto"/>
                <w:left w:val="none" w:sz="0" w:space="0" w:color="auto"/>
                <w:bottom w:val="none" w:sz="0" w:space="0" w:color="auto"/>
                <w:right w:val="none" w:sz="0" w:space="0" w:color="auto"/>
              </w:divBdr>
              <w:divsChild>
                <w:div w:id="5050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3614">
      <w:bodyDiv w:val="1"/>
      <w:marLeft w:val="0"/>
      <w:marRight w:val="0"/>
      <w:marTop w:val="0"/>
      <w:marBottom w:val="0"/>
      <w:divBdr>
        <w:top w:val="none" w:sz="0" w:space="0" w:color="auto"/>
        <w:left w:val="none" w:sz="0" w:space="0" w:color="auto"/>
        <w:bottom w:val="none" w:sz="0" w:space="0" w:color="auto"/>
        <w:right w:val="none" w:sz="0" w:space="0" w:color="auto"/>
      </w:divBdr>
    </w:div>
    <w:div w:id="44792386">
      <w:bodyDiv w:val="1"/>
      <w:marLeft w:val="0"/>
      <w:marRight w:val="0"/>
      <w:marTop w:val="0"/>
      <w:marBottom w:val="0"/>
      <w:divBdr>
        <w:top w:val="none" w:sz="0" w:space="0" w:color="auto"/>
        <w:left w:val="none" w:sz="0" w:space="0" w:color="auto"/>
        <w:bottom w:val="none" w:sz="0" w:space="0" w:color="auto"/>
        <w:right w:val="none" w:sz="0" w:space="0" w:color="auto"/>
      </w:divBdr>
      <w:divsChild>
        <w:div w:id="1336565920">
          <w:marLeft w:val="0"/>
          <w:marRight w:val="0"/>
          <w:marTop w:val="0"/>
          <w:marBottom w:val="0"/>
          <w:divBdr>
            <w:top w:val="none" w:sz="0" w:space="0" w:color="auto"/>
            <w:left w:val="none" w:sz="0" w:space="0" w:color="auto"/>
            <w:bottom w:val="none" w:sz="0" w:space="0" w:color="auto"/>
            <w:right w:val="none" w:sz="0" w:space="0" w:color="auto"/>
          </w:divBdr>
          <w:divsChild>
            <w:div w:id="165367979">
              <w:marLeft w:val="0"/>
              <w:marRight w:val="0"/>
              <w:marTop w:val="0"/>
              <w:marBottom w:val="0"/>
              <w:divBdr>
                <w:top w:val="none" w:sz="0" w:space="0" w:color="auto"/>
                <w:left w:val="none" w:sz="0" w:space="0" w:color="auto"/>
                <w:bottom w:val="none" w:sz="0" w:space="0" w:color="auto"/>
                <w:right w:val="none" w:sz="0" w:space="0" w:color="auto"/>
              </w:divBdr>
              <w:divsChild>
                <w:div w:id="18009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097">
      <w:bodyDiv w:val="1"/>
      <w:marLeft w:val="0"/>
      <w:marRight w:val="0"/>
      <w:marTop w:val="0"/>
      <w:marBottom w:val="0"/>
      <w:divBdr>
        <w:top w:val="none" w:sz="0" w:space="0" w:color="auto"/>
        <w:left w:val="none" w:sz="0" w:space="0" w:color="auto"/>
        <w:bottom w:val="none" w:sz="0" w:space="0" w:color="auto"/>
        <w:right w:val="none" w:sz="0" w:space="0" w:color="auto"/>
      </w:divBdr>
      <w:divsChild>
        <w:div w:id="441650644">
          <w:marLeft w:val="0"/>
          <w:marRight w:val="0"/>
          <w:marTop w:val="0"/>
          <w:marBottom w:val="0"/>
          <w:divBdr>
            <w:top w:val="none" w:sz="0" w:space="0" w:color="auto"/>
            <w:left w:val="none" w:sz="0" w:space="0" w:color="auto"/>
            <w:bottom w:val="none" w:sz="0" w:space="0" w:color="auto"/>
            <w:right w:val="none" w:sz="0" w:space="0" w:color="auto"/>
          </w:divBdr>
          <w:divsChild>
            <w:div w:id="722480455">
              <w:marLeft w:val="0"/>
              <w:marRight w:val="0"/>
              <w:marTop w:val="0"/>
              <w:marBottom w:val="0"/>
              <w:divBdr>
                <w:top w:val="none" w:sz="0" w:space="0" w:color="auto"/>
                <w:left w:val="none" w:sz="0" w:space="0" w:color="auto"/>
                <w:bottom w:val="none" w:sz="0" w:space="0" w:color="auto"/>
                <w:right w:val="none" w:sz="0" w:space="0" w:color="auto"/>
              </w:divBdr>
              <w:divsChild>
                <w:div w:id="94996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0083">
      <w:bodyDiv w:val="1"/>
      <w:marLeft w:val="0"/>
      <w:marRight w:val="0"/>
      <w:marTop w:val="0"/>
      <w:marBottom w:val="0"/>
      <w:divBdr>
        <w:top w:val="none" w:sz="0" w:space="0" w:color="auto"/>
        <w:left w:val="none" w:sz="0" w:space="0" w:color="auto"/>
        <w:bottom w:val="none" w:sz="0" w:space="0" w:color="auto"/>
        <w:right w:val="none" w:sz="0" w:space="0" w:color="auto"/>
      </w:divBdr>
    </w:div>
    <w:div w:id="111291897">
      <w:bodyDiv w:val="1"/>
      <w:marLeft w:val="0"/>
      <w:marRight w:val="0"/>
      <w:marTop w:val="0"/>
      <w:marBottom w:val="0"/>
      <w:divBdr>
        <w:top w:val="none" w:sz="0" w:space="0" w:color="auto"/>
        <w:left w:val="none" w:sz="0" w:space="0" w:color="auto"/>
        <w:bottom w:val="none" w:sz="0" w:space="0" w:color="auto"/>
        <w:right w:val="none" w:sz="0" w:space="0" w:color="auto"/>
      </w:divBdr>
      <w:divsChild>
        <w:div w:id="1225945800">
          <w:marLeft w:val="0"/>
          <w:marRight w:val="0"/>
          <w:marTop w:val="0"/>
          <w:marBottom w:val="0"/>
          <w:divBdr>
            <w:top w:val="none" w:sz="0" w:space="0" w:color="auto"/>
            <w:left w:val="none" w:sz="0" w:space="0" w:color="auto"/>
            <w:bottom w:val="none" w:sz="0" w:space="0" w:color="auto"/>
            <w:right w:val="none" w:sz="0" w:space="0" w:color="auto"/>
          </w:divBdr>
          <w:divsChild>
            <w:div w:id="1922986354">
              <w:marLeft w:val="0"/>
              <w:marRight w:val="0"/>
              <w:marTop w:val="0"/>
              <w:marBottom w:val="0"/>
              <w:divBdr>
                <w:top w:val="none" w:sz="0" w:space="0" w:color="auto"/>
                <w:left w:val="none" w:sz="0" w:space="0" w:color="auto"/>
                <w:bottom w:val="none" w:sz="0" w:space="0" w:color="auto"/>
                <w:right w:val="none" w:sz="0" w:space="0" w:color="auto"/>
              </w:divBdr>
              <w:divsChild>
                <w:div w:id="20341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6473">
      <w:bodyDiv w:val="1"/>
      <w:marLeft w:val="0"/>
      <w:marRight w:val="0"/>
      <w:marTop w:val="0"/>
      <w:marBottom w:val="0"/>
      <w:divBdr>
        <w:top w:val="none" w:sz="0" w:space="0" w:color="auto"/>
        <w:left w:val="none" w:sz="0" w:space="0" w:color="auto"/>
        <w:bottom w:val="none" w:sz="0" w:space="0" w:color="auto"/>
        <w:right w:val="none" w:sz="0" w:space="0" w:color="auto"/>
      </w:divBdr>
    </w:div>
    <w:div w:id="143471585">
      <w:bodyDiv w:val="1"/>
      <w:marLeft w:val="0"/>
      <w:marRight w:val="0"/>
      <w:marTop w:val="0"/>
      <w:marBottom w:val="0"/>
      <w:divBdr>
        <w:top w:val="none" w:sz="0" w:space="0" w:color="auto"/>
        <w:left w:val="none" w:sz="0" w:space="0" w:color="auto"/>
        <w:bottom w:val="none" w:sz="0" w:space="0" w:color="auto"/>
        <w:right w:val="none" w:sz="0" w:space="0" w:color="auto"/>
      </w:divBdr>
      <w:divsChild>
        <w:div w:id="368729375">
          <w:marLeft w:val="0"/>
          <w:marRight w:val="0"/>
          <w:marTop w:val="0"/>
          <w:marBottom w:val="0"/>
          <w:divBdr>
            <w:top w:val="none" w:sz="0" w:space="0" w:color="auto"/>
            <w:left w:val="none" w:sz="0" w:space="0" w:color="auto"/>
            <w:bottom w:val="none" w:sz="0" w:space="0" w:color="auto"/>
            <w:right w:val="none" w:sz="0" w:space="0" w:color="auto"/>
          </w:divBdr>
          <w:divsChild>
            <w:div w:id="2024280035">
              <w:marLeft w:val="0"/>
              <w:marRight w:val="0"/>
              <w:marTop w:val="0"/>
              <w:marBottom w:val="0"/>
              <w:divBdr>
                <w:top w:val="none" w:sz="0" w:space="0" w:color="auto"/>
                <w:left w:val="none" w:sz="0" w:space="0" w:color="auto"/>
                <w:bottom w:val="none" w:sz="0" w:space="0" w:color="auto"/>
                <w:right w:val="none" w:sz="0" w:space="0" w:color="auto"/>
              </w:divBdr>
              <w:divsChild>
                <w:div w:id="18739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9351">
      <w:bodyDiv w:val="1"/>
      <w:marLeft w:val="0"/>
      <w:marRight w:val="0"/>
      <w:marTop w:val="0"/>
      <w:marBottom w:val="0"/>
      <w:divBdr>
        <w:top w:val="none" w:sz="0" w:space="0" w:color="auto"/>
        <w:left w:val="none" w:sz="0" w:space="0" w:color="auto"/>
        <w:bottom w:val="none" w:sz="0" w:space="0" w:color="auto"/>
        <w:right w:val="none" w:sz="0" w:space="0" w:color="auto"/>
      </w:divBdr>
      <w:divsChild>
        <w:div w:id="804734461">
          <w:marLeft w:val="0"/>
          <w:marRight w:val="0"/>
          <w:marTop w:val="0"/>
          <w:marBottom w:val="0"/>
          <w:divBdr>
            <w:top w:val="none" w:sz="0" w:space="0" w:color="auto"/>
            <w:left w:val="none" w:sz="0" w:space="0" w:color="auto"/>
            <w:bottom w:val="none" w:sz="0" w:space="0" w:color="auto"/>
            <w:right w:val="none" w:sz="0" w:space="0" w:color="auto"/>
          </w:divBdr>
          <w:divsChild>
            <w:div w:id="908729093">
              <w:marLeft w:val="0"/>
              <w:marRight w:val="0"/>
              <w:marTop w:val="0"/>
              <w:marBottom w:val="0"/>
              <w:divBdr>
                <w:top w:val="none" w:sz="0" w:space="0" w:color="auto"/>
                <w:left w:val="none" w:sz="0" w:space="0" w:color="auto"/>
                <w:bottom w:val="none" w:sz="0" w:space="0" w:color="auto"/>
                <w:right w:val="none" w:sz="0" w:space="0" w:color="auto"/>
              </w:divBdr>
              <w:divsChild>
                <w:div w:id="1145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9150">
      <w:bodyDiv w:val="1"/>
      <w:marLeft w:val="0"/>
      <w:marRight w:val="0"/>
      <w:marTop w:val="0"/>
      <w:marBottom w:val="0"/>
      <w:divBdr>
        <w:top w:val="none" w:sz="0" w:space="0" w:color="auto"/>
        <w:left w:val="none" w:sz="0" w:space="0" w:color="auto"/>
        <w:bottom w:val="none" w:sz="0" w:space="0" w:color="auto"/>
        <w:right w:val="none" w:sz="0" w:space="0" w:color="auto"/>
      </w:divBdr>
    </w:div>
    <w:div w:id="208079653">
      <w:bodyDiv w:val="1"/>
      <w:marLeft w:val="0"/>
      <w:marRight w:val="0"/>
      <w:marTop w:val="0"/>
      <w:marBottom w:val="0"/>
      <w:divBdr>
        <w:top w:val="none" w:sz="0" w:space="0" w:color="auto"/>
        <w:left w:val="none" w:sz="0" w:space="0" w:color="auto"/>
        <w:bottom w:val="none" w:sz="0" w:space="0" w:color="auto"/>
        <w:right w:val="none" w:sz="0" w:space="0" w:color="auto"/>
      </w:divBdr>
      <w:divsChild>
        <w:div w:id="696196585">
          <w:marLeft w:val="0"/>
          <w:marRight w:val="0"/>
          <w:marTop w:val="0"/>
          <w:marBottom w:val="0"/>
          <w:divBdr>
            <w:top w:val="none" w:sz="0" w:space="0" w:color="auto"/>
            <w:left w:val="none" w:sz="0" w:space="0" w:color="auto"/>
            <w:bottom w:val="none" w:sz="0" w:space="0" w:color="auto"/>
            <w:right w:val="none" w:sz="0" w:space="0" w:color="auto"/>
          </w:divBdr>
          <w:divsChild>
            <w:div w:id="1326283689">
              <w:marLeft w:val="0"/>
              <w:marRight w:val="0"/>
              <w:marTop w:val="0"/>
              <w:marBottom w:val="0"/>
              <w:divBdr>
                <w:top w:val="none" w:sz="0" w:space="0" w:color="auto"/>
                <w:left w:val="none" w:sz="0" w:space="0" w:color="auto"/>
                <w:bottom w:val="none" w:sz="0" w:space="0" w:color="auto"/>
                <w:right w:val="none" w:sz="0" w:space="0" w:color="auto"/>
              </w:divBdr>
              <w:divsChild>
                <w:div w:id="13555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71140">
      <w:bodyDiv w:val="1"/>
      <w:marLeft w:val="0"/>
      <w:marRight w:val="0"/>
      <w:marTop w:val="0"/>
      <w:marBottom w:val="0"/>
      <w:divBdr>
        <w:top w:val="none" w:sz="0" w:space="0" w:color="auto"/>
        <w:left w:val="none" w:sz="0" w:space="0" w:color="auto"/>
        <w:bottom w:val="none" w:sz="0" w:space="0" w:color="auto"/>
        <w:right w:val="none" w:sz="0" w:space="0" w:color="auto"/>
      </w:divBdr>
      <w:divsChild>
        <w:div w:id="781997910">
          <w:marLeft w:val="0"/>
          <w:marRight w:val="0"/>
          <w:marTop w:val="0"/>
          <w:marBottom w:val="0"/>
          <w:divBdr>
            <w:top w:val="none" w:sz="0" w:space="0" w:color="auto"/>
            <w:left w:val="none" w:sz="0" w:space="0" w:color="auto"/>
            <w:bottom w:val="none" w:sz="0" w:space="0" w:color="auto"/>
            <w:right w:val="none" w:sz="0" w:space="0" w:color="auto"/>
          </w:divBdr>
          <w:divsChild>
            <w:div w:id="1155031665">
              <w:marLeft w:val="0"/>
              <w:marRight w:val="0"/>
              <w:marTop w:val="0"/>
              <w:marBottom w:val="0"/>
              <w:divBdr>
                <w:top w:val="none" w:sz="0" w:space="0" w:color="auto"/>
                <w:left w:val="none" w:sz="0" w:space="0" w:color="auto"/>
                <w:bottom w:val="none" w:sz="0" w:space="0" w:color="auto"/>
                <w:right w:val="none" w:sz="0" w:space="0" w:color="auto"/>
              </w:divBdr>
              <w:divsChild>
                <w:div w:id="20031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33576">
      <w:bodyDiv w:val="1"/>
      <w:marLeft w:val="0"/>
      <w:marRight w:val="0"/>
      <w:marTop w:val="0"/>
      <w:marBottom w:val="0"/>
      <w:divBdr>
        <w:top w:val="none" w:sz="0" w:space="0" w:color="auto"/>
        <w:left w:val="none" w:sz="0" w:space="0" w:color="auto"/>
        <w:bottom w:val="none" w:sz="0" w:space="0" w:color="auto"/>
        <w:right w:val="none" w:sz="0" w:space="0" w:color="auto"/>
      </w:divBdr>
    </w:div>
    <w:div w:id="365180683">
      <w:bodyDiv w:val="1"/>
      <w:marLeft w:val="0"/>
      <w:marRight w:val="0"/>
      <w:marTop w:val="0"/>
      <w:marBottom w:val="0"/>
      <w:divBdr>
        <w:top w:val="none" w:sz="0" w:space="0" w:color="auto"/>
        <w:left w:val="none" w:sz="0" w:space="0" w:color="auto"/>
        <w:bottom w:val="none" w:sz="0" w:space="0" w:color="auto"/>
        <w:right w:val="none" w:sz="0" w:space="0" w:color="auto"/>
      </w:divBdr>
      <w:divsChild>
        <w:div w:id="889850284">
          <w:marLeft w:val="0"/>
          <w:marRight w:val="0"/>
          <w:marTop w:val="0"/>
          <w:marBottom w:val="0"/>
          <w:divBdr>
            <w:top w:val="none" w:sz="0" w:space="0" w:color="auto"/>
            <w:left w:val="none" w:sz="0" w:space="0" w:color="auto"/>
            <w:bottom w:val="none" w:sz="0" w:space="0" w:color="auto"/>
            <w:right w:val="none" w:sz="0" w:space="0" w:color="auto"/>
          </w:divBdr>
        </w:div>
      </w:divsChild>
    </w:div>
    <w:div w:id="382825719">
      <w:bodyDiv w:val="1"/>
      <w:marLeft w:val="0"/>
      <w:marRight w:val="0"/>
      <w:marTop w:val="0"/>
      <w:marBottom w:val="0"/>
      <w:divBdr>
        <w:top w:val="none" w:sz="0" w:space="0" w:color="auto"/>
        <w:left w:val="none" w:sz="0" w:space="0" w:color="auto"/>
        <w:bottom w:val="none" w:sz="0" w:space="0" w:color="auto"/>
        <w:right w:val="none" w:sz="0" w:space="0" w:color="auto"/>
      </w:divBdr>
      <w:divsChild>
        <w:div w:id="170025648">
          <w:marLeft w:val="0"/>
          <w:marRight w:val="0"/>
          <w:marTop w:val="0"/>
          <w:marBottom w:val="0"/>
          <w:divBdr>
            <w:top w:val="none" w:sz="0" w:space="0" w:color="auto"/>
            <w:left w:val="none" w:sz="0" w:space="0" w:color="auto"/>
            <w:bottom w:val="none" w:sz="0" w:space="0" w:color="auto"/>
            <w:right w:val="none" w:sz="0" w:space="0" w:color="auto"/>
          </w:divBdr>
          <w:divsChild>
            <w:div w:id="1416626883">
              <w:marLeft w:val="0"/>
              <w:marRight w:val="0"/>
              <w:marTop w:val="0"/>
              <w:marBottom w:val="0"/>
              <w:divBdr>
                <w:top w:val="none" w:sz="0" w:space="0" w:color="auto"/>
                <w:left w:val="none" w:sz="0" w:space="0" w:color="auto"/>
                <w:bottom w:val="none" w:sz="0" w:space="0" w:color="auto"/>
                <w:right w:val="none" w:sz="0" w:space="0" w:color="auto"/>
              </w:divBdr>
              <w:divsChild>
                <w:div w:id="7700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5770">
      <w:bodyDiv w:val="1"/>
      <w:marLeft w:val="0"/>
      <w:marRight w:val="0"/>
      <w:marTop w:val="0"/>
      <w:marBottom w:val="0"/>
      <w:divBdr>
        <w:top w:val="none" w:sz="0" w:space="0" w:color="auto"/>
        <w:left w:val="none" w:sz="0" w:space="0" w:color="auto"/>
        <w:bottom w:val="none" w:sz="0" w:space="0" w:color="auto"/>
        <w:right w:val="none" w:sz="0" w:space="0" w:color="auto"/>
      </w:divBdr>
      <w:divsChild>
        <w:div w:id="916405536">
          <w:marLeft w:val="0"/>
          <w:marRight w:val="0"/>
          <w:marTop w:val="0"/>
          <w:marBottom w:val="0"/>
          <w:divBdr>
            <w:top w:val="none" w:sz="0" w:space="0" w:color="auto"/>
            <w:left w:val="none" w:sz="0" w:space="0" w:color="auto"/>
            <w:bottom w:val="none" w:sz="0" w:space="0" w:color="auto"/>
            <w:right w:val="none" w:sz="0" w:space="0" w:color="auto"/>
          </w:divBdr>
          <w:divsChild>
            <w:div w:id="1941601810">
              <w:marLeft w:val="0"/>
              <w:marRight w:val="0"/>
              <w:marTop w:val="0"/>
              <w:marBottom w:val="0"/>
              <w:divBdr>
                <w:top w:val="none" w:sz="0" w:space="0" w:color="auto"/>
                <w:left w:val="none" w:sz="0" w:space="0" w:color="auto"/>
                <w:bottom w:val="none" w:sz="0" w:space="0" w:color="auto"/>
                <w:right w:val="none" w:sz="0" w:space="0" w:color="auto"/>
              </w:divBdr>
              <w:divsChild>
                <w:div w:id="6351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9461">
      <w:bodyDiv w:val="1"/>
      <w:marLeft w:val="0"/>
      <w:marRight w:val="0"/>
      <w:marTop w:val="0"/>
      <w:marBottom w:val="0"/>
      <w:divBdr>
        <w:top w:val="none" w:sz="0" w:space="0" w:color="auto"/>
        <w:left w:val="none" w:sz="0" w:space="0" w:color="auto"/>
        <w:bottom w:val="none" w:sz="0" w:space="0" w:color="auto"/>
        <w:right w:val="none" w:sz="0" w:space="0" w:color="auto"/>
      </w:divBdr>
      <w:divsChild>
        <w:div w:id="141316616">
          <w:marLeft w:val="0"/>
          <w:marRight w:val="0"/>
          <w:marTop w:val="0"/>
          <w:marBottom w:val="0"/>
          <w:divBdr>
            <w:top w:val="none" w:sz="0" w:space="0" w:color="auto"/>
            <w:left w:val="none" w:sz="0" w:space="0" w:color="auto"/>
            <w:bottom w:val="none" w:sz="0" w:space="0" w:color="auto"/>
            <w:right w:val="none" w:sz="0" w:space="0" w:color="auto"/>
          </w:divBdr>
          <w:divsChild>
            <w:div w:id="13406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6555">
      <w:bodyDiv w:val="1"/>
      <w:marLeft w:val="0"/>
      <w:marRight w:val="0"/>
      <w:marTop w:val="0"/>
      <w:marBottom w:val="0"/>
      <w:divBdr>
        <w:top w:val="none" w:sz="0" w:space="0" w:color="auto"/>
        <w:left w:val="none" w:sz="0" w:space="0" w:color="auto"/>
        <w:bottom w:val="none" w:sz="0" w:space="0" w:color="auto"/>
        <w:right w:val="none" w:sz="0" w:space="0" w:color="auto"/>
      </w:divBdr>
      <w:divsChild>
        <w:div w:id="999191674">
          <w:marLeft w:val="0"/>
          <w:marRight w:val="0"/>
          <w:marTop w:val="0"/>
          <w:marBottom w:val="0"/>
          <w:divBdr>
            <w:top w:val="none" w:sz="0" w:space="0" w:color="auto"/>
            <w:left w:val="none" w:sz="0" w:space="0" w:color="auto"/>
            <w:bottom w:val="none" w:sz="0" w:space="0" w:color="auto"/>
            <w:right w:val="none" w:sz="0" w:space="0" w:color="auto"/>
          </w:divBdr>
          <w:divsChild>
            <w:div w:id="692656908">
              <w:marLeft w:val="0"/>
              <w:marRight w:val="0"/>
              <w:marTop w:val="0"/>
              <w:marBottom w:val="0"/>
              <w:divBdr>
                <w:top w:val="none" w:sz="0" w:space="0" w:color="auto"/>
                <w:left w:val="none" w:sz="0" w:space="0" w:color="auto"/>
                <w:bottom w:val="none" w:sz="0" w:space="0" w:color="auto"/>
                <w:right w:val="none" w:sz="0" w:space="0" w:color="auto"/>
              </w:divBdr>
              <w:divsChild>
                <w:div w:id="14535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9146">
      <w:bodyDiv w:val="1"/>
      <w:marLeft w:val="0"/>
      <w:marRight w:val="0"/>
      <w:marTop w:val="0"/>
      <w:marBottom w:val="0"/>
      <w:divBdr>
        <w:top w:val="none" w:sz="0" w:space="0" w:color="auto"/>
        <w:left w:val="none" w:sz="0" w:space="0" w:color="auto"/>
        <w:bottom w:val="none" w:sz="0" w:space="0" w:color="auto"/>
        <w:right w:val="none" w:sz="0" w:space="0" w:color="auto"/>
      </w:divBdr>
      <w:divsChild>
        <w:div w:id="1109853342">
          <w:marLeft w:val="0"/>
          <w:marRight w:val="0"/>
          <w:marTop w:val="0"/>
          <w:marBottom w:val="0"/>
          <w:divBdr>
            <w:top w:val="none" w:sz="0" w:space="0" w:color="auto"/>
            <w:left w:val="none" w:sz="0" w:space="0" w:color="auto"/>
            <w:bottom w:val="none" w:sz="0" w:space="0" w:color="auto"/>
            <w:right w:val="none" w:sz="0" w:space="0" w:color="auto"/>
          </w:divBdr>
          <w:divsChild>
            <w:div w:id="2014911301">
              <w:marLeft w:val="0"/>
              <w:marRight w:val="0"/>
              <w:marTop w:val="0"/>
              <w:marBottom w:val="0"/>
              <w:divBdr>
                <w:top w:val="none" w:sz="0" w:space="0" w:color="auto"/>
                <w:left w:val="none" w:sz="0" w:space="0" w:color="auto"/>
                <w:bottom w:val="none" w:sz="0" w:space="0" w:color="auto"/>
                <w:right w:val="none" w:sz="0" w:space="0" w:color="auto"/>
              </w:divBdr>
              <w:divsChild>
                <w:div w:id="10345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652">
      <w:bodyDiv w:val="1"/>
      <w:marLeft w:val="0"/>
      <w:marRight w:val="0"/>
      <w:marTop w:val="0"/>
      <w:marBottom w:val="0"/>
      <w:divBdr>
        <w:top w:val="none" w:sz="0" w:space="0" w:color="auto"/>
        <w:left w:val="none" w:sz="0" w:space="0" w:color="auto"/>
        <w:bottom w:val="none" w:sz="0" w:space="0" w:color="auto"/>
        <w:right w:val="none" w:sz="0" w:space="0" w:color="auto"/>
      </w:divBdr>
      <w:divsChild>
        <w:div w:id="1297569519">
          <w:marLeft w:val="0"/>
          <w:marRight w:val="0"/>
          <w:marTop w:val="0"/>
          <w:marBottom w:val="0"/>
          <w:divBdr>
            <w:top w:val="none" w:sz="0" w:space="0" w:color="auto"/>
            <w:left w:val="none" w:sz="0" w:space="0" w:color="auto"/>
            <w:bottom w:val="none" w:sz="0" w:space="0" w:color="auto"/>
            <w:right w:val="none" w:sz="0" w:space="0" w:color="auto"/>
          </w:divBdr>
          <w:divsChild>
            <w:div w:id="992026968">
              <w:marLeft w:val="0"/>
              <w:marRight w:val="0"/>
              <w:marTop w:val="0"/>
              <w:marBottom w:val="0"/>
              <w:divBdr>
                <w:top w:val="none" w:sz="0" w:space="0" w:color="auto"/>
                <w:left w:val="none" w:sz="0" w:space="0" w:color="auto"/>
                <w:bottom w:val="none" w:sz="0" w:space="0" w:color="auto"/>
                <w:right w:val="none" w:sz="0" w:space="0" w:color="auto"/>
              </w:divBdr>
              <w:divsChild>
                <w:div w:id="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92198">
      <w:bodyDiv w:val="1"/>
      <w:marLeft w:val="0"/>
      <w:marRight w:val="0"/>
      <w:marTop w:val="0"/>
      <w:marBottom w:val="0"/>
      <w:divBdr>
        <w:top w:val="none" w:sz="0" w:space="0" w:color="auto"/>
        <w:left w:val="none" w:sz="0" w:space="0" w:color="auto"/>
        <w:bottom w:val="none" w:sz="0" w:space="0" w:color="auto"/>
        <w:right w:val="none" w:sz="0" w:space="0" w:color="auto"/>
      </w:divBdr>
      <w:divsChild>
        <w:div w:id="1508401506">
          <w:marLeft w:val="0"/>
          <w:marRight w:val="0"/>
          <w:marTop w:val="0"/>
          <w:marBottom w:val="0"/>
          <w:divBdr>
            <w:top w:val="none" w:sz="0" w:space="0" w:color="auto"/>
            <w:left w:val="none" w:sz="0" w:space="0" w:color="auto"/>
            <w:bottom w:val="none" w:sz="0" w:space="0" w:color="auto"/>
            <w:right w:val="none" w:sz="0" w:space="0" w:color="auto"/>
          </w:divBdr>
          <w:divsChild>
            <w:div w:id="200214751">
              <w:marLeft w:val="0"/>
              <w:marRight w:val="0"/>
              <w:marTop w:val="0"/>
              <w:marBottom w:val="0"/>
              <w:divBdr>
                <w:top w:val="none" w:sz="0" w:space="0" w:color="auto"/>
                <w:left w:val="none" w:sz="0" w:space="0" w:color="auto"/>
                <w:bottom w:val="none" w:sz="0" w:space="0" w:color="auto"/>
                <w:right w:val="none" w:sz="0" w:space="0" w:color="auto"/>
              </w:divBdr>
              <w:divsChild>
                <w:div w:id="1548687732">
                  <w:marLeft w:val="0"/>
                  <w:marRight w:val="0"/>
                  <w:marTop w:val="0"/>
                  <w:marBottom w:val="0"/>
                  <w:divBdr>
                    <w:top w:val="none" w:sz="0" w:space="0" w:color="auto"/>
                    <w:left w:val="none" w:sz="0" w:space="0" w:color="auto"/>
                    <w:bottom w:val="none" w:sz="0" w:space="0" w:color="auto"/>
                    <w:right w:val="none" w:sz="0" w:space="0" w:color="auto"/>
                  </w:divBdr>
                </w:div>
              </w:divsChild>
            </w:div>
            <w:div w:id="377631004">
              <w:marLeft w:val="0"/>
              <w:marRight w:val="0"/>
              <w:marTop w:val="0"/>
              <w:marBottom w:val="0"/>
              <w:divBdr>
                <w:top w:val="none" w:sz="0" w:space="0" w:color="auto"/>
                <w:left w:val="none" w:sz="0" w:space="0" w:color="auto"/>
                <w:bottom w:val="none" w:sz="0" w:space="0" w:color="auto"/>
                <w:right w:val="none" w:sz="0" w:space="0" w:color="auto"/>
              </w:divBdr>
              <w:divsChild>
                <w:div w:id="1803232412">
                  <w:marLeft w:val="0"/>
                  <w:marRight w:val="0"/>
                  <w:marTop w:val="0"/>
                  <w:marBottom w:val="0"/>
                  <w:divBdr>
                    <w:top w:val="none" w:sz="0" w:space="0" w:color="auto"/>
                    <w:left w:val="none" w:sz="0" w:space="0" w:color="auto"/>
                    <w:bottom w:val="none" w:sz="0" w:space="0" w:color="auto"/>
                    <w:right w:val="none" w:sz="0" w:space="0" w:color="auto"/>
                  </w:divBdr>
                </w:div>
              </w:divsChild>
            </w:div>
            <w:div w:id="1529835418">
              <w:marLeft w:val="0"/>
              <w:marRight w:val="0"/>
              <w:marTop w:val="0"/>
              <w:marBottom w:val="0"/>
              <w:divBdr>
                <w:top w:val="none" w:sz="0" w:space="0" w:color="auto"/>
                <w:left w:val="none" w:sz="0" w:space="0" w:color="auto"/>
                <w:bottom w:val="none" w:sz="0" w:space="0" w:color="auto"/>
                <w:right w:val="none" w:sz="0" w:space="0" w:color="auto"/>
              </w:divBdr>
              <w:divsChild>
                <w:div w:id="608397308">
                  <w:marLeft w:val="0"/>
                  <w:marRight w:val="0"/>
                  <w:marTop w:val="0"/>
                  <w:marBottom w:val="0"/>
                  <w:divBdr>
                    <w:top w:val="none" w:sz="0" w:space="0" w:color="auto"/>
                    <w:left w:val="none" w:sz="0" w:space="0" w:color="auto"/>
                    <w:bottom w:val="none" w:sz="0" w:space="0" w:color="auto"/>
                    <w:right w:val="none" w:sz="0" w:space="0" w:color="auto"/>
                  </w:divBdr>
                </w:div>
              </w:divsChild>
            </w:div>
            <w:div w:id="1263565948">
              <w:marLeft w:val="0"/>
              <w:marRight w:val="0"/>
              <w:marTop w:val="0"/>
              <w:marBottom w:val="0"/>
              <w:divBdr>
                <w:top w:val="none" w:sz="0" w:space="0" w:color="auto"/>
                <w:left w:val="none" w:sz="0" w:space="0" w:color="auto"/>
                <w:bottom w:val="none" w:sz="0" w:space="0" w:color="auto"/>
                <w:right w:val="none" w:sz="0" w:space="0" w:color="auto"/>
              </w:divBdr>
              <w:divsChild>
                <w:div w:id="663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762979">
      <w:bodyDiv w:val="1"/>
      <w:marLeft w:val="0"/>
      <w:marRight w:val="0"/>
      <w:marTop w:val="0"/>
      <w:marBottom w:val="0"/>
      <w:divBdr>
        <w:top w:val="none" w:sz="0" w:space="0" w:color="auto"/>
        <w:left w:val="none" w:sz="0" w:space="0" w:color="auto"/>
        <w:bottom w:val="none" w:sz="0" w:space="0" w:color="auto"/>
        <w:right w:val="none" w:sz="0" w:space="0" w:color="auto"/>
      </w:divBdr>
      <w:divsChild>
        <w:div w:id="2054848001">
          <w:marLeft w:val="0"/>
          <w:marRight w:val="0"/>
          <w:marTop w:val="0"/>
          <w:marBottom w:val="0"/>
          <w:divBdr>
            <w:top w:val="none" w:sz="0" w:space="0" w:color="auto"/>
            <w:left w:val="none" w:sz="0" w:space="0" w:color="auto"/>
            <w:bottom w:val="none" w:sz="0" w:space="0" w:color="auto"/>
            <w:right w:val="none" w:sz="0" w:space="0" w:color="auto"/>
          </w:divBdr>
          <w:divsChild>
            <w:div w:id="1893613616">
              <w:marLeft w:val="0"/>
              <w:marRight w:val="0"/>
              <w:marTop w:val="0"/>
              <w:marBottom w:val="0"/>
              <w:divBdr>
                <w:top w:val="none" w:sz="0" w:space="0" w:color="auto"/>
                <w:left w:val="none" w:sz="0" w:space="0" w:color="auto"/>
                <w:bottom w:val="none" w:sz="0" w:space="0" w:color="auto"/>
                <w:right w:val="none" w:sz="0" w:space="0" w:color="auto"/>
              </w:divBdr>
              <w:divsChild>
                <w:div w:id="15523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49658">
      <w:bodyDiv w:val="1"/>
      <w:marLeft w:val="0"/>
      <w:marRight w:val="0"/>
      <w:marTop w:val="0"/>
      <w:marBottom w:val="0"/>
      <w:divBdr>
        <w:top w:val="none" w:sz="0" w:space="0" w:color="auto"/>
        <w:left w:val="none" w:sz="0" w:space="0" w:color="auto"/>
        <w:bottom w:val="none" w:sz="0" w:space="0" w:color="auto"/>
        <w:right w:val="none" w:sz="0" w:space="0" w:color="auto"/>
      </w:divBdr>
      <w:divsChild>
        <w:div w:id="2071464087">
          <w:marLeft w:val="0"/>
          <w:marRight w:val="0"/>
          <w:marTop w:val="0"/>
          <w:marBottom w:val="0"/>
          <w:divBdr>
            <w:top w:val="none" w:sz="0" w:space="0" w:color="auto"/>
            <w:left w:val="none" w:sz="0" w:space="0" w:color="auto"/>
            <w:bottom w:val="none" w:sz="0" w:space="0" w:color="auto"/>
            <w:right w:val="none" w:sz="0" w:space="0" w:color="auto"/>
          </w:divBdr>
          <w:divsChild>
            <w:div w:id="190723312">
              <w:marLeft w:val="0"/>
              <w:marRight w:val="0"/>
              <w:marTop w:val="0"/>
              <w:marBottom w:val="0"/>
              <w:divBdr>
                <w:top w:val="none" w:sz="0" w:space="0" w:color="auto"/>
                <w:left w:val="none" w:sz="0" w:space="0" w:color="auto"/>
                <w:bottom w:val="none" w:sz="0" w:space="0" w:color="auto"/>
                <w:right w:val="none" w:sz="0" w:space="0" w:color="auto"/>
              </w:divBdr>
              <w:divsChild>
                <w:div w:id="1263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18895">
          <w:marLeft w:val="0"/>
          <w:marRight w:val="0"/>
          <w:marTop w:val="0"/>
          <w:marBottom w:val="0"/>
          <w:divBdr>
            <w:top w:val="none" w:sz="0" w:space="0" w:color="auto"/>
            <w:left w:val="none" w:sz="0" w:space="0" w:color="auto"/>
            <w:bottom w:val="none" w:sz="0" w:space="0" w:color="auto"/>
            <w:right w:val="none" w:sz="0" w:space="0" w:color="auto"/>
          </w:divBdr>
          <w:divsChild>
            <w:div w:id="831528070">
              <w:marLeft w:val="0"/>
              <w:marRight w:val="0"/>
              <w:marTop w:val="0"/>
              <w:marBottom w:val="0"/>
              <w:divBdr>
                <w:top w:val="none" w:sz="0" w:space="0" w:color="auto"/>
                <w:left w:val="none" w:sz="0" w:space="0" w:color="auto"/>
                <w:bottom w:val="none" w:sz="0" w:space="0" w:color="auto"/>
                <w:right w:val="none" w:sz="0" w:space="0" w:color="auto"/>
              </w:divBdr>
              <w:divsChild>
                <w:div w:id="349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14433">
      <w:bodyDiv w:val="1"/>
      <w:marLeft w:val="0"/>
      <w:marRight w:val="0"/>
      <w:marTop w:val="0"/>
      <w:marBottom w:val="0"/>
      <w:divBdr>
        <w:top w:val="none" w:sz="0" w:space="0" w:color="auto"/>
        <w:left w:val="none" w:sz="0" w:space="0" w:color="auto"/>
        <w:bottom w:val="none" w:sz="0" w:space="0" w:color="auto"/>
        <w:right w:val="none" w:sz="0" w:space="0" w:color="auto"/>
      </w:divBdr>
      <w:divsChild>
        <w:div w:id="965888306">
          <w:marLeft w:val="0"/>
          <w:marRight w:val="0"/>
          <w:marTop w:val="0"/>
          <w:marBottom w:val="0"/>
          <w:divBdr>
            <w:top w:val="none" w:sz="0" w:space="0" w:color="auto"/>
            <w:left w:val="none" w:sz="0" w:space="0" w:color="auto"/>
            <w:bottom w:val="none" w:sz="0" w:space="0" w:color="auto"/>
            <w:right w:val="none" w:sz="0" w:space="0" w:color="auto"/>
          </w:divBdr>
          <w:divsChild>
            <w:div w:id="396712630">
              <w:marLeft w:val="0"/>
              <w:marRight w:val="0"/>
              <w:marTop w:val="0"/>
              <w:marBottom w:val="0"/>
              <w:divBdr>
                <w:top w:val="none" w:sz="0" w:space="0" w:color="auto"/>
                <w:left w:val="none" w:sz="0" w:space="0" w:color="auto"/>
                <w:bottom w:val="none" w:sz="0" w:space="0" w:color="auto"/>
                <w:right w:val="none" w:sz="0" w:space="0" w:color="auto"/>
              </w:divBdr>
              <w:divsChild>
                <w:div w:id="1102535583">
                  <w:marLeft w:val="0"/>
                  <w:marRight w:val="0"/>
                  <w:marTop w:val="0"/>
                  <w:marBottom w:val="0"/>
                  <w:divBdr>
                    <w:top w:val="none" w:sz="0" w:space="0" w:color="auto"/>
                    <w:left w:val="none" w:sz="0" w:space="0" w:color="auto"/>
                    <w:bottom w:val="none" w:sz="0" w:space="0" w:color="auto"/>
                    <w:right w:val="none" w:sz="0" w:space="0" w:color="auto"/>
                  </w:divBdr>
                </w:div>
              </w:divsChild>
            </w:div>
            <w:div w:id="1923106742">
              <w:marLeft w:val="0"/>
              <w:marRight w:val="0"/>
              <w:marTop w:val="0"/>
              <w:marBottom w:val="0"/>
              <w:divBdr>
                <w:top w:val="none" w:sz="0" w:space="0" w:color="auto"/>
                <w:left w:val="none" w:sz="0" w:space="0" w:color="auto"/>
                <w:bottom w:val="none" w:sz="0" w:space="0" w:color="auto"/>
                <w:right w:val="none" w:sz="0" w:space="0" w:color="auto"/>
              </w:divBdr>
              <w:divsChild>
                <w:div w:id="439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82581">
      <w:bodyDiv w:val="1"/>
      <w:marLeft w:val="0"/>
      <w:marRight w:val="0"/>
      <w:marTop w:val="0"/>
      <w:marBottom w:val="0"/>
      <w:divBdr>
        <w:top w:val="none" w:sz="0" w:space="0" w:color="auto"/>
        <w:left w:val="none" w:sz="0" w:space="0" w:color="auto"/>
        <w:bottom w:val="none" w:sz="0" w:space="0" w:color="auto"/>
        <w:right w:val="none" w:sz="0" w:space="0" w:color="auto"/>
      </w:divBdr>
      <w:divsChild>
        <w:div w:id="941962108">
          <w:marLeft w:val="0"/>
          <w:marRight w:val="0"/>
          <w:marTop w:val="0"/>
          <w:marBottom w:val="0"/>
          <w:divBdr>
            <w:top w:val="none" w:sz="0" w:space="0" w:color="auto"/>
            <w:left w:val="none" w:sz="0" w:space="0" w:color="auto"/>
            <w:bottom w:val="none" w:sz="0" w:space="0" w:color="auto"/>
            <w:right w:val="none" w:sz="0" w:space="0" w:color="auto"/>
          </w:divBdr>
          <w:divsChild>
            <w:div w:id="2073694417">
              <w:marLeft w:val="0"/>
              <w:marRight w:val="0"/>
              <w:marTop w:val="0"/>
              <w:marBottom w:val="0"/>
              <w:divBdr>
                <w:top w:val="none" w:sz="0" w:space="0" w:color="auto"/>
                <w:left w:val="none" w:sz="0" w:space="0" w:color="auto"/>
                <w:bottom w:val="none" w:sz="0" w:space="0" w:color="auto"/>
                <w:right w:val="none" w:sz="0" w:space="0" w:color="auto"/>
              </w:divBdr>
              <w:divsChild>
                <w:div w:id="101380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544819">
      <w:bodyDiv w:val="1"/>
      <w:marLeft w:val="0"/>
      <w:marRight w:val="0"/>
      <w:marTop w:val="0"/>
      <w:marBottom w:val="0"/>
      <w:divBdr>
        <w:top w:val="none" w:sz="0" w:space="0" w:color="auto"/>
        <w:left w:val="none" w:sz="0" w:space="0" w:color="auto"/>
        <w:bottom w:val="none" w:sz="0" w:space="0" w:color="auto"/>
        <w:right w:val="none" w:sz="0" w:space="0" w:color="auto"/>
      </w:divBdr>
      <w:divsChild>
        <w:div w:id="1483503986">
          <w:marLeft w:val="0"/>
          <w:marRight w:val="0"/>
          <w:marTop w:val="0"/>
          <w:marBottom w:val="0"/>
          <w:divBdr>
            <w:top w:val="none" w:sz="0" w:space="0" w:color="auto"/>
            <w:left w:val="none" w:sz="0" w:space="0" w:color="auto"/>
            <w:bottom w:val="none" w:sz="0" w:space="0" w:color="auto"/>
            <w:right w:val="none" w:sz="0" w:space="0" w:color="auto"/>
          </w:divBdr>
          <w:divsChild>
            <w:div w:id="1997026557">
              <w:marLeft w:val="0"/>
              <w:marRight w:val="0"/>
              <w:marTop w:val="0"/>
              <w:marBottom w:val="0"/>
              <w:divBdr>
                <w:top w:val="none" w:sz="0" w:space="0" w:color="auto"/>
                <w:left w:val="none" w:sz="0" w:space="0" w:color="auto"/>
                <w:bottom w:val="none" w:sz="0" w:space="0" w:color="auto"/>
                <w:right w:val="none" w:sz="0" w:space="0" w:color="auto"/>
              </w:divBdr>
              <w:divsChild>
                <w:div w:id="9571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3963">
      <w:bodyDiv w:val="1"/>
      <w:marLeft w:val="0"/>
      <w:marRight w:val="0"/>
      <w:marTop w:val="0"/>
      <w:marBottom w:val="0"/>
      <w:divBdr>
        <w:top w:val="none" w:sz="0" w:space="0" w:color="auto"/>
        <w:left w:val="none" w:sz="0" w:space="0" w:color="auto"/>
        <w:bottom w:val="none" w:sz="0" w:space="0" w:color="auto"/>
        <w:right w:val="none" w:sz="0" w:space="0" w:color="auto"/>
      </w:divBdr>
      <w:divsChild>
        <w:div w:id="89932782">
          <w:marLeft w:val="0"/>
          <w:marRight w:val="0"/>
          <w:marTop w:val="0"/>
          <w:marBottom w:val="0"/>
          <w:divBdr>
            <w:top w:val="none" w:sz="0" w:space="0" w:color="auto"/>
            <w:left w:val="none" w:sz="0" w:space="0" w:color="auto"/>
            <w:bottom w:val="none" w:sz="0" w:space="0" w:color="auto"/>
            <w:right w:val="none" w:sz="0" w:space="0" w:color="auto"/>
          </w:divBdr>
          <w:divsChild>
            <w:div w:id="540747365">
              <w:marLeft w:val="0"/>
              <w:marRight w:val="0"/>
              <w:marTop w:val="0"/>
              <w:marBottom w:val="0"/>
              <w:divBdr>
                <w:top w:val="none" w:sz="0" w:space="0" w:color="auto"/>
                <w:left w:val="none" w:sz="0" w:space="0" w:color="auto"/>
                <w:bottom w:val="none" w:sz="0" w:space="0" w:color="auto"/>
                <w:right w:val="none" w:sz="0" w:space="0" w:color="auto"/>
              </w:divBdr>
              <w:divsChild>
                <w:div w:id="14834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7111">
      <w:bodyDiv w:val="1"/>
      <w:marLeft w:val="0"/>
      <w:marRight w:val="0"/>
      <w:marTop w:val="0"/>
      <w:marBottom w:val="0"/>
      <w:divBdr>
        <w:top w:val="none" w:sz="0" w:space="0" w:color="auto"/>
        <w:left w:val="none" w:sz="0" w:space="0" w:color="auto"/>
        <w:bottom w:val="none" w:sz="0" w:space="0" w:color="auto"/>
        <w:right w:val="none" w:sz="0" w:space="0" w:color="auto"/>
      </w:divBdr>
      <w:divsChild>
        <w:div w:id="220990492">
          <w:marLeft w:val="0"/>
          <w:marRight w:val="0"/>
          <w:marTop w:val="0"/>
          <w:marBottom w:val="0"/>
          <w:divBdr>
            <w:top w:val="none" w:sz="0" w:space="0" w:color="auto"/>
            <w:left w:val="none" w:sz="0" w:space="0" w:color="auto"/>
            <w:bottom w:val="none" w:sz="0" w:space="0" w:color="auto"/>
            <w:right w:val="none" w:sz="0" w:space="0" w:color="auto"/>
          </w:divBdr>
          <w:divsChild>
            <w:div w:id="1721512750">
              <w:marLeft w:val="0"/>
              <w:marRight w:val="0"/>
              <w:marTop w:val="0"/>
              <w:marBottom w:val="0"/>
              <w:divBdr>
                <w:top w:val="none" w:sz="0" w:space="0" w:color="auto"/>
                <w:left w:val="none" w:sz="0" w:space="0" w:color="auto"/>
                <w:bottom w:val="none" w:sz="0" w:space="0" w:color="auto"/>
                <w:right w:val="none" w:sz="0" w:space="0" w:color="auto"/>
              </w:divBdr>
              <w:divsChild>
                <w:div w:id="2030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60999">
      <w:bodyDiv w:val="1"/>
      <w:marLeft w:val="0"/>
      <w:marRight w:val="0"/>
      <w:marTop w:val="0"/>
      <w:marBottom w:val="0"/>
      <w:divBdr>
        <w:top w:val="none" w:sz="0" w:space="0" w:color="auto"/>
        <w:left w:val="none" w:sz="0" w:space="0" w:color="auto"/>
        <w:bottom w:val="none" w:sz="0" w:space="0" w:color="auto"/>
        <w:right w:val="none" w:sz="0" w:space="0" w:color="auto"/>
      </w:divBdr>
      <w:divsChild>
        <w:div w:id="638728510">
          <w:marLeft w:val="0"/>
          <w:marRight w:val="0"/>
          <w:marTop w:val="0"/>
          <w:marBottom w:val="0"/>
          <w:divBdr>
            <w:top w:val="none" w:sz="0" w:space="0" w:color="auto"/>
            <w:left w:val="none" w:sz="0" w:space="0" w:color="auto"/>
            <w:bottom w:val="none" w:sz="0" w:space="0" w:color="auto"/>
            <w:right w:val="none" w:sz="0" w:space="0" w:color="auto"/>
          </w:divBdr>
          <w:divsChild>
            <w:div w:id="1427842208">
              <w:marLeft w:val="0"/>
              <w:marRight w:val="0"/>
              <w:marTop w:val="0"/>
              <w:marBottom w:val="0"/>
              <w:divBdr>
                <w:top w:val="none" w:sz="0" w:space="0" w:color="auto"/>
                <w:left w:val="none" w:sz="0" w:space="0" w:color="auto"/>
                <w:bottom w:val="none" w:sz="0" w:space="0" w:color="auto"/>
                <w:right w:val="none" w:sz="0" w:space="0" w:color="auto"/>
              </w:divBdr>
              <w:divsChild>
                <w:div w:id="919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83772">
      <w:bodyDiv w:val="1"/>
      <w:marLeft w:val="0"/>
      <w:marRight w:val="0"/>
      <w:marTop w:val="0"/>
      <w:marBottom w:val="0"/>
      <w:divBdr>
        <w:top w:val="none" w:sz="0" w:space="0" w:color="auto"/>
        <w:left w:val="none" w:sz="0" w:space="0" w:color="auto"/>
        <w:bottom w:val="none" w:sz="0" w:space="0" w:color="auto"/>
        <w:right w:val="none" w:sz="0" w:space="0" w:color="auto"/>
      </w:divBdr>
      <w:divsChild>
        <w:div w:id="78335673">
          <w:marLeft w:val="0"/>
          <w:marRight w:val="0"/>
          <w:marTop w:val="0"/>
          <w:marBottom w:val="0"/>
          <w:divBdr>
            <w:top w:val="none" w:sz="0" w:space="0" w:color="auto"/>
            <w:left w:val="none" w:sz="0" w:space="0" w:color="auto"/>
            <w:bottom w:val="none" w:sz="0" w:space="0" w:color="auto"/>
            <w:right w:val="none" w:sz="0" w:space="0" w:color="auto"/>
          </w:divBdr>
          <w:divsChild>
            <w:div w:id="109201113">
              <w:marLeft w:val="0"/>
              <w:marRight w:val="0"/>
              <w:marTop w:val="0"/>
              <w:marBottom w:val="0"/>
              <w:divBdr>
                <w:top w:val="none" w:sz="0" w:space="0" w:color="auto"/>
                <w:left w:val="none" w:sz="0" w:space="0" w:color="auto"/>
                <w:bottom w:val="none" w:sz="0" w:space="0" w:color="auto"/>
                <w:right w:val="none" w:sz="0" w:space="0" w:color="auto"/>
              </w:divBdr>
              <w:divsChild>
                <w:div w:id="6823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2627">
      <w:bodyDiv w:val="1"/>
      <w:marLeft w:val="0"/>
      <w:marRight w:val="0"/>
      <w:marTop w:val="0"/>
      <w:marBottom w:val="0"/>
      <w:divBdr>
        <w:top w:val="none" w:sz="0" w:space="0" w:color="auto"/>
        <w:left w:val="none" w:sz="0" w:space="0" w:color="auto"/>
        <w:bottom w:val="none" w:sz="0" w:space="0" w:color="auto"/>
        <w:right w:val="none" w:sz="0" w:space="0" w:color="auto"/>
      </w:divBdr>
      <w:divsChild>
        <w:div w:id="227112139">
          <w:marLeft w:val="0"/>
          <w:marRight w:val="0"/>
          <w:marTop w:val="0"/>
          <w:marBottom w:val="0"/>
          <w:divBdr>
            <w:top w:val="none" w:sz="0" w:space="0" w:color="auto"/>
            <w:left w:val="none" w:sz="0" w:space="0" w:color="auto"/>
            <w:bottom w:val="none" w:sz="0" w:space="0" w:color="auto"/>
            <w:right w:val="none" w:sz="0" w:space="0" w:color="auto"/>
          </w:divBdr>
          <w:divsChild>
            <w:div w:id="1468283511">
              <w:marLeft w:val="0"/>
              <w:marRight w:val="0"/>
              <w:marTop w:val="0"/>
              <w:marBottom w:val="0"/>
              <w:divBdr>
                <w:top w:val="none" w:sz="0" w:space="0" w:color="auto"/>
                <w:left w:val="none" w:sz="0" w:space="0" w:color="auto"/>
                <w:bottom w:val="none" w:sz="0" w:space="0" w:color="auto"/>
                <w:right w:val="none" w:sz="0" w:space="0" w:color="auto"/>
              </w:divBdr>
              <w:divsChild>
                <w:div w:id="11187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99834">
      <w:bodyDiv w:val="1"/>
      <w:marLeft w:val="0"/>
      <w:marRight w:val="0"/>
      <w:marTop w:val="0"/>
      <w:marBottom w:val="0"/>
      <w:divBdr>
        <w:top w:val="none" w:sz="0" w:space="0" w:color="auto"/>
        <w:left w:val="none" w:sz="0" w:space="0" w:color="auto"/>
        <w:bottom w:val="none" w:sz="0" w:space="0" w:color="auto"/>
        <w:right w:val="none" w:sz="0" w:space="0" w:color="auto"/>
      </w:divBdr>
      <w:divsChild>
        <w:div w:id="440296282">
          <w:marLeft w:val="0"/>
          <w:marRight w:val="0"/>
          <w:marTop w:val="0"/>
          <w:marBottom w:val="0"/>
          <w:divBdr>
            <w:top w:val="none" w:sz="0" w:space="0" w:color="auto"/>
            <w:left w:val="none" w:sz="0" w:space="0" w:color="auto"/>
            <w:bottom w:val="none" w:sz="0" w:space="0" w:color="auto"/>
            <w:right w:val="none" w:sz="0" w:space="0" w:color="auto"/>
          </w:divBdr>
          <w:divsChild>
            <w:div w:id="535041823">
              <w:marLeft w:val="0"/>
              <w:marRight w:val="0"/>
              <w:marTop w:val="0"/>
              <w:marBottom w:val="0"/>
              <w:divBdr>
                <w:top w:val="none" w:sz="0" w:space="0" w:color="auto"/>
                <w:left w:val="none" w:sz="0" w:space="0" w:color="auto"/>
                <w:bottom w:val="none" w:sz="0" w:space="0" w:color="auto"/>
                <w:right w:val="none" w:sz="0" w:space="0" w:color="auto"/>
              </w:divBdr>
              <w:divsChild>
                <w:div w:id="19653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41231">
      <w:bodyDiv w:val="1"/>
      <w:marLeft w:val="0"/>
      <w:marRight w:val="0"/>
      <w:marTop w:val="0"/>
      <w:marBottom w:val="0"/>
      <w:divBdr>
        <w:top w:val="none" w:sz="0" w:space="0" w:color="auto"/>
        <w:left w:val="none" w:sz="0" w:space="0" w:color="auto"/>
        <w:bottom w:val="none" w:sz="0" w:space="0" w:color="auto"/>
        <w:right w:val="none" w:sz="0" w:space="0" w:color="auto"/>
      </w:divBdr>
    </w:div>
    <w:div w:id="825439924">
      <w:bodyDiv w:val="1"/>
      <w:marLeft w:val="0"/>
      <w:marRight w:val="0"/>
      <w:marTop w:val="0"/>
      <w:marBottom w:val="0"/>
      <w:divBdr>
        <w:top w:val="none" w:sz="0" w:space="0" w:color="auto"/>
        <w:left w:val="none" w:sz="0" w:space="0" w:color="auto"/>
        <w:bottom w:val="none" w:sz="0" w:space="0" w:color="auto"/>
        <w:right w:val="none" w:sz="0" w:space="0" w:color="auto"/>
      </w:divBdr>
      <w:divsChild>
        <w:div w:id="733503956">
          <w:marLeft w:val="0"/>
          <w:marRight w:val="0"/>
          <w:marTop w:val="0"/>
          <w:marBottom w:val="0"/>
          <w:divBdr>
            <w:top w:val="none" w:sz="0" w:space="0" w:color="auto"/>
            <w:left w:val="none" w:sz="0" w:space="0" w:color="auto"/>
            <w:bottom w:val="none" w:sz="0" w:space="0" w:color="auto"/>
            <w:right w:val="none" w:sz="0" w:space="0" w:color="auto"/>
          </w:divBdr>
          <w:divsChild>
            <w:div w:id="1465807784">
              <w:marLeft w:val="0"/>
              <w:marRight w:val="0"/>
              <w:marTop w:val="0"/>
              <w:marBottom w:val="0"/>
              <w:divBdr>
                <w:top w:val="none" w:sz="0" w:space="0" w:color="auto"/>
                <w:left w:val="none" w:sz="0" w:space="0" w:color="auto"/>
                <w:bottom w:val="none" w:sz="0" w:space="0" w:color="auto"/>
                <w:right w:val="none" w:sz="0" w:space="0" w:color="auto"/>
              </w:divBdr>
              <w:divsChild>
                <w:div w:id="7169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7023">
      <w:bodyDiv w:val="1"/>
      <w:marLeft w:val="0"/>
      <w:marRight w:val="0"/>
      <w:marTop w:val="0"/>
      <w:marBottom w:val="0"/>
      <w:divBdr>
        <w:top w:val="none" w:sz="0" w:space="0" w:color="auto"/>
        <w:left w:val="none" w:sz="0" w:space="0" w:color="auto"/>
        <w:bottom w:val="none" w:sz="0" w:space="0" w:color="auto"/>
        <w:right w:val="none" w:sz="0" w:space="0" w:color="auto"/>
      </w:divBdr>
      <w:divsChild>
        <w:div w:id="478301924">
          <w:marLeft w:val="0"/>
          <w:marRight w:val="0"/>
          <w:marTop w:val="0"/>
          <w:marBottom w:val="0"/>
          <w:divBdr>
            <w:top w:val="none" w:sz="0" w:space="0" w:color="auto"/>
            <w:left w:val="none" w:sz="0" w:space="0" w:color="auto"/>
            <w:bottom w:val="none" w:sz="0" w:space="0" w:color="auto"/>
            <w:right w:val="none" w:sz="0" w:space="0" w:color="auto"/>
          </w:divBdr>
          <w:divsChild>
            <w:div w:id="1030835997">
              <w:marLeft w:val="0"/>
              <w:marRight w:val="0"/>
              <w:marTop w:val="0"/>
              <w:marBottom w:val="0"/>
              <w:divBdr>
                <w:top w:val="none" w:sz="0" w:space="0" w:color="auto"/>
                <w:left w:val="none" w:sz="0" w:space="0" w:color="auto"/>
                <w:bottom w:val="none" w:sz="0" w:space="0" w:color="auto"/>
                <w:right w:val="none" w:sz="0" w:space="0" w:color="auto"/>
              </w:divBdr>
              <w:divsChild>
                <w:div w:id="15222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04818">
      <w:bodyDiv w:val="1"/>
      <w:marLeft w:val="0"/>
      <w:marRight w:val="0"/>
      <w:marTop w:val="0"/>
      <w:marBottom w:val="0"/>
      <w:divBdr>
        <w:top w:val="none" w:sz="0" w:space="0" w:color="auto"/>
        <w:left w:val="none" w:sz="0" w:space="0" w:color="auto"/>
        <w:bottom w:val="none" w:sz="0" w:space="0" w:color="auto"/>
        <w:right w:val="none" w:sz="0" w:space="0" w:color="auto"/>
      </w:divBdr>
      <w:divsChild>
        <w:div w:id="476726435">
          <w:marLeft w:val="0"/>
          <w:marRight w:val="0"/>
          <w:marTop w:val="0"/>
          <w:marBottom w:val="0"/>
          <w:divBdr>
            <w:top w:val="none" w:sz="0" w:space="0" w:color="auto"/>
            <w:left w:val="none" w:sz="0" w:space="0" w:color="auto"/>
            <w:bottom w:val="none" w:sz="0" w:space="0" w:color="auto"/>
            <w:right w:val="none" w:sz="0" w:space="0" w:color="auto"/>
          </w:divBdr>
          <w:divsChild>
            <w:div w:id="71046987">
              <w:marLeft w:val="0"/>
              <w:marRight w:val="0"/>
              <w:marTop w:val="0"/>
              <w:marBottom w:val="0"/>
              <w:divBdr>
                <w:top w:val="none" w:sz="0" w:space="0" w:color="auto"/>
                <w:left w:val="none" w:sz="0" w:space="0" w:color="auto"/>
                <w:bottom w:val="none" w:sz="0" w:space="0" w:color="auto"/>
                <w:right w:val="none" w:sz="0" w:space="0" w:color="auto"/>
              </w:divBdr>
              <w:divsChild>
                <w:div w:id="18755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71463">
      <w:bodyDiv w:val="1"/>
      <w:marLeft w:val="0"/>
      <w:marRight w:val="0"/>
      <w:marTop w:val="0"/>
      <w:marBottom w:val="0"/>
      <w:divBdr>
        <w:top w:val="none" w:sz="0" w:space="0" w:color="auto"/>
        <w:left w:val="none" w:sz="0" w:space="0" w:color="auto"/>
        <w:bottom w:val="none" w:sz="0" w:space="0" w:color="auto"/>
        <w:right w:val="none" w:sz="0" w:space="0" w:color="auto"/>
      </w:divBdr>
      <w:divsChild>
        <w:div w:id="234778406">
          <w:marLeft w:val="0"/>
          <w:marRight w:val="0"/>
          <w:marTop w:val="0"/>
          <w:marBottom w:val="0"/>
          <w:divBdr>
            <w:top w:val="none" w:sz="0" w:space="0" w:color="auto"/>
            <w:left w:val="none" w:sz="0" w:space="0" w:color="auto"/>
            <w:bottom w:val="none" w:sz="0" w:space="0" w:color="auto"/>
            <w:right w:val="none" w:sz="0" w:space="0" w:color="auto"/>
          </w:divBdr>
          <w:divsChild>
            <w:div w:id="217010579">
              <w:marLeft w:val="0"/>
              <w:marRight w:val="0"/>
              <w:marTop w:val="0"/>
              <w:marBottom w:val="0"/>
              <w:divBdr>
                <w:top w:val="none" w:sz="0" w:space="0" w:color="auto"/>
                <w:left w:val="none" w:sz="0" w:space="0" w:color="auto"/>
                <w:bottom w:val="none" w:sz="0" w:space="0" w:color="auto"/>
                <w:right w:val="none" w:sz="0" w:space="0" w:color="auto"/>
              </w:divBdr>
              <w:divsChild>
                <w:div w:id="6627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842086">
      <w:bodyDiv w:val="1"/>
      <w:marLeft w:val="0"/>
      <w:marRight w:val="0"/>
      <w:marTop w:val="0"/>
      <w:marBottom w:val="0"/>
      <w:divBdr>
        <w:top w:val="none" w:sz="0" w:space="0" w:color="auto"/>
        <w:left w:val="none" w:sz="0" w:space="0" w:color="auto"/>
        <w:bottom w:val="none" w:sz="0" w:space="0" w:color="auto"/>
        <w:right w:val="none" w:sz="0" w:space="0" w:color="auto"/>
      </w:divBdr>
    </w:div>
    <w:div w:id="1003708648">
      <w:bodyDiv w:val="1"/>
      <w:marLeft w:val="0"/>
      <w:marRight w:val="0"/>
      <w:marTop w:val="0"/>
      <w:marBottom w:val="0"/>
      <w:divBdr>
        <w:top w:val="none" w:sz="0" w:space="0" w:color="auto"/>
        <w:left w:val="none" w:sz="0" w:space="0" w:color="auto"/>
        <w:bottom w:val="none" w:sz="0" w:space="0" w:color="auto"/>
        <w:right w:val="none" w:sz="0" w:space="0" w:color="auto"/>
      </w:divBdr>
      <w:divsChild>
        <w:div w:id="1728798862">
          <w:marLeft w:val="0"/>
          <w:marRight w:val="0"/>
          <w:marTop w:val="0"/>
          <w:marBottom w:val="0"/>
          <w:divBdr>
            <w:top w:val="none" w:sz="0" w:space="0" w:color="auto"/>
            <w:left w:val="none" w:sz="0" w:space="0" w:color="auto"/>
            <w:bottom w:val="none" w:sz="0" w:space="0" w:color="auto"/>
            <w:right w:val="none" w:sz="0" w:space="0" w:color="auto"/>
          </w:divBdr>
          <w:divsChild>
            <w:div w:id="1616987347">
              <w:marLeft w:val="0"/>
              <w:marRight w:val="0"/>
              <w:marTop w:val="0"/>
              <w:marBottom w:val="0"/>
              <w:divBdr>
                <w:top w:val="none" w:sz="0" w:space="0" w:color="auto"/>
                <w:left w:val="none" w:sz="0" w:space="0" w:color="auto"/>
                <w:bottom w:val="none" w:sz="0" w:space="0" w:color="auto"/>
                <w:right w:val="none" w:sz="0" w:space="0" w:color="auto"/>
              </w:divBdr>
              <w:divsChild>
                <w:div w:id="14182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77033">
      <w:bodyDiv w:val="1"/>
      <w:marLeft w:val="0"/>
      <w:marRight w:val="0"/>
      <w:marTop w:val="0"/>
      <w:marBottom w:val="0"/>
      <w:divBdr>
        <w:top w:val="none" w:sz="0" w:space="0" w:color="auto"/>
        <w:left w:val="none" w:sz="0" w:space="0" w:color="auto"/>
        <w:bottom w:val="none" w:sz="0" w:space="0" w:color="auto"/>
        <w:right w:val="none" w:sz="0" w:space="0" w:color="auto"/>
      </w:divBdr>
      <w:divsChild>
        <w:div w:id="110562717">
          <w:marLeft w:val="0"/>
          <w:marRight w:val="0"/>
          <w:marTop w:val="0"/>
          <w:marBottom w:val="0"/>
          <w:divBdr>
            <w:top w:val="none" w:sz="0" w:space="0" w:color="auto"/>
            <w:left w:val="none" w:sz="0" w:space="0" w:color="auto"/>
            <w:bottom w:val="none" w:sz="0" w:space="0" w:color="auto"/>
            <w:right w:val="none" w:sz="0" w:space="0" w:color="auto"/>
          </w:divBdr>
          <w:divsChild>
            <w:div w:id="209074430">
              <w:marLeft w:val="0"/>
              <w:marRight w:val="0"/>
              <w:marTop w:val="0"/>
              <w:marBottom w:val="0"/>
              <w:divBdr>
                <w:top w:val="none" w:sz="0" w:space="0" w:color="auto"/>
                <w:left w:val="none" w:sz="0" w:space="0" w:color="auto"/>
                <w:bottom w:val="none" w:sz="0" w:space="0" w:color="auto"/>
                <w:right w:val="none" w:sz="0" w:space="0" w:color="auto"/>
              </w:divBdr>
              <w:divsChild>
                <w:div w:id="16302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03206">
      <w:bodyDiv w:val="1"/>
      <w:marLeft w:val="0"/>
      <w:marRight w:val="0"/>
      <w:marTop w:val="0"/>
      <w:marBottom w:val="0"/>
      <w:divBdr>
        <w:top w:val="none" w:sz="0" w:space="0" w:color="auto"/>
        <w:left w:val="none" w:sz="0" w:space="0" w:color="auto"/>
        <w:bottom w:val="none" w:sz="0" w:space="0" w:color="auto"/>
        <w:right w:val="none" w:sz="0" w:space="0" w:color="auto"/>
      </w:divBdr>
      <w:divsChild>
        <w:div w:id="386681249">
          <w:marLeft w:val="0"/>
          <w:marRight w:val="0"/>
          <w:marTop w:val="0"/>
          <w:marBottom w:val="0"/>
          <w:divBdr>
            <w:top w:val="none" w:sz="0" w:space="0" w:color="auto"/>
            <w:left w:val="none" w:sz="0" w:space="0" w:color="auto"/>
            <w:bottom w:val="none" w:sz="0" w:space="0" w:color="auto"/>
            <w:right w:val="none" w:sz="0" w:space="0" w:color="auto"/>
          </w:divBdr>
          <w:divsChild>
            <w:div w:id="209652537">
              <w:marLeft w:val="0"/>
              <w:marRight w:val="0"/>
              <w:marTop w:val="0"/>
              <w:marBottom w:val="0"/>
              <w:divBdr>
                <w:top w:val="none" w:sz="0" w:space="0" w:color="auto"/>
                <w:left w:val="none" w:sz="0" w:space="0" w:color="auto"/>
                <w:bottom w:val="none" w:sz="0" w:space="0" w:color="auto"/>
                <w:right w:val="none" w:sz="0" w:space="0" w:color="auto"/>
              </w:divBdr>
              <w:divsChild>
                <w:div w:id="13395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5716">
      <w:bodyDiv w:val="1"/>
      <w:marLeft w:val="0"/>
      <w:marRight w:val="0"/>
      <w:marTop w:val="0"/>
      <w:marBottom w:val="0"/>
      <w:divBdr>
        <w:top w:val="none" w:sz="0" w:space="0" w:color="auto"/>
        <w:left w:val="none" w:sz="0" w:space="0" w:color="auto"/>
        <w:bottom w:val="none" w:sz="0" w:space="0" w:color="auto"/>
        <w:right w:val="none" w:sz="0" w:space="0" w:color="auto"/>
      </w:divBdr>
    </w:div>
    <w:div w:id="1078092465">
      <w:bodyDiv w:val="1"/>
      <w:marLeft w:val="0"/>
      <w:marRight w:val="0"/>
      <w:marTop w:val="0"/>
      <w:marBottom w:val="0"/>
      <w:divBdr>
        <w:top w:val="none" w:sz="0" w:space="0" w:color="auto"/>
        <w:left w:val="none" w:sz="0" w:space="0" w:color="auto"/>
        <w:bottom w:val="none" w:sz="0" w:space="0" w:color="auto"/>
        <w:right w:val="none" w:sz="0" w:space="0" w:color="auto"/>
      </w:divBdr>
      <w:divsChild>
        <w:div w:id="329261707">
          <w:marLeft w:val="0"/>
          <w:marRight w:val="0"/>
          <w:marTop w:val="0"/>
          <w:marBottom w:val="0"/>
          <w:divBdr>
            <w:top w:val="none" w:sz="0" w:space="0" w:color="auto"/>
            <w:left w:val="none" w:sz="0" w:space="0" w:color="auto"/>
            <w:bottom w:val="none" w:sz="0" w:space="0" w:color="auto"/>
            <w:right w:val="none" w:sz="0" w:space="0" w:color="auto"/>
          </w:divBdr>
          <w:divsChild>
            <w:div w:id="1114326358">
              <w:marLeft w:val="0"/>
              <w:marRight w:val="0"/>
              <w:marTop w:val="0"/>
              <w:marBottom w:val="0"/>
              <w:divBdr>
                <w:top w:val="none" w:sz="0" w:space="0" w:color="auto"/>
                <w:left w:val="none" w:sz="0" w:space="0" w:color="auto"/>
                <w:bottom w:val="none" w:sz="0" w:space="0" w:color="auto"/>
                <w:right w:val="none" w:sz="0" w:space="0" w:color="auto"/>
              </w:divBdr>
              <w:divsChild>
                <w:div w:id="19463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88956">
      <w:bodyDiv w:val="1"/>
      <w:marLeft w:val="0"/>
      <w:marRight w:val="0"/>
      <w:marTop w:val="0"/>
      <w:marBottom w:val="0"/>
      <w:divBdr>
        <w:top w:val="none" w:sz="0" w:space="0" w:color="auto"/>
        <w:left w:val="none" w:sz="0" w:space="0" w:color="auto"/>
        <w:bottom w:val="none" w:sz="0" w:space="0" w:color="auto"/>
        <w:right w:val="none" w:sz="0" w:space="0" w:color="auto"/>
      </w:divBdr>
      <w:divsChild>
        <w:div w:id="841428320">
          <w:marLeft w:val="0"/>
          <w:marRight w:val="0"/>
          <w:marTop w:val="0"/>
          <w:marBottom w:val="0"/>
          <w:divBdr>
            <w:top w:val="none" w:sz="0" w:space="0" w:color="auto"/>
            <w:left w:val="none" w:sz="0" w:space="0" w:color="auto"/>
            <w:bottom w:val="none" w:sz="0" w:space="0" w:color="auto"/>
            <w:right w:val="none" w:sz="0" w:space="0" w:color="auto"/>
          </w:divBdr>
          <w:divsChild>
            <w:div w:id="1144934714">
              <w:marLeft w:val="0"/>
              <w:marRight w:val="0"/>
              <w:marTop w:val="0"/>
              <w:marBottom w:val="0"/>
              <w:divBdr>
                <w:top w:val="none" w:sz="0" w:space="0" w:color="auto"/>
                <w:left w:val="none" w:sz="0" w:space="0" w:color="auto"/>
                <w:bottom w:val="none" w:sz="0" w:space="0" w:color="auto"/>
                <w:right w:val="none" w:sz="0" w:space="0" w:color="auto"/>
              </w:divBdr>
              <w:divsChild>
                <w:div w:id="3648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71108">
      <w:bodyDiv w:val="1"/>
      <w:marLeft w:val="0"/>
      <w:marRight w:val="0"/>
      <w:marTop w:val="0"/>
      <w:marBottom w:val="0"/>
      <w:divBdr>
        <w:top w:val="none" w:sz="0" w:space="0" w:color="auto"/>
        <w:left w:val="none" w:sz="0" w:space="0" w:color="auto"/>
        <w:bottom w:val="none" w:sz="0" w:space="0" w:color="auto"/>
        <w:right w:val="none" w:sz="0" w:space="0" w:color="auto"/>
      </w:divBdr>
    </w:div>
    <w:div w:id="1108743485">
      <w:bodyDiv w:val="1"/>
      <w:marLeft w:val="0"/>
      <w:marRight w:val="0"/>
      <w:marTop w:val="0"/>
      <w:marBottom w:val="0"/>
      <w:divBdr>
        <w:top w:val="none" w:sz="0" w:space="0" w:color="auto"/>
        <w:left w:val="none" w:sz="0" w:space="0" w:color="auto"/>
        <w:bottom w:val="none" w:sz="0" w:space="0" w:color="auto"/>
        <w:right w:val="none" w:sz="0" w:space="0" w:color="auto"/>
      </w:divBdr>
      <w:divsChild>
        <w:div w:id="1569532522">
          <w:marLeft w:val="0"/>
          <w:marRight w:val="0"/>
          <w:marTop w:val="0"/>
          <w:marBottom w:val="0"/>
          <w:divBdr>
            <w:top w:val="none" w:sz="0" w:space="0" w:color="auto"/>
            <w:left w:val="none" w:sz="0" w:space="0" w:color="auto"/>
            <w:bottom w:val="none" w:sz="0" w:space="0" w:color="auto"/>
            <w:right w:val="none" w:sz="0" w:space="0" w:color="auto"/>
          </w:divBdr>
          <w:divsChild>
            <w:div w:id="2099710188">
              <w:marLeft w:val="0"/>
              <w:marRight w:val="0"/>
              <w:marTop w:val="0"/>
              <w:marBottom w:val="0"/>
              <w:divBdr>
                <w:top w:val="none" w:sz="0" w:space="0" w:color="auto"/>
                <w:left w:val="none" w:sz="0" w:space="0" w:color="auto"/>
                <w:bottom w:val="none" w:sz="0" w:space="0" w:color="auto"/>
                <w:right w:val="none" w:sz="0" w:space="0" w:color="auto"/>
              </w:divBdr>
              <w:divsChild>
                <w:div w:id="9970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21594">
      <w:bodyDiv w:val="1"/>
      <w:marLeft w:val="0"/>
      <w:marRight w:val="0"/>
      <w:marTop w:val="0"/>
      <w:marBottom w:val="0"/>
      <w:divBdr>
        <w:top w:val="none" w:sz="0" w:space="0" w:color="auto"/>
        <w:left w:val="none" w:sz="0" w:space="0" w:color="auto"/>
        <w:bottom w:val="none" w:sz="0" w:space="0" w:color="auto"/>
        <w:right w:val="none" w:sz="0" w:space="0" w:color="auto"/>
      </w:divBdr>
    </w:div>
    <w:div w:id="1164395634">
      <w:bodyDiv w:val="1"/>
      <w:marLeft w:val="0"/>
      <w:marRight w:val="0"/>
      <w:marTop w:val="0"/>
      <w:marBottom w:val="0"/>
      <w:divBdr>
        <w:top w:val="none" w:sz="0" w:space="0" w:color="auto"/>
        <w:left w:val="none" w:sz="0" w:space="0" w:color="auto"/>
        <w:bottom w:val="none" w:sz="0" w:space="0" w:color="auto"/>
        <w:right w:val="none" w:sz="0" w:space="0" w:color="auto"/>
      </w:divBdr>
    </w:div>
    <w:div w:id="1167939224">
      <w:bodyDiv w:val="1"/>
      <w:marLeft w:val="0"/>
      <w:marRight w:val="0"/>
      <w:marTop w:val="0"/>
      <w:marBottom w:val="0"/>
      <w:divBdr>
        <w:top w:val="none" w:sz="0" w:space="0" w:color="auto"/>
        <w:left w:val="none" w:sz="0" w:space="0" w:color="auto"/>
        <w:bottom w:val="none" w:sz="0" w:space="0" w:color="auto"/>
        <w:right w:val="none" w:sz="0" w:space="0" w:color="auto"/>
      </w:divBdr>
      <w:divsChild>
        <w:div w:id="1150826688">
          <w:marLeft w:val="0"/>
          <w:marRight w:val="0"/>
          <w:marTop w:val="0"/>
          <w:marBottom w:val="0"/>
          <w:divBdr>
            <w:top w:val="none" w:sz="0" w:space="0" w:color="auto"/>
            <w:left w:val="none" w:sz="0" w:space="0" w:color="auto"/>
            <w:bottom w:val="none" w:sz="0" w:space="0" w:color="auto"/>
            <w:right w:val="none" w:sz="0" w:space="0" w:color="auto"/>
          </w:divBdr>
          <w:divsChild>
            <w:div w:id="1107312226">
              <w:marLeft w:val="0"/>
              <w:marRight w:val="0"/>
              <w:marTop w:val="0"/>
              <w:marBottom w:val="0"/>
              <w:divBdr>
                <w:top w:val="none" w:sz="0" w:space="0" w:color="auto"/>
                <w:left w:val="none" w:sz="0" w:space="0" w:color="auto"/>
                <w:bottom w:val="none" w:sz="0" w:space="0" w:color="auto"/>
                <w:right w:val="none" w:sz="0" w:space="0" w:color="auto"/>
              </w:divBdr>
              <w:divsChild>
                <w:div w:id="15153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34836">
      <w:bodyDiv w:val="1"/>
      <w:marLeft w:val="0"/>
      <w:marRight w:val="0"/>
      <w:marTop w:val="0"/>
      <w:marBottom w:val="0"/>
      <w:divBdr>
        <w:top w:val="none" w:sz="0" w:space="0" w:color="auto"/>
        <w:left w:val="none" w:sz="0" w:space="0" w:color="auto"/>
        <w:bottom w:val="none" w:sz="0" w:space="0" w:color="auto"/>
        <w:right w:val="none" w:sz="0" w:space="0" w:color="auto"/>
      </w:divBdr>
      <w:divsChild>
        <w:div w:id="2146121610">
          <w:marLeft w:val="0"/>
          <w:marRight w:val="0"/>
          <w:marTop w:val="0"/>
          <w:marBottom w:val="0"/>
          <w:divBdr>
            <w:top w:val="none" w:sz="0" w:space="0" w:color="auto"/>
            <w:left w:val="none" w:sz="0" w:space="0" w:color="auto"/>
            <w:bottom w:val="none" w:sz="0" w:space="0" w:color="auto"/>
            <w:right w:val="none" w:sz="0" w:space="0" w:color="auto"/>
          </w:divBdr>
          <w:divsChild>
            <w:div w:id="433944848">
              <w:marLeft w:val="0"/>
              <w:marRight w:val="0"/>
              <w:marTop w:val="0"/>
              <w:marBottom w:val="0"/>
              <w:divBdr>
                <w:top w:val="none" w:sz="0" w:space="0" w:color="auto"/>
                <w:left w:val="none" w:sz="0" w:space="0" w:color="auto"/>
                <w:bottom w:val="none" w:sz="0" w:space="0" w:color="auto"/>
                <w:right w:val="none" w:sz="0" w:space="0" w:color="auto"/>
              </w:divBdr>
              <w:divsChild>
                <w:div w:id="10540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17083">
      <w:bodyDiv w:val="1"/>
      <w:marLeft w:val="0"/>
      <w:marRight w:val="0"/>
      <w:marTop w:val="0"/>
      <w:marBottom w:val="0"/>
      <w:divBdr>
        <w:top w:val="none" w:sz="0" w:space="0" w:color="auto"/>
        <w:left w:val="none" w:sz="0" w:space="0" w:color="auto"/>
        <w:bottom w:val="none" w:sz="0" w:space="0" w:color="auto"/>
        <w:right w:val="none" w:sz="0" w:space="0" w:color="auto"/>
      </w:divBdr>
      <w:divsChild>
        <w:div w:id="442577932">
          <w:marLeft w:val="0"/>
          <w:marRight w:val="0"/>
          <w:marTop w:val="0"/>
          <w:marBottom w:val="0"/>
          <w:divBdr>
            <w:top w:val="none" w:sz="0" w:space="0" w:color="auto"/>
            <w:left w:val="none" w:sz="0" w:space="0" w:color="auto"/>
            <w:bottom w:val="none" w:sz="0" w:space="0" w:color="auto"/>
            <w:right w:val="none" w:sz="0" w:space="0" w:color="auto"/>
          </w:divBdr>
          <w:divsChild>
            <w:div w:id="894852003">
              <w:marLeft w:val="0"/>
              <w:marRight w:val="0"/>
              <w:marTop w:val="0"/>
              <w:marBottom w:val="0"/>
              <w:divBdr>
                <w:top w:val="none" w:sz="0" w:space="0" w:color="auto"/>
                <w:left w:val="none" w:sz="0" w:space="0" w:color="auto"/>
                <w:bottom w:val="none" w:sz="0" w:space="0" w:color="auto"/>
                <w:right w:val="none" w:sz="0" w:space="0" w:color="auto"/>
              </w:divBdr>
              <w:divsChild>
                <w:div w:id="295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78246">
      <w:bodyDiv w:val="1"/>
      <w:marLeft w:val="0"/>
      <w:marRight w:val="0"/>
      <w:marTop w:val="0"/>
      <w:marBottom w:val="0"/>
      <w:divBdr>
        <w:top w:val="none" w:sz="0" w:space="0" w:color="auto"/>
        <w:left w:val="none" w:sz="0" w:space="0" w:color="auto"/>
        <w:bottom w:val="none" w:sz="0" w:space="0" w:color="auto"/>
        <w:right w:val="none" w:sz="0" w:space="0" w:color="auto"/>
      </w:divBdr>
      <w:divsChild>
        <w:div w:id="2104958476">
          <w:marLeft w:val="0"/>
          <w:marRight w:val="0"/>
          <w:marTop w:val="0"/>
          <w:marBottom w:val="0"/>
          <w:divBdr>
            <w:top w:val="none" w:sz="0" w:space="0" w:color="auto"/>
            <w:left w:val="none" w:sz="0" w:space="0" w:color="auto"/>
            <w:bottom w:val="none" w:sz="0" w:space="0" w:color="auto"/>
            <w:right w:val="none" w:sz="0" w:space="0" w:color="auto"/>
          </w:divBdr>
          <w:divsChild>
            <w:div w:id="1938781512">
              <w:marLeft w:val="0"/>
              <w:marRight w:val="0"/>
              <w:marTop w:val="0"/>
              <w:marBottom w:val="0"/>
              <w:divBdr>
                <w:top w:val="none" w:sz="0" w:space="0" w:color="auto"/>
                <w:left w:val="none" w:sz="0" w:space="0" w:color="auto"/>
                <w:bottom w:val="none" w:sz="0" w:space="0" w:color="auto"/>
                <w:right w:val="none" w:sz="0" w:space="0" w:color="auto"/>
              </w:divBdr>
              <w:divsChild>
                <w:div w:id="6083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73378">
      <w:bodyDiv w:val="1"/>
      <w:marLeft w:val="0"/>
      <w:marRight w:val="0"/>
      <w:marTop w:val="0"/>
      <w:marBottom w:val="0"/>
      <w:divBdr>
        <w:top w:val="none" w:sz="0" w:space="0" w:color="auto"/>
        <w:left w:val="none" w:sz="0" w:space="0" w:color="auto"/>
        <w:bottom w:val="none" w:sz="0" w:space="0" w:color="auto"/>
        <w:right w:val="none" w:sz="0" w:space="0" w:color="auto"/>
      </w:divBdr>
      <w:divsChild>
        <w:div w:id="1631782784">
          <w:marLeft w:val="0"/>
          <w:marRight w:val="0"/>
          <w:marTop w:val="0"/>
          <w:marBottom w:val="0"/>
          <w:divBdr>
            <w:top w:val="none" w:sz="0" w:space="0" w:color="auto"/>
            <w:left w:val="none" w:sz="0" w:space="0" w:color="auto"/>
            <w:bottom w:val="none" w:sz="0" w:space="0" w:color="auto"/>
            <w:right w:val="none" w:sz="0" w:space="0" w:color="auto"/>
          </w:divBdr>
          <w:divsChild>
            <w:div w:id="1535119297">
              <w:marLeft w:val="0"/>
              <w:marRight w:val="0"/>
              <w:marTop w:val="0"/>
              <w:marBottom w:val="0"/>
              <w:divBdr>
                <w:top w:val="none" w:sz="0" w:space="0" w:color="auto"/>
                <w:left w:val="none" w:sz="0" w:space="0" w:color="auto"/>
                <w:bottom w:val="none" w:sz="0" w:space="0" w:color="auto"/>
                <w:right w:val="none" w:sz="0" w:space="0" w:color="auto"/>
              </w:divBdr>
              <w:divsChild>
                <w:div w:id="8978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18643">
      <w:bodyDiv w:val="1"/>
      <w:marLeft w:val="0"/>
      <w:marRight w:val="0"/>
      <w:marTop w:val="0"/>
      <w:marBottom w:val="0"/>
      <w:divBdr>
        <w:top w:val="none" w:sz="0" w:space="0" w:color="auto"/>
        <w:left w:val="none" w:sz="0" w:space="0" w:color="auto"/>
        <w:bottom w:val="none" w:sz="0" w:space="0" w:color="auto"/>
        <w:right w:val="none" w:sz="0" w:space="0" w:color="auto"/>
      </w:divBdr>
    </w:div>
    <w:div w:id="1314212683">
      <w:bodyDiv w:val="1"/>
      <w:marLeft w:val="0"/>
      <w:marRight w:val="0"/>
      <w:marTop w:val="0"/>
      <w:marBottom w:val="0"/>
      <w:divBdr>
        <w:top w:val="none" w:sz="0" w:space="0" w:color="auto"/>
        <w:left w:val="none" w:sz="0" w:space="0" w:color="auto"/>
        <w:bottom w:val="none" w:sz="0" w:space="0" w:color="auto"/>
        <w:right w:val="none" w:sz="0" w:space="0" w:color="auto"/>
      </w:divBdr>
      <w:divsChild>
        <w:div w:id="1949000983">
          <w:marLeft w:val="0"/>
          <w:marRight w:val="0"/>
          <w:marTop w:val="0"/>
          <w:marBottom w:val="0"/>
          <w:divBdr>
            <w:top w:val="none" w:sz="0" w:space="0" w:color="auto"/>
            <w:left w:val="none" w:sz="0" w:space="0" w:color="auto"/>
            <w:bottom w:val="none" w:sz="0" w:space="0" w:color="auto"/>
            <w:right w:val="none" w:sz="0" w:space="0" w:color="auto"/>
          </w:divBdr>
          <w:divsChild>
            <w:div w:id="289091307">
              <w:marLeft w:val="0"/>
              <w:marRight w:val="0"/>
              <w:marTop w:val="0"/>
              <w:marBottom w:val="0"/>
              <w:divBdr>
                <w:top w:val="none" w:sz="0" w:space="0" w:color="auto"/>
                <w:left w:val="none" w:sz="0" w:space="0" w:color="auto"/>
                <w:bottom w:val="none" w:sz="0" w:space="0" w:color="auto"/>
                <w:right w:val="none" w:sz="0" w:space="0" w:color="auto"/>
              </w:divBdr>
              <w:divsChild>
                <w:div w:id="15719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245487">
      <w:bodyDiv w:val="1"/>
      <w:marLeft w:val="0"/>
      <w:marRight w:val="0"/>
      <w:marTop w:val="0"/>
      <w:marBottom w:val="0"/>
      <w:divBdr>
        <w:top w:val="none" w:sz="0" w:space="0" w:color="auto"/>
        <w:left w:val="none" w:sz="0" w:space="0" w:color="auto"/>
        <w:bottom w:val="none" w:sz="0" w:space="0" w:color="auto"/>
        <w:right w:val="none" w:sz="0" w:space="0" w:color="auto"/>
      </w:divBdr>
      <w:divsChild>
        <w:div w:id="1742025180">
          <w:marLeft w:val="0"/>
          <w:marRight w:val="0"/>
          <w:marTop w:val="0"/>
          <w:marBottom w:val="0"/>
          <w:divBdr>
            <w:top w:val="none" w:sz="0" w:space="0" w:color="auto"/>
            <w:left w:val="none" w:sz="0" w:space="0" w:color="auto"/>
            <w:bottom w:val="none" w:sz="0" w:space="0" w:color="auto"/>
            <w:right w:val="none" w:sz="0" w:space="0" w:color="auto"/>
          </w:divBdr>
          <w:divsChild>
            <w:div w:id="928347117">
              <w:marLeft w:val="0"/>
              <w:marRight w:val="0"/>
              <w:marTop w:val="0"/>
              <w:marBottom w:val="0"/>
              <w:divBdr>
                <w:top w:val="none" w:sz="0" w:space="0" w:color="auto"/>
                <w:left w:val="none" w:sz="0" w:space="0" w:color="auto"/>
                <w:bottom w:val="none" w:sz="0" w:space="0" w:color="auto"/>
                <w:right w:val="none" w:sz="0" w:space="0" w:color="auto"/>
              </w:divBdr>
              <w:divsChild>
                <w:div w:id="19987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47908">
      <w:bodyDiv w:val="1"/>
      <w:marLeft w:val="0"/>
      <w:marRight w:val="0"/>
      <w:marTop w:val="0"/>
      <w:marBottom w:val="0"/>
      <w:divBdr>
        <w:top w:val="none" w:sz="0" w:space="0" w:color="auto"/>
        <w:left w:val="none" w:sz="0" w:space="0" w:color="auto"/>
        <w:bottom w:val="none" w:sz="0" w:space="0" w:color="auto"/>
        <w:right w:val="none" w:sz="0" w:space="0" w:color="auto"/>
      </w:divBdr>
    </w:div>
    <w:div w:id="1346516429">
      <w:bodyDiv w:val="1"/>
      <w:marLeft w:val="0"/>
      <w:marRight w:val="0"/>
      <w:marTop w:val="0"/>
      <w:marBottom w:val="0"/>
      <w:divBdr>
        <w:top w:val="none" w:sz="0" w:space="0" w:color="auto"/>
        <w:left w:val="none" w:sz="0" w:space="0" w:color="auto"/>
        <w:bottom w:val="none" w:sz="0" w:space="0" w:color="auto"/>
        <w:right w:val="none" w:sz="0" w:space="0" w:color="auto"/>
      </w:divBdr>
      <w:divsChild>
        <w:div w:id="1502623643">
          <w:marLeft w:val="0"/>
          <w:marRight w:val="0"/>
          <w:marTop w:val="0"/>
          <w:marBottom w:val="0"/>
          <w:divBdr>
            <w:top w:val="none" w:sz="0" w:space="0" w:color="auto"/>
            <w:left w:val="none" w:sz="0" w:space="0" w:color="auto"/>
            <w:bottom w:val="none" w:sz="0" w:space="0" w:color="auto"/>
            <w:right w:val="none" w:sz="0" w:space="0" w:color="auto"/>
          </w:divBdr>
          <w:divsChild>
            <w:div w:id="1053694676">
              <w:marLeft w:val="0"/>
              <w:marRight w:val="0"/>
              <w:marTop w:val="0"/>
              <w:marBottom w:val="0"/>
              <w:divBdr>
                <w:top w:val="none" w:sz="0" w:space="0" w:color="auto"/>
                <w:left w:val="none" w:sz="0" w:space="0" w:color="auto"/>
                <w:bottom w:val="none" w:sz="0" w:space="0" w:color="auto"/>
                <w:right w:val="none" w:sz="0" w:space="0" w:color="auto"/>
              </w:divBdr>
              <w:divsChild>
                <w:div w:id="12952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24161">
      <w:bodyDiv w:val="1"/>
      <w:marLeft w:val="0"/>
      <w:marRight w:val="0"/>
      <w:marTop w:val="0"/>
      <w:marBottom w:val="0"/>
      <w:divBdr>
        <w:top w:val="none" w:sz="0" w:space="0" w:color="auto"/>
        <w:left w:val="none" w:sz="0" w:space="0" w:color="auto"/>
        <w:bottom w:val="none" w:sz="0" w:space="0" w:color="auto"/>
        <w:right w:val="none" w:sz="0" w:space="0" w:color="auto"/>
      </w:divBdr>
      <w:divsChild>
        <w:div w:id="864900768">
          <w:marLeft w:val="0"/>
          <w:marRight w:val="0"/>
          <w:marTop w:val="0"/>
          <w:marBottom w:val="0"/>
          <w:divBdr>
            <w:top w:val="none" w:sz="0" w:space="0" w:color="auto"/>
            <w:left w:val="none" w:sz="0" w:space="0" w:color="auto"/>
            <w:bottom w:val="none" w:sz="0" w:space="0" w:color="auto"/>
            <w:right w:val="none" w:sz="0" w:space="0" w:color="auto"/>
          </w:divBdr>
          <w:divsChild>
            <w:div w:id="1457943034">
              <w:marLeft w:val="0"/>
              <w:marRight w:val="0"/>
              <w:marTop w:val="0"/>
              <w:marBottom w:val="0"/>
              <w:divBdr>
                <w:top w:val="none" w:sz="0" w:space="0" w:color="auto"/>
                <w:left w:val="none" w:sz="0" w:space="0" w:color="auto"/>
                <w:bottom w:val="none" w:sz="0" w:space="0" w:color="auto"/>
                <w:right w:val="none" w:sz="0" w:space="0" w:color="auto"/>
              </w:divBdr>
              <w:divsChild>
                <w:div w:id="4699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037561">
      <w:bodyDiv w:val="1"/>
      <w:marLeft w:val="0"/>
      <w:marRight w:val="0"/>
      <w:marTop w:val="0"/>
      <w:marBottom w:val="0"/>
      <w:divBdr>
        <w:top w:val="none" w:sz="0" w:space="0" w:color="auto"/>
        <w:left w:val="none" w:sz="0" w:space="0" w:color="auto"/>
        <w:bottom w:val="none" w:sz="0" w:space="0" w:color="auto"/>
        <w:right w:val="none" w:sz="0" w:space="0" w:color="auto"/>
      </w:divBdr>
      <w:divsChild>
        <w:div w:id="1511069616">
          <w:marLeft w:val="0"/>
          <w:marRight w:val="0"/>
          <w:marTop w:val="0"/>
          <w:marBottom w:val="0"/>
          <w:divBdr>
            <w:top w:val="none" w:sz="0" w:space="0" w:color="auto"/>
            <w:left w:val="none" w:sz="0" w:space="0" w:color="auto"/>
            <w:bottom w:val="none" w:sz="0" w:space="0" w:color="auto"/>
            <w:right w:val="none" w:sz="0" w:space="0" w:color="auto"/>
          </w:divBdr>
          <w:divsChild>
            <w:div w:id="1589925790">
              <w:marLeft w:val="0"/>
              <w:marRight w:val="0"/>
              <w:marTop w:val="0"/>
              <w:marBottom w:val="0"/>
              <w:divBdr>
                <w:top w:val="none" w:sz="0" w:space="0" w:color="auto"/>
                <w:left w:val="none" w:sz="0" w:space="0" w:color="auto"/>
                <w:bottom w:val="none" w:sz="0" w:space="0" w:color="auto"/>
                <w:right w:val="none" w:sz="0" w:space="0" w:color="auto"/>
              </w:divBdr>
              <w:divsChild>
                <w:div w:id="208714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5890">
      <w:bodyDiv w:val="1"/>
      <w:marLeft w:val="0"/>
      <w:marRight w:val="0"/>
      <w:marTop w:val="0"/>
      <w:marBottom w:val="0"/>
      <w:divBdr>
        <w:top w:val="none" w:sz="0" w:space="0" w:color="auto"/>
        <w:left w:val="none" w:sz="0" w:space="0" w:color="auto"/>
        <w:bottom w:val="none" w:sz="0" w:space="0" w:color="auto"/>
        <w:right w:val="none" w:sz="0" w:space="0" w:color="auto"/>
      </w:divBdr>
      <w:divsChild>
        <w:div w:id="641349224">
          <w:marLeft w:val="0"/>
          <w:marRight w:val="0"/>
          <w:marTop w:val="0"/>
          <w:marBottom w:val="0"/>
          <w:divBdr>
            <w:top w:val="none" w:sz="0" w:space="0" w:color="auto"/>
            <w:left w:val="none" w:sz="0" w:space="0" w:color="auto"/>
            <w:bottom w:val="none" w:sz="0" w:space="0" w:color="auto"/>
            <w:right w:val="none" w:sz="0" w:space="0" w:color="auto"/>
          </w:divBdr>
          <w:divsChild>
            <w:div w:id="1738363227">
              <w:marLeft w:val="0"/>
              <w:marRight w:val="0"/>
              <w:marTop w:val="0"/>
              <w:marBottom w:val="0"/>
              <w:divBdr>
                <w:top w:val="none" w:sz="0" w:space="0" w:color="auto"/>
                <w:left w:val="none" w:sz="0" w:space="0" w:color="auto"/>
                <w:bottom w:val="none" w:sz="0" w:space="0" w:color="auto"/>
                <w:right w:val="none" w:sz="0" w:space="0" w:color="auto"/>
              </w:divBdr>
              <w:divsChild>
                <w:div w:id="18184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14632">
      <w:bodyDiv w:val="1"/>
      <w:marLeft w:val="0"/>
      <w:marRight w:val="0"/>
      <w:marTop w:val="0"/>
      <w:marBottom w:val="0"/>
      <w:divBdr>
        <w:top w:val="none" w:sz="0" w:space="0" w:color="auto"/>
        <w:left w:val="none" w:sz="0" w:space="0" w:color="auto"/>
        <w:bottom w:val="none" w:sz="0" w:space="0" w:color="auto"/>
        <w:right w:val="none" w:sz="0" w:space="0" w:color="auto"/>
      </w:divBdr>
      <w:divsChild>
        <w:div w:id="453403320">
          <w:marLeft w:val="0"/>
          <w:marRight w:val="0"/>
          <w:marTop w:val="0"/>
          <w:marBottom w:val="0"/>
          <w:divBdr>
            <w:top w:val="none" w:sz="0" w:space="0" w:color="auto"/>
            <w:left w:val="none" w:sz="0" w:space="0" w:color="auto"/>
            <w:bottom w:val="none" w:sz="0" w:space="0" w:color="auto"/>
            <w:right w:val="none" w:sz="0" w:space="0" w:color="auto"/>
          </w:divBdr>
          <w:divsChild>
            <w:div w:id="924656223">
              <w:marLeft w:val="0"/>
              <w:marRight w:val="0"/>
              <w:marTop w:val="0"/>
              <w:marBottom w:val="0"/>
              <w:divBdr>
                <w:top w:val="none" w:sz="0" w:space="0" w:color="auto"/>
                <w:left w:val="none" w:sz="0" w:space="0" w:color="auto"/>
                <w:bottom w:val="none" w:sz="0" w:space="0" w:color="auto"/>
                <w:right w:val="none" w:sz="0" w:space="0" w:color="auto"/>
              </w:divBdr>
              <w:divsChild>
                <w:div w:id="1681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6091">
      <w:bodyDiv w:val="1"/>
      <w:marLeft w:val="0"/>
      <w:marRight w:val="0"/>
      <w:marTop w:val="0"/>
      <w:marBottom w:val="0"/>
      <w:divBdr>
        <w:top w:val="none" w:sz="0" w:space="0" w:color="auto"/>
        <w:left w:val="none" w:sz="0" w:space="0" w:color="auto"/>
        <w:bottom w:val="none" w:sz="0" w:space="0" w:color="auto"/>
        <w:right w:val="none" w:sz="0" w:space="0" w:color="auto"/>
      </w:divBdr>
      <w:divsChild>
        <w:div w:id="1871723109">
          <w:marLeft w:val="0"/>
          <w:marRight w:val="0"/>
          <w:marTop w:val="0"/>
          <w:marBottom w:val="0"/>
          <w:divBdr>
            <w:top w:val="none" w:sz="0" w:space="0" w:color="auto"/>
            <w:left w:val="none" w:sz="0" w:space="0" w:color="auto"/>
            <w:bottom w:val="none" w:sz="0" w:space="0" w:color="auto"/>
            <w:right w:val="none" w:sz="0" w:space="0" w:color="auto"/>
          </w:divBdr>
          <w:divsChild>
            <w:div w:id="459224177">
              <w:marLeft w:val="0"/>
              <w:marRight w:val="0"/>
              <w:marTop w:val="0"/>
              <w:marBottom w:val="0"/>
              <w:divBdr>
                <w:top w:val="none" w:sz="0" w:space="0" w:color="auto"/>
                <w:left w:val="none" w:sz="0" w:space="0" w:color="auto"/>
                <w:bottom w:val="none" w:sz="0" w:space="0" w:color="auto"/>
                <w:right w:val="none" w:sz="0" w:space="0" w:color="auto"/>
              </w:divBdr>
              <w:divsChild>
                <w:div w:id="18719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13561">
      <w:bodyDiv w:val="1"/>
      <w:marLeft w:val="0"/>
      <w:marRight w:val="0"/>
      <w:marTop w:val="0"/>
      <w:marBottom w:val="0"/>
      <w:divBdr>
        <w:top w:val="none" w:sz="0" w:space="0" w:color="auto"/>
        <w:left w:val="none" w:sz="0" w:space="0" w:color="auto"/>
        <w:bottom w:val="none" w:sz="0" w:space="0" w:color="auto"/>
        <w:right w:val="none" w:sz="0" w:space="0" w:color="auto"/>
      </w:divBdr>
      <w:divsChild>
        <w:div w:id="1758406421">
          <w:marLeft w:val="0"/>
          <w:marRight w:val="0"/>
          <w:marTop w:val="0"/>
          <w:marBottom w:val="0"/>
          <w:divBdr>
            <w:top w:val="none" w:sz="0" w:space="0" w:color="auto"/>
            <w:left w:val="none" w:sz="0" w:space="0" w:color="auto"/>
            <w:bottom w:val="none" w:sz="0" w:space="0" w:color="auto"/>
            <w:right w:val="none" w:sz="0" w:space="0" w:color="auto"/>
          </w:divBdr>
          <w:divsChild>
            <w:div w:id="2023509824">
              <w:marLeft w:val="0"/>
              <w:marRight w:val="0"/>
              <w:marTop w:val="0"/>
              <w:marBottom w:val="0"/>
              <w:divBdr>
                <w:top w:val="none" w:sz="0" w:space="0" w:color="auto"/>
                <w:left w:val="none" w:sz="0" w:space="0" w:color="auto"/>
                <w:bottom w:val="none" w:sz="0" w:space="0" w:color="auto"/>
                <w:right w:val="none" w:sz="0" w:space="0" w:color="auto"/>
              </w:divBdr>
              <w:divsChild>
                <w:div w:id="9788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87037">
      <w:bodyDiv w:val="1"/>
      <w:marLeft w:val="0"/>
      <w:marRight w:val="0"/>
      <w:marTop w:val="0"/>
      <w:marBottom w:val="0"/>
      <w:divBdr>
        <w:top w:val="none" w:sz="0" w:space="0" w:color="auto"/>
        <w:left w:val="none" w:sz="0" w:space="0" w:color="auto"/>
        <w:bottom w:val="none" w:sz="0" w:space="0" w:color="auto"/>
        <w:right w:val="none" w:sz="0" w:space="0" w:color="auto"/>
      </w:divBdr>
      <w:divsChild>
        <w:div w:id="1212376433">
          <w:marLeft w:val="0"/>
          <w:marRight w:val="0"/>
          <w:marTop w:val="0"/>
          <w:marBottom w:val="0"/>
          <w:divBdr>
            <w:top w:val="none" w:sz="0" w:space="0" w:color="auto"/>
            <w:left w:val="none" w:sz="0" w:space="0" w:color="auto"/>
            <w:bottom w:val="none" w:sz="0" w:space="0" w:color="auto"/>
            <w:right w:val="none" w:sz="0" w:space="0" w:color="auto"/>
          </w:divBdr>
          <w:divsChild>
            <w:div w:id="660549380">
              <w:marLeft w:val="0"/>
              <w:marRight w:val="0"/>
              <w:marTop w:val="0"/>
              <w:marBottom w:val="0"/>
              <w:divBdr>
                <w:top w:val="none" w:sz="0" w:space="0" w:color="auto"/>
                <w:left w:val="none" w:sz="0" w:space="0" w:color="auto"/>
                <w:bottom w:val="none" w:sz="0" w:space="0" w:color="auto"/>
                <w:right w:val="none" w:sz="0" w:space="0" w:color="auto"/>
              </w:divBdr>
              <w:divsChild>
                <w:div w:id="4368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86975">
      <w:bodyDiv w:val="1"/>
      <w:marLeft w:val="0"/>
      <w:marRight w:val="0"/>
      <w:marTop w:val="0"/>
      <w:marBottom w:val="0"/>
      <w:divBdr>
        <w:top w:val="none" w:sz="0" w:space="0" w:color="auto"/>
        <w:left w:val="none" w:sz="0" w:space="0" w:color="auto"/>
        <w:bottom w:val="none" w:sz="0" w:space="0" w:color="auto"/>
        <w:right w:val="none" w:sz="0" w:space="0" w:color="auto"/>
      </w:divBdr>
      <w:divsChild>
        <w:div w:id="39214576">
          <w:marLeft w:val="0"/>
          <w:marRight w:val="0"/>
          <w:marTop w:val="0"/>
          <w:marBottom w:val="0"/>
          <w:divBdr>
            <w:top w:val="none" w:sz="0" w:space="0" w:color="auto"/>
            <w:left w:val="none" w:sz="0" w:space="0" w:color="auto"/>
            <w:bottom w:val="none" w:sz="0" w:space="0" w:color="auto"/>
            <w:right w:val="none" w:sz="0" w:space="0" w:color="auto"/>
          </w:divBdr>
          <w:divsChild>
            <w:div w:id="1033575279">
              <w:marLeft w:val="0"/>
              <w:marRight w:val="0"/>
              <w:marTop w:val="0"/>
              <w:marBottom w:val="0"/>
              <w:divBdr>
                <w:top w:val="none" w:sz="0" w:space="0" w:color="auto"/>
                <w:left w:val="none" w:sz="0" w:space="0" w:color="auto"/>
                <w:bottom w:val="none" w:sz="0" w:space="0" w:color="auto"/>
                <w:right w:val="none" w:sz="0" w:space="0" w:color="auto"/>
              </w:divBdr>
              <w:divsChild>
                <w:div w:id="16986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82640">
      <w:bodyDiv w:val="1"/>
      <w:marLeft w:val="0"/>
      <w:marRight w:val="0"/>
      <w:marTop w:val="0"/>
      <w:marBottom w:val="0"/>
      <w:divBdr>
        <w:top w:val="none" w:sz="0" w:space="0" w:color="auto"/>
        <w:left w:val="none" w:sz="0" w:space="0" w:color="auto"/>
        <w:bottom w:val="none" w:sz="0" w:space="0" w:color="auto"/>
        <w:right w:val="none" w:sz="0" w:space="0" w:color="auto"/>
      </w:divBdr>
      <w:divsChild>
        <w:div w:id="1899627082">
          <w:marLeft w:val="0"/>
          <w:marRight w:val="0"/>
          <w:marTop w:val="0"/>
          <w:marBottom w:val="0"/>
          <w:divBdr>
            <w:top w:val="none" w:sz="0" w:space="0" w:color="auto"/>
            <w:left w:val="none" w:sz="0" w:space="0" w:color="auto"/>
            <w:bottom w:val="none" w:sz="0" w:space="0" w:color="auto"/>
            <w:right w:val="none" w:sz="0" w:space="0" w:color="auto"/>
          </w:divBdr>
          <w:divsChild>
            <w:div w:id="657461302">
              <w:marLeft w:val="0"/>
              <w:marRight w:val="0"/>
              <w:marTop w:val="0"/>
              <w:marBottom w:val="0"/>
              <w:divBdr>
                <w:top w:val="none" w:sz="0" w:space="0" w:color="auto"/>
                <w:left w:val="none" w:sz="0" w:space="0" w:color="auto"/>
                <w:bottom w:val="none" w:sz="0" w:space="0" w:color="auto"/>
                <w:right w:val="none" w:sz="0" w:space="0" w:color="auto"/>
              </w:divBdr>
              <w:divsChild>
                <w:div w:id="17598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75001">
      <w:bodyDiv w:val="1"/>
      <w:marLeft w:val="0"/>
      <w:marRight w:val="0"/>
      <w:marTop w:val="0"/>
      <w:marBottom w:val="0"/>
      <w:divBdr>
        <w:top w:val="none" w:sz="0" w:space="0" w:color="auto"/>
        <w:left w:val="none" w:sz="0" w:space="0" w:color="auto"/>
        <w:bottom w:val="none" w:sz="0" w:space="0" w:color="auto"/>
        <w:right w:val="none" w:sz="0" w:space="0" w:color="auto"/>
      </w:divBdr>
      <w:divsChild>
        <w:div w:id="757673536">
          <w:marLeft w:val="0"/>
          <w:marRight w:val="0"/>
          <w:marTop w:val="0"/>
          <w:marBottom w:val="0"/>
          <w:divBdr>
            <w:top w:val="none" w:sz="0" w:space="0" w:color="auto"/>
            <w:left w:val="none" w:sz="0" w:space="0" w:color="auto"/>
            <w:bottom w:val="none" w:sz="0" w:space="0" w:color="auto"/>
            <w:right w:val="none" w:sz="0" w:space="0" w:color="auto"/>
          </w:divBdr>
          <w:divsChild>
            <w:div w:id="1217200319">
              <w:marLeft w:val="0"/>
              <w:marRight w:val="0"/>
              <w:marTop w:val="0"/>
              <w:marBottom w:val="0"/>
              <w:divBdr>
                <w:top w:val="none" w:sz="0" w:space="0" w:color="auto"/>
                <w:left w:val="none" w:sz="0" w:space="0" w:color="auto"/>
                <w:bottom w:val="none" w:sz="0" w:space="0" w:color="auto"/>
                <w:right w:val="none" w:sz="0" w:space="0" w:color="auto"/>
              </w:divBdr>
              <w:divsChild>
                <w:div w:id="14682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19498">
      <w:bodyDiv w:val="1"/>
      <w:marLeft w:val="0"/>
      <w:marRight w:val="0"/>
      <w:marTop w:val="0"/>
      <w:marBottom w:val="0"/>
      <w:divBdr>
        <w:top w:val="none" w:sz="0" w:space="0" w:color="auto"/>
        <w:left w:val="none" w:sz="0" w:space="0" w:color="auto"/>
        <w:bottom w:val="none" w:sz="0" w:space="0" w:color="auto"/>
        <w:right w:val="none" w:sz="0" w:space="0" w:color="auto"/>
      </w:divBdr>
      <w:divsChild>
        <w:div w:id="14695831">
          <w:marLeft w:val="0"/>
          <w:marRight w:val="0"/>
          <w:marTop w:val="0"/>
          <w:marBottom w:val="0"/>
          <w:divBdr>
            <w:top w:val="none" w:sz="0" w:space="0" w:color="auto"/>
            <w:left w:val="none" w:sz="0" w:space="0" w:color="auto"/>
            <w:bottom w:val="none" w:sz="0" w:space="0" w:color="auto"/>
            <w:right w:val="none" w:sz="0" w:space="0" w:color="auto"/>
          </w:divBdr>
          <w:divsChild>
            <w:div w:id="406532953">
              <w:marLeft w:val="0"/>
              <w:marRight w:val="0"/>
              <w:marTop w:val="0"/>
              <w:marBottom w:val="0"/>
              <w:divBdr>
                <w:top w:val="none" w:sz="0" w:space="0" w:color="auto"/>
                <w:left w:val="none" w:sz="0" w:space="0" w:color="auto"/>
                <w:bottom w:val="none" w:sz="0" w:space="0" w:color="auto"/>
                <w:right w:val="none" w:sz="0" w:space="0" w:color="auto"/>
              </w:divBdr>
              <w:divsChild>
                <w:div w:id="13180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22058">
      <w:bodyDiv w:val="1"/>
      <w:marLeft w:val="0"/>
      <w:marRight w:val="0"/>
      <w:marTop w:val="0"/>
      <w:marBottom w:val="0"/>
      <w:divBdr>
        <w:top w:val="none" w:sz="0" w:space="0" w:color="auto"/>
        <w:left w:val="none" w:sz="0" w:space="0" w:color="auto"/>
        <w:bottom w:val="none" w:sz="0" w:space="0" w:color="auto"/>
        <w:right w:val="none" w:sz="0" w:space="0" w:color="auto"/>
      </w:divBdr>
      <w:divsChild>
        <w:div w:id="160004187">
          <w:marLeft w:val="0"/>
          <w:marRight w:val="0"/>
          <w:marTop w:val="0"/>
          <w:marBottom w:val="0"/>
          <w:divBdr>
            <w:top w:val="none" w:sz="0" w:space="0" w:color="auto"/>
            <w:left w:val="none" w:sz="0" w:space="0" w:color="auto"/>
            <w:bottom w:val="none" w:sz="0" w:space="0" w:color="auto"/>
            <w:right w:val="none" w:sz="0" w:space="0" w:color="auto"/>
          </w:divBdr>
          <w:divsChild>
            <w:div w:id="50926540">
              <w:marLeft w:val="0"/>
              <w:marRight w:val="0"/>
              <w:marTop w:val="0"/>
              <w:marBottom w:val="0"/>
              <w:divBdr>
                <w:top w:val="none" w:sz="0" w:space="0" w:color="auto"/>
                <w:left w:val="none" w:sz="0" w:space="0" w:color="auto"/>
                <w:bottom w:val="none" w:sz="0" w:space="0" w:color="auto"/>
                <w:right w:val="none" w:sz="0" w:space="0" w:color="auto"/>
              </w:divBdr>
              <w:divsChild>
                <w:div w:id="15544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05452">
      <w:bodyDiv w:val="1"/>
      <w:marLeft w:val="0"/>
      <w:marRight w:val="0"/>
      <w:marTop w:val="0"/>
      <w:marBottom w:val="0"/>
      <w:divBdr>
        <w:top w:val="none" w:sz="0" w:space="0" w:color="auto"/>
        <w:left w:val="none" w:sz="0" w:space="0" w:color="auto"/>
        <w:bottom w:val="none" w:sz="0" w:space="0" w:color="auto"/>
        <w:right w:val="none" w:sz="0" w:space="0" w:color="auto"/>
      </w:divBdr>
      <w:divsChild>
        <w:div w:id="1902397821">
          <w:marLeft w:val="0"/>
          <w:marRight w:val="0"/>
          <w:marTop w:val="0"/>
          <w:marBottom w:val="0"/>
          <w:divBdr>
            <w:top w:val="none" w:sz="0" w:space="0" w:color="auto"/>
            <w:left w:val="none" w:sz="0" w:space="0" w:color="auto"/>
            <w:bottom w:val="none" w:sz="0" w:space="0" w:color="auto"/>
            <w:right w:val="none" w:sz="0" w:space="0" w:color="auto"/>
          </w:divBdr>
          <w:divsChild>
            <w:div w:id="2140760478">
              <w:marLeft w:val="0"/>
              <w:marRight w:val="0"/>
              <w:marTop w:val="0"/>
              <w:marBottom w:val="0"/>
              <w:divBdr>
                <w:top w:val="none" w:sz="0" w:space="0" w:color="auto"/>
                <w:left w:val="none" w:sz="0" w:space="0" w:color="auto"/>
                <w:bottom w:val="none" w:sz="0" w:space="0" w:color="auto"/>
                <w:right w:val="none" w:sz="0" w:space="0" w:color="auto"/>
              </w:divBdr>
              <w:divsChild>
                <w:div w:id="1384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7367">
      <w:bodyDiv w:val="1"/>
      <w:marLeft w:val="0"/>
      <w:marRight w:val="0"/>
      <w:marTop w:val="0"/>
      <w:marBottom w:val="0"/>
      <w:divBdr>
        <w:top w:val="none" w:sz="0" w:space="0" w:color="auto"/>
        <w:left w:val="none" w:sz="0" w:space="0" w:color="auto"/>
        <w:bottom w:val="none" w:sz="0" w:space="0" w:color="auto"/>
        <w:right w:val="none" w:sz="0" w:space="0" w:color="auto"/>
      </w:divBdr>
      <w:divsChild>
        <w:div w:id="987515618">
          <w:marLeft w:val="0"/>
          <w:marRight w:val="0"/>
          <w:marTop w:val="0"/>
          <w:marBottom w:val="0"/>
          <w:divBdr>
            <w:top w:val="none" w:sz="0" w:space="0" w:color="auto"/>
            <w:left w:val="none" w:sz="0" w:space="0" w:color="auto"/>
            <w:bottom w:val="none" w:sz="0" w:space="0" w:color="auto"/>
            <w:right w:val="none" w:sz="0" w:space="0" w:color="auto"/>
          </w:divBdr>
          <w:divsChild>
            <w:div w:id="1215772981">
              <w:marLeft w:val="0"/>
              <w:marRight w:val="0"/>
              <w:marTop w:val="0"/>
              <w:marBottom w:val="0"/>
              <w:divBdr>
                <w:top w:val="none" w:sz="0" w:space="0" w:color="auto"/>
                <w:left w:val="none" w:sz="0" w:space="0" w:color="auto"/>
                <w:bottom w:val="none" w:sz="0" w:space="0" w:color="auto"/>
                <w:right w:val="none" w:sz="0" w:space="0" w:color="auto"/>
              </w:divBdr>
              <w:divsChild>
                <w:div w:id="342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74438">
      <w:bodyDiv w:val="1"/>
      <w:marLeft w:val="0"/>
      <w:marRight w:val="0"/>
      <w:marTop w:val="0"/>
      <w:marBottom w:val="0"/>
      <w:divBdr>
        <w:top w:val="none" w:sz="0" w:space="0" w:color="auto"/>
        <w:left w:val="none" w:sz="0" w:space="0" w:color="auto"/>
        <w:bottom w:val="none" w:sz="0" w:space="0" w:color="auto"/>
        <w:right w:val="none" w:sz="0" w:space="0" w:color="auto"/>
      </w:divBdr>
      <w:divsChild>
        <w:div w:id="1313676686">
          <w:marLeft w:val="0"/>
          <w:marRight w:val="0"/>
          <w:marTop w:val="0"/>
          <w:marBottom w:val="0"/>
          <w:divBdr>
            <w:top w:val="none" w:sz="0" w:space="0" w:color="auto"/>
            <w:left w:val="none" w:sz="0" w:space="0" w:color="auto"/>
            <w:bottom w:val="none" w:sz="0" w:space="0" w:color="auto"/>
            <w:right w:val="none" w:sz="0" w:space="0" w:color="auto"/>
          </w:divBdr>
          <w:divsChild>
            <w:div w:id="1835491120">
              <w:marLeft w:val="0"/>
              <w:marRight w:val="0"/>
              <w:marTop w:val="0"/>
              <w:marBottom w:val="0"/>
              <w:divBdr>
                <w:top w:val="none" w:sz="0" w:space="0" w:color="auto"/>
                <w:left w:val="none" w:sz="0" w:space="0" w:color="auto"/>
                <w:bottom w:val="none" w:sz="0" w:space="0" w:color="auto"/>
                <w:right w:val="none" w:sz="0" w:space="0" w:color="auto"/>
              </w:divBdr>
              <w:divsChild>
                <w:div w:id="1149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28832">
      <w:bodyDiv w:val="1"/>
      <w:marLeft w:val="0"/>
      <w:marRight w:val="0"/>
      <w:marTop w:val="0"/>
      <w:marBottom w:val="0"/>
      <w:divBdr>
        <w:top w:val="none" w:sz="0" w:space="0" w:color="auto"/>
        <w:left w:val="none" w:sz="0" w:space="0" w:color="auto"/>
        <w:bottom w:val="none" w:sz="0" w:space="0" w:color="auto"/>
        <w:right w:val="none" w:sz="0" w:space="0" w:color="auto"/>
      </w:divBdr>
      <w:divsChild>
        <w:div w:id="993491852">
          <w:marLeft w:val="0"/>
          <w:marRight w:val="0"/>
          <w:marTop w:val="0"/>
          <w:marBottom w:val="0"/>
          <w:divBdr>
            <w:top w:val="none" w:sz="0" w:space="0" w:color="auto"/>
            <w:left w:val="none" w:sz="0" w:space="0" w:color="auto"/>
            <w:bottom w:val="none" w:sz="0" w:space="0" w:color="auto"/>
            <w:right w:val="none" w:sz="0" w:space="0" w:color="auto"/>
          </w:divBdr>
          <w:divsChild>
            <w:div w:id="940383245">
              <w:marLeft w:val="0"/>
              <w:marRight w:val="0"/>
              <w:marTop w:val="0"/>
              <w:marBottom w:val="0"/>
              <w:divBdr>
                <w:top w:val="none" w:sz="0" w:space="0" w:color="auto"/>
                <w:left w:val="none" w:sz="0" w:space="0" w:color="auto"/>
                <w:bottom w:val="none" w:sz="0" w:space="0" w:color="auto"/>
                <w:right w:val="none" w:sz="0" w:space="0" w:color="auto"/>
              </w:divBdr>
              <w:divsChild>
                <w:div w:id="14983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6225">
      <w:bodyDiv w:val="1"/>
      <w:marLeft w:val="0"/>
      <w:marRight w:val="0"/>
      <w:marTop w:val="0"/>
      <w:marBottom w:val="0"/>
      <w:divBdr>
        <w:top w:val="none" w:sz="0" w:space="0" w:color="auto"/>
        <w:left w:val="none" w:sz="0" w:space="0" w:color="auto"/>
        <w:bottom w:val="none" w:sz="0" w:space="0" w:color="auto"/>
        <w:right w:val="none" w:sz="0" w:space="0" w:color="auto"/>
      </w:divBdr>
    </w:div>
    <w:div w:id="1514299669">
      <w:bodyDiv w:val="1"/>
      <w:marLeft w:val="0"/>
      <w:marRight w:val="0"/>
      <w:marTop w:val="0"/>
      <w:marBottom w:val="0"/>
      <w:divBdr>
        <w:top w:val="none" w:sz="0" w:space="0" w:color="auto"/>
        <w:left w:val="none" w:sz="0" w:space="0" w:color="auto"/>
        <w:bottom w:val="none" w:sz="0" w:space="0" w:color="auto"/>
        <w:right w:val="none" w:sz="0" w:space="0" w:color="auto"/>
      </w:divBdr>
      <w:divsChild>
        <w:div w:id="1345326103">
          <w:marLeft w:val="0"/>
          <w:marRight w:val="0"/>
          <w:marTop w:val="0"/>
          <w:marBottom w:val="0"/>
          <w:divBdr>
            <w:top w:val="none" w:sz="0" w:space="0" w:color="auto"/>
            <w:left w:val="none" w:sz="0" w:space="0" w:color="auto"/>
            <w:bottom w:val="none" w:sz="0" w:space="0" w:color="auto"/>
            <w:right w:val="none" w:sz="0" w:space="0" w:color="auto"/>
          </w:divBdr>
          <w:divsChild>
            <w:div w:id="13117128">
              <w:marLeft w:val="0"/>
              <w:marRight w:val="0"/>
              <w:marTop w:val="0"/>
              <w:marBottom w:val="0"/>
              <w:divBdr>
                <w:top w:val="none" w:sz="0" w:space="0" w:color="auto"/>
                <w:left w:val="none" w:sz="0" w:space="0" w:color="auto"/>
                <w:bottom w:val="none" w:sz="0" w:space="0" w:color="auto"/>
                <w:right w:val="none" w:sz="0" w:space="0" w:color="auto"/>
              </w:divBdr>
              <w:divsChild>
                <w:div w:id="12900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56264">
      <w:bodyDiv w:val="1"/>
      <w:marLeft w:val="0"/>
      <w:marRight w:val="0"/>
      <w:marTop w:val="0"/>
      <w:marBottom w:val="0"/>
      <w:divBdr>
        <w:top w:val="none" w:sz="0" w:space="0" w:color="auto"/>
        <w:left w:val="none" w:sz="0" w:space="0" w:color="auto"/>
        <w:bottom w:val="none" w:sz="0" w:space="0" w:color="auto"/>
        <w:right w:val="none" w:sz="0" w:space="0" w:color="auto"/>
      </w:divBdr>
      <w:divsChild>
        <w:div w:id="884871802">
          <w:marLeft w:val="0"/>
          <w:marRight w:val="0"/>
          <w:marTop w:val="0"/>
          <w:marBottom w:val="0"/>
          <w:divBdr>
            <w:top w:val="none" w:sz="0" w:space="0" w:color="auto"/>
            <w:left w:val="none" w:sz="0" w:space="0" w:color="auto"/>
            <w:bottom w:val="none" w:sz="0" w:space="0" w:color="auto"/>
            <w:right w:val="none" w:sz="0" w:space="0" w:color="auto"/>
          </w:divBdr>
          <w:divsChild>
            <w:div w:id="1978290870">
              <w:marLeft w:val="0"/>
              <w:marRight w:val="0"/>
              <w:marTop w:val="0"/>
              <w:marBottom w:val="0"/>
              <w:divBdr>
                <w:top w:val="none" w:sz="0" w:space="0" w:color="auto"/>
                <w:left w:val="none" w:sz="0" w:space="0" w:color="auto"/>
                <w:bottom w:val="none" w:sz="0" w:space="0" w:color="auto"/>
                <w:right w:val="none" w:sz="0" w:space="0" w:color="auto"/>
              </w:divBdr>
              <w:divsChild>
                <w:div w:id="6686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19824">
      <w:bodyDiv w:val="1"/>
      <w:marLeft w:val="0"/>
      <w:marRight w:val="0"/>
      <w:marTop w:val="0"/>
      <w:marBottom w:val="0"/>
      <w:divBdr>
        <w:top w:val="none" w:sz="0" w:space="0" w:color="auto"/>
        <w:left w:val="none" w:sz="0" w:space="0" w:color="auto"/>
        <w:bottom w:val="none" w:sz="0" w:space="0" w:color="auto"/>
        <w:right w:val="none" w:sz="0" w:space="0" w:color="auto"/>
      </w:divBdr>
      <w:divsChild>
        <w:div w:id="874660160">
          <w:marLeft w:val="0"/>
          <w:marRight w:val="0"/>
          <w:marTop w:val="0"/>
          <w:marBottom w:val="0"/>
          <w:divBdr>
            <w:top w:val="none" w:sz="0" w:space="0" w:color="auto"/>
            <w:left w:val="none" w:sz="0" w:space="0" w:color="auto"/>
            <w:bottom w:val="none" w:sz="0" w:space="0" w:color="auto"/>
            <w:right w:val="none" w:sz="0" w:space="0" w:color="auto"/>
          </w:divBdr>
          <w:divsChild>
            <w:div w:id="1763456545">
              <w:marLeft w:val="0"/>
              <w:marRight w:val="0"/>
              <w:marTop w:val="0"/>
              <w:marBottom w:val="0"/>
              <w:divBdr>
                <w:top w:val="none" w:sz="0" w:space="0" w:color="auto"/>
                <w:left w:val="none" w:sz="0" w:space="0" w:color="auto"/>
                <w:bottom w:val="none" w:sz="0" w:space="0" w:color="auto"/>
                <w:right w:val="none" w:sz="0" w:space="0" w:color="auto"/>
              </w:divBdr>
              <w:divsChild>
                <w:div w:id="12298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214643">
      <w:bodyDiv w:val="1"/>
      <w:marLeft w:val="0"/>
      <w:marRight w:val="0"/>
      <w:marTop w:val="0"/>
      <w:marBottom w:val="0"/>
      <w:divBdr>
        <w:top w:val="none" w:sz="0" w:space="0" w:color="auto"/>
        <w:left w:val="none" w:sz="0" w:space="0" w:color="auto"/>
        <w:bottom w:val="none" w:sz="0" w:space="0" w:color="auto"/>
        <w:right w:val="none" w:sz="0" w:space="0" w:color="auto"/>
      </w:divBdr>
      <w:divsChild>
        <w:div w:id="1358769875">
          <w:marLeft w:val="0"/>
          <w:marRight w:val="0"/>
          <w:marTop w:val="0"/>
          <w:marBottom w:val="0"/>
          <w:divBdr>
            <w:top w:val="none" w:sz="0" w:space="0" w:color="auto"/>
            <w:left w:val="none" w:sz="0" w:space="0" w:color="auto"/>
            <w:bottom w:val="none" w:sz="0" w:space="0" w:color="auto"/>
            <w:right w:val="none" w:sz="0" w:space="0" w:color="auto"/>
          </w:divBdr>
          <w:divsChild>
            <w:div w:id="140730320">
              <w:marLeft w:val="0"/>
              <w:marRight w:val="0"/>
              <w:marTop w:val="0"/>
              <w:marBottom w:val="0"/>
              <w:divBdr>
                <w:top w:val="none" w:sz="0" w:space="0" w:color="auto"/>
                <w:left w:val="none" w:sz="0" w:space="0" w:color="auto"/>
                <w:bottom w:val="none" w:sz="0" w:space="0" w:color="auto"/>
                <w:right w:val="none" w:sz="0" w:space="0" w:color="auto"/>
              </w:divBdr>
              <w:divsChild>
                <w:div w:id="17923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4085">
      <w:bodyDiv w:val="1"/>
      <w:marLeft w:val="0"/>
      <w:marRight w:val="0"/>
      <w:marTop w:val="0"/>
      <w:marBottom w:val="0"/>
      <w:divBdr>
        <w:top w:val="none" w:sz="0" w:space="0" w:color="auto"/>
        <w:left w:val="none" w:sz="0" w:space="0" w:color="auto"/>
        <w:bottom w:val="none" w:sz="0" w:space="0" w:color="auto"/>
        <w:right w:val="none" w:sz="0" w:space="0" w:color="auto"/>
      </w:divBdr>
    </w:div>
    <w:div w:id="1594968053">
      <w:bodyDiv w:val="1"/>
      <w:marLeft w:val="0"/>
      <w:marRight w:val="0"/>
      <w:marTop w:val="0"/>
      <w:marBottom w:val="0"/>
      <w:divBdr>
        <w:top w:val="none" w:sz="0" w:space="0" w:color="auto"/>
        <w:left w:val="none" w:sz="0" w:space="0" w:color="auto"/>
        <w:bottom w:val="none" w:sz="0" w:space="0" w:color="auto"/>
        <w:right w:val="none" w:sz="0" w:space="0" w:color="auto"/>
      </w:divBdr>
      <w:divsChild>
        <w:div w:id="1661538741">
          <w:marLeft w:val="0"/>
          <w:marRight w:val="0"/>
          <w:marTop w:val="0"/>
          <w:marBottom w:val="0"/>
          <w:divBdr>
            <w:top w:val="none" w:sz="0" w:space="0" w:color="auto"/>
            <w:left w:val="none" w:sz="0" w:space="0" w:color="auto"/>
            <w:bottom w:val="none" w:sz="0" w:space="0" w:color="auto"/>
            <w:right w:val="none" w:sz="0" w:space="0" w:color="auto"/>
          </w:divBdr>
          <w:divsChild>
            <w:div w:id="1995908251">
              <w:marLeft w:val="0"/>
              <w:marRight w:val="0"/>
              <w:marTop w:val="0"/>
              <w:marBottom w:val="0"/>
              <w:divBdr>
                <w:top w:val="none" w:sz="0" w:space="0" w:color="auto"/>
                <w:left w:val="none" w:sz="0" w:space="0" w:color="auto"/>
                <w:bottom w:val="none" w:sz="0" w:space="0" w:color="auto"/>
                <w:right w:val="none" w:sz="0" w:space="0" w:color="auto"/>
              </w:divBdr>
              <w:divsChild>
                <w:div w:id="7936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81126">
      <w:bodyDiv w:val="1"/>
      <w:marLeft w:val="0"/>
      <w:marRight w:val="0"/>
      <w:marTop w:val="0"/>
      <w:marBottom w:val="0"/>
      <w:divBdr>
        <w:top w:val="none" w:sz="0" w:space="0" w:color="auto"/>
        <w:left w:val="none" w:sz="0" w:space="0" w:color="auto"/>
        <w:bottom w:val="none" w:sz="0" w:space="0" w:color="auto"/>
        <w:right w:val="none" w:sz="0" w:space="0" w:color="auto"/>
      </w:divBdr>
      <w:divsChild>
        <w:div w:id="1789856521">
          <w:marLeft w:val="0"/>
          <w:marRight w:val="0"/>
          <w:marTop w:val="0"/>
          <w:marBottom w:val="0"/>
          <w:divBdr>
            <w:top w:val="none" w:sz="0" w:space="0" w:color="auto"/>
            <w:left w:val="none" w:sz="0" w:space="0" w:color="auto"/>
            <w:bottom w:val="none" w:sz="0" w:space="0" w:color="auto"/>
            <w:right w:val="none" w:sz="0" w:space="0" w:color="auto"/>
          </w:divBdr>
          <w:divsChild>
            <w:div w:id="2003239992">
              <w:marLeft w:val="0"/>
              <w:marRight w:val="0"/>
              <w:marTop w:val="0"/>
              <w:marBottom w:val="0"/>
              <w:divBdr>
                <w:top w:val="none" w:sz="0" w:space="0" w:color="auto"/>
                <w:left w:val="none" w:sz="0" w:space="0" w:color="auto"/>
                <w:bottom w:val="none" w:sz="0" w:space="0" w:color="auto"/>
                <w:right w:val="none" w:sz="0" w:space="0" w:color="auto"/>
              </w:divBdr>
              <w:divsChild>
                <w:div w:id="1955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435474">
      <w:bodyDiv w:val="1"/>
      <w:marLeft w:val="0"/>
      <w:marRight w:val="0"/>
      <w:marTop w:val="0"/>
      <w:marBottom w:val="0"/>
      <w:divBdr>
        <w:top w:val="none" w:sz="0" w:space="0" w:color="auto"/>
        <w:left w:val="none" w:sz="0" w:space="0" w:color="auto"/>
        <w:bottom w:val="none" w:sz="0" w:space="0" w:color="auto"/>
        <w:right w:val="none" w:sz="0" w:space="0" w:color="auto"/>
      </w:divBdr>
      <w:divsChild>
        <w:div w:id="246311642">
          <w:marLeft w:val="0"/>
          <w:marRight w:val="0"/>
          <w:marTop w:val="0"/>
          <w:marBottom w:val="0"/>
          <w:divBdr>
            <w:top w:val="none" w:sz="0" w:space="0" w:color="auto"/>
            <w:left w:val="none" w:sz="0" w:space="0" w:color="auto"/>
            <w:bottom w:val="none" w:sz="0" w:space="0" w:color="auto"/>
            <w:right w:val="none" w:sz="0" w:space="0" w:color="auto"/>
          </w:divBdr>
          <w:divsChild>
            <w:div w:id="1309898877">
              <w:marLeft w:val="0"/>
              <w:marRight w:val="0"/>
              <w:marTop w:val="0"/>
              <w:marBottom w:val="0"/>
              <w:divBdr>
                <w:top w:val="none" w:sz="0" w:space="0" w:color="auto"/>
                <w:left w:val="none" w:sz="0" w:space="0" w:color="auto"/>
                <w:bottom w:val="none" w:sz="0" w:space="0" w:color="auto"/>
                <w:right w:val="none" w:sz="0" w:space="0" w:color="auto"/>
              </w:divBdr>
              <w:divsChild>
                <w:div w:id="49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01444">
      <w:bodyDiv w:val="1"/>
      <w:marLeft w:val="0"/>
      <w:marRight w:val="0"/>
      <w:marTop w:val="0"/>
      <w:marBottom w:val="0"/>
      <w:divBdr>
        <w:top w:val="none" w:sz="0" w:space="0" w:color="auto"/>
        <w:left w:val="none" w:sz="0" w:space="0" w:color="auto"/>
        <w:bottom w:val="none" w:sz="0" w:space="0" w:color="auto"/>
        <w:right w:val="none" w:sz="0" w:space="0" w:color="auto"/>
      </w:divBdr>
      <w:divsChild>
        <w:div w:id="733814795">
          <w:marLeft w:val="0"/>
          <w:marRight w:val="0"/>
          <w:marTop w:val="0"/>
          <w:marBottom w:val="0"/>
          <w:divBdr>
            <w:top w:val="none" w:sz="0" w:space="0" w:color="auto"/>
            <w:left w:val="none" w:sz="0" w:space="0" w:color="auto"/>
            <w:bottom w:val="none" w:sz="0" w:space="0" w:color="auto"/>
            <w:right w:val="none" w:sz="0" w:space="0" w:color="auto"/>
          </w:divBdr>
          <w:divsChild>
            <w:div w:id="1285455508">
              <w:marLeft w:val="0"/>
              <w:marRight w:val="0"/>
              <w:marTop w:val="0"/>
              <w:marBottom w:val="0"/>
              <w:divBdr>
                <w:top w:val="none" w:sz="0" w:space="0" w:color="auto"/>
                <w:left w:val="none" w:sz="0" w:space="0" w:color="auto"/>
                <w:bottom w:val="none" w:sz="0" w:space="0" w:color="auto"/>
                <w:right w:val="none" w:sz="0" w:space="0" w:color="auto"/>
              </w:divBdr>
              <w:divsChild>
                <w:div w:id="90715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6426">
      <w:bodyDiv w:val="1"/>
      <w:marLeft w:val="0"/>
      <w:marRight w:val="0"/>
      <w:marTop w:val="0"/>
      <w:marBottom w:val="0"/>
      <w:divBdr>
        <w:top w:val="none" w:sz="0" w:space="0" w:color="auto"/>
        <w:left w:val="none" w:sz="0" w:space="0" w:color="auto"/>
        <w:bottom w:val="none" w:sz="0" w:space="0" w:color="auto"/>
        <w:right w:val="none" w:sz="0" w:space="0" w:color="auto"/>
      </w:divBdr>
      <w:divsChild>
        <w:div w:id="1473137195">
          <w:marLeft w:val="0"/>
          <w:marRight w:val="0"/>
          <w:marTop w:val="0"/>
          <w:marBottom w:val="0"/>
          <w:divBdr>
            <w:top w:val="none" w:sz="0" w:space="0" w:color="auto"/>
            <w:left w:val="none" w:sz="0" w:space="0" w:color="auto"/>
            <w:bottom w:val="none" w:sz="0" w:space="0" w:color="auto"/>
            <w:right w:val="none" w:sz="0" w:space="0" w:color="auto"/>
          </w:divBdr>
          <w:divsChild>
            <w:div w:id="1435784614">
              <w:marLeft w:val="0"/>
              <w:marRight w:val="0"/>
              <w:marTop w:val="0"/>
              <w:marBottom w:val="0"/>
              <w:divBdr>
                <w:top w:val="none" w:sz="0" w:space="0" w:color="auto"/>
                <w:left w:val="none" w:sz="0" w:space="0" w:color="auto"/>
                <w:bottom w:val="none" w:sz="0" w:space="0" w:color="auto"/>
                <w:right w:val="none" w:sz="0" w:space="0" w:color="auto"/>
              </w:divBdr>
              <w:divsChild>
                <w:div w:id="16079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13294">
      <w:bodyDiv w:val="1"/>
      <w:marLeft w:val="0"/>
      <w:marRight w:val="0"/>
      <w:marTop w:val="0"/>
      <w:marBottom w:val="0"/>
      <w:divBdr>
        <w:top w:val="none" w:sz="0" w:space="0" w:color="auto"/>
        <w:left w:val="none" w:sz="0" w:space="0" w:color="auto"/>
        <w:bottom w:val="none" w:sz="0" w:space="0" w:color="auto"/>
        <w:right w:val="none" w:sz="0" w:space="0" w:color="auto"/>
      </w:divBdr>
      <w:divsChild>
        <w:div w:id="1917736898">
          <w:marLeft w:val="0"/>
          <w:marRight w:val="0"/>
          <w:marTop w:val="0"/>
          <w:marBottom w:val="0"/>
          <w:divBdr>
            <w:top w:val="none" w:sz="0" w:space="0" w:color="auto"/>
            <w:left w:val="none" w:sz="0" w:space="0" w:color="auto"/>
            <w:bottom w:val="none" w:sz="0" w:space="0" w:color="auto"/>
            <w:right w:val="none" w:sz="0" w:space="0" w:color="auto"/>
          </w:divBdr>
          <w:divsChild>
            <w:div w:id="1224020582">
              <w:marLeft w:val="0"/>
              <w:marRight w:val="0"/>
              <w:marTop w:val="0"/>
              <w:marBottom w:val="0"/>
              <w:divBdr>
                <w:top w:val="none" w:sz="0" w:space="0" w:color="auto"/>
                <w:left w:val="none" w:sz="0" w:space="0" w:color="auto"/>
                <w:bottom w:val="none" w:sz="0" w:space="0" w:color="auto"/>
                <w:right w:val="none" w:sz="0" w:space="0" w:color="auto"/>
              </w:divBdr>
              <w:divsChild>
                <w:div w:id="5927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91855">
      <w:bodyDiv w:val="1"/>
      <w:marLeft w:val="0"/>
      <w:marRight w:val="0"/>
      <w:marTop w:val="0"/>
      <w:marBottom w:val="0"/>
      <w:divBdr>
        <w:top w:val="none" w:sz="0" w:space="0" w:color="auto"/>
        <w:left w:val="none" w:sz="0" w:space="0" w:color="auto"/>
        <w:bottom w:val="none" w:sz="0" w:space="0" w:color="auto"/>
        <w:right w:val="none" w:sz="0" w:space="0" w:color="auto"/>
      </w:divBdr>
      <w:divsChild>
        <w:div w:id="2127001654">
          <w:marLeft w:val="0"/>
          <w:marRight w:val="0"/>
          <w:marTop w:val="0"/>
          <w:marBottom w:val="0"/>
          <w:divBdr>
            <w:top w:val="none" w:sz="0" w:space="0" w:color="auto"/>
            <w:left w:val="none" w:sz="0" w:space="0" w:color="auto"/>
            <w:bottom w:val="none" w:sz="0" w:space="0" w:color="auto"/>
            <w:right w:val="none" w:sz="0" w:space="0" w:color="auto"/>
          </w:divBdr>
          <w:divsChild>
            <w:div w:id="347295246">
              <w:marLeft w:val="0"/>
              <w:marRight w:val="0"/>
              <w:marTop w:val="0"/>
              <w:marBottom w:val="0"/>
              <w:divBdr>
                <w:top w:val="none" w:sz="0" w:space="0" w:color="auto"/>
                <w:left w:val="none" w:sz="0" w:space="0" w:color="auto"/>
                <w:bottom w:val="none" w:sz="0" w:space="0" w:color="auto"/>
                <w:right w:val="none" w:sz="0" w:space="0" w:color="auto"/>
              </w:divBdr>
              <w:divsChild>
                <w:div w:id="6545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97417">
      <w:bodyDiv w:val="1"/>
      <w:marLeft w:val="0"/>
      <w:marRight w:val="0"/>
      <w:marTop w:val="0"/>
      <w:marBottom w:val="0"/>
      <w:divBdr>
        <w:top w:val="none" w:sz="0" w:space="0" w:color="auto"/>
        <w:left w:val="none" w:sz="0" w:space="0" w:color="auto"/>
        <w:bottom w:val="none" w:sz="0" w:space="0" w:color="auto"/>
        <w:right w:val="none" w:sz="0" w:space="0" w:color="auto"/>
      </w:divBdr>
      <w:divsChild>
        <w:div w:id="230509672">
          <w:marLeft w:val="0"/>
          <w:marRight w:val="0"/>
          <w:marTop w:val="0"/>
          <w:marBottom w:val="0"/>
          <w:divBdr>
            <w:top w:val="none" w:sz="0" w:space="0" w:color="auto"/>
            <w:left w:val="none" w:sz="0" w:space="0" w:color="auto"/>
            <w:bottom w:val="none" w:sz="0" w:space="0" w:color="auto"/>
            <w:right w:val="none" w:sz="0" w:space="0" w:color="auto"/>
          </w:divBdr>
          <w:divsChild>
            <w:div w:id="2138570829">
              <w:marLeft w:val="0"/>
              <w:marRight w:val="0"/>
              <w:marTop w:val="0"/>
              <w:marBottom w:val="0"/>
              <w:divBdr>
                <w:top w:val="none" w:sz="0" w:space="0" w:color="auto"/>
                <w:left w:val="none" w:sz="0" w:space="0" w:color="auto"/>
                <w:bottom w:val="none" w:sz="0" w:space="0" w:color="auto"/>
                <w:right w:val="none" w:sz="0" w:space="0" w:color="auto"/>
              </w:divBdr>
              <w:divsChild>
                <w:div w:id="11005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3662">
      <w:bodyDiv w:val="1"/>
      <w:marLeft w:val="0"/>
      <w:marRight w:val="0"/>
      <w:marTop w:val="0"/>
      <w:marBottom w:val="0"/>
      <w:divBdr>
        <w:top w:val="none" w:sz="0" w:space="0" w:color="auto"/>
        <w:left w:val="none" w:sz="0" w:space="0" w:color="auto"/>
        <w:bottom w:val="none" w:sz="0" w:space="0" w:color="auto"/>
        <w:right w:val="none" w:sz="0" w:space="0" w:color="auto"/>
      </w:divBdr>
      <w:divsChild>
        <w:div w:id="259263258">
          <w:marLeft w:val="0"/>
          <w:marRight w:val="0"/>
          <w:marTop w:val="0"/>
          <w:marBottom w:val="0"/>
          <w:divBdr>
            <w:top w:val="none" w:sz="0" w:space="0" w:color="auto"/>
            <w:left w:val="none" w:sz="0" w:space="0" w:color="auto"/>
            <w:bottom w:val="none" w:sz="0" w:space="0" w:color="auto"/>
            <w:right w:val="none" w:sz="0" w:space="0" w:color="auto"/>
          </w:divBdr>
          <w:divsChild>
            <w:div w:id="964966498">
              <w:marLeft w:val="0"/>
              <w:marRight w:val="0"/>
              <w:marTop w:val="0"/>
              <w:marBottom w:val="0"/>
              <w:divBdr>
                <w:top w:val="none" w:sz="0" w:space="0" w:color="auto"/>
                <w:left w:val="none" w:sz="0" w:space="0" w:color="auto"/>
                <w:bottom w:val="none" w:sz="0" w:space="0" w:color="auto"/>
                <w:right w:val="none" w:sz="0" w:space="0" w:color="auto"/>
              </w:divBdr>
              <w:divsChild>
                <w:div w:id="13114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482">
      <w:bodyDiv w:val="1"/>
      <w:marLeft w:val="0"/>
      <w:marRight w:val="0"/>
      <w:marTop w:val="0"/>
      <w:marBottom w:val="0"/>
      <w:divBdr>
        <w:top w:val="none" w:sz="0" w:space="0" w:color="auto"/>
        <w:left w:val="none" w:sz="0" w:space="0" w:color="auto"/>
        <w:bottom w:val="none" w:sz="0" w:space="0" w:color="auto"/>
        <w:right w:val="none" w:sz="0" w:space="0" w:color="auto"/>
      </w:divBdr>
    </w:div>
    <w:div w:id="1713995169">
      <w:bodyDiv w:val="1"/>
      <w:marLeft w:val="0"/>
      <w:marRight w:val="0"/>
      <w:marTop w:val="0"/>
      <w:marBottom w:val="0"/>
      <w:divBdr>
        <w:top w:val="none" w:sz="0" w:space="0" w:color="auto"/>
        <w:left w:val="none" w:sz="0" w:space="0" w:color="auto"/>
        <w:bottom w:val="none" w:sz="0" w:space="0" w:color="auto"/>
        <w:right w:val="none" w:sz="0" w:space="0" w:color="auto"/>
      </w:divBdr>
      <w:divsChild>
        <w:div w:id="1842624442">
          <w:marLeft w:val="0"/>
          <w:marRight w:val="0"/>
          <w:marTop w:val="0"/>
          <w:marBottom w:val="0"/>
          <w:divBdr>
            <w:top w:val="none" w:sz="0" w:space="0" w:color="auto"/>
            <w:left w:val="none" w:sz="0" w:space="0" w:color="auto"/>
            <w:bottom w:val="none" w:sz="0" w:space="0" w:color="auto"/>
            <w:right w:val="none" w:sz="0" w:space="0" w:color="auto"/>
          </w:divBdr>
          <w:divsChild>
            <w:div w:id="1353993117">
              <w:marLeft w:val="0"/>
              <w:marRight w:val="0"/>
              <w:marTop w:val="0"/>
              <w:marBottom w:val="0"/>
              <w:divBdr>
                <w:top w:val="none" w:sz="0" w:space="0" w:color="auto"/>
                <w:left w:val="none" w:sz="0" w:space="0" w:color="auto"/>
                <w:bottom w:val="none" w:sz="0" w:space="0" w:color="auto"/>
                <w:right w:val="none" w:sz="0" w:space="0" w:color="auto"/>
              </w:divBdr>
              <w:divsChild>
                <w:div w:id="10647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2199">
      <w:bodyDiv w:val="1"/>
      <w:marLeft w:val="0"/>
      <w:marRight w:val="0"/>
      <w:marTop w:val="0"/>
      <w:marBottom w:val="0"/>
      <w:divBdr>
        <w:top w:val="none" w:sz="0" w:space="0" w:color="auto"/>
        <w:left w:val="none" w:sz="0" w:space="0" w:color="auto"/>
        <w:bottom w:val="none" w:sz="0" w:space="0" w:color="auto"/>
        <w:right w:val="none" w:sz="0" w:space="0" w:color="auto"/>
      </w:divBdr>
    </w:div>
    <w:div w:id="1789078644">
      <w:bodyDiv w:val="1"/>
      <w:marLeft w:val="0"/>
      <w:marRight w:val="0"/>
      <w:marTop w:val="0"/>
      <w:marBottom w:val="0"/>
      <w:divBdr>
        <w:top w:val="none" w:sz="0" w:space="0" w:color="auto"/>
        <w:left w:val="none" w:sz="0" w:space="0" w:color="auto"/>
        <w:bottom w:val="none" w:sz="0" w:space="0" w:color="auto"/>
        <w:right w:val="none" w:sz="0" w:space="0" w:color="auto"/>
      </w:divBdr>
      <w:divsChild>
        <w:div w:id="671685793">
          <w:marLeft w:val="0"/>
          <w:marRight w:val="0"/>
          <w:marTop w:val="0"/>
          <w:marBottom w:val="0"/>
          <w:divBdr>
            <w:top w:val="none" w:sz="0" w:space="0" w:color="auto"/>
            <w:left w:val="none" w:sz="0" w:space="0" w:color="auto"/>
            <w:bottom w:val="none" w:sz="0" w:space="0" w:color="auto"/>
            <w:right w:val="none" w:sz="0" w:space="0" w:color="auto"/>
          </w:divBdr>
          <w:divsChild>
            <w:div w:id="1877501563">
              <w:marLeft w:val="0"/>
              <w:marRight w:val="0"/>
              <w:marTop w:val="0"/>
              <w:marBottom w:val="0"/>
              <w:divBdr>
                <w:top w:val="none" w:sz="0" w:space="0" w:color="auto"/>
                <w:left w:val="none" w:sz="0" w:space="0" w:color="auto"/>
                <w:bottom w:val="none" w:sz="0" w:space="0" w:color="auto"/>
                <w:right w:val="none" w:sz="0" w:space="0" w:color="auto"/>
              </w:divBdr>
              <w:divsChild>
                <w:div w:id="9817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52274">
      <w:bodyDiv w:val="1"/>
      <w:marLeft w:val="0"/>
      <w:marRight w:val="0"/>
      <w:marTop w:val="0"/>
      <w:marBottom w:val="0"/>
      <w:divBdr>
        <w:top w:val="none" w:sz="0" w:space="0" w:color="auto"/>
        <w:left w:val="none" w:sz="0" w:space="0" w:color="auto"/>
        <w:bottom w:val="none" w:sz="0" w:space="0" w:color="auto"/>
        <w:right w:val="none" w:sz="0" w:space="0" w:color="auto"/>
      </w:divBdr>
      <w:divsChild>
        <w:div w:id="2092433708">
          <w:marLeft w:val="0"/>
          <w:marRight w:val="0"/>
          <w:marTop w:val="0"/>
          <w:marBottom w:val="0"/>
          <w:divBdr>
            <w:top w:val="none" w:sz="0" w:space="0" w:color="auto"/>
            <w:left w:val="none" w:sz="0" w:space="0" w:color="auto"/>
            <w:bottom w:val="none" w:sz="0" w:space="0" w:color="auto"/>
            <w:right w:val="none" w:sz="0" w:space="0" w:color="auto"/>
          </w:divBdr>
          <w:divsChild>
            <w:div w:id="795833309">
              <w:marLeft w:val="0"/>
              <w:marRight w:val="0"/>
              <w:marTop w:val="0"/>
              <w:marBottom w:val="0"/>
              <w:divBdr>
                <w:top w:val="none" w:sz="0" w:space="0" w:color="auto"/>
                <w:left w:val="none" w:sz="0" w:space="0" w:color="auto"/>
                <w:bottom w:val="none" w:sz="0" w:space="0" w:color="auto"/>
                <w:right w:val="none" w:sz="0" w:space="0" w:color="auto"/>
              </w:divBdr>
              <w:divsChild>
                <w:div w:id="5605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17891">
      <w:bodyDiv w:val="1"/>
      <w:marLeft w:val="0"/>
      <w:marRight w:val="0"/>
      <w:marTop w:val="0"/>
      <w:marBottom w:val="0"/>
      <w:divBdr>
        <w:top w:val="none" w:sz="0" w:space="0" w:color="auto"/>
        <w:left w:val="none" w:sz="0" w:space="0" w:color="auto"/>
        <w:bottom w:val="none" w:sz="0" w:space="0" w:color="auto"/>
        <w:right w:val="none" w:sz="0" w:space="0" w:color="auto"/>
      </w:divBdr>
      <w:divsChild>
        <w:div w:id="1711759042">
          <w:marLeft w:val="0"/>
          <w:marRight w:val="0"/>
          <w:marTop w:val="0"/>
          <w:marBottom w:val="0"/>
          <w:divBdr>
            <w:top w:val="none" w:sz="0" w:space="0" w:color="auto"/>
            <w:left w:val="none" w:sz="0" w:space="0" w:color="auto"/>
            <w:bottom w:val="none" w:sz="0" w:space="0" w:color="auto"/>
            <w:right w:val="none" w:sz="0" w:space="0" w:color="auto"/>
          </w:divBdr>
          <w:divsChild>
            <w:div w:id="2094666109">
              <w:marLeft w:val="0"/>
              <w:marRight w:val="0"/>
              <w:marTop w:val="0"/>
              <w:marBottom w:val="0"/>
              <w:divBdr>
                <w:top w:val="none" w:sz="0" w:space="0" w:color="auto"/>
                <w:left w:val="none" w:sz="0" w:space="0" w:color="auto"/>
                <w:bottom w:val="none" w:sz="0" w:space="0" w:color="auto"/>
                <w:right w:val="none" w:sz="0" w:space="0" w:color="auto"/>
              </w:divBdr>
              <w:divsChild>
                <w:div w:id="19962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35638">
      <w:bodyDiv w:val="1"/>
      <w:marLeft w:val="0"/>
      <w:marRight w:val="0"/>
      <w:marTop w:val="0"/>
      <w:marBottom w:val="0"/>
      <w:divBdr>
        <w:top w:val="none" w:sz="0" w:space="0" w:color="auto"/>
        <w:left w:val="none" w:sz="0" w:space="0" w:color="auto"/>
        <w:bottom w:val="none" w:sz="0" w:space="0" w:color="auto"/>
        <w:right w:val="none" w:sz="0" w:space="0" w:color="auto"/>
      </w:divBdr>
      <w:divsChild>
        <w:div w:id="2011786794">
          <w:marLeft w:val="0"/>
          <w:marRight w:val="0"/>
          <w:marTop w:val="0"/>
          <w:marBottom w:val="0"/>
          <w:divBdr>
            <w:top w:val="none" w:sz="0" w:space="0" w:color="auto"/>
            <w:left w:val="none" w:sz="0" w:space="0" w:color="auto"/>
            <w:bottom w:val="none" w:sz="0" w:space="0" w:color="auto"/>
            <w:right w:val="none" w:sz="0" w:space="0" w:color="auto"/>
          </w:divBdr>
          <w:divsChild>
            <w:div w:id="512645519">
              <w:marLeft w:val="0"/>
              <w:marRight w:val="0"/>
              <w:marTop w:val="0"/>
              <w:marBottom w:val="0"/>
              <w:divBdr>
                <w:top w:val="none" w:sz="0" w:space="0" w:color="auto"/>
                <w:left w:val="none" w:sz="0" w:space="0" w:color="auto"/>
                <w:bottom w:val="none" w:sz="0" w:space="0" w:color="auto"/>
                <w:right w:val="none" w:sz="0" w:space="0" w:color="auto"/>
              </w:divBdr>
              <w:divsChild>
                <w:div w:id="14679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17465">
      <w:bodyDiv w:val="1"/>
      <w:marLeft w:val="0"/>
      <w:marRight w:val="0"/>
      <w:marTop w:val="0"/>
      <w:marBottom w:val="0"/>
      <w:divBdr>
        <w:top w:val="none" w:sz="0" w:space="0" w:color="auto"/>
        <w:left w:val="none" w:sz="0" w:space="0" w:color="auto"/>
        <w:bottom w:val="none" w:sz="0" w:space="0" w:color="auto"/>
        <w:right w:val="none" w:sz="0" w:space="0" w:color="auto"/>
      </w:divBdr>
      <w:divsChild>
        <w:div w:id="955866952">
          <w:marLeft w:val="0"/>
          <w:marRight w:val="0"/>
          <w:marTop w:val="0"/>
          <w:marBottom w:val="0"/>
          <w:divBdr>
            <w:top w:val="none" w:sz="0" w:space="0" w:color="auto"/>
            <w:left w:val="none" w:sz="0" w:space="0" w:color="auto"/>
            <w:bottom w:val="none" w:sz="0" w:space="0" w:color="auto"/>
            <w:right w:val="none" w:sz="0" w:space="0" w:color="auto"/>
          </w:divBdr>
          <w:divsChild>
            <w:div w:id="797382726">
              <w:marLeft w:val="0"/>
              <w:marRight w:val="0"/>
              <w:marTop w:val="0"/>
              <w:marBottom w:val="0"/>
              <w:divBdr>
                <w:top w:val="none" w:sz="0" w:space="0" w:color="auto"/>
                <w:left w:val="none" w:sz="0" w:space="0" w:color="auto"/>
                <w:bottom w:val="none" w:sz="0" w:space="0" w:color="auto"/>
                <w:right w:val="none" w:sz="0" w:space="0" w:color="auto"/>
              </w:divBdr>
              <w:divsChild>
                <w:div w:id="1511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76824">
      <w:bodyDiv w:val="1"/>
      <w:marLeft w:val="0"/>
      <w:marRight w:val="0"/>
      <w:marTop w:val="0"/>
      <w:marBottom w:val="0"/>
      <w:divBdr>
        <w:top w:val="none" w:sz="0" w:space="0" w:color="auto"/>
        <w:left w:val="none" w:sz="0" w:space="0" w:color="auto"/>
        <w:bottom w:val="none" w:sz="0" w:space="0" w:color="auto"/>
        <w:right w:val="none" w:sz="0" w:space="0" w:color="auto"/>
      </w:divBdr>
      <w:divsChild>
        <w:div w:id="3166630">
          <w:marLeft w:val="0"/>
          <w:marRight w:val="0"/>
          <w:marTop w:val="0"/>
          <w:marBottom w:val="0"/>
          <w:divBdr>
            <w:top w:val="none" w:sz="0" w:space="0" w:color="auto"/>
            <w:left w:val="none" w:sz="0" w:space="0" w:color="auto"/>
            <w:bottom w:val="none" w:sz="0" w:space="0" w:color="auto"/>
            <w:right w:val="none" w:sz="0" w:space="0" w:color="auto"/>
          </w:divBdr>
          <w:divsChild>
            <w:div w:id="836112005">
              <w:marLeft w:val="0"/>
              <w:marRight w:val="0"/>
              <w:marTop w:val="0"/>
              <w:marBottom w:val="0"/>
              <w:divBdr>
                <w:top w:val="none" w:sz="0" w:space="0" w:color="auto"/>
                <w:left w:val="none" w:sz="0" w:space="0" w:color="auto"/>
                <w:bottom w:val="none" w:sz="0" w:space="0" w:color="auto"/>
                <w:right w:val="none" w:sz="0" w:space="0" w:color="auto"/>
              </w:divBdr>
              <w:divsChild>
                <w:div w:id="16316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6505">
      <w:bodyDiv w:val="1"/>
      <w:marLeft w:val="0"/>
      <w:marRight w:val="0"/>
      <w:marTop w:val="0"/>
      <w:marBottom w:val="0"/>
      <w:divBdr>
        <w:top w:val="none" w:sz="0" w:space="0" w:color="auto"/>
        <w:left w:val="none" w:sz="0" w:space="0" w:color="auto"/>
        <w:bottom w:val="none" w:sz="0" w:space="0" w:color="auto"/>
        <w:right w:val="none" w:sz="0" w:space="0" w:color="auto"/>
      </w:divBdr>
      <w:divsChild>
        <w:div w:id="660236498">
          <w:marLeft w:val="0"/>
          <w:marRight w:val="0"/>
          <w:marTop w:val="0"/>
          <w:marBottom w:val="0"/>
          <w:divBdr>
            <w:top w:val="none" w:sz="0" w:space="0" w:color="auto"/>
            <w:left w:val="none" w:sz="0" w:space="0" w:color="auto"/>
            <w:bottom w:val="none" w:sz="0" w:space="0" w:color="auto"/>
            <w:right w:val="none" w:sz="0" w:space="0" w:color="auto"/>
          </w:divBdr>
          <w:divsChild>
            <w:div w:id="1365443235">
              <w:marLeft w:val="0"/>
              <w:marRight w:val="0"/>
              <w:marTop w:val="0"/>
              <w:marBottom w:val="0"/>
              <w:divBdr>
                <w:top w:val="none" w:sz="0" w:space="0" w:color="auto"/>
                <w:left w:val="none" w:sz="0" w:space="0" w:color="auto"/>
                <w:bottom w:val="none" w:sz="0" w:space="0" w:color="auto"/>
                <w:right w:val="none" w:sz="0" w:space="0" w:color="auto"/>
              </w:divBdr>
              <w:divsChild>
                <w:div w:id="14743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19448">
      <w:bodyDiv w:val="1"/>
      <w:marLeft w:val="0"/>
      <w:marRight w:val="0"/>
      <w:marTop w:val="0"/>
      <w:marBottom w:val="0"/>
      <w:divBdr>
        <w:top w:val="none" w:sz="0" w:space="0" w:color="auto"/>
        <w:left w:val="none" w:sz="0" w:space="0" w:color="auto"/>
        <w:bottom w:val="none" w:sz="0" w:space="0" w:color="auto"/>
        <w:right w:val="none" w:sz="0" w:space="0" w:color="auto"/>
      </w:divBdr>
      <w:divsChild>
        <w:div w:id="342437534">
          <w:marLeft w:val="0"/>
          <w:marRight w:val="0"/>
          <w:marTop w:val="0"/>
          <w:marBottom w:val="0"/>
          <w:divBdr>
            <w:top w:val="none" w:sz="0" w:space="0" w:color="auto"/>
            <w:left w:val="none" w:sz="0" w:space="0" w:color="auto"/>
            <w:bottom w:val="none" w:sz="0" w:space="0" w:color="auto"/>
            <w:right w:val="none" w:sz="0" w:space="0" w:color="auto"/>
          </w:divBdr>
          <w:divsChild>
            <w:div w:id="1602488695">
              <w:marLeft w:val="0"/>
              <w:marRight w:val="0"/>
              <w:marTop w:val="0"/>
              <w:marBottom w:val="0"/>
              <w:divBdr>
                <w:top w:val="none" w:sz="0" w:space="0" w:color="auto"/>
                <w:left w:val="none" w:sz="0" w:space="0" w:color="auto"/>
                <w:bottom w:val="none" w:sz="0" w:space="0" w:color="auto"/>
                <w:right w:val="none" w:sz="0" w:space="0" w:color="auto"/>
              </w:divBdr>
              <w:divsChild>
                <w:div w:id="16969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460249">
      <w:bodyDiv w:val="1"/>
      <w:marLeft w:val="0"/>
      <w:marRight w:val="0"/>
      <w:marTop w:val="0"/>
      <w:marBottom w:val="0"/>
      <w:divBdr>
        <w:top w:val="none" w:sz="0" w:space="0" w:color="auto"/>
        <w:left w:val="none" w:sz="0" w:space="0" w:color="auto"/>
        <w:bottom w:val="none" w:sz="0" w:space="0" w:color="auto"/>
        <w:right w:val="none" w:sz="0" w:space="0" w:color="auto"/>
      </w:divBdr>
      <w:divsChild>
        <w:div w:id="231161233">
          <w:marLeft w:val="0"/>
          <w:marRight w:val="0"/>
          <w:marTop w:val="0"/>
          <w:marBottom w:val="0"/>
          <w:divBdr>
            <w:top w:val="none" w:sz="0" w:space="0" w:color="auto"/>
            <w:left w:val="none" w:sz="0" w:space="0" w:color="auto"/>
            <w:bottom w:val="none" w:sz="0" w:space="0" w:color="auto"/>
            <w:right w:val="none" w:sz="0" w:space="0" w:color="auto"/>
          </w:divBdr>
          <w:divsChild>
            <w:div w:id="197396204">
              <w:marLeft w:val="0"/>
              <w:marRight w:val="0"/>
              <w:marTop w:val="0"/>
              <w:marBottom w:val="0"/>
              <w:divBdr>
                <w:top w:val="none" w:sz="0" w:space="0" w:color="auto"/>
                <w:left w:val="none" w:sz="0" w:space="0" w:color="auto"/>
                <w:bottom w:val="none" w:sz="0" w:space="0" w:color="auto"/>
                <w:right w:val="none" w:sz="0" w:space="0" w:color="auto"/>
              </w:divBdr>
              <w:divsChild>
                <w:div w:id="17314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433259">
      <w:bodyDiv w:val="1"/>
      <w:marLeft w:val="0"/>
      <w:marRight w:val="0"/>
      <w:marTop w:val="0"/>
      <w:marBottom w:val="0"/>
      <w:divBdr>
        <w:top w:val="none" w:sz="0" w:space="0" w:color="auto"/>
        <w:left w:val="none" w:sz="0" w:space="0" w:color="auto"/>
        <w:bottom w:val="none" w:sz="0" w:space="0" w:color="auto"/>
        <w:right w:val="none" w:sz="0" w:space="0" w:color="auto"/>
      </w:divBdr>
      <w:divsChild>
        <w:div w:id="153646234">
          <w:marLeft w:val="0"/>
          <w:marRight w:val="0"/>
          <w:marTop w:val="0"/>
          <w:marBottom w:val="0"/>
          <w:divBdr>
            <w:top w:val="none" w:sz="0" w:space="0" w:color="auto"/>
            <w:left w:val="none" w:sz="0" w:space="0" w:color="auto"/>
            <w:bottom w:val="none" w:sz="0" w:space="0" w:color="auto"/>
            <w:right w:val="none" w:sz="0" w:space="0" w:color="auto"/>
          </w:divBdr>
          <w:divsChild>
            <w:div w:id="1247029965">
              <w:marLeft w:val="0"/>
              <w:marRight w:val="0"/>
              <w:marTop w:val="0"/>
              <w:marBottom w:val="0"/>
              <w:divBdr>
                <w:top w:val="none" w:sz="0" w:space="0" w:color="auto"/>
                <w:left w:val="none" w:sz="0" w:space="0" w:color="auto"/>
                <w:bottom w:val="none" w:sz="0" w:space="0" w:color="auto"/>
                <w:right w:val="none" w:sz="0" w:space="0" w:color="auto"/>
              </w:divBdr>
              <w:divsChild>
                <w:div w:id="15129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3225">
      <w:bodyDiv w:val="1"/>
      <w:marLeft w:val="0"/>
      <w:marRight w:val="0"/>
      <w:marTop w:val="0"/>
      <w:marBottom w:val="0"/>
      <w:divBdr>
        <w:top w:val="none" w:sz="0" w:space="0" w:color="auto"/>
        <w:left w:val="none" w:sz="0" w:space="0" w:color="auto"/>
        <w:bottom w:val="none" w:sz="0" w:space="0" w:color="auto"/>
        <w:right w:val="none" w:sz="0" w:space="0" w:color="auto"/>
      </w:divBdr>
      <w:divsChild>
        <w:div w:id="1394040145">
          <w:marLeft w:val="0"/>
          <w:marRight w:val="0"/>
          <w:marTop w:val="0"/>
          <w:marBottom w:val="0"/>
          <w:divBdr>
            <w:top w:val="none" w:sz="0" w:space="0" w:color="auto"/>
            <w:left w:val="none" w:sz="0" w:space="0" w:color="auto"/>
            <w:bottom w:val="none" w:sz="0" w:space="0" w:color="auto"/>
            <w:right w:val="none" w:sz="0" w:space="0" w:color="auto"/>
          </w:divBdr>
          <w:divsChild>
            <w:div w:id="1711609076">
              <w:marLeft w:val="0"/>
              <w:marRight w:val="0"/>
              <w:marTop w:val="0"/>
              <w:marBottom w:val="0"/>
              <w:divBdr>
                <w:top w:val="none" w:sz="0" w:space="0" w:color="auto"/>
                <w:left w:val="none" w:sz="0" w:space="0" w:color="auto"/>
                <w:bottom w:val="none" w:sz="0" w:space="0" w:color="auto"/>
                <w:right w:val="none" w:sz="0" w:space="0" w:color="auto"/>
              </w:divBdr>
              <w:divsChild>
                <w:div w:id="17677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67834">
          <w:marLeft w:val="0"/>
          <w:marRight w:val="0"/>
          <w:marTop w:val="0"/>
          <w:marBottom w:val="0"/>
          <w:divBdr>
            <w:top w:val="none" w:sz="0" w:space="0" w:color="auto"/>
            <w:left w:val="none" w:sz="0" w:space="0" w:color="auto"/>
            <w:bottom w:val="none" w:sz="0" w:space="0" w:color="auto"/>
            <w:right w:val="none" w:sz="0" w:space="0" w:color="auto"/>
          </w:divBdr>
          <w:divsChild>
            <w:div w:id="1896238980">
              <w:marLeft w:val="0"/>
              <w:marRight w:val="0"/>
              <w:marTop w:val="0"/>
              <w:marBottom w:val="0"/>
              <w:divBdr>
                <w:top w:val="none" w:sz="0" w:space="0" w:color="auto"/>
                <w:left w:val="none" w:sz="0" w:space="0" w:color="auto"/>
                <w:bottom w:val="none" w:sz="0" w:space="0" w:color="auto"/>
                <w:right w:val="none" w:sz="0" w:space="0" w:color="auto"/>
              </w:divBdr>
              <w:divsChild>
                <w:div w:id="513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33026">
          <w:marLeft w:val="0"/>
          <w:marRight w:val="0"/>
          <w:marTop w:val="0"/>
          <w:marBottom w:val="0"/>
          <w:divBdr>
            <w:top w:val="none" w:sz="0" w:space="0" w:color="auto"/>
            <w:left w:val="none" w:sz="0" w:space="0" w:color="auto"/>
            <w:bottom w:val="none" w:sz="0" w:space="0" w:color="auto"/>
            <w:right w:val="none" w:sz="0" w:space="0" w:color="auto"/>
          </w:divBdr>
          <w:divsChild>
            <w:div w:id="982538912">
              <w:marLeft w:val="0"/>
              <w:marRight w:val="0"/>
              <w:marTop w:val="0"/>
              <w:marBottom w:val="0"/>
              <w:divBdr>
                <w:top w:val="none" w:sz="0" w:space="0" w:color="auto"/>
                <w:left w:val="none" w:sz="0" w:space="0" w:color="auto"/>
                <w:bottom w:val="none" w:sz="0" w:space="0" w:color="auto"/>
                <w:right w:val="none" w:sz="0" w:space="0" w:color="auto"/>
              </w:divBdr>
              <w:divsChild>
                <w:div w:id="11512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70025">
          <w:marLeft w:val="0"/>
          <w:marRight w:val="0"/>
          <w:marTop w:val="0"/>
          <w:marBottom w:val="0"/>
          <w:divBdr>
            <w:top w:val="none" w:sz="0" w:space="0" w:color="auto"/>
            <w:left w:val="none" w:sz="0" w:space="0" w:color="auto"/>
            <w:bottom w:val="none" w:sz="0" w:space="0" w:color="auto"/>
            <w:right w:val="none" w:sz="0" w:space="0" w:color="auto"/>
          </w:divBdr>
          <w:divsChild>
            <w:div w:id="196696873">
              <w:marLeft w:val="0"/>
              <w:marRight w:val="0"/>
              <w:marTop w:val="0"/>
              <w:marBottom w:val="0"/>
              <w:divBdr>
                <w:top w:val="none" w:sz="0" w:space="0" w:color="auto"/>
                <w:left w:val="none" w:sz="0" w:space="0" w:color="auto"/>
                <w:bottom w:val="none" w:sz="0" w:space="0" w:color="auto"/>
                <w:right w:val="none" w:sz="0" w:space="0" w:color="auto"/>
              </w:divBdr>
              <w:divsChild>
                <w:div w:id="19637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7926">
      <w:bodyDiv w:val="1"/>
      <w:marLeft w:val="0"/>
      <w:marRight w:val="0"/>
      <w:marTop w:val="0"/>
      <w:marBottom w:val="0"/>
      <w:divBdr>
        <w:top w:val="none" w:sz="0" w:space="0" w:color="auto"/>
        <w:left w:val="none" w:sz="0" w:space="0" w:color="auto"/>
        <w:bottom w:val="none" w:sz="0" w:space="0" w:color="auto"/>
        <w:right w:val="none" w:sz="0" w:space="0" w:color="auto"/>
      </w:divBdr>
      <w:divsChild>
        <w:div w:id="1087071369">
          <w:marLeft w:val="0"/>
          <w:marRight w:val="0"/>
          <w:marTop w:val="0"/>
          <w:marBottom w:val="0"/>
          <w:divBdr>
            <w:top w:val="none" w:sz="0" w:space="0" w:color="auto"/>
            <w:left w:val="none" w:sz="0" w:space="0" w:color="auto"/>
            <w:bottom w:val="none" w:sz="0" w:space="0" w:color="auto"/>
            <w:right w:val="none" w:sz="0" w:space="0" w:color="auto"/>
          </w:divBdr>
          <w:divsChild>
            <w:div w:id="663122630">
              <w:marLeft w:val="0"/>
              <w:marRight w:val="0"/>
              <w:marTop w:val="0"/>
              <w:marBottom w:val="0"/>
              <w:divBdr>
                <w:top w:val="none" w:sz="0" w:space="0" w:color="auto"/>
                <w:left w:val="none" w:sz="0" w:space="0" w:color="auto"/>
                <w:bottom w:val="none" w:sz="0" w:space="0" w:color="auto"/>
                <w:right w:val="none" w:sz="0" w:space="0" w:color="auto"/>
              </w:divBdr>
              <w:divsChild>
                <w:div w:id="13909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36615">
      <w:bodyDiv w:val="1"/>
      <w:marLeft w:val="0"/>
      <w:marRight w:val="0"/>
      <w:marTop w:val="0"/>
      <w:marBottom w:val="0"/>
      <w:divBdr>
        <w:top w:val="none" w:sz="0" w:space="0" w:color="auto"/>
        <w:left w:val="none" w:sz="0" w:space="0" w:color="auto"/>
        <w:bottom w:val="none" w:sz="0" w:space="0" w:color="auto"/>
        <w:right w:val="none" w:sz="0" w:space="0" w:color="auto"/>
      </w:divBdr>
      <w:divsChild>
        <w:div w:id="178281194">
          <w:marLeft w:val="0"/>
          <w:marRight w:val="0"/>
          <w:marTop w:val="0"/>
          <w:marBottom w:val="0"/>
          <w:divBdr>
            <w:top w:val="none" w:sz="0" w:space="0" w:color="auto"/>
            <w:left w:val="none" w:sz="0" w:space="0" w:color="auto"/>
            <w:bottom w:val="none" w:sz="0" w:space="0" w:color="auto"/>
            <w:right w:val="none" w:sz="0" w:space="0" w:color="auto"/>
          </w:divBdr>
          <w:divsChild>
            <w:div w:id="145587322">
              <w:marLeft w:val="0"/>
              <w:marRight w:val="0"/>
              <w:marTop w:val="0"/>
              <w:marBottom w:val="0"/>
              <w:divBdr>
                <w:top w:val="none" w:sz="0" w:space="0" w:color="auto"/>
                <w:left w:val="none" w:sz="0" w:space="0" w:color="auto"/>
                <w:bottom w:val="none" w:sz="0" w:space="0" w:color="auto"/>
                <w:right w:val="none" w:sz="0" w:space="0" w:color="auto"/>
              </w:divBdr>
              <w:divsChild>
                <w:div w:id="8940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9056">
      <w:bodyDiv w:val="1"/>
      <w:marLeft w:val="0"/>
      <w:marRight w:val="0"/>
      <w:marTop w:val="0"/>
      <w:marBottom w:val="0"/>
      <w:divBdr>
        <w:top w:val="none" w:sz="0" w:space="0" w:color="auto"/>
        <w:left w:val="none" w:sz="0" w:space="0" w:color="auto"/>
        <w:bottom w:val="none" w:sz="0" w:space="0" w:color="auto"/>
        <w:right w:val="none" w:sz="0" w:space="0" w:color="auto"/>
      </w:divBdr>
    </w:div>
    <w:div w:id="2014070857">
      <w:bodyDiv w:val="1"/>
      <w:marLeft w:val="0"/>
      <w:marRight w:val="0"/>
      <w:marTop w:val="0"/>
      <w:marBottom w:val="0"/>
      <w:divBdr>
        <w:top w:val="none" w:sz="0" w:space="0" w:color="auto"/>
        <w:left w:val="none" w:sz="0" w:space="0" w:color="auto"/>
        <w:bottom w:val="none" w:sz="0" w:space="0" w:color="auto"/>
        <w:right w:val="none" w:sz="0" w:space="0" w:color="auto"/>
      </w:divBdr>
      <w:divsChild>
        <w:div w:id="1375695406">
          <w:marLeft w:val="0"/>
          <w:marRight w:val="0"/>
          <w:marTop w:val="0"/>
          <w:marBottom w:val="0"/>
          <w:divBdr>
            <w:top w:val="none" w:sz="0" w:space="0" w:color="auto"/>
            <w:left w:val="none" w:sz="0" w:space="0" w:color="auto"/>
            <w:bottom w:val="none" w:sz="0" w:space="0" w:color="auto"/>
            <w:right w:val="none" w:sz="0" w:space="0" w:color="auto"/>
          </w:divBdr>
          <w:divsChild>
            <w:div w:id="1518234126">
              <w:marLeft w:val="0"/>
              <w:marRight w:val="0"/>
              <w:marTop w:val="0"/>
              <w:marBottom w:val="0"/>
              <w:divBdr>
                <w:top w:val="none" w:sz="0" w:space="0" w:color="auto"/>
                <w:left w:val="none" w:sz="0" w:space="0" w:color="auto"/>
                <w:bottom w:val="none" w:sz="0" w:space="0" w:color="auto"/>
                <w:right w:val="none" w:sz="0" w:space="0" w:color="auto"/>
              </w:divBdr>
              <w:divsChild>
                <w:div w:id="9559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03088">
      <w:bodyDiv w:val="1"/>
      <w:marLeft w:val="0"/>
      <w:marRight w:val="0"/>
      <w:marTop w:val="0"/>
      <w:marBottom w:val="0"/>
      <w:divBdr>
        <w:top w:val="none" w:sz="0" w:space="0" w:color="auto"/>
        <w:left w:val="none" w:sz="0" w:space="0" w:color="auto"/>
        <w:bottom w:val="none" w:sz="0" w:space="0" w:color="auto"/>
        <w:right w:val="none" w:sz="0" w:space="0" w:color="auto"/>
      </w:divBdr>
      <w:divsChild>
        <w:div w:id="2006785166">
          <w:marLeft w:val="0"/>
          <w:marRight w:val="0"/>
          <w:marTop w:val="0"/>
          <w:marBottom w:val="0"/>
          <w:divBdr>
            <w:top w:val="none" w:sz="0" w:space="0" w:color="auto"/>
            <w:left w:val="none" w:sz="0" w:space="0" w:color="auto"/>
            <w:bottom w:val="none" w:sz="0" w:space="0" w:color="auto"/>
            <w:right w:val="none" w:sz="0" w:space="0" w:color="auto"/>
          </w:divBdr>
          <w:divsChild>
            <w:div w:id="41252822">
              <w:marLeft w:val="0"/>
              <w:marRight w:val="0"/>
              <w:marTop w:val="0"/>
              <w:marBottom w:val="0"/>
              <w:divBdr>
                <w:top w:val="none" w:sz="0" w:space="0" w:color="auto"/>
                <w:left w:val="none" w:sz="0" w:space="0" w:color="auto"/>
                <w:bottom w:val="none" w:sz="0" w:space="0" w:color="auto"/>
                <w:right w:val="none" w:sz="0" w:space="0" w:color="auto"/>
              </w:divBdr>
              <w:divsChild>
                <w:div w:id="4025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8417">
      <w:bodyDiv w:val="1"/>
      <w:marLeft w:val="0"/>
      <w:marRight w:val="0"/>
      <w:marTop w:val="0"/>
      <w:marBottom w:val="0"/>
      <w:divBdr>
        <w:top w:val="none" w:sz="0" w:space="0" w:color="auto"/>
        <w:left w:val="none" w:sz="0" w:space="0" w:color="auto"/>
        <w:bottom w:val="none" w:sz="0" w:space="0" w:color="auto"/>
        <w:right w:val="none" w:sz="0" w:space="0" w:color="auto"/>
      </w:divBdr>
      <w:divsChild>
        <w:div w:id="294912757">
          <w:marLeft w:val="0"/>
          <w:marRight w:val="0"/>
          <w:marTop w:val="0"/>
          <w:marBottom w:val="0"/>
          <w:divBdr>
            <w:top w:val="none" w:sz="0" w:space="0" w:color="auto"/>
            <w:left w:val="none" w:sz="0" w:space="0" w:color="auto"/>
            <w:bottom w:val="none" w:sz="0" w:space="0" w:color="auto"/>
            <w:right w:val="none" w:sz="0" w:space="0" w:color="auto"/>
          </w:divBdr>
          <w:divsChild>
            <w:div w:id="1222473793">
              <w:marLeft w:val="0"/>
              <w:marRight w:val="0"/>
              <w:marTop w:val="0"/>
              <w:marBottom w:val="0"/>
              <w:divBdr>
                <w:top w:val="none" w:sz="0" w:space="0" w:color="auto"/>
                <w:left w:val="none" w:sz="0" w:space="0" w:color="auto"/>
                <w:bottom w:val="none" w:sz="0" w:space="0" w:color="auto"/>
                <w:right w:val="none" w:sz="0" w:space="0" w:color="auto"/>
              </w:divBdr>
              <w:divsChild>
                <w:div w:id="19029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28651">
      <w:bodyDiv w:val="1"/>
      <w:marLeft w:val="0"/>
      <w:marRight w:val="0"/>
      <w:marTop w:val="0"/>
      <w:marBottom w:val="0"/>
      <w:divBdr>
        <w:top w:val="none" w:sz="0" w:space="0" w:color="auto"/>
        <w:left w:val="none" w:sz="0" w:space="0" w:color="auto"/>
        <w:bottom w:val="none" w:sz="0" w:space="0" w:color="auto"/>
        <w:right w:val="none" w:sz="0" w:space="0" w:color="auto"/>
      </w:divBdr>
      <w:divsChild>
        <w:div w:id="119108946">
          <w:marLeft w:val="0"/>
          <w:marRight w:val="0"/>
          <w:marTop w:val="0"/>
          <w:marBottom w:val="0"/>
          <w:divBdr>
            <w:top w:val="none" w:sz="0" w:space="0" w:color="auto"/>
            <w:left w:val="none" w:sz="0" w:space="0" w:color="auto"/>
            <w:bottom w:val="none" w:sz="0" w:space="0" w:color="auto"/>
            <w:right w:val="none" w:sz="0" w:space="0" w:color="auto"/>
          </w:divBdr>
          <w:divsChild>
            <w:div w:id="90245117">
              <w:marLeft w:val="0"/>
              <w:marRight w:val="0"/>
              <w:marTop w:val="0"/>
              <w:marBottom w:val="0"/>
              <w:divBdr>
                <w:top w:val="none" w:sz="0" w:space="0" w:color="auto"/>
                <w:left w:val="none" w:sz="0" w:space="0" w:color="auto"/>
                <w:bottom w:val="none" w:sz="0" w:space="0" w:color="auto"/>
                <w:right w:val="none" w:sz="0" w:space="0" w:color="auto"/>
              </w:divBdr>
              <w:divsChild>
                <w:div w:id="12686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98673">
      <w:bodyDiv w:val="1"/>
      <w:marLeft w:val="0"/>
      <w:marRight w:val="0"/>
      <w:marTop w:val="0"/>
      <w:marBottom w:val="0"/>
      <w:divBdr>
        <w:top w:val="none" w:sz="0" w:space="0" w:color="auto"/>
        <w:left w:val="none" w:sz="0" w:space="0" w:color="auto"/>
        <w:bottom w:val="none" w:sz="0" w:space="0" w:color="auto"/>
        <w:right w:val="none" w:sz="0" w:space="0" w:color="auto"/>
      </w:divBdr>
    </w:div>
    <w:div w:id="2094162721">
      <w:bodyDiv w:val="1"/>
      <w:marLeft w:val="0"/>
      <w:marRight w:val="0"/>
      <w:marTop w:val="0"/>
      <w:marBottom w:val="0"/>
      <w:divBdr>
        <w:top w:val="none" w:sz="0" w:space="0" w:color="auto"/>
        <w:left w:val="none" w:sz="0" w:space="0" w:color="auto"/>
        <w:bottom w:val="none" w:sz="0" w:space="0" w:color="auto"/>
        <w:right w:val="none" w:sz="0" w:space="0" w:color="auto"/>
      </w:divBdr>
    </w:div>
    <w:div w:id="2134713825">
      <w:bodyDiv w:val="1"/>
      <w:marLeft w:val="0"/>
      <w:marRight w:val="0"/>
      <w:marTop w:val="0"/>
      <w:marBottom w:val="0"/>
      <w:divBdr>
        <w:top w:val="none" w:sz="0" w:space="0" w:color="auto"/>
        <w:left w:val="none" w:sz="0" w:space="0" w:color="auto"/>
        <w:bottom w:val="none" w:sz="0" w:space="0" w:color="auto"/>
        <w:right w:val="none" w:sz="0" w:space="0" w:color="auto"/>
      </w:divBdr>
      <w:divsChild>
        <w:div w:id="1857965475">
          <w:marLeft w:val="0"/>
          <w:marRight w:val="0"/>
          <w:marTop w:val="0"/>
          <w:marBottom w:val="0"/>
          <w:divBdr>
            <w:top w:val="none" w:sz="0" w:space="0" w:color="auto"/>
            <w:left w:val="none" w:sz="0" w:space="0" w:color="auto"/>
            <w:bottom w:val="none" w:sz="0" w:space="0" w:color="auto"/>
            <w:right w:val="none" w:sz="0" w:space="0" w:color="auto"/>
          </w:divBdr>
          <w:divsChild>
            <w:div w:id="1235704451">
              <w:marLeft w:val="0"/>
              <w:marRight w:val="0"/>
              <w:marTop w:val="0"/>
              <w:marBottom w:val="0"/>
              <w:divBdr>
                <w:top w:val="none" w:sz="0" w:space="0" w:color="auto"/>
                <w:left w:val="none" w:sz="0" w:space="0" w:color="auto"/>
                <w:bottom w:val="none" w:sz="0" w:space="0" w:color="auto"/>
                <w:right w:val="none" w:sz="0" w:space="0" w:color="auto"/>
              </w:divBdr>
              <w:divsChild>
                <w:div w:id="6511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udoc.echr.coe.int/en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cj.org/european-court-of-human-rights-icj-welcomes-a-landmark-decision-upholding-judicial-independence-in-polan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vn24.pl/tvn24-news-in-english/echr-orders-poland-to-compensate-judge-igor-tuleya-for-violating-his-rights-st720688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notesfrompoland.com/2023/07/06/poland-violated-rights-of-judge-critical-of-government-reforms-rules-european-court/" TargetMode="External"/><Relationship Id="rId4" Type="http://schemas.microsoft.com/office/2007/relationships/stylesWithEffects" Target="stylesWithEffects.xml"/><Relationship Id="rId9" Type="http://schemas.openxmlformats.org/officeDocument/2006/relationships/hyperlink" Target="https://www.americanbar.org/groups/human_rights/reports/the-case-of-judge-igor-tuleya--continued-threats-to-judicial-in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B0246-3DD7-465A-8EE2-D6DD163B0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4499</TotalTime>
  <Pages>10</Pages>
  <Words>4682</Words>
  <Characters>26694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Sanskriti Sanghi</dc:creator>
  <cp:lastModifiedBy>MW</cp:lastModifiedBy>
  <cp:revision>361</cp:revision>
  <cp:lastPrinted>2024-08-17T19:24:00Z</cp:lastPrinted>
  <dcterms:created xsi:type="dcterms:W3CDTF">2024-01-28T14:22:00Z</dcterms:created>
  <dcterms:modified xsi:type="dcterms:W3CDTF">2024-08-19T10:49:00Z</dcterms:modified>
</cp:coreProperties>
</file>