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84C5" w14:textId="5DC47898" w:rsidR="00BC1499" w:rsidRDefault="00000000">
      <w:pPr>
        <w:shd w:val="clear" w:color="auto" w:fill="8EAADB"/>
        <w:spacing w:line="276" w:lineRule="auto"/>
        <w:jc w:val="center"/>
        <w:rPr>
          <w:rFonts w:ascii="Garamond" w:eastAsia="Garamond" w:hAnsi="Garamond" w:cs="Garamond"/>
          <w:b/>
          <w:color w:val="000000"/>
        </w:rPr>
      </w:pPr>
      <w:r>
        <w:rPr>
          <w:rFonts w:ascii="Garamond" w:eastAsia="Garamond" w:hAnsi="Garamond" w:cs="Garamond"/>
          <w:b/>
          <w:i/>
          <w:color w:val="000000"/>
        </w:rPr>
        <w:t xml:space="preserve">Case Title: </w:t>
      </w:r>
      <w:r>
        <w:rPr>
          <w:rFonts w:ascii="Garamond" w:eastAsia="Garamond" w:hAnsi="Garamond" w:cs="Garamond"/>
          <w:b/>
          <w:i/>
        </w:rPr>
        <w:t xml:space="preserve">Oversight Board case of </w:t>
      </w:r>
      <w:r w:rsidR="009318C6" w:rsidRPr="009318C6">
        <w:rPr>
          <w:rFonts w:ascii="Garamond" w:eastAsia="Garamond" w:hAnsi="Garamond" w:cs="Garamond"/>
          <w:b/>
          <w:i/>
        </w:rPr>
        <w:t>Australian Electoral Commission Voting Rules</w:t>
      </w:r>
    </w:p>
    <w:p w14:paraId="089A50F0" w14:textId="77777777" w:rsidR="00BC1499" w:rsidRDefault="00000000">
      <w:pPr>
        <w:shd w:val="clear" w:color="auto" w:fill="8EAADB"/>
        <w:spacing w:line="276" w:lineRule="auto"/>
        <w:jc w:val="center"/>
        <w:rPr>
          <w:rFonts w:ascii="Garamond" w:eastAsia="Garamond" w:hAnsi="Garamond" w:cs="Garamond"/>
          <w:b/>
        </w:rPr>
      </w:pPr>
      <w:r>
        <w:rPr>
          <w:rFonts w:ascii="Garamond" w:eastAsia="Garamond" w:hAnsi="Garamond" w:cs="Garamond"/>
          <w:b/>
          <w:color w:val="000000"/>
        </w:rPr>
        <w:t xml:space="preserve">Case Analysis </w:t>
      </w:r>
    </w:p>
    <w:p w14:paraId="231FB2B9" w14:textId="77777777" w:rsidR="00BC1499" w:rsidRDefault="00BC1499">
      <w:pPr>
        <w:spacing w:line="276" w:lineRule="auto"/>
        <w:jc w:val="both"/>
        <w:rPr>
          <w:rFonts w:ascii="Garamond" w:eastAsia="Garamond" w:hAnsi="Garamond" w:cs="Garamond"/>
        </w:rPr>
      </w:pPr>
    </w:p>
    <w:p w14:paraId="12182B24"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General notes for the researcher: Please use this guide to fill the </w:t>
      </w:r>
      <w:r>
        <w:rPr>
          <w:rFonts w:ascii="Garamond" w:eastAsia="Garamond" w:hAnsi="Garamond" w:cs="Garamond"/>
          <w:i/>
        </w:rPr>
        <w:t xml:space="preserve">case analysis form </w:t>
      </w:r>
      <w:r>
        <w:rPr>
          <w:rFonts w:ascii="Garamond" w:eastAsia="Garamond" w:hAnsi="Garamond" w:cs="Garamond"/>
        </w:rPr>
        <w:t xml:space="preserve">in WordPress. This form is specifically tailored for the Oversight Board's decisions. Before writing the case analysis, please review the </w:t>
      </w:r>
      <w:hyperlink r:id="rId8">
        <w:r>
          <w:rPr>
            <w:rFonts w:ascii="Garamond" w:eastAsia="Garamond" w:hAnsi="Garamond" w:cs="Garamond"/>
            <w:color w:val="1155CC"/>
            <w:u w:val="single"/>
          </w:rPr>
          <w:t>Global Freedom of Expression Style Guide</w:t>
        </w:r>
      </w:hyperlink>
      <w:r>
        <w:rPr>
          <w:rFonts w:ascii="Garamond" w:eastAsia="Garamond" w:hAnsi="Garamond" w:cs="Garamond"/>
        </w:rPr>
        <w:t xml:space="preserve">. </w:t>
      </w:r>
    </w:p>
    <w:p w14:paraId="443BC5F1" w14:textId="77777777" w:rsidR="00BC1499" w:rsidRDefault="00BC1499">
      <w:pPr>
        <w:spacing w:line="276" w:lineRule="auto"/>
        <w:jc w:val="both"/>
        <w:rPr>
          <w:rFonts w:ascii="Garamond" w:eastAsia="Garamond" w:hAnsi="Garamond" w:cs="Garamond"/>
        </w:rPr>
      </w:pPr>
    </w:p>
    <w:tbl>
      <w:tblPr>
        <w:tblStyle w:val="2"/>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C1499" w14:paraId="313CBF4B" w14:textId="77777777">
        <w:tc>
          <w:tcPr>
            <w:tcW w:w="10466" w:type="dxa"/>
            <w:shd w:val="clear" w:color="auto" w:fill="auto"/>
            <w:tcMar>
              <w:top w:w="100" w:type="dxa"/>
              <w:left w:w="100" w:type="dxa"/>
              <w:bottom w:w="100" w:type="dxa"/>
              <w:right w:w="100" w:type="dxa"/>
            </w:tcMar>
          </w:tcPr>
          <w:p w14:paraId="44257B6D" w14:textId="77777777" w:rsidR="00BC1499" w:rsidRDefault="00000000">
            <w:pPr>
              <w:spacing w:line="276" w:lineRule="auto"/>
              <w:jc w:val="both"/>
              <w:rPr>
                <w:rFonts w:ascii="Garamond" w:eastAsia="Garamond" w:hAnsi="Garamond" w:cs="Garamond"/>
                <w:b/>
              </w:rPr>
            </w:pPr>
            <w:r>
              <w:rPr>
                <w:rFonts w:ascii="Garamond" w:eastAsia="Garamond" w:hAnsi="Garamond" w:cs="Garamond"/>
                <w:b/>
              </w:rPr>
              <w:t>Don't forget!</w:t>
            </w:r>
          </w:p>
          <w:p w14:paraId="6CFCEC5F"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Avoid the passive tense unless you don’t know the subject or, for some reason, the subject is selected to be vague.</w:t>
            </w:r>
          </w:p>
          <w:p w14:paraId="3E04E84E"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the past tense in most circumstances.</w:t>
            </w:r>
          </w:p>
          <w:p w14:paraId="5D50D279"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 xml:space="preserve">When filling in the large fields, do not indent the beginning of paragraphs and put a blank line between paragraphs for easy reading. </w:t>
            </w:r>
          </w:p>
          <w:p w14:paraId="00A75982"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one space at the beginning of sentences, not two.</w:t>
            </w:r>
          </w:p>
          <w:p w14:paraId="2F2172C5"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Where an important proper noun is in a language other than English, write out in italics the proper noun in the original language in parentheses following the first usage of the noun in English.</w:t>
            </w:r>
          </w:p>
        </w:tc>
      </w:tr>
    </w:tbl>
    <w:p w14:paraId="0283696B" w14:textId="77777777" w:rsidR="00BC1499" w:rsidRDefault="00BC1499">
      <w:pPr>
        <w:spacing w:line="276" w:lineRule="auto"/>
        <w:jc w:val="both"/>
        <w:rPr>
          <w:rFonts w:ascii="Garamond" w:eastAsia="Garamond" w:hAnsi="Garamond" w:cs="Garamond"/>
        </w:rPr>
      </w:pPr>
    </w:p>
    <w:p w14:paraId="066FDC71" w14:textId="77777777" w:rsidR="00BC1499" w:rsidRDefault="00BC1499">
      <w:pPr>
        <w:spacing w:line="276" w:lineRule="auto"/>
        <w:jc w:val="both"/>
        <w:rPr>
          <w:rFonts w:ascii="Garamond" w:eastAsia="Garamond" w:hAnsi="Garamond" w:cs="Garamond"/>
        </w:rPr>
      </w:pPr>
    </w:p>
    <w:p w14:paraId="0C689D7B" w14:textId="77777777" w:rsidR="00BC1499" w:rsidRDefault="00000000">
      <w:pPr>
        <w:spacing w:line="276" w:lineRule="auto"/>
        <w:jc w:val="both"/>
        <w:rPr>
          <w:rFonts w:ascii="Garamond" w:eastAsia="Garamond" w:hAnsi="Garamond" w:cs="Garamond"/>
          <w:b/>
        </w:rPr>
      </w:pPr>
      <w:r>
        <w:rPr>
          <w:rFonts w:ascii="Garamond" w:eastAsia="Garamond" w:hAnsi="Garamond" w:cs="Garamond"/>
          <w:b/>
          <w:i/>
          <w:u w:val="single"/>
        </w:rPr>
        <w:t>Meta-Data</w:t>
      </w:r>
      <w:r>
        <w:rPr>
          <w:rFonts w:ascii="Garamond" w:eastAsia="Garamond" w:hAnsi="Garamond" w:cs="Garamond"/>
          <w:b/>
        </w:rPr>
        <w:t xml:space="preserve">: </w:t>
      </w:r>
    </w:p>
    <w:p w14:paraId="246E2FE9" w14:textId="0953689A"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Case Number</w:t>
      </w:r>
      <w:r>
        <w:rPr>
          <w:rFonts w:ascii="Garamond" w:eastAsia="Garamond" w:hAnsi="Garamond" w:cs="Garamond"/>
          <w:color w:val="000000"/>
        </w:rPr>
        <w:t xml:space="preserve">: </w:t>
      </w:r>
      <w:r w:rsidR="009318C6" w:rsidRPr="009318C6">
        <w:rPr>
          <w:rFonts w:ascii="Garamond" w:eastAsia="Garamond" w:hAnsi="Garamond" w:cs="Garamond"/>
          <w:color w:val="000000"/>
        </w:rPr>
        <w:t>2024-002-FB-UA, 2024-003-FB-UA</w:t>
      </w:r>
    </w:p>
    <w:p w14:paraId="3230C15F" w14:textId="372E6692"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of decision</w:t>
      </w:r>
      <w:r>
        <w:rPr>
          <w:rFonts w:ascii="Garamond" w:eastAsia="Garamond" w:hAnsi="Garamond" w:cs="Garamond"/>
          <w:color w:val="000000"/>
        </w:rPr>
        <w:t xml:space="preserve">: </w:t>
      </w:r>
      <w:r w:rsidR="009318C6">
        <w:rPr>
          <w:rFonts w:ascii="Garamond" w:eastAsia="Garamond" w:hAnsi="Garamond" w:cs="Garamond"/>
        </w:rPr>
        <w:t>May 9, 2024</w:t>
      </w:r>
      <w:r>
        <w:rPr>
          <w:rFonts w:ascii="Garamond" w:eastAsia="Garamond" w:hAnsi="Garamond" w:cs="Garamond"/>
        </w:rPr>
        <w:t xml:space="preserve"> </w:t>
      </w:r>
    </w:p>
    <w:p w14:paraId="13772BE6"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Featured case</w:t>
      </w:r>
      <w:r>
        <w:rPr>
          <w:rFonts w:ascii="Garamond" w:eastAsia="Garamond" w:hAnsi="Garamond" w:cs="Garamond"/>
          <w:color w:val="000000"/>
        </w:rPr>
        <w:t>: N/A</w:t>
      </w:r>
      <w:r>
        <w:rPr>
          <w:rFonts w:ascii="Garamond" w:eastAsia="Garamond" w:hAnsi="Garamond" w:cs="Garamond"/>
        </w:rPr>
        <w:t xml:space="preserve"> [not applicable]</w:t>
      </w:r>
    </w:p>
    <w:p w14:paraId="5DDBD23C" w14:textId="626DBAD6"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Region</w:t>
      </w:r>
      <w:r>
        <w:rPr>
          <w:rFonts w:ascii="Garamond" w:eastAsia="Garamond" w:hAnsi="Garamond" w:cs="Garamond"/>
          <w:color w:val="000000"/>
        </w:rPr>
        <w:t xml:space="preserve">: </w:t>
      </w:r>
      <w:r w:rsidR="009318C6" w:rsidRPr="009318C6">
        <w:rPr>
          <w:rFonts w:ascii="Garamond" w:eastAsia="Garamond" w:hAnsi="Garamond" w:cs="Garamond"/>
          <w:color w:val="000000"/>
        </w:rPr>
        <w:t>Asia and Asia Pacific</w:t>
      </w:r>
    </w:p>
    <w:p w14:paraId="551D286A" w14:textId="56165F1E"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Country</w:t>
      </w:r>
      <w:r>
        <w:rPr>
          <w:rFonts w:ascii="Garamond" w:eastAsia="Garamond" w:hAnsi="Garamond" w:cs="Garamond"/>
          <w:color w:val="000000"/>
        </w:rPr>
        <w:t xml:space="preserve">: </w:t>
      </w:r>
      <w:r w:rsidR="009318C6">
        <w:rPr>
          <w:rFonts w:ascii="Garamond" w:eastAsia="Garamond" w:hAnsi="Garamond" w:cs="Garamond"/>
          <w:color w:val="000000"/>
        </w:rPr>
        <w:t>Australia</w:t>
      </w:r>
      <w:r>
        <w:rPr>
          <w:rFonts w:ascii="Garamond" w:eastAsia="Garamond" w:hAnsi="Garamond" w:cs="Garamond"/>
        </w:rPr>
        <w:t xml:space="preserve"> </w:t>
      </w:r>
    </w:p>
    <w:p w14:paraId="5AA46025" w14:textId="655939C3"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expression</w:t>
      </w:r>
      <w:r>
        <w:rPr>
          <w:rFonts w:ascii="Garamond" w:eastAsia="Garamond" w:hAnsi="Garamond" w:cs="Garamond"/>
          <w:color w:val="000000"/>
        </w:rPr>
        <w:t xml:space="preserve">: </w:t>
      </w:r>
      <w:r>
        <w:rPr>
          <w:rFonts w:ascii="Garamond" w:eastAsia="Garamond" w:hAnsi="Garamond" w:cs="Garamond"/>
        </w:rPr>
        <w:t>Electronic / Internet-based Communication</w:t>
      </w:r>
    </w:p>
    <w:p w14:paraId="6F094C05" w14:textId="49B2F65B"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Judicial Body</w:t>
      </w:r>
      <w:r>
        <w:rPr>
          <w:rFonts w:ascii="Garamond" w:eastAsia="Garamond" w:hAnsi="Garamond" w:cs="Garamond"/>
          <w:color w:val="000000"/>
        </w:rPr>
        <w:t>: Oversight Board</w:t>
      </w:r>
    </w:p>
    <w:p w14:paraId="52B66130" w14:textId="60DAA0E1"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law</w:t>
      </w:r>
      <w:r>
        <w:rPr>
          <w:rFonts w:ascii="Garamond" w:eastAsia="Garamond" w:hAnsi="Garamond" w:cs="Garamond"/>
          <w:color w:val="000000"/>
        </w:rPr>
        <w:t xml:space="preserve">: International Human Rights </w:t>
      </w:r>
      <w:r>
        <w:rPr>
          <w:rFonts w:ascii="Garamond" w:eastAsia="Garamond" w:hAnsi="Garamond" w:cs="Garamond"/>
        </w:rPr>
        <w:t>Law &amp;</w:t>
      </w:r>
      <w:r>
        <w:rPr>
          <w:rFonts w:ascii="Garamond" w:eastAsia="Garamond" w:hAnsi="Garamond" w:cs="Garamond"/>
          <w:b/>
        </w:rPr>
        <w:t xml:space="preserve"> </w:t>
      </w:r>
      <w:r>
        <w:rPr>
          <w:rFonts w:ascii="Garamond" w:eastAsia="Garamond" w:hAnsi="Garamond" w:cs="Garamond"/>
        </w:rPr>
        <w:t>Meta’s content policies</w:t>
      </w:r>
    </w:p>
    <w:p w14:paraId="39BB5491" w14:textId="2B62C98F" w:rsidR="00BC1499" w:rsidRPr="009318C6" w:rsidRDefault="00000000" w:rsidP="009318C6">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Main Themes</w:t>
      </w:r>
      <w:r>
        <w:rPr>
          <w:rFonts w:ascii="Garamond" w:eastAsia="Garamond" w:hAnsi="Garamond" w:cs="Garamond"/>
          <w:color w:val="000000"/>
        </w:rPr>
        <w:t xml:space="preserve">: </w:t>
      </w:r>
      <w:r w:rsidR="009318C6" w:rsidRPr="009318C6">
        <w:rPr>
          <w:rFonts w:ascii="Garamond" w:eastAsia="Garamond" w:hAnsi="Garamond" w:cs="Garamond"/>
          <w:color w:val="000000"/>
        </w:rPr>
        <w:t>Facebook Community Standards</w:t>
      </w:r>
      <w:r w:rsidR="009318C6">
        <w:rPr>
          <w:rFonts w:ascii="Garamond" w:eastAsia="Garamond" w:hAnsi="Garamond" w:cs="Garamond"/>
          <w:color w:val="000000"/>
        </w:rPr>
        <w:t xml:space="preserve">, </w:t>
      </w:r>
      <w:r w:rsidR="009318C6" w:rsidRPr="009318C6">
        <w:rPr>
          <w:rFonts w:ascii="Garamond" w:eastAsia="Garamond" w:hAnsi="Garamond" w:cs="Garamond"/>
          <w:color w:val="000000"/>
        </w:rPr>
        <w:t xml:space="preserve">Violence </w:t>
      </w:r>
      <w:r w:rsidR="00FC108A" w:rsidRPr="009318C6">
        <w:rPr>
          <w:rFonts w:ascii="Garamond" w:eastAsia="Garamond" w:hAnsi="Garamond" w:cs="Garamond"/>
          <w:color w:val="000000"/>
        </w:rPr>
        <w:t>and</w:t>
      </w:r>
      <w:r w:rsidR="009318C6" w:rsidRPr="009318C6">
        <w:rPr>
          <w:rFonts w:ascii="Garamond" w:eastAsia="Garamond" w:hAnsi="Garamond" w:cs="Garamond"/>
          <w:color w:val="000000"/>
        </w:rPr>
        <w:t xml:space="preserve"> Criminal Behavior, Coordinating Harm and Promoting Crime</w:t>
      </w:r>
    </w:p>
    <w:p w14:paraId="62A80841" w14:textId="7B82C69F"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sidRPr="009318C6">
        <w:rPr>
          <w:rFonts w:ascii="Garamond" w:eastAsia="Garamond" w:hAnsi="Garamond" w:cs="Garamond"/>
          <w:b/>
          <w:bCs/>
          <w:color w:val="000000"/>
        </w:rPr>
        <w:t>Outcome:</w:t>
      </w:r>
      <w:r>
        <w:rPr>
          <w:rFonts w:ascii="Garamond" w:eastAsia="Garamond" w:hAnsi="Garamond" w:cs="Garamond"/>
          <w:color w:val="000000"/>
        </w:rPr>
        <w:t xml:space="preserve"> </w:t>
      </w:r>
      <w:r>
        <w:rPr>
          <w:rFonts w:ascii="Garamond" w:eastAsia="Garamond" w:hAnsi="Garamond" w:cs="Garamond"/>
        </w:rPr>
        <w:t xml:space="preserve">Agreed with Meta’s initial decision </w:t>
      </w:r>
    </w:p>
    <w:p w14:paraId="4AB57E3D" w14:textId="3DBFD579" w:rsidR="00BC1499" w:rsidRPr="00EE429E" w:rsidRDefault="00000000" w:rsidP="00EE429E">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Status</w:t>
      </w:r>
      <w:r>
        <w:rPr>
          <w:rFonts w:ascii="Garamond" w:eastAsia="Garamond" w:hAnsi="Garamond" w:cs="Garamond"/>
          <w:color w:val="000000"/>
        </w:rPr>
        <w:t xml:space="preserve">:  </w:t>
      </w:r>
      <w:r w:rsidR="009318C6">
        <w:rPr>
          <w:rFonts w:ascii="Garamond" w:eastAsia="Garamond" w:hAnsi="Garamond" w:cs="Garamond"/>
          <w:color w:val="000000"/>
        </w:rPr>
        <w:t>Closed</w:t>
      </w:r>
    </w:p>
    <w:p w14:paraId="6196DF64" w14:textId="23CFBFC9" w:rsidR="00BC1499" w:rsidRPr="00EE429E" w:rsidRDefault="00000000" w:rsidP="00EE429E">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Tags</w:t>
      </w:r>
      <w:r>
        <w:rPr>
          <w:rFonts w:ascii="Garamond" w:eastAsia="Garamond" w:hAnsi="Garamond" w:cs="Garamond"/>
          <w:color w:val="000000"/>
        </w:rPr>
        <w:t xml:space="preserve">: </w:t>
      </w:r>
      <w:r w:rsidR="009318C6">
        <w:rPr>
          <w:rFonts w:ascii="Garamond" w:eastAsia="Garamond" w:hAnsi="Garamond" w:cs="Garamond"/>
          <w:color w:val="000000"/>
        </w:rPr>
        <w:t xml:space="preserve">Facebook, Internet </w:t>
      </w:r>
      <w:r>
        <w:rPr>
          <w:rFonts w:ascii="Garamond" w:eastAsia="Garamond" w:hAnsi="Garamond" w:cs="Garamond"/>
        </w:rPr>
        <w:t>Meta Newsworthiness allowance, Meta Spirit of the Policy allowance, Oversight Board on Meta Interstitials, Oversight Board Policy advisory statement, Oversight Board Content Policy Recommendation</w:t>
      </w:r>
    </w:p>
    <w:p w14:paraId="7404E082"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7A25CB9E" w14:textId="77777777" w:rsidR="00BC1499" w:rsidRDefault="00000000">
      <w:pPr>
        <w:spacing w:line="276" w:lineRule="auto"/>
        <w:jc w:val="both"/>
        <w:rPr>
          <w:rFonts w:ascii="Garamond" w:eastAsia="Garamond" w:hAnsi="Garamond" w:cs="Garamond"/>
          <w:b/>
          <w:i/>
          <w:color w:val="000000"/>
          <w:u w:val="single"/>
        </w:rPr>
      </w:pPr>
      <w:r>
        <w:rPr>
          <w:rFonts w:ascii="Garamond" w:eastAsia="Garamond" w:hAnsi="Garamond" w:cs="Garamond"/>
          <w:b/>
          <w:i/>
          <w:color w:val="000000"/>
          <w:u w:val="single"/>
        </w:rPr>
        <w:t>Analysis:</w:t>
      </w:r>
    </w:p>
    <w:p w14:paraId="170157EC" w14:textId="77777777" w:rsidR="00BC1499" w:rsidRDefault="00BC1499">
      <w:pPr>
        <w:spacing w:line="276" w:lineRule="auto"/>
        <w:jc w:val="both"/>
        <w:rPr>
          <w:rFonts w:ascii="Garamond" w:eastAsia="Garamond" w:hAnsi="Garamond" w:cs="Garamond"/>
          <w:b/>
          <w:i/>
          <w:u w:val="single"/>
        </w:rPr>
      </w:pPr>
    </w:p>
    <w:p w14:paraId="2996C563" w14:textId="77777777" w:rsidR="00BC1499" w:rsidRDefault="00000000">
      <w:pPr>
        <w:numPr>
          <w:ilvl w:val="0"/>
          <w:numId w:val="4"/>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Summary and Outcome</w:t>
      </w:r>
      <w:r>
        <w:rPr>
          <w:rFonts w:ascii="Garamond" w:eastAsia="Garamond" w:hAnsi="Garamond" w:cs="Garamond"/>
          <w:color w:val="000000"/>
        </w:rPr>
        <w:t xml:space="preserve">: </w:t>
      </w:r>
    </w:p>
    <w:p w14:paraId="00FA9C8A" w14:textId="3A53C8C4"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29540CC9" w14:textId="3213C18B" w:rsidR="00BC1499" w:rsidRDefault="00EE429E" w:rsidP="005E791A">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On May 8, 2024, the Oversight Board upheld Meta’s decision to remove two Facebook posts sharing a screenshot of a </w:t>
      </w:r>
      <w:r w:rsidRPr="00EE429E">
        <w:rPr>
          <w:rFonts w:ascii="Garamond" w:eastAsia="Garamond" w:hAnsi="Garamond" w:cs="Garamond"/>
        </w:rPr>
        <w:t xml:space="preserve">post by the Australian Electoral Commission </w:t>
      </w:r>
      <w:r w:rsidR="005E791A">
        <w:rPr>
          <w:rFonts w:ascii="Garamond" w:eastAsia="Garamond" w:hAnsi="Garamond" w:cs="Garamond"/>
        </w:rPr>
        <w:t>(</w:t>
      </w:r>
      <w:r w:rsidRPr="00EE429E">
        <w:rPr>
          <w:rFonts w:ascii="Garamond" w:eastAsia="Garamond" w:hAnsi="Garamond" w:cs="Garamond"/>
        </w:rPr>
        <w:t>AEC</w:t>
      </w:r>
      <w:r w:rsidR="005E791A">
        <w:rPr>
          <w:rFonts w:ascii="Garamond" w:eastAsia="Garamond" w:hAnsi="Garamond" w:cs="Garamond"/>
        </w:rPr>
        <w:t>)</w:t>
      </w:r>
      <w:r w:rsidRPr="00EE429E">
        <w:rPr>
          <w:rFonts w:ascii="Garamond" w:eastAsia="Garamond" w:hAnsi="Garamond" w:cs="Garamond"/>
        </w:rPr>
        <w:t xml:space="preserve"> on X</w:t>
      </w:r>
      <w:r>
        <w:rPr>
          <w:rFonts w:ascii="Garamond" w:eastAsia="Garamond" w:hAnsi="Garamond" w:cs="Garamond"/>
        </w:rPr>
        <w:t xml:space="preserve">, saying that if a formal vote is placed </w:t>
      </w:r>
      <w:r w:rsidR="003C5E15">
        <w:rPr>
          <w:rFonts w:ascii="Garamond" w:eastAsia="Garamond" w:hAnsi="Garamond" w:cs="Garamond"/>
        </w:rPr>
        <w:t xml:space="preserve">at two different polling places, it is counted twice for violating </w:t>
      </w:r>
      <w:r w:rsidR="003C5E15" w:rsidRPr="003C5E15">
        <w:rPr>
          <w:rFonts w:ascii="Garamond" w:eastAsia="Garamond" w:hAnsi="Garamond" w:cs="Garamond"/>
        </w:rPr>
        <w:t>the Coordinating Harm and Promoting Crime</w:t>
      </w:r>
      <w:r w:rsidR="003C5E15">
        <w:rPr>
          <w:rFonts w:ascii="Garamond" w:eastAsia="Garamond" w:hAnsi="Garamond" w:cs="Garamond"/>
        </w:rPr>
        <w:t xml:space="preserve"> policy. In the first post the Facebook user captioned the screenshot with </w:t>
      </w:r>
      <w:r w:rsidR="003C5E15" w:rsidRPr="003C5E15">
        <w:rPr>
          <w:rFonts w:ascii="Garamond" w:eastAsia="Garamond" w:hAnsi="Garamond" w:cs="Garamond"/>
        </w:rPr>
        <w:t>“vote early, vote often, and vote NO.”</w:t>
      </w:r>
      <w:r w:rsidR="00362F02">
        <w:rPr>
          <w:rFonts w:ascii="Garamond" w:eastAsia="Garamond" w:hAnsi="Garamond" w:cs="Garamond"/>
        </w:rPr>
        <w:t xml:space="preserve"> In the second post, a text overlay accompanied the screenshot stating, “</w:t>
      </w:r>
      <w:r w:rsidR="00362F02" w:rsidRPr="00362F02">
        <w:rPr>
          <w:rFonts w:ascii="Garamond" w:eastAsia="Garamond" w:hAnsi="Garamond" w:cs="Garamond"/>
        </w:rPr>
        <w:t xml:space="preserve">you can vote Multiple times … they are setting us up for a ‘Rigging’ … smash the voting </w:t>
      </w:r>
      <w:r w:rsidR="002D37F2" w:rsidRPr="00362F02">
        <w:rPr>
          <w:rFonts w:ascii="Garamond" w:eastAsia="Garamond" w:hAnsi="Garamond" w:cs="Garamond"/>
        </w:rPr>
        <w:t>centers</w:t>
      </w:r>
      <w:r w:rsidR="00362F02" w:rsidRPr="00362F02">
        <w:rPr>
          <w:rFonts w:ascii="Garamond" w:eastAsia="Garamond" w:hAnsi="Garamond" w:cs="Garamond"/>
        </w:rPr>
        <w:t>… it’s a NO, NO, NO, NO, NO</w:t>
      </w:r>
      <w:r w:rsidR="00362F02">
        <w:rPr>
          <w:rFonts w:ascii="Garamond" w:eastAsia="Garamond" w:hAnsi="Garamond" w:cs="Garamond"/>
        </w:rPr>
        <w:t xml:space="preserve">.” The Board agreed with Meta that the posts violated </w:t>
      </w:r>
      <w:r w:rsidR="00362F02" w:rsidRPr="003C5E15">
        <w:rPr>
          <w:rFonts w:ascii="Garamond" w:eastAsia="Garamond" w:hAnsi="Garamond" w:cs="Garamond"/>
        </w:rPr>
        <w:t>the Coordinating Harm and Promoting Crime</w:t>
      </w:r>
      <w:r w:rsidR="00362F02">
        <w:rPr>
          <w:rFonts w:ascii="Garamond" w:eastAsia="Garamond" w:hAnsi="Garamond" w:cs="Garamond"/>
        </w:rPr>
        <w:t xml:space="preserve"> policy as they </w:t>
      </w:r>
      <w:r w:rsidR="00362F02">
        <w:rPr>
          <w:rFonts w:ascii="Garamond" w:eastAsia="Garamond" w:hAnsi="Garamond" w:cs="Garamond"/>
        </w:rPr>
        <w:lastRenderedPageBreak/>
        <w:t xml:space="preserve">advocated for double voting in the </w:t>
      </w:r>
      <w:r w:rsidR="00362F02" w:rsidRPr="00362F02">
        <w:rPr>
          <w:rFonts w:ascii="Garamond" w:eastAsia="Garamond" w:hAnsi="Garamond" w:cs="Garamond"/>
        </w:rPr>
        <w:t xml:space="preserve">Indigenous Voice to Parliament Referendum </w:t>
      </w:r>
      <w:r w:rsidR="005E791A">
        <w:rPr>
          <w:rFonts w:ascii="Garamond" w:eastAsia="Garamond" w:hAnsi="Garamond" w:cs="Garamond"/>
        </w:rPr>
        <w:t>(</w:t>
      </w:r>
      <w:r w:rsidR="00362F02" w:rsidRPr="00362F02">
        <w:rPr>
          <w:rFonts w:ascii="Garamond" w:eastAsia="Garamond" w:hAnsi="Garamond" w:cs="Garamond"/>
        </w:rPr>
        <w:t>Voice Referendum</w:t>
      </w:r>
      <w:r w:rsidR="005E791A">
        <w:rPr>
          <w:rFonts w:ascii="Garamond" w:eastAsia="Garamond" w:hAnsi="Garamond" w:cs="Garamond"/>
        </w:rPr>
        <w:t>)</w:t>
      </w:r>
      <w:r w:rsidR="00362F02" w:rsidRPr="00362F02">
        <w:rPr>
          <w:rFonts w:ascii="Garamond" w:eastAsia="Garamond" w:hAnsi="Garamond" w:cs="Garamond"/>
        </w:rPr>
        <w:t>.</w:t>
      </w:r>
      <w:r w:rsidR="005E791A">
        <w:rPr>
          <w:rFonts w:ascii="Garamond" w:eastAsia="Garamond" w:hAnsi="Garamond" w:cs="Garamond"/>
        </w:rPr>
        <w:t xml:space="preserve"> The Board recommended</w:t>
      </w:r>
      <w:r w:rsidR="00FC108A">
        <w:rPr>
          <w:rFonts w:ascii="Garamond" w:eastAsia="Garamond" w:hAnsi="Garamond" w:cs="Garamond"/>
        </w:rPr>
        <w:t xml:space="preserve"> Meta </w:t>
      </w:r>
      <w:proofErr w:type="gramStart"/>
      <w:r w:rsidR="00FC108A">
        <w:rPr>
          <w:rFonts w:ascii="Garamond" w:eastAsia="Garamond" w:hAnsi="Garamond" w:cs="Garamond"/>
        </w:rPr>
        <w:t>clarify</w:t>
      </w:r>
      <w:proofErr w:type="gramEnd"/>
      <w:r w:rsidR="00FC108A">
        <w:rPr>
          <w:rFonts w:ascii="Garamond" w:eastAsia="Garamond" w:hAnsi="Garamond" w:cs="Garamond"/>
        </w:rPr>
        <w:t xml:space="preserve"> its rules prohibiting voter fraud by defining “illegal” voting publicly.</w:t>
      </w:r>
    </w:p>
    <w:p w14:paraId="187B4CC5"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4D3CE710" w14:textId="77777777" w:rsidR="00BC1499" w:rsidRDefault="00000000">
      <w:pPr>
        <w:spacing w:line="276" w:lineRule="auto"/>
        <w:ind w:left="360"/>
        <w:jc w:val="both"/>
        <w:rPr>
          <w:rFonts w:ascii="Garamond" w:eastAsia="Garamond" w:hAnsi="Garamond" w:cs="Garamond"/>
          <w:i/>
        </w:rPr>
      </w:pPr>
      <w:r>
        <w:rPr>
          <w:rFonts w:ascii="Garamond" w:eastAsia="Garamond" w:hAnsi="Garamond" w:cs="Garamond"/>
          <w:i/>
        </w:rPr>
        <w:t xml:space="preserve">*The </w:t>
      </w:r>
      <w:hyperlink r:id="rId9">
        <w:r>
          <w:rPr>
            <w:rFonts w:ascii="Garamond" w:eastAsia="Garamond" w:hAnsi="Garamond" w:cs="Garamond"/>
            <w:i/>
            <w:color w:val="1155CC"/>
            <w:u w:val="single"/>
          </w:rPr>
          <w:t xml:space="preserve">Oversight Board </w:t>
        </w:r>
      </w:hyperlink>
      <w:r>
        <w:rPr>
          <w:rFonts w:ascii="Garamond" w:eastAsia="Garamond" w:hAnsi="Garamond" w:cs="Garamond"/>
          <w:i/>
        </w:rPr>
        <w:t>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34792991" w14:textId="77777777" w:rsidR="00BC1499" w:rsidRDefault="00BC1499">
      <w:pPr>
        <w:spacing w:line="276" w:lineRule="auto"/>
        <w:jc w:val="both"/>
        <w:rPr>
          <w:rFonts w:ascii="Garamond" w:eastAsia="Garamond" w:hAnsi="Garamond" w:cs="Garamond"/>
        </w:rPr>
      </w:pPr>
    </w:p>
    <w:p w14:paraId="48D332DE" w14:textId="360DFD1E" w:rsidR="00BC1499" w:rsidRPr="007618B5" w:rsidRDefault="00000000" w:rsidP="007618B5">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Facts</w:t>
      </w:r>
      <w:r>
        <w:rPr>
          <w:rFonts w:ascii="Garamond" w:eastAsia="Garamond" w:hAnsi="Garamond" w:cs="Garamond"/>
          <w:color w:val="000000"/>
        </w:rPr>
        <w:t>:</w:t>
      </w:r>
    </w:p>
    <w:p w14:paraId="33804A2F" w14:textId="39F0172C" w:rsidR="00FC108A" w:rsidRDefault="00FC108A">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On October 14, 2023, Australia held its Voice Referendum to determine whether to amend Australia’s constitution to establish a </w:t>
      </w:r>
      <w:r w:rsidRPr="00FC108A">
        <w:rPr>
          <w:rFonts w:ascii="Garamond" w:eastAsia="Garamond" w:hAnsi="Garamond" w:cs="Garamond"/>
        </w:rPr>
        <w:t>body called the Aboriginal and Torres Strait Islander Voice</w:t>
      </w:r>
      <w:r>
        <w:rPr>
          <w:rFonts w:ascii="Garamond" w:eastAsia="Garamond" w:hAnsi="Garamond" w:cs="Garamond"/>
        </w:rPr>
        <w:t xml:space="preserve"> to represent the First Peoples of Australia’s interests in Parliament and the Executive Government in matters related to Aboriginal and </w:t>
      </w:r>
      <w:r w:rsidRPr="00FC108A">
        <w:rPr>
          <w:rFonts w:ascii="Garamond" w:eastAsia="Garamond" w:hAnsi="Garamond" w:cs="Garamond"/>
        </w:rPr>
        <w:t>Torres Strait Islander peoples</w:t>
      </w:r>
      <w:r>
        <w:rPr>
          <w:rFonts w:ascii="Garamond" w:eastAsia="Garamond" w:hAnsi="Garamond" w:cs="Garamond"/>
        </w:rPr>
        <w:t>.</w:t>
      </w:r>
      <w:r w:rsidR="006C3859">
        <w:rPr>
          <w:rFonts w:ascii="Garamond" w:eastAsia="Garamond" w:hAnsi="Garamond" w:cs="Garamond"/>
        </w:rPr>
        <w:t xml:space="preserve"> A few days before the vote, two Facebook users posted a screenshot of an X post from the Australian Electoral Commission (AEC)’s official account. The AEC’s post contained the following statement, “</w:t>
      </w:r>
      <w:r w:rsidR="006C3859" w:rsidRPr="006C3859">
        <w:rPr>
          <w:rFonts w:ascii="Garamond" w:eastAsia="Garamond" w:hAnsi="Garamond" w:cs="Garamond"/>
        </w:rPr>
        <w:t>If someone votes at two different polling places within their electorate and places their formal vote in the ballot box at each polling place, their vote is counted.</w:t>
      </w:r>
      <w:r w:rsidR="006C3859">
        <w:rPr>
          <w:rFonts w:ascii="Garamond" w:eastAsia="Garamond" w:hAnsi="Garamond" w:cs="Garamond"/>
        </w:rPr>
        <w:t>”</w:t>
      </w:r>
    </w:p>
    <w:p w14:paraId="2AA93DA0" w14:textId="77777777" w:rsidR="006C3859" w:rsidRDefault="006C3859">
      <w:pPr>
        <w:pBdr>
          <w:top w:val="nil"/>
          <w:left w:val="nil"/>
          <w:bottom w:val="nil"/>
          <w:right w:val="nil"/>
          <w:between w:val="nil"/>
        </w:pBdr>
        <w:spacing w:line="276" w:lineRule="auto"/>
        <w:ind w:left="360"/>
        <w:jc w:val="both"/>
        <w:rPr>
          <w:rFonts w:ascii="Garamond" w:eastAsia="Garamond" w:hAnsi="Garamond" w:cs="Garamond"/>
        </w:rPr>
      </w:pPr>
    </w:p>
    <w:p w14:paraId="61BA6DD1" w14:textId="7D12CB7D" w:rsidR="006C3859" w:rsidRDefault="006C3859">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The first user was a Facebook group administrator, who posted the screenshot to the group with the caption, </w:t>
      </w:r>
      <w:r w:rsidRPr="006C3859">
        <w:rPr>
          <w:rFonts w:ascii="Garamond" w:eastAsia="Garamond" w:hAnsi="Garamond" w:cs="Garamond"/>
        </w:rPr>
        <w:t>“vote early, vote often, and vote NO”.</w:t>
      </w:r>
      <w:r>
        <w:rPr>
          <w:rFonts w:ascii="Garamond" w:eastAsia="Garamond" w:hAnsi="Garamond" w:cs="Garamond"/>
        </w:rPr>
        <w:t xml:space="preserve"> The second user posted the screenshot to their profile with a text overlay including, “</w:t>
      </w:r>
      <w:r w:rsidRPr="006C3859">
        <w:rPr>
          <w:rFonts w:ascii="Garamond" w:eastAsia="Garamond" w:hAnsi="Garamond" w:cs="Garamond"/>
        </w:rPr>
        <w:t xml:space="preserve">“so you can vote Multiple times. They are setting us up for a ‘Rigging’ ... smash the voting </w:t>
      </w:r>
      <w:r w:rsidR="002D37F2" w:rsidRPr="006C3859">
        <w:rPr>
          <w:rFonts w:ascii="Garamond" w:eastAsia="Garamond" w:hAnsi="Garamond" w:cs="Garamond"/>
        </w:rPr>
        <w:t>centers</w:t>
      </w:r>
      <w:r w:rsidRPr="006C3859">
        <w:rPr>
          <w:rFonts w:ascii="Garamond" w:eastAsia="Garamond" w:hAnsi="Garamond" w:cs="Garamond"/>
        </w:rPr>
        <w:t xml:space="preserve"> ... it's a NO, NO, NO, NO, NO</w:t>
      </w:r>
      <w:r>
        <w:rPr>
          <w:rFonts w:ascii="Garamond" w:eastAsia="Garamond" w:hAnsi="Garamond" w:cs="Garamond"/>
        </w:rPr>
        <w:t xml:space="preserve">” and a caption containing the “stop” emoji followed by </w:t>
      </w:r>
      <w:r w:rsidRPr="006C3859">
        <w:rPr>
          <w:rFonts w:ascii="Garamond" w:eastAsia="Garamond" w:hAnsi="Garamond" w:cs="Garamond"/>
        </w:rPr>
        <w:t>“Australian Electoral Commission.”</w:t>
      </w:r>
      <w:r w:rsidR="00102B16">
        <w:rPr>
          <w:rFonts w:ascii="Garamond" w:eastAsia="Garamond" w:hAnsi="Garamond" w:cs="Garamond"/>
        </w:rPr>
        <w:t xml:space="preserve"> Both users didn’t share the subsequent information the AEC shared asserting that voting multiple times was illegal. </w:t>
      </w:r>
    </w:p>
    <w:p w14:paraId="6054163F" w14:textId="77777777" w:rsidR="00102B16" w:rsidRDefault="00102B16">
      <w:pPr>
        <w:pBdr>
          <w:top w:val="nil"/>
          <w:left w:val="nil"/>
          <w:bottom w:val="nil"/>
          <w:right w:val="nil"/>
          <w:between w:val="nil"/>
        </w:pBdr>
        <w:spacing w:line="276" w:lineRule="auto"/>
        <w:ind w:left="360"/>
        <w:jc w:val="both"/>
        <w:rPr>
          <w:rFonts w:ascii="Garamond" w:eastAsia="Garamond" w:hAnsi="Garamond" w:cs="Garamond"/>
        </w:rPr>
      </w:pPr>
    </w:p>
    <w:p w14:paraId="66496226" w14:textId="21DA89FF" w:rsidR="00102B16" w:rsidRDefault="00102B1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Meta proactively detected both posts as the phrases “double vote” and “vote multiple times” activated the company’s “</w:t>
      </w:r>
      <w:r w:rsidRPr="00102B16">
        <w:rPr>
          <w:rFonts w:ascii="Garamond" w:eastAsia="Garamond" w:hAnsi="Garamond" w:cs="Garamond"/>
        </w:rPr>
        <w:t>keyword-based pipeline initiative”</w:t>
      </w:r>
      <w:r>
        <w:rPr>
          <w:rFonts w:ascii="Garamond" w:eastAsia="Garamond" w:hAnsi="Garamond" w:cs="Garamond"/>
        </w:rPr>
        <w:t>. The keyword-based detection approach is “</w:t>
      </w:r>
      <w:r w:rsidRPr="00102B16">
        <w:rPr>
          <w:rFonts w:ascii="Garamond" w:eastAsia="Garamond" w:hAnsi="Garamond" w:cs="Garamond"/>
        </w:rPr>
        <w:t>a systematic procedure deployed by Meta to proactively identify content potentially violating including, but not limited to, content related to voter and census interference.”</w:t>
      </w:r>
      <w:r>
        <w:rPr>
          <w:rFonts w:ascii="Garamond" w:eastAsia="Garamond" w:hAnsi="Garamond" w:cs="Garamond"/>
        </w:rPr>
        <w:t xml:space="preserve"> [p. </w:t>
      </w:r>
      <w:r w:rsidR="00B346CB">
        <w:rPr>
          <w:rFonts w:ascii="Garamond" w:eastAsia="Garamond" w:hAnsi="Garamond" w:cs="Garamond"/>
        </w:rPr>
        <w:t xml:space="preserve">5] Accordingly, the posts were sent for human review and removed for violating </w:t>
      </w:r>
      <w:r w:rsidR="00B346CB" w:rsidRPr="00B346CB">
        <w:rPr>
          <w:rFonts w:ascii="Garamond" w:eastAsia="Garamond" w:hAnsi="Garamond" w:cs="Garamond"/>
        </w:rPr>
        <w:t>the Coordinating Harm and Promoting Crime policy</w:t>
      </w:r>
      <w:r w:rsidR="00B346CB">
        <w:rPr>
          <w:rFonts w:ascii="Garamond" w:eastAsia="Garamond" w:hAnsi="Garamond" w:cs="Garamond"/>
        </w:rPr>
        <w:t xml:space="preserve"> and Meta applied a standard strike and a </w:t>
      </w:r>
      <w:r w:rsidR="007618B5">
        <w:rPr>
          <w:rFonts w:ascii="Garamond" w:eastAsia="Garamond" w:hAnsi="Garamond" w:cs="Garamond"/>
        </w:rPr>
        <w:t>30-day</w:t>
      </w:r>
      <w:r w:rsidR="00B346CB">
        <w:rPr>
          <w:rFonts w:ascii="Garamond" w:eastAsia="Garamond" w:hAnsi="Garamond" w:cs="Garamond"/>
        </w:rPr>
        <w:t xml:space="preserve"> feature limit on both accounts preventing them from posting or commenting in Facebook groups, creating news groups, or joining Messenger rooms. The users appealed Meta’s decisions to the Oversight Board.</w:t>
      </w:r>
    </w:p>
    <w:p w14:paraId="69534749"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Decision Overview</w:t>
      </w:r>
      <w:r>
        <w:rPr>
          <w:rFonts w:ascii="Garamond" w:eastAsia="Garamond" w:hAnsi="Garamond" w:cs="Garamond"/>
          <w:color w:val="000000"/>
        </w:rPr>
        <w:t xml:space="preserve">: </w:t>
      </w:r>
    </w:p>
    <w:p w14:paraId="269921C5" w14:textId="4F49725F" w:rsidR="00BC1499" w:rsidRDefault="007618B5" w:rsidP="007618B5">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main issue before the Board was whether Meta’s decision to remove two posts advocating for double voting in the Voice Referendum in Australia was compatible with Meta’s content policies and human rights responsibilities. </w:t>
      </w:r>
    </w:p>
    <w:p w14:paraId="240D73F0" w14:textId="77777777" w:rsidR="007618B5" w:rsidRDefault="007618B5" w:rsidP="007618B5">
      <w:pPr>
        <w:pBdr>
          <w:top w:val="nil"/>
          <w:left w:val="nil"/>
          <w:bottom w:val="nil"/>
          <w:right w:val="nil"/>
          <w:between w:val="nil"/>
        </w:pBdr>
        <w:spacing w:line="276" w:lineRule="auto"/>
        <w:ind w:left="426"/>
        <w:jc w:val="both"/>
        <w:rPr>
          <w:rFonts w:ascii="Garamond" w:eastAsia="Garamond" w:hAnsi="Garamond" w:cs="Garamond"/>
        </w:rPr>
      </w:pPr>
    </w:p>
    <w:p w14:paraId="4223EEC9" w14:textId="2CE1DF72" w:rsidR="007618B5" w:rsidRDefault="007618B5" w:rsidP="007618B5">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In their statements to the Board, both users claimed they were only "sharing information posted by the AEC.” [p. 8] the second user additionally claimed their post was a warning that the referendum might be fraudulent since it allowed double voting because voting </w:t>
      </w:r>
      <w:r w:rsidR="002159FF">
        <w:rPr>
          <w:rFonts w:ascii="Garamond" w:eastAsia="Garamond" w:hAnsi="Garamond" w:cs="Garamond"/>
        </w:rPr>
        <w:t xml:space="preserve">centers </w:t>
      </w:r>
      <w:r>
        <w:rPr>
          <w:rFonts w:ascii="Garamond" w:eastAsia="Garamond" w:hAnsi="Garamond" w:cs="Garamond"/>
        </w:rPr>
        <w:t xml:space="preserve">didn’t require showing ID. </w:t>
      </w:r>
    </w:p>
    <w:p w14:paraId="7E8815FC" w14:textId="77777777" w:rsidR="007618B5" w:rsidRDefault="007618B5" w:rsidP="007618B5">
      <w:pPr>
        <w:pBdr>
          <w:top w:val="nil"/>
          <w:left w:val="nil"/>
          <w:bottom w:val="nil"/>
          <w:right w:val="nil"/>
          <w:between w:val="nil"/>
        </w:pBdr>
        <w:spacing w:line="276" w:lineRule="auto"/>
        <w:ind w:left="426"/>
        <w:jc w:val="both"/>
        <w:rPr>
          <w:rFonts w:ascii="Garamond" w:eastAsia="Garamond" w:hAnsi="Garamond" w:cs="Garamond"/>
        </w:rPr>
      </w:pPr>
    </w:p>
    <w:p w14:paraId="0147A71B" w14:textId="10DEF7C1" w:rsidR="007618B5" w:rsidRDefault="0058654B" w:rsidP="007618B5">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On Meta’s end, Meta explained to the Board that both posts violated the </w:t>
      </w:r>
      <w:r w:rsidRPr="0058654B">
        <w:rPr>
          <w:rFonts w:ascii="Garamond" w:eastAsia="Garamond" w:hAnsi="Garamond" w:cs="Garamond"/>
        </w:rPr>
        <w:t>Coordinating Harm and Promoting Crime</w:t>
      </w:r>
      <w:r>
        <w:rPr>
          <w:rFonts w:ascii="Garamond" w:eastAsia="Garamond" w:hAnsi="Garamond" w:cs="Garamond"/>
        </w:rPr>
        <w:t xml:space="preserve"> prohibition on </w:t>
      </w:r>
      <w:r w:rsidRPr="0058654B">
        <w:rPr>
          <w:rFonts w:ascii="Garamond" w:eastAsia="Garamond" w:hAnsi="Garamond" w:cs="Garamond"/>
        </w:rPr>
        <w:t xml:space="preserve"> “advocating, providing instructions for, or demonstrating explicit intent to illegally participate in a voting or census process</w:t>
      </w:r>
      <w:r>
        <w:rPr>
          <w:rFonts w:ascii="Garamond" w:eastAsia="Garamond" w:hAnsi="Garamond" w:cs="Garamond"/>
        </w:rPr>
        <w:t>.</w:t>
      </w:r>
      <w:r w:rsidRPr="0058654B">
        <w:rPr>
          <w:rFonts w:ascii="Garamond" w:eastAsia="Garamond" w:hAnsi="Garamond" w:cs="Garamond"/>
        </w:rPr>
        <w:t>”</w:t>
      </w:r>
      <w:r>
        <w:rPr>
          <w:rFonts w:ascii="Garamond" w:eastAsia="Garamond" w:hAnsi="Garamond" w:cs="Garamond"/>
        </w:rPr>
        <w:t xml:space="preserve"> [p. 8] Meta’s internal guideline instructs that Meta’s voting interference policies apply to elections and referendum and that the term illegal voting includes but is not limited to </w:t>
      </w:r>
      <w:r w:rsidRPr="0058654B">
        <w:rPr>
          <w:rFonts w:ascii="Garamond" w:eastAsia="Garamond" w:hAnsi="Garamond" w:cs="Garamond"/>
        </w:rPr>
        <w:t>“(a) voting twice; (b) fabricating voting information to vote in a place where you are not eligible; (c) fabricating your voting eligibility; and (d) stealing ballots.”</w:t>
      </w:r>
      <w:r>
        <w:rPr>
          <w:rFonts w:ascii="Garamond" w:eastAsia="Garamond" w:hAnsi="Garamond" w:cs="Garamond"/>
        </w:rPr>
        <w:t xml:space="preserve"> [p. 8]</w:t>
      </w:r>
    </w:p>
    <w:p w14:paraId="499DB7AB" w14:textId="08B5E8CC" w:rsidR="0058654B" w:rsidRDefault="00E21EF5" w:rsidP="00DA6F24">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lastRenderedPageBreak/>
        <w:t>For the first post, Meta explained that the phrase “vote often” usually referred to illegal double voting. During the company’s analysis of the cont</w:t>
      </w:r>
      <w:r w:rsidR="00435F14">
        <w:rPr>
          <w:rFonts w:ascii="Garamond" w:eastAsia="Garamond" w:hAnsi="Garamond" w:cs="Garamond"/>
        </w:rPr>
        <w:t>ent, Meta found that the phrase was not intended as humor or satire but rather a promotion of the user’s political preference as they asked people to vote “no”.</w:t>
      </w:r>
      <w:r w:rsidR="002D37F2">
        <w:rPr>
          <w:rFonts w:ascii="Garamond" w:eastAsia="Garamond" w:hAnsi="Garamond" w:cs="Garamond"/>
        </w:rPr>
        <w:t xml:space="preserve"> Regarding the second post, Meta found the phrase “smash the voting centers” to violate t</w:t>
      </w:r>
      <w:r w:rsidR="002D37F2" w:rsidRPr="002D37F2">
        <w:rPr>
          <w:rFonts w:ascii="Garamond" w:eastAsia="Garamond" w:hAnsi="Garamond" w:cs="Garamond"/>
        </w:rPr>
        <w:t>he Coordinating Harm and Promoting Crime policy line</w:t>
      </w:r>
      <w:r w:rsidR="002D37F2">
        <w:rPr>
          <w:rFonts w:ascii="Garamond" w:eastAsia="Garamond" w:hAnsi="Garamond" w:cs="Garamond"/>
        </w:rPr>
        <w:t xml:space="preserve"> as it advocated illegal voting through double voting.</w:t>
      </w:r>
    </w:p>
    <w:p w14:paraId="20FB07C1" w14:textId="77777777" w:rsidR="002D37F2" w:rsidRDefault="002D37F2" w:rsidP="00DA6F24">
      <w:pPr>
        <w:pBdr>
          <w:top w:val="nil"/>
          <w:left w:val="nil"/>
          <w:bottom w:val="nil"/>
          <w:right w:val="nil"/>
          <w:between w:val="nil"/>
        </w:pBdr>
        <w:spacing w:line="276" w:lineRule="auto"/>
        <w:ind w:left="426"/>
        <w:jc w:val="both"/>
        <w:rPr>
          <w:rFonts w:ascii="Garamond" w:eastAsia="Garamond" w:hAnsi="Garamond" w:cs="Garamond"/>
        </w:rPr>
      </w:pPr>
    </w:p>
    <w:p w14:paraId="2996CAD4" w14:textId="3FA2F358" w:rsidR="006E41B4" w:rsidRDefault="006E41B4" w:rsidP="00DA6F24">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Meta clarified it considered the </w:t>
      </w:r>
      <w:r w:rsidR="00F20DFD">
        <w:rPr>
          <w:rFonts w:ascii="Garamond" w:eastAsia="Garamond" w:hAnsi="Garamond" w:cs="Garamond"/>
        </w:rPr>
        <w:t>figurative</w:t>
      </w:r>
      <w:r w:rsidR="00F20DFD" w:rsidRPr="00F20DFD">
        <w:rPr>
          <w:rFonts w:ascii="Garamond" w:eastAsia="Garamond" w:hAnsi="Garamond" w:cs="Garamond"/>
        </w:rPr>
        <w:t xml:space="preserve"> </w:t>
      </w:r>
      <w:r w:rsidR="00F20DFD">
        <w:rPr>
          <w:rFonts w:ascii="Garamond" w:eastAsia="Garamond" w:hAnsi="Garamond" w:cs="Garamond"/>
        </w:rPr>
        <w:t>interpterion</w:t>
      </w:r>
      <w:r w:rsidR="00111425">
        <w:rPr>
          <w:rFonts w:ascii="Garamond" w:eastAsia="Garamond" w:hAnsi="Garamond" w:cs="Garamond"/>
        </w:rPr>
        <w:t xml:space="preserve"> of the second post</w:t>
      </w:r>
      <w:r w:rsidR="00F20DFD">
        <w:rPr>
          <w:rFonts w:ascii="Garamond" w:eastAsia="Garamond" w:hAnsi="Garamond" w:cs="Garamond"/>
        </w:rPr>
        <w:t xml:space="preserve"> as the literal interpterion</w:t>
      </w:r>
      <w:r w:rsidR="00111425">
        <w:rPr>
          <w:rFonts w:ascii="Garamond" w:eastAsia="Garamond" w:hAnsi="Garamond" w:cs="Garamond"/>
        </w:rPr>
        <w:t xml:space="preserve"> would violate the Violence and Incitement policy for constituting a threat of high-severity violence related to voting and against a building where people could die or be severely injured.</w:t>
      </w:r>
    </w:p>
    <w:p w14:paraId="62184954" w14:textId="77777777" w:rsidR="00111425" w:rsidRDefault="00111425" w:rsidP="00DA6F24">
      <w:pPr>
        <w:pBdr>
          <w:top w:val="nil"/>
          <w:left w:val="nil"/>
          <w:bottom w:val="nil"/>
          <w:right w:val="nil"/>
          <w:between w:val="nil"/>
        </w:pBdr>
        <w:spacing w:line="276" w:lineRule="auto"/>
        <w:ind w:left="426"/>
        <w:jc w:val="both"/>
        <w:rPr>
          <w:rFonts w:ascii="Garamond" w:eastAsia="Garamond" w:hAnsi="Garamond" w:cs="Garamond"/>
        </w:rPr>
      </w:pPr>
    </w:p>
    <w:p w14:paraId="241993CB" w14:textId="0A4A9B79" w:rsidR="00111425" w:rsidRDefault="00111425" w:rsidP="00DA6F24">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To prepare to the referendum, Meta formed a cross-functional team consisting of</w:t>
      </w:r>
      <w:r w:rsidRPr="00111425">
        <w:rPr>
          <w:rFonts w:ascii="Garamond" w:eastAsia="Garamond" w:hAnsi="Garamond" w:cs="Garamond"/>
        </w:rPr>
        <w:t xml:space="preserve"> Asia Pacific-based teams</w:t>
      </w:r>
      <w:r>
        <w:rPr>
          <w:rFonts w:ascii="Garamond" w:eastAsia="Garamond" w:hAnsi="Garamond" w:cs="Garamond"/>
        </w:rPr>
        <w:t>.</w:t>
      </w:r>
      <w:r w:rsidR="005F38E9">
        <w:rPr>
          <w:rFonts w:ascii="Garamond" w:eastAsia="Garamond" w:hAnsi="Garamond" w:cs="Garamond"/>
        </w:rPr>
        <w:t xml:space="preserve"> Additionally, during the final week of campaigning Meta formed a </w:t>
      </w:r>
      <w:r w:rsidR="005F38E9" w:rsidRPr="005F38E9">
        <w:rPr>
          <w:rFonts w:ascii="Garamond" w:eastAsia="Garamond" w:hAnsi="Garamond" w:cs="Garamond"/>
        </w:rPr>
        <w:t>virtual Integrity Product Operations Center (IPOC)</w:t>
      </w:r>
      <w:r w:rsidR="005F38E9">
        <w:rPr>
          <w:rFonts w:ascii="Garamond" w:eastAsia="Garamond" w:hAnsi="Garamond" w:cs="Garamond"/>
        </w:rPr>
        <w:t>, the IPOC included additional teams to respond to escalations and risks during a period of heighted tension.</w:t>
      </w:r>
      <w:r w:rsidR="0022070D">
        <w:rPr>
          <w:rFonts w:ascii="Garamond" w:eastAsia="Garamond" w:hAnsi="Garamond" w:cs="Garamond"/>
        </w:rPr>
        <w:t xml:space="preserve"> Meta further explained that the company’s keyword-based pipeline initiate automatically identifies and queues possible violating content for human review when it detects any of the keywords or phrases specified by Meta’s misinformation and </w:t>
      </w:r>
      <w:r w:rsidR="000879B4">
        <w:rPr>
          <w:rFonts w:ascii="Garamond" w:eastAsia="Garamond" w:hAnsi="Garamond" w:cs="Garamond"/>
        </w:rPr>
        <w:t>regional teams. According to Meta, the primary function of the keyword-based detection system is “</w:t>
      </w:r>
      <w:r w:rsidR="000879B4" w:rsidRPr="000879B4">
        <w:rPr>
          <w:rFonts w:ascii="Garamond" w:eastAsia="Garamond" w:hAnsi="Garamond" w:cs="Garamond"/>
        </w:rPr>
        <w:t>to ensure the integrity of elections and referenda by systematically identifying and manually reviewing relevant content.”</w:t>
      </w:r>
      <w:r w:rsidR="000879B4">
        <w:rPr>
          <w:rFonts w:ascii="Garamond" w:eastAsia="Garamond" w:hAnsi="Garamond" w:cs="Garamond"/>
        </w:rPr>
        <w:t xml:space="preserve"> [p. 10]</w:t>
      </w:r>
      <w:r w:rsidR="00550A3A">
        <w:rPr>
          <w:rFonts w:ascii="Garamond" w:eastAsia="Garamond" w:hAnsi="Garamond" w:cs="Garamond"/>
        </w:rPr>
        <w:t xml:space="preserve"> The list of keywords is dynamic and changes according to the nature of each event. </w:t>
      </w:r>
    </w:p>
    <w:p w14:paraId="0D9BE8E4" w14:textId="77777777" w:rsidR="005F38E9" w:rsidRDefault="005F38E9" w:rsidP="00DA6F24">
      <w:pPr>
        <w:pBdr>
          <w:top w:val="nil"/>
          <w:left w:val="nil"/>
          <w:bottom w:val="nil"/>
          <w:right w:val="nil"/>
          <w:between w:val="nil"/>
        </w:pBdr>
        <w:spacing w:line="276" w:lineRule="auto"/>
        <w:ind w:left="426"/>
        <w:jc w:val="both"/>
        <w:rPr>
          <w:rFonts w:ascii="Garamond" w:eastAsia="Garamond" w:hAnsi="Garamond" w:cs="Garamond"/>
        </w:rPr>
      </w:pPr>
    </w:p>
    <w:p w14:paraId="57FCDBF8" w14:textId="74321F36" w:rsidR="00550A3A" w:rsidRDefault="00550A3A" w:rsidP="00DA6F24">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initiative aims to enforce </w:t>
      </w:r>
      <w:r w:rsidR="002D2282">
        <w:rPr>
          <w:rFonts w:ascii="Garamond" w:eastAsia="Garamond" w:hAnsi="Garamond" w:cs="Garamond"/>
        </w:rPr>
        <w:t xml:space="preserve">the </w:t>
      </w:r>
      <w:r w:rsidR="002D2282" w:rsidRPr="002D2282">
        <w:rPr>
          <w:rFonts w:ascii="Garamond" w:eastAsia="Garamond" w:hAnsi="Garamond" w:cs="Garamond"/>
        </w:rPr>
        <w:t>Coordinating Harm and Promoting Crime policy</w:t>
      </w:r>
      <w:r w:rsidR="002D2282">
        <w:rPr>
          <w:rFonts w:ascii="Garamond" w:eastAsia="Garamond" w:hAnsi="Garamond" w:cs="Garamond"/>
        </w:rPr>
        <w:t xml:space="preserve"> line related to voter fraud and the Misinformation policy line prohibiting voter interference. The keyword-based detection system dedicated to the Voice Referendum wasn’t designed to enforce any other </w:t>
      </w:r>
      <w:r w:rsidR="002C7FA3">
        <w:rPr>
          <w:rFonts w:ascii="Garamond" w:eastAsia="Garamond" w:hAnsi="Garamond" w:cs="Garamond"/>
        </w:rPr>
        <w:t>policies,</w:t>
      </w:r>
      <w:r w:rsidR="002D2282">
        <w:rPr>
          <w:rFonts w:ascii="Garamond" w:eastAsia="Garamond" w:hAnsi="Garamond" w:cs="Garamond"/>
        </w:rPr>
        <w:t xml:space="preserve"> but human reviewers can enforce other policies</w:t>
      </w:r>
      <w:r w:rsidR="002C7FA3">
        <w:rPr>
          <w:rFonts w:ascii="Garamond" w:eastAsia="Garamond" w:hAnsi="Garamond" w:cs="Garamond"/>
        </w:rPr>
        <w:t xml:space="preserve"> while reviewing possibly violating content. The phrases “double vote” and “vote multiple times” were the keywords that activated the detection system.</w:t>
      </w:r>
    </w:p>
    <w:p w14:paraId="6DF35943" w14:textId="77777777" w:rsidR="002C7FA3" w:rsidRDefault="002C7FA3" w:rsidP="00DA6F24">
      <w:pPr>
        <w:pBdr>
          <w:top w:val="nil"/>
          <w:left w:val="nil"/>
          <w:bottom w:val="nil"/>
          <w:right w:val="nil"/>
          <w:between w:val="nil"/>
        </w:pBdr>
        <w:spacing w:line="276" w:lineRule="auto"/>
        <w:ind w:left="426"/>
        <w:jc w:val="both"/>
        <w:rPr>
          <w:rFonts w:ascii="Garamond" w:eastAsia="Garamond" w:hAnsi="Garamond" w:cs="Garamond"/>
        </w:rPr>
      </w:pPr>
    </w:p>
    <w:p w14:paraId="510F3828" w14:textId="3F7C3018" w:rsidR="005F38E9" w:rsidRDefault="005F38E9" w:rsidP="00DA6F24">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selected this case to analyze Meta’s content moderation on voting misinformation and voter fraud due to the high number of elections in 2024. The Board analyzed whether Meta’s decisio</w:t>
      </w:r>
      <w:r w:rsidR="003844CA">
        <w:rPr>
          <w:rFonts w:ascii="Garamond" w:eastAsia="Garamond" w:hAnsi="Garamond" w:cs="Garamond"/>
        </w:rPr>
        <w:t>n was compatible with the C</w:t>
      </w:r>
      <w:r w:rsidR="003844CA" w:rsidRPr="002D37F2">
        <w:rPr>
          <w:rFonts w:ascii="Garamond" w:eastAsia="Garamond" w:hAnsi="Garamond" w:cs="Garamond"/>
        </w:rPr>
        <w:t>oordinating Harm and Promoting Crime</w:t>
      </w:r>
      <w:r w:rsidR="003844CA">
        <w:rPr>
          <w:rFonts w:ascii="Garamond" w:eastAsia="Garamond" w:hAnsi="Garamond" w:cs="Garamond"/>
        </w:rPr>
        <w:t xml:space="preserve"> and Meta’s obligations towards the right to freedom of expression.</w:t>
      </w:r>
    </w:p>
    <w:p w14:paraId="3B8F51D8"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0443AE3A" w14:textId="4DCCCA35" w:rsidR="00BC1499" w:rsidRPr="003844CA" w:rsidRDefault="00000000" w:rsidP="003844CA">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3844CA">
        <w:rPr>
          <w:rFonts w:ascii="Garamond" w:eastAsia="Garamond" w:hAnsi="Garamond" w:cs="Garamond"/>
        </w:rPr>
        <w:t xml:space="preserve">Compliance with Meta’s content </w:t>
      </w:r>
      <w:proofErr w:type="gramStart"/>
      <w:r w:rsidRPr="003844CA">
        <w:rPr>
          <w:rFonts w:ascii="Garamond" w:eastAsia="Garamond" w:hAnsi="Garamond" w:cs="Garamond"/>
        </w:rPr>
        <w:t>policies;</w:t>
      </w:r>
      <w:proofErr w:type="gramEnd"/>
    </w:p>
    <w:p w14:paraId="11719779" w14:textId="77777777" w:rsidR="003844CA" w:rsidRDefault="003844CA" w:rsidP="003844CA">
      <w:pPr>
        <w:pBdr>
          <w:top w:val="nil"/>
          <w:left w:val="nil"/>
          <w:bottom w:val="nil"/>
          <w:right w:val="nil"/>
          <w:between w:val="nil"/>
        </w:pBdr>
        <w:spacing w:line="276" w:lineRule="auto"/>
        <w:jc w:val="both"/>
        <w:rPr>
          <w:rFonts w:ascii="Garamond" w:eastAsia="Garamond" w:hAnsi="Garamond" w:cs="Garamond"/>
        </w:rPr>
      </w:pPr>
    </w:p>
    <w:p w14:paraId="221C5E8C" w14:textId="629529C7" w:rsidR="003844CA" w:rsidRDefault="003844CA" w:rsidP="003844CA">
      <w:pPr>
        <w:pStyle w:val="ListParagraph"/>
        <w:numPr>
          <w:ilvl w:val="0"/>
          <w:numId w:val="13"/>
        </w:num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Content Rules</w:t>
      </w:r>
    </w:p>
    <w:p w14:paraId="3E94ADC4" w14:textId="77777777" w:rsidR="002C7FA3" w:rsidRDefault="002C7FA3" w:rsidP="002C7FA3">
      <w:pPr>
        <w:pBdr>
          <w:top w:val="nil"/>
          <w:left w:val="nil"/>
          <w:bottom w:val="nil"/>
          <w:right w:val="nil"/>
          <w:between w:val="nil"/>
        </w:pBdr>
        <w:spacing w:line="276" w:lineRule="auto"/>
        <w:jc w:val="both"/>
        <w:rPr>
          <w:rFonts w:ascii="Garamond" w:eastAsia="Garamond" w:hAnsi="Garamond" w:cs="Garamond"/>
          <w:i/>
          <w:iCs/>
        </w:rPr>
      </w:pPr>
    </w:p>
    <w:p w14:paraId="56FCFD5A" w14:textId="68862AED" w:rsidR="002C7FA3" w:rsidRDefault="002C7FA3" w:rsidP="002C7FA3">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found both posts violating of t</w:t>
      </w:r>
      <w:r w:rsidRPr="002C7FA3">
        <w:rPr>
          <w:rFonts w:ascii="Garamond" w:eastAsia="Garamond" w:hAnsi="Garamond" w:cs="Garamond"/>
        </w:rPr>
        <w:t>he Coordinating Harm and Promoting Crime policy</w:t>
      </w:r>
      <w:r>
        <w:rPr>
          <w:rFonts w:ascii="Garamond" w:eastAsia="Garamond" w:hAnsi="Garamond" w:cs="Garamond"/>
        </w:rPr>
        <w:t xml:space="preserve"> as they advocated for illegal voting. For the first post, the Board stated that the phrase “vote often” with a screenshot of the AEC’s post on X was a clear call to engage in the practice. </w:t>
      </w:r>
      <w:r w:rsidR="00A964A3">
        <w:rPr>
          <w:rFonts w:ascii="Garamond" w:eastAsia="Garamond" w:hAnsi="Garamond" w:cs="Garamond"/>
        </w:rPr>
        <w:t xml:space="preserve">Regarding the second post, the Board highlighted that while the user could be expression their frustration with the AEC allowed double voting, the caption read with the text overly was more reasonably interpreted as a call for people to flood voting canters with double voting. This interpterion was further supported by the fact that voting in Australia is mandatory and the user’s request for people to vote “No”. </w:t>
      </w:r>
    </w:p>
    <w:p w14:paraId="2241F9D0" w14:textId="77777777" w:rsidR="00A964A3" w:rsidRDefault="00A964A3" w:rsidP="002C7FA3">
      <w:pPr>
        <w:pBdr>
          <w:top w:val="nil"/>
          <w:left w:val="nil"/>
          <w:bottom w:val="nil"/>
          <w:right w:val="nil"/>
          <w:between w:val="nil"/>
        </w:pBdr>
        <w:spacing w:line="276" w:lineRule="auto"/>
        <w:ind w:left="426"/>
        <w:jc w:val="both"/>
        <w:rPr>
          <w:rFonts w:ascii="Garamond" w:eastAsia="Garamond" w:hAnsi="Garamond" w:cs="Garamond"/>
        </w:rPr>
      </w:pPr>
    </w:p>
    <w:p w14:paraId="010F0EDD" w14:textId="77777777" w:rsidR="00351457" w:rsidRDefault="00A964A3" w:rsidP="002C7FA3">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recognized that the posts could have been made satirically, however, their satirical intent was not explicit. </w:t>
      </w:r>
      <w:r w:rsidR="00351457">
        <w:rPr>
          <w:rFonts w:ascii="Garamond" w:eastAsia="Garamond" w:hAnsi="Garamond" w:cs="Garamond"/>
        </w:rPr>
        <w:t xml:space="preserve">The Board concluded that the language of the captions and text overlay indicate the posts were implicitly satirical as the posts were pleas for illegal multiple voting. The Board emphasized that Meta’s humor </w:t>
      </w:r>
      <w:r w:rsidR="00351457">
        <w:rPr>
          <w:rFonts w:ascii="Garamond" w:eastAsia="Garamond" w:hAnsi="Garamond" w:cs="Garamond"/>
        </w:rPr>
        <w:lastRenderedPageBreak/>
        <w:t>or satire exception should only be applied when content is explicitly humorous to mitigate the risks association with voter fraud. Therefore, the Board found that neither of the posts qualified for the satire exception.</w:t>
      </w:r>
    </w:p>
    <w:p w14:paraId="2995D131" w14:textId="77777777" w:rsidR="00351457" w:rsidRDefault="00351457" w:rsidP="002C7FA3">
      <w:pPr>
        <w:pBdr>
          <w:top w:val="nil"/>
          <w:left w:val="nil"/>
          <w:bottom w:val="nil"/>
          <w:right w:val="nil"/>
          <w:between w:val="nil"/>
        </w:pBdr>
        <w:spacing w:line="276" w:lineRule="auto"/>
        <w:ind w:left="426"/>
        <w:jc w:val="both"/>
        <w:rPr>
          <w:rFonts w:ascii="Garamond" w:eastAsia="Garamond" w:hAnsi="Garamond" w:cs="Garamond"/>
        </w:rPr>
      </w:pPr>
    </w:p>
    <w:p w14:paraId="6120F9A1" w14:textId="7B12F503" w:rsidR="00A964A3" w:rsidRDefault="00AC066D" w:rsidP="002C7FA3">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Additionally, the Board found that the posts didn’t qualify for </w:t>
      </w:r>
      <w:r w:rsidRPr="00AC066D">
        <w:rPr>
          <w:rFonts w:ascii="Garamond" w:eastAsia="Garamond" w:hAnsi="Garamond" w:cs="Garamond"/>
        </w:rPr>
        <w:t>awareness-raising exception</w:t>
      </w:r>
      <w:r>
        <w:rPr>
          <w:rFonts w:ascii="Garamond" w:eastAsia="Garamond" w:hAnsi="Garamond" w:cs="Garamond"/>
        </w:rPr>
        <w:t xml:space="preserve"> under the Coordinating </w:t>
      </w:r>
      <w:r w:rsidR="00351457">
        <w:rPr>
          <w:rFonts w:ascii="Garamond" w:eastAsia="Garamond" w:hAnsi="Garamond" w:cs="Garamond"/>
        </w:rPr>
        <w:t xml:space="preserve"> </w:t>
      </w:r>
      <w:r>
        <w:rPr>
          <w:rFonts w:ascii="Garamond" w:eastAsia="Garamond" w:hAnsi="Garamond" w:cs="Garamond"/>
        </w:rPr>
        <w:t>Harm and Promoting Crime policy</w:t>
      </w:r>
      <w:r w:rsidR="00613AFC">
        <w:rPr>
          <w:rFonts w:ascii="Garamond" w:eastAsia="Garamond" w:hAnsi="Garamond" w:cs="Garamond"/>
        </w:rPr>
        <w:t xml:space="preserve">. The Board saw that the posts went beyond calling attention to possible voter fraud and actively encourage other to double vote. The Board underlined that the posts didn’t contain the additional information shared by the AEC in the same thread on X that double voting was an offence in Australia thus decontextualizing the AEC’s posts to imply the AEC was saying that double voting was permissible. </w:t>
      </w:r>
    </w:p>
    <w:p w14:paraId="177ADF9F" w14:textId="77777777" w:rsidR="009F0122" w:rsidRDefault="009F0122" w:rsidP="002C7FA3">
      <w:pPr>
        <w:pBdr>
          <w:top w:val="nil"/>
          <w:left w:val="nil"/>
          <w:bottom w:val="nil"/>
          <w:right w:val="nil"/>
          <w:between w:val="nil"/>
        </w:pBdr>
        <w:spacing w:line="276" w:lineRule="auto"/>
        <w:ind w:left="426"/>
        <w:jc w:val="both"/>
        <w:rPr>
          <w:rFonts w:ascii="Garamond" w:eastAsia="Garamond" w:hAnsi="Garamond" w:cs="Garamond"/>
        </w:rPr>
      </w:pPr>
    </w:p>
    <w:p w14:paraId="6A23AC08" w14:textId="4E925F1A" w:rsidR="009F0122" w:rsidRDefault="009F0122" w:rsidP="002C7FA3">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saw that a more literal interpretation of “smash” was not applicable as there was a lack of signals prompting such interpretation</w:t>
      </w:r>
      <w:r w:rsidR="00BD2404">
        <w:rPr>
          <w:rFonts w:ascii="Garamond" w:eastAsia="Garamond" w:hAnsi="Garamond" w:cs="Garamond"/>
        </w:rPr>
        <w:t xml:space="preserve"> and that the post didn’t violate Meta’s Violence and Incitement policy</w:t>
      </w:r>
      <w:r w:rsidR="00DF678B">
        <w:rPr>
          <w:rFonts w:ascii="Garamond" w:eastAsia="Garamond" w:hAnsi="Garamond" w:cs="Garamond"/>
        </w:rPr>
        <w:t xml:space="preserve">. The Board analyzed whether the posts violated the Misinformation policy, however, the Board concluded that the Coordinating Harm and Promoting Crime policy was the applicable policy as both users encouraged voter fraud. </w:t>
      </w:r>
    </w:p>
    <w:p w14:paraId="53FB8489" w14:textId="77777777" w:rsidR="00DF678B" w:rsidRDefault="00DF678B" w:rsidP="002C7FA3">
      <w:pPr>
        <w:pBdr>
          <w:top w:val="nil"/>
          <w:left w:val="nil"/>
          <w:bottom w:val="nil"/>
          <w:right w:val="nil"/>
          <w:between w:val="nil"/>
        </w:pBdr>
        <w:spacing w:line="276" w:lineRule="auto"/>
        <w:ind w:left="426"/>
        <w:jc w:val="both"/>
        <w:rPr>
          <w:rFonts w:ascii="Garamond" w:eastAsia="Garamond" w:hAnsi="Garamond" w:cs="Garamond"/>
        </w:rPr>
      </w:pPr>
    </w:p>
    <w:p w14:paraId="6CE82616" w14:textId="43C97F67" w:rsidR="00DF678B" w:rsidRDefault="00DF678B" w:rsidP="00DF678B">
      <w:pPr>
        <w:pStyle w:val="ListParagraph"/>
        <w:numPr>
          <w:ilvl w:val="0"/>
          <w:numId w:val="13"/>
        </w:num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Enforcement Action</w:t>
      </w:r>
    </w:p>
    <w:p w14:paraId="66C2F3C6" w14:textId="77777777" w:rsidR="00DF678B" w:rsidRPr="00DF678B" w:rsidRDefault="00DF678B" w:rsidP="00DF678B">
      <w:pPr>
        <w:pBdr>
          <w:top w:val="nil"/>
          <w:left w:val="nil"/>
          <w:bottom w:val="nil"/>
          <w:right w:val="nil"/>
          <w:between w:val="nil"/>
        </w:pBdr>
        <w:spacing w:line="276" w:lineRule="auto"/>
        <w:ind w:left="426"/>
        <w:jc w:val="both"/>
        <w:rPr>
          <w:rFonts w:ascii="Garamond" w:eastAsia="Garamond" w:hAnsi="Garamond" w:cs="Garamond"/>
          <w:i/>
          <w:iCs/>
        </w:rPr>
      </w:pPr>
    </w:p>
    <w:p w14:paraId="0B592827" w14:textId="0DD47751" w:rsidR="00DF678B" w:rsidRDefault="00C26D2A" w:rsidP="002C7FA3">
      <w:pPr>
        <w:pBdr>
          <w:top w:val="nil"/>
          <w:left w:val="nil"/>
          <w:bottom w:val="nil"/>
          <w:right w:val="nil"/>
          <w:between w:val="nil"/>
        </w:pBdr>
        <w:spacing w:line="276" w:lineRule="auto"/>
        <w:ind w:left="426"/>
        <w:jc w:val="both"/>
        <w:rPr>
          <w:rFonts w:ascii="Garamond" w:eastAsia="Garamond" w:hAnsi="Garamond" w:cs="Times New Roman"/>
        </w:rPr>
      </w:pPr>
      <w:r>
        <w:rPr>
          <w:rFonts w:ascii="Garamond" w:eastAsia="Garamond" w:hAnsi="Garamond" w:cs="Times New Roman"/>
        </w:rPr>
        <w:t>The Board acknowledged Meta’s integrity efforts for the Voice Referendum, including the keyword-based detection system. The Board appreciated the deployment of the keyword-based detection system in this case and how it detected the posts. The Board encouraged similar systems to be consistently applied in all countries undergoing elections. The Board recommended the initiative encompass voting interference under the Violence and Incitement policy in addition to the Coordinating Harm and Promoting Crime policy and the Misinformation policy.</w:t>
      </w:r>
    </w:p>
    <w:p w14:paraId="225DEB56" w14:textId="77777777" w:rsidR="00C26D2A" w:rsidRDefault="00C26D2A" w:rsidP="002C7FA3">
      <w:pPr>
        <w:pBdr>
          <w:top w:val="nil"/>
          <w:left w:val="nil"/>
          <w:bottom w:val="nil"/>
          <w:right w:val="nil"/>
          <w:between w:val="nil"/>
        </w:pBdr>
        <w:spacing w:line="276" w:lineRule="auto"/>
        <w:ind w:left="426"/>
        <w:jc w:val="both"/>
        <w:rPr>
          <w:rFonts w:ascii="Garamond" w:eastAsia="Garamond" w:hAnsi="Garamond" w:cs="Times New Roman"/>
        </w:rPr>
      </w:pPr>
    </w:p>
    <w:p w14:paraId="413B7646" w14:textId="43C5EDFA" w:rsidR="00BC1499" w:rsidRPr="000E50B8" w:rsidRDefault="00060CC4" w:rsidP="000E50B8">
      <w:pPr>
        <w:pBdr>
          <w:top w:val="nil"/>
          <w:left w:val="nil"/>
          <w:bottom w:val="nil"/>
          <w:right w:val="nil"/>
          <w:between w:val="nil"/>
        </w:pBdr>
        <w:spacing w:line="276" w:lineRule="auto"/>
        <w:ind w:left="426"/>
        <w:jc w:val="both"/>
        <w:rPr>
          <w:rFonts w:ascii="Garamond" w:eastAsia="Garamond" w:hAnsi="Garamond" w:cs="Times New Roman"/>
        </w:rPr>
      </w:pPr>
      <w:r>
        <w:rPr>
          <w:rFonts w:ascii="Garamond" w:eastAsia="Garamond" w:hAnsi="Garamond" w:cs="Times New Roman"/>
        </w:rPr>
        <w:t xml:space="preserve">The Board underlined its continuous evaluation of efficacy of Meta’s keyword-based system in other election-related cases due to the limitations of keyword-based approaches in detecting harmful content. The Board advised Meta to </w:t>
      </w:r>
      <w:r w:rsidRPr="00060CC4">
        <w:rPr>
          <w:rFonts w:ascii="Garamond" w:eastAsia="Garamond" w:hAnsi="Garamond" w:cs="Times New Roman"/>
        </w:rPr>
        <w:t xml:space="preserve">develop success metrics </w:t>
      </w:r>
      <w:r>
        <w:rPr>
          <w:rFonts w:ascii="Garamond" w:eastAsia="Garamond" w:hAnsi="Garamond" w:cs="Times New Roman"/>
        </w:rPr>
        <w:t xml:space="preserve">to </w:t>
      </w:r>
      <w:r w:rsidRPr="00060CC4">
        <w:rPr>
          <w:rFonts w:ascii="Garamond" w:eastAsia="Garamond" w:hAnsi="Garamond" w:cs="Times New Roman"/>
        </w:rPr>
        <w:t>assess</w:t>
      </w:r>
      <w:r>
        <w:rPr>
          <w:rFonts w:ascii="Garamond" w:eastAsia="Garamond" w:hAnsi="Garamond" w:cs="Times New Roman"/>
        </w:rPr>
        <w:t xml:space="preserve"> the</w:t>
      </w:r>
      <w:r w:rsidRPr="00060CC4">
        <w:rPr>
          <w:rFonts w:ascii="Garamond" w:eastAsia="Garamond" w:hAnsi="Garamond" w:cs="Times New Roman"/>
        </w:rPr>
        <w:t xml:space="preserve"> </w:t>
      </w:r>
      <w:r>
        <w:rPr>
          <w:rFonts w:ascii="Garamond" w:eastAsia="Garamond" w:hAnsi="Garamond" w:cs="Times New Roman"/>
        </w:rPr>
        <w:t>effectiveness of</w:t>
      </w:r>
      <w:r w:rsidRPr="00060CC4">
        <w:rPr>
          <w:rFonts w:ascii="Garamond" w:eastAsia="Garamond" w:hAnsi="Garamond" w:cs="Times New Roman"/>
        </w:rPr>
        <w:t xml:space="preserve"> the keyword-based detection system</w:t>
      </w:r>
      <w:r>
        <w:rPr>
          <w:rFonts w:ascii="Garamond" w:eastAsia="Garamond" w:hAnsi="Garamond" w:cs="Times New Roman"/>
        </w:rPr>
        <w:t xml:space="preserve"> at</w:t>
      </w:r>
      <w:r w:rsidRPr="00060CC4">
        <w:rPr>
          <w:rFonts w:ascii="Garamond" w:eastAsia="Garamond" w:hAnsi="Garamond" w:cs="Times New Roman"/>
        </w:rPr>
        <w:t xml:space="preserve"> identifying potentially violating content under election-relevant policies</w:t>
      </w:r>
      <w:r>
        <w:rPr>
          <w:rFonts w:ascii="Garamond" w:eastAsia="Garamond" w:hAnsi="Garamond" w:cs="Times New Roman"/>
        </w:rPr>
        <w:t xml:space="preserve"> in compliance with the Board’s recommendations in the </w:t>
      </w:r>
      <w:hyperlink r:id="rId10" w:history="1">
        <w:r w:rsidRPr="006D61DF">
          <w:rPr>
            <w:rStyle w:val="Hyperlink"/>
            <w:rFonts w:ascii="Garamond" w:eastAsia="Garamond" w:hAnsi="Garamond" w:cs="Times New Roman"/>
            <w:i/>
            <w:iCs/>
          </w:rPr>
          <w:t>Brazilian General’s Speech</w:t>
        </w:r>
      </w:hyperlink>
      <w:r>
        <w:rPr>
          <w:rFonts w:ascii="Garamond" w:eastAsia="Garamond" w:hAnsi="Garamond" w:cs="Times New Roman"/>
        </w:rPr>
        <w:t xml:space="preserve"> decision for Meta to develop a </w:t>
      </w:r>
      <w:r w:rsidR="006D61DF">
        <w:rPr>
          <w:rFonts w:ascii="Garamond" w:eastAsia="Garamond" w:hAnsi="Garamond" w:cs="Times New Roman"/>
        </w:rPr>
        <w:t>framework to evaluate</w:t>
      </w:r>
      <w:r>
        <w:rPr>
          <w:rFonts w:ascii="Garamond" w:eastAsia="Garamond" w:hAnsi="Garamond" w:cs="Times New Roman"/>
        </w:rPr>
        <w:t xml:space="preserve"> the company’s election integrity efforts.</w:t>
      </w:r>
    </w:p>
    <w:p w14:paraId="21352A1B" w14:textId="69A9CA32" w:rsidR="00BC1499" w:rsidRPr="000E50B8" w:rsidRDefault="00000000" w:rsidP="000E50B8">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0E50B8">
        <w:rPr>
          <w:rFonts w:ascii="Garamond" w:eastAsia="Garamond" w:hAnsi="Garamond" w:cs="Garamond"/>
        </w:rPr>
        <w:t>Compliance with Meta’s human rights responsibilities</w:t>
      </w:r>
    </w:p>
    <w:p w14:paraId="71102C11" w14:textId="029A2DE7" w:rsidR="000E50B8" w:rsidRPr="00312C09" w:rsidRDefault="000E50B8" w:rsidP="000E50B8">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utilized the three-part test stipulated in article 19 of </w:t>
      </w:r>
      <w:r w:rsidRPr="000E50B8">
        <w:rPr>
          <w:rFonts w:ascii="Garamond" w:eastAsia="Garamond" w:hAnsi="Garamond" w:cs="Garamond"/>
        </w:rPr>
        <w:t>the International Covenant on Civil and Political Rights (ICCPR)</w:t>
      </w:r>
      <w:r>
        <w:rPr>
          <w:rFonts w:ascii="Garamond" w:eastAsia="Garamond" w:hAnsi="Garamond" w:cs="Garamond"/>
        </w:rPr>
        <w:t xml:space="preserve"> to analyze whether the decision to remove the post was compatible with Meta’s human rights responsibilities.</w:t>
      </w:r>
      <w:r w:rsidR="00312C09">
        <w:rPr>
          <w:rFonts w:ascii="Garamond" w:eastAsia="Garamond" w:hAnsi="Garamond" w:cs="Garamond"/>
        </w:rPr>
        <w:t xml:space="preserve"> In previous cases, such as </w:t>
      </w:r>
      <w:hyperlink r:id="rId11" w:history="1">
        <w:r w:rsidR="00312C09" w:rsidRPr="00312C09">
          <w:rPr>
            <w:rStyle w:val="Hyperlink"/>
            <w:rFonts w:ascii="Garamond" w:eastAsia="Garamond" w:hAnsi="Garamond" w:cs="Garamond"/>
            <w:i/>
            <w:iCs/>
          </w:rPr>
          <w:t>Armenians in Azerbaijan</w:t>
        </w:r>
      </w:hyperlink>
      <w:r w:rsidR="00312C09">
        <w:rPr>
          <w:rFonts w:ascii="Garamond" w:eastAsia="Garamond" w:hAnsi="Garamond" w:cs="Garamond"/>
          <w:i/>
          <w:iCs/>
        </w:rPr>
        <w:t xml:space="preserve"> </w:t>
      </w:r>
      <w:r w:rsidR="00312C09">
        <w:rPr>
          <w:rFonts w:ascii="Garamond" w:eastAsia="Garamond" w:hAnsi="Garamond" w:cs="Garamond"/>
        </w:rPr>
        <w:t xml:space="preserve">and </w:t>
      </w:r>
      <w:hyperlink r:id="rId12" w:history="1">
        <w:r w:rsidR="00312C09" w:rsidRPr="00312C09">
          <w:rPr>
            <w:rStyle w:val="Hyperlink"/>
            <w:rFonts w:ascii="Garamond" w:eastAsia="Garamond" w:hAnsi="Garamond" w:cs="Garamond"/>
            <w:i/>
            <w:iCs/>
          </w:rPr>
          <w:t>Armenian Prisoners of War Video</w:t>
        </w:r>
      </w:hyperlink>
      <w:r w:rsidR="00312C09">
        <w:rPr>
          <w:rFonts w:ascii="Garamond" w:eastAsia="Garamond" w:hAnsi="Garamond" w:cs="Garamond"/>
        </w:rPr>
        <w:t xml:space="preserve">, the Board highlighted the report of </w:t>
      </w:r>
      <w:r w:rsidR="00312C09" w:rsidRPr="00312C09">
        <w:rPr>
          <w:rFonts w:ascii="Garamond" w:eastAsia="Garamond" w:hAnsi="Garamond" w:cs="Garamond"/>
        </w:rPr>
        <w:t>UN Special Rapporteur on freedom of expression</w:t>
      </w:r>
      <w:r w:rsidR="00312C09">
        <w:rPr>
          <w:rFonts w:ascii="Garamond" w:eastAsia="Garamond" w:hAnsi="Garamond" w:cs="Garamond"/>
        </w:rPr>
        <w:t xml:space="preserve"> that while obligations of companies differ from the obligations of states, they still have the obligation to protect their users’ right to freedom of expression due to their impact. </w:t>
      </w:r>
    </w:p>
    <w:p w14:paraId="223AC5E0" w14:textId="77777777" w:rsidR="000E50B8" w:rsidRPr="000E50B8" w:rsidRDefault="000E50B8" w:rsidP="000E50B8">
      <w:pPr>
        <w:pBdr>
          <w:top w:val="nil"/>
          <w:left w:val="nil"/>
          <w:bottom w:val="nil"/>
          <w:right w:val="nil"/>
          <w:between w:val="nil"/>
        </w:pBdr>
        <w:spacing w:line="276" w:lineRule="auto"/>
        <w:ind w:left="426"/>
        <w:jc w:val="both"/>
        <w:rPr>
          <w:rFonts w:ascii="Garamond" w:eastAsia="Garamond" w:hAnsi="Garamond" w:cs="Garamond"/>
        </w:rPr>
      </w:pPr>
    </w:p>
    <w:p w14:paraId="0F9D1D03" w14:textId="6DCA1EB8" w:rsidR="00BC1499" w:rsidRPr="00312C09" w:rsidRDefault="00000000" w:rsidP="00312C09">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312C09">
        <w:rPr>
          <w:rFonts w:ascii="Garamond" w:eastAsia="Garamond" w:hAnsi="Garamond" w:cs="Garamond"/>
        </w:rPr>
        <w:t>Legality (clarity and accessibility of the rules</w:t>
      </w:r>
      <w:proofErr w:type="gramStart"/>
      <w:r w:rsidRPr="00312C09">
        <w:rPr>
          <w:rFonts w:ascii="Garamond" w:eastAsia="Garamond" w:hAnsi="Garamond" w:cs="Garamond"/>
        </w:rPr>
        <w:t>);</w:t>
      </w:r>
      <w:proofErr w:type="gramEnd"/>
      <w:r w:rsidRPr="00312C09">
        <w:rPr>
          <w:rFonts w:ascii="Garamond" w:eastAsia="Garamond" w:hAnsi="Garamond" w:cs="Garamond"/>
        </w:rPr>
        <w:t xml:space="preserve"> </w:t>
      </w:r>
    </w:p>
    <w:p w14:paraId="70E3CA05" w14:textId="278C6274" w:rsidR="00312C09" w:rsidRDefault="004052E8" w:rsidP="00312C09">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For</w:t>
      </w:r>
      <w:r w:rsidR="00312C09">
        <w:rPr>
          <w:rFonts w:ascii="Garamond" w:eastAsia="Garamond" w:hAnsi="Garamond" w:cs="Garamond"/>
        </w:rPr>
        <w:t xml:space="preserve"> a restriction </w:t>
      </w:r>
      <w:r>
        <w:rPr>
          <w:rFonts w:ascii="Garamond" w:eastAsia="Garamond" w:hAnsi="Garamond" w:cs="Garamond"/>
        </w:rPr>
        <w:t xml:space="preserve">to be compatible with article 19 of the ICCPR it </w:t>
      </w:r>
      <w:r w:rsidR="00827439">
        <w:rPr>
          <w:rFonts w:ascii="Garamond" w:eastAsia="Garamond" w:hAnsi="Garamond" w:cs="Garamond"/>
        </w:rPr>
        <w:t>must</w:t>
      </w:r>
      <w:r>
        <w:rPr>
          <w:rFonts w:ascii="Garamond" w:eastAsia="Garamond" w:hAnsi="Garamond" w:cs="Garamond"/>
        </w:rPr>
        <w:t xml:space="preserve"> be based on a clear and accessible rule. The rules must be accessible to those enforcing them and those impacted by them. Social media users should be able to predict the consequences of their content for a rule to be clear.</w:t>
      </w:r>
    </w:p>
    <w:p w14:paraId="55698B98" w14:textId="77777777" w:rsidR="004052E8" w:rsidRDefault="004052E8" w:rsidP="00312C09">
      <w:pPr>
        <w:pBdr>
          <w:top w:val="nil"/>
          <w:left w:val="nil"/>
          <w:bottom w:val="nil"/>
          <w:right w:val="nil"/>
          <w:between w:val="nil"/>
        </w:pBdr>
        <w:spacing w:line="276" w:lineRule="auto"/>
        <w:ind w:left="426"/>
        <w:jc w:val="both"/>
        <w:rPr>
          <w:rFonts w:ascii="Garamond" w:eastAsia="Garamond" w:hAnsi="Garamond" w:cs="Garamond"/>
        </w:rPr>
      </w:pPr>
    </w:p>
    <w:p w14:paraId="7218C8F9" w14:textId="160CC19A" w:rsidR="004052E8" w:rsidRPr="00312C09" w:rsidRDefault="004052E8" w:rsidP="00312C09">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found that the public-facing language of </w:t>
      </w:r>
      <w:r w:rsidRPr="004052E8">
        <w:rPr>
          <w:rFonts w:ascii="Garamond" w:eastAsia="Garamond" w:hAnsi="Garamond" w:cs="Garamond"/>
        </w:rPr>
        <w:t>the Coordinating Harm and Promoting Crime</w:t>
      </w:r>
      <w:r>
        <w:rPr>
          <w:rFonts w:ascii="Garamond" w:eastAsia="Garamond" w:hAnsi="Garamond" w:cs="Garamond"/>
        </w:rPr>
        <w:t xml:space="preserve"> policy was not sufficiently clear for users as it didn’t include </w:t>
      </w:r>
      <w:r w:rsidR="00827439">
        <w:rPr>
          <w:rFonts w:ascii="Garamond" w:eastAsia="Garamond" w:hAnsi="Garamond" w:cs="Garamond"/>
        </w:rPr>
        <w:t xml:space="preserve">what constitutes illegal voting. The Board advised Meta to </w:t>
      </w:r>
      <w:r w:rsidR="00827439">
        <w:rPr>
          <w:rFonts w:ascii="Garamond" w:eastAsia="Garamond" w:hAnsi="Garamond" w:cs="Garamond"/>
        </w:rPr>
        <w:lastRenderedPageBreak/>
        <w:t xml:space="preserve">incorporate the clarification on what constitutes illegal voting in the internal guideline into the public-facing </w:t>
      </w:r>
      <w:r w:rsidR="00827439" w:rsidRPr="00827439">
        <w:rPr>
          <w:rFonts w:ascii="Garamond" w:eastAsia="Garamond" w:hAnsi="Garamond" w:cs="Garamond"/>
        </w:rPr>
        <w:t>Coordinating Harm and Promoting Crime</w:t>
      </w:r>
      <w:r w:rsidR="00827439">
        <w:rPr>
          <w:rFonts w:ascii="Garamond" w:eastAsia="Garamond" w:hAnsi="Garamond" w:cs="Garamond"/>
        </w:rPr>
        <w:t xml:space="preserve"> policy. </w:t>
      </w:r>
    </w:p>
    <w:p w14:paraId="196EAF58" w14:textId="3F46124E" w:rsidR="00BC1499" w:rsidRPr="00827439" w:rsidRDefault="00000000" w:rsidP="00827439">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827439">
        <w:rPr>
          <w:rFonts w:ascii="Garamond" w:eastAsia="Garamond" w:hAnsi="Garamond" w:cs="Garamond"/>
        </w:rPr>
        <w:t>Legitimate aim</w:t>
      </w:r>
    </w:p>
    <w:p w14:paraId="1A86C526" w14:textId="77777777" w:rsidR="00827439" w:rsidRDefault="00827439" w:rsidP="00827439">
      <w:pPr>
        <w:pBdr>
          <w:top w:val="nil"/>
          <w:left w:val="nil"/>
          <w:bottom w:val="nil"/>
          <w:right w:val="nil"/>
          <w:between w:val="nil"/>
        </w:pBdr>
        <w:spacing w:line="276" w:lineRule="auto"/>
        <w:jc w:val="both"/>
        <w:rPr>
          <w:rFonts w:ascii="Garamond" w:eastAsia="Garamond" w:hAnsi="Garamond" w:cs="Garamond"/>
        </w:rPr>
      </w:pPr>
    </w:p>
    <w:p w14:paraId="6499E189" w14:textId="771028AC" w:rsidR="00827439" w:rsidRPr="00827439" w:rsidRDefault="00827439" w:rsidP="00827439">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underlined that t</w:t>
      </w:r>
      <w:r w:rsidRPr="00827439">
        <w:rPr>
          <w:rFonts w:ascii="Garamond" w:eastAsia="Garamond" w:hAnsi="Garamond" w:cs="Garamond"/>
        </w:rPr>
        <w:t>he Coordinating Harm and Promoting Crime polic</w:t>
      </w:r>
      <w:r>
        <w:rPr>
          <w:rFonts w:ascii="Garamond" w:eastAsia="Garamond" w:hAnsi="Garamond" w:cs="Garamond"/>
        </w:rPr>
        <w:t xml:space="preserve">y aimed to protect the right to vote and to take part in the conduct of public affairs stipulated in article 25 of the ICCPR, which is a legitimate aim under article 19 of the convention. The Board found that the policy prohibits users encouraging engagement in voter fraud which further aims to protect the right to vote. Additionally, the policy preserves public order, another legitimate aim, by protecting democratic process from illegal </w:t>
      </w:r>
      <w:r w:rsidR="0031364A">
        <w:rPr>
          <w:rFonts w:ascii="Garamond" w:eastAsia="Garamond" w:hAnsi="Garamond" w:cs="Garamond"/>
        </w:rPr>
        <w:t>interference</w:t>
      </w:r>
      <w:r>
        <w:rPr>
          <w:rFonts w:ascii="Garamond" w:eastAsia="Garamond" w:hAnsi="Garamond" w:cs="Garamond"/>
        </w:rPr>
        <w:t>.</w:t>
      </w:r>
    </w:p>
    <w:p w14:paraId="46497FBC" w14:textId="4130B5A5" w:rsidR="00BC1499" w:rsidRPr="00827439" w:rsidRDefault="00000000" w:rsidP="00827439">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827439">
        <w:rPr>
          <w:rFonts w:ascii="Garamond" w:eastAsia="Garamond" w:hAnsi="Garamond" w:cs="Garamond"/>
        </w:rPr>
        <w:t>Necessity and proportionality</w:t>
      </w:r>
    </w:p>
    <w:p w14:paraId="6AF7D845" w14:textId="0BD69014" w:rsidR="00827439" w:rsidRDefault="0031364A" w:rsidP="00827439">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found the removal of both posts complied with the requirements of necessity and proportionality, stipulated in article 19 of the ICCPR. The Board noted that the content was posted “</w:t>
      </w:r>
      <w:r w:rsidRPr="0031364A">
        <w:rPr>
          <w:rFonts w:ascii="Garamond" w:eastAsia="Garamond" w:hAnsi="Garamond" w:cs="Garamond"/>
        </w:rPr>
        <w:t>days before an upcoming referendum that marked a significant constitutional moment in Australia, especially for the Aboriginal and Torres Strait Islander peoples</w:t>
      </w:r>
      <w:r>
        <w:rPr>
          <w:rFonts w:ascii="Garamond" w:eastAsia="Garamond" w:hAnsi="Garamond" w:cs="Garamond"/>
        </w:rPr>
        <w:t xml:space="preserve">.” [p.15] The Board acknowledged that political speech was a cornerstone of democratic processes and that the users were engaging in a public debate around the referendum, however, their calls to illegal voting behavior in the referendum impacted the right to vote and to take part in the conduct of public affairs of other Australians. </w:t>
      </w:r>
    </w:p>
    <w:p w14:paraId="662D1A6C" w14:textId="77777777" w:rsidR="0031364A" w:rsidRDefault="0031364A" w:rsidP="00827439">
      <w:pPr>
        <w:pBdr>
          <w:top w:val="nil"/>
          <w:left w:val="nil"/>
          <w:bottom w:val="nil"/>
          <w:right w:val="nil"/>
          <w:between w:val="nil"/>
        </w:pBdr>
        <w:spacing w:line="276" w:lineRule="auto"/>
        <w:ind w:left="426"/>
        <w:jc w:val="both"/>
        <w:rPr>
          <w:rFonts w:ascii="Garamond" w:eastAsia="Garamond" w:hAnsi="Garamond" w:cs="Garamond"/>
        </w:rPr>
      </w:pPr>
    </w:p>
    <w:p w14:paraId="2FC1173F" w14:textId="140EED09" w:rsidR="0031364A" w:rsidRDefault="0031364A" w:rsidP="00827439">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noted that while the calls to “vote No” constituted protected political speech, the phrase “vote often” in the first post and the phrase “smash the voting </w:t>
      </w:r>
      <w:proofErr w:type="spellStart"/>
      <w:r>
        <w:rPr>
          <w:rFonts w:ascii="Garamond" w:eastAsia="Garamond" w:hAnsi="Garamond" w:cs="Garamond"/>
        </w:rPr>
        <w:t>centres</w:t>
      </w:r>
      <w:proofErr w:type="spellEnd"/>
      <w:r>
        <w:rPr>
          <w:rFonts w:ascii="Garamond" w:eastAsia="Garamond" w:hAnsi="Garamond" w:cs="Garamond"/>
        </w:rPr>
        <w:t xml:space="preserve">” did not as they encouraged double voting, which was an illegal; voting practice. The Board consulted experts who noted that claims the Voice Referendum was rigged and claims of voter fraud where frequent. The Board found that Meta was correct to </w:t>
      </w:r>
      <w:r w:rsidR="000533EB">
        <w:rPr>
          <w:rFonts w:ascii="Garamond" w:eastAsia="Garamond" w:hAnsi="Garamond" w:cs="Garamond"/>
        </w:rPr>
        <w:t>protect</w:t>
      </w:r>
      <w:r>
        <w:rPr>
          <w:rFonts w:ascii="Garamond" w:eastAsia="Garamond" w:hAnsi="Garamond" w:cs="Garamond"/>
        </w:rPr>
        <w:t xml:space="preserve"> democratic processes by prohibiting </w:t>
      </w:r>
      <w:r w:rsidR="000533EB">
        <w:rPr>
          <w:rFonts w:ascii="Garamond" w:eastAsia="Garamond" w:hAnsi="Garamond" w:cs="Garamond"/>
        </w:rPr>
        <w:t xml:space="preserve">content encouraging </w:t>
      </w:r>
      <w:r>
        <w:rPr>
          <w:rFonts w:ascii="Garamond" w:eastAsia="Garamond" w:hAnsi="Garamond" w:cs="Garamond"/>
        </w:rPr>
        <w:t>voter fraud on its platforms</w:t>
      </w:r>
      <w:r w:rsidR="000533EB">
        <w:rPr>
          <w:rFonts w:ascii="Garamond" w:eastAsia="Garamond" w:hAnsi="Garamond" w:cs="Garamond"/>
        </w:rPr>
        <w:t xml:space="preserve">, as the circulation of such content could jeopardize the integrity of electoral processes. </w:t>
      </w:r>
    </w:p>
    <w:p w14:paraId="1E778E25" w14:textId="77777777" w:rsidR="000533EB" w:rsidRDefault="000533EB" w:rsidP="00827439">
      <w:pPr>
        <w:pBdr>
          <w:top w:val="nil"/>
          <w:left w:val="nil"/>
          <w:bottom w:val="nil"/>
          <w:right w:val="nil"/>
          <w:between w:val="nil"/>
        </w:pBdr>
        <w:spacing w:line="276" w:lineRule="auto"/>
        <w:ind w:left="426"/>
        <w:jc w:val="both"/>
        <w:rPr>
          <w:rFonts w:ascii="Garamond" w:eastAsia="Garamond" w:hAnsi="Garamond" w:cs="Garamond"/>
        </w:rPr>
      </w:pPr>
    </w:p>
    <w:p w14:paraId="4A486F8E" w14:textId="32B7DA10" w:rsidR="000533EB" w:rsidRPr="00827439" w:rsidRDefault="000533EB" w:rsidP="000533EB">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noted that Meta’s approach to expect clear intentions from users when enforcing exceptions to be sensible. The Board found to clear indications that the phrases “vote often” and “smash the voting </w:t>
      </w:r>
      <w:proofErr w:type="spellStart"/>
      <w:r>
        <w:rPr>
          <w:rFonts w:ascii="Garamond" w:eastAsia="Garamond" w:hAnsi="Garamond" w:cs="Garamond"/>
        </w:rPr>
        <w:t>centres</w:t>
      </w:r>
      <w:proofErr w:type="spellEnd"/>
      <w:r>
        <w:rPr>
          <w:rFonts w:ascii="Garamond" w:eastAsia="Garamond" w:hAnsi="Garamond" w:cs="Garamond"/>
        </w:rPr>
        <w:t>” were meant rhetorically instead of advocating for double voting. Therefore, the Board found the removals of the posts necessary and proportionate.</w:t>
      </w:r>
    </w:p>
    <w:p w14:paraId="0CB6350E" w14:textId="77777777" w:rsidR="00BC1499" w:rsidRDefault="00BC1499">
      <w:pPr>
        <w:widowControl w:val="0"/>
        <w:rPr>
          <w:rFonts w:ascii="Georgia" w:eastAsia="Georgia" w:hAnsi="Georgia" w:cs="Georgia"/>
          <w:i/>
          <w:color w:val="445264"/>
          <w:highlight w:val="white"/>
        </w:rPr>
      </w:pPr>
    </w:p>
    <w:p w14:paraId="451E00D3" w14:textId="52356F07" w:rsidR="00BC1499" w:rsidRDefault="00000000" w:rsidP="000533EB">
      <w:pPr>
        <w:widowControl w:val="0"/>
        <w:rPr>
          <w:rFonts w:ascii="Garamond" w:eastAsia="Garamond" w:hAnsi="Garamond" w:cs="Garamond"/>
        </w:rPr>
      </w:pPr>
      <w:r>
        <w:rPr>
          <w:rFonts w:ascii="Garamond" w:eastAsia="Garamond" w:hAnsi="Garamond" w:cs="Garamond"/>
          <w:i/>
          <w:u w:val="single"/>
        </w:rPr>
        <w:t xml:space="preserve">Policy advisory statement: </w:t>
      </w:r>
      <w:r>
        <w:rPr>
          <w:rFonts w:ascii="Garamond" w:eastAsia="Garamond" w:hAnsi="Garamond" w:cs="Garamond"/>
        </w:rPr>
        <w:t xml:space="preserve"> </w:t>
      </w:r>
    </w:p>
    <w:p w14:paraId="0712D720" w14:textId="7C4D5E4B" w:rsidR="000533EB" w:rsidRDefault="000533EB" w:rsidP="000533EB">
      <w:pPr>
        <w:widowControl w:val="0"/>
        <w:ind w:left="426"/>
        <w:rPr>
          <w:rFonts w:ascii="Garamond" w:eastAsia="Garamond" w:hAnsi="Garamond" w:cs="Garamond"/>
        </w:rPr>
      </w:pPr>
      <w:r>
        <w:rPr>
          <w:rFonts w:ascii="Garamond" w:eastAsia="Garamond" w:hAnsi="Garamond" w:cs="Garamond"/>
        </w:rPr>
        <w:t xml:space="preserve">The Board recommended Meta to </w:t>
      </w:r>
      <w:r w:rsidRPr="000533EB">
        <w:rPr>
          <w:rFonts w:ascii="Garamond" w:eastAsia="Garamond" w:hAnsi="Garamond" w:cs="Garamond"/>
        </w:rPr>
        <w:t>incorporate its definition of the term “illegal voting” into the public-facing language of the policy</w:t>
      </w:r>
      <w:r>
        <w:rPr>
          <w:rFonts w:ascii="Garamond" w:eastAsia="Garamond" w:hAnsi="Garamond" w:cs="Garamond"/>
        </w:rPr>
        <w:t xml:space="preserve"> to ensure users are fully aware of which content is prohibited under the “Voter and/or census fraud” section of t</w:t>
      </w:r>
      <w:r w:rsidRPr="000533EB">
        <w:rPr>
          <w:rFonts w:ascii="Garamond" w:eastAsia="Garamond" w:hAnsi="Garamond" w:cs="Garamond"/>
        </w:rPr>
        <w:t>he Coordinating Harm and Promoting Crime Community Standard</w:t>
      </w:r>
      <w:r>
        <w:rPr>
          <w:rFonts w:ascii="Garamond" w:eastAsia="Garamond" w:hAnsi="Garamond" w:cs="Garamond"/>
        </w:rPr>
        <w:t>.</w:t>
      </w:r>
    </w:p>
    <w:p w14:paraId="2B1274F9" w14:textId="77777777" w:rsidR="00BC1499" w:rsidRDefault="00BC1499">
      <w:pPr>
        <w:widowControl w:val="0"/>
        <w:rPr>
          <w:rFonts w:ascii="Garamond" w:eastAsia="Garamond" w:hAnsi="Garamond" w:cs="Garamond"/>
        </w:rPr>
      </w:pPr>
    </w:p>
    <w:p w14:paraId="7E1E3185" w14:textId="3F274C5F" w:rsidR="00BC1499" w:rsidRDefault="00000000">
      <w:pPr>
        <w:widowControl w:val="0"/>
        <w:jc w:val="both"/>
        <w:rPr>
          <w:rFonts w:ascii="Garamond" w:eastAsia="Garamond" w:hAnsi="Garamond" w:cs="Garamond"/>
        </w:rPr>
      </w:pPr>
      <w:r>
        <w:rPr>
          <w:rFonts w:ascii="Garamond" w:eastAsia="Garamond" w:hAnsi="Garamond" w:cs="Garamond"/>
          <w:i/>
          <w:u w:val="single"/>
        </w:rPr>
        <w:t xml:space="preserve">Dissenting or Concurring Opinions: </w:t>
      </w:r>
    </w:p>
    <w:p w14:paraId="454602B7" w14:textId="77777777" w:rsidR="000533EB" w:rsidRDefault="000533EB">
      <w:pPr>
        <w:widowControl w:val="0"/>
        <w:jc w:val="both"/>
        <w:rPr>
          <w:rFonts w:ascii="Garamond" w:eastAsia="Garamond" w:hAnsi="Garamond" w:cs="Garamond"/>
        </w:rPr>
      </w:pPr>
    </w:p>
    <w:p w14:paraId="0228F724" w14:textId="7DCAC1A7" w:rsidR="000533EB" w:rsidRDefault="000533EB" w:rsidP="000533EB">
      <w:pPr>
        <w:widowControl w:val="0"/>
        <w:ind w:left="426"/>
        <w:jc w:val="both"/>
        <w:rPr>
          <w:rFonts w:ascii="Garamond" w:eastAsia="Garamond" w:hAnsi="Garamond" w:cs="Garamond"/>
        </w:rPr>
      </w:pPr>
      <w:r>
        <w:rPr>
          <w:rFonts w:ascii="Garamond" w:eastAsia="Garamond" w:hAnsi="Garamond" w:cs="Garamond"/>
        </w:rPr>
        <w:t xml:space="preserve">A minority of the Board considered the removal of the post containing “smash the voting </w:t>
      </w:r>
      <w:proofErr w:type="spellStart"/>
      <w:r>
        <w:rPr>
          <w:rFonts w:ascii="Garamond" w:eastAsia="Garamond" w:hAnsi="Garamond" w:cs="Garamond"/>
        </w:rPr>
        <w:t>centres</w:t>
      </w:r>
      <w:proofErr w:type="spellEnd"/>
      <w:r>
        <w:rPr>
          <w:rFonts w:ascii="Garamond" w:eastAsia="Garamond" w:hAnsi="Garamond" w:cs="Garamond"/>
        </w:rPr>
        <w:t xml:space="preserve">” unnecessary and disproportionate as Meta failed to establish a direct and immediate connection between the expression and the threat. The minority saw that the call “to smash the voting </w:t>
      </w:r>
      <w:proofErr w:type="spellStart"/>
      <w:r>
        <w:rPr>
          <w:rFonts w:ascii="Garamond" w:eastAsia="Garamond" w:hAnsi="Garamond" w:cs="Garamond"/>
        </w:rPr>
        <w:t>centres</w:t>
      </w:r>
      <w:proofErr w:type="spellEnd"/>
      <w:r>
        <w:rPr>
          <w:rFonts w:ascii="Garamond" w:eastAsia="Garamond" w:hAnsi="Garamond" w:cs="Garamond"/>
        </w:rPr>
        <w:t>” was an ambiguous call and its connection with the voter fraud threat was not direct or immediate.</w:t>
      </w:r>
    </w:p>
    <w:p w14:paraId="0E690C98" w14:textId="77777777" w:rsidR="000533EB" w:rsidRDefault="000533EB" w:rsidP="000533EB">
      <w:pPr>
        <w:widowControl w:val="0"/>
        <w:ind w:left="426"/>
        <w:jc w:val="both"/>
        <w:rPr>
          <w:rFonts w:ascii="Garamond" w:eastAsia="Garamond" w:hAnsi="Garamond" w:cs="Garamond"/>
        </w:rPr>
      </w:pPr>
    </w:p>
    <w:p w14:paraId="0C4F69EB" w14:textId="2DBA4A15" w:rsidR="000533EB" w:rsidRDefault="00C93708" w:rsidP="00C93708">
      <w:pPr>
        <w:widowControl w:val="0"/>
        <w:ind w:left="426"/>
        <w:jc w:val="both"/>
        <w:rPr>
          <w:rFonts w:ascii="Garamond" w:eastAsia="Garamond" w:hAnsi="Garamond" w:cs="Garamond"/>
        </w:rPr>
      </w:pPr>
      <w:r>
        <w:rPr>
          <w:rFonts w:ascii="Garamond" w:eastAsia="Garamond" w:hAnsi="Garamond" w:cs="Garamond"/>
        </w:rPr>
        <w:t xml:space="preserve">Additionally, a minority of the Board was convinced that content removal was not the least intrusive measure available to Meta to address content related voter fraud and that Meta’s failure to demonstrate otherwise made the removal decision unnecessary and disproportionate. The minority highlighted that companies should evaluate whether their limitation was the least intrusive measure and carry the burden to demonstrate necessity and proportionality. The minority stated that Meta should have explained why removal was the least intrusive measure, and if it couldn’t, the company should have acknowledged that its actions departed from UN human rights standards and justify those actions. The minority saw that in the latter case, the Board would </w:t>
      </w:r>
      <w:proofErr w:type="gramStart"/>
      <w:r>
        <w:rPr>
          <w:rFonts w:ascii="Garamond" w:eastAsia="Garamond" w:hAnsi="Garamond" w:cs="Garamond"/>
        </w:rPr>
        <w:t>analyzed</w:t>
      </w:r>
      <w:proofErr w:type="gramEnd"/>
      <w:r>
        <w:rPr>
          <w:rFonts w:ascii="Garamond" w:eastAsia="Garamond" w:hAnsi="Garamond" w:cs="Garamond"/>
        </w:rPr>
        <w:t xml:space="preserve"> whether to consider Meta’s justification without risking the distortion of existing human </w:t>
      </w:r>
      <w:r>
        <w:rPr>
          <w:rFonts w:ascii="Garamond" w:eastAsia="Garamond" w:hAnsi="Garamond" w:cs="Garamond"/>
        </w:rPr>
        <w:lastRenderedPageBreak/>
        <w:t>rights standards.</w:t>
      </w:r>
    </w:p>
    <w:p w14:paraId="38834CAF"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202194F7"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Direction:</w:t>
      </w:r>
    </w:p>
    <w:p w14:paraId="435C94D5" w14:textId="74CE545A"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Outcome</w:t>
      </w:r>
      <w:r>
        <w:rPr>
          <w:rFonts w:ascii="Garamond" w:eastAsia="Garamond" w:hAnsi="Garamond" w:cs="Garamond"/>
          <w:color w:val="000000"/>
        </w:rPr>
        <w:t>: Mixed Outcome</w:t>
      </w:r>
    </w:p>
    <w:p w14:paraId="4803E118"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1AC924F2" w14:textId="5C2ADD5F" w:rsidR="00C93708" w:rsidRDefault="00C93708">
      <w:p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rPr>
        <w:t>The Board contracted expression through upholding Meta’s decision to remove the content. However, the Board’s decision was in pursuit of protecting democratic processes and the right to vote. Given the high number of electoral processes this year, the Board balanced between the right to freedom of expression, and the right to vote and protecting electoral process from interferences driven by social media.</w:t>
      </w:r>
    </w:p>
    <w:p w14:paraId="57DF30FB"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Perspective</w:t>
      </w:r>
      <w:r>
        <w:rPr>
          <w:rFonts w:ascii="Garamond" w:eastAsia="Garamond" w:hAnsi="Garamond" w:cs="Garamond"/>
        </w:rPr>
        <w:t xml:space="preserve">: </w:t>
      </w:r>
    </w:p>
    <w:p w14:paraId="2866F02A"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The Perspective section should only contain law references of international, regional, and national judicial decisions or legislative materials that are substantively relevant to the issues in the case at hand. Thus, the law references in this section should be limited only to those that the Oversight Board cited, relied on, or applied in reaching its decision on matters of the right to freedom of expression. </w:t>
      </w:r>
    </w:p>
    <w:p w14:paraId="10185314" w14:textId="77777777" w:rsidR="00BC1499" w:rsidRDefault="00BC1499">
      <w:pPr>
        <w:spacing w:line="276" w:lineRule="auto"/>
        <w:jc w:val="both"/>
        <w:rPr>
          <w:rFonts w:ascii="Garamond" w:eastAsia="Garamond" w:hAnsi="Garamond" w:cs="Garamond"/>
          <w:highlight w:val="yellow"/>
        </w:rPr>
      </w:pPr>
    </w:p>
    <w:p w14:paraId="1037D540"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International and/or regional laws</w:t>
      </w:r>
      <w:r>
        <w:rPr>
          <w:rFonts w:ascii="Garamond" w:eastAsia="Garamond" w:hAnsi="Garamond" w:cs="Garamond"/>
          <w:color w:val="000000"/>
        </w:rPr>
        <w:t xml:space="preserve">: </w:t>
      </w:r>
    </w:p>
    <w:p w14:paraId="48FCA774"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 brief explanation of how the standard is used by the Board. Indicate if the standard is used as a legal basis for the Board’s decision or if it is employed as a marginal reference].  </w:t>
      </w:r>
    </w:p>
    <w:p w14:paraId="1FB0F79E" w14:textId="77777777" w:rsidR="00BC1499" w:rsidRDefault="00000000">
      <w:pPr>
        <w:numPr>
          <w:ilvl w:val="1"/>
          <w:numId w:val="2"/>
        </w:numPr>
        <w:spacing w:line="276" w:lineRule="auto"/>
        <w:jc w:val="both"/>
        <w:rPr>
          <w:rFonts w:ascii="Garamond" w:eastAsia="Garamond" w:hAnsi="Garamond" w:cs="Garamond"/>
        </w:rPr>
      </w:pPr>
      <w:r>
        <w:rPr>
          <w:rFonts w:ascii="Garamond" w:eastAsia="Garamond" w:hAnsi="Garamond" w:cs="Garamond"/>
        </w:rPr>
        <w:t xml:space="preserve">Please include all previous Oversight Board decisions used by the Board in the decision. When you add the law references, please also include a hyperlink to the original source. </w:t>
      </w:r>
    </w:p>
    <w:p w14:paraId="63182025" w14:textId="77777777" w:rsidR="00BC1499" w:rsidRDefault="00BC1499">
      <w:pPr>
        <w:pBdr>
          <w:top w:val="nil"/>
          <w:left w:val="nil"/>
          <w:bottom w:val="nil"/>
          <w:right w:val="nil"/>
          <w:between w:val="nil"/>
        </w:pBdr>
        <w:spacing w:line="276" w:lineRule="auto"/>
        <w:ind w:left="1080"/>
        <w:jc w:val="both"/>
        <w:rPr>
          <w:rFonts w:ascii="Garamond" w:eastAsia="Garamond" w:hAnsi="Garamond" w:cs="Garamond"/>
          <w:b/>
        </w:rPr>
      </w:pPr>
    </w:p>
    <w:p w14:paraId="2F960AAD"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b/>
          <w:color w:val="000000"/>
        </w:rPr>
        <w:t>National law or jurisprudence</w:t>
      </w:r>
      <w:r>
        <w:rPr>
          <w:rFonts w:ascii="Garamond" w:eastAsia="Garamond" w:hAnsi="Garamond" w:cs="Garamond"/>
          <w:color w:val="000000"/>
        </w:rPr>
        <w:t xml:space="preserve">: </w:t>
      </w:r>
    </w:p>
    <w:p w14:paraId="2A246385"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Unless the Board states otherwise include in the “note” box the following text: The Oversight Board cites national legal standards as mere references.</w:t>
      </w:r>
    </w:p>
    <w:p w14:paraId="510AA288" w14:textId="77777777" w:rsidR="00BC1499" w:rsidRDefault="00BC1499">
      <w:pPr>
        <w:spacing w:line="276" w:lineRule="auto"/>
        <w:jc w:val="both"/>
        <w:rPr>
          <w:rFonts w:ascii="Garamond" w:eastAsia="Garamond" w:hAnsi="Garamond" w:cs="Garamond"/>
        </w:rPr>
      </w:pPr>
    </w:p>
    <w:p w14:paraId="200A249C"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Significance</w:t>
      </w:r>
      <w:r>
        <w:rPr>
          <w:rFonts w:ascii="Garamond" w:eastAsia="Garamond" w:hAnsi="Garamond" w:cs="Garamond"/>
        </w:rPr>
        <w:t xml:space="preserve">: </w:t>
      </w:r>
    </w:p>
    <w:p w14:paraId="402B290C"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Binding or persuasive precedent within jurisdiction</w:t>
      </w:r>
      <w:r>
        <w:rPr>
          <w:rFonts w:ascii="Garamond" w:eastAsia="Garamond" w:hAnsi="Garamond" w:cs="Garamond"/>
          <w:color w:val="000000"/>
        </w:rPr>
        <w:t xml:space="preserve">; </w:t>
      </w:r>
      <w:r>
        <w:rPr>
          <w:rFonts w:ascii="Garamond" w:eastAsia="Garamond" w:hAnsi="Garamond" w:cs="Garamond"/>
          <w:b/>
          <w:color w:val="000000"/>
        </w:rPr>
        <w:t>Decision establishes influential or persuasive precedent outside jurisdiction</w:t>
      </w:r>
      <w:r>
        <w:rPr>
          <w:rFonts w:ascii="Garamond" w:eastAsia="Garamond" w:hAnsi="Garamond" w:cs="Garamond"/>
          <w:color w:val="000000"/>
        </w:rPr>
        <w:t xml:space="preserve">; </w:t>
      </w:r>
      <w:r>
        <w:rPr>
          <w:rFonts w:ascii="Garamond" w:eastAsia="Garamond" w:hAnsi="Garamond" w:cs="Garamond"/>
          <w:b/>
          <w:color w:val="000000"/>
        </w:rPr>
        <w:t>Explanation</w:t>
      </w:r>
      <w:r>
        <w:rPr>
          <w:rFonts w:ascii="Garamond" w:eastAsia="Garamond" w:hAnsi="Garamond" w:cs="Garamond"/>
          <w:color w:val="000000"/>
        </w:rPr>
        <w:t xml:space="preserve">: </w:t>
      </w:r>
    </w:p>
    <w:p w14:paraId="52D289EC"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u w:val="single"/>
        </w:rPr>
      </w:pPr>
    </w:p>
    <w:p w14:paraId="72021765"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w:t>
      </w:r>
      <w:r>
        <w:rPr>
          <w:rFonts w:ascii="Garamond" w:eastAsia="Garamond" w:hAnsi="Garamond" w:cs="Garamond"/>
          <w:color w:val="000000"/>
        </w:rPr>
        <w:t xml:space="preserve">: The decision establishes a binding or persuasive precedent within its jurisdiction. [Select this </w:t>
      </w:r>
      <w:r>
        <w:rPr>
          <w:rFonts w:ascii="Garamond" w:eastAsia="Garamond" w:hAnsi="Garamond" w:cs="Garamond"/>
        </w:rPr>
        <w:t xml:space="preserve">Standard and include the following note:] </w:t>
      </w:r>
    </w:p>
    <w:p w14:paraId="554876C6"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58017826" w14:textId="77777777" w:rsidR="00BC1499" w:rsidRDefault="00000000">
      <w:pPr>
        <w:spacing w:line="276" w:lineRule="auto"/>
        <w:ind w:left="360"/>
        <w:jc w:val="both"/>
        <w:rPr>
          <w:rFonts w:ascii="Garamond" w:eastAsia="Garamond" w:hAnsi="Garamond" w:cs="Garamond"/>
        </w:rPr>
      </w:pPr>
      <w:r>
        <w:rPr>
          <w:rFonts w:ascii="Garamond" w:eastAsia="Garamond" w:hAnsi="Garamond" w:cs="Garamond"/>
        </w:rPr>
        <w:t xml:space="preserve">According to Article 2 of the </w:t>
      </w:r>
      <w:hyperlink r:id="rId13">
        <w:r>
          <w:rPr>
            <w:rFonts w:ascii="Garamond" w:eastAsia="Garamond" w:hAnsi="Garamond" w:cs="Garamond"/>
            <w:color w:val="1155CC"/>
            <w:u w:val="single"/>
          </w:rPr>
          <w:t>Oversight Board Charter</w:t>
        </w:r>
      </w:hyperlink>
      <w:r>
        <w:rPr>
          <w:rFonts w:ascii="Garamond" w:eastAsia="Garamond" w:hAnsi="Garamond" w:cs="Garamond"/>
        </w:rPr>
        <w:t xml:space="preserve">, “For each decision, any prior board decisions will have precedential value and should be viewed as highly persuasive when the facts, applicable policies, or other factors are substantially similar.” In addition, Article 4 of the Oversight Board Charter establishes, “The board’s resolution of each case will be </w:t>
      </w:r>
      <w:proofErr w:type="gramStart"/>
      <w:r>
        <w:rPr>
          <w:rFonts w:ascii="Garamond" w:eastAsia="Garamond" w:hAnsi="Garamond" w:cs="Garamond"/>
        </w:rPr>
        <w:t>binding</w:t>
      </w:r>
      <w:proofErr w:type="gramEnd"/>
      <w:r>
        <w:rPr>
          <w:rFonts w:ascii="Garamond" w:eastAsia="Garamond" w:hAnsi="Garamond" w:cs="Garamond"/>
        </w:rPr>
        <w:t xml:space="preserve"> and Facebook (now Meta) will implement it promptly, unless implementation of a resolution could violate the law. In instances where Facebook identifies that identical content with parallel context – which the board has already decided upon – remains on Facebook (now Meta), it will </w:t>
      </w:r>
      <w:proofErr w:type="gramStart"/>
      <w:r>
        <w:rPr>
          <w:rFonts w:ascii="Garamond" w:eastAsia="Garamond" w:hAnsi="Garamond" w:cs="Garamond"/>
        </w:rPr>
        <w:t>take action</w:t>
      </w:r>
      <w:proofErr w:type="gramEnd"/>
      <w:r>
        <w:rPr>
          <w:rFonts w:ascii="Garamond" w:eastAsia="Garamond" w:hAnsi="Garamond" w:cs="Garamond"/>
        </w:rPr>
        <w:t xml:space="preserve"> by analyzing whether it is technically and operationally feasible to apply the board’s decision to that content as well. When a decision includes policy guidance or a policy advisory opinion, Facebook (now Meta) will take further action by analyzing the operational procedures required to implement the guidance, considering it in the formal policy development process of Facebook (now Meta), and transparently communicating about actions taken as a result.”</w:t>
      </w:r>
    </w:p>
    <w:p w14:paraId="4B6B2B10"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695FD5CF"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II</w:t>
      </w:r>
      <w:r>
        <w:rPr>
          <w:rFonts w:ascii="Garamond" w:eastAsia="Garamond" w:hAnsi="Garamond" w:cs="Garamond"/>
          <w:color w:val="000000"/>
        </w:rPr>
        <w:t xml:space="preserve">: Decision (including concurring or dissenting opinions) establishes influential or persuasive precedent outside its jurisdiction. </w:t>
      </w:r>
      <w:r>
        <w:rPr>
          <w:rFonts w:ascii="Garamond" w:eastAsia="Garamond" w:hAnsi="Garamond" w:cs="Garamond"/>
        </w:rPr>
        <w:t xml:space="preserve">[Do not select this Standard]  </w:t>
      </w:r>
    </w:p>
    <w:p w14:paraId="1C9A4D9A"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669FD9E5"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lastRenderedPageBreak/>
        <w:t>Related Cases</w:t>
      </w:r>
      <w:r>
        <w:rPr>
          <w:rFonts w:ascii="Garamond" w:eastAsia="Garamond" w:hAnsi="Garamond" w:cs="Garamond"/>
          <w:color w:val="000000"/>
        </w:rPr>
        <w:t>: Self-generated [N/A]</w:t>
      </w:r>
    </w:p>
    <w:p w14:paraId="1D7714F0"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7C6B007E"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updated</w:t>
      </w:r>
      <w:r>
        <w:rPr>
          <w:rFonts w:ascii="Garamond" w:eastAsia="Garamond" w:hAnsi="Garamond" w:cs="Garamond"/>
          <w:color w:val="000000"/>
        </w:rPr>
        <w:t>: [N/A]</w:t>
      </w:r>
    </w:p>
    <w:p w14:paraId="2FFEE2A7" w14:textId="77777777" w:rsidR="00BC1499" w:rsidRDefault="00BC1499">
      <w:pPr>
        <w:spacing w:line="276" w:lineRule="auto"/>
        <w:jc w:val="both"/>
        <w:rPr>
          <w:rFonts w:ascii="Garamond" w:eastAsia="Garamond" w:hAnsi="Garamond" w:cs="Garamond"/>
        </w:rPr>
      </w:pPr>
    </w:p>
    <w:p w14:paraId="6049E454"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Docs</w:t>
      </w:r>
      <w:r>
        <w:rPr>
          <w:rFonts w:ascii="Garamond" w:eastAsia="Garamond" w:hAnsi="Garamond" w:cs="Garamond"/>
        </w:rPr>
        <w:t xml:space="preserve">: </w:t>
      </w:r>
    </w:p>
    <w:p w14:paraId="0DC9452F" w14:textId="77777777" w:rsidR="00BC1499" w:rsidRDefault="00000000">
      <w:pPr>
        <w:numPr>
          <w:ilvl w:val="0"/>
          <w:numId w:val="9"/>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Official Case Documents</w:t>
      </w:r>
      <w:r>
        <w:rPr>
          <w:rFonts w:ascii="Garamond" w:eastAsia="Garamond" w:hAnsi="Garamond" w:cs="Garamond"/>
          <w:color w:val="000000"/>
        </w:rPr>
        <w:t xml:space="preserve">: </w:t>
      </w:r>
    </w:p>
    <w:p w14:paraId="7D6FC74E"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color w:val="000000"/>
        </w:rPr>
      </w:pPr>
      <w:r>
        <w:rPr>
          <w:rFonts w:ascii="Garamond" w:eastAsia="Garamond" w:hAnsi="Garamond" w:cs="Garamond"/>
        </w:rPr>
        <w:t xml:space="preserve">Please include the following: </w:t>
      </w:r>
    </w:p>
    <w:p w14:paraId="443DF41F"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Decision </w:t>
      </w:r>
      <w:r>
        <w:rPr>
          <w:rFonts w:ascii="Garamond" w:eastAsia="Garamond" w:hAnsi="Garamond" w:cs="Garamond"/>
          <w:color w:val="000000"/>
        </w:rPr>
        <w:t>(in English) [Attached]</w:t>
      </w:r>
    </w:p>
    <w:p w14:paraId="17CB1B9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color w:val="000000"/>
        </w:rPr>
        <w:t xml:space="preserve">Press Release issued by …. (in English) [Attached] </w:t>
      </w:r>
    </w:p>
    <w:p w14:paraId="65EEFB0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All the available languages versions of the decision in the following format: </w:t>
      </w:r>
    </w:p>
    <w:p w14:paraId="1C21F139" w14:textId="77777777" w:rsidR="00BC1499" w:rsidRDefault="00000000">
      <w:pPr>
        <w:numPr>
          <w:ilvl w:val="1"/>
          <w:numId w:val="5"/>
        </w:numPr>
        <w:spacing w:line="276" w:lineRule="auto"/>
        <w:jc w:val="both"/>
        <w:rPr>
          <w:rFonts w:ascii="Garamond" w:eastAsia="Garamond" w:hAnsi="Garamond" w:cs="Garamond"/>
        </w:rPr>
      </w:pPr>
      <w:r>
        <w:rPr>
          <w:rFonts w:ascii="Garamond" w:eastAsia="Garamond" w:hAnsi="Garamond" w:cs="Garamond"/>
        </w:rPr>
        <w:t>Decision (in “Language”) [Attached]</w:t>
      </w:r>
    </w:p>
    <w:p w14:paraId="5D2FE6D4" w14:textId="77777777" w:rsidR="00BC1499" w:rsidRDefault="00000000">
      <w:pPr>
        <w:numPr>
          <w:ilvl w:val="2"/>
          <w:numId w:val="5"/>
        </w:numPr>
        <w:spacing w:line="276" w:lineRule="auto"/>
        <w:jc w:val="both"/>
        <w:rPr>
          <w:rFonts w:ascii="Garamond" w:eastAsia="Garamond" w:hAnsi="Garamond" w:cs="Garamond"/>
        </w:rPr>
      </w:pPr>
      <w:r>
        <w:rPr>
          <w:rFonts w:ascii="Garamond" w:eastAsia="Garamond" w:hAnsi="Garamond" w:cs="Garamond"/>
        </w:rPr>
        <w:t>Ex. Decision (in Spanish) [Attached]</w:t>
      </w:r>
    </w:p>
    <w:p w14:paraId="11B74C07"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rPr>
        <w:t>Amicus briefs and other legal authorities</w:t>
      </w:r>
    </w:p>
    <w:p w14:paraId="3FEC696E"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all documents submitted to the Oversight Board by third parties to the decision. Ex: Public Comment Appendix. </w:t>
      </w:r>
    </w:p>
    <w:p w14:paraId="6B958656"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Reports, Analysis, and News Articles</w:t>
      </w:r>
      <w:r>
        <w:rPr>
          <w:rFonts w:ascii="Garamond" w:eastAsia="Garamond" w:hAnsi="Garamond" w:cs="Garamond"/>
          <w:color w:val="000000"/>
        </w:rPr>
        <w:t>:</w:t>
      </w:r>
    </w:p>
    <w:p w14:paraId="624F883A"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Please list any titles and </w:t>
      </w:r>
      <w:r>
        <w:rPr>
          <w:rFonts w:ascii="Garamond" w:eastAsia="Garamond" w:hAnsi="Garamond" w:cs="Garamond"/>
        </w:rPr>
        <w:t>URLs</w:t>
      </w:r>
      <w:r>
        <w:rPr>
          <w:rFonts w:ascii="Garamond" w:eastAsia="Garamond" w:hAnsi="Garamond" w:cs="Garamond"/>
          <w:color w:val="000000"/>
        </w:rPr>
        <w:t xml:space="preserve"> of interesting articles, Meta response or analyses about the case that might be of interest to readers</w:t>
      </w:r>
    </w:p>
    <w:p w14:paraId="202A03FF"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06E808D5" w14:textId="77777777" w:rsidR="00BC1499" w:rsidRDefault="00BC1499">
      <w:pPr>
        <w:spacing w:after="120"/>
        <w:ind w:left="2880"/>
        <w:rPr>
          <w:rFonts w:ascii="Garamond" w:eastAsia="Garamond" w:hAnsi="Garamond" w:cs="Garamond"/>
          <w:shd w:val="clear" w:color="auto" w:fill="FFF2CC"/>
        </w:rPr>
      </w:pPr>
    </w:p>
    <w:tbl>
      <w:tblPr>
        <w:tblStyle w:val="1"/>
        <w:tblW w:w="985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6435"/>
      </w:tblGrid>
      <w:tr w:rsidR="00BC1499" w14:paraId="4EC77062" w14:textId="77777777">
        <w:trPr>
          <w:trHeight w:val="405"/>
        </w:trPr>
        <w:tc>
          <w:tcPr>
            <w:tcW w:w="9855" w:type="dxa"/>
            <w:gridSpan w:val="2"/>
            <w:shd w:val="clear" w:color="auto" w:fill="C9DAF8"/>
            <w:tcMar>
              <w:top w:w="100" w:type="dxa"/>
              <w:left w:w="100" w:type="dxa"/>
              <w:bottom w:w="100" w:type="dxa"/>
              <w:right w:w="100" w:type="dxa"/>
            </w:tcMar>
          </w:tcPr>
          <w:p w14:paraId="0EA799E4" w14:textId="77777777" w:rsidR="00BC1499" w:rsidRDefault="00000000">
            <w:pPr>
              <w:widowControl w:val="0"/>
              <w:ind w:left="360"/>
              <w:jc w:val="center"/>
              <w:rPr>
                <w:rFonts w:ascii="Garamond" w:eastAsia="Garamond" w:hAnsi="Garamond" w:cs="Garamond"/>
                <w:b/>
              </w:rPr>
            </w:pPr>
            <w:r>
              <w:rPr>
                <w:rFonts w:ascii="Garamond" w:eastAsia="Garamond" w:hAnsi="Garamond" w:cs="Garamond"/>
                <w:b/>
              </w:rPr>
              <w:t xml:space="preserve">TABLE 1 </w:t>
            </w:r>
          </w:p>
        </w:tc>
      </w:tr>
      <w:tr w:rsidR="00BC1499" w14:paraId="31068962" w14:textId="77777777">
        <w:trPr>
          <w:trHeight w:val="370"/>
        </w:trPr>
        <w:tc>
          <w:tcPr>
            <w:tcW w:w="9855" w:type="dxa"/>
            <w:gridSpan w:val="2"/>
            <w:shd w:val="clear" w:color="auto" w:fill="CFE2F3"/>
            <w:tcMar>
              <w:top w:w="100" w:type="dxa"/>
              <w:left w:w="100" w:type="dxa"/>
              <w:bottom w:w="100" w:type="dxa"/>
              <w:right w:w="100" w:type="dxa"/>
            </w:tcMar>
          </w:tcPr>
          <w:p w14:paraId="542F2E0D" w14:textId="77777777" w:rsidR="00BC1499" w:rsidRDefault="00000000">
            <w:pPr>
              <w:widowControl w:val="0"/>
              <w:ind w:left="360"/>
              <w:jc w:val="center"/>
              <w:rPr>
                <w:rFonts w:ascii="Garamond" w:eastAsia="Garamond" w:hAnsi="Garamond" w:cs="Garamond"/>
                <w:b/>
                <w:highlight w:val="yellow"/>
              </w:rPr>
            </w:pPr>
            <w:r>
              <w:rPr>
                <w:rFonts w:ascii="Garamond" w:eastAsia="Garamond" w:hAnsi="Garamond" w:cs="Garamond"/>
                <w:b/>
              </w:rPr>
              <w:t>Meta´s Content Policies</w:t>
            </w:r>
          </w:p>
        </w:tc>
      </w:tr>
      <w:tr w:rsidR="00BC1499" w14:paraId="0ECD03FD" w14:textId="77777777">
        <w:trPr>
          <w:trHeight w:val="405"/>
        </w:trPr>
        <w:tc>
          <w:tcPr>
            <w:tcW w:w="9855" w:type="dxa"/>
            <w:gridSpan w:val="2"/>
            <w:shd w:val="clear" w:color="auto" w:fill="9FC5E8"/>
            <w:tcMar>
              <w:top w:w="100" w:type="dxa"/>
              <w:left w:w="100" w:type="dxa"/>
              <w:bottom w:w="100" w:type="dxa"/>
              <w:right w:w="100" w:type="dxa"/>
            </w:tcMar>
          </w:tcPr>
          <w:p w14:paraId="62D13437" w14:textId="77777777" w:rsidR="00BC1499" w:rsidRDefault="00000000">
            <w:pPr>
              <w:widowControl w:val="0"/>
              <w:ind w:left="360"/>
              <w:jc w:val="center"/>
              <w:rPr>
                <w:rFonts w:ascii="Garamond" w:eastAsia="Garamond" w:hAnsi="Garamond" w:cs="Garamond"/>
              </w:rPr>
            </w:pPr>
            <w:r>
              <w:rPr>
                <w:rFonts w:ascii="Garamond" w:eastAsia="Garamond" w:hAnsi="Garamond" w:cs="Garamond"/>
              </w:rPr>
              <w:t xml:space="preserve">Note to the researcher: Please constantly check  on Meta’s website which standards are in use. If you notice there is a new standard, please advise the project coordinator. In any case, use the one(s) employed by the Oversight Board in its decisions. </w:t>
            </w:r>
          </w:p>
        </w:tc>
      </w:tr>
      <w:tr w:rsidR="00BC1499" w14:paraId="14BB165E" w14:textId="77777777">
        <w:trPr>
          <w:trHeight w:val="490"/>
        </w:trPr>
        <w:tc>
          <w:tcPr>
            <w:tcW w:w="3420" w:type="dxa"/>
            <w:shd w:val="clear" w:color="auto" w:fill="auto"/>
            <w:tcMar>
              <w:top w:w="100" w:type="dxa"/>
              <w:left w:w="100" w:type="dxa"/>
              <w:bottom w:w="100" w:type="dxa"/>
              <w:right w:w="100" w:type="dxa"/>
            </w:tcMar>
          </w:tcPr>
          <w:p w14:paraId="6A1ECADD" w14:textId="77777777" w:rsidR="00BC1499" w:rsidRDefault="00000000">
            <w:pPr>
              <w:widowControl w:val="0"/>
              <w:ind w:left="360"/>
              <w:rPr>
                <w:rFonts w:ascii="Garamond" w:eastAsia="Garamond" w:hAnsi="Garamond" w:cs="Garamond"/>
                <w:b/>
              </w:rPr>
            </w:pPr>
            <w:hyperlink r:id="rId14">
              <w:r>
                <w:rPr>
                  <w:rFonts w:ascii="Garamond" w:eastAsia="Garamond" w:hAnsi="Garamond" w:cs="Garamond"/>
                  <w:b/>
                  <w:color w:val="1155CC"/>
                  <w:u w:val="single"/>
                </w:rPr>
                <w:t>Instagram Community Guidelines</w:t>
              </w:r>
            </w:hyperlink>
          </w:p>
          <w:p w14:paraId="3A5964D7" w14:textId="77777777" w:rsidR="00BC1499" w:rsidRDefault="00BC1499">
            <w:pPr>
              <w:widowControl w:val="0"/>
              <w:rPr>
                <w:rFonts w:ascii="Garamond" w:eastAsia="Garamond" w:hAnsi="Garamond" w:cs="Garamond"/>
              </w:rPr>
            </w:pPr>
          </w:p>
        </w:tc>
        <w:tc>
          <w:tcPr>
            <w:tcW w:w="6435" w:type="dxa"/>
            <w:shd w:val="clear" w:color="auto" w:fill="auto"/>
            <w:tcMar>
              <w:top w:w="100" w:type="dxa"/>
              <w:left w:w="100" w:type="dxa"/>
              <w:bottom w:w="100" w:type="dxa"/>
              <w:right w:w="100" w:type="dxa"/>
            </w:tcMar>
          </w:tcPr>
          <w:p w14:paraId="127E5CCE" w14:textId="77777777" w:rsidR="00BC1499" w:rsidRDefault="00000000">
            <w:pPr>
              <w:spacing w:after="120"/>
              <w:rPr>
                <w:rFonts w:ascii="Garamond" w:eastAsia="Garamond" w:hAnsi="Garamond" w:cs="Garamond"/>
                <w:b/>
              </w:rPr>
            </w:pPr>
            <w:hyperlink r:id="rId15">
              <w:r>
                <w:rPr>
                  <w:rFonts w:ascii="Garamond" w:eastAsia="Garamond" w:hAnsi="Garamond" w:cs="Garamond"/>
                  <w:b/>
                  <w:color w:val="1155CC"/>
                  <w:u w:val="single"/>
                </w:rPr>
                <w:t>Facebook Community Standards</w:t>
              </w:r>
            </w:hyperlink>
            <w:r>
              <w:rPr>
                <w:rFonts w:ascii="Garamond" w:eastAsia="Garamond" w:hAnsi="Garamond" w:cs="Garamond"/>
                <w:b/>
              </w:rPr>
              <w:t xml:space="preserve"> </w:t>
            </w:r>
          </w:p>
        </w:tc>
      </w:tr>
      <w:tr w:rsidR="00BC1499" w14:paraId="563327BF" w14:textId="77777777">
        <w:tc>
          <w:tcPr>
            <w:tcW w:w="3420" w:type="dxa"/>
            <w:shd w:val="clear" w:color="auto" w:fill="auto"/>
            <w:tcMar>
              <w:top w:w="100" w:type="dxa"/>
              <w:left w:w="100" w:type="dxa"/>
              <w:bottom w:w="100" w:type="dxa"/>
              <w:right w:w="100" w:type="dxa"/>
            </w:tcMar>
          </w:tcPr>
          <w:p w14:paraId="6855CB38"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Intellectual Property</w:t>
            </w:r>
          </w:p>
          <w:p w14:paraId="3E621097"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 xml:space="preserve">Spam </w:t>
            </w:r>
          </w:p>
          <w:p w14:paraId="53234440"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Illegal Content</w:t>
            </w:r>
          </w:p>
          <w:p w14:paraId="0AFE2B76"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Hate Speech, Bullying and Abuse</w:t>
            </w:r>
          </w:p>
          <w:p w14:paraId="53D60A0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Self Injury</w:t>
            </w:r>
            <w:proofErr w:type="spellEnd"/>
          </w:p>
          <w:p w14:paraId="554BCFA3"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Graphic Violence</w:t>
            </w:r>
          </w:p>
          <w:p w14:paraId="58698E4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Referal</w:t>
            </w:r>
            <w:proofErr w:type="spellEnd"/>
            <w:r>
              <w:rPr>
                <w:rFonts w:ascii="Garamond" w:eastAsia="Garamond" w:hAnsi="Garamond" w:cs="Garamond"/>
              </w:rPr>
              <w:t xml:space="preserve"> to Facebook Community Standards  </w:t>
            </w:r>
          </w:p>
          <w:p w14:paraId="648459D6" w14:textId="77777777" w:rsidR="00BC1499" w:rsidRDefault="00BC1499">
            <w:pPr>
              <w:widowControl w:val="0"/>
              <w:ind w:left="720"/>
              <w:rPr>
                <w:rFonts w:ascii="Garamond" w:eastAsia="Garamond" w:hAnsi="Garamond" w:cs="Garamond"/>
              </w:rPr>
            </w:pPr>
          </w:p>
        </w:tc>
        <w:tc>
          <w:tcPr>
            <w:tcW w:w="6435" w:type="dxa"/>
            <w:shd w:val="clear" w:color="auto" w:fill="auto"/>
            <w:tcMar>
              <w:top w:w="100" w:type="dxa"/>
              <w:left w:w="100" w:type="dxa"/>
              <w:bottom w:w="100" w:type="dxa"/>
              <w:right w:w="100" w:type="dxa"/>
            </w:tcMar>
          </w:tcPr>
          <w:p w14:paraId="44776658"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Violence And Criminal Behavior</w:t>
            </w:r>
          </w:p>
          <w:p w14:paraId="339E249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​​Violence and Incitement</w:t>
            </w:r>
          </w:p>
          <w:p w14:paraId="54EFBBC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Dangerous Individuals and Organizations</w:t>
            </w:r>
          </w:p>
          <w:p w14:paraId="0C02CC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Coordinating Harm and Promoting Crime</w:t>
            </w:r>
          </w:p>
          <w:p w14:paraId="6273FD5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Restricted Goods and Services</w:t>
            </w:r>
          </w:p>
          <w:p w14:paraId="16C9E3C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Fraud and Deception</w:t>
            </w:r>
          </w:p>
          <w:p w14:paraId="5A34B4A4"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Safety</w:t>
            </w:r>
          </w:p>
          <w:p w14:paraId="3302E5E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Suicide and Self-Injury</w:t>
            </w:r>
          </w:p>
          <w:p w14:paraId="113984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Child Sexual Exploitation, Abuse and Nudity</w:t>
            </w:r>
          </w:p>
          <w:p w14:paraId="6692E509"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Sexual Exploitation</w:t>
            </w:r>
          </w:p>
          <w:p w14:paraId="2C69720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Bullying and Harassment</w:t>
            </w:r>
          </w:p>
          <w:p w14:paraId="6448FFCA"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Human Exploitation</w:t>
            </w:r>
          </w:p>
          <w:p w14:paraId="5F89C28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Privacy Violations</w:t>
            </w:r>
          </w:p>
          <w:p w14:paraId="42F855DD"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Objectionable Content</w:t>
            </w:r>
          </w:p>
          <w:p w14:paraId="4C02C83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Hate Speech</w:t>
            </w:r>
          </w:p>
          <w:p w14:paraId="21C6CF8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Violent and graphic content</w:t>
            </w:r>
          </w:p>
          <w:p w14:paraId="63142B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Nudity and Sexual Activity</w:t>
            </w:r>
          </w:p>
          <w:p w14:paraId="17DDAB6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Sexual Solicitation</w:t>
            </w:r>
          </w:p>
          <w:p w14:paraId="2E05506E"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lastRenderedPageBreak/>
              <w:t>Integrity And Authenticity</w:t>
            </w:r>
          </w:p>
          <w:p w14:paraId="1CEB66C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Account Integrity and Authentic Identity</w:t>
            </w:r>
          </w:p>
          <w:p w14:paraId="0DD2997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Spam</w:t>
            </w:r>
          </w:p>
          <w:p w14:paraId="635634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Cybersecurity</w:t>
            </w:r>
          </w:p>
          <w:p w14:paraId="7D2573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Inauthentic Behavior</w:t>
            </w:r>
          </w:p>
          <w:p w14:paraId="20C2D5D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Misinformation</w:t>
            </w:r>
          </w:p>
          <w:p w14:paraId="6D932592"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Memorialization</w:t>
            </w:r>
          </w:p>
          <w:p w14:paraId="41154B46"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Respecting Intellectual Property</w:t>
            </w:r>
          </w:p>
          <w:p w14:paraId="68F5925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Intellectual Property</w:t>
            </w:r>
          </w:p>
          <w:p w14:paraId="2FFD2D77"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Content-Related Requests and Decisions</w:t>
            </w:r>
          </w:p>
          <w:p w14:paraId="1EC5F7B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User Requests</w:t>
            </w:r>
          </w:p>
          <w:p w14:paraId="2BBDC8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Additional Protection of Minors</w:t>
            </w:r>
          </w:p>
          <w:p w14:paraId="2ABE00D8" w14:textId="77777777" w:rsidR="00BC1499" w:rsidRDefault="00BC1499">
            <w:pPr>
              <w:widowControl w:val="0"/>
              <w:rPr>
                <w:rFonts w:ascii="Garamond" w:eastAsia="Garamond" w:hAnsi="Garamond" w:cs="Garamond"/>
              </w:rPr>
            </w:pPr>
          </w:p>
        </w:tc>
      </w:tr>
    </w:tbl>
    <w:p w14:paraId="0388BCF5" w14:textId="77777777" w:rsidR="00BC1499" w:rsidRDefault="00BC1499">
      <w:pPr>
        <w:spacing w:after="120"/>
        <w:rPr>
          <w:rFonts w:ascii="Garamond" w:eastAsia="Garamond" w:hAnsi="Garamond" w:cs="Garamond"/>
        </w:rPr>
      </w:pPr>
    </w:p>
    <w:p w14:paraId="2FC5AC11" w14:textId="77777777" w:rsidR="00BC1499" w:rsidRDefault="00BC1499">
      <w:pPr>
        <w:spacing w:after="120"/>
        <w:rPr>
          <w:rFonts w:ascii="Garamond" w:eastAsia="Garamond" w:hAnsi="Garamond" w:cs="Garamond"/>
        </w:rPr>
      </w:pPr>
    </w:p>
    <w:p w14:paraId="4D66D055" w14:textId="77777777" w:rsidR="00BC1499" w:rsidRDefault="00BC1499">
      <w:pPr>
        <w:spacing w:after="120"/>
        <w:rPr>
          <w:rFonts w:ascii="Garamond" w:eastAsia="Garamond" w:hAnsi="Garamond" w:cs="Garamond"/>
        </w:rPr>
      </w:pPr>
    </w:p>
    <w:p w14:paraId="7C5323A4" w14:textId="77777777" w:rsidR="00BC1499" w:rsidRDefault="00BC1499">
      <w:pPr>
        <w:spacing w:after="120"/>
        <w:rPr>
          <w:rFonts w:ascii="Garamond" w:eastAsia="Garamond" w:hAnsi="Garamond" w:cs="Garamond"/>
        </w:rPr>
      </w:pPr>
    </w:p>
    <w:p w14:paraId="1C8B57D2" w14:textId="77777777" w:rsidR="00BC1499" w:rsidRDefault="00BC1499">
      <w:pPr>
        <w:spacing w:after="120"/>
        <w:rPr>
          <w:rFonts w:ascii="Garamond" w:eastAsia="Garamond" w:hAnsi="Garamond" w:cs="Garamond"/>
        </w:rPr>
      </w:pPr>
    </w:p>
    <w:sectPr w:rsidR="00BC1499">
      <w:headerReference w:type="default" r:id="rId16"/>
      <w:footerReference w:type="default" r:id="rId1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09A10" w14:textId="77777777" w:rsidR="00C405E2" w:rsidRDefault="00C405E2">
      <w:r>
        <w:separator/>
      </w:r>
    </w:p>
  </w:endnote>
  <w:endnote w:type="continuationSeparator" w:id="0">
    <w:p w14:paraId="526EB3F0" w14:textId="77777777" w:rsidR="00C405E2" w:rsidRDefault="00C4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Garamond Premier Pro"/>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86E7" w14:textId="77777777" w:rsidR="00BC1499" w:rsidRDefault="00BC1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90636" w14:textId="77777777" w:rsidR="00C405E2" w:rsidRDefault="00C405E2">
      <w:r>
        <w:separator/>
      </w:r>
    </w:p>
  </w:footnote>
  <w:footnote w:type="continuationSeparator" w:id="0">
    <w:p w14:paraId="1A9E38B5" w14:textId="77777777" w:rsidR="00C405E2" w:rsidRDefault="00C4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41FB" w14:textId="77777777" w:rsidR="00BC1499" w:rsidRDefault="00BC1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843"/>
    <w:multiLevelType w:val="multilevel"/>
    <w:tmpl w:val="90EC2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933C90"/>
    <w:multiLevelType w:val="multilevel"/>
    <w:tmpl w:val="47CA8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A305E2"/>
    <w:multiLevelType w:val="multilevel"/>
    <w:tmpl w:val="98FC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51105"/>
    <w:multiLevelType w:val="multilevel"/>
    <w:tmpl w:val="447E07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143C4B"/>
    <w:multiLevelType w:val="hybridMultilevel"/>
    <w:tmpl w:val="5A7E192C"/>
    <w:lvl w:ilvl="0" w:tplc="EF8207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40530C"/>
    <w:multiLevelType w:val="multilevel"/>
    <w:tmpl w:val="61BE4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DB80332"/>
    <w:multiLevelType w:val="multilevel"/>
    <w:tmpl w:val="812AC6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3903974"/>
    <w:multiLevelType w:val="hybridMultilevel"/>
    <w:tmpl w:val="B290B9F4"/>
    <w:lvl w:ilvl="0" w:tplc="1534B51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A100A5C"/>
    <w:multiLevelType w:val="multilevel"/>
    <w:tmpl w:val="278A60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58812C0"/>
    <w:multiLevelType w:val="multilevel"/>
    <w:tmpl w:val="F8383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CFE3DE4"/>
    <w:multiLevelType w:val="multilevel"/>
    <w:tmpl w:val="3D5C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7640ED"/>
    <w:multiLevelType w:val="multilevel"/>
    <w:tmpl w:val="E966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56363D"/>
    <w:multiLevelType w:val="hybridMultilevel"/>
    <w:tmpl w:val="68B8F6FC"/>
    <w:lvl w:ilvl="0" w:tplc="7F7E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76375"/>
    <w:multiLevelType w:val="multilevel"/>
    <w:tmpl w:val="B868D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71197025">
    <w:abstractNumId w:val="2"/>
  </w:num>
  <w:num w:numId="2" w16cid:durableId="1404835932">
    <w:abstractNumId w:val="6"/>
  </w:num>
  <w:num w:numId="3" w16cid:durableId="1412509451">
    <w:abstractNumId w:val="3"/>
  </w:num>
  <w:num w:numId="4" w16cid:durableId="885680718">
    <w:abstractNumId w:val="5"/>
  </w:num>
  <w:num w:numId="5" w16cid:durableId="638847784">
    <w:abstractNumId w:val="9"/>
  </w:num>
  <w:num w:numId="6" w16cid:durableId="1372997038">
    <w:abstractNumId w:val="13"/>
  </w:num>
  <w:num w:numId="7" w16cid:durableId="963198134">
    <w:abstractNumId w:val="8"/>
  </w:num>
  <w:num w:numId="8" w16cid:durableId="1755469441">
    <w:abstractNumId w:val="1"/>
  </w:num>
  <w:num w:numId="9" w16cid:durableId="572351330">
    <w:abstractNumId w:val="0"/>
  </w:num>
  <w:num w:numId="10" w16cid:durableId="114176508">
    <w:abstractNumId w:val="10"/>
  </w:num>
  <w:num w:numId="11" w16cid:durableId="89472630">
    <w:abstractNumId w:val="11"/>
  </w:num>
  <w:num w:numId="12" w16cid:durableId="1190139502">
    <w:abstractNumId w:val="12"/>
  </w:num>
  <w:num w:numId="13" w16cid:durableId="475413581">
    <w:abstractNumId w:val="7"/>
  </w:num>
  <w:num w:numId="14" w16cid:durableId="196904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99"/>
    <w:rsid w:val="000533EB"/>
    <w:rsid w:val="00060CC4"/>
    <w:rsid w:val="000879B4"/>
    <w:rsid w:val="000E50B8"/>
    <w:rsid w:val="00102B16"/>
    <w:rsid w:val="00111425"/>
    <w:rsid w:val="001E6BA3"/>
    <w:rsid w:val="002159FF"/>
    <w:rsid w:val="0022070D"/>
    <w:rsid w:val="002C7FA3"/>
    <w:rsid w:val="002D2282"/>
    <w:rsid w:val="002D37F2"/>
    <w:rsid w:val="00312C09"/>
    <w:rsid w:val="0031364A"/>
    <w:rsid w:val="00351457"/>
    <w:rsid w:val="00362F02"/>
    <w:rsid w:val="003844CA"/>
    <w:rsid w:val="003C5E15"/>
    <w:rsid w:val="004052E8"/>
    <w:rsid w:val="00414CA9"/>
    <w:rsid w:val="00435F14"/>
    <w:rsid w:val="004717FE"/>
    <w:rsid w:val="00472177"/>
    <w:rsid w:val="00550A3A"/>
    <w:rsid w:val="0058654B"/>
    <w:rsid w:val="005E791A"/>
    <w:rsid w:val="005F38E9"/>
    <w:rsid w:val="00613AFC"/>
    <w:rsid w:val="006C3859"/>
    <w:rsid w:val="006D61DF"/>
    <w:rsid w:val="006E41B4"/>
    <w:rsid w:val="0075524D"/>
    <w:rsid w:val="007618B5"/>
    <w:rsid w:val="007F0743"/>
    <w:rsid w:val="00827439"/>
    <w:rsid w:val="00916896"/>
    <w:rsid w:val="009318C6"/>
    <w:rsid w:val="009F0122"/>
    <w:rsid w:val="00A214EA"/>
    <w:rsid w:val="00A964A3"/>
    <w:rsid w:val="00AC066D"/>
    <w:rsid w:val="00B346CB"/>
    <w:rsid w:val="00BC1499"/>
    <w:rsid w:val="00BD2404"/>
    <w:rsid w:val="00C26D2A"/>
    <w:rsid w:val="00C37865"/>
    <w:rsid w:val="00C405E2"/>
    <w:rsid w:val="00C45570"/>
    <w:rsid w:val="00C93708"/>
    <w:rsid w:val="00DA6F24"/>
    <w:rsid w:val="00DF678B"/>
    <w:rsid w:val="00E21EF5"/>
    <w:rsid w:val="00EE429E"/>
    <w:rsid w:val="00F20DFD"/>
    <w:rsid w:val="00FC108A"/>
    <w:rsid w:val="00FC2A47"/>
    <w:rsid w:val="00FC6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7EE593"/>
  <w15:docId w15:val="{3D0470B7-D0D7-224A-8C37-0E9C08F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1693"/>
    <w:rPr>
      <w:b/>
      <w:bCs/>
    </w:rPr>
  </w:style>
  <w:style w:type="character" w:customStyle="1" w:styleId="CommentSubjectChar">
    <w:name w:val="Comment Subject Char"/>
    <w:basedOn w:val="CommentTextChar"/>
    <w:link w:val="CommentSubject"/>
    <w:uiPriority w:val="99"/>
    <w:semiHidden/>
    <w:rsid w:val="007E1693"/>
    <w:rPr>
      <w:b/>
      <w:bCs/>
      <w:sz w:val="20"/>
      <w:szCs w:val="20"/>
    </w:rPr>
  </w:style>
  <w:style w:type="paragraph" w:styleId="Revision">
    <w:name w:val="Revision"/>
    <w:hidden/>
    <w:uiPriority w:val="99"/>
    <w:semiHidden/>
    <w:rsid w:val="007156F4"/>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261906">
      <w:bodyDiv w:val="1"/>
      <w:marLeft w:val="0"/>
      <w:marRight w:val="0"/>
      <w:marTop w:val="0"/>
      <w:marBottom w:val="0"/>
      <w:divBdr>
        <w:top w:val="none" w:sz="0" w:space="0" w:color="auto"/>
        <w:left w:val="none" w:sz="0" w:space="0" w:color="auto"/>
        <w:bottom w:val="none" w:sz="0" w:space="0" w:color="auto"/>
        <w:right w:val="none" w:sz="0" w:space="0" w:color="auto"/>
      </w:divBdr>
      <w:divsChild>
        <w:div w:id="119343991">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1522477217">
      <w:bodyDiv w:val="1"/>
      <w:marLeft w:val="0"/>
      <w:marRight w:val="0"/>
      <w:marTop w:val="0"/>
      <w:marBottom w:val="0"/>
      <w:divBdr>
        <w:top w:val="none" w:sz="0" w:space="0" w:color="auto"/>
        <w:left w:val="none" w:sz="0" w:space="0" w:color="auto"/>
        <w:bottom w:val="none" w:sz="0" w:space="0" w:color="auto"/>
        <w:right w:val="none" w:sz="0" w:space="0" w:color="auto"/>
      </w:divBdr>
      <w:divsChild>
        <w:div w:id="14699130">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s8BnePh92B5VeKSDEuDfPruBjbbaiu1?usp=sharing" TargetMode="External"/><Relationship Id="rId13" Type="http://schemas.openxmlformats.org/officeDocument/2006/relationships/hyperlink" Target="https://www.oversightboard.com/govern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obalfreedomofexpression.columbia.edu/cases/oversight-board-case-of-armenian-prisoners-of-war-vide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freedomofexpression.columbia.edu/cases/oversight-board-case-of-armenians-in-azerbaijan/" TargetMode="External"/><Relationship Id="rId5" Type="http://schemas.openxmlformats.org/officeDocument/2006/relationships/webSettings" Target="webSettings.xml"/><Relationship Id="rId15" Type="http://schemas.openxmlformats.org/officeDocument/2006/relationships/hyperlink" Target="https://transparency.fb.com/es-la/policies/community-standards/" TargetMode="External"/><Relationship Id="rId10" Type="http://schemas.openxmlformats.org/officeDocument/2006/relationships/hyperlink" Target="https://globalfreedomofexpression.columbia.edu/cases/oversight-board-case-of-a-brazilian-generals-spee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versightboard.com/" TargetMode="External"/><Relationship Id="rId14" Type="http://schemas.openxmlformats.org/officeDocument/2006/relationships/hyperlink" Target="https://about.instagram.com/blog/announcements/instagram-community-guideline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mcecs9JyjpoET6J0gdg/Zbgww==">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8</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Reem El-Shazly</cp:lastModifiedBy>
  <cp:revision>5</cp:revision>
  <dcterms:created xsi:type="dcterms:W3CDTF">2024-02-06T22:17:00Z</dcterms:created>
  <dcterms:modified xsi:type="dcterms:W3CDTF">2024-07-22T03:04:00Z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41a93-8c9a-47f9-8ab4-1661933663f8_Enabled">
    <vt:lpwstr>true</vt:lpwstr>
  </property>
  <property fmtid="{D5CDD505-2E9C-101B-9397-08002B2CF9AE}" pid="3" name="MSIP_Label_8ec41a93-8c9a-47f9-8ab4-1661933663f8_SetDate">
    <vt:lpwstr>2022-09-16T12:20:36Z</vt:lpwstr>
  </property>
  <property fmtid="{D5CDD505-2E9C-101B-9397-08002B2CF9AE}" pid="4" name="MSIP_Label_8ec41a93-8c9a-47f9-8ab4-1661933663f8_Method">
    <vt:lpwstr>Standard</vt:lpwstr>
  </property>
  <property fmtid="{D5CDD505-2E9C-101B-9397-08002B2CF9AE}" pid="5" name="MSIP_Label_8ec41a93-8c9a-47f9-8ab4-1661933663f8_Name">
    <vt:lpwstr>Public</vt:lpwstr>
  </property>
  <property fmtid="{D5CDD505-2E9C-101B-9397-08002B2CF9AE}" pid="6" name="MSIP_Label_8ec41a93-8c9a-47f9-8ab4-1661933663f8_SiteId">
    <vt:lpwstr>f607527e-f4e9-4b2c-b0b5-42287e7bec19</vt:lpwstr>
  </property>
  <property fmtid="{D5CDD505-2E9C-101B-9397-08002B2CF9AE}" pid="7" name="MSIP_Label_8ec41a93-8c9a-47f9-8ab4-1661933663f8_ActionId">
    <vt:lpwstr>143f9224-8abc-44a7-8413-e64408e3ec29</vt:lpwstr>
  </property>
  <property fmtid="{D5CDD505-2E9C-101B-9397-08002B2CF9AE}" pid="8" name="MSIP_Label_8ec41a93-8c9a-47f9-8ab4-1661933663f8_ContentBits">
    <vt:lpwstr>0</vt:lpwstr>
  </property>
</Properties>
</file>