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B6A8" w14:textId="133C4F99" w:rsidR="00BE5B4F" w:rsidRDefault="00714FEF" w:rsidP="00BE5B4F">
      <w:pPr>
        <w:jc w:val="center"/>
        <w:rPr>
          <w:b/>
        </w:rPr>
      </w:pPr>
      <w:r w:rsidRPr="00471E9C">
        <w:rPr>
          <w:b/>
        </w:rPr>
        <w:t>MEDIA RIGHTS AGENDA</w:t>
      </w:r>
      <w:r w:rsidR="00D95D61" w:rsidRPr="00471E9C">
        <w:rPr>
          <w:b/>
        </w:rPr>
        <w:t xml:space="preserve"> V </w:t>
      </w:r>
      <w:r w:rsidR="00471E9C" w:rsidRPr="00471E9C">
        <w:rPr>
          <w:b/>
        </w:rPr>
        <w:t>ATTORNEY GEN</w:t>
      </w:r>
      <w:r w:rsidR="00471E9C">
        <w:rPr>
          <w:b/>
        </w:rPr>
        <w:t>ERAL OF THE FEDERATION</w:t>
      </w:r>
    </w:p>
    <w:p w14:paraId="0BC667FE" w14:textId="77777777" w:rsidR="00F41224" w:rsidRPr="00471E9C" w:rsidRDefault="00F41224" w:rsidP="00BE5B4F">
      <w:pPr>
        <w:jc w:val="center"/>
        <w:rPr>
          <w:b/>
        </w:rPr>
      </w:pPr>
    </w:p>
    <w:p w14:paraId="707A0DA4" w14:textId="77777777" w:rsidR="003F1FCB" w:rsidRPr="00471E9C" w:rsidRDefault="003F1FCB" w:rsidP="00BE5B4F">
      <w:pPr>
        <w:jc w:val="center"/>
        <w:rPr>
          <w:b/>
        </w:rPr>
      </w:pPr>
    </w:p>
    <w:p w14:paraId="156A38C7" w14:textId="553E0B1F" w:rsidR="00BE5B4F" w:rsidRDefault="00F008B7" w:rsidP="00BE5B4F">
      <w:pPr>
        <w:rPr>
          <w:b/>
        </w:rPr>
      </w:pPr>
      <w:r>
        <w:rPr>
          <w:b/>
        </w:rPr>
        <w:t>Closed</w:t>
      </w:r>
    </w:p>
    <w:p w14:paraId="6E3D52A4" w14:textId="77777777" w:rsidR="00406DB7" w:rsidRPr="001C31A1" w:rsidRDefault="00406DB7" w:rsidP="00BE5B4F">
      <w:pPr>
        <w:rPr>
          <w:b/>
        </w:rPr>
      </w:pPr>
    </w:p>
    <w:p w14:paraId="2710E8DC" w14:textId="3F68782F" w:rsidR="00BE5B4F" w:rsidRPr="001C31A1" w:rsidRDefault="00406DB7" w:rsidP="00BE5B4F">
      <w:pPr>
        <w:rPr>
          <w:b/>
        </w:rPr>
      </w:pPr>
      <w:r>
        <w:rPr>
          <w:b/>
        </w:rPr>
        <w:t>Nigeria</w:t>
      </w:r>
      <w:r w:rsidR="00BE5B4F" w:rsidRPr="001C31A1">
        <w:rPr>
          <w:b/>
        </w:rPr>
        <w:t xml:space="preserve">, </w:t>
      </w:r>
      <w:r>
        <w:rPr>
          <w:b/>
        </w:rPr>
        <w:t>Africa</w:t>
      </w:r>
    </w:p>
    <w:p w14:paraId="4EC20D19" w14:textId="77777777" w:rsidR="00BE5B4F" w:rsidRPr="001C31A1" w:rsidRDefault="00BE5B4F" w:rsidP="00BE5B4F">
      <w:pPr>
        <w:rPr>
          <w:b/>
        </w:rPr>
      </w:pPr>
    </w:p>
    <w:p w14:paraId="057D555F" w14:textId="7FB25F58" w:rsidR="00BE5B4F" w:rsidRPr="001C31A1" w:rsidRDefault="00714FEF" w:rsidP="00BE5B4F">
      <w:pPr>
        <w:rPr>
          <w:b/>
        </w:rPr>
      </w:pPr>
      <w:r>
        <w:rPr>
          <w:b/>
        </w:rPr>
        <w:t>EXPAND</w:t>
      </w:r>
      <w:r w:rsidR="003223B3">
        <w:rPr>
          <w:b/>
        </w:rPr>
        <w:t>S</w:t>
      </w:r>
      <w:r w:rsidR="001210F8">
        <w:rPr>
          <w:b/>
        </w:rPr>
        <w:t xml:space="preserve"> EXPRESSION</w:t>
      </w:r>
    </w:p>
    <w:p w14:paraId="3440D675" w14:textId="77777777" w:rsidR="00BE5B4F" w:rsidRPr="001C31A1" w:rsidRDefault="00BE5B4F" w:rsidP="00BE5B4F">
      <w:r w:rsidRPr="001C31A1">
        <w:t xml:space="preserve">                                                                    </w:t>
      </w:r>
    </w:p>
    <w:p w14:paraId="36702224" w14:textId="77777777" w:rsidR="00BE5B4F" w:rsidRPr="001C31A1" w:rsidRDefault="00BE5B4F" w:rsidP="00BE5B4F">
      <w:pPr>
        <w:rPr>
          <w:b/>
        </w:rPr>
      </w:pPr>
      <w:r w:rsidRPr="001C31A1">
        <w:rPr>
          <w:b/>
        </w:rPr>
        <w:t xml:space="preserve">MODE OF EXPRESSION </w:t>
      </w:r>
    </w:p>
    <w:p w14:paraId="06DA9E8A" w14:textId="5334EF99" w:rsidR="00BE5B4F" w:rsidRPr="001C31A1" w:rsidRDefault="00F0083C" w:rsidP="00BE5B4F">
      <w:r>
        <w:t>Press</w:t>
      </w:r>
      <w:r w:rsidR="006C2104">
        <w:t>/</w:t>
      </w:r>
      <w:r w:rsidR="00D37999">
        <w:t>Newspapers</w:t>
      </w:r>
    </w:p>
    <w:p w14:paraId="0C00D759" w14:textId="77777777" w:rsidR="00BE5B4F" w:rsidRPr="001C31A1" w:rsidRDefault="00BE5B4F" w:rsidP="00BE5B4F">
      <w:r w:rsidRPr="001C31A1">
        <w:t xml:space="preserve">                                                                                         </w:t>
      </w:r>
    </w:p>
    <w:p w14:paraId="17522230" w14:textId="77777777" w:rsidR="00BE5B4F" w:rsidRPr="001C31A1" w:rsidRDefault="00BE5B4F" w:rsidP="00BE5B4F">
      <w:pPr>
        <w:rPr>
          <w:b/>
        </w:rPr>
      </w:pPr>
      <w:r w:rsidRPr="001C31A1">
        <w:rPr>
          <w:b/>
        </w:rPr>
        <w:t xml:space="preserve">DATE OF DECISION   </w:t>
      </w:r>
    </w:p>
    <w:p w14:paraId="44F64F66" w14:textId="24115A0D" w:rsidR="00BE5B4F" w:rsidRPr="001C31A1" w:rsidRDefault="00627FAE" w:rsidP="00BE5B4F">
      <w:r>
        <w:t>December</w:t>
      </w:r>
      <w:r w:rsidR="00C54782" w:rsidRPr="001C31A1">
        <w:t xml:space="preserve"> </w:t>
      </w:r>
      <w:r w:rsidR="003223B3">
        <w:t>1</w:t>
      </w:r>
      <w:r>
        <w:t>6</w:t>
      </w:r>
      <w:r w:rsidR="007D1418" w:rsidRPr="001C31A1">
        <w:t>, 20</w:t>
      </w:r>
      <w:r w:rsidR="003223B3">
        <w:t>2</w:t>
      </w:r>
      <w:r>
        <w:t>4</w:t>
      </w:r>
      <w:r w:rsidR="00BE5B4F" w:rsidRPr="001C31A1">
        <w:t xml:space="preserve">       </w:t>
      </w:r>
    </w:p>
    <w:p w14:paraId="3850CC3B" w14:textId="77777777" w:rsidR="00BE5B4F" w:rsidRPr="001C31A1" w:rsidRDefault="00BE5B4F" w:rsidP="00BE5B4F">
      <w:r w:rsidRPr="001C31A1">
        <w:t xml:space="preserve">                                                                                             </w:t>
      </w:r>
    </w:p>
    <w:p w14:paraId="0EB7B48D" w14:textId="77777777" w:rsidR="00BE5B4F" w:rsidRPr="001C31A1" w:rsidRDefault="00BE5B4F" w:rsidP="001E7613">
      <w:pPr>
        <w:jc w:val="both"/>
        <w:rPr>
          <w:b/>
        </w:rPr>
      </w:pPr>
      <w:r w:rsidRPr="001C31A1">
        <w:rPr>
          <w:b/>
        </w:rPr>
        <w:t xml:space="preserve">OUTCOME    </w:t>
      </w:r>
    </w:p>
    <w:p w14:paraId="5F9C4D06" w14:textId="50738802" w:rsidR="006C2104" w:rsidRPr="00630ACD" w:rsidRDefault="006C2104" w:rsidP="006C2104">
      <w:pPr>
        <w:jc w:val="both"/>
        <w:rPr>
          <w:bCs/>
        </w:rPr>
      </w:pPr>
      <w:r w:rsidRPr="00630ACD">
        <w:rPr>
          <w:bCs/>
        </w:rPr>
        <w:t xml:space="preserve">Decision - Procedural Outcome, Decision Outcome (Disposition/Ruling), </w:t>
      </w:r>
      <w:r w:rsidR="001A7497" w:rsidRPr="00630ACD">
        <w:rPr>
          <w:bCs/>
        </w:rPr>
        <w:t xml:space="preserve">Application Granted, </w:t>
      </w:r>
      <w:r w:rsidR="001A7497">
        <w:rPr>
          <w:bCs/>
        </w:rPr>
        <w:t>I</w:t>
      </w:r>
      <w:r w:rsidRPr="00630ACD">
        <w:rPr>
          <w:bCs/>
        </w:rPr>
        <w:t>njunction or Order Granted, Declaratory Relief</w:t>
      </w:r>
      <w:r w:rsidR="001A7497">
        <w:rPr>
          <w:bCs/>
        </w:rPr>
        <w:t>s Granted</w:t>
      </w:r>
      <w:r w:rsidRPr="00630ACD">
        <w:rPr>
          <w:bCs/>
        </w:rPr>
        <w:t xml:space="preserve">, </w:t>
      </w:r>
      <w:r w:rsidR="001A7497">
        <w:rPr>
          <w:bCs/>
        </w:rPr>
        <w:t>Constitutio</w:t>
      </w:r>
      <w:r w:rsidR="00705285">
        <w:rPr>
          <w:bCs/>
        </w:rPr>
        <w:t>n</w:t>
      </w:r>
      <w:r w:rsidR="007B21A8">
        <w:rPr>
          <w:bCs/>
        </w:rPr>
        <w:t>al</w:t>
      </w:r>
      <w:r w:rsidR="001A7497">
        <w:rPr>
          <w:bCs/>
        </w:rPr>
        <w:t xml:space="preserve"> Violation.</w:t>
      </w:r>
      <w:r w:rsidRPr="00630ACD">
        <w:rPr>
          <w:bCs/>
        </w:rPr>
        <w:t xml:space="preserve">    </w:t>
      </w:r>
    </w:p>
    <w:p w14:paraId="7526E6EA" w14:textId="77777777" w:rsidR="00BE5B4F" w:rsidRPr="001C31A1" w:rsidRDefault="00BE5B4F" w:rsidP="00BE5B4F">
      <w:r w:rsidRPr="001C31A1">
        <w:t xml:space="preserve">                                                                                                          </w:t>
      </w:r>
    </w:p>
    <w:p w14:paraId="70758B0D" w14:textId="77777777" w:rsidR="009C360D" w:rsidRPr="009C360D" w:rsidRDefault="00BE5B4F" w:rsidP="009C360D">
      <w:pPr>
        <w:rPr>
          <w:b/>
        </w:rPr>
      </w:pPr>
      <w:r w:rsidRPr="001C31A1">
        <w:rPr>
          <w:b/>
        </w:rPr>
        <w:t>CASE NUMBER</w:t>
      </w:r>
    </w:p>
    <w:p w14:paraId="68646F3A" w14:textId="79CC4A3C" w:rsidR="00DF33AD" w:rsidRPr="00D37999" w:rsidRDefault="00D50064" w:rsidP="009C360D">
      <w:pPr>
        <w:rPr>
          <w:color w:val="000000"/>
        </w:rPr>
      </w:pPr>
      <w:r w:rsidRPr="00D37999">
        <w:rPr>
          <w:color w:val="000000"/>
        </w:rPr>
        <w:t>FHC/ABJ/CS/13</w:t>
      </w:r>
      <w:r w:rsidR="00F008B7" w:rsidRPr="00D37999">
        <w:rPr>
          <w:color w:val="000000"/>
        </w:rPr>
        <w:t>01</w:t>
      </w:r>
      <w:r w:rsidRPr="00D37999">
        <w:rPr>
          <w:color w:val="000000"/>
        </w:rPr>
        <w:t>/2021</w:t>
      </w:r>
    </w:p>
    <w:p w14:paraId="700BE77F" w14:textId="77777777" w:rsidR="009C360D" w:rsidRPr="009C360D" w:rsidRDefault="009C360D" w:rsidP="009C360D">
      <w:pPr>
        <w:rPr>
          <w:b/>
        </w:rPr>
      </w:pPr>
    </w:p>
    <w:p w14:paraId="13BCF4C4" w14:textId="77777777" w:rsidR="00BE5B4F" w:rsidRPr="001C31A1" w:rsidRDefault="00BE5B4F" w:rsidP="00BE5B4F">
      <w:pPr>
        <w:rPr>
          <w:b/>
        </w:rPr>
      </w:pPr>
      <w:r w:rsidRPr="001C31A1">
        <w:rPr>
          <w:b/>
        </w:rPr>
        <w:t>JUDICIAL BODY</w:t>
      </w:r>
    </w:p>
    <w:p w14:paraId="5306BFF8" w14:textId="3CC6A765" w:rsidR="00BE5B4F" w:rsidRPr="001C31A1" w:rsidRDefault="00D50064" w:rsidP="00BE5B4F">
      <w:r>
        <w:t>First Instance Court</w:t>
      </w:r>
    </w:p>
    <w:p w14:paraId="44FF72D9" w14:textId="77777777" w:rsidR="00BE5B4F" w:rsidRPr="001C31A1" w:rsidRDefault="00BE5B4F" w:rsidP="00BE5B4F"/>
    <w:p w14:paraId="16E5BBF0" w14:textId="77777777" w:rsidR="00BE5B4F" w:rsidRPr="001C31A1" w:rsidRDefault="00BE5B4F" w:rsidP="00BE5B4F">
      <w:pPr>
        <w:rPr>
          <w:b/>
        </w:rPr>
      </w:pPr>
      <w:r w:rsidRPr="001C31A1">
        <w:rPr>
          <w:b/>
        </w:rPr>
        <w:t>TYPE OF LAW</w:t>
      </w:r>
    </w:p>
    <w:p w14:paraId="06679625" w14:textId="466FE6B4" w:rsidR="00BE5B4F" w:rsidRPr="001C31A1" w:rsidRDefault="001A7497" w:rsidP="00BE5B4F">
      <w:r>
        <w:t>Constitutional Law</w:t>
      </w:r>
    </w:p>
    <w:p w14:paraId="4EF7C682" w14:textId="77777777" w:rsidR="00BE5B4F" w:rsidRPr="001C31A1" w:rsidRDefault="00BE5B4F" w:rsidP="00BE5B4F"/>
    <w:p w14:paraId="1287447E" w14:textId="77777777" w:rsidR="00BE5B4F" w:rsidRPr="001C31A1" w:rsidRDefault="00BE5B4F" w:rsidP="00BE5B4F">
      <w:pPr>
        <w:rPr>
          <w:b/>
        </w:rPr>
      </w:pPr>
      <w:r w:rsidRPr="001C31A1">
        <w:rPr>
          <w:b/>
        </w:rPr>
        <w:t>THEMES</w:t>
      </w:r>
    </w:p>
    <w:p w14:paraId="4C749E25" w14:textId="26329205" w:rsidR="00BE5B4F" w:rsidRDefault="003A2E9F" w:rsidP="00BE5B4F">
      <w:r>
        <w:t>Press Freedom</w:t>
      </w:r>
    </w:p>
    <w:p w14:paraId="7D1880F6" w14:textId="77777777" w:rsidR="00911594" w:rsidRPr="001C31A1" w:rsidRDefault="00911594" w:rsidP="00BE5B4F"/>
    <w:p w14:paraId="30E3C6C9" w14:textId="77777777" w:rsidR="00BE5B4F" w:rsidRPr="001C31A1" w:rsidRDefault="00BE5B4F" w:rsidP="00BE5B4F">
      <w:pPr>
        <w:rPr>
          <w:b/>
        </w:rPr>
      </w:pPr>
      <w:r w:rsidRPr="001C31A1">
        <w:rPr>
          <w:b/>
        </w:rPr>
        <w:t>TAGS</w:t>
      </w:r>
    </w:p>
    <w:p w14:paraId="2D4DE297" w14:textId="45699329" w:rsidR="00BE5B4F" w:rsidRPr="001C31A1" w:rsidRDefault="00492DB8" w:rsidP="00BE5B4F">
      <w:r>
        <w:t xml:space="preserve">Journalists, Media Practitioners, </w:t>
      </w:r>
      <w:r w:rsidR="008543B3">
        <w:t xml:space="preserve">Extra-Judicial Killing, </w:t>
      </w:r>
      <w:r w:rsidR="005E550E">
        <w:t>Torture</w:t>
      </w:r>
    </w:p>
    <w:p w14:paraId="3306BF07" w14:textId="77777777" w:rsidR="00BB489D" w:rsidRDefault="00BB489D" w:rsidP="00BE5B4F"/>
    <w:p w14:paraId="0CEF2076" w14:textId="4638D1B9" w:rsidR="00B64640" w:rsidRDefault="00B64640" w:rsidP="00B64640">
      <w:pPr>
        <w:rPr>
          <w:b/>
        </w:rPr>
      </w:pPr>
      <w:r w:rsidRPr="001C31A1">
        <w:rPr>
          <w:b/>
        </w:rPr>
        <w:t>CASE ANALYSIS</w:t>
      </w:r>
    </w:p>
    <w:p w14:paraId="0CD286DE" w14:textId="77777777" w:rsidR="00906277" w:rsidRPr="001C31A1" w:rsidRDefault="00906277" w:rsidP="00B64640">
      <w:pPr>
        <w:rPr>
          <w:b/>
        </w:rPr>
      </w:pPr>
    </w:p>
    <w:p w14:paraId="4CBCF3BB" w14:textId="77777777" w:rsidR="00B64640" w:rsidRPr="001C31A1" w:rsidRDefault="00B64640" w:rsidP="00B64640">
      <w:pPr>
        <w:rPr>
          <w:b/>
        </w:rPr>
      </w:pPr>
      <w:r w:rsidRPr="001C31A1">
        <w:rPr>
          <w:b/>
        </w:rPr>
        <w:t>Case Summary and Outcome</w:t>
      </w:r>
    </w:p>
    <w:p w14:paraId="18FBB34A" w14:textId="7F8E1DF2" w:rsidR="00B64640" w:rsidRDefault="00B64640" w:rsidP="00B64640">
      <w:pPr>
        <w:pStyle w:val="Default"/>
        <w:jc w:val="both"/>
        <w:rPr>
          <w:rFonts w:eastAsia="Times New Roman"/>
        </w:rPr>
      </w:pPr>
      <w:r w:rsidRPr="000D0C61">
        <w:rPr>
          <w:rFonts w:eastAsia="Times New Roman"/>
        </w:rPr>
        <w:t xml:space="preserve">The </w:t>
      </w:r>
      <w:r w:rsidR="0006155C">
        <w:rPr>
          <w:rFonts w:eastAsia="Times New Roman"/>
        </w:rPr>
        <w:t>Federal High</w:t>
      </w:r>
      <w:r>
        <w:rPr>
          <w:rFonts w:eastAsia="Times New Roman"/>
        </w:rPr>
        <w:t xml:space="preserve"> Court sitting in </w:t>
      </w:r>
      <w:r w:rsidR="0006155C">
        <w:rPr>
          <w:rFonts w:eastAsia="Times New Roman"/>
        </w:rPr>
        <w:t xml:space="preserve">Abuja </w:t>
      </w:r>
      <w:r>
        <w:rPr>
          <w:rFonts w:eastAsia="Times New Roman"/>
        </w:rPr>
        <w:t xml:space="preserve">held that </w:t>
      </w:r>
      <w:r w:rsidR="0006155C">
        <w:rPr>
          <w:rFonts w:eastAsia="Times New Roman"/>
        </w:rPr>
        <w:t xml:space="preserve">the </w:t>
      </w:r>
      <w:r w:rsidR="00966A84">
        <w:rPr>
          <w:rFonts w:eastAsia="Times New Roman"/>
        </w:rPr>
        <w:t xml:space="preserve">killing of journalists and media practitioners </w:t>
      </w:r>
      <w:r w:rsidR="003C4C3D">
        <w:rPr>
          <w:rFonts w:eastAsia="Times New Roman"/>
        </w:rPr>
        <w:t xml:space="preserve">while carrying out their journalistic duties was a violation of their rights to freedom of expression and their right to life. </w:t>
      </w:r>
      <w:r w:rsidR="005D5DAE">
        <w:rPr>
          <w:rFonts w:eastAsia="Times New Roman"/>
        </w:rPr>
        <w:t xml:space="preserve">The Applicant, a not-for-profit Non-Governmental Organization registered under the Nigerian laws for promotion and </w:t>
      </w:r>
      <w:proofErr w:type="spellStart"/>
      <w:r w:rsidR="005D5DAE">
        <w:rPr>
          <w:rFonts w:eastAsia="Times New Roman"/>
        </w:rPr>
        <w:t>defence</w:t>
      </w:r>
      <w:proofErr w:type="spellEnd"/>
      <w:r w:rsidR="005D5DAE">
        <w:rPr>
          <w:rFonts w:eastAsia="Times New Roman"/>
        </w:rPr>
        <w:t xml:space="preserve"> of right to freedom of expression and media freedom, had instituted a lawsuit</w:t>
      </w:r>
      <w:r w:rsidR="00C47049">
        <w:rPr>
          <w:rFonts w:eastAsia="Times New Roman"/>
        </w:rPr>
        <w:t xml:space="preserve"> for the failure of the Nigerian government to </w:t>
      </w:r>
      <w:r w:rsidR="00C05BE8">
        <w:rPr>
          <w:rFonts w:eastAsia="Times New Roman"/>
        </w:rPr>
        <w:t xml:space="preserve">prevent killings of journalists and media practitioners and </w:t>
      </w:r>
      <w:r w:rsidR="00C47049">
        <w:rPr>
          <w:rFonts w:eastAsia="Times New Roman"/>
        </w:rPr>
        <w:t>investigate, prosecute and punish perpetrators of killings of journalists and media practitioners</w:t>
      </w:r>
      <w:r w:rsidR="00155C70">
        <w:rPr>
          <w:rFonts w:eastAsia="Times New Roman"/>
        </w:rPr>
        <w:t xml:space="preserve"> at different times in Nigeria.</w:t>
      </w:r>
      <w:r w:rsidR="00C47049">
        <w:rPr>
          <w:rFonts w:eastAsia="Times New Roman"/>
        </w:rPr>
        <w:t xml:space="preserve"> </w:t>
      </w:r>
      <w:r w:rsidR="00155C70">
        <w:rPr>
          <w:rFonts w:eastAsia="Times New Roman"/>
        </w:rPr>
        <w:t>The Applicant had filed the lawsuit on behalf of its members</w:t>
      </w:r>
      <w:r w:rsidR="00E62EC2">
        <w:rPr>
          <w:rFonts w:eastAsia="Times New Roman"/>
        </w:rPr>
        <w:t>,</w:t>
      </w:r>
      <w:r w:rsidR="00D55B8E">
        <w:rPr>
          <w:rFonts w:eastAsia="Times New Roman"/>
        </w:rPr>
        <w:t xml:space="preserve"> and the court assumed jurisdiction accordingly.</w:t>
      </w:r>
      <w:r w:rsidR="005F0E0B">
        <w:rPr>
          <w:rFonts w:eastAsia="Times New Roman"/>
        </w:rPr>
        <w:t xml:space="preserve"> </w:t>
      </w:r>
      <w:r w:rsidR="00D55B8E">
        <w:rPr>
          <w:rFonts w:eastAsia="Times New Roman"/>
        </w:rPr>
        <w:t xml:space="preserve">The Applicant in particular </w:t>
      </w:r>
      <w:r w:rsidR="00742FC4">
        <w:rPr>
          <w:rFonts w:eastAsia="Times New Roman"/>
        </w:rPr>
        <w:t>submitted</w:t>
      </w:r>
      <w:r w:rsidR="00D55B8E">
        <w:rPr>
          <w:rFonts w:eastAsia="Times New Roman"/>
        </w:rPr>
        <w:t xml:space="preserve"> that</w:t>
      </w:r>
      <w:r w:rsidR="00742FC4">
        <w:rPr>
          <w:rFonts w:eastAsia="Times New Roman"/>
        </w:rPr>
        <w:t xml:space="preserve"> lives of journalists like those of any other citizens are sacred and the </w:t>
      </w:r>
      <w:r w:rsidR="00742FC4">
        <w:rPr>
          <w:rFonts w:eastAsia="Times New Roman"/>
        </w:rPr>
        <w:lastRenderedPageBreak/>
        <w:t xml:space="preserve">Nigerian government has a duty to protect them. It further submitted that killings of journalist and </w:t>
      </w:r>
      <w:r w:rsidR="00804F6E">
        <w:rPr>
          <w:rFonts w:eastAsia="Times New Roman"/>
        </w:rPr>
        <w:t xml:space="preserve">the </w:t>
      </w:r>
      <w:r w:rsidR="00742FC4">
        <w:rPr>
          <w:rFonts w:eastAsia="Times New Roman"/>
        </w:rPr>
        <w:t xml:space="preserve">failure </w:t>
      </w:r>
      <w:r w:rsidR="00804F6E">
        <w:rPr>
          <w:rFonts w:eastAsia="Times New Roman"/>
        </w:rPr>
        <w:t xml:space="preserve">of the Nigerian government </w:t>
      </w:r>
      <w:r w:rsidR="00742FC4">
        <w:rPr>
          <w:rFonts w:eastAsia="Times New Roman"/>
        </w:rPr>
        <w:t xml:space="preserve">to protect the killed </w:t>
      </w:r>
      <w:r w:rsidR="00804F6E">
        <w:rPr>
          <w:rFonts w:eastAsia="Times New Roman"/>
        </w:rPr>
        <w:t>journalists</w:t>
      </w:r>
      <w:r w:rsidR="005F0E0B">
        <w:rPr>
          <w:rFonts w:eastAsia="Times New Roman"/>
        </w:rPr>
        <w:t xml:space="preserve"> </w:t>
      </w:r>
      <w:r w:rsidR="005D5DAE">
        <w:rPr>
          <w:rFonts w:eastAsia="Times New Roman"/>
        </w:rPr>
        <w:t xml:space="preserve"> </w:t>
      </w:r>
      <w:r w:rsidR="00804F6E">
        <w:rPr>
          <w:rFonts w:eastAsia="Times New Roman"/>
        </w:rPr>
        <w:t>is in contravention of right to freedom of expression guaranteed in Section 39 of the Constitution of the Federal Republic of Nigeria, 1999 (as amended) and other international instruments including African Charter on Human and People’s Rights</w:t>
      </w:r>
      <w:r w:rsidR="00F02864">
        <w:rPr>
          <w:rFonts w:eastAsia="Times New Roman"/>
        </w:rPr>
        <w:t xml:space="preserve"> </w:t>
      </w:r>
      <w:r w:rsidR="009C0A26">
        <w:rPr>
          <w:rFonts w:eastAsia="Times New Roman"/>
        </w:rPr>
        <w:t>(</w:t>
      </w:r>
      <w:r w:rsidR="00F02864">
        <w:t>(Ratification and Enforcement) Act</w:t>
      </w:r>
      <w:r w:rsidR="00804F6E">
        <w:rPr>
          <w:rFonts w:eastAsia="Times New Roman"/>
        </w:rPr>
        <w:t>, Universal Declaration of Human Rights</w:t>
      </w:r>
      <w:r w:rsidR="009C0A26">
        <w:rPr>
          <w:rFonts w:eastAsia="Times New Roman"/>
        </w:rPr>
        <w:t>(UDHR)</w:t>
      </w:r>
      <w:r w:rsidR="00804F6E">
        <w:rPr>
          <w:rFonts w:eastAsia="Times New Roman"/>
        </w:rPr>
        <w:t>, International Covenant on Civil and Political Rights</w:t>
      </w:r>
      <w:r w:rsidR="009C0A26">
        <w:rPr>
          <w:rFonts w:eastAsia="Times New Roman"/>
        </w:rPr>
        <w:t>(ICCPR)</w:t>
      </w:r>
      <w:r w:rsidR="00804F6E">
        <w:rPr>
          <w:rFonts w:eastAsia="Times New Roman"/>
        </w:rPr>
        <w:t>, the Revised Treaty of E</w:t>
      </w:r>
      <w:r w:rsidR="00DF6B95">
        <w:rPr>
          <w:rFonts w:eastAsia="Times New Roman"/>
        </w:rPr>
        <w:t xml:space="preserve">conomic Community of West African States and Declaration of Principles of Freedom of Expression and Access to Information in Africa. </w:t>
      </w:r>
      <w:r w:rsidR="007F55EE">
        <w:rPr>
          <w:rFonts w:eastAsia="Times New Roman"/>
        </w:rPr>
        <w:t xml:space="preserve">Responding to the Applicant’s case, the Respondent argued that the Applicant failed to establish that their fundamental rights were breached and that the court should dismiss the suit. </w:t>
      </w:r>
      <w:r>
        <w:rPr>
          <w:rFonts w:eastAsia="Times New Roman"/>
        </w:rPr>
        <w:t xml:space="preserve">In arriving at its decision, the court noted that </w:t>
      </w:r>
      <w:r w:rsidR="00E56968" w:rsidRPr="004B1EF7">
        <w:rPr>
          <w:rFonts w:eastAsia="Times New Roman"/>
          <w:i/>
          <w:iCs/>
        </w:rPr>
        <w:t>“journalism and media practice are constitutional professions in their respective rights and the pract</w:t>
      </w:r>
      <w:r w:rsidR="004B1EF7" w:rsidRPr="004B1EF7">
        <w:rPr>
          <w:rFonts w:eastAsia="Times New Roman"/>
          <w:i/>
          <w:iCs/>
        </w:rPr>
        <w:t>ice thereof imposes a duty to source, gather and in most cases, visit the locus in quo for information which they are obligated to disseminate”</w:t>
      </w:r>
      <w:r w:rsidR="004B1EF7">
        <w:rPr>
          <w:rFonts w:eastAsia="Times New Roman"/>
          <w:i/>
          <w:iCs/>
        </w:rPr>
        <w:t xml:space="preserve"> </w:t>
      </w:r>
      <w:r w:rsidR="004B1EF7" w:rsidRPr="007B0754">
        <w:rPr>
          <w:rFonts w:eastAsia="Times New Roman"/>
        </w:rPr>
        <w:t>[p.18]</w:t>
      </w:r>
      <w:r w:rsidR="004B1EF7">
        <w:rPr>
          <w:rFonts w:eastAsia="Times New Roman"/>
        </w:rPr>
        <w:t xml:space="preserve"> </w:t>
      </w:r>
      <w:r w:rsidR="00885736">
        <w:rPr>
          <w:rFonts w:eastAsia="Times New Roman"/>
        </w:rPr>
        <w:t xml:space="preserve">The court further noted that </w:t>
      </w:r>
      <w:r w:rsidR="00885736" w:rsidRPr="007B0754">
        <w:rPr>
          <w:rFonts w:eastAsia="Times New Roman"/>
          <w:i/>
          <w:iCs/>
        </w:rPr>
        <w:t>“</w:t>
      </w:r>
      <w:r w:rsidR="00E41B21" w:rsidRPr="007B0754">
        <w:rPr>
          <w:rFonts w:eastAsia="Times New Roman"/>
          <w:i/>
          <w:iCs/>
        </w:rPr>
        <w:t xml:space="preserve">It is therefore a breach of constitutional right of journalists and media practitioners </w:t>
      </w:r>
      <w:r w:rsidR="007B0754" w:rsidRPr="007B0754">
        <w:rPr>
          <w:rFonts w:eastAsia="Times New Roman"/>
          <w:i/>
          <w:iCs/>
        </w:rPr>
        <w:t>where they are attacked, tortured, maimed or killed in the course of doing their duty”</w:t>
      </w:r>
      <w:r w:rsidR="007B0754">
        <w:rPr>
          <w:rFonts w:eastAsia="Times New Roman"/>
        </w:rPr>
        <w:t xml:space="preserve"> </w:t>
      </w:r>
      <w:r w:rsidR="00BB6269">
        <w:rPr>
          <w:rFonts w:eastAsia="Times New Roman"/>
        </w:rPr>
        <w:t xml:space="preserve">[p.18]. </w:t>
      </w:r>
      <w:r w:rsidR="007B0754">
        <w:rPr>
          <w:rFonts w:eastAsia="Times New Roman"/>
        </w:rPr>
        <w:t xml:space="preserve">The court in fact held that there were extra-judicial killings </w:t>
      </w:r>
      <w:r w:rsidR="00BB6269">
        <w:rPr>
          <w:rFonts w:eastAsia="Times New Roman"/>
        </w:rPr>
        <w:t>of journalists and media practitioners as alleged by the Applicant and that the Nigerian government failed in its duty to prevent the said killings or punish the perpetrators</w:t>
      </w:r>
      <w:r w:rsidR="00A32E3D">
        <w:rPr>
          <w:rFonts w:eastAsia="Times New Roman"/>
        </w:rPr>
        <w:t>.</w:t>
      </w:r>
      <w:r w:rsidR="00BB6269" w:rsidRPr="00BB6269">
        <w:t xml:space="preserve"> </w:t>
      </w:r>
      <w:r w:rsidR="00A32E3D">
        <w:rPr>
          <w:rFonts w:eastAsia="Times New Roman"/>
        </w:rPr>
        <w:t>The</w:t>
      </w:r>
      <w:r w:rsidR="00BB6269" w:rsidRPr="00BB6269">
        <w:rPr>
          <w:rFonts w:eastAsia="Times New Roman"/>
        </w:rPr>
        <w:t xml:space="preserve"> court ordered the Nigerian government </w:t>
      </w:r>
      <w:r w:rsidR="00A32E3D">
        <w:rPr>
          <w:rFonts w:eastAsia="Times New Roman"/>
        </w:rPr>
        <w:t xml:space="preserve">to </w:t>
      </w:r>
      <w:r w:rsidR="00BB6269" w:rsidRPr="00BB6269">
        <w:rPr>
          <w:rFonts w:eastAsia="Times New Roman"/>
        </w:rPr>
        <w:t>take measures to prevent attacks on journalists and media practitioners</w:t>
      </w:r>
      <w:r w:rsidR="00A32E3D">
        <w:rPr>
          <w:rFonts w:eastAsia="Times New Roman"/>
        </w:rPr>
        <w:t xml:space="preserve"> and further ordered </w:t>
      </w:r>
      <w:r w:rsidR="00BB6269" w:rsidRPr="00BB6269">
        <w:rPr>
          <w:rFonts w:eastAsia="Times New Roman"/>
        </w:rPr>
        <w:t>investigat</w:t>
      </w:r>
      <w:r w:rsidR="00A32E3D">
        <w:rPr>
          <w:rFonts w:eastAsia="Times New Roman"/>
        </w:rPr>
        <w:t>ion</w:t>
      </w:r>
      <w:r w:rsidR="00BB6269" w:rsidRPr="00BB6269">
        <w:rPr>
          <w:rFonts w:eastAsia="Times New Roman"/>
        </w:rPr>
        <w:t>, prosecut</w:t>
      </w:r>
      <w:r w:rsidR="00A32E3D">
        <w:rPr>
          <w:rFonts w:eastAsia="Times New Roman"/>
        </w:rPr>
        <w:t>ion</w:t>
      </w:r>
      <w:r w:rsidR="00BB6269" w:rsidRPr="00BB6269">
        <w:rPr>
          <w:rFonts w:eastAsia="Times New Roman"/>
        </w:rPr>
        <w:t xml:space="preserve"> and punish</w:t>
      </w:r>
      <w:r w:rsidR="00A32E3D">
        <w:rPr>
          <w:rFonts w:eastAsia="Times New Roman"/>
        </w:rPr>
        <w:t>ment</w:t>
      </w:r>
      <w:r w:rsidR="00BB6269" w:rsidRPr="00BB6269">
        <w:rPr>
          <w:rFonts w:eastAsia="Times New Roman"/>
        </w:rPr>
        <w:t xml:space="preserve"> </w:t>
      </w:r>
      <w:r w:rsidR="00A32E3D">
        <w:rPr>
          <w:rFonts w:eastAsia="Times New Roman"/>
        </w:rPr>
        <w:t xml:space="preserve">of </w:t>
      </w:r>
      <w:r w:rsidR="00BB6269" w:rsidRPr="00BB6269">
        <w:rPr>
          <w:rFonts w:eastAsia="Times New Roman"/>
        </w:rPr>
        <w:t xml:space="preserve">perpetrators of all attacks against journalists and media practitioners and </w:t>
      </w:r>
      <w:r w:rsidR="00A32E3D">
        <w:rPr>
          <w:rFonts w:eastAsia="Times New Roman"/>
        </w:rPr>
        <w:t xml:space="preserve">ensure facilitation of </w:t>
      </w:r>
      <w:r w:rsidR="00BB6269" w:rsidRPr="00BB6269">
        <w:rPr>
          <w:rFonts w:eastAsia="Times New Roman"/>
        </w:rPr>
        <w:t>access to effective remedies</w:t>
      </w:r>
      <w:r w:rsidR="00A32E3D">
        <w:rPr>
          <w:rFonts w:eastAsia="Times New Roman"/>
        </w:rPr>
        <w:t xml:space="preserve"> </w:t>
      </w:r>
      <w:r w:rsidR="009C0A26">
        <w:rPr>
          <w:rFonts w:eastAsia="Times New Roman"/>
        </w:rPr>
        <w:t>for</w:t>
      </w:r>
      <w:r w:rsidR="00A32E3D">
        <w:rPr>
          <w:rFonts w:eastAsia="Times New Roman"/>
        </w:rPr>
        <w:t xml:space="preserve"> victims of such attacks</w:t>
      </w:r>
      <w:r w:rsidR="00BB6269" w:rsidRPr="00BB6269">
        <w:rPr>
          <w:rFonts w:eastAsia="Times New Roman"/>
        </w:rPr>
        <w:t>.</w:t>
      </w:r>
    </w:p>
    <w:p w14:paraId="0B19EFC8" w14:textId="77777777" w:rsidR="00B64640" w:rsidRPr="000D0C61" w:rsidRDefault="00B64640" w:rsidP="00B64640">
      <w:pPr>
        <w:pStyle w:val="Default"/>
      </w:pPr>
    </w:p>
    <w:p w14:paraId="7D109396" w14:textId="77777777" w:rsidR="00B64640" w:rsidRPr="001C31A1" w:rsidRDefault="00B64640" w:rsidP="00B64640">
      <w:pPr>
        <w:jc w:val="both"/>
        <w:rPr>
          <w:b/>
        </w:rPr>
      </w:pPr>
      <w:r w:rsidRPr="001C31A1">
        <w:rPr>
          <w:b/>
        </w:rPr>
        <w:t>Facts</w:t>
      </w:r>
    </w:p>
    <w:p w14:paraId="6867DC98" w14:textId="026F5509" w:rsidR="004D0DA4" w:rsidRDefault="005C3248" w:rsidP="00B64640">
      <w:pPr>
        <w:pStyle w:val="Default"/>
        <w:jc w:val="both"/>
        <w:rPr>
          <w:rFonts w:eastAsia="Times New Roman"/>
        </w:rPr>
      </w:pPr>
      <w:r>
        <w:t xml:space="preserve">On October 26, 2021, Media Rights Agenda, </w:t>
      </w:r>
      <w:r>
        <w:rPr>
          <w:rFonts w:eastAsia="Times New Roman"/>
        </w:rPr>
        <w:t xml:space="preserve">a not-for-profit Non-Governmental Organization registered under the Nigerian laws for promotion and </w:t>
      </w:r>
      <w:proofErr w:type="spellStart"/>
      <w:r>
        <w:rPr>
          <w:rFonts w:eastAsia="Times New Roman"/>
        </w:rPr>
        <w:t>defence</w:t>
      </w:r>
      <w:proofErr w:type="spellEnd"/>
      <w:r>
        <w:rPr>
          <w:rFonts w:eastAsia="Times New Roman"/>
        </w:rPr>
        <w:t xml:space="preserve"> of right to freedom of expression and media freedom, had instituted a lawsuit </w:t>
      </w:r>
      <w:r w:rsidR="002746A4">
        <w:rPr>
          <w:rFonts w:eastAsia="Times New Roman"/>
        </w:rPr>
        <w:t>against</w:t>
      </w:r>
      <w:r w:rsidR="008E3386">
        <w:rPr>
          <w:rFonts w:eastAsia="Times New Roman"/>
        </w:rPr>
        <w:t xml:space="preserve"> th</w:t>
      </w:r>
      <w:r w:rsidR="002746A4">
        <w:rPr>
          <w:rFonts w:eastAsia="Times New Roman"/>
        </w:rPr>
        <w:t xml:space="preserve">e Nigerian government </w:t>
      </w:r>
      <w:r w:rsidR="006A6C7E">
        <w:rPr>
          <w:rFonts w:eastAsia="Times New Roman"/>
        </w:rPr>
        <w:t xml:space="preserve">through the office of the Attorney General of the Federation who is the Chief Law Officer to the Federal Government of Nigeria </w:t>
      </w:r>
      <w:r>
        <w:rPr>
          <w:rFonts w:eastAsia="Times New Roman"/>
        </w:rPr>
        <w:t xml:space="preserve">for </w:t>
      </w:r>
      <w:r w:rsidR="002746A4">
        <w:rPr>
          <w:rFonts w:eastAsia="Times New Roman"/>
        </w:rPr>
        <w:t>its</w:t>
      </w:r>
      <w:r>
        <w:rPr>
          <w:rFonts w:eastAsia="Times New Roman"/>
        </w:rPr>
        <w:t xml:space="preserve"> failure to </w:t>
      </w:r>
      <w:r w:rsidR="002746A4">
        <w:rPr>
          <w:rFonts w:eastAsia="Times New Roman"/>
        </w:rPr>
        <w:t xml:space="preserve">prevent killings of journalists and media practitioners and </w:t>
      </w:r>
      <w:r>
        <w:rPr>
          <w:rFonts w:eastAsia="Times New Roman"/>
        </w:rPr>
        <w:t xml:space="preserve">investigate, prosecute and punish perpetrators of killings of journalists and media practitioners at different times in Nigeria. </w:t>
      </w:r>
      <w:r w:rsidR="0027203D">
        <w:rPr>
          <w:rFonts w:eastAsia="Times New Roman"/>
        </w:rPr>
        <w:t xml:space="preserve">In particular, the Applicant </w:t>
      </w:r>
      <w:r w:rsidR="00F55E46">
        <w:rPr>
          <w:rFonts w:eastAsia="Times New Roman"/>
        </w:rPr>
        <w:t>in the supporting Affidavit to its Motion on Notice</w:t>
      </w:r>
      <w:r w:rsidR="00F55E46">
        <w:rPr>
          <w:rFonts w:eastAsia="Times New Roman"/>
        </w:rPr>
        <w:t xml:space="preserve">, expressly </w:t>
      </w:r>
      <w:r w:rsidR="0027203D">
        <w:rPr>
          <w:rFonts w:eastAsia="Times New Roman"/>
        </w:rPr>
        <w:t xml:space="preserve">stated the names of the journalists </w:t>
      </w:r>
      <w:r w:rsidR="008E3386">
        <w:rPr>
          <w:rFonts w:eastAsia="Times New Roman"/>
        </w:rPr>
        <w:t xml:space="preserve">extra-judicially </w:t>
      </w:r>
      <w:r w:rsidR="0027203D">
        <w:rPr>
          <w:rFonts w:eastAsia="Times New Roman"/>
        </w:rPr>
        <w:t xml:space="preserve">killed </w:t>
      </w:r>
      <w:r w:rsidR="00F55E46">
        <w:rPr>
          <w:rFonts w:eastAsia="Times New Roman"/>
        </w:rPr>
        <w:t xml:space="preserve">within the territory of the Respondent </w:t>
      </w:r>
      <w:r w:rsidR="0027203D">
        <w:rPr>
          <w:rFonts w:eastAsia="Times New Roman"/>
        </w:rPr>
        <w:t xml:space="preserve">and </w:t>
      </w:r>
      <w:r w:rsidR="00F55E46">
        <w:rPr>
          <w:rFonts w:eastAsia="Times New Roman"/>
        </w:rPr>
        <w:t xml:space="preserve">the respective </w:t>
      </w:r>
      <w:r w:rsidR="0027203D">
        <w:rPr>
          <w:rFonts w:eastAsia="Times New Roman"/>
        </w:rPr>
        <w:t xml:space="preserve">dates they were killed. </w:t>
      </w:r>
      <w:r w:rsidR="00F55E46">
        <w:rPr>
          <w:rFonts w:eastAsia="Times New Roman"/>
        </w:rPr>
        <w:t>In establishing its case, t</w:t>
      </w:r>
      <w:r w:rsidR="007D2BAB">
        <w:rPr>
          <w:rFonts w:eastAsia="Times New Roman"/>
        </w:rPr>
        <w:t xml:space="preserve">he Applicant relied on relevant provisions </w:t>
      </w:r>
      <w:r w:rsidR="00F55E46">
        <w:rPr>
          <w:rFonts w:eastAsia="Times New Roman"/>
        </w:rPr>
        <w:t xml:space="preserve">of </w:t>
      </w:r>
      <w:r w:rsidR="007D2BAB">
        <w:rPr>
          <w:rFonts w:eastAsia="Times New Roman"/>
        </w:rPr>
        <w:t xml:space="preserve">statutes and international treaties already ratified by Nigeria. </w:t>
      </w:r>
      <w:r w:rsidR="004D0DA4">
        <w:rPr>
          <w:rFonts w:eastAsia="Times New Roman"/>
        </w:rPr>
        <w:t>The</w:t>
      </w:r>
      <w:r w:rsidR="008E3386">
        <w:rPr>
          <w:rFonts w:eastAsia="Times New Roman"/>
        </w:rPr>
        <w:t xml:space="preserve"> said provisions of statutes and international treaties relied upon by the Applicant are:</w:t>
      </w:r>
      <w:r w:rsidR="004D0DA4">
        <w:rPr>
          <w:rFonts w:eastAsia="Times New Roman"/>
        </w:rPr>
        <w:t xml:space="preserve"> </w:t>
      </w:r>
    </w:p>
    <w:p w14:paraId="2F0A4867" w14:textId="77777777" w:rsidR="00AC063E" w:rsidRDefault="00AC063E" w:rsidP="00B64640">
      <w:pPr>
        <w:pStyle w:val="Default"/>
        <w:jc w:val="both"/>
        <w:rPr>
          <w:rFonts w:eastAsia="Times New Roman"/>
        </w:rPr>
      </w:pPr>
    </w:p>
    <w:p w14:paraId="33E6CDBE" w14:textId="3968F812" w:rsidR="00AC063E" w:rsidRPr="000F6D75" w:rsidRDefault="00AC063E" w:rsidP="001B2882">
      <w:pPr>
        <w:ind w:right="-1200"/>
        <w:rPr>
          <w:b/>
          <w:bCs/>
          <w:color w:val="000000"/>
        </w:rPr>
      </w:pPr>
      <w:r w:rsidRPr="000F6D75">
        <w:rPr>
          <w:b/>
          <w:bCs/>
          <w:color w:val="000000"/>
        </w:rPr>
        <w:t xml:space="preserve">Section 33 of the Constitution: </w:t>
      </w:r>
    </w:p>
    <w:p w14:paraId="5D060E62" w14:textId="77777777" w:rsidR="00AC063E" w:rsidRPr="00AC063E" w:rsidRDefault="00AC063E" w:rsidP="001B2882">
      <w:pPr>
        <w:ind w:right="-1200"/>
        <w:rPr>
          <w:color w:val="000000"/>
        </w:rPr>
      </w:pPr>
    </w:p>
    <w:p w14:paraId="75D25FF9" w14:textId="22B8C460" w:rsidR="00AC063E" w:rsidRPr="00AC063E" w:rsidRDefault="004D0DA4" w:rsidP="00AC063E">
      <w:pPr>
        <w:pStyle w:val="ListParagraph"/>
        <w:numPr>
          <w:ilvl w:val="0"/>
          <w:numId w:val="4"/>
        </w:numPr>
        <w:spacing w:after="0" w:line="240" w:lineRule="auto"/>
        <w:ind w:right="-1200"/>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Every person has a right to life, and no one shall be deprived intentionally of his life, save in execution of the sentence of a court in respect of a criminal offence of which he has been found guilty in Nigeria.</w:t>
      </w:r>
    </w:p>
    <w:p w14:paraId="25526687" w14:textId="77777777" w:rsidR="00AC063E" w:rsidRPr="00AC063E" w:rsidRDefault="00AC063E" w:rsidP="00AC063E">
      <w:pPr>
        <w:pStyle w:val="ListParagraph"/>
        <w:spacing w:after="0" w:line="240" w:lineRule="auto"/>
        <w:ind w:right="-1200"/>
        <w:rPr>
          <w:rFonts w:ascii="Times New Roman" w:eastAsia="Times New Roman" w:hAnsi="Times New Roman" w:cs="Times New Roman"/>
          <w:i/>
          <w:iCs/>
          <w:color w:val="000000"/>
          <w:sz w:val="24"/>
          <w:szCs w:val="24"/>
        </w:rPr>
      </w:pPr>
    </w:p>
    <w:p w14:paraId="69DA7274" w14:textId="4C81A51C" w:rsidR="004D0DA4" w:rsidRPr="00AC063E" w:rsidRDefault="004D0DA4" w:rsidP="00AC063E">
      <w:pPr>
        <w:pStyle w:val="ListParagraph"/>
        <w:numPr>
          <w:ilvl w:val="0"/>
          <w:numId w:val="4"/>
        </w:numPr>
        <w:spacing w:after="0" w:line="240" w:lineRule="auto"/>
        <w:ind w:right="-1200"/>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 xml:space="preserve">A person shall not be regarded as having been deprived of his life in contravention of this section, if he dies as a result of the use, to such extent and in such circumstances as are permitted by law, of such force as is reasonably necessary </w:t>
      </w:r>
      <w:r w:rsidR="00AC063E" w:rsidRPr="00AC063E">
        <w:rPr>
          <w:rFonts w:ascii="Times New Roman" w:eastAsia="Times New Roman" w:hAnsi="Times New Roman" w:cs="Times New Roman"/>
          <w:i/>
          <w:iCs/>
          <w:color w:val="000000"/>
          <w:sz w:val="24"/>
          <w:szCs w:val="24"/>
        </w:rPr>
        <w:t>–</w:t>
      </w:r>
    </w:p>
    <w:p w14:paraId="58E98AEA" w14:textId="77777777" w:rsidR="00AC063E" w:rsidRPr="00AC063E" w:rsidRDefault="00AC063E" w:rsidP="00AC063E">
      <w:pPr>
        <w:ind w:right="-1200"/>
        <w:rPr>
          <w:i/>
          <w:iCs/>
          <w:color w:val="000000"/>
        </w:rPr>
      </w:pPr>
    </w:p>
    <w:p w14:paraId="7C65AE98" w14:textId="5107A69D" w:rsidR="004D0DA4" w:rsidRPr="00AC063E" w:rsidRDefault="00922DC2" w:rsidP="004D0DA4">
      <w:pPr>
        <w:spacing w:after="100"/>
        <w:ind w:left="960" w:right="960"/>
        <w:rPr>
          <w:i/>
          <w:iCs/>
          <w:color w:val="000000"/>
        </w:rPr>
      </w:pPr>
      <w:r>
        <w:rPr>
          <w:i/>
          <w:iCs/>
          <w:color w:val="800080"/>
        </w:rPr>
        <w:lastRenderedPageBreak/>
        <w:t xml:space="preserve">(a) </w:t>
      </w:r>
      <w:r w:rsidR="004D0DA4" w:rsidRPr="00AC063E">
        <w:rPr>
          <w:i/>
          <w:iCs/>
          <w:color w:val="000000"/>
        </w:rPr>
        <w:t xml:space="preserve">for the </w:t>
      </w:r>
      <w:proofErr w:type="spellStart"/>
      <w:r w:rsidR="004D0DA4" w:rsidRPr="00AC063E">
        <w:rPr>
          <w:i/>
          <w:iCs/>
          <w:color w:val="000000"/>
        </w:rPr>
        <w:t>defence</w:t>
      </w:r>
      <w:proofErr w:type="spellEnd"/>
      <w:r w:rsidR="004D0DA4" w:rsidRPr="00AC063E">
        <w:rPr>
          <w:i/>
          <w:iCs/>
          <w:color w:val="000000"/>
        </w:rPr>
        <w:t xml:space="preserve"> of any person from unlawful violence or for the </w:t>
      </w:r>
      <w:proofErr w:type="spellStart"/>
      <w:r w:rsidR="004D0DA4" w:rsidRPr="00AC063E">
        <w:rPr>
          <w:i/>
          <w:iCs/>
          <w:color w:val="000000"/>
        </w:rPr>
        <w:t>defence</w:t>
      </w:r>
      <w:proofErr w:type="spellEnd"/>
      <w:r w:rsidR="004D0DA4" w:rsidRPr="00AC063E">
        <w:rPr>
          <w:i/>
          <w:iCs/>
          <w:color w:val="000000"/>
        </w:rPr>
        <w:t xml:space="preserve"> of property:</w:t>
      </w:r>
    </w:p>
    <w:p w14:paraId="63E7F0FB" w14:textId="77777777" w:rsidR="004D0DA4" w:rsidRPr="00AC063E" w:rsidRDefault="004D0DA4" w:rsidP="004D0DA4">
      <w:pPr>
        <w:spacing w:before="100" w:after="100"/>
        <w:ind w:left="960" w:right="960"/>
        <w:rPr>
          <w:i/>
          <w:iCs/>
          <w:color w:val="000000"/>
        </w:rPr>
      </w:pPr>
      <w:r w:rsidRPr="00AC063E">
        <w:rPr>
          <w:i/>
          <w:iCs/>
          <w:color w:val="800080"/>
        </w:rPr>
        <w:t>(b)</w:t>
      </w:r>
      <w:r w:rsidRPr="00AC063E">
        <w:rPr>
          <w:i/>
          <w:iCs/>
          <w:color w:val="000000"/>
        </w:rPr>
        <w:t> in order to effect a lawful arrest or to prevent the escape of a person lawfully detained; or</w:t>
      </w:r>
    </w:p>
    <w:p w14:paraId="0A67BD85" w14:textId="41F5A724" w:rsidR="00AC063E" w:rsidRPr="004546C5" w:rsidRDefault="004D0DA4" w:rsidP="004546C5">
      <w:pPr>
        <w:spacing w:before="100" w:after="100"/>
        <w:ind w:left="960" w:right="960"/>
        <w:rPr>
          <w:i/>
          <w:iCs/>
          <w:color w:val="000000"/>
        </w:rPr>
      </w:pPr>
      <w:r w:rsidRPr="00AC063E">
        <w:rPr>
          <w:i/>
          <w:iCs/>
          <w:color w:val="800080"/>
        </w:rPr>
        <w:t>(c)</w:t>
      </w:r>
      <w:r w:rsidRPr="00AC063E">
        <w:rPr>
          <w:i/>
          <w:iCs/>
          <w:color w:val="000000"/>
        </w:rPr>
        <w:t> for the purpose of suppressing a riot, insurrection or mutiny.</w:t>
      </w:r>
    </w:p>
    <w:p w14:paraId="5A9254BD" w14:textId="28A0CC68" w:rsidR="00AC063E" w:rsidRDefault="001B2882" w:rsidP="00AC063E">
      <w:pPr>
        <w:pStyle w:val="ListParagraph"/>
        <w:numPr>
          <w:ilvl w:val="0"/>
          <w:numId w:val="5"/>
        </w:numPr>
        <w:spacing w:after="0" w:line="240" w:lineRule="auto"/>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 Every person shall be entitled to freedom of expression, including freedom to hold opinions and to receive and impart ideas and information without interference.</w:t>
      </w:r>
    </w:p>
    <w:p w14:paraId="3BCE840E" w14:textId="77777777" w:rsidR="000F6D75" w:rsidRPr="00AC063E" w:rsidRDefault="000F6D75" w:rsidP="000F6D75">
      <w:pPr>
        <w:pStyle w:val="ListParagraph"/>
        <w:spacing w:after="0" w:line="240" w:lineRule="auto"/>
        <w:rPr>
          <w:rFonts w:ascii="Times New Roman" w:eastAsia="Times New Roman" w:hAnsi="Times New Roman" w:cs="Times New Roman"/>
          <w:i/>
          <w:iCs/>
          <w:color w:val="000000"/>
          <w:sz w:val="24"/>
          <w:szCs w:val="24"/>
        </w:rPr>
      </w:pPr>
    </w:p>
    <w:p w14:paraId="6754FAAC" w14:textId="77777777" w:rsidR="00AC063E" w:rsidRPr="00AC063E" w:rsidRDefault="001B2882" w:rsidP="00AC063E">
      <w:pPr>
        <w:pStyle w:val="ListParagraph"/>
        <w:numPr>
          <w:ilvl w:val="0"/>
          <w:numId w:val="5"/>
        </w:numPr>
        <w:spacing w:after="0" w:line="240" w:lineRule="auto"/>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Without prejudice to the generality of subsection (1) of this section, every person shall be entitled to own, establish and operate any medium for the dissemination of information, ideas and opinions:</w:t>
      </w:r>
    </w:p>
    <w:p w14:paraId="1992FBA9" w14:textId="77777777" w:rsidR="00AC063E" w:rsidRPr="00AC063E" w:rsidRDefault="00AC063E" w:rsidP="00AC063E">
      <w:pPr>
        <w:pStyle w:val="ListParagraph"/>
        <w:spacing w:after="0" w:line="240" w:lineRule="auto"/>
        <w:rPr>
          <w:rFonts w:ascii="Times New Roman" w:eastAsia="Times New Roman" w:hAnsi="Times New Roman" w:cs="Times New Roman"/>
          <w:i/>
          <w:iCs/>
          <w:color w:val="000000"/>
          <w:sz w:val="24"/>
          <w:szCs w:val="24"/>
        </w:rPr>
      </w:pPr>
    </w:p>
    <w:p w14:paraId="0480D78B" w14:textId="77777777" w:rsidR="00AC063E" w:rsidRPr="00AC063E" w:rsidRDefault="001B2882" w:rsidP="00AC063E">
      <w:pPr>
        <w:pStyle w:val="ListParagraph"/>
        <w:spacing w:after="0" w:line="240" w:lineRule="auto"/>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 xml:space="preserve">Provided that no person, other than the Government of the Federation or of a State or any other person or body </w:t>
      </w:r>
      <w:proofErr w:type="spellStart"/>
      <w:r w:rsidRPr="00AC063E">
        <w:rPr>
          <w:rFonts w:ascii="Times New Roman" w:eastAsia="Times New Roman" w:hAnsi="Times New Roman" w:cs="Times New Roman"/>
          <w:i/>
          <w:iCs/>
          <w:color w:val="000000"/>
          <w:sz w:val="24"/>
          <w:szCs w:val="24"/>
        </w:rPr>
        <w:t>authorised</w:t>
      </w:r>
      <w:proofErr w:type="spellEnd"/>
      <w:r w:rsidRPr="00AC063E">
        <w:rPr>
          <w:rFonts w:ascii="Times New Roman" w:eastAsia="Times New Roman" w:hAnsi="Times New Roman" w:cs="Times New Roman"/>
          <w:i/>
          <w:iCs/>
          <w:color w:val="000000"/>
          <w:sz w:val="24"/>
          <w:szCs w:val="24"/>
        </w:rPr>
        <w:t xml:space="preserve"> by the President on the fulfilment of conditions laid down by an Act of the National Assembly, shall own, establish or operate a television or wireless broadcasting station for, any purpose whatsoever.</w:t>
      </w:r>
    </w:p>
    <w:p w14:paraId="7F8D904D" w14:textId="77777777" w:rsidR="00AC063E" w:rsidRPr="00AC063E" w:rsidRDefault="00AC063E" w:rsidP="00AC063E">
      <w:pPr>
        <w:pStyle w:val="ListParagraph"/>
        <w:spacing w:after="0" w:line="240" w:lineRule="auto"/>
        <w:rPr>
          <w:rFonts w:ascii="Times New Roman" w:eastAsia="Times New Roman" w:hAnsi="Times New Roman" w:cs="Times New Roman"/>
          <w:i/>
          <w:iCs/>
          <w:color w:val="000000"/>
          <w:sz w:val="24"/>
          <w:szCs w:val="24"/>
        </w:rPr>
      </w:pPr>
    </w:p>
    <w:p w14:paraId="302B78A9" w14:textId="32C8E490" w:rsidR="001B2882" w:rsidRPr="00AC063E" w:rsidRDefault="001B2882" w:rsidP="00AC063E">
      <w:pPr>
        <w:pStyle w:val="ListParagraph"/>
        <w:numPr>
          <w:ilvl w:val="0"/>
          <w:numId w:val="5"/>
        </w:numPr>
        <w:spacing w:after="0" w:line="240" w:lineRule="auto"/>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Nothing in this section shall invalidate any law that is reasonably justifiable in a democratic society -</w:t>
      </w:r>
    </w:p>
    <w:p w14:paraId="0EC0AD7C" w14:textId="77777777" w:rsidR="001B2882" w:rsidRPr="00AC063E" w:rsidRDefault="001B2882" w:rsidP="001B2882">
      <w:pPr>
        <w:ind w:left="-405"/>
        <w:rPr>
          <w:i/>
          <w:iCs/>
          <w:color w:val="000000"/>
        </w:rPr>
      </w:pPr>
      <w:r w:rsidRPr="00AC063E">
        <w:rPr>
          <w:i/>
          <w:iCs/>
          <w:color w:val="000000"/>
        </w:rPr>
        <w:t> </w:t>
      </w:r>
    </w:p>
    <w:p w14:paraId="10CC2978" w14:textId="2BC8889B" w:rsidR="001B2882" w:rsidRPr="00AC063E" w:rsidRDefault="001B2882" w:rsidP="00922DC2">
      <w:pPr>
        <w:pStyle w:val="ListParagraph"/>
        <w:numPr>
          <w:ilvl w:val="0"/>
          <w:numId w:val="7"/>
        </w:numPr>
        <w:spacing w:after="0" w:line="240" w:lineRule="auto"/>
        <w:rPr>
          <w:rFonts w:ascii="Times New Roman" w:eastAsia="Times New Roman" w:hAnsi="Times New Roman" w:cs="Times New Roman"/>
          <w:i/>
          <w:iCs/>
          <w:color w:val="000000"/>
          <w:sz w:val="24"/>
          <w:szCs w:val="24"/>
        </w:rPr>
      </w:pPr>
      <w:r w:rsidRPr="00AC063E">
        <w:rPr>
          <w:rFonts w:ascii="Times New Roman" w:eastAsia="Times New Roman" w:hAnsi="Times New Roman" w:cs="Times New Roman"/>
          <w:i/>
          <w:iCs/>
          <w:color w:val="000000"/>
          <w:sz w:val="24"/>
          <w:szCs w:val="24"/>
        </w:rPr>
        <w:t>for the purpose of preventing the disclosure. of information received in confidence, maintaining the authority and independence of courts or regulating telephony, wireless broadcasting, television or the exhibition of cinematograph films; or</w:t>
      </w:r>
    </w:p>
    <w:p w14:paraId="5B686CD6" w14:textId="77777777" w:rsidR="00AC063E" w:rsidRPr="00AC063E" w:rsidRDefault="00AC063E" w:rsidP="00AC063E">
      <w:pPr>
        <w:pStyle w:val="ListParagraph"/>
        <w:spacing w:after="0" w:line="240" w:lineRule="auto"/>
        <w:ind w:left="1395"/>
        <w:rPr>
          <w:rFonts w:ascii="Times New Roman" w:eastAsia="Times New Roman" w:hAnsi="Times New Roman" w:cs="Times New Roman"/>
          <w:i/>
          <w:iCs/>
          <w:color w:val="000000"/>
          <w:sz w:val="24"/>
          <w:szCs w:val="24"/>
        </w:rPr>
      </w:pPr>
    </w:p>
    <w:p w14:paraId="11C22B21" w14:textId="2B61AAD3" w:rsidR="009A2486" w:rsidRDefault="001B2882" w:rsidP="004338F5">
      <w:pPr>
        <w:pStyle w:val="ListParagraph"/>
        <w:numPr>
          <w:ilvl w:val="0"/>
          <w:numId w:val="7"/>
        </w:numPr>
        <w:spacing w:after="100" w:line="240" w:lineRule="auto"/>
        <w:rPr>
          <w:rFonts w:ascii="Times New Roman" w:eastAsia="Times New Roman" w:hAnsi="Times New Roman" w:cs="Times New Roman"/>
          <w:i/>
          <w:iCs/>
          <w:color w:val="000000"/>
          <w:sz w:val="24"/>
          <w:szCs w:val="24"/>
        </w:rPr>
      </w:pPr>
      <w:r w:rsidRPr="00922DC2">
        <w:rPr>
          <w:rFonts w:ascii="Times New Roman" w:eastAsia="Times New Roman" w:hAnsi="Times New Roman" w:cs="Times New Roman"/>
          <w:i/>
          <w:iCs/>
          <w:color w:val="000000"/>
          <w:sz w:val="24"/>
          <w:szCs w:val="24"/>
        </w:rPr>
        <w:t> imposing restrictions upon persons holding office under the Government of the Federation or of a State, members of the armed forces of the Federation or members of the Nigeria Police Force or other Government security services or agencies established by law.</w:t>
      </w:r>
    </w:p>
    <w:p w14:paraId="5CE320CA" w14:textId="77777777" w:rsidR="004338F5" w:rsidRPr="000F6D75" w:rsidRDefault="004338F5" w:rsidP="004338F5">
      <w:pPr>
        <w:spacing w:after="100"/>
        <w:rPr>
          <w:b/>
          <w:bCs/>
          <w:i/>
          <w:iCs/>
          <w:color w:val="000000"/>
        </w:rPr>
      </w:pPr>
    </w:p>
    <w:p w14:paraId="71E47C1F" w14:textId="2C66DD13" w:rsidR="009A2486" w:rsidRPr="000F6D75" w:rsidRDefault="009A2486" w:rsidP="00BB4821">
      <w:pPr>
        <w:spacing w:before="100" w:after="100"/>
        <w:ind w:right="960"/>
        <w:rPr>
          <w:b/>
          <w:bCs/>
          <w:color w:val="000000"/>
        </w:rPr>
      </w:pPr>
      <w:r w:rsidRPr="000F6D75">
        <w:rPr>
          <w:b/>
          <w:bCs/>
          <w:color w:val="000000"/>
        </w:rPr>
        <w:t>Article 4</w:t>
      </w:r>
      <w:r w:rsidR="00BB4821" w:rsidRPr="000F6D75">
        <w:rPr>
          <w:b/>
          <w:bCs/>
          <w:color w:val="000000"/>
        </w:rPr>
        <w:t xml:space="preserve"> and 9 of the African Charter</w:t>
      </w:r>
      <w:r w:rsidR="006A79C1">
        <w:rPr>
          <w:b/>
          <w:bCs/>
          <w:color w:val="000000"/>
        </w:rPr>
        <w:t xml:space="preserve"> on Human and People’s Rights (Ratification and Enforcement) Act</w:t>
      </w:r>
      <w:r w:rsidR="00BB4821" w:rsidRPr="000F6D75">
        <w:rPr>
          <w:b/>
          <w:bCs/>
          <w:color w:val="000000"/>
        </w:rPr>
        <w:t>:</w:t>
      </w:r>
    </w:p>
    <w:p w14:paraId="328EEC4E" w14:textId="300C3D2F" w:rsidR="009A2486" w:rsidRDefault="009A2486" w:rsidP="004D0DA4">
      <w:pPr>
        <w:spacing w:before="100" w:after="100"/>
        <w:ind w:left="960" w:right="960"/>
        <w:rPr>
          <w:color w:val="000000"/>
        </w:rPr>
      </w:pPr>
    </w:p>
    <w:p w14:paraId="30C0C353" w14:textId="3117F0BC" w:rsidR="009A2486" w:rsidRPr="00BB4821" w:rsidRDefault="00BB4821" w:rsidP="009A2486">
      <w:pPr>
        <w:rPr>
          <w:i/>
          <w:iCs/>
        </w:rPr>
      </w:pPr>
      <w:r w:rsidRPr="00BB4821">
        <w:rPr>
          <w:i/>
          <w:iCs/>
        </w:rPr>
        <w:t xml:space="preserve">4. </w:t>
      </w:r>
      <w:r w:rsidR="009A2486" w:rsidRPr="00BB4821">
        <w:rPr>
          <w:i/>
          <w:iCs/>
        </w:rPr>
        <w:t xml:space="preserve">Human beings are inviolable. Every human being shall be entitled to respect for his life and the integrity of his person. No one may be arbitrarily deprived of this right. </w:t>
      </w:r>
    </w:p>
    <w:p w14:paraId="4CBFEDC2" w14:textId="7A10F8A6" w:rsidR="004B6784" w:rsidRDefault="004B6784" w:rsidP="00BB4821">
      <w:pPr>
        <w:spacing w:before="100" w:after="100"/>
        <w:ind w:right="960"/>
        <w:rPr>
          <w:color w:val="000000"/>
        </w:rPr>
      </w:pPr>
    </w:p>
    <w:p w14:paraId="6DBF93E8" w14:textId="699A0F4F" w:rsidR="00BB4821" w:rsidRPr="00BB4821" w:rsidRDefault="00BB4821" w:rsidP="004B6784">
      <w:pPr>
        <w:rPr>
          <w:i/>
          <w:iCs/>
        </w:rPr>
      </w:pPr>
      <w:r w:rsidRPr="00BB4821">
        <w:rPr>
          <w:i/>
          <w:iCs/>
        </w:rPr>
        <w:t>9 (</w:t>
      </w:r>
      <w:r w:rsidR="004B6784" w:rsidRPr="00BB4821">
        <w:rPr>
          <w:i/>
          <w:iCs/>
        </w:rPr>
        <w:t>1</w:t>
      </w:r>
      <w:r w:rsidRPr="00BB4821">
        <w:rPr>
          <w:i/>
          <w:iCs/>
        </w:rPr>
        <w:t>)</w:t>
      </w:r>
      <w:r w:rsidR="004B6784" w:rsidRPr="00BB4821">
        <w:rPr>
          <w:i/>
          <w:iCs/>
        </w:rPr>
        <w:t xml:space="preserve">. Every individual shall have the right to receive information. </w:t>
      </w:r>
    </w:p>
    <w:p w14:paraId="564A366B" w14:textId="77777777" w:rsidR="00BB4821" w:rsidRPr="00BB4821" w:rsidRDefault="00BB4821" w:rsidP="004B6784">
      <w:pPr>
        <w:rPr>
          <w:i/>
          <w:iCs/>
        </w:rPr>
      </w:pPr>
    </w:p>
    <w:p w14:paraId="0473DE87" w14:textId="1CBCECCD" w:rsidR="004B6784" w:rsidRDefault="004B6784" w:rsidP="004B6784">
      <w:pPr>
        <w:rPr>
          <w:i/>
          <w:iCs/>
        </w:rPr>
      </w:pPr>
      <w:r w:rsidRPr="00BB4821">
        <w:rPr>
          <w:i/>
          <w:iCs/>
        </w:rPr>
        <w:t xml:space="preserve">2. Every individual shall have the right to express and disseminate his opinions within the law. </w:t>
      </w:r>
    </w:p>
    <w:p w14:paraId="16D52601" w14:textId="0A1FAA51" w:rsidR="006A79C1" w:rsidRDefault="006A79C1" w:rsidP="004B6784">
      <w:pPr>
        <w:rPr>
          <w:i/>
          <w:iCs/>
        </w:rPr>
      </w:pPr>
    </w:p>
    <w:p w14:paraId="7BD59082" w14:textId="77777777" w:rsidR="006A79C1" w:rsidRPr="00BB4821" w:rsidRDefault="006A79C1" w:rsidP="004B6784">
      <w:pPr>
        <w:rPr>
          <w:i/>
          <w:iCs/>
        </w:rPr>
      </w:pPr>
    </w:p>
    <w:p w14:paraId="2FCB397A" w14:textId="2268D849" w:rsidR="00975C74" w:rsidRDefault="00975C74" w:rsidP="004338F5">
      <w:pPr>
        <w:spacing w:before="100" w:after="100"/>
        <w:ind w:right="960"/>
        <w:rPr>
          <w:color w:val="000000"/>
        </w:rPr>
      </w:pPr>
    </w:p>
    <w:p w14:paraId="28B40575" w14:textId="1D421FDD" w:rsidR="00BB4821" w:rsidRPr="000F6D75" w:rsidRDefault="00975C74" w:rsidP="00BB4821">
      <w:pPr>
        <w:spacing w:before="100" w:after="100"/>
        <w:ind w:right="960"/>
        <w:rPr>
          <w:b/>
          <w:bCs/>
          <w:color w:val="000000"/>
        </w:rPr>
      </w:pPr>
      <w:r w:rsidRPr="000F6D75">
        <w:rPr>
          <w:b/>
          <w:bCs/>
          <w:color w:val="000000"/>
        </w:rPr>
        <w:lastRenderedPageBreak/>
        <w:t>Article 6</w:t>
      </w:r>
      <w:r w:rsidR="00BB4821" w:rsidRPr="000F6D75">
        <w:rPr>
          <w:b/>
          <w:bCs/>
          <w:color w:val="000000"/>
        </w:rPr>
        <w:t xml:space="preserve"> (1) of the ICCPR:</w:t>
      </w:r>
    </w:p>
    <w:p w14:paraId="79D1539E" w14:textId="26C45D6C" w:rsidR="00975C74" w:rsidRPr="00BB4821" w:rsidRDefault="00BB4821" w:rsidP="00975C74">
      <w:pPr>
        <w:rPr>
          <w:i/>
          <w:iCs/>
        </w:rPr>
      </w:pPr>
      <w:r w:rsidRPr="00BB4821">
        <w:rPr>
          <w:i/>
          <w:iCs/>
          <w:color w:val="4A4A4A"/>
          <w:spacing w:val="4"/>
        </w:rPr>
        <w:t>6(</w:t>
      </w:r>
      <w:r w:rsidR="00975C74" w:rsidRPr="00BB4821">
        <w:rPr>
          <w:i/>
          <w:iCs/>
          <w:color w:val="4A4A4A"/>
          <w:spacing w:val="4"/>
        </w:rPr>
        <w:t>1</w:t>
      </w:r>
      <w:r w:rsidRPr="00BB4821">
        <w:rPr>
          <w:i/>
          <w:iCs/>
          <w:color w:val="4A4A4A"/>
          <w:spacing w:val="4"/>
        </w:rPr>
        <w:t>)</w:t>
      </w:r>
      <w:r w:rsidR="00975C74" w:rsidRPr="00BB4821">
        <w:rPr>
          <w:i/>
          <w:iCs/>
          <w:color w:val="4A4A4A"/>
          <w:spacing w:val="4"/>
        </w:rPr>
        <w:t xml:space="preserve"> Every human being has the inherent right to life. This right shall be protected by law. No one shall be arbitrarily deprived of his life.</w:t>
      </w:r>
    </w:p>
    <w:p w14:paraId="3D646B82" w14:textId="263D84BD" w:rsidR="004D0DA4" w:rsidRDefault="004D0DA4" w:rsidP="00B64640">
      <w:pPr>
        <w:pStyle w:val="Default"/>
        <w:jc w:val="both"/>
        <w:rPr>
          <w:rFonts w:eastAsia="Times New Roman"/>
        </w:rPr>
      </w:pPr>
    </w:p>
    <w:p w14:paraId="211A0959" w14:textId="7EE56821" w:rsidR="00975C74" w:rsidRDefault="00975C74" w:rsidP="00B64640">
      <w:pPr>
        <w:pStyle w:val="Default"/>
        <w:jc w:val="both"/>
        <w:rPr>
          <w:rFonts w:eastAsia="Times New Roman"/>
        </w:rPr>
      </w:pPr>
    </w:p>
    <w:p w14:paraId="41D8C129" w14:textId="3EF74D99" w:rsidR="00975C74" w:rsidRPr="000F6D75" w:rsidRDefault="00975C74" w:rsidP="00B64640">
      <w:pPr>
        <w:pStyle w:val="Default"/>
        <w:jc w:val="both"/>
        <w:rPr>
          <w:rFonts w:eastAsia="Times New Roman"/>
          <w:b/>
          <w:bCs/>
        </w:rPr>
      </w:pPr>
      <w:r w:rsidRPr="000F6D75">
        <w:rPr>
          <w:rFonts w:eastAsia="Times New Roman"/>
          <w:b/>
          <w:bCs/>
        </w:rPr>
        <w:t>Article 3</w:t>
      </w:r>
      <w:r w:rsidR="00BB4821" w:rsidRPr="000F6D75">
        <w:rPr>
          <w:rFonts w:eastAsia="Times New Roman"/>
          <w:b/>
          <w:bCs/>
        </w:rPr>
        <w:t xml:space="preserve"> of the UDHR:</w:t>
      </w:r>
    </w:p>
    <w:p w14:paraId="119BC6DD" w14:textId="2028D74A" w:rsidR="00975C74" w:rsidRDefault="00975C74" w:rsidP="00B64640">
      <w:pPr>
        <w:pStyle w:val="Default"/>
        <w:jc w:val="both"/>
        <w:rPr>
          <w:rFonts w:eastAsia="Times New Roman"/>
        </w:rPr>
      </w:pPr>
    </w:p>
    <w:p w14:paraId="3E2F2F42" w14:textId="7CACD17E" w:rsidR="00975C74" w:rsidRDefault="00975C74" w:rsidP="00975C74">
      <w:pPr>
        <w:rPr>
          <w:i/>
          <w:iCs/>
          <w:color w:val="454545"/>
          <w:spacing w:val="-5"/>
          <w:shd w:val="clear" w:color="auto" w:fill="FFFFFF"/>
        </w:rPr>
      </w:pPr>
      <w:r w:rsidRPr="00BB4821">
        <w:rPr>
          <w:i/>
          <w:iCs/>
          <w:color w:val="454545"/>
          <w:spacing w:val="-5"/>
          <w:shd w:val="clear" w:color="auto" w:fill="FFFFFF"/>
        </w:rPr>
        <w:t>Everyone has the right to life, liberty and security of person.</w:t>
      </w:r>
    </w:p>
    <w:p w14:paraId="0CEDC8C3" w14:textId="77777777" w:rsidR="000F6D75" w:rsidRPr="00BB4821" w:rsidRDefault="000F6D75" w:rsidP="00975C74">
      <w:pPr>
        <w:rPr>
          <w:i/>
          <w:iCs/>
        </w:rPr>
      </w:pPr>
    </w:p>
    <w:p w14:paraId="59D804E7" w14:textId="3068AD51" w:rsidR="00975C74" w:rsidRPr="000F6D75" w:rsidRDefault="00975C74" w:rsidP="00B64640">
      <w:pPr>
        <w:pStyle w:val="Default"/>
        <w:jc w:val="both"/>
        <w:rPr>
          <w:rFonts w:eastAsia="Times New Roman"/>
          <w:b/>
          <w:bCs/>
        </w:rPr>
      </w:pPr>
    </w:p>
    <w:p w14:paraId="3ACDC1E3" w14:textId="73640077" w:rsidR="00BB4821" w:rsidRPr="000F6D75" w:rsidRDefault="00BB4821" w:rsidP="00B64640">
      <w:pPr>
        <w:pStyle w:val="Default"/>
        <w:jc w:val="both"/>
        <w:rPr>
          <w:rFonts w:eastAsia="Times New Roman"/>
          <w:b/>
          <w:bCs/>
        </w:rPr>
      </w:pPr>
      <w:r w:rsidRPr="000F6D75">
        <w:rPr>
          <w:rFonts w:eastAsia="Times New Roman"/>
          <w:b/>
          <w:bCs/>
        </w:rPr>
        <w:t xml:space="preserve">Principle 20 of the </w:t>
      </w:r>
      <w:r w:rsidRPr="000F6D75">
        <w:rPr>
          <w:rFonts w:eastAsia="Times New Roman"/>
          <w:b/>
          <w:bCs/>
        </w:rPr>
        <w:t>Principles of Freedom of Expression and Access to Information in Africa</w:t>
      </w:r>
      <w:r w:rsidR="00A72CCA" w:rsidRPr="000F6D75">
        <w:rPr>
          <w:rFonts w:eastAsia="Times New Roman"/>
          <w:b/>
          <w:bCs/>
        </w:rPr>
        <w:t>:</w:t>
      </w:r>
    </w:p>
    <w:p w14:paraId="68F0D62E" w14:textId="7A559067" w:rsidR="00F03332" w:rsidRDefault="00F03332" w:rsidP="00B64640">
      <w:pPr>
        <w:pStyle w:val="Default"/>
        <w:jc w:val="both"/>
        <w:rPr>
          <w:rFonts w:eastAsia="Times New Roman"/>
        </w:rPr>
      </w:pPr>
    </w:p>
    <w:p w14:paraId="6324D5A2" w14:textId="648D8587" w:rsidR="00F03332" w:rsidRPr="00BB4821" w:rsidRDefault="00F03332" w:rsidP="00F03332">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States shall guarantee the safety of journalists and other media practitioners. </w:t>
      </w:r>
    </w:p>
    <w:p w14:paraId="1B88A779" w14:textId="77777777" w:rsidR="00F03332" w:rsidRPr="00BB4821" w:rsidRDefault="00F03332" w:rsidP="00F03332">
      <w:pPr>
        <w:pStyle w:val="ListParagraph"/>
        <w:spacing w:after="0" w:line="240" w:lineRule="auto"/>
        <w:rPr>
          <w:rFonts w:ascii="Times New Roman" w:eastAsia="Times New Roman" w:hAnsi="Times New Roman" w:cs="Times New Roman"/>
          <w:i/>
          <w:iCs/>
          <w:sz w:val="24"/>
          <w:szCs w:val="24"/>
        </w:rPr>
      </w:pPr>
    </w:p>
    <w:p w14:paraId="73DCF7EE" w14:textId="3EC459FE" w:rsidR="00F03332" w:rsidRPr="00BB4821" w:rsidRDefault="00F03332" w:rsidP="00F03332">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States shall take measures to prevent attacks on journalists and other media practitioners, including murder, extra-judicial killing, torture and other forms of ill-treatment, arbitrary arrest and detention, enforced disappearance, kidnapping, intimidation, threats and unlawful surveillance undertaken by State and non-State actors. </w:t>
      </w:r>
    </w:p>
    <w:p w14:paraId="52AFD67D" w14:textId="77777777" w:rsidR="00F03332" w:rsidRPr="00BB4821" w:rsidRDefault="00F03332" w:rsidP="00F03332">
      <w:pPr>
        <w:pStyle w:val="ListParagraph"/>
        <w:spacing w:after="0" w:line="240" w:lineRule="auto"/>
        <w:rPr>
          <w:rFonts w:ascii="Times New Roman" w:eastAsia="Times New Roman" w:hAnsi="Times New Roman" w:cs="Times New Roman"/>
          <w:i/>
          <w:iCs/>
          <w:sz w:val="24"/>
          <w:szCs w:val="24"/>
        </w:rPr>
      </w:pPr>
    </w:p>
    <w:p w14:paraId="0858B3A1" w14:textId="77777777" w:rsidR="00017313" w:rsidRPr="00BB4821" w:rsidRDefault="00F03332" w:rsidP="00017313">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States shall take measures to raise the awareness and build the capacities of journalists and other media practitioners, policy makers and other stakeholders on laws and standards for ensuring the safety of journalists and other media practitioners. </w:t>
      </w:r>
    </w:p>
    <w:p w14:paraId="4DEFE78D" w14:textId="77777777" w:rsidR="00017313" w:rsidRPr="00BB4821" w:rsidRDefault="00017313" w:rsidP="00017313">
      <w:pPr>
        <w:pStyle w:val="ListParagraph"/>
        <w:rPr>
          <w:rFonts w:ascii="Times New Roman" w:eastAsia="Times New Roman" w:hAnsi="Times New Roman" w:cs="Times New Roman"/>
          <w:i/>
          <w:iCs/>
          <w:sz w:val="24"/>
          <w:szCs w:val="24"/>
        </w:rPr>
      </w:pPr>
    </w:p>
    <w:p w14:paraId="3E35346E" w14:textId="061C1431" w:rsidR="00F03332" w:rsidRPr="00BB4821" w:rsidRDefault="00F03332" w:rsidP="00017313">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 States shall take effective legal and other measures to investigate, prosecute and punish perpetrators of attacks against journalists and other media practitioners, and ensure that victims have access to effective remedies. </w:t>
      </w:r>
    </w:p>
    <w:p w14:paraId="5BC60000" w14:textId="77777777" w:rsidR="00017313" w:rsidRPr="00BB4821" w:rsidRDefault="00017313" w:rsidP="00017313">
      <w:pPr>
        <w:pStyle w:val="ListParagraph"/>
        <w:rPr>
          <w:rFonts w:ascii="Times New Roman" w:eastAsia="Times New Roman" w:hAnsi="Times New Roman" w:cs="Times New Roman"/>
          <w:i/>
          <w:iCs/>
          <w:sz w:val="24"/>
          <w:szCs w:val="24"/>
        </w:rPr>
      </w:pPr>
    </w:p>
    <w:p w14:paraId="181D47AA" w14:textId="77777777" w:rsidR="00017313" w:rsidRPr="00BB4821" w:rsidRDefault="00017313" w:rsidP="00017313">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States shall be liable for the conduct of law enforcement, security, intelligence, military and other personnel which threatens, undermines or violates the safety of journalists and other media practitioners. </w:t>
      </w:r>
    </w:p>
    <w:p w14:paraId="3652F649" w14:textId="77777777" w:rsidR="00017313" w:rsidRPr="00BB4821" w:rsidRDefault="00017313" w:rsidP="00017313">
      <w:pPr>
        <w:pStyle w:val="ListParagraph"/>
        <w:rPr>
          <w:rFonts w:ascii="Times New Roman" w:eastAsia="Times New Roman" w:hAnsi="Times New Roman" w:cs="Times New Roman"/>
          <w:i/>
          <w:iCs/>
          <w:sz w:val="24"/>
          <w:szCs w:val="24"/>
        </w:rPr>
      </w:pPr>
    </w:p>
    <w:p w14:paraId="0A5FDE7A" w14:textId="77777777" w:rsidR="00017313" w:rsidRPr="00BB4821" w:rsidRDefault="00017313" w:rsidP="00017313">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6. States shall take specific measures to ensure the safety of female journalists and media practitioners by addressing </w:t>
      </w:r>
      <w:proofErr w:type="spellStart"/>
      <w:r w:rsidRPr="00BB4821">
        <w:rPr>
          <w:rFonts w:ascii="Times New Roman" w:eastAsia="Times New Roman" w:hAnsi="Times New Roman" w:cs="Times New Roman"/>
          <w:i/>
          <w:iCs/>
          <w:sz w:val="24"/>
          <w:szCs w:val="24"/>
        </w:rPr>
        <w:t>genderspecific</w:t>
      </w:r>
      <w:proofErr w:type="spellEnd"/>
      <w:r w:rsidRPr="00BB4821">
        <w:rPr>
          <w:rFonts w:ascii="Times New Roman" w:eastAsia="Times New Roman" w:hAnsi="Times New Roman" w:cs="Times New Roman"/>
          <w:i/>
          <w:iCs/>
          <w:sz w:val="24"/>
          <w:szCs w:val="24"/>
        </w:rPr>
        <w:t xml:space="preserve"> safety concerns, including sexual and gender-based violence, intimidation and harassment.</w:t>
      </w:r>
    </w:p>
    <w:p w14:paraId="1AE6ADF0" w14:textId="77777777" w:rsidR="00017313" w:rsidRPr="00BB4821" w:rsidRDefault="00017313" w:rsidP="00017313">
      <w:pPr>
        <w:pStyle w:val="ListParagraph"/>
        <w:rPr>
          <w:rFonts w:ascii="Times New Roman" w:eastAsia="Times New Roman" w:hAnsi="Times New Roman" w:cs="Times New Roman"/>
          <w:i/>
          <w:iCs/>
          <w:sz w:val="24"/>
          <w:szCs w:val="24"/>
        </w:rPr>
      </w:pPr>
    </w:p>
    <w:p w14:paraId="0951AEB8" w14:textId="62410E90" w:rsidR="00017313" w:rsidRDefault="00017313" w:rsidP="00017313">
      <w:pPr>
        <w:pStyle w:val="ListParagraph"/>
        <w:numPr>
          <w:ilvl w:val="0"/>
          <w:numId w:val="3"/>
        </w:numPr>
        <w:spacing w:after="0" w:line="240" w:lineRule="auto"/>
        <w:rPr>
          <w:rFonts w:ascii="Times New Roman" w:eastAsia="Times New Roman" w:hAnsi="Times New Roman" w:cs="Times New Roman"/>
          <w:i/>
          <w:iCs/>
          <w:sz w:val="24"/>
          <w:szCs w:val="24"/>
        </w:rPr>
      </w:pPr>
      <w:r w:rsidRPr="00BB4821">
        <w:rPr>
          <w:rFonts w:ascii="Times New Roman" w:eastAsia="Times New Roman" w:hAnsi="Times New Roman" w:cs="Times New Roman"/>
          <w:i/>
          <w:iCs/>
          <w:sz w:val="24"/>
          <w:szCs w:val="24"/>
        </w:rPr>
        <w:t xml:space="preserve"> 7. In times of armed conflict, States shall respect the status of journalists and other media practitioners as non-combatants in accordance with international humanitarian law.</w:t>
      </w:r>
    </w:p>
    <w:p w14:paraId="34CDB5C0" w14:textId="77777777" w:rsidR="004338F5" w:rsidRPr="004338F5" w:rsidRDefault="004338F5" w:rsidP="004338F5">
      <w:pPr>
        <w:pStyle w:val="ListParagraph"/>
        <w:rPr>
          <w:rFonts w:ascii="Times New Roman" w:eastAsia="Times New Roman" w:hAnsi="Times New Roman" w:cs="Times New Roman"/>
          <w:i/>
          <w:iCs/>
          <w:sz w:val="24"/>
          <w:szCs w:val="24"/>
        </w:rPr>
      </w:pPr>
    </w:p>
    <w:p w14:paraId="74D89B60" w14:textId="77777777" w:rsidR="004338F5" w:rsidRPr="000F6D75" w:rsidRDefault="004338F5" w:rsidP="004338F5">
      <w:pPr>
        <w:pStyle w:val="ListParagraph"/>
        <w:spacing w:after="0" w:line="240" w:lineRule="auto"/>
        <w:rPr>
          <w:rFonts w:ascii="Times New Roman" w:eastAsia="Times New Roman" w:hAnsi="Times New Roman" w:cs="Times New Roman"/>
          <w:b/>
          <w:bCs/>
          <w:i/>
          <w:iCs/>
          <w:sz w:val="24"/>
          <w:szCs w:val="24"/>
        </w:rPr>
      </w:pPr>
    </w:p>
    <w:p w14:paraId="0DCF8236" w14:textId="772FFA35" w:rsidR="00AC063E" w:rsidRPr="000F6D75" w:rsidRDefault="00A72CCA" w:rsidP="00B64640">
      <w:pPr>
        <w:pStyle w:val="Default"/>
        <w:jc w:val="both"/>
        <w:rPr>
          <w:rFonts w:eastAsia="Times New Roman"/>
          <w:b/>
          <w:bCs/>
        </w:rPr>
      </w:pPr>
      <w:r w:rsidRPr="000F6D75">
        <w:rPr>
          <w:rFonts w:eastAsia="Times New Roman"/>
          <w:b/>
          <w:bCs/>
        </w:rPr>
        <w:t>Article 66 (2) (c) of the ECOWAS Revised Treaty of 1993:</w:t>
      </w:r>
    </w:p>
    <w:p w14:paraId="0C8F87FF" w14:textId="796106A4" w:rsidR="00A72CCA" w:rsidRDefault="00A72CCA" w:rsidP="00B64640">
      <w:pPr>
        <w:pStyle w:val="Default"/>
        <w:jc w:val="both"/>
        <w:rPr>
          <w:rFonts w:eastAsia="Times New Roman"/>
        </w:rPr>
      </w:pPr>
    </w:p>
    <w:p w14:paraId="3D63367A" w14:textId="77777777" w:rsidR="00A72CCA" w:rsidRPr="00A72CCA" w:rsidRDefault="00A72CCA" w:rsidP="00A72CCA">
      <w:pPr>
        <w:rPr>
          <w:i/>
          <w:iCs/>
        </w:rPr>
      </w:pPr>
      <w:r w:rsidRPr="00A72CCA">
        <w:rPr>
          <w:i/>
          <w:iCs/>
        </w:rPr>
        <w:t xml:space="preserve">1. In order to involve more closely the citizens of the Community in the regional integration process, Member States agree to co-operate in the area of information. </w:t>
      </w:r>
    </w:p>
    <w:p w14:paraId="51038D20" w14:textId="77777777" w:rsidR="00A72CCA" w:rsidRPr="00A72CCA" w:rsidRDefault="00A72CCA" w:rsidP="00A72CCA">
      <w:pPr>
        <w:rPr>
          <w:i/>
          <w:iCs/>
        </w:rPr>
      </w:pPr>
    </w:p>
    <w:p w14:paraId="1F161F18" w14:textId="1049E416" w:rsidR="00A72CCA" w:rsidRPr="00A72CCA" w:rsidRDefault="00A72CCA" w:rsidP="00A72CCA">
      <w:pPr>
        <w:rPr>
          <w:i/>
          <w:iCs/>
        </w:rPr>
      </w:pPr>
      <w:r w:rsidRPr="00A72CCA">
        <w:rPr>
          <w:i/>
          <w:iCs/>
        </w:rPr>
        <w:t>2. To this end they undertake as follows:</w:t>
      </w:r>
    </w:p>
    <w:p w14:paraId="44DC0B22" w14:textId="2A2B64F6" w:rsidR="00A72CCA" w:rsidRPr="00A72CCA" w:rsidRDefault="00A72CCA" w:rsidP="00A72CCA">
      <w:pPr>
        <w:rPr>
          <w:i/>
          <w:iCs/>
        </w:rPr>
      </w:pPr>
    </w:p>
    <w:p w14:paraId="0DB34841" w14:textId="59036C71" w:rsidR="00AC063E" w:rsidRPr="00AC063E" w:rsidRDefault="00A72CCA" w:rsidP="00AC063E">
      <w:pPr>
        <w:rPr>
          <w:i/>
          <w:iCs/>
        </w:rPr>
      </w:pPr>
      <w:r w:rsidRPr="00A72CCA">
        <w:rPr>
          <w:i/>
          <w:iCs/>
        </w:rPr>
        <w:t xml:space="preserve">    </w:t>
      </w:r>
      <w:r w:rsidR="00AC063E" w:rsidRPr="00A72CCA">
        <w:rPr>
          <w:i/>
          <w:iCs/>
        </w:rPr>
        <w:t>(</w:t>
      </w:r>
      <w:r w:rsidR="00AC063E" w:rsidRPr="00AC063E">
        <w:rPr>
          <w:i/>
          <w:iCs/>
        </w:rPr>
        <w:t>c) to ensure respect for the rights of journalists;</w:t>
      </w:r>
    </w:p>
    <w:p w14:paraId="11B56F3D" w14:textId="77777777" w:rsidR="00AC063E" w:rsidRDefault="00AC063E" w:rsidP="00B64640">
      <w:pPr>
        <w:pStyle w:val="Default"/>
        <w:jc w:val="both"/>
        <w:rPr>
          <w:rFonts w:eastAsia="Times New Roman"/>
        </w:rPr>
      </w:pPr>
    </w:p>
    <w:p w14:paraId="6B1E660E" w14:textId="041DDB77" w:rsidR="004D0DA4" w:rsidRDefault="004D0DA4" w:rsidP="00B64640">
      <w:pPr>
        <w:pStyle w:val="Default"/>
        <w:jc w:val="both"/>
        <w:rPr>
          <w:rFonts w:eastAsia="Times New Roman"/>
        </w:rPr>
      </w:pPr>
    </w:p>
    <w:p w14:paraId="1C816F11" w14:textId="5D517166" w:rsidR="008B1131" w:rsidRDefault="006F2213" w:rsidP="00B64640">
      <w:pPr>
        <w:pStyle w:val="Default"/>
        <w:jc w:val="both"/>
        <w:rPr>
          <w:rFonts w:eastAsia="Times New Roman"/>
        </w:rPr>
      </w:pPr>
      <w:r>
        <w:rPr>
          <w:rFonts w:eastAsia="Times New Roman"/>
        </w:rPr>
        <w:t xml:space="preserve">The </w:t>
      </w:r>
      <w:r w:rsidR="003E2725">
        <w:rPr>
          <w:rFonts w:eastAsia="Times New Roman"/>
        </w:rPr>
        <w:t xml:space="preserve">crux of the </w:t>
      </w:r>
      <w:r>
        <w:rPr>
          <w:rFonts w:eastAsia="Times New Roman"/>
        </w:rPr>
        <w:t>Applicant</w:t>
      </w:r>
      <w:r w:rsidR="003E2725">
        <w:rPr>
          <w:rFonts w:eastAsia="Times New Roman"/>
        </w:rPr>
        <w:t xml:space="preserve">’s case is that extra-judicial killings of journalists and media practitioners within the territory of the </w:t>
      </w:r>
      <w:r w:rsidR="00911594">
        <w:rPr>
          <w:rFonts w:eastAsia="Times New Roman"/>
        </w:rPr>
        <w:t>Federal Republic of Nigeria</w:t>
      </w:r>
      <w:r w:rsidR="003E2725">
        <w:rPr>
          <w:rFonts w:eastAsia="Times New Roman"/>
        </w:rPr>
        <w:t xml:space="preserve"> is in contravention of right to freedom of expression and </w:t>
      </w:r>
      <w:r w:rsidR="000F6D75">
        <w:rPr>
          <w:rFonts w:eastAsia="Times New Roman"/>
        </w:rPr>
        <w:t>right to life and that the Respondent is duty-bound under relevant statutes and international treaties to prevent such killings</w:t>
      </w:r>
      <w:r w:rsidR="001B307B">
        <w:rPr>
          <w:rFonts w:eastAsia="Times New Roman"/>
        </w:rPr>
        <w:t>,</w:t>
      </w:r>
      <w:r w:rsidR="000F6D75">
        <w:rPr>
          <w:rFonts w:eastAsia="Times New Roman"/>
        </w:rPr>
        <w:t xml:space="preserve"> and in case of occurrence, the Respondent </w:t>
      </w:r>
      <w:r w:rsidR="001B307B">
        <w:rPr>
          <w:rFonts w:eastAsia="Times New Roman"/>
        </w:rPr>
        <w:t>has a duty to</w:t>
      </w:r>
      <w:r w:rsidR="000F6D75">
        <w:rPr>
          <w:rFonts w:eastAsia="Times New Roman"/>
        </w:rPr>
        <w:t xml:space="preserve"> investigate, prosecute and punish perpetrators of such killings and ensure access to effective remedies. </w:t>
      </w:r>
      <w:r w:rsidR="008B1131">
        <w:rPr>
          <w:rFonts w:eastAsia="Times New Roman"/>
        </w:rPr>
        <w:t xml:space="preserve">In its </w:t>
      </w:r>
      <w:proofErr w:type="spellStart"/>
      <w:r w:rsidR="008B1131">
        <w:rPr>
          <w:rFonts w:eastAsia="Times New Roman"/>
        </w:rPr>
        <w:t>defence</w:t>
      </w:r>
      <w:proofErr w:type="spellEnd"/>
      <w:r w:rsidR="008B1131">
        <w:rPr>
          <w:rFonts w:eastAsia="Times New Roman"/>
        </w:rPr>
        <w:t xml:space="preserve">, the Respondent argued that the Applicant failed to establish that their fundamental rights were breached. The Respondent consequently urged the court to dismiss the case of the Applicant as it is not entitled to the reliefs sought having </w:t>
      </w:r>
      <w:r w:rsidR="001B307B">
        <w:rPr>
          <w:rFonts w:eastAsia="Times New Roman"/>
        </w:rPr>
        <w:t xml:space="preserve">failed </w:t>
      </w:r>
      <w:r w:rsidR="008B1131">
        <w:rPr>
          <w:rFonts w:eastAsia="Times New Roman"/>
        </w:rPr>
        <w:t xml:space="preserve">to establish infringement of its rights. In its reply, the Applicant submitted that the Respondent failed to address the main issue </w:t>
      </w:r>
      <w:r w:rsidR="001B307B">
        <w:rPr>
          <w:rFonts w:eastAsia="Times New Roman"/>
        </w:rPr>
        <w:t>in the case</w:t>
      </w:r>
      <w:r w:rsidR="00E31E2D">
        <w:rPr>
          <w:rFonts w:eastAsia="Times New Roman"/>
        </w:rPr>
        <w:t xml:space="preserve"> which is the failure, neglect, omission </w:t>
      </w:r>
      <w:r w:rsidR="003E2725">
        <w:rPr>
          <w:rFonts w:eastAsia="Times New Roman"/>
        </w:rPr>
        <w:t>and refusal</w:t>
      </w:r>
      <w:r w:rsidR="00E31E2D">
        <w:rPr>
          <w:rFonts w:eastAsia="Times New Roman"/>
        </w:rPr>
        <w:t xml:space="preserve"> of the Respondent to </w:t>
      </w:r>
      <w:r w:rsidR="003E2725">
        <w:rPr>
          <w:rFonts w:eastAsia="Times New Roman"/>
        </w:rPr>
        <w:t>investigate prosecute and punish perpetrators of extra-judicial killing of journalists</w:t>
      </w:r>
      <w:r w:rsidR="001B307B">
        <w:rPr>
          <w:rFonts w:eastAsia="Times New Roman"/>
        </w:rPr>
        <w:t xml:space="preserve"> which are the duties of the state by law</w:t>
      </w:r>
      <w:r w:rsidR="003E2725">
        <w:rPr>
          <w:rFonts w:eastAsia="Times New Roman"/>
        </w:rPr>
        <w:t xml:space="preserve">. </w:t>
      </w:r>
    </w:p>
    <w:p w14:paraId="41C19453" w14:textId="77777777" w:rsidR="008B1131" w:rsidRDefault="008B1131" w:rsidP="00B64640">
      <w:pPr>
        <w:pStyle w:val="Default"/>
        <w:jc w:val="both"/>
        <w:rPr>
          <w:rFonts w:eastAsia="Times New Roman"/>
        </w:rPr>
      </w:pPr>
    </w:p>
    <w:p w14:paraId="740260CD" w14:textId="77777777" w:rsidR="00B64640" w:rsidRDefault="00B64640" w:rsidP="00B64640">
      <w:pPr>
        <w:pStyle w:val="Default"/>
        <w:jc w:val="both"/>
      </w:pPr>
    </w:p>
    <w:p w14:paraId="50579E49" w14:textId="77777777" w:rsidR="00906277" w:rsidRDefault="00B64640" w:rsidP="00906277">
      <w:pPr>
        <w:jc w:val="both"/>
        <w:rPr>
          <w:b/>
        </w:rPr>
      </w:pPr>
      <w:r w:rsidRPr="001C31A1">
        <w:rPr>
          <w:b/>
        </w:rPr>
        <w:t>Decision Overview</w:t>
      </w:r>
    </w:p>
    <w:p w14:paraId="6B7834CD" w14:textId="479F9659" w:rsidR="00B64640" w:rsidRPr="00906277" w:rsidRDefault="00B64640" w:rsidP="00906277">
      <w:pPr>
        <w:jc w:val="both"/>
        <w:rPr>
          <w:b/>
        </w:rPr>
      </w:pPr>
      <w:r>
        <w:t xml:space="preserve">The presiding Judge, </w:t>
      </w:r>
      <w:r w:rsidR="00BC73A5">
        <w:t xml:space="preserve">I.E. </w:t>
      </w:r>
      <w:proofErr w:type="spellStart"/>
      <w:r w:rsidR="00BC73A5">
        <w:t>Ekwo</w:t>
      </w:r>
      <w:proofErr w:type="spellEnd"/>
      <w:r>
        <w:t xml:space="preserve"> delivered the judgment of the court. In delivering the judgment of the court, Judge </w:t>
      </w:r>
      <w:proofErr w:type="spellStart"/>
      <w:r w:rsidR="00BC73A5">
        <w:t>Ekwo</w:t>
      </w:r>
      <w:proofErr w:type="spellEnd"/>
      <w:r>
        <w:t xml:space="preserve"> considered t</w:t>
      </w:r>
      <w:r w:rsidR="00556872">
        <w:t>wo</w:t>
      </w:r>
      <w:r>
        <w:t xml:space="preserve"> (</w:t>
      </w:r>
      <w:r w:rsidR="00556872">
        <w:t>2</w:t>
      </w:r>
      <w:r>
        <w:t>) issues in the case which are:</w:t>
      </w:r>
    </w:p>
    <w:p w14:paraId="7D8E84EB" w14:textId="2686AFD3" w:rsidR="00B64640" w:rsidRPr="00C4737E" w:rsidRDefault="00B64640" w:rsidP="00B64640">
      <w:pPr>
        <w:spacing w:before="100" w:beforeAutospacing="1" w:after="100" w:afterAutospacing="1"/>
        <w:jc w:val="both"/>
        <w:rPr>
          <w:i/>
          <w:iCs/>
        </w:rPr>
      </w:pPr>
      <w:r w:rsidRPr="00C4737E">
        <w:rPr>
          <w:i/>
          <w:iCs/>
        </w:rPr>
        <w:t>“1. The</w:t>
      </w:r>
      <w:r w:rsidR="00C9369D">
        <w:rPr>
          <w:i/>
          <w:iCs/>
        </w:rPr>
        <w:t xml:space="preserve"> enforceability of treaties relied on by the Applicant.</w:t>
      </w:r>
    </w:p>
    <w:p w14:paraId="3A04D65B" w14:textId="3F77658C" w:rsidR="00B64640" w:rsidRPr="00556872" w:rsidRDefault="00B64640" w:rsidP="00B64640">
      <w:pPr>
        <w:spacing w:before="100" w:beforeAutospacing="1" w:after="100" w:afterAutospacing="1"/>
        <w:jc w:val="both"/>
        <w:rPr>
          <w:i/>
          <w:iCs/>
        </w:rPr>
      </w:pPr>
      <w:r w:rsidRPr="00C4737E">
        <w:rPr>
          <w:i/>
          <w:iCs/>
        </w:rPr>
        <w:t xml:space="preserve">2. </w:t>
      </w:r>
      <w:r w:rsidR="00556872">
        <w:rPr>
          <w:i/>
          <w:iCs/>
        </w:rPr>
        <w:t>Proof of violation of rights to freedom of expression</w:t>
      </w:r>
    </w:p>
    <w:p w14:paraId="1B362525" w14:textId="3C35544D" w:rsidR="00B64640" w:rsidRPr="00E8662A" w:rsidRDefault="00556872" w:rsidP="00B64640">
      <w:pPr>
        <w:spacing w:before="100" w:beforeAutospacing="1" w:after="100" w:afterAutospacing="1"/>
        <w:jc w:val="both"/>
      </w:pPr>
      <w:r w:rsidRPr="00E8662A">
        <w:t>1: Enforceability of Treaties Relied on by the Applicant</w:t>
      </w:r>
      <w:r w:rsidR="00EF5B93" w:rsidRPr="00E8662A">
        <w:t>.</w:t>
      </w:r>
    </w:p>
    <w:p w14:paraId="64EFD407" w14:textId="27A2F521" w:rsidR="004546C5" w:rsidRDefault="004546C5" w:rsidP="00B64640">
      <w:pPr>
        <w:spacing w:before="100" w:beforeAutospacing="1" w:after="100" w:afterAutospacing="1"/>
        <w:jc w:val="both"/>
        <w:rPr>
          <w:iCs/>
        </w:rPr>
      </w:pPr>
      <w:r>
        <w:t>Other than Nigeria’s Constitution</w:t>
      </w:r>
      <w:r w:rsidR="00F02864">
        <w:t xml:space="preserve"> and African Charter on Human and People’s Rights (Ratification and Enforcement) Act</w:t>
      </w:r>
      <w:r>
        <w:t xml:space="preserve">, the Applicant </w:t>
      </w:r>
      <w:r w:rsidR="00F02864">
        <w:t xml:space="preserve">relied on international treaties, particularly, </w:t>
      </w:r>
      <w:r w:rsidR="00911594">
        <w:t>International Covenant on Civil and Political Rights (ICCPR), Universal Declaration of Human Rights (UDHR)</w:t>
      </w:r>
      <w:r w:rsidR="00F41224">
        <w:t xml:space="preserve"> and </w:t>
      </w:r>
      <w:r w:rsidR="00F41224">
        <w:t>the Revised Treaty of Economic Community of West African States</w:t>
      </w:r>
      <w:r w:rsidR="00F41224">
        <w:t xml:space="preserve">. </w:t>
      </w:r>
      <w:r w:rsidR="0006467B">
        <w:t xml:space="preserve">While the Nigeria’s Constitution and African </w:t>
      </w:r>
      <w:r w:rsidR="0006467B">
        <w:t>Charter on Human and People’s Rights (Ratification and Enforcement) Act</w:t>
      </w:r>
      <w:r w:rsidR="0006467B">
        <w:t xml:space="preserve"> are naturally enforceable, the court therefore considered enforceability of international treaties stated above. </w:t>
      </w:r>
      <w:r w:rsidR="00F546BE">
        <w:t xml:space="preserve">The court noted that </w:t>
      </w:r>
      <w:r w:rsidR="00F546BE" w:rsidRPr="00867934">
        <w:rPr>
          <w:i/>
          <w:iCs/>
        </w:rPr>
        <w:t xml:space="preserve">“Where a country is only a signatory to a treaty, the signing therefore creates an obligation on the part of the signatory. </w:t>
      </w:r>
      <w:r w:rsidR="00867934" w:rsidRPr="00867934">
        <w:rPr>
          <w:i/>
          <w:iCs/>
        </w:rPr>
        <w:t>The signatory, accepts thereby, an obligation to refrain, in good faith, from acts that would defeat the object and the purpose of the treaty, in the period between signature and ratification, acceptance and approval”</w:t>
      </w:r>
      <w:r w:rsidR="00867934">
        <w:t xml:space="preserve"> [p.16]. The court went further to note that </w:t>
      </w:r>
      <w:r w:rsidR="00867934" w:rsidRPr="00B43247">
        <w:rPr>
          <w:i/>
          <w:iCs/>
        </w:rPr>
        <w:t>“</w:t>
      </w:r>
      <w:r w:rsidR="00B43247" w:rsidRPr="00B43247">
        <w:rPr>
          <w:i/>
          <w:iCs/>
        </w:rPr>
        <w:t>Where a country has ratified a treat, it becomes legally bound”</w:t>
      </w:r>
      <w:r w:rsidR="00B43247">
        <w:t xml:space="preserve"> [p.16]. The court noted that Nigeria ratified ICCPR in 1993 and UDHR in 1985 and therefore Nigeria is bound by those treaties and it is “</w:t>
      </w:r>
      <w:r w:rsidR="00B43247" w:rsidRPr="00B43247">
        <w:rPr>
          <w:i/>
          <w:iCs/>
        </w:rPr>
        <w:t>obligated to enforce them within its territory</w:t>
      </w:r>
      <w:r w:rsidR="00B43247">
        <w:t xml:space="preserve">” [p.16]. The court therefore concluded that any person affected by breach of those </w:t>
      </w:r>
      <w:r w:rsidR="00B01F6A">
        <w:t>treaties</w:t>
      </w:r>
      <w:r w:rsidR="00B43247">
        <w:t xml:space="preserve"> </w:t>
      </w:r>
      <w:r w:rsidR="00B01F6A">
        <w:t>can have a recourse to court to enforce their rights</w:t>
      </w:r>
      <w:r w:rsidR="00DD3EEA">
        <w:t xml:space="preserve"> under the said treaties</w:t>
      </w:r>
      <w:r w:rsidR="00B01F6A">
        <w:t xml:space="preserve">. </w:t>
      </w:r>
    </w:p>
    <w:p w14:paraId="3B2537F4" w14:textId="4B079779" w:rsidR="00B01F6A" w:rsidRPr="00E8662A" w:rsidRDefault="00B01F6A" w:rsidP="00B64640">
      <w:pPr>
        <w:spacing w:before="100" w:beforeAutospacing="1" w:after="100" w:afterAutospacing="1"/>
        <w:jc w:val="both"/>
        <w:rPr>
          <w:iCs/>
        </w:rPr>
      </w:pPr>
      <w:r w:rsidRPr="00E8662A">
        <w:rPr>
          <w:iCs/>
        </w:rPr>
        <w:t>2. Proof of Violation of Right to Freedom of Expression</w:t>
      </w:r>
      <w:r w:rsidR="00906277" w:rsidRPr="00E8662A">
        <w:rPr>
          <w:iCs/>
        </w:rPr>
        <w:t>.</w:t>
      </w:r>
    </w:p>
    <w:p w14:paraId="5E598861" w14:textId="230B78D8" w:rsidR="000F5B05" w:rsidRPr="009A38F8" w:rsidRDefault="000F5B05" w:rsidP="00B64640">
      <w:pPr>
        <w:spacing w:before="100" w:beforeAutospacing="1" w:after="100" w:afterAutospacing="1"/>
        <w:jc w:val="both"/>
        <w:rPr>
          <w:i/>
          <w:iCs/>
        </w:rPr>
      </w:pPr>
      <w:r>
        <w:rPr>
          <w:iCs/>
        </w:rPr>
        <w:lastRenderedPageBreak/>
        <w:t xml:space="preserve">The Applicant premised this case </w:t>
      </w:r>
      <w:r w:rsidR="00707BDA">
        <w:rPr>
          <w:iCs/>
        </w:rPr>
        <w:t>fundamentally</w:t>
      </w:r>
      <w:r w:rsidR="00707BDA">
        <w:rPr>
          <w:iCs/>
        </w:rPr>
        <w:t xml:space="preserve"> </w:t>
      </w:r>
      <w:r>
        <w:rPr>
          <w:iCs/>
        </w:rPr>
        <w:t xml:space="preserve">on provisions of Section 39 (1) and (2) of the Constitution of the Federal Republic of Nigeria 1999 (as amended) wherein freedom of expression and press freedom are rooted. The court also noted permissible restrictions </w:t>
      </w:r>
      <w:r w:rsidR="002C5235">
        <w:rPr>
          <w:iCs/>
        </w:rPr>
        <w:t xml:space="preserve">to freedom of expression are </w:t>
      </w:r>
      <w:r>
        <w:rPr>
          <w:iCs/>
        </w:rPr>
        <w:t xml:space="preserve">provided for in Sections 39 (3) and 45 of the </w:t>
      </w:r>
      <w:r w:rsidR="00B7460F">
        <w:rPr>
          <w:iCs/>
        </w:rPr>
        <w:t xml:space="preserve">constitution. </w:t>
      </w:r>
      <w:r w:rsidR="00E25297">
        <w:rPr>
          <w:iCs/>
        </w:rPr>
        <w:t xml:space="preserve">Judge </w:t>
      </w:r>
      <w:proofErr w:type="spellStart"/>
      <w:r w:rsidR="00E25297">
        <w:rPr>
          <w:iCs/>
        </w:rPr>
        <w:t>Ekwo</w:t>
      </w:r>
      <w:proofErr w:type="spellEnd"/>
      <w:r w:rsidR="00E25297">
        <w:rPr>
          <w:iCs/>
        </w:rPr>
        <w:t xml:space="preserve"> </w:t>
      </w:r>
      <w:r w:rsidR="00707BDA">
        <w:rPr>
          <w:iCs/>
        </w:rPr>
        <w:t xml:space="preserve">setting out in his judgment </w:t>
      </w:r>
      <w:r w:rsidR="00E25297">
        <w:rPr>
          <w:iCs/>
        </w:rPr>
        <w:t xml:space="preserve">noted that </w:t>
      </w:r>
      <w:r w:rsidR="00623389" w:rsidRPr="004B1EF7">
        <w:rPr>
          <w:i/>
          <w:iCs/>
        </w:rPr>
        <w:t>“journalism and media practice are constitutional professions in their respective rights and the practice thereof imposes a duty to source, gather and in most cases, visit the locus in quo for information which they are obligated to disseminate”</w:t>
      </w:r>
      <w:r w:rsidR="00623389">
        <w:rPr>
          <w:i/>
          <w:iCs/>
        </w:rPr>
        <w:t xml:space="preserve"> </w:t>
      </w:r>
      <w:r w:rsidR="00623389" w:rsidRPr="007B0754">
        <w:t>[p.18]</w:t>
      </w:r>
      <w:r w:rsidR="00623389">
        <w:t>. The court</w:t>
      </w:r>
      <w:r w:rsidR="009A38F8">
        <w:t>,</w:t>
      </w:r>
      <w:r w:rsidR="00623389">
        <w:t xml:space="preserve"> in further appraising the role of journalists and media practitioners in the society and the impact of their contributions to the society</w:t>
      </w:r>
      <w:r w:rsidR="009A38F8">
        <w:t>,</w:t>
      </w:r>
      <w:r w:rsidR="00EA2B05">
        <w:t xml:space="preserve"> remarked that </w:t>
      </w:r>
      <w:r w:rsidR="00EA2B05" w:rsidRPr="00EA2B05">
        <w:rPr>
          <w:i/>
          <w:iCs/>
        </w:rPr>
        <w:t>“The society is better informed, educated, enlightened and properly guided where there is effective press”</w:t>
      </w:r>
      <w:r w:rsidR="00EA2B05">
        <w:t xml:space="preserve"> [p.18]</w:t>
      </w:r>
      <w:r w:rsidR="00707BDA">
        <w:t>. The court there</w:t>
      </w:r>
      <w:r w:rsidR="009A38F8">
        <w:t xml:space="preserve"> believed that journalists and media practitioners should be protected and failure to protect them from attack will be tantamount to breach of the constitution as the court held that </w:t>
      </w:r>
      <w:r w:rsidR="00623389" w:rsidRPr="007B0754">
        <w:rPr>
          <w:i/>
          <w:iCs/>
        </w:rPr>
        <w:t>“It is therefore a breach of constitutional right of journalists and media practitioners where they are attacked, tortured, maimed or killed in the course of doing their duty”</w:t>
      </w:r>
      <w:r w:rsidR="00623389">
        <w:t xml:space="preserve"> [p.18].</w:t>
      </w:r>
    </w:p>
    <w:p w14:paraId="29FE34B9" w14:textId="0CCB069E" w:rsidR="000F5B05" w:rsidRPr="009C6215" w:rsidRDefault="00DF3289" w:rsidP="00781E1D">
      <w:pPr>
        <w:spacing w:before="100" w:beforeAutospacing="1" w:after="100" w:afterAutospacing="1"/>
        <w:jc w:val="both"/>
        <w:rPr>
          <w:iCs/>
        </w:rPr>
      </w:pPr>
      <w:r>
        <w:rPr>
          <w:iCs/>
        </w:rPr>
        <w:t xml:space="preserve">The court noted that the provision </w:t>
      </w:r>
      <w:r w:rsidR="007C14B2">
        <w:rPr>
          <w:iCs/>
        </w:rPr>
        <w:t xml:space="preserve">of Section 46 (1) of the constitution of the Federal Republic of Nigeria, 1999 (as amended) gives access to </w:t>
      </w:r>
      <w:r w:rsidR="000A7E0D">
        <w:rPr>
          <w:iCs/>
        </w:rPr>
        <w:t>a High Court for redress</w:t>
      </w:r>
      <w:r w:rsidR="000A7E0D">
        <w:rPr>
          <w:iCs/>
        </w:rPr>
        <w:t xml:space="preserve"> to </w:t>
      </w:r>
      <w:r w:rsidR="007C14B2">
        <w:rPr>
          <w:iCs/>
        </w:rPr>
        <w:t xml:space="preserve">any person </w:t>
      </w:r>
      <w:r w:rsidR="000A7E0D">
        <w:rPr>
          <w:iCs/>
        </w:rPr>
        <w:t>who alleges that any of the provisions of Chapter IV of the constitution (including Section 39 of freedom of expression) has been contravened, is being contravened or is likely to be contravened. The court noted that the same access is also granted in Order II (1) of the Fundamental Rights (Enforcement Procedure) Rules 2009</w:t>
      </w:r>
      <w:r w:rsidR="00B208CB">
        <w:rPr>
          <w:iCs/>
        </w:rPr>
        <w:t xml:space="preserve">. The court in now proceeded to analyzing the case </w:t>
      </w:r>
      <w:proofErr w:type="spellStart"/>
      <w:r w:rsidR="00B208CB">
        <w:rPr>
          <w:iCs/>
        </w:rPr>
        <w:t>as</w:t>
      </w:r>
      <w:proofErr w:type="spellEnd"/>
      <w:r w:rsidR="00B208CB">
        <w:rPr>
          <w:iCs/>
        </w:rPr>
        <w:t xml:space="preserve"> brought by the Applicant to restate that the burden to establish allegation of infringement of fundamental rights rests on the shoulders of the Applicant and that the burden can be discharged by the Affidavit evidence of the Applicant as provided by the </w:t>
      </w:r>
      <w:r w:rsidR="00B208CB">
        <w:rPr>
          <w:iCs/>
        </w:rPr>
        <w:t>Order II (</w:t>
      </w:r>
      <w:r w:rsidR="00B208CB">
        <w:rPr>
          <w:iCs/>
        </w:rPr>
        <w:t>3</w:t>
      </w:r>
      <w:r w:rsidR="00B208CB">
        <w:rPr>
          <w:iCs/>
        </w:rPr>
        <w:t>) of the Fundamental Rights (Enforcement Procedure) Rules 2009</w:t>
      </w:r>
      <w:r w:rsidR="00B208CB">
        <w:rPr>
          <w:iCs/>
        </w:rPr>
        <w:t>.</w:t>
      </w:r>
      <w:r w:rsidR="00CC4E33">
        <w:rPr>
          <w:iCs/>
        </w:rPr>
        <w:t xml:space="preserve"> The court noted that the Applicant discharged this burden through its Affidavit evidence, particularly in paragraph J of the Affidavit to its Motion on Notice, as it expressly stated names of journalists that were killed within the territory of the Respondent and the dates they were killed. The court noted the response of the Respondent in this regard and observed that the respondent</w:t>
      </w:r>
      <w:r w:rsidR="003B3B21">
        <w:rPr>
          <w:iCs/>
        </w:rPr>
        <w:t>’s</w:t>
      </w:r>
      <w:r w:rsidR="00CC4E33">
        <w:rPr>
          <w:iCs/>
        </w:rPr>
        <w:t xml:space="preserve"> averments were </w:t>
      </w:r>
      <w:r w:rsidR="003B3B21" w:rsidRPr="003B3B21">
        <w:rPr>
          <w:i/>
        </w:rPr>
        <w:t xml:space="preserve">“generic in nature </w:t>
      </w:r>
      <w:r w:rsidR="003B3B21">
        <w:rPr>
          <w:i/>
        </w:rPr>
        <w:t xml:space="preserve">and they </w:t>
      </w:r>
      <w:r w:rsidR="003B3B21" w:rsidRPr="003B3B21">
        <w:rPr>
          <w:i/>
        </w:rPr>
        <w:t>do not controvert the case of the Applicant specifically”</w:t>
      </w:r>
      <w:r w:rsidR="003B3B21">
        <w:rPr>
          <w:iCs/>
        </w:rPr>
        <w:t xml:space="preserve"> [p.18]. The court therefore noted that that “the position of the law is that affidavit evidence which is not challenged or controverted howsoever</w:t>
      </w:r>
      <w:r w:rsidR="00781E1D">
        <w:rPr>
          <w:iCs/>
        </w:rPr>
        <w:t xml:space="preserve">, is deemed admitted and can be relied upon by a court” [p.18]. In support of the position of judicial admission of affidavit evidence that is not challenged or controverted, the court relied on the cases of </w:t>
      </w:r>
      <w:r w:rsidR="00781E1D" w:rsidRPr="00781E1D">
        <w:rPr>
          <w:i/>
        </w:rPr>
        <w:t>Registered Trustees, Association of Community Health Practitioners of (Nig.) V Medical Health Workers Union of (Nig.) (2008) All FWLR (Pt.412) 1013</w:t>
      </w:r>
      <w:r w:rsidR="00781E1D" w:rsidRPr="00781E1D">
        <w:rPr>
          <w:i/>
        </w:rPr>
        <w:t xml:space="preserve">, </w:t>
      </w:r>
      <w:r w:rsidR="00781E1D" w:rsidRPr="00781E1D">
        <w:rPr>
          <w:i/>
        </w:rPr>
        <w:t>Henry Stephen Engineering Ltd V Yakubu (Nig.) Ltd (2009) 10 NWLR (Pt.1149) 416</w:t>
      </w:r>
      <w:r w:rsidR="00781E1D" w:rsidRPr="00781E1D">
        <w:rPr>
          <w:i/>
        </w:rPr>
        <w:t xml:space="preserve">, </w:t>
      </w:r>
      <w:r w:rsidR="00781E1D" w:rsidRPr="00781E1D">
        <w:rPr>
          <w:i/>
        </w:rPr>
        <w:t>Tukur V Uba (2012) All FWLR (Pt.652) 1624</w:t>
      </w:r>
      <w:r w:rsidR="00781E1D" w:rsidRPr="00781E1D">
        <w:rPr>
          <w:i/>
        </w:rPr>
        <w:t xml:space="preserve">, </w:t>
      </w:r>
      <w:r w:rsidR="00781E1D" w:rsidRPr="00781E1D">
        <w:rPr>
          <w:i/>
        </w:rPr>
        <w:t xml:space="preserve">CBN V </w:t>
      </w:r>
      <w:proofErr w:type="spellStart"/>
      <w:r w:rsidR="00781E1D" w:rsidRPr="00781E1D">
        <w:rPr>
          <w:i/>
        </w:rPr>
        <w:t>Edet</w:t>
      </w:r>
      <w:proofErr w:type="spellEnd"/>
      <w:r w:rsidR="00781E1D" w:rsidRPr="00781E1D">
        <w:rPr>
          <w:i/>
        </w:rPr>
        <w:t xml:space="preserve"> (2015) All FWLR (Pt.768) 879 at 897</w:t>
      </w:r>
      <w:r w:rsidR="00781E1D" w:rsidRPr="00781E1D">
        <w:rPr>
          <w:i/>
        </w:rPr>
        <w:t xml:space="preserve">, </w:t>
      </w:r>
      <w:proofErr w:type="spellStart"/>
      <w:r w:rsidR="00781E1D" w:rsidRPr="00781E1D">
        <w:rPr>
          <w:i/>
        </w:rPr>
        <w:t>Amadi</w:t>
      </w:r>
      <w:proofErr w:type="spellEnd"/>
      <w:r w:rsidR="00781E1D" w:rsidRPr="00781E1D">
        <w:rPr>
          <w:i/>
        </w:rPr>
        <w:t xml:space="preserve"> V </w:t>
      </w:r>
      <w:proofErr w:type="spellStart"/>
      <w:r w:rsidR="00781E1D" w:rsidRPr="00781E1D">
        <w:rPr>
          <w:i/>
        </w:rPr>
        <w:t>Wopara</w:t>
      </w:r>
      <w:proofErr w:type="spellEnd"/>
      <w:r w:rsidR="00781E1D" w:rsidRPr="00781E1D">
        <w:rPr>
          <w:i/>
        </w:rPr>
        <w:t xml:space="preserve"> (2022) 1 NWLR (Pt.1811) 359 at 373</w:t>
      </w:r>
      <w:r w:rsidR="00781E1D" w:rsidRPr="00781E1D">
        <w:rPr>
          <w:i/>
        </w:rPr>
        <w:t xml:space="preserve">, </w:t>
      </w:r>
      <w:proofErr w:type="spellStart"/>
      <w:r w:rsidR="00781E1D" w:rsidRPr="00781E1D">
        <w:rPr>
          <w:i/>
        </w:rPr>
        <w:t>Mabamije</w:t>
      </w:r>
      <w:proofErr w:type="spellEnd"/>
      <w:r w:rsidR="00781E1D" w:rsidRPr="00781E1D">
        <w:rPr>
          <w:i/>
        </w:rPr>
        <w:t xml:space="preserve"> V Otto (2016) 13 NWLR (Pt.1529) 17</w:t>
      </w:r>
      <w:r w:rsidR="00781E1D" w:rsidRPr="00781E1D">
        <w:rPr>
          <w:i/>
        </w:rPr>
        <w:t xml:space="preserve">1, </w:t>
      </w:r>
      <w:r w:rsidR="00781E1D" w:rsidRPr="00781E1D">
        <w:rPr>
          <w:i/>
        </w:rPr>
        <w:t xml:space="preserve">Incorporated Trustees of Ladies of Saint Mulumba, Nigeria V </w:t>
      </w:r>
      <w:proofErr w:type="spellStart"/>
      <w:r w:rsidR="00781E1D" w:rsidRPr="00781E1D">
        <w:rPr>
          <w:i/>
        </w:rPr>
        <w:t>Ekhator</w:t>
      </w:r>
      <w:proofErr w:type="spellEnd"/>
      <w:r w:rsidR="00781E1D" w:rsidRPr="00781E1D">
        <w:rPr>
          <w:i/>
        </w:rPr>
        <w:t xml:space="preserve"> (2022) 15 NWLR (Pt.1852) 35 at 61</w:t>
      </w:r>
      <w:r w:rsidR="00781E1D" w:rsidRPr="00781E1D">
        <w:rPr>
          <w:i/>
        </w:rPr>
        <w:t xml:space="preserve">, </w:t>
      </w:r>
      <w:proofErr w:type="spellStart"/>
      <w:r w:rsidR="00781E1D" w:rsidRPr="00781E1D">
        <w:rPr>
          <w:i/>
        </w:rPr>
        <w:t>Owuru</w:t>
      </w:r>
      <w:proofErr w:type="spellEnd"/>
      <w:r w:rsidR="00781E1D" w:rsidRPr="00781E1D">
        <w:rPr>
          <w:i/>
        </w:rPr>
        <w:t xml:space="preserve"> V </w:t>
      </w:r>
      <w:proofErr w:type="spellStart"/>
      <w:r w:rsidR="00781E1D" w:rsidRPr="00781E1D">
        <w:rPr>
          <w:i/>
        </w:rPr>
        <w:t>Adigwu</w:t>
      </w:r>
      <w:proofErr w:type="spellEnd"/>
      <w:r w:rsidR="00781E1D" w:rsidRPr="00781E1D">
        <w:rPr>
          <w:i/>
        </w:rPr>
        <w:t xml:space="preserve"> (2018) 1 NWLR (Pt.1599) 1</w:t>
      </w:r>
      <w:r w:rsidR="009C6215">
        <w:rPr>
          <w:i/>
        </w:rPr>
        <w:t xml:space="preserve">. </w:t>
      </w:r>
      <w:r w:rsidR="009C6215">
        <w:rPr>
          <w:iCs/>
        </w:rPr>
        <w:t xml:space="preserve">The court therefore held that the Respondent admitted that the journalists mentioned in paragraph j of the Applicant’s affidavit were killed. </w:t>
      </w:r>
    </w:p>
    <w:p w14:paraId="6F623B7C" w14:textId="54FFEC4B" w:rsidR="000F5B05" w:rsidRDefault="009C6215" w:rsidP="00B64640">
      <w:pPr>
        <w:spacing w:before="100" w:beforeAutospacing="1" w:after="100" w:afterAutospacing="1"/>
        <w:jc w:val="both"/>
        <w:rPr>
          <w:iCs/>
        </w:rPr>
      </w:pPr>
      <w:r>
        <w:rPr>
          <w:iCs/>
        </w:rPr>
        <w:t xml:space="preserve">The court noted in very detailed manner that while the Respondent stated what the Nigerian government </w:t>
      </w:r>
      <w:r w:rsidR="00BE5DBF">
        <w:rPr>
          <w:iCs/>
        </w:rPr>
        <w:t xml:space="preserve">has done to address the issue of killings, the court could not find any thing specific to address the killings for the purpose of investigation to identify the perpetrators and for appropriate actions subsequently. The court in spotlighting the failure of the government </w:t>
      </w:r>
      <w:r w:rsidR="00E560A0">
        <w:rPr>
          <w:iCs/>
        </w:rPr>
        <w:t xml:space="preserve">in the killing of the </w:t>
      </w:r>
      <w:r w:rsidR="00E560A0">
        <w:rPr>
          <w:iCs/>
        </w:rPr>
        <w:lastRenderedPageBreak/>
        <w:t xml:space="preserve">journalists noted that </w:t>
      </w:r>
      <w:r w:rsidR="00E560A0" w:rsidRPr="00E560A0">
        <w:rPr>
          <w:i/>
        </w:rPr>
        <w:t xml:space="preserve">“The taking of lives by extra-judicial killing is an unconstitutional act. An unconstitutional act cannot take place and nothing is done about it. A breach of the constitution is an injury to the corpus of the nation. The perpetrators of such killings have demonstrated themselves as lawless people who ought not to be allowed to live freely in the society. The government owes a duty of protection to those whom the constitution has given fundamental </w:t>
      </w:r>
      <w:proofErr w:type="gramStart"/>
      <w:r w:rsidR="00E560A0" w:rsidRPr="00E560A0">
        <w:rPr>
          <w:i/>
        </w:rPr>
        <w:t>rights”</w:t>
      </w:r>
      <w:r w:rsidR="00573359">
        <w:rPr>
          <w:iCs/>
        </w:rPr>
        <w:t>[</w:t>
      </w:r>
      <w:proofErr w:type="gramEnd"/>
      <w:r w:rsidR="00573359">
        <w:rPr>
          <w:iCs/>
        </w:rPr>
        <w:t xml:space="preserve">p.19]. While the court noted in the Respondent’s argument that some persons were arrested, the court stated that none of the persons said to have been arrested has been linked to the killings in paragraph J of the Applicant’s Affidavit. </w:t>
      </w:r>
      <w:r w:rsidR="00E8662A">
        <w:rPr>
          <w:iCs/>
        </w:rPr>
        <w:t>In the same vein, the court noted the Respondent’s averments on the government’s establishment of some institutions including Citizens’ Right Department, National Human Rights Commission, NOA, NTA, Federal Ministry of Information and Culture and News Agency of Nigeria</w:t>
      </w:r>
      <w:r w:rsidR="002D1ACE">
        <w:rPr>
          <w:iCs/>
        </w:rPr>
        <w:t xml:space="preserve"> but held that mere existence of these institutions does not count but</w:t>
      </w:r>
      <w:r w:rsidR="0055388D">
        <w:rPr>
          <w:iCs/>
        </w:rPr>
        <w:t xml:space="preserve"> effective performance of these institutions to ensure safety of journalists and media practitioners. </w:t>
      </w:r>
    </w:p>
    <w:p w14:paraId="116058C7" w14:textId="4C630A21" w:rsidR="00B64640" w:rsidRDefault="00573359" w:rsidP="00807A3B">
      <w:pPr>
        <w:pStyle w:val="Default"/>
        <w:jc w:val="both"/>
        <w:rPr>
          <w:rFonts w:eastAsia="Times New Roman"/>
        </w:rPr>
      </w:pPr>
      <w:r>
        <w:rPr>
          <w:iCs/>
        </w:rPr>
        <w:t xml:space="preserve">The court in emphasizing the constitutional protection available to journalists, the learned judge noted that the phrase “without interference” </w:t>
      </w:r>
      <w:r w:rsidR="00E65FB7">
        <w:rPr>
          <w:iCs/>
        </w:rPr>
        <w:t xml:space="preserve">in Section 39 of the Constitution confers immunity of a very large degree on journalists and media practitioners, hence the holding of the court that </w:t>
      </w:r>
      <w:r w:rsidR="00E65FB7" w:rsidRPr="00E65FB7">
        <w:rPr>
          <w:i/>
        </w:rPr>
        <w:t>“the law forbids whatever act that might amount to assassination, bodily harm or any other impediment in the course of journalist or media practitioner carrying out his/her professional duty”</w:t>
      </w:r>
      <w:r w:rsidR="006A79C1">
        <w:rPr>
          <w:i/>
        </w:rPr>
        <w:t xml:space="preserve">. </w:t>
      </w:r>
      <w:r w:rsidR="00B64640">
        <w:rPr>
          <w:iCs/>
        </w:rPr>
        <w:t xml:space="preserve">The court </w:t>
      </w:r>
      <w:r w:rsidR="00807A3B">
        <w:rPr>
          <w:iCs/>
        </w:rPr>
        <w:t>therefore</w:t>
      </w:r>
      <w:r w:rsidR="00B64640">
        <w:rPr>
          <w:iCs/>
        </w:rPr>
        <w:t xml:space="preserve"> </w:t>
      </w:r>
      <w:r w:rsidR="0055388D">
        <w:rPr>
          <w:iCs/>
        </w:rPr>
        <w:t xml:space="preserve">held that the Applicant has proven its case and granted the reliefs sought. </w:t>
      </w:r>
      <w:r w:rsidR="00932E22">
        <w:rPr>
          <w:iCs/>
        </w:rPr>
        <w:t xml:space="preserve">The court among others held that, killings of journalists and media practitioners while carrying out their journalistic duty is a violation of their rights to freedom of expression and the press. The court also declared that failure of the Nigerian government to guarantee safety of journalists and media practitioners </w:t>
      </w:r>
      <w:r w:rsidR="00807A3B">
        <w:rPr>
          <w:iCs/>
        </w:rPr>
        <w:t xml:space="preserve">is in breach of its obligations under international treaties with respect to freedom of expression and access to information. The court consequently ordered </w:t>
      </w:r>
      <w:r w:rsidR="00807A3B" w:rsidRPr="00BB6269">
        <w:rPr>
          <w:rFonts w:eastAsia="Times New Roman"/>
        </w:rPr>
        <w:t xml:space="preserve">Nigerian government </w:t>
      </w:r>
      <w:r w:rsidR="00807A3B">
        <w:rPr>
          <w:rFonts w:eastAsia="Times New Roman"/>
        </w:rPr>
        <w:t xml:space="preserve">to </w:t>
      </w:r>
      <w:r w:rsidR="00807A3B" w:rsidRPr="00BB6269">
        <w:rPr>
          <w:rFonts w:eastAsia="Times New Roman"/>
        </w:rPr>
        <w:t>take measures to prevent attacks on journalists and media practitioners</w:t>
      </w:r>
      <w:r w:rsidR="00807A3B">
        <w:rPr>
          <w:rFonts w:eastAsia="Times New Roman"/>
        </w:rPr>
        <w:t xml:space="preserve"> and further ordered </w:t>
      </w:r>
      <w:r w:rsidR="00807A3B" w:rsidRPr="00BB6269">
        <w:rPr>
          <w:rFonts w:eastAsia="Times New Roman"/>
        </w:rPr>
        <w:t>investigat</w:t>
      </w:r>
      <w:r w:rsidR="00807A3B">
        <w:rPr>
          <w:rFonts w:eastAsia="Times New Roman"/>
        </w:rPr>
        <w:t>ion</w:t>
      </w:r>
      <w:r w:rsidR="00807A3B" w:rsidRPr="00BB6269">
        <w:rPr>
          <w:rFonts w:eastAsia="Times New Roman"/>
        </w:rPr>
        <w:t>, prosecut</w:t>
      </w:r>
      <w:r w:rsidR="00807A3B">
        <w:rPr>
          <w:rFonts w:eastAsia="Times New Roman"/>
        </w:rPr>
        <w:t>ion</w:t>
      </w:r>
      <w:r w:rsidR="00807A3B" w:rsidRPr="00BB6269">
        <w:rPr>
          <w:rFonts w:eastAsia="Times New Roman"/>
        </w:rPr>
        <w:t xml:space="preserve"> and punish</w:t>
      </w:r>
      <w:r w:rsidR="00807A3B">
        <w:rPr>
          <w:rFonts w:eastAsia="Times New Roman"/>
        </w:rPr>
        <w:t>ment</w:t>
      </w:r>
      <w:r w:rsidR="00807A3B" w:rsidRPr="00BB6269">
        <w:rPr>
          <w:rFonts w:eastAsia="Times New Roman"/>
        </w:rPr>
        <w:t xml:space="preserve"> </w:t>
      </w:r>
      <w:r w:rsidR="00807A3B">
        <w:rPr>
          <w:rFonts w:eastAsia="Times New Roman"/>
        </w:rPr>
        <w:t xml:space="preserve">of </w:t>
      </w:r>
      <w:r w:rsidR="00807A3B" w:rsidRPr="00BB6269">
        <w:rPr>
          <w:rFonts w:eastAsia="Times New Roman"/>
        </w:rPr>
        <w:t xml:space="preserve">perpetrators of all attacks against journalists and media practitioners and </w:t>
      </w:r>
      <w:r w:rsidR="00807A3B">
        <w:rPr>
          <w:rFonts w:eastAsia="Times New Roman"/>
        </w:rPr>
        <w:t xml:space="preserve">ensure facilitation of </w:t>
      </w:r>
      <w:r w:rsidR="00807A3B" w:rsidRPr="00BB6269">
        <w:rPr>
          <w:rFonts w:eastAsia="Times New Roman"/>
        </w:rPr>
        <w:t>access to effective remedies</w:t>
      </w:r>
      <w:r w:rsidR="00807A3B">
        <w:rPr>
          <w:rFonts w:eastAsia="Times New Roman"/>
        </w:rPr>
        <w:t xml:space="preserve"> for victims of such attacks</w:t>
      </w:r>
      <w:r w:rsidR="00807A3B" w:rsidRPr="00BB6269">
        <w:rPr>
          <w:rFonts w:eastAsia="Times New Roman"/>
        </w:rPr>
        <w:t>.</w:t>
      </w:r>
    </w:p>
    <w:p w14:paraId="760F34CD" w14:textId="4069A0CC" w:rsidR="00807A3B" w:rsidRDefault="00807A3B" w:rsidP="00807A3B">
      <w:pPr>
        <w:pStyle w:val="Default"/>
        <w:jc w:val="both"/>
        <w:rPr>
          <w:rFonts w:eastAsia="Times New Roman"/>
        </w:rPr>
      </w:pPr>
    </w:p>
    <w:p w14:paraId="2F4A838F" w14:textId="77777777" w:rsidR="00807A3B" w:rsidRPr="00EE792F" w:rsidRDefault="00807A3B" w:rsidP="00807A3B">
      <w:pPr>
        <w:pStyle w:val="Default"/>
        <w:jc w:val="both"/>
        <w:rPr>
          <w:rFonts w:eastAsia="Times New Roman"/>
        </w:rPr>
      </w:pPr>
    </w:p>
    <w:p w14:paraId="383A8CE8" w14:textId="4C603B13" w:rsidR="00B64640" w:rsidRDefault="00B64640" w:rsidP="00B64640">
      <w:pPr>
        <w:rPr>
          <w:b/>
        </w:rPr>
      </w:pPr>
      <w:r w:rsidRPr="001C31A1">
        <w:rPr>
          <w:b/>
        </w:rPr>
        <w:t>DECISION DIRECTION</w:t>
      </w:r>
    </w:p>
    <w:p w14:paraId="22C7189A" w14:textId="77777777" w:rsidR="00906277" w:rsidRPr="001C31A1" w:rsidRDefault="00906277" w:rsidP="00B64640">
      <w:pPr>
        <w:rPr>
          <w:b/>
        </w:rPr>
      </w:pPr>
    </w:p>
    <w:p w14:paraId="393C661D" w14:textId="4453C3DF" w:rsidR="00B64640" w:rsidRDefault="001A1352" w:rsidP="00B64640">
      <w:pPr>
        <w:rPr>
          <w:b/>
        </w:rPr>
      </w:pPr>
      <w:r>
        <w:rPr>
          <w:b/>
        </w:rPr>
        <w:t>Expand</w:t>
      </w:r>
      <w:r w:rsidR="00B64640">
        <w:rPr>
          <w:b/>
        </w:rPr>
        <w:t>s Expression</w:t>
      </w:r>
    </w:p>
    <w:p w14:paraId="2129E169" w14:textId="0E886E94" w:rsidR="00B64640" w:rsidRDefault="00CB2088" w:rsidP="00631530">
      <w:pPr>
        <w:jc w:val="both"/>
      </w:pPr>
      <w:r>
        <w:t xml:space="preserve">The judgment of the Federal High Court sitting in Abuja expands expression when the court declared the killings of journalists </w:t>
      </w:r>
      <w:r w:rsidR="00CD2B3A">
        <w:t xml:space="preserve">and media practitioners </w:t>
      </w:r>
      <w:r w:rsidR="00580575">
        <w:t xml:space="preserve">while carrying out their journalistic duties </w:t>
      </w:r>
      <w:r w:rsidR="00CD2B3A">
        <w:t>at different times violation of right to freedom of expression as guaranteed by Section 39 of the Constitution of Nigeria, 1999 (as amended) and Article 9 of the African Charter on Human and People’s Rights</w:t>
      </w:r>
      <w:r w:rsidR="00631530">
        <w:t xml:space="preserve">. </w:t>
      </w:r>
      <w:r w:rsidR="00CD2B3A">
        <w:t xml:space="preserve"> </w:t>
      </w:r>
      <w:r w:rsidR="00631530">
        <w:t>More importantly,</w:t>
      </w:r>
      <w:r w:rsidR="00A32E3D">
        <w:t xml:space="preserve"> </w:t>
      </w:r>
      <w:r w:rsidR="00631530">
        <w:t xml:space="preserve">the court ordered that the Nigerian government </w:t>
      </w:r>
      <w:r w:rsidR="008F2334">
        <w:t xml:space="preserve">to take measures to prevent attacks on journalists and media practitioners. The court further ordered the Nigerian government to investigate, prosecute and punish perpetrators of all attacks against journalists and media practitioners and ensure that victims of such attacks have access to effective remedies. </w:t>
      </w:r>
    </w:p>
    <w:p w14:paraId="2306EE65" w14:textId="5BF46F3B" w:rsidR="006A79C1" w:rsidRDefault="006A79C1" w:rsidP="00631530">
      <w:pPr>
        <w:jc w:val="both"/>
      </w:pPr>
    </w:p>
    <w:p w14:paraId="4B5C22C5" w14:textId="77777777" w:rsidR="006A79C1" w:rsidRDefault="006A79C1" w:rsidP="00631530">
      <w:pPr>
        <w:jc w:val="both"/>
      </w:pPr>
    </w:p>
    <w:p w14:paraId="0175DB7D" w14:textId="77777777" w:rsidR="00B64640" w:rsidRPr="001C31A1" w:rsidRDefault="00B64640" w:rsidP="00B64640"/>
    <w:p w14:paraId="2171FFB0" w14:textId="12D35BFB" w:rsidR="00B64640" w:rsidRDefault="00B64640" w:rsidP="00B64640">
      <w:pPr>
        <w:rPr>
          <w:b/>
        </w:rPr>
      </w:pPr>
      <w:r w:rsidRPr="00FA5A0D">
        <w:rPr>
          <w:b/>
        </w:rPr>
        <w:lastRenderedPageBreak/>
        <w:t>GLOBAL PERSPECTIVE</w:t>
      </w:r>
    </w:p>
    <w:p w14:paraId="517C6341" w14:textId="2BF8A1DC" w:rsidR="009D3415" w:rsidRDefault="009D3415" w:rsidP="00B64640">
      <w:pPr>
        <w:rPr>
          <w:b/>
        </w:rPr>
      </w:pPr>
    </w:p>
    <w:p w14:paraId="7C664850" w14:textId="5B419640" w:rsidR="009D3415" w:rsidRDefault="009D3415" w:rsidP="00B64640">
      <w:pPr>
        <w:rPr>
          <w:b/>
        </w:rPr>
      </w:pPr>
      <w:r>
        <w:rPr>
          <w:b/>
        </w:rPr>
        <w:t xml:space="preserve">Related International and/or regional laws </w:t>
      </w:r>
    </w:p>
    <w:p w14:paraId="1123C863" w14:textId="24CB2C0C" w:rsidR="009D3415" w:rsidRDefault="009D3415" w:rsidP="00B64640">
      <w:pPr>
        <w:rPr>
          <w:b/>
        </w:rPr>
      </w:pPr>
    </w:p>
    <w:p w14:paraId="51600378" w14:textId="24E47A6E" w:rsidR="009D3415" w:rsidRDefault="009D3415" w:rsidP="009D3415">
      <w:r>
        <w:t>International Covenant on Civil and Political Rights (ICCPR)</w:t>
      </w:r>
      <w:r w:rsidR="006A79C1">
        <w:t>, Art. 6(1)</w:t>
      </w:r>
    </w:p>
    <w:p w14:paraId="6B71EC35" w14:textId="77777777" w:rsidR="009D3415" w:rsidRDefault="009D3415" w:rsidP="009D3415"/>
    <w:p w14:paraId="0C7F9063" w14:textId="4FF31504" w:rsidR="009D3415" w:rsidRDefault="009D3415" w:rsidP="009D3415">
      <w:r>
        <w:t>Universal Declaration of Human Rights (UDHR)</w:t>
      </w:r>
      <w:r w:rsidR="006A79C1">
        <w:t>, Art. 3</w:t>
      </w:r>
      <w:r>
        <w:t xml:space="preserve"> </w:t>
      </w:r>
    </w:p>
    <w:p w14:paraId="14D2E56F" w14:textId="77777777" w:rsidR="009D3415" w:rsidRDefault="009D3415" w:rsidP="009D3415"/>
    <w:p w14:paraId="79B88107" w14:textId="4EC5C241" w:rsidR="009D3415" w:rsidRDefault="009D3415" w:rsidP="009D3415">
      <w:r>
        <w:t>Revised Treaty of Economic Community of West African States</w:t>
      </w:r>
      <w:r w:rsidR="006A79C1">
        <w:t>, Art.66 (2)(c)</w:t>
      </w:r>
    </w:p>
    <w:p w14:paraId="363AE21B" w14:textId="77777777" w:rsidR="009D3415" w:rsidRDefault="009D3415" w:rsidP="009D3415"/>
    <w:p w14:paraId="0C00E354" w14:textId="7CC8CACC" w:rsidR="009D3415" w:rsidRDefault="009D3415" w:rsidP="009D3415">
      <w:r>
        <w:t>Declaration of Principles of Freedom of Expression and Access to Information in Africa</w:t>
      </w:r>
      <w:r w:rsidR="006A79C1">
        <w:t xml:space="preserve">, Principle 20. </w:t>
      </w:r>
    </w:p>
    <w:p w14:paraId="19528933" w14:textId="77777777" w:rsidR="006A79C1" w:rsidRDefault="006A79C1" w:rsidP="009D3415"/>
    <w:p w14:paraId="21659709" w14:textId="77777777" w:rsidR="009D3415" w:rsidRPr="00FA5A0D" w:rsidRDefault="009D3415" w:rsidP="00B64640">
      <w:pPr>
        <w:rPr>
          <w:b/>
        </w:rPr>
      </w:pPr>
    </w:p>
    <w:p w14:paraId="2D6ABC09" w14:textId="2C958844" w:rsidR="00B64640" w:rsidRDefault="00B64640" w:rsidP="00B64640">
      <w:pPr>
        <w:rPr>
          <w:b/>
        </w:rPr>
      </w:pPr>
      <w:r w:rsidRPr="00FA5A0D">
        <w:rPr>
          <w:b/>
        </w:rPr>
        <w:t>National standards, Laws or Jurisprudence</w:t>
      </w:r>
    </w:p>
    <w:p w14:paraId="7F995FE2" w14:textId="3A00505F" w:rsidR="00DF3289" w:rsidRDefault="00DF3289" w:rsidP="00B64640">
      <w:pPr>
        <w:rPr>
          <w:b/>
        </w:rPr>
      </w:pPr>
    </w:p>
    <w:p w14:paraId="39181C50" w14:textId="0BA48572" w:rsidR="00DF3289" w:rsidRPr="00DF3289" w:rsidRDefault="009D3415" w:rsidP="00B64640">
      <w:pPr>
        <w:rPr>
          <w:bCs/>
        </w:rPr>
      </w:pPr>
      <w:r>
        <w:rPr>
          <w:bCs/>
        </w:rPr>
        <w:t xml:space="preserve">Nigeria, </w:t>
      </w:r>
      <w:r w:rsidR="00DF3289" w:rsidRPr="00DF3289">
        <w:rPr>
          <w:bCs/>
        </w:rPr>
        <w:t>Constitution of the Federal Republic of Nigeria, 1999 (as amended), Sections, 33, 39 (1), (2), 45 and 46</w:t>
      </w:r>
    </w:p>
    <w:p w14:paraId="7BDFF66D" w14:textId="59FDB393" w:rsidR="00DF3289" w:rsidRDefault="00DF3289" w:rsidP="00B64640">
      <w:pPr>
        <w:rPr>
          <w:b/>
        </w:rPr>
      </w:pPr>
    </w:p>
    <w:p w14:paraId="74DEF188" w14:textId="16FF3E8D" w:rsidR="00DF3289" w:rsidRDefault="009D3415" w:rsidP="00B64640">
      <w:pPr>
        <w:rPr>
          <w:bCs/>
        </w:rPr>
      </w:pPr>
      <w:r>
        <w:rPr>
          <w:bCs/>
        </w:rPr>
        <w:t xml:space="preserve">Nigeria, </w:t>
      </w:r>
      <w:r w:rsidR="00DF3289" w:rsidRPr="00DF3289">
        <w:rPr>
          <w:bCs/>
        </w:rPr>
        <w:t>African Charter on Human and People’s Rights (Ratification and Enforcement) Act</w:t>
      </w:r>
      <w:r w:rsidR="006A79C1">
        <w:rPr>
          <w:bCs/>
        </w:rPr>
        <w:t xml:space="preserve">, </w:t>
      </w:r>
      <w:proofErr w:type="spellStart"/>
      <w:r w:rsidR="006A79C1">
        <w:rPr>
          <w:bCs/>
        </w:rPr>
        <w:t>Art.s</w:t>
      </w:r>
      <w:proofErr w:type="spellEnd"/>
      <w:r w:rsidR="006A79C1">
        <w:rPr>
          <w:bCs/>
        </w:rPr>
        <w:t xml:space="preserve"> 4 and 9</w:t>
      </w:r>
    </w:p>
    <w:p w14:paraId="504513A7" w14:textId="77777777" w:rsidR="00DF3289" w:rsidRPr="00FA5A0D" w:rsidRDefault="00DF3289" w:rsidP="00B64640">
      <w:pPr>
        <w:rPr>
          <w:b/>
        </w:rPr>
      </w:pPr>
    </w:p>
    <w:p w14:paraId="42BA4A0C" w14:textId="55061D32" w:rsidR="00B64640" w:rsidRDefault="00424C4E" w:rsidP="00B64640">
      <w:pPr>
        <w:rPr>
          <w:iCs/>
        </w:rPr>
      </w:pPr>
      <w:r>
        <w:rPr>
          <w:iCs/>
        </w:rPr>
        <w:t xml:space="preserve">Nigeria, Registered Trustees, Association of </w:t>
      </w:r>
      <w:r w:rsidR="00F45D61">
        <w:rPr>
          <w:iCs/>
        </w:rPr>
        <w:t>Community Health Practitioners of (Nig.) V Medical Health Workers Union of (Nig.) (2008) All FWLR (Pt.412) 1013</w:t>
      </w:r>
    </w:p>
    <w:p w14:paraId="669AE173" w14:textId="77777777" w:rsidR="009D3415" w:rsidRDefault="009D3415" w:rsidP="00B64640">
      <w:pPr>
        <w:rPr>
          <w:iCs/>
        </w:rPr>
      </w:pPr>
    </w:p>
    <w:p w14:paraId="7F3F3068" w14:textId="0C68C61F" w:rsidR="00F45D61" w:rsidRDefault="00F45D61" w:rsidP="00B64640">
      <w:pPr>
        <w:rPr>
          <w:iCs/>
        </w:rPr>
      </w:pPr>
      <w:r w:rsidRPr="00EB4A38">
        <w:rPr>
          <w:iCs/>
        </w:rPr>
        <w:t xml:space="preserve">Nigeria, </w:t>
      </w:r>
      <w:r w:rsidR="00EB4A38" w:rsidRPr="00EB4A38">
        <w:rPr>
          <w:iCs/>
        </w:rPr>
        <w:t>Henry Stephen Engineering L</w:t>
      </w:r>
      <w:r w:rsidR="00EB4A38">
        <w:rPr>
          <w:iCs/>
        </w:rPr>
        <w:t xml:space="preserve">td V Yakubu (Nig.) Ltd (2009) 10 NWLR </w:t>
      </w:r>
      <w:r w:rsidR="009A3379">
        <w:rPr>
          <w:iCs/>
        </w:rPr>
        <w:t>(Pt.1149) 416</w:t>
      </w:r>
    </w:p>
    <w:p w14:paraId="2A854072" w14:textId="77777777" w:rsidR="009D3415" w:rsidRPr="00EB4A38" w:rsidRDefault="009D3415" w:rsidP="00B64640">
      <w:pPr>
        <w:rPr>
          <w:iCs/>
        </w:rPr>
      </w:pPr>
    </w:p>
    <w:p w14:paraId="18666516" w14:textId="36BC7219" w:rsidR="00F45D61" w:rsidRDefault="00F45D61" w:rsidP="00B64640">
      <w:pPr>
        <w:rPr>
          <w:iCs/>
        </w:rPr>
      </w:pPr>
      <w:r w:rsidRPr="001F57BB">
        <w:rPr>
          <w:iCs/>
        </w:rPr>
        <w:t>Nigeria,</w:t>
      </w:r>
      <w:r w:rsidR="009A3379" w:rsidRPr="001F57BB">
        <w:rPr>
          <w:iCs/>
        </w:rPr>
        <w:t xml:space="preserve"> Tukur V Uba (2012) </w:t>
      </w:r>
      <w:r w:rsidR="001F57BB" w:rsidRPr="001F57BB">
        <w:rPr>
          <w:iCs/>
        </w:rPr>
        <w:t>All F</w:t>
      </w:r>
      <w:r w:rsidR="001F57BB">
        <w:rPr>
          <w:iCs/>
        </w:rPr>
        <w:t>WLR (Pt.652) 1624</w:t>
      </w:r>
    </w:p>
    <w:p w14:paraId="7671F249" w14:textId="77777777" w:rsidR="009D3415" w:rsidRPr="001F57BB" w:rsidRDefault="009D3415" w:rsidP="00B64640">
      <w:pPr>
        <w:rPr>
          <w:iCs/>
        </w:rPr>
      </w:pPr>
    </w:p>
    <w:p w14:paraId="57F3464A" w14:textId="49A7DDFF" w:rsidR="00F45D61" w:rsidRDefault="00F45D61" w:rsidP="00B64640">
      <w:pPr>
        <w:rPr>
          <w:iCs/>
        </w:rPr>
      </w:pPr>
      <w:r w:rsidRPr="001F57BB">
        <w:rPr>
          <w:iCs/>
        </w:rPr>
        <w:t>Nigeria,</w:t>
      </w:r>
      <w:r w:rsidR="001F57BB">
        <w:rPr>
          <w:iCs/>
        </w:rPr>
        <w:t xml:space="preserve"> CBN V </w:t>
      </w:r>
      <w:proofErr w:type="spellStart"/>
      <w:r w:rsidR="001F57BB">
        <w:rPr>
          <w:iCs/>
        </w:rPr>
        <w:t>Edet</w:t>
      </w:r>
      <w:proofErr w:type="spellEnd"/>
      <w:r w:rsidR="001F57BB">
        <w:rPr>
          <w:iCs/>
        </w:rPr>
        <w:t xml:space="preserve"> (2015) All FWLR (Pt.768) 879 at 897</w:t>
      </w:r>
    </w:p>
    <w:p w14:paraId="47FC57AD" w14:textId="77777777" w:rsidR="009D3415" w:rsidRPr="001F57BB" w:rsidRDefault="009D3415" w:rsidP="00B64640">
      <w:pPr>
        <w:rPr>
          <w:iCs/>
        </w:rPr>
      </w:pPr>
    </w:p>
    <w:p w14:paraId="49E79CE0" w14:textId="2DFA343C" w:rsidR="00F45D61" w:rsidRDefault="00F45D61" w:rsidP="00B64640">
      <w:pPr>
        <w:rPr>
          <w:iCs/>
        </w:rPr>
      </w:pPr>
      <w:r w:rsidRPr="001F57BB">
        <w:rPr>
          <w:iCs/>
        </w:rPr>
        <w:t>Nigeria,</w:t>
      </w:r>
      <w:r w:rsidR="001F57BB" w:rsidRPr="001F57BB">
        <w:rPr>
          <w:iCs/>
        </w:rPr>
        <w:t xml:space="preserve"> </w:t>
      </w:r>
      <w:proofErr w:type="spellStart"/>
      <w:r w:rsidR="001F57BB" w:rsidRPr="001F57BB">
        <w:rPr>
          <w:iCs/>
        </w:rPr>
        <w:t>Amadi</w:t>
      </w:r>
      <w:proofErr w:type="spellEnd"/>
      <w:r w:rsidR="001F57BB" w:rsidRPr="001F57BB">
        <w:rPr>
          <w:iCs/>
        </w:rPr>
        <w:t xml:space="preserve"> V </w:t>
      </w:r>
      <w:proofErr w:type="spellStart"/>
      <w:r w:rsidR="001F57BB" w:rsidRPr="001F57BB">
        <w:rPr>
          <w:iCs/>
        </w:rPr>
        <w:t>Wopara</w:t>
      </w:r>
      <w:proofErr w:type="spellEnd"/>
      <w:r w:rsidR="001F57BB" w:rsidRPr="001F57BB">
        <w:rPr>
          <w:iCs/>
        </w:rPr>
        <w:t xml:space="preserve"> (2022) 1 NWLR (Pt.1811) 359 at</w:t>
      </w:r>
      <w:r w:rsidR="001F57BB">
        <w:rPr>
          <w:iCs/>
        </w:rPr>
        <w:t xml:space="preserve"> 373</w:t>
      </w:r>
    </w:p>
    <w:p w14:paraId="72B29FC3" w14:textId="77777777" w:rsidR="009D3415" w:rsidRPr="001F57BB" w:rsidRDefault="009D3415" w:rsidP="00B64640">
      <w:pPr>
        <w:rPr>
          <w:iCs/>
        </w:rPr>
      </w:pPr>
    </w:p>
    <w:p w14:paraId="121D9212" w14:textId="370A0143" w:rsidR="009D3415" w:rsidRDefault="00F45D61" w:rsidP="00B64640">
      <w:pPr>
        <w:rPr>
          <w:iCs/>
          <w:lang w:val="it-IT"/>
        </w:rPr>
      </w:pPr>
      <w:r w:rsidRPr="00801CE8">
        <w:rPr>
          <w:iCs/>
          <w:lang w:val="it-IT"/>
        </w:rPr>
        <w:t>Nigeria,</w:t>
      </w:r>
      <w:r w:rsidR="00801CE8" w:rsidRPr="00801CE8">
        <w:rPr>
          <w:iCs/>
          <w:lang w:val="it-IT"/>
        </w:rPr>
        <w:t xml:space="preserve"> </w:t>
      </w:r>
      <w:proofErr w:type="spellStart"/>
      <w:r w:rsidR="00801CE8" w:rsidRPr="00801CE8">
        <w:rPr>
          <w:iCs/>
          <w:lang w:val="it-IT"/>
        </w:rPr>
        <w:t>Mabamije</w:t>
      </w:r>
      <w:proofErr w:type="spellEnd"/>
      <w:r w:rsidR="00801CE8" w:rsidRPr="00801CE8">
        <w:rPr>
          <w:iCs/>
          <w:lang w:val="it-IT"/>
        </w:rPr>
        <w:t xml:space="preserve"> V Otto (2016) 13 N</w:t>
      </w:r>
      <w:r w:rsidR="00801CE8">
        <w:rPr>
          <w:iCs/>
          <w:lang w:val="it-IT"/>
        </w:rPr>
        <w:t>WLR (Pt.1529) 171</w:t>
      </w:r>
    </w:p>
    <w:p w14:paraId="15DF2E26" w14:textId="77777777" w:rsidR="009D3415" w:rsidRPr="00801CE8" w:rsidRDefault="009D3415" w:rsidP="00B64640">
      <w:pPr>
        <w:rPr>
          <w:iCs/>
          <w:lang w:val="it-IT"/>
        </w:rPr>
      </w:pPr>
    </w:p>
    <w:p w14:paraId="12E8E7F3" w14:textId="16C9306F" w:rsidR="00F45D61" w:rsidRDefault="00F45D61" w:rsidP="00B64640">
      <w:pPr>
        <w:rPr>
          <w:iCs/>
        </w:rPr>
      </w:pPr>
      <w:r w:rsidRPr="00801CE8">
        <w:rPr>
          <w:iCs/>
        </w:rPr>
        <w:t>Nigeria,</w:t>
      </w:r>
      <w:r w:rsidR="00801CE8" w:rsidRPr="00801CE8">
        <w:rPr>
          <w:iCs/>
        </w:rPr>
        <w:t xml:space="preserve"> Incorporated Trustees of Lad</w:t>
      </w:r>
      <w:r w:rsidR="00801CE8">
        <w:rPr>
          <w:iCs/>
        </w:rPr>
        <w:t>ies of Saint</w:t>
      </w:r>
      <w:r w:rsidR="00936ED1">
        <w:rPr>
          <w:iCs/>
        </w:rPr>
        <w:t xml:space="preserve"> Mulumba, Nigeria V </w:t>
      </w:r>
      <w:proofErr w:type="spellStart"/>
      <w:r w:rsidR="00936ED1">
        <w:rPr>
          <w:iCs/>
        </w:rPr>
        <w:t>Ekhator</w:t>
      </w:r>
      <w:proofErr w:type="spellEnd"/>
      <w:r w:rsidR="00936ED1">
        <w:rPr>
          <w:iCs/>
        </w:rPr>
        <w:t xml:space="preserve"> (2022) 15 NWLR (Pt.1852) 35 at 61</w:t>
      </w:r>
    </w:p>
    <w:p w14:paraId="3F53CB1F" w14:textId="77777777" w:rsidR="009D3415" w:rsidRPr="00801CE8" w:rsidRDefault="009D3415" w:rsidP="00B64640">
      <w:pPr>
        <w:rPr>
          <w:iCs/>
        </w:rPr>
      </w:pPr>
    </w:p>
    <w:p w14:paraId="13B29F36" w14:textId="1AF3DE5C" w:rsidR="00B64640" w:rsidRDefault="00EB4A38" w:rsidP="00B64640">
      <w:pPr>
        <w:rPr>
          <w:iCs/>
          <w:lang w:val="it-IT"/>
        </w:rPr>
      </w:pPr>
      <w:r w:rsidRPr="00936ED1">
        <w:rPr>
          <w:iCs/>
          <w:lang w:val="it-IT"/>
        </w:rPr>
        <w:t>Nigeria,</w:t>
      </w:r>
      <w:r w:rsidR="00936ED1" w:rsidRPr="00936ED1">
        <w:rPr>
          <w:iCs/>
          <w:lang w:val="it-IT"/>
        </w:rPr>
        <w:t xml:space="preserve"> </w:t>
      </w:r>
      <w:proofErr w:type="spellStart"/>
      <w:r w:rsidR="00936ED1" w:rsidRPr="00936ED1">
        <w:rPr>
          <w:iCs/>
          <w:lang w:val="it-IT"/>
        </w:rPr>
        <w:t>Owuru</w:t>
      </w:r>
      <w:proofErr w:type="spellEnd"/>
      <w:r w:rsidR="00936ED1" w:rsidRPr="00936ED1">
        <w:rPr>
          <w:iCs/>
          <w:lang w:val="it-IT"/>
        </w:rPr>
        <w:t xml:space="preserve"> V </w:t>
      </w:r>
      <w:proofErr w:type="spellStart"/>
      <w:r w:rsidR="00936ED1" w:rsidRPr="00936ED1">
        <w:rPr>
          <w:iCs/>
          <w:lang w:val="it-IT"/>
        </w:rPr>
        <w:t>Adi</w:t>
      </w:r>
      <w:r w:rsidR="00936ED1">
        <w:rPr>
          <w:iCs/>
          <w:lang w:val="it-IT"/>
        </w:rPr>
        <w:t>gwu</w:t>
      </w:r>
      <w:proofErr w:type="spellEnd"/>
      <w:r w:rsidR="00936ED1">
        <w:rPr>
          <w:iCs/>
          <w:lang w:val="it-IT"/>
        </w:rPr>
        <w:t xml:space="preserve"> (2018) 1 NWLR (Pt.1599) 1</w:t>
      </w:r>
    </w:p>
    <w:p w14:paraId="7EACC742" w14:textId="77777777" w:rsidR="00DF3289" w:rsidRPr="00DF3289" w:rsidRDefault="00DF3289" w:rsidP="00B64640">
      <w:pPr>
        <w:rPr>
          <w:iCs/>
        </w:rPr>
      </w:pPr>
    </w:p>
    <w:p w14:paraId="30F71A0F" w14:textId="77777777" w:rsidR="00936ED1" w:rsidRPr="00DF3289" w:rsidRDefault="00936ED1" w:rsidP="00B64640">
      <w:pPr>
        <w:rPr>
          <w:iCs/>
        </w:rPr>
      </w:pPr>
    </w:p>
    <w:p w14:paraId="46928A6C" w14:textId="77777777" w:rsidR="00B64640" w:rsidRPr="001C31A1" w:rsidRDefault="00B64640" w:rsidP="00B64640">
      <w:pPr>
        <w:rPr>
          <w:b/>
        </w:rPr>
      </w:pPr>
      <w:r w:rsidRPr="001C31A1">
        <w:rPr>
          <w:b/>
        </w:rPr>
        <w:t>CASE SIGNIFICANCE</w:t>
      </w:r>
    </w:p>
    <w:p w14:paraId="7ED526B9" w14:textId="28AEAE78" w:rsidR="00B64640" w:rsidRDefault="00B64640" w:rsidP="00B64640">
      <w:r w:rsidRPr="001C31A1">
        <w:t>The decision establishes binding or persuasive precedent within its jurisdiction.</w:t>
      </w:r>
    </w:p>
    <w:p w14:paraId="5067EF56" w14:textId="77777777" w:rsidR="006A79C1" w:rsidRDefault="006A79C1" w:rsidP="00B64640"/>
    <w:p w14:paraId="37F26F01" w14:textId="77777777" w:rsidR="009D3415" w:rsidRPr="001C31A1" w:rsidRDefault="009D3415" w:rsidP="00B64640"/>
    <w:p w14:paraId="523B9113" w14:textId="77777777" w:rsidR="00B64640" w:rsidRPr="001C31A1" w:rsidRDefault="00B64640" w:rsidP="00B64640"/>
    <w:p w14:paraId="52396822" w14:textId="3E55837E" w:rsidR="00B64640" w:rsidRDefault="00B64640" w:rsidP="00B64640">
      <w:pPr>
        <w:rPr>
          <w:b/>
        </w:rPr>
      </w:pPr>
      <w:r w:rsidRPr="001C31A1">
        <w:rPr>
          <w:b/>
        </w:rPr>
        <w:lastRenderedPageBreak/>
        <w:t>OFFICIAL CASE DOCUMENTS</w:t>
      </w:r>
    </w:p>
    <w:p w14:paraId="71A25D06" w14:textId="77777777" w:rsidR="006A79C1" w:rsidRPr="001C31A1" w:rsidRDefault="006A79C1" w:rsidP="00B64640">
      <w:pPr>
        <w:rPr>
          <w:b/>
        </w:rPr>
      </w:pPr>
    </w:p>
    <w:p w14:paraId="7F5CBF35" w14:textId="77777777" w:rsidR="00B64640" w:rsidRPr="00451B76" w:rsidRDefault="00B64640" w:rsidP="00B64640">
      <w:pPr>
        <w:rPr>
          <w:b/>
          <w:bCs/>
        </w:rPr>
      </w:pPr>
      <w:r w:rsidRPr="00451B76">
        <w:rPr>
          <w:b/>
          <w:bCs/>
        </w:rPr>
        <w:t>Reports, Analyses, and News Articles:</w:t>
      </w:r>
    </w:p>
    <w:p w14:paraId="0C280FAF" w14:textId="77777777" w:rsidR="005E550E" w:rsidRDefault="00813F41" w:rsidP="005E550E">
      <w:hyperlink r:id="rId7" w:tgtFrame="_blank" w:history="1">
        <w:r w:rsidR="005E550E">
          <w:rPr>
            <w:rStyle w:val="Hyperlink"/>
            <w:rFonts w:ascii="Aptos" w:hAnsi="Aptos"/>
            <w:color w:val="1155CC"/>
            <w:shd w:val="clear" w:color="auto" w:fill="FFFFFF"/>
          </w:rPr>
          <w:t>https://ifex.org/nigerias-fight-against-impunity-given-impetus-by-landmark-ruling/</w:t>
        </w:r>
      </w:hyperlink>
    </w:p>
    <w:p w14:paraId="4495F9BF" w14:textId="6F564B57" w:rsidR="00817E46" w:rsidRDefault="00813F41" w:rsidP="00B64640">
      <w:pPr>
        <w:rPr>
          <w:rStyle w:val="Hyperlink"/>
        </w:rPr>
      </w:pPr>
      <w:hyperlink r:id="rId8" w:history="1">
        <w:r w:rsidR="00643992" w:rsidRPr="00B55561">
          <w:rPr>
            <w:rStyle w:val="Hyperlink"/>
          </w:rPr>
          <w:t>https://punchng.com/court-orders-fg-to-probe-deaths-of-dele-giwa-other-journalists/</w:t>
        </w:r>
      </w:hyperlink>
    </w:p>
    <w:p w14:paraId="5C954CED" w14:textId="77777777" w:rsidR="006A79C1" w:rsidRDefault="006A79C1" w:rsidP="00B64640"/>
    <w:p w14:paraId="6B18AD1B" w14:textId="4BC3B1B5" w:rsidR="00643992" w:rsidRDefault="00813F41" w:rsidP="00B64640">
      <w:pPr>
        <w:rPr>
          <w:rStyle w:val="Hyperlink"/>
        </w:rPr>
      </w:pPr>
      <w:hyperlink r:id="rId9" w:history="1">
        <w:r w:rsidR="0064739A" w:rsidRPr="00B55561">
          <w:rPr>
            <w:rStyle w:val="Hyperlink"/>
          </w:rPr>
          <w:t>https://www.icirnigeria.org/court-orders-agf-to-re-open-dele-giwas-murder-case/</w:t>
        </w:r>
      </w:hyperlink>
    </w:p>
    <w:p w14:paraId="2D85568E" w14:textId="77777777" w:rsidR="006A79C1" w:rsidRDefault="006A79C1" w:rsidP="00B64640"/>
    <w:p w14:paraId="78CCB780" w14:textId="13BA1EA5" w:rsidR="0064739A" w:rsidRDefault="00813F41" w:rsidP="00B64640">
      <w:pPr>
        <w:rPr>
          <w:rStyle w:val="Hyperlink"/>
        </w:rPr>
      </w:pPr>
      <w:hyperlink r:id="rId10" w:history="1">
        <w:r w:rsidR="0064739A" w:rsidRPr="00B55561">
          <w:rPr>
            <w:rStyle w:val="Hyperlink"/>
          </w:rPr>
          <w:t>https://tribuneonlineng.com/38-years-after-court-orders-agf-to-re-open-investigation-prosecute-dele-giwas-killers/</w:t>
        </w:r>
      </w:hyperlink>
    </w:p>
    <w:p w14:paraId="66364A0D" w14:textId="77777777" w:rsidR="006A79C1" w:rsidRDefault="006A79C1" w:rsidP="00B64640"/>
    <w:p w14:paraId="42A07F6B" w14:textId="23EBFB5A" w:rsidR="0064739A" w:rsidRDefault="00813F41" w:rsidP="00B64640">
      <w:hyperlink r:id="rId11" w:history="1">
        <w:r w:rsidR="0064739A" w:rsidRPr="00B55561">
          <w:rPr>
            <w:rStyle w:val="Hyperlink"/>
          </w:rPr>
          <w:t>https://www.youtube.com/watch?v=zeRYFDBwX</w:t>
        </w:r>
        <w:r w:rsidR="0064739A" w:rsidRPr="00B55561">
          <w:rPr>
            <w:rStyle w:val="Hyperlink"/>
          </w:rPr>
          <w:t>g</w:t>
        </w:r>
        <w:r w:rsidR="0064739A" w:rsidRPr="00B55561">
          <w:rPr>
            <w:rStyle w:val="Hyperlink"/>
          </w:rPr>
          <w:t>8</w:t>
        </w:r>
      </w:hyperlink>
    </w:p>
    <w:p w14:paraId="4F842B44" w14:textId="77777777" w:rsidR="0064739A" w:rsidRDefault="0064739A" w:rsidP="00B64640"/>
    <w:p w14:paraId="77AD28BF" w14:textId="7CD7B0BA" w:rsidR="00B64640" w:rsidRDefault="00B64640" w:rsidP="00B64640">
      <w:pPr>
        <w:rPr>
          <w:b/>
          <w:bCs/>
        </w:rPr>
      </w:pPr>
      <w:r w:rsidRPr="00451B76">
        <w:rPr>
          <w:b/>
          <w:bCs/>
        </w:rPr>
        <w:t>Attachments</w:t>
      </w:r>
      <w:r>
        <w:rPr>
          <w:b/>
          <w:bCs/>
        </w:rPr>
        <w:t>:</w:t>
      </w:r>
    </w:p>
    <w:p w14:paraId="79A3D204" w14:textId="77777777" w:rsidR="006A79C1" w:rsidRPr="00451B76" w:rsidRDefault="006A79C1" w:rsidP="00B64640">
      <w:pPr>
        <w:rPr>
          <w:b/>
          <w:bCs/>
        </w:rPr>
      </w:pPr>
    </w:p>
    <w:p w14:paraId="4901172E" w14:textId="77777777" w:rsidR="00B64640" w:rsidRDefault="00B64640" w:rsidP="00B64640">
      <w:r>
        <w:t>Judgment</w:t>
      </w:r>
    </w:p>
    <w:p w14:paraId="690B16EE" w14:textId="77777777" w:rsidR="005B4A9B" w:rsidRDefault="005B4A9B"/>
    <w:sectPr w:rsidR="005B4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A727" w14:textId="77777777" w:rsidR="0040081B" w:rsidRDefault="0040081B" w:rsidP="00D50064">
      <w:r>
        <w:separator/>
      </w:r>
    </w:p>
  </w:endnote>
  <w:endnote w:type="continuationSeparator" w:id="0">
    <w:p w14:paraId="7C18089E" w14:textId="77777777" w:rsidR="0040081B" w:rsidRDefault="0040081B" w:rsidP="00D5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DFC8" w14:textId="77777777" w:rsidR="0040081B" w:rsidRDefault="0040081B" w:rsidP="00D50064">
      <w:r>
        <w:separator/>
      </w:r>
    </w:p>
  </w:footnote>
  <w:footnote w:type="continuationSeparator" w:id="0">
    <w:p w14:paraId="0C560A13" w14:textId="77777777" w:rsidR="0040081B" w:rsidRDefault="0040081B" w:rsidP="00D50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7A"/>
    <w:multiLevelType w:val="hybridMultilevel"/>
    <w:tmpl w:val="41E209A8"/>
    <w:lvl w:ilvl="0" w:tplc="6D305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B7061"/>
    <w:multiLevelType w:val="hybridMultilevel"/>
    <w:tmpl w:val="D0665472"/>
    <w:lvl w:ilvl="0" w:tplc="912265CC">
      <w:start w:val="1"/>
      <w:numFmt w:val="lowerLetter"/>
      <w:lvlText w:val="(%1)"/>
      <w:lvlJc w:val="left"/>
      <w:pPr>
        <w:ind w:left="1395" w:hanging="360"/>
      </w:pPr>
      <w:rPr>
        <w:rFonts w:hint="default"/>
        <w:color w:val="FF00FF"/>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15:restartNumberingAfterBreak="0">
    <w:nsid w:val="16DB0AE8"/>
    <w:multiLevelType w:val="multilevel"/>
    <w:tmpl w:val="2C7A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80945"/>
    <w:multiLevelType w:val="hybridMultilevel"/>
    <w:tmpl w:val="28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C35A7"/>
    <w:multiLevelType w:val="hybridMultilevel"/>
    <w:tmpl w:val="544C6742"/>
    <w:lvl w:ilvl="0" w:tplc="2B88830E">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627E49B2"/>
    <w:multiLevelType w:val="hybridMultilevel"/>
    <w:tmpl w:val="F7E470A0"/>
    <w:lvl w:ilvl="0" w:tplc="08A897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06D74"/>
    <w:multiLevelType w:val="multilevel"/>
    <w:tmpl w:val="9088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F"/>
    <w:rsid w:val="0000024A"/>
    <w:rsid w:val="00000428"/>
    <w:rsid w:val="00017313"/>
    <w:rsid w:val="00017ACF"/>
    <w:rsid w:val="000248B5"/>
    <w:rsid w:val="000336AA"/>
    <w:rsid w:val="000350B1"/>
    <w:rsid w:val="00037106"/>
    <w:rsid w:val="000456C4"/>
    <w:rsid w:val="00046724"/>
    <w:rsid w:val="00046EDE"/>
    <w:rsid w:val="0006155C"/>
    <w:rsid w:val="0006467B"/>
    <w:rsid w:val="00067FBA"/>
    <w:rsid w:val="00087535"/>
    <w:rsid w:val="0009036C"/>
    <w:rsid w:val="000A273A"/>
    <w:rsid w:val="000A300E"/>
    <w:rsid w:val="000A43E2"/>
    <w:rsid w:val="000A5BAE"/>
    <w:rsid w:val="000A7E0D"/>
    <w:rsid w:val="000A7EC4"/>
    <w:rsid w:val="000B488A"/>
    <w:rsid w:val="000C1966"/>
    <w:rsid w:val="000C415E"/>
    <w:rsid w:val="000C4405"/>
    <w:rsid w:val="000C47B8"/>
    <w:rsid w:val="000D0C61"/>
    <w:rsid w:val="000D4B4A"/>
    <w:rsid w:val="000D5F1D"/>
    <w:rsid w:val="000E6C2E"/>
    <w:rsid w:val="000F26D5"/>
    <w:rsid w:val="000F565B"/>
    <w:rsid w:val="000F5B05"/>
    <w:rsid w:val="000F5EF3"/>
    <w:rsid w:val="000F6D75"/>
    <w:rsid w:val="00101DD2"/>
    <w:rsid w:val="001025E4"/>
    <w:rsid w:val="00112936"/>
    <w:rsid w:val="00115A14"/>
    <w:rsid w:val="001210F8"/>
    <w:rsid w:val="001269A0"/>
    <w:rsid w:val="001305C7"/>
    <w:rsid w:val="00132219"/>
    <w:rsid w:val="00134EA5"/>
    <w:rsid w:val="00137818"/>
    <w:rsid w:val="00155C70"/>
    <w:rsid w:val="00165632"/>
    <w:rsid w:val="0017105B"/>
    <w:rsid w:val="001819EA"/>
    <w:rsid w:val="00192E4D"/>
    <w:rsid w:val="001A04D8"/>
    <w:rsid w:val="001A1352"/>
    <w:rsid w:val="001A7497"/>
    <w:rsid w:val="001B0B5D"/>
    <w:rsid w:val="001B2882"/>
    <w:rsid w:val="001B307B"/>
    <w:rsid w:val="001C31A1"/>
    <w:rsid w:val="001C5747"/>
    <w:rsid w:val="001D189D"/>
    <w:rsid w:val="001D1F8D"/>
    <w:rsid w:val="001D224A"/>
    <w:rsid w:val="001D6AE4"/>
    <w:rsid w:val="001E37A8"/>
    <w:rsid w:val="001E3EF0"/>
    <w:rsid w:val="001E7613"/>
    <w:rsid w:val="001F57BB"/>
    <w:rsid w:val="001F766E"/>
    <w:rsid w:val="00213FE2"/>
    <w:rsid w:val="00214A60"/>
    <w:rsid w:val="00223462"/>
    <w:rsid w:val="00231914"/>
    <w:rsid w:val="0023252B"/>
    <w:rsid w:val="002531BD"/>
    <w:rsid w:val="00257386"/>
    <w:rsid w:val="00260605"/>
    <w:rsid w:val="00266E80"/>
    <w:rsid w:val="0027203D"/>
    <w:rsid w:val="002746A4"/>
    <w:rsid w:val="002846B3"/>
    <w:rsid w:val="002A04BA"/>
    <w:rsid w:val="002A762B"/>
    <w:rsid w:val="002C288A"/>
    <w:rsid w:val="002C3301"/>
    <w:rsid w:val="002C5235"/>
    <w:rsid w:val="002C649D"/>
    <w:rsid w:val="002C7317"/>
    <w:rsid w:val="002D1ACE"/>
    <w:rsid w:val="002D3A04"/>
    <w:rsid w:val="002E0A1F"/>
    <w:rsid w:val="002E398F"/>
    <w:rsid w:val="002F0771"/>
    <w:rsid w:val="002F4A37"/>
    <w:rsid w:val="00301CCA"/>
    <w:rsid w:val="00303DC4"/>
    <w:rsid w:val="00321D67"/>
    <w:rsid w:val="003223B3"/>
    <w:rsid w:val="00332A2E"/>
    <w:rsid w:val="003336CF"/>
    <w:rsid w:val="00342A03"/>
    <w:rsid w:val="003453A9"/>
    <w:rsid w:val="00353164"/>
    <w:rsid w:val="003553BE"/>
    <w:rsid w:val="00387CBA"/>
    <w:rsid w:val="00392218"/>
    <w:rsid w:val="00393C57"/>
    <w:rsid w:val="00394CC2"/>
    <w:rsid w:val="00394E9E"/>
    <w:rsid w:val="00397EC4"/>
    <w:rsid w:val="003A1878"/>
    <w:rsid w:val="003A2E9F"/>
    <w:rsid w:val="003A6CF3"/>
    <w:rsid w:val="003B3B21"/>
    <w:rsid w:val="003B7CBF"/>
    <w:rsid w:val="003C4C3D"/>
    <w:rsid w:val="003C7D78"/>
    <w:rsid w:val="003E0224"/>
    <w:rsid w:val="003E2725"/>
    <w:rsid w:val="003F045B"/>
    <w:rsid w:val="003F1D72"/>
    <w:rsid w:val="003F1FCB"/>
    <w:rsid w:val="0040081B"/>
    <w:rsid w:val="00403A12"/>
    <w:rsid w:val="00406DB7"/>
    <w:rsid w:val="00406F91"/>
    <w:rsid w:val="0041032C"/>
    <w:rsid w:val="004124E0"/>
    <w:rsid w:val="00415810"/>
    <w:rsid w:val="00421FAF"/>
    <w:rsid w:val="0042273E"/>
    <w:rsid w:val="00422D9F"/>
    <w:rsid w:val="00423134"/>
    <w:rsid w:val="00424C4E"/>
    <w:rsid w:val="00427E3D"/>
    <w:rsid w:val="00427E79"/>
    <w:rsid w:val="004318C7"/>
    <w:rsid w:val="004338F5"/>
    <w:rsid w:val="00440D7B"/>
    <w:rsid w:val="00441A37"/>
    <w:rsid w:val="0044243D"/>
    <w:rsid w:val="00442F04"/>
    <w:rsid w:val="004448E5"/>
    <w:rsid w:val="00447EDD"/>
    <w:rsid w:val="00450AEC"/>
    <w:rsid w:val="00451B76"/>
    <w:rsid w:val="004521D2"/>
    <w:rsid w:val="004546C5"/>
    <w:rsid w:val="00454A55"/>
    <w:rsid w:val="00455261"/>
    <w:rsid w:val="004605EE"/>
    <w:rsid w:val="00465570"/>
    <w:rsid w:val="00471E9C"/>
    <w:rsid w:val="004809E4"/>
    <w:rsid w:val="00480F71"/>
    <w:rsid w:val="00483C71"/>
    <w:rsid w:val="00492DB8"/>
    <w:rsid w:val="004A22B0"/>
    <w:rsid w:val="004A4950"/>
    <w:rsid w:val="004A6312"/>
    <w:rsid w:val="004B1EF7"/>
    <w:rsid w:val="004B326F"/>
    <w:rsid w:val="004B4738"/>
    <w:rsid w:val="004B6784"/>
    <w:rsid w:val="004C096F"/>
    <w:rsid w:val="004D0DA4"/>
    <w:rsid w:val="004E17F5"/>
    <w:rsid w:val="004E3B9F"/>
    <w:rsid w:val="004E3ECA"/>
    <w:rsid w:val="00500EB8"/>
    <w:rsid w:val="005027DB"/>
    <w:rsid w:val="00502E5E"/>
    <w:rsid w:val="00515D4E"/>
    <w:rsid w:val="00526600"/>
    <w:rsid w:val="0052692F"/>
    <w:rsid w:val="00527C26"/>
    <w:rsid w:val="00531B7E"/>
    <w:rsid w:val="0053226D"/>
    <w:rsid w:val="005347E2"/>
    <w:rsid w:val="0054308A"/>
    <w:rsid w:val="0055388D"/>
    <w:rsid w:val="00556872"/>
    <w:rsid w:val="005633DE"/>
    <w:rsid w:val="00573359"/>
    <w:rsid w:val="00573ADE"/>
    <w:rsid w:val="0057413F"/>
    <w:rsid w:val="00577540"/>
    <w:rsid w:val="00580575"/>
    <w:rsid w:val="005822F7"/>
    <w:rsid w:val="00583110"/>
    <w:rsid w:val="005850EF"/>
    <w:rsid w:val="005904BA"/>
    <w:rsid w:val="005B0B3B"/>
    <w:rsid w:val="005B173C"/>
    <w:rsid w:val="005B4A9B"/>
    <w:rsid w:val="005C0295"/>
    <w:rsid w:val="005C1279"/>
    <w:rsid w:val="005C3248"/>
    <w:rsid w:val="005C56FE"/>
    <w:rsid w:val="005C6AD4"/>
    <w:rsid w:val="005C7CA5"/>
    <w:rsid w:val="005D003B"/>
    <w:rsid w:val="005D0666"/>
    <w:rsid w:val="005D1BB9"/>
    <w:rsid w:val="005D3A68"/>
    <w:rsid w:val="005D46F6"/>
    <w:rsid w:val="005D5DAE"/>
    <w:rsid w:val="005E02E3"/>
    <w:rsid w:val="005E05AA"/>
    <w:rsid w:val="005E1F1A"/>
    <w:rsid w:val="005E550E"/>
    <w:rsid w:val="005F0E0B"/>
    <w:rsid w:val="005F3FD9"/>
    <w:rsid w:val="006035E1"/>
    <w:rsid w:val="00604773"/>
    <w:rsid w:val="00611813"/>
    <w:rsid w:val="0061467A"/>
    <w:rsid w:val="00614F26"/>
    <w:rsid w:val="0061686C"/>
    <w:rsid w:val="00616F1B"/>
    <w:rsid w:val="006220E1"/>
    <w:rsid w:val="00623389"/>
    <w:rsid w:val="00626CE7"/>
    <w:rsid w:val="00627C23"/>
    <w:rsid w:val="00627FAE"/>
    <w:rsid w:val="00630ACD"/>
    <w:rsid w:val="0063137F"/>
    <w:rsid w:val="00631530"/>
    <w:rsid w:val="006328DE"/>
    <w:rsid w:val="00634DF6"/>
    <w:rsid w:val="0064323B"/>
    <w:rsid w:val="00643240"/>
    <w:rsid w:val="00643992"/>
    <w:rsid w:val="0064739A"/>
    <w:rsid w:val="00652A6A"/>
    <w:rsid w:val="006540D9"/>
    <w:rsid w:val="00655A06"/>
    <w:rsid w:val="006639FC"/>
    <w:rsid w:val="00672F2C"/>
    <w:rsid w:val="0067620B"/>
    <w:rsid w:val="00687124"/>
    <w:rsid w:val="006873FF"/>
    <w:rsid w:val="006941BA"/>
    <w:rsid w:val="00696F7E"/>
    <w:rsid w:val="00696FD4"/>
    <w:rsid w:val="006A6C7E"/>
    <w:rsid w:val="006A6EE2"/>
    <w:rsid w:val="006A79C1"/>
    <w:rsid w:val="006C2104"/>
    <w:rsid w:val="006C4A49"/>
    <w:rsid w:val="006D5AF3"/>
    <w:rsid w:val="006E22C3"/>
    <w:rsid w:val="006E2797"/>
    <w:rsid w:val="006F064B"/>
    <w:rsid w:val="006F0EE8"/>
    <w:rsid w:val="006F1166"/>
    <w:rsid w:val="006F2213"/>
    <w:rsid w:val="006F6C23"/>
    <w:rsid w:val="007000D7"/>
    <w:rsid w:val="00705285"/>
    <w:rsid w:val="007054BC"/>
    <w:rsid w:val="00707BDA"/>
    <w:rsid w:val="00714FEF"/>
    <w:rsid w:val="00723530"/>
    <w:rsid w:val="00723C8A"/>
    <w:rsid w:val="00724FA6"/>
    <w:rsid w:val="00734640"/>
    <w:rsid w:val="00735CB1"/>
    <w:rsid w:val="00736D6D"/>
    <w:rsid w:val="00742FC4"/>
    <w:rsid w:val="00751419"/>
    <w:rsid w:val="0075167C"/>
    <w:rsid w:val="00752FB7"/>
    <w:rsid w:val="007535CF"/>
    <w:rsid w:val="0076284C"/>
    <w:rsid w:val="00763D09"/>
    <w:rsid w:val="00770315"/>
    <w:rsid w:val="00773CBB"/>
    <w:rsid w:val="00776D1F"/>
    <w:rsid w:val="00781E1D"/>
    <w:rsid w:val="007936C1"/>
    <w:rsid w:val="007A0BCC"/>
    <w:rsid w:val="007A1BFF"/>
    <w:rsid w:val="007A2A40"/>
    <w:rsid w:val="007B0754"/>
    <w:rsid w:val="007B21A8"/>
    <w:rsid w:val="007B252E"/>
    <w:rsid w:val="007B5C01"/>
    <w:rsid w:val="007B6359"/>
    <w:rsid w:val="007B68F0"/>
    <w:rsid w:val="007B6D96"/>
    <w:rsid w:val="007C0AAA"/>
    <w:rsid w:val="007C14B2"/>
    <w:rsid w:val="007D003E"/>
    <w:rsid w:val="007D051D"/>
    <w:rsid w:val="007D1418"/>
    <w:rsid w:val="007D2BAB"/>
    <w:rsid w:val="007D2D2C"/>
    <w:rsid w:val="007E648E"/>
    <w:rsid w:val="007F1D37"/>
    <w:rsid w:val="007F5093"/>
    <w:rsid w:val="007F548C"/>
    <w:rsid w:val="007F55EE"/>
    <w:rsid w:val="00801CE8"/>
    <w:rsid w:val="00804F6E"/>
    <w:rsid w:val="00805262"/>
    <w:rsid w:val="00807A02"/>
    <w:rsid w:val="00807A3B"/>
    <w:rsid w:val="008111EF"/>
    <w:rsid w:val="00813F41"/>
    <w:rsid w:val="00817DA1"/>
    <w:rsid w:val="00817E46"/>
    <w:rsid w:val="00822007"/>
    <w:rsid w:val="00822914"/>
    <w:rsid w:val="00830191"/>
    <w:rsid w:val="008334F9"/>
    <w:rsid w:val="00833DD8"/>
    <w:rsid w:val="00835543"/>
    <w:rsid w:val="00835766"/>
    <w:rsid w:val="008371F0"/>
    <w:rsid w:val="00843648"/>
    <w:rsid w:val="008502E5"/>
    <w:rsid w:val="00850742"/>
    <w:rsid w:val="00853F65"/>
    <w:rsid w:val="008543B3"/>
    <w:rsid w:val="00855002"/>
    <w:rsid w:val="00857861"/>
    <w:rsid w:val="00860273"/>
    <w:rsid w:val="0086184B"/>
    <w:rsid w:val="00867934"/>
    <w:rsid w:val="0087142F"/>
    <w:rsid w:val="00880019"/>
    <w:rsid w:val="00882853"/>
    <w:rsid w:val="00884960"/>
    <w:rsid w:val="00885736"/>
    <w:rsid w:val="00893D0C"/>
    <w:rsid w:val="008B1131"/>
    <w:rsid w:val="008B51DA"/>
    <w:rsid w:val="008C437E"/>
    <w:rsid w:val="008D0F9D"/>
    <w:rsid w:val="008D17BC"/>
    <w:rsid w:val="008E0746"/>
    <w:rsid w:val="008E0F90"/>
    <w:rsid w:val="008E3386"/>
    <w:rsid w:val="008E4C9A"/>
    <w:rsid w:val="008E5070"/>
    <w:rsid w:val="008E6327"/>
    <w:rsid w:val="008F2334"/>
    <w:rsid w:val="00906277"/>
    <w:rsid w:val="00906C30"/>
    <w:rsid w:val="00911594"/>
    <w:rsid w:val="00922DC2"/>
    <w:rsid w:val="00930116"/>
    <w:rsid w:val="0093127C"/>
    <w:rsid w:val="00932E22"/>
    <w:rsid w:val="009362A5"/>
    <w:rsid w:val="00936ED1"/>
    <w:rsid w:val="00943F9F"/>
    <w:rsid w:val="0094686F"/>
    <w:rsid w:val="00947095"/>
    <w:rsid w:val="00951417"/>
    <w:rsid w:val="00954ADE"/>
    <w:rsid w:val="009620D3"/>
    <w:rsid w:val="00962D29"/>
    <w:rsid w:val="00966270"/>
    <w:rsid w:val="00966A84"/>
    <w:rsid w:val="0097036A"/>
    <w:rsid w:val="0097321E"/>
    <w:rsid w:val="00975C74"/>
    <w:rsid w:val="00980CFB"/>
    <w:rsid w:val="00981477"/>
    <w:rsid w:val="009826A5"/>
    <w:rsid w:val="00987B7C"/>
    <w:rsid w:val="00990E29"/>
    <w:rsid w:val="00992650"/>
    <w:rsid w:val="00993EF8"/>
    <w:rsid w:val="00994F2F"/>
    <w:rsid w:val="009A2486"/>
    <w:rsid w:val="009A3379"/>
    <w:rsid w:val="009A38F8"/>
    <w:rsid w:val="009A55EF"/>
    <w:rsid w:val="009A5A82"/>
    <w:rsid w:val="009B355E"/>
    <w:rsid w:val="009B75D0"/>
    <w:rsid w:val="009C0A26"/>
    <w:rsid w:val="009C360D"/>
    <w:rsid w:val="009C6215"/>
    <w:rsid w:val="009D3415"/>
    <w:rsid w:val="009D3DC4"/>
    <w:rsid w:val="009D5781"/>
    <w:rsid w:val="009E361D"/>
    <w:rsid w:val="00A10658"/>
    <w:rsid w:val="00A12D32"/>
    <w:rsid w:val="00A17EF3"/>
    <w:rsid w:val="00A23663"/>
    <w:rsid w:val="00A2452E"/>
    <w:rsid w:val="00A32E3D"/>
    <w:rsid w:val="00A35A83"/>
    <w:rsid w:val="00A36777"/>
    <w:rsid w:val="00A372BB"/>
    <w:rsid w:val="00A4006B"/>
    <w:rsid w:val="00A40FDA"/>
    <w:rsid w:val="00A55D29"/>
    <w:rsid w:val="00A60AE2"/>
    <w:rsid w:val="00A72CCA"/>
    <w:rsid w:val="00A7559F"/>
    <w:rsid w:val="00A7728F"/>
    <w:rsid w:val="00A80272"/>
    <w:rsid w:val="00A81C4A"/>
    <w:rsid w:val="00AA5497"/>
    <w:rsid w:val="00AA5B37"/>
    <w:rsid w:val="00AB2C1A"/>
    <w:rsid w:val="00AC063E"/>
    <w:rsid w:val="00AC6075"/>
    <w:rsid w:val="00AC7972"/>
    <w:rsid w:val="00AD143B"/>
    <w:rsid w:val="00AD162A"/>
    <w:rsid w:val="00AD175F"/>
    <w:rsid w:val="00AE24EC"/>
    <w:rsid w:val="00AE2D26"/>
    <w:rsid w:val="00AF0659"/>
    <w:rsid w:val="00AF708A"/>
    <w:rsid w:val="00B01F6A"/>
    <w:rsid w:val="00B02A06"/>
    <w:rsid w:val="00B208CB"/>
    <w:rsid w:val="00B37652"/>
    <w:rsid w:val="00B43247"/>
    <w:rsid w:val="00B549B5"/>
    <w:rsid w:val="00B6415E"/>
    <w:rsid w:val="00B64640"/>
    <w:rsid w:val="00B700CC"/>
    <w:rsid w:val="00B73DE6"/>
    <w:rsid w:val="00B7460F"/>
    <w:rsid w:val="00B74BF8"/>
    <w:rsid w:val="00B828B4"/>
    <w:rsid w:val="00B851FB"/>
    <w:rsid w:val="00B85978"/>
    <w:rsid w:val="00B916E0"/>
    <w:rsid w:val="00BA04A1"/>
    <w:rsid w:val="00BA148F"/>
    <w:rsid w:val="00BA2C0E"/>
    <w:rsid w:val="00BA7148"/>
    <w:rsid w:val="00BB4821"/>
    <w:rsid w:val="00BB489D"/>
    <w:rsid w:val="00BB6269"/>
    <w:rsid w:val="00BC73A5"/>
    <w:rsid w:val="00BD4EFA"/>
    <w:rsid w:val="00BD6F94"/>
    <w:rsid w:val="00BE2E54"/>
    <w:rsid w:val="00BE528F"/>
    <w:rsid w:val="00BE5B4F"/>
    <w:rsid w:val="00BE5DBF"/>
    <w:rsid w:val="00BE5FD2"/>
    <w:rsid w:val="00BF79B6"/>
    <w:rsid w:val="00C03986"/>
    <w:rsid w:val="00C05BE8"/>
    <w:rsid w:val="00C06FDB"/>
    <w:rsid w:val="00C07044"/>
    <w:rsid w:val="00C0714F"/>
    <w:rsid w:val="00C10FB9"/>
    <w:rsid w:val="00C2140D"/>
    <w:rsid w:val="00C2206E"/>
    <w:rsid w:val="00C348FF"/>
    <w:rsid w:val="00C35FFA"/>
    <w:rsid w:val="00C363D7"/>
    <w:rsid w:val="00C47049"/>
    <w:rsid w:val="00C4737E"/>
    <w:rsid w:val="00C54782"/>
    <w:rsid w:val="00C624EE"/>
    <w:rsid w:val="00C62EBA"/>
    <w:rsid w:val="00C64A6F"/>
    <w:rsid w:val="00C716A5"/>
    <w:rsid w:val="00C750A1"/>
    <w:rsid w:val="00C7697E"/>
    <w:rsid w:val="00C81953"/>
    <w:rsid w:val="00C82AE0"/>
    <w:rsid w:val="00C8450A"/>
    <w:rsid w:val="00C9369D"/>
    <w:rsid w:val="00C955D2"/>
    <w:rsid w:val="00CA7302"/>
    <w:rsid w:val="00CB2088"/>
    <w:rsid w:val="00CB2822"/>
    <w:rsid w:val="00CB3ED5"/>
    <w:rsid w:val="00CB495C"/>
    <w:rsid w:val="00CB686B"/>
    <w:rsid w:val="00CC08A1"/>
    <w:rsid w:val="00CC3A89"/>
    <w:rsid w:val="00CC4E33"/>
    <w:rsid w:val="00CD2B3A"/>
    <w:rsid w:val="00CE13A7"/>
    <w:rsid w:val="00CE410A"/>
    <w:rsid w:val="00CE6D13"/>
    <w:rsid w:val="00CE7776"/>
    <w:rsid w:val="00CF365A"/>
    <w:rsid w:val="00D13D1F"/>
    <w:rsid w:val="00D2480C"/>
    <w:rsid w:val="00D266DA"/>
    <w:rsid w:val="00D3269C"/>
    <w:rsid w:val="00D364CE"/>
    <w:rsid w:val="00D37999"/>
    <w:rsid w:val="00D43BC5"/>
    <w:rsid w:val="00D457A3"/>
    <w:rsid w:val="00D50064"/>
    <w:rsid w:val="00D55B8E"/>
    <w:rsid w:val="00D560A0"/>
    <w:rsid w:val="00D56D05"/>
    <w:rsid w:val="00D610CD"/>
    <w:rsid w:val="00D67D67"/>
    <w:rsid w:val="00D712BE"/>
    <w:rsid w:val="00D71CEF"/>
    <w:rsid w:val="00D731A5"/>
    <w:rsid w:val="00D75F68"/>
    <w:rsid w:val="00D76F43"/>
    <w:rsid w:val="00D80EAC"/>
    <w:rsid w:val="00D82A5B"/>
    <w:rsid w:val="00D85E5E"/>
    <w:rsid w:val="00D95D61"/>
    <w:rsid w:val="00DA4AB9"/>
    <w:rsid w:val="00DA4B52"/>
    <w:rsid w:val="00DA5FC7"/>
    <w:rsid w:val="00DC61EA"/>
    <w:rsid w:val="00DC696A"/>
    <w:rsid w:val="00DD3EEA"/>
    <w:rsid w:val="00DD4CEE"/>
    <w:rsid w:val="00DD4F4A"/>
    <w:rsid w:val="00DF0366"/>
    <w:rsid w:val="00DF187A"/>
    <w:rsid w:val="00DF3289"/>
    <w:rsid w:val="00DF33AD"/>
    <w:rsid w:val="00DF6B95"/>
    <w:rsid w:val="00DF7D88"/>
    <w:rsid w:val="00E0308C"/>
    <w:rsid w:val="00E05740"/>
    <w:rsid w:val="00E12CBB"/>
    <w:rsid w:val="00E2448E"/>
    <w:rsid w:val="00E25297"/>
    <w:rsid w:val="00E268C1"/>
    <w:rsid w:val="00E31E2D"/>
    <w:rsid w:val="00E32E37"/>
    <w:rsid w:val="00E3322D"/>
    <w:rsid w:val="00E36C28"/>
    <w:rsid w:val="00E403B1"/>
    <w:rsid w:val="00E41B21"/>
    <w:rsid w:val="00E46200"/>
    <w:rsid w:val="00E51744"/>
    <w:rsid w:val="00E51A2C"/>
    <w:rsid w:val="00E525BF"/>
    <w:rsid w:val="00E560A0"/>
    <w:rsid w:val="00E56968"/>
    <w:rsid w:val="00E62EC2"/>
    <w:rsid w:val="00E63475"/>
    <w:rsid w:val="00E65FB7"/>
    <w:rsid w:val="00E6673E"/>
    <w:rsid w:val="00E8048A"/>
    <w:rsid w:val="00E8662A"/>
    <w:rsid w:val="00EA0E19"/>
    <w:rsid w:val="00EA2B05"/>
    <w:rsid w:val="00EA4DEF"/>
    <w:rsid w:val="00EA4FD8"/>
    <w:rsid w:val="00EB4A38"/>
    <w:rsid w:val="00EB7A4A"/>
    <w:rsid w:val="00EC018B"/>
    <w:rsid w:val="00EC1B8B"/>
    <w:rsid w:val="00ED4C2A"/>
    <w:rsid w:val="00ED6069"/>
    <w:rsid w:val="00ED70FE"/>
    <w:rsid w:val="00EE4A2C"/>
    <w:rsid w:val="00EE6357"/>
    <w:rsid w:val="00EE792F"/>
    <w:rsid w:val="00EF02B4"/>
    <w:rsid w:val="00EF234E"/>
    <w:rsid w:val="00EF3B6C"/>
    <w:rsid w:val="00EF5B93"/>
    <w:rsid w:val="00EF5FE7"/>
    <w:rsid w:val="00F0083C"/>
    <w:rsid w:val="00F008B7"/>
    <w:rsid w:val="00F01791"/>
    <w:rsid w:val="00F02864"/>
    <w:rsid w:val="00F03332"/>
    <w:rsid w:val="00F12FF8"/>
    <w:rsid w:val="00F26D5D"/>
    <w:rsid w:val="00F41224"/>
    <w:rsid w:val="00F45D61"/>
    <w:rsid w:val="00F520F1"/>
    <w:rsid w:val="00F546BE"/>
    <w:rsid w:val="00F54DA2"/>
    <w:rsid w:val="00F55DA1"/>
    <w:rsid w:val="00F55E46"/>
    <w:rsid w:val="00F570D9"/>
    <w:rsid w:val="00F64EB2"/>
    <w:rsid w:val="00F65F9C"/>
    <w:rsid w:val="00F671D5"/>
    <w:rsid w:val="00F73FC2"/>
    <w:rsid w:val="00F77972"/>
    <w:rsid w:val="00F828AE"/>
    <w:rsid w:val="00F829D6"/>
    <w:rsid w:val="00FA00C0"/>
    <w:rsid w:val="00FA5A0D"/>
    <w:rsid w:val="00FB6A6A"/>
    <w:rsid w:val="00FC1040"/>
    <w:rsid w:val="00FC4D7A"/>
    <w:rsid w:val="00FC704A"/>
    <w:rsid w:val="00FE05D7"/>
    <w:rsid w:val="00FE4406"/>
    <w:rsid w:val="00FF12E5"/>
    <w:rsid w:val="00FF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0281"/>
  <w15:docId w15:val="{A5EC6641-8A82-584E-9904-70DE7C0F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B4F"/>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BE5B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F1FCB"/>
    <w:pPr>
      <w:spacing w:before="100" w:beforeAutospacing="1" w:after="100" w:afterAutospacing="1"/>
    </w:pPr>
  </w:style>
  <w:style w:type="character" w:styleId="Emphasis">
    <w:name w:val="Emphasis"/>
    <w:basedOn w:val="DefaultParagraphFont"/>
    <w:uiPriority w:val="20"/>
    <w:qFormat/>
    <w:rsid w:val="003F1FCB"/>
    <w:rPr>
      <w:i/>
      <w:iCs/>
    </w:rPr>
  </w:style>
  <w:style w:type="character" w:styleId="Hyperlink">
    <w:name w:val="Hyperlink"/>
    <w:basedOn w:val="DefaultParagraphFont"/>
    <w:uiPriority w:val="99"/>
    <w:unhideWhenUsed/>
    <w:rsid w:val="00451B76"/>
    <w:rPr>
      <w:color w:val="0563C1" w:themeColor="hyperlink"/>
      <w:u w:val="single"/>
    </w:rPr>
  </w:style>
  <w:style w:type="character" w:styleId="UnresolvedMention">
    <w:name w:val="Unresolved Mention"/>
    <w:basedOn w:val="DefaultParagraphFont"/>
    <w:uiPriority w:val="99"/>
    <w:semiHidden/>
    <w:unhideWhenUsed/>
    <w:rsid w:val="00451B76"/>
    <w:rPr>
      <w:color w:val="605E5C"/>
      <w:shd w:val="clear" w:color="auto" w:fill="E1DFDD"/>
    </w:rPr>
  </w:style>
  <w:style w:type="paragraph" w:styleId="Header">
    <w:name w:val="header"/>
    <w:basedOn w:val="Normal"/>
    <w:link w:val="HeaderChar"/>
    <w:uiPriority w:val="99"/>
    <w:unhideWhenUsed/>
    <w:rsid w:val="00D500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0064"/>
  </w:style>
  <w:style w:type="paragraph" w:styleId="Footer">
    <w:name w:val="footer"/>
    <w:basedOn w:val="Normal"/>
    <w:link w:val="FooterChar"/>
    <w:uiPriority w:val="99"/>
    <w:unhideWhenUsed/>
    <w:rsid w:val="00D500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0064"/>
  </w:style>
  <w:style w:type="character" w:styleId="FollowedHyperlink">
    <w:name w:val="FollowedHyperlink"/>
    <w:basedOn w:val="DefaultParagraphFont"/>
    <w:uiPriority w:val="99"/>
    <w:semiHidden/>
    <w:unhideWhenUsed/>
    <w:rsid w:val="002D3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858">
      <w:bodyDiv w:val="1"/>
      <w:marLeft w:val="0"/>
      <w:marRight w:val="0"/>
      <w:marTop w:val="0"/>
      <w:marBottom w:val="0"/>
      <w:divBdr>
        <w:top w:val="none" w:sz="0" w:space="0" w:color="auto"/>
        <w:left w:val="none" w:sz="0" w:space="0" w:color="auto"/>
        <w:bottom w:val="none" w:sz="0" w:space="0" w:color="auto"/>
        <w:right w:val="none" w:sz="0" w:space="0" w:color="auto"/>
      </w:divBdr>
      <w:divsChild>
        <w:div w:id="5763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20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639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085954">
      <w:bodyDiv w:val="1"/>
      <w:marLeft w:val="0"/>
      <w:marRight w:val="0"/>
      <w:marTop w:val="0"/>
      <w:marBottom w:val="0"/>
      <w:divBdr>
        <w:top w:val="none" w:sz="0" w:space="0" w:color="auto"/>
        <w:left w:val="none" w:sz="0" w:space="0" w:color="auto"/>
        <w:bottom w:val="none" w:sz="0" w:space="0" w:color="auto"/>
        <w:right w:val="none" w:sz="0" w:space="0" w:color="auto"/>
      </w:divBdr>
    </w:div>
    <w:div w:id="166213345">
      <w:bodyDiv w:val="1"/>
      <w:marLeft w:val="0"/>
      <w:marRight w:val="0"/>
      <w:marTop w:val="0"/>
      <w:marBottom w:val="0"/>
      <w:divBdr>
        <w:top w:val="none" w:sz="0" w:space="0" w:color="auto"/>
        <w:left w:val="none" w:sz="0" w:space="0" w:color="auto"/>
        <w:bottom w:val="none" w:sz="0" w:space="0" w:color="auto"/>
        <w:right w:val="none" w:sz="0" w:space="0" w:color="auto"/>
      </w:divBdr>
    </w:div>
    <w:div w:id="331029379">
      <w:bodyDiv w:val="1"/>
      <w:marLeft w:val="0"/>
      <w:marRight w:val="0"/>
      <w:marTop w:val="0"/>
      <w:marBottom w:val="0"/>
      <w:divBdr>
        <w:top w:val="none" w:sz="0" w:space="0" w:color="auto"/>
        <w:left w:val="none" w:sz="0" w:space="0" w:color="auto"/>
        <w:bottom w:val="none" w:sz="0" w:space="0" w:color="auto"/>
        <w:right w:val="none" w:sz="0" w:space="0" w:color="auto"/>
      </w:divBdr>
    </w:div>
    <w:div w:id="404959618">
      <w:bodyDiv w:val="1"/>
      <w:marLeft w:val="0"/>
      <w:marRight w:val="0"/>
      <w:marTop w:val="0"/>
      <w:marBottom w:val="0"/>
      <w:divBdr>
        <w:top w:val="none" w:sz="0" w:space="0" w:color="auto"/>
        <w:left w:val="none" w:sz="0" w:space="0" w:color="auto"/>
        <w:bottom w:val="none" w:sz="0" w:space="0" w:color="auto"/>
        <w:right w:val="none" w:sz="0" w:space="0" w:color="auto"/>
      </w:divBdr>
    </w:div>
    <w:div w:id="437793575">
      <w:bodyDiv w:val="1"/>
      <w:marLeft w:val="0"/>
      <w:marRight w:val="0"/>
      <w:marTop w:val="0"/>
      <w:marBottom w:val="0"/>
      <w:divBdr>
        <w:top w:val="none" w:sz="0" w:space="0" w:color="auto"/>
        <w:left w:val="none" w:sz="0" w:space="0" w:color="auto"/>
        <w:bottom w:val="none" w:sz="0" w:space="0" w:color="auto"/>
        <w:right w:val="none" w:sz="0" w:space="0" w:color="auto"/>
      </w:divBdr>
    </w:div>
    <w:div w:id="701134558">
      <w:bodyDiv w:val="1"/>
      <w:marLeft w:val="0"/>
      <w:marRight w:val="0"/>
      <w:marTop w:val="0"/>
      <w:marBottom w:val="0"/>
      <w:divBdr>
        <w:top w:val="none" w:sz="0" w:space="0" w:color="auto"/>
        <w:left w:val="none" w:sz="0" w:space="0" w:color="auto"/>
        <w:bottom w:val="none" w:sz="0" w:space="0" w:color="auto"/>
        <w:right w:val="none" w:sz="0" w:space="0" w:color="auto"/>
      </w:divBdr>
    </w:div>
    <w:div w:id="876549205">
      <w:bodyDiv w:val="1"/>
      <w:marLeft w:val="0"/>
      <w:marRight w:val="0"/>
      <w:marTop w:val="0"/>
      <w:marBottom w:val="0"/>
      <w:divBdr>
        <w:top w:val="none" w:sz="0" w:space="0" w:color="auto"/>
        <w:left w:val="none" w:sz="0" w:space="0" w:color="auto"/>
        <w:bottom w:val="none" w:sz="0" w:space="0" w:color="auto"/>
        <w:right w:val="none" w:sz="0" w:space="0" w:color="auto"/>
      </w:divBdr>
    </w:div>
    <w:div w:id="879171851">
      <w:bodyDiv w:val="1"/>
      <w:marLeft w:val="0"/>
      <w:marRight w:val="0"/>
      <w:marTop w:val="0"/>
      <w:marBottom w:val="0"/>
      <w:divBdr>
        <w:top w:val="none" w:sz="0" w:space="0" w:color="auto"/>
        <w:left w:val="none" w:sz="0" w:space="0" w:color="auto"/>
        <w:bottom w:val="none" w:sz="0" w:space="0" w:color="auto"/>
        <w:right w:val="none" w:sz="0" w:space="0" w:color="auto"/>
      </w:divBdr>
      <w:divsChild>
        <w:div w:id="208726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15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92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4797988">
      <w:bodyDiv w:val="1"/>
      <w:marLeft w:val="0"/>
      <w:marRight w:val="0"/>
      <w:marTop w:val="0"/>
      <w:marBottom w:val="0"/>
      <w:divBdr>
        <w:top w:val="none" w:sz="0" w:space="0" w:color="auto"/>
        <w:left w:val="none" w:sz="0" w:space="0" w:color="auto"/>
        <w:bottom w:val="none" w:sz="0" w:space="0" w:color="auto"/>
        <w:right w:val="none" w:sz="0" w:space="0" w:color="auto"/>
      </w:divBdr>
    </w:div>
    <w:div w:id="1084647815">
      <w:bodyDiv w:val="1"/>
      <w:marLeft w:val="0"/>
      <w:marRight w:val="0"/>
      <w:marTop w:val="0"/>
      <w:marBottom w:val="0"/>
      <w:divBdr>
        <w:top w:val="none" w:sz="0" w:space="0" w:color="auto"/>
        <w:left w:val="none" w:sz="0" w:space="0" w:color="auto"/>
        <w:bottom w:val="none" w:sz="0" w:space="0" w:color="auto"/>
        <w:right w:val="none" w:sz="0" w:space="0" w:color="auto"/>
      </w:divBdr>
    </w:div>
    <w:div w:id="1123498700">
      <w:bodyDiv w:val="1"/>
      <w:marLeft w:val="0"/>
      <w:marRight w:val="0"/>
      <w:marTop w:val="0"/>
      <w:marBottom w:val="0"/>
      <w:divBdr>
        <w:top w:val="none" w:sz="0" w:space="0" w:color="auto"/>
        <w:left w:val="none" w:sz="0" w:space="0" w:color="auto"/>
        <w:bottom w:val="none" w:sz="0" w:space="0" w:color="auto"/>
        <w:right w:val="none" w:sz="0" w:space="0" w:color="auto"/>
      </w:divBdr>
    </w:div>
    <w:div w:id="1129319401">
      <w:bodyDiv w:val="1"/>
      <w:marLeft w:val="0"/>
      <w:marRight w:val="0"/>
      <w:marTop w:val="0"/>
      <w:marBottom w:val="0"/>
      <w:divBdr>
        <w:top w:val="none" w:sz="0" w:space="0" w:color="auto"/>
        <w:left w:val="none" w:sz="0" w:space="0" w:color="auto"/>
        <w:bottom w:val="none" w:sz="0" w:space="0" w:color="auto"/>
        <w:right w:val="none" w:sz="0" w:space="0" w:color="auto"/>
      </w:divBdr>
    </w:div>
    <w:div w:id="1195536852">
      <w:bodyDiv w:val="1"/>
      <w:marLeft w:val="0"/>
      <w:marRight w:val="0"/>
      <w:marTop w:val="0"/>
      <w:marBottom w:val="0"/>
      <w:divBdr>
        <w:top w:val="none" w:sz="0" w:space="0" w:color="auto"/>
        <w:left w:val="none" w:sz="0" w:space="0" w:color="auto"/>
        <w:bottom w:val="none" w:sz="0" w:space="0" w:color="auto"/>
        <w:right w:val="none" w:sz="0" w:space="0" w:color="auto"/>
      </w:divBdr>
      <w:divsChild>
        <w:div w:id="1214732663">
          <w:marLeft w:val="0"/>
          <w:marRight w:val="0"/>
          <w:marTop w:val="0"/>
          <w:marBottom w:val="0"/>
          <w:divBdr>
            <w:top w:val="none" w:sz="0" w:space="0" w:color="auto"/>
            <w:left w:val="none" w:sz="0" w:space="0" w:color="auto"/>
            <w:bottom w:val="none" w:sz="0" w:space="0" w:color="auto"/>
            <w:right w:val="none" w:sz="0" w:space="0" w:color="auto"/>
          </w:divBdr>
        </w:div>
      </w:divsChild>
    </w:div>
    <w:div w:id="166423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nchng.com/court-orders-fg-to-probe-deaths-of-dele-giwa-other-journali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fex.org/nigerias-fight-against-impunity-given-impetus-by-landmark-rul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eRYFDBwXg8" TargetMode="External"/><Relationship Id="rId5" Type="http://schemas.openxmlformats.org/officeDocument/2006/relationships/footnotes" Target="footnotes.xml"/><Relationship Id="rId10" Type="http://schemas.openxmlformats.org/officeDocument/2006/relationships/hyperlink" Target="https://tribuneonlineng.com/38-years-after-court-orders-agf-to-re-open-investigation-prosecute-dele-giwas-killers/" TargetMode="External"/><Relationship Id="rId4" Type="http://schemas.openxmlformats.org/officeDocument/2006/relationships/webSettings" Target="webSettings.xml"/><Relationship Id="rId9" Type="http://schemas.openxmlformats.org/officeDocument/2006/relationships/hyperlink" Target="https://www.icirnigeria.org/court-orders-agf-to-re-open-dele-giwas-murder-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law</dc:creator>
  <cp:keywords/>
  <dc:description/>
  <cp:lastModifiedBy>Solomon Okedara</cp:lastModifiedBy>
  <cp:revision>2</cp:revision>
  <dcterms:created xsi:type="dcterms:W3CDTF">2024-07-01T17:18:00Z</dcterms:created>
  <dcterms:modified xsi:type="dcterms:W3CDTF">2024-07-01T17:18:00Z</dcterms:modified>
</cp:coreProperties>
</file>