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884C5" w14:textId="085DEF2D" w:rsidR="00BC1499" w:rsidRDefault="00000000">
      <w:pPr>
        <w:shd w:val="clear" w:color="auto" w:fill="8EAADB"/>
        <w:spacing w:line="276" w:lineRule="auto"/>
        <w:jc w:val="center"/>
        <w:rPr>
          <w:rFonts w:ascii="Garamond" w:eastAsia="Garamond" w:hAnsi="Garamond" w:cs="Garamond"/>
          <w:b/>
          <w:color w:val="000000"/>
        </w:rPr>
      </w:pPr>
      <w:r>
        <w:rPr>
          <w:rFonts w:ascii="Garamond" w:eastAsia="Garamond" w:hAnsi="Garamond" w:cs="Garamond"/>
          <w:b/>
          <w:i/>
          <w:color w:val="000000"/>
        </w:rPr>
        <w:t xml:space="preserve">Case Title: </w:t>
      </w:r>
      <w:r>
        <w:rPr>
          <w:rFonts w:ascii="Garamond" w:eastAsia="Garamond" w:hAnsi="Garamond" w:cs="Garamond"/>
          <w:b/>
          <w:i/>
        </w:rPr>
        <w:t xml:space="preserve">Oversight Board case of </w:t>
      </w:r>
      <w:r w:rsidR="00844FEC">
        <w:rPr>
          <w:rFonts w:ascii="Garamond" w:eastAsia="Garamond" w:hAnsi="Garamond" w:cs="Garamond"/>
          <w:b/>
          <w:i/>
        </w:rPr>
        <w:t>Sudan’s Rapid Support Forces Video Captive</w:t>
      </w:r>
    </w:p>
    <w:p w14:paraId="089A50F0" w14:textId="77777777" w:rsidR="00BC1499" w:rsidRDefault="00000000">
      <w:pPr>
        <w:shd w:val="clear" w:color="auto" w:fill="8EAADB"/>
        <w:spacing w:line="276" w:lineRule="auto"/>
        <w:jc w:val="center"/>
        <w:rPr>
          <w:rFonts w:ascii="Garamond" w:eastAsia="Garamond" w:hAnsi="Garamond" w:cs="Garamond"/>
          <w:b/>
        </w:rPr>
      </w:pPr>
      <w:r>
        <w:rPr>
          <w:rFonts w:ascii="Garamond" w:eastAsia="Garamond" w:hAnsi="Garamond" w:cs="Garamond"/>
          <w:b/>
          <w:color w:val="000000"/>
        </w:rPr>
        <w:t xml:space="preserve">Case Analysis </w:t>
      </w:r>
    </w:p>
    <w:p w14:paraId="231FB2B9" w14:textId="77777777" w:rsidR="00BC1499" w:rsidRDefault="00BC1499">
      <w:pPr>
        <w:spacing w:line="276" w:lineRule="auto"/>
        <w:jc w:val="both"/>
        <w:rPr>
          <w:rFonts w:ascii="Garamond" w:eastAsia="Garamond" w:hAnsi="Garamond" w:cs="Garamond"/>
        </w:rPr>
      </w:pPr>
    </w:p>
    <w:p w14:paraId="12182B24" w14:textId="77777777" w:rsidR="00BC1499" w:rsidRDefault="00000000">
      <w:pPr>
        <w:spacing w:line="276" w:lineRule="auto"/>
        <w:jc w:val="both"/>
        <w:rPr>
          <w:rFonts w:ascii="Garamond" w:eastAsia="Garamond" w:hAnsi="Garamond" w:cs="Garamond"/>
        </w:rPr>
      </w:pPr>
      <w:r>
        <w:rPr>
          <w:rFonts w:ascii="Garamond" w:eastAsia="Garamond" w:hAnsi="Garamond" w:cs="Garamond"/>
        </w:rPr>
        <w:t xml:space="preserve">General notes for the researcher: Please use this guide to fill the </w:t>
      </w:r>
      <w:r>
        <w:rPr>
          <w:rFonts w:ascii="Garamond" w:eastAsia="Garamond" w:hAnsi="Garamond" w:cs="Garamond"/>
          <w:i/>
        </w:rPr>
        <w:t xml:space="preserve">case analysis form </w:t>
      </w:r>
      <w:r>
        <w:rPr>
          <w:rFonts w:ascii="Garamond" w:eastAsia="Garamond" w:hAnsi="Garamond" w:cs="Garamond"/>
        </w:rPr>
        <w:t xml:space="preserve">in WordPress. This form is specifically tailored for the Oversight Board's decisions. Before writing the case analysis, please review the </w:t>
      </w:r>
      <w:hyperlink r:id="rId8">
        <w:r>
          <w:rPr>
            <w:rFonts w:ascii="Garamond" w:eastAsia="Garamond" w:hAnsi="Garamond" w:cs="Garamond"/>
            <w:color w:val="1155CC"/>
            <w:u w:val="single"/>
          </w:rPr>
          <w:t>Global Freedom of Expression Style Guide</w:t>
        </w:r>
      </w:hyperlink>
      <w:r>
        <w:rPr>
          <w:rFonts w:ascii="Garamond" w:eastAsia="Garamond" w:hAnsi="Garamond" w:cs="Garamond"/>
        </w:rPr>
        <w:t xml:space="preserve">. </w:t>
      </w:r>
    </w:p>
    <w:p w14:paraId="443BC5F1" w14:textId="77777777" w:rsidR="00BC1499" w:rsidRDefault="00BC1499">
      <w:pPr>
        <w:spacing w:line="276" w:lineRule="auto"/>
        <w:jc w:val="both"/>
        <w:rPr>
          <w:rFonts w:ascii="Garamond" w:eastAsia="Garamond" w:hAnsi="Garamond" w:cs="Garamond"/>
        </w:rPr>
      </w:pPr>
    </w:p>
    <w:tbl>
      <w:tblPr>
        <w:tblStyle w:val="a5"/>
        <w:tblW w:w="1046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BC1499" w14:paraId="313CBF4B" w14:textId="77777777">
        <w:tc>
          <w:tcPr>
            <w:tcW w:w="10466" w:type="dxa"/>
            <w:shd w:val="clear" w:color="auto" w:fill="auto"/>
            <w:tcMar>
              <w:top w:w="100" w:type="dxa"/>
              <w:left w:w="100" w:type="dxa"/>
              <w:bottom w:w="100" w:type="dxa"/>
              <w:right w:w="100" w:type="dxa"/>
            </w:tcMar>
          </w:tcPr>
          <w:p w14:paraId="44257B6D" w14:textId="77777777" w:rsidR="00BC1499" w:rsidRDefault="00000000">
            <w:pPr>
              <w:spacing w:line="276" w:lineRule="auto"/>
              <w:jc w:val="both"/>
              <w:rPr>
                <w:rFonts w:ascii="Garamond" w:eastAsia="Garamond" w:hAnsi="Garamond" w:cs="Garamond"/>
                <w:b/>
              </w:rPr>
            </w:pPr>
            <w:r>
              <w:rPr>
                <w:rFonts w:ascii="Garamond" w:eastAsia="Garamond" w:hAnsi="Garamond" w:cs="Garamond"/>
                <w:b/>
              </w:rPr>
              <w:t>Don't forget!</w:t>
            </w:r>
          </w:p>
          <w:p w14:paraId="6CFCEC5F" w14:textId="77777777" w:rsidR="00BC1499" w:rsidRDefault="00000000">
            <w:pPr>
              <w:numPr>
                <w:ilvl w:val="0"/>
                <w:numId w:val="1"/>
              </w:numPr>
              <w:spacing w:line="276" w:lineRule="auto"/>
              <w:jc w:val="both"/>
              <w:rPr>
                <w:rFonts w:ascii="Garamond" w:eastAsia="Garamond" w:hAnsi="Garamond" w:cs="Garamond"/>
              </w:rPr>
            </w:pPr>
            <w:r>
              <w:rPr>
                <w:rFonts w:ascii="Garamond" w:eastAsia="Garamond" w:hAnsi="Garamond" w:cs="Garamond"/>
              </w:rPr>
              <w:t>Avoid the passive tense unless you don’t know the subject or, for some reason, the subject is selected to be vague.</w:t>
            </w:r>
          </w:p>
          <w:p w14:paraId="3E04E84E" w14:textId="77777777" w:rsidR="00BC1499" w:rsidRDefault="00000000">
            <w:pPr>
              <w:numPr>
                <w:ilvl w:val="0"/>
                <w:numId w:val="1"/>
              </w:numPr>
              <w:spacing w:line="276" w:lineRule="auto"/>
              <w:jc w:val="both"/>
              <w:rPr>
                <w:rFonts w:ascii="Garamond" w:eastAsia="Garamond" w:hAnsi="Garamond" w:cs="Garamond"/>
              </w:rPr>
            </w:pPr>
            <w:r>
              <w:rPr>
                <w:rFonts w:ascii="Garamond" w:eastAsia="Garamond" w:hAnsi="Garamond" w:cs="Garamond"/>
              </w:rPr>
              <w:t>Use the past tense in most circumstances.</w:t>
            </w:r>
          </w:p>
          <w:p w14:paraId="5D50D279" w14:textId="77777777" w:rsidR="00BC1499" w:rsidRDefault="00000000">
            <w:pPr>
              <w:numPr>
                <w:ilvl w:val="0"/>
                <w:numId w:val="1"/>
              </w:numPr>
              <w:spacing w:line="276" w:lineRule="auto"/>
              <w:jc w:val="both"/>
              <w:rPr>
                <w:rFonts w:ascii="Garamond" w:eastAsia="Garamond" w:hAnsi="Garamond" w:cs="Garamond"/>
              </w:rPr>
            </w:pPr>
            <w:r>
              <w:rPr>
                <w:rFonts w:ascii="Garamond" w:eastAsia="Garamond" w:hAnsi="Garamond" w:cs="Garamond"/>
              </w:rPr>
              <w:t xml:space="preserve">When filling in the large fields, do not indent the beginning of paragraphs and put a blank line between paragraphs for easy reading. </w:t>
            </w:r>
          </w:p>
          <w:p w14:paraId="00A75982" w14:textId="77777777" w:rsidR="00BC1499" w:rsidRDefault="00000000">
            <w:pPr>
              <w:numPr>
                <w:ilvl w:val="0"/>
                <w:numId w:val="1"/>
              </w:numPr>
              <w:spacing w:line="276" w:lineRule="auto"/>
              <w:jc w:val="both"/>
              <w:rPr>
                <w:rFonts w:ascii="Garamond" w:eastAsia="Garamond" w:hAnsi="Garamond" w:cs="Garamond"/>
              </w:rPr>
            </w:pPr>
            <w:r>
              <w:rPr>
                <w:rFonts w:ascii="Garamond" w:eastAsia="Garamond" w:hAnsi="Garamond" w:cs="Garamond"/>
              </w:rPr>
              <w:t>Use one space at the beginning of sentences, not two.</w:t>
            </w:r>
          </w:p>
          <w:p w14:paraId="2F2172C5" w14:textId="77777777" w:rsidR="00BC1499" w:rsidRDefault="00000000">
            <w:pPr>
              <w:numPr>
                <w:ilvl w:val="0"/>
                <w:numId w:val="1"/>
              </w:numPr>
              <w:spacing w:line="276" w:lineRule="auto"/>
              <w:jc w:val="both"/>
              <w:rPr>
                <w:rFonts w:ascii="Garamond" w:eastAsia="Garamond" w:hAnsi="Garamond" w:cs="Garamond"/>
              </w:rPr>
            </w:pPr>
            <w:r>
              <w:rPr>
                <w:rFonts w:ascii="Garamond" w:eastAsia="Garamond" w:hAnsi="Garamond" w:cs="Garamond"/>
              </w:rPr>
              <w:t>Where an important proper noun is in a language other than English, write out in italics the proper noun in the original language in parentheses following the first usage of the noun in English.</w:t>
            </w:r>
          </w:p>
        </w:tc>
      </w:tr>
    </w:tbl>
    <w:p w14:paraId="0283696B" w14:textId="77777777" w:rsidR="00BC1499" w:rsidRDefault="00BC1499">
      <w:pPr>
        <w:spacing w:line="276" w:lineRule="auto"/>
        <w:jc w:val="both"/>
        <w:rPr>
          <w:rFonts w:ascii="Garamond" w:eastAsia="Garamond" w:hAnsi="Garamond" w:cs="Garamond"/>
        </w:rPr>
      </w:pPr>
    </w:p>
    <w:p w14:paraId="066FDC71" w14:textId="77777777" w:rsidR="00BC1499" w:rsidRDefault="00BC1499">
      <w:pPr>
        <w:spacing w:line="276" w:lineRule="auto"/>
        <w:jc w:val="both"/>
        <w:rPr>
          <w:rFonts w:ascii="Garamond" w:eastAsia="Garamond" w:hAnsi="Garamond" w:cs="Garamond"/>
        </w:rPr>
      </w:pPr>
    </w:p>
    <w:p w14:paraId="0C689D7B" w14:textId="77777777" w:rsidR="00BC1499" w:rsidRDefault="00000000">
      <w:pPr>
        <w:spacing w:line="276" w:lineRule="auto"/>
        <w:jc w:val="both"/>
        <w:rPr>
          <w:rFonts w:ascii="Garamond" w:eastAsia="Garamond" w:hAnsi="Garamond" w:cs="Garamond"/>
          <w:b/>
        </w:rPr>
      </w:pPr>
      <w:r>
        <w:rPr>
          <w:rFonts w:ascii="Garamond" w:eastAsia="Garamond" w:hAnsi="Garamond" w:cs="Garamond"/>
          <w:b/>
          <w:i/>
          <w:u w:val="single"/>
        </w:rPr>
        <w:t>Meta-Data</w:t>
      </w:r>
      <w:r>
        <w:rPr>
          <w:rFonts w:ascii="Garamond" w:eastAsia="Garamond" w:hAnsi="Garamond" w:cs="Garamond"/>
          <w:b/>
        </w:rPr>
        <w:t xml:space="preserve">: </w:t>
      </w:r>
    </w:p>
    <w:p w14:paraId="246E2FE9" w14:textId="77777777"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Case Number</w:t>
      </w:r>
      <w:r>
        <w:rPr>
          <w:rFonts w:ascii="Garamond" w:eastAsia="Garamond" w:hAnsi="Garamond" w:cs="Garamond"/>
          <w:color w:val="000000"/>
        </w:rPr>
        <w:t>: [</w:t>
      </w:r>
      <w:r>
        <w:rPr>
          <w:rFonts w:ascii="Garamond" w:eastAsia="Garamond" w:hAnsi="Garamond" w:cs="Garamond"/>
        </w:rPr>
        <w:t>A</w:t>
      </w:r>
      <w:r>
        <w:rPr>
          <w:rFonts w:ascii="Garamond" w:eastAsia="Garamond" w:hAnsi="Garamond" w:cs="Garamond"/>
          <w:color w:val="000000"/>
        </w:rPr>
        <w:t xml:space="preserve">vailable </w:t>
      </w:r>
      <w:r>
        <w:rPr>
          <w:rFonts w:ascii="Garamond" w:eastAsia="Garamond" w:hAnsi="Garamond" w:cs="Garamond"/>
        </w:rPr>
        <w:t>at the top of each decision]</w:t>
      </w:r>
      <w:r>
        <w:rPr>
          <w:rFonts w:ascii="Garamond" w:eastAsia="Garamond" w:hAnsi="Garamond" w:cs="Garamond"/>
          <w:b/>
          <w:shd w:val="clear" w:color="auto" w:fill="D9D2E9"/>
        </w:rPr>
        <w:t xml:space="preserve"> </w:t>
      </w:r>
    </w:p>
    <w:p w14:paraId="3230C15F" w14:textId="77777777"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Date of decision</w:t>
      </w:r>
      <w:r>
        <w:rPr>
          <w:rFonts w:ascii="Garamond" w:eastAsia="Garamond" w:hAnsi="Garamond" w:cs="Garamond"/>
          <w:color w:val="000000"/>
        </w:rPr>
        <w:t xml:space="preserve">: </w:t>
      </w:r>
      <w:r>
        <w:rPr>
          <w:rFonts w:ascii="Garamond" w:eastAsia="Garamond" w:hAnsi="Garamond" w:cs="Garamond"/>
        </w:rPr>
        <w:t>[available at the top of each decision, use mm/dd/</w:t>
      </w:r>
      <w:proofErr w:type="spellStart"/>
      <w:r>
        <w:rPr>
          <w:rFonts w:ascii="Garamond" w:eastAsia="Garamond" w:hAnsi="Garamond" w:cs="Garamond"/>
        </w:rPr>
        <w:t>yy</w:t>
      </w:r>
      <w:proofErr w:type="spellEnd"/>
      <w:r>
        <w:rPr>
          <w:rFonts w:ascii="Garamond" w:eastAsia="Garamond" w:hAnsi="Garamond" w:cs="Garamond"/>
        </w:rPr>
        <w:t xml:space="preserve">] </w:t>
      </w:r>
    </w:p>
    <w:p w14:paraId="13772BE6" w14:textId="77777777"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Featured case</w:t>
      </w:r>
      <w:r>
        <w:rPr>
          <w:rFonts w:ascii="Garamond" w:eastAsia="Garamond" w:hAnsi="Garamond" w:cs="Garamond"/>
          <w:color w:val="000000"/>
        </w:rPr>
        <w:t>: N/A</w:t>
      </w:r>
      <w:r>
        <w:rPr>
          <w:rFonts w:ascii="Garamond" w:eastAsia="Garamond" w:hAnsi="Garamond" w:cs="Garamond"/>
        </w:rPr>
        <w:t xml:space="preserve"> [not applicable]</w:t>
      </w:r>
    </w:p>
    <w:p w14:paraId="5DDBD23C" w14:textId="77777777"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Region</w:t>
      </w:r>
      <w:r>
        <w:rPr>
          <w:rFonts w:ascii="Garamond" w:eastAsia="Garamond" w:hAnsi="Garamond" w:cs="Garamond"/>
          <w:color w:val="000000"/>
        </w:rPr>
        <w:t>: [</w:t>
      </w:r>
      <w:r>
        <w:rPr>
          <w:rFonts w:ascii="Garamond" w:eastAsia="Garamond" w:hAnsi="Garamond" w:cs="Garamond"/>
        </w:rPr>
        <w:t>Select</w:t>
      </w:r>
      <w:r>
        <w:rPr>
          <w:rFonts w:ascii="Garamond" w:eastAsia="Garamond" w:hAnsi="Garamond" w:cs="Garamond"/>
          <w:color w:val="000000"/>
        </w:rPr>
        <w:t xml:space="preserve"> international</w:t>
      </w:r>
      <w:r>
        <w:rPr>
          <w:rFonts w:ascii="Garamond" w:eastAsia="Garamond" w:hAnsi="Garamond" w:cs="Garamond"/>
        </w:rPr>
        <w:t xml:space="preserve">] </w:t>
      </w:r>
    </w:p>
    <w:p w14:paraId="551D286A" w14:textId="77777777"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Country</w:t>
      </w:r>
      <w:r>
        <w:rPr>
          <w:rFonts w:ascii="Garamond" w:eastAsia="Garamond" w:hAnsi="Garamond" w:cs="Garamond"/>
          <w:color w:val="000000"/>
        </w:rPr>
        <w:t>: [</w:t>
      </w:r>
      <w:r>
        <w:rPr>
          <w:rFonts w:ascii="Garamond" w:eastAsia="Garamond" w:hAnsi="Garamond" w:cs="Garamond"/>
        </w:rPr>
        <w:t xml:space="preserve">Select </w:t>
      </w:r>
      <w:r>
        <w:rPr>
          <w:rFonts w:ascii="Garamond" w:eastAsia="Garamond" w:hAnsi="Garamond" w:cs="Garamond"/>
          <w:color w:val="000000"/>
        </w:rPr>
        <w:t>the Countr</w:t>
      </w:r>
      <w:r>
        <w:rPr>
          <w:rFonts w:ascii="Garamond" w:eastAsia="Garamond" w:hAnsi="Garamond" w:cs="Garamond"/>
        </w:rPr>
        <w:t xml:space="preserve">y where the content is published] [In case there is no specific country in the decision please just include international]. </w:t>
      </w:r>
    </w:p>
    <w:p w14:paraId="5AA46025" w14:textId="77777777"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Type of expression</w:t>
      </w:r>
      <w:r>
        <w:rPr>
          <w:rFonts w:ascii="Garamond" w:eastAsia="Garamond" w:hAnsi="Garamond" w:cs="Garamond"/>
          <w:color w:val="000000"/>
        </w:rPr>
        <w:t xml:space="preserve">: </w:t>
      </w:r>
      <w:r>
        <w:rPr>
          <w:rFonts w:ascii="Garamond" w:eastAsia="Garamond" w:hAnsi="Garamond" w:cs="Garamond"/>
        </w:rPr>
        <w:t xml:space="preserve">[Select “Electronic / Internet-based Communication”] </w:t>
      </w:r>
    </w:p>
    <w:p w14:paraId="6F094C05" w14:textId="77777777"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Judicial Body</w:t>
      </w:r>
      <w:r>
        <w:rPr>
          <w:rFonts w:ascii="Garamond" w:eastAsia="Garamond" w:hAnsi="Garamond" w:cs="Garamond"/>
          <w:color w:val="000000"/>
        </w:rPr>
        <w:t xml:space="preserve">: </w:t>
      </w:r>
      <w:r>
        <w:rPr>
          <w:rFonts w:ascii="Garamond" w:eastAsia="Garamond" w:hAnsi="Garamond" w:cs="Garamond"/>
        </w:rPr>
        <w:t>[Select “</w:t>
      </w:r>
      <w:r>
        <w:rPr>
          <w:rFonts w:ascii="Garamond" w:eastAsia="Garamond" w:hAnsi="Garamond" w:cs="Garamond"/>
          <w:color w:val="000000"/>
        </w:rPr>
        <w:t>Oversight Board</w:t>
      </w:r>
      <w:r>
        <w:rPr>
          <w:rFonts w:ascii="Garamond" w:eastAsia="Garamond" w:hAnsi="Garamond" w:cs="Garamond"/>
        </w:rPr>
        <w:t>”]</w:t>
      </w:r>
    </w:p>
    <w:p w14:paraId="52B66130" w14:textId="77777777"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Type of law</w:t>
      </w:r>
      <w:r>
        <w:rPr>
          <w:rFonts w:ascii="Garamond" w:eastAsia="Garamond" w:hAnsi="Garamond" w:cs="Garamond"/>
          <w:color w:val="000000"/>
        </w:rPr>
        <w:t>: [</w:t>
      </w:r>
      <w:r>
        <w:rPr>
          <w:rFonts w:ascii="Garamond" w:eastAsia="Garamond" w:hAnsi="Garamond" w:cs="Garamond"/>
        </w:rPr>
        <w:t>Select both “</w:t>
      </w:r>
      <w:r>
        <w:rPr>
          <w:rFonts w:ascii="Garamond" w:eastAsia="Garamond" w:hAnsi="Garamond" w:cs="Garamond"/>
          <w:color w:val="000000"/>
        </w:rPr>
        <w:t xml:space="preserve">International Human Rights </w:t>
      </w:r>
      <w:r>
        <w:rPr>
          <w:rFonts w:ascii="Garamond" w:eastAsia="Garamond" w:hAnsi="Garamond" w:cs="Garamond"/>
        </w:rPr>
        <w:t>Law” &amp;</w:t>
      </w:r>
      <w:r>
        <w:rPr>
          <w:rFonts w:ascii="Garamond" w:eastAsia="Garamond" w:hAnsi="Garamond" w:cs="Garamond"/>
          <w:b/>
        </w:rPr>
        <w:t xml:space="preserve"> “</w:t>
      </w:r>
      <w:r>
        <w:rPr>
          <w:rFonts w:ascii="Garamond" w:eastAsia="Garamond" w:hAnsi="Garamond" w:cs="Garamond"/>
        </w:rPr>
        <w:t xml:space="preserve">Meta’s content policies” </w:t>
      </w:r>
    </w:p>
    <w:p w14:paraId="39BB5491" w14:textId="77777777"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Main Themes</w:t>
      </w:r>
      <w:r>
        <w:rPr>
          <w:rFonts w:ascii="Garamond" w:eastAsia="Garamond" w:hAnsi="Garamond" w:cs="Garamond"/>
          <w:color w:val="000000"/>
        </w:rPr>
        <w:t xml:space="preserve">: [ </w:t>
      </w:r>
      <w:r>
        <w:rPr>
          <w:rFonts w:ascii="Garamond" w:eastAsia="Garamond" w:hAnsi="Garamond" w:cs="Garamond"/>
        </w:rPr>
        <w:t>S</w:t>
      </w:r>
      <w:r>
        <w:rPr>
          <w:rFonts w:ascii="Garamond" w:eastAsia="Garamond" w:hAnsi="Garamond" w:cs="Garamond"/>
          <w:color w:val="000000"/>
        </w:rPr>
        <w:t xml:space="preserve">elect both </w:t>
      </w:r>
      <w:r>
        <w:rPr>
          <w:rFonts w:ascii="Garamond" w:eastAsia="Garamond" w:hAnsi="Garamond" w:cs="Garamond"/>
        </w:rPr>
        <w:t xml:space="preserve">“General Community Standard” &amp; “Specific Community Standard”. For more info, see table 1 below] </w:t>
      </w:r>
    </w:p>
    <w:p w14:paraId="62A80841" w14:textId="77777777"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color w:val="000000"/>
        </w:rPr>
        <w:t xml:space="preserve">Outcome: </w:t>
      </w:r>
      <w:r>
        <w:rPr>
          <w:rFonts w:ascii="Garamond" w:eastAsia="Garamond" w:hAnsi="Garamond" w:cs="Garamond"/>
        </w:rPr>
        <w:t xml:space="preserve">[Select </w:t>
      </w:r>
      <w:r>
        <w:rPr>
          <w:rFonts w:ascii="Garamond" w:eastAsia="Garamond" w:hAnsi="Garamond" w:cs="Garamond"/>
          <w:u w:val="single"/>
        </w:rPr>
        <w:t>one</w:t>
      </w:r>
      <w:r>
        <w:rPr>
          <w:rFonts w:ascii="Garamond" w:eastAsia="Garamond" w:hAnsi="Garamond" w:cs="Garamond"/>
        </w:rPr>
        <w:t xml:space="preserve"> of the following “Overturned Meta’s initial decision”, “Agreed with Meta’s initial decision” or </w:t>
      </w:r>
      <w:proofErr w:type="gramStart"/>
      <w:r>
        <w:rPr>
          <w:rFonts w:ascii="Garamond" w:eastAsia="Garamond" w:hAnsi="Garamond" w:cs="Garamond"/>
        </w:rPr>
        <w:t>Partially</w:t>
      </w:r>
      <w:proofErr w:type="gramEnd"/>
      <w:r>
        <w:rPr>
          <w:rFonts w:ascii="Garamond" w:eastAsia="Garamond" w:hAnsi="Garamond" w:cs="Garamond"/>
        </w:rPr>
        <w:t xml:space="preserve"> agreed with Meta’s initial decision”] </w:t>
      </w:r>
    </w:p>
    <w:p w14:paraId="63518DB0" w14:textId="77777777"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Status</w:t>
      </w:r>
      <w:r>
        <w:rPr>
          <w:rFonts w:ascii="Garamond" w:eastAsia="Garamond" w:hAnsi="Garamond" w:cs="Garamond"/>
          <w:color w:val="000000"/>
        </w:rPr>
        <w:t>:  [</w:t>
      </w:r>
      <w:r>
        <w:rPr>
          <w:rFonts w:ascii="Garamond" w:eastAsia="Garamond" w:hAnsi="Garamond" w:cs="Garamond"/>
        </w:rPr>
        <w:t>S</w:t>
      </w:r>
      <w:r>
        <w:rPr>
          <w:rFonts w:ascii="Garamond" w:eastAsia="Garamond" w:hAnsi="Garamond" w:cs="Garamond"/>
          <w:color w:val="000000"/>
        </w:rPr>
        <w:t>elect Closed</w:t>
      </w:r>
      <w:r>
        <w:rPr>
          <w:rFonts w:ascii="Garamond" w:eastAsia="Garamond" w:hAnsi="Garamond" w:cs="Garamond"/>
        </w:rPr>
        <w:t xml:space="preserve">] </w:t>
      </w:r>
    </w:p>
    <w:p w14:paraId="4AB57E3D" w14:textId="77777777" w:rsidR="00BC1499" w:rsidRDefault="00BC1499">
      <w:pPr>
        <w:pBdr>
          <w:top w:val="nil"/>
          <w:left w:val="nil"/>
          <w:bottom w:val="nil"/>
          <w:right w:val="nil"/>
          <w:between w:val="nil"/>
        </w:pBdr>
        <w:spacing w:line="276" w:lineRule="auto"/>
        <w:ind w:left="360"/>
        <w:jc w:val="both"/>
        <w:rPr>
          <w:rFonts w:ascii="Garamond" w:eastAsia="Garamond" w:hAnsi="Garamond" w:cs="Garamond"/>
        </w:rPr>
      </w:pPr>
    </w:p>
    <w:p w14:paraId="2FB8DA2E" w14:textId="77777777" w:rsidR="00BC1499" w:rsidRDefault="00000000">
      <w:pPr>
        <w:numPr>
          <w:ilvl w:val="0"/>
          <w:numId w:val="3"/>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Tags</w:t>
      </w:r>
      <w:r>
        <w:rPr>
          <w:rFonts w:ascii="Garamond" w:eastAsia="Garamond" w:hAnsi="Garamond" w:cs="Garamond"/>
          <w:color w:val="000000"/>
        </w:rPr>
        <w:t>: [</w:t>
      </w:r>
      <w:r>
        <w:rPr>
          <w:rFonts w:ascii="Garamond" w:eastAsia="Garamond" w:hAnsi="Garamond" w:cs="Garamond"/>
        </w:rPr>
        <w:t>I</w:t>
      </w:r>
      <w:r>
        <w:rPr>
          <w:rFonts w:ascii="Garamond" w:eastAsia="Garamond" w:hAnsi="Garamond" w:cs="Garamond"/>
          <w:color w:val="000000"/>
        </w:rPr>
        <w:t xml:space="preserve">nclude </w:t>
      </w:r>
      <w:r>
        <w:rPr>
          <w:rFonts w:ascii="Garamond" w:eastAsia="Garamond" w:hAnsi="Garamond" w:cs="Garamond"/>
        </w:rPr>
        <w:t>the applicable tags (or add any other relevance tags according to the case’s central issues):  Meta Newsworthiness allowance, Meta Spirit of the Policy allowance, Oversight Board on Meta Interstitials, Oversight Board Policy advisory statement, Oversight Board Content Policy Recommendation, Oversight Board Enforcement Recommendation, Oversight Board Transparency Recommendation]</w:t>
      </w:r>
    </w:p>
    <w:p w14:paraId="6196DF64" w14:textId="77777777" w:rsidR="00BC1499" w:rsidRDefault="00BC1499">
      <w:pPr>
        <w:pBdr>
          <w:top w:val="nil"/>
          <w:left w:val="nil"/>
          <w:bottom w:val="nil"/>
          <w:right w:val="nil"/>
          <w:between w:val="nil"/>
        </w:pBdr>
        <w:spacing w:line="276" w:lineRule="auto"/>
        <w:jc w:val="both"/>
        <w:rPr>
          <w:rFonts w:ascii="Garamond" w:eastAsia="Garamond" w:hAnsi="Garamond" w:cs="Garamond"/>
          <w:highlight w:val="yellow"/>
        </w:rPr>
      </w:pPr>
    </w:p>
    <w:p w14:paraId="7404E082" w14:textId="77777777" w:rsidR="00BC1499" w:rsidRDefault="00BC1499">
      <w:pPr>
        <w:pBdr>
          <w:top w:val="nil"/>
          <w:left w:val="nil"/>
          <w:bottom w:val="nil"/>
          <w:right w:val="nil"/>
          <w:between w:val="nil"/>
        </w:pBdr>
        <w:spacing w:line="276" w:lineRule="auto"/>
        <w:ind w:left="360"/>
        <w:jc w:val="both"/>
        <w:rPr>
          <w:rFonts w:ascii="Garamond" w:eastAsia="Garamond" w:hAnsi="Garamond" w:cs="Garamond"/>
        </w:rPr>
      </w:pPr>
    </w:p>
    <w:p w14:paraId="7A25CB9E" w14:textId="77777777" w:rsidR="00BC1499" w:rsidRDefault="00000000">
      <w:pPr>
        <w:spacing w:line="276" w:lineRule="auto"/>
        <w:jc w:val="both"/>
        <w:rPr>
          <w:rFonts w:ascii="Garamond" w:eastAsia="Garamond" w:hAnsi="Garamond" w:cs="Garamond"/>
          <w:b/>
          <w:i/>
          <w:color w:val="000000"/>
          <w:u w:val="single"/>
        </w:rPr>
      </w:pPr>
      <w:r>
        <w:rPr>
          <w:rFonts w:ascii="Garamond" w:eastAsia="Garamond" w:hAnsi="Garamond" w:cs="Garamond"/>
          <w:b/>
          <w:i/>
          <w:color w:val="000000"/>
          <w:u w:val="single"/>
        </w:rPr>
        <w:t>Analysis:</w:t>
      </w:r>
    </w:p>
    <w:p w14:paraId="170157EC" w14:textId="77777777" w:rsidR="00BC1499" w:rsidRDefault="00BC1499">
      <w:pPr>
        <w:spacing w:line="276" w:lineRule="auto"/>
        <w:jc w:val="both"/>
        <w:rPr>
          <w:rFonts w:ascii="Garamond" w:eastAsia="Garamond" w:hAnsi="Garamond" w:cs="Garamond"/>
          <w:b/>
          <w:i/>
          <w:u w:val="single"/>
        </w:rPr>
      </w:pPr>
    </w:p>
    <w:p w14:paraId="2996C563" w14:textId="77777777" w:rsidR="00BC1499" w:rsidRDefault="00000000">
      <w:pPr>
        <w:numPr>
          <w:ilvl w:val="0"/>
          <w:numId w:val="4"/>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Summary and Outcome</w:t>
      </w:r>
      <w:r>
        <w:rPr>
          <w:rFonts w:ascii="Garamond" w:eastAsia="Garamond" w:hAnsi="Garamond" w:cs="Garamond"/>
          <w:color w:val="000000"/>
        </w:rPr>
        <w:t xml:space="preserve">: </w:t>
      </w:r>
    </w:p>
    <w:p w14:paraId="00FA9C8A" w14:textId="77777777" w:rsidR="00BC1499" w:rsidRDefault="00BC1499">
      <w:pPr>
        <w:pBdr>
          <w:top w:val="nil"/>
          <w:left w:val="nil"/>
          <w:bottom w:val="nil"/>
          <w:right w:val="nil"/>
          <w:between w:val="nil"/>
        </w:pBdr>
        <w:spacing w:line="276" w:lineRule="auto"/>
        <w:ind w:left="360"/>
        <w:jc w:val="both"/>
        <w:rPr>
          <w:rFonts w:ascii="Garamond" w:eastAsia="Garamond" w:hAnsi="Garamond" w:cs="Garamond"/>
        </w:rPr>
      </w:pPr>
    </w:p>
    <w:p w14:paraId="187B4CC5" w14:textId="22628BF0" w:rsidR="00BC1499" w:rsidRDefault="00623738">
      <w:pPr>
        <w:pBdr>
          <w:top w:val="nil"/>
          <w:left w:val="nil"/>
          <w:bottom w:val="nil"/>
          <w:right w:val="nil"/>
          <w:between w:val="nil"/>
        </w:pBdr>
        <w:spacing w:line="276" w:lineRule="auto"/>
        <w:ind w:left="360"/>
        <w:jc w:val="both"/>
        <w:rPr>
          <w:rFonts w:ascii="Garamond" w:eastAsia="Garamond" w:hAnsi="Garamond" w:cs="Garamond"/>
        </w:rPr>
      </w:pPr>
      <w:r>
        <w:rPr>
          <w:rFonts w:ascii="Garamond" w:eastAsia="Garamond" w:hAnsi="Garamond" w:cs="Garamond"/>
        </w:rPr>
        <w:t>On April 11, 2024, t</w:t>
      </w:r>
      <w:r w:rsidRPr="00623738">
        <w:rPr>
          <w:rFonts w:ascii="Garamond" w:eastAsia="Garamond" w:hAnsi="Garamond" w:cs="Garamond"/>
        </w:rPr>
        <w:t xml:space="preserve">he Oversight Board </w:t>
      </w:r>
      <w:r>
        <w:rPr>
          <w:rFonts w:ascii="Garamond" w:eastAsia="Garamond" w:hAnsi="Garamond" w:cs="Garamond"/>
        </w:rPr>
        <w:t>overturned</w:t>
      </w:r>
      <w:r w:rsidRPr="00623738">
        <w:rPr>
          <w:rFonts w:ascii="Garamond" w:eastAsia="Garamond" w:hAnsi="Garamond" w:cs="Garamond"/>
        </w:rPr>
        <w:t xml:space="preserve"> Meta's </w:t>
      </w:r>
      <w:r>
        <w:rPr>
          <w:rFonts w:ascii="Garamond" w:eastAsia="Garamond" w:hAnsi="Garamond" w:cs="Garamond"/>
        </w:rPr>
        <w:t>original</w:t>
      </w:r>
      <w:r w:rsidRPr="00623738">
        <w:rPr>
          <w:rFonts w:ascii="Garamond" w:eastAsia="Garamond" w:hAnsi="Garamond" w:cs="Garamond"/>
        </w:rPr>
        <w:t xml:space="preserve"> decision to keep a video showing armed men, identified as Rapid Support Forces (RSF) members, detaining a person in a military vehicle. </w:t>
      </w:r>
      <w:r>
        <w:rPr>
          <w:rFonts w:ascii="Garamond" w:eastAsia="Garamond" w:hAnsi="Garamond" w:cs="Garamond"/>
        </w:rPr>
        <w:t xml:space="preserve">The Board </w:t>
      </w:r>
      <w:r>
        <w:rPr>
          <w:rFonts w:ascii="Garamond" w:eastAsia="Garamond" w:hAnsi="Garamond" w:cs="Garamond"/>
        </w:rPr>
        <w:lastRenderedPageBreak/>
        <w:t>found the content violating of the Dangerous Organizations and Individuals policy as it supported t</w:t>
      </w:r>
      <w:r w:rsidRPr="00623738">
        <w:rPr>
          <w:rFonts w:ascii="Garamond" w:eastAsia="Garamond" w:hAnsi="Garamond" w:cs="Garamond"/>
        </w:rPr>
        <w:t xml:space="preserve">he RSF </w:t>
      </w:r>
      <w:r>
        <w:rPr>
          <w:rFonts w:ascii="Garamond" w:eastAsia="Garamond" w:hAnsi="Garamond" w:cs="Garamond"/>
        </w:rPr>
        <w:t>which is</w:t>
      </w:r>
      <w:r w:rsidRPr="00623738">
        <w:rPr>
          <w:rFonts w:ascii="Garamond" w:eastAsia="Garamond" w:hAnsi="Garamond" w:cs="Garamond"/>
        </w:rPr>
        <w:t xml:space="preserve"> designated </w:t>
      </w:r>
      <w:r>
        <w:rPr>
          <w:rFonts w:ascii="Garamond" w:eastAsia="Garamond" w:hAnsi="Garamond" w:cs="Garamond"/>
        </w:rPr>
        <w:t xml:space="preserve">dangerous group </w:t>
      </w:r>
      <w:r w:rsidRPr="00623738">
        <w:rPr>
          <w:rFonts w:ascii="Garamond" w:eastAsia="Garamond" w:hAnsi="Garamond" w:cs="Garamond"/>
        </w:rPr>
        <w:t>under Meta's Dangerous Organizations and Individuals</w:t>
      </w:r>
      <w:r>
        <w:rPr>
          <w:rFonts w:ascii="Garamond" w:eastAsia="Garamond" w:hAnsi="Garamond" w:cs="Garamond"/>
        </w:rPr>
        <w:t xml:space="preserve"> policy</w:t>
      </w:r>
      <w:r w:rsidRPr="00623738">
        <w:rPr>
          <w:rFonts w:ascii="Garamond" w:eastAsia="Garamond" w:hAnsi="Garamond" w:cs="Garamond"/>
        </w:rPr>
        <w:t xml:space="preserve">. </w:t>
      </w:r>
      <w:r>
        <w:rPr>
          <w:rFonts w:ascii="Garamond" w:eastAsia="Garamond" w:hAnsi="Garamond" w:cs="Garamond"/>
        </w:rPr>
        <w:t xml:space="preserve">Moreover, the Board noted that the content was violating of the </w:t>
      </w:r>
      <w:r w:rsidRPr="00623738">
        <w:rPr>
          <w:rFonts w:ascii="Garamond" w:eastAsia="Garamond" w:hAnsi="Garamond" w:cs="Garamond"/>
        </w:rPr>
        <w:t>Coordinating Harm and Promoting Crime</w:t>
      </w:r>
      <w:r w:rsidRPr="00623738">
        <w:rPr>
          <w:rFonts w:ascii="Garamond" w:eastAsia="Garamond" w:hAnsi="Garamond" w:cs="Garamond"/>
        </w:rPr>
        <w:t xml:space="preserve"> </w:t>
      </w:r>
      <w:r>
        <w:rPr>
          <w:rFonts w:ascii="Garamond" w:eastAsia="Garamond" w:hAnsi="Garamond" w:cs="Garamond"/>
        </w:rPr>
        <w:t xml:space="preserve">policy as it exposed the identity of a war prisoner. </w:t>
      </w:r>
      <w:r w:rsidRPr="00623738">
        <w:rPr>
          <w:rFonts w:ascii="Garamond" w:eastAsia="Garamond" w:hAnsi="Garamond" w:cs="Garamond"/>
        </w:rPr>
        <w:t xml:space="preserve">After </w:t>
      </w:r>
      <w:r>
        <w:rPr>
          <w:rFonts w:ascii="Garamond" w:eastAsia="Garamond" w:hAnsi="Garamond" w:cs="Garamond"/>
        </w:rPr>
        <w:t>being notified of the case by the Board</w:t>
      </w:r>
      <w:r w:rsidRPr="00623738">
        <w:rPr>
          <w:rFonts w:ascii="Garamond" w:eastAsia="Garamond" w:hAnsi="Garamond" w:cs="Garamond"/>
        </w:rPr>
        <w:t>, Meta removed the video for supporting a designated entity and for violating policies against revealing prisoners of war's identities during conflicts. The Board expressed concerns about Meta's slow response, suggesting potential broader issues with enforcing policies effectively during armed conflicts.</w:t>
      </w:r>
    </w:p>
    <w:p w14:paraId="4D37227C" w14:textId="77777777" w:rsidR="00C86093" w:rsidRDefault="00C86093">
      <w:pPr>
        <w:pBdr>
          <w:top w:val="nil"/>
          <w:left w:val="nil"/>
          <w:bottom w:val="nil"/>
          <w:right w:val="nil"/>
          <w:between w:val="nil"/>
        </w:pBdr>
        <w:spacing w:line="276" w:lineRule="auto"/>
        <w:ind w:left="360"/>
        <w:jc w:val="both"/>
        <w:rPr>
          <w:rFonts w:ascii="Garamond" w:eastAsia="Garamond" w:hAnsi="Garamond" w:cs="Garamond"/>
        </w:rPr>
      </w:pPr>
    </w:p>
    <w:p w14:paraId="4D3CE710" w14:textId="77777777" w:rsidR="00BC1499" w:rsidRDefault="00000000">
      <w:pPr>
        <w:spacing w:line="276" w:lineRule="auto"/>
        <w:ind w:left="360"/>
        <w:jc w:val="both"/>
        <w:rPr>
          <w:rFonts w:ascii="Garamond" w:eastAsia="Garamond" w:hAnsi="Garamond" w:cs="Garamond"/>
          <w:i/>
        </w:rPr>
      </w:pPr>
      <w:r>
        <w:rPr>
          <w:rFonts w:ascii="Garamond" w:eastAsia="Garamond" w:hAnsi="Garamond" w:cs="Garamond"/>
          <w:i/>
        </w:rPr>
        <w:t xml:space="preserve">*The </w:t>
      </w:r>
      <w:hyperlink r:id="rId9">
        <w:r>
          <w:rPr>
            <w:rFonts w:ascii="Garamond" w:eastAsia="Garamond" w:hAnsi="Garamond" w:cs="Garamond"/>
            <w:i/>
            <w:color w:val="1155CC"/>
            <w:u w:val="single"/>
          </w:rPr>
          <w:t xml:space="preserve">Oversight Board </w:t>
        </w:r>
      </w:hyperlink>
      <w:r>
        <w:rPr>
          <w:rFonts w:ascii="Garamond" w:eastAsia="Garamond" w:hAnsi="Garamond" w:cs="Garamond"/>
          <w:i/>
        </w:rPr>
        <w:t>is a separate entity from Meta and will provide its independent judgment on both individual cases and questions of policy. Both the Board and its administration are funded by an independent trust. The Board has the authority to decide whether Facebook and Instagram should allow or remove content. These decisions are binding, unless implementing them could violate the law. The Board can also choose to issue recommendations on the company’s content policies.</w:t>
      </w:r>
    </w:p>
    <w:p w14:paraId="34792991" w14:textId="77777777" w:rsidR="00BC1499" w:rsidRDefault="00BC1499">
      <w:pPr>
        <w:spacing w:line="276" w:lineRule="auto"/>
        <w:jc w:val="both"/>
        <w:rPr>
          <w:rFonts w:ascii="Garamond" w:eastAsia="Garamond" w:hAnsi="Garamond" w:cs="Garamond"/>
        </w:rPr>
      </w:pPr>
    </w:p>
    <w:p w14:paraId="273C6C41" w14:textId="77777777" w:rsidR="00BC1499" w:rsidRDefault="00000000">
      <w:pPr>
        <w:numPr>
          <w:ilvl w:val="0"/>
          <w:numId w:val="8"/>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Facts</w:t>
      </w:r>
      <w:r>
        <w:rPr>
          <w:rFonts w:ascii="Garamond" w:eastAsia="Garamond" w:hAnsi="Garamond" w:cs="Garamond"/>
          <w:color w:val="000000"/>
        </w:rPr>
        <w:t>:</w:t>
      </w:r>
    </w:p>
    <w:p w14:paraId="48D332DE" w14:textId="77777777" w:rsidR="00BC1499" w:rsidRDefault="00BC1499">
      <w:pPr>
        <w:pBdr>
          <w:top w:val="nil"/>
          <w:left w:val="nil"/>
          <w:bottom w:val="nil"/>
          <w:right w:val="nil"/>
          <w:between w:val="nil"/>
        </w:pBdr>
        <w:spacing w:line="276" w:lineRule="auto"/>
        <w:ind w:left="360"/>
        <w:jc w:val="both"/>
        <w:rPr>
          <w:rFonts w:ascii="Garamond" w:eastAsia="Garamond" w:hAnsi="Garamond" w:cs="Garamond"/>
        </w:rPr>
      </w:pPr>
    </w:p>
    <w:p w14:paraId="1027C4F9" w14:textId="15E91436" w:rsidR="00844FEC" w:rsidRDefault="00844FEC">
      <w:pPr>
        <w:pBdr>
          <w:top w:val="nil"/>
          <w:left w:val="nil"/>
          <w:bottom w:val="nil"/>
          <w:right w:val="nil"/>
          <w:between w:val="nil"/>
        </w:pBdr>
        <w:spacing w:line="276" w:lineRule="auto"/>
        <w:ind w:left="360"/>
        <w:jc w:val="both"/>
        <w:rPr>
          <w:rFonts w:ascii="Garamond" w:eastAsia="Garamond" w:hAnsi="Garamond" w:cs="Garamond"/>
        </w:rPr>
      </w:pPr>
      <w:r>
        <w:rPr>
          <w:rFonts w:ascii="Garamond" w:eastAsia="Garamond" w:hAnsi="Garamond" w:cs="Garamond"/>
        </w:rPr>
        <w:t xml:space="preserve">On August 27, 2023, a Facebook user posted a video of members of the </w:t>
      </w:r>
      <w:r w:rsidRPr="00844FEC">
        <w:rPr>
          <w:rFonts w:ascii="Garamond" w:eastAsia="Garamond" w:hAnsi="Garamond" w:cs="Garamond"/>
        </w:rPr>
        <w:t>Rapid Support Forces</w:t>
      </w:r>
      <w:r>
        <w:rPr>
          <w:rFonts w:ascii="Garamond" w:eastAsia="Garamond" w:hAnsi="Garamond" w:cs="Garamond"/>
        </w:rPr>
        <w:t xml:space="preserve"> (RSF) detaining a person in the back of a military vehicle. In the video an RSF member claimed in Arabic they captured a foreign national, probably associated with the Sudanese Armed Forces (SAF). The man further stated that they would capture everybody working against the RSF, including the SAF leaders and their foreign combatants in Sudan. The video included derogatory remarks about foreign nationals and foreign leaders supporting the SAF.</w:t>
      </w:r>
    </w:p>
    <w:p w14:paraId="3E78DB61" w14:textId="77777777" w:rsidR="00844FEC" w:rsidRDefault="00844FEC">
      <w:pPr>
        <w:pBdr>
          <w:top w:val="nil"/>
          <w:left w:val="nil"/>
          <w:bottom w:val="nil"/>
          <w:right w:val="nil"/>
          <w:between w:val="nil"/>
        </w:pBdr>
        <w:spacing w:line="276" w:lineRule="auto"/>
        <w:ind w:left="360"/>
        <w:jc w:val="both"/>
        <w:rPr>
          <w:rFonts w:ascii="Garamond" w:eastAsia="Garamond" w:hAnsi="Garamond" w:cs="Garamond"/>
        </w:rPr>
      </w:pPr>
    </w:p>
    <w:p w14:paraId="2EC3AC66" w14:textId="1772B566" w:rsidR="00844FEC" w:rsidRDefault="00844FEC">
      <w:pPr>
        <w:pBdr>
          <w:top w:val="nil"/>
          <w:left w:val="nil"/>
          <w:bottom w:val="nil"/>
          <w:right w:val="nil"/>
          <w:between w:val="nil"/>
        </w:pBdr>
        <w:spacing w:line="276" w:lineRule="auto"/>
        <w:ind w:left="360"/>
        <w:jc w:val="both"/>
        <w:rPr>
          <w:rFonts w:ascii="Garamond" w:eastAsia="Garamond" w:hAnsi="Garamond" w:cs="Garamond"/>
        </w:rPr>
      </w:pPr>
      <w:r>
        <w:rPr>
          <w:rFonts w:ascii="Garamond" w:eastAsia="Garamond" w:hAnsi="Garamond" w:cs="Garamond"/>
        </w:rPr>
        <w:t xml:space="preserve">The user included an Arabic caption which translated to </w:t>
      </w:r>
      <w:r w:rsidRPr="00844FEC">
        <w:rPr>
          <w:rFonts w:ascii="Garamond" w:eastAsia="Garamond" w:hAnsi="Garamond" w:cs="Garamond"/>
        </w:rPr>
        <w:t>“we know that there are foreigners from our evil neighbor fighting side by side with the devilish Brotherhood brigades.”</w:t>
      </w:r>
      <w:r>
        <w:rPr>
          <w:rFonts w:ascii="Garamond" w:eastAsia="Garamond" w:hAnsi="Garamond" w:cs="Garamond"/>
        </w:rPr>
        <w:t xml:space="preserve"> Shortly after, the user edited the caption to “</w:t>
      </w:r>
      <w:r w:rsidRPr="00844FEC">
        <w:rPr>
          <w:rFonts w:ascii="Garamond" w:eastAsia="Garamond" w:hAnsi="Garamond" w:cs="Garamond"/>
        </w:rPr>
        <w:t>we know that there are foreigners fighting side by side with the devilish Brotherhood brigades</w:t>
      </w:r>
      <w:r>
        <w:rPr>
          <w:rFonts w:ascii="Garamond" w:eastAsia="Garamond" w:hAnsi="Garamond" w:cs="Garamond"/>
        </w:rPr>
        <w:t>.” Despite the user having 4,000 friends and 32,000 followers, the post received less than 100 reactions, 50 comments and 50 shares.</w:t>
      </w:r>
    </w:p>
    <w:p w14:paraId="3F7BDB0B" w14:textId="77777777" w:rsidR="00844FEC" w:rsidRDefault="00844FEC">
      <w:pPr>
        <w:pBdr>
          <w:top w:val="nil"/>
          <w:left w:val="nil"/>
          <w:bottom w:val="nil"/>
          <w:right w:val="nil"/>
          <w:between w:val="nil"/>
        </w:pBdr>
        <w:spacing w:line="276" w:lineRule="auto"/>
        <w:ind w:left="360"/>
        <w:jc w:val="both"/>
        <w:rPr>
          <w:rFonts w:ascii="Garamond" w:eastAsia="Garamond" w:hAnsi="Garamond" w:cs="Garamond"/>
        </w:rPr>
      </w:pPr>
    </w:p>
    <w:p w14:paraId="44F6B0E1" w14:textId="0A00EC67" w:rsidR="00844FEC" w:rsidRDefault="00CE6CC6">
      <w:pPr>
        <w:pBdr>
          <w:top w:val="nil"/>
          <w:left w:val="nil"/>
          <w:bottom w:val="nil"/>
          <w:right w:val="nil"/>
          <w:between w:val="nil"/>
        </w:pBdr>
        <w:spacing w:line="276" w:lineRule="auto"/>
        <w:ind w:left="360"/>
        <w:jc w:val="both"/>
        <w:rPr>
          <w:rFonts w:ascii="Garamond" w:eastAsia="Garamond" w:hAnsi="Garamond" w:cs="Garamond"/>
        </w:rPr>
      </w:pPr>
      <w:r>
        <w:rPr>
          <w:rFonts w:ascii="Garamond" w:eastAsia="Garamond" w:hAnsi="Garamond" w:cs="Garamond"/>
        </w:rPr>
        <w:t xml:space="preserve">Since April 2023, a non-international armed conflict has been ongoing in Sudan between SAF, the military forces of the internationally recognized Sudanese government, and the paramilitary group, the RSF. As of November 2023, RSF controlled most of West Darfur, the area around the capital Khartoum and parts of North and West Kordofan while the SAF controlled most of the Nile Valle and the eastern provinces and ports. </w:t>
      </w:r>
    </w:p>
    <w:p w14:paraId="3FC1B958" w14:textId="77777777" w:rsidR="00CE6CC6" w:rsidRDefault="00CE6CC6">
      <w:pPr>
        <w:pBdr>
          <w:top w:val="nil"/>
          <w:left w:val="nil"/>
          <w:bottom w:val="nil"/>
          <w:right w:val="nil"/>
          <w:between w:val="nil"/>
        </w:pBdr>
        <w:spacing w:line="276" w:lineRule="auto"/>
        <w:ind w:left="360"/>
        <w:jc w:val="both"/>
        <w:rPr>
          <w:rFonts w:ascii="Garamond" w:eastAsia="Garamond" w:hAnsi="Garamond" w:cs="Garamond"/>
        </w:rPr>
      </w:pPr>
    </w:p>
    <w:p w14:paraId="407D2340" w14:textId="34CB07F8" w:rsidR="00CE6CC6" w:rsidRDefault="00CE6CC6" w:rsidP="00CE6CC6">
      <w:pPr>
        <w:pBdr>
          <w:top w:val="nil"/>
          <w:left w:val="nil"/>
          <w:bottom w:val="nil"/>
          <w:right w:val="nil"/>
          <w:between w:val="nil"/>
        </w:pBdr>
        <w:spacing w:line="276" w:lineRule="auto"/>
        <w:ind w:left="360"/>
        <w:jc w:val="both"/>
        <w:rPr>
          <w:rFonts w:ascii="Garamond" w:eastAsia="Garamond" w:hAnsi="Garamond" w:cs="Garamond"/>
        </w:rPr>
      </w:pPr>
      <w:r>
        <w:rPr>
          <w:rFonts w:ascii="Garamond" w:eastAsia="Garamond" w:hAnsi="Garamond" w:cs="Garamond"/>
        </w:rPr>
        <w:t xml:space="preserve">7.3 million people have been displaced because of the conflict while over 25 million people, including 14 million children, were facing severe food insecurity. Gender-based violence, sexual violence, harassment, sexual </w:t>
      </w:r>
      <w:r w:rsidR="00CC1589">
        <w:rPr>
          <w:rFonts w:ascii="Garamond" w:eastAsia="Garamond" w:hAnsi="Garamond" w:cs="Garamond"/>
        </w:rPr>
        <w:t>exploitation,</w:t>
      </w:r>
      <w:r>
        <w:rPr>
          <w:rFonts w:ascii="Garamond" w:eastAsia="Garamond" w:hAnsi="Garamond" w:cs="Garamond"/>
        </w:rPr>
        <w:t xml:space="preserve"> and trafficking were all escalating. Sudanese human rights organizations reported that the RSF had detained over 5000 people in Khartoum in inhumane conditions with a lack of access to </w:t>
      </w:r>
      <w:r w:rsidR="00CC1589">
        <w:rPr>
          <w:rFonts w:ascii="Garamond" w:eastAsia="Garamond" w:hAnsi="Garamond" w:cs="Garamond"/>
        </w:rPr>
        <w:t>necessities</w:t>
      </w:r>
      <w:r>
        <w:rPr>
          <w:rFonts w:ascii="Garamond" w:eastAsia="Garamond" w:hAnsi="Garamond" w:cs="Garamond"/>
        </w:rPr>
        <w:t xml:space="preserve"> essential for human dignity.</w:t>
      </w:r>
    </w:p>
    <w:p w14:paraId="45FA564D" w14:textId="77777777" w:rsidR="00CE6CC6" w:rsidRDefault="00CE6CC6" w:rsidP="00CE6CC6">
      <w:pPr>
        <w:pBdr>
          <w:top w:val="nil"/>
          <w:left w:val="nil"/>
          <w:bottom w:val="nil"/>
          <w:right w:val="nil"/>
          <w:between w:val="nil"/>
        </w:pBdr>
        <w:spacing w:line="276" w:lineRule="auto"/>
        <w:ind w:left="360"/>
        <w:jc w:val="both"/>
        <w:rPr>
          <w:rFonts w:ascii="Garamond" w:eastAsia="Garamond" w:hAnsi="Garamond" w:cs="Garamond"/>
        </w:rPr>
      </w:pPr>
    </w:p>
    <w:p w14:paraId="2D180599" w14:textId="69F5BEB9" w:rsidR="00CE6CC6" w:rsidRDefault="00CE6CC6" w:rsidP="00CE6CC6">
      <w:pPr>
        <w:pBdr>
          <w:top w:val="nil"/>
          <w:left w:val="nil"/>
          <w:bottom w:val="nil"/>
          <w:right w:val="nil"/>
          <w:between w:val="nil"/>
        </w:pBdr>
        <w:spacing w:line="276" w:lineRule="auto"/>
        <w:ind w:left="360"/>
        <w:jc w:val="both"/>
        <w:rPr>
          <w:rFonts w:ascii="Garamond" w:eastAsia="Garamond" w:hAnsi="Garamond" w:cs="Garamond"/>
        </w:rPr>
      </w:pPr>
      <w:r>
        <w:rPr>
          <w:rFonts w:ascii="Garamond" w:eastAsia="Garamond" w:hAnsi="Garamond" w:cs="Garamond"/>
        </w:rPr>
        <w:t xml:space="preserve">The International Criminal Court and the U.S. Department of State, among others, reported crimes against humanity, genocide, and war crimes by both parties of the conflict. Additionally, the RSF have ethnically targeted Masalit </w:t>
      </w:r>
      <w:r w:rsidR="00CC1589">
        <w:rPr>
          <w:rFonts w:ascii="Garamond" w:eastAsia="Garamond" w:hAnsi="Garamond" w:cs="Garamond"/>
        </w:rPr>
        <w:t>communities</w:t>
      </w:r>
      <w:r>
        <w:rPr>
          <w:rFonts w:ascii="Garamond" w:eastAsia="Garamond" w:hAnsi="Garamond" w:cs="Garamond"/>
        </w:rPr>
        <w:t xml:space="preserve"> in Sudan and the Chad border.</w:t>
      </w:r>
      <w:r w:rsidR="00CC1589">
        <w:rPr>
          <w:rFonts w:ascii="Garamond" w:eastAsia="Garamond" w:hAnsi="Garamond" w:cs="Garamond"/>
        </w:rPr>
        <w:t xml:space="preserve"> Experts informed the Board that both sides were responsible for widespread abuses against detainees including, inhumane conditions, illegal detentions, ethnic targeting, sexual violence, and using hostages as human shields.</w:t>
      </w:r>
    </w:p>
    <w:p w14:paraId="63BBA627" w14:textId="77777777" w:rsidR="00CC1589" w:rsidRDefault="00CC1589" w:rsidP="00CC1589">
      <w:pPr>
        <w:pBdr>
          <w:top w:val="nil"/>
          <w:left w:val="nil"/>
          <w:bottom w:val="nil"/>
          <w:right w:val="nil"/>
          <w:between w:val="nil"/>
        </w:pBdr>
        <w:spacing w:line="276" w:lineRule="auto"/>
        <w:jc w:val="both"/>
        <w:rPr>
          <w:rFonts w:ascii="Garamond" w:eastAsia="Garamond" w:hAnsi="Garamond" w:cs="Garamond"/>
        </w:rPr>
      </w:pPr>
    </w:p>
    <w:p w14:paraId="6D361667" w14:textId="526502CD" w:rsidR="00CE6CC6" w:rsidRDefault="00CE6CC6">
      <w:pPr>
        <w:pBdr>
          <w:top w:val="nil"/>
          <w:left w:val="nil"/>
          <w:bottom w:val="nil"/>
          <w:right w:val="nil"/>
          <w:between w:val="nil"/>
        </w:pBdr>
        <w:spacing w:line="276" w:lineRule="auto"/>
        <w:ind w:left="360"/>
        <w:jc w:val="both"/>
        <w:rPr>
          <w:rFonts w:ascii="Garamond" w:eastAsia="Garamond" w:hAnsi="Garamond" w:cs="Garamond"/>
        </w:rPr>
      </w:pPr>
      <w:r>
        <w:rPr>
          <w:rFonts w:ascii="Garamond" w:eastAsia="Garamond" w:hAnsi="Garamond" w:cs="Garamond"/>
        </w:rPr>
        <w:lastRenderedPageBreak/>
        <w:t>On August 11, 2023, Meta designated the RSF as a Tier 1 terrorist organization under its Dangerous Organizations and Individuals (DOI) policy.</w:t>
      </w:r>
      <w:r w:rsidR="00CC1589">
        <w:rPr>
          <w:rFonts w:ascii="Garamond" w:eastAsia="Garamond" w:hAnsi="Garamond" w:cs="Garamond"/>
        </w:rPr>
        <w:t xml:space="preserve"> Experts noted that such designation limited the group’s dissemination of information. However, this has also encouraged the RSF to use other tactics such as using non-official personal pages and accounts. Experts further noted that the designation hampered access to information for civilians about the RSF, which they needed for security reasons.</w:t>
      </w:r>
    </w:p>
    <w:p w14:paraId="326A35DC" w14:textId="77777777" w:rsidR="00CC1589" w:rsidRDefault="00CC1589">
      <w:pPr>
        <w:pBdr>
          <w:top w:val="nil"/>
          <w:left w:val="nil"/>
          <w:bottom w:val="nil"/>
          <w:right w:val="nil"/>
          <w:between w:val="nil"/>
        </w:pBdr>
        <w:spacing w:line="276" w:lineRule="auto"/>
        <w:ind w:left="360"/>
        <w:jc w:val="both"/>
        <w:rPr>
          <w:rFonts w:ascii="Garamond" w:eastAsia="Garamond" w:hAnsi="Garamond" w:cs="Garamond"/>
        </w:rPr>
      </w:pPr>
    </w:p>
    <w:p w14:paraId="4CE747B9" w14:textId="2F8C33E6" w:rsidR="00CC1589" w:rsidRDefault="00CC1589">
      <w:pPr>
        <w:pBdr>
          <w:top w:val="nil"/>
          <w:left w:val="nil"/>
          <w:bottom w:val="nil"/>
          <w:right w:val="nil"/>
          <w:between w:val="nil"/>
        </w:pBdr>
        <w:spacing w:line="276" w:lineRule="auto"/>
        <w:ind w:left="360"/>
        <w:jc w:val="both"/>
        <w:rPr>
          <w:rFonts w:ascii="Garamond" w:eastAsia="Garamond" w:hAnsi="Garamond" w:cs="Garamond"/>
        </w:rPr>
      </w:pPr>
      <w:r>
        <w:rPr>
          <w:rFonts w:ascii="Garamond" w:eastAsia="Garamond" w:hAnsi="Garamond" w:cs="Garamond"/>
        </w:rPr>
        <w:t>Sudanese civilians relied on Facebook to find crucial informa</w:t>
      </w:r>
      <w:r w:rsidR="007357E9">
        <w:rPr>
          <w:rFonts w:ascii="Garamond" w:eastAsia="Garamond" w:hAnsi="Garamond" w:cs="Garamond"/>
        </w:rPr>
        <w:t xml:space="preserve">tion about the humanitarian development in Sudan, to establish routes to safety within the country or to flee, to find crucial information on military operations or violent outbreaks, to seek humanitarian help, and learn about hostages and </w:t>
      </w:r>
      <w:r w:rsidR="009950CC">
        <w:rPr>
          <w:rFonts w:ascii="Garamond" w:eastAsia="Garamond" w:hAnsi="Garamond" w:cs="Garamond"/>
        </w:rPr>
        <w:t>war prisoners</w:t>
      </w:r>
      <w:r w:rsidR="007357E9">
        <w:rPr>
          <w:rFonts w:ascii="Garamond" w:eastAsia="Garamond" w:hAnsi="Garamond" w:cs="Garamond"/>
        </w:rPr>
        <w:t>.</w:t>
      </w:r>
    </w:p>
    <w:p w14:paraId="7294DD54" w14:textId="77777777" w:rsidR="007357E9" w:rsidRDefault="007357E9">
      <w:pPr>
        <w:pBdr>
          <w:top w:val="nil"/>
          <w:left w:val="nil"/>
          <w:bottom w:val="nil"/>
          <w:right w:val="nil"/>
          <w:between w:val="nil"/>
        </w:pBdr>
        <w:spacing w:line="276" w:lineRule="auto"/>
        <w:ind w:left="360"/>
        <w:jc w:val="both"/>
        <w:rPr>
          <w:rFonts w:ascii="Garamond" w:eastAsia="Garamond" w:hAnsi="Garamond" w:cs="Garamond"/>
        </w:rPr>
      </w:pPr>
    </w:p>
    <w:p w14:paraId="00ED8594" w14:textId="785BC448" w:rsidR="007357E9" w:rsidRDefault="007357E9">
      <w:pPr>
        <w:pBdr>
          <w:top w:val="nil"/>
          <w:left w:val="nil"/>
          <w:bottom w:val="nil"/>
          <w:right w:val="nil"/>
          <w:between w:val="nil"/>
        </w:pBdr>
        <w:spacing w:line="276" w:lineRule="auto"/>
        <w:ind w:left="360"/>
        <w:jc w:val="both"/>
        <w:rPr>
          <w:rFonts w:ascii="Garamond" w:eastAsia="Garamond" w:hAnsi="Garamond" w:cs="Garamond"/>
        </w:rPr>
      </w:pPr>
      <w:r>
        <w:rPr>
          <w:rFonts w:ascii="Garamond" w:eastAsia="Garamond" w:hAnsi="Garamond" w:cs="Garamond"/>
        </w:rPr>
        <w:t xml:space="preserve">Shortly after the content was posted, Facebook users reported the content, however, these reports were not prioritized for human review. One of the users appealed Meta’s decision but the appeal was closed without review. The same user appealed to the Oversight Board. After the Board notified Meta of the case, the company reviewed the post and removed it for violating the DOI policy and applied a standard strike and a severe strike on the author’s account. </w:t>
      </w:r>
    </w:p>
    <w:p w14:paraId="74F7D28D" w14:textId="77777777" w:rsidR="007357E9" w:rsidRDefault="007357E9">
      <w:pPr>
        <w:pBdr>
          <w:top w:val="nil"/>
          <w:left w:val="nil"/>
          <w:bottom w:val="nil"/>
          <w:right w:val="nil"/>
          <w:between w:val="nil"/>
        </w:pBdr>
        <w:spacing w:line="276" w:lineRule="auto"/>
        <w:ind w:left="360"/>
        <w:jc w:val="both"/>
        <w:rPr>
          <w:rFonts w:ascii="Garamond" w:eastAsia="Garamond" w:hAnsi="Garamond" w:cs="Garamond"/>
        </w:rPr>
      </w:pPr>
    </w:p>
    <w:p w14:paraId="69534749" w14:textId="77777777" w:rsidR="00BC1499" w:rsidRDefault="00000000">
      <w:pPr>
        <w:numPr>
          <w:ilvl w:val="0"/>
          <w:numId w:val="8"/>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Decision Overview</w:t>
      </w:r>
      <w:r>
        <w:rPr>
          <w:rFonts w:ascii="Garamond" w:eastAsia="Garamond" w:hAnsi="Garamond" w:cs="Garamond"/>
          <w:color w:val="000000"/>
        </w:rPr>
        <w:t xml:space="preserve">: </w:t>
      </w:r>
    </w:p>
    <w:p w14:paraId="269921C5" w14:textId="77777777" w:rsidR="00BC1499" w:rsidRDefault="00BC1499">
      <w:pPr>
        <w:pBdr>
          <w:top w:val="nil"/>
          <w:left w:val="nil"/>
          <w:bottom w:val="nil"/>
          <w:right w:val="nil"/>
          <w:between w:val="nil"/>
        </w:pBdr>
        <w:spacing w:line="276" w:lineRule="auto"/>
        <w:jc w:val="both"/>
        <w:rPr>
          <w:rFonts w:ascii="Garamond" w:eastAsia="Garamond" w:hAnsi="Garamond" w:cs="Garamond"/>
        </w:rPr>
      </w:pPr>
    </w:p>
    <w:p w14:paraId="7F1BA7F7" w14:textId="09EB45F1" w:rsidR="007357E9" w:rsidRDefault="00FB426D" w:rsidP="00FB426D">
      <w:pPr>
        <w:pBdr>
          <w:top w:val="nil"/>
          <w:left w:val="nil"/>
          <w:bottom w:val="nil"/>
          <w:right w:val="nil"/>
          <w:between w:val="nil"/>
        </w:pBdr>
        <w:spacing w:line="276" w:lineRule="auto"/>
        <w:ind w:left="284"/>
        <w:jc w:val="both"/>
        <w:rPr>
          <w:rFonts w:ascii="Garamond" w:eastAsia="Garamond" w:hAnsi="Garamond" w:cs="Garamond"/>
        </w:rPr>
      </w:pPr>
      <w:r>
        <w:rPr>
          <w:rFonts w:ascii="Garamond" w:eastAsia="Garamond" w:hAnsi="Garamond" w:cs="Garamond"/>
        </w:rPr>
        <w:t xml:space="preserve">The main issue before the Board was whether Meta’s original decision not to remove a post of RSF members detaining a claimed foreign combatant was compatible with Meta’s content policies, </w:t>
      </w:r>
      <w:proofErr w:type="gramStart"/>
      <w:r>
        <w:rPr>
          <w:rFonts w:ascii="Garamond" w:eastAsia="Garamond" w:hAnsi="Garamond" w:cs="Garamond"/>
        </w:rPr>
        <w:t>values</w:t>
      </w:r>
      <w:proofErr w:type="gramEnd"/>
      <w:r>
        <w:rPr>
          <w:rFonts w:ascii="Garamond" w:eastAsia="Garamond" w:hAnsi="Garamond" w:cs="Garamond"/>
        </w:rPr>
        <w:t xml:space="preserve"> and human rights obligations. </w:t>
      </w:r>
    </w:p>
    <w:p w14:paraId="6973F7CE" w14:textId="77777777" w:rsidR="00FB426D" w:rsidRDefault="00FB426D" w:rsidP="00FB426D">
      <w:pPr>
        <w:pBdr>
          <w:top w:val="nil"/>
          <w:left w:val="nil"/>
          <w:bottom w:val="nil"/>
          <w:right w:val="nil"/>
          <w:between w:val="nil"/>
        </w:pBdr>
        <w:spacing w:line="276" w:lineRule="auto"/>
        <w:ind w:left="284"/>
        <w:jc w:val="both"/>
        <w:rPr>
          <w:rFonts w:ascii="Garamond" w:eastAsia="Garamond" w:hAnsi="Garamond" w:cs="Garamond"/>
        </w:rPr>
      </w:pPr>
    </w:p>
    <w:p w14:paraId="3290CBAC" w14:textId="352DD2F8" w:rsidR="00FB426D" w:rsidRDefault="00FB426D" w:rsidP="00FB426D">
      <w:pPr>
        <w:pBdr>
          <w:top w:val="nil"/>
          <w:left w:val="nil"/>
          <w:bottom w:val="nil"/>
          <w:right w:val="nil"/>
          <w:between w:val="nil"/>
        </w:pBdr>
        <w:spacing w:line="276" w:lineRule="auto"/>
        <w:ind w:left="284"/>
        <w:jc w:val="both"/>
        <w:rPr>
          <w:rFonts w:ascii="Garamond" w:eastAsia="Garamond" w:hAnsi="Garamond" w:cs="Garamond"/>
        </w:rPr>
      </w:pPr>
      <w:r>
        <w:rPr>
          <w:rFonts w:ascii="Garamond" w:eastAsia="Garamond" w:hAnsi="Garamond" w:cs="Garamond"/>
        </w:rPr>
        <w:t>Alongside their appeal to their Board, the reporting user requested the removal of the post as it posed a danger to Sudanese people by disseminating misinformation and threats of violence by the RSF in Khartoum.</w:t>
      </w:r>
    </w:p>
    <w:p w14:paraId="28848185" w14:textId="77777777" w:rsidR="00FB426D" w:rsidRDefault="00FB426D" w:rsidP="00FB426D">
      <w:pPr>
        <w:pBdr>
          <w:top w:val="nil"/>
          <w:left w:val="nil"/>
          <w:bottom w:val="nil"/>
          <w:right w:val="nil"/>
          <w:between w:val="nil"/>
        </w:pBdr>
        <w:spacing w:line="276" w:lineRule="auto"/>
        <w:ind w:left="284"/>
        <w:jc w:val="both"/>
        <w:rPr>
          <w:rFonts w:ascii="Garamond" w:eastAsia="Garamond" w:hAnsi="Garamond" w:cs="Garamond"/>
        </w:rPr>
      </w:pPr>
    </w:p>
    <w:p w14:paraId="33795DA8" w14:textId="71408657" w:rsidR="00FB426D" w:rsidRDefault="00FB426D" w:rsidP="00FB426D">
      <w:pPr>
        <w:pBdr>
          <w:top w:val="nil"/>
          <w:left w:val="nil"/>
          <w:bottom w:val="nil"/>
          <w:right w:val="nil"/>
          <w:between w:val="nil"/>
        </w:pBdr>
        <w:spacing w:line="276" w:lineRule="auto"/>
        <w:ind w:left="284"/>
        <w:jc w:val="both"/>
        <w:rPr>
          <w:rFonts w:ascii="Garamond" w:eastAsia="Garamond" w:hAnsi="Garamond" w:cs="Garamond"/>
        </w:rPr>
      </w:pPr>
      <w:r w:rsidRPr="00FB426D">
        <w:rPr>
          <w:rFonts w:ascii="Garamond" w:eastAsia="Garamond" w:hAnsi="Garamond" w:cs="Garamond"/>
        </w:rPr>
        <w:t xml:space="preserve">The Board </w:t>
      </w:r>
      <w:r>
        <w:rPr>
          <w:rFonts w:ascii="Garamond" w:eastAsia="Garamond" w:hAnsi="Garamond" w:cs="Garamond"/>
        </w:rPr>
        <w:t>asked</w:t>
      </w:r>
      <w:r w:rsidRPr="00FB426D">
        <w:rPr>
          <w:rFonts w:ascii="Garamond" w:eastAsia="Garamond" w:hAnsi="Garamond" w:cs="Garamond"/>
        </w:rPr>
        <w:t xml:space="preserve"> 13 written </w:t>
      </w:r>
      <w:r>
        <w:rPr>
          <w:rFonts w:ascii="Garamond" w:eastAsia="Garamond" w:hAnsi="Garamond" w:cs="Garamond"/>
        </w:rPr>
        <w:t xml:space="preserve">questions </w:t>
      </w:r>
      <w:r w:rsidRPr="00FB426D">
        <w:rPr>
          <w:rFonts w:ascii="Garamond" w:eastAsia="Garamond" w:hAnsi="Garamond" w:cs="Garamond"/>
        </w:rPr>
        <w:t>to Meta, focusing on the company’s strategies for managing content associated with the conflict in Sudan, the use of automated systems and ranking models, procedures concerning the classification of dangerous organizations and individuals, the reasons behind labeling the RSF as a Tier 1 terrorist group, and how this classification affect</w:t>
      </w:r>
      <w:r>
        <w:rPr>
          <w:rFonts w:ascii="Garamond" w:eastAsia="Garamond" w:hAnsi="Garamond" w:cs="Garamond"/>
        </w:rPr>
        <w:t>ed</w:t>
      </w:r>
      <w:r w:rsidRPr="00FB426D">
        <w:rPr>
          <w:rFonts w:ascii="Garamond" w:eastAsia="Garamond" w:hAnsi="Garamond" w:cs="Garamond"/>
        </w:rPr>
        <w:t xml:space="preserve"> information access in Sudan. Meta responded to each of these questions.</w:t>
      </w:r>
    </w:p>
    <w:p w14:paraId="595D7412" w14:textId="57283F62" w:rsidR="00FB426D" w:rsidRDefault="00FB426D" w:rsidP="00FB426D">
      <w:pPr>
        <w:pBdr>
          <w:top w:val="nil"/>
          <w:left w:val="nil"/>
          <w:bottom w:val="nil"/>
          <w:right w:val="nil"/>
          <w:between w:val="nil"/>
        </w:pBdr>
        <w:spacing w:line="276" w:lineRule="auto"/>
        <w:ind w:left="284"/>
        <w:jc w:val="both"/>
        <w:rPr>
          <w:rFonts w:ascii="Garamond" w:eastAsia="Garamond" w:hAnsi="Garamond" w:cs="Garamond"/>
        </w:rPr>
      </w:pPr>
    </w:p>
    <w:p w14:paraId="727C3731" w14:textId="7BF929B4" w:rsidR="00FB426D" w:rsidRDefault="00761B42" w:rsidP="00FB426D">
      <w:pPr>
        <w:pBdr>
          <w:top w:val="nil"/>
          <w:left w:val="nil"/>
          <w:bottom w:val="nil"/>
          <w:right w:val="nil"/>
          <w:between w:val="nil"/>
        </w:pBdr>
        <w:spacing w:line="276" w:lineRule="auto"/>
        <w:ind w:left="284"/>
        <w:jc w:val="both"/>
        <w:rPr>
          <w:rFonts w:ascii="Garamond" w:eastAsia="Garamond" w:hAnsi="Garamond" w:cs="Garamond"/>
        </w:rPr>
      </w:pPr>
      <w:r>
        <w:rPr>
          <w:rFonts w:ascii="Garamond" w:eastAsia="Garamond" w:hAnsi="Garamond" w:cs="Garamond"/>
        </w:rPr>
        <w:t>Meta explained that its initial decision to keep the content up was because the automated systems did not prioritize the content for human review. Automated systems prioritize content for review based on the severity of possible violation, the content’s virality and likelihood of the violation. Reports with lower priority ranks were typically closed after 48 hours. Users reported this content four times for “terrorism”, “hate speech”, and “violence”.  The reports weren’t prioritized due to low severity and low virality. One of the users appealed the decision and the appeal was automatically closed due to COVID-19 automation policies. Meta introduced these policies in 2020 to reduce the number of reports sent to human reviewers while prioritizing “high-risk” reports. [</w:t>
      </w:r>
      <w:hyperlink r:id="rId10" w:history="1">
        <w:r w:rsidRPr="00E36078">
          <w:rPr>
            <w:rStyle w:val="Hyperlink"/>
            <w:rFonts w:ascii="Garamond" w:eastAsia="Garamond" w:hAnsi="Garamond" w:cs="Garamond"/>
            <w:i/>
            <w:iCs/>
          </w:rPr>
          <w:t>Holocaust Denial</w:t>
        </w:r>
      </w:hyperlink>
      <w:r>
        <w:rPr>
          <w:rFonts w:ascii="Garamond" w:eastAsia="Garamond" w:hAnsi="Garamond" w:cs="Garamond"/>
        </w:rPr>
        <w:t xml:space="preserve"> decision]</w:t>
      </w:r>
    </w:p>
    <w:p w14:paraId="19FDE6B2" w14:textId="77777777" w:rsidR="00E36078" w:rsidRDefault="00E36078" w:rsidP="00FB26EA">
      <w:pPr>
        <w:pBdr>
          <w:top w:val="nil"/>
          <w:left w:val="nil"/>
          <w:bottom w:val="nil"/>
          <w:right w:val="nil"/>
          <w:between w:val="nil"/>
        </w:pBdr>
        <w:spacing w:line="276" w:lineRule="auto"/>
        <w:jc w:val="both"/>
        <w:rPr>
          <w:rFonts w:ascii="Garamond" w:eastAsia="Garamond" w:hAnsi="Garamond" w:cs="Garamond"/>
        </w:rPr>
      </w:pPr>
    </w:p>
    <w:p w14:paraId="4606E9E8" w14:textId="42DF982F" w:rsidR="00E36078" w:rsidRPr="00761B42" w:rsidRDefault="00E36078" w:rsidP="00FB426D">
      <w:pPr>
        <w:pBdr>
          <w:top w:val="nil"/>
          <w:left w:val="nil"/>
          <w:bottom w:val="nil"/>
          <w:right w:val="nil"/>
          <w:between w:val="nil"/>
        </w:pBdr>
        <w:spacing w:line="276" w:lineRule="auto"/>
        <w:ind w:left="284"/>
        <w:jc w:val="both"/>
        <w:rPr>
          <w:rFonts w:ascii="Garamond" w:eastAsia="Garamond" w:hAnsi="Garamond" w:cs="Garamond"/>
        </w:rPr>
      </w:pPr>
      <w:r>
        <w:rPr>
          <w:rFonts w:ascii="Garamond" w:eastAsia="Garamond" w:hAnsi="Garamond" w:cs="Garamond"/>
        </w:rPr>
        <w:t xml:space="preserve">Meta informed that the Board </w:t>
      </w:r>
      <w:r w:rsidR="00FB26EA">
        <w:rPr>
          <w:rFonts w:ascii="Garamond" w:eastAsia="Garamond" w:hAnsi="Garamond" w:cs="Garamond"/>
        </w:rPr>
        <w:t>that it removed the content as it concluded a video depicting a member of the designated Tier 1 RSF speaking about the organization’s activities without a condemning, neutrally discussing, or news reporting caption violated the DOI policy.</w:t>
      </w:r>
    </w:p>
    <w:p w14:paraId="3B8F51D8" w14:textId="77777777" w:rsidR="00BC1499" w:rsidRDefault="00BC1499">
      <w:pPr>
        <w:pBdr>
          <w:top w:val="nil"/>
          <w:left w:val="nil"/>
          <w:bottom w:val="nil"/>
          <w:right w:val="nil"/>
          <w:between w:val="nil"/>
        </w:pBdr>
        <w:spacing w:line="276" w:lineRule="auto"/>
        <w:jc w:val="both"/>
        <w:rPr>
          <w:rFonts w:ascii="Garamond" w:eastAsia="Garamond" w:hAnsi="Garamond" w:cs="Garamond"/>
        </w:rPr>
      </w:pPr>
    </w:p>
    <w:p w14:paraId="0443AE3A" w14:textId="2C012DF1" w:rsidR="00BC1499" w:rsidRPr="00FB26EA" w:rsidRDefault="00000000" w:rsidP="00FB26EA">
      <w:pPr>
        <w:pStyle w:val="ListParagraph"/>
        <w:numPr>
          <w:ilvl w:val="0"/>
          <w:numId w:val="12"/>
        </w:numPr>
        <w:pBdr>
          <w:top w:val="nil"/>
          <w:left w:val="nil"/>
          <w:bottom w:val="nil"/>
          <w:right w:val="nil"/>
          <w:between w:val="nil"/>
        </w:pBdr>
        <w:spacing w:line="276" w:lineRule="auto"/>
        <w:jc w:val="both"/>
        <w:rPr>
          <w:rFonts w:ascii="Garamond" w:eastAsia="Garamond" w:hAnsi="Garamond" w:cs="Garamond"/>
        </w:rPr>
      </w:pPr>
      <w:r w:rsidRPr="00FB26EA">
        <w:rPr>
          <w:rFonts w:ascii="Garamond" w:eastAsia="Garamond" w:hAnsi="Garamond" w:cs="Garamond"/>
        </w:rPr>
        <w:t>Compliance with Meta’s content policies</w:t>
      </w:r>
    </w:p>
    <w:p w14:paraId="3371B388" w14:textId="77777777" w:rsidR="00FB26EA" w:rsidRDefault="00FB26EA" w:rsidP="00FB26EA">
      <w:pPr>
        <w:pBdr>
          <w:top w:val="nil"/>
          <w:left w:val="nil"/>
          <w:bottom w:val="nil"/>
          <w:right w:val="nil"/>
          <w:between w:val="nil"/>
        </w:pBdr>
        <w:spacing w:line="276" w:lineRule="auto"/>
        <w:ind w:left="360"/>
        <w:jc w:val="both"/>
        <w:rPr>
          <w:rFonts w:ascii="Garamond" w:eastAsia="Garamond" w:hAnsi="Garamond" w:cs="Garamond"/>
        </w:rPr>
      </w:pPr>
    </w:p>
    <w:p w14:paraId="5F7179B2" w14:textId="0D33B881" w:rsidR="00FB26EA" w:rsidRDefault="00FB26EA" w:rsidP="00FB26EA">
      <w:pPr>
        <w:pBdr>
          <w:top w:val="nil"/>
          <w:left w:val="nil"/>
          <w:bottom w:val="nil"/>
          <w:right w:val="nil"/>
          <w:between w:val="nil"/>
        </w:pBdr>
        <w:spacing w:line="276" w:lineRule="auto"/>
        <w:ind w:left="360"/>
        <w:jc w:val="both"/>
        <w:rPr>
          <w:rFonts w:ascii="Garamond" w:eastAsia="Garamond" w:hAnsi="Garamond" w:cs="Garamond"/>
          <w:u w:val="single"/>
        </w:rPr>
      </w:pPr>
      <w:r>
        <w:rPr>
          <w:rFonts w:ascii="Garamond" w:eastAsia="Garamond" w:hAnsi="Garamond" w:cs="Garamond"/>
          <w:u w:val="single"/>
        </w:rPr>
        <w:t xml:space="preserve">Dangerous Organizations and Individuals policy </w:t>
      </w:r>
    </w:p>
    <w:p w14:paraId="0A4C47B2" w14:textId="77777777" w:rsidR="00FB26EA" w:rsidRDefault="00FB26EA" w:rsidP="00FB26EA">
      <w:pPr>
        <w:pBdr>
          <w:top w:val="nil"/>
          <w:left w:val="nil"/>
          <w:bottom w:val="nil"/>
          <w:right w:val="nil"/>
          <w:between w:val="nil"/>
        </w:pBdr>
        <w:spacing w:line="276" w:lineRule="auto"/>
        <w:ind w:left="360"/>
        <w:jc w:val="both"/>
        <w:rPr>
          <w:rFonts w:ascii="Garamond" w:eastAsia="Garamond" w:hAnsi="Garamond" w:cs="Garamond"/>
          <w:u w:val="single"/>
        </w:rPr>
      </w:pPr>
    </w:p>
    <w:p w14:paraId="31A981D6" w14:textId="5D9EF5B2" w:rsidR="00FB26EA" w:rsidRDefault="00FB26EA" w:rsidP="00FB26EA">
      <w:pPr>
        <w:pBdr>
          <w:top w:val="nil"/>
          <w:left w:val="nil"/>
          <w:bottom w:val="nil"/>
          <w:right w:val="nil"/>
          <w:between w:val="nil"/>
        </w:pBdr>
        <w:spacing w:line="276" w:lineRule="auto"/>
        <w:ind w:left="360"/>
        <w:jc w:val="both"/>
        <w:rPr>
          <w:rFonts w:ascii="Garamond" w:eastAsia="Garamond" w:hAnsi="Garamond" w:cs="Garamond"/>
        </w:rPr>
      </w:pPr>
      <w:r>
        <w:rPr>
          <w:rFonts w:ascii="Garamond" w:eastAsia="Garamond" w:hAnsi="Garamond" w:cs="Garamond"/>
        </w:rPr>
        <w:t>The Board found that the content violated the DOI policy as it supported a designated Tier 1 organization. The Board agreed with Meta that the content contained “substantive support” as the video depicted a RSF member speaking of the RSF’s activitie</w:t>
      </w:r>
      <w:r w:rsidR="001C3BD0">
        <w:rPr>
          <w:rFonts w:ascii="Garamond" w:eastAsia="Garamond" w:hAnsi="Garamond" w:cs="Garamond"/>
        </w:rPr>
        <w:t xml:space="preserve">s without a caption condemning, neutrally discussing or reporting on such activities. </w:t>
      </w:r>
    </w:p>
    <w:p w14:paraId="02F75906" w14:textId="77777777" w:rsidR="001C3BD0" w:rsidRDefault="001C3BD0" w:rsidP="00FB26EA">
      <w:pPr>
        <w:pBdr>
          <w:top w:val="nil"/>
          <w:left w:val="nil"/>
          <w:bottom w:val="nil"/>
          <w:right w:val="nil"/>
          <w:between w:val="nil"/>
        </w:pBdr>
        <w:spacing w:line="276" w:lineRule="auto"/>
        <w:ind w:left="360"/>
        <w:jc w:val="both"/>
        <w:rPr>
          <w:rFonts w:ascii="Garamond" w:eastAsia="Garamond" w:hAnsi="Garamond" w:cs="Garamond"/>
        </w:rPr>
      </w:pPr>
    </w:p>
    <w:p w14:paraId="4BF891BB" w14:textId="69813515" w:rsidR="001C3BD0" w:rsidRDefault="001C3BD0" w:rsidP="00FB26EA">
      <w:pPr>
        <w:pBdr>
          <w:top w:val="nil"/>
          <w:left w:val="nil"/>
          <w:bottom w:val="nil"/>
          <w:right w:val="nil"/>
          <w:between w:val="nil"/>
        </w:pBdr>
        <w:spacing w:line="276" w:lineRule="auto"/>
        <w:ind w:left="360"/>
        <w:jc w:val="both"/>
        <w:rPr>
          <w:rFonts w:ascii="Garamond" w:eastAsia="Garamond" w:hAnsi="Garamond" w:cs="Garamond"/>
        </w:rPr>
      </w:pPr>
      <w:r>
        <w:rPr>
          <w:rFonts w:ascii="Garamond" w:eastAsia="Garamond" w:hAnsi="Garamond" w:cs="Garamond"/>
        </w:rPr>
        <w:t>Moreover, Meta’s internal guidelines provided a non-exhaustive list of examples of written or visual elements indicting substitute support. The list included posts featuring self-proclaimed members of designated entities speaking about the organizations.</w:t>
      </w:r>
    </w:p>
    <w:p w14:paraId="337FA9FB" w14:textId="77777777" w:rsidR="00BC1499" w:rsidRDefault="00BC1499">
      <w:pPr>
        <w:pBdr>
          <w:top w:val="nil"/>
          <w:left w:val="nil"/>
          <w:bottom w:val="nil"/>
          <w:right w:val="nil"/>
          <w:between w:val="nil"/>
        </w:pBdr>
        <w:spacing w:line="276" w:lineRule="auto"/>
        <w:jc w:val="both"/>
        <w:rPr>
          <w:rFonts w:ascii="Garamond" w:eastAsia="Garamond" w:hAnsi="Garamond" w:cs="Garamond"/>
        </w:rPr>
      </w:pPr>
    </w:p>
    <w:p w14:paraId="6FA91D77" w14:textId="5146D82D" w:rsidR="001C3BD0" w:rsidRDefault="001C3BD0" w:rsidP="001C3BD0">
      <w:pPr>
        <w:pBdr>
          <w:top w:val="nil"/>
          <w:left w:val="nil"/>
          <w:bottom w:val="nil"/>
          <w:right w:val="nil"/>
          <w:between w:val="nil"/>
        </w:pBdr>
        <w:spacing w:line="276" w:lineRule="auto"/>
        <w:ind w:left="360"/>
        <w:jc w:val="both"/>
        <w:rPr>
          <w:rFonts w:ascii="Garamond" w:eastAsia="Garamond" w:hAnsi="Garamond" w:cs="Garamond"/>
          <w:u w:val="single"/>
        </w:rPr>
      </w:pPr>
      <w:r>
        <w:rPr>
          <w:rFonts w:ascii="Garamond" w:eastAsia="Garamond" w:hAnsi="Garamond" w:cs="Garamond"/>
          <w:u w:val="single"/>
        </w:rPr>
        <w:t xml:space="preserve">Coordinating Harm and Promoting Crime policy </w:t>
      </w:r>
    </w:p>
    <w:p w14:paraId="232CC3D5" w14:textId="77777777" w:rsidR="001C3BD0" w:rsidRDefault="001C3BD0" w:rsidP="001C3BD0">
      <w:pPr>
        <w:pBdr>
          <w:top w:val="nil"/>
          <w:left w:val="nil"/>
          <w:bottom w:val="nil"/>
          <w:right w:val="nil"/>
          <w:between w:val="nil"/>
        </w:pBdr>
        <w:spacing w:line="276" w:lineRule="auto"/>
        <w:ind w:left="360"/>
        <w:jc w:val="both"/>
        <w:rPr>
          <w:rFonts w:ascii="Garamond" w:eastAsia="Garamond" w:hAnsi="Garamond" w:cs="Garamond"/>
          <w:u w:val="single"/>
        </w:rPr>
      </w:pPr>
    </w:p>
    <w:p w14:paraId="4670C4FD" w14:textId="13E33B6B" w:rsidR="001C3BD0" w:rsidRDefault="001C3BD0" w:rsidP="00F312A0">
      <w:pPr>
        <w:pBdr>
          <w:top w:val="nil"/>
          <w:left w:val="nil"/>
          <w:bottom w:val="nil"/>
          <w:right w:val="nil"/>
          <w:between w:val="nil"/>
        </w:pBdr>
        <w:spacing w:line="276" w:lineRule="auto"/>
        <w:ind w:left="360"/>
        <w:rPr>
          <w:rFonts w:ascii="Garamond" w:eastAsia="Garamond" w:hAnsi="Garamond" w:cs="Garamond"/>
        </w:rPr>
      </w:pPr>
      <w:r>
        <w:rPr>
          <w:rFonts w:ascii="Garamond" w:eastAsia="Garamond" w:hAnsi="Garamond" w:cs="Garamond"/>
        </w:rPr>
        <w:t>The Board found the content violating of the Coordinating Harm and Promoting Crime policy. The policy prohibited outing the identity of a war prisoner amidst an armed conflict</w:t>
      </w:r>
      <w:r w:rsidR="00F312A0">
        <w:rPr>
          <w:rFonts w:ascii="Garamond" w:eastAsia="Garamond" w:hAnsi="Garamond" w:cs="Garamond"/>
        </w:rPr>
        <w:t xml:space="preserve"> with no policy exceptions and the policy was only enforced on escalation. Meta defined war prisoner as </w:t>
      </w:r>
      <w:r w:rsidR="00F312A0" w:rsidRPr="00F312A0">
        <w:rPr>
          <w:rFonts w:ascii="Garamond" w:eastAsia="Garamond" w:hAnsi="Garamond" w:cs="Garamond"/>
        </w:rPr>
        <w:t xml:space="preserve">a member of the military who is taken prisoner </w:t>
      </w:r>
      <w:r w:rsidR="00F312A0">
        <w:rPr>
          <w:rFonts w:ascii="Garamond" w:eastAsia="Garamond" w:hAnsi="Garamond" w:cs="Garamond"/>
        </w:rPr>
        <w:t xml:space="preserve">by </w:t>
      </w:r>
      <w:r w:rsidR="00F312A0" w:rsidRPr="00F312A0">
        <w:rPr>
          <w:rFonts w:ascii="Garamond" w:eastAsia="Garamond" w:hAnsi="Garamond" w:cs="Garamond"/>
        </w:rPr>
        <w:t>an enemy during or just after a conflict</w:t>
      </w:r>
      <w:r w:rsidR="00F312A0">
        <w:rPr>
          <w:rFonts w:ascii="Garamond" w:eastAsia="Garamond" w:hAnsi="Garamond" w:cs="Garamond"/>
        </w:rPr>
        <w:t xml:space="preserve">. The Board found the rule applicable to international armed conflicts and non-international armed conflicts. </w:t>
      </w:r>
    </w:p>
    <w:p w14:paraId="2113DCD9" w14:textId="77777777" w:rsidR="00F312A0" w:rsidRDefault="00F312A0" w:rsidP="00F312A0">
      <w:pPr>
        <w:pBdr>
          <w:top w:val="nil"/>
          <w:left w:val="nil"/>
          <w:bottom w:val="nil"/>
          <w:right w:val="nil"/>
          <w:between w:val="nil"/>
        </w:pBdr>
        <w:spacing w:line="276" w:lineRule="auto"/>
        <w:ind w:left="360"/>
        <w:rPr>
          <w:rFonts w:ascii="Garamond" w:eastAsia="Garamond" w:hAnsi="Garamond" w:cs="Garamond"/>
        </w:rPr>
      </w:pPr>
    </w:p>
    <w:p w14:paraId="413B7646" w14:textId="0B229B0B" w:rsidR="00BC1499" w:rsidRDefault="00F312A0" w:rsidP="00F312A0">
      <w:pPr>
        <w:pBdr>
          <w:top w:val="nil"/>
          <w:left w:val="nil"/>
          <w:bottom w:val="nil"/>
          <w:right w:val="nil"/>
          <w:between w:val="nil"/>
        </w:pBdr>
        <w:spacing w:line="276" w:lineRule="auto"/>
        <w:ind w:left="360"/>
        <w:rPr>
          <w:rFonts w:ascii="Garamond" w:eastAsia="Garamond" w:hAnsi="Garamond" w:cs="Garamond"/>
        </w:rPr>
      </w:pPr>
      <w:r>
        <w:rPr>
          <w:rFonts w:ascii="Garamond" w:eastAsia="Garamond" w:hAnsi="Garamond" w:cs="Garamond"/>
        </w:rPr>
        <w:t>The Board noted that the video showed an identifiable individual which the RSF member described as a “foreign captive: associated with the SAF. Accordingly, the Board found the content violating of the policy and should be removed.</w:t>
      </w:r>
    </w:p>
    <w:p w14:paraId="6FBCCFBF" w14:textId="77777777" w:rsidR="004E2D20" w:rsidRDefault="004E2D20" w:rsidP="00F312A0">
      <w:pPr>
        <w:pBdr>
          <w:top w:val="nil"/>
          <w:left w:val="nil"/>
          <w:bottom w:val="nil"/>
          <w:right w:val="nil"/>
          <w:between w:val="nil"/>
        </w:pBdr>
        <w:spacing w:line="276" w:lineRule="auto"/>
        <w:ind w:left="360"/>
        <w:rPr>
          <w:rFonts w:ascii="Garamond" w:eastAsia="Garamond" w:hAnsi="Garamond" w:cs="Garamond"/>
        </w:rPr>
      </w:pPr>
    </w:p>
    <w:p w14:paraId="737E6724" w14:textId="076105DE" w:rsidR="00F312A0" w:rsidRPr="00F312A0" w:rsidRDefault="00000000" w:rsidP="00F312A0">
      <w:pPr>
        <w:pStyle w:val="ListParagraph"/>
        <w:numPr>
          <w:ilvl w:val="0"/>
          <w:numId w:val="12"/>
        </w:numPr>
        <w:pBdr>
          <w:top w:val="nil"/>
          <w:left w:val="nil"/>
          <w:bottom w:val="nil"/>
          <w:right w:val="nil"/>
          <w:between w:val="nil"/>
        </w:pBdr>
        <w:spacing w:line="276" w:lineRule="auto"/>
        <w:jc w:val="both"/>
        <w:rPr>
          <w:rFonts w:ascii="Garamond" w:eastAsia="Garamond" w:hAnsi="Garamond" w:cs="Garamond"/>
        </w:rPr>
      </w:pPr>
      <w:r w:rsidRPr="00F312A0">
        <w:rPr>
          <w:rFonts w:ascii="Garamond" w:eastAsia="Garamond" w:hAnsi="Garamond" w:cs="Garamond"/>
        </w:rPr>
        <w:t xml:space="preserve">Compliance with Meta’s human rights </w:t>
      </w:r>
      <w:r w:rsidR="00F312A0" w:rsidRPr="00F312A0">
        <w:rPr>
          <w:rFonts w:ascii="Garamond" w:eastAsia="Garamond" w:hAnsi="Garamond" w:cs="Garamond"/>
        </w:rPr>
        <w:t>responsibilities</w:t>
      </w:r>
    </w:p>
    <w:p w14:paraId="29A60F22" w14:textId="77777777" w:rsidR="00F312A0" w:rsidRDefault="00F312A0" w:rsidP="00F312A0">
      <w:pPr>
        <w:pBdr>
          <w:top w:val="nil"/>
          <w:left w:val="nil"/>
          <w:bottom w:val="nil"/>
          <w:right w:val="nil"/>
          <w:between w:val="nil"/>
        </w:pBdr>
        <w:spacing w:line="276" w:lineRule="auto"/>
        <w:ind w:left="360"/>
        <w:jc w:val="both"/>
        <w:rPr>
          <w:rFonts w:ascii="Garamond" w:eastAsia="Garamond" w:hAnsi="Garamond" w:cs="Garamond"/>
        </w:rPr>
      </w:pPr>
    </w:p>
    <w:p w14:paraId="21352A1B" w14:textId="709BC746" w:rsidR="00BC1499" w:rsidRPr="00BB01A1" w:rsidRDefault="00000000" w:rsidP="00F312A0">
      <w:pPr>
        <w:pBdr>
          <w:top w:val="nil"/>
          <w:left w:val="nil"/>
          <w:bottom w:val="nil"/>
          <w:right w:val="nil"/>
          <w:between w:val="nil"/>
        </w:pBdr>
        <w:spacing w:line="276" w:lineRule="auto"/>
        <w:ind w:left="360"/>
        <w:jc w:val="both"/>
        <w:rPr>
          <w:rFonts w:ascii="Garamond" w:eastAsia="Garamond" w:hAnsi="Garamond" w:cs="Garamond"/>
          <w:i/>
          <w:iCs/>
        </w:rPr>
      </w:pPr>
      <w:r w:rsidRPr="00F312A0">
        <w:rPr>
          <w:rFonts w:ascii="Garamond" w:eastAsia="Garamond" w:hAnsi="Garamond" w:cs="Garamond"/>
        </w:rPr>
        <w:t xml:space="preserve"> </w:t>
      </w:r>
      <w:r w:rsidR="004E2D20" w:rsidRPr="00BB01A1">
        <w:rPr>
          <w:rFonts w:ascii="Garamond" w:eastAsia="Garamond" w:hAnsi="Garamond" w:cs="Garamond"/>
          <w:i/>
          <w:iCs/>
        </w:rPr>
        <w:t>Freedom of Expression</w:t>
      </w:r>
    </w:p>
    <w:p w14:paraId="531150A2" w14:textId="77777777" w:rsidR="004E2D20" w:rsidRDefault="004E2D20" w:rsidP="00F312A0">
      <w:pPr>
        <w:pBdr>
          <w:top w:val="nil"/>
          <w:left w:val="nil"/>
          <w:bottom w:val="nil"/>
          <w:right w:val="nil"/>
          <w:between w:val="nil"/>
        </w:pBdr>
        <w:spacing w:line="276" w:lineRule="auto"/>
        <w:ind w:left="360"/>
        <w:jc w:val="both"/>
        <w:rPr>
          <w:rFonts w:ascii="Garamond" w:eastAsia="Garamond" w:hAnsi="Garamond" w:cs="Garamond"/>
          <w:u w:val="single"/>
        </w:rPr>
      </w:pPr>
    </w:p>
    <w:p w14:paraId="2DDD4783" w14:textId="5FF9592C" w:rsidR="004E2D20" w:rsidRDefault="004E2D20" w:rsidP="00F312A0">
      <w:pPr>
        <w:pBdr>
          <w:top w:val="nil"/>
          <w:left w:val="nil"/>
          <w:bottom w:val="nil"/>
          <w:right w:val="nil"/>
          <w:between w:val="nil"/>
        </w:pBdr>
        <w:spacing w:line="276" w:lineRule="auto"/>
        <w:ind w:left="360"/>
        <w:jc w:val="both"/>
        <w:rPr>
          <w:rFonts w:ascii="Garamond" w:eastAsia="Garamond" w:hAnsi="Garamond" w:cs="Garamond"/>
        </w:rPr>
      </w:pPr>
      <w:r>
        <w:rPr>
          <w:rFonts w:ascii="Garamond" w:eastAsia="Garamond" w:hAnsi="Garamond" w:cs="Garamond"/>
        </w:rPr>
        <w:t xml:space="preserve">The Board recognized the importance of social media platforms during armed conflicts as means of disseminating and received crucial information, especially when social media was the main source of information. However, the Board also highlighted the importance of removing content that was likely to incite more violence during these armed conflicts. The Board implemented the </w:t>
      </w:r>
      <w:r w:rsidR="00BB01A1">
        <w:rPr>
          <w:rFonts w:ascii="Garamond" w:eastAsia="Garamond" w:hAnsi="Garamond" w:cs="Garamond"/>
        </w:rPr>
        <w:t>three-part</w:t>
      </w:r>
      <w:r>
        <w:rPr>
          <w:rFonts w:ascii="Garamond" w:eastAsia="Garamond" w:hAnsi="Garamond" w:cs="Garamond"/>
        </w:rPr>
        <w:t xml:space="preserve"> test stipulated in article 19(3) of the International Covenant on Civil and Political Rights (ICCPR).</w:t>
      </w:r>
    </w:p>
    <w:p w14:paraId="7098F189" w14:textId="367716FF" w:rsidR="004E2D20" w:rsidRPr="004E2D20" w:rsidRDefault="004E2D20" w:rsidP="00F312A0">
      <w:pPr>
        <w:pBdr>
          <w:top w:val="nil"/>
          <w:left w:val="nil"/>
          <w:bottom w:val="nil"/>
          <w:right w:val="nil"/>
          <w:between w:val="nil"/>
        </w:pBdr>
        <w:spacing w:line="276" w:lineRule="auto"/>
        <w:ind w:left="360"/>
        <w:jc w:val="both"/>
        <w:rPr>
          <w:rFonts w:ascii="Garamond" w:eastAsia="Garamond" w:hAnsi="Garamond" w:cs="Garamond"/>
        </w:rPr>
      </w:pPr>
      <w:r>
        <w:rPr>
          <w:rFonts w:ascii="Garamond" w:eastAsia="Garamond" w:hAnsi="Garamond" w:cs="Garamond"/>
        </w:rPr>
        <w:t xml:space="preserve"> </w:t>
      </w:r>
    </w:p>
    <w:p w14:paraId="0F9D1D03" w14:textId="0C04A1E8" w:rsidR="00BC1499" w:rsidRPr="00BB01A1" w:rsidRDefault="00000000" w:rsidP="00BB01A1">
      <w:pPr>
        <w:pStyle w:val="ListParagraph"/>
        <w:numPr>
          <w:ilvl w:val="0"/>
          <w:numId w:val="14"/>
        </w:numPr>
        <w:pBdr>
          <w:top w:val="nil"/>
          <w:left w:val="nil"/>
          <w:bottom w:val="nil"/>
          <w:right w:val="nil"/>
          <w:between w:val="nil"/>
        </w:pBdr>
        <w:spacing w:line="276" w:lineRule="auto"/>
        <w:jc w:val="both"/>
        <w:rPr>
          <w:rFonts w:ascii="Garamond" w:eastAsia="Garamond" w:hAnsi="Garamond" w:cs="Garamond"/>
        </w:rPr>
      </w:pPr>
      <w:r w:rsidRPr="00BB01A1">
        <w:rPr>
          <w:rFonts w:ascii="Garamond" w:eastAsia="Garamond" w:hAnsi="Garamond" w:cs="Garamond"/>
        </w:rPr>
        <w:t>Legality (clarity and accessibility of the rules)</w:t>
      </w:r>
    </w:p>
    <w:p w14:paraId="428BE608" w14:textId="77777777" w:rsidR="00BB01A1" w:rsidRDefault="00BB01A1" w:rsidP="00BB01A1">
      <w:pPr>
        <w:pBdr>
          <w:top w:val="nil"/>
          <w:left w:val="nil"/>
          <w:bottom w:val="nil"/>
          <w:right w:val="nil"/>
          <w:between w:val="nil"/>
        </w:pBdr>
        <w:spacing w:line="276" w:lineRule="auto"/>
        <w:jc w:val="both"/>
        <w:rPr>
          <w:rFonts w:ascii="Garamond" w:eastAsia="Garamond" w:hAnsi="Garamond" w:cs="Garamond"/>
        </w:rPr>
      </w:pPr>
    </w:p>
    <w:p w14:paraId="227F2411" w14:textId="04EFF398" w:rsidR="00BB01A1" w:rsidRDefault="00BB01A1" w:rsidP="00BB01A1">
      <w:pPr>
        <w:pBdr>
          <w:top w:val="nil"/>
          <w:left w:val="nil"/>
          <w:bottom w:val="nil"/>
          <w:right w:val="nil"/>
          <w:between w:val="nil"/>
        </w:pBdr>
        <w:spacing w:line="276" w:lineRule="auto"/>
        <w:ind w:left="426"/>
        <w:jc w:val="both"/>
        <w:rPr>
          <w:rFonts w:ascii="Garamond" w:eastAsia="Garamond" w:hAnsi="Garamond" w:cs="Garamond"/>
        </w:rPr>
      </w:pPr>
      <w:r>
        <w:rPr>
          <w:rFonts w:ascii="Garamond" w:eastAsia="Garamond" w:hAnsi="Garamond" w:cs="Garamond"/>
        </w:rPr>
        <w:t xml:space="preserve">The principle of legality required rules restricting expression to be clear and accessible. In the context of social media, this means users must have access to clear guidelines on what is permitted on a platform and what is not while moderators enforcing the rules must have clear guidance on such enforcement. </w:t>
      </w:r>
    </w:p>
    <w:p w14:paraId="0C477A1E" w14:textId="77777777" w:rsidR="00BB01A1" w:rsidRDefault="00BB01A1" w:rsidP="00BB01A1">
      <w:pPr>
        <w:pBdr>
          <w:top w:val="nil"/>
          <w:left w:val="nil"/>
          <w:bottom w:val="nil"/>
          <w:right w:val="nil"/>
          <w:between w:val="nil"/>
        </w:pBdr>
        <w:spacing w:line="276" w:lineRule="auto"/>
        <w:ind w:left="426"/>
        <w:jc w:val="both"/>
        <w:rPr>
          <w:rFonts w:ascii="Garamond" w:eastAsia="Garamond" w:hAnsi="Garamond" w:cs="Garamond"/>
        </w:rPr>
      </w:pPr>
    </w:p>
    <w:p w14:paraId="702783D1" w14:textId="1FEC69DE" w:rsidR="00BB01A1" w:rsidRDefault="00BB01A1" w:rsidP="00BB01A1">
      <w:pPr>
        <w:pBdr>
          <w:top w:val="nil"/>
          <w:left w:val="nil"/>
          <w:bottom w:val="nil"/>
          <w:right w:val="nil"/>
          <w:between w:val="nil"/>
        </w:pBdr>
        <w:spacing w:line="276" w:lineRule="auto"/>
        <w:ind w:left="426"/>
        <w:jc w:val="both"/>
        <w:rPr>
          <w:rFonts w:ascii="Garamond" w:eastAsia="Garamond" w:hAnsi="Garamond" w:cs="Garamond"/>
          <w:u w:val="single"/>
        </w:rPr>
      </w:pPr>
      <w:r>
        <w:rPr>
          <w:rFonts w:ascii="Garamond" w:eastAsia="Garamond" w:hAnsi="Garamond" w:cs="Garamond"/>
          <w:u w:val="single"/>
        </w:rPr>
        <w:t xml:space="preserve">Dangerous Organizations and Individuals </w:t>
      </w:r>
    </w:p>
    <w:p w14:paraId="4030B55B" w14:textId="77777777" w:rsidR="00BB01A1" w:rsidRDefault="00BB01A1" w:rsidP="00BB01A1">
      <w:pPr>
        <w:pBdr>
          <w:top w:val="nil"/>
          <w:left w:val="nil"/>
          <w:bottom w:val="nil"/>
          <w:right w:val="nil"/>
          <w:between w:val="nil"/>
        </w:pBdr>
        <w:spacing w:line="276" w:lineRule="auto"/>
        <w:ind w:left="426"/>
        <w:jc w:val="both"/>
        <w:rPr>
          <w:rFonts w:ascii="Garamond" w:eastAsia="Garamond" w:hAnsi="Garamond" w:cs="Garamond"/>
          <w:u w:val="single"/>
        </w:rPr>
      </w:pPr>
    </w:p>
    <w:p w14:paraId="4899D7CA" w14:textId="73F77059" w:rsidR="00BB01A1" w:rsidRDefault="00BB01A1" w:rsidP="00BB01A1">
      <w:pPr>
        <w:pBdr>
          <w:top w:val="nil"/>
          <w:left w:val="nil"/>
          <w:bottom w:val="nil"/>
          <w:right w:val="nil"/>
          <w:between w:val="nil"/>
        </w:pBdr>
        <w:spacing w:line="276" w:lineRule="auto"/>
        <w:ind w:left="426"/>
        <w:jc w:val="both"/>
        <w:rPr>
          <w:rFonts w:ascii="Garamond" w:eastAsia="Garamond" w:hAnsi="Garamond" w:cs="Garamond"/>
        </w:rPr>
      </w:pPr>
      <w:r>
        <w:rPr>
          <w:rFonts w:ascii="Garamond" w:eastAsia="Garamond" w:hAnsi="Garamond" w:cs="Garamond"/>
        </w:rPr>
        <w:t xml:space="preserve">The Board emphasized that the terms “praise” and “support” were vague and reiterated its criticism for the list of designated organizations being inaccessible to users as it was publicly published. Meta explained that it designated entities that have been designated as terrorists by the United States government. While Meta’s tier designated extended beyond the U.S. designations, the Board recognized that most of the list was based on the U.S. designations. The Board recommended Meta hyperlink to the </w:t>
      </w:r>
      <w:r w:rsidRPr="00BB01A1">
        <w:rPr>
          <w:rFonts w:ascii="Garamond" w:eastAsia="Garamond" w:hAnsi="Garamond" w:cs="Garamond"/>
        </w:rPr>
        <w:t xml:space="preserve">Foreign Terrorist Organizations </w:t>
      </w:r>
      <w:r>
        <w:rPr>
          <w:rFonts w:ascii="Garamond" w:eastAsia="Garamond" w:hAnsi="Garamond" w:cs="Garamond"/>
        </w:rPr>
        <w:t>and</w:t>
      </w:r>
      <w:r w:rsidRPr="00BB01A1">
        <w:rPr>
          <w:rFonts w:ascii="Garamond" w:eastAsia="Garamond" w:hAnsi="Garamond" w:cs="Garamond"/>
        </w:rPr>
        <w:t xml:space="preserve"> Specially Designated Global Terrorists </w:t>
      </w:r>
      <w:r>
        <w:rPr>
          <w:rFonts w:ascii="Garamond" w:eastAsia="Garamond" w:hAnsi="Garamond" w:cs="Garamond"/>
        </w:rPr>
        <w:t>designated by the U.S. government in its policy to increase clarity for users.</w:t>
      </w:r>
    </w:p>
    <w:p w14:paraId="78EDE7AE" w14:textId="77777777" w:rsidR="00BB01A1" w:rsidRDefault="00BB01A1" w:rsidP="00BB01A1">
      <w:pPr>
        <w:pBdr>
          <w:top w:val="nil"/>
          <w:left w:val="nil"/>
          <w:bottom w:val="nil"/>
          <w:right w:val="nil"/>
          <w:between w:val="nil"/>
        </w:pBdr>
        <w:spacing w:line="276" w:lineRule="auto"/>
        <w:ind w:left="426"/>
        <w:jc w:val="both"/>
        <w:rPr>
          <w:rFonts w:ascii="Garamond" w:eastAsia="Garamond" w:hAnsi="Garamond" w:cs="Garamond"/>
        </w:rPr>
      </w:pPr>
    </w:p>
    <w:p w14:paraId="3556302B" w14:textId="1A8ADA6B" w:rsidR="00BB01A1" w:rsidRDefault="00BB01A1" w:rsidP="00BB01A1">
      <w:pPr>
        <w:pBdr>
          <w:top w:val="nil"/>
          <w:left w:val="nil"/>
          <w:bottom w:val="nil"/>
          <w:right w:val="nil"/>
          <w:between w:val="nil"/>
        </w:pBdr>
        <w:spacing w:line="276" w:lineRule="auto"/>
        <w:ind w:left="426"/>
        <w:jc w:val="both"/>
        <w:rPr>
          <w:rFonts w:ascii="Garamond" w:eastAsia="Garamond" w:hAnsi="Garamond" w:cs="Garamond"/>
        </w:rPr>
      </w:pPr>
      <w:r>
        <w:rPr>
          <w:rFonts w:ascii="Garamond" w:eastAsia="Garamond" w:hAnsi="Garamond" w:cs="Garamond"/>
        </w:rPr>
        <w:t>However, the Board highlighted that the RSF hadn’t been designated by the U.S. government while Meta designated it as a Tier 1 organization. The Board underlined its recommendation in the “</w:t>
      </w:r>
      <w:hyperlink r:id="rId11" w:history="1">
        <w:r w:rsidRPr="00BB01A1">
          <w:rPr>
            <w:rStyle w:val="Hyperlink"/>
            <w:rFonts w:ascii="Garamond" w:eastAsia="Garamond" w:hAnsi="Garamond" w:cs="Garamond"/>
            <w:i/>
            <w:iCs/>
          </w:rPr>
          <w:t>Nazi Qu</w:t>
        </w:r>
        <w:r w:rsidRPr="00BB01A1">
          <w:rPr>
            <w:rStyle w:val="Hyperlink"/>
            <w:rFonts w:ascii="Garamond" w:eastAsia="Garamond" w:hAnsi="Garamond" w:cs="Garamond"/>
            <w:i/>
            <w:iCs/>
          </w:rPr>
          <w:t>o</w:t>
        </w:r>
        <w:r w:rsidRPr="00BB01A1">
          <w:rPr>
            <w:rStyle w:val="Hyperlink"/>
            <w:rFonts w:ascii="Garamond" w:eastAsia="Garamond" w:hAnsi="Garamond" w:cs="Garamond"/>
            <w:i/>
            <w:iCs/>
          </w:rPr>
          <w:t>te</w:t>
        </w:r>
      </w:hyperlink>
      <w:r>
        <w:rPr>
          <w:rFonts w:ascii="Garamond" w:eastAsia="Garamond" w:hAnsi="Garamond" w:cs="Garamond"/>
        </w:rPr>
        <w:t>” decision for Meta to publish the list of designated groups and individuals which Meta declined to implement.</w:t>
      </w:r>
    </w:p>
    <w:p w14:paraId="3C4391A5" w14:textId="77777777" w:rsidR="00BB01A1" w:rsidRDefault="00BB01A1" w:rsidP="00BB01A1">
      <w:pPr>
        <w:pBdr>
          <w:top w:val="nil"/>
          <w:left w:val="nil"/>
          <w:bottom w:val="nil"/>
          <w:right w:val="nil"/>
          <w:between w:val="nil"/>
        </w:pBdr>
        <w:spacing w:line="276" w:lineRule="auto"/>
        <w:ind w:left="426"/>
        <w:jc w:val="both"/>
        <w:rPr>
          <w:rFonts w:ascii="Garamond" w:eastAsia="Garamond" w:hAnsi="Garamond" w:cs="Garamond"/>
        </w:rPr>
      </w:pPr>
    </w:p>
    <w:p w14:paraId="6E8EE0E3" w14:textId="3A2D36C9" w:rsidR="00BB01A1" w:rsidRDefault="00BB01A1" w:rsidP="00B737B3">
      <w:pPr>
        <w:pBdr>
          <w:top w:val="nil"/>
          <w:left w:val="nil"/>
          <w:bottom w:val="nil"/>
          <w:right w:val="nil"/>
          <w:between w:val="nil"/>
        </w:pBdr>
        <w:spacing w:line="276" w:lineRule="auto"/>
        <w:ind w:left="426"/>
        <w:jc w:val="both"/>
        <w:rPr>
          <w:rFonts w:ascii="Garamond" w:eastAsia="Garamond" w:hAnsi="Garamond" w:cs="Garamond"/>
        </w:rPr>
      </w:pPr>
      <w:r w:rsidRPr="00B737B3">
        <w:rPr>
          <w:rFonts w:ascii="Garamond" w:eastAsia="Garamond" w:hAnsi="Garamond" w:cs="Garamond"/>
        </w:rPr>
        <w:t xml:space="preserve">The Board expressed concern that </w:t>
      </w:r>
      <w:r w:rsidR="00B737B3" w:rsidRPr="00B737B3">
        <w:rPr>
          <w:rFonts w:ascii="Garamond" w:eastAsia="Garamond" w:hAnsi="Garamond" w:cs="Garamond"/>
        </w:rPr>
        <w:t>there was a disproportionate impact on access to information in Sudan given the designation of RSF as a Tier 1 terrorist organization alongside the lack of transparency on such designation. The Board urged Meta to be more transparent, especially when making decisions in regions affected by armed conflicts where social media was the main source of information dissemination</w:t>
      </w:r>
      <w:r w:rsidR="00B737B3">
        <w:rPr>
          <w:rFonts w:ascii="Garamond" w:eastAsia="Garamond" w:hAnsi="Garamond" w:cs="Garamond"/>
        </w:rPr>
        <w:t xml:space="preserve"> as the lack of transparency endangered the local population’s physical security. </w:t>
      </w:r>
    </w:p>
    <w:p w14:paraId="17AE246F" w14:textId="77777777" w:rsidR="00B737B3" w:rsidRDefault="00B737B3" w:rsidP="00B737B3">
      <w:pPr>
        <w:pBdr>
          <w:top w:val="nil"/>
          <w:left w:val="nil"/>
          <w:bottom w:val="nil"/>
          <w:right w:val="nil"/>
          <w:between w:val="nil"/>
        </w:pBdr>
        <w:spacing w:line="276" w:lineRule="auto"/>
        <w:ind w:left="426"/>
        <w:jc w:val="both"/>
        <w:rPr>
          <w:rFonts w:ascii="Garamond" w:eastAsia="Garamond" w:hAnsi="Garamond" w:cs="Garamond"/>
        </w:rPr>
      </w:pPr>
    </w:p>
    <w:p w14:paraId="56D0797E" w14:textId="717BDD74" w:rsidR="00B737B3" w:rsidRDefault="00B737B3" w:rsidP="00B737B3">
      <w:pPr>
        <w:pBdr>
          <w:top w:val="nil"/>
          <w:left w:val="nil"/>
          <w:bottom w:val="nil"/>
          <w:right w:val="nil"/>
          <w:between w:val="nil"/>
        </w:pBdr>
        <w:spacing w:line="276" w:lineRule="auto"/>
        <w:ind w:left="426"/>
        <w:jc w:val="both"/>
        <w:rPr>
          <w:rFonts w:ascii="Garamond" w:eastAsia="Garamond" w:hAnsi="Garamond" w:cs="Garamond"/>
        </w:rPr>
      </w:pPr>
      <w:r>
        <w:rPr>
          <w:rFonts w:ascii="Garamond" w:eastAsia="Garamond" w:hAnsi="Garamond" w:cs="Garamond"/>
        </w:rPr>
        <w:t xml:space="preserve">The Board recalled its recommendation from the </w:t>
      </w:r>
      <w:hyperlink r:id="rId12" w:history="1">
        <w:r w:rsidRPr="00B737B3">
          <w:rPr>
            <w:rStyle w:val="Hyperlink"/>
            <w:rFonts w:ascii="Garamond" w:eastAsia="Garamond" w:hAnsi="Garamond" w:cs="Garamond"/>
            <w:i/>
            <w:iCs/>
          </w:rPr>
          <w:t>“</w:t>
        </w:r>
        <w:r w:rsidRPr="00B737B3">
          <w:rPr>
            <w:rStyle w:val="Hyperlink"/>
            <w:rFonts w:ascii="Garamond" w:eastAsia="Garamond" w:hAnsi="Garamond" w:cs="Garamond"/>
            <w:i/>
            <w:iCs/>
          </w:rPr>
          <w:t>Referring to Designated Individuals as “Shaheed”</w:t>
        </w:r>
      </w:hyperlink>
      <w:r>
        <w:rPr>
          <w:rFonts w:ascii="Garamond" w:eastAsia="Garamond" w:hAnsi="Garamond" w:cs="Garamond"/>
        </w:rPr>
        <w:t>”</w:t>
      </w:r>
      <w:r w:rsidRPr="00B737B3">
        <w:rPr>
          <w:rFonts w:ascii="Garamond" w:eastAsia="Garamond" w:hAnsi="Garamond" w:cs="Garamond"/>
        </w:rPr>
        <w:t xml:space="preserve"> policy advisory opinion</w:t>
      </w:r>
      <w:r>
        <w:rPr>
          <w:rFonts w:ascii="Garamond" w:eastAsia="Garamond" w:hAnsi="Garamond" w:cs="Garamond"/>
        </w:rPr>
        <w:t xml:space="preserve"> for Meta to explain the procedure by which groups and individuals were designated in more detail. Additionally, the Board urged Meta to publish information on the total number of individuals and groups in each tier, and how many were added and removed in the past year. </w:t>
      </w:r>
    </w:p>
    <w:p w14:paraId="67C878C0" w14:textId="77777777" w:rsidR="00B737B3" w:rsidRDefault="00B737B3" w:rsidP="00B737B3">
      <w:pPr>
        <w:pBdr>
          <w:top w:val="nil"/>
          <w:left w:val="nil"/>
          <w:bottom w:val="nil"/>
          <w:right w:val="nil"/>
          <w:between w:val="nil"/>
        </w:pBdr>
        <w:spacing w:line="276" w:lineRule="auto"/>
        <w:ind w:left="426"/>
        <w:jc w:val="both"/>
        <w:rPr>
          <w:rFonts w:ascii="Garamond" w:eastAsia="Garamond" w:hAnsi="Garamond" w:cs="Garamond"/>
        </w:rPr>
      </w:pPr>
    </w:p>
    <w:p w14:paraId="2E5B70B0" w14:textId="2445D21D" w:rsidR="00B737B3" w:rsidRDefault="009725A6" w:rsidP="00B737B3">
      <w:pPr>
        <w:pBdr>
          <w:top w:val="nil"/>
          <w:left w:val="nil"/>
          <w:bottom w:val="nil"/>
          <w:right w:val="nil"/>
          <w:between w:val="nil"/>
        </w:pBdr>
        <w:spacing w:line="276" w:lineRule="auto"/>
        <w:ind w:left="426"/>
        <w:jc w:val="both"/>
        <w:rPr>
          <w:rFonts w:ascii="Garamond" w:eastAsia="Garamond" w:hAnsi="Garamond" w:cs="Garamond"/>
        </w:rPr>
      </w:pPr>
      <w:r w:rsidRPr="009725A6">
        <w:rPr>
          <w:rFonts w:ascii="Garamond" w:eastAsia="Garamond" w:hAnsi="Garamond" w:cs="Garamond"/>
        </w:rPr>
        <w:t xml:space="preserve">The Board reviewed Meta's enforcement of its policy prohibiting "substantive support" in the context of </w:t>
      </w:r>
      <w:r>
        <w:rPr>
          <w:rFonts w:ascii="Garamond" w:eastAsia="Garamond" w:hAnsi="Garamond" w:cs="Garamond"/>
        </w:rPr>
        <w:t xml:space="preserve">the situation </w:t>
      </w:r>
      <w:r w:rsidRPr="009725A6">
        <w:rPr>
          <w:rFonts w:ascii="Garamond" w:eastAsia="Garamond" w:hAnsi="Garamond" w:cs="Garamond"/>
        </w:rPr>
        <w:t>Sudan, finding it clearly defined and accessible, thus passing the legality test. Meta's revised policy, issued on December 29, 2023, simplifie</w:t>
      </w:r>
      <w:r>
        <w:rPr>
          <w:rFonts w:ascii="Garamond" w:eastAsia="Garamond" w:hAnsi="Garamond" w:cs="Garamond"/>
        </w:rPr>
        <w:t>d</w:t>
      </w:r>
      <w:r w:rsidRPr="009725A6">
        <w:rPr>
          <w:rFonts w:ascii="Garamond" w:eastAsia="Garamond" w:hAnsi="Garamond" w:cs="Garamond"/>
        </w:rPr>
        <w:t xml:space="preserve"> the term to "support" and introduces sub-categories of "material support" and "other support," with "channeling" now under "other support." The Board note</w:t>
      </w:r>
      <w:r>
        <w:rPr>
          <w:rFonts w:ascii="Garamond" w:eastAsia="Garamond" w:hAnsi="Garamond" w:cs="Garamond"/>
        </w:rPr>
        <w:t>d</w:t>
      </w:r>
      <w:r w:rsidRPr="009725A6">
        <w:rPr>
          <w:rFonts w:ascii="Garamond" w:eastAsia="Garamond" w:hAnsi="Garamond" w:cs="Garamond"/>
        </w:rPr>
        <w:t xml:space="preserve"> that despite these categorizations, the </w:t>
      </w:r>
      <w:r>
        <w:rPr>
          <w:rFonts w:ascii="Garamond" w:eastAsia="Garamond" w:hAnsi="Garamond" w:cs="Garamond"/>
        </w:rPr>
        <w:t xml:space="preserve">fundamental </w:t>
      </w:r>
      <w:r w:rsidRPr="009725A6">
        <w:rPr>
          <w:rFonts w:ascii="Garamond" w:eastAsia="Garamond" w:hAnsi="Garamond" w:cs="Garamond"/>
        </w:rPr>
        <w:t>rule ha</w:t>
      </w:r>
      <w:r>
        <w:rPr>
          <w:rFonts w:ascii="Garamond" w:eastAsia="Garamond" w:hAnsi="Garamond" w:cs="Garamond"/>
        </w:rPr>
        <w:t>d</w:t>
      </w:r>
      <w:r w:rsidRPr="009725A6">
        <w:rPr>
          <w:rFonts w:ascii="Garamond" w:eastAsia="Garamond" w:hAnsi="Garamond" w:cs="Garamond"/>
        </w:rPr>
        <w:t xml:space="preserve"> not significantly changed.</w:t>
      </w:r>
    </w:p>
    <w:p w14:paraId="2D0DA0D3" w14:textId="77777777" w:rsidR="009725A6" w:rsidRDefault="009725A6" w:rsidP="00B737B3">
      <w:pPr>
        <w:pBdr>
          <w:top w:val="nil"/>
          <w:left w:val="nil"/>
          <w:bottom w:val="nil"/>
          <w:right w:val="nil"/>
          <w:between w:val="nil"/>
        </w:pBdr>
        <w:spacing w:line="276" w:lineRule="auto"/>
        <w:ind w:left="426"/>
        <w:jc w:val="both"/>
        <w:rPr>
          <w:rFonts w:ascii="Garamond" w:eastAsia="Garamond" w:hAnsi="Garamond" w:cs="Garamond"/>
        </w:rPr>
      </w:pPr>
    </w:p>
    <w:p w14:paraId="75D48ABE" w14:textId="210D0357" w:rsidR="009725A6" w:rsidRDefault="009725A6" w:rsidP="009725A6">
      <w:pPr>
        <w:pBdr>
          <w:top w:val="nil"/>
          <w:left w:val="nil"/>
          <w:bottom w:val="nil"/>
          <w:right w:val="nil"/>
          <w:between w:val="nil"/>
        </w:pBdr>
        <w:spacing w:line="276" w:lineRule="auto"/>
        <w:ind w:left="426"/>
        <w:jc w:val="both"/>
        <w:rPr>
          <w:rFonts w:ascii="Garamond" w:eastAsia="Garamond" w:hAnsi="Garamond" w:cs="Garamond"/>
          <w:u w:val="single"/>
        </w:rPr>
      </w:pPr>
      <w:r>
        <w:rPr>
          <w:rFonts w:ascii="Garamond" w:eastAsia="Garamond" w:hAnsi="Garamond" w:cs="Garamond"/>
          <w:u w:val="single"/>
        </w:rPr>
        <w:t xml:space="preserve">Coordinating Harm and Promoting Crime </w:t>
      </w:r>
    </w:p>
    <w:p w14:paraId="12DFE48B" w14:textId="77777777" w:rsidR="009725A6" w:rsidRDefault="009725A6" w:rsidP="009725A6">
      <w:pPr>
        <w:pBdr>
          <w:top w:val="nil"/>
          <w:left w:val="nil"/>
          <w:bottom w:val="nil"/>
          <w:right w:val="nil"/>
          <w:between w:val="nil"/>
        </w:pBdr>
        <w:spacing w:line="276" w:lineRule="auto"/>
        <w:ind w:left="426"/>
        <w:jc w:val="both"/>
        <w:rPr>
          <w:rFonts w:ascii="Garamond" w:eastAsia="Garamond" w:hAnsi="Garamond" w:cs="Garamond"/>
          <w:u w:val="single"/>
        </w:rPr>
      </w:pPr>
    </w:p>
    <w:p w14:paraId="2A00EBB3" w14:textId="423296A2" w:rsidR="009725A6" w:rsidRPr="009725A6" w:rsidRDefault="009725A6" w:rsidP="009725A6">
      <w:pPr>
        <w:pBdr>
          <w:top w:val="nil"/>
          <w:left w:val="nil"/>
          <w:bottom w:val="nil"/>
          <w:right w:val="nil"/>
          <w:between w:val="nil"/>
        </w:pBdr>
        <w:spacing w:line="276" w:lineRule="auto"/>
        <w:ind w:left="426"/>
        <w:jc w:val="both"/>
        <w:rPr>
          <w:rFonts w:ascii="Garamond" w:eastAsia="Garamond" w:hAnsi="Garamond" w:cs="Garamond"/>
        </w:rPr>
      </w:pPr>
      <w:r>
        <w:rPr>
          <w:rFonts w:ascii="Garamond" w:eastAsia="Garamond" w:hAnsi="Garamond" w:cs="Garamond"/>
        </w:rPr>
        <w:t>The Board found the rule prohibiting exposing the identity of war prisoners clear and accessible to user which satisfied the legality principle.</w:t>
      </w:r>
    </w:p>
    <w:p w14:paraId="5F54F4B3" w14:textId="77777777" w:rsidR="009725A6" w:rsidRPr="00B737B3" w:rsidRDefault="009725A6" w:rsidP="00B737B3">
      <w:pPr>
        <w:pBdr>
          <w:top w:val="nil"/>
          <w:left w:val="nil"/>
          <w:bottom w:val="nil"/>
          <w:right w:val="nil"/>
          <w:between w:val="nil"/>
        </w:pBdr>
        <w:spacing w:line="276" w:lineRule="auto"/>
        <w:ind w:left="426"/>
        <w:jc w:val="both"/>
        <w:rPr>
          <w:rFonts w:ascii="Garamond" w:eastAsia="Garamond" w:hAnsi="Garamond" w:cs="Garamond"/>
        </w:rPr>
      </w:pPr>
    </w:p>
    <w:p w14:paraId="196EAF58" w14:textId="546B52C6" w:rsidR="00BC1499" w:rsidRPr="009725A6" w:rsidRDefault="00000000" w:rsidP="009725A6">
      <w:pPr>
        <w:pStyle w:val="ListParagraph"/>
        <w:numPr>
          <w:ilvl w:val="0"/>
          <w:numId w:val="14"/>
        </w:numPr>
        <w:pBdr>
          <w:top w:val="nil"/>
          <w:left w:val="nil"/>
          <w:bottom w:val="nil"/>
          <w:right w:val="nil"/>
          <w:between w:val="nil"/>
        </w:pBdr>
        <w:spacing w:line="276" w:lineRule="auto"/>
        <w:jc w:val="both"/>
        <w:rPr>
          <w:rFonts w:ascii="Garamond" w:eastAsia="Garamond" w:hAnsi="Garamond" w:cs="Garamond"/>
        </w:rPr>
      </w:pPr>
      <w:r w:rsidRPr="009725A6">
        <w:rPr>
          <w:rFonts w:ascii="Garamond" w:eastAsia="Garamond" w:hAnsi="Garamond" w:cs="Garamond"/>
        </w:rPr>
        <w:t>Legitimate aim</w:t>
      </w:r>
    </w:p>
    <w:p w14:paraId="4644B1F1" w14:textId="77777777" w:rsidR="009725A6" w:rsidRDefault="009725A6" w:rsidP="009725A6">
      <w:pPr>
        <w:pBdr>
          <w:top w:val="nil"/>
          <w:left w:val="nil"/>
          <w:bottom w:val="nil"/>
          <w:right w:val="nil"/>
          <w:between w:val="nil"/>
        </w:pBdr>
        <w:spacing w:line="276" w:lineRule="auto"/>
        <w:ind w:left="426"/>
        <w:jc w:val="both"/>
        <w:rPr>
          <w:rFonts w:ascii="Garamond" w:eastAsia="Garamond" w:hAnsi="Garamond" w:cs="Garamond"/>
        </w:rPr>
      </w:pPr>
    </w:p>
    <w:p w14:paraId="56CF1C1A" w14:textId="07FB18E4" w:rsidR="009725A6" w:rsidRDefault="00E92E64" w:rsidP="009725A6">
      <w:pPr>
        <w:pBdr>
          <w:top w:val="nil"/>
          <w:left w:val="nil"/>
          <w:bottom w:val="nil"/>
          <w:right w:val="nil"/>
          <w:between w:val="nil"/>
        </w:pBdr>
        <w:spacing w:line="276" w:lineRule="auto"/>
        <w:ind w:left="426"/>
        <w:jc w:val="both"/>
        <w:rPr>
          <w:rFonts w:ascii="Garamond" w:eastAsia="Garamond" w:hAnsi="Garamond" w:cs="Garamond"/>
        </w:rPr>
      </w:pPr>
      <w:r>
        <w:rPr>
          <w:rFonts w:ascii="Garamond" w:eastAsia="Garamond" w:hAnsi="Garamond" w:cs="Garamond"/>
        </w:rPr>
        <w:t xml:space="preserve">The Board had previously recognized that the DOI policy pursued the legitimate aim of protecting rights of others to life, security of person, </w:t>
      </w:r>
      <w:proofErr w:type="gramStart"/>
      <w:r>
        <w:rPr>
          <w:rFonts w:ascii="Garamond" w:eastAsia="Garamond" w:hAnsi="Garamond" w:cs="Garamond"/>
        </w:rPr>
        <w:t>equality</w:t>
      </w:r>
      <w:proofErr w:type="gramEnd"/>
      <w:r>
        <w:rPr>
          <w:rFonts w:ascii="Garamond" w:eastAsia="Garamond" w:hAnsi="Garamond" w:cs="Garamond"/>
        </w:rPr>
        <w:t xml:space="preserve"> and non- discrimination. [</w:t>
      </w:r>
      <w:hyperlink r:id="rId13" w:history="1">
        <w:r w:rsidRPr="00E92E64">
          <w:rPr>
            <w:rStyle w:val="Hyperlink"/>
            <w:rFonts w:ascii="Garamond" w:eastAsia="Garamond" w:hAnsi="Garamond" w:cs="Garamond"/>
            <w:i/>
            <w:iCs/>
          </w:rPr>
          <w:t>Punjabi Concern Over the RSS in India</w:t>
        </w:r>
      </w:hyperlink>
      <w:r>
        <w:rPr>
          <w:rFonts w:ascii="Garamond" w:eastAsia="Garamond" w:hAnsi="Garamond" w:cs="Garamond"/>
          <w:i/>
          <w:iCs/>
        </w:rPr>
        <w:t xml:space="preserve"> </w:t>
      </w:r>
      <w:r>
        <w:rPr>
          <w:rFonts w:ascii="Garamond" w:eastAsia="Garamond" w:hAnsi="Garamond" w:cs="Garamond"/>
        </w:rPr>
        <w:t xml:space="preserve">decision; </w:t>
      </w:r>
      <w:hyperlink r:id="rId14" w:history="1">
        <w:r w:rsidRPr="00E92E64">
          <w:rPr>
            <w:rStyle w:val="Hyperlink"/>
            <w:rFonts w:ascii="Garamond" w:eastAsia="Garamond" w:hAnsi="Garamond" w:cs="Garamond"/>
            <w:i/>
            <w:iCs/>
          </w:rPr>
          <w:t>Nazi Quote</w:t>
        </w:r>
      </w:hyperlink>
      <w:r>
        <w:rPr>
          <w:rFonts w:ascii="Garamond" w:eastAsia="Garamond" w:hAnsi="Garamond" w:cs="Garamond"/>
        </w:rPr>
        <w:t xml:space="preserve"> decision] Additionally, in the </w:t>
      </w:r>
      <w:r w:rsidRPr="00E92E64">
        <w:rPr>
          <w:rFonts w:ascii="Garamond" w:eastAsia="Garamond" w:hAnsi="Garamond" w:cs="Garamond"/>
          <w:i/>
          <w:iCs/>
        </w:rPr>
        <w:t>“</w:t>
      </w:r>
      <w:proofErr w:type="spellStart"/>
      <w:r>
        <w:rPr>
          <w:rFonts w:ascii="Garamond" w:eastAsia="Garamond" w:hAnsi="Garamond" w:cs="Garamond"/>
          <w:i/>
          <w:iCs/>
        </w:rPr>
        <w:fldChar w:fldCharType="begin"/>
      </w:r>
      <w:r>
        <w:rPr>
          <w:rFonts w:ascii="Garamond" w:eastAsia="Garamond" w:hAnsi="Garamond" w:cs="Garamond"/>
          <w:i/>
          <w:iCs/>
        </w:rPr>
        <w:instrText>HYPERLINK "https://globalfreedomofexpression.columbia.edu/cases/oversight-board-case-of-ocalans-isolation/"</w:instrText>
      </w:r>
      <w:r>
        <w:rPr>
          <w:rFonts w:ascii="Garamond" w:eastAsia="Garamond" w:hAnsi="Garamond" w:cs="Garamond"/>
          <w:i/>
          <w:iCs/>
        </w:rPr>
      </w:r>
      <w:r>
        <w:rPr>
          <w:rFonts w:ascii="Garamond" w:eastAsia="Garamond" w:hAnsi="Garamond" w:cs="Garamond"/>
          <w:i/>
          <w:iCs/>
        </w:rPr>
        <w:fldChar w:fldCharType="separate"/>
      </w:r>
      <w:r w:rsidRPr="00E92E64">
        <w:rPr>
          <w:rStyle w:val="Hyperlink"/>
          <w:rFonts w:ascii="Garamond" w:eastAsia="Garamond" w:hAnsi="Garamond" w:cs="Garamond"/>
          <w:i/>
          <w:iCs/>
        </w:rPr>
        <w:t>Öcalan’s</w:t>
      </w:r>
      <w:proofErr w:type="spellEnd"/>
      <w:r w:rsidRPr="00E92E64">
        <w:rPr>
          <w:rStyle w:val="Hyperlink"/>
          <w:rFonts w:ascii="Garamond" w:eastAsia="Garamond" w:hAnsi="Garamond" w:cs="Garamond"/>
          <w:i/>
          <w:iCs/>
        </w:rPr>
        <w:t xml:space="preserve"> Isolation</w:t>
      </w:r>
      <w:r>
        <w:rPr>
          <w:rFonts w:ascii="Garamond" w:eastAsia="Garamond" w:hAnsi="Garamond" w:cs="Garamond"/>
          <w:i/>
          <w:iCs/>
        </w:rPr>
        <w:fldChar w:fldCharType="end"/>
      </w:r>
      <w:r w:rsidRPr="00E92E64">
        <w:rPr>
          <w:rFonts w:ascii="Garamond" w:eastAsia="Garamond" w:hAnsi="Garamond" w:cs="Garamond"/>
          <w:i/>
          <w:iCs/>
        </w:rPr>
        <w:t>”</w:t>
      </w:r>
      <w:r>
        <w:rPr>
          <w:rFonts w:ascii="Garamond" w:eastAsia="Garamond" w:hAnsi="Garamond" w:cs="Garamond"/>
        </w:rPr>
        <w:t xml:space="preserve"> decision, the Board recognized the purpose of the DOI policy to prevent offline harm as a legitimate aim.</w:t>
      </w:r>
    </w:p>
    <w:p w14:paraId="7B10F59A" w14:textId="77777777" w:rsidR="00E92E64" w:rsidRDefault="00E92E64" w:rsidP="009725A6">
      <w:pPr>
        <w:pBdr>
          <w:top w:val="nil"/>
          <w:left w:val="nil"/>
          <w:bottom w:val="nil"/>
          <w:right w:val="nil"/>
          <w:between w:val="nil"/>
        </w:pBdr>
        <w:spacing w:line="276" w:lineRule="auto"/>
        <w:ind w:left="426"/>
        <w:jc w:val="both"/>
        <w:rPr>
          <w:rFonts w:ascii="Garamond" w:eastAsia="Garamond" w:hAnsi="Garamond" w:cs="Garamond"/>
        </w:rPr>
      </w:pPr>
    </w:p>
    <w:p w14:paraId="41ECC943" w14:textId="7E6D6D90" w:rsidR="00E92E64" w:rsidRDefault="00E92E64" w:rsidP="009725A6">
      <w:pPr>
        <w:pBdr>
          <w:top w:val="nil"/>
          <w:left w:val="nil"/>
          <w:bottom w:val="nil"/>
          <w:right w:val="nil"/>
          <w:between w:val="nil"/>
        </w:pBdr>
        <w:spacing w:line="276" w:lineRule="auto"/>
        <w:ind w:left="426"/>
        <w:jc w:val="both"/>
        <w:rPr>
          <w:rFonts w:ascii="Garamond" w:eastAsia="Garamond" w:hAnsi="Garamond" w:cs="Garamond"/>
        </w:rPr>
      </w:pPr>
      <w:r>
        <w:rPr>
          <w:rFonts w:ascii="Garamond" w:eastAsia="Garamond" w:hAnsi="Garamond" w:cs="Garamond"/>
        </w:rPr>
        <w:t xml:space="preserve">Moreover, the Board found that the Coordinating Harm and Promoting Crime policy pursued the legitimate aim of protecting the rights of others to life, privacy, and protection from torture or cruel, </w:t>
      </w:r>
      <w:r w:rsidR="00732EFE">
        <w:rPr>
          <w:rFonts w:ascii="Garamond" w:eastAsia="Garamond" w:hAnsi="Garamond" w:cs="Garamond"/>
        </w:rPr>
        <w:t>inhuman,</w:t>
      </w:r>
      <w:r>
        <w:rPr>
          <w:rFonts w:ascii="Garamond" w:eastAsia="Garamond" w:hAnsi="Garamond" w:cs="Garamond"/>
        </w:rPr>
        <w:t xml:space="preserve"> or degrading treatment. The Board that the </w:t>
      </w:r>
      <w:r w:rsidR="00732EFE">
        <w:rPr>
          <w:rFonts w:ascii="Garamond" w:eastAsia="Garamond" w:hAnsi="Garamond" w:cs="Garamond"/>
        </w:rPr>
        <w:t>legitimacy</w:t>
      </w:r>
      <w:r>
        <w:rPr>
          <w:rFonts w:ascii="Garamond" w:eastAsia="Garamond" w:hAnsi="Garamond" w:cs="Garamond"/>
        </w:rPr>
        <w:t xml:space="preserve"> of </w:t>
      </w:r>
      <w:r w:rsidR="00732EFE">
        <w:rPr>
          <w:rFonts w:ascii="Garamond" w:eastAsia="Garamond" w:hAnsi="Garamond" w:cs="Garamond"/>
        </w:rPr>
        <w:t>the</w:t>
      </w:r>
      <w:r>
        <w:rPr>
          <w:rFonts w:ascii="Garamond" w:eastAsia="Garamond" w:hAnsi="Garamond" w:cs="Garamond"/>
        </w:rPr>
        <w:t xml:space="preserve"> aim was informed by rules of international </w:t>
      </w:r>
      <w:r w:rsidR="00732EFE">
        <w:rPr>
          <w:rFonts w:ascii="Garamond" w:eastAsia="Garamond" w:hAnsi="Garamond" w:cs="Garamond"/>
        </w:rPr>
        <w:t>humanitarian</w:t>
      </w:r>
      <w:r>
        <w:rPr>
          <w:rFonts w:ascii="Garamond" w:eastAsia="Garamond" w:hAnsi="Garamond" w:cs="Garamond"/>
        </w:rPr>
        <w:t xml:space="preserve"> law calling for protection of life, privacy and </w:t>
      </w:r>
      <w:r w:rsidR="00732EFE">
        <w:rPr>
          <w:rFonts w:ascii="Garamond" w:eastAsia="Garamond" w:hAnsi="Garamond" w:cs="Garamond"/>
        </w:rPr>
        <w:t>dignity</w:t>
      </w:r>
      <w:r>
        <w:rPr>
          <w:rFonts w:ascii="Garamond" w:eastAsia="Garamond" w:hAnsi="Garamond" w:cs="Garamond"/>
        </w:rPr>
        <w:t xml:space="preserve"> of </w:t>
      </w:r>
      <w:r w:rsidR="009950CC">
        <w:rPr>
          <w:rFonts w:ascii="Garamond" w:eastAsia="Garamond" w:hAnsi="Garamond" w:cs="Garamond"/>
        </w:rPr>
        <w:t>war prisoners</w:t>
      </w:r>
      <w:r w:rsidR="00732EFE">
        <w:rPr>
          <w:rFonts w:ascii="Garamond" w:eastAsia="Garamond" w:hAnsi="Garamond" w:cs="Garamond"/>
        </w:rPr>
        <w:t xml:space="preserve"> and the fact that the situation in Sudan was designated as an armed conflict. [</w:t>
      </w:r>
      <w:hyperlink r:id="rId15" w:history="1">
        <w:r w:rsidR="00732EFE" w:rsidRPr="00732EFE">
          <w:rPr>
            <w:rStyle w:val="Hyperlink"/>
            <w:rFonts w:ascii="Garamond" w:eastAsia="Garamond" w:hAnsi="Garamond" w:cs="Garamond"/>
            <w:i/>
            <w:iCs/>
          </w:rPr>
          <w:t>Armenian Prisoners of War Video</w:t>
        </w:r>
      </w:hyperlink>
      <w:r w:rsidR="00732EFE">
        <w:rPr>
          <w:rFonts w:ascii="Garamond" w:eastAsia="Garamond" w:hAnsi="Garamond" w:cs="Garamond"/>
          <w:i/>
          <w:iCs/>
        </w:rPr>
        <w:t xml:space="preserve"> </w:t>
      </w:r>
      <w:r w:rsidR="00732EFE">
        <w:rPr>
          <w:rFonts w:ascii="Garamond" w:eastAsia="Garamond" w:hAnsi="Garamond" w:cs="Garamond"/>
        </w:rPr>
        <w:t>decision]</w:t>
      </w:r>
    </w:p>
    <w:p w14:paraId="600DC22F" w14:textId="77777777" w:rsidR="00732EFE" w:rsidRPr="00732EFE" w:rsidRDefault="00732EFE" w:rsidP="009725A6">
      <w:pPr>
        <w:pBdr>
          <w:top w:val="nil"/>
          <w:left w:val="nil"/>
          <w:bottom w:val="nil"/>
          <w:right w:val="nil"/>
          <w:between w:val="nil"/>
        </w:pBdr>
        <w:spacing w:line="276" w:lineRule="auto"/>
        <w:ind w:left="426"/>
        <w:jc w:val="both"/>
        <w:rPr>
          <w:rFonts w:ascii="Garamond" w:eastAsia="Garamond" w:hAnsi="Garamond" w:cs="Garamond"/>
        </w:rPr>
      </w:pPr>
    </w:p>
    <w:p w14:paraId="78F83942" w14:textId="32002E8C" w:rsidR="00732EFE" w:rsidRDefault="00000000" w:rsidP="00732EFE">
      <w:pPr>
        <w:pStyle w:val="ListParagraph"/>
        <w:numPr>
          <w:ilvl w:val="0"/>
          <w:numId w:val="14"/>
        </w:numPr>
        <w:pBdr>
          <w:top w:val="nil"/>
          <w:left w:val="nil"/>
          <w:bottom w:val="nil"/>
          <w:right w:val="nil"/>
          <w:between w:val="nil"/>
        </w:pBdr>
        <w:spacing w:line="276" w:lineRule="auto"/>
        <w:jc w:val="both"/>
        <w:rPr>
          <w:rFonts w:ascii="Garamond" w:eastAsia="Garamond" w:hAnsi="Garamond" w:cs="Garamond"/>
        </w:rPr>
      </w:pPr>
      <w:r w:rsidRPr="00732EFE">
        <w:rPr>
          <w:rFonts w:ascii="Garamond" w:eastAsia="Garamond" w:hAnsi="Garamond" w:cs="Garamond"/>
        </w:rPr>
        <w:t>Necessity and proportionality</w:t>
      </w:r>
    </w:p>
    <w:p w14:paraId="2FB96115" w14:textId="77777777" w:rsidR="00732EFE" w:rsidRDefault="00732EFE" w:rsidP="00732EFE">
      <w:pPr>
        <w:pBdr>
          <w:top w:val="nil"/>
          <w:left w:val="nil"/>
          <w:bottom w:val="nil"/>
          <w:right w:val="nil"/>
          <w:between w:val="nil"/>
        </w:pBdr>
        <w:spacing w:line="276" w:lineRule="auto"/>
        <w:jc w:val="both"/>
        <w:rPr>
          <w:rFonts w:ascii="Garamond" w:eastAsia="Garamond" w:hAnsi="Garamond" w:cs="Garamond"/>
        </w:rPr>
      </w:pPr>
    </w:p>
    <w:p w14:paraId="31E56187" w14:textId="3D0207E8" w:rsidR="00732EFE" w:rsidRDefault="00732EFE" w:rsidP="00000642">
      <w:pPr>
        <w:pBdr>
          <w:top w:val="nil"/>
          <w:left w:val="nil"/>
          <w:bottom w:val="nil"/>
          <w:right w:val="nil"/>
          <w:between w:val="nil"/>
        </w:pBdr>
        <w:spacing w:line="276" w:lineRule="auto"/>
        <w:ind w:left="426"/>
        <w:jc w:val="both"/>
        <w:rPr>
          <w:rFonts w:ascii="Garamond" w:eastAsia="Garamond" w:hAnsi="Garamond" w:cs="Garamond"/>
        </w:rPr>
      </w:pPr>
      <w:r>
        <w:rPr>
          <w:rFonts w:ascii="Garamond" w:eastAsia="Garamond" w:hAnsi="Garamond" w:cs="Garamond"/>
        </w:rPr>
        <w:t xml:space="preserve">In </w:t>
      </w:r>
      <w:r>
        <w:rPr>
          <w:rFonts w:ascii="Garamond" w:eastAsia="Garamond" w:hAnsi="Garamond" w:cs="Garamond"/>
          <w:i/>
          <w:iCs/>
        </w:rPr>
        <w:t>“</w:t>
      </w:r>
      <w:hyperlink r:id="rId16" w:history="1">
        <w:r w:rsidRPr="00732EFE">
          <w:rPr>
            <w:rStyle w:val="Hyperlink"/>
            <w:rFonts w:ascii="Garamond" w:eastAsia="Garamond" w:hAnsi="Garamond" w:cs="Garamond"/>
            <w:i/>
            <w:iCs/>
          </w:rPr>
          <w:t>Tigray Communication Affairs Bureau</w:t>
        </w:r>
      </w:hyperlink>
      <w:r>
        <w:rPr>
          <w:rFonts w:ascii="Garamond" w:eastAsia="Garamond" w:hAnsi="Garamond" w:cs="Garamond"/>
          <w:i/>
          <w:iCs/>
        </w:rPr>
        <w:t>”</w:t>
      </w:r>
      <w:r>
        <w:rPr>
          <w:rFonts w:ascii="Garamond" w:eastAsia="Garamond" w:hAnsi="Garamond" w:cs="Garamond"/>
        </w:rPr>
        <w:t xml:space="preserve"> decision, the Board recognized that business operation in conflict settings had a heightened responsibility. Moreover, the Board found in </w:t>
      </w:r>
      <w:r>
        <w:rPr>
          <w:rFonts w:ascii="Garamond" w:eastAsia="Garamond" w:hAnsi="Garamond" w:cs="Garamond"/>
          <w:i/>
          <w:iCs/>
        </w:rPr>
        <w:t>“</w:t>
      </w:r>
      <w:hyperlink r:id="rId17" w:history="1">
        <w:r w:rsidRPr="00732EFE">
          <w:rPr>
            <w:rStyle w:val="Hyperlink"/>
            <w:rFonts w:ascii="Garamond" w:eastAsia="Garamond" w:hAnsi="Garamond" w:cs="Garamond"/>
            <w:i/>
            <w:iCs/>
          </w:rPr>
          <w:t>Armenian Prisoners of War Video</w:t>
        </w:r>
      </w:hyperlink>
      <w:r>
        <w:rPr>
          <w:rFonts w:ascii="Garamond" w:eastAsia="Garamond" w:hAnsi="Garamond" w:cs="Garamond"/>
          <w:i/>
          <w:iCs/>
        </w:rPr>
        <w:t xml:space="preserve">” </w:t>
      </w:r>
      <w:r>
        <w:rPr>
          <w:rFonts w:ascii="Garamond" w:eastAsia="Garamond" w:hAnsi="Garamond" w:cs="Garamond"/>
        </w:rPr>
        <w:t>decision that in a situation of armed conflicts, the freedom of expression analysis was informed by international humanitarian law.</w:t>
      </w:r>
    </w:p>
    <w:p w14:paraId="28D9DB5D" w14:textId="77777777" w:rsidR="00732EFE" w:rsidRDefault="00732EFE" w:rsidP="00000642">
      <w:pPr>
        <w:pBdr>
          <w:top w:val="nil"/>
          <w:left w:val="nil"/>
          <w:bottom w:val="nil"/>
          <w:right w:val="nil"/>
          <w:between w:val="nil"/>
        </w:pBdr>
        <w:spacing w:line="276" w:lineRule="auto"/>
        <w:ind w:left="426"/>
        <w:jc w:val="both"/>
        <w:rPr>
          <w:rFonts w:ascii="Garamond" w:eastAsia="Garamond" w:hAnsi="Garamond" w:cs="Garamond"/>
        </w:rPr>
      </w:pPr>
    </w:p>
    <w:p w14:paraId="59B4D21E" w14:textId="4DD67BD4" w:rsidR="00B154B0" w:rsidRDefault="00B154B0" w:rsidP="00000642">
      <w:pPr>
        <w:pBdr>
          <w:top w:val="nil"/>
          <w:left w:val="nil"/>
          <w:bottom w:val="nil"/>
          <w:right w:val="nil"/>
          <w:between w:val="nil"/>
        </w:pBdr>
        <w:spacing w:line="276" w:lineRule="auto"/>
        <w:ind w:left="426"/>
        <w:jc w:val="both"/>
        <w:rPr>
          <w:rFonts w:ascii="Garamond" w:eastAsia="Garamond" w:hAnsi="Garamond" w:cs="Garamond"/>
          <w:u w:val="single"/>
        </w:rPr>
      </w:pPr>
      <w:r>
        <w:rPr>
          <w:rFonts w:ascii="Garamond" w:eastAsia="Garamond" w:hAnsi="Garamond" w:cs="Garamond"/>
          <w:u w:val="single"/>
        </w:rPr>
        <w:lastRenderedPageBreak/>
        <w:t xml:space="preserve">Dangerous Organizations and Individuals </w:t>
      </w:r>
    </w:p>
    <w:p w14:paraId="630C3522" w14:textId="6E9F0C59" w:rsidR="00B154B0" w:rsidRDefault="00B154B0" w:rsidP="00000642">
      <w:pPr>
        <w:pBdr>
          <w:top w:val="nil"/>
          <w:left w:val="nil"/>
          <w:bottom w:val="nil"/>
          <w:right w:val="nil"/>
          <w:between w:val="nil"/>
        </w:pBdr>
        <w:spacing w:line="276" w:lineRule="auto"/>
        <w:ind w:left="426"/>
        <w:jc w:val="both"/>
        <w:rPr>
          <w:rFonts w:ascii="Garamond" w:eastAsia="Garamond" w:hAnsi="Garamond" w:cs="Garamond"/>
        </w:rPr>
      </w:pPr>
    </w:p>
    <w:p w14:paraId="13283214" w14:textId="4F152371" w:rsidR="00B154B0" w:rsidRDefault="00B154B0" w:rsidP="00000642">
      <w:pPr>
        <w:pBdr>
          <w:top w:val="nil"/>
          <w:left w:val="nil"/>
          <w:bottom w:val="nil"/>
          <w:right w:val="nil"/>
          <w:between w:val="nil"/>
        </w:pBdr>
        <w:spacing w:line="276" w:lineRule="auto"/>
        <w:ind w:left="426"/>
        <w:jc w:val="both"/>
        <w:rPr>
          <w:rFonts w:ascii="Garamond" w:eastAsia="Garamond" w:hAnsi="Garamond" w:cs="Garamond"/>
        </w:rPr>
      </w:pPr>
      <w:r>
        <w:rPr>
          <w:rFonts w:ascii="Garamond" w:eastAsia="Garamond" w:hAnsi="Garamond" w:cs="Garamond"/>
        </w:rPr>
        <w:t>The Board found that removing the content under the DOI policy was necessary and proportionate. The Board noted that disseminating a video of an RSF member describing their activities and threatening anyone who opposed them could lead to a heightened risk of real-world harm. Due to the possible real-world harm of increased violence, war crimes and crimes against humanity, the Board emphasized that removal was the least restrictive measure to protect rights of others as no other lesser measure would address the high risk of harm.</w:t>
      </w:r>
    </w:p>
    <w:p w14:paraId="30315EBA" w14:textId="77777777" w:rsidR="00B154B0" w:rsidRDefault="00B154B0" w:rsidP="00000642">
      <w:pPr>
        <w:pBdr>
          <w:top w:val="nil"/>
          <w:left w:val="nil"/>
          <w:bottom w:val="nil"/>
          <w:right w:val="nil"/>
          <w:between w:val="nil"/>
        </w:pBdr>
        <w:spacing w:line="276" w:lineRule="auto"/>
        <w:ind w:left="426"/>
        <w:jc w:val="both"/>
        <w:rPr>
          <w:rFonts w:ascii="Garamond" w:eastAsia="Garamond" w:hAnsi="Garamond" w:cs="Garamond"/>
        </w:rPr>
      </w:pPr>
    </w:p>
    <w:p w14:paraId="0CB6350E" w14:textId="025328E8" w:rsidR="00BC1499" w:rsidRDefault="00B154B0" w:rsidP="00000642">
      <w:pPr>
        <w:pBdr>
          <w:top w:val="nil"/>
          <w:left w:val="nil"/>
          <w:bottom w:val="nil"/>
          <w:right w:val="nil"/>
          <w:between w:val="nil"/>
        </w:pBdr>
        <w:spacing w:line="276" w:lineRule="auto"/>
        <w:ind w:left="426"/>
        <w:jc w:val="both"/>
        <w:rPr>
          <w:rFonts w:ascii="Garamond" w:eastAsia="Garamond" w:hAnsi="Garamond" w:cs="Garamond"/>
        </w:rPr>
      </w:pPr>
      <w:r>
        <w:rPr>
          <w:rFonts w:ascii="Garamond" w:eastAsia="Garamond" w:hAnsi="Garamond" w:cs="Garamond"/>
        </w:rPr>
        <w:t xml:space="preserve">The Board expressed concern over Meta’s failure to remove the content before the company was notified of it by the Board and that Meta’s detection errors in this case alluded to broader problems regarding classifiers’ identification of content supporting the RSF. Meta’s classifiers did not prioritize the content as it gave it a low-ranking score and in response to the Board’s question on what caused such low score, Meta stated it couldn’t identify the reason behind the score. </w:t>
      </w:r>
    </w:p>
    <w:p w14:paraId="760DFEF9" w14:textId="77777777" w:rsidR="00B154B0" w:rsidRDefault="00B154B0" w:rsidP="00000642">
      <w:pPr>
        <w:pBdr>
          <w:top w:val="nil"/>
          <w:left w:val="nil"/>
          <w:bottom w:val="nil"/>
          <w:right w:val="nil"/>
          <w:between w:val="nil"/>
        </w:pBdr>
        <w:spacing w:line="276" w:lineRule="auto"/>
        <w:ind w:left="426"/>
        <w:jc w:val="both"/>
        <w:rPr>
          <w:rFonts w:ascii="Garamond" w:eastAsia="Garamond" w:hAnsi="Garamond" w:cs="Garamond"/>
        </w:rPr>
      </w:pPr>
    </w:p>
    <w:p w14:paraId="78548B3B" w14:textId="3EF2907A" w:rsidR="00B154B0" w:rsidRDefault="00B154B0" w:rsidP="00000642">
      <w:pPr>
        <w:pBdr>
          <w:top w:val="nil"/>
          <w:left w:val="nil"/>
          <w:bottom w:val="nil"/>
          <w:right w:val="nil"/>
          <w:between w:val="nil"/>
        </w:pBdr>
        <w:spacing w:line="276" w:lineRule="auto"/>
        <w:ind w:left="426"/>
        <w:rPr>
          <w:rFonts w:ascii="Garamond" w:eastAsia="Garamond" w:hAnsi="Garamond" w:cs="Garamond"/>
        </w:rPr>
      </w:pPr>
      <w:r>
        <w:rPr>
          <w:rFonts w:ascii="Garamond" w:eastAsia="Garamond" w:hAnsi="Garamond" w:cs="Garamond"/>
        </w:rPr>
        <w:t>Additionally, the Board noted that Meta failed to establish sustainable mechanisms to adequately enforce content policies during the war in Sudan. In the “</w:t>
      </w:r>
      <w:hyperlink r:id="rId18" w:history="1">
        <w:r w:rsidRPr="0005032D">
          <w:rPr>
            <w:rStyle w:val="Hyperlink"/>
            <w:rFonts w:ascii="Garamond" w:eastAsia="Garamond" w:hAnsi="Garamond" w:cs="Garamond"/>
            <w:i/>
            <w:iCs/>
          </w:rPr>
          <w:t>Weapons Post Linked to Sudan’s Conflict</w:t>
        </w:r>
      </w:hyperlink>
      <w:r>
        <w:rPr>
          <w:rFonts w:ascii="Garamond" w:eastAsia="Garamond" w:hAnsi="Garamond" w:cs="Garamond"/>
          <w:i/>
          <w:iCs/>
        </w:rPr>
        <w:t>”</w:t>
      </w:r>
      <w:r>
        <w:rPr>
          <w:rFonts w:ascii="Garamond" w:eastAsia="Garamond" w:hAnsi="Garamond" w:cs="Garamond"/>
        </w:rPr>
        <w:t xml:space="preserve"> decision, Meta explained that it did not set up </w:t>
      </w:r>
      <w:r w:rsidRPr="00B154B0">
        <w:rPr>
          <w:rFonts w:ascii="Garamond" w:eastAsia="Garamond" w:hAnsi="Garamond" w:cs="Garamond"/>
        </w:rPr>
        <w:t>an Integrity Product Operations Center for Sudan, which is used to respond to threats in real-time</w:t>
      </w:r>
      <w:r>
        <w:rPr>
          <w:rFonts w:ascii="Garamond" w:eastAsia="Garamond" w:hAnsi="Garamond" w:cs="Garamond"/>
        </w:rPr>
        <w:t xml:space="preserve"> </w:t>
      </w:r>
      <w:r w:rsidR="0005032D">
        <w:rPr>
          <w:rFonts w:ascii="Garamond" w:eastAsia="Garamond" w:hAnsi="Garamond" w:cs="Garamond"/>
        </w:rPr>
        <w:t>as it claimed it could handle the content risks through normal procedures, Meta reiterated a similar position in this case. The Board has previously recommended in the “</w:t>
      </w:r>
      <w:hyperlink r:id="rId19" w:history="1">
        <w:r w:rsidR="0005032D" w:rsidRPr="0005032D">
          <w:rPr>
            <w:rStyle w:val="Hyperlink"/>
            <w:rFonts w:ascii="Garamond" w:eastAsia="Garamond" w:hAnsi="Garamond" w:cs="Garamond"/>
            <w:i/>
            <w:iCs/>
          </w:rPr>
          <w:t>Tigray Communication Affairs Bureau</w:t>
        </w:r>
      </w:hyperlink>
      <w:r w:rsidR="0005032D">
        <w:rPr>
          <w:rFonts w:ascii="Garamond" w:eastAsia="Garamond" w:hAnsi="Garamond" w:cs="Garamond"/>
          <w:i/>
          <w:iCs/>
        </w:rPr>
        <w:t xml:space="preserve">” </w:t>
      </w:r>
      <w:r w:rsidR="0005032D">
        <w:rPr>
          <w:rFonts w:ascii="Garamond" w:eastAsia="Garamond" w:hAnsi="Garamond" w:cs="Garamond"/>
        </w:rPr>
        <w:t xml:space="preserve">decision that Meta improve enforcement during armed conflict through establish a sustained internal procedure capable of reviewing content effectively. </w:t>
      </w:r>
    </w:p>
    <w:p w14:paraId="06BE0EB9" w14:textId="77777777" w:rsidR="0005032D" w:rsidRDefault="0005032D" w:rsidP="00000642">
      <w:pPr>
        <w:pBdr>
          <w:top w:val="nil"/>
          <w:left w:val="nil"/>
          <w:bottom w:val="nil"/>
          <w:right w:val="nil"/>
          <w:between w:val="nil"/>
        </w:pBdr>
        <w:spacing w:line="276" w:lineRule="auto"/>
        <w:ind w:left="426"/>
        <w:rPr>
          <w:rFonts w:ascii="Garamond" w:eastAsia="Garamond" w:hAnsi="Garamond" w:cs="Garamond"/>
        </w:rPr>
      </w:pPr>
    </w:p>
    <w:p w14:paraId="075EBA63" w14:textId="33CC339C" w:rsidR="0005032D" w:rsidRDefault="0005032D" w:rsidP="00000642">
      <w:pPr>
        <w:pBdr>
          <w:top w:val="nil"/>
          <w:left w:val="nil"/>
          <w:bottom w:val="nil"/>
          <w:right w:val="nil"/>
          <w:between w:val="nil"/>
        </w:pBdr>
        <w:spacing w:line="276" w:lineRule="auto"/>
        <w:ind w:left="426"/>
        <w:rPr>
          <w:rFonts w:ascii="Garamond" w:eastAsia="Garamond" w:hAnsi="Garamond" w:cs="Garamond"/>
        </w:rPr>
      </w:pPr>
      <w:r w:rsidRPr="0005032D">
        <w:rPr>
          <w:rFonts w:ascii="Garamond" w:eastAsia="Garamond" w:hAnsi="Garamond" w:cs="Garamond"/>
        </w:rPr>
        <w:t xml:space="preserve">In August 2023, Meta reported to the Board that it had established a dedicated team to manage crisis coordination and oversee operations during various stages of imminent and emerging crises, including high-risk events and elections. The company stated that it had completed staffing for this team and was preparing them for operational duties, with plans to have the team fully operational across all regions in the upcoming months. Meta also mentioned that it would continue to refine the team's execution framework based on experiences with conflict incidents and evaluations of the structure's effectiveness, considering this setup in response to the Board's recommendation as complete. However, </w:t>
      </w:r>
      <w:r>
        <w:rPr>
          <w:rFonts w:ascii="Garamond" w:eastAsia="Garamond" w:hAnsi="Garamond" w:cs="Garamond"/>
        </w:rPr>
        <w:t xml:space="preserve">in response to the Board’s question, </w:t>
      </w:r>
      <w:r w:rsidRPr="0005032D">
        <w:rPr>
          <w:rFonts w:ascii="Garamond" w:eastAsia="Garamond" w:hAnsi="Garamond" w:cs="Garamond"/>
        </w:rPr>
        <w:t>Meta acknowledged that it has not implemented such a mechanism specifically for the conflict in Sudan, despite considering the recommendation fulfilled.</w:t>
      </w:r>
    </w:p>
    <w:p w14:paraId="28882227" w14:textId="77777777" w:rsidR="0005032D" w:rsidRDefault="0005032D" w:rsidP="00000642">
      <w:pPr>
        <w:pBdr>
          <w:top w:val="nil"/>
          <w:left w:val="nil"/>
          <w:bottom w:val="nil"/>
          <w:right w:val="nil"/>
          <w:between w:val="nil"/>
        </w:pBdr>
        <w:spacing w:line="276" w:lineRule="auto"/>
        <w:ind w:left="426"/>
        <w:rPr>
          <w:rFonts w:ascii="Garamond" w:eastAsia="Garamond" w:hAnsi="Garamond" w:cs="Garamond"/>
        </w:rPr>
      </w:pPr>
    </w:p>
    <w:p w14:paraId="671B7319" w14:textId="1693CDAE" w:rsidR="0005032D" w:rsidRDefault="00024309" w:rsidP="00000642">
      <w:pPr>
        <w:pBdr>
          <w:top w:val="nil"/>
          <w:left w:val="nil"/>
          <w:bottom w:val="nil"/>
          <w:right w:val="nil"/>
          <w:between w:val="nil"/>
        </w:pBdr>
        <w:spacing w:line="276" w:lineRule="auto"/>
        <w:ind w:left="426"/>
        <w:rPr>
          <w:rFonts w:ascii="Garamond" w:eastAsia="Garamond" w:hAnsi="Garamond" w:cs="Garamond"/>
          <w:u w:val="single"/>
        </w:rPr>
      </w:pPr>
      <w:r>
        <w:rPr>
          <w:rFonts w:ascii="Garamond" w:eastAsia="Garamond" w:hAnsi="Garamond" w:cs="Garamond"/>
          <w:u w:val="single"/>
        </w:rPr>
        <w:t xml:space="preserve">Coordinating Harm and Promoting Crime </w:t>
      </w:r>
    </w:p>
    <w:p w14:paraId="03C1433A" w14:textId="77777777" w:rsidR="00024309" w:rsidRDefault="00024309" w:rsidP="00000642">
      <w:pPr>
        <w:pBdr>
          <w:top w:val="nil"/>
          <w:left w:val="nil"/>
          <w:bottom w:val="nil"/>
          <w:right w:val="nil"/>
          <w:between w:val="nil"/>
        </w:pBdr>
        <w:spacing w:line="276" w:lineRule="auto"/>
        <w:ind w:left="426"/>
        <w:rPr>
          <w:rFonts w:ascii="Garamond" w:eastAsia="Garamond" w:hAnsi="Garamond" w:cs="Garamond"/>
          <w:u w:val="single"/>
        </w:rPr>
      </w:pPr>
    </w:p>
    <w:p w14:paraId="3DAE9320" w14:textId="65BE6DF9" w:rsidR="00024309" w:rsidRDefault="00024309" w:rsidP="00000642">
      <w:pPr>
        <w:pBdr>
          <w:top w:val="nil"/>
          <w:left w:val="nil"/>
          <w:bottom w:val="nil"/>
          <w:right w:val="nil"/>
          <w:between w:val="nil"/>
        </w:pBdr>
        <w:spacing w:line="276" w:lineRule="auto"/>
        <w:ind w:left="426"/>
        <w:rPr>
          <w:rFonts w:ascii="Garamond" w:eastAsia="Garamond" w:hAnsi="Garamond" w:cs="Garamond"/>
        </w:rPr>
      </w:pPr>
      <w:r>
        <w:rPr>
          <w:rFonts w:ascii="Garamond" w:eastAsia="Garamond" w:hAnsi="Garamond" w:cs="Garamond"/>
        </w:rPr>
        <w:t>The necessity and proportionality of removing this content under the prohibition of exposing the identity of war prisoners were informed by international humanitarian law. [</w:t>
      </w:r>
      <w:hyperlink r:id="rId20" w:history="1">
        <w:r w:rsidRPr="00024309">
          <w:rPr>
            <w:rStyle w:val="Hyperlink"/>
            <w:rFonts w:ascii="Garamond" w:eastAsia="Garamond" w:hAnsi="Garamond" w:cs="Garamond"/>
            <w:i/>
            <w:iCs/>
          </w:rPr>
          <w:t>Armenian Prisoners of War Video</w:t>
        </w:r>
      </w:hyperlink>
      <w:r>
        <w:rPr>
          <w:rFonts w:ascii="Garamond" w:eastAsia="Garamond" w:hAnsi="Garamond" w:cs="Garamond"/>
          <w:i/>
          <w:iCs/>
        </w:rPr>
        <w:t xml:space="preserve"> </w:t>
      </w:r>
      <w:r>
        <w:rPr>
          <w:rFonts w:ascii="Garamond" w:eastAsia="Garamond" w:hAnsi="Garamond" w:cs="Garamond"/>
        </w:rPr>
        <w:t>decision]</w:t>
      </w:r>
    </w:p>
    <w:p w14:paraId="74E52442" w14:textId="6E1BC2E5" w:rsidR="00000642" w:rsidRDefault="00000642" w:rsidP="00000642">
      <w:pPr>
        <w:pBdr>
          <w:top w:val="nil"/>
          <w:left w:val="nil"/>
          <w:bottom w:val="nil"/>
          <w:right w:val="nil"/>
          <w:between w:val="nil"/>
        </w:pBdr>
        <w:spacing w:line="276" w:lineRule="auto"/>
        <w:ind w:left="426"/>
        <w:rPr>
          <w:rFonts w:ascii="Garamond" w:eastAsia="Garamond" w:hAnsi="Garamond" w:cs="Garamond"/>
        </w:rPr>
      </w:pPr>
      <w:r w:rsidRPr="00000642">
        <w:rPr>
          <w:rFonts w:ascii="Garamond" w:eastAsia="Garamond" w:hAnsi="Garamond" w:cs="Garamond"/>
        </w:rPr>
        <w:t>Common Article 3 of the Geneva Conventions and Article 13 of the Third Geneva Convention outline protections for detainees and war</w:t>
      </w:r>
      <w:r w:rsidR="009950CC">
        <w:rPr>
          <w:rFonts w:ascii="Garamond" w:eastAsia="Garamond" w:hAnsi="Garamond" w:cs="Garamond"/>
        </w:rPr>
        <w:t xml:space="preserve"> prisoners</w:t>
      </w:r>
      <w:r w:rsidRPr="00000642">
        <w:rPr>
          <w:rFonts w:ascii="Garamond" w:eastAsia="Garamond" w:hAnsi="Garamond" w:cs="Garamond"/>
        </w:rPr>
        <w:t xml:space="preserve"> during conflicts. They prohibit acts that would compromise personal dignity, such as humiliating or degrading treatment, violence, intimidation, and undue exposure to public curiosity. International humanitarian law</w:t>
      </w:r>
      <w:r>
        <w:rPr>
          <w:rFonts w:ascii="Garamond" w:eastAsia="Garamond" w:hAnsi="Garamond" w:cs="Garamond"/>
        </w:rPr>
        <w:t xml:space="preserve"> </w:t>
      </w:r>
      <w:r w:rsidRPr="00000642">
        <w:rPr>
          <w:rFonts w:ascii="Garamond" w:eastAsia="Garamond" w:hAnsi="Garamond" w:cs="Garamond"/>
        </w:rPr>
        <w:t>allow</w:t>
      </w:r>
      <w:r>
        <w:rPr>
          <w:rFonts w:ascii="Garamond" w:eastAsia="Garamond" w:hAnsi="Garamond" w:cs="Garamond"/>
        </w:rPr>
        <w:t>s</w:t>
      </w:r>
      <w:r w:rsidRPr="00000642">
        <w:rPr>
          <w:rFonts w:ascii="Garamond" w:eastAsia="Garamond" w:hAnsi="Garamond" w:cs="Garamond"/>
        </w:rPr>
        <w:t xml:space="preserve"> the release of images of war</w:t>
      </w:r>
      <w:r w:rsidR="009950CC">
        <w:rPr>
          <w:rFonts w:ascii="Garamond" w:eastAsia="Garamond" w:hAnsi="Garamond" w:cs="Garamond"/>
        </w:rPr>
        <w:t xml:space="preserve"> prisoners</w:t>
      </w:r>
      <w:r w:rsidRPr="00000642">
        <w:rPr>
          <w:rFonts w:ascii="Garamond" w:eastAsia="Garamond" w:hAnsi="Garamond" w:cs="Garamond"/>
        </w:rPr>
        <w:t xml:space="preserve"> under very limited circumstances, such as a compelling public interest or the vital interests of the </w:t>
      </w:r>
      <w:r w:rsidRPr="00000642">
        <w:rPr>
          <w:rFonts w:ascii="Garamond" w:eastAsia="Garamond" w:hAnsi="Garamond" w:cs="Garamond"/>
        </w:rPr>
        <w:t>prisoner but</w:t>
      </w:r>
      <w:r w:rsidRPr="00000642">
        <w:rPr>
          <w:rFonts w:ascii="Garamond" w:eastAsia="Garamond" w:hAnsi="Garamond" w:cs="Garamond"/>
        </w:rPr>
        <w:t xml:space="preserve"> requires that the prisoner's dignity be preserved. Although there are online tools available for anonymizing such content, Meta </w:t>
      </w:r>
      <w:r>
        <w:rPr>
          <w:rFonts w:ascii="Garamond" w:eastAsia="Garamond" w:hAnsi="Garamond" w:cs="Garamond"/>
        </w:rPr>
        <w:t>did not</w:t>
      </w:r>
      <w:r w:rsidRPr="00000642">
        <w:rPr>
          <w:rFonts w:ascii="Garamond" w:eastAsia="Garamond" w:hAnsi="Garamond" w:cs="Garamond"/>
        </w:rPr>
        <w:t xml:space="preserve"> provide users with capabilities to blur or obscure faces in videos of war</w:t>
      </w:r>
      <w:r w:rsidR="009950CC">
        <w:rPr>
          <w:rFonts w:ascii="Garamond" w:eastAsia="Garamond" w:hAnsi="Garamond" w:cs="Garamond"/>
        </w:rPr>
        <w:t xml:space="preserve"> prisoners</w:t>
      </w:r>
      <w:r w:rsidRPr="00000642">
        <w:rPr>
          <w:rFonts w:ascii="Garamond" w:eastAsia="Garamond" w:hAnsi="Garamond" w:cs="Garamond"/>
        </w:rPr>
        <w:t xml:space="preserve"> on its platform.</w:t>
      </w:r>
    </w:p>
    <w:p w14:paraId="272B713A" w14:textId="77777777" w:rsidR="00000642" w:rsidRDefault="00000642" w:rsidP="00000642">
      <w:pPr>
        <w:pBdr>
          <w:top w:val="nil"/>
          <w:left w:val="nil"/>
          <w:bottom w:val="nil"/>
          <w:right w:val="nil"/>
          <w:between w:val="nil"/>
        </w:pBdr>
        <w:spacing w:line="276" w:lineRule="auto"/>
        <w:ind w:left="426"/>
        <w:jc w:val="both"/>
        <w:rPr>
          <w:rFonts w:ascii="Garamond" w:eastAsia="Garamond" w:hAnsi="Garamond" w:cs="Garamond"/>
        </w:rPr>
      </w:pPr>
    </w:p>
    <w:p w14:paraId="77158030" w14:textId="5B318B87" w:rsidR="00000642" w:rsidRDefault="00000642" w:rsidP="00000642">
      <w:pPr>
        <w:pBdr>
          <w:top w:val="nil"/>
          <w:left w:val="nil"/>
          <w:bottom w:val="nil"/>
          <w:right w:val="nil"/>
          <w:between w:val="nil"/>
        </w:pBdr>
        <w:spacing w:line="276" w:lineRule="auto"/>
        <w:ind w:left="426"/>
        <w:jc w:val="both"/>
        <w:rPr>
          <w:rFonts w:ascii="Garamond" w:eastAsia="Garamond" w:hAnsi="Garamond" w:cs="Garamond"/>
        </w:rPr>
      </w:pPr>
      <w:r w:rsidRPr="00000642">
        <w:rPr>
          <w:rFonts w:ascii="Garamond" w:eastAsia="Garamond" w:hAnsi="Garamond" w:cs="Garamond"/>
        </w:rPr>
        <w:lastRenderedPageBreak/>
        <w:t xml:space="preserve">As </w:t>
      </w:r>
      <w:r>
        <w:rPr>
          <w:rFonts w:ascii="Garamond" w:eastAsia="Garamond" w:hAnsi="Garamond" w:cs="Garamond"/>
        </w:rPr>
        <w:t xml:space="preserve">the Board </w:t>
      </w:r>
      <w:r w:rsidRPr="00000642">
        <w:rPr>
          <w:rFonts w:ascii="Garamond" w:eastAsia="Garamond" w:hAnsi="Garamond" w:cs="Garamond"/>
        </w:rPr>
        <w:t xml:space="preserve">determined in the </w:t>
      </w:r>
      <w:r>
        <w:rPr>
          <w:rFonts w:ascii="Garamond" w:eastAsia="Garamond" w:hAnsi="Garamond" w:cs="Garamond"/>
        </w:rPr>
        <w:t>“</w:t>
      </w:r>
      <w:hyperlink r:id="rId21" w:history="1">
        <w:r w:rsidRPr="00000642">
          <w:rPr>
            <w:rStyle w:val="Hyperlink"/>
            <w:rFonts w:ascii="Garamond" w:eastAsia="Garamond" w:hAnsi="Garamond" w:cs="Garamond"/>
            <w:i/>
            <w:iCs/>
          </w:rPr>
          <w:t>Armenian Prisoners of War Video</w:t>
        </w:r>
      </w:hyperlink>
      <w:r>
        <w:rPr>
          <w:rFonts w:ascii="Garamond" w:eastAsia="Garamond" w:hAnsi="Garamond" w:cs="Garamond"/>
        </w:rPr>
        <w:t>”</w:t>
      </w:r>
      <w:r w:rsidRPr="00000642">
        <w:rPr>
          <w:rFonts w:ascii="Garamond" w:eastAsia="Garamond" w:hAnsi="Garamond" w:cs="Garamond"/>
        </w:rPr>
        <w:t xml:space="preserve"> </w:t>
      </w:r>
      <w:r>
        <w:rPr>
          <w:rFonts w:ascii="Garamond" w:eastAsia="Garamond" w:hAnsi="Garamond" w:cs="Garamond"/>
        </w:rPr>
        <w:t xml:space="preserve">decision, </w:t>
      </w:r>
      <w:r w:rsidRPr="00000642">
        <w:rPr>
          <w:rFonts w:ascii="Garamond" w:eastAsia="Garamond" w:hAnsi="Garamond" w:cs="Garamond"/>
        </w:rPr>
        <w:t>prohibiting the sharing of images of war</w:t>
      </w:r>
      <w:r>
        <w:rPr>
          <w:rFonts w:ascii="Garamond" w:eastAsia="Garamond" w:hAnsi="Garamond" w:cs="Garamond"/>
        </w:rPr>
        <w:t xml:space="preserve"> prisoners</w:t>
      </w:r>
      <w:r w:rsidRPr="00000642">
        <w:rPr>
          <w:rFonts w:ascii="Garamond" w:eastAsia="Garamond" w:hAnsi="Garamond" w:cs="Garamond"/>
        </w:rPr>
        <w:t xml:space="preserve"> align</w:t>
      </w:r>
      <w:r>
        <w:rPr>
          <w:rFonts w:ascii="Garamond" w:eastAsia="Garamond" w:hAnsi="Garamond" w:cs="Garamond"/>
        </w:rPr>
        <w:t xml:space="preserve">ed </w:t>
      </w:r>
      <w:r w:rsidRPr="00000642">
        <w:rPr>
          <w:rFonts w:ascii="Garamond" w:eastAsia="Garamond" w:hAnsi="Garamond" w:cs="Garamond"/>
        </w:rPr>
        <w:t>with the objectives of international humanitarian law. Furthermore, content that disclose</w:t>
      </w:r>
      <w:r>
        <w:rPr>
          <w:rFonts w:ascii="Garamond" w:eastAsia="Garamond" w:hAnsi="Garamond" w:cs="Garamond"/>
        </w:rPr>
        <w:t xml:space="preserve">d </w:t>
      </w:r>
      <w:r w:rsidRPr="00000642">
        <w:rPr>
          <w:rFonts w:ascii="Garamond" w:eastAsia="Garamond" w:hAnsi="Garamond" w:cs="Garamond"/>
        </w:rPr>
        <w:t>the identity or location of war</w:t>
      </w:r>
      <w:r w:rsidR="009950CC">
        <w:rPr>
          <w:rFonts w:ascii="Garamond" w:eastAsia="Garamond" w:hAnsi="Garamond" w:cs="Garamond"/>
        </w:rPr>
        <w:t xml:space="preserve"> prisoners</w:t>
      </w:r>
      <w:r w:rsidRPr="00000642">
        <w:rPr>
          <w:rFonts w:ascii="Garamond" w:eastAsia="Garamond" w:hAnsi="Garamond" w:cs="Garamond"/>
        </w:rPr>
        <w:t xml:space="preserve"> generally warrant</w:t>
      </w:r>
      <w:r>
        <w:rPr>
          <w:rFonts w:ascii="Garamond" w:eastAsia="Garamond" w:hAnsi="Garamond" w:cs="Garamond"/>
        </w:rPr>
        <w:t>ed</w:t>
      </w:r>
      <w:r w:rsidRPr="00000642">
        <w:rPr>
          <w:rFonts w:ascii="Garamond" w:eastAsia="Garamond" w:hAnsi="Garamond" w:cs="Garamond"/>
        </w:rPr>
        <w:t xml:space="preserve"> removal, as the potential harm resulting from such exposure </w:t>
      </w:r>
      <w:r>
        <w:rPr>
          <w:rFonts w:ascii="Garamond" w:eastAsia="Garamond" w:hAnsi="Garamond" w:cs="Garamond"/>
        </w:rPr>
        <w:t>was</w:t>
      </w:r>
      <w:r w:rsidRPr="00000642">
        <w:rPr>
          <w:rFonts w:ascii="Garamond" w:eastAsia="Garamond" w:hAnsi="Garamond" w:cs="Garamond"/>
        </w:rPr>
        <w:t xml:space="preserve"> severe and the action of removal </w:t>
      </w:r>
      <w:r>
        <w:rPr>
          <w:rFonts w:ascii="Garamond" w:eastAsia="Garamond" w:hAnsi="Garamond" w:cs="Garamond"/>
        </w:rPr>
        <w:t>was</w:t>
      </w:r>
      <w:r w:rsidRPr="00000642">
        <w:rPr>
          <w:rFonts w:ascii="Garamond" w:eastAsia="Garamond" w:hAnsi="Garamond" w:cs="Garamond"/>
        </w:rPr>
        <w:t xml:space="preserve"> considered proportionate to these risks.</w:t>
      </w:r>
      <w:r>
        <w:rPr>
          <w:rFonts w:ascii="Garamond" w:eastAsia="Garamond" w:hAnsi="Garamond" w:cs="Garamond"/>
        </w:rPr>
        <w:t xml:space="preserve"> Moreover, the Board found that the removal of the post was necessary due to the risks associated with the conflict in Sudan and to ensure the dignity and safety of the prisoner. </w:t>
      </w:r>
    </w:p>
    <w:p w14:paraId="75F9A184" w14:textId="77777777" w:rsidR="00000642" w:rsidRDefault="00000642" w:rsidP="00000642">
      <w:pPr>
        <w:pBdr>
          <w:top w:val="nil"/>
          <w:left w:val="nil"/>
          <w:bottom w:val="nil"/>
          <w:right w:val="nil"/>
          <w:between w:val="nil"/>
        </w:pBdr>
        <w:spacing w:line="276" w:lineRule="auto"/>
        <w:ind w:left="426"/>
        <w:jc w:val="both"/>
        <w:rPr>
          <w:rFonts w:ascii="Garamond" w:eastAsia="Garamond" w:hAnsi="Garamond" w:cs="Garamond"/>
        </w:rPr>
      </w:pPr>
    </w:p>
    <w:p w14:paraId="5EF827BE" w14:textId="7D02CB42" w:rsidR="00000642" w:rsidRDefault="00000642" w:rsidP="00000642">
      <w:pPr>
        <w:pBdr>
          <w:top w:val="nil"/>
          <w:left w:val="nil"/>
          <w:bottom w:val="nil"/>
          <w:right w:val="nil"/>
          <w:between w:val="nil"/>
        </w:pBdr>
        <w:spacing w:line="276" w:lineRule="auto"/>
        <w:ind w:left="426"/>
        <w:jc w:val="both"/>
        <w:rPr>
          <w:rFonts w:ascii="Garamond" w:eastAsia="Garamond" w:hAnsi="Garamond" w:cs="Garamond"/>
        </w:rPr>
      </w:pPr>
      <w:r w:rsidRPr="00000642">
        <w:rPr>
          <w:rFonts w:ascii="Garamond" w:eastAsia="Garamond" w:hAnsi="Garamond" w:cs="Garamond"/>
        </w:rPr>
        <w:t xml:space="preserve">The Board expressed concerns </w:t>
      </w:r>
      <w:r>
        <w:rPr>
          <w:rFonts w:ascii="Garamond" w:eastAsia="Garamond" w:hAnsi="Garamond" w:cs="Garamond"/>
        </w:rPr>
        <w:t>over Meta’s</w:t>
      </w:r>
      <w:r w:rsidRPr="00000642">
        <w:rPr>
          <w:rFonts w:ascii="Garamond" w:eastAsia="Garamond" w:hAnsi="Garamond" w:cs="Garamond"/>
        </w:rPr>
        <w:t xml:space="preserve"> failure to identify and remove content that violated Meta's policy against outing war</w:t>
      </w:r>
      <w:r w:rsidR="009950CC">
        <w:rPr>
          <w:rFonts w:ascii="Garamond" w:eastAsia="Garamond" w:hAnsi="Garamond" w:cs="Garamond"/>
        </w:rPr>
        <w:t xml:space="preserve"> prisoners</w:t>
      </w:r>
      <w:r w:rsidRPr="00000642">
        <w:rPr>
          <w:rFonts w:ascii="Garamond" w:eastAsia="Garamond" w:hAnsi="Garamond" w:cs="Garamond"/>
        </w:rPr>
        <w:t>, particularly due to increased risks</w:t>
      </w:r>
      <w:r>
        <w:rPr>
          <w:rFonts w:ascii="Garamond" w:eastAsia="Garamond" w:hAnsi="Garamond" w:cs="Garamond"/>
        </w:rPr>
        <w:t xml:space="preserve"> of harms</w:t>
      </w:r>
      <w:r w:rsidRPr="00000642">
        <w:rPr>
          <w:rFonts w:ascii="Garamond" w:eastAsia="Garamond" w:hAnsi="Garamond" w:cs="Garamond"/>
        </w:rPr>
        <w:t xml:space="preserve"> in armed conflicts. The policy on outing war </w:t>
      </w:r>
      <w:r w:rsidR="009950CC">
        <w:rPr>
          <w:rFonts w:ascii="Garamond" w:eastAsia="Garamond" w:hAnsi="Garamond" w:cs="Garamond"/>
        </w:rPr>
        <w:t xml:space="preserve">prisoners </w:t>
      </w:r>
      <w:r>
        <w:rPr>
          <w:rFonts w:ascii="Garamond" w:eastAsia="Garamond" w:hAnsi="Garamond" w:cs="Garamond"/>
        </w:rPr>
        <w:t>wa</w:t>
      </w:r>
      <w:r w:rsidRPr="00000642">
        <w:rPr>
          <w:rFonts w:ascii="Garamond" w:eastAsia="Garamond" w:hAnsi="Garamond" w:cs="Garamond"/>
        </w:rPr>
        <w:t xml:space="preserve">s only enforceable upon escalation, meaning it's beyond the remit of at-scale content moderators. In the </w:t>
      </w:r>
      <w:r>
        <w:rPr>
          <w:rFonts w:ascii="Garamond" w:eastAsia="Garamond" w:hAnsi="Garamond" w:cs="Garamond"/>
        </w:rPr>
        <w:t>“</w:t>
      </w:r>
      <w:hyperlink r:id="rId22" w:history="1">
        <w:r w:rsidRPr="00000642">
          <w:rPr>
            <w:rStyle w:val="Hyperlink"/>
            <w:rFonts w:ascii="Garamond" w:eastAsia="Garamond" w:hAnsi="Garamond" w:cs="Garamond"/>
            <w:i/>
            <w:iCs/>
          </w:rPr>
          <w:t>Armenian Prisoners of War Video</w:t>
        </w:r>
      </w:hyperlink>
      <w:r>
        <w:rPr>
          <w:rFonts w:ascii="Garamond" w:eastAsia="Garamond" w:hAnsi="Garamond" w:cs="Garamond"/>
          <w:i/>
          <w:iCs/>
        </w:rPr>
        <w:t>”</w:t>
      </w:r>
      <w:r w:rsidRPr="00000642">
        <w:rPr>
          <w:rFonts w:ascii="Garamond" w:eastAsia="Garamond" w:hAnsi="Garamond" w:cs="Garamond"/>
        </w:rPr>
        <w:t xml:space="preserve"> </w:t>
      </w:r>
      <w:r>
        <w:rPr>
          <w:rFonts w:ascii="Garamond" w:eastAsia="Garamond" w:hAnsi="Garamond" w:cs="Garamond"/>
        </w:rPr>
        <w:t>decision</w:t>
      </w:r>
      <w:r w:rsidRPr="00000642">
        <w:rPr>
          <w:rFonts w:ascii="Garamond" w:eastAsia="Garamond" w:hAnsi="Garamond" w:cs="Garamond"/>
        </w:rPr>
        <w:t>, the Board acknowledged the necessity of this rule requiring escalation to expert internal teams for enforcement, as it involve</w:t>
      </w:r>
      <w:r>
        <w:rPr>
          <w:rFonts w:ascii="Garamond" w:eastAsia="Garamond" w:hAnsi="Garamond" w:cs="Garamond"/>
        </w:rPr>
        <w:t>d</w:t>
      </w:r>
      <w:r w:rsidRPr="00000642">
        <w:rPr>
          <w:rFonts w:ascii="Garamond" w:eastAsia="Garamond" w:hAnsi="Garamond" w:cs="Garamond"/>
        </w:rPr>
        <w:t xml:space="preserve"> complex judgments about whether individuals in content </w:t>
      </w:r>
      <w:r>
        <w:rPr>
          <w:rFonts w:ascii="Garamond" w:eastAsia="Garamond" w:hAnsi="Garamond" w:cs="Garamond"/>
        </w:rPr>
        <w:t xml:space="preserve">were </w:t>
      </w:r>
      <w:r w:rsidRPr="00000642">
        <w:rPr>
          <w:rFonts w:ascii="Garamond" w:eastAsia="Garamond" w:hAnsi="Garamond" w:cs="Garamond"/>
        </w:rPr>
        <w:t>identifiable war</w:t>
      </w:r>
      <w:r>
        <w:rPr>
          <w:rFonts w:ascii="Garamond" w:eastAsia="Garamond" w:hAnsi="Garamond" w:cs="Garamond"/>
        </w:rPr>
        <w:t xml:space="preserve"> prisoners</w:t>
      </w:r>
      <w:r w:rsidRPr="00000642">
        <w:rPr>
          <w:rFonts w:ascii="Garamond" w:eastAsia="Garamond" w:hAnsi="Garamond" w:cs="Garamond"/>
        </w:rPr>
        <w:t xml:space="preserve"> within a conflict context. Consequently, enforcement of such rules depends solely on external prompts, such as notifications from Trusted Partners or significant media attention.</w:t>
      </w:r>
    </w:p>
    <w:p w14:paraId="085417B3" w14:textId="77777777" w:rsidR="00000642" w:rsidRDefault="00000642" w:rsidP="00000642">
      <w:pPr>
        <w:pBdr>
          <w:top w:val="nil"/>
          <w:left w:val="nil"/>
          <w:bottom w:val="nil"/>
          <w:right w:val="nil"/>
          <w:between w:val="nil"/>
        </w:pBdr>
        <w:spacing w:line="276" w:lineRule="auto"/>
        <w:ind w:left="426"/>
        <w:jc w:val="both"/>
        <w:rPr>
          <w:rFonts w:ascii="Garamond" w:eastAsia="Garamond" w:hAnsi="Garamond" w:cs="Garamond"/>
        </w:rPr>
      </w:pPr>
    </w:p>
    <w:p w14:paraId="54D0535F" w14:textId="4769D1EA" w:rsidR="009950CC" w:rsidRPr="009950CC" w:rsidRDefault="009950CC" w:rsidP="009950CC">
      <w:pPr>
        <w:pBdr>
          <w:top w:val="nil"/>
          <w:left w:val="nil"/>
          <w:bottom w:val="nil"/>
          <w:right w:val="nil"/>
          <w:between w:val="nil"/>
        </w:pBdr>
        <w:spacing w:line="276" w:lineRule="auto"/>
        <w:ind w:left="426"/>
        <w:rPr>
          <w:rFonts w:ascii="Garamond" w:eastAsia="Garamond" w:hAnsi="Garamond" w:cs="Garamond"/>
        </w:rPr>
      </w:pPr>
      <w:r w:rsidRPr="009950CC">
        <w:rPr>
          <w:rFonts w:ascii="Garamond" w:eastAsia="Garamond" w:hAnsi="Garamond" w:cs="Garamond"/>
        </w:rPr>
        <w:t>The Board's evaluation indicate</w:t>
      </w:r>
      <w:r>
        <w:rPr>
          <w:rFonts w:ascii="Garamond" w:eastAsia="Garamond" w:hAnsi="Garamond" w:cs="Garamond"/>
        </w:rPr>
        <w:t>d</w:t>
      </w:r>
      <w:r w:rsidRPr="009950CC">
        <w:rPr>
          <w:rFonts w:ascii="Garamond" w:eastAsia="Garamond" w:hAnsi="Garamond" w:cs="Garamond"/>
        </w:rPr>
        <w:t xml:space="preserve"> that, due to the escalations-only enforcement policy, a considerable amount of content that identifie</w:t>
      </w:r>
      <w:r>
        <w:rPr>
          <w:rFonts w:ascii="Garamond" w:eastAsia="Garamond" w:hAnsi="Garamond" w:cs="Garamond"/>
        </w:rPr>
        <w:t>d</w:t>
      </w:r>
      <w:r w:rsidRPr="009950CC">
        <w:rPr>
          <w:rFonts w:ascii="Garamond" w:eastAsia="Garamond" w:hAnsi="Garamond" w:cs="Garamond"/>
        </w:rPr>
        <w:t xml:space="preserve"> war</w:t>
      </w:r>
      <w:r>
        <w:rPr>
          <w:rFonts w:ascii="Garamond" w:eastAsia="Garamond" w:hAnsi="Garamond" w:cs="Garamond"/>
        </w:rPr>
        <w:t xml:space="preserve"> prisoners</w:t>
      </w:r>
      <w:r w:rsidRPr="009950CC">
        <w:rPr>
          <w:rFonts w:ascii="Garamond" w:eastAsia="Garamond" w:hAnsi="Garamond" w:cs="Garamond"/>
        </w:rPr>
        <w:t xml:space="preserve"> likely remain</w:t>
      </w:r>
      <w:r>
        <w:rPr>
          <w:rFonts w:ascii="Garamond" w:eastAsia="Garamond" w:hAnsi="Garamond" w:cs="Garamond"/>
        </w:rPr>
        <w:t>ed</w:t>
      </w:r>
      <w:r w:rsidRPr="009950CC">
        <w:rPr>
          <w:rFonts w:ascii="Garamond" w:eastAsia="Garamond" w:hAnsi="Garamond" w:cs="Garamond"/>
        </w:rPr>
        <w:t xml:space="preserve"> on Meta's platform. This situation </w:t>
      </w:r>
      <w:r>
        <w:rPr>
          <w:rFonts w:ascii="Garamond" w:eastAsia="Garamond" w:hAnsi="Garamond" w:cs="Garamond"/>
        </w:rPr>
        <w:t>wa</w:t>
      </w:r>
      <w:r w:rsidRPr="009950CC">
        <w:rPr>
          <w:rFonts w:ascii="Garamond" w:eastAsia="Garamond" w:hAnsi="Garamond" w:cs="Garamond"/>
        </w:rPr>
        <w:t>s compounded by the limitations of Meta’s automated detection systems, which might not be adequately trained due to insufficient human-reviewed cases under such policies.</w:t>
      </w:r>
    </w:p>
    <w:p w14:paraId="571B3DA6" w14:textId="77777777" w:rsidR="009950CC" w:rsidRPr="009950CC" w:rsidRDefault="009950CC" w:rsidP="009950CC">
      <w:pPr>
        <w:pBdr>
          <w:top w:val="nil"/>
          <w:left w:val="nil"/>
          <w:bottom w:val="nil"/>
          <w:right w:val="nil"/>
          <w:between w:val="nil"/>
        </w:pBdr>
        <w:spacing w:line="276" w:lineRule="auto"/>
        <w:ind w:left="426"/>
        <w:rPr>
          <w:rFonts w:ascii="Garamond" w:eastAsia="Garamond" w:hAnsi="Garamond" w:cs="Garamond"/>
        </w:rPr>
      </w:pPr>
    </w:p>
    <w:p w14:paraId="21BEDF2A" w14:textId="3D8E6A82" w:rsidR="009950CC" w:rsidRDefault="009950CC" w:rsidP="009950CC">
      <w:pPr>
        <w:pBdr>
          <w:top w:val="nil"/>
          <w:left w:val="nil"/>
          <w:bottom w:val="nil"/>
          <w:right w:val="nil"/>
          <w:between w:val="nil"/>
        </w:pBdr>
        <w:spacing w:line="276" w:lineRule="auto"/>
        <w:ind w:left="426"/>
        <w:jc w:val="both"/>
        <w:rPr>
          <w:rFonts w:ascii="Garamond" w:eastAsia="Garamond" w:hAnsi="Garamond" w:cs="Garamond"/>
        </w:rPr>
      </w:pPr>
      <w:r w:rsidRPr="009950CC">
        <w:rPr>
          <w:rFonts w:ascii="Garamond" w:eastAsia="Garamond" w:hAnsi="Garamond" w:cs="Garamond"/>
        </w:rPr>
        <w:t>As a result, while the Board acknowledge</w:t>
      </w:r>
      <w:r>
        <w:rPr>
          <w:rFonts w:ascii="Garamond" w:eastAsia="Garamond" w:hAnsi="Garamond" w:cs="Garamond"/>
        </w:rPr>
        <w:t>d</w:t>
      </w:r>
      <w:r w:rsidRPr="009950CC">
        <w:rPr>
          <w:rFonts w:ascii="Garamond" w:eastAsia="Garamond" w:hAnsi="Garamond" w:cs="Garamond"/>
        </w:rPr>
        <w:t xml:space="preserve"> the necessity of the rule prohibiting the outing of war</w:t>
      </w:r>
      <w:r>
        <w:rPr>
          <w:rFonts w:ascii="Garamond" w:eastAsia="Garamond" w:hAnsi="Garamond" w:cs="Garamond"/>
        </w:rPr>
        <w:t xml:space="preserve"> prisoners</w:t>
      </w:r>
      <w:r w:rsidRPr="009950CC">
        <w:rPr>
          <w:rFonts w:ascii="Garamond" w:eastAsia="Garamond" w:hAnsi="Garamond" w:cs="Garamond"/>
        </w:rPr>
        <w:t xml:space="preserve"> in armed conflicts, it deem</w:t>
      </w:r>
      <w:r>
        <w:rPr>
          <w:rFonts w:ascii="Garamond" w:eastAsia="Garamond" w:hAnsi="Garamond" w:cs="Garamond"/>
        </w:rPr>
        <w:t>ed</w:t>
      </w:r>
      <w:r w:rsidRPr="009950CC">
        <w:rPr>
          <w:rFonts w:ascii="Garamond" w:eastAsia="Garamond" w:hAnsi="Garamond" w:cs="Garamond"/>
        </w:rPr>
        <w:t xml:space="preserve"> Meta's current enforcement measures inadequate for upholding the company's responsibilities towards protecting the rights of war</w:t>
      </w:r>
      <w:r>
        <w:rPr>
          <w:rFonts w:ascii="Garamond" w:eastAsia="Garamond" w:hAnsi="Garamond" w:cs="Garamond"/>
        </w:rPr>
        <w:t xml:space="preserve"> prisoners</w:t>
      </w:r>
      <w:r w:rsidRPr="009950CC">
        <w:rPr>
          <w:rFonts w:ascii="Garamond" w:eastAsia="Garamond" w:hAnsi="Garamond" w:cs="Garamond"/>
        </w:rPr>
        <w:t>. To genuinely safeguard these rights under international humanitarian law, the Board recommend</w:t>
      </w:r>
      <w:r>
        <w:rPr>
          <w:rFonts w:ascii="Garamond" w:eastAsia="Garamond" w:hAnsi="Garamond" w:cs="Garamond"/>
        </w:rPr>
        <w:t>ed</w:t>
      </w:r>
      <w:r w:rsidRPr="009950CC">
        <w:rPr>
          <w:rFonts w:ascii="Garamond" w:eastAsia="Garamond" w:hAnsi="Garamond" w:cs="Garamond"/>
        </w:rPr>
        <w:t xml:space="preserve"> Meta develop a scalable enforcement solution. </w:t>
      </w:r>
    </w:p>
    <w:p w14:paraId="4ED6377F" w14:textId="77777777" w:rsidR="009950CC" w:rsidRDefault="009950CC" w:rsidP="009950CC">
      <w:pPr>
        <w:pBdr>
          <w:top w:val="nil"/>
          <w:left w:val="nil"/>
          <w:bottom w:val="nil"/>
          <w:right w:val="nil"/>
          <w:between w:val="nil"/>
        </w:pBdr>
        <w:spacing w:line="276" w:lineRule="auto"/>
        <w:ind w:left="426"/>
        <w:jc w:val="both"/>
        <w:rPr>
          <w:rFonts w:ascii="Garamond" w:eastAsia="Garamond" w:hAnsi="Garamond" w:cs="Garamond"/>
        </w:rPr>
      </w:pPr>
    </w:p>
    <w:p w14:paraId="498B76E0" w14:textId="4C9148A4" w:rsidR="009950CC" w:rsidRDefault="009950CC" w:rsidP="009950CC">
      <w:pPr>
        <w:pBdr>
          <w:top w:val="nil"/>
          <w:left w:val="nil"/>
          <w:bottom w:val="nil"/>
          <w:right w:val="nil"/>
          <w:between w:val="nil"/>
        </w:pBdr>
        <w:spacing w:line="276" w:lineRule="auto"/>
        <w:ind w:left="426"/>
        <w:jc w:val="both"/>
        <w:rPr>
          <w:rFonts w:ascii="Garamond" w:eastAsia="Garamond" w:hAnsi="Garamond" w:cs="Garamond"/>
          <w:i/>
          <w:iCs/>
        </w:rPr>
      </w:pPr>
      <w:r>
        <w:rPr>
          <w:rFonts w:ascii="Garamond" w:eastAsia="Garamond" w:hAnsi="Garamond" w:cs="Garamond"/>
          <w:i/>
          <w:iCs/>
        </w:rPr>
        <w:t xml:space="preserve">Access to remedy </w:t>
      </w:r>
    </w:p>
    <w:p w14:paraId="1FBAE8EC" w14:textId="77777777" w:rsidR="009950CC" w:rsidRDefault="009950CC" w:rsidP="009950CC">
      <w:pPr>
        <w:pBdr>
          <w:top w:val="nil"/>
          <w:left w:val="nil"/>
          <w:bottom w:val="nil"/>
          <w:right w:val="nil"/>
          <w:between w:val="nil"/>
        </w:pBdr>
        <w:spacing w:line="276" w:lineRule="auto"/>
        <w:ind w:left="426"/>
        <w:jc w:val="both"/>
        <w:rPr>
          <w:rFonts w:ascii="Garamond" w:eastAsia="Garamond" w:hAnsi="Garamond" w:cs="Garamond"/>
          <w:i/>
          <w:iCs/>
        </w:rPr>
      </w:pPr>
    </w:p>
    <w:p w14:paraId="2015DBE4" w14:textId="0490D859" w:rsidR="009950CC" w:rsidRPr="009950CC" w:rsidRDefault="009950CC" w:rsidP="009950CC">
      <w:pPr>
        <w:pBdr>
          <w:top w:val="nil"/>
          <w:left w:val="nil"/>
          <w:bottom w:val="nil"/>
          <w:right w:val="nil"/>
          <w:between w:val="nil"/>
        </w:pBdr>
        <w:spacing w:line="276" w:lineRule="auto"/>
        <w:ind w:left="426"/>
        <w:jc w:val="both"/>
        <w:rPr>
          <w:rFonts w:ascii="Garamond" w:eastAsia="Garamond" w:hAnsi="Garamond" w:cs="Garamond"/>
        </w:rPr>
      </w:pPr>
      <w:r w:rsidRPr="009950CC">
        <w:rPr>
          <w:rFonts w:ascii="Garamond" w:eastAsia="Garamond" w:hAnsi="Garamond" w:cs="Garamond"/>
        </w:rPr>
        <w:t>Meta disclosed to the Board that the appeal in this case was automatically closed due to the company's COVID-19 automation policie</w:t>
      </w:r>
      <w:r>
        <w:rPr>
          <w:rFonts w:ascii="Garamond" w:eastAsia="Garamond" w:hAnsi="Garamond" w:cs="Garamond"/>
        </w:rPr>
        <w:t>s</w:t>
      </w:r>
      <w:r w:rsidRPr="009950CC">
        <w:rPr>
          <w:rFonts w:ascii="Garamond" w:eastAsia="Garamond" w:hAnsi="Garamond" w:cs="Garamond"/>
        </w:rPr>
        <w:t xml:space="preserve">. </w:t>
      </w:r>
      <w:r>
        <w:rPr>
          <w:rFonts w:ascii="Garamond" w:eastAsia="Garamond" w:hAnsi="Garamond" w:cs="Garamond"/>
        </w:rPr>
        <w:t>T</w:t>
      </w:r>
      <w:r w:rsidRPr="009950CC">
        <w:rPr>
          <w:rFonts w:ascii="Garamond" w:eastAsia="Garamond" w:hAnsi="Garamond" w:cs="Garamond"/>
        </w:rPr>
        <w:t xml:space="preserve">he Board had </w:t>
      </w:r>
      <w:r>
        <w:rPr>
          <w:rFonts w:ascii="Garamond" w:eastAsia="Garamond" w:hAnsi="Garamond" w:cs="Garamond"/>
        </w:rPr>
        <w:t xml:space="preserve">previously </w:t>
      </w:r>
      <w:r w:rsidRPr="009950CC">
        <w:rPr>
          <w:rFonts w:ascii="Garamond" w:eastAsia="Garamond" w:hAnsi="Garamond" w:cs="Garamond"/>
        </w:rPr>
        <w:t>urged Meta to confirm publicly whether all automation policies established during the COVID-19 pandemic had been discontinued.</w:t>
      </w:r>
      <w:r>
        <w:rPr>
          <w:rFonts w:ascii="Garamond" w:eastAsia="Garamond" w:hAnsi="Garamond" w:cs="Garamond"/>
        </w:rPr>
        <w:t xml:space="preserve"> [</w:t>
      </w:r>
      <w:hyperlink r:id="rId23" w:history="1">
        <w:r w:rsidRPr="009950CC">
          <w:rPr>
            <w:rStyle w:val="Hyperlink"/>
            <w:rFonts w:ascii="Garamond" w:eastAsia="Garamond" w:hAnsi="Garamond" w:cs="Garamond"/>
            <w:i/>
            <w:iCs/>
          </w:rPr>
          <w:t>Holocaust Denial</w:t>
        </w:r>
      </w:hyperlink>
      <w:r>
        <w:rPr>
          <w:rFonts w:ascii="Garamond" w:eastAsia="Garamond" w:hAnsi="Garamond" w:cs="Garamond"/>
          <w:i/>
          <w:iCs/>
        </w:rPr>
        <w:t xml:space="preserve"> </w:t>
      </w:r>
      <w:r>
        <w:rPr>
          <w:rFonts w:ascii="Garamond" w:eastAsia="Garamond" w:hAnsi="Garamond" w:cs="Garamond"/>
        </w:rPr>
        <w:t>decision]</w:t>
      </w:r>
      <w:r w:rsidRPr="009950CC">
        <w:rPr>
          <w:rFonts w:ascii="Garamond" w:eastAsia="Garamond" w:hAnsi="Garamond" w:cs="Garamond"/>
        </w:rPr>
        <w:t xml:space="preserve"> The Board remain</w:t>
      </w:r>
      <w:r>
        <w:rPr>
          <w:rFonts w:ascii="Garamond" w:eastAsia="Garamond" w:hAnsi="Garamond" w:cs="Garamond"/>
        </w:rPr>
        <w:t xml:space="preserve">ed </w:t>
      </w:r>
      <w:r w:rsidRPr="009950CC">
        <w:rPr>
          <w:rFonts w:ascii="Garamond" w:eastAsia="Garamond" w:hAnsi="Garamond" w:cs="Garamond"/>
        </w:rPr>
        <w:t xml:space="preserve">concerned that these automation policies, initially justified by a temporary decrease in human review capabilities during the pandemic, </w:t>
      </w:r>
      <w:r>
        <w:rPr>
          <w:rFonts w:ascii="Garamond" w:eastAsia="Garamond" w:hAnsi="Garamond" w:cs="Garamond"/>
        </w:rPr>
        <w:t>we</w:t>
      </w:r>
      <w:r w:rsidRPr="009950CC">
        <w:rPr>
          <w:rFonts w:ascii="Garamond" w:eastAsia="Garamond" w:hAnsi="Garamond" w:cs="Garamond"/>
        </w:rPr>
        <w:t>re</w:t>
      </w:r>
      <w:r w:rsidRPr="009950CC">
        <w:rPr>
          <w:rFonts w:ascii="Garamond" w:eastAsia="Garamond" w:hAnsi="Garamond" w:cs="Garamond"/>
        </w:rPr>
        <w:t xml:space="preserve"> still active. The Board reiterate</w:t>
      </w:r>
      <w:r>
        <w:rPr>
          <w:rFonts w:ascii="Garamond" w:eastAsia="Garamond" w:hAnsi="Garamond" w:cs="Garamond"/>
        </w:rPr>
        <w:t>d</w:t>
      </w:r>
      <w:r w:rsidRPr="009950CC">
        <w:rPr>
          <w:rFonts w:ascii="Garamond" w:eastAsia="Garamond" w:hAnsi="Garamond" w:cs="Garamond"/>
        </w:rPr>
        <w:t xml:space="preserve"> its recommendation, emphasizing the need for Meta to publicly clarify when it expect</w:t>
      </w:r>
      <w:r>
        <w:rPr>
          <w:rFonts w:ascii="Garamond" w:eastAsia="Garamond" w:hAnsi="Garamond" w:cs="Garamond"/>
        </w:rPr>
        <w:t xml:space="preserve">ed </w:t>
      </w:r>
      <w:r w:rsidRPr="009950CC">
        <w:rPr>
          <w:rFonts w:ascii="Garamond" w:eastAsia="Garamond" w:hAnsi="Garamond" w:cs="Garamond"/>
        </w:rPr>
        <w:t>to restore full human reviewer capacity.</w:t>
      </w:r>
    </w:p>
    <w:p w14:paraId="209A09EE" w14:textId="77777777" w:rsidR="00000642" w:rsidRDefault="00000642" w:rsidP="009950CC">
      <w:pPr>
        <w:pBdr>
          <w:top w:val="nil"/>
          <w:left w:val="nil"/>
          <w:bottom w:val="nil"/>
          <w:right w:val="nil"/>
          <w:between w:val="nil"/>
        </w:pBdr>
        <w:spacing w:line="276" w:lineRule="auto"/>
        <w:jc w:val="both"/>
        <w:rPr>
          <w:rFonts w:ascii="Garamond" w:eastAsia="Garamond" w:hAnsi="Garamond" w:cs="Garamond"/>
        </w:rPr>
      </w:pPr>
    </w:p>
    <w:p w14:paraId="62344F41" w14:textId="2424C40E" w:rsidR="009950CC" w:rsidRPr="00024309" w:rsidRDefault="009950CC" w:rsidP="009950CC">
      <w:pPr>
        <w:pBdr>
          <w:top w:val="nil"/>
          <w:left w:val="nil"/>
          <w:bottom w:val="nil"/>
          <w:right w:val="nil"/>
          <w:between w:val="nil"/>
        </w:pBdr>
        <w:spacing w:line="276" w:lineRule="auto"/>
        <w:ind w:left="426"/>
        <w:jc w:val="both"/>
        <w:rPr>
          <w:rFonts w:ascii="Garamond" w:eastAsia="Garamond" w:hAnsi="Garamond" w:cs="Garamond"/>
        </w:rPr>
      </w:pPr>
      <w:r>
        <w:rPr>
          <w:rFonts w:ascii="Garamond" w:eastAsia="Garamond" w:hAnsi="Garamond" w:cs="Garamond"/>
        </w:rPr>
        <w:t xml:space="preserve">Accordingly, the Board overturned Meta’s decision to leave the content up on Facebook as it violated the DOI and Coordinating Harm and Promoting Crime policies and the removal would fulfill the </w:t>
      </w:r>
      <w:r w:rsidR="00623738">
        <w:rPr>
          <w:rFonts w:ascii="Garamond" w:eastAsia="Garamond" w:hAnsi="Garamond" w:cs="Garamond"/>
        </w:rPr>
        <w:t>three-part</w:t>
      </w:r>
      <w:r>
        <w:rPr>
          <w:rFonts w:ascii="Garamond" w:eastAsia="Garamond" w:hAnsi="Garamond" w:cs="Garamond"/>
        </w:rPr>
        <w:t xml:space="preserve"> test.</w:t>
      </w:r>
    </w:p>
    <w:p w14:paraId="451E00D3" w14:textId="016E3DF5" w:rsidR="00BC1499" w:rsidRDefault="00000000" w:rsidP="009950CC">
      <w:pPr>
        <w:widowControl w:val="0"/>
        <w:rPr>
          <w:rFonts w:ascii="Garamond" w:eastAsia="Garamond" w:hAnsi="Garamond" w:cs="Garamond"/>
          <w:i/>
          <w:u w:val="single"/>
        </w:rPr>
      </w:pPr>
      <w:r>
        <w:rPr>
          <w:rFonts w:ascii="Garamond" w:eastAsia="Garamond" w:hAnsi="Garamond" w:cs="Garamond"/>
          <w:i/>
          <w:u w:val="single"/>
        </w:rPr>
        <w:t>Policy advisory statement</w:t>
      </w:r>
    </w:p>
    <w:p w14:paraId="5831BE2C" w14:textId="77777777" w:rsidR="009950CC" w:rsidRDefault="009950CC" w:rsidP="009950CC">
      <w:pPr>
        <w:widowControl w:val="0"/>
        <w:rPr>
          <w:rFonts w:ascii="Garamond" w:eastAsia="Garamond" w:hAnsi="Garamond" w:cs="Garamond"/>
          <w:i/>
          <w:u w:val="single"/>
        </w:rPr>
      </w:pPr>
    </w:p>
    <w:p w14:paraId="37ADBF8C" w14:textId="02BC2761" w:rsidR="00623738" w:rsidRDefault="00623738" w:rsidP="00623738">
      <w:pPr>
        <w:widowControl w:val="0"/>
        <w:ind w:left="426"/>
        <w:rPr>
          <w:rFonts w:ascii="Garamond" w:eastAsia="Garamond" w:hAnsi="Garamond" w:cs="Garamond"/>
          <w:iCs/>
        </w:rPr>
      </w:pPr>
      <w:r>
        <w:rPr>
          <w:rFonts w:ascii="Garamond" w:eastAsia="Garamond" w:hAnsi="Garamond" w:cs="Garamond"/>
          <w:iCs/>
        </w:rPr>
        <w:t xml:space="preserve">The Board recommended </w:t>
      </w:r>
      <w:r w:rsidRPr="00623738">
        <w:rPr>
          <w:rFonts w:ascii="Garamond" w:eastAsia="Garamond" w:hAnsi="Garamond" w:cs="Garamond"/>
          <w:iCs/>
        </w:rPr>
        <w:t xml:space="preserve">Meta </w:t>
      </w:r>
      <w:r w:rsidRPr="00623738">
        <w:rPr>
          <w:rFonts w:ascii="Garamond" w:eastAsia="Garamond" w:hAnsi="Garamond" w:cs="Garamond"/>
          <w:iCs/>
        </w:rPr>
        <w:t>creates</w:t>
      </w:r>
      <w:r w:rsidRPr="00623738">
        <w:rPr>
          <w:rFonts w:ascii="Garamond" w:eastAsia="Garamond" w:hAnsi="Garamond" w:cs="Garamond"/>
          <w:iCs/>
        </w:rPr>
        <w:t xml:space="preserve"> a scalable solution to enforce its</w:t>
      </w:r>
      <w:r>
        <w:rPr>
          <w:rFonts w:ascii="Garamond" w:eastAsia="Garamond" w:hAnsi="Garamond" w:cs="Garamond"/>
          <w:iCs/>
        </w:rPr>
        <w:t xml:space="preserve"> </w:t>
      </w:r>
      <w:r>
        <w:rPr>
          <w:rFonts w:ascii="Garamond" w:eastAsia="Garamond" w:hAnsi="Garamond" w:cs="Garamond"/>
        </w:rPr>
        <w:t>Coordinating Harm and Promoting Crime</w:t>
      </w:r>
      <w:r w:rsidRPr="00623738">
        <w:rPr>
          <w:rFonts w:ascii="Garamond" w:eastAsia="Garamond" w:hAnsi="Garamond" w:cs="Garamond"/>
          <w:iCs/>
        </w:rPr>
        <w:t xml:space="preserve"> policy </w:t>
      </w:r>
      <w:r>
        <w:rPr>
          <w:rFonts w:ascii="Garamond" w:eastAsia="Garamond" w:hAnsi="Garamond" w:cs="Garamond"/>
          <w:iCs/>
        </w:rPr>
        <w:t xml:space="preserve">prohibition </w:t>
      </w:r>
      <w:r w:rsidRPr="00623738">
        <w:rPr>
          <w:rFonts w:ascii="Garamond" w:eastAsia="Garamond" w:hAnsi="Garamond" w:cs="Garamond"/>
          <w:iCs/>
        </w:rPr>
        <w:t>against outing prisoners of war, as required by international humanitarian law. This involve</w:t>
      </w:r>
      <w:r>
        <w:rPr>
          <w:rFonts w:ascii="Garamond" w:eastAsia="Garamond" w:hAnsi="Garamond" w:cs="Garamond"/>
          <w:iCs/>
        </w:rPr>
        <w:t>d</w:t>
      </w:r>
      <w:r w:rsidRPr="00623738">
        <w:rPr>
          <w:rFonts w:ascii="Garamond" w:eastAsia="Garamond" w:hAnsi="Garamond" w:cs="Garamond"/>
          <w:iCs/>
        </w:rPr>
        <w:t xml:space="preserve"> setting up a specialized team to proactively monitor and identify such content during armed conflicts</w:t>
      </w:r>
      <w:r>
        <w:rPr>
          <w:rFonts w:ascii="Garamond" w:eastAsia="Garamond" w:hAnsi="Garamond" w:cs="Garamond"/>
          <w:iCs/>
        </w:rPr>
        <w:t xml:space="preserve"> ensuring prompt and effect enforcement of the policy.</w:t>
      </w:r>
    </w:p>
    <w:p w14:paraId="68B72C52" w14:textId="77777777" w:rsidR="00623738" w:rsidRDefault="00623738" w:rsidP="00623738">
      <w:pPr>
        <w:widowControl w:val="0"/>
        <w:ind w:left="426"/>
        <w:rPr>
          <w:rFonts w:ascii="Garamond" w:eastAsia="Garamond" w:hAnsi="Garamond" w:cs="Garamond"/>
          <w:iCs/>
        </w:rPr>
      </w:pPr>
    </w:p>
    <w:p w14:paraId="77687261" w14:textId="731F1220" w:rsidR="00623738" w:rsidRDefault="00623738" w:rsidP="00623738">
      <w:pPr>
        <w:widowControl w:val="0"/>
        <w:ind w:left="426"/>
        <w:rPr>
          <w:rFonts w:ascii="Garamond" w:eastAsia="Garamond" w:hAnsi="Garamond" w:cs="Garamond"/>
          <w:iCs/>
        </w:rPr>
      </w:pPr>
      <w:r>
        <w:rPr>
          <w:rFonts w:ascii="Garamond" w:eastAsia="Garamond" w:hAnsi="Garamond" w:cs="Garamond"/>
          <w:iCs/>
        </w:rPr>
        <w:t xml:space="preserve">Moreover, the Board suggested </w:t>
      </w:r>
      <w:r w:rsidRPr="00623738">
        <w:rPr>
          <w:rFonts w:ascii="Garamond" w:eastAsia="Garamond" w:hAnsi="Garamond" w:cs="Garamond"/>
          <w:iCs/>
        </w:rPr>
        <w:t>Meta audit the training data of its video content classifier to ensure it include</w:t>
      </w:r>
      <w:r>
        <w:rPr>
          <w:rFonts w:ascii="Garamond" w:eastAsia="Garamond" w:hAnsi="Garamond" w:cs="Garamond"/>
          <w:iCs/>
        </w:rPr>
        <w:t>d</w:t>
      </w:r>
      <w:r w:rsidRPr="00623738">
        <w:rPr>
          <w:rFonts w:ascii="Garamond" w:eastAsia="Garamond" w:hAnsi="Garamond" w:cs="Garamond"/>
          <w:iCs/>
        </w:rPr>
        <w:t xml:space="preserve"> diverse examples of content related to designated organizations in various languages, dialects, regions, and conflicts. </w:t>
      </w:r>
      <w:r>
        <w:rPr>
          <w:rFonts w:ascii="Garamond" w:eastAsia="Garamond" w:hAnsi="Garamond" w:cs="Garamond"/>
          <w:iCs/>
        </w:rPr>
        <w:t>This recommendation aimed</w:t>
      </w:r>
      <w:r w:rsidRPr="00623738">
        <w:rPr>
          <w:rFonts w:ascii="Garamond" w:eastAsia="Garamond" w:hAnsi="Garamond" w:cs="Garamond"/>
          <w:iCs/>
        </w:rPr>
        <w:t xml:space="preserve"> improve the automated detection and prioritization of potential policy violations under the </w:t>
      </w:r>
      <w:r>
        <w:rPr>
          <w:rFonts w:ascii="Garamond" w:eastAsia="Garamond" w:hAnsi="Garamond" w:cs="Garamond"/>
          <w:iCs/>
        </w:rPr>
        <w:t xml:space="preserve">DOI </w:t>
      </w:r>
      <w:r w:rsidRPr="00623738">
        <w:rPr>
          <w:rFonts w:ascii="Garamond" w:eastAsia="Garamond" w:hAnsi="Garamond" w:cs="Garamond"/>
          <w:iCs/>
        </w:rPr>
        <w:t xml:space="preserve"> policy for human review.</w:t>
      </w:r>
    </w:p>
    <w:p w14:paraId="54E209DE" w14:textId="77777777" w:rsidR="00623738" w:rsidRDefault="00623738" w:rsidP="00623738">
      <w:pPr>
        <w:widowControl w:val="0"/>
        <w:ind w:left="426"/>
        <w:rPr>
          <w:rFonts w:ascii="Garamond" w:eastAsia="Garamond" w:hAnsi="Garamond" w:cs="Garamond"/>
          <w:iCs/>
        </w:rPr>
      </w:pPr>
    </w:p>
    <w:p w14:paraId="11A6163F" w14:textId="30D3D04C" w:rsidR="00623738" w:rsidRPr="00623738" w:rsidRDefault="00623738" w:rsidP="00623738">
      <w:pPr>
        <w:widowControl w:val="0"/>
        <w:ind w:left="426"/>
        <w:rPr>
          <w:rFonts w:ascii="Garamond" w:eastAsia="Garamond" w:hAnsi="Garamond" w:cs="Garamond"/>
          <w:iCs/>
        </w:rPr>
      </w:pPr>
      <w:r>
        <w:rPr>
          <w:rFonts w:ascii="Garamond" w:eastAsia="Garamond" w:hAnsi="Garamond" w:cs="Garamond"/>
          <w:iCs/>
        </w:rPr>
        <w:t>Finally, t</w:t>
      </w:r>
      <w:r w:rsidRPr="00623738">
        <w:rPr>
          <w:rFonts w:ascii="Garamond" w:eastAsia="Garamond" w:hAnsi="Garamond" w:cs="Garamond"/>
          <w:iCs/>
        </w:rPr>
        <w:t>o provide more clarity to users,</w:t>
      </w:r>
      <w:r>
        <w:rPr>
          <w:rFonts w:ascii="Garamond" w:eastAsia="Garamond" w:hAnsi="Garamond" w:cs="Garamond"/>
          <w:iCs/>
        </w:rPr>
        <w:t xml:space="preserve"> the Board urged</w:t>
      </w:r>
      <w:r w:rsidRPr="00623738">
        <w:rPr>
          <w:rFonts w:ascii="Garamond" w:eastAsia="Garamond" w:hAnsi="Garamond" w:cs="Garamond"/>
          <w:iCs/>
        </w:rPr>
        <w:t xml:space="preserve"> Meta </w:t>
      </w:r>
      <w:r>
        <w:rPr>
          <w:rFonts w:ascii="Garamond" w:eastAsia="Garamond" w:hAnsi="Garamond" w:cs="Garamond"/>
          <w:iCs/>
        </w:rPr>
        <w:t>to</w:t>
      </w:r>
      <w:r w:rsidRPr="00623738">
        <w:rPr>
          <w:rFonts w:ascii="Garamond" w:eastAsia="Garamond" w:hAnsi="Garamond" w:cs="Garamond"/>
          <w:iCs/>
        </w:rPr>
        <w:t xml:space="preserve"> hyperlink the U.S. Foreign Terrorist Organizations and Specially Designated Global Terrorists lists in its Community Standards, where these lists </w:t>
      </w:r>
      <w:r>
        <w:rPr>
          <w:rFonts w:ascii="Garamond" w:eastAsia="Garamond" w:hAnsi="Garamond" w:cs="Garamond"/>
          <w:iCs/>
        </w:rPr>
        <w:t>we</w:t>
      </w:r>
      <w:r w:rsidRPr="00623738">
        <w:rPr>
          <w:rFonts w:ascii="Garamond" w:eastAsia="Garamond" w:hAnsi="Garamond" w:cs="Garamond"/>
          <w:iCs/>
        </w:rPr>
        <w:t>re mentioned.</w:t>
      </w:r>
    </w:p>
    <w:p w14:paraId="12223F9D" w14:textId="77777777" w:rsidR="009950CC" w:rsidRDefault="009950CC" w:rsidP="009950CC">
      <w:pPr>
        <w:widowControl w:val="0"/>
        <w:rPr>
          <w:rFonts w:ascii="Garamond" w:eastAsia="Garamond" w:hAnsi="Garamond" w:cs="Garamond"/>
        </w:rPr>
      </w:pPr>
    </w:p>
    <w:p w14:paraId="7E1E3185" w14:textId="3395CB10" w:rsidR="00BC1499" w:rsidRDefault="00000000">
      <w:pPr>
        <w:widowControl w:val="0"/>
        <w:jc w:val="both"/>
        <w:rPr>
          <w:rFonts w:ascii="Garamond" w:eastAsia="Garamond" w:hAnsi="Garamond" w:cs="Garamond"/>
          <w:i/>
          <w:u w:val="single"/>
        </w:rPr>
      </w:pPr>
      <w:r>
        <w:rPr>
          <w:rFonts w:ascii="Garamond" w:eastAsia="Garamond" w:hAnsi="Garamond" w:cs="Garamond"/>
          <w:i/>
          <w:u w:val="single"/>
        </w:rPr>
        <w:t>Dissenting Opinions</w:t>
      </w:r>
    </w:p>
    <w:p w14:paraId="0535024E" w14:textId="77777777" w:rsidR="009725A6" w:rsidRDefault="009725A6">
      <w:pPr>
        <w:widowControl w:val="0"/>
        <w:jc w:val="both"/>
        <w:rPr>
          <w:rFonts w:ascii="Garamond" w:eastAsia="Garamond" w:hAnsi="Garamond" w:cs="Garamond"/>
        </w:rPr>
      </w:pPr>
    </w:p>
    <w:p w14:paraId="675EBCF1" w14:textId="3B1DF630" w:rsidR="00BC1499" w:rsidRDefault="009725A6">
      <w:pPr>
        <w:widowControl w:val="0"/>
        <w:rPr>
          <w:rFonts w:ascii="Garamond" w:eastAsia="Garamond" w:hAnsi="Garamond" w:cs="Garamond"/>
        </w:rPr>
      </w:pPr>
      <w:r w:rsidRPr="009725A6">
        <w:rPr>
          <w:rFonts w:ascii="Garamond" w:eastAsia="Garamond" w:hAnsi="Garamond" w:cs="Garamond"/>
        </w:rPr>
        <w:t xml:space="preserve">A minority of the Board noted that although Meta did not publicly announce the designation of the RSF, the group's alleged involvement in war crimes and crimes against humanity was well-documented and widely reported as the conflict escalated. Given this public knowledge, users could reasonably expect that sharing RSF-related content might breach Meta's </w:t>
      </w:r>
      <w:r>
        <w:rPr>
          <w:rFonts w:ascii="Garamond" w:eastAsia="Garamond" w:hAnsi="Garamond" w:cs="Garamond"/>
        </w:rPr>
        <w:t>policies.</w:t>
      </w:r>
    </w:p>
    <w:p w14:paraId="38834CAF" w14:textId="77777777" w:rsidR="00BC1499" w:rsidRDefault="00BC1499">
      <w:pPr>
        <w:pBdr>
          <w:top w:val="nil"/>
          <w:left w:val="nil"/>
          <w:bottom w:val="nil"/>
          <w:right w:val="nil"/>
          <w:between w:val="nil"/>
        </w:pBdr>
        <w:spacing w:line="276" w:lineRule="auto"/>
        <w:jc w:val="both"/>
        <w:rPr>
          <w:rFonts w:ascii="Garamond" w:eastAsia="Garamond" w:hAnsi="Garamond" w:cs="Garamond"/>
        </w:rPr>
      </w:pPr>
    </w:p>
    <w:p w14:paraId="202194F7" w14:textId="77777777" w:rsidR="00BC1499" w:rsidRDefault="00000000">
      <w:pPr>
        <w:spacing w:line="276" w:lineRule="auto"/>
        <w:jc w:val="both"/>
        <w:rPr>
          <w:rFonts w:ascii="Garamond" w:eastAsia="Garamond" w:hAnsi="Garamond" w:cs="Garamond"/>
        </w:rPr>
      </w:pPr>
      <w:r>
        <w:rPr>
          <w:rFonts w:ascii="Garamond" w:eastAsia="Garamond" w:hAnsi="Garamond" w:cs="Garamond"/>
          <w:b/>
          <w:i/>
          <w:u w:val="single"/>
        </w:rPr>
        <w:t>Direction:</w:t>
      </w:r>
    </w:p>
    <w:p w14:paraId="435C94D5" w14:textId="77777777" w:rsidR="00BC1499" w:rsidRDefault="00000000">
      <w:pPr>
        <w:numPr>
          <w:ilvl w:val="0"/>
          <w:numId w:val="8"/>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Outcome</w:t>
      </w:r>
      <w:r>
        <w:rPr>
          <w:rFonts w:ascii="Garamond" w:eastAsia="Garamond" w:hAnsi="Garamond" w:cs="Garamond"/>
          <w:color w:val="000000"/>
        </w:rPr>
        <w:t>: Contracts Expression/Mixed Outcome/Expands Expression</w:t>
      </w:r>
    </w:p>
    <w:p w14:paraId="51C685B2" w14:textId="77777777" w:rsidR="00BC1499" w:rsidRDefault="00000000">
      <w:pPr>
        <w:pBdr>
          <w:top w:val="nil"/>
          <w:left w:val="nil"/>
          <w:bottom w:val="nil"/>
          <w:right w:val="nil"/>
          <w:between w:val="nil"/>
        </w:pBdr>
        <w:rPr>
          <w:rFonts w:ascii="Garamond" w:eastAsia="Garamond" w:hAnsi="Garamond" w:cs="Garamond"/>
        </w:rPr>
      </w:pPr>
      <w:r>
        <w:rPr>
          <w:rFonts w:ascii="Garamond" w:eastAsia="Garamond" w:hAnsi="Garamond" w:cs="Garamond"/>
        </w:rPr>
        <w:t xml:space="preserve">[Please include at least 1-3 sentences explaining whether the decision aligns with international standards on freedom of expression] </w:t>
      </w:r>
    </w:p>
    <w:p w14:paraId="4803E118" w14:textId="77777777" w:rsidR="00BC1499" w:rsidRDefault="00BC1499">
      <w:pPr>
        <w:pBdr>
          <w:top w:val="nil"/>
          <w:left w:val="nil"/>
          <w:bottom w:val="nil"/>
          <w:right w:val="nil"/>
          <w:between w:val="nil"/>
        </w:pBdr>
        <w:spacing w:line="276" w:lineRule="auto"/>
        <w:jc w:val="both"/>
        <w:rPr>
          <w:rFonts w:ascii="Garamond" w:eastAsia="Garamond" w:hAnsi="Garamond" w:cs="Garamond"/>
          <w:color w:val="000000"/>
        </w:rPr>
      </w:pPr>
    </w:p>
    <w:p w14:paraId="57DF30FB" w14:textId="77777777" w:rsidR="00BC1499" w:rsidRDefault="00000000">
      <w:pPr>
        <w:spacing w:line="276" w:lineRule="auto"/>
        <w:jc w:val="both"/>
        <w:rPr>
          <w:rFonts w:ascii="Garamond" w:eastAsia="Garamond" w:hAnsi="Garamond" w:cs="Garamond"/>
        </w:rPr>
      </w:pPr>
      <w:r>
        <w:rPr>
          <w:rFonts w:ascii="Garamond" w:eastAsia="Garamond" w:hAnsi="Garamond" w:cs="Garamond"/>
          <w:b/>
          <w:i/>
          <w:u w:val="single"/>
        </w:rPr>
        <w:t>Perspective</w:t>
      </w:r>
      <w:r>
        <w:rPr>
          <w:rFonts w:ascii="Garamond" w:eastAsia="Garamond" w:hAnsi="Garamond" w:cs="Garamond"/>
        </w:rPr>
        <w:t xml:space="preserve">: </w:t>
      </w:r>
    </w:p>
    <w:p w14:paraId="2866F02A" w14:textId="77777777" w:rsidR="00BC1499" w:rsidRDefault="00000000">
      <w:pPr>
        <w:spacing w:line="276" w:lineRule="auto"/>
        <w:jc w:val="both"/>
        <w:rPr>
          <w:rFonts w:ascii="Garamond" w:eastAsia="Garamond" w:hAnsi="Garamond" w:cs="Garamond"/>
        </w:rPr>
      </w:pPr>
      <w:r>
        <w:rPr>
          <w:rFonts w:ascii="Garamond" w:eastAsia="Garamond" w:hAnsi="Garamond" w:cs="Garamond"/>
        </w:rPr>
        <w:t xml:space="preserve">The Perspective section should only contain law references of international, regional, and national judicial decisions or legislative materials that are substantively relevant to the issues in the case at hand. Thus, the law references in this section should be limited only to those that the Oversight Board cited, relied on, or applied in reaching its decision on matters of the right to freedom of expression. </w:t>
      </w:r>
    </w:p>
    <w:p w14:paraId="10185314" w14:textId="77777777" w:rsidR="00BC1499" w:rsidRDefault="00BC1499">
      <w:pPr>
        <w:spacing w:line="276" w:lineRule="auto"/>
        <w:jc w:val="both"/>
        <w:rPr>
          <w:rFonts w:ascii="Garamond" w:eastAsia="Garamond" w:hAnsi="Garamond" w:cs="Garamond"/>
          <w:highlight w:val="yellow"/>
        </w:rPr>
      </w:pPr>
    </w:p>
    <w:p w14:paraId="1037D540" w14:textId="77777777" w:rsidR="00BC1499" w:rsidRDefault="00000000">
      <w:pPr>
        <w:numPr>
          <w:ilvl w:val="0"/>
          <w:numId w:val="2"/>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Related International and/or regional laws</w:t>
      </w:r>
      <w:r>
        <w:rPr>
          <w:rFonts w:ascii="Garamond" w:eastAsia="Garamond" w:hAnsi="Garamond" w:cs="Garamond"/>
          <w:color w:val="000000"/>
        </w:rPr>
        <w:t xml:space="preserve">: </w:t>
      </w:r>
    </w:p>
    <w:p w14:paraId="48FCA774" w14:textId="77777777" w:rsidR="00BC1499" w:rsidRDefault="00000000">
      <w:pPr>
        <w:numPr>
          <w:ilvl w:val="1"/>
          <w:numId w:val="2"/>
        </w:num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rPr>
        <w:t xml:space="preserve">Please include a brief explanation of how the standard is used by the Board. Indicate if the standard is used as a legal basis for the Board’s decision or if it is employed as a marginal reference].  </w:t>
      </w:r>
    </w:p>
    <w:p w14:paraId="1FB0F79E" w14:textId="77777777" w:rsidR="00BC1499" w:rsidRDefault="00000000">
      <w:pPr>
        <w:numPr>
          <w:ilvl w:val="1"/>
          <w:numId w:val="2"/>
        </w:numPr>
        <w:spacing w:line="276" w:lineRule="auto"/>
        <w:jc w:val="both"/>
        <w:rPr>
          <w:rFonts w:ascii="Garamond" w:eastAsia="Garamond" w:hAnsi="Garamond" w:cs="Garamond"/>
        </w:rPr>
      </w:pPr>
      <w:r>
        <w:rPr>
          <w:rFonts w:ascii="Garamond" w:eastAsia="Garamond" w:hAnsi="Garamond" w:cs="Garamond"/>
        </w:rPr>
        <w:t xml:space="preserve">Please include all previous Oversight Board decisions used by the Board in the decision. When you add the law references, please also include a hyperlink to the original source. </w:t>
      </w:r>
    </w:p>
    <w:p w14:paraId="63182025" w14:textId="77777777" w:rsidR="00BC1499" w:rsidRDefault="00BC1499">
      <w:pPr>
        <w:pBdr>
          <w:top w:val="nil"/>
          <w:left w:val="nil"/>
          <w:bottom w:val="nil"/>
          <w:right w:val="nil"/>
          <w:between w:val="nil"/>
        </w:pBdr>
        <w:spacing w:line="276" w:lineRule="auto"/>
        <w:ind w:left="1080"/>
        <w:jc w:val="both"/>
        <w:rPr>
          <w:rFonts w:ascii="Garamond" w:eastAsia="Garamond" w:hAnsi="Garamond" w:cs="Garamond"/>
          <w:b/>
        </w:rPr>
      </w:pPr>
    </w:p>
    <w:p w14:paraId="2F960AAD" w14:textId="77777777" w:rsidR="00BC1499" w:rsidRDefault="00000000">
      <w:pPr>
        <w:numPr>
          <w:ilvl w:val="0"/>
          <w:numId w:val="2"/>
        </w:num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b/>
          <w:color w:val="000000"/>
        </w:rPr>
        <w:t>National law or jurisprudence</w:t>
      </w:r>
      <w:r>
        <w:rPr>
          <w:rFonts w:ascii="Garamond" w:eastAsia="Garamond" w:hAnsi="Garamond" w:cs="Garamond"/>
          <w:color w:val="000000"/>
        </w:rPr>
        <w:t xml:space="preserve">: </w:t>
      </w:r>
    </w:p>
    <w:p w14:paraId="2A246385" w14:textId="77777777" w:rsidR="00BC1499" w:rsidRDefault="00000000">
      <w:pPr>
        <w:numPr>
          <w:ilvl w:val="1"/>
          <w:numId w:val="2"/>
        </w:num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rPr>
        <w:t>Unless the Board states otherwise include in the “note” box the following text: The Oversight Board cites national legal standards as mere references.</w:t>
      </w:r>
    </w:p>
    <w:p w14:paraId="510AA288" w14:textId="77777777" w:rsidR="00BC1499" w:rsidRDefault="00BC1499">
      <w:pPr>
        <w:spacing w:line="276" w:lineRule="auto"/>
        <w:jc w:val="both"/>
        <w:rPr>
          <w:rFonts w:ascii="Garamond" w:eastAsia="Garamond" w:hAnsi="Garamond" w:cs="Garamond"/>
        </w:rPr>
      </w:pPr>
    </w:p>
    <w:p w14:paraId="200A249C" w14:textId="77777777" w:rsidR="00BC1499" w:rsidRDefault="00000000">
      <w:pPr>
        <w:spacing w:line="276" w:lineRule="auto"/>
        <w:jc w:val="both"/>
        <w:rPr>
          <w:rFonts w:ascii="Garamond" w:eastAsia="Garamond" w:hAnsi="Garamond" w:cs="Garamond"/>
        </w:rPr>
      </w:pPr>
      <w:r>
        <w:rPr>
          <w:rFonts w:ascii="Garamond" w:eastAsia="Garamond" w:hAnsi="Garamond" w:cs="Garamond"/>
          <w:b/>
          <w:i/>
          <w:u w:val="single"/>
        </w:rPr>
        <w:t>Significance</w:t>
      </w:r>
      <w:r>
        <w:rPr>
          <w:rFonts w:ascii="Garamond" w:eastAsia="Garamond" w:hAnsi="Garamond" w:cs="Garamond"/>
        </w:rPr>
        <w:t xml:space="preserve">: </w:t>
      </w:r>
    </w:p>
    <w:p w14:paraId="402B290C" w14:textId="77777777" w:rsidR="00BC1499" w:rsidRDefault="00000000">
      <w:pPr>
        <w:numPr>
          <w:ilvl w:val="0"/>
          <w:numId w:val="6"/>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Binding or persuasive precedent within jurisdiction</w:t>
      </w:r>
      <w:r>
        <w:rPr>
          <w:rFonts w:ascii="Garamond" w:eastAsia="Garamond" w:hAnsi="Garamond" w:cs="Garamond"/>
          <w:color w:val="000000"/>
        </w:rPr>
        <w:t xml:space="preserve">; </w:t>
      </w:r>
      <w:r>
        <w:rPr>
          <w:rFonts w:ascii="Garamond" w:eastAsia="Garamond" w:hAnsi="Garamond" w:cs="Garamond"/>
          <w:b/>
          <w:color w:val="000000"/>
        </w:rPr>
        <w:t>Decision establishes influential or persuasive precedent outside jurisdiction</w:t>
      </w:r>
      <w:r>
        <w:rPr>
          <w:rFonts w:ascii="Garamond" w:eastAsia="Garamond" w:hAnsi="Garamond" w:cs="Garamond"/>
          <w:color w:val="000000"/>
        </w:rPr>
        <w:t xml:space="preserve">; </w:t>
      </w:r>
      <w:r>
        <w:rPr>
          <w:rFonts w:ascii="Garamond" w:eastAsia="Garamond" w:hAnsi="Garamond" w:cs="Garamond"/>
          <w:b/>
          <w:color w:val="000000"/>
        </w:rPr>
        <w:t>Explanation</w:t>
      </w:r>
      <w:r>
        <w:rPr>
          <w:rFonts w:ascii="Garamond" w:eastAsia="Garamond" w:hAnsi="Garamond" w:cs="Garamond"/>
          <w:color w:val="000000"/>
        </w:rPr>
        <w:t xml:space="preserve">: </w:t>
      </w:r>
    </w:p>
    <w:p w14:paraId="52D289EC" w14:textId="77777777" w:rsidR="00BC1499" w:rsidRDefault="00BC1499">
      <w:pPr>
        <w:pBdr>
          <w:top w:val="nil"/>
          <w:left w:val="nil"/>
          <w:bottom w:val="nil"/>
          <w:right w:val="nil"/>
          <w:between w:val="nil"/>
        </w:pBdr>
        <w:spacing w:line="276" w:lineRule="auto"/>
        <w:ind w:left="360"/>
        <w:jc w:val="both"/>
        <w:rPr>
          <w:rFonts w:ascii="Garamond" w:eastAsia="Garamond" w:hAnsi="Garamond" w:cs="Garamond"/>
          <w:u w:val="single"/>
        </w:rPr>
      </w:pPr>
    </w:p>
    <w:p w14:paraId="72021765" w14:textId="77777777" w:rsidR="00BC1499" w:rsidRDefault="00000000">
      <w:pPr>
        <w:pBdr>
          <w:top w:val="nil"/>
          <w:left w:val="nil"/>
          <w:bottom w:val="nil"/>
          <w:right w:val="nil"/>
          <w:between w:val="nil"/>
        </w:pBdr>
        <w:spacing w:line="276" w:lineRule="auto"/>
        <w:ind w:left="360"/>
        <w:jc w:val="both"/>
        <w:rPr>
          <w:rFonts w:ascii="Garamond" w:eastAsia="Garamond" w:hAnsi="Garamond" w:cs="Garamond"/>
        </w:rPr>
      </w:pPr>
      <w:r>
        <w:rPr>
          <w:rFonts w:ascii="Garamond" w:eastAsia="Garamond" w:hAnsi="Garamond" w:cs="Garamond"/>
          <w:color w:val="000000"/>
          <w:u w:val="single"/>
        </w:rPr>
        <w:t>Standard I</w:t>
      </w:r>
      <w:r>
        <w:rPr>
          <w:rFonts w:ascii="Garamond" w:eastAsia="Garamond" w:hAnsi="Garamond" w:cs="Garamond"/>
          <w:color w:val="000000"/>
        </w:rPr>
        <w:t xml:space="preserve">: The decision establishes a binding or persuasive precedent within its jurisdiction. [Select this </w:t>
      </w:r>
      <w:r>
        <w:rPr>
          <w:rFonts w:ascii="Garamond" w:eastAsia="Garamond" w:hAnsi="Garamond" w:cs="Garamond"/>
        </w:rPr>
        <w:t xml:space="preserve">Standard and include the following note:] </w:t>
      </w:r>
    </w:p>
    <w:p w14:paraId="554876C6" w14:textId="77777777" w:rsidR="00BC1499" w:rsidRDefault="00BC1499">
      <w:pPr>
        <w:pBdr>
          <w:top w:val="nil"/>
          <w:left w:val="nil"/>
          <w:bottom w:val="nil"/>
          <w:right w:val="nil"/>
          <w:between w:val="nil"/>
        </w:pBdr>
        <w:spacing w:line="276" w:lineRule="auto"/>
        <w:ind w:left="360"/>
        <w:jc w:val="both"/>
        <w:rPr>
          <w:rFonts w:ascii="Garamond" w:eastAsia="Garamond" w:hAnsi="Garamond" w:cs="Garamond"/>
        </w:rPr>
      </w:pPr>
    </w:p>
    <w:p w14:paraId="58017826" w14:textId="77777777" w:rsidR="00BC1499" w:rsidRDefault="00000000">
      <w:pPr>
        <w:spacing w:line="276" w:lineRule="auto"/>
        <w:ind w:left="360"/>
        <w:jc w:val="both"/>
        <w:rPr>
          <w:rFonts w:ascii="Garamond" w:eastAsia="Garamond" w:hAnsi="Garamond" w:cs="Garamond"/>
        </w:rPr>
      </w:pPr>
      <w:r>
        <w:rPr>
          <w:rFonts w:ascii="Garamond" w:eastAsia="Garamond" w:hAnsi="Garamond" w:cs="Garamond"/>
        </w:rPr>
        <w:t xml:space="preserve">According to Article 2 of the </w:t>
      </w:r>
      <w:hyperlink r:id="rId24">
        <w:r>
          <w:rPr>
            <w:rFonts w:ascii="Garamond" w:eastAsia="Garamond" w:hAnsi="Garamond" w:cs="Garamond"/>
            <w:color w:val="1155CC"/>
            <w:u w:val="single"/>
          </w:rPr>
          <w:t>Oversight Board Charter</w:t>
        </w:r>
      </w:hyperlink>
      <w:r>
        <w:rPr>
          <w:rFonts w:ascii="Garamond" w:eastAsia="Garamond" w:hAnsi="Garamond" w:cs="Garamond"/>
        </w:rPr>
        <w:t xml:space="preserve">, “For each decision, any prior board decisions will have precedential value and should be viewed as highly persuasive when the facts, applicable policies, or other factors are substantially similar.” In addition, Article 4 of the Oversight Board Charter establishes, “The board’s resolution of each case will be </w:t>
      </w:r>
      <w:proofErr w:type="gramStart"/>
      <w:r>
        <w:rPr>
          <w:rFonts w:ascii="Garamond" w:eastAsia="Garamond" w:hAnsi="Garamond" w:cs="Garamond"/>
        </w:rPr>
        <w:t>binding</w:t>
      </w:r>
      <w:proofErr w:type="gramEnd"/>
      <w:r>
        <w:rPr>
          <w:rFonts w:ascii="Garamond" w:eastAsia="Garamond" w:hAnsi="Garamond" w:cs="Garamond"/>
        </w:rPr>
        <w:t xml:space="preserve"> and Facebook (now Meta) will implement it promptly, unless implementation of a resolution could violate the law. In instances where Facebook identifies that identical content with parallel context – which the board has already decided upon – remains on Facebook (now Meta), it will </w:t>
      </w:r>
      <w:proofErr w:type="gramStart"/>
      <w:r>
        <w:rPr>
          <w:rFonts w:ascii="Garamond" w:eastAsia="Garamond" w:hAnsi="Garamond" w:cs="Garamond"/>
        </w:rPr>
        <w:t>take action</w:t>
      </w:r>
      <w:proofErr w:type="gramEnd"/>
      <w:r>
        <w:rPr>
          <w:rFonts w:ascii="Garamond" w:eastAsia="Garamond" w:hAnsi="Garamond" w:cs="Garamond"/>
        </w:rPr>
        <w:t xml:space="preserve"> by analyzing whether it is technically and operationally feasible to apply the board’s decision to that content as well. When a decision includes policy guidance or a policy advisory opinion, Facebook (now Meta) will take further action by analyzing the operational procedures required to implement the guidance, </w:t>
      </w:r>
      <w:r>
        <w:rPr>
          <w:rFonts w:ascii="Garamond" w:eastAsia="Garamond" w:hAnsi="Garamond" w:cs="Garamond"/>
        </w:rPr>
        <w:lastRenderedPageBreak/>
        <w:t>considering it in the formal policy development process of Facebook (now Meta), and transparently communicating about actions taken as a result.”</w:t>
      </w:r>
    </w:p>
    <w:p w14:paraId="4B6B2B10" w14:textId="77777777" w:rsidR="00BC1499" w:rsidRDefault="00BC1499">
      <w:pPr>
        <w:pBdr>
          <w:top w:val="nil"/>
          <w:left w:val="nil"/>
          <w:bottom w:val="nil"/>
          <w:right w:val="nil"/>
          <w:between w:val="nil"/>
        </w:pBdr>
        <w:spacing w:line="276" w:lineRule="auto"/>
        <w:jc w:val="both"/>
        <w:rPr>
          <w:rFonts w:ascii="Garamond" w:eastAsia="Garamond" w:hAnsi="Garamond" w:cs="Garamond"/>
          <w:color w:val="000000"/>
        </w:rPr>
      </w:pPr>
    </w:p>
    <w:p w14:paraId="695FD5CF" w14:textId="77777777" w:rsidR="00BC1499" w:rsidRDefault="00000000">
      <w:pPr>
        <w:pBdr>
          <w:top w:val="nil"/>
          <w:left w:val="nil"/>
          <w:bottom w:val="nil"/>
          <w:right w:val="nil"/>
          <w:between w:val="nil"/>
        </w:pBdr>
        <w:spacing w:line="276" w:lineRule="auto"/>
        <w:ind w:left="360"/>
        <w:jc w:val="both"/>
        <w:rPr>
          <w:rFonts w:ascii="Garamond" w:eastAsia="Garamond" w:hAnsi="Garamond" w:cs="Garamond"/>
        </w:rPr>
      </w:pPr>
      <w:r>
        <w:rPr>
          <w:rFonts w:ascii="Garamond" w:eastAsia="Garamond" w:hAnsi="Garamond" w:cs="Garamond"/>
          <w:color w:val="000000"/>
          <w:u w:val="single"/>
        </w:rPr>
        <w:t>Standard II</w:t>
      </w:r>
      <w:r>
        <w:rPr>
          <w:rFonts w:ascii="Garamond" w:eastAsia="Garamond" w:hAnsi="Garamond" w:cs="Garamond"/>
          <w:color w:val="000000"/>
        </w:rPr>
        <w:t xml:space="preserve">: Decision (including concurring or dissenting opinions) establishes influential or persuasive precedent outside its jurisdiction. </w:t>
      </w:r>
      <w:r>
        <w:rPr>
          <w:rFonts w:ascii="Garamond" w:eastAsia="Garamond" w:hAnsi="Garamond" w:cs="Garamond"/>
        </w:rPr>
        <w:t xml:space="preserve">[Do not select this Standard]  </w:t>
      </w:r>
    </w:p>
    <w:p w14:paraId="1C9A4D9A" w14:textId="77777777" w:rsidR="00BC1499" w:rsidRDefault="00BC1499">
      <w:pPr>
        <w:pBdr>
          <w:top w:val="nil"/>
          <w:left w:val="nil"/>
          <w:bottom w:val="nil"/>
          <w:right w:val="nil"/>
          <w:between w:val="nil"/>
        </w:pBdr>
        <w:spacing w:line="276" w:lineRule="auto"/>
        <w:ind w:left="360"/>
        <w:jc w:val="both"/>
        <w:rPr>
          <w:rFonts w:ascii="Garamond" w:eastAsia="Garamond" w:hAnsi="Garamond" w:cs="Garamond"/>
        </w:rPr>
      </w:pPr>
    </w:p>
    <w:p w14:paraId="669FD9E5" w14:textId="77777777" w:rsidR="00BC1499" w:rsidRDefault="00000000">
      <w:pPr>
        <w:numPr>
          <w:ilvl w:val="0"/>
          <w:numId w:val="6"/>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Related Cases</w:t>
      </w:r>
      <w:r>
        <w:rPr>
          <w:rFonts w:ascii="Garamond" w:eastAsia="Garamond" w:hAnsi="Garamond" w:cs="Garamond"/>
          <w:color w:val="000000"/>
        </w:rPr>
        <w:t>: Self-generated [N/A]</w:t>
      </w:r>
    </w:p>
    <w:p w14:paraId="1D7714F0" w14:textId="77777777" w:rsidR="00BC1499" w:rsidRDefault="00BC1499">
      <w:pPr>
        <w:pBdr>
          <w:top w:val="nil"/>
          <w:left w:val="nil"/>
          <w:bottom w:val="nil"/>
          <w:right w:val="nil"/>
          <w:between w:val="nil"/>
        </w:pBdr>
        <w:spacing w:line="276" w:lineRule="auto"/>
        <w:ind w:left="360"/>
        <w:jc w:val="both"/>
        <w:rPr>
          <w:rFonts w:ascii="Garamond" w:eastAsia="Garamond" w:hAnsi="Garamond" w:cs="Garamond"/>
          <w:color w:val="000000"/>
        </w:rPr>
      </w:pPr>
    </w:p>
    <w:p w14:paraId="7C6B007E" w14:textId="77777777" w:rsidR="00BC1499" w:rsidRDefault="00000000">
      <w:pPr>
        <w:numPr>
          <w:ilvl w:val="0"/>
          <w:numId w:val="6"/>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Date updated</w:t>
      </w:r>
      <w:r>
        <w:rPr>
          <w:rFonts w:ascii="Garamond" w:eastAsia="Garamond" w:hAnsi="Garamond" w:cs="Garamond"/>
          <w:color w:val="000000"/>
        </w:rPr>
        <w:t>: [N/A]</w:t>
      </w:r>
    </w:p>
    <w:p w14:paraId="2FFEE2A7" w14:textId="77777777" w:rsidR="00BC1499" w:rsidRDefault="00BC1499">
      <w:pPr>
        <w:spacing w:line="276" w:lineRule="auto"/>
        <w:jc w:val="both"/>
        <w:rPr>
          <w:rFonts w:ascii="Garamond" w:eastAsia="Garamond" w:hAnsi="Garamond" w:cs="Garamond"/>
        </w:rPr>
      </w:pPr>
    </w:p>
    <w:p w14:paraId="6049E454" w14:textId="77777777" w:rsidR="00BC1499" w:rsidRDefault="00000000">
      <w:pPr>
        <w:spacing w:line="276" w:lineRule="auto"/>
        <w:jc w:val="both"/>
        <w:rPr>
          <w:rFonts w:ascii="Garamond" w:eastAsia="Garamond" w:hAnsi="Garamond" w:cs="Garamond"/>
        </w:rPr>
      </w:pPr>
      <w:r>
        <w:rPr>
          <w:rFonts w:ascii="Garamond" w:eastAsia="Garamond" w:hAnsi="Garamond" w:cs="Garamond"/>
          <w:b/>
          <w:i/>
          <w:u w:val="single"/>
        </w:rPr>
        <w:t>Docs</w:t>
      </w:r>
      <w:r>
        <w:rPr>
          <w:rFonts w:ascii="Garamond" w:eastAsia="Garamond" w:hAnsi="Garamond" w:cs="Garamond"/>
        </w:rPr>
        <w:t xml:space="preserve">: </w:t>
      </w:r>
    </w:p>
    <w:p w14:paraId="0DC9452F" w14:textId="77777777" w:rsidR="00BC1499" w:rsidRDefault="00000000">
      <w:pPr>
        <w:numPr>
          <w:ilvl w:val="0"/>
          <w:numId w:val="9"/>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Official Case Documents</w:t>
      </w:r>
      <w:r>
        <w:rPr>
          <w:rFonts w:ascii="Garamond" w:eastAsia="Garamond" w:hAnsi="Garamond" w:cs="Garamond"/>
          <w:color w:val="000000"/>
        </w:rPr>
        <w:t xml:space="preserve">: </w:t>
      </w:r>
    </w:p>
    <w:p w14:paraId="7D6FC74E" w14:textId="77777777" w:rsidR="00BC1499" w:rsidRDefault="00000000">
      <w:pPr>
        <w:pBdr>
          <w:top w:val="nil"/>
          <w:left w:val="nil"/>
          <w:bottom w:val="nil"/>
          <w:right w:val="nil"/>
          <w:between w:val="nil"/>
        </w:pBdr>
        <w:spacing w:line="276" w:lineRule="auto"/>
        <w:ind w:left="360"/>
        <w:jc w:val="both"/>
        <w:rPr>
          <w:rFonts w:ascii="Garamond" w:eastAsia="Garamond" w:hAnsi="Garamond" w:cs="Garamond"/>
          <w:color w:val="000000"/>
        </w:rPr>
      </w:pPr>
      <w:r>
        <w:rPr>
          <w:rFonts w:ascii="Garamond" w:eastAsia="Garamond" w:hAnsi="Garamond" w:cs="Garamond"/>
        </w:rPr>
        <w:t xml:space="preserve">Please include the following: </w:t>
      </w:r>
    </w:p>
    <w:p w14:paraId="443DF41F" w14:textId="77777777" w:rsidR="00BC1499" w:rsidRDefault="00000000">
      <w:pPr>
        <w:numPr>
          <w:ilvl w:val="0"/>
          <w:numId w:val="5"/>
        </w:num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rPr>
        <w:t xml:space="preserve">Decision </w:t>
      </w:r>
      <w:r>
        <w:rPr>
          <w:rFonts w:ascii="Garamond" w:eastAsia="Garamond" w:hAnsi="Garamond" w:cs="Garamond"/>
          <w:color w:val="000000"/>
        </w:rPr>
        <w:t>(in English) [Attached]</w:t>
      </w:r>
    </w:p>
    <w:p w14:paraId="17CB1B9C" w14:textId="77777777" w:rsidR="00BC1499" w:rsidRDefault="00000000">
      <w:pPr>
        <w:numPr>
          <w:ilvl w:val="0"/>
          <w:numId w:val="5"/>
        </w:num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color w:val="000000"/>
        </w:rPr>
        <w:t xml:space="preserve">Press Release issued by …. (in English) [Attached] </w:t>
      </w:r>
    </w:p>
    <w:p w14:paraId="65EEFB0C" w14:textId="77777777" w:rsidR="00BC1499" w:rsidRDefault="00000000">
      <w:pPr>
        <w:numPr>
          <w:ilvl w:val="0"/>
          <w:numId w:val="5"/>
        </w:num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rPr>
        <w:t xml:space="preserve">All the available languages versions of the decision in the following format: </w:t>
      </w:r>
    </w:p>
    <w:p w14:paraId="1C21F139" w14:textId="77777777" w:rsidR="00BC1499" w:rsidRDefault="00000000">
      <w:pPr>
        <w:numPr>
          <w:ilvl w:val="1"/>
          <w:numId w:val="5"/>
        </w:numPr>
        <w:spacing w:line="276" w:lineRule="auto"/>
        <w:jc w:val="both"/>
        <w:rPr>
          <w:rFonts w:ascii="Garamond" w:eastAsia="Garamond" w:hAnsi="Garamond" w:cs="Garamond"/>
        </w:rPr>
      </w:pPr>
      <w:r>
        <w:rPr>
          <w:rFonts w:ascii="Garamond" w:eastAsia="Garamond" w:hAnsi="Garamond" w:cs="Garamond"/>
        </w:rPr>
        <w:t>Decision (in “Language”) [Attached]</w:t>
      </w:r>
    </w:p>
    <w:p w14:paraId="5D2FE6D4" w14:textId="77777777" w:rsidR="00BC1499" w:rsidRDefault="00000000">
      <w:pPr>
        <w:numPr>
          <w:ilvl w:val="2"/>
          <w:numId w:val="5"/>
        </w:numPr>
        <w:spacing w:line="276" w:lineRule="auto"/>
        <w:jc w:val="both"/>
        <w:rPr>
          <w:rFonts w:ascii="Garamond" w:eastAsia="Garamond" w:hAnsi="Garamond" w:cs="Garamond"/>
        </w:rPr>
      </w:pPr>
      <w:r>
        <w:rPr>
          <w:rFonts w:ascii="Garamond" w:eastAsia="Garamond" w:hAnsi="Garamond" w:cs="Garamond"/>
        </w:rPr>
        <w:t>Ex. Decision (in Spanish) [Attached]</w:t>
      </w:r>
    </w:p>
    <w:p w14:paraId="11B74C07" w14:textId="77777777" w:rsidR="00BC1499" w:rsidRDefault="00000000">
      <w:pPr>
        <w:numPr>
          <w:ilvl w:val="0"/>
          <w:numId w:val="7"/>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rPr>
        <w:t>Amicus briefs and other legal authorities</w:t>
      </w:r>
    </w:p>
    <w:p w14:paraId="3FEC696E" w14:textId="77777777" w:rsidR="00BC1499" w:rsidRDefault="00000000">
      <w:pPr>
        <w:numPr>
          <w:ilvl w:val="1"/>
          <w:numId w:val="7"/>
        </w:numPr>
        <w:pBdr>
          <w:top w:val="nil"/>
          <w:left w:val="nil"/>
          <w:bottom w:val="nil"/>
          <w:right w:val="nil"/>
          <w:between w:val="nil"/>
        </w:pBdr>
        <w:spacing w:line="276" w:lineRule="auto"/>
        <w:jc w:val="both"/>
        <w:rPr>
          <w:rFonts w:ascii="Garamond" w:eastAsia="Garamond" w:hAnsi="Garamond" w:cs="Garamond"/>
        </w:rPr>
      </w:pPr>
      <w:r>
        <w:rPr>
          <w:rFonts w:ascii="Garamond" w:eastAsia="Garamond" w:hAnsi="Garamond" w:cs="Garamond"/>
        </w:rPr>
        <w:t xml:space="preserve">Please include all documents submitted to the Oversight Board by third parties to the decision. Ex: Public Comment Appendix. </w:t>
      </w:r>
    </w:p>
    <w:p w14:paraId="6B958656" w14:textId="77777777" w:rsidR="00BC1499" w:rsidRDefault="00000000">
      <w:pPr>
        <w:numPr>
          <w:ilvl w:val="0"/>
          <w:numId w:val="7"/>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b/>
          <w:color w:val="000000"/>
        </w:rPr>
        <w:t>Reports, Analysis, and News Articles</w:t>
      </w:r>
      <w:r>
        <w:rPr>
          <w:rFonts w:ascii="Garamond" w:eastAsia="Garamond" w:hAnsi="Garamond" w:cs="Garamond"/>
          <w:color w:val="000000"/>
        </w:rPr>
        <w:t>:</w:t>
      </w:r>
    </w:p>
    <w:p w14:paraId="624F883A" w14:textId="77777777" w:rsidR="00BC1499" w:rsidRDefault="00000000">
      <w:pPr>
        <w:numPr>
          <w:ilvl w:val="1"/>
          <w:numId w:val="7"/>
        </w:numPr>
        <w:pBdr>
          <w:top w:val="nil"/>
          <w:left w:val="nil"/>
          <w:bottom w:val="nil"/>
          <w:right w:val="nil"/>
          <w:between w:val="nil"/>
        </w:pBdr>
        <w:spacing w:line="276" w:lineRule="auto"/>
        <w:jc w:val="both"/>
        <w:rPr>
          <w:rFonts w:ascii="Garamond" w:eastAsia="Garamond" w:hAnsi="Garamond" w:cs="Garamond"/>
          <w:color w:val="000000"/>
        </w:rPr>
      </w:pPr>
      <w:r>
        <w:rPr>
          <w:rFonts w:ascii="Garamond" w:eastAsia="Garamond" w:hAnsi="Garamond" w:cs="Garamond"/>
          <w:color w:val="000000"/>
        </w:rPr>
        <w:t xml:space="preserve">Please list any titles and </w:t>
      </w:r>
      <w:r>
        <w:rPr>
          <w:rFonts w:ascii="Garamond" w:eastAsia="Garamond" w:hAnsi="Garamond" w:cs="Garamond"/>
        </w:rPr>
        <w:t>URLs</w:t>
      </w:r>
      <w:r>
        <w:rPr>
          <w:rFonts w:ascii="Garamond" w:eastAsia="Garamond" w:hAnsi="Garamond" w:cs="Garamond"/>
          <w:color w:val="000000"/>
        </w:rPr>
        <w:t xml:space="preserve"> of interesting articles, Meta response or analyses about the case that might be of interest to readers</w:t>
      </w:r>
    </w:p>
    <w:p w14:paraId="202A03FF" w14:textId="77777777" w:rsidR="00BC1499" w:rsidRDefault="00BC1499">
      <w:pPr>
        <w:pBdr>
          <w:top w:val="nil"/>
          <w:left w:val="nil"/>
          <w:bottom w:val="nil"/>
          <w:right w:val="nil"/>
          <w:between w:val="nil"/>
        </w:pBdr>
        <w:spacing w:line="276" w:lineRule="auto"/>
        <w:ind w:left="360"/>
        <w:jc w:val="both"/>
        <w:rPr>
          <w:rFonts w:ascii="Garamond" w:eastAsia="Garamond" w:hAnsi="Garamond" w:cs="Garamond"/>
          <w:color w:val="000000"/>
        </w:rPr>
      </w:pPr>
    </w:p>
    <w:p w14:paraId="06E808D5" w14:textId="77777777" w:rsidR="00BC1499" w:rsidRDefault="00BC1499">
      <w:pPr>
        <w:spacing w:after="120"/>
        <w:ind w:left="2880"/>
        <w:rPr>
          <w:rFonts w:ascii="Garamond" w:eastAsia="Garamond" w:hAnsi="Garamond" w:cs="Garamond"/>
          <w:shd w:val="clear" w:color="auto" w:fill="FFF2CC"/>
        </w:rPr>
      </w:pPr>
    </w:p>
    <w:tbl>
      <w:tblPr>
        <w:tblStyle w:val="a6"/>
        <w:tblW w:w="9855" w:type="dxa"/>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6435"/>
      </w:tblGrid>
      <w:tr w:rsidR="00BC1499" w14:paraId="4EC77062" w14:textId="77777777">
        <w:trPr>
          <w:trHeight w:val="405"/>
        </w:trPr>
        <w:tc>
          <w:tcPr>
            <w:tcW w:w="9855" w:type="dxa"/>
            <w:gridSpan w:val="2"/>
            <w:shd w:val="clear" w:color="auto" w:fill="C9DAF8"/>
            <w:tcMar>
              <w:top w:w="100" w:type="dxa"/>
              <w:left w:w="100" w:type="dxa"/>
              <w:bottom w:w="100" w:type="dxa"/>
              <w:right w:w="100" w:type="dxa"/>
            </w:tcMar>
          </w:tcPr>
          <w:p w14:paraId="0EA799E4" w14:textId="77777777" w:rsidR="00BC1499" w:rsidRDefault="00000000">
            <w:pPr>
              <w:widowControl w:val="0"/>
              <w:ind w:left="360"/>
              <w:jc w:val="center"/>
              <w:rPr>
                <w:rFonts w:ascii="Garamond" w:eastAsia="Garamond" w:hAnsi="Garamond" w:cs="Garamond"/>
                <w:b/>
              </w:rPr>
            </w:pPr>
            <w:r>
              <w:rPr>
                <w:rFonts w:ascii="Garamond" w:eastAsia="Garamond" w:hAnsi="Garamond" w:cs="Garamond"/>
                <w:b/>
              </w:rPr>
              <w:t xml:space="preserve">TABLE 1 </w:t>
            </w:r>
          </w:p>
        </w:tc>
      </w:tr>
      <w:tr w:rsidR="00BC1499" w14:paraId="31068962" w14:textId="77777777">
        <w:trPr>
          <w:trHeight w:val="370"/>
        </w:trPr>
        <w:tc>
          <w:tcPr>
            <w:tcW w:w="9855" w:type="dxa"/>
            <w:gridSpan w:val="2"/>
            <w:shd w:val="clear" w:color="auto" w:fill="CFE2F3"/>
            <w:tcMar>
              <w:top w:w="100" w:type="dxa"/>
              <w:left w:w="100" w:type="dxa"/>
              <w:bottom w:w="100" w:type="dxa"/>
              <w:right w:w="100" w:type="dxa"/>
            </w:tcMar>
          </w:tcPr>
          <w:p w14:paraId="542F2E0D" w14:textId="77777777" w:rsidR="00BC1499" w:rsidRDefault="00000000">
            <w:pPr>
              <w:widowControl w:val="0"/>
              <w:ind w:left="360"/>
              <w:jc w:val="center"/>
              <w:rPr>
                <w:rFonts w:ascii="Garamond" w:eastAsia="Garamond" w:hAnsi="Garamond" w:cs="Garamond"/>
                <w:b/>
                <w:highlight w:val="yellow"/>
              </w:rPr>
            </w:pPr>
            <w:r>
              <w:rPr>
                <w:rFonts w:ascii="Garamond" w:eastAsia="Garamond" w:hAnsi="Garamond" w:cs="Garamond"/>
                <w:b/>
              </w:rPr>
              <w:t>Meta´s Content Policies</w:t>
            </w:r>
          </w:p>
        </w:tc>
      </w:tr>
      <w:tr w:rsidR="00BC1499" w14:paraId="0ECD03FD" w14:textId="77777777">
        <w:trPr>
          <w:trHeight w:val="405"/>
        </w:trPr>
        <w:tc>
          <w:tcPr>
            <w:tcW w:w="9855" w:type="dxa"/>
            <w:gridSpan w:val="2"/>
            <w:shd w:val="clear" w:color="auto" w:fill="9FC5E8"/>
            <w:tcMar>
              <w:top w:w="100" w:type="dxa"/>
              <w:left w:w="100" w:type="dxa"/>
              <w:bottom w:w="100" w:type="dxa"/>
              <w:right w:w="100" w:type="dxa"/>
            </w:tcMar>
          </w:tcPr>
          <w:p w14:paraId="62D13437" w14:textId="77777777" w:rsidR="00BC1499" w:rsidRDefault="00000000">
            <w:pPr>
              <w:widowControl w:val="0"/>
              <w:ind w:left="360"/>
              <w:jc w:val="center"/>
              <w:rPr>
                <w:rFonts w:ascii="Garamond" w:eastAsia="Garamond" w:hAnsi="Garamond" w:cs="Garamond"/>
              </w:rPr>
            </w:pPr>
            <w:r>
              <w:rPr>
                <w:rFonts w:ascii="Garamond" w:eastAsia="Garamond" w:hAnsi="Garamond" w:cs="Garamond"/>
              </w:rPr>
              <w:t xml:space="preserve">Note to the researcher: Please constantly check  on Meta’s website which standards are in use. If you notice there is a new standard, please advise the project coordinator. In any case, use the one(s) employed by the Oversight Board in its decisions. </w:t>
            </w:r>
          </w:p>
        </w:tc>
      </w:tr>
      <w:tr w:rsidR="00BC1499" w14:paraId="14BB165E" w14:textId="77777777">
        <w:trPr>
          <w:trHeight w:val="490"/>
        </w:trPr>
        <w:tc>
          <w:tcPr>
            <w:tcW w:w="3420" w:type="dxa"/>
            <w:shd w:val="clear" w:color="auto" w:fill="auto"/>
            <w:tcMar>
              <w:top w:w="100" w:type="dxa"/>
              <w:left w:w="100" w:type="dxa"/>
              <w:bottom w:w="100" w:type="dxa"/>
              <w:right w:w="100" w:type="dxa"/>
            </w:tcMar>
          </w:tcPr>
          <w:p w14:paraId="6A1ECADD" w14:textId="77777777" w:rsidR="00BC1499" w:rsidRDefault="00000000">
            <w:pPr>
              <w:widowControl w:val="0"/>
              <w:ind w:left="360"/>
              <w:rPr>
                <w:rFonts w:ascii="Garamond" w:eastAsia="Garamond" w:hAnsi="Garamond" w:cs="Garamond"/>
                <w:b/>
              </w:rPr>
            </w:pPr>
            <w:hyperlink r:id="rId25">
              <w:r>
                <w:rPr>
                  <w:rFonts w:ascii="Garamond" w:eastAsia="Garamond" w:hAnsi="Garamond" w:cs="Garamond"/>
                  <w:b/>
                  <w:color w:val="1155CC"/>
                  <w:u w:val="single"/>
                </w:rPr>
                <w:t>Instagram Community Guidelines</w:t>
              </w:r>
            </w:hyperlink>
          </w:p>
          <w:p w14:paraId="3A5964D7" w14:textId="77777777" w:rsidR="00BC1499" w:rsidRDefault="00BC1499">
            <w:pPr>
              <w:widowControl w:val="0"/>
              <w:rPr>
                <w:rFonts w:ascii="Garamond" w:eastAsia="Garamond" w:hAnsi="Garamond" w:cs="Garamond"/>
              </w:rPr>
            </w:pPr>
          </w:p>
        </w:tc>
        <w:tc>
          <w:tcPr>
            <w:tcW w:w="6435" w:type="dxa"/>
            <w:shd w:val="clear" w:color="auto" w:fill="auto"/>
            <w:tcMar>
              <w:top w:w="100" w:type="dxa"/>
              <w:left w:w="100" w:type="dxa"/>
              <w:bottom w:w="100" w:type="dxa"/>
              <w:right w:w="100" w:type="dxa"/>
            </w:tcMar>
          </w:tcPr>
          <w:p w14:paraId="127E5CCE" w14:textId="77777777" w:rsidR="00BC1499" w:rsidRDefault="00000000">
            <w:pPr>
              <w:spacing w:after="120"/>
              <w:rPr>
                <w:rFonts w:ascii="Garamond" w:eastAsia="Garamond" w:hAnsi="Garamond" w:cs="Garamond"/>
                <w:b/>
              </w:rPr>
            </w:pPr>
            <w:hyperlink r:id="rId26">
              <w:r>
                <w:rPr>
                  <w:rFonts w:ascii="Garamond" w:eastAsia="Garamond" w:hAnsi="Garamond" w:cs="Garamond"/>
                  <w:b/>
                  <w:color w:val="1155CC"/>
                  <w:u w:val="single"/>
                </w:rPr>
                <w:t>Facebook Community Standards</w:t>
              </w:r>
            </w:hyperlink>
            <w:r>
              <w:rPr>
                <w:rFonts w:ascii="Garamond" w:eastAsia="Garamond" w:hAnsi="Garamond" w:cs="Garamond"/>
                <w:b/>
              </w:rPr>
              <w:t xml:space="preserve"> </w:t>
            </w:r>
          </w:p>
        </w:tc>
      </w:tr>
      <w:tr w:rsidR="00BC1499" w14:paraId="563327BF" w14:textId="77777777">
        <w:tc>
          <w:tcPr>
            <w:tcW w:w="3420" w:type="dxa"/>
            <w:shd w:val="clear" w:color="auto" w:fill="auto"/>
            <w:tcMar>
              <w:top w:w="100" w:type="dxa"/>
              <w:left w:w="100" w:type="dxa"/>
              <w:bottom w:w="100" w:type="dxa"/>
              <w:right w:w="100" w:type="dxa"/>
            </w:tcMar>
          </w:tcPr>
          <w:p w14:paraId="6855CB38" w14:textId="77777777" w:rsidR="00BC1499" w:rsidRDefault="00000000">
            <w:pPr>
              <w:widowControl w:val="0"/>
              <w:numPr>
                <w:ilvl w:val="0"/>
                <w:numId w:val="10"/>
              </w:numPr>
              <w:rPr>
                <w:rFonts w:ascii="Garamond" w:eastAsia="Garamond" w:hAnsi="Garamond" w:cs="Garamond"/>
              </w:rPr>
            </w:pPr>
            <w:r>
              <w:rPr>
                <w:rFonts w:ascii="Garamond" w:eastAsia="Garamond" w:hAnsi="Garamond" w:cs="Garamond"/>
              </w:rPr>
              <w:t>Intellectual Property</w:t>
            </w:r>
          </w:p>
          <w:p w14:paraId="3E621097" w14:textId="77777777" w:rsidR="00BC1499" w:rsidRDefault="00000000">
            <w:pPr>
              <w:widowControl w:val="0"/>
              <w:numPr>
                <w:ilvl w:val="0"/>
                <w:numId w:val="10"/>
              </w:numPr>
              <w:rPr>
                <w:rFonts w:ascii="Garamond" w:eastAsia="Garamond" w:hAnsi="Garamond" w:cs="Garamond"/>
              </w:rPr>
            </w:pPr>
            <w:r>
              <w:rPr>
                <w:rFonts w:ascii="Garamond" w:eastAsia="Garamond" w:hAnsi="Garamond" w:cs="Garamond"/>
              </w:rPr>
              <w:t xml:space="preserve">Spam </w:t>
            </w:r>
          </w:p>
          <w:p w14:paraId="53234440" w14:textId="77777777" w:rsidR="00BC1499" w:rsidRDefault="00000000">
            <w:pPr>
              <w:widowControl w:val="0"/>
              <w:numPr>
                <w:ilvl w:val="0"/>
                <w:numId w:val="10"/>
              </w:numPr>
              <w:rPr>
                <w:rFonts w:ascii="Garamond" w:eastAsia="Garamond" w:hAnsi="Garamond" w:cs="Garamond"/>
              </w:rPr>
            </w:pPr>
            <w:r>
              <w:rPr>
                <w:rFonts w:ascii="Garamond" w:eastAsia="Garamond" w:hAnsi="Garamond" w:cs="Garamond"/>
              </w:rPr>
              <w:t>Illegal Content</w:t>
            </w:r>
          </w:p>
          <w:p w14:paraId="0AFE2B76" w14:textId="77777777" w:rsidR="00BC1499" w:rsidRDefault="00000000">
            <w:pPr>
              <w:widowControl w:val="0"/>
              <w:numPr>
                <w:ilvl w:val="0"/>
                <w:numId w:val="10"/>
              </w:numPr>
              <w:rPr>
                <w:rFonts w:ascii="Garamond" w:eastAsia="Garamond" w:hAnsi="Garamond" w:cs="Garamond"/>
              </w:rPr>
            </w:pPr>
            <w:r>
              <w:rPr>
                <w:rFonts w:ascii="Garamond" w:eastAsia="Garamond" w:hAnsi="Garamond" w:cs="Garamond"/>
              </w:rPr>
              <w:t>Hate Speech, Bullying and Abuse</w:t>
            </w:r>
          </w:p>
          <w:p w14:paraId="53D60A09" w14:textId="77777777" w:rsidR="00BC1499" w:rsidRDefault="00000000">
            <w:pPr>
              <w:widowControl w:val="0"/>
              <w:numPr>
                <w:ilvl w:val="0"/>
                <w:numId w:val="10"/>
              </w:numPr>
              <w:rPr>
                <w:rFonts w:ascii="Garamond" w:eastAsia="Garamond" w:hAnsi="Garamond" w:cs="Garamond"/>
              </w:rPr>
            </w:pPr>
            <w:proofErr w:type="spellStart"/>
            <w:r>
              <w:rPr>
                <w:rFonts w:ascii="Garamond" w:eastAsia="Garamond" w:hAnsi="Garamond" w:cs="Garamond"/>
              </w:rPr>
              <w:t>Self Injury</w:t>
            </w:r>
            <w:proofErr w:type="spellEnd"/>
          </w:p>
          <w:p w14:paraId="554BCFA3" w14:textId="77777777" w:rsidR="00BC1499" w:rsidRDefault="00000000">
            <w:pPr>
              <w:widowControl w:val="0"/>
              <w:numPr>
                <w:ilvl w:val="0"/>
                <w:numId w:val="10"/>
              </w:numPr>
              <w:rPr>
                <w:rFonts w:ascii="Garamond" w:eastAsia="Garamond" w:hAnsi="Garamond" w:cs="Garamond"/>
              </w:rPr>
            </w:pPr>
            <w:r>
              <w:rPr>
                <w:rFonts w:ascii="Garamond" w:eastAsia="Garamond" w:hAnsi="Garamond" w:cs="Garamond"/>
              </w:rPr>
              <w:t>Graphic Violence</w:t>
            </w:r>
          </w:p>
          <w:p w14:paraId="58698E49" w14:textId="77777777" w:rsidR="00BC1499" w:rsidRDefault="00000000">
            <w:pPr>
              <w:widowControl w:val="0"/>
              <w:numPr>
                <w:ilvl w:val="0"/>
                <w:numId w:val="10"/>
              </w:numPr>
              <w:rPr>
                <w:rFonts w:ascii="Garamond" w:eastAsia="Garamond" w:hAnsi="Garamond" w:cs="Garamond"/>
              </w:rPr>
            </w:pPr>
            <w:proofErr w:type="spellStart"/>
            <w:r>
              <w:rPr>
                <w:rFonts w:ascii="Garamond" w:eastAsia="Garamond" w:hAnsi="Garamond" w:cs="Garamond"/>
              </w:rPr>
              <w:t>Referal</w:t>
            </w:r>
            <w:proofErr w:type="spellEnd"/>
            <w:r>
              <w:rPr>
                <w:rFonts w:ascii="Garamond" w:eastAsia="Garamond" w:hAnsi="Garamond" w:cs="Garamond"/>
              </w:rPr>
              <w:t xml:space="preserve"> to Facebook Community Standards  </w:t>
            </w:r>
          </w:p>
          <w:p w14:paraId="648459D6" w14:textId="77777777" w:rsidR="00BC1499" w:rsidRDefault="00BC1499">
            <w:pPr>
              <w:widowControl w:val="0"/>
              <w:ind w:left="720"/>
              <w:rPr>
                <w:rFonts w:ascii="Garamond" w:eastAsia="Garamond" w:hAnsi="Garamond" w:cs="Garamond"/>
              </w:rPr>
            </w:pPr>
          </w:p>
        </w:tc>
        <w:tc>
          <w:tcPr>
            <w:tcW w:w="6435" w:type="dxa"/>
            <w:shd w:val="clear" w:color="auto" w:fill="auto"/>
            <w:tcMar>
              <w:top w:w="100" w:type="dxa"/>
              <w:left w:w="100" w:type="dxa"/>
              <w:bottom w:w="100" w:type="dxa"/>
              <w:right w:w="100" w:type="dxa"/>
            </w:tcMar>
          </w:tcPr>
          <w:p w14:paraId="44776658" w14:textId="77777777" w:rsidR="00BC1499" w:rsidRDefault="00000000">
            <w:pPr>
              <w:widowControl w:val="0"/>
              <w:numPr>
                <w:ilvl w:val="0"/>
                <w:numId w:val="11"/>
              </w:numPr>
              <w:rPr>
                <w:rFonts w:ascii="Garamond" w:eastAsia="Garamond" w:hAnsi="Garamond" w:cs="Garamond"/>
              </w:rPr>
            </w:pPr>
            <w:r>
              <w:rPr>
                <w:rFonts w:ascii="Garamond" w:eastAsia="Garamond" w:hAnsi="Garamond" w:cs="Garamond"/>
              </w:rPr>
              <w:t>Violence And Criminal Behavior</w:t>
            </w:r>
          </w:p>
          <w:p w14:paraId="339E249F"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​​Violence and Incitement</w:t>
            </w:r>
          </w:p>
          <w:p w14:paraId="54EFBBC1"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Dangerous Individuals and Organizations</w:t>
            </w:r>
          </w:p>
          <w:p w14:paraId="0C02CCB5"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Coordinating Harm and Promoting Crime</w:t>
            </w:r>
          </w:p>
          <w:p w14:paraId="6273FD50"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Restricted Goods and Services</w:t>
            </w:r>
          </w:p>
          <w:p w14:paraId="16C9E3CC"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Fraud and Deception</w:t>
            </w:r>
          </w:p>
          <w:p w14:paraId="5A34B4A4" w14:textId="77777777" w:rsidR="00BC1499" w:rsidRDefault="00000000">
            <w:pPr>
              <w:widowControl w:val="0"/>
              <w:numPr>
                <w:ilvl w:val="0"/>
                <w:numId w:val="11"/>
              </w:numPr>
              <w:rPr>
                <w:rFonts w:ascii="Garamond" w:eastAsia="Garamond" w:hAnsi="Garamond" w:cs="Garamond"/>
              </w:rPr>
            </w:pPr>
            <w:r>
              <w:rPr>
                <w:rFonts w:ascii="Garamond" w:eastAsia="Garamond" w:hAnsi="Garamond" w:cs="Garamond"/>
              </w:rPr>
              <w:t>Safety</w:t>
            </w:r>
          </w:p>
          <w:p w14:paraId="3302E5E0"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Suicide and Self-Injury</w:t>
            </w:r>
          </w:p>
          <w:p w14:paraId="1139843D"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Child Sexual Exploitation, Abuse and Nudity</w:t>
            </w:r>
          </w:p>
          <w:p w14:paraId="6692E509"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Adult Sexual Exploitation</w:t>
            </w:r>
          </w:p>
          <w:p w14:paraId="2C69720C"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Bullying and Harassment</w:t>
            </w:r>
          </w:p>
          <w:p w14:paraId="6448FFCA"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lastRenderedPageBreak/>
              <w:t>Human Exploitation</w:t>
            </w:r>
          </w:p>
          <w:p w14:paraId="5F89C285"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Privacy Violations</w:t>
            </w:r>
          </w:p>
          <w:p w14:paraId="42F855DD" w14:textId="77777777" w:rsidR="00BC1499" w:rsidRDefault="00000000">
            <w:pPr>
              <w:widowControl w:val="0"/>
              <w:numPr>
                <w:ilvl w:val="0"/>
                <w:numId w:val="11"/>
              </w:numPr>
              <w:rPr>
                <w:rFonts w:ascii="Garamond" w:eastAsia="Garamond" w:hAnsi="Garamond" w:cs="Garamond"/>
              </w:rPr>
            </w:pPr>
            <w:r>
              <w:rPr>
                <w:rFonts w:ascii="Garamond" w:eastAsia="Garamond" w:hAnsi="Garamond" w:cs="Garamond"/>
              </w:rPr>
              <w:t>Objectionable Content</w:t>
            </w:r>
          </w:p>
          <w:p w14:paraId="4C02C831"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Hate Speech</w:t>
            </w:r>
          </w:p>
          <w:p w14:paraId="21C6CF87"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Violent and graphic content</w:t>
            </w:r>
          </w:p>
          <w:p w14:paraId="63142BB5"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Adult Nudity and Sexual Activity</w:t>
            </w:r>
          </w:p>
          <w:p w14:paraId="17DDAB67"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Sexual Solicitation</w:t>
            </w:r>
          </w:p>
          <w:p w14:paraId="2E05506E" w14:textId="77777777" w:rsidR="00BC1499" w:rsidRDefault="00000000">
            <w:pPr>
              <w:widowControl w:val="0"/>
              <w:numPr>
                <w:ilvl w:val="0"/>
                <w:numId w:val="11"/>
              </w:numPr>
              <w:rPr>
                <w:rFonts w:ascii="Garamond" w:eastAsia="Garamond" w:hAnsi="Garamond" w:cs="Garamond"/>
              </w:rPr>
            </w:pPr>
            <w:r>
              <w:rPr>
                <w:rFonts w:ascii="Garamond" w:eastAsia="Garamond" w:hAnsi="Garamond" w:cs="Garamond"/>
              </w:rPr>
              <w:t>Integrity And Authenticity</w:t>
            </w:r>
          </w:p>
          <w:p w14:paraId="1CEB66C7"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Account Integrity and Authentic Identity</w:t>
            </w:r>
          </w:p>
          <w:p w14:paraId="0DD29977"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Spam</w:t>
            </w:r>
          </w:p>
          <w:p w14:paraId="63563468"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Cybersecurity</w:t>
            </w:r>
          </w:p>
          <w:p w14:paraId="7D25733D"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Inauthentic Behavior</w:t>
            </w:r>
          </w:p>
          <w:p w14:paraId="20C2D5DC"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Misinformation</w:t>
            </w:r>
          </w:p>
          <w:p w14:paraId="6D932592"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Memorialization</w:t>
            </w:r>
          </w:p>
          <w:p w14:paraId="41154B46" w14:textId="77777777" w:rsidR="00BC1499" w:rsidRDefault="00000000">
            <w:pPr>
              <w:widowControl w:val="0"/>
              <w:numPr>
                <w:ilvl w:val="0"/>
                <w:numId w:val="11"/>
              </w:numPr>
              <w:rPr>
                <w:rFonts w:ascii="Garamond" w:eastAsia="Garamond" w:hAnsi="Garamond" w:cs="Garamond"/>
              </w:rPr>
            </w:pPr>
            <w:r>
              <w:rPr>
                <w:rFonts w:ascii="Garamond" w:eastAsia="Garamond" w:hAnsi="Garamond" w:cs="Garamond"/>
              </w:rPr>
              <w:t>Respecting Intellectual Property</w:t>
            </w:r>
          </w:p>
          <w:p w14:paraId="68F5925F"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Intellectual Property</w:t>
            </w:r>
          </w:p>
          <w:p w14:paraId="2FFD2D77" w14:textId="77777777" w:rsidR="00BC1499" w:rsidRDefault="00000000">
            <w:pPr>
              <w:widowControl w:val="0"/>
              <w:numPr>
                <w:ilvl w:val="0"/>
                <w:numId w:val="11"/>
              </w:numPr>
              <w:rPr>
                <w:rFonts w:ascii="Garamond" w:eastAsia="Garamond" w:hAnsi="Garamond" w:cs="Garamond"/>
              </w:rPr>
            </w:pPr>
            <w:r>
              <w:rPr>
                <w:rFonts w:ascii="Garamond" w:eastAsia="Garamond" w:hAnsi="Garamond" w:cs="Garamond"/>
              </w:rPr>
              <w:t>Content-Related Requests and Decisions</w:t>
            </w:r>
          </w:p>
          <w:p w14:paraId="1EC5F7BD"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User Requests</w:t>
            </w:r>
          </w:p>
          <w:p w14:paraId="2BBDC868" w14:textId="77777777" w:rsidR="00BC1499" w:rsidRDefault="00000000">
            <w:pPr>
              <w:widowControl w:val="0"/>
              <w:numPr>
                <w:ilvl w:val="1"/>
                <w:numId w:val="11"/>
              </w:numPr>
              <w:rPr>
                <w:rFonts w:ascii="Garamond" w:eastAsia="Garamond" w:hAnsi="Garamond" w:cs="Garamond"/>
              </w:rPr>
            </w:pPr>
            <w:r>
              <w:rPr>
                <w:rFonts w:ascii="Garamond" w:eastAsia="Garamond" w:hAnsi="Garamond" w:cs="Garamond"/>
              </w:rPr>
              <w:t>Additional Protection of Minors</w:t>
            </w:r>
          </w:p>
          <w:p w14:paraId="2ABE00D8" w14:textId="77777777" w:rsidR="00BC1499" w:rsidRDefault="00BC1499">
            <w:pPr>
              <w:widowControl w:val="0"/>
              <w:rPr>
                <w:rFonts w:ascii="Garamond" w:eastAsia="Garamond" w:hAnsi="Garamond" w:cs="Garamond"/>
              </w:rPr>
            </w:pPr>
          </w:p>
        </w:tc>
      </w:tr>
    </w:tbl>
    <w:p w14:paraId="0388BCF5" w14:textId="77777777" w:rsidR="00BC1499" w:rsidRDefault="00BC1499">
      <w:pPr>
        <w:spacing w:after="120"/>
        <w:rPr>
          <w:rFonts w:ascii="Garamond" w:eastAsia="Garamond" w:hAnsi="Garamond" w:cs="Garamond"/>
        </w:rPr>
      </w:pPr>
    </w:p>
    <w:p w14:paraId="2FC5AC11" w14:textId="77777777" w:rsidR="00BC1499" w:rsidRDefault="00BC1499">
      <w:pPr>
        <w:spacing w:after="120"/>
        <w:rPr>
          <w:rFonts w:ascii="Garamond" w:eastAsia="Garamond" w:hAnsi="Garamond" w:cs="Garamond"/>
        </w:rPr>
      </w:pPr>
    </w:p>
    <w:p w14:paraId="4D66D055" w14:textId="77777777" w:rsidR="00BC1499" w:rsidRDefault="00BC1499">
      <w:pPr>
        <w:spacing w:after="120"/>
        <w:rPr>
          <w:rFonts w:ascii="Garamond" w:eastAsia="Garamond" w:hAnsi="Garamond" w:cs="Garamond"/>
        </w:rPr>
      </w:pPr>
    </w:p>
    <w:p w14:paraId="7C5323A4" w14:textId="77777777" w:rsidR="00BC1499" w:rsidRDefault="00BC1499">
      <w:pPr>
        <w:spacing w:after="120"/>
        <w:rPr>
          <w:rFonts w:ascii="Garamond" w:eastAsia="Garamond" w:hAnsi="Garamond" w:cs="Garamond"/>
        </w:rPr>
      </w:pPr>
    </w:p>
    <w:p w14:paraId="1C8B57D2" w14:textId="77777777" w:rsidR="00BC1499" w:rsidRDefault="00BC1499">
      <w:pPr>
        <w:spacing w:after="120"/>
        <w:rPr>
          <w:rFonts w:ascii="Garamond" w:eastAsia="Garamond" w:hAnsi="Garamond" w:cs="Garamond"/>
        </w:rPr>
      </w:pPr>
    </w:p>
    <w:sectPr w:rsidR="00BC1499">
      <w:headerReference w:type="default" r:id="rId27"/>
      <w:footerReference w:type="default" r:id="rId2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C7618" w14:textId="77777777" w:rsidR="00113414" w:rsidRDefault="00113414">
      <w:r>
        <w:separator/>
      </w:r>
    </w:p>
  </w:endnote>
  <w:endnote w:type="continuationSeparator" w:id="0">
    <w:p w14:paraId="6349CF1A" w14:textId="77777777" w:rsidR="00113414" w:rsidRDefault="00113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altName w:val="Garamond Premier Pro"/>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786E7" w14:textId="77777777" w:rsidR="00BC1499" w:rsidRDefault="00BC14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1AB57" w14:textId="77777777" w:rsidR="00113414" w:rsidRDefault="00113414">
      <w:r>
        <w:separator/>
      </w:r>
    </w:p>
  </w:footnote>
  <w:footnote w:type="continuationSeparator" w:id="0">
    <w:p w14:paraId="0741B7E8" w14:textId="77777777" w:rsidR="00113414" w:rsidRDefault="00113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041FB" w14:textId="77777777" w:rsidR="00BC1499" w:rsidRDefault="00BC14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2843"/>
    <w:multiLevelType w:val="multilevel"/>
    <w:tmpl w:val="90EC2B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F933C90"/>
    <w:multiLevelType w:val="multilevel"/>
    <w:tmpl w:val="47CA89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3A305E2"/>
    <w:multiLevelType w:val="multilevel"/>
    <w:tmpl w:val="98FC6A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351105"/>
    <w:multiLevelType w:val="multilevel"/>
    <w:tmpl w:val="447E07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740530C"/>
    <w:multiLevelType w:val="multilevel"/>
    <w:tmpl w:val="61BE4D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DB80332"/>
    <w:multiLevelType w:val="multilevel"/>
    <w:tmpl w:val="812AC6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4A100A5C"/>
    <w:multiLevelType w:val="multilevel"/>
    <w:tmpl w:val="278A60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B513164"/>
    <w:multiLevelType w:val="hybridMultilevel"/>
    <w:tmpl w:val="3982A64E"/>
    <w:lvl w:ilvl="0" w:tplc="FEB861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ED2CFA"/>
    <w:multiLevelType w:val="hybridMultilevel"/>
    <w:tmpl w:val="CE646090"/>
    <w:lvl w:ilvl="0" w:tplc="6BE49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8812C0"/>
    <w:multiLevelType w:val="multilevel"/>
    <w:tmpl w:val="F8383E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5CFE3DE4"/>
    <w:multiLevelType w:val="multilevel"/>
    <w:tmpl w:val="3D5C7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D7640ED"/>
    <w:multiLevelType w:val="multilevel"/>
    <w:tmpl w:val="E9668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385770F"/>
    <w:multiLevelType w:val="hybridMultilevel"/>
    <w:tmpl w:val="A82E6572"/>
    <w:lvl w:ilvl="0" w:tplc="0F662EB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E76375"/>
    <w:multiLevelType w:val="multilevel"/>
    <w:tmpl w:val="B868DB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371197025">
    <w:abstractNumId w:val="2"/>
  </w:num>
  <w:num w:numId="2" w16cid:durableId="1404835932">
    <w:abstractNumId w:val="5"/>
  </w:num>
  <w:num w:numId="3" w16cid:durableId="1412509451">
    <w:abstractNumId w:val="3"/>
  </w:num>
  <w:num w:numId="4" w16cid:durableId="885680718">
    <w:abstractNumId w:val="4"/>
  </w:num>
  <w:num w:numId="5" w16cid:durableId="638847784">
    <w:abstractNumId w:val="9"/>
  </w:num>
  <w:num w:numId="6" w16cid:durableId="1372997038">
    <w:abstractNumId w:val="13"/>
  </w:num>
  <w:num w:numId="7" w16cid:durableId="963198134">
    <w:abstractNumId w:val="6"/>
  </w:num>
  <w:num w:numId="8" w16cid:durableId="1755469441">
    <w:abstractNumId w:val="1"/>
  </w:num>
  <w:num w:numId="9" w16cid:durableId="572351330">
    <w:abstractNumId w:val="0"/>
  </w:num>
  <w:num w:numId="10" w16cid:durableId="114176508">
    <w:abstractNumId w:val="10"/>
  </w:num>
  <w:num w:numId="11" w16cid:durableId="89472630">
    <w:abstractNumId w:val="11"/>
  </w:num>
  <w:num w:numId="12" w16cid:durableId="194856875">
    <w:abstractNumId w:val="8"/>
  </w:num>
  <w:num w:numId="13" w16cid:durableId="630480561">
    <w:abstractNumId w:val="7"/>
  </w:num>
  <w:num w:numId="14" w16cid:durableId="5203175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499"/>
    <w:rsid w:val="00000642"/>
    <w:rsid w:val="00024309"/>
    <w:rsid w:val="0005032D"/>
    <w:rsid w:val="00113414"/>
    <w:rsid w:val="001C3BD0"/>
    <w:rsid w:val="004E2D20"/>
    <w:rsid w:val="00623738"/>
    <w:rsid w:val="00732EFE"/>
    <w:rsid w:val="007357E9"/>
    <w:rsid w:val="0075524D"/>
    <w:rsid w:val="00761B42"/>
    <w:rsid w:val="00844FEC"/>
    <w:rsid w:val="009725A6"/>
    <w:rsid w:val="009950CC"/>
    <w:rsid w:val="00A214EA"/>
    <w:rsid w:val="00B154B0"/>
    <w:rsid w:val="00B737B3"/>
    <w:rsid w:val="00BB01A1"/>
    <w:rsid w:val="00BC1499"/>
    <w:rsid w:val="00C86093"/>
    <w:rsid w:val="00CC1589"/>
    <w:rsid w:val="00CE6CC6"/>
    <w:rsid w:val="00D92132"/>
    <w:rsid w:val="00E36078"/>
    <w:rsid w:val="00E92E64"/>
    <w:rsid w:val="00F312A0"/>
    <w:rsid w:val="00FB26EA"/>
    <w:rsid w:val="00FB42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27EE593"/>
  <w15:docId w15:val="{9729E95E-6FCD-3B46-A464-859A69B21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FB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B2804"/>
    <w:pPr>
      <w:ind w:left="720"/>
      <w:contextualSpacing/>
    </w:pPr>
  </w:style>
  <w:style w:type="character" w:styleId="Hyperlink">
    <w:name w:val="Hyperlink"/>
    <w:basedOn w:val="DefaultParagraphFont"/>
    <w:uiPriority w:val="99"/>
    <w:unhideWhenUsed/>
    <w:rsid w:val="00BB2804"/>
    <w:rPr>
      <w:color w:val="0563C1" w:themeColor="hyperlink"/>
      <w:u w:val="single"/>
    </w:rPr>
  </w:style>
  <w:style w:type="character" w:styleId="UnresolvedMention">
    <w:name w:val="Unresolved Mention"/>
    <w:basedOn w:val="DefaultParagraphFont"/>
    <w:uiPriority w:val="99"/>
    <w:semiHidden/>
    <w:unhideWhenUsed/>
    <w:rsid w:val="009223B6"/>
    <w:rPr>
      <w:color w:val="605E5C"/>
      <w:shd w:val="clear" w:color="auto" w:fill="E1DFDD"/>
    </w:rPr>
  </w:style>
  <w:style w:type="paragraph" w:styleId="NormalWeb">
    <w:name w:val="Normal (Web)"/>
    <w:basedOn w:val="Normal"/>
    <w:uiPriority w:val="99"/>
    <w:unhideWhenUsed/>
    <w:rsid w:val="00CD2DD6"/>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D7FAA"/>
    <w:rPr>
      <w:color w:val="954F72" w:themeColor="followedHyperlink"/>
      <w:u w:val="single"/>
    </w:rPr>
  </w:style>
  <w:style w:type="character" w:styleId="Emphasis">
    <w:name w:val="Emphasis"/>
    <w:basedOn w:val="DefaultParagraphFont"/>
    <w:uiPriority w:val="20"/>
    <w:qFormat/>
    <w:rsid w:val="00AB29C4"/>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E1693"/>
    <w:rPr>
      <w:b/>
      <w:bCs/>
    </w:rPr>
  </w:style>
  <w:style w:type="character" w:customStyle="1" w:styleId="CommentSubjectChar">
    <w:name w:val="Comment Subject Char"/>
    <w:basedOn w:val="CommentTextChar"/>
    <w:link w:val="CommentSubject"/>
    <w:uiPriority w:val="99"/>
    <w:semiHidden/>
    <w:rsid w:val="007E1693"/>
    <w:rPr>
      <w:b/>
      <w:bCs/>
      <w:sz w:val="20"/>
      <w:szCs w:val="20"/>
    </w:rPr>
  </w:style>
  <w:style w:type="paragraph" w:styleId="Revision">
    <w:name w:val="Revision"/>
    <w:hidden/>
    <w:uiPriority w:val="99"/>
    <w:semiHidden/>
    <w:rsid w:val="007156F4"/>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bs8BnePh92B5VeKSDEuDfPruBjbbaiu1?usp=sharing" TargetMode="External"/><Relationship Id="rId13" Type="http://schemas.openxmlformats.org/officeDocument/2006/relationships/hyperlink" Target="https://globalfreedomofexpression.columbia.edu/cases/oversight-board-case-of-punjabi-concern-over-the-rss-in-india/" TargetMode="External"/><Relationship Id="rId18" Type="http://schemas.openxmlformats.org/officeDocument/2006/relationships/hyperlink" Target="https://www.oversightboard.com/decision/FB-J8YBQ5ER/" TargetMode="External"/><Relationship Id="rId26" Type="http://schemas.openxmlformats.org/officeDocument/2006/relationships/hyperlink" Target="https://transparency.fb.com/es-la/policies/community-standards/" TargetMode="External"/><Relationship Id="rId3" Type="http://schemas.openxmlformats.org/officeDocument/2006/relationships/styles" Target="styles.xml"/><Relationship Id="rId21" Type="http://schemas.openxmlformats.org/officeDocument/2006/relationships/hyperlink" Target="https://www.oversightboard.com/decision/fb-ylrv35wd/" TargetMode="External"/><Relationship Id="rId7" Type="http://schemas.openxmlformats.org/officeDocument/2006/relationships/endnotes" Target="endnotes.xml"/><Relationship Id="rId12" Type="http://schemas.openxmlformats.org/officeDocument/2006/relationships/hyperlink" Target="https://www.oversightboard.com/decision/pao-lopp03uk/" TargetMode="External"/><Relationship Id="rId17" Type="http://schemas.openxmlformats.org/officeDocument/2006/relationships/hyperlink" Target="https://www.oversightboard.com/decision/fb-ylrv35wd/" TargetMode="External"/><Relationship Id="rId25" Type="http://schemas.openxmlformats.org/officeDocument/2006/relationships/hyperlink" Target="https://about.instagram.com/blog/announcements/instagram-community-guidelines-faqs" TargetMode="External"/><Relationship Id="rId2" Type="http://schemas.openxmlformats.org/officeDocument/2006/relationships/numbering" Target="numbering.xml"/><Relationship Id="rId16" Type="http://schemas.openxmlformats.org/officeDocument/2006/relationships/hyperlink" Target="https://globalfreedomofexpression.columbia.edu/cases/oversight-board-case-of-tigray-communication-affairs-bureau/" TargetMode="External"/><Relationship Id="rId20" Type="http://schemas.openxmlformats.org/officeDocument/2006/relationships/hyperlink" Target="https://www.oversightboard.com/decision/fb-ylrv35w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lobalfreedomofexpression.columbia.edu/cases/oversight-board-case-of-a-nazi-quote/" TargetMode="External"/><Relationship Id="rId24" Type="http://schemas.openxmlformats.org/officeDocument/2006/relationships/hyperlink" Target="https://www.oversightboard.com/governance/" TargetMode="External"/><Relationship Id="rId5" Type="http://schemas.openxmlformats.org/officeDocument/2006/relationships/webSettings" Target="webSettings.xml"/><Relationship Id="rId15" Type="http://schemas.openxmlformats.org/officeDocument/2006/relationships/hyperlink" Target="https://www.oversightboard.com/decision/fb-ylrv35wd/" TargetMode="External"/><Relationship Id="rId23" Type="http://schemas.openxmlformats.org/officeDocument/2006/relationships/hyperlink" Target="https://www.oversightboard.com/decision/ig-zj7j6d28/" TargetMode="External"/><Relationship Id="rId28" Type="http://schemas.openxmlformats.org/officeDocument/2006/relationships/footer" Target="footer1.xml"/><Relationship Id="rId10" Type="http://schemas.openxmlformats.org/officeDocument/2006/relationships/hyperlink" Target="https://www.oversightboard.com/decision/ig-zj7j6d28/" TargetMode="External"/><Relationship Id="rId19" Type="http://schemas.openxmlformats.org/officeDocument/2006/relationships/hyperlink" Target="https://globalfreedomofexpression.columbia.edu/cases/oversight-board-case-of-tigray-communication-affairs-bureau/" TargetMode="External"/><Relationship Id="rId4" Type="http://schemas.openxmlformats.org/officeDocument/2006/relationships/settings" Target="settings.xml"/><Relationship Id="rId9" Type="http://schemas.openxmlformats.org/officeDocument/2006/relationships/hyperlink" Target="https://www.oversightboard.com/" TargetMode="External"/><Relationship Id="rId14" Type="http://schemas.openxmlformats.org/officeDocument/2006/relationships/hyperlink" Target="https://globalfreedomofexpression.columbia.edu/cases/oversight-board-case-of-a-nazi-quote/" TargetMode="External"/><Relationship Id="rId22" Type="http://schemas.openxmlformats.org/officeDocument/2006/relationships/hyperlink" Target="https://www.oversightboard.com/decision/fb-ylrv35wd/"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mcecs9JyjpoET6J0gdg/Zbgww==">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4510</Words>
  <Characters>25708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Sanskriti Sanghi</dc:creator>
  <cp:lastModifiedBy>Reem El-Shazly</cp:lastModifiedBy>
  <cp:revision>2</cp:revision>
  <dcterms:created xsi:type="dcterms:W3CDTF">2024-05-11T02:56:00Z</dcterms:created>
  <dcterms:modified xsi:type="dcterms:W3CDTF">2024-05-11T02:56:00Z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c41a93-8c9a-47f9-8ab4-1661933663f8_Enabled">
    <vt:lpwstr>true</vt:lpwstr>
  </property>
  <property fmtid="{D5CDD505-2E9C-101B-9397-08002B2CF9AE}" pid="3" name="MSIP_Label_8ec41a93-8c9a-47f9-8ab4-1661933663f8_SetDate">
    <vt:lpwstr>2022-09-16T12:20:36Z</vt:lpwstr>
  </property>
  <property fmtid="{D5CDD505-2E9C-101B-9397-08002B2CF9AE}" pid="4" name="MSIP_Label_8ec41a93-8c9a-47f9-8ab4-1661933663f8_Method">
    <vt:lpwstr>Standard</vt:lpwstr>
  </property>
  <property fmtid="{D5CDD505-2E9C-101B-9397-08002B2CF9AE}" pid="5" name="MSIP_Label_8ec41a93-8c9a-47f9-8ab4-1661933663f8_Name">
    <vt:lpwstr>Public</vt:lpwstr>
  </property>
  <property fmtid="{D5CDD505-2E9C-101B-9397-08002B2CF9AE}" pid="6" name="MSIP_Label_8ec41a93-8c9a-47f9-8ab4-1661933663f8_SiteId">
    <vt:lpwstr>f607527e-f4e9-4b2c-b0b5-42287e7bec19</vt:lpwstr>
  </property>
  <property fmtid="{D5CDD505-2E9C-101B-9397-08002B2CF9AE}" pid="7" name="MSIP_Label_8ec41a93-8c9a-47f9-8ab4-1661933663f8_ActionId">
    <vt:lpwstr>143f9224-8abc-44a7-8413-e64408e3ec29</vt:lpwstr>
  </property>
  <property fmtid="{D5CDD505-2E9C-101B-9397-08002B2CF9AE}" pid="8" name="MSIP_Label_8ec41a93-8c9a-47f9-8ab4-1661933663f8_ContentBits">
    <vt:lpwstr>0</vt:lpwstr>
  </property>
</Properties>
</file>