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3412C5BC"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2A2230" w:rsidRPr="002A2230">
        <w:rPr>
          <w:rFonts w:ascii="Garamond" w:hAnsi="Garamond"/>
          <w:b/>
          <w:bCs/>
          <w:i/>
          <w:iCs/>
          <w:color w:val="000000" w:themeColor="text1"/>
          <w:sz w:val="22"/>
          <w:szCs w:val="22"/>
          <w:lang w:val="en-US"/>
        </w:rPr>
        <w:t>Negative stereotypes of African Americans</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28AEAAED" w:rsidR="00181333" w:rsidRPr="0029093B" w:rsidRDefault="002A2230" w:rsidP="0029093B">
      <w:pPr>
        <w:spacing w:line="276" w:lineRule="auto"/>
        <w:jc w:val="both"/>
        <w:rPr>
          <w:rFonts w:ascii="Garamond" w:hAnsi="Garamond"/>
          <w:sz w:val="22"/>
          <w:szCs w:val="22"/>
          <w:lang w:val="en-US"/>
        </w:rPr>
      </w:pPr>
      <w:r>
        <w:rPr>
          <w:rFonts w:ascii="Garamond" w:hAnsi="Garamond"/>
          <w:sz w:val="22"/>
          <w:szCs w:val="22"/>
          <w:lang w:val="en-US"/>
        </w:rPr>
        <w:t>On April 18</w:t>
      </w:r>
      <w:r w:rsidRPr="002A2230">
        <w:rPr>
          <w:rFonts w:ascii="Garamond" w:hAnsi="Garamond"/>
          <w:sz w:val="22"/>
          <w:szCs w:val="22"/>
          <w:vertAlign w:val="superscript"/>
          <w:lang w:val="en-US"/>
        </w:rPr>
        <w:t>th</w:t>
      </w:r>
      <w:r>
        <w:rPr>
          <w:rFonts w:ascii="Garamond" w:hAnsi="Garamond"/>
          <w:sz w:val="22"/>
          <w:szCs w:val="22"/>
          <w:lang w:val="en-US"/>
        </w:rPr>
        <w:t xml:space="preserve">, 2024, the Oversight Board overturned Meta’s original decisions to leave up three racist images enforcing offensive stereotypes against African Americans on Facebook. The Board noted that this case exemplified Meta’s enforcement challenged of the Hate Speech and Bullying and Harassment policies. Meta reversed its decision after being notified of the appeal. </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02B77A28" w14:textId="77777777" w:rsidR="00D30676" w:rsidRDefault="00D30676" w:rsidP="00D30676">
      <w:pPr>
        <w:pStyle w:val="ListParagraph"/>
        <w:spacing w:line="276" w:lineRule="auto"/>
        <w:ind w:left="360"/>
        <w:jc w:val="both"/>
        <w:rPr>
          <w:rFonts w:ascii="Garamond" w:hAnsi="Garamond"/>
          <w:sz w:val="22"/>
          <w:szCs w:val="22"/>
          <w:lang w:val="en-US"/>
        </w:rPr>
      </w:pPr>
    </w:p>
    <w:p w14:paraId="244A7005" w14:textId="32455D73" w:rsidR="00D30676" w:rsidRDefault="002A2230" w:rsidP="00D30676">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In late 2023, the Oversight Board received three appeals regarding three different Facebook posts containing negative material about African Americans. </w:t>
      </w:r>
    </w:p>
    <w:p w14:paraId="7C38519D" w14:textId="77777777" w:rsidR="002A2230" w:rsidRDefault="002A2230" w:rsidP="00D30676">
      <w:pPr>
        <w:pStyle w:val="ListParagraph"/>
        <w:spacing w:line="276" w:lineRule="auto"/>
        <w:ind w:left="360"/>
        <w:jc w:val="both"/>
        <w:rPr>
          <w:rFonts w:ascii="Garamond" w:hAnsi="Garamond"/>
          <w:sz w:val="22"/>
          <w:szCs w:val="22"/>
          <w:lang w:val="en-US"/>
        </w:rPr>
      </w:pPr>
    </w:p>
    <w:p w14:paraId="6B02A104" w14:textId="09D6252E" w:rsidR="002A2230" w:rsidRDefault="002A2230" w:rsidP="00D30676">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first post contained a computer-generating image of a shop named “Loot” on fire with cartoon Black people stealing merchandise and running out of the shop. In the caption, the user described the image as the next Pixar film. The post received around 500,000 views. </w:t>
      </w:r>
    </w:p>
    <w:p w14:paraId="38B9F981" w14:textId="77777777" w:rsidR="002A2230" w:rsidRDefault="002A2230" w:rsidP="00D30676">
      <w:pPr>
        <w:pStyle w:val="ListParagraph"/>
        <w:spacing w:line="276" w:lineRule="auto"/>
        <w:ind w:left="360"/>
        <w:jc w:val="both"/>
        <w:rPr>
          <w:rFonts w:ascii="Garamond" w:hAnsi="Garamond"/>
          <w:sz w:val="22"/>
          <w:szCs w:val="22"/>
          <w:lang w:val="en-US"/>
        </w:rPr>
      </w:pPr>
    </w:p>
    <w:p w14:paraId="29BCE3F4" w14:textId="39BA307E" w:rsidR="002A2230" w:rsidRDefault="002A2230" w:rsidP="00D30676">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second post was of a computer-generated image of a Black woman with exaggerated physical features holding a shopping cart filled with Cheetos. The image imitated a film poster entitled “EBT” which referred to the social welfare benefits system in the United States. At the top of the image, the names of African American victims of police brutality, Trayvon </w:t>
      </w:r>
      <w:proofErr w:type="gramStart"/>
      <w:r>
        <w:rPr>
          <w:rFonts w:ascii="Garamond" w:hAnsi="Garamond"/>
          <w:sz w:val="22"/>
          <w:szCs w:val="22"/>
          <w:lang w:val="en-US"/>
        </w:rPr>
        <w:t>Martin</w:t>
      </w:r>
      <w:proofErr w:type="gramEnd"/>
      <w:r>
        <w:rPr>
          <w:rFonts w:ascii="Garamond" w:hAnsi="Garamond"/>
          <w:sz w:val="22"/>
          <w:szCs w:val="22"/>
          <w:lang w:val="en-US"/>
        </w:rPr>
        <w:t xml:space="preserve"> and George Floyd, were included </w:t>
      </w:r>
      <w:r w:rsidR="00074C9B">
        <w:rPr>
          <w:rFonts w:ascii="Garamond" w:hAnsi="Garamond"/>
          <w:sz w:val="22"/>
          <w:szCs w:val="22"/>
          <w:lang w:val="en-US"/>
        </w:rPr>
        <w:t>in place of the actors’ names.</w:t>
      </w:r>
    </w:p>
    <w:p w14:paraId="36E3ED80" w14:textId="77777777" w:rsidR="00074C9B" w:rsidRPr="005073BB" w:rsidRDefault="00074C9B" w:rsidP="005073BB">
      <w:pPr>
        <w:spacing w:line="276" w:lineRule="auto"/>
        <w:jc w:val="both"/>
        <w:rPr>
          <w:rFonts w:ascii="Garamond" w:hAnsi="Garamond"/>
          <w:sz w:val="22"/>
          <w:szCs w:val="22"/>
          <w:lang w:val="en-US"/>
        </w:rPr>
      </w:pPr>
    </w:p>
    <w:p w14:paraId="30DECA6E" w14:textId="0EFCE79E" w:rsidR="00074C9B" w:rsidRDefault="00074C9B" w:rsidP="00074C9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third post was of a meme claiming that Adobe has developed a photoshop detecting software accompanied with an image of a woman with colorful markings over her entire face, implying these colorful markings represent photoshop. The post included an image of Black family having meal with the father and food covered in those colorful markings, implying these elements were added through photoshop. The post reinforced stereotypes of the absence of father figures in Black families. The post was viewed over 14 million times.</w:t>
      </w:r>
    </w:p>
    <w:p w14:paraId="639D2F8B" w14:textId="77777777" w:rsidR="00074C9B" w:rsidRDefault="00074C9B" w:rsidP="00074C9B">
      <w:pPr>
        <w:pStyle w:val="ListParagraph"/>
        <w:spacing w:line="276" w:lineRule="auto"/>
        <w:ind w:left="360"/>
        <w:jc w:val="both"/>
        <w:rPr>
          <w:rFonts w:ascii="Garamond" w:hAnsi="Garamond"/>
          <w:sz w:val="22"/>
          <w:szCs w:val="22"/>
          <w:lang w:val="en-US"/>
        </w:rPr>
      </w:pPr>
    </w:p>
    <w:p w14:paraId="4C37F008" w14:textId="655C7211" w:rsidR="00074C9B" w:rsidRDefault="00074C9B" w:rsidP="00074C9B">
      <w:pPr>
        <w:pStyle w:val="ListParagraph"/>
        <w:spacing w:line="276" w:lineRule="auto"/>
        <w:ind w:left="360"/>
        <w:jc w:val="both"/>
        <w:rPr>
          <w:rFonts w:ascii="Garamond" w:hAnsi="Garamond"/>
          <w:sz w:val="22"/>
          <w:szCs w:val="22"/>
          <w:lang w:val="en-US"/>
        </w:rPr>
      </w:pPr>
      <w:r>
        <w:rPr>
          <w:rFonts w:ascii="Garamond" w:hAnsi="Garamond"/>
          <w:sz w:val="22"/>
          <w:szCs w:val="22"/>
          <w:lang w:val="en-US"/>
        </w:rPr>
        <w:t>Despite receiving reports from other users, Meta initially left all three posts on Facebook prompting reporting users to appeal to the Oversight Board.</w:t>
      </w:r>
    </w:p>
    <w:p w14:paraId="2F93CF66" w14:textId="77777777" w:rsidR="00074C9B" w:rsidRPr="00074C9B" w:rsidRDefault="00074C9B" w:rsidP="00074C9B">
      <w:pPr>
        <w:pStyle w:val="ListParagraph"/>
        <w:spacing w:line="276" w:lineRule="auto"/>
        <w:ind w:left="360"/>
        <w:jc w:val="both"/>
        <w:rPr>
          <w:rFonts w:ascii="Garamond" w:hAnsi="Garamond"/>
          <w:sz w:val="22"/>
          <w:szCs w:val="22"/>
          <w:lang w:val="en-US"/>
        </w:rPr>
      </w:pPr>
    </w:p>
    <w:p w14:paraId="010BA86B" w14:textId="685E3F83" w:rsidR="00BB2804" w:rsidRPr="00936DC8" w:rsidRDefault="00BB2804" w:rsidP="00D30676">
      <w:pPr>
        <w:pStyle w:val="ListParagraph"/>
        <w:spacing w:line="276" w:lineRule="auto"/>
        <w:ind w:left="360"/>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5BD63946" w14:textId="77777777" w:rsidR="003668DD" w:rsidRDefault="003668DD" w:rsidP="0011450B">
      <w:pPr>
        <w:pStyle w:val="ListParagraph"/>
        <w:spacing w:line="276" w:lineRule="auto"/>
        <w:ind w:left="360"/>
        <w:jc w:val="both"/>
        <w:rPr>
          <w:rFonts w:ascii="Garamond" w:hAnsi="Garamond"/>
          <w:sz w:val="22"/>
          <w:szCs w:val="22"/>
          <w:u w:val="single"/>
          <w:lang w:val="en-US"/>
        </w:rPr>
      </w:pPr>
    </w:p>
    <w:p w14:paraId="1D69310A" w14:textId="2A4CD32B" w:rsidR="00074C9B" w:rsidRDefault="00074C9B"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main issue before the Board was whether M</w:t>
      </w:r>
      <w:r w:rsidR="00711BE8">
        <w:rPr>
          <w:rFonts w:ascii="Garamond" w:hAnsi="Garamond"/>
          <w:sz w:val="22"/>
          <w:szCs w:val="22"/>
          <w:lang w:val="en-US"/>
        </w:rPr>
        <w:t>eta’s original decision to leave these three posts up was compatible with Meta’s content policies, values, and human rights obligations.</w:t>
      </w:r>
    </w:p>
    <w:p w14:paraId="26F72616" w14:textId="77777777" w:rsidR="00711BE8" w:rsidRDefault="00711BE8" w:rsidP="0011450B">
      <w:pPr>
        <w:pStyle w:val="ListParagraph"/>
        <w:spacing w:line="276" w:lineRule="auto"/>
        <w:ind w:left="360"/>
        <w:jc w:val="both"/>
        <w:rPr>
          <w:rFonts w:ascii="Garamond" w:hAnsi="Garamond"/>
          <w:sz w:val="22"/>
          <w:szCs w:val="22"/>
          <w:lang w:val="en-US"/>
        </w:rPr>
      </w:pPr>
    </w:p>
    <w:p w14:paraId="3DE26CB7" w14:textId="1A90DE2C" w:rsidR="00711BE8" w:rsidRDefault="00711BE8"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lastRenderedPageBreak/>
        <w:t xml:space="preserve">In their appeals to the Board, the users argued that the content included harmful racial stereotypes of African Americans. On the other hand, Meta removed the posts after being notified by the Board of the appeals. Meta removed all posts for violating the Hate Speech policy which banned attacks against people on basis of race and ethnicity, such attacks include using dehumanizing speech, comparisons to thieves, mocking victims of hate crime, and implying inferiority. </w:t>
      </w:r>
    </w:p>
    <w:p w14:paraId="41261F2F" w14:textId="77777777" w:rsidR="00711BE8" w:rsidRDefault="00711BE8" w:rsidP="0011450B">
      <w:pPr>
        <w:pStyle w:val="ListParagraph"/>
        <w:spacing w:line="276" w:lineRule="auto"/>
        <w:ind w:left="360"/>
        <w:jc w:val="both"/>
        <w:rPr>
          <w:rFonts w:ascii="Garamond" w:hAnsi="Garamond"/>
          <w:sz w:val="22"/>
          <w:szCs w:val="22"/>
          <w:lang w:val="en-US"/>
        </w:rPr>
      </w:pPr>
    </w:p>
    <w:p w14:paraId="5271E969" w14:textId="2CA07B67" w:rsidR="00711BE8" w:rsidRDefault="00711BE8"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Additionally, the second post was removed for violating the Bullying and Harassment policy for its inclusion of the names of Trayvon Martin and George Floyd. The policy prohibited celebration of mocking of death. Furthermore, the company explained that the post trivialized their deaths by implying there were starring in a fictious film. </w:t>
      </w:r>
    </w:p>
    <w:p w14:paraId="717E6816" w14:textId="77777777" w:rsidR="00711BE8" w:rsidRDefault="00711BE8" w:rsidP="0011450B">
      <w:pPr>
        <w:pStyle w:val="ListParagraph"/>
        <w:spacing w:line="276" w:lineRule="auto"/>
        <w:ind w:left="360"/>
        <w:jc w:val="both"/>
        <w:rPr>
          <w:rFonts w:ascii="Garamond" w:hAnsi="Garamond"/>
          <w:sz w:val="22"/>
          <w:szCs w:val="22"/>
          <w:lang w:val="en-US"/>
        </w:rPr>
      </w:pPr>
    </w:p>
    <w:p w14:paraId="5EAF1D9B" w14:textId="1E67B655" w:rsidR="00711BE8" w:rsidRDefault="00711BE8"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noted that these cases highlighted Meta’s failure in enforcing its Hate </w:t>
      </w:r>
      <w:proofErr w:type="gramStart"/>
      <w:r>
        <w:rPr>
          <w:rFonts w:ascii="Garamond" w:hAnsi="Garamond"/>
          <w:sz w:val="22"/>
          <w:szCs w:val="22"/>
          <w:lang w:val="en-US"/>
        </w:rPr>
        <w:t>Speech, and</w:t>
      </w:r>
      <w:proofErr w:type="gramEnd"/>
      <w:r>
        <w:rPr>
          <w:rFonts w:ascii="Garamond" w:hAnsi="Garamond"/>
          <w:sz w:val="22"/>
          <w:szCs w:val="22"/>
          <w:lang w:val="en-US"/>
        </w:rPr>
        <w:t xml:space="preserve"> Bullying and Harassment policies. This was further highlighted by the fact that two of these posts received significantly high views. The Board underlined the negative impact such under-enforcement had over people of protected-characteristic groups and their protection against discrimination on Meta’s platforms. The Board urged Meta to strategically prioritize addressing hate speech against marginalized groups. </w:t>
      </w:r>
    </w:p>
    <w:p w14:paraId="782543CD" w14:textId="77777777" w:rsidR="00711BE8" w:rsidRDefault="00711BE8" w:rsidP="0011450B">
      <w:pPr>
        <w:pStyle w:val="ListParagraph"/>
        <w:spacing w:line="276" w:lineRule="auto"/>
        <w:ind w:left="360"/>
        <w:jc w:val="both"/>
        <w:rPr>
          <w:rFonts w:ascii="Garamond" w:hAnsi="Garamond"/>
          <w:sz w:val="22"/>
          <w:szCs w:val="22"/>
          <w:lang w:val="en-US"/>
        </w:rPr>
      </w:pPr>
    </w:p>
    <w:p w14:paraId="4A146869" w14:textId="2EBCD9C4" w:rsidR="00711BE8" w:rsidRDefault="0096372D"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Moreover,</w:t>
      </w:r>
      <w:r w:rsidR="00711BE8">
        <w:rPr>
          <w:rFonts w:ascii="Garamond" w:hAnsi="Garamond"/>
          <w:sz w:val="22"/>
          <w:szCs w:val="22"/>
          <w:lang w:val="en-US"/>
        </w:rPr>
        <w:t xml:space="preserve"> the Board reiterated its recommendation from the </w:t>
      </w:r>
      <w:r w:rsidR="00711BE8">
        <w:rPr>
          <w:rFonts w:ascii="Garamond" w:hAnsi="Garamond"/>
          <w:i/>
          <w:iCs/>
          <w:sz w:val="22"/>
          <w:szCs w:val="22"/>
          <w:lang w:val="en-US"/>
        </w:rPr>
        <w:t>“</w:t>
      </w:r>
      <w:hyperlink r:id="rId5" w:history="1">
        <w:r w:rsidR="00711BE8" w:rsidRPr="005073BB">
          <w:rPr>
            <w:rStyle w:val="Hyperlink"/>
            <w:rFonts w:ascii="Garamond" w:hAnsi="Garamond"/>
            <w:i/>
            <w:iCs/>
            <w:sz w:val="22"/>
            <w:szCs w:val="22"/>
            <w:lang w:val="en-US"/>
          </w:rPr>
          <w:t>Knin Cartoon</w:t>
        </w:r>
      </w:hyperlink>
      <w:r w:rsidR="00711BE8">
        <w:rPr>
          <w:rFonts w:ascii="Garamond" w:hAnsi="Garamond"/>
          <w:i/>
          <w:iCs/>
          <w:sz w:val="22"/>
          <w:szCs w:val="22"/>
          <w:lang w:val="en-US"/>
        </w:rPr>
        <w:t>”</w:t>
      </w:r>
      <w:r w:rsidR="00711BE8">
        <w:rPr>
          <w:rFonts w:ascii="Garamond" w:hAnsi="Garamond"/>
          <w:sz w:val="22"/>
          <w:szCs w:val="22"/>
          <w:lang w:val="en-US"/>
        </w:rPr>
        <w:t xml:space="preserve"> decision for Meta to clarify its Hate Speech policy and internal guidance to</w:t>
      </w:r>
      <w:r>
        <w:rPr>
          <w:rFonts w:ascii="Garamond" w:hAnsi="Garamond"/>
          <w:sz w:val="22"/>
          <w:szCs w:val="22"/>
          <w:lang w:val="en-US"/>
        </w:rPr>
        <w:t xml:space="preserve"> prohibit implicit discriminatory references and when those references could be reasonably understood. Meta reported partial implementation of this recommendation.</w:t>
      </w:r>
    </w:p>
    <w:p w14:paraId="14F9348B" w14:textId="77777777" w:rsidR="0096372D" w:rsidRDefault="0096372D" w:rsidP="0011450B">
      <w:pPr>
        <w:pStyle w:val="ListParagraph"/>
        <w:spacing w:line="276" w:lineRule="auto"/>
        <w:ind w:left="360"/>
        <w:jc w:val="both"/>
        <w:rPr>
          <w:rFonts w:ascii="Garamond" w:hAnsi="Garamond"/>
          <w:sz w:val="22"/>
          <w:szCs w:val="22"/>
          <w:lang w:val="en-US"/>
        </w:rPr>
      </w:pPr>
    </w:p>
    <w:p w14:paraId="2F2784C0" w14:textId="49AC5CEE" w:rsidR="0096372D" w:rsidRPr="00711BE8" w:rsidRDefault="0096372D"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Oversight Board overturned Meta’s original decisions to leave the three posts and acknowledged Meta’s correction of the initial errors.</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6"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7"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8"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lastRenderedPageBreak/>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F223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3763116">
    <w:abstractNumId w:val="0"/>
  </w:num>
  <w:num w:numId="2" w16cid:durableId="482086978">
    <w:abstractNumId w:val="6"/>
  </w:num>
  <w:num w:numId="3" w16cid:durableId="2057505495">
    <w:abstractNumId w:val="4"/>
  </w:num>
  <w:num w:numId="4" w16cid:durableId="1186796546">
    <w:abstractNumId w:val="2"/>
  </w:num>
  <w:num w:numId="5" w16cid:durableId="1842233760">
    <w:abstractNumId w:val="5"/>
  </w:num>
  <w:num w:numId="6" w16cid:durableId="1400790450">
    <w:abstractNumId w:val="8"/>
  </w:num>
  <w:num w:numId="7" w16cid:durableId="991064428">
    <w:abstractNumId w:val="3"/>
  </w:num>
  <w:num w:numId="8" w16cid:durableId="271253984">
    <w:abstractNumId w:val="1"/>
  </w:num>
  <w:num w:numId="9" w16cid:durableId="1112936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C9B"/>
    <w:rsid w:val="00074D3D"/>
    <w:rsid w:val="00080D1E"/>
    <w:rsid w:val="000964E6"/>
    <w:rsid w:val="000A0596"/>
    <w:rsid w:val="000A50A1"/>
    <w:rsid w:val="000C1EDA"/>
    <w:rsid w:val="000C3530"/>
    <w:rsid w:val="000D31D2"/>
    <w:rsid w:val="000E729A"/>
    <w:rsid w:val="0011450B"/>
    <w:rsid w:val="00132723"/>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A2230"/>
    <w:rsid w:val="002B07E6"/>
    <w:rsid w:val="002E181E"/>
    <w:rsid w:val="002E1E37"/>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3757"/>
    <w:rsid w:val="0043475D"/>
    <w:rsid w:val="0045189F"/>
    <w:rsid w:val="00456B21"/>
    <w:rsid w:val="00457776"/>
    <w:rsid w:val="00463D53"/>
    <w:rsid w:val="00466503"/>
    <w:rsid w:val="00466F1E"/>
    <w:rsid w:val="00492433"/>
    <w:rsid w:val="004A1BDF"/>
    <w:rsid w:val="004A7672"/>
    <w:rsid w:val="004B4C61"/>
    <w:rsid w:val="004C0014"/>
    <w:rsid w:val="004F7BF2"/>
    <w:rsid w:val="00501621"/>
    <w:rsid w:val="0050392C"/>
    <w:rsid w:val="005073BB"/>
    <w:rsid w:val="005115F0"/>
    <w:rsid w:val="005247F0"/>
    <w:rsid w:val="00527B86"/>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11BE8"/>
    <w:rsid w:val="00720AED"/>
    <w:rsid w:val="00752DEE"/>
    <w:rsid w:val="00764F98"/>
    <w:rsid w:val="00765864"/>
    <w:rsid w:val="0076783F"/>
    <w:rsid w:val="00773C17"/>
    <w:rsid w:val="00775F8B"/>
    <w:rsid w:val="007904D4"/>
    <w:rsid w:val="007A2093"/>
    <w:rsid w:val="007A4ACA"/>
    <w:rsid w:val="007A64D7"/>
    <w:rsid w:val="007A6790"/>
    <w:rsid w:val="007B2E1E"/>
    <w:rsid w:val="007B49C1"/>
    <w:rsid w:val="007E1185"/>
    <w:rsid w:val="00802B46"/>
    <w:rsid w:val="00807461"/>
    <w:rsid w:val="0081345B"/>
    <w:rsid w:val="00815BEA"/>
    <w:rsid w:val="00825720"/>
    <w:rsid w:val="00835092"/>
    <w:rsid w:val="00836DCE"/>
    <w:rsid w:val="00841510"/>
    <w:rsid w:val="00856E66"/>
    <w:rsid w:val="00866D3C"/>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372D"/>
    <w:rsid w:val="009672E6"/>
    <w:rsid w:val="00970093"/>
    <w:rsid w:val="009728E2"/>
    <w:rsid w:val="009771B5"/>
    <w:rsid w:val="00980A87"/>
    <w:rsid w:val="009812DC"/>
    <w:rsid w:val="00982334"/>
    <w:rsid w:val="00992D0C"/>
    <w:rsid w:val="0099379F"/>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52508"/>
    <w:rsid w:val="00B621FF"/>
    <w:rsid w:val="00B82CB8"/>
    <w:rsid w:val="00B94368"/>
    <w:rsid w:val="00BA1F3D"/>
    <w:rsid w:val="00BA4C8A"/>
    <w:rsid w:val="00BB2804"/>
    <w:rsid w:val="00BC1EFF"/>
    <w:rsid w:val="00BD6835"/>
    <w:rsid w:val="00BD7FAA"/>
    <w:rsid w:val="00BF0BFC"/>
    <w:rsid w:val="00BF243D"/>
    <w:rsid w:val="00C00B36"/>
    <w:rsid w:val="00C06FBA"/>
    <w:rsid w:val="00C150E4"/>
    <w:rsid w:val="00C21E7B"/>
    <w:rsid w:val="00C32C62"/>
    <w:rsid w:val="00C35AA4"/>
    <w:rsid w:val="00C42519"/>
    <w:rsid w:val="00C50B66"/>
    <w:rsid w:val="00C56A48"/>
    <w:rsid w:val="00C711C1"/>
    <w:rsid w:val="00C8712D"/>
    <w:rsid w:val="00CA06DB"/>
    <w:rsid w:val="00CC1A07"/>
    <w:rsid w:val="00CD2DD6"/>
    <w:rsid w:val="00CF6D58"/>
    <w:rsid w:val="00D00061"/>
    <w:rsid w:val="00D13FDB"/>
    <w:rsid w:val="00D30676"/>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238E"/>
    <w:rsid w:val="00F24C22"/>
    <w:rsid w:val="00F24FD4"/>
    <w:rsid w:val="00F257CA"/>
    <w:rsid w:val="00F304E9"/>
    <w:rsid w:val="00F54349"/>
    <w:rsid w:val="00F67803"/>
    <w:rsid w:val="00F766D8"/>
    <w:rsid w:val="00FA42AF"/>
    <w:rsid w:val="00FB7E0F"/>
    <w:rsid w:val="00FD0540"/>
    <w:rsid w:val="00FD1C8E"/>
    <w:rsid w:val="00FD3F26"/>
    <w:rsid w:val="00FD5DCE"/>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1219">
      <w:bodyDiv w:val="1"/>
      <w:marLeft w:val="0"/>
      <w:marRight w:val="0"/>
      <w:marTop w:val="0"/>
      <w:marBottom w:val="0"/>
      <w:divBdr>
        <w:top w:val="none" w:sz="0" w:space="0" w:color="auto"/>
        <w:left w:val="none" w:sz="0" w:space="0" w:color="auto"/>
        <w:bottom w:val="none" w:sz="0" w:space="0" w:color="auto"/>
        <w:right w:val="none" w:sz="0" w:space="0" w:color="auto"/>
      </w:divBdr>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8883">
      <w:bodyDiv w:val="1"/>
      <w:marLeft w:val="0"/>
      <w:marRight w:val="0"/>
      <w:marTop w:val="0"/>
      <w:marBottom w:val="0"/>
      <w:divBdr>
        <w:top w:val="none" w:sz="0" w:space="0" w:color="auto"/>
        <w:left w:val="none" w:sz="0" w:space="0" w:color="auto"/>
        <w:bottom w:val="none" w:sz="0" w:space="0" w:color="auto"/>
        <w:right w:val="none" w:sz="0" w:space="0" w:color="auto"/>
      </w:divBdr>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3709">
      <w:bodyDiv w:val="1"/>
      <w:marLeft w:val="0"/>
      <w:marRight w:val="0"/>
      <w:marTop w:val="0"/>
      <w:marBottom w:val="0"/>
      <w:divBdr>
        <w:top w:val="none" w:sz="0" w:space="0" w:color="auto"/>
        <w:left w:val="none" w:sz="0" w:space="0" w:color="auto"/>
        <w:bottom w:val="none" w:sz="0" w:space="0" w:color="auto"/>
        <w:right w:val="none" w:sz="0" w:space="0" w:color="auto"/>
      </w:divBdr>
    </w:div>
    <w:div w:id="1362050697">
      <w:bodyDiv w:val="1"/>
      <w:marLeft w:val="0"/>
      <w:marRight w:val="0"/>
      <w:marTop w:val="0"/>
      <w:marBottom w:val="0"/>
      <w:divBdr>
        <w:top w:val="none" w:sz="0" w:space="0" w:color="auto"/>
        <w:left w:val="none" w:sz="0" w:space="0" w:color="auto"/>
        <w:bottom w:val="none" w:sz="0" w:space="0" w:color="auto"/>
        <w:right w:val="none" w:sz="0" w:space="0" w:color="auto"/>
      </w:divBdr>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reso.es/portal/page/portal/Congreso/Congreso/Hist_Normas/Norm/const_espa_texto_ingles_0.pdf" TargetMode="External"/><Relationship Id="rId3" Type="http://schemas.openxmlformats.org/officeDocument/2006/relationships/settings" Target="settings.xml"/><Relationship Id="rId7" Type="http://schemas.openxmlformats.org/officeDocument/2006/relationships/hyperlink" Target="https://www.echr.coe.int/Documents/Convention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globalfreedomofexpression.columbia.edu/cases/oversight-board-case-of-knin-carto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3</cp:revision>
  <dcterms:created xsi:type="dcterms:W3CDTF">2024-04-21T17:17:00Z</dcterms:created>
  <dcterms:modified xsi:type="dcterms:W3CDTF">2024-04-21T17:23:00Z</dcterms:modified>
</cp:coreProperties>
</file>