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both"/>
        <w:rPr>
          <w:b w:val="1"/>
          <w:sz w:val="20"/>
          <w:szCs w:val="20"/>
        </w:rPr>
      </w:pPr>
      <w:r w:rsidDel="00000000" w:rsidR="00000000" w:rsidRPr="00000000">
        <w:rPr>
          <w:b w:val="1"/>
          <w:sz w:val="20"/>
          <w:szCs w:val="20"/>
          <w:rtl w:val="0"/>
        </w:rPr>
        <w:t xml:space="preserve">The Case of Macatė v. Lithuania</w:t>
      </w:r>
    </w:p>
    <w:p w:rsidR="00000000" w:rsidDel="00000000" w:rsidP="00000000" w:rsidRDefault="00000000" w:rsidRPr="00000000" w14:paraId="00000002">
      <w:pPr>
        <w:spacing w:after="240" w:before="240" w:lineRule="auto"/>
        <w:jc w:val="both"/>
        <w:rPr>
          <w:b w:val="1"/>
          <w:sz w:val="20"/>
          <w:szCs w:val="20"/>
        </w:rPr>
      </w:pPr>
      <w:r w:rsidDel="00000000" w:rsidR="00000000" w:rsidRPr="00000000">
        <w:rPr>
          <w:b w:val="1"/>
          <w:sz w:val="20"/>
          <w:szCs w:val="20"/>
          <w:rtl w:val="0"/>
        </w:rPr>
        <w:t xml:space="preserve">Case Analysis</w:t>
      </w:r>
    </w:p>
    <w:p w:rsidR="00000000" w:rsidDel="00000000" w:rsidP="00000000" w:rsidRDefault="00000000" w:rsidRPr="00000000" w14:paraId="00000003">
      <w:pPr>
        <w:spacing w:after="240" w:before="240" w:lineRule="auto"/>
        <w:jc w:val="both"/>
        <w:rPr>
          <w:b w:val="1"/>
          <w:sz w:val="20"/>
          <w:szCs w:val="20"/>
        </w:rPr>
      </w:pPr>
      <w:r w:rsidDel="00000000" w:rsidR="00000000" w:rsidRPr="00000000">
        <w:rPr>
          <w:b w:val="1"/>
          <w:sz w:val="20"/>
          <w:szCs w:val="20"/>
          <w:rtl w:val="0"/>
        </w:rPr>
        <w:t xml:space="preserve">Meta-Data:</w:t>
      </w:r>
    </w:p>
    <w:p w:rsidR="00000000" w:rsidDel="00000000" w:rsidP="00000000" w:rsidRDefault="00000000" w:rsidRPr="00000000" w14:paraId="00000004">
      <w:pPr>
        <w:spacing w:after="240" w:before="240" w:lineRule="auto"/>
        <w:jc w:val="both"/>
        <w:rPr>
          <w:b w:val="1"/>
          <w:sz w:val="20"/>
          <w:szCs w:val="20"/>
          <w:highlight w:val="white"/>
        </w:rPr>
      </w:pPr>
      <w:r w:rsidDel="00000000" w:rsidR="00000000" w:rsidRPr="00000000">
        <w:rPr>
          <w:b w:val="1"/>
          <w:sz w:val="20"/>
          <w:szCs w:val="20"/>
          <w:rtl w:val="0"/>
        </w:rPr>
        <w:t xml:space="preserve">-Case number: </w:t>
      </w:r>
      <w:r w:rsidDel="00000000" w:rsidR="00000000" w:rsidRPr="00000000">
        <w:rPr>
          <w:b w:val="1"/>
          <w:sz w:val="20"/>
          <w:szCs w:val="20"/>
          <w:highlight w:val="white"/>
          <w:rtl w:val="0"/>
        </w:rPr>
        <w:t xml:space="preserve">61435/19</w:t>
      </w:r>
    </w:p>
    <w:p w:rsidR="00000000" w:rsidDel="00000000" w:rsidP="00000000" w:rsidRDefault="00000000" w:rsidRPr="00000000" w14:paraId="00000005">
      <w:pPr>
        <w:spacing w:after="240" w:before="240" w:lineRule="auto"/>
        <w:jc w:val="both"/>
        <w:rPr>
          <w:b w:val="1"/>
          <w:sz w:val="20"/>
          <w:szCs w:val="20"/>
          <w:highlight w:val="white"/>
        </w:rPr>
      </w:pPr>
      <w:r w:rsidDel="00000000" w:rsidR="00000000" w:rsidRPr="00000000">
        <w:rPr>
          <w:b w:val="1"/>
          <w:sz w:val="20"/>
          <w:szCs w:val="20"/>
          <w:highlight w:val="white"/>
          <w:rtl w:val="0"/>
        </w:rPr>
        <w:t xml:space="preserve">-Date of Decision: January 23, 2023</w:t>
      </w:r>
    </w:p>
    <w:p w:rsidR="00000000" w:rsidDel="00000000" w:rsidP="00000000" w:rsidRDefault="00000000" w:rsidRPr="00000000" w14:paraId="00000006">
      <w:pPr>
        <w:spacing w:after="240" w:before="240" w:lineRule="auto"/>
        <w:jc w:val="both"/>
        <w:rPr>
          <w:b w:val="1"/>
          <w:sz w:val="20"/>
          <w:szCs w:val="20"/>
          <w:highlight w:val="white"/>
        </w:rPr>
      </w:pPr>
      <w:r w:rsidDel="00000000" w:rsidR="00000000" w:rsidRPr="00000000">
        <w:rPr>
          <w:b w:val="1"/>
          <w:sz w:val="20"/>
          <w:szCs w:val="20"/>
          <w:highlight w:val="white"/>
          <w:rtl w:val="0"/>
        </w:rPr>
        <w:t xml:space="preserve">-Region: Europe and Central Asia</w:t>
      </w:r>
    </w:p>
    <w:p w:rsidR="00000000" w:rsidDel="00000000" w:rsidP="00000000" w:rsidRDefault="00000000" w:rsidRPr="00000000" w14:paraId="00000007">
      <w:pPr>
        <w:spacing w:after="240" w:before="240" w:lineRule="auto"/>
        <w:jc w:val="both"/>
        <w:rPr>
          <w:b w:val="1"/>
          <w:sz w:val="20"/>
          <w:szCs w:val="20"/>
          <w:highlight w:val="white"/>
        </w:rPr>
      </w:pPr>
      <w:r w:rsidDel="00000000" w:rsidR="00000000" w:rsidRPr="00000000">
        <w:rPr>
          <w:b w:val="1"/>
          <w:sz w:val="20"/>
          <w:szCs w:val="20"/>
          <w:highlight w:val="white"/>
          <w:rtl w:val="0"/>
        </w:rPr>
        <w:t xml:space="preserve">-Country: Lithuania</w:t>
      </w:r>
    </w:p>
    <w:p w:rsidR="00000000" w:rsidDel="00000000" w:rsidP="00000000" w:rsidRDefault="00000000" w:rsidRPr="00000000" w14:paraId="00000008">
      <w:pPr>
        <w:spacing w:after="240" w:before="240" w:lineRule="auto"/>
        <w:jc w:val="both"/>
        <w:rPr>
          <w:b w:val="1"/>
          <w:sz w:val="20"/>
          <w:szCs w:val="20"/>
          <w:highlight w:val="white"/>
        </w:rPr>
      </w:pPr>
      <w:r w:rsidDel="00000000" w:rsidR="00000000" w:rsidRPr="00000000">
        <w:rPr>
          <w:b w:val="1"/>
          <w:sz w:val="20"/>
          <w:szCs w:val="20"/>
          <w:highlight w:val="white"/>
          <w:rtl w:val="0"/>
        </w:rPr>
        <w:t xml:space="preserve">-Type of expression: Books/Plays</w:t>
      </w:r>
    </w:p>
    <w:p w:rsidR="00000000" w:rsidDel="00000000" w:rsidP="00000000" w:rsidRDefault="00000000" w:rsidRPr="00000000" w14:paraId="00000009">
      <w:pPr>
        <w:spacing w:after="240" w:before="240" w:lineRule="auto"/>
        <w:jc w:val="both"/>
        <w:rPr>
          <w:b w:val="1"/>
          <w:sz w:val="20"/>
          <w:szCs w:val="20"/>
          <w:highlight w:val="white"/>
        </w:rPr>
      </w:pPr>
      <w:r w:rsidDel="00000000" w:rsidR="00000000" w:rsidRPr="00000000">
        <w:rPr>
          <w:b w:val="1"/>
          <w:sz w:val="20"/>
          <w:szCs w:val="20"/>
          <w:highlight w:val="white"/>
          <w:rtl w:val="0"/>
        </w:rPr>
        <w:t xml:space="preserve">-Judicial Body: European Court of Human Rights</w:t>
      </w:r>
    </w:p>
    <w:p w:rsidR="00000000" w:rsidDel="00000000" w:rsidP="00000000" w:rsidRDefault="00000000" w:rsidRPr="00000000" w14:paraId="0000000A">
      <w:pPr>
        <w:spacing w:after="240" w:before="240" w:lineRule="auto"/>
        <w:jc w:val="both"/>
        <w:rPr>
          <w:b w:val="1"/>
          <w:sz w:val="20"/>
          <w:szCs w:val="20"/>
          <w:highlight w:val="white"/>
        </w:rPr>
      </w:pPr>
      <w:r w:rsidDel="00000000" w:rsidR="00000000" w:rsidRPr="00000000">
        <w:rPr>
          <w:b w:val="1"/>
          <w:sz w:val="20"/>
          <w:szCs w:val="20"/>
          <w:highlight w:val="white"/>
          <w:rtl w:val="0"/>
        </w:rPr>
        <w:t xml:space="preserve">-Type of Law: International/Regional Human Rights Law</w:t>
      </w:r>
    </w:p>
    <w:p w:rsidR="00000000" w:rsidDel="00000000" w:rsidP="00000000" w:rsidRDefault="00000000" w:rsidRPr="00000000" w14:paraId="0000000B">
      <w:pPr>
        <w:spacing w:after="240" w:before="240" w:lineRule="auto"/>
        <w:jc w:val="both"/>
        <w:rPr>
          <w:b w:val="1"/>
          <w:sz w:val="20"/>
          <w:szCs w:val="20"/>
          <w:highlight w:val="white"/>
        </w:rPr>
      </w:pPr>
      <w:r w:rsidDel="00000000" w:rsidR="00000000" w:rsidRPr="00000000">
        <w:rPr>
          <w:b w:val="1"/>
          <w:sz w:val="20"/>
          <w:szCs w:val="20"/>
          <w:highlight w:val="white"/>
          <w:rtl w:val="0"/>
        </w:rPr>
        <w:t xml:space="preserve">-Main Themes:</w:t>
      </w:r>
    </w:p>
    <w:p w:rsidR="00000000" w:rsidDel="00000000" w:rsidP="00000000" w:rsidRDefault="00000000" w:rsidRPr="00000000" w14:paraId="0000000C">
      <w:pPr>
        <w:spacing w:after="240" w:before="240" w:lineRule="auto"/>
        <w:jc w:val="both"/>
        <w:rPr>
          <w:b w:val="1"/>
          <w:sz w:val="20"/>
          <w:szCs w:val="20"/>
          <w:highlight w:val="white"/>
        </w:rPr>
      </w:pPr>
      <w:r w:rsidDel="00000000" w:rsidR="00000000" w:rsidRPr="00000000">
        <w:rPr>
          <w:b w:val="1"/>
          <w:sz w:val="20"/>
          <w:szCs w:val="20"/>
          <w:highlight w:val="white"/>
          <w:rtl w:val="0"/>
        </w:rPr>
        <w:t xml:space="preserve">-Outcome: Article 10 Violation</w:t>
      </w:r>
    </w:p>
    <w:p w:rsidR="00000000" w:rsidDel="00000000" w:rsidP="00000000" w:rsidRDefault="00000000" w:rsidRPr="00000000" w14:paraId="0000000D">
      <w:pPr>
        <w:spacing w:after="240" w:before="240" w:lineRule="auto"/>
        <w:jc w:val="both"/>
        <w:rPr>
          <w:b w:val="1"/>
          <w:sz w:val="20"/>
          <w:szCs w:val="20"/>
          <w:highlight w:val="white"/>
        </w:rPr>
      </w:pPr>
      <w:r w:rsidDel="00000000" w:rsidR="00000000" w:rsidRPr="00000000">
        <w:rPr>
          <w:b w:val="1"/>
          <w:sz w:val="20"/>
          <w:szCs w:val="20"/>
          <w:highlight w:val="white"/>
          <w:rtl w:val="0"/>
        </w:rPr>
        <w:t xml:space="preserve">-Status: Closed</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Rule="auto"/>
        <w:jc w:val="both"/>
        <w:rPr>
          <w:b w:val="1"/>
          <w:sz w:val="20"/>
          <w:szCs w:val="20"/>
          <w:highlight w:val="white"/>
        </w:rPr>
      </w:pPr>
      <w:r w:rsidDel="00000000" w:rsidR="00000000" w:rsidRPr="00000000">
        <w:rPr>
          <w:b w:val="1"/>
          <w:sz w:val="20"/>
          <w:szCs w:val="20"/>
          <w:highlight w:val="white"/>
          <w:rtl w:val="0"/>
        </w:rPr>
        <w:t xml:space="preserve">-Tags:</w:t>
      </w:r>
    </w:p>
    <w:p w:rsidR="00000000" w:rsidDel="00000000" w:rsidP="00000000" w:rsidRDefault="00000000" w:rsidRPr="00000000" w14:paraId="0000000F">
      <w:pPr>
        <w:spacing w:after="240" w:before="240" w:lineRule="auto"/>
        <w:jc w:val="both"/>
        <w:rPr>
          <w:b w:val="1"/>
          <w:sz w:val="20"/>
          <w:szCs w:val="20"/>
          <w:highlight w:val="white"/>
        </w:rPr>
      </w:pPr>
      <w:r w:rsidDel="00000000" w:rsidR="00000000" w:rsidRPr="00000000">
        <w:rPr>
          <w:b w:val="1"/>
          <w:sz w:val="20"/>
          <w:szCs w:val="20"/>
          <w:highlight w:val="white"/>
          <w:rtl w:val="0"/>
        </w:rPr>
        <w:t xml:space="preserve">Analysis:</w:t>
      </w:r>
    </w:p>
    <w:p w:rsidR="00000000" w:rsidDel="00000000" w:rsidP="00000000" w:rsidRDefault="00000000" w:rsidRPr="00000000" w14:paraId="00000010">
      <w:pPr>
        <w:spacing w:after="240" w:before="240" w:lineRule="auto"/>
        <w:jc w:val="both"/>
        <w:rPr>
          <w:b w:val="1"/>
          <w:sz w:val="20"/>
          <w:szCs w:val="20"/>
          <w:highlight w:val="white"/>
        </w:rPr>
      </w:pPr>
      <w:r w:rsidDel="00000000" w:rsidR="00000000" w:rsidRPr="00000000">
        <w:rPr>
          <w:b w:val="1"/>
          <w:sz w:val="20"/>
          <w:szCs w:val="20"/>
          <w:highlight w:val="white"/>
          <w:rtl w:val="0"/>
        </w:rPr>
        <w:t xml:space="preserve">Summary and Outcome:</w:t>
      </w:r>
    </w:p>
    <w:p w:rsidR="00000000" w:rsidDel="00000000" w:rsidP="00000000" w:rsidRDefault="00000000" w:rsidRPr="00000000" w14:paraId="00000011">
      <w:pPr>
        <w:spacing w:before="240" w:lineRule="auto"/>
        <w:jc w:val="both"/>
        <w:rPr>
          <w:sz w:val="20"/>
          <w:szCs w:val="20"/>
        </w:rPr>
      </w:pPr>
      <w:r w:rsidDel="00000000" w:rsidR="00000000" w:rsidRPr="00000000">
        <w:rPr>
          <w:sz w:val="20"/>
          <w:szCs w:val="20"/>
          <w:rtl w:val="0"/>
        </w:rPr>
        <w:t xml:space="preserve">The Grand Chamber of the European Court of Human Rights (ECHR) found that the temporary suspension of the distribution of a children’s book containing fairytales about same sex marriage and labeling the book with a warning label stating it might be harmful to children under the age of 14 was a violation to freedom of expression under Article 10 of the European Convention on Human Rights (ECHR).The applicant, Macate, an openly lesbian professional writer and children literature specialist published a collection of ten original fairy tales for primary school-age children, which included two stories depicting marriage between persons of the same sex in an effort of teaching children tolerance to those who looked or lived differently</w:t>
      </w:r>
      <w:r w:rsidDel="00000000" w:rsidR="00000000" w:rsidRPr="00000000">
        <w:rPr>
          <w:sz w:val="16"/>
          <w:szCs w:val="16"/>
          <w:rtl w:val="0"/>
        </w:rPr>
        <w:t xml:space="preserve"> </w:t>
      </w:r>
      <w:r w:rsidDel="00000000" w:rsidR="00000000" w:rsidRPr="00000000">
        <w:rPr>
          <w:sz w:val="20"/>
          <w:szCs w:val="20"/>
          <w:rtl w:val="0"/>
        </w:rPr>
        <w:t xml:space="preserve">.  </w:t>
      </w:r>
    </w:p>
    <w:p w:rsidR="00000000" w:rsidDel="00000000" w:rsidP="00000000" w:rsidRDefault="00000000" w:rsidRPr="00000000" w14:paraId="00000012">
      <w:pPr>
        <w:spacing w:after="240" w:before="240" w:lineRule="auto"/>
        <w:jc w:val="both"/>
        <w:rPr>
          <w:b w:val="1"/>
          <w:sz w:val="20"/>
          <w:szCs w:val="20"/>
        </w:rPr>
      </w:pPr>
      <w:r w:rsidDel="00000000" w:rsidR="00000000" w:rsidRPr="00000000">
        <w:rPr>
          <w:b w:val="1"/>
          <w:sz w:val="20"/>
          <w:szCs w:val="20"/>
          <w:rtl w:val="0"/>
        </w:rPr>
        <w:t xml:space="preserve">-Facts:</w:t>
      </w:r>
    </w:p>
    <w:p w:rsidR="00000000" w:rsidDel="00000000" w:rsidP="00000000" w:rsidRDefault="00000000" w:rsidRPr="00000000" w14:paraId="00000013">
      <w:pPr>
        <w:spacing w:after="240" w:before="240" w:lineRule="auto"/>
        <w:jc w:val="both"/>
        <w:rPr>
          <w:sz w:val="20"/>
          <w:szCs w:val="20"/>
        </w:rPr>
      </w:pPr>
      <w:r w:rsidDel="00000000" w:rsidR="00000000" w:rsidRPr="00000000">
        <w:rPr>
          <w:sz w:val="20"/>
          <w:szCs w:val="20"/>
          <w:rtl w:val="0"/>
        </w:rPr>
        <w:t xml:space="preserve">In December 2012,The publishing house of the Lithuanian University of Educational Sciences (hereinafter “the University”) which is a public university, applied for a funding  request to the Ministry of Culture for the publication of a book whose author is Neringa Macatė</w:t>
      </w:r>
      <w:r w:rsidDel="00000000" w:rsidR="00000000" w:rsidRPr="00000000">
        <w:rPr>
          <w:b w:val="1"/>
          <w:sz w:val="20"/>
          <w:szCs w:val="20"/>
          <w:rtl w:val="0"/>
        </w:rPr>
        <w:t xml:space="preserve">, </w:t>
      </w:r>
      <w:r w:rsidDel="00000000" w:rsidR="00000000" w:rsidRPr="00000000">
        <w:rPr>
          <w:sz w:val="20"/>
          <w:szCs w:val="20"/>
          <w:rtl w:val="0"/>
        </w:rPr>
        <w:t xml:space="preserve">an openly homosexual author. Part of the funding request process requires reviewing the book to decide if the book is suitable for publication and if the funding request will be accepted. The book contained six fairy tales, two of these fairy tales contained marriage for two people of the same sex. The book targeted 9-10 years old children and mainly the aim of the book was to teach children to accept differences in the appearance and life style of others as the book contained characters from different ethnic groups or with intellectual disabilities, and addressed issues such as stigmatization, bullying, divorced families and emigration.</w:t>
      </w:r>
    </w:p>
    <w:p w:rsidR="00000000" w:rsidDel="00000000" w:rsidP="00000000" w:rsidRDefault="00000000" w:rsidRPr="00000000" w14:paraId="00000014">
      <w:pPr>
        <w:spacing w:after="240" w:before="240" w:lineRule="auto"/>
        <w:jc w:val="both"/>
        <w:rPr>
          <w:sz w:val="20"/>
          <w:szCs w:val="20"/>
        </w:rPr>
      </w:pPr>
      <w:r w:rsidDel="00000000" w:rsidR="00000000" w:rsidRPr="00000000">
        <w:rPr>
          <w:sz w:val="20"/>
          <w:szCs w:val="20"/>
          <w:rtl w:val="0"/>
        </w:rPr>
        <w:t xml:space="preserve">Four of the six fairy tales contained love relationships between men and women and the other two epicted love relationships between two of the same sex, one of the stories was a tailor who married the son of a king and the other tale was for a shoemaker’s daughter who married a princess. The book was reviewed by an educator and by a children’s author; the reviewers considered them to be suitable for primary school-age children and stated that not all books address the same case which was important for kids to teach them the acceptance of others, no matter what their differences are and also teach them tolerance towards stigmatized social groups which are not often addresses by authors who write children’s books.</w:t>
      </w:r>
    </w:p>
    <w:p w:rsidR="00000000" w:rsidDel="00000000" w:rsidP="00000000" w:rsidRDefault="00000000" w:rsidRPr="00000000" w14:paraId="00000015">
      <w:pPr>
        <w:spacing w:after="240" w:before="240" w:lineRule="auto"/>
        <w:jc w:val="both"/>
        <w:rPr>
          <w:sz w:val="20"/>
          <w:szCs w:val="20"/>
        </w:rPr>
      </w:pPr>
      <w:r w:rsidDel="00000000" w:rsidR="00000000" w:rsidRPr="00000000">
        <w:rPr>
          <w:sz w:val="20"/>
          <w:szCs w:val="20"/>
          <w:rtl w:val="0"/>
        </w:rPr>
        <w:t xml:space="preserve">In May 2013 the University signed a contract with the Ministry of Culture, whereby the Ministry agreed to provide partial funding for the publication. The University undertook to publish the book and to distribute 140 copies to public libraries across the country. On March 1st, 2014, one of the biggest national newspapers, (Lietuvosrytas), published an article entitled “Fairy tales about non-traditional love – in children’s backpacks”. It contained a description of the two-fairy tales from the book which dealt with same-sex relationships and an interview with the applicant which focused on those two-fairy tales. The applicant spoke about her experience of working with children who had been victims of bullying and about her wish to foster respect for all people and all families, the article also included comments from two members of the Lithuanian Parents’ Forum, an association, who expressed strong criticism of the fact that stories about same-sex relationships were being presented to children.</w:t>
      </w:r>
    </w:p>
    <w:p w:rsidR="00000000" w:rsidDel="00000000" w:rsidP="00000000" w:rsidRDefault="00000000" w:rsidRPr="00000000" w14:paraId="00000016">
      <w:pPr>
        <w:spacing w:after="240" w:before="240" w:lineRule="auto"/>
        <w:jc w:val="both"/>
        <w:rPr>
          <w:sz w:val="20"/>
          <w:szCs w:val="20"/>
        </w:rPr>
      </w:pPr>
      <w:r w:rsidDel="00000000" w:rsidR="00000000" w:rsidRPr="00000000">
        <w:rPr>
          <w:sz w:val="20"/>
          <w:szCs w:val="20"/>
          <w:rtl w:val="0"/>
        </w:rPr>
        <w:t xml:space="preserve">On March 3rd 2014, the Registry of the Government received an email from an individual alleging that the book was “encouraging perversions”, and forwarded it to the Ministry of Culture.After that, the Ministry requested the Inspectorate of Journalist Ethics to assess whether the book might be harmful to children.</w:t>
      </w:r>
    </w:p>
    <w:p w:rsidR="00000000" w:rsidDel="00000000" w:rsidP="00000000" w:rsidRDefault="00000000" w:rsidRPr="00000000" w14:paraId="00000017">
      <w:pPr>
        <w:spacing w:after="240" w:before="240" w:lineRule="auto"/>
        <w:jc w:val="both"/>
        <w:rPr>
          <w:sz w:val="20"/>
          <w:szCs w:val="20"/>
        </w:rPr>
      </w:pPr>
      <w:r w:rsidDel="00000000" w:rsidR="00000000" w:rsidRPr="00000000">
        <w:rPr>
          <w:sz w:val="20"/>
          <w:szCs w:val="20"/>
          <w:rtl w:val="0"/>
        </w:rPr>
        <w:t xml:space="preserve">On March 20th 2014, eight members of the Lithuanian Parliament sent a letter to the rector of the University in which they referred to the article published in (Lietuvosrytas), the letter expressed the concerns of theLithuanian Parents’ Forum and other organizations representing families, concerned that Amber Heart portrays same-sex marriage as a positive phenomenon. On March 27th 2014, the rector ordered the suspension of the remaining copies of the book which had not yet been distributed to shops and local libraries, as well as all the unsold copies in shops.</w:t>
      </w:r>
    </w:p>
    <w:p w:rsidR="00000000" w:rsidDel="00000000" w:rsidP="00000000" w:rsidRDefault="00000000" w:rsidRPr="00000000" w14:paraId="00000018">
      <w:pPr>
        <w:spacing w:after="240" w:before="240" w:lineRule="auto"/>
        <w:jc w:val="both"/>
        <w:rPr>
          <w:sz w:val="20"/>
          <w:szCs w:val="20"/>
        </w:rPr>
      </w:pPr>
      <w:r w:rsidDel="00000000" w:rsidR="00000000" w:rsidRPr="00000000">
        <w:rPr>
          <w:sz w:val="20"/>
          <w:szCs w:val="20"/>
          <w:rtl w:val="0"/>
        </w:rPr>
        <w:t xml:space="preserve">On April 8th 2014, the inspectorate, which was assigned by the ministry of culture on the 3rd of March 2014, presented its conclusion on the book, advising it contains information which might be harmful to minors which violates Article (16) of the Minors Protections Act. In the conclusion, it was mentioned that the fairy-tales in the book (Amber Heart) were found to motivate children to take specific actions or to acquire or change their habits, attitudes, preferences or behavior and portraying same-sex marriage as a normal thing is manipulative, harmful to a child’s fragile and has a negative effect on children who are under the age of 14.</w:t>
      </w:r>
    </w:p>
    <w:p w:rsidR="00000000" w:rsidDel="00000000" w:rsidP="00000000" w:rsidRDefault="00000000" w:rsidRPr="00000000" w14:paraId="00000019">
      <w:pPr>
        <w:spacing w:after="240" w:before="240" w:lineRule="auto"/>
        <w:jc w:val="both"/>
        <w:rPr>
          <w:sz w:val="20"/>
          <w:szCs w:val="20"/>
        </w:rPr>
      </w:pPr>
      <w:r w:rsidDel="00000000" w:rsidR="00000000" w:rsidRPr="00000000">
        <w:rPr>
          <w:sz w:val="20"/>
          <w:szCs w:val="20"/>
          <w:rtl w:val="0"/>
        </w:rPr>
        <w:t xml:space="preserve">The above-mentioned conclusion by the inspectorate was forwarded to the University by the Ministry of Culture, requesting them to take the measures recommended by the Inspectorate.</w:t>
      </w:r>
    </w:p>
    <w:p w:rsidR="00000000" w:rsidDel="00000000" w:rsidP="00000000" w:rsidRDefault="00000000" w:rsidRPr="00000000" w14:paraId="0000001A">
      <w:pPr>
        <w:spacing w:after="240" w:before="240" w:lineRule="auto"/>
        <w:jc w:val="both"/>
        <w:rPr>
          <w:sz w:val="20"/>
          <w:szCs w:val="20"/>
        </w:rPr>
      </w:pPr>
      <w:r w:rsidDel="00000000" w:rsidR="00000000" w:rsidRPr="00000000">
        <w:rPr>
          <w:sz w:val="20"/>
          <w:szCs w:val="20"/>
          <w:rtl w:val="0"/>
        </w:rPr>
        <w:t xml:space="preserve">In May 2014, the eight members of the parliament who had previously sent the letter to the rector expressing their concerns, were informed by the rectorthat the impugned fairy tales in the book (Amber heart) do not comply with the University’s policy regarding the education of children.That same month, there was an article published on the website of the Lithuanian Human Rights Centre, a non-governmental organization where the applicant stated that in addition to the two same-sex relationships, the book also depicted eight loving relationships between People of different sex, so, the claims that the book sought to promote one particular family model were not correct. The article also quoted the representative of the University who described the two impugned fairy tales as harmful and amounting to “primitive and biased propaganda of homosexuality” stating that he regrets publishing the book.</w:t>
      </w:r>
    </w:p>
    <w:p w:rsidR="00000000" w:rsidDel="00000000" w:rsidP="00000000" w:rsidRDefault="00000000" w:rsidRPr="00000000" w14:paraId="0000001B">
      <w:pPr>
        <w:spacing w:after="240" w:before="240" w:lineRule="auto"/>
        <w:jc w:val="both"/>
        <w:rPr>
          <w:sz w:val="20"/>
          <w:szCs w:val="20"/>
        </w:rPr>
      </w:pPr>
      <w:r w:rsidDel="00000000" w:rsidR="00000000" w:rsidRPr="00000000">
        <w:rPr>
          <w:sz w:val="20"/>
          <w:szCs w:val="20"/>
          <w:rtl w:val="0"/>
        </w:rPr>
        <w:t xml:space="preserve">In July 2014 the applicant lodged a complaint with the administrative courts, asking them to set aside the Inspectorate’s conclusions of 8 April 2014 and the instruction given by the Ministry of Culture to the University to implement the Inspectorate’s recommendations, the Vilnius Regional Administrative Court refused to accept the complaint for examination.</w:t>
      </w:r>
    </w:p>
    <w:p w:rsidR="00000000" w:rsidDel="00000000" w:rsidP="00000000" w:rsidRDefault="00000000" w:rsidRPr="00000000" w14:paraId="0000001C">
      <w:pPr>
        <w:spacing w:after="240" w:before="240" w:lineRule="auto"/>
        <w:jc w:val="both"/>
        <w:rPr>
          <w:sz w:val="20"/>
          <w:szCs w:val="20"/>
        </w:rPr>
      </w:pPr>
      <w:r w:rsidDel="00000000" w:rsidR="00000000" w:rsidRPr="00000000">
        <w:rPr>
          <w:sz w:val="20"/>
          <w:szCs w:val="20"/>
          <w:rtl w:val="0"/>
        </w:rPr>
        <w:t xml:space="preserve"> In October 2014 the University contacted the sixty-six public libraries to which copies of the book had been delivered and asked them to mark each copy with a warning label stating that it contained information which could be harmful to children under the age of 14. Meanwhile, book remained available at the biggest library of Lithuania, the Martynas Mažvydas National Library, without any age-based restrictions and was listed as it targets five to ten-year-old children.</w:t>
      </w:r>
    </w:p>
    <w:p w:rsidR="00000000" w:rsidDel="00000000" w:rsidP="00000000" w:rsidRDefault="00000000" w:rsidRPr="00000000" w14:paraId="0000001D">
      <w:pPr>
        <w:spacing w:after="240" w:before="240" w:lineRule="auto"/>
        <w:jc w:val="both"/>
        <w:rPr>
          <w:sz w:val="20"/>
          <w:szCs w:val="20"/>
        </w:rPr>
      </w:pPr>
      <w:r w:rsidDel="00000000" w:rsidR="00000000" w:rsidRPr="00000000">
        <w:rPr>
          <w:sz w:val="20"/>
          <w:szCs w:val="20"/>
          <w:rtl w:val="0"/>
        </w:rPr>
        <w:t xml:space="preserve">From May to November 2014 the book was available free of charge on the website of the Lithuanian Human Rights Centre.</w:t>
      </w:r>
    </w:p>
    <w:p w:rsidR="00000000" w:rsidDel="00000000" w:rsidP="00000000" w:rsidRDefault="00000000" w:rsidRPr="00000000" w14:paraId="0000001E">
      <w:pPr>
        <w:spacing w:after="240" w:before="240" w:lineRule="auto"/>
        <w:jc w:val="both"/>
        <w:rPr>
          <w:sz w:val="20"/>
          <w:szCs w:val="20"/>
        </w:rPr>
      </w:pPr>
      <w:r w:rsidDel="00000000" w:rsidR="00000000" w:rsidRPr="00000000">
        <w:rPr>
          <w:sz w:val="20"/>
          <w:szCs w:val="20"/>
          <w:rtl w:val="0"/>
        </w:rPr>
        <w:t xml:space="preserve">In December 2014, a second edition of the book was published with a rainbow flag sticker and no warning labels; no measures were taken against the second edition.</w:t>
      </w:r>
    </w:p>
    <w:p w:rsidR="00000000" w:rsidDel="00000000" w:rsidP="00000000" w:rsidRDefault="00000000" w:rsidRPr="00000000" w14:paraId="0000001F">
      <w:pPr>
        <w:spacing w:after="240" w:before="240" w:lineRule="auto"/>
        <w:jc w:val="both"/>
        <w:rPr>
          <w:sz w:val="20"/>
          <w:szCs w:val="20"/>
        </w:rPr>
      </w:pPr>
      <w:r w:rsidDel="00000000" w:rsidR="00000000" w:rsidRPr="00000000">
        <w:rPr>
          <w:sz w:val="20"/>
          <w:szCs w:val="20"/>
          <w:rtl w:val="0"/>
        </w:rPr>
        <w:t xml:space="preserve">On 25 March 2015 the rector of the University ordered the publishing house to resume the distribution of the book, with a warning label that the book is harmful for children under the age of 14.</w:t>
      </w:r>
    </w:p>
    <w:p w:rsidR="00000000" w:rsidDel="00000000" w:rsidP="00000000" w:rsidRDefault="00000000" w:rsidRPr="00000000" w14:paraId="00000020">
      <w:pPr>
        <w:spacing w:after="240" w:before="240" w:lineRule="auto"/>
        <w:jc w:val="both"/>
        <w:rPr>
          <w:sz w:val="20"/>
          <w:szCs w:val="20"/>
        </w:rPr>
      </w:pPr>
      <w:r w:rsidDel="00000000" w:rsidR="00000000" w:rsidRPr="00000000">
        <w:rPr>
          <w:sz w:val="20"/>
          <w:szCs w:val="20"/>
          <w:rtl w:val="0"/>
        </w:rPr>
        <w:t xml:space="preserve"> At the material time, the relevant legislation provided that failure to comply with the requirements for labelling or distributing published material which was harmful to minors was punishable by a warning or a fine.</w:t>
      </w:r>
    </w:p>
    <w:p w:rsidR="00000000" w:rsidDel="00000000" w:rsidP="00000000" w:rsidRDefault="00000000" w:rsidRPr="00000000" w14:paraId="00000021">
      <w:pPr>
        <w:spacing w:after="240" w:before="240" w:lineRule="auto"/>
        <w:jc w:val="both"/>
        <w:rPr>
          <w:sz w:val="20"/>
          <w:szCs w:val="20"/>
          <w:highlight w:val="white"/>
        </w:rPr>
      </w:pPr>
      <w:r w:rsidDel="00000000" w:rsidR="00000000" w:rsidRPr="00000000">
        <w:rPr>
          <w:sz w:val="20"/>
          <w:szCs w:val="20"/>
          <w:highlight w:val="white"/>
          <w:rtl w:val="0"/>
        </w:rPr>
        <w:t xml:space="preserve">In October 2014 the applicant lodged a civil claim against the University in which she complained about the decision to suspend the distribution of the book. The University explained that their decision to suspend the publication of the book wasn’t based on discrimination but it was based on the inspectorate review of the book and the book violating the Minors Protection Act, the applicant’s claim was later dismissed by the Vilnius District Court on April 16th, 2015, this decision was supported by the Vilnius Regional Court on March 2</w:t>
      </w:r>
      <w:r w:rsidDel="00000000" w:rsidR="00000000" w:rsidRPr="00000000">
        <w:rPr>
          <w:sz w:val="20"/>
          <w:szCs w:val="20"/>
          <w:highlight w:val="white"/>
          <w:vertAlign w:val="superscript"/>
          <w:rtl w:val="0"/>
        </w:rPr>
        <w:t xml:space="preserve">nd</w:t>
      </w:r>
      <w:r w:rsidDel="00000000" w:rsidR="00000000" w:rsidRPr="00000000">
        <w:rPr>
          <w:sz w:val="20"/>
          <w:szCs w:val="20"/>
          <w:highlight w:val="white"/>
          <w:rtl w:val="0"/>
        </w:rPr>
        <w:t xml:space="preserve"> 2016. These decisions were revoked by the Supreme Court on December 6</w:t>
      </w:r>
      <w:r w:rsidDel="00000000" w:rsidR="00000000" w:rsidRPr="00000000">
        <w:rPr>
          <w:sz w:val="20"/>
          <w:szCs w:val="20"/>
          <w:highlight w:val="white"/>
          <w:vertAlign w:val="superscript"/>
          <w:rtl w:val="0"/>
        </w:rPr>
        <w:t xml:space="preserve">th</w:t>
      </w:r>
      <w:r w:rsidDel="00000000" w:rsidR="00000000" w:rsidRPr="00000000">
        <w:rPr>
          <w:sz w:val="20"/>
          <w:szCs w:val="20"/>
          <w:highlight w:val="white"/>
          <w:rtl w:val="0"/>
        </w:rPr>
        <w:t xml:space="preserve"> 2016.</w:t>
      </w:r>
    </w:p>
    <w:p w:rsidR="00000000" w:rsidDel="00000000" w:rsidP="00000000" w:rsidRDefault="00000000" w:rsidRPr="00000000" w14:paraId="00000022">
      <w:pPr>
        <w:spacing w:after="240" w:before="240" w:lineRule="auto"/>
        <w:jc w:val="both"/>
        <w:rPr>
          <w:b w:val="1"/>
          <w:sz w:val="20"/>
          <w:szCs w:val="20"/>
        </w:rPr>
      </w:pPr>
      <w:r w:rsidDel="00000000" w:rsidR="00000000" w:rsidRPr="00000000">
        <w:rPr>
          <w:b w:val="1"/>
          <w:sz w:val="20"/>
          <w:szCs w:val="20"/>
          <w:rtl w:val="0"/>
        </w:rPr>
        <w:t xml:space="preserve">-Decision Overview:</w:t>
      </w:r>
    </w:p>
    <w:p w:rsidR="00000000" w:rsidDel="00000000" w:rsidP="00000000" w:rsidRDefault="00000000" w:rsidRPr="00000000" w14:paraId="00000023">
      <w:pPr>
        <w:spacing w:after="240" w:before="240" w:lineRule="auto"/>
        <w:jc w:val="both"/>
        <w:rPr>
          <w:sz w:val="20"/>
          <w:szCs w:val="20"/>
          <w:highlight w:val="white"/>
        </w:rPr>
      </w:pPr>
      <w:r w:rsidDel="00000000" w:rsidR="00000000" w:rsidRPr="00000000">
        <w:rPr>
          <w:sz w:val="20"/>
          <w:szCs w:val="20"/>
          <w:rtl w:val="0"/>
        </w:rPr>
        <w:t xml:space="preserve">On the 23rd of  January, the Grand Chamber of the European Court of Human Rights issued a decision on the matter. The (ECHR) had to decide on whether the temporary suspension of its distribution or labeling the book with a warning label stating it might be harmful to children under the age of 14 is a violation of Art. (10) and Art. (14) of the European Convention on Human Rights. </w:t>
        <w:br w:type="textWrapping"/>
        <w:br w:type="textWrapping"/>
        <w:t xml:space="preserve">In October, 2014, the applicant filed a civil claim against the university in regards to the decision to suspend the distribution of her book and later on  marketing it with a warning label, claiming that these measures were taken against her book just because of her sexual orientation. The applicant relied on the fact that the book was reviewed by </w:t>
      </w:r>
      <w:r w:rsidDel="00000000" w:rsidR="00000000" w:rsidRPr="00000000">
        <w:rPr>
          <w:sz w:val="20"/>
          <w:szCs w:val="20"/>
          <w:rtl w:val="0"/>
        </w:rPr>
        <w:t xml:space="preserve">specialists and a clinical psychologist and they didn’t  have any objections or raised any concerns to its content or if it’s harmful to children or affects family values, referring to the opinion of the (ECHR( on these cases: </w:t>
      </w:r>
      <w:r w:rsidDel="00000000" w:rsidR="00000000" w:rsidRPr="00000000">
        <w:rPr>
          <w:sz w:val="20"/>
          <w:szCs w:val="20"/>
          <w:rtl w:val="0"/>
        </w:rPr>
        <w:t xml:space="preserve">Alekseyev v. Russia</w:t>
      </w:r>
      <w:r w:rsidDel="00000000" w:rsidR="00000000" w:rsidRPr="00000000">
        <w:rPr>
          <w:sz w:val="20"/>
          <w:szCs w:val="20"/>
          <w:rtl w:val="0"/>
        </w:rPr>
        <w:t xml:space="preserve">, nos. </w:t>
      </w:r>
      <w:hyperlink r:id="rId6">
        <w:r w:rsidDel="00000000" w:rsidR="00000000" w:rsidRPr="00000000">
          <w:rPr>
            <w:sz w:val="20"/>
            <w:szCs w:val="20"/>
            <w:rtl w:val="0"/>
          </w:rPr>
          <w:t xml:space="preserve">4916/07</w:t>
        </w:r>
      </w:hyperlink>
      <w:r w:rsidDel="00000000" w:rsidR="00000000" w:rsidRPr="00000000">
        <w:rPr>
          <w:sz w:val="20"/>
          <w:szCs w:val="20"/>
          <w:rtl w:val="0"/>
        </w:rPr>
        <w:t xml:space="preserve"> and </w:t>
      </w:r>
      <w:r w:rsidDel="00000000" w:rsidR="00000000" w:rsidRPr="00000000">
        <w:rPr>
          <w:sz w:val="20"/>
          <w:szCs w:val="20"/>
          <w:rtl w:val="0"/>
        </w:rPr>
        <w:t xml:space="preserve">Bayev and Others v. Russia. </w:t>
      </w:r>
      <w:r w:rsidDel="00000000" w:rsidR="00000000" w:rsidRPr="00000000">
        <w:rPr>
          <w:sz w:val="20"/>
          <w:szCs w:val="20"/>
          <w:highlight w:val="white"/>
          <w:rtl w:val="0"/>
        </w:rPr>
        <w:t xml:space="preserve">The applicant claimed that the book reflected her personal and professional experience, aimed at teaching children to accept differences like religion, sexual orientation, and disabilities. She argued that the university suspended the book because it contained a same-sex marriage. The applicant also stated that the inspectorate's conclusion on April 8, 2014, was made without consulting her or experts, arguing that the label has made the book seem less appealing for children. She felt that the warning and suspension attacked her dignity as a homosexual person.</w:t>
        <w:br w:type="textWrapping"/>
        <w:br w:type="textWrapping"/>
        <w:t xml:space="preserve">The government stated that the case focused on the appropriate age for children to read the book: 9-10 years old as the author wished or 14 years old as the inspectorate recommended. They argued that the state should decide this matter. The book was published without restrictions and remained available in libraries after its suspension and for the warning labels, the government said they were informative, and it was up to parents, teachers, and libraries to disregard them if they chose. Some libraries did not label the book. The government also clarified that the university, not the government, decided to suspend the book. The second edition was published without labels.</w:t>
      </w:r>
    </w:p>
    <w:p w:rsidR="00000000" w:rsidDel="00000000" w:rsidP="00000000" w:rsidRDefault="00000000" w:rsidRPr="00000000" w14:paraId="00000024">
      <w:pPr>
        <w:spacing w:after="240" w:before="240" w:lineRule="auto"/>
        <w:jc w:val="both"/>
        <w:rPr>
          <w:b w:val="1"/>
          <w:sz w:val="20"/>
          <w:szCs w:val="20"/>
          <w:highlight w:val="white"/>
        </w:rPr>
      </w:pPr>
      <w:r w:rsidDel="00000000" w:rsidR="00000000" w:rsidRPr="00000000">
        <w:rPr>
          <w:sz w:val="20"/>
          <w:szCs w:val="20"/>
          <w:highlight w:val="white"/>
          <w:rtl w:val="0"/>
        </w:rPr>
        <w:t xml:space="preserve">The government argued that the Minors’  Protection Act was not in conflict with the convention. They noted that the constitutional court had ruled in 2019 that the concept of family was gender-neutral. The government acknowledged that some inspectorate arguments were discriminatory but were corrected by higher courts. The Vilnius Regional Court stated that the suspension was not about same-sex marriage but how it was portrayed, implying discrimination against people with different values. The court confirmed that the Minors’ Protection Act did not restrict speech about LGBTI issues since 2014 and that discrimination against LGBTI was prohibited since 2017.</w:t>
        <w:br w:type="textWrapping"/>
        <w:br w:type="textWrapping"/>
        <w:t xml:space="preserve">First, the court had decided that The Court found that the measures against the applicant’s book aimed to restrict children's access to information portraying same-sex relationships as equal to different-sex relationships, labeling it as harmful and that these measures were considered as a violation of Article 10. </w:t>
        <w:br w:type="textWrapping"/>
      </w:r>
      <w:r w:rsidDel="00000000" w:rsidR="00000000" w:rsidRPr="00000000">
        <w:rPr>
          <w:sz w:val="20"/>
          <w:szCs w:val="20"/>
          <w:highlight w:val="white"/>
          <w:rtl w:val="0"/>
        </w:rPr>
        <w:t xml:space="preserve">The court’s decision came after the examination of the book in subject, stating that it does not include any information that might affect children upon reading the book. And that there are no Scientific or sociological evidence that states that the mention of same-sex marriage is harmful in any way to children, so the restrictions made by the government are purely based on the sexual orientation which violates Art. (10) of the convention. Following this, the court utilized the three-part test set out in article 10 to assess whether the interference was (i) authorized by law, (ii) aimed at a legitimate objective, and (iii) necessary in a democratic society.</w:t>
      </w:r>
      <w:r w:rsidDel="00000000" w:rsidR="00000000" w:rsidRPr="00000000">
        <w:rPr>
          <w:rtl w:val="0"/>
        </w:rPr>
      </w:r>
    </w:p>
    <w:p w:rsidR="00000000" w:rsidDel="00000000" w:rsidP="00000000" w:rsidRDefault="00000000" w:rsidRPr="00000000" w14:paraId="00000025">
      <w:pPr>
        <w:spacing w:after="240" w:before="240" w:lineRule="auto"/>
        <w:jc w:val="both"/>
        <w:rPr>
          <w:sz w:val="16"/>
          <w:szCs w:val="16"/>
        </w:rPr>
      </w:pPr>
      <w:r w:rsidDel="00000000" w:rsidR="00000000" w:rsidRPr="00000000">
        <w:rPr>
          <w:sz w:val="20"/>
          <w:szCs w:val="20"/>
          <w:highlight w:val="white"/>
          <w:rtl w:val="0"/>
        </w:rPr>
        <w:t xml:space="preserve">The court decided that the measures against the book were meant to limit children’s access to information about same-sex marriage being equal to different-sex marriage. It also ruled that more time was needed to thoroughly analyze restrictions on children’s literature. The court found that banning or limiting materials promoting homosexuality or non-traditional sexual relations does not align with protecting morals or the rights of others. Instead, such measures promote stigma and conflict with democratic values. Moreover, </w:t>
      </w:r>
      <w:r w:rsidDel="00000000" w:rsidR="00000000" w:rsidRPr="00000000">
        <w:rPr>
          <w:b w:val="1"/>
          <w:sz w:val="20"/>
          <w:szCs w:val="20"/>
          <w:highlight w:val="white"/>
          <w:rtl w:val="0"/>
        </w:rPr>
        <w:t xml:space="preserve"> </w:t>
      </w:r>
      <w:r w:rsidDel="00000000" w:rsidR="00000000" w:rsidRPr="00000000">
        <w:rPr>
          <w:sz w:val="20"/>
          <w:szCs w:val="20"/>
          <w:highlight w:val="white"/>
          <w:rtl w:val="0"/>
        </w:rPr>
        <w:t xml:space="preserve">t</w:t>
      </w:r>
      <w:r w:rsidDel="00000000" w:rsidR="00000000" w:rsidRPr="00000000">
        <w:rPr>
          <w:sz w:val="20"/>
          <w:szCs w:val="20"/>
          <w:highlight w:val="white"/>
          <w:rtl w:val="0"/>
        </w:rPr>
        <w:t xml:space="preserve">he court had decided that the measures taken were purely based on sexual orientation not on the best interest of children, as the only aim these measures had was to restrict and limit children’s access to same-sex marriage with no evidence that such information could be harmful to children and according to that the court had ruled that the measures taken came in violation with Art.10 of the convention. </w:t>
      </w:r>
      <w:r w:rsidDel="00000000" w:rsidR="00000000" w:rsidRPr="00000000">
        <w:rPr>
          <w:rtl w:val="0"/>
        </w:rPr>
      </w:r>
    </w:p>
    <w:p w:rsidR="00000000" w:rsidDel="00000000" w:rsidP="00000000" w:rsidRDefault="00000000" w:rsidRPr="00000000" w14:paraId="00000026">
      <w:pPr>
        <w:spacing w:after="240" w:before="240" w:lineRule="auto"/>
        <w:jc w:val="both"/>
        <w:rPr>
          <w:sz w:val="20"/>
          <w:szCs w:val="20"/>
          <w:highlight w:val="white"/>
        </w:rPr>
      </w:pPr>
      <w:r w:rsidDel="00000000" w:rsidR="00000000" w:rsidRPr="00000000">
        <w:rPr>
          <w:b w:val="1"/>
          <w:sz w:val="20"/>
          <w:szCs w:val="20"/>
          <w:highlight w:val="white"/>
          <w:rtl w:val="0"/>
        </w:rPr>
        <w:t xml:space="preserve">-Decision Direction</w:t>
        <w:br w:type="textWrapping"/>
      </w:r>
      <w:r w:rsidDel="00000000" w:rsidR="00000000" w:rsidRPr="00000000">
        <w:rPr>
          <w:sz w:val="20"/>
          <w:szCs w:val="20"/>
          <w:highlight w:val="white"/>
          <w:rtl w:val="0"/>
        </w:rPr>
        <w:t xml:space="preserve">Outcome: </w:t>
        <w:br w:type="textWrapping"/>
        <w:t xml:space="preserve">The court ruled that there were violations of Article 10 of the Convention, but didn’t rule in regards to violations of  Article 14, finding that the temporarily suspension and </w:t>
      </w:r>
      <w:r w:rsidDel="00000000" w:rsidR="00000000" w:rsidRPr="00000000">
        <w:rPr>
          <w:sz w:val="20"/>
          <w:szCs w:val="20"/>
          <w:highlight w:val="white"/>
          <w:rtl w:val="0"/>
        </w:rPr>
        <w:t xml:space="preserve">markering</w:t>
      </w:r>
      <w:r w:rsidDel="00000000" w:rsidR="00000000" w:rsidRPr="00000000">
        <w:rPr>
          <w:sz w:val="20"/>
          <w:szCs w:val="20"/>
          <w:highlight w:val="white"/>
          <w:rtl w:val="0"/>
        </w:rPr>
        <w:t xml:space="preserve"> the book with a label just because the book contained same-sex marriage stories that might be harmful to children, deprived the applicant from her granted freedom of expression right according to the European Convention on Human Rights. </w:t>
        <w:br w:type="textWrapping"/>
      </w:r>
      <w:r w:rsidDel="00000000" w:rsidR="00000000" w:rsidRPr="00000000">
        <w:rPr>
          <w:sz w:val="20"/>
          <w:szCs w:val="20"/>
          <w:highlight w:val="white"/>
          <w:rtl w:val="0"/>
        </w:rPr>
        <w:br w:type="textWrapping"/>
      </w:r>
      <w:r w:rsidDel="00000000" w:rsidR="00000000" w:rsidRPr="00000000">
        <w:rPr>
          <w:b w:val="1"/>
          <w:sz w:val="20"/>
          <w:szCs w:val="20"/>
          <w:highlight w:val="white"/>
          <w:rtl w:val="0"/>
        </w:rPr>
        <w:t xml:space="preserve">-Expands Expression:</w:t>
      </w:r>
      <w:r w:rsidDel="00000000" w:rsidR="00000000" w:rsidRPr="00000000">
        <w:rPr>
          <w:sz w:val="20"/>
          <w:szCs w:val="20"/>
          <w:highlight w:val="white"/>
          <w:rtl w:val="0"/>
        </w:rPr>
        <w:br w:type="textWrapping"/>
        <w:t xml:space="preserve">The Court's decision expands freedom of expression by emphasizing on the right to publish and distribute content that portrays same-sex relationships, even when it challenges traditional views. It protects the author's right to express diverse ideas about family and identity. Highlighting the fact that they’ve noted on numerous occasions that discrimination based on sexual orientation is just as serious as racial or ethnic discrimination. </w:t>
        <w:br w:type="textWrapping"/>
      </w:r>
    </w:p>
    <w:p w:rsidR="00000000" w:rsidDel="00000000" w:rsidP="00000000" w:rsidRDefault="00000000" w:rsidRPr="00000000" w14:paraId="00000027">
      <w:pPr>
        <w:spacing w:after="240" w:before="240" w:lineRule="auto"/>
        <w:jc w:val="both"/>
        <w:rPr>
          <w:sz w:val="20"/>
          <w:szCs w:val="20"/>
          <w:highlight w:val="white"/>
        </w:rPr>
      </w:pPr>
      <w:r w:rsidDel="00000000" w:rsidR="00000000" w:rsidRPr="00000000">
        <w:rPr>
          <w:sz w:val="20"/>
          <w:szCs w:val="20"/>
          <w:highlight w:val="white"/>
          <w:rtl w:val="0"/>
        </w:rPr>
        <w:br w:type="textWrapping"/>
        <w:t xml:space="preserve">-</w:t>
      </w:r>
      <w:r w:rsidDel="00000000" w:rsidR="00000000" w:rsidRPr="00000000">
        <w:rPr>
          <w:b w:val="1"/>
          <w:sz w:val="20"/>
          <w:szCs w:val="20"/>
          <w:highlight w:val="white"/>
          <w:rtl w:val="0"/>
        </w:rPr>
        <w:t xml:space="preserve">GlobalPerspective: </w:t>
      </w:r>
      <w:r w:rsidDel="00000000" w:rsidR="00000000" w:rsidRPr="00000000">
        <w:rPr>
          <w:rtl w:val="0"/>
        </w:rPr>
      </w:r>
    </w:p>
    <w:p w:rsidR="00000000" w:rsidDel="00000000" w:rsidP="00000000" w:rsidRDefault="00000000" w:rsidRPr="00000000" w14:paraId="00000028">
      <w:pPr>
        <w:shd w:fill="ffffff" w:val="clear"/>
        <w:spacing w:before="240" w:lineRule="auto"/>
        <w:jc w:val="both"/>
        <w:rPr>
          <w:sz w:val="20"/>
          <w:szCs w:val="20"/>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A.R. and L.R. v. Switzerland (dec.), no. </w:t>
      </w:r>
      <w:hyperlink r:id="rId7">
        <w:r w:rsidDel="00000000" w:rsidR="00000000" w:rsidRPr="00000000">
          <w:rPr>
            <w:color w:val="0069d6"/>
            <w:sz w:val="20"/>
            <w:szCs w:val="20"/>
            <w:u w:val="single"/>
            <w:rtl w:val="0"/>
          </w:rPr>
          <w:t xml:space="preserve">22338/15</w:t>
        </w:r>
      </w:hyperlink>
      <w:r w:rsidDel="00000000" w:rsidR="00000000" w:rsidRPr="00000000">
        <w:rPr>
          <w:sz w:val="20"/>
          <w:szCs w:val="20"/>
          <w:rtl w:val="0"/>
        </w:rPr>
        <w:t xml:space="preserve">, §§ 42-45, 19 December 2017</w:t>
      </w:r>
    </w:p>
    <w:p w:rsidR="00000000" w:rsidDel="00000000" w:rsidP="00000000" w:rsidRDefault="00000000" w:rsidRPr="00000000" w14:paraId="00000029">
      <w:pPr>
        <w:shd w:fill="ffffff" w:val="clear"/>
        <w:spacing w:before="240" w:lineRule="auto"/>
        <w:jc w:val="both"/>
        <w:rPr>
          <w:sz w:val="20"/>
          <w:szCs w:val="20"/>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Alekseyev v. Russia, nos. </w:t>
      </w:r>
      <w:hyperlink r:id="rId8">
        <w:r w:rsidDel="00000000" w:rsidR="00000000" w:rsidRPr="00000000">
          <w:rPr>
            <w:color w:val="0069d6"/>
            <w:sz w:val="20"/>
            <w:szCs w:val="20"/>
            <w:u w:val="single"/>
            <w:rtl w:val="0"/>
          </w:rPr>
          <w:t xml:space="preserve">4916/07</w:t>
        </w:r>
      </w:hyperlink>
      <w:r w:rsidDel="00000000" w:rsidR="00000000" w:rsidRPr="00000000">
        <w:rPr>
          <w:sz w:val="20"/>
          <w:szCs w:val="20"/>
          <w:rtl w:val="0"/>
        </w:rPr>
        <w:t xml:space="preserve"> and 2 others, § 86, 21 October 2010</w:t>
      </w:r>
    </w:p>
    <w:p w:rsidR="00000000" w:rsidDel="00000000" w:rsidP="00000000" w:rsidRDefault="00000000" w:rsidRPr="00000000" w14:paraId="0000002A">
      <w:pPr>
        <w:shd w:fill="ffffff" w:val="clear"/>
        <w:spacing w:before="240" w:lineRule="auto"/>
        <w:jc w:val="both"/>
        <w:rPr>
          <w:sz w:val="20"/>
          <w:szCs w:val="20"/>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Bayev and Others v. Russia, nos. </w:t>
      </w:r>
      <w:hyperlink r:id="rId9">
        <w:r w:rsidDel="00000000" w:rsidR="00000000" w:rsidRPr="00000000">
          <w:rPr>
            <w:color w:val="0069d6"/>
            <w:sz w:val="20"/>
            <w:szCs w:val="20"/>
            <w:u w:val="single"/>
            <w:rtl w:val="0"/>
          </w:rPr>
          <w:t xml:space="preserve">67667/09</w:t>
        </w:r>
      </w:hyperlink>
      <w:r w:rsidDel="00000000" w:rsidR="00000000" w:rsidRPr="00000000">
        <w:rPr>
          <w:sz w:val="20"/>
          <w:szCs w:val="20"/>
          <w:rtl w:val="0"/>
        </w:rPr>
        <w:t xml:space="preserve"> and 2 others, 20 June 2017</w:t>
      </w:r>
    </w:p>
    <w:p w:rsidR="00000000" w:rsidDel="00000000" w:rsidP="00000000" w:rsidRDefault="00000000" w:rsidRPr="00000000" w14:paraId="0000002B">
      <w:pPr>
        <w:shd w:fill="ffffff" w:val="clear"/>
        <w:spacing w:before="240" w:lineRule="auto"/>
        <w:jc w:val="both"/>
        <w:rPr>
          <w:sz w:val="20"/>
          <w:szCs w:val="20"/>
        </w:rPr>
      </w:pPr>
      <w:r w:rsidDel="00000000" w:rsidR="00000000" w:rsidRPr="00000000">
        <w:rPr>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Bédat v. Switzerland [GC], no. </w:t>
      </w:r>
      <w:hyperlink r:id="rId10">
        <w:r w:rsidDel="00000000" w:rsidR="00000000" w:rsidRPr="00000000">
          <w:rPr>
            <w:color w:val="0069d6"/>
            <w:sz w:val="20"/>
            <w:szCs w:val="20"/>
            <w:u w:val="single"/>
            <w:rtl w:val="0"/>
          </w:rPr>
          <w:t xml:space="preserve">56925/08</w:t>
        </w:r>
      </w:hyperlink>
      <w:r w:rsidDel="00000000" w:rsidR="00000000" w:rsidRPr="00000000">
        <w:rPr>
          <w:sz w:val="20"/>
          <w:szCs w:val="20"/>
          <w:rtl w:val="0"/>
        </w:rPr>
        <w:t xml:space="preserve">, § 75, 29 March 2016</w:t>
      </w:r>
    </w:p>
    <w:p w:rsidR="00000000" w:rsidDel="00000000" w:rsidP="00000000" w:rsidRDefault="00000000" w:rsidRPr="00000000" w14:paraId="0000002C">
      <w:pPr>
        <w:shd w:fill="ffffff" w:val="clear"/>
        <w:spacing w:before="240" w:lineRule="auto"/>
        <w:jc w:val="both"/>
        <w:rPr>
          <w:sz w:val="20"/>
          <w:szCs w:val="20"/>
        </w:rPr>
      </w:pPr>
      <w:r w:rsidDel="00000000" w:rsidR="00000000" w:rsidRPr="00000000">
        <w:rPr>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Berkman v. Russia, no. </w:t>
      </w:r>
      <w:hyperlink r:id="rId11">
        <w:r w:rsidDel="00000000" w:rsidR="00000000" w:rsidRPr="00000000">
          <w:rPr>
            <w:color w:val="0069d6"/>
            <w:sz w:val="20"/>
            <w:szCs w:val="20"/>
            <w:u w:val="single"/>
            <w:rtl w:val="0"/>
          </w:rPr>
          <w:t xml:space="preserve">46712/15</w:t>
        </w:r>
      </w:hyperlink>
      <w:r w:rsidDel="00000000" w:rsidR="00000000" w:rsidRPr="00000000">
        <w:rPr>
          <w:sz w:val="20"/>
          <w:szCs w:val="20"/>
          <w:rtl w:val="0"/>
        </w:rPr>
        <w:t xml:space="preserve">, § 66, 1 December 2020</w:t>
      </w:r>
    </w:p>
    <w:p w:rsidR="00000000" w:rsidDel="00000000" w:rsidP="00000000" w:rsidRDefault="00000000" w:rsidRPr="00000000" w14:paraId="0000002D">
      <w:pPr>
        <w:shd w:fill="ffffff" w:val="clear"/>
        <w:spacing w:before="240" w:lineRule="auto"/>
        <w:jc w:val="both"/>
        <w:rPr>
          <w:sz w:val="20"/>
          <w:szCs w:val="20"/>
        </w:rPr>
      </w:pPr>
      <w:r w:rsidDel="00000000" w:rsidR="00000000" w:rsidRPr="00000000">
        <w:rPr>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Dahlab v. Switzerland (dec.), no. </w:t>
      </w:r>
      <w:hyperlink r:id="rId12">
        <w:r w:rsidDel="00000000" w:rsidR="00000000" w:rsidRPr="00000000">
          <w:rPr>
            <w:color w:val="0069d6"/>
            <w:sz w:val="20"/>
            <w:szCs w:val="20"/>
            <w:u w:val="single"/>
            <w:rtl w:val="0"/>
          </w:rPr>
          <w:t xml:space="preserve">42393/98</w:t>
        </w:r>
      </w:hyperlink>
      <w:r w:rsidDel="00000000" w:rsidR="00000000" w:rsidRPr="00000000">
        <w:rPr>
          <w:sz w:val="20"/>
          <w:szCs w:val="20"/>
          <w:rtl w:val="0"/>
        </w:rPr>
        <w:t xml:space="preserve">, ECHR 2001-V</w:t>
      </w:r>
    </w:p>
    <w:p w:rsidR="00000000" w:rsidDel="00000000" w:rsidP="00000000" w:rsidRDefault="00000000" w:rsidRPr="00000000" w14:paraId="0000002E">
      <w:pPr>
        <w:shd w:fill="ffffff" w:val="clear"/>
        <w:spacing w:before="240" w:lineRule="auto"/>
        <w:jc w:val="both"/>
        <w:rPr>
          <w:sz w:val="20"/>
          <w:szCs w:val="20"/>
        </w:rPr>
      </w:pPr>
      <w:r w:rsidDel="00000000" w:rsidR="00000000" w:rsidRPr="00000000">
        <w:rPr>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Dojan and Others v. Germany (dec.), nos. </w:t>
      </w:r>
      <w:hyperlink r:id="rId13">
        <w:r w:rsidDel="00000000" w:rsidR="00000000" w:rsidRPr="00000000">
          <w:rPr>
            <w:color w:val="0069d6"/>
            <w:sz w:val="20"/>
            <w:szCs w:val="20"/>
            <w:u w:val="single"/>
            <w:rtl w:val="0"/>
          </w:rPr>
          <w:t xml:space="preserve">319/08</w:t>
        </w:r>
      </w:hyperlink>
      <w:r w:rsidDel="00000000" w:rsidR="00000000" w:rsidRPr="00000000">
        <w:rPr>
          <w:sz w:val="20"/>
          <w:szCs w:val="20"/>
          <w:rtl w:val="0"/>
        </w:rPr>
        <w:t xml:space="preserve"> and 4 others, 13 September 2011</w:t>
      </w:r>
    </w:p>
    <w:p w:rsidR="00000000" w:rsidDel="00000000" w:rsidP="00000000" w:rsidRDefault="00000000" w:rsidRPr="00000000" w14:paraId="0000002F">
      <w:pPr>
        <w:shd w:fill="ffffff" w:val="clear"/>
        <w:spacing w:before="240" w:lineRule="auto"/>
        <w:jc w:val="both"/>
        <w:rPr>
          <w:sz w:val="20"/>
          <w:szCs w:val="20"/>
        </w:rPr>
      </w:pPr>
      <w:r w:rsidDel="00000000" w:rsidR="00000000" w:rsidRPr="00000000">
        <w:rPr>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Dudgeon v. the United Kingdom, 22 October 1981, § 53, Series A no. 45</w:t>
      </w:r>
    </w:p>
    <w:p w:rsidR="00000000" w:rsidDel="00000000" w:rsidP="00000000" w:rsidRDefault="00000000" w:rsidRPr="00000000" w14:paraId="00000030">
      <w:pPr>
        <w:shd w:fill="ffffff" w:val="clear"/>
        <w:spacing w:before="240" w:lineRule="auto"/>
        <w:jc w:val="both"/>
        <w:rPr>
          <w:sz w:val="20"/>
          <w:szCs w:val="20"/>
        </w:rPr>
      </w:pPr>
      <w:r w:rsidDel="00000000" w:rsidR="00000000" w:rsidRPr="00000000">
        <w:rPr>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E.B. v. France [GC], no. </w:t>
      </w:r>
      <w:hyperlink r:id="rId14">
        <w:r w:rsidDel="00000000" w:rsidR="00000000" w:rsidRPr="00000000">
          <w:rPr>
            <w:color w:val="0069d6"/>
            <w:sz w:val="20"/>
            <w:szCs w:val="20"/>
            <w:u w:val="single"/>
            <w:rtl w:val="0"/>
          </w:rPr>
          <w:t xml:space="preserve">43546/02</w:t>
        </w:r>
      </w:hyperlink>
      <w:r w:rsidDel="00000000" w:rsidR="00000000" w:rsidRPr="00000000">
        <w:rPr>
          <w:sz w:val="20"/>
          <w:szCs w:val="20"/>
          <w:rtl w:val="0"/>
        </w:rPr>
        <w:t xml:space="preserve">, § 96, 22 January 2008</w:t>
      </w:r>
    </w:p>
    <w:p w:rsidR="00000000" w:rsidDel="00000000" w:rsidP="00000000" w:rsidRDefault="00000000" w:rsidRPr="00000000" w14:paraId="00000031">
      <w:pPr>
        <w:shd w:fill="ffffff" w:val="clear"/>
        <w:spacing w:before="240" w:lineRule="auto"/>
        <w:jc w:val="both"/>
        <w:rPr>
          <w:sz w:val="20"/>
          <w:szCs w:val="20"/>
        </w:rPr>
      </w:pPr>
      <w:r w:rsidDel="00000000" w:rsidR="00000000" w:rsidRPr="00000000">
        <w:rPr>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Folgerø and Others v. Norway [GC], no. </w:t>
      </w:r>
      <w:hyperlink r:id="rId15">
        <w:r w:rsidDel="00000000" w:rsidR="00000000" w:rsidRPr="00000000">
          <w:rPr>
            <w:color w:val="0069d6"/>
            <w:sz w:val="20"/>
            <w:szCs w:val="20"/>
            <w:u w:val="single"/>
            <w:rtl w:val="0"/>
          </w:rPr>
          <w:t xml:space="preserve">15472/02</w:t>
        </w:r>
      </w:hyperlink>
      <w:r w:rsidDel="00000000" w:rsidR="00000000" w:rsidRPr="00000000">
        <w:rPr>
          <w:sz w:val="20"/>
          <w:szCs w:val="20"/>
          <w:rtl w:val="0"/>
        </w:rPr>
        <w:t xml:space="preserve">, § 84 (g) and (h), ECHR 2007–III</w:t>
      </w:r>
    </w:p>
    <w:p w:rsidR="00000000" w:rsidDel="00000000" w:rsidP="00000000" w:rsidRDefault="00000000" w:rsidRPr="00000000" w14:paraId="00000032">
      <w:pPr>
        <w:shd w:fill="ffffff" w:val="clear"/>
        <w:spacing w:before="240" w:lineRule="auto"/>
        <w:jc w:val="both"/>
        <w:rPr>
          <w:sz w:val="20"/>
          <w:szCs w:val="20"/>
        </w:rPr>
      </w:pPr>
      <w:r w:rsidDel="00000000" w:rsidR="00000000" w:rsidRPr="00000000">
        <w:rPr>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Gawlik v. Liechtenstein, no. </w:t>
      </w:r>
      <w:hyperlink r:id="rId16">
        <w:r w:rsidDel="00000000" w:rsidR="00000000" w:rsidRPr="00000000">
          <w:rPr>
            <w:color w:val="0069d6"/>
            <w:sz w:val="20"/>
            <w:szCs w:val="20"/>
            <w:u w:val="single"/>
            <w:rtl w:val="0"/>
          </w:rPr>
          <w:t xml:space="preserve">23922/19</w:t>
        </w:r>
      </w:hyperlink>
      <w:r w:rsidDel="00000000" w:rsidR="00000000" w:rsidRPr="00000000">
        <w:rPr>
          <w:sz w:val="20"/>
          <w:szCs w:val="20"/>
          <w:rtl w:val="0"/>
        </w:rPr>
        <w:t xml:space="preserve">, § 48, 16 February 2021</w:t>
      </w:r>
    </w:p>
    <w:p w:rsidR="00000000" w:rsidDel="00000000" w:rsidP="00000000" w:rsidRDefault="00000000" w:rsidRPr="00000000" w14:paraId="00000033">
      <w:pPr>
        <w:shd w:fill="ffffff" w:val="clear"/>
        <w:spacing w:before="240" w:lineRule="auto"/>
        <w:jc w:val="both"/>
        <w:rPr>
          <w:sz w:val="20"/>
          <w:szCs w:val="20"/>
        </w:rPr>
      </w:pPr>
      <w:r w:rsidDel="00000000" w:rsidR="00000000" w:rsidRPr="00000000">
        <w:rPr>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Godlevskiy v. Russia, no. </w:t>
      </w:r>
      <w:hyperlink r:id="rId17">
        <w:r w:rsidDel="00000000" w:rsidR="00000000" w:rsidRPr="00000000">
          <w:rPr>
            <w:color w:val="0069d6"/>
            <w:sz w:val="20"/>
            <w:szCs w:val="20"/>
            <w:u w:val="single"/>
            <w:rtl w:val="0"/>
          </w:rPr>
          <w:t xml:space="preserve">14888/03</w:t>
        </w:r>
      </w:hyperlink>
      <w:r w:rsidDel="00000000" w:rsidR="00000000" w:rsidRPr="00000000">
        <w:rPr>
          <w:sz w:val="20"/>
          <w:szCs w:val="20"/>
          <w:rtl w:val="0"/>
        </w:rPr>
        <w:t xml:space="preserve">, 23 October 2008</w:t>
      </w:r>
    </w:p>
    <w:p w:rsidR="00000000" w:rsidDel="00000000" w:rsidP="00000000" w:rsidRDefault="00000000" w:rsidRPr="00000000" w14:paraId="00000034">
      <w:pPr>
        <w:shd w:fill="ffffff" w:val="clear"/>
        <w:spacing w:before="240" w:lineRule="auto"/>
        <w:jc w:val="both"/>
        <w:rPr>
          <w:sz w:val="20"/>
          <w:szCs w:val="20"/>
        </w:rPr>
      </w:pPr>
      <w:r w:rsidDel="00000000" w:rsidR="00000000" w:rsidRPr="00000000">
        <w:rPr>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Grzęda v. Poland [GC], no. </w:t>
      </w:r>
      <w:hyperlink r:id="rId18">
        <w:r w:rsidDel="00000000" w:rsidR="00000000" w:rsidRPr="00000000">
          <w:rPr>
            <w:color w:val="0069d6"/>
            <w:sz w:val="20"/>
            <w:szCs w:val="20"/>
            <w:u w:val="single"/>
            <w:rtl w:val="0"/>
          </w:rPr>
          <w:t xml:space="preserve">43572/18</w:t>
        </w:r>
      </w:hyperlink>
      <w:r w:rsidDel="00000000" w:rsidR="00000000" w:rsidRPr="00000000">
        <w:rPr>
          <w:sz w:val="20"/>
          <w:szCs w:val="20"/>
          <w:rtl w:val="0"/>
        </w:rPr>
        <w:t xml:space="preserve">, § 332, 15 March 2022</w:t>
      </w:r>
    </w:p>
    <w:p w:rsidR="00000000" w:rsidDel="00000000" w:rsidP="00000000" w:rsidRDefault="00000000" w:rsidRPr="00000000" w14:paraId="00000035">
      <w:pPr>
        <w:shd w:fill="ffffff" w:val="clear"/>
        <w:spacing w:before="240" w:lineRule="auto"/>
        <w:jc w:val="both"/>
        <w:rPr>
          <w:sz w:val="20"/>
          <w:szCs w:val="20"/>
        </w:rPr>
      </w:pPr>
      <w:r w:rsidDel="00000000" w:rsidR="00000000" w:rsidRPr="00000000">
        <w:rPr>
          <w:sz w:val="20"/>
          <w:szCs w:val="20"/>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Handyside v. the United Kingdom, 7 December 1976, Series A no. 24</w:t>
      </w:r>
    </w:p>
    <w:p w:rsidR="00000000" w:rsidDel="00000000" w:rsidP="00000000" w:rsidRDefault="00000000" w:rsidRPr="00000000" w14:paraId="00000036">
      <w:pPr>
        <w:shd w:fill="ffffff" w:val="clear"/>
        <w:spacing w:before="240" w:lineRule="auto"/>
        <w:jc w:val="both"/>
        <w:rPr>
          <w:sz w:val="20"/>
          <w:szCs w:val="20"/>
        </w:rPr>
      </w:pPr>
      <w:r w:rsidDel="00000000" w:rsidR="00000000" w:rsidRPr="00000000">
        <w:rPr>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Jiménez Alonso and Jiménez Merino v. Spain (dec.), no. </w:t>
      </w:r>
      <w:hyperlink r:id="rId19">
        <w:r w:rsidDel="00000000" w:rsidR="00000000" w:rsidRPr="00000000">
          <w:rPr>
            <w:color w:val="0069d6"/>
            <w:sz w:val="20"/>
            <w:szCs w:val="20"/>
            <w:u w:val="single"/>
            <w:rtl w:val="0"/>
          </w:rPr>
          <w:t xml:space="preserve">51188/99</w:t>
        </w:r>
      </w:hyperlink>
      <w:r w:rsidDel="00000000" w:rsidR="00000000" w:rsidRPr="00000000">
        <w:rPr>
          <w:sz w:val="20"/>
          <w:szCs w:val="20"/>
          <w:rtl w:val="0"/>
        </w:rPr>
        <w:t xml:space="preserve">, ECHR 2000–VI</w:t>
      </w:r>
    </w:p>
    <w:p w:rsidR="00000000" w:rsidDel="00000000" w:rsidP="00000000" w:rsidRDefault="00000000" w:rsidRPr="00000000" w14:paraId="00000037">
      <w:pPr>
        <w:shd w:fill="ffffff" w:val="clear"/>
        <w:spacing w:before="240" w:lineRule="auto"/>
        <w:jc w:val="both"/>
        <w:rPr>
          <w:sz w:val="20"/>
          <w:szCs w:val="20"/>
        </w:rPr>
      </w:pPr>
      <w:r w:rsidDel="00000000" w:rsidR="00000000" w:rsidRPr="00000000">
        <w:rPr>
          <w:sz w:val="20"/>
          <w:szCs w:val="20"/>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Kjeldsen, Busk Madsen and Pedersen v. Denmark, 7 December 1976, § 54, Series A no. 23</w:t>
      </w:r>
    </w:p>
    <w:p w:rsidR="00000000" w:rsidDel="00000000" w:rsidP="00000000" w:rsidRDefault="00000000" w:rsidRPr="00000000" w14:paraId="00000038">
      <w:pPr>
        <w:shd w:fill="ffffff" w:val="clear"/>
        <w:spacing w:before="240" w:lineRule="auto"/>
        <w:jc w:val="both"/>
        <w:rPr>
          <w:sz w:val="20"/>
          <w:szCs w:val="20"/>
        </w:rPr>
      </w:pPr>
      <w:r w:rsidDel="00000000" w:rsidR="00000000" w:rsidRPr="00000000">
        <w:rPr>
          <w:sz w:val="20"/>
          <w:szCs w:val="20"/>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Kula v. Turkey, no. </w:t>
      </w:r>
      <w:hyperlink r:id="rId20">
        <w:r w:rsidDel="00000000" w:rsidR="00000000" w:rsidRPr="00000000">
          <w:rPr>
            <w:color w:val="0069d6"/>
            <w:sz w:val="20"/>
            <w:szCs w:val="20"/>
            <w:u w:val="single"/>
            <w:rtl w:val="0"/>
          </w:rPr>
          <w:t xml:space="preserve">20233/06</w:t>
        </w:r>
      </w:hyperlink>
      <w:r w:rsidDel="00000000" w:rsidR="00000000" w:rsidRPr="00000000">
        <w:rPr>
          <w:sz w:val="20"/>
          <w:szCs w:val="20"/>
          <w:rtl w:val="0"/>
        </w:rPr>
        <w:t xml:space="preserve">, § 39, 19 June 2018</w:t>
      </w:r>
    </w:p>
    <w:p w:rsidR="00000000" w:rsidDel="00000000" w:rsidP="00000000" w:rsidRDefault="00000000" w:rsidRPr="00000000" w14:paraId="00000039">
      <w:pPr>
        <w:shd w:fill="ffffff" w:val="clear"/>
        <w:spacing w:before="240" w:lineRule="auto"/>
        <w:jc w:val="both"/>
        <w:rPr>
          <w:sz w:val="20"/>
          <w:szCs w:val="20"/>
        </w:rPr>
      </w:pPr>
      <w:r w:rsidDel="00000000" w:rsidR="00000000" w:rsidRPr="00000000">
        <w:rPr>
          <w:sz w:val="20"/>
          <w:szCs w:val="20"/>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Kuliś and Różycki v. Poland, no. </w:t>
      </w:r>
      <w:hyperlink r:id="rId21">
        <w:r w:rsidDel="00000000" w:rsidR="00000000" w:rsidRPr="00000000">
          <w:rPr>
            <w:color w:val="0069d6"/>
            <w:sz w:val="20"/>
            <w:szCs w:val="20"/>
            <w:u w:val="single"/>
            <w:rtl w:val="0"/>
          </w:rPr>
          <w:t xml:space="preserve">27209/03</w:t>
        </w:r>
      </w:hyperlink>
      <w:r w:rsidDel="00000000" w:rsidR="00000000" w:rsidRPr="00000000">
        <w:rPr>
          <w:sz w:val="20"/>
          <w:szCs w:val="20"/>
          <w:rtl w:val="0"/>
        </w:rPr>
        <w:t xml:space="preserve">, § 39, 6 October 2009</w:t>
      </w:r>
    </w:p>
    <w:p w:rsidR="00000000" w:rsidDel="00000000" w:rsidP="00000000" w:rsidRDefault="00000000" w:rsidRPr="00000000" w14:paraId="0000003A">
      <w:pPr>
        <w:shd w:fill="ffffff" w:val="clear"/>
        <w:spacing w:before="240" w:lineRule="auto"/>
        <w:jc w:val="both"/>
        <w:rPr>
          <w:sz w:val="20"/>
          <w:szCs w:val="20"/>
        </w:rPr>
      </w:pPr>
      <w:r w:rsidDel="00000000" w:rsidR="00000000" w:rsidRPr="00000000">
        <w:rPr>
          <w:sz w:val="20"/>
          <w:szCs w:val="20"/>
          <w:rtl w:val="0"/>
        </w:rPr>
        <w:t xml:space="preserve">19.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Kurtulmuş v. Turkey (dec.), no. </w:t>
      </w:r>
      <w:hyperlink r:id="rId22">
        <w:r w:rsidDel="00000000" w:rsidR="00000000" w:rsidRPr="00000000">
          <w:rPr>
            <w:color w:val="0069d6"/>
            <w:sz w:val="20"/>
            <w:szCs w:val="20"/>
            <w:u w:val="single"/>
            <w:rtl w:val="0"/>
          </w:rPr>
          <w:t xml:space="preserve">65500/01</w:t>
        </w:r>
      </w:hyperlink>
      <w:r w:rsidDel="00000000" w:rsidR="00000000" w:rsidRPr="00000000">
        <w:rPr>
          <w:sz w:val="20"/>
          <w:szCs w:val="20"/>
          <w:rtl w:val="0"/>
        </w:rPr>
        <w:t xml:space="preserve">, ECHR 2006–II</w:t>
      </w:r>
    </w:p>
    <w:p w:rsidR="00000000" w:rsidDel="00000000" w:rsidP="00000000" w:rsidRDefault="00000000" w:rsidRPr="00000000" w14:paraId="0000003B">
      <w:pPr>
        <w:shd w:fill="ffffff" w:val="clear"/>
        <w:spacing w:before="240" w:lineRule="auto"/>
        <w:jc w:val="both"/>
        <w:rPr>
          <w:sz w:val="20"/>
          <w:szCs w:val="20"/>
        </w:rPr>
      </w:pPr>
      <w:r w:rsidDel="00000000" w:rsidR="00000000" w:rsidRPr="00000000">
        <w:rPr>
          <w:sz w:val="20"/>
          <w:szCs w:val="20"/>
          <w:rtl w:val="0"/>
        </w:rPr>
        <w:t xml:space="preserve">20.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M.A. v. Denmark [GC], no. </w:t>
      </w:r>
      <w:hyperlink r:id="rId23">
        <w:r w:rsidDel="00000000" w:rsidR="00000000" w:rsidRPr="00000000">
          <w:rPr>
            <w:color w:val="0069d6"/>
            <w:sz w:val="20"/>
            <w:szCs w:val="20"/>
            <w:u w:val="single"/>
            <w:rtl w:val="0"/>
          </w:rPr>
          <w:t xml:space="preserve">6697/18</w:t>
        </w:r>
      </w:hyperlink>
      <w:r w:rsidDel="00000000" w:rsidR="00000000" w:rsidRPr="00000000">
        <w:rPr>
          <w:sz w:val="20"/>
          <w:szCs w:val="20"/>
          <w:rtl w:val="0"/>
        </w:rPr>
        <w:t xml:space="preserve">, § 197, 9 July 2021</w:t>
      </w:r>
    </w:p>
    <w:p w:rsidR="00000000" w:rsidDel="00000000" w:rsidP="00000000" w:rsidRDefault="00000000" w:rsidRPr="00000000" w14:paraId="0000003C">
      <w:pPr>
        <w:shd w:fill="ffffff" w:val="clear"/>
        <w:spacing w:before="240" w:lineRule="auto"/>
        <w:jc w:val="both"/>
        <w:rPr>
          <w:sz w:val="20"/>
          <w:szCs w:val="20"/>
        </w:rPr>
      </w:pPr>
      <w:r w:rsidDel="00000000" w:rsidR="00000000" w:rsidRPr="00000000">
        <w:rPr>
          <w:sz w:val="20"/>
          <w:szCs w:val="20"/>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Merabishvili v. Georgia [GC], no. </w:t>
      </w:r>
      <w:hyperlink r:id="rId24">
        <w:r w:rsidDel="00000000" w:rsidR="00000000" w:rsidRPr="00000000">
          <w:rPr>
            <w:color w:val="0069d6"/>
            <w:sz w:val="20"/>
            <w:szCs w:val="20"/>
            <w:u w:val="single"/>
            <w:rtl w:val="0"/>
          </w:rPr>
          <w:t xml:space="preserve">72508/13</w:t>
        </w:r>
      </w:hyperlink>
      <w:r w:rsidDel="00000000" w:rsidR="00000000" w:rsidRPr="00000000">
        <w:rPr>
          <w:sz w:val="20"/>
          <w:szCs w:val="20"/>
          <w:rtl w:val="0"/>
        </w:rPr>
        <w:t xml:space="preserve">, §§ 371-72, 28 November 2017</w:t>
      </w:r>
    </w:p>
    <w:p w:rsidR="00000000" w:rsidDel="00000000" w:rsidP="00000000" w:rsidRDefault="00000000" w:rsidRPr="00000000" w14:paraId="0000003D">
      <w:pPr>
        <w:shd w:fill="ffffff" w:val="clear"/>
        <w:spacing w:before="240" w:lineRule="auto"/>
        <w:jc w:val="both"/>
        <w:rPr>
          <w:sz w:val="20"/>
          <w:szCs w:val="20"/>
        </w:rPr>
      </w:pPr>
      <w:r w:rsidDel="00000000" w:rsidR="00000000" w:rsidRPr="00000000">
        <w:rPr>
          <w:sz w:val="20"/>
          <w:szCs w:val="20"/>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Mraović v. Croatia (striking out) [GC], no. </w:t>
      </w:r>
      <w:hyperlink r:id="rId25">
        <w:r w:rsidDel="00000000" w:rsidR="00000000" w:rsidRPr="00000000">
          <w:rPr>
            <w:color w:val="0069d6"/>
            <w:sz w:val="20"/>
            <w:szCs w:val="20"/>
            <w:u w:val="single"/>
            <w:rtl w:val="0"/>
          </w:rPr>
          <w:t xml:space="preserve">30373/13</w:t>
        </w:r>
      </w:hyperlink>
      <w:r w:rsidDel="00000000" w:rsidR="00000000" w:rsidRPr="00000000">
        <w:rPr>
          <w:sz w:val="20"/>
          <w:szCs w:val="20"/>
          <w:rtl w:val="0"/>
        </w:rPr>
        <w:t xml:space="preserve">, § 23, 9 April 2021</w:t>
      </w:r>
    </w:p>
    <w:p w:rsidR="00000000" w:rsidDel="00000000" w:rsidP="00000000" w:rsidRDefault="00000000" w:rsidRPr="00000000" w14:paraId="0000003E">
      <w:pPr>
        <w:shd w:fill="ffffff" w:val="clear"/>
        <w:spacing w:before="240" w:lineRule="auto"/>
        <w:jc w:val="both"/>
        <w:rPr>
          <w:sz w:val="20"/>
          <w:szCs w:val="20"/>
        </w:rPr>
      </w:pPr>
      <w:r w:rsidDel="00000000" w:rsidR="00000000" w:rsidRPr="00000000">
        <w:rPr>
          <w:sz w:val="20"/>
          <w:szCs w:val="20"/>
          <w:rtl w:val="0"/>
        </w:rPr>
        <w:t xml:space="preserve">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Neulinger and Shuruk v. Switzerland [GC], no. </w:t>
      </w:r>
      <w:hyperlink r:id="rId26">
        <w:r w:rsidDel="00000000" w:rsidR="00000000" w:rsidRPr="00000000">
          <w:rPr>
            <w:color w:val="0069d6"/>
            <w:sz w:val="20"/>
            <w:szCs w:val="20"/>
            <w:u w:val="single"/>
            <w:rtl w:val="0"/>
          </w:rPr>
          <w:t xml:space="preserve">41615/07</w:t>
        </w:r>
      </w:hyperlink>
      <w:r w:rsidDel="00000000" w:rsidR="00000000" w:rsidRPr="00000000">
        <w:rPr>
          <w:sz w:val="20"/>
          <w:szCs w:val="20"/>
          <w:rtl w:val="0"/>
        </w:rPr>
        <w:t xml:space="preserve">, §§ 134-35, ECHR 2010</w:t>
      </w:r>
    </w:p>
    <w:p w:rsidR="00000000" w:rsidDel="00000000" w:rsidP="00000000" w:rsidRDefault="00000000" w:rsidRPr="00000000" w14:paraId="0000003F">
      <w:pPr>
        <w:shd w:fill="ffffff" w:val="clear"/>
        <w:spacing w:before="240" w:lineRule="auto"/>
        <w:jc w:val="both"/>
        <w:rPr>
          <w:sz w:val="20"/>
          <w:szCs w:val="20"/>
        </w:rPr>
      </w:pPr>
      <w:r w:rsidDel="00000000" w:rsidR="00000000" w:rsidRPr="00000000">
        <w:rPr>
          <w:sz w:val="20"/>
          <w:szCs w:val="20"/>
          <w:rtl w:val="0"/>
        </w:rPr>
        <w:t xml:space="preserve">24.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Novoseletskiy v. Ukraine, no. </w:t>
      </w:r>
      <w:hyperlink r:id="rId27">
        <w:r w:rsidDel="00000000" w:rsidR="00000000" w:rsidRPr="00000000">
          <w:rPr>
            <w:color w:val="0069d6"/>
            <w:sz w:val="20"/>
            <w:szCs w:val="20"/>
            <w:u w:val="single"/>
            <w:rtl w:val="0"/>
          </w:rPr>
          <w:t xml:space="preserve">47148/99</w:t>
        </w:r>
      </w:hyperlink>
      <w:r w:rsidDel="00000000" w:rsidR="00000000" w:rsidRPr="00000000">
        <w:rPr>
          <w:sz w:val="20"/>
          <w:szCs w:val="20"/>
          <w:rtl w:val="0"/>
        </w:rPr>
        <w:t xml:space="preserve">, §§ 80-82, ECHR 2005-II (extracts)</w:t>
      </w:r>
    </w:p>
    <w:p w:rsidR="00000000" w:rsidDel="00000000" w:rsidP="00000000" w:rsidRDefault="00000000" w:rsidRPr="00000000" w14:paraId="00000040">
      <w:pPr>
        <w:shd w:fill="ffffff" w:val="clear"/>
        <w:spacing w:before="240" w:lineRule="auto"/>
        <w:jc w:val="both"/>
        <w:rPr>
          <w:sz w:val="20"/>
          <w:szCs w:val="20"/>
        </w:rPr>
      </w:pPr>
      <w:r w:rsidDel="00000000" w:rsidR="00000000" w:rsidRPr="00000000">
        <w:rPr>
          <w:sz w:val="20"/>
          <w:szCs w:val="20"/>
          <w:rtl w:val="0"/>
        </w:rPr>
        <w:t xml:space="preserve">25.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Orlandi and Others v. Italy, nos. </w:t>
      </w:r>
      <w:hyperlink r:id="rId28">
        <w:r w:rsidDel="00000000" w:rsidR="00000000" w:rsidRPr="00000000">
          <w:rPr>
            <w:color w:val="0069d6"/>
            <w:sz w:val="20"/>
            <w:szCs w:val="20"/>
            <w:u w:val="single"/>
            <w:rtl w:val="0"/>
          </w:rPr>
          <w:t xml:space="preserve">26431/12</w:t>
        </w:r>
      </w:hyperlink>
      <w:r w:rsidDel="00000000" w:rsidR="00000000" w:rsidRPr="00000000">
        <w:rPr>
          <w:sz w:val="20"/>
          <w:szCs w:val="20"/>
          <w:rtl w:val="0"/>
        </w:rPr>
        <w:t xml:space="preserve"> and 3 others, § 212, 14 December 2017</w:t>
      </w:r>
    </w:p>
    <w:p w:rsidR="00000000" w:rsidDel="00000000" w:rsidP="00000000" w:rsidRDefault="00000000" w:rsidRPr="00000000" w14:paraId="00000041">
      <w:pPr>
        <w:shd w:fill="ffffff" w:val="clear"/>
        <w:spacing w:before="240" w:lineRule="auto"/>
        <w:jc w:val="both"/>
        <w:rPr>
          <w:sz w:val="20"/>
          <w:szCs w:val="20"/>
        </w:rPr>
      </w:pPr>
      <w:r w:rsidDel="00000000" w:rsidR="00000000" w:rsidRPr="00000000">
        <w:rPr>
          <w:sz w:val="20"/>
          <w:szCs w:val="20"/>
          <w:rtl w:val="0"/>
        </w:rPr>
        <w:t xml:space="preserve">26.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Paradiso and Campanelli v. Italy [GC], no. </w:t>
      </w:r>
      <w:hyperlink r:id="rId29">
        <w:r w:rsidDel="00000000" w:rsidR="00000000" w:rsidRPr="00000000">
          <w:rPr>
            <w:color w:val="0069d6"/>
            <w:sz w:val="20"/>
            <w:szCs w:val="20"/>
            <w:u w:val="single"/>
            <w:rtl w:val="0"/>
          </w:rPr>
          <w:t xml:space="preserve">25358/12</w:t>
        </w:r>
      </w:hyperlink>
      <w:r w:rsidDel="00000000" w:rsidR="00000000" w:rsidRPr="00000000">
        <w:rPr>
          <w:sz w:val="20"/>
          <w:szCs w:val="20"/>
          <w:rtl w:val="0"/>
        </w:rPr>
        <w:t xml:space="preserve">, § 208, 24 January 2017</w:t>
      </w:r>
    </w:p>
    <w:p w:rsidR="00000000" w:rsidDel="00000000" w:rsidP="00000000" w:rsidRDefault="00000000" w:rsidRPr="00000000" w14:paraId="00000042">
      <w:pPr>
        <w:shd w:fill="ffffff" w:val="clear"/>
        <w:spacing w:before="240" w:lineRule="auto"/>
        <w:jc w:val="both"/>
        <w:rPr>
          <w:sz w:val="20"/>
          <w:szCs w:val="20"/>
        </w:rPr>
      </w:pPr>
      <w:r w:rsidDel="00000000" w:rsidR="00000000" w:rsidRPr="00000000">
        <w:rPr>
          <w:sz w:val="20"/>
          <w:szCs w:val="20"/>
          <w:rtl w:val="0"/>
        </w:rPr>
        <w:t xml:space="preserve">27.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Salgueiro da Silva Mouta v. Portugal, no. </w:t>
      </w:r>
      <w:hyperlink r:id="rId30">
        <w:r w:rsidDel="00000000" w:rsidR="00000000" w:rsidRPr="00000000">
          <w:rPr>
            <w:color w:val="0069d6"/>
            <w:sz w:val="20"/>
            <w:szCs w:val="20"/>
            <w:u w:val="single"/>
            <w:rtl w:val="0"/>
          </w:rPr>
          <w:t xml:space="preserve">33290/96</w:t>
        </w:r>
      </w:hyperlink>
      <w:r w:rsidDel="00000000" w:rsidR="00000000" w:rsidRPr="00000000">
        <w:rPr>
          <w:sz w:val="20"/>
          <w:szCs w:val="20"/>
          <w:rtl w:val="0"/>
        </w:rPr>
        <w:t xml:space="preserve">, § 36, ECHR 1999 IX</w:t>
      </w:r>
    </w:p>
    <w:p w:rsidR="00000000" w:rsidDel="00000000" w:rsidP="00000000" w:rsidRDefault="00000000" w:rsidRPr="00000000" w14:paraId="00000043">
      <w:pPr>
        <w:shd w:fill="ffffff" w:val="clear"/>
        <w:spacing w:before="240" w:lineRule="auto"/>
        <w:jc w:val="both"/>
        <w:rPr>
          <w:sz w:val="20"/>
          <w:szCs w:val="20"/>
        </w:rPr>
      </w:pPr>
      <w:r w:rsidDel="00000000" w:rsidR="00000000" w:rsidRPr="00000000">
        <w:rPr>
          <w:sz w:val="20"/>
          <w:szCs w:val="20"/>
          <w:rtl w:val="0"/>
        </w:rPr>
        <w:t xml:space="preserve">28.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Sekmadienis Ltd. v. Lithuania, no. </w:t>
      </w:r>
      <w:hyperlink r:id="rId31">
        <w:r w:rsidDel="00000000" w:rsidR="00000000" w:rsidRPr="00000000">
          <w:rPr>
            <w:color w:val="0069d6"/>
            <w:sz w:val="20"/>
            <w:szCs w:val="20"/>
            <w:u w:val="single"/>
            <w:rtl w:val="0"/>
          </w:rPr>
          <w:t xml:space="preserve">69317/14</w:t>
        </w:r>
      </w:hyperlink>
      <w:r w:rsidDel="00000000" w:rsidR="00000000" w:rsidRPr="00000000">
        <w:rPr>
          <w:sz w:val="20"/>
          <w:szCs w:val="20"/>
          <w:rtl w:val="0"/>
        </w:rPr>
        <w:t xml:space="preserve">, § 68, 30 January 2018</w:t>
      </w:r>
    </w:p>
    <w:p w:rsidR="00000000" w:rsidDel="00000000" w:rsidP="00000000" w:rsidRDefault="00000000" w:rsidRPr="00000000" w14:paraId="00000044">
      <w:pPr>
        <w:shd w:fill="ffffff" w:val="clear"/>
        <w:spacing w:before="240" w:lineRule="auto"/>
        <w:jc w:val="both"/>
        <w:rPr>
          <w:sz w:val="20"/>
          <w:szCs w:val="20"/>
        </w:rPr>
      </w:pPr>
      <w:r w:rsidDel="00000000" w:rsidR="00000000" w:rsidRPr="00000000">
        <w:rPr>
          <w:sz w:val="20"/>
          <w:szCs w:val="20"/>
          <w:rtl w:val="0"/>
        </w:rPr>
        <w:t xml:space="preserve">29.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Sigma Radio TelevisionLtd v. Cyprus, nos. </w:t>
      </w:r>
      <w:hyperlink r:id="rId32">
        <w:r w:rsidDel="00000000" w:rsidR="00000000" w:rsidRPr="00000000">
          <w:rPr>
            <w:color w:val="0069d6"/>
            <w:sz w:val="20"/>
            <w:szCs w:val="20"/>
            <w:u w:val="single"/>
            <w:rtl w:val="0"/>
          </w:rPr>
          <w:t xml:space="preserve">32181/04</w:t>
        </w:r>
      </w:hyperlink>
      <w:r w:rsidDel="00000000" w:rsidR="00000000" w:rsidRPr="00000000">
        <w:rPr>
          <w:sz w:val="20"/>
          <w:szCs w:val="20"/>
          <w:rtl w:val="0"/>
        </w:rPr>
        <w:t xml:space="preserve"> and </w:t>
      </w:r>
      <w:hyperlink r:id="rId33">
        <w:r w:rsidDel="00000000" w:rsidR="00000000" w:rsidRPr="00000000">
          <w:rPr>
            <w:color w:val="0069d6"/>
            <w:sz w:val="20"/>
            <w:szCs w:val="20"/>
            <w:u w:val="single"/>
            <w:rtl w:val="0"/>
          </w:rPr>
          <w:t xml:space="preserve">35122/05</w:t>
        </w:r>
      </w:hyperlink>
      <w:r w:rsidDel="00000000" w:rsidR="00000000" w:rsidRPr="00000000">
        <w:rPr>
          <w:sz w:val="20"/>
          <w:szCs w:val="20"/>
          <w:rtl w:val="0"/>
        </w:rPr>
        <w:t xml:space="preserve">, §§ 14-16 and 200-01, 21 July 2011</w:t>
      </w:r>
    </w:p>
    <w:p w:rsidR="00000000" w:rsidDel="00000000" w:rsidP="00000000" w:rsidRDefault="00000000" w:rsidRPr="00000000" w14:paraId="00000045">
      <w:pPr>
        <w:shd w:fill="ffffff" w:val="clear"/>
        <w:spacing w:before="240" w:lineRule="auto"/>
        <w:jc w:val="both"/>
        <w:rPr>
          <w:sz w:val="20"/>
          <w:szCs w:val="20"/>
        </w:rPr>
      </w:pPr>
      <w:r w:rsidDel="00000000" w:rsidR="00000000" w:rsidRPr="00000000">
        <w:rPr>
          <w:sz w:val="20"/>
          <w:szCs w:val="20"/>
          <w:rtl w:val="0"/>
        </w:rPr>
        <w:t xml:space="preserve">30.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Vallianatos and Others v. Greece [GC], nos. </w:t>
      </w:r>
      <w:hyperlink r:id="rId34">
        <w:r w:rsidDel="00000000" w:rsidR="00000000" w:rsidRPr="00000000">
          <w:rPr>
            <w:color w:val="0069d6"/>
            <w:sz w:val="20"/>
            <w:szCs w:val="20"/>
            <w:u w:val="single"/>
            <w:rtl w:val="0"/>
          </w:rPr>
          <w:t xml:space="preserve">29381/09</w:t>
        </w:r>
      </w:hyperlink>
      <w:r w:rsidDel="00000000" w:rsidR="00000000" w:rsidRPr="00000000">
        <w:rPr>
          <w:sz w:val="20"/>
          <w:szCs w:val="20"/>
          <w:rtl w:val="0"/>
        </w:rPr>
        <w:t xml:space="preserve"> and </w:t>
      </w:r>
      <w:hyperlink r:id="rId35">
        <w:r w:rsidDel="00000000" w:rsidR="00000000" w:rsidRPr="00000000">
          <w:rPr>
            <w:color w:val="0069d6"/>
            <w:sz w:val="20"/>
            <w:szCs w:val="20"/>
            <w:u w:val="single"/>
            <w:rtl w:val="0"/>
          </w:rPr>
          <w:t xml:space="preserve">32684/09</w:t>
        </w:r>
      </w:hyperlink>
      <w:r w:rsidDel="00000000" w:rsidR="00000000" w:rsidRPr="00000000">
        <w:rPr>
          <w:sz w:val="20"/>
          <w:szCs w:val="20"/>
          <w:rtl w:val="0"/>
        </w:rPr>
        <w:t xml:space="preserve">, § 77, ECHR 2013 (extracts)</w:t>
      </w:r>
    </w:p>
    <w:p w:rsidR="00000000" w:rsidDel="00000000" w:rsidP="00000000" w:rsidRDefault="00000000" w:rsidRPr="00000000" w14:paraId="00000046">
      <w:pPr>
        <w:shd w:fill="ffffff" w:val="clear"/>
        <w:spacing w:before="240" w:lineRule="auto"/>
        <w:jc w:val="both"/>
        <w:rPr>
          <w:sz w:val="20"/>
          <w:szCs w:val="20"/>
        </w:rPr>
      </w:pPr>
      <w:r w:rsidDel="00000000" w:rsidR="00000000" w:rsidRPr="00000000">
        <w:rPr>
          <w:sz w:val="20"/>
          <w:szCs w:val="20"/>
          <w:rtl w:val="0"/>
        </w:rPr>
        <w:t xml:space="preserve">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Vavřička and Others v. the Czech Republic [GC], nos. </w:t>
      </w:r>
      <w:hyperlink r:id="rId36">
        <w:r w:rsidDel="00000000" w:rsidR="00000000" w:rsidRPr="00000000">
          <w:rPr>
            <w:color w:val="0069d6"/>
            <w:sz w:val="20"/>
            <w:szCs w:val="20"/>
            <w:u w:val="single"/>
            <w:rtl w:val="0"/>
          </w:rPr>
          <w:t xml:space="preserve">47621/13</w:t>
        </w:r>
      </w:hyperlink>
      <w:r w:rsidDel="00000000" w:rsidR="00000000" w:rsidRPr="00000000">
        <w:rPr>
          <w:sz w:val="20"/>
          <w:szCs w:val="20"/>
          <w:rtl w:val="0"/>
        </w:rPr>
        <w:t xml:space="preserve"> and 5 others, § 287, 8 April 2021</w:t>
      </w:r>
    </w:p>
    <w:p w:rsidR="00000000" w:rsidDel="00000000" w:rsidP="00000000" w:rsidRDefault="00000000" w:rsidRPr="00000000" w14:paraId="00000047">
      <w:pPr>
        <w:shd w:fill="ffffff" w:val="clear"/>
        <w:spacing w:before="240" w:lineRule="auto"/>
        <w:jc w:val="both"/>
        <w:rPr>
          <w:sz w:val="20"/>
          <w:szCs w:val="20"/>
        </w:rPr>
      </w:pPr>
      <w:r w:rsidDel="00000000" w:rsidR="00000000" w:rsidRPr="00000000">
        <w:rPr>
          <w:sz w:val="20"/>
          <w:szCs w:val="20"/>
          <w:rtl w:val="0"/>
        </w:rPr>
        <w:t xml:space="preserve">32.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Vejdeland and Others v. Sweden, no. </w:t>
      </w:r>
      <w:hyperlink r:id="rId37">
        <w:r w:rsidDel="00000000" w:rsidR="00000000" w:rsidRPr="00000000">
          <w:rPr>
            <w:color w:val="0069d6"/>
            <w:sz w:val="20"/>
            <w:szCs w:val="20"/>
            <w:u w:val="single"/>
            <w:rtl w:val="0"/>
          </w:rPr>
          <w:t xml:space="preserve">1813/07</w:t>
        </w:r>
      </w:hyperlink>
      <w:r w:rsidDel="00000000" w:rsidR="00000000" w:rsidRPr="00000000">
        <w:rPr>
          <w:sz w:val="20"/>
          <w:szCs w:val="20"/>
          <w:rtl w:val="0"/>
        </w:rPr>
        <w:t xml:space="preserve">, 9 February 2012</w:t>
      </w:r>
    </w:p>
    <w:p w:rsidR="00000000" w:rsidDel="00000000" w:rsidP="00000000" w:rsidRDefault="00000000" w:rsidRPr="00000000" w14:paraId="00000048">
      <w:pPr>
        <w:shd w:fill="ffffff" w:val="clear"/>
        <w:spacing w:before="240" w:lineRule="auto"/>
        <w:jc w:val="both"/>
        <w:rPr>
          <w:sz w:val="20"/>
          <w:szCs w:val="20"/>
        </w:rPr>
      </w:pPr>
      <w:r w:rsidDel="00000000" w:rsidR="00000000" w:rsidRPr="00000000">
        <w:rPr>
          <w:sz w:val="20"/>
          <w:szCs w:val="20"/>
          <w:rtl w:val="0"/>
        </w:rPr>
        <w:t xml:space="preserve">33.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Vistiņš and Perepjolkins v. Latvia [GC], no. </w:t>
      </w:r>
      <w:hyperlink r:id="rId38">
        <w:r w:rsidDel="00000000" w:rsidR="00000000" w:rsidRPr="00000000">
          <w:rPr>
            <w:color w:val="0069d6"/>
            <w:sz w:val="20"/>
            <w:szCs w:val="20"/>
            <w:u w:val="single"/>
            <w:rtl w:val="0"/>
          </w:rPr>
          <w:t xml:space="preserve">71243/01</w:t>
        </w:r>
      </w:hyperlink>
      <w:r w:rsidDel="00000000" w:rsidR="00000000" w:rsidRPr="00000000">
        <w:rPr>
          <w:sz w:val="20"/>
          <w:szCs w:val="20"/>
          <w:rtl w:val="0"/>
        </w:rPr>
        <w:t xml:space="preserve">, § 136, 25 October 2012</w:t>
      </w:r>
    </w:p>
    <w:p w:rsidR="00000000" w:rsidDel="00000000" w:rsidP="00000000" w:rsidRDefault="00000000" w:rsidRPr="00000000" w14:paraId="00000049">
      <w:pPr>
        <w:shd w:fill="ffffff" w:val="clear"/>
        <w:spacing w:before="240" w:lineRule="auto"/>
        <w:jc w:val="both"/>
        <w:rPr>
          <w:sz w:val="20"/>
          <w:szCs w:val="20"/>
        </w:rPr>
      </w:pPr>
      <w:r w:rsidDel="00000000" w:rsidR="00000000" w:rsidRPr="00000000">
        <w:rPr>
          <w:sz w:val="20"/>
          <w:szCs w:val="20"/>
          <w:rtl w:val="0"/>
        </w:rPr>
        <w:t xml:space="preserve">34.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Wille v. Liechtenstein [GC], no. </w:t>
      </w:r>
      <w:hyperlink r:id="rId39">
        <w:r w:rsidDel="00000000" w:rsidR="00000000" w:rsidRPr="00000000">
          <w:rPr>
            <w:color w:val="0069d6"/>
            <w:sz w:val="20"/>
            <w:szCs w:val="20"/>
            <w:u w:val="single"/>
            <w:rtl w:val="0"/>
          </w:rPr>
          <w:t xml:space="preserve">28396/95</w:t>
        </w:r>
      </w:hyperlink>
      <w:r w:rsidDel="00000000" w:rsidR="00000000" w:rsidRPr="00000000">
        <w:rPr>
          <w:sz w:val="20"/>
          <w:szCs w:val="20"/>
          <w:rtl w:val="0"/>
        </w:rPr>
        <w:t xml:space="preserve">, § 43, ECHR 1999–VII</w:t>
      </w:r>
    </w:p>
    <w:p w:rsidR="00000000" w:rsidDel="00000000" w:rsidP="00000000" w:rsidRDefault="00000000" w:rsidRPr="00000000" w14:paraId="0000004A">
      <w:pPr>
        <w:shd w:fill="ffffff" w:val="clear"/>
        <w:spacing w:before="240" w:lineRule="auto"/>
        <w:jc w:val="both"/>
        <w:rPr>
          <w:sz w:val="20"/>
          <w:szCs w:val="20"/>
          <w:highlight w:val="white"/>
        </w:rPr>
      </w:pPr>
      <w:r w:rsidDel="00000000" w:rsidR="00000000" w:rsidRPr="00000000">
        <w:rPr>
          <w:sz w:val="20"/>
          <w:szCs w:val="20"/>
          <w:rtl w:val="0"/>
        </w:rPr>
        <w:t xml:space="preserve">35.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X v. Latvia [GC], no. </w:t>
      </w:r>
      <w:hyperlink r:id="rId40">
        <w:r w:rsidDel="00000000" w:rsidR="00000000" w:rsidRPr="00000000">
          <w:rPr>
            <w:color w:val="0069d6"/>
            <w:sz w:val="20"/>
            <w:szCs w:val="20"/>
            <w:u w:val="single"/>
            <w:rtl w:val="0"/>
          </w:rPr>
          <w:t xml:space="preserve">27853/09</w:t>
        </w:r>
      </w:hyperlink>
      <w:r w:rsidDel="00000000" w:rsidR="00000000" w:rsidRPr="00000000">
        <w:rPr>
          <w:sz w:val="20"/>
          <w:szCs w:val="20"/>
          <w:rtl w:val="0"/>
        </w:rPr>
        <w:t xml:space="preserve">, §§ 95–96, ECHR 2013</w:t>
      </w:r>
      <w:r w:rsidDel="00000000" w:rsidR="00000000" w:rsidRPr="00000000">
        <w:rPr>
          <w:rtl w:val="0"/>
        </w:rPr>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hudoc.echr.coe.int/eng#%7B%22appno%22:%5B%2227853/09%22%5D%7D" TargetMode="External"/><Relationship Id="rId20" Type="http://schemas.openxmlformats.org/officeDocument/2006/relationships/hyperlink" Target="https://hudoc.echr.coe.int/eng#%7B%22appno%22:%5B%2220233/06%22%5D%7D" TargetMode="External"/><Relationship Id="rId22" Type="http://schemas.openxmlformats.org/officeDocument/2006/relationships/hyperlink" Target="https://hudoc.echr.coe.int/eng#%7B%22appno%22:%5B%2265500/01%22%5D%7D" TargetMode="External"/><Relationship Id="rId21" Type="http://schemas.openxmlformats.org/officeDocument/2006/relationships/hyperlink" Target="https://hudoc.echr.coe.int/eng#%7B%22appno%22:%5B%2227209/03%22%5D%7D" TargetMode="External"/><Relationship Id="rId24" Type="http://schemas.openxmlformats.org/officeDocument/2006/relationships/hyperlink" Target="https://hudoc.echr.coe.int/eng#%7B%22appno%22:%5B%2272508/13%22%5D%7D" TargetMode="External"/><Relationship Id="rId23" Type="http://schemas.openxmlformats.org/officeDocument/2006/relationships/hyperlink" Target="https://hudoc.echr.coe.int/eng#%7B%22appno%22:%5B%226697/18%22%5D%7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udoc.echr.coe.int/eng#%7B%22appno%22:%5B%2267667/09%22%5D%7D" TargetMode="External"/><Relationship Id="rId26" Type="http://schemas.openxmlformats.org/officeDocument/2006/relationships/hyperlink" Target="https://hudoc.echr.coe.int/eng#%7B%22appno%22:%5B%2241615/07%22%5D%7D" TargetMode="External"/><Relationship Id="rId25" Type="http://schemas.openxmlformats.org/officeDocument/2006/relationships/hyperlink" Target="https://hudoc.echr.coe.int/eng#%7B%22appno%22:%5B%2230373/13%22%5D%7D" TargetMode="External"/><Relationship Id="rId28" Type="http://schemas.openxmlformats.org/officeDocument/2006/relationships/hyperlink" Target="https://hudoc.echr.coe.int/eng#%7B%22appno%22:%5B%2226431/12%22%5D%7D" TargetMode="External"/><Relationship Id="rId27" Type="http://schemas.openxmlformats.org/officeDocument/2006/relationships/hyperlink" Target="https://hudoc.echr.coe.int/eng#%7B%22appno%22:%5B%2247148/99%22%5D%7D" TargetMode="External"/><Relationship Id="rId5" Type="http://schemas.openxmlformats.org/officeDocument/2006/relationships/styles" Target="styles.xml"/><Relationship Id="rId6" Type="http://schemas.openxmlformats.org/officeDocument/2006/relationships/hyperlink" Target="https://hudoc.echr.coe.int/eng#%7B%22appno%22:%5B%224916/07%22%5D%7D" TargetMode="External"/><Relationship Id="rId29" Type="http://schemas.openxmlformats.org/officeDocument/2006/relationships/hyperlink" Target="https://hudoc.echr.coe.int/eng#%7B%22appno%22:%5B%2225358/12%22%5D%7D" TargetMode="External"/><Relationship Id="rId7" Type="http://schemas.openxmlformats.org/officeDocument/2006/relationships/hyperlink" Target="https://hudoc.echr.coe.int/eng#%7B%22appno%22:%5B%2222338/15%22%5D%7D" TargetMode="External"/><Relationship Id="rId8" Type="http://schemas.openxmlformats.org/officeDocument/2006/relationships/hyperlink" Target="https://hudoc.echr.coe.int/eng#%7B%22appno%22:%5B%224916/07%22%5D%7D" TargetMode="External"/><Relationship Id="rId31" Type="http://schemas.openxmlformats.org/officeDocument/2006/relationships/hyperlink" Target="https://hudoc.echr.coe.int/eng#%7B%22appno%22:%5B%2269317/14%22%5D%7D" TargetMode="External"/><Relationship Id="rId30" Type="http://schemas.openxmlformats.org/officeDocument/2006/relationships/hyperlink" Target="https://hudoc.echr.coe.int/eng#%7B%22appno%22:%5B%2233290/96%22%5D%7D" TargetMode="External"/><Relationship Id="rId11" Type="http://schemas.openxmlformats.org/officeDocument/2006/relationships/hyperlink" Target="https://hudoc.echr.coe.int/eng#%7B%22appno%22:%5B%2246712/15%22%5D%7D" TargetMode="External"/><Relationship Id="rId33" Type="http://schemas.openxmlformats.org/officeDocument/2006/relationships/hyperlink" Target="https://hudoc.echr.coe.int/eng#%7B%22appno%22:%5B%2235122/05%22%5D%7D" TargetMode="External"/><Relationship Id="rId10" Type="http://schemas.openxmlformats.org/officeDocument/2006/relationships/hyperlink" Target="https://hudoc.echr.coe.int/eng#%7B%22appno%22:%5B%2256925/08%22%5D%7D" TargetMode="External"/><Relationship Id="rId32" Type="http://schemas.openxmlformats.org/officeDocument/2006/relationships/hyperlink" Target="https://hudoc.echr.coe.int/eng#%7B%22appno%22:%5B%2232181/04%22%5D%7D" TargetMode="External"/><Relationship Id="rId13" Type="http://schemas.openxmlformats.org/officeDocument/2006/relationships/hyperlink" Target="https://hudoc.echr.coe.int/eng#%7B%22appno%22:%5B%22319/08%22%5D%7D" TargetMode="External"/><Relationship Id="rId35" Type="http://schemas.openxmlformats.org/officeDocument/2006/relationships/hyperlink" Target="https://hudoc.echr.coe.int/eng#%7B%22appno%22:%5B%2232684/09%22%5D%7D" TargetMode="External"/><Relationship Id="rId12" Type="http://schemas.openxmlformats.org/officeDocument/2006/relationships/hyperlink" Target="https://hudoc.echr.coe.int/eng#%7B%22appno%22:%5B%2242393/98%22%5D%7D" TargetMode="External"/><Relationship Id="rId34" Type="http://schemas.openxmlformats.org/officeDocument/2006/relationships/hyperlink" Target="https://hudoc.echr.coe.int/eng#%7B%22appno%22:%5B%2229381/09%22%5D%7D" TargetMode="External"/><Relationship Id="rId15" Type="http://schemas.openxmlformats.org/officeDocument/2006/relationships/hyperlink" Target="https://hudoc.echr.coe.int/eng#%7B%22appno%22:%5B%2215472/02%22%5D%7D" TargetMode="External"/><Relationship Id="rId37" Type="http://schemas.openxmlformats.org/officeDocument/2006/relationships/hyperlink" Target="https://hudoc.echr.coe.int/eng#%7B%22appno%22:%5B%221813/07%22%5D%7D" TargetMode="External"/><Relationship Id="rId14" Type="http://schemas.openxmlformats.org/officeDocument/2006/relationships/hyperlink" Target="https://hudoc.echr.coe.int/eng#%7B%22appno%22:%5B%2243546/02%22%5D%7D" TargetMode="External"/><Relationship Id="rId36" Type="http://schemas.openxmlformats.org/officeDocument/2006/relationships/hyperlink" Target="https://hudoc.echr.coe.int/eng#%7B%22appno%22:%5B%2247621/13%22%5D%7D" TargetMode="External"/><Relationship Id="rId17" Type="http://schemas.openxmlformats.org/officeDocument/2006/relationships/hyperlink" Target="https://hudoc.echr.coe.int/eng#%7B%22appno%22:%5B%2214888/03%22%5D%7D" TargetMode="External"/><Relationship Id="rId39" Type="http://schemas.openxmlformats.org/officeDocument/2006/relationships/hyperlink" Target="https://hudoc.echr.coe.int/eng#%7B%22appno%22:%5B%2228396/95%22%5D%7D" TargetMode="External"/><Relationship Id="rId16" Type="http://schemas.openxmlformats.org/officeDocument/2006/relationships/hyperlink" Target="https://hudoc.echr.coe.int/eng#%7B%22appno%22:%5B%2223922/19%22%5D%7D" TargetMode="External"/><Relationship Id="rId38" Type="http://schemas.openxmlformats.org/officeDocument/2006/relationships/hyperlink" Target="https://hudoc.echr.coe.int/eng#%7B%22appno%22:%5B%2271243/01%22%5D%7D" TargetMode="External"/><Relationship Id="rId19" Type="http://schemas.openxmlformats.org/officeDocument/2006/relationships/hyperlink" Target="https://hudoc.echr.coe.int/eng#%7B%22appno%22:%5B%2251188/99%22%5D%7D" TargetMode="External"/><Relationship Id="rId18" Type="http://schemas.openxmlformats.org/officeDocument/2006/relationships/hyperlink" Target="https://hudoc.echr.coe.int/eng#%7B%22appno%22:%5B%2243572/18%22%5D%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