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0FE4" w:rsidRDefault="00000000">
      <w:pPr>
        <w:shd w:val="clear" w:color="auto" w:fill="8EAADB"/>
        <w:spacing w:line="276" w:lineRule="auto"/>
        <w:jc w:val="center"/>
        <w:rPr>
          <w:rFonts w:ascii="Garamond" w:eastAsia="Garamond" w:hAnsi="Garamond" w:cs="Garamond"/>
          <w:b/>
          <w:color w:val="000000"/>
          <w:sz w:val="22"/>
          <w:szCs w:val="22"/>
        </w:rPr>
      </w:pPr>
      <w:r>
        <w:rPr>
          <w:rFonts w:ascii="Garamond" w:eastAsia="Garamond" w:hAnsi="Garamond" w:cs="Garamond"/>
          <w:b/>
          <w:i/>
          <w:color w:val="000000"/>
          <w:sz w:val="22"/>
          <w:szCs w:val="22"/>
        </w:rPr>
        <w:t xml:space="preserve">Case Title: </w:t>
      </w:r>
      <w:r>
        <w:rPr>
          <w:rFonts w:ascii="Garamond" w:eastAsia="Garamond" w:hAnsi="Garamond" w:cs="Garamond"/>
          <w:b/>
          <w:i/>
          <w:sz w:val="22"/>
          <w:szCs w:val="22"/>
        </w:rPr>
        <w:t>Case of J.M.A (</w:t>
      </w:r>
      <w:proofErr w:type="spellStart"/>
      <w:r>
        <w:rPr>
          <w:rFonts w:ascii="Garamond" w:eastAsia="Garamond" w:hAnsi="Garamond" w:cs="Garamond"/>
          <w:b/>
          <w:i/>
          <w:sz w:val="22"/>
          <w:szCs w:val="22"/>
        </w:rPr>
        <w:t>Valtònyc</w:t>
      </w:r>
      <w:proofErr w:type="spellEnd"/>
      <w:r>
        <w:rPr>
          <w:rFonts w:ascii="Garamond" w:eastAsia="Garamond" w:hAnsi="Garamond" w:cs="Garamond"/>
          <w:b/>
          <w:i/>
          <w:sz w:val="22"/>
          <w:szCs w:val="22"/>
        </w:rPr>
        <w:t>)</w:t>
      </w:r>
    </w:p>
    <w:p w14:paraId="00000002" w14:textId="77777777" w:rsidR="00D00FE4" w:rsidRDefault="00000000">
      <w:pPr>
        <w:shd w:val="clear" w:color="auto" w:fill="8EAADB"/>
        <w:spacing w:line="276" w:lineRule="auto"/>
        <w:jc w:val="center"/>
        <w:rPr>
          <w:rFonts w:ascii="Garamond" w:eastAsia="Garamond" w:hAnsi="Garamond" w:cs="Garamond"/>
          <w:b/>
          <w:color w:val="000000"/>
          <w:sz w:val="22"/>
          <w:szCs w:val="22"/>
        </w:rPr>
      </w:pPr>
      <w:r>
        <w:rPr>
          <w:rFonts w:ascii="Garamond" w:eastAsia="Garamond" w:hAnsi="Garamond" w:cs="Garamond"/>
          <w:b/>
          <w:color w:val="000000"/>
          <w:sz w:val="22"/>
          <w:szCs w:val="22"/>
        </w:rPr>
        <w:t xml:space="preserve">Case Analysis </w:t>
      </w:r>
    </w:p>
    <w:p w14:paraId="00000003" w14:textId="77777777" w:rsidR="00D00FE4" w:rsidRDefault="00D00FE4">
      <w:pPr>
        <w:spacing w:line="276" w:lineRule="auto"/>
        <w:jc w:val="center"/>
        <w:rPr>
          <w:rFonts w:ascii="Garamond" w:eastAsia="Garamond" w:hAnsi="Garamond" w:cs="Garamond"/>
          <w:sz w:val="22"/>
          <w:szCs w:val="22"/>
        </w:rPr>
      </w:pPr>
    </w:p>
    <w:p w14:paraId="00000004" w14:textId="77777777" w:rsidR="00D00FE4" w:rsidRDefault="00000000">
      <w:pPr>
        <w:spacing w:line="276" w:lineRule="auto"/>
        <w:jc w:val="both"/>
        <w:rPr>
          <w:rFonts w:ascii="Garamond" w:eastAsia="Garamond" w:hAnsi="Garamond" w:cs="Garamond"/>
          <w:b/>
          <w:sz w:val="22"/>
          <w:szCs w:val="22"/>
        </w:rPr>
      </w:pPr>
      <w:r>
        <w:rPr>
          <w:rFonts w:ascii="Garamond" w:eastAsia="Garamond" w:hAnsi="Garamond" w:cs="Garamond"/>
          <w:b/>
          <w:i/>
          <w:sz w:val="22"/>
          <w:szCs w:val="22"/>
          <w:u w:val="single"/>
        </w:rPr>
        <w:t>Meta-Data</w:t>
      </w:r>
      <w:r>
        <w:rPr>
          <w:rFonts w:ascii="Garamond" w:eastAsia="Garamond" w:hAnsi="Garamond" w:cs="Garamond"/>
          <w:b/>
          <w:sz w:val="22"/>
          <w:szCs w:val="22"/>
        </w:rPr>
        <w:t xml:space="preserve">: </w:t>
      </w:r>
    </w:p>
    <w:p w14:paraId="00000005" w14:textId="77777777" w:rsidR="00D00FE4"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Case Number</w:t>
      </w:r>
      <w:r>
        <w:rPr>
          <w:rFonts w:ascii="Garamond" w:eastAsia="Garamond" w:hAnsi="Garamond" w:cs="Garamond"/>
          <w:color w:val="000000"/>
          <w:sz w:val="22"/>
          <w:szCs w:val="22"/>
        </w:rPr>
        <w:t>: 157/2021</w:t>
      </w:r>
    </w:p>
    <w:p w14:paraId="00000006" w14:textId="77777777" w:rsidR="00D00FE4"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Date of decision</w:t>
      </w:r>
      <w:r>
        <w:rPr>
          <w:rFonts w:ascii="Garamond" w:eastAsia="Garamond" w:hAnsi="Garamond" w:cs="Garamond"/>
          <w:color w:val="000000"/>
          <w:sz w:val="22"/>
          <w:szCs w:val="22"/>
        </w:rPr>
        <w:t xml:space="preserve">: </w:t>
      </w:r>
      <w:r>
        <w:rPr>
          <w:rFonts w:ascii="Garamond" w:eastAsia="Garamond" w:hAnsi="Garamond" w:cs="Garamond"/>
          <w:sz w:val="22"/>
          <w:szCs w:val="22"/>
        </w:rPr>
        <w:t xml:space="preserve">October 28, </w:t>
      </w:r>
      <w:r>
        <w:rPr>
          <w:rFonts w:ascii="Garamond" w:eastAsia="Garamond" w:hAnsi="Garamond" w:cs="Garamond"/>
          <w:color w:val="000000"/>
          <w:sz w:val="22"/>
          <w:szCs w:val="22"/>
        </w:rPr>
        <w:t>2021</w:t>
      </w:r>
    </w:p>
    <w:p w14:paraId="00000007" w14:textId="77777777" w:rsidR="00D00FE4"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Featured case</w:t>
      </w:r>
      <w:r>
        <w:rPr>
          <w:rFonts w:ascii="Garamond" w:eastAsia="Garamond" w:hAnsi="Garamond" w:cs="Garamond"/>
          <w:color w:val="000000"/>
          <w:sz w:val="22"/>
          <w:szCs w:val="22"/>
        </w:rPr>
        <w:t>: N/A</w:t>
      </w:r>
    </w:p>
    <w:p w14:paraId="00000008" w14:textId="77777777" w:rsidR="00D00FE4"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Region</w:t>
      </w:r>
      <w:r>
        <w:rPr>
          <w:rFonts w:ascii="Garamond" w:eastAsia="Garamond" w:hAnsi="Garamond" w:cs="Garamond"/>
          <w:color w:val="000000"/>
          <w:sz w:val="22"/>
          <w:szCs w:val="22"/>
        </w:rPr>
        <w:t>: Europe and Central Asia</w:t>
      </w:r>
    </w:p>
    <w:p w14:paraId="00000009" w14:textId="77777777" w:rsidR="00D00FE4"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Country</w:t>
      </w:r>
      <w:r>
        <w:rPr>
          <w:rFonts w:ascii="Garamond" w:eastAsia="Garamond" w:hAnsi="Garamond" w:cs="Garamond"/>
          <w:color w:val="000000"/>
          <w:sz w:val="22"/>
          <w:szCs w:val="22"/>
        </w:rPr>
        <w:t>: Belgium</w:t>
      </w:r>
    </w:p>
    <w:p w14:paraId="0000000A" w14:textId="77777777" w:rsidR="00D00FE4"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Type of expression</w:t>
      </w:r>
      <w:r>
        <w:rPr>
          <w:rFonts w:ascii="Garamond" w:eastAsia="Garamond" w:hAnsi="Garamond" w:cs="Garamond"/>
          <w:color w:val="000000"/>
          <w:sz w:val="22"/>
          <w:szCs w:val="22"/>
        </w:rPr>
        <w:t xml:space="preserve">: Audio / </w:t>
      </w:r>
      <w:r>
        <w:rPr>
          <w:rFonts w:ascii="Garamond" w:eastAsia="Garamond" w:hAnsi="Garamond" w:cs="Garamond"/>
          <w:sz w:val="22"/>
          <w:szCs w:val="22"/>
        </w:rPr>
        <w:t>Visual Broadcasting</w:t>
      </w:r>
    </w:p>
    <w:p w14:paraId="0000000B" w14:textId="77777777" w:rsidR="00D00FE4"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Judicial Body</w:t>
      </w:r>
      <w:r>
        <w:rPr>
          <w:rFonts w:ascii="Garamond" w:eastAsia="Garamond" w:hAnsi="Garamond" w:cs="Garamond"/>
          <w:color w:val="000000"/>
          <w:sz w:val="22"/>
          <w:szCs w:val="22"/>
        </w:rPr>
        <w:t>: Cons</w:t>
      </w:r>
      <w:r>
        <w:rPr>
          <w:rFonts w:ascii="Garamond" w:eastAsia="Garamond" w:hAnsi="Garamond" w:cs="Garamond"/>
          <w:sz w:val="22"/>
          <w:szCs w:val="22"/>
        </w:rPr>
        <w:t>titutional Court</w:t>
      </w:r>
    </w:p>
    <w:p w14:paraId="0000000C" w14:textId="77777777" w:rsidR="00D00FE4"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Type of law</w:t>
      </w:r>
      <w:r>
        <w:rPr>
          <w:rFonts w:ascii="Garamond" w:eastAsia="Garamond" w:hAnsi="Garamond" w:cs="Garamond"/>
          <w:color w:val="000000"/>
          <w:sz w:val="22"/>
          <w:szCs w:val="22"/>
        </w:rPr>
        <w:t xml:space="preserve">: Criminal Law, </w:t>
      </w:r>
      <w:r>
        <w:rPr>
          <w:rFonts w:ascii="Garamond" w:eastAsia="Garamond" w:hAnsi="Garamond" w:cs="Garamond"/>
          <w:sz w:val="22"/>
          <w:szCs w:val="22"/>
        </w:rPr>
        <w:t>Constitutional</w:t>
      </w:r>
      <w:r>
        <w:rPr>
          <w:rFonts w:ascii="Garamond" w:eastAsia="Garamond" w:hAnsi="Garamond" w:cs="Garamond"/>
          <w:color w:val="000000"/>
          <w:sz w:val="22"/>
          <w:szCs w:val="22"/>
        </w:rPr>
        <w:t xml:space="preserve"> Law</w:t>
      </w:r>
    </w:p>
    <w:p w14:paraId="0000000D" w14:textId="77777777" w:rsidR="00D00FE4"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Main Themes</w:t>
      </w:r>
      <w:r>
        <w:rPr>
          <w:rFonts w:ascii="Garamond" w:eastAsia="Garamond" w:hAnsi="Garamond" w:cs="Garamond"/>
          <w:color w:val="000000"/>
          <w:sz w:val="22"/>
          <w:szCs w:val="22"/>
        </w:rPr>
        <w:t>: Artistic Expression, Defamation / Reputation, Hate Speech, Political Expression</w:t>
      </w:r>
    </w:p>
    <w:p w14:paraId="0000000E" w14:textId="77777777" w:rsidR="00D00FE4"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Outcome</w:t>
      </w:r>
      <w:r>
        <w:rPr>
          <w:rFonts w:ascii="Garamond" w:eastAsia="Garamond" w:hAnsi="Garamond" w:cs="Garamond"/>
          <w:color w:val="000000"/>
          <w:sz w:val="22"/>
          <w:szCs w:val="22"/>
        </w:rPr>
        <w:t xml:space="preserve">: Expands Expression </w:t>
      </w:r>
      <w:r>
        <w:rPr>
          <w:rFonts w:ascii="Garamond" w:eastAsia="Garamond" w:hAnsi="Garamond" w:cs="Garamond"/>
          <w:sz w:val="22"/>
          <w:szCs w:val="22"/>
        </w:rPr>
        <w:t>(the crime of slander against the Crown is considered unconstitutional)</w:t>
      </w:r>
    </w:p>
    <w:p w14:paraId="0000000F" w14:textId="77777777" w:rsidR="00D00FE4"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Status</w:t>
      </w:r>
      <w:r>
        <w:rPr>
          <w:rFonts w:ascii="Garamond" w:eastAsia="Garamond" w:hAnsi="Garamond" w:cs="Garamond"/>
          <w:color w:val="000000"/>
          <w:sz w:val="22"/>
          <w:szCs w:val="22"/>
        </w:rPr>
        <w:t>:  Cl</w:t>
      </w:r>
      <w:r>
        <w:rPr>
          <w:rFonts w:ascii="Garamond" w:eastAsia="Garamond" w:hAnsi="Garamond" w:cs="Garamond"/>
          <w:sz w:val="22"/>
          <w:szCs w:val="22"/>
        </w:rPr>
        <w:t>osed</w:t>
      </w:r>
    </w:p>
    <w:p w14:paraId="00000010" w14:textId="77777777" w:rsidR="00D00FE4"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Tags</w:t>
      </w:r>
      <w:r>
        <w:rPr>
          <w:rFonts w:ascii="Garamond" w:eastAsia="Garamond" w:hAnsi="Garamond" w:cs="Garamond"/>
          <w:color w:val="000000"/>
          <w:sz w:val="22"/>
          <w:szCs w:val="22"/>
        </w:rPr>
        <w:t xml:space="preserve">: Rap, </w:t>
      </w:r>
      <w:r>
        <w:rPr>
          <w:rFonts w:ascii="Garamond" w:eastAsia="Garamond" w:hAnsi="Garamond" w:cs="Garamond"/>
          <w:sz w:val="22"/>
          <w:szCs w:val="22"/>
        </w:rPr>
        <w:t>Slander, Crown, Terrorism</w:t>
      </w:r>
    </w:p>
    <w:p w14:paraId="00000011" w14:textId="77777777" w:rsidR="00D00FE4" w:rsidRDefault="00D00FE4">
      <w:pPr>
        <w:spacing w:line="276" w:lineRule="auto"/>
        <w:jc w:val="both"/>
        <w:rPr>
          <w:rFonts w:ascii="Garamond" w:eastAsia="Garamond" w:hAnsi="Garamond" w:cs="Garamond"/>
          <w:sz w:val="22"/>
          <w:szCs w:val="22"/>
        </w:rPr>
      </w:pPr>
    </w:p>
    <w:p w14:paraId="00000012" w14:textId="77777777" w:rsidR="00D00FE4" w:rsidRDefault="00000000">
      <w:pPr>
        <w:spacing w:line="276" w:lineRule="auto"/>
        <w:jc w:val="both"/>
        <w:rPr>
          <w:rFonts w:ascii="Garamond" w:eastAsia="Garamond" w:hAnsi="Garamond" w:cs="Garamond"/>
          <w:color w:val="000000"/>
          <w:sz w:val="22"/>
          <w:szCs w:val="22"/>
        </w:rPr>
      </w:pPr>
      <w:r>
        <w:rPr>
          <w:rFonts w:ascii="Garamond" w:eastAsia="Garamond" w:hAnsi="Garamond" w:cs="Garamond"/>
          <w:b/>
          <w:i/>
          <w:color w:val="000000"/>
          <w:sz w:val="22"/>
          <w:szCs w:val="22"/>
          <w:u w:val="single"/>
        </w:rPr>
        <w:t>Analysis:</w:t>
      </w:r>
    </w:p>
    <w:p w14:paraId="00000013" w14:textId="77777777" w:rsidR="00D00FE4" w:rsidRDefault="00000000">
      <w:pPr>
        <w:numPr>
          <w:ilvl w:val="0"/>
          <w:numId w:val="2"/>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Summary and Outcome</w:t>
      </w:r>
      <w:r>
        <w:rPr>
          <w:rFonts w:ascii="Garamond" w:eastAsia="Garamond" w:hAnsi="Garamond" w:cs="Garamond"/>
          <w:color w:val="000000"/>
          <w:sz w:val="22"/>
          <w:szCs w:val="22"/>
        </w:rPr>
        <w:t>:</w:t>
      </w:r>
      <w:r>
        <w:rPr>
          <w:rFonts w:ascii="Garamond" w:eastAsia="Garamond" w:hAnsi="Garamond" w:cs="Garamond"/>
          <w:sz w:val="22"/>
          <w:szCs w:val="22"/>
        </w:rPr>
        <w:t xml:space="preserve"> In the case of J.M.A., the Constitutional Court declared that the special crime of insulting the King violated the fundamental right to freedom of expression, as guaranteed by Article 19 of the Belgian Constitution, read in conjunction with Article 10 European Convention on Human Rights (ECHR). The Belgian Constitutional Court was asked to interpret the constitutionality of this crime in a prejudicial question asked by the Ghent Chamber of Indictment. The case pending before the ordinary court was an extradition request of J.M.A., a rapper better known as </w:t>
      </w:r>
      <w:proofErr w:type="spellStart"/>
      <w:r>
        <w:rPr>
          <w:rFonts w:ascii="Garamond" w:eastAsia="Garamond" w:hAnsi="Garamond" w:cs="Garamond"/>
          <w:sz w:val="22"/>
          <w:szCs w:val="22"/>
        </w:rPr>
        <w:t>Valtònyc</w:t>
      </w:r>
      <w:proofErr w:type="spellEnd"/>
      <w:r>
        <w:rPr>
          <w:rFonts w:ascii="Garamond" w:eastAsia="Garamond" w:hAnsi="Garamond" w:cs="Garamond"/>
          <w:sz w:val="22"/>
          <w:szCs w:val="22"/>
        </w:rPr>
        <w:t xml:space="preserve">, by the Spanish authorities. According to the European Arrest Warrant Framework, the execution of the arrest warrant depends on the principle of dual criminality: This meant that </w:t>
      </w:r>
      <w:proofErr w:type="spellStart"/>
      <w:r>
        <w:rPr>
          <w:rFonts w:ascii="Garamond" w:eastAsia="Garamond" w:hAnsi="Garamond" w:cs="Garamond"/>
          <w:sz w:val="22"/>
          <w:szCs w:val="22"/>
        </w:rPr>
        <w:t>Valtònyc</w:t>
      </w:r>
      <w:proofErr w:type="spellEnd"/>
      <w:r>
        <w:rPr>
          <w:rFonts w:ascii="Garamond" w:eastAsia="Garamond" w:hAnsi="Garamond" w:cs="Garamond"/>
          <w:sz w:val="22"/>
          <w:szCs w:val="22"/>
        </w:rPr>
        <w:t xml:space="preserve"> could only be extradited if his actions were also considered illegal on Belgian territory. This was not the case, since the Constitutional Court, referencing ECtHR jurisprudence, concluded that providing a special regime of protection for insults directed against heads of states was an unconstitutional interference with the right to freedom of expression. </w:t>
      </w:r>
    </w:p>
    <w:p w14:paraId="00000014" w14:textId="77777777" w:rsidR="00D00FE4" w:rsidRDefault="00D00FE4">
      <w:pPr>
        <w:spacing w:line="276" w:lineRule="auto"/>
        <w:jc w:val="both"/>
        <w:rPr>
          <w:rFonts w:ascii="Garamond" w:eastAsia="Garamond" w:hAnsi="Garamond" w:cs="Garamond"/>
          <w:sz w:val="22"/>
          <w:szCs w:val="22"/>
        </w:rPr>
      </w:pPr>
    </w:p>
    <w:p w14:paraId="00000015" w14:textId="77777777" w:rsidR="00D00FE4" w:rsidRDefault="00000000">
      <w:pPr>
        <w:numPr>
          <w:ilvl w:val="0"/>
          <w:numId w:val="1"/>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Facts</w:t>
      </w:r>
      <w:r>
        <w:rPr>
          <w:rFonts w:ascii="Garamond" w:eastAsia="Garamond" w:hAnsi="Garamond" w:cs="Garamond"/>
          <w:color w:val="000000"/>
          <w:sz w:val="22"/>
          <w:szCs w:val="22"/>
        </w:rPr>
        <w:t>:</w:t>
      </w:r>
      <w:r>
        <w:rPr>
          <w:rFonts w:ascii="Garamond" w:eastAsia="Garamond" w:hAnsi="Garamond" w:cs="Garamond"/>
          <w:sz w:val="22"/>
          <w:szCs w:val="22"/>
        </w:rPr>
        <w:t xml:space="preserve"> On February 21, 2017 J.A.B., a Spanish rapper better known under his pseudonym </w:t>
      </w:r>
      <w:proofErr w:type="spellStart"/>
      <w:proofErr w:type="gramStart"/>
      <w:r>
        <w:rPr>
          <w:rFonts w:ascii="Garamond" w:eastAsia="Garamond" w:hAnsi="Garamond" w:cs="Garamond"/>
          <w:sz w:val="22"/>
          <w:szCs w:val="22"/>
        </w:rPr>
        <w:t>Valtònyc</w:t>
      </w:r>
      <w:proofErr w:type="spellEnd"/>
      <w:r>
        <w:rPr>
          <w:rFonts w:ascii="Garamond" w:eastAsia="Garamond" w:hAnsi="Garamond" w:cs="Garamond"/>
          <w:sz w:val="22"/>
          <w:szCs w:val="22"/>
        </w:rPr>
        <w:t>,  was</w:t>
      </w:r>
      <w:proofErr w:type="gramEnd"/>
      <w:r>
        <w:rPr>
          <w:rFonts w:ascii="Garamond" w:eastAsia="Garamond" w:hAnsi="Garamond" w:cs="Garamond"/>
          <w:sz w:val="22"/>
          <w:szCs w:val="22"/>
        </w:rPr>
        <w:t xml:space="preserve"> convicted by the Spanish National High Court (Audiencia Nacional) for publishing several rap songs on his YouTube channel and personal webpage. In his songs, he joked about previous terrorist attacks by ETA and GRAPO (two Spanish </w:t>
      </w:r>
      <w:proofErr w:type="gramStart"/>
      <w:r>
        <w:rPr>
          <w:rFonts w:ascii="Garamond" w:eastAsia="Garamond" w:hAnsi="Garamond" w:cs="Garamond"/>
          <w:sz w:val="22"/>
          <w:szCs w:val="22"/>
        </w:rPr>
        <w:t>terrorist  groups</w:t>
      </w:r>
      <w:proofErr w:type="gramEnd"/>
      <w:r>
        <w:rPr>
          <w:rFonts w:ascii="Garamond" w:eastAsia="Garamond" w:hAnsi="Garamond" w:cs="Garamond"/>
          <w:sz w:val="22"/>
          <w:szCs w:val="22"/>
        </w:rPr>
        <w:t xml:space="preserve">). He also made several insults towards the King and the royal family in general, </w:t>
      </w:r>
      <w:hyperlink r:id="rId6">
        <w:r>
          <w:rPr>
            <w:rFonts w:ascii="Garamond" w:eastAsia="Garamond" w:hAnsi="Garamond" w:cs="Garamond"/>
            <w:color w:val="1155CC"/>
            <w:sz w:val="22"/>
            <w:szCs w:val="22"/>
            <w:u w:val="single"/>
          </w:rPr>
          <w:t>calling them</w:t>
        </w:r>
      </w:hyperlink>
      <w:r>
        <w:rPr>
          <w:rFonts w:ascii="Garamond" w:eastAsia="Garamond" w:hAnsi="Garamond" w:cs="Garamond"/>
          <w:sz w:val="22"/>
          <w:szCs w:val="22"/>
        </w:rPr>
        <w:t xml:space="preserve"> “corrupt” or a “mafia gang”, and including </w:t>
      </w:r>
      <w:hyperlink r:id="rId7">
        <w:r>
          <w:rPr>
            <w:rFonts w:ascii="Garamond" w:eastAsia="Garamond" w:hAnsi="Garamond" w:cs="Garamond"/>
            <w:color w:val="1155CC"/>
            <w:sz w:val="22"/>
            <w:szCs w:val="22"/>
            <w:u w:val="single"/>
          </w:rPr>
          <w:t>lyric</w:t>
        </w:r>
      </w:hyperlink>
      <w:r>
        <w:rPr>
          <w:rFonts w:ascii="Garamond" w:eastAsia="Garamond" w:hAnsi="Garamond" w:cs="Garamond"/>
          <w:color w:val="1155CC"/>
          <w:sz w:val="22"/>
          <w:szCs w:val="22"/>
          <w:u w:val="single"/>
        </w:rPr>
        <w:t>s</w:t>
      </w:r>
      <w:r>
        <w:rPr>
          <w:rFonts w:ascii="Garamond" w:eastAsia="Garamond" w:hAnsi="Garamond" w:cs="Garamond"/>
          <w:sz w:val="22"/>
          <w:szCs w:val="22"/>
        </w:rPr>
        <w:t xml:space="preserve"> such as: “the king has a date in the people’s square, a noose around his neck that will feel like the weight of the law.” For writing and publishing these songs, the Spanish Audiencia Nacional condemned J.A.B. for  threats (</w:t>
      </w:r>
      <w:hyperlink r:id="rId8" w:anchor="a169">
        <w:r>
          <w:rPr>
            <w:rFonts w:ascii="Garamond" w:eastAsia="Garamond" w:hAnsi="Garamond" w:cs="Garamond"/>
            <w:color w:val="1155CC"/>
            <w:sz w:val="22"/>
            <w:szCs w:val="22"/>
            <w:u w:val="single"/>
          </w:rPr>
          <w:t>Article 169 Spanish Penal Code</w:t>
        </w:r>
      </w:hyperlink>
      <w:r>
        <w:rPr>
          <w:rFonts w:ascii="Garamond" w:eastAsia="Garamond" w:hAnsi="Garamond" w:cs="Garamond"/>
          <w:sz w:val="22"/>
          <w:szCs w:val="22"/>
        </w:rPr>
        <w:t>: hereafter, SPC), glorifying terrorism and humiliating its victims (</w:t>
      </w:r>
      <w:hyperlink r:id="rId9" w:anchor="a578">
        <w:r>
          <w:rPr>
            <w:rFonts w:ascii="Garamond" w:eastAsia="Garamond" w:hAnsi="Garamond" w:cs="Garamond"/>
            <w:color w:val="1155CC"/>
            <w:sz w:val="22"/>
            <w:szCs w:val="22"/>
            <w:u w:val="single"/>
          </w:rPr>
          <w:t>Articles 578 and 579 SPC</w:t>
        </w:r>
      </w:hyperlink>
      <w:r>
        <w:rPr>
          <w:rFonts w:ascii="Garamond" w:eastAsia="Garamond" w:hAnsi="Garamond" w:cs="Garamond"/>
          <w:sz w:val="22"/>
          <w:szCs w:val="22"/>
        </w:rPr>
        <w:t>) and slander against the Crown (</w:t>
      </w:r>
      <w:hyperlink r:id="rId10" w:anchor="a490">
        <w:r>
          <w:rPr>
            <w:rFonts w:ascii="Garamond" w:eastAsia="Garamond" w:hAnsi="Garamond" w:cs="Garamond"/>
            <w:color w:val="1155CC"/>
            <w:sz w:val="22"/>
            <w:szCs w:val="22"/>
            <w:u w:val="single"/>
          </w:rPr>
          <w:t>Article 490.3 SPC</w:t>
        </w:r>
      </w:hyperlink>
      <w:r>
        <w:rPr>
          <w:rFonts w:ascii="Garamond" w:eastAsia="Garamond" w:hAnsi="Garamond" w:cs="Garamond"/>
          <w:sz w:val="22"/>
          <w:szCs w:val="22"/>
        </w:rPr>
        <w:t xml:space="preserve">) to a total of three and a half years of imprisonment (see: </w:t>
      </w:r>
      <w:proofErr w:type="spellStart"/>
      <w:r>
        <w:rPr>
          <w:rFonts w:ascii="Garamond" w:eastAsia="Garamond" w:hAnsi="Garamond" w:cs="Garamond"/>
          <w:sz w:val="22"/>
          <w:szCs w:val="22"/>
        </w:rPr>
        <w:t>GFoE</w:t>
      </w:r>
      <w:proofErr w:type="spellEnd"/>
      <w:r>
        <w:rPr>
          <w:rFonts w:ascii="Garamond" w:eastAsia="Garamond" w:hAnsi="Garamond" w:cs="Garamond"/>
          <w:sz w:val="22"/>
          <w:szCs w:val="22"/>
        </w:rPr>
        <w:t xml:space="preserve">, </w:t>
      </w:r>
      <w:hyperlink r:id="rId11">
        <w:r>
          <w:rPr>
            <w:rFonts w:ascii="Garamond" w:eastAsia="Garamond" w:hAnsi="Garamond" w:cs="Garamond"/>
            <w:color w:val="1155CC"/>
            <w:sz w:val="22"/>
            <w:szCs w:val="22"/>
            <w:u w:val="single"/>
          </w:rPr>
          <w:t>Case of Jose Miguel Arenas (</w:t>
        </w:r>
        <w:proofErr w:type="spellStart"/>
        <w:r>
          <w:rPr>
            <w:rFonts w:ascii="Garamond" w:eastAsia="Garamond" w:hAnsi="Garamond" w:cs="Garamond"/>
            <w:color w:val="1155CC"/>
            <w:sz w:val="22"/>
            <w:szCs w:val="22"/>
            <w:u w:val="single"/>
          </w:rPr>
          <w:t>Valtonyc</w:t>
        </w:r>
        <w:proofErr w:type="spellEnd"/>
        <w:r>
          <w:rPr>
            <w:rFonts w:ascii="Garamond" w:eastAsia="Garamond" w:hAnsi="Garamond" w:cs="Garamond"/>
            <w:color w:val="1155CC"/>
            <w:sz w:val="22"/>
            <w:szCs w:val="22"/>
            <w:u w:val="single"/>
          </w:rPr>
          <w:t>)</w:t>
        </w:r>
      </w:hyperlink>
      <w:r>
        <w:rPr>
          <w:rFonts w:ascii="Garamond" w:eastAsia="Garamond" w:hAnsi="Garamond" w:cs="Garamond"/>
          <w:sz w:val="22"/>
          <w:szCs w:val="22"/>
        </w:rPr>
        <w:t xml:space="preserve">). </w:t>
      </w:r>
      <w:proofErr w:type="spellStart"/>
      <w:r>
        <w:rPr>
          <w:rFonts w:ascii="Garamond" w:eastAsia="Garamond" w:hAnsi="Garamond" w:cs="Garamond"/>
          <w:sz w:val="22"/>
          <w:szCs w:val="22"/>
        </w:rPr>
        <w:t>Valtònyc</w:t>
      </w:r>
      <w:proofErr w:type="spellEnd"/>
      <w:r>
        <w:rPr>
          <w:rFonts w:ascii="Garamond" w:eastAsia="Garamond" w:hAnsi="Garamond" w:cs="Garamond"/>
          <w:sz w:val="22"/>
          <w:szCs w:val="22"/>
        </w:rPr>
        <w:t xml:space="preserve"> was supposed to surrender himself to the authorities to undergo his prison sentence, but instead he </w:t>
      </w:r>
      <w:hyperlink r:id="rId12" w:anchor="?rel=mas">
        <w:r>
          <w:rPr>
            <w:rFonts w:ascii="Garamond" w:eastAsia="Garamond" w:hAnsi="Garamond" w:cs="Garamond"/>
            <w:color w:val="1155CC"/>
            <w:sz w:val="22"/>
            <w:szCs w:val="22"/>
            <w:u w:val="single"/>
          </w:rPr>
          <w:t>fled to Belgium</w:t>
        </w:r>
      </w:hyperlink>
      <w:r>
        <w:rPr>
          <w:rFonts w:ascii="Garamond" w:eastAsia="Garamond" w:hAnsi="Garamond" w:cs="Garamond"/>
          <w:sz w:val="22"/>
          <w:szCs w:val="22"/>
        </w:rPr>
        <w:t xml:space="preserve"> in May 2018. In their attempt to have him extradited, the Spanish authorities came across different legal hurdles. The Ghent Council Chamber refused the Public Prosecutor’s request to extradite </w:t>
      </w:r>
      <w:proofErr w:type="spellStart"/>
      <w:r>
        <w:rPr>
          <w:rFonts w:ascii="Garamond" w:eastAsia="Garamond" w:hAnsi="Garamond" w:cs="Garamond"/>
          <w:sz w:val="22"/>
          <w:szCs w:val="22"/>
        </w:rPr>
        <w:t>Valtònyc</w:t>
      </w:r>
      <w:proofErr w:type="spellEnd"/>
      <w:r>
        <w:rPr>
          <w:rFonts w:ascii="Garamond" w:eastAsia="Garamond" w:hAnsi="Garamond" w:cs="Garamond"/>
          <w:sz w:val="22"/>
          <w:szCs w:val="22"/>
        </w:rPr>
        <w:t xml:space="preserve"> since this would violate </w:t>
      </w:r>
      <w:hyperlink r:id="rId13">
        <w:r>
          <w:rPr>
            <w:rFonts w:ascii="Garamond" w:eastAsia="Garamond" w:hAnsi="Garamond" w:cs="Garamond"/>
            <w:color w:val="1155CC"/>
            <w:sz w:val="22"/>
            <w:szCs w:val="22"/>
            <w:u w:val="single"/>
          </w:rPr>
          <w:t xml:space="preserve">Article 5.1 of the </w:t>
        </w:r>
      </w:hyperlink>
      <w:hyperlink r:id="rId14">
        <w:r>
          <w:rPr>
            <w:rFonts w:ascii="Garamond" w:eastAsia="Garamond" w:hAnsi="Garamond" w:cs="Garamond"/>
            <w:color w:val="0563C1"/>
            <w:sz w:val="22"/>
            <w:szCs w:val="22"/>
            <w:u w:val="single"/>
          </w:rPr>
          <w:t>“</w:t>
        </w:r>
      </w:hyperlink>
      <w:hyperlink r:id="rId15">
        <w:r>
          <w:rPr>
            <w:rFonts w:ascii="Garamond" w:eastAsia="Garamond" w:hAnsi="Garamond" w:cs="Garamond"/>
            <w:color w:val="1155CC"/>
            <w:sz w:val="22"/>
            <w:szCs w:val="22"/>
            <w:u w:val="single"/>
          </w:rPr>
          <w:t>Law of December 19, 2003</w:t>
        </w:r>
      </w:hyperlink>
      <w:r>
        <w:rPr>
          <w:rFonts w:ascii="Garamond" w:eastAsia="Garamond" w:hAnsi="Garamond" w:cs="Garamond"/>
          <w:color w:val="1155CC"/>
          <w:sz w:val="22"/>
          <w:szCs w:val="22"/>
          <w:u w:val="single"/>
        </w:rPr>
        <w:t xml:space="preserve"> regarding the European Arrest Warrant (EAW)</w:t>
      </w:r>
      <w:r>
        <w:rPr>
          <w:rFonts w:ascii="Garamond" w:eastAsia="Garamond" w:hAnsi="Garamond" w:cs="Garamond"/>
          <w:sz w:val="22"/>
          <w:szCs w:val="22"/>
        </w:rPr>
        <w:t xml:space="preserve">”, which states that Belgium will not extradite if the offense covered by the EAW is not punishable under Belgian law, in other words: when the criterion of dual criminality is not met. The public prosecutor appealed the Council Chamber’s decision in front of the Ghent Chamber of Indictment. Here, the Chamber concluded again that it could not extradite </w:t>
      </w:r>
      <w:proofErr w:type="spellStart"/>
      <w:r>
        <w:rPr>
          <w:rFonts w:ascii="Garamond" w:eastAsia="Garamond" w:hAnsi="Garamond" w:cs="Garamond"/>
          <w:sz w:val="22"/>
          <w:szCs w:val="22"/>
        </w:rPr>
        <w:t>Valtonyc</w:t>
      </w:r>
      <w:proofErr w:type="spellEnd"/>
      <w:r>
        <w:rPr>
          <w:rFonts w:ascii="Garamond" w:eastAsia="Garamond" w:hAnsi="Garamond" w:cs="Garamond"/>
          <w:sz w:val="22"/>
          <w:szCs w:val="22"/>
        </w:rPr>
        <w:t xml:space="preserve"> for the crime of glorifying terrorism and humiliating its victims since this crime does not exist in the Belgian legal order (Belg., </w:t>
      </w:r>
      <w:hyperlink r:id="rId16">
        <w:r>
          <w:rPr>
            <w:rFonts w:ascii="Garamond" w:eastAsia="Garamond" w:hAnsi="Garamond" w:cs="Garamond"/>
            <w:color w:val="1155CC"/>
            <w:sz w:val="22"/>
            <w:szCs w:val="22"/>
            <w:u w:val="single"/>
          </w:rPr>
          <w:t>Cass. P.21.1692.N,</w:t>
        </w:r>
      </w:hyperlink>
      <w:r>
        <w:rPr>
          <w:rFonts w:ascii="Garamond" w:eastAsia="Garamond" w:hAnsi="Garamond" w:cs="Garamond"/>
          <w:sz w:val="22"/>
          <w:szCs w:val="22"/>
        </w:rPr>
        <w:t xml:space="preserve"> para. 23). The crime of Slander </w:t>
      </w:r>
      <w:r>
        <w:rPr>
          <w:rFonts w:ascii="Garamond" w:eastAsia="Garamond" w:hAnsi="Garamond" w:cs="Garamond"/>
          <w:sz w:val="22"/>
          <w:szCs w:val="22"/>
        </w:rPr>
        <w:lastRenderedPageBreak/>
        <w:t>against the Crown, however, does exist under the “</w:t>
      </w:r>
      <w:hyperlink r:id="rId17">
        <w:r>
          <w:rPr>
            <w:rFonts w:ascii="Garamond" w:eastAsia="Garamond" w:hAnsi="Garamond" w:cs="Garamond"/>
            <w:color w:val="1155CC"/>
            <w:sz w:val="22"/>
            <w:szCs w:val="22"/>
            <w:u w:val="single"/>
          </w:rPr>
          <w:t>Law of April 6, 1847 regarding the criminalization of insulting the Kin</w:t>
        </w:r>
      </w:hyperlink>
      <w:r>
        <w:rPr>
          <w:rFonts w:ascii="Garamond" w:eastAsia="Garamond" w:hAnsi="Garamond" w:cs="Garamond"/>
          <w:color w:val="1155CC"/>
          <w:sz w:val="22"/>
          <w:szCs w:val="22"/>
          <w:u w:val="single"/>
        </w:rPr>
        <w:t>g</w:t>
      </w:r>
      <w:r>
        <w:rPr>
          <w:rFonts w:ascii="Garamond" w:eastAsia="Garamond" w:hAnsi="Garamond" w:cs="Garamond"/>
          <w:sz w:val="22"/>
          <w:szCs w:val="22"/>
        </w:rPr>
        <w:t xml:space="preserve">”. Article 1 of this Law declares that: </w:t>
      </w:r>
    </w:p>
    <w:p w14:paraId="00000016" w14:textId="77777777" w:rsidR="00D00FE4" w:rsidRDefault="00000000">
      <w:pPr>
        <w:pBdr>
          <w:top w:val="nil"/>
          <w:left w:val="nil"/>
          <w:bottom w:val="nil"/>
          <w:right w:val="nil"/>
          <w:between w:val="nil"/>
        </w:pBdr>
        <w:spacing w:line="276" w:lineRule="auto"/>
        <w:ind w:left="360"/>
        <w:jc w:val="center"/>
        <w:rPr>
          <w:rFonts w:ascii="Garamond" w:eastAsia="Garamond" w:hAnsi="Garamond" w:cs="Garamond"/>
          <w:sz w:val="22"/>
          <w:szCs w:val="22"/>
        </w:rPr>
      </w:pPr>
      <w:r>
        <w:rPr>
          <w:rFonts w:ascii="Garamond" w:eastAsia="Garamond" w:hAnsi="Garamond" w:cs="Garamond"/>
          <w:sz w:val="22"/>
          <w:szCs w:val="22"/>
        </w:rPr>
        <w:t xml:space="preserve">“Whoever, whether in public places or meetings, by utterances, cries or threats, or by any writings, publications, illustrations or signs, which are displayed, distributed or sold, before the eyes of the public, is guilty of insulting the person of the King, [and] shall be punished by imprisonment from six months to three years and by a fine from 300 to 3,000 [euros]." </w:t>
      </w:r>
    </w:p>
    <w:p w14:paraId="00000017" w14:textId="77777777" w:rsidR="00D00FE4" w:rsidRDefault="00000000">
      <w:pPr>
        <w:pBdr>
          <w:top w:val="nil"/>
          <w:left w:val="nil"/>
          <w:bottom w:val="nil"/>
          <w:right w:val="nil"/>
          <w:between w:val="nil"/>
        </w:pBdr>
        <w:spacing w:line="276" w:lineRule="auto"/>
        <w:ind w:left="360"/>
        <w:jc w:val="both"/>
        <w:rPr>
          <w:rFonts w:ascii="Garamond" w:eastAsia="Garamond" w:hAnsi="Garamond" w:cs="Garamond"/>
          <w:sz w:val="22"/>
          <w:szCs w:val="22"/>
        </w:rPr>
      </w:pPr>
      <w:r>
        <w:rPr>
          <w:rFonts w:ascii="Garamond" w:eastAsia="Garamond" w:hAnsi="Garamond" w:cs="Garamond"/>
          <w:sz w:val="22"/>
          <w:szCs w:val="22"/>
        </w:rPr>
        <w:t xml:space="preserve">In front of the Chamber, J.A.B. claimed that the Belgian version of the crime of insulting the King violates his right to freedom of expression, as safeguarded by Article 19 of the Belgian Constitution read </w:t>
      </w:r>
      <w:r>
        <w:rPr>
          <w:rFonts w:ascii="Garamond" w:eastAsia="Garamond" w:hAnsi="Garamond" w:cs="Garamond"/>
          <w:i/>
          <w:sz w:val="22"/>
          <w:szCs w:val="22"/>
        </w:rPr>
        <w:t>junto</w:t>
      </w:r>
      <w:r>
        <w:rPr>
          <w:rFonts w:ascii="Garamond" w:eastAsia="Garamond" w:hAnsi="Garamond" w:cs="Garamond"/>
          <w:sz w:val="22"/>
          <w:szCs w:val="22"/>
        </w:rPr>
        <w:t xml:space="preserve"> with Article 10 of the European Convention of Human Rights (ECHR) (Belgium, </w:t>
      </w:r>
      <w:hyperlink r:id="rId18">
        <w:r>
          <w:rPr>
            <w:rFonts w:ascii="Garamond" w:eastAsia="Garamond" w:hAnsi="Garamond" w:cs="Garamond"/>
            <w:color w:val="1155CC"/>
            <w:sz w:val="22"/>
            <w:szCs w:val="22"/>
            <w:u w:val="single"/>
          </w:rPr>
          <w:t>BCC 157/2021</w:t>
        </w:r>
      </w:hyperlink>
      <w:r>
        <w:rPr>
          <w:rFonts w:ascii="Garamond" w:eastAsia="Garamond" w:hAnsi="Garamond" w:cs="Garamond"/>
          <w:sz w:val="22"/>
          <w:szCs w:val="22"/>
        </w:rPr>
        <w:t xml:space="preserve">, p. 3). When a party casts serious doubts about the constitutionality of a law, it falls upon the ordinary courts to send a preliminary question to the Belgian Constitutional Court, who </w:t>
      </w:r>
      <w:proofErr w:type="gramStart"/>
      <w:r>
        <w:rPr>
          <w:rFonts w:ascii="Garamond" w:eastAsia="Garamond" w:hAnsi="Garamond" w:cs="Garamond"/>
          <w:sz w:val="22"/>
          <w:szCs w:val="22"/>
        </w:rPr>
        <w:t>is in charge of</w:t>
      </w:r>
      <w:proofErr w:type="gramEnd"/>
      <w:r>
        <w:rPr>
          <w:rFonts w:ascii="Garamond" w:eastAsia="Garamond" w:hAnsi="Garamond" w:cs="Garamond"/>
          <w:sz w:val="22"/>
          <w:szCs w:val="22"/>
        </w:rPr>
        <w:t xml:space="preserve"> deciding whether the law in question violates the constitution or not. In </w:t>
      </w:r>
      <w:proofErr w:type="spellStart"/>
      <w:r>
        <w:rPr>
          <w:rFonts w:ascii="Garamond" w:eastAsia="Garamond" w:hAnsi="Garamond" w:cs="Garamond"/>
          <w:sz w:val="22"/>
          <w:szCs w:val="22"/>
        </w:rPr>
        <w:t>casu</w:t>
      </w:r>
      <w:proofErr w:type="spellEnd"/>
      <w:r>
        <w:rPr>
          <w:rFonts w:ascii="Garamond" w:eastAsia="Garamond" w:hAnsi="Garamond" w:cs="Garamond"/>
          <w:sz w:val="22"/>
          <w:szCs w:val="22"/>
        </w:rPr>
        <w:t xml:space="preserve">, the Ghent Chamber of Indictment send the Belgian Constitutional Court the following prejudicial question (Belg., </w:t>
      </w:r>
      <w:hyperlink r:id="rId19">
        <w:r>
          <w:rPr>
            <w:rFonts w:ascii="Garamond" w:eastAsia="Garamond" w:hAnsi="Garamond" w:cs="Garamond"/>
            <w:color w:val="1155CC"/>
            <w:sz w:val="22"/>
            <w:szCs w:val="22"/>
            <w:u w:val="single"/>
          </w:rPr>
          <w:t>CC 157/2021</w:t>
        </w:r>
      </w:hyperlink>
      <w:r>
        <w:rPr>
          <w:rFonts w:ascii="Garamond" w:eastAsia="Garamond" w:hAnsi="Garamond" w:cs="Garamond"/>
          <w:sz w:val="22"/>
          <w:szCs w:val="22"/>
        </w:rPr>
        <w:t xml:space="preserve">, p. 2): "Does Article 1 of the </w:t>
      </w:r>
      <w:hyperlink r:id="rId20">
        <w:r>
          <w:rPr>
            <w:rFonts w:ascii="Garamond" w:eastAsia="Garamond" w:hAnsi="Garamond" w:cs="Garamond"/>
            <w:color w:val="1155CC"/>
            <w:sz w:val="22"/>
            <w:szCs w:val="22"/>
            <w:u w:val="single"/>
          </w:rPr>
          <w:t>Law of April 6, 1847 regarding the criminalization of insulting the Kin</w:t>
        </w:r>
      </w:hyperlink>
      <w:r>
        <w:rPr>
          <w:rFonts w:ascii="Garamond" w:eastAsia="Garamond" w:hAnsi="Garamond" w:cs="Garamond"/>
          <w:color w:val="1155CC"/>
          <w:sz w:val="22"/>
          <w:szCs w:val="22"/>
          <w:u w:val="single"/>
        </w:rPr>
        <w:t xml:space="preserve">g, </w:t>
      </w:r>
      <w:r>
        <w:rPr>
          <w:rFonts w:ascii="Garamond" w:eastAsia="Garamond" w:hAnsi="Garamond" w:cs="Garamond"/>
          <w:sz w:val="22"/>
          <w:szCs w:val="22"/>
        </w:rPr>
        <w:t>which penalizes, among other things, publicly expressed insults to 'the person of the King', violate article 19 of the Constitution read in conjunction with article 10 ECHR ?". It now falls upon the Constitutional Court to answer this question.</w:t>
      </w:r>
    </w:p>
    <w:p w14:paraId="00000018" w14:textId="77777777" w:rsidR="00D00FE4" w:rsidRDefault="00D00FE4">
      <w:pPr>
        <w:pBdr>
          <w:top w:val="nil"/>
          <w:left w:val="nil"/>
          <w:bottom w:val="nil"/>
          <w:right w:val="nil"/>
          <w:between w:val="nil"/>
        </w:pBdr>
        <w:spacing w:line="276" w:lineRule="auto"/>
        <w:ind w:left="360"/>
        <w:jc w:val="both"/>
        <w:rPr>
          <w:rFonts w:ascii="Garamond" w:eastAsia="Garamond" w:hAnsi="Garamond" w:cs="Garamond"/>
          <w:color w:val="000000"/>
          <w:sz w:val="22"/>
          <w:szCs w:val="22"/>
        </w:rPr>
      </w:pPr>
    </w:p>
    <w:p w14:paraId="00000019" w14:textId="77777777" w:rsidR="00D00FE4" w:rsidRDefault="00000000">
      <w:pPr>
        <w:numPr>
          <w:ilvl w:val="0"/>
          <w:numId w:val="1"/>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Decision Overview</w:t>
      </w:r>
      <w:r>
        <w:rPr>
          <w:rFonts w:ascii="Garamond" w:eastAsia="Garamond" w:hAnsi="Garamond" w:cs="Garamond"/>
          <w:color w:val="000000"/>
          <w:sz w:val="22"/>
          <w:szCs w:val="22"/>
        </w:rPr>
        <w:t xml:space="preserve">: The Court </w:t>
      </w:r>
      <w:r>
        <w:rPr>
          <w:rFonts w:ascii="Garamond" w:eastAsia="Garamond" w:hAnsi="Garamond" w:cs="Garamond"/>
          <w:sz w:val="22"/>
          <w:szCs w:val="22"/>
        </w:rPr>
        <w:t xml:space="preserve">starts by declaring that Article 19 of the Belgian Constitution and Article 10 European </w:t>
      </w:r>
      <w:proofErr w:type="spellStart"/>
      <w:r>
        <w:rPr>
          <w:rFonts w:ascii="Garamond" w:eastAsia="Garamond" w:hAnsi="Garamond" w:cs="Garamond"/>
          <w:sz w:val="22"/>
          <w:szCs w:val="22"/>
        </w:rPr>
        <w:t>Convenvtion</w:t>
      </w:r>
      <w:proofErr w:type="spellEnd"/>
      <w:r>
        <w:rPr>
          <w:rFonts w:ascii="Garamond" w:eastAsia="Garamond" w:hAnsi="Garamond" w:cs="Garamond"/>
          <w:sz w:val="22"/>
          <w:szCs w:val="22"/>
        </w:rPr>
        <w:t xml:space="preserve"> of Human Rights (ECHR) share the same scope, because they both protect citizen’s right to freedom of expression: Even more so, the </w:t>
      </w:r>
      <w:proofErr w:type="spellStart"/>
      <w:r>
        <w:rPr>
          <w:rFonts w:ascii="Garamond" w:eastAsia="Garamond" w:hAnsi="Garamond" w:cs="Garamond"/>
          <w:sz w:val="22"/>
          <w:szCs w:val="22"/>
        </w:rPr>
        <w:t>Constitutionial</w:t>
      </w:r>
      <w:proofErr w:type="spellEnd"/>
      <w:r>
        <w:rPr>
          <w:rFonts w:ascii="Garamond" w:eastAsia="Garamond" w:hAnsi="Garamond" w:cs="Garamond"/>
          <w:sz w:val="22"/>
          <w:szCs w:val="22"/>
        </w:rPr>
        <w:t xml:space="preserve"> Court considers them “</w:t>
      </w:r>
      <w:proofErr w:type="spellStart"/>
      <w:r>
        <w:rPr>
          <w:rFonts w:ascii="Garamond" w:eastAsia="Garamond" w:hAnsi="Garamond" w:cs="Garamond"/>
          <w:sz w:val="22"/>
          <w:szCs w:val="22"/>
        </w:rPr>
        <w:t>inseperable</w:t>
      </w:r>
      <w:proofErr w:type="spellEnd"/>
      <w:r>
        <w:rPr>
          <w:rFonts w:ascii="Garamond" w:eastAsia="Garamond" w:hAnsi="Garamond" w:cs="Garamond"/>
          <w:sz w:val="22"/>
          <w:szCs w:val="22"/>
        </w:rPr>
        <w:t xml:space="preserve">”. (Belgium, </w:t>
      </w:r>
      <w:hyperlink r:id="rId21">
        <w:r>
          <w:rPr>
            <w:rFonts w:ascii="Garamond" w:eastAsia="Garamond" w:hAnsi="Garamond" w:cs="Garamond"/>
            <w:color w:val="1155CC"/>
            <w:sz w:val="22"/>
            <w:szCs w:val="22"/>
            <w:u w:val="single"/>
          </w:rPr>
          <w:t>BCC 157/2021</w:t>
        </w:r>
      </w:hyperlink>
      <w:r>
        <w:rPr>
          <w:rFonts w:ascii="Garamond" w:eastAsia="Garamond" w:hAnsi="Garamond" w:cs="Garamond"/>
          <w:sz w:val="22"/>
          <w:szCs w:val="22"/>
        </w:rPr>
        <w:t xml:space="preserve">, para. B.11.2.). Thus, when it falls upon the </w:t>
      </w:r>
      <w:proofErr w:type="spellStart"/>
      <w:r>
        <w:rPr>
          <w:rFonts w:ascii="Garamond" w:eastAsia="Garamond" w:hAnsi="Garamond" w:cs="Garamond"/>
          <w:sz w:val="22"/>
          <w:szCs w:val="22"/>
        </w:rPr>
        <w:t>Constitutionial</w:t>
      </w:r>
      <w:proofErr w:type="spellEnd"/>
      <w:r>
        <w:rPr>
          <w:rFonts w:ascii="Garamond" w:eastAsia="Garamond" w:hAnsi="Garamond" w:cs="Garamond"/>
          <w:sz w:val="22"/>
          <w:szCs w:val="22"/>
        </w:rPr>
        <w:t xml:space="preserve"> Court to check the </w:t>
      </w:r>
      <w:proofErr w:type="spellStart"/>
      <w:r>
        <w:rPr>
          <w:rFonts w:ascii="Garamond" w:eastAsia="Garamond" w:hAnsi="Garamond" w:cs="Garamond"/>
          <w:sz w:val="22"/>
          <w:szCs w:val="22"/>
        </w:rPr>
        <w:t>constitutioniality</w:t>
      </w:r>
      <w:proofErr w:type="spellEnd"/>
      <w:r>
        <w:rPr>
          <w:rFonts w:ascii="Garamond" w:eastAsia="Garamond" w:hAnsi="Garamond" w:cs="Garamond"/>
          <w:sz w:val="22"/>
          <w:szCs w:val="22"/>
        </w:rPr>
        <w:t xml:space="preserve"> of the crime of insulting the King, their analysis includes the European Court of Human Rights’ (ECtHR) jurisprudence on Article 10 ECHR (the right to freedom of expression). The Constitutional Court thus proceeds to repeat the basic established principles of the ECtHR’s jurisprudence (Id., para. B.11.-12.): freedom of expression is one of the pillars of democratic society and the principles of pluralism and tolerance apply “not only to “information” or “ideas” that are favorably received or regarded as inoffensive or as a matter of indifference, but also to those that offend, shock or disturb” (ECtHR, </w:t>
      </w:r>
      <w:hyperlink r:id="rId22">
        <w:proofErr w:type="spellStart"/>
        <w:r>
          <w:rPr>
            <w:rFonts w:ascii="Garamond" w:eastAsia="Garamond" w:hAnsi="Garamond" w:cs="Garamond"/>
            <w:color w:val="1155CC"/>
            <w:sz w:val="22"/>
            <w:szCs w:val="22"/>
            <w:u w:val="single"/>
          </w:rPr>
          <w:t>Handyside</w:t>
        </w:r>
        <w:proofErr w:type="spellEnd"/>
        <w:r>
          <w:rPr>
            <w:rFonts w:ascii="Garamond" w:eastAsia="Garamond" w:hAnsi="Garamond" w:cs="Garamond"/>
            <w:color w:val="1155CC"/>
            <w:sz w:val="22"/>
            <w:szCs w:val="22"/>
            <w:u w:val="single"/>
          </w:rPr>
          <w:t xml:space="preserve"> v. U.K</w:t>
        </w:r>
      </w:hyperlink>
      <w:r>
        <w:rPr>
          <w:rFonts w:ascii="Garamond" w:eastAsia="Garamond" w:hAnsi="Garamond" w:cs="Garamond"/>
          <w:color w:val="1155CC"/>
          <w:sz w:val="22"/>
          <w:szCs w:val="22"/>
          <w:u w:val="single"/>
        </w:rPr>
        <w:t>.</w:t>
      </w:r>
      <w:r>
        <w:rPr>
          <w:rFonts w:ascii="Garamond" w:eastAsia="Garamond" w:hAnsi="Garamond" w:cs="Garamond"/>
          <w:sz w:val="22"/>
          <w:szCs w:val="22"/>
        </w:rPr>
        <w:t xml:space="preserve">, App. No. 5493/72 (Dec. 7, 1976), para. 49; ECtHR, </w:t>
      </w:r>
      <w:hyperlink r:id="rId23">
        <w:proofErr w:type="spellStart"/>
        <w:r>
          <w:rPr>
            <w:rFonts w:ascii="Garamond" w:eastAsia="Garamond" w:hAnsi="Garamond" w:cs="Garamond"/>
            <w:color w:val="1155CC"/>
            <w:sz w:val="22"/>
            <w:szCs w:val="22"/>
            <w:u w:val="single"/>
          </w:rPr>
          <w:t>Lehideux</w:t>
        </w:r>
        <w:proofErr w:type="spellEnd"/>
        <w:r>
          <w:rPr>
            <w:rFonts w:ascii="Garamond" w:eastAsia="Garamond" w:hAnsi="Garamond" w:cs="Garamond"/>
            <w:color w:val="1155CC"/>
            <w:sz w:val="22"/>
            <w:szCs w:val="22"/>
            <w:u w:val="single"/>
          </w:rPr>
          <w:t xml:space="preserve"> </w:t>
        </w:r>
        <w:proofErr w:type="spellStart"/>
        <w:r>
          <w:rPr>
            <w:rFonts w:ascii="Garamond" w:eastAsia="Garamond" w:hAnsi="Garamond" w:cs="Garamond"/>
            <w:color w:val="1155CC"/>
            <w:sz w:val="22"/>
            <w:szCs w:val="22"/>
            <w:u w:val="single"/>
          </w:rPr>
          <w:t>en</w:t>
        </w:r>
        <w:proofErr w:type="spellEnd"/>
        <w:r>
          <w:rPr>
            <w:rFonts w:ascii="Garamond" w:eastAsia="Garamond" w:hAnsi="Garamond" w:cs="Garamond"/>
            <w:color w:val="1155CC"/>
            <w:sz w:val="22"/>
            <w:szCs w:val="22"/>
            <w:u w:val="single"/>
          </w:rPr>
          <w:t xml:space="preserve"> </w:t>
        </w:r>
        <w:proofErr w:type="spellStart"/>
        <w:r>
          <w:rPr>
            <w:rFonts w:ascii="Garamond" w:eastAsia="Garamond" w:hAnsi="Garamond" w:cs="Garamond"/>
            <w:color w:val="1155CC"/>
            <w:sz w:val="22"/>
            <w:szCs w:val="22"/>
            <w:u w:val="single"/>
          </w:rPr>
          <w:t>Isorni</w:t>
        </w:r>
        <w:proofErr w:type="spellEnd"/>
        <w:r>
          <w:rPr>
            <w:rFonts w:ascii="Garamond" w:eastAsia="Garamond" w:hAnsi="Garamond" w:cs="Garamond"/>
            <w:color w:val="1155CC"/>
            <w:sz w:val="22"/>
            <w:szCs w:val="22"/>
            <w:u w:val="single"/>
          </w:rPr>
          <w:t xml:space="preserve"> v. France</w:t>
        </w:r>
      </w:hyperlink>
      <w:r>
        <w:rPr>
          <w:rFonts w:ascii="Garamond" w:eastAsia="Garamond" w:hAnsi="Garamond" w:cs="Garamond"/>
          <w:sz w:val="22"/>
          <w:szCs w:val="22"/>
        </w:rPr>
        <w:t xml:space="preserve">, App. No. 4662/94 (Sept. 23, 1999), para. 55; ECtHR, </w:t>
      </w:r>
      <w:hyperlink r:id="rId24">
        <w:proofErr w:type="spellStart"/>
        <w:r>
          <w:rPr>
            <w:rFonts w:ascii="Garamond" w:eastAsia="Garamond" w:hAnsi="Garamond" w:cs="Garamond"/>
            <w:color w:val="1155CC"/>
            <w:sz w:val="22"/>
            <w:szCs w:val="22"/>
            <w:u w:val="single"/>
          </w:rPr>
          <w:t>Öztürk</w:t>
        </w:r>
        <w:proofErr w:type="spellEnd"/>
        <w:r>
          <w:rPr>
            <w:rFonts w:ascii="Garamond" w:eastAsia="Garamond" w:hAnsi="Garamond" w:cs="Garamond"/>
            <w:color w:val="1155CC"/>
            <w:sz w:val="22"/>
            <w:szCs w:val="22"/>
            <w:u w:val="single"/>
          </w:rPr>
          <w:t xml:space="preserve"> v. Turkey</w:t>
        </w:r>
      </w:hyperlink>
      <w:r>
        <w:rPr>
          <w:rFonts w:ascii="Garamond" w:eastAsia="Garamond" w:hAnsi="Garamond" w:cs="Garamond"/>
          <w:sz w:val="22"/>
          <w:szCs w:val="22"/>
        </w:rPr>
        <w:t xml:space="preserve">, App. No. 22479/93 (Sept. 28, 1999), para. 64; ECtHR, </w:t>
      </w:r>
      <w:hyperlink r:id="rId25">
        <w:proofErr w:type="spellStart"/>
        <w:r>
          <w:rPr>
            <w:rFonts w:ascii="Garamond" w:eastAsia="Garamond" w:hAnsi="Garamond" w:cs="Garamond"/>
            <w:color w:val="1155CC"/>
            <w:sz w:val="22"/>
            <w:szCs w:val="22"/>
            <w:u w:val="single"/>
          </w:rPr>
          <w:t>Mouvement</w:t>
        </w:r>
        <w:proofErr w:type="spellEnd"/>
        <w:r>
          <w:rPr>
            <w:rFonts w:ascii="Garamond" w:eastAsia="Garamond" w:hAnsi="Garamond" w:cs="Garamond"/>
            <w:color w:val="1155CC"/>
            <w:sz w:val="22"/>
            <w:szCs w:val="22"/>
            <w:u w:val="single"/>
          </w:rPr>
          <w:t xml:space="preserve"> </w:t>
        </w:r>
        <w:proofErr w:type="spellStart"/>
        <w:r>
          <w:rPr>
            <w:rFonts w:ascii="Garamond" w:eastAsia="Garamond" w:hAnsi="Garamond" w:cs="Garamond"/>
            <w:color w:val="1155CC"/>
            <w:sz w:val="22"/>
            <w:szCs w:val="22"/>
            <w:u w:val="single"/>
          </w:rPr>
          <w:t>raëlien</w:t>
        </w:r>
        <w:proofErr w:type="spellEnd"/>
        <w:r>
          <w:rPr>
            <w:rFonts w:ascii="Garamond" w:eastAsia="Garamond" w:hAnsi="Garamond" w:cs="Garamond"/>
            <w:color w:val="1155CC"/>
            <w:sz w:val="22"/>
            <w:szCs w:val="22"/>
            <w:u w:val="single"/>
          </w:rPr>
          <w:t xml:space="preserve"> </w:t>
        </w:r>
        <w:proofErr w:type="spellStart"/>
        <w:r>
          <w:rPr>
            <w:rFonts w:ascii="Garamond" w:eastAsia="Garamond" w:hAnsi="Garamond" w:cs="Garamond"/>
            <w:color w:val="1155CC"/>
            <w:sz w:val="22"/>
            <w:szCs w:val="22"/>
            <w:u w:val="single"/>
          </w:rPr>
          <w:t>suisse</w:t>
        </w:r>
        <w:proofErr w:type="spellEnd"/>
        <w:r>
          <w:rPr>
            <w:rFonts w:ascii="Garamond" w:eastAsia="Garamond" w:hAnsi="Garamond" w:cs="Garamond"/>
            <w:color w:val="1155CC"/>
            <w:sz w:val="22"/>
            <w:szCs w:val="22"/>
            <w:u w:val="single"/>
          </w:rPr>
          <w:t xml:space="preserve"> v. Switzerland</w:t>
        </w:r>
      </w:hyperlink>
      <w:r>
        <w:rPr>
          <w:rFonts w:ascii="Garamond" w:eastAsia="Garamond" w:hAnsi="Garamond" w:cs="Garamond"/>
          <w:sz w:val="22"/>
          <w:szCs w:val="22"/>
        </w:rPr>
        <w:t xml:space="preserve">, App. No. 16354/06 (July 13, 2012), para. 48). The exercise of the right to freedom of expression, however, can be subjected to certain “duties and responsibilities” (ECtHR, </w:t>
      </w:r>
      <w:hyperlink r:id="rId26">
        <w:proofErr w:type="spellStart"/>
        <w:r>
          <w:rPr>
            <w:rFonts w:ascii="Garamond" w:eastAsia="Garamond" w:hAnsi="Garamond" w:cs="Garamond"/>
            <w:color w:val="1155CC"/>
            <w:sz w:val="22"/>
            <w:szCs w:val="22"/>
            <w:highlight w:val="white"/>
            <w:u w:val="single"/>
          </w:rPr>
          <w:t>Gündüz</w:t>
        </w:r>
        <w:proofErr w:type="spellEnd"/>
        <w:r>
          <w:rPr>
            <w:rFonts w:ascii="Garamond" w:eastAsia="Garamond" w:hAnsi="Garamond" w:cs="Garamond"/>
            <w:color w:val="1155CC"/>
            <w:sz w:val="22"/>
            <w:szCs w:val="22"/>
            <w:highlight w:val="white"/>
            <w:u w:val="single"/>
          </w:rPr>
          <w:t xml:space="preserve"> v. Turkey</w:t>
        </w:r>
      </w:hyperlink>
      <w:r>
        <w:rPr>
          <w:rFonts w:ascii="Garamond" w:eastAsia="Garamond" w:hAnsi="Garamond" w:cs="Garamond"/>
          <w:sz w:val="22"/>
          <w:szCs w:val="22"/>
          <w:highlight w:val="white"/>
        </w:rPr>
        <w:t>,</w:t>
      </w:r>
      <w:r>
        <w:rPr>
          <w:rFonts w:ascii="Garamond" w:eastAsia="Garamond" w:hAnsi="Garamond" w:cs="Garamond"/>
          <w:sz w:val="22"/>
          <w:szCs w:val="22"/>
        </w:rPr>
        <w:t xml:space="preserve"> App. No. 35071/97 (June 14, 2004), para. 37),</w:t>
      </w:r>
      <w:r>
        <w:rPr>
          <w:rFonts w:ascii="Garamond" w:eastAsia="Garamond" w:hAnsi="Garamond" w:cs="Garamond"/>
          <w:sz w:val="22"/>
          <w:szCs w:val="22"/>
          <w:highlight w:val="white"/>
        </w:rPr>
        <w:t xml:space="preserve"> such as “</w:t>
      </w:r>
      <w:r>
        <w:rPr>
          <w:rFonts w:ascii="Garamond" w:eastAsia="Garamond" w:hAnsi="Garamond" w:cs="Garamond"/>
          <w:sz w:val="22"/>
          <w:szCs w:val="22"/>
        </w:rPr>
        <w:t>respect of the reputation and rights of others</w:t>
      </w:r>
      <w:r>
        <w:rPr>
          <w:rFonts w:ascii="Garamond" w:eastAsia="Garamond" w:hAnsi="Garamond" w:cs="Garamond"/>
          <w:sz w:val="22"/>
          <w:szCs w:val="22"/>
          <w:highlight w:val="white"/>
        </w:rPr>
        <w:t xml:space="preserve">” (ECtHR, </w:t>
      </w:r>
      <w:hyperlink r:id="rId27" w:anchor="%7B%22itemid%22:%5B%22001-58015%22%5D%7D">
        <w:r>
          <w:rPr>
            <w:rFonts w:ascii="Garamond" w:eastAsia="Garamond" w:hAnsi="Garamond" w:cs="Garamond"/>
            <w:color w:val="1155CC"/>
            <w:sz w:val="22"/>
            <w:szCs w:val="22"/>
            <w:highlight w:val="white"/>
            <w:u w:val="single"/>
          </w:rPr>
          <w:t xml:space="preserve">De </w:t>
        </w:r>
        <w:proofErr w:type="spellStart"/>
        <w:r>
          <w:rPr>
            <w:rFonts w:ascii="Garamond" w:eastAsia="Garamond" w:hAnsi="Garamond" w:cs="Garamond"/>
            <w:color w:val="1155CC"/>
            <w:sz w:val="22"/>
            <w:szCs w:val="22"/>
            <w:highlight w:val="white"/>
            <w:u w:val="single"/>
          </w:rPr>
          <w:t>Haes</w:t>
        </w:r>
        <w:proofErr w:type="spellEnd"/>
        <w:r>
          <w:rPr>
            <w:rFonts w:ascii="Garamond" w:eastAsia="Garamond" w:hAnsi="Garamond" w:cs="Garamond"/>
            <w:color w:val="1155CC"/>
            <w:sz w:val="22"/>
            <w:szCs w:val="22"/>
            <w:highlight w:val="white"/>
            <w:u w:val="single"/>
          </w:rPr>
          <w:t xml:space="preserve"> </w:t>
        </w:r>
        <w:proofErr w:type="spellStart"/>
        <w:r>
          <w:rPr>
            <w:rFonts w:ascii="Garamond" w:eastAsia="Garamond" w:hAnsi="Garamond" w:cs="Garamond"/>
            <w:color w:val="1155CC"/>
            <w:sz w:val="22"/>
            <w:szCs w:val="22"/>
            <w:highlight w:val="white"/>
            <w:u w:val="single"/>
          </w:rPr>
          <w:t>en</w:t>
        </w:r>
        <w:proofErr w:type="spellEnd"/>
        <w:r>
          <w:rPr>
            <w:rFonts w:ascii="Garamond" w:eastAsia="Garamond" w:hAnsi="Garamond" w:cs="Garamond"/>
            <w:color w:val="1155CC"/>
            <w:sz w:val="22"/>
            <w:szCs w:val="22"/>
            <w:highlight w:val="white"/>
            <w:u w:val="single"/>
          </w:rPr>
          <w:t xml:space="preserve"> </w:t>
        </w:r>
        <w:proofErr w:type="spellStart"/>
        <w:r>
          <w:rPr>
            <w:rFonts w:ascii="Garamond" w:eastAsia="Garamond" w:hAnsi="Garamond" w:cs="Garamond"/>
            <w:color w:val="1155CC"/>
            <w:sz w:val="22"/>
            <w:szCs w:val="22"/>
            <w:highlight w:val="white"/>
            <w:u w:val="single"/>
          </w:rPr>
          <w:t>Gijsels</w:t>
        </w:r>
        <w:proofErr w:type="spellEnd"/>
        <w:r>
          <w:rPr>
            <w:rFonts w:ascii="Garamond" w:eastAsia="Garamond" w:hAnsi="Garamond" w:cs="Garamond"/>
            <w:color w:val="1155CC"/>
            <w:sz w:val="22"/>
            <w:szCs w:val="22"/>
            <w:highlight w:val="white"/>
            <w:u w:val="single"/>
          </w:rPr>
          <w:t xml:space="preserve"> v. Belgium</w:t>
        </w:r>
      </w:hyperlink>
      <w:r>
        <w:rPr>
          <w:rFonts w:ascii="Garamond" w:eastAsia="Garamond" w:hAnsi="Garamond" w:cs="Garamond"/>
          <w:sz w:val="22"/>
          <w:szCs w:val="22"/>
          <w:highlight w:val="white"/>
        </w:rPr>
        <w:t xml:space="preserve">, App. No. 19983/92 (Feb. 24, 1997), para. 37; ECtHR,  </w:t>
      </w:r>
      <w:hyperlink r:id="rId28">
        <w:proofErr w:type="spellStart"/>
        <w:r>
          <w:rPr>
            <w:rFonts w:ascii="Garamond" w:eastAsia="Garamond" w:hAnsi="Garamond" w:cs="Garamond"/>
            <w:color w:val="1155CC"/>
            <w:sz w:val="22"/>
            <w:szCs w:val="22"/>
            <w:highlight w:val="white"/>
            <w:u w:val="single"/>
          </w:rPr>
          <w:t>Fressoz</w:t>
        </w:r>
        <w:proofErr w:type="spellEnd"/>
        <w:r>
          <w:rPr>
            <w:rFonts w:ascii="Garamond" w:eastAsia="Garamond" w:hAnsi="Garamond" w:cs="Garamond"/>
            <w:color w:val="1155CC"/>
            <w:sz w:val="22"/>
            <w:szCs w:val="22"/>
            <w:highlight w:val="white"/>
            <w:u w:val="single"/>
          </w:rPr>
          <w:t xml:space="preserve"> </w:t>
        </w:r>
        <w:proofErr w:type="spellStart"/>
        <w:r>
          <w:rPr>
            <w:rFonts w:ascii="Garamond" w:eastAsia="Garamond" w:hAnsi="Garamond" w:cs="Garamond"/>
            <w:color w:val="1155CC"/>
            <w:sz w:val="22"/>
            <w:szCs w:val="22"/>
            <w:highlight w:val="white"/>
            <w:u w:val="single"/>
          </w:rPr>
          <w:t>en</w:t>
        </w:r>
        <w:proofErr w:type="spellEnd"/>
        <w:r>
          <w:rPr>
            <w:rFonts w:ascii="Garamond" w:eastAsia="Garamond" w:hAnsi="Garamond" w:cs="Garamond"/>
            <w:color w:val="1155CC"/>
            <w:sz w:val="22"/>
            <w:szCs w:val="22"/>
            <w:highlight w:val="white"/>
            <w:u w:val="single"/>
          </w:rPr>
          <w:t xml:space="preserve"> </w:t>
        </w:r>
        <w:proofErr w:type="spellStart"/>
        <w:r>
          <w:rPr>
            <w:rFonts w:ascii="Garamond" w:eastAsia="Garamond" w:hAnsi="Garamond" w:cs="Garamond"/>
            <w:color w:val="1155CC"/>
            <w:sz w:val="22"/>
            <w:szCs w:val="22"/>
            <w:highlight w:val="white"/>
            <w:u w:val="single"/>
          </w:rPr>
          <w:t>Roire</w:t>
        </w:r>
        <w:proofErr w:type="spellEnd"/>
        <w:r>
          <w:rPr>
            <w:rFonts w:ascii="Garamond" w:eastAsia="Garamond" w:hAnsi="Garamond" w:cs="Garamond"/>
            <w:color w:val="1155CC"/>
            <w:sz w:val="22"/>
            <w:szCs w:val="22"/>
            <w:highlight w:val="white"/>
            <w:u w:val="single"/>
          </w:rPr>
          <w:t xml:space="preserve"> v. France</w:t>
        </w:r>
      </w:hyperlink>
      <w:r>
        <w:rPr>
          <w:rFonts w:ascii="Garamond" w:eastAsia="Garamond" w:hAnsi="Garamond" w:cs="Garamond"/>
          <w:sz w:val="22"/>
          <w:szCs w:val="22"/>
          <w:highlight w:val="white"/>
        </w:rPr>
        <w:t xml:space="preserve">, App. No. 29183/95 (Jan. 21, 1999), para. 45). Accordingly, Article 10(2) ECHR allows for certain limitations to the exercise of the right to freedom of expression. Nevertheless, the ECtHR holds that these limitations must be interpreted strictly (ECtHR, </w:t>
      </w:r>
      <w:hyperlink r:id="rId29">
        <w:proofErr w:type="spellStart"/>
        <w:r>
          <w:rPr>
            <w:rFonts w:ascii="Garamond" w:eastAsia="Garamond" w:hAnsi="Garamond" w:cs="Garamond"/>
            <w:color w:val="1155CC"/>
            <w:sz w:val="22"/>
            <w:szCs w:val="22"/>
            <w:highlight w:val="white"/>
            <w:u w:val="single"/>
          </w:rPr>
          <w:t>Pentikäinen</w:t>
        </w:r>
        <w:proofErr w:type="spellEnd"/>
        <w:r>
          <w:rPr>
            <w:rFonts w:ascii="Garamond" w:eastAsia="Garamond" w:hAnsi="Garamond" w:cs="Garamond"/>
            <w:color w:val="1155CC"/>
            <w:sz w:val="22"/>
            <w:szCs w:val="22"/>
            <w:highlight w:val="white"/>
            <w:u w:val="single"/>
          </w:rPr>
          <w:t xml:space="preserve"> v. Finland</w:t>
        </w:r>
      </w:hyperlink>
      <w:r>
        <w:rPr>
          <w:rFonts w:ascii="Garamond" w:eastAsia="Garamond" w:hAnsi="Garamond" w:cs="Garamond"/>
          <w:sz w:val="22"/>
          <w:szCs w:val="22"/>
          <w:highlight w:val="white"/>
        </w:rPr>
        <w:t xml:space="preserve">, App. No. 11882/10 (Oct. 20, 2015), para. 87). Following these principles, the Constitutional Court declares that “by criminalizing publicly expressed insults to the person of the King, Article 1 of the law of April 6, </w:t>
      </w:r>
      <w:proofErr w:type="gramStart"/>
      <w:r>
        <w:rPr>
          <w:rFonts w:ascii="Garamond" w:eastAsia="Garamond" w:hAnsi="Garamond" w:cs="Garamond"/>
          <w:sz w:val="22"/>
          <w:szCs w:val="22"/>
          <w:highlight w:val="white"/>
        </w:rPr>
        <w:t>1847</w:t>
      </w:r>
      <w:proofErr w:type="gramEnd"/>
      <w:r>
        <w:rPr>
          <w:rFonts w:ascii="Garamond" w:eastAsia="Garamond" w:hAnsi="Garamond" w:cs="Garamond"/>
          <w:sz w:val="22"/>
          <w:szCs w:val="22"/>
          <w:highlight w:val="white"/>
        </w:rPr>
        <w:t xml:space="preserve"> constitutes an interference with the right to freedom of expression.” (</w:t>
      </w:r>
      <w:r>
        <w:rPr>
          <w:rFonts w:ascii="Garamond" w:eastAsia="Garamond" w:hAnsi="Garamond" w:cs="Garamond"/>
          <w:sz w:val="22"/>
          <w:szCs w:val="22"/>
        </w:rPr>
        <w:t xml:space="preserve">Belgium, </w:t>
      </w:r>
      <w:hyperlink r:id="rId30">
        <w:r>
          <w:rPr>
            <w:rFonts w:ascii="Garamond" w:eastAsia="Garamond" w:hAnsi="Garamond" w:cs="Garamond"/>
            <w:color w:val="1155CC"/>
            <w:sz w:val="22"/>
            <w:szCs w:val="22"/>
            <w:u w:val="single"/>
          </w:rPr>
          <w:t>BCC 157/2021</w:t>
        </w:r>
      </w:hyperlink>
      <w:r>
        <w:rPr>
          <w:rFonts w:ascii="Garamond" w:eastAsia="Garamond" w:hAnsi="Garamond" w:cs="Garamond"/>
          <w:sz w:val="22"/>
          <w:szCs w:val="22"/>
        </w:rPr>
        <w:t>, para. B.13.1.). The Constitutional Court must thus check if this limitation is permitted under the ECtHR’s regime of Article 10(2) ECHR. Under this regime, a limitation to freedom of expression is allowed if it survives a three-tier test: legality: “the interference must be provided for by law”, legitimacy: “it must pursue one or more of the objectives listed in [Article 10, paragraph 2 ECHR]”, and proportionality: “it must be necessary in a democratic society, which presupposes that it meets a compelling social need and is proportionate to the objectives pursued” (Ibid., para. B.13.2.). The Constitutional Court then proceeds to apply this test to the case at hand.</w:t>
      </w:r>
    </w:p>
    <w:p w14:paraId="0000001A" w14:textId="77777777" w:rsidR="00D00FE4" w:rsidRDefault="00000000">
      <w:pPr>
        <w:numPr>
          <w:ilvl w:val="0"/>
          <w:numId w:val="1"/>
        </w:numPr>
        <w:pBdr>
          <w:top w:val="nil"/>
          <w:left w:val="nil"/>
          <w:bottom w:val="nil"/>
          <w:right w:val="nil"/>
          <w:between w:val="nil"/>
        </w:pBdr>
        <w:spacing w:line="276" w:lineRule="auto"/>
        <w:jc w:val="both"/>
        <w:rPr>
          <w:rFonts w:ascii="Garamond" w:eastAsia="Garamond" w:hAnsi="Garamond" w:cs="Garamond"/>
          <w:sz w:val="22"/>
          <w:szCs w:val="22"/>
        </w:rPr>
      </w:pPr>
      <w:r>
        <w:rPr>
          <w:rFonts w:ascii="Garamond" w:eastAsia="Garamond" w:hAnsi="Garamond" w:cs="Garamond"/>
          <w:sz w:val="22"/>
          <w:szCs w:val="22"/>
          <w:highlight w:val="white"/>
        </w:rPr>
        <w:t xml:space="preserve">The Constitutional Court establishes that the interference is “determined by a sufficiently accessible and precise law” (Id., para. B.14). The interference also pursues one of the listed objectives in Article 10.2 ECHR, namely “the protection of the reputation or rights of others''. Another legitimate goal of the interference can be deducted from the parliamentary documents, because the 1847 legislator also wanted to guarantee the “inviolability of the King and the stability of the constitutional </w:t>
      </w:r>
      <w:proofErr w:type="gramStart"/>
      <w:r>
        <w:rPr>
          <w:rFonts w:ascii="Garamond" w:eastAsia="Garamond" w:hAnsi="Garamond" w:cs="Garamond"/>
          <w:sz w:val="22"/>
          <w:szCs w:val="22"/>
          <w:highlight w:val="white"/>
        </w:rPr>
        <w:t>system”(</w:t>
      </w:r>
      <w:proofErr w:type="gramEnd"/>
      <w:r>
        <w:rPr>
          <w:rFonts w:ascii="Garamond" w:eastAsia="Garamond" w:hAnsi="Garamond" w:cs="Garamond"/>
          <w:sz w:val="22"/>
          <w:szCs w:val="22"/>
          <w:highlight w:val="white"/>
        </w:rPr>
        <w:t xml:space="preserve">Id., para. B.15.2.). Taking the historical context into account, the Constitutional Court considers that these objectives also fit within the Article 10(2) Framework, more precisely the “interests of national security” and the “prevention of disorder or crime” (Ibid.). The Court, however, admits that “this historical context is fundamentally different from the current context” and should thus investigate if the interference is </w:t>
      </w:r>
      <w:r>
        <w:rPr>
          <w:rFonts w:ascii="Garamond" w:eastAsia="Garamond" w:hAnsi="Garamond" w:cs="Garamond"/>
          <w:i/>
          <w:sz w:val="22"/>
          <w:szCs w:val="22"/>
          <w:highlight w:val="white"/>
        </w:rPr>
        <w:t>still</w:t>
      </w:r>
      <w:r>
        <w:rPr>
          <w:rFonts w:ascii="Garamond" w:eastAsia="Garamond" w:hAnsi="Garamond" w:cs="Garamond"/>
          <w:sz w:val="22"/>
          <w:szCs w:val="22"/>
          <w:highlight w:val="white"/>
        </w:rPr>
        <w:t xml:space="preserve"> “necessary in a democratic society” (Ibid.) </w:t>
      </w:r>
    </w:p>
    <w:p w14:paraId="0000001B" w14:textId="77777777" w:rsidR="00D00FE4" w:rsidRDefault="00000000">
      <w:pPr>
        <w:numPr>
          <w:ilvl w:val="0"/>
          <w:numId w:val="1"/>
        </w:numPr>
        <w:pBdr>
          <w:top w:val="nil"/>
          <w:left w:val="nil"/>
          <w:bottom w:val="nil"/>
          <w:right w:val="nil"/>
          <w:between w:val="nil"/>
        </w:pBdr>
        <w:spacing w:line="276" w:lineRule="auto"/>
        <w:jc w:val="both"/>
        <w:rPr>
          <w:rFonts w:ascii="Garamond" w:eastAsia="Garamond" w:hAnsi="Garamond" w:cs="Garamond"/>
          <w:sz w:val="22"/>
          <w:szCs w:val="22"/>
        </w:rPr>
      </w:pPr>
      <w:r>
        <w:rPr>
          <w:rFonts w:ascii="Garamond" w:eastAsia="Garamond" w:hAnsi="Garamond" w:cs="Garamond"/>
          <w:sz w:val="22"/>
          <w:szCs w:val="22"/>
          <w:highlight w:val="white"/>
        </w:rPr>
        <w:lastRenderedPageBreak/>
        <w:t>According to the ECtHR, “contracting States have a certain margin of appreciation in assessing whether such a need exists”, there is, however, “little scope under Article 10(2) for restrictions on freedom of expression in the area of political speech or debate – where freedom of expression is of the utmost importance – or in matters of public interest” (</w:t>
      </w:r>
      <w:r>
        <w:rPr>
          <w:rFonts w:ascii="Garamond" w:eastAsia="Garamond" w:hAnsi="Garamond" w:cs="Garamond"/>
          <w:sz w:val="22"/>
          <w:szCs w:val="22"/>
        </w:rPr>
        <w:t xml:space="preserve">Belgium, </w:t>
      </w:r>
      <w:hyperlink r:id="rId31">
        <w:r>
          <w:rPr>
            <w:rFonts w:ascii="Garamond" w:eastAsia="Garamond" w:hAnsi="Garamond" w:cs="Garamond"/>
            <w:color w:val="1155CC"/>
            <w:sz w:val="22"/>
            <w:szCs w:val="22"/>
            <w:u w:val="single"/>
          </w:rPr>
          <w:t>BCC 157/2021</w:t>
        </w:r>
      </w:hyperlink>
      <w:r>
        <w:rPr>
          <w:rFonts w:ascii="Garamond" w:eastAsia="Garamond" w:hAnsi="Garamond" w:cs="Garamond"/>
          <w:sz w:val="22"/>
          <w:szCs w:val="22"/>
          <w:highlight w:val="white"/>
        </w:rPr>
        <w:t xml:space="preserve">, para. B.16.1.; ECtHR, </w:t>
      </w:r>
      <w:hyperlink r:id="rId32" w:anchor="%7B%22languageisocode%22:%5B%22ENG%22%5D,%22appno%22:%5B%222034/07%22%5D,%22documentcollectionid2%22:%5B%22CHAMBER%22%5D,%22itemid%22:%5B%22001-103951%22%5D%7D">
        <w:proofErr w:type="spellStart"/>
        <w:r>
          <w:rPr>
            <w:rFonts w:ascii="Garamond" w:eastAsia="Garamond" w:hAnsi="Garamond" w:cs="Garamond"/>
            <w:color w:val="1155CC"/>
            <w:sz w:val="22"/>
            <w:szCs w:val="22"/>
            <w:highlight w:val="white"/>
            <w:u w:val="single"/>
          </w:rPr>
          <w:t>Otegi</w:t>
        </w:r>
        <w:proofErr w:type="spellEnd"/>
        <w:r>
          <w:rPr>
            <w:rFonts w:ascii="Garamond" w:eastAsia="Garamond" w:hAnsi="Garamond" w:cs="Garamond"/>
            <w:color w:val="1155CC"/>
            <w:sz w:val="22"/>
            <w:szCs w:val="22"/>
            <w:highlight w:val="white"/>
            <w:u w:val="single"/>
          </w:rPr>
          <w:t xml:space="preserve"> Mondragon v. Spain</w:t>
        </w:r>
      </w:hyperlink>
      <w:r>
        <w:rPr>
          <w:rFonts w:ascii="Garamond" w:eastAsia="Garamond" w:hAnsi="Garamond" w:cs="Garamond"/>
          <w:sz w:val="22"/>
          <w:szCs w:val="22"/>
          <w:highlight w:val="white"/>
        </w:rPr>
        <w:t xml:space="preserve">, App. No. 2034/07 (Mar. 15, 2011), para. 49-50; ECtHR, </w:t>
      </w:r>
      <w:hyperlink r:id="rId33">
        <w:r>
          <w:rPr>
            <w:rFonts w:ascii="Garamond" w:eastAsia="Garamond" w:hAnsi="Garamond" w:cs="Garamond"/>
            <w:color w:val="1155CC"/>
            <w:sz w:val="22"/>
            <w:szCs w:val="22"/>
            <w:highlight w:val="white"/>
            <w:u w:val="single"/>
          </w:rPr>
          <w:t xml:space="preserve">Stern </w:t>
        </w:r>
        <w:proofErr w:type="spellStart"/>
        <w:r>
          <w:rPr>
            <w:rFonts w:ascii="Garamond" w:eastAsia="Garamond" w:hAnsi="Garamond" w:cs="Garamond"/>
            <w:color w:val="1155CC"/>
            <w:sz w:val="22"/>
            <w:szCs w:val="22"/>
            <w:highlight w:val="white"/>
            <w:u w:val="single"/>
          </w:rPr>
          <w:t>Taulats</w:t>
        </w:r>
        <w:proofErr w:type="spellEnd"/>
        <w:r>
          <w:rPr>
            <w:rFonts w:ascii="Garamond" w:eastAsia="Garamond" w:hAnsi="Garamond" w:cs="Garamond"/>
            <w:color w:val="1155CC"/>
            <w:sz w:val="22"/>
            <w:szCs w:val="22"/>
            <w:highlight w:val="white"/>
            <w:u w:val="single"/>
          </w:rPr>
          <w:t xml:space="preserve"> and </w:t>
        </w:r>
        <w:proofErr w:type="spellStart"/>
        <w:r>
          <w:rPr>
            <w:rFonts w:ascii="Garamond" w:eastAsia="Garamond" w:hAnsi="Garamond" w:cs="Garamond"/>
            <w:color w:val="1155CC"/>
            <w:sz w:val="22"/>
            <w:szCs w:val="22"/>
            <w:highlight w:val="white"/>
            <w:u w:val="single"/>
          </w:rPr>
          <w:t>Roura</w:t>
        </w:r>
        <w:proofErr w:type="spellEnd"/>
        <w:r>
          <w:rPr>
            <w:rFonts w:ascii="Garamond" w:eastAsia="Garamond" w:hAnsi="Garamond" w:cs="Garamond"/>
            <w:color w:val="1155CC"/>
            <w:sz w:val="22"/>
            <w:szCs w:val="22"/>
            <w:highlight w:val="white"/>
            <w:u w:val="single"/>
          </w:rPr>
          <w:t xml:space="preserve"> </w:t>
        </w:r>
        <w:proofErr w:type="spellStart"/>
        <w:r>
          <w:rPr>
            <w:rFonts w:ascii="Garamond" w:eastAsia="Garamond" w:hAnsi="Garamond" w:cs="Garamond"/>
            <w:color w:val="1155CC"/>
            <w:sz w:val="22"/>
            <w:szCs w:val="22"/>
            <w:highlight w:val="white"/>
            <w:u w:val="single"/>
          </w:rPr>
          <w:t>Capellera</w:t>
        </w:r>
        <w:proofErr w:type="spellEnd"/>
        <w:r>
          <w:rPr>
            <w:rFonts w:ascii="Garamond" w:eastAsia="Garamond" w:hAnsi="Garamond" w:cs="Garamond"/>
            <w:color w:val="1155CC"/>
            <w:sz w:val="22"/>
            <w:szCs w:val="22"/>
            <w:highlight w:val="white"/>
            <w:u w:val="single"/>
          </w:rPr>
          <w:t xml:space="preserve"> v. Spain</w:t>
        </w:r>
      </w:hyperlink>
      <w:r>
        <w:rPr>
          <w:rFonts w:ascii="Garamond" w:eastAsia="Garamond" w:hAnsi="Garamond" w:cs="Garamond"/>
          <w:sz w:val="22"/>
          <w:szCs w:val="22"/>
          <w:highlight w:val="white"/>
        </w:rPr>
        <w:t>, App. No. 51168/15 (Mar. 13, 2018), para. 31-32). The Constitutional Court then includes “critical expressions about public institutions or personalities, such as the King” as part of the “political debate or matters of public interest”, even when “they are shocking, disturbing or offensive” as long as they do not “incite to violence or constitute hate speech” (</w:t>
      </w:r>
      <w:r>
        <w:rPr>
          <w:rFonts w:ascii="Garamond" w:eastAsia="Garamond" w:hAnsi="Garamond" w:cs="Garamond"/>
          <w:sz w:val="22"/>
          <w:szCs w:val="22"/>
        </w:rPr>
        <w:t xml:space="preserve">Belgium, </w:t>
      </w:r>
      <w:hyperlink r:id="rId34">
        <w:r>
          <w:rPr>
            <w:rFonts w:ascii="Garamond" w:eastAsia="Garamond" w:hAnsi="Garamond" w:cs="Garamond"/>
            <w:color w:val="1155CC"/>
            <w:sz w:val="22"/>
            <w:szCs w:val="22"/>
            <w:u w:val="single"/>
          </w:rPr>
          <w:t>BCC 157/2021</w:t>
        </w:r>
      </w:hyperlink>
      <w:r>
        <w:rPr>
          <w:rFonts w:ascii="Garamond" w:eastAsia="Garamond" w:hAnsi="Garamond" w:cs="Garamond"/>
          <w:sz w:val="22"/>
          <w:szCs w:val="22"/>
        </w:rPr>
        <w:t xml:space="preserve">, para. B.16.2). The Court then repeats the ECtHR definition of hate speech: “all forms of expression that [promote, incite or justify] racial hatred, xenophobia, anti-Semitism or other forms of hatred based on intolerance" (Ibid.; </w:t>
      </w:r>
      <w:r>
        <w:rPr>
          <w:rFonts w:ascii="Garamond" w:eastAsia="Garamond" w:hAnsi="Garamond" w:cs="Garamond"/>
          <w:sz w:val="22"/>
          <w:szCs w:val="22"/>
          <w:highlight w:val="white"/>
        </w:rPr>
        <w:t xml:space="preserve">ECtHR, </w:t>
      </w:r>
      <w:hyperlink r:id="rId35">
        <w:r>
          <w:rPr>
            <w:rFonts w:ascii="Garamond" w:eastAsia="Garamond" w:hAnsi="Garamond" w:cs="Garamond"/>
            <w:color w:val="1155CC"/>
            <w:sz w:val="22"/>
            <w:szCs w:val="22"/>
            <w:highlight w:val="white"/>
            <w:u w:val="single"/>
          </w:rPr>
          <w:t xml:space="preserve">Stern </w:t>
        </w:r>
        <w:proofErr w:type="spellStart"/>
        <w:r>
          <w:rPr>
            <w:rFonts w:ascii="Garamond" w:eastAsia="Garamond" w:hAnsi="Garamond" w:cs="Garamond"/>
            <w:color w:val="1155CC"/>
            <w:sz w:val="22"/>
            <w:szCs w:val="22"/>
            <w:highlight w:val="white"/>
            <w:u w:val="single"/>
          </w:rPr>
          <w:t>Taulats</w:t>
        </w:r>
        <w:proofErr w:type="spellEnd"/>
        <w:r>
          <w:rPr>
            <w:rFonts w:ascii="Garamond" w:eastAsia="Garamond" w:hAnsi="Garamond" w:cs="Garamond"/>
            <w:color w:val="1155CC"/>
            <w:sz w:val="22"/>
            <w:szCs w:val="22"/>
            <w:highlight w:val="white"/>
            <w:u w:val="single"/>
          </w:rPr>
          <w:t xml:space="preserve"> and </w:t>
        </w:r>
        <w:proofErr w:type="spellStart"/>
        <w:r>
          <w:rPr>
            <w:rFonts w:ascii="Garamond" w:eastAsia="Garamond" w:hAnsi="Garamond" w:cs="Garamond"/>
            <w:color w:val="1155CC"/>
            <w:sz w:val="22"/>
            <w:szCs w:val="22"/>
            <w:highlight w:val="white"/>
            <w:u w:val="single"/>
          </w:rPr>
          <w:t>Roura</w:t>
        </w:r>
        <w:proofErr w:type="spellEnd"/>
        <w:r>
          <w:rPr>
            <w:rFonts w:ascii="Garamond" w:eastAsia="Garamond" w:hAnsi="Garamond" w:cs="Garamond"/>
            <w:color w:val="1155CC"/>
            <w:sz w:val="22"/>
            <w:szCs w:val="22"/>
            <w:highlight w:val="white"/>
            <w:u w:val="single"/>
          </w:rPr>
          <w:t xml:space="preserve"> </w:t>
        </w:r>
        <w:proofErr w:type="spellStart"/>
        <w:r>
          <w:rPr>
            <w:rFonts w:ascii="Garamond" w:eastAsia="Garamond" w:hAnsi="Garamond" w:cs="Garamond"/>
            <w:color w:val="1155CC"/>
            <w:sz w:val="22"/>
            <w:szCs w:val="22"/>
            <w:highlight w:val="white"/>
            <w:u w:val="single"/>
          </w:rPr>
          <w:t>Capellera</w:t>
        </w:r>
        <w:proofErr w:type="spellEnd"/>
        <w:r>
          <w:rPr>
            <w:rFonts w:ascii="Garamond" w:eastAsia="Garamond" w:hAnsi="Garamond" w:cs="Garamond"/>
            <w:color w:val="1155CC"/>
            <w:sz w:val="22"/>
            <w:szCs w:val="22"/>
            <w:highlight w:val="white"/>
            <w:u w:val="single"/>
          </w:rPr>
          <w:t xml:space="preserve"> v. Spain</w:t>
        </w:r>
      </w:hyperlink>
      <w:r>
        <w:rPr>
          <w:rFonts w:ascii="Garamond" w:eastAsia="Garamond" w:hAnsi="Garamond" w:cs="Garamond"/>
          <w:sz w:val="22"/>
          <w:szCs w:val="22"/>
          <w:highlight w:val="white"/>
        </w:rPr>
        <w:t>, para. 41). The Constitutional Court continues that “the imposition of a prison sentence for an offence in the area of political speech will be compatible with freedom of expression [...] only in exceptional circumstances, [...] as, for example, in the case of hate speech or incitement to violence” (</w:t>
      </w:r>
      <w:r>
        <w:rPr>
          <w:rFonts w:ascii="Garamond" w:eastAsia="Garamond" w:hAnsi="Garamond" w:cs="Garamond"/>
          <w:sz w:val="22"/>
          <w:szCs w:val="22"/>
        </w:rPr>
        <w:t xml:space="preserve">Belgium, </w:t>
      </w:r>
      <w:hyperlink r:id="rId36">
        <w:r>
          <w:rPr>
            <w:rFonts w:ascii="Garamond" w:eastAsia="Garamond" w:hAnsi="Garamond" w:cs="Garamond"/>
            <w:color w:val="1155CC"/>
            <w:sz w:val="22"/>
            <w:szCs w:val="22"/>
            <w:u w:val="single"/>
          </w:rPr>
          <w:t>BCC 157/2021</w:t>
        </w:r>
      </w:hyperlink>
      <w:r>
        <w:rPr>
          <w:rFonts w:ascii="Garamond" w:eastAsia="Garamond" w:hAnsi="Garamond" w:cs="Garamond"/>
          <w:sz w:val="22"/>
          <w:szCs w:val="22"/>
        </w:rPr>
        <w:t xml:space="preserve">, para. B.16.2.; ECtHR, </w:t>
      </w:r>
      <w:hyperlink r:id="rId37" w:anchor="%7B%22languageisocode%22:%5B%22ENG%22%5D,%22appno%22:%5B%222034/07%22%5D,%22documentcollectionid2%22:%5B%22CHAMBER%22%5D,%22itemid%22:%5B%22001-103951%22%5D%7D">
        <w:proofErr w:type="spellStart"/>
        <w:r>
          <w:rPr>
            <w:rFonts w:ascii="Garamond" w:eastAsia="Garamond" w:hAnsi="Garamond" w:cs="Garamond"/>
            <w:color w:val="1155CC"/>
            <w:sz w:val="22"/>
            <w:szCs w:val="22"/>
            <w:highlight w:val="white"/>
            <w:u w:val="single"/>
          </w:rPr>
          <w:t>Otegi</w:t>
        </w:r>
        <w:proofErr w:type="spellEnd"/>
        <w:r>
          <w:rPr>
            <w:rFonts w:ascii="Garamond" w:eastAsia="Garamond" w:hAnsi="Garamond" w:cs="Garamond"/>
            <w:color w:val="1155CC"/>
            <w:sz w:val="22"/>
            <w:szCs w:val="22"/>
            <w:highlight w:val="white"/>
            <w:u w:val="single"/>
          </w:rPr>
          <w:t xml:space="preserve"> Mondragon v. Spain</w:t>
        </w:r>
      </w:hyperlink>
      <w:r>
        <w:rPr>
          <w:rFonts w:ascii="Garamond" w:eastAsia="Garamond" w:hAnsi="Garamond" w:cs="Garamond"/>
          <w:sz w:val="22"/>
          <w:szCs w:val="22"/>
          <w:highlight w:val="white"/>
        </w:rPr>
        <w:t>, para. 59). The Constitutional Court then turns to the ECtHR jurisprudence on specific criminal provisions regarding insulting a head of state, which have stated that “providing increased protection by means of a special law on insults will not, as a rule, be in keeping with the spirit of the Convention” (</w:t>
      </w:r>
      <w:hyperlink r:id="rId38">
        <w:r>
          <w:rPr>
            <w:rFonts w:ascii="Garamond" w:eastAsia="Garamond" w:hAnsi="Garamond" w:cs="Garamond"/>
            <w:color w:val="1155CC"/>
            <w:sz w:val="22"/>
            <w:szCs w:val="22"/>
            <w:u w:val="single"/>
          </w:rPr>
          <w:t>BCC 157/2021</w:t>
        </w:r>
      </w:hyperlink>
      <w:r>
        <w:rPr>
          <w:rFonts w:ascii="Garamond" w:eastAsia="Garamond" w:hAnsi="Garamond" w:cs="Garamond"/>
          <w:sz w:val="22"/>
          <w:szCs w:val="22"/>
        </w:rPr>
        <w:t xml:space="preserve">, para. B.18.1; ECtHR, </w:t>
      </w:r>
      <w:hyperlink r:id="rId39" w:anchor="%7B%22languageisocode%22:%5B%22ENG%22%5D,%22appno%22:%5B%222034/07%22%5D,%22documentcollectionid2%22:%5B%22CHAMBER%22%5D,%22itemid%22:%5B%22001-103951%22%5D%7D">
        <w:proofErr w:type="spellStart"/>
        <w:r>
          <w:rPr>
            <w:rFonts w:ascii="Garamond" w:eastAsia="Garamond" w:hAnsi="Garamond" w:cs="Garamond"/>
            <w:color w:val="1155CC"/>
            <w:sz w:val="22"/>
            <w:szCs w:val="22"/>
            <w:highlight w:val="white"/>
            <w:u w:val="single"/>
          </w:rPr>
          <w:t>Otegi</w:t>
        </w:r>
        <w:proofErr w:type="spellEnd"/>
        <w:r>
          <w:rPr>
            <w:rFonts w:ascii="Garamond" w:eastAsia="Garamond" w:hAnsi="Garamond" w:cs="Garamond"/>
            <w:color w:val="1155CC"/>
            <w:sz w:val="22"/>
            <w:szCs w:val="22"/>
            <w:highlight w:val="white"/>
            <w:u w:val="single"/>
          </w:rPr>
          <w:t xml:space="preserve"> Mondragon v. Spain</w:t>
        </w:r>
      </w:hyperlink>
      <w:r>
        <w:rPr>
          <w:rFonts w:ascii="Garamond" w:eastAsia="Garamond" w:hAnsi="Garamond" w:cs="Garamond"/>
          <w:sz w:val="22"/>
          <w:szCs w:val="22"/>
          <w:highlight w:val="white"/>
        </w:rPr>
        <w:t>, para. 55). Thus, a head of state is entitled to “the protection of his reputation, just like other persons”. However, it is in principle not justified “to provide for that head of state protection beyond that provided for other persons” (</w:t>
      </w:r>
      <w:r>
        <w:rPr>
          <w:rFonts w:ascii="Garamond" w:eastAsia="Garamond" w:hAnsi="Garamond" w:cs="Garamond"/>
          <w:sz w:val="22"/>
          <w:szCs w:val="22"/>
        </w:rPr>
        <w:t xml:space="preserve">Ibid.). </w:t>
      </w:r>
      <w:r>
        <w:rPr>
          <w:rFonts w:ascii="Garamond" w:eastAsia="Garamond" w:hAnsi="Garamond" w:cs="Garamond"/>
          <w:sz w:val="22"/>
          <w:szCs w:val="22"/>
          <w:highlight w:val="white"/>
        </w:rPr>
        <w:t xml:space="preserve">This applies to both heads of states of republics (ECtHR, </w:t>
      </w:r>
      <w:hyperlink r:id="rId40" w:anchor="%7B%22appno%22:%5B%2235839/97%22%5D%7D">
        <w:proofErr w:type="spellStart"/>
        <w:r>
          <w:rPr>
            <w:rFonts w:ascii="Garamond" w:eastAsia="Garamond" w:hAnsi="Garamond" w:cs="Garamond"/>
            <w:color w:val="1155CC"/>
            <w:sz w:val="22"/>
            <w:szCs w:val="22"/>
            <w:highlight w:val="white"/>
            <w:u w:val="single"/>
          </w:rPr>
          <w:t>Pakdemirli</w:t>
        </w:r>
        <w:proofErr w:type="spellEnd"/>
        <w:r>
          <w:rPr>
            <w:rFonts w:ascii="Garamond" w:eastAsia="Garamond" w:hAnsi="Garamond" w:cs="Garamond"/>
            <w:color w:val="1155CC"/>
            <w:sz w:val="22"/>
            <w:szCs w:val="22"/>
            <w:highlight w:val="white"/>
            <w:u w:val="single"/>
          </w:rPr>
          <w:t xml:space="preserve"> v. Turkey</w:t>
        </w:r>
      </w:hyperlink>
      <w:r>
        <w:rPr>
          <w:rFonts w:ascii="Garamond" w:eastAsia="Garamond" w:hAnsi="Garamond" w:cs="Garamond"/>
          <w:sz w:val="22"/>
          <w:szCs w:val="22"/>
          <w:highlight w:val="white"/>
        </w:rPr>
        <w:t>, App. No. 35839/97 (</w:t>
      </w:r>
      <w:proofErr w:type="spellStart"/>
      <w:r>
        <w:rPr>
          <w:rFonts w:ascii="Garamond" w:eastAsia="Garamond" w:hAnsi="Garamond" w:cs="Garamond"/>
          <w:sz w:val="22"/>
          <w:szCs w:val="22"/>
          <w:highlight w:val="white"/>
        </w:rPr>
        <w:t>Febr</w:t>
      </w:r>
      <w:proofErr w:type="spellEnd"/>
      <w:r>
        <w:rPr>
          <w:rFonts w:ascii="Garamond" w:eastAsia="Garamond" w:hAnsi="Garamond" w:cs="Garamond"/>
          <w:sz w:val="22"/>
          <w:szCs w:val="22"/>
          <w:highlight w:val="white"/>
        </w:rPr>
        <w:t xml:space="preserve">. 22, 2005), para. 52) as well as monarchies (ECtHR </w:t>
      </w:r>
      <w:hyperlink r:id="rId41" w:anchor="%7B%22languageisocode%22:%5B%22ENG%22%5D,%22appno%22:%5B%222034/07%22%5D,%22documentcollectionid2%22:%5B%22CHAMBER%22%5D,%22itemid%22:%5B%22001-103951%22%5D%7D">
        <w:proofErr w:type="spellStart"/>
        <w:r>
          <w:rPr>
            <w:rFonts w:ascii="Garamond" w:eastAsia="Garamond" w:hAnsi="Garamond" w:cs="Garamond"/>
            <w:color w:val="1155CC"/>
            <w:sz w:val="22"/>
            <w:szCs w:val="22"/>
            <w:highlight w:val="white"/>
            <w:u w:val="single"/>
          </w:rPr>
          <w:t>Otegi</w:t>
        </w:r>
        <w:proofErr w:type="spellEnd"/>
        <w:r>
          <w:rPr>
            <w:rFonts w:ascii="Garamond" w:eastAsia="Garamond" w:hAnsi="Garamond" w:cs="Garamond"/>
            <w:color w:val="1155CC"/>
            <w:sz w:val="22"/>
            <w:szCs w:val="22"/>
            <w:highlight w:val="white"/>
            <w:u w:val="single"/>
          </w:rPr>
          <w:t xml:space="preserve"> Mondragon v. Spain</w:t>
        </w:r>
      </w:hyperlink>
      <w:r>
        <w:rPr>
          <w:rFonts w:ascii="Garamond" w:eastAsia="Garamond" w:hAnsi="Garamond" w:cs="Garamond"/>
          <w:sz w:val="22"/>
          <w:szCs w:val="22"/>
          <w:highlight w:val="white"/>
        </w:rPr>
        <w:t xml:space="preserve">, para. 55-56; ECtHR, </w:t>
      </w:r>
      <w:hyperlink r:id="rId42">
        <w:r>
          <w:rPr>
            <w:rFonts w:ascii="Garamond" w:eastAsia="Garamond" w:hAnsi="Garamond" w:cs="Garamond"/>
            <w:color w:val="1155CC"/>
            <w:sz w:val="22"/>
            <w:szCs w:val="22"/>
            <w:highlight w:val="white"/>
            <w:u w:val="single"/>
          </w:rPr>
          <w:t xml:space="preserve">Stern </w:t>
        </w:r>
        <w:proofErr w:type="spellStart"/>
        <w:r>
          <w:rPr>
            <w:rFonts w:ascii="Garamond" w:eastAsia="Garamond" w:hAnsi="Garamond" w:cs="Garamond"/>
            <w:color w:val="1155CC"/>
            <w:sz w:val="22"/>
            <w:szCs w:val="22"/>
            <w:highlight w:val="white"/>
            <w:u w:val="single"/>
          </w:rPr>
          <w:t>Taulats</w:t>
        </w:r>
        <w:proofErr w:type="spellEnd"/>
        <w:r>
          <w:rPr>
            <w:rFonts w:ascii="Garamond" w:eastAsia="Garamond" w:hAnsi="Garamond" w:cs="Garamond"/>
            <w:color w:val="1155CC"/>
            <w:sz w:val="22"/>
            <w:szCs w:val="22"/>
            <w:highlight w:val="white"/>
            <w:u w:val="single"/>
          </w:rPr>
          <w:t xml:space="preserve"> and </w:t>
        </w:r>
        <w:proofErr w:type="spellStart"/>
        <w:r>
          <w:rPr>
            <w:rFonts w:ascii="Garamond" w:eastAsia="Garamond" w:hAnsi="Garamond" w:cs="Garamond"/>
            <w:color w:val="1155CC"/>
            <w:sz w:val="22"/>
            <w:szCs w:val="22"/>
            <w:highlight w:val="white"/>
            <w:u w:val="single"/>
          </w:rPr>
          <w:t>Roura</w:t>
        </w:r>
        <w:proofErr w:type="spellEnd"/>
        <w:r>
          <w:rPr>
            <w:rFonts w:ascii="Garamond" w:eastAsia="Garamond" w:hAnsi="Garamond" w:cs="Garamond"/>
            <w:color w:val="1155CC"/>
            <w:sz w:val="22"/>
            <w:szCs w:val="22"/>
            <w:highlight w:val="white"/>
            <w:u w:val="single"/>
          </w:rPr>
          <w:t xml:space="preserve"> </w:t>
        </w:r>
        <w:proofErr w:type="spellStart"/>
        <w:r>
          <w:rPr>
            <w:rFonts w:ascii="Garamond" w:eastAsia="Garamond" w:hAnsi="Garamond" w:cs="Garamond"/>
            <w:color w:val="1155CC"/>
            <w:sz w:val="22"/>
            <w:szCs w:val="22"/>
            <w:highlight w:val="white"/>
            <w:u w:val="single"/>
          </w:rPr>
          <w:t>Capellera</w:t>
        </w:r>
        <w:proofErr w:type="spellEnd"/>
        <w:r>
          <w:rPr>
            <w:rFonts w:ascii="Garamond" w:eastAsia="Garamond" w:hAnsi="Garamond" w:cs="Garamond"/>
            <w:color w:val="1155CC"/>
            <w:sz w:val="22"/>
            <w:szCs w:val="22"/>
            <w:highlight w:val="white"/>
            <w:u w:val="single"/>
          </w:rPr>
          <w:t xml:space="preserve"> v. Spain</w:t>
        </w:r>
      </w:hyperlink>
      <w:r>
        <w:rPr>
          <w:rFonts w:ascii="Garamond" w:eastAsia="Garamond" w:hAnsi="Garamond" w:cs="Garamond"/>
          <w:sz w:val="22"/>
          <w:szCs w:val="22"/>
          <w:highlight w:val="white"/>
        </w:rPr>
        <w:t xml:space="preserve">, para. 35). The Belgian Constitutional Court, again citing </w:t>
      </w:r>
      <w:hyperlink r:id="rId43" w:anchor="%7B%22languageisocode%22:%5B%22ENG%22%5D,%22appno%22:%5B%222034/07%22%5D,%22documentcollectionid2%22:%5B%22CHAMBER%22%5D,%22itemid%22:%5B%22001-103951%22%5D%7D">
        <w:proofErr w:type="spellStart"/>
        <w:r>
          <w:rPr>
            <w:rFonts w:ascii="Garamond" w:eastAsia="Garamond" w:hAnsi="Garamond" w:cs="Garamond"/>
            <w:color w:val="1155CC"/>
            <w:sz w:val="22"/>
            <w:szCs w:val="22"/>
            <w:highlight w:val="white"/>
            <w:u w:val="single"/>
          </w:rPr>
          <w:t>Otegi</w:t>
        </w:r>
        <w:proofErr w:type="spellEnd"/>
        <w:r>
          <w:rPr>
            <w:rFonts w:ascii="Garamond" w:eastAsia="Garamond" w:hAnsi="Garamond" w:cs="Garamond"/>
            <w:color w:val="1155CC"/>
            <w:sz w:val="22"/>
            <w:szCs w:val="22"/>
            <w:highlight w:val="white"/>
            <w:u w:val="single"/>
          </w:rPr>
          <w:t xml:space="preserve"> Mondragon v. Spain</w:t>
        </w:r>
      </w:hyperlink>
      <w:r>
        <w:rPr>
          <w:rFonts w:ascii="Garamond" w:eastAsia="Garamond" w:hAnsi="Garamond" w:cs="Garamond"/>
          <w:sz w:val="22"/>
          <w:szCs w:val="22"/>
          <w:highlight w:val="white"/>
        </w:rPr>
        <w:t>, para. 56, thus concludes that although the “inviolability of the King” and his “symbolic function as Head of State” may justify different penal procedural rules, they “do not justify giving the King a broader protection than ordinary citizens” (</w:t>
      </w:r>
      <w:hyperlink r:id="rId44">
        <w:r>
          <w:rPr>
            <w:rFonts w:ascii="Garamond" w:eastAsia="Garamond" w:hAnsi="Garamond" w:cs="Garamond"/>
            <w:color w:val="1155CC"/>
            <w:sz w:val="22"/>
            <w:szCs w:val="22"/>
            <w:u w:val="single"/>
          </w:rPr>
          <w:t>BCC 157/2021</w:t>
        </w:r>
      </w:hyperlink>
      <w:r>
        <w:rPr>
          <w:rFonts w:ascii="Garamond" w:eastAsia="Garamond" w:hAnsi="Garamond" w:cs="Garamond"/>
          <w:sz w:val="22"/>
          <w:szCs w:val="22"/>
        </w:rPr>
        <w:t>, para. B</w:t>
      </w:r>
      <w:r>
        <w:rPr>
          <w:rFonts w:ascii="Garamond" w:eastAsia="Garamond" w:hAnsi="Garamond" w:cs="Garamond"/>
          <w:sz w:val="22"/>
          <w:szCs w:val="22"/>
          <w:highlight w:val="white"/>
        </w:rPr>
        <w:t xml:space="preserve">.18.3.). The Constitutional Court then checks whether </w:t>
      </w:r>
      <w:r>
        <w:rPr>
          <w:rFonts w:ascii="Garamond" w:eastAsia="Garamond" w:hAnsi="Garamond" w:cs="Garamond"/>
          <w:sz w:val="22"/>
          <w:szCs w:val="22"/>
        </w:rPr>
        <w:t xml:space="preserve">Article 1 of the </w:t>
      </w:r>
      <w:hyperlink r:id="rId45">
        <w:r>
          <w:rPr>
            <w:rFonts w:ascii="Garamond" w:eastAsia="Garamond" w:hAnsi="Garamond" w:cs="Garamond"/>
            <w:color w:val="1155CC"/>
            <w:sz w:val="22"/>
            <w:szCs w:val="22"/>
            <w:u w:val="single"/>
          </w:rPr>
          <w:t>Law of April 6, 1847</w:t>
        </w:r>
      </w:hyperlink>
      <w:r>
        <w:rPr>
          <w:rFonts w:ascii="Garamond" w:eastAsia="Garamond" w:hAnsi="Garamond" w:cs="Garamond"/>
          <w:sz w:val="22"/>
          <w:szCs w:val="22"/>
          <w:highlight w:val="white"/>
        </w:rPr>
        <w:t xml:space="preserve"> creates such a special regime of protection. The Court notes that both the maximum prison sentences and fines are heavier for insulting the King as opposed to the regular system of slander and defamation (</w:t>
      </w:r>
      <w:hyperlink r:id="rId46">
        <w:r>
          <w:rPr>
            <w:rFonts w:ascii="Garamond" w:eastAsia="Garamond" w:hAnsi="Garamond" w:cs="Garamond"/>
            <w:color w:val="1155CC"/>
            <w:sz w:val="22"/>
            <w:szCs w:val="22"/>
            <w:highlight w:val="white"/>
            <w:u w:val="single"/>
          </w:rPr>
          <w:t>Articles 275, 276, 277, 444, 445, 448 and 449 of the Belgian Penal Code</w:t>
        </w:r>
      </w:hyperlink>
      <w:r>
        <w:rPr>
          <w:rFonts w:ascii="Garamond" w:eastAsia="Garamond" w:hAnsi="Garamond" w:cs="Garamond"/>
          <w:sz w:val="22"/>
          <w:szCs w:val="22"/>
          <w:highlight w:val="white"/>
        </w:rPr>
        <w:t xml:space="preserve">). Furthermore, the King receives increased protection since the crime of insulting the King has a different </w:t>
      </w:r>
      <w:proofErr w:type="spellStart"/>
      <w:r>
        <w:rPr>
          <w:rFonts w:ascii="Garamond" w:eastAsia="Garamond" w:hAnsi="Garamond" w:cs="Garamond"/>
          <w:i/>
          <w:sz w:val="22"/>
          <w:szCs w:val="22"/>
          <w:highlight w:val="white"/>
        </w:rPr>
        <w:t>mens</w:t>
      </w:r>
      <w:proofErr w:type="spellEnd"/>
      <w:r>
        <w:rPr>
          <w:rFonts w:ascii="Garamond" w:eastAsia="Garamond" w:hAnsi="Garamond" w:cs="Garamond"/>
          <w:i/>
          <w:sz w:val="22"/>
          <w:szCs w:val="22"/>
          <w:highlight w:val="white"/>
        </w:rPr>
        <w:t xml:space="preserve"> rea</w:t>
      </w:r>
      <w:r>
        <w:rPr>
          <w:rFonts w:ascii="Garamond" w:eastAsia="Garamond" w:hAnsi="Garamond" w:cs="Garamond"/>
          <w:sz w:val="22"/>
          <w:szCs w:val="22"/>
          <w:highlight w:val="white"/>
        </w:rPr>
        <w:t xml:space="preserve">: a </w:t>
      </w:r>
      <w:proofErr w:type="spellStart"/>
      <w:r>
        <w:rPr>
          <w:rFonts w:ascii="Garamond" w:eastAsia="Garamond" w:hAnsi="Garamond" w:cs="Garamond"/>
          <w:i/>
          <w:sz w:val="22"/>
          <w:szCs w:val="22"/>
          <w:highlight w:val="white"/>
        </w:rPr>
        <w:t>dolus</w:t>
      </w:r>
      <w:proofErr w:type="spellEnd"/>
      <w:r>
        <w:rPr>
          <w:rFonts w:ascii="Garamond" w:eastAsia="Garamond" w:hAnsi="Garamond" w:cs="Garamond"/>
          <w:i/>
          <w:sz w:val="22"/>
          <w:szCs w:val="22"/>
          <w:highlight w:val="white"/>
        </w:rPr>
        <w:t xml:space="preserve"> </w:t>
      </w:r>
      <w:proofErr w:type="spellStart"/>
      <w:r>
        <w:rPr>
          <w:rFonts w:ascii="Garamond" w:eastAsia="Garamond" w:hAnsi="Garamond" w:cs="Garamond"/>
          <w:i/>
          <w:sz w:val="22"/>
          <w:szCs w:val="22"/>
          <w:highlight w:val="white"/>
        </w:rPr>
        <w:t>generalis</w:t>
      </w:r>
      <w:proofErr w:type="spellEnd"/>
      <w:r>
        <w:rPr>
          <w:rFonts w:ascii="Garamond" w:eastAsia="Garamond" w:hAnsi="Garamond" w:cs="Garamond"/>
          <w:sz w:val="22"/>
          <w:szCs w:val="22"/>
          <w:highlight w:val="white"/>
        </w:rPr>
        <w:t xml:space="preserve"> suffices as opposed to the </w:t>
      </w:r>
      <w:proofErr w:type="spellStart"/>
      <w:r>
        <w:rPr>
          <w:rFonts w:ascii="Garamond" w:eastAsia="Garamond" w:hAnsi="Garamond" w:cs="Garamond"/>
          <w:i/>
          <w:sz w:val="22"/>
          <w:szCs w:val="22"/>
          <w:highlight w:val="white"/>
        </w:rPr>
        <w:t>dolus</w:t>
      </w:r>
      <w:proofErr w:type="spellEnd"/>
      <w:r>
        <w:rPr>
          <w:rFonts w:ascii="Garamond" w:eastAsia="Garamond" w:hAnsi="Garamond" w:cs="Garamond"/>
          <w:i/>
          <w:sz w:val="22"/>
          <w:szCs w:val="22"/>
          <w:highlight w:val="white"/>
        </w:rPr>
        <w:t xml:space="preserve"> </w:t>
      </w:r>
      <w:proofErr w:type="spellStart"/>
      <w:r>
        <w:rPr>
          <w:rFonts w:ascii="Garamond" w:eastAsia="Garamond" w:hAnsi="Garamond" w:cs="Garamond"/>
          <w:i/>
          <w:sz w:val="22"/>
          <w:szCs w:val="22"/>
          <w:highlight w:val="white"/>
        </w:rPr>
        <w:t>specialis</w:t>
      </w:r>
      <w:proofErr w:type="spellEnd"/>
      <w:r>
        <w:rPr>
          <w:rFonts w:ascii="Garamond" w:eastAsia="Garamond" w:hAnsi="Garamond" w:cs="Garamond"/>
          <w:i/>
          <w:sz w:val="22"/>
          <w:szCs w:val="22"/>
          <w:highlight w:val="white"/>
        </w:rPr>
        <w:t xml:space="preserve"> </w:t>
      </w:r>
      <w:r>
        <w:rPr>
          <w:rFonts w:ascii="Garamond" w:eastAsia="Garamond" w:hAnsi="Garamond" w:cs="Garamond"/>
          <w:sz w:val="22"/>
          <w:szCs w:val="22"/>
          <w:highlight w:val="white"/>
        </w:rPr>
        <w:t>required for slander and defamation (</w:t>
      </w:r>
      <w:hyperlink r:id="rId47">
        <w:r>
          <w:rPr>
            <w:rFonts w:ascii="Garamond" w:eastAsia="Garamond" w:hAnsi="Garamond" w:cs="Garamond"/>
            <w:color w:val="1155CC"/>
            <w:sz w:val="22"/>
            <w:szCs w:val="22"/>
            <w:u w:val="single"/>
          </w:rPr>
          <w:t>BCC 157/2021</w:t>
        </w:r>
      </w:hyperlink>
      <w:r>
        <w:rPr>
          <w:rFonts w:ascii="Garamond" w:eastAsia="Garamond" w:hAnsi="Garamond" w:cs="Garamond"/>
          <w:sz w:val="22"/>
          <w:szCs w:val="22"/>
        </w:rPr>
        <w:t>, para. B.19).</w:t>
      </w:r>
      <w:r>
        <w:rPr>
          <w:rFonts w:ascii="Garamond" w:eastAsia="Garamond" w:hAnsi="Garamond" w:cs="Garamond"/>
          <w:sz w:val="22"/>
          <w:szCs w:val="22"/>
          <w:highlight w:val="white"/>
        </w:rPr>
        <w:t xml:space="preserve"> The Constitutional Court thus concludes that this special crime of insulting the King violates the right to freedom of expression, as guaranteed by Article 19 of the Constitution, read in conjunction with Article 10 ECHR. </w:t>
      </w:r>
    </w:p>
    <w:p w14:paraId="0000001C" w14:textId="77777777" w:rsidR="00D00FE4" w:rsidRDefault="00D00FE4">
      <w:pPr>
        <w:pBdr>
          <w:top w:val="nil"/>
          <w:left w:val="nil"/>
          <w:bottom w:val="nil"/>
          <w:right w:val="nil"/>
          <w:between w:val="nil"/>
        </w:pBdr>
        <w:spacing w:line="276" w:lineRule="auto"/>
        <w:ind w:left="360"/>
        <w:jc w:val="both"/>
        <w:rPr>
          <w:rFonts w:ascii="Garamond" w:eastAsia="Garamond" w:hAnsi="Garamond" w:cs="Garamond"/>
          <w:sz w:val="22"/>
          <w:szCs w:val="22"/>
          <w:highlight w:val="white"/>
        </w:rPr>
      </w:pPr>
    </w:p>
    <w:p w14:paraId="0000001D" w14:textId="77777777" w:rsidR="00D00FE4" w:rsidRDefault="00000000">
      <w:pPr>
        <w:pBdr>
          <w:top w:val="nil"/>
          <w:left w:val="nil"/>
          <w:bottom w:val="nil"/>
          <w:right w:val="nil"/>
          <w:between w:val="nil"/>
        </w:pBdr>
        <w:spacing w:line="276" w:lineRule="auto"/>
        <w:ind w:left="360"/>
        <w:jc w:val="both"/>
        <w:rPr>
          <w:rFonts w:ascii="Garamond" w:eastAsia="Garamond" w:hAnsi="Garamond" w:cs="Garamond"/>
          <w:color w:val="000000"/>
          <w:sz w:val="22"/>
          <w:szCs w:val="22"/>
        </w:rPr>
      </w:pPr>
      <w:r>
        <w:rPr>
          <w:rFonts w:ascii="Garamond" w:eastAsia="Garamond" w:hAnsi="Garamond" w:cs="Garamond"/>
          <w:color w:val="000000"/>
          <w:sz w:val="22"/>
          <w:szCs w:val="22"/>
          <w:u w:val="single"/>
        </w:rPr>
        <w:t>Dissenting Opinions of Judges …</w:t>
      </w:r>
      <w:r>
        <w:rPr>
          <w:rFonts w:ascii="Garamond" w:eastAsia="Garamond" w:hAnsi="Garamond" w:cs="Garamond"/>
          <w:color w:val="000000"/>
          <w:sz w:val="22"/>
          <w:szCs w:val="22"/>
        </w:rPr>
        <w:t>: N/A</w:t>
      </w:r>
    </w:p>
    <w:p w14:paraId="0000001E" w14:textId="77777777" w:rsidR="00D00FE4" w:rsidRDefault="00D00FE4">
      <w:pPr>
        <w:pBdr>
          <w:top w:val="nil"/>
          <w:left w:val="nil"/>
          <w:bottom w:val="nil"/>
          <w:right w:val="nil"/>
          <w:between w:val="nil"/>
        </w:pBdr>
        <w:spacing w:line="276" w:lineRule="auto"/>
        <w:ind w:left="360"/>
        <w:jc w:val="both"/>
        <w:rPr>
          <w:rFonts w:ascii="Garamond" w:eastAsia="Garamond" w:hAnsi="Garamond" w:cs="Garamond"/>
          <w:color w:val="000000"/>
          <w:sz w:val="22"/>
          <w:szCs w:val="22"/>
        </w:rPr>
      </w:pPr>
    </w:p>
    <w:p w14:paraId="0000001F" w14:textId="77777777" w:rsidR="00D00FE4" w:rsidRDefault="00000000">
      <w:pPr>
        <w:spacing w:line="276" w:lineRule="auto"/>
        <w:jc w:val="both"/>
        <w:rPr>
          <w:rFonts w:ascii="Garamond" w:eastAsia="Garamond" w:hAnsi="Garamond" w:cs="Garamond"/>
          <w:sz w:val="22"/>
          <w:szCs w:val="22"/>
        </w:rPr>
      </w:pPr>
      <w:r>
        <w:rPr>
          <w:rFonts w:ascii="Garamond" w:eastAsia="Garamond" w:hAnsi="Garamond" w:cs="Garamond"/>
          <w:b/>
          <w:i/>
          <w:sz w:val="22"/>
          <w:szCs w:val="22"/>
          <w:u w:val="single"/>
        </w:rPr>
        <w:t>Direction:</w:t>
      </w:r>
    </w:p>
    <w:p w14:paraId="00000020" w14:textId="77777777" w:rsidR="00D00FE4" w:rsidRDefault="00000000">
      <w:pPr>
        <w:numPr>
          <w:ilvl w:val="0"/>
          <w:numId w:val="1"/>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Outcome</w:t>
      </w:r>
      <w:r>
        <w:rPr>
          <w:rFonts w:ascii="Garamond" w:eastAsia="Garamond" w:hAnsi="Garamond" w:cs="Garamond"/>
          <w:color w:val="000000"/>
          <w:sz w:val="22"/>
          <w:szCs w:val="22"/>
        </w:rPr>
        <w:t>: Expands Expression</w:t>
      </w:r>
    </w:p>
    <w:p w14:paraId="00000021" w14:textId="77777777" w:rsidR="00D00FE4" w:rsidRDefault="00000000">
      <w:pPr>
        <w:numPr>
          <w:ilvl w:val="0"/>
          <w:numId w:val="2"/>
        </w:numPr>
        <w:spacing w:line="276" w:lineRule="auto"/>
        <w:jc w:val="both"/>
        <w:rPr>
          <w:rFonts w:ascii="Garamond" w:eastAsia="Garamond" w:hAnsi="Garamond" w:cs="Garamond"/>
          <w:sz w:val="22"/>
          <w:szCs w:val="22"/>
        </w:rPr>
      </w:pPr>
      <w:r>
        <w:rPr>
          <w:rFonts w:ascii="Garamond" w:eastAsia="Garamond" w:hAnsi="Garamond" w:cs="Garamond"/>
          <w:sz w:val="22"/>
          <w:szCs w:val="22"/>
        </w:rPr>
        <w:t xml:space="preserve">The Constitutional Court’s rulings on the constitutionality of prejudicial questions set a binding precedent for future cases. Thus, for future reference, it will be impossible for Belgian courts to condemn possible perpetrators for insulting the King under Article 1 of the </w:t>
      </w:r>
      <w:hyperlink r:id="rId48">
        <w:r>
          <w:rPr>
            <w:rFonts w:ascii="Garamond" w:eastAsia="Garamond" w:hAnsi="Garamond" w:cs="Garamond"/>
            <w:color w:val="1155CC"/>
            <w:sz w:val="22"/>
            <w:szCs w:val="22"/>
            <w:u w:val="single"/>
          </w:rPr>
          <w:t>Law of April 6, 1847</w:t>
        </w:r>
      </w:hyperlink>
      <w:r>
        <w:rPr>
          <w:rFonts w:ascii="Garamond" w:eastAsia="Garamond" w:hAnsi="Garamond" w:cs="Garamond"/>
          <w:sz w:val="22"/>
          <w:szCs w:val="22"/>
        </w:rPr>
        <w:t xml:space="preserve">. The unconstitutionality of this crime meant that the dual incrimination requirement of the European Arrest Warrant was no longer met. Accordingly, the ordinary courts </w:t>
      </w:r>
      <w:hyperlink r:id="rId49">
        <w:r>
          <w:rPr>
            <w:rFonts w:ascii="Garamond" w:eastAsia="Garamond" w:hAnsi="Garamond" w:cs="Garamond"/>
            <w:color w:val="1155CC"/>
            <w:sz w:val="22"/>
            <w:szCs w:val="22"/>
            <w:u w:val="single"/>
          </w:rPr>
          <w:t>refused to extradite</w:t>
        </w:r>
      </w:hyperlink>
      <w:r>
        <w:rPr>
          <w:rFonts w:ascii="Garamond" w:eastAsia="Garamond" w:hAnsi="Garamond" w:cs="Garamond"/>
          <w:sz w:val="22"/>
          <w:szCs w:val="22"/>
        </w:rPr>
        <w:t xml:space="preserve"> the Spanish rapper, who remained in exile on Belgian territories until his Spanish prison sentence expired.</w:t>
      </w:r>
    </w:p>
    <w:p w14:paraId="00000022" w14:textId="77777777" w:rsidR="00D00FE4" w:rsidRDefault="00000000">
      <w:pPr>
        <w:pBdr>
          <w:top w:val="nil"/>
          <w:left w:val="nil"/>
          <w:bottom w:val="nil"/>
          <w:right w:val="nil"/>
          <w:between w:val="nil"/>
        </w:pBdr>
        <w:spacing w:line="276" w:lineRule="auto"/>
        <w:ind w:left="360"/>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 </w:t>
      </w:r>
    </w:p>
    <w:p w14:paraId="00000023" w14:textId="77777777" w:rsidR="00D00FE4" w:rsidRDefault="00000000">
      <w:pPr>
        <w:spacing w:line="276" w:lineRule="auto"/>
        <w:jc w:val="both"/>
        <w:rPr>
          <w:rFonts w:ascii="Garamond" w:eastAsia="Garamond" w:hAnsi="Garamond" w:cs="Garamond"/>
          <w:sz w:val="22"/>
          <w:szCs w:val="22"/>
        </w:rPr>
      </w:pPr>
      <w:r>
        <w:rPr>
          <w:rFonts w:ascii="Garamond" w:eastAsia="Garamond" w:hAnsi="Garamond" w:cs="Garamond"/>
          <w:b/>
          <w:i/>
          <w:sz w:val="22"/>
          <w:szCs w:val="22"/>
          <w:u w:val="single"/>
        </w:rPr>
        <w:t>Perspective</w:t>
      </w:r>
      <w:r>
        <w:rPr>
          <w:rFonts w:ascii="Garamond" w:eastAsia="Garamond" w:hAnsi="Garamond" w:cs="Garamond"/>
          <w:sz w:val="22"/>
          <w:szCs w:val="22"/>
        </w:rPr>
        <w:t xml:space="preserve">: </w:t>
      </w:r>
    </w:p>
    <w:p w14:paraId="00000024" w14:textId="77777777" w:rsidR="00D00FE4" w:rsidRDefault="00D00FE4">
      <w:pPr>
        <w:spacing w:line="276" w:lineRule="auto"/>
        <w:jc w:val="both"/>
        <w:rPr>
          <w:rFonts w:ascii="Garamond" w:eastAsia="Garamond" w:hAnsi="Garamond" w:cs="Garamond"/>
          <w:sz w:val="22"/>
          <w:szCs w:val="22"/>
        </w:rPr>
      </w:pPr>
    </w:p>
    <w:p w14:paraId="00000025" w14:textId="77777777" w:rsidR="00D00FE4" w:rsidRDefault="00000000">
      <w:pPr>
        <w:numPr>
          <w:ilvl w:val="0"/>
          <w:numId w:val="8"/>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Related International and/or regional laws</w:t>
      </w:r>
      <w:r>
        <w:rPr>
          <w:rFonts w:ascii="Garamond" w:eastAsia="Garamond" w:hAnsi="Garamond" w:cs="Garamond"/>
          <w:color w:val="000000"/>
          <w:sz w:val="22"/>
          <w:szCs w:val="22"/>
        </w:rPr>
        <w:t xml:space="preserve">: </w:t>
      </w:r>
    </w:p>
    <w:p w14:paraId="00000026" w14:textId="77777777" w:rsidR="00D00FE4" w:rsidRDefault="00000000">
      <w:pPr>
        <w:numPr>
          <w:ilvl w:val="0"/>
          <w:numId w:val="5"/>
        </w:numPr>
        <w:pBdr>
          <w:top w:val="nil"/>
          <w:left w:val="nil"/>
          <w:bottom w:val="nil"/>
          <w:right w:val="nil"/>
          <w:between w:val="nil"/>
        </w:pBdr>
        <w:spacing w:line="276" w:lineRule="auto"/>
        <w:jc w:val="both"/>
        <w:rPr>
          <w:sz w:val="22"/>
          <w:szCs w:val="22"/>
          <w:highlight w:val="white"/>
        </w:rPr>
      </w:pPr>
      <w:hyperlink r:id="rId50">
        <w:r>
          <w:rPr>
            <w:rFonts w:ascii="Garamond" w:eastAsia="Garamond" w:hAnsi="Garamond" w:cs="Garamond"/>
            <w:color w:val="1155CC"/>
            <w:sz w:val="22"/>
            <w:szCs w:val="22"/>
            <w:highlight w:val="white"/>
            <w:u w:val="single"/>
          </w:rPr>
          <w:t>ECHR, art. 10</w:t>
        </w:r>
      </w:hyperlink>
    </w:p>
    <w:p w14:paraId="00000027" w14:textId="77777777" w:rsidR="00D00FE4" w:rsidRDefault="00D00FE4">
      <w:pPr>
        <w:spacing w:line="276" w:lineRule="auto"/>
        <w:jc w:val="both"/>
        <w:rPr>
          <w:rFonts w:ascii="Garamond" w:eastAsia="Garamond" w:hAnsi="Garamond" w:cs="Garamond"/>
          <w:sz w:val="22"/>
          <w:szCs w:val="22"/>
        </w:rPr>
      </w:pPr>
    </w:p>
    <w:p w14:paraId="00000028" w14:textId="77777777" w:rsidR="00D00FE4" w:rsidRDefault="00000000">
      <w:pPr>
        <w:numPr>
          <w:ilvl w:val="0"/>
          <w:numId w:val="8"/>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National law or jurisprudence</w:t>
      </w:r>
      <w:r>
        <w:rPr>
          <w:rFonts w:ascii="Garamond" w:eastAsia="Garamond" w:hAnsi="Garamond" w:cs="Garamond"/>
          <w:color w:val="000000"/>
          <w:sz w:val="22"/>
          <w:szCs w:val="22"/>
        </w:rPr>
        <w:t>:</w:t>
      </w:r>
    </w:p>
    <w:p w14:paraId="00000029" w14:textId="77777777" w:rsidR="00D00FE4" w:rsidRDefault="00000000">
      <w:pPr>
        <w:numPr>
          <w:ilvl w:val="0"/>
          <w:numId w:val="5"/>
        </w:numPr>
        <w:pBdr>
          <w:top w:val="nil"/>
          <w:left w:val="nil"/>
          <w:bottom w:val="nil"/>
          <w:right w:val="nil"/>
          <w:between w:val="nil"/>
        </w:pBdr>
        <w:spacing w:line="276" w:lineRule="auto"/>
        <w:jc w:val="both"/>
        <w:rPr>
          <w:sz w:val="22"/>
          <w:szCs w:val="22"/>
          <w:highlight w:val="white"/>
        </w:rPr>
      </w:pPr>
      <w:hyperlink r:id="rId51">
        <w:r>
          <w:rPr>
            <w:rFonts w:ascii="Garamond" w:eastAsia="Garamond" w:hAnsi="Garamond" w:cs="Garamond"/>
            <w:color w:val="1155CC"/>
            <w:sz w:val="22"/>
            <w:szCs w:val="22"/>
            <w:highlight w:val="white"/>
            <w:u w:val="single"/>
          </w:rPr>
          <w:t>Belg. Constitution, Article 19</w:t>
        </w:r>
      </w:hyperlink>
    </w:p>
    <w:p w14:paraId="0000002A" w14:textId="77777777" w:rsidR="00D00FE4" w:rsidRDefault="00000000">
      <w:pPr>
        <w:numPr>
          <w:ilvl w:val="0"/>
          <w:numId w:val="5"/>
        </w:numPr>
        <w:pBdr>
          <w:top w:val="nil"/>
          <w:left w:val="nil"/>
          <w:bottom w:val="nil"/>
          <w:right w:val="nil"/>
          <w:between w:val="nil"/>
        </w:pBdr>
        <w:spacing w:line="276" w:lineRule="auto"/>
        <w:jc w:val="both"/>
        <w:rPr>
          <w:sz w:val="22"/>
          <w:szCs w:val="22"/>
          <w:highlight w:val="white"/>
        </w:rPr>
      </w:pPr>
      <w:hyperlink r:id="rId52">
        <w:r>
          <w:rPr>
            <w:rFonts w:ascii="Garamond" w:eastAsia="Garamond" w:hAnsi="Garamond" w:cs="Garamond"/>
            <w:color w:val="1155CC"/>
            <w:sz w:val="22"/>
            <w:szCs w:val="22"/>
            <w:highlight w:val="white"/>
            <w:u w:val="single"/>
          </w:rPr>
          <w:t xml:space="preserve">Law of April 6, </w:t>
        </w:r>
        <w:proofErr w:type="gramStart"/>
        <w:r>
          <w:rPr>
            <w:rFonts w:ascii="Garamond" w:eastAsia="Garamond" w:hAnsi="Garamond" w:cs="Garamond"/>
            <w:color w:val="1155CC"/>
            <w:sz w:val="22"/>
            <w:szCs w:val="22"/>
            <w:highlight w:val="white"/>
            <w:u w:val="single"/>
          </w:rPr>
          <w:t>1847</w:t>
        </w:r>
        <w:proofErr w:type="gramEnd"/>
        <w:r>
          <w:rPr>
            <w:rFonts w:ascii="Garamond" w:eastAsia="Garamond" w:hAnsi="Garamond" w:cs="Garamond"/>
            <w:color w:val="1155CC"/>
            <w:sz w:val="22"/>
            <w:szCs w:val="22"/>
            <w:highlight w:val="white"/>
            <w:u w:val="single"/>
          </w:rPr>
          <w:t xml:space="preserve"> regarding the criminalization of insulting the Kin</w:t>
        </w:r>
      </w:hyperlink>
      <w:r>
        <w:rPr>
          <w:rFonts w:ascii="Garamond" w:eastAsia="Garamond" w:hAnsi="Garamond" w:cs="Garamond"/>
          <w:color w:val="1155CC"/>
          <w:sz w:val="22"/>
          <w:szCs w:val="22"/>
          <w:highlight w:val="white"/>
          <w:u w:val="single"/>
        </w:rPr>
        <w:t>g</w:t>
      </w:r>
    </w:p>
    <w:p w14:paraId="0000002B" w14:textId="77777777" w:rsidR="00D00FE4" w:rsidRDefault="00000000">
      <w:pPr>
        <w:numPr>
          <w:ilvl w:val="0"/>
          <w:numId w:val="5"/>
        </w:numPr>
        <w:pBdr>
          <w:top w:val="nil"/>
          <w:left w:val="nil"/>
          <w:bottom w:val="nil"/>
          <w:right w:val="nil"/>
          <w:between w:val="nil"/>
        </w:pBdr>
        <w:spacing w:line="276" w:lineRule="auto"/>
        <w:jc w:val="both"/>
        <w:rPr>
          <w:sz w:val="22"/>
          <w:szCs w:val="22"/>
          <w:highlight w:val="white"/>
        </w:rPr>
      </w:pPr>
      <w:hyperlink r:id="rId53">
        <w:r>
          <w:rPr>
            <w:rFonts w:ascii="Garamond" w:eastAsia="Garamond" w:hAnsi="Garamond" w:cs="Garamond"/>
            <w:color w:val="1155CC"/>
            <w:sz w:val="22"/>
            <w:szCs w:val="22"/>
            <w:highlight w:val="white"/>
            <w:u w:val="single"/>
          </w:rPr>
          <w:t>Law of December 19, 2003</w:t>
        </w:r>
      </w:hyperlink>
      <w:r>
        <w:rPr>
          <w:rFonts w:ascii="Garamond" w:eastAsia="Garamond" w:hAnsi="Garamond" w:cs="Garamond"/>
          <w:color w:val="1155CC"/>
          <w:sz w:val="22"/>
          <w:szCs w:val="22"/>
          <w:highlight w:val="white"/>
          <w:u w:val="single"/>
        </w:rPr>
        <w:t xml:space="preserve"> regarding the European Arrest Warrant (EAW)</w:t>
      </w:r>
    </w:p>
    <w:p w14:paraId="0000002C" w14:textId="77777777" w:rsidR="00D00FE4" w:rsidRDefault="00000000">
      <w:pPr>
        <w:numPr>
          <w:ilvl w:val="0"/>
          <w:numId w:val="5"/>
        </w:numPr>
        <w:pBdr>
          <w:top w:val="nil"/>
          <w:left w:val="nil"/>
          <w:bottom w:val="nil"/>
          <w:right w:val="nil"/>
          <w:between w:val="nil"/>
        </w:pBdr>
        <w:spacing w:line="276" w:lineRule="auto"/>
        <w:jc w:val="both"/>
        <w:rPr>
          <w:sz w:val="22"/>
          <w:szCs w:val="22"/>
          <w:highlight w:val="white"/>
        </w:rPr>
      </w:pPr>
      <w:hyperlink r:id="rId54">
        <w:r>
          <w:rPr>
            <w:rFonts w:ascii="Garamond" w:eastAsia="Garamond" w:hAnsi="Garamond" w:cs="Garamond"/>
            <w:color w:val="1155CC"/>
            <w:sz w:val="22"/>
            <w:szCs w:val="22"/>
            <w:highlight w:val="white"/>
            <w:u w:val="single"/>
          </w:rPr>
          <w:t>Articles 275, 276, 277, 444, 445, 448 and 449 of the Belgian Penal Code</w:t>
        </w:r>
      </w:hyperlink>
    </w:p>
    <w:p w14:paraId="0000002D" w14:textId="77777777" w:rsidR="00D00FE4" w:rsidRDefault="00D00FE4">
      <w:pPr>
        <w:spacing w:line="276" w:lineRule="auto"/>
        <w:ind w:left="360"/>
        <w:jc w:val="both"/>
        <w:rPr>
          <w:rFonts w:ascii="Garamond" w:eastAsia="Garamond" w:hAnsi="Garamond" w:cs="Garamond"/>
          <w:color w:val="1155CC"/>
          <w:sz w:val="22"/>
          <w:szCs w:val="22"/>
          <w:u w:val="single"/>
        </w:rPr>
      </w:pPr>
    </w:p>
    <w:p w14:paraId="0000002E" w14:textId="77777777" w:rsidR="00D00FE4" w:rsidRDefault="00000000">
      <w:pPr>
        <w:pBdr>
          <w:top w:val="nil"/>
          <w:left w:val="nil"/>
          <w:bottom w:val="nil"/>
          <w:right w:val="nil"/>
          <w:between w:val="nil"/>
        </w:pBdr>
        <w:spacing w:line="276" w:lineRule="auto"/>
        <w:ind w:left="360"/>
        <w:jc w:val="both"/>
        <w:rPr>
          <w:rFonts w:ascii="Garamond" w:eastAsia="Garamond" w:hAnsi="Garamond" w:cs="Garamond"/>
          <w:color w:val="000000"/>
          <w:sz w:val="22"/>
          <w:szCs w:val="22"/>
        </w:rPr>
      </w:pPr>
      <w:r>
        <w:rPr>
          <w:rFonts w:ascii="Garamond" w:eastAsia="Garamond" w:hAnsi="Garamond" w:cs="Garamond"/>
          <w:b/>
          <w:color w:val="000000"/>
          <w:sz w:val="22"/>
          <w:szCs w:val="22"/>
        </w:rPr>
        <w:t>Other national law or jurisprudence</w:t>
      </w:r>
      <w:r>
        <w:rPr>
          <w:rFonts w:ascii="Garamond" w:eastAsia="Garamond" w:hAnsi="Garamond" w:cs="Garamond"/>
          <w:color w:val="000000"/>
          <w:sz w:val="22"/>
          <w:szCs w:val="22"/>
        </w:rPr>
        <w:t xml:space="preserve">: </w:t>
      </w:r>
    </w:p>
    <w:p w14:paraId="0000002F" w14:textId="77777777" w:rsidR="00D00FE4" w:rsidRDefault="00000000">
      <w:pPr>
        <w:numPr>
          <w:ilvl w:val="0"/>
          <w:numId w:val="5"/>
        </w:numPr>
        <w:pBdr>
          <w:top w:val="nil"/>
          <w:left w:val="nil"/>
          <w:bottom w:val="nil"/>
          <w:right w:val="nil"/>
          <w:between w:val="nil"/>
        </w:pBdr>
        <w:spacing w:line="276" w:lineRule="auto"/>
        <w:jc w:val="both"/>
        <w:rPr>
          <w:rFonts w:ascii="Garamond" w:eastAsia="Garamond" w:hAnsi="Garamond" w:cs="Garamond"/>
          <w:color w:val="000000"/>
          <w:sz w:val="22"/>
          <w:szCs w:val="22"/>
          <w:highlight w:val="white"/>
        </w:rPr>
      </w:pPr>
      <w:hyperlink r:id="rId55">
        <w:r>
          <w:rPr>
            <w:rFonts w:ascii="Garamond" w:eastAsia="Garamond" w:hAnsi="Garamond" w:cs="Garamond"/>
            <w:color w:val="1155CC"/>
            <w:sz w:val="22"/>
            <w:szCs w:val="22"/>
            <w:highlight w:val="white"/>
            <w:u w:val="single"/>
          </w:rPr>
          <w:t>Spain, STS 78/2018</w:t>
        </w:r>
      </w:hyperlink>
    </w:p>
    <w:p w14:paraId="00000030" w14:textId="77777777" w:rsidR="00D00FE4" w:rsidRDefault="00000000">
      <w:pPr>
        <w:numPr>
          <w:ilvl w:val="0"/>
          <w:numId w:val="5"/>
        </w:numPr>
        <w:pBdr>
          <w:top w:val="nil"/>
          <w:left w:val="nil"/>
          <w:bottom w:val="nil"/>
          <w:right w:val="nil"/>
          <w:between w:val="nil"/>
        </w:pBdr>
        <w:spacing w:line="276" w:lineRule="auto"/>
        <w:jc w:val="both"/>
        <w:rPr>
          <w:rFonts w:ascii="Garamond" w:eastAsia="Garamond" w:hAnsi="Garamond" w:cs="Garamond"/>
          <w:sz w:val="22"/>
          <w:szCs w:val="22"/>
          <w:highlight w:val="white"/>
        </w:rPr>
      </w:pPr>
      <w:hyperlink r:id="rId56" w:anchor="a169">
        <w:r>
          <w:rPr>
            <w:rFonts w:ascii="Garamond" w:eastAsia="Garamond" w:hAnsi="Garamond" w:cs="Garamond"/>
            <w:color w:val="1155CC"/>
            <w:sz w:val="22"/>
            <w:szCs w:val="22"/>
            <w:highlight w:val="white"/>
            <w:u w:val="single"/>
          </w:rPr>
          <w:t>Spanish Penal Code</w:t>
        </w:r>
      </w:hyperlink>
    </w:p>
    <w:p w14:paraId="00000031" w14:textId="77777777" w:rsidR="00D00FE4" w:rsidRDefault="00D00FE4">
      <w:pPr>
        <w:spacing w:line="276" w:lineRule="auto"/>
        <w:jc w:val="both"/>
        <w:rPr>
          <w:rFonts w:ascii="Garamond" w:eastAsia="Garamond" w:hAnsi="Garamond" w:cs="Garamond"/>
          <w:sz w:val="22"/>
          <w:szCs w:val="22"/>
        </w:rPr>
      </w:pPr>
    </w:p>
    <w:p w14:paraId="00000032" w14:textId="77777777" w:rsidR="00D00FE4" w:rsidRDefault="00000000">
      <w:pPr>
        <w:spacing w:line="276" w:lineRule="auto"/>
        <w:jc w:val="both"/>
        <w:rPr>
          <w:rFonts w:ascii="Garamond" w:eastAsia="Garamond" w:hAnsi="Garamond" w:cs="Garamond"/>
          <w:sz w:val="22"/>
          <w:szCs w:val="22"/>
        </w:rPr>
      </w:pPr>
      <w:r>
        <w:rPr>
          <w:rFonts w:ascii="Garamond" w:eastAsia="Garamond" w:hAnsi="Garamond" w:cs="Garamond"/>
          <w:b/>
          <w:i/>
          <w:sz w:val="22"/>
          <w:szCs w:val="22"/>
          <w:u w:val="single"/>
        </w:rPr>
        <w:t>Significance</w:t>
      </w:r>
      <w:r>
        <w:rPr>
          <w:rFonts w:ascii="Garamond" w:eastAsia="Garamond" w:hAnsi="Garamond" w:cs="Garamond"/>
          <w:sz w:val="22"/>
          <w:szCs w:val="22"/>
        </w:rPr>
        <w:t xml:space="preserve">: </w:t>
      </w:r>
    </w:p>
    <w:p w14:paraId="00000033" w14:textId="77777777" w:rsidR="00D00FE4"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Binding or persuasive precedent within jurisdiction</w:t>
      </w:r>
      <w:r>
        <w:rPr>
          <w:rFonts w:ascii="Garamond" w:eastAsia="Garamond" w:hAnsi="Garamond" w:cs="Garamond"/>
          <w:color w:val="000000"/>
          <w:sz w:val="22"/>
          <w:szCs w:val="22"/>
        </w:rPr>
        <w:t xml:space="preserve">; </w:t>
      </w:r>
      <w:r>
        <w:rPr>
          <w:rFonts w:ascii="Garamond" w:eastAsia="Garamond" w:hAnsi="Garamond" w:cs="Garamond"/>
          <w:b/>
          <w:color w:val="000000"/>
          <w:sz w:val="22"/>
          <w:szCs w:val="22"/>
        </w:rPr>
        <w:t>Decision establishes influential or persuasive precedent outside jurisdiction</w:t>
      </w:r>
      <w:r>
        <w:rPr>
          <w:rFonts w:ascii="Garamond" w:eastAsia="Garamond" w:hAnsi="Garamond" w:cs="Garamond"/>
          <w:color w:val="000000"/>
          <w:sz w:val="22"/>
          <w:szCs w:val="22"/>
        </w:rPr>
        <w:t xml:space="preserve">; </w:t>
      </w:r>
      <w:r>
        <w:rPr>
          <w:rFonts w:ascii="Garamond" w:eastAsia="Garamond" w:hAnsi="Garamond" w:cs="Garamond"/>
          <w:b/>
          <w:color w:val="000000"/>
          <w:sz w:val="22"/>
          <w:szCs w:val="22"/>
        </w:rPr>
        <w:t>Explanation</w:t>
      </w:r>
      <w:r>
        <w:rPr>
          <w:rFonts w:ascii="Garamond" w:eastAsia="Garamond" w:hAnsi="Garamond" w:cs="Garamond"/>
          <w:color w:val="000000"/>
          <w:sz w:val="22"/>
          <w:szCs w:val="22"/>
        </w:rPr>
        <w:t xml:space="preserve">: </w:t>
      </w:r>
    </w:p>
    <w:p w14:paraId="00000034" w14:textId="77777777" w:rsidR="00D00FE4" w:rsidRDefault="00000000">
      <w:pPr>
        <w:spacing w:line="276" w:lineRule="auto"/>
        <w:ind w:left="360"/>
        <w:jc w:val="both"/>
        <w:rPr>
          <w:rFonts w:ascii="Garamond" w:eastAsia="Garamond" w:hAnsi="Garamond" w:cs="Garamond"/>
          <w:sz w:val="22"/>
          <w:szCs w:val="22"/>
        </w:rPr>
      </w:pPr>
      <w:r>
        <w:rPr>
          <w:rFonts w:ascii="Garamond" w:eastAsia="Garamond" w:hAnsi="Garamond" w:cs="Garamond"/>
          <w:sz w:val="22"/>
          <w:szCs w:val="22"/>
        </w:rPr>
        <w:t>This ruling, BCC 157/2021, has influenced the execution of the Spanish Supreme Court’s confirmed conviction of Jose Miguel Arenas (</w:t>
      </w:r>
      <w:proofErr w:type="spellStart"/>
      <w:r>
        <w:rPr>
          <w:rFonts w:ascii="Garamond" w:eastAsia="Garamond" w:hAnsi="Garamond" w:cs="Garamond"/>
          <w:sz w:val="22"/>
          <w:szCs w:val="22"/>
        </w:rPr>
        <w:t>Valtònyc</w:t>
      </w:r>
      <w:proofErr w:type="spellEnd"/>
      <w:r>
        <w:rPr>
          <w:rFonts w:ascii="Garamond" w:eastAsia="Garamond" w:hAnsi="Garamond" w:cs="Garamond"/>
          <w:sz w:val="22"/>
          <w:szCs w:val="22"/>
        </w:rPr>
        <w:t xml:space="preserve">) in SSC 79/2018. You can find more information on the Spanish Court’s decision </w:t>
      </w:r>
      <w:hyperlink r:id="rId57">
        <w:r>
          <w:rPr>
            <w:rFonts w:ascii="Garamond" w:eastAsia="Garamond" w:hAnsi="Garamond" w:cs="Garamond"/>
            <w:color w:val="1155CC"/>
            <w:sz w:val="22"/>
            <w:szCs w:val="22"/>
            <w:u w:val="single"/>
          </w:rPr>
          <w:t>here</w:t>
        </w:r>
      </w:hyperlink>
      <w:r>
        <w:rPr>
          <w:rFonts w:ascii="Garamond" w:eastAsia="Garamond" w:hAnsi="Garamond" w:cs="Garamond"/>
          <w:sz w:val="22"/>
          <w:szCs w:val="22"/>
        </w:rPr>
        <w:t xml:space="preserve">. </w:t>
      </w:r>
    </w:p>
    <w:p w14:paraId="00000035" w14:textId="77777777" w:rsidR="00D00FE4" w:rsidRDefault="00D00FE4">
      <w:pPr>
        <w:spacing w:line="276" w:lineRule="auto"/>
        <w:jc w:val="both"/>
        <w:rPr>
          <w:rFonts w:ascii="Garamond" w:eastAsia="Garamond" w:hAnsi="Garamond" w:cs="Garamond"/>
          <w:sz w:val="22"/>
          <w:szCs w:val="22"/>
        </w:rPr>
      </w:pPr>
    </w:p>
    <w:p w14:paraId="00000036" w14:textId="77777777" w:rsidR="00D00FE4" w:rsidRDefault="00000000">
      <w:pPr>
        <w:spacing w:line="276" w:lineRule="auto"/>
        <w:ind w:left="360"/>
        <w:jc w:val="both"/>
        <w:rPr>
          <w:rFonts w:ascii="Garamond" w:eastAsia="Garamond" w:hAnsi="Garamond" w:cs="Garamond"/>
          <w:sz w:val="22"/>
          <w:szCs w:val="22"/>
        </w:rPr>
      </w:pPr>
      <w:sdt>
        <w:sdtPr>
          <w:tag w:val="goog_rdk_0"/>
          <w:id w:val="-959486752"/>
        </w:sdtPr>
        <w:sdtContent>
          <w:commentRangeStart w:id="0"/>
        </w:sdtContent>
      </w:sdt>
      <w:r>
        <w:rPr>
          <w:rFonts w:ascii="Garamond" w:eastAsia="Garamond" w:hAnsi="Garamond" w:cs="Garamond"/>
          <w:b/>
          <w:sz w:val="22"/>
          <w:szCs w:val="22"/>
          <w:highlight w:val="yellow"/>
          <w:u w:val="single"/>
        </w:rPr>
        <w:t>Original:</w:t>
      </w:r>
      <w:commentRangeEnd w:id="0"/>
      <w:r>
        <w:commentReference w:id="0"/>
      </w:r>
      <w:r>
        <w:rPr>
          <w:rFonts w:ascii="Garamond" w:eastAsia="Garamond" w:hAnsi="Garamond" w:cs="Garamond"/>
          <w:b/>
          <w:sz w:val="22"/>
          <w:szCs w:val="22"/>
          <w:highlight w:val="white"/>
          <w:u w:val="single"/>
        </w:rPr>
        <w:t xml:space="preserve"> </w:t>
      </w:r>
      <w:r>
        <w:rPr>
          <w:rFonts w:ascii="Garamond" w:eastAsia="Garamond" w:hAnsi="Garamond" w:cs="Garamond"/>
          <w:sz w:val="22"/>
          <w:szCs w:val="22"/>
          <w:highlight w:val="white"/>
        </w:rPr>
        <w:t xml:space="preserve">NOTE: </w:t>
      </w:r>
      <w:proofErr w:type="spellStart"/>
      <w:r>
        <w:rPr>
          <w:rFonts w:ascii="Garamond" w:eastAsia="Garamond" w:hAnsi="Garamond" w:cs="Garamond"/>
          <w:sz w:val="22"/>
          <w:szCs w:val="22"/>
        </w:rPr>
        <w:t>Valtonyc</w:t>
      </w:r>
      <w:proofErr w:type="spellEnd"/>
      <w:r>
        <w:rPr>
          <w:rFonts w:ascii="Garamond" w:eastAsia="Garamond" w:hAnsi="Garamond" w:cs="Garamond"/>
          <w:sz w:val="22"/>
          <w:szCs w:val="22"/>
        </w:rPr>
        <w:t xml:space="preserve"> was expected to surrender himself to the authorities voluntarily in May </w:t>
      </w:r>
      <w:proofErr w:type="gramStart"/>
      <w:r>
        <w:rPr>
          <w:rFonts w:ascii="Garamond" w:eastAsia="Garamond" w:hAnsi="Garamond" w:cs="Garamond"/>
          <w:sz w:val="22"/>
          <w:szCs w:val="22"/>
        </w:rPr>
        <w:t>2018</w:t>
      </w:r>
      <w:proofErr w:type="gramEnd"/>
      <w:r>
        <w:rPr>
          <w:rFonts w:ascii="Garamond" w:eastAsia="Garamond" w:hAnsi="Garamond" w:cs="Garamond"/>
          <w:sz w:val="22"/>
          <w:szCs w:val="22"/>
        </w:rPr>
        <w:t xml:space="preserve"> but he fled to Belgium. Spain has attempted to have him extradited from Belgium but on September 17, </w:t>
      </w:r>
      <w:proofErr w:type="gramStart"/>
      <w:r>
        <w:rPr>
          <w:rFonts w:ascii="Garamond" w:eastAsia="Garamond" w:hAnsi="Garamond" w:cs="Garamond"/>
          <w:sz w:val="22"/>
          <w:szCs w:val="22"/>
        </w:rPr>
        <w:t>2018</w:t>
      </w:r>
      <w:proofErr w:type="gramEnd"/>
      <w:r>
        <w:rPr>
          <w:rFonts w:ascii="Garamond" w:eastAsia="Garamond" w:hAnsi="Garamond" w:cs="Garamond"/>
          <w:sz w:val="22"/>
          <w:szCs w:val="22"/>
        </w:rPr>
        <w:t xml:space="preserve"> the Belgian Tribunal of </w:t>
      </w:r>
      <w:proofErr w:type="spellStart"/>
      <w:r>
        <w:rPr>
          <w:rFonts w:ascii="Garamond" w:eastAsia="Garamond" w:hAnsi="Garamond" w:cs="Garamond"/>
          <w:sz w:val="22"/>
          <w:szCs w:val="22"/>
        </w:rPr>
        <w:t>Gand</w:t>
      </w:r>
      <w:proofErr w:type="spellEnd"/>
      <w:r>
        <w:rPr>
          <w:rFonts w:ascii="Garamond" w:eastAsia="Garamond" w:hAnsi="Garamond" w:cs="Garamond"/>
          <w:sz w:val="22"/>
          <w:szCs w:val="22"/>
        </w:rPr>
        <w:t xml:space="preserve"> (Ghent) rejected the extradition request finding that </w:t>
      </w:r>
      <w:proofErr w:type="spellStart"/>
      <w:r>
        <w:rPr>
          <w:rFonts w:ascii="Garamond" w:eastAsia="Garamond" w:hAnsi="Garamond" w:cs="Garamond"/>
          <w:sz w:val="22"/>
          <w:szCs w:val="22"/>
        </w:rPr>
        <w:t>Valtonyc’s</w:t>
      </w:r>
      <w:proofErr w:type="spellEnd"/>
      <w:r>
        <w:rPr>
          <w:rFonts w:ascii="Garamond" w:eastAsia="Garamond" w:hAnsi="Garamond" w:cs="Garamond"/>
          <w:sz w:val="22"/>
          <w:szCs w:val="22"/>
        </w:rPr>
        <w:t xml:space="preserve"> lyrics could not be considered as incitement to terrorism under Belgian law. The Public Prosecutor of </w:t>
      </w:r>
      <w:proofErr w:type="spellStart"/>
      <w:r>
        <w:rPr>
          <w:rFonts w:ascii="Garamond" w:eastAsia="Garamond" w:hAnsi="Garamond" w:cs="Garamond"/>
          <w:sz w:val="22"/>
          <w:szCs w:val="22"/>
        </w:rPr>
        <w:t>Gand</w:t>
      </w:r>
      <w:proofErr w:type="spellEnd"/>
      <w:r>
        <w:rPr>
          <w:rFonts w:ascii="Garamond" w:eastAsia="Garamond" w:hAnsi="Garamond" w:cs="Garamond"/>
          <w:sz w:val="22"/>
          <w:szCs w:val="22"/>
        </w:rPr>
        <w:t xml:space="preserve"> (Ghent) appealed this sentence, arguing that extradition should be granted. This appeal is still pending.</w:t>
      </w:r>
    </w:p>
    <w:p w14:paraId="00000037" w14:textId="77777777" w:rsidR="00D00FE4" w:rsidRDefault="00D00FE4">
      <w:pPr>
        <w:spacing w:line="276" w:lineRule="auto"/>
        <w:ind w:left="360"/>
        <w:jc w:val="both"/>
        <w:rPr>
          <w:rFonts w:ascii="Garamond" w:eastAsia="Garamond" w:hAnsi="Garamond" w:cs="Garamond"/>
          <w:sz w:val="22"/>
          <w:szCs w:val="22"/>
        </w:rPr>
      </w:pPr>
    </w:p>
    <w:p w14:paraId="00000038" w14:textId="77777777" w:rsidR="00D00FE4" w:rsidRDefault="00000000">
      <w:pPr>
        <w:spacing w:line="276" w:lineRule="auto"/>
        <w:ind w:left="360"/>
        <w:jc w:val="both"/>
        <w:rPr>
          <w:rFonts w:ascii="Garamond" w:eastAsia="Garamond" w:hAnsi="Garamond" w:cs="Garamond"/>
          <w:sz w:val="22"/>
          <w:szCs w:val="22"/>
          <w:highlight w:val="red"/>
        </w:rPr>
      </w:pPr>
      <w:r>
        <w:rPr>
          <w:rFonts w:ascii="Garamond" w:eastAsia="Garamond" w:hAnsi="Garamond" w:cs="Garamond"/>
          <w:b/>
          <w:sz w:val="22"/>
          <w:szCs w:val="22"/>
          <w:highlight w:val="yellow"/>
          <w:u w:val="single"/>
        </w:rPr>
        <w:t>New:</w:t>
      </w:r>
      <w:r>
        <w:rPr>
          <w:rFonts w:ascii="Garamond" w:eastAsia="Garamond" w:hAnsi="Garamond" w:cs="Garamond"/>
          <w:sz w:val="22"/>
          <w:szCs w:val="22"/>
          <w:highlight w:val="yellow"/>
        </w:rPr>
        <w:t xml:space="preserve"> </w:t>
      </w:r>
      <w:r>
        <w:rPr>
          <w:rFonts w:ascii="Garamond" w:eastAsia="Garamond" w:hAnsi="Garamond" w:cs="Garamond"/>
          <w:sz w:val="22"/>
          <w:szCs w:val="22"/>
          <w:highlight w:val="white"/>
        </w:rPr>
        <w:t xml:space="preserve">NOTE: </w:t>
      </w:r>
      <w:proofErr w:type="spellStart"/>
      <w:r>
        <w:rPr>
          <w:rFonts w:ascii="Garamond" w:eastAsia="Garamond" w:hAnsi="Garamond" w:cs="Garamond"/>
          <w:sz w:val="22"/>
          <w:szCs w:val="22"/>
        </w:rPr>
        <w:t>Valtonyc</w:t>
      </w:r>
      <w:proofErr w:type="spellEnd"/>
      <w:r>
        <w:rPr>
          <w:rFonts w:ascii="Garamond" w:eastAsia="Garamond" w:hAnsi="Garamond" w:cs="Garamond"/>
          <w:sz w:val="22"/>
          <w:szCs w:val="22"/>
        </w:rPr>
        <w:t xml:space="preserve"> was expected to surrender himself to the authorities voluntarily in May </w:t>
      </w:r>
      <w:proofErr w:type="gramStart"/>
      <w:r>
        <w:rPr>
          <w:rFonts w:ascii="Garamond" w:eastAsia="Garamond" w:hAnsi="Garamond" w:cs="Garamond"/>
          <w:sz w:val="22"/>
          <w:szCs w:val="22"/>
        </w:rPr>
        <w:t>2018</w:t>
      </w:r>
      <w:proofErr w:type="gramEnd"/>
      <w:r>
        <w:rPr>
          <w:rFonts w:ascii="Garamond" w:eastAsia="Garamond" w:hAnsi="Garamond" w:cs="Garamond"/>
          <w:sz w:val="22"/>
          <w:szCs w:val="22"/>
        </w:rPr>
        <w:t xml:space="preserve"> but he fled to Belgium. Spain attempted to have him extradited from Belgium, but the Belgian authorities refused to extradite the rapper since the dual incrimination requirement was not met. The </w:t>
      </w:r>
      <w:proofErr w:type="spellStart"/>
      <w:r>
        <w:rPr>
          <w:rFonts w:ascii="Garamond" w:eastAsia="Garamond" w:hAnsi="Garamond" w:cs="Garamond"/>
          <w:sz w:val="22"/>
          <w:szCs w:val="22"/>
        </w:rPr>
        <w:t>Valtònyc</w:t>
      </w:r>
      <w:proofErr w:type="spellEnd"/>
      <w:r>
        <w:rPr>
          <w:rFonts w:ascii="Garamond" w:eastAsia="Garamond" w:hAnsi="Garamond" w:cs="Garamond"/>
          <w:sz w:val="22"/>
          <w:szCs w:val="22"/>
        </w:rPr>
        <w:t xml:space="preserve"> case led the Constitutional Court to question the constitutionality of the Belgian version of the crime of slander against the crown. </w:t>
      </w:r>
      <w:proofErr w:type="gramStart"/>
      <w:r>
        <w:rPr>
          <w:rFonts w:ascii="Garamond" w:eastAsia="Garamond" w:hAnsi="Garamond" w:cs="Garamond"/>
          <w:sz w:val="22"/>
          <w:szCs w:val="22"/>
        </w:rPr>
        <w:t>The  Belgian</w:t>
      </w:r>
      <w:proofErr w:type="gramEnd"/>
      <w:r>
        <w:rPr>
          <w:rFonts w:ascii="Garamond" w:eastAsia="Garamond" w:hAnsi="Garamond" w:cs="Garamond"/>
          <w:sz w:val="22"/>
          <w:szCs w:val="22"/>
        </w:rPr>
        <w:t xml:space="preserve"> Constitutional Court concluded that it is no longer justified to give the King a broader regime of protection against slander and defamation as opposed to ordinary citizens, and thus declared the crime unconstitutional. Consequently, </w:t>
      </w:r>
      <w:proofErr w:type="spellStart"/>
      <w:r>
        <w:rPr>
          <w:rFonts w:ascii="Garamond" w:eastAsia="Garamond" w:hAnsi="Garamond" w:cs="Garamond"/>
          <w:sz w:val="22"/>
          <w:szCs w:val="22"/>
        </w:rPr>
        <w:t>Valtònyc</w:t>
      </w:r>
      <w:proofErr w:type="spellEnd"/>
      <w:r>
        <w:rPr>
          <w:rFonts w:ascii="Garamond" w:eastAsia="Garamond" w:hAnsi="Garamond" w:cs="Garamond"/>
          <w:sz w:val="22"/>
          <w:szCs w:val="22"/>
        </w:rPr>
        <w:t xml:space="preserve"> remained in Belgium until the statute of limitations on the execution of his sentence was reached. In October 2023, he </w:t>
      </w:r>
      <w:hyperlink r:id="rId61">
        <w:r>
          <w:rPr>
            <w:rFonts w:ascii="Garamond" w:eastAsia="Garamond" w:hAnsi="Garamond" w:cs="Garamond"/>
            <w:color w:val="1155CC"/>
            <w:sz w:val="22"/>
            <w:szCs w:val="22"/>
            <w:u w:val="single"/>
          </w:rPr>
          <w:t>returned to Spain</w:t>
        </w:r>
      </w:hyperlink>
      <w:r>
        <w:rPr>
          <w:rFonts w:ascii="Garamond" w:eastAsia="Garamond" w:hAnsi="Garamond" w:cs="Garamond"/>
          <w:sz w:val="22"/>
          <w:szCs w:val="22"/>
        </w:rPr>
        <w:t xml:space="preserve">. You can read our analysis on the Belgian judgment here. </w:t>
      </w:r>
      <w:r>
        <w:rPr>
          <w:rFonts w:ascii="Garamond" w:eastAsia="Garamond" w:hAnsi="Garamond" w:cs="Garamond"/>
          <w:i/>
          <w:sz w:val="22"/>
          <w:szCs w:val="22"/>
          <w:shd w:val="clear" w:color="auto" w:fill="C9DAF8"/>
        </w:rPr>
        <w:t>[hyperlink to this case’s webpage].</w:t>
      </w:r>
      <w:r>
        <w:rPr>
          <w:rFonts w:ascii="Garamond" w:eastAsia="Garamond" w:hAnsi="Garamond" w:cs="Garamond"/>
          <w:i/>
          <w:sz w:val="22"/>
          <w:szCs w:val="22"/>
        </w:rPr>
        <w:t xml:space="preserve"> </w:t>
      </w:r>
    </w:p>
    <w:p w14:paraId="00000039" w14:textId="77777777" w:rsidR="00D00FE4" w:rsidRDefault="00D00FE4">
      <w:pPr>
        <w:spacing w:line="276" w:lineRule="auto"/>
        <w:jc w:val="both"/>
        <w:rPr>
          <w:rFonts w:ascii="Garamond" w:eastAsia="Garamond" w:hAnsi="Garamond" w:cs="Garamond"/>
          <w:sz w:val="22"/>
          <w:szCs w:val="22"/>
        </w:rPr>
      </w:pPr>
    </w:p>
    <w:p w14:paraId="0000003A" w14:textId="77777777" w:rsidR="00D00FE4"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Related Cases</w:t>
      </w:r>
      <w:r>
        <w:rPr>
          <w:rFonts w:ascii="Garamond" w:eastAsia="Garamond" w:hAnsi="Garamond" w:cs="Garamond"/>
          <w:color w:val="000000"/>
          <w:sz w:val="22"/>
          <w:szCs w:val="22"/>
        </w:rPr>
        <w:t>: Self-generated</w:t>
      </w:r>
    </w:p>
    <w:p w14:paraId="0000003B" w14:textId="77777777" w:rsidR="00D00FE4" w:rsidRDefault="00D00FE4">
      <w:pPr>
        <w:pBdr>
          <w:top w:val="nil"/>
          <w:left w:val="nil"/>
          <w:bottom w:val="nil"/>
          <w:right w:val="nil"/>
          <w:between w:val="nil"/>
        </w:pBdr>
        <w:spacing w:line="276" w:lineRule="auto"/>
        <w:ind w:left="360"/>
        <w:jc w:val="both"/>
        <w:rPr>
          <w:rFonts w:ascii="Garamond" w:eastAsia="Garamond" w:hAnsi="Garamond" w:cs="Garamond"/>
          <w:sz w:val="22"/>
          <w:szCs w:val="22"/>
        </w:rPr>
      </w:pPr>
    </w:p>
    <w:p w14:paraId="0000003C" w14:textId="77777777" w:rsidR="00D00FE4"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Date updated</w:t>
      </w:r>
      <w:r>
        <w:rPr>
          <w:rFonts w:ascii="Garamond" w:eastAsia="Garamond" w:hAnsi="Garamond" w:cs="Garamond"/>
          <w:color w:val="000000"/>
          <w:sz w:val="22"/>
          <w:szCs w:val="22"/>
        </w:rPr>
        <w:t>: N/A</w:t>
      </w:r>
    </w:p>
    <w:p w14:paraId="0000003D" w14:textId="77777777" w:rsidR="00D00FE4" w:rsidRDefault="00D00FE4">
      <w:pPr>
        <w:spacing w:line="276" w:lineRule="auto"/>
        <w:jc w:val="both"/>
        <w:rPr>
          <w:rFonts w:ascii="Garamond" w:eastAsia="Garamond" w:hAnsi="Garamond" w:cs="Garamond"/>
          <w:sz w:val="22"/>
          <w:szCs w:val="22"/>
        </w:rPr>
      </w:pPr>
    </w:p>
    <w:p w14:paraId="0000003E" w14:textId="77777777" w:rsidR="00D00FE4" w:rsidRDefault="00000000">
      <w:pPr>
        <w:spacing w:line="276" w:lineRule="auto"/>
        <w:jc w:val="both"/>
        <w:rPr>
          <w:rFonts w:ascii="Garamond" w:eastAsia="Garamond" w:hAnsi="Garamond" w:cs="Garamond"/>
          <w:sz w:val="22"/>
          <w:szCs w:val="22"/>
        </w:rPr>
      </w:pPr>
      <w:r>
        <w:rPr>
          <w:rFonts w:ascii="Garamond" w:eastAsia="Garamond" w:hAnsi="Garamond" w:cs="Garamond"/>
          <w:b/>
          <w:i/>
          <w:sz w:val="22"/>
          <w:szCs w:val="22"/>
          <w:u w:val="single"/>
        </w:rPr>
        <w:t>Docs</w:t>
      </w:r>
      <w:r>
        <w:rPr>
          <w:rFonts w:ascii="Garamond" w:eastAsia="Garamond" w:hAnsi="Garamond" w:cs="Garamond"/>
          <w:sz w:val="22"/>
          <w:szCs w:val="22"/>
        </w:rPr>
        <w:t xml:space="preserve">: </w:t>
      </w:r>
    </w:p>
    <w:p w14:paraId="0000003F" w14:textId="77777777" w:rsidR="00D00FE4" w:rsidRDefault="00000000">
      <w:pPr>
        <w:numPr>
          <w:ilvl w:val="0"/>
          <w:numId w:val="4"/>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Official Case Documents</w:t>
      </w:r>
      <w:r>
        <w:rPr>
          <w:rFonts w:ascii="Garamond" w:eastAsia="Garamond" w:hAnsi="Garamond" w:cs="Garamond"/>
          <w:color w:val="000000"/>
          <w:sz w:val="22"/>
          <w:szCs w:val="22"/>
        </w:rPr>
        <w:t xml:space="preserve">: </w:t>
      </w:r>
    </w:p>
    <w:p w14:paraId="00000040" w14:textId="77777777" w:rsidR="00D00FE4" w:rsidRDefault="00000000">
      <w:pPr>
        <w:pBdr>
          <w:top w:val="nil"/>
          <w:left w:val="nil"/>
          <w:bottom w:val="nil"/>
          <w:right w:val="nil"/>
          <w:between w:val="nil"/>
        </w:pBdr>
        <w:spacing w:line="276" w:lineRule="auto"/>
        <w:ind w:left="360"/>
        <w:jc w:val="both"/>
        <w:rPr>
          <w:rFonts w:ascii="Garamond" w:eastAsia="Garamond" w:hAnsi="Garamond" w:cs="Garamond"/>
          <w:b/>
          <w:color w:val="000000"/>
          <w:sz w:val="22"/>
          <w:szCs w:val="22"/>
        </w:rPr>
      </w:pPr>
      <w:r>
        <w:rPr>
          <w:rFonts w:ascii="Garamond" w:eastAsia="Garamond" w:hAnsi="Garamond" w:cs="Garamond"/>
          <w:b/>
          <w:color w:val="000000"/>
          <w:sz w:val="22"/>
          <w:szCs w:val="22"/>
        </w:rPr>
        <w:t>Examples:</w:t>
      </w:r>
    </w:p>
    <w:p w14:paraId="00000041" w14:textId="77777777" w:rsidR="00D00FE4" w:rsidRDefault="00000000">
      <w:pPr>
        <w:pBdr>
          <w:top w:val="nil"/>
          <w:left w:val="nil"/>
          <w:bottom w:val="nil"/>
          <w:right w:val="nil"/>
          <w:between w:val="nil"/>
        </w:pBdr>
        <w:spacing w:line="276" w:lineRule="auto"/>
        <w:ind w:left="360"/>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Judgment (in </w:t>
      </w:r>
      <w:r>
        <w:rPr>
          <w:rFonts w:ascii="Garamond" w:eastAsia="Garamond" w:hAnsi="Garamond" w:cs="Garamond"/>
          <w:sz w:val="22"/>
          <w:szCs w:val="22"/>
        </w:rPr>
        <w:t>Dutch</w:t>
      </w:r>
      <w:r>
        <w:rPr>
          <w:rFonts w:ascii="Garamond" w:eastAsia="Garamond" w:hAnsi="Garamond" w:cs="Garamond"/>
          <w:color w:val="000000"/>
          <w:sz w:val="22"/>
          <w:szCs w:val="22"/>
        </w:rPr>
        <w:t xml:space="preserve">) </w:t>
      </w:r>
      <w:hyperlink r:id="rId62">
        <w:r>
          <w:rPr>
            <w:rFonts w:ascii="Garamond" w:eastAsia="Garamond" w:hAnsi="Garamond" w:cs="Garamond"/>
            <w:color w:val="1155CC"/>
            <w:sz w:val="22"/>
            <w:szCs w:val="22"/>
            <w:u w:val="single"/>
          </w:rPr>
          <w:t>[Attached]</w:t>
        </w:r>
      </w:hyperlink>
    </w:p>
    <w:p w14:paraId="00000042" w14:textId="77777777" w:rsidR="00D00FE4" w:rsidRDefault="00000000">
      <w:pPr>
        <w:pBdr>
          <w:top w:val="nil"/>
          <w:left w:val="nil"/>
          <w:bottom w:val="nil"/>
          <w:right w:val="nil"/>
          <w:between w:val="nil"/>
        </w:pBdr>
        <w:spacing w:line="276" w:lineRule="auto"/>
        <w:ind w:left="360"/>
        <w:jc w:val="both"/>
        <w:rPr>
          <w:rFonts w:ascii="Garamond" w:eastAsia="Garamond" w:hAnsi="Garamond" w:cs="Garamond"/>
          <w:sz w:val="22"/>
          <w:szCs w:val="22"/>
        </w:rPr>
      </w:pPr>
      <w:r>
        <w:rPr>
          <w:rFonts w:ascii="Garamond" w:eastAsia="Garamond" w:hAnsi="Garamond" w:cs="Garamond"/>
          <w:sz w:val="22"/>
          <w:szCs w:val="22"/>
        </w:rPr>
        <w:t xml:space="preserve">Judgment (in French) </w:t>
      </w:r>
      <w:hyperlink r:id="rId63">
        <w:r>
          <w:rPr>
            <w:rFonts w:ascii="Garamond" w:eastAsia="Garamond" w:hAnsi="Garamond" w:cs="Garamond"/>
            <w:color w:val="1155CC"/>
            <w:sz w:val="22"/>
            <w:szCs w:val="22"/>
            <w:u w:val="single"/>
          </w:rPr>
          <w:t>[Attached]</w:t>
        </w:r>
      </w:hyperlink>
    </w:p>
    <w:p w14:paraId="00000043" w14:textId="77777777" w:rsidR="00D00FE4" w:rsidRDefault="00000000">
      <w:pPr>
        <w:pBdr>
          <w:top w:val="nil"/>
          <w:left w:val="nil"/>
          <w:bottom w:val="nil"/>
          <w:right w:val="nil"/>
          <w:between w:val="nil"/>
        </w:pBdr>
        <w:spacing w:line="276" w:lineRule="auto"/>
        <w:ind w:left="360"/>
        <w:jc w:val="both"/>
        <w:rPr>
          <w:rFonts w:ascii="Garamond" w:eastAsia="Garamond" w:hAnsi="Garamond" w:cs="Garamond"/>
          <w:color w:val="000000"/>
          <w:sz w:val="22"/>
          <w:szCs w:val="22"/>
        </w:rPr>
      </w:pPr>
      <w:r>
        <w:rPr>
          <w:rFonts w:ascii="Garamond" w:eastAsia="Garamond" w:hAnsi="Garamond" w:cs="Garamond"/>
          <w:color w:val="000000"/>
          <w:sz w:val="22"/>
          <w:szCs w:val="22"/>
        </w:rPr>
        <w:t>Press Release issued by</w:t>
      </w:r>
      <w:r>
        <w:rPr>
          <w:rFonts w:ascii="Garamond" w:eastAsia="Garamond" w:hAnsi="Garamond" w:cs="Garamond"/>
          <w:sz w:val="22"/>
          <w:szCs w:val="22"/>
        </w:rPr>
        <w:t xml:space="preserve"> the Belgian Constitutional </w:t>
      </w:r>
      <w:proofErr w:type="gramStart"/>
      <w:r>
        <w:rPr>
          <w:rFonts w:ascii="Garamond" w:eastAsia="Garamond" w:hAnsi="Garamond" w:cs="Garamond"/>
          <w:sz w:val="22"/>
          <w:szCs w:val="22"/>
        </w:rPr>
        <w:t xml:space="preserve">Court </w:t>
      </w:r>
      <w:r>
        <w:rPr>
          <w:rFonts w:ascii="Garamond" w:eastAsia="Garamond" w:hAnsi="Garamond" w:cs="Garamond"/>
          <w:color w:val="000000"/>
          <w:sz w:val="22"/>
          <w:szCs w:val="22"/>
        </w:rPr>
        <w:t xml:space="preserve"> (</w:t>
      </w:r>
      <w:proofErr w:type="gramEnd"/>
      <w:r>
        <w:rPr>
          <w:rFonts w:ascii="Garamond" w:eastAsia="Garamond" w:hAnsi="Garamond" w:cs="Garamond"/>
          <w:color w:val="000000"/>
          <w:sz w:val="22"/>
          <w:szCs w:val="22"/>
        </w:rPr>
        <w:t xml:space="preserve">in </w:t>
      </w:r>
      <w:r>
        <w:rPr>
          <w:rFonts w:ascii="Garamond" w:eastAsia="Garamond" w:hAnsi="Garamond" w:cs="Garamond"/>
          <w:sz w:val="22"/>
          <w:szCs w:val="22"/>
        </w:rPr>
        <w:t>Dutch</w:t>
      </w:r>
      <w:r>
        <w:rPr>
          <w:rFonts w:ascii="Garamond" w:eastAsia="Garamond" w:hAnsi="Garamond" w:cs="Garamond"/>
          <w:color w:val="000000"/>
          <w:sz w:val="22"/>
          <w:szCs w:val="22"/>
        </w:rPr>
        <w:t xml:space="preserve">) </w:t>
      </w:r>
      <w:hyperlink r:id="rId64">
        <w:r>
          <w:rPr>
            <w:rFonts w:ascii="Garamond" w:eastAsia="Garamond" w:hAnsi="Garamond" w:cs="Garamond"/>
            <w:color w:val="1155CC"/>
            <w:sz w:val="22"/>
            <w:szCs w:val="22"/>
            <w:u w:val="single"/>
          </w:rPr>
          <w:t>[Attached]</w:t>
        </w:r>
      </w:hyperlink>
    </w:p>
    <w:p w14:paraId="00000044" w14:textId="77777777" w:rsidR="00D00FE4" w:rsidRDefault="00000000">
      <w:pPr>
        <w:spacing w:line="276" w:lineRule="auto"/>
        <w:ind w:left="360"/>
        <w:jc w:val="both"/>
        <w:rPr>
          <w:rFonts w:ascii="Garamond" w:eastAsia="Garamond" w:hAnsi="Garamond" w:cs="Garamond"/>
          <w:sz w:val="22"/>
          <w:szCs w:val="22"/>
        </w:rPr>
      </w:pPr>
      <w:r>
        <w:rPr>
          <w:rFonts w:ascii="Garamond" w:eastAsia="Garamond" w:hAnsi="Garamond" w:cs="Garamond"/>
          <w:sz w:val="22"/>
          <w:szCs w:val="22"/>
        </w:rPr>
        <w:t xml:space="preserve">Press Release issued by the Belgian Constitutional </w:t>
      </w:r>
      <w:proofErr w:type="gramStart"/>
      <w:r>
        <w:rPr>
          <w:rFonts w:ascii="Garamond" w:eastAsia="Garamond" w:hAnsi="Garamond" w:cs="Garamond"/>
          <w:sz w:val="22"/>
          <w:szCs w:val="22"/>
        </w:rPr>
        <w:t>Court  (</w:t>
      </w:r>
      <w:proofErr w:type="gramEnd"/>
      <w:r>
        <w:rPr>
          <w:rFonts w:ascii="Garamond" w:eastAsia="Garamond" w:hAnsi="Garamond" w:cs="Garamond"/>
          <w:sz w:val="22"/>
          <w:szCs w:val="22"/>
        </w:rPr>
        <w:t xml:space="preserve">in French) </w:t>
      </w:r>
      <w:hyperlink r:id="rId65">
        <w:r>
          <w:rPr>
            <w:rFonts w:ascii="Garamond" w:eastAsia="Garamond" w:hAnsi="Garamond" w:cs="Garamond"/>
            <w:color w:val="1155CC"/>
            <w:sz w:val="22"/>
            <w:szCs w:val="22"/>
            <w:u w:val="single"/>
          </w:rPr>
          <w:t>[Attached]</w:t>
        </w:r>
      </w:hyperlink>
    </w:p>
    <w:p w14:paraId="00000045" w14:textId="77777777" w:rsidR="00D00FE4" w:rsidRDefault="00000000">
      <w:pPr>
        <w:numPr>
          <w:ilvl w:val="0"/>
          <w:numId w:val="3"/>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Reports, Analysis, and News Articles</w:t>
      </w:r>
      <w:r>
        <w:rPr>
          <w:rFonts w:ascii="Garamond" w:eastAsia="Garamond" w:hAnsi="Garamond" w:cs="Garamond"/>
          <w:color w:val="000000"/>
          <w:sz w:val="22"/>
          <w:szCs w:val="22"/>
        </w:rPr>
        <w:t>:</w:t>
      </w:r>
    </w:p>
    <w:p w14:paraId="00000046" w14:textId="77777777" w:rsidR="00D00FE4" w:rsidRDefault="00000000">
      <w:pPr>
        <w:numPr>
          <w:ilvl w:val="1"/>
          <w:numId w:val="3"/>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sz w:val="22"/>
          <w:szCs w:val="22"/>
        </w:rPr>
        <w:t xml:space="preserve">M. KITSON, Spanish rapper flees country to avoid prison for lyrics praising terrorism, El </w:t>
      </w:r>
      <w:proofErr w:type="spellStart"/>
      <w:r>
        <w:rPr>
          <w:rFonts w:ascii="Garamond" w:eastAsia="Garamond" w:hAnsi="Garamond" w:cs="Garamond"/>
          <w:sz w:val="22"/>
          <w:szCs w:val="22"/>
        </w:rPr>
        <w:t>Pais</w:t>
      </w:r>
      <w:proofErr w:type="spellEnd"/>
      <w:r>
        <w:rPr>
          <w:rFonts w:ascii="Garamond" w:eastAsia="Garamond" w:hAnsi="Garamond" w:cs="Garamond"/>
          <w:sz w:val="22"/>
          <w:szCs w:val="22"/>
        </w:rPr>
        <w:t xml:space="preserve">, May 24, 2018, </w:t>
      </w:r>
      <w:hyperlink r:id="rId66" w:anchor="?rel=mas">
        <w:r>
          <w:rPr>
            <w:rFonts w:ascii="Garamond" w:eastAsia="Garamond" w:hAnsi="Garamond" w:cs="Garamond"/>
            <w:color w:val="1155CC"/>
            <w:sz w:val="22"/>
            <w:szCs w:val="22"/>
            <w:u w:val="single"/>
          </w:rPr>
          <w:t>link</w:t>
        </w:r>
      </w:hyperlink>
      <w:r>
        <w:rPr>
          <w:rFonts w:ascii="Garamond" w:eastAsia="Garamond" w:hAnsi="Garamond" w:cs="Garamond"/>
          <w:sz w:val="22"/>
          <w:szCs w:val="22"/>
        </w:rPr>
        <w:t xml:space="preserve">. </w:t>
      </w:r>
    </w:p>
    <w:p w14:paraId="00000047" w14:textId="77777777" w:rsidR="00D00FE4" w:rsidRDefault="00000000">
      <w:pPr>
        <w:numPr>
          <w:ilvl w:val="1"/>
          <w:numId w:val="3"/>
        </w:numPr>
        <w:pBdr>
          <w:top w:val="nil"/>
          <w:left w:val="nil"/>
          <w:bottom w:val="nil"/>
          <w:right w:val="nil"/>
          <w:between w:val="nil"/>
        </w:pBdr>
        <w:spacing w:line="276" w:lineRule="auto"/>
        <w:jc w:val="both"/>
        <w:rPr>
          <w:rFonts w:ascii="Garamond" w:eastAsia="Garamond" w:hAnsi="Garamond" w:cs="Garamond"/>
          <w:sz w:val="22"/>
          <w:szCs w:val="22"/>
        </w:rPr>
      </w:pPr>
      <w:r>
        <w:rPr>
          <w:rFonts w:ascii="Garamond" w:eastAsia="Garamond" w:hAnsi="Garamond" w:cs="Garamond"/>
          <w:sz w:val="22"/>
          <w:szCs w:val="22"/>
        </w:rPr>
        <w:t xml:space="preserve">S. URRQ, Belgian court refuses to extradite Spanish rapper </w:t>
      </w:r>
      <w:proofErr w:type="spellStart"/>
      <w:r>
        <w:rPr>
          <w:rFonts w:ascii="Garamond" w:eastAsia="Garamond" w:hAnsi="Garamond" w:cs="Garamond"/>
          <w:sz w:val="22"/>
          <w:szCs w:val="22"/>
        </w:rPr>
        <w:t>Valtònyc</w:t>
      </w:r>
      <w:proofErr w:type="spellEnd"/>
      <w:r>
        <w:rPr>
          <w:rFonts w:ascii="Garamond" w:eastAsia="Garamond" w:hAnsi="Garamond" w:cs="Garamond"/>
          <w:sz w:val="22"/>
          <w:szCs w:val="22"/>
        </w:rPr>
        <w:t xml:space="preserve">, El </w:t>
      </w:r>
      <w:proofErr w:type="spellStart"/>
      <w:r>
        <w:rPr>
          <w:rFonts w:ascii="Garamond" w:eastAsia="Garamond" w:hAnsi="Garamond" w:cs="Garamond"/>
          <w:sz w:val="22"/>
          <w:szCs w:val="22"/>
        </w:rPr>
        <w:t>Pais</w:t>
      </w:r>
      <w:proofErr w:type="spellEnd"/>
      <w:r>
        <w:rPr>
          <w:rFonts w:ascii="Garamond" w:eastAsia="Garamond" w:hAnsi="Garamond" w:cs="Garamond"/>
          <w:sz w:val="22"/>
          <w:szCs w:val="22"/>
        </w:rPr>
        <w:t xml:space="preserve">, Sept. 17, 2018, </w:t>
      </w:r>
      <w:hyperlink r:id="rId67">
        <w:r>
          <w:rPr>
            <w:rFonts w:ascii="Garamond" w:eastAsia="Garamond" w:hAnsi="Garamond" w:cs="Garamond"/>
            <w:color w:val="1155CC"/>
            <w:sz w:val="22"/>
            <w:szCs w:val="22"/>
            <w:u w:val="single"/>
          </w:rPr>
          <w:t>link</w:t>
        </w:r>
      </w:hyperlink>
      <w:r>
        <w:rPr>
          <w:rFonts w:ascii="Garamond" w:eastAsia="Garamond" w:hAnsi="Garamond" w:cs="Garamond"/>
          <w:sz w:val="22"/>
          <w:szCs w:val="22"/>
        </w:rPr>
        <w:t xml:space="preserve">. </w:t>
      </w:r>
    </w:p>
    <w:p w14:paraId="00000048" w14:textId="77777777" w:rsidR="00D00FE4" w:rsidRDefault="00D00FE4"/>
    <w:sectPr w:rsidR="00D00FE4">
      <w:pgSz w:w="11906" w:h="16838"/>
      <w:pgMar w:top="720" w:right="720" w:bottom="720" w:left="72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BETTE DE NAEYER" w:date="2024-02-22T11:57:00Z" w:initials="">
    <w:p w14:paraId="00000049" w14:textId="77777777" w:rsidR="00D00FE4"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would like to change the NOTE on this webpage (https://globalfreedomofexpression.columbia.edu/cases/case-jose-miguel-arenas-valtonyc/) and make explicit reference to both cases on both webpages, since they are correlated.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49" w16cid:durableId="64787D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0AE"/>
    <w:multiLevelType w:val="multilevel"/>
    <w:tmpl w:val="8C7E4D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F03934"/>
    <w:multiLevelType w:val="multilevel"/>
    <w:tmpl w:val="985C69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2F02831"/>
    <w:multiLevelType w:val="multilevel"/>
    <w:tmpl w:val="3F0892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D5B6064"/>
    <w:multiLevelType w:val="multilevel"/>
    <w:tmpl w:val="47200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E7198E"/>
    <w:multiLevelType w:val="multilevel"/>
    <w:tmpl w:val="3D78A9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6FD6398"/>
    <w:multiLevelType w:val="multilevel"/>
    <w:tmpl w:val="29C4B5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3156F7D"/>
    <w:multiLevelType w:val="multilevel"/>
    <w:tmpl w:val="A3D6E284"/>
    <w:lvl w:ilvl="0">
      <w:start w:val="28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E54691"/>
    <w:multiLevelType w:val="multilevel"/>
    <w:tmpl w:val="DC066D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91692204">
    <w:abstractNumId w:val="0"/>
  </w:num>
  <w:num w:numId="2" w16cid:durableId="2035768111">
    <w:abstractNumId w:val="2"/>
  </w:num>
  <w:num w:numId="3" w16cid:durableId="812913177">
    <w:abstractNumId w:val="3"/>
  </w:num>
  <w:num w:numId="4" w16cid:durableId="723025915">
    <w:abstractNumId w:val="4"/>
  </w:num>
  <w:num w:numId="5" w16cid:durableId="1573662558">
    <w:abstractNumId w:val="6"/>
  </w:num>
  <w:num w:numId="6" w16cid:durableId="2020621321">
    <w:abstractNumId w:val="1"/>
  </w:num>
  <w:num w:numId="7" w16cid:durableId="599526298">
    <w:abstractNumId w:val="7"/>
  </w:num>
  <w:num w:numId="8" w16cid:durableId="224336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FE4"/>
    <w:rsid w:val="003B3C2C"/>
    <w:rsid w:val="00C36978"/>
    <w:rsid w:val="00D0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650E30F-07CB-9C4B-A691-44AB50FF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globalfreedomofexpression.columbia.edu/cases/gunduz-v-turkey/" TargetMode="External"/><Relationship Id="rId21" Type="http://schemas.openxmlformats.org/officeDocument/2006/relationships/hyperlink" Target="https://www.const-court.be/public/n/2021/2021-157n.pdf" TargetMode="External"/><Relationship Id="rId42" Type="http://schemas.openxmlformats.org/officeDocument/2006/relationships/hyperlink" Target="https://globalfreedomofexpression.columbia.edu/cases/stern-taulats-roura-capellera-v-spain/" TargetMode="External"/><Relationship Id="rId47" Type="http://schemas.openxmlformats.org/officeDocument/2006/relationships/hyperlink" Target="https://www.const-court.be/public/n/2021/2021-157n.pdf" TargetMode="External"/><Relationship Id="rId63" Type="http://schemas.openxmlformats.org/officeDocument/2006/relationships/hyperlink" Target="https://www.const-court.be/public/f/2021/2021-157f.pdf" TargetMode="External"/><Relationship Id="rId68" Type="http://schemas.openxmlformats.org/officeDocument/2006/relationships/fontTable" Target="fontTable.xml"/><Relationship Id="rId7" Type="http://schemas.openxmlformats.org/officeDocument/2006/relationships/hyperlink" Target="https://english.elpais.com/elpais/2018/02/21/inenglish/1519204313_494974.html" TargetMode="External"/><Relationship Id="rId2" Type="http://schemas.openxmlformats.org/officeDocument/2006/relationships/numbering" Target="numbering.xml"/><Relationship Id="rId16" Type="http://schemas.openxmlformats.org/officeDocument/2006/relationships/hyperlink" Target="https://justice.belgium.be/sites/default/files/P.21.1692.N-18012022-EAB.pdf" TargetMode="External"/><Relationship Id="rId29" Type="http://schemas.openxmlformats.org/officeDocument/2006/relationships/hyperlink" Target="https://globalfreedomofexpression.columbia.edu/cases/pentikainen-v-finland/" TargetMode="External"/><Relationship Id="rId11" Type="http://schemas.openxmlformats.org/officeDocument/2006/relationships/hyperlink" Target="https://globalfreedomofexpression.columbia.edu/cases/case-jose-miguel-arenas-valtonyc/" TargetMode="External"/><Relationship Id="rId24" Type="http://schemas.openxmlformats.org/officeDocument/2006/relationships/hyperlink" Target="https://globalfreedomofexpression.columbia.edu/cases/ozturk-v-turkey/" TargetMode="External"/><Relationship Id="rId32" Type="http://schemas.openxmlformats.org/officeDocument/2006/relationships/hyperlink" Target="https://hudoc.echr.coe.int/fre" TargetMode="External"/><Relationship Id="rId37" Type="http://schemas.openxmlformats.org/officeDocument/2006/relationships/hyperlink" Target="https://hudoc.echr.coe.int/fre" TargetMode="External"/><Relationship Id="rId40" Type="http://schemas.openxmlformats.org/officeDocument/2006/relationships/hyperlink" Target="http://hudoc.echr.coe.int/eng" TargetMode="External"/><Relationship Id="rId45" Type="http://schemas.openxmlformats.org/officeDocument/2006/relationships/hyperlink" Target="https://www.ejustice.just.fgov.be/eli/wet/1847/04/06/1847040650/justel" TargetMode="External"/><Relationship Id="rId53" Type="http://schemas.openxmlformats.org/officeDocument/2006/relationships/hyperlink" Target="https://etaamb.openjustice.be/nl/wet-van-19-december-2003_n2003009950" TargetMode="External"/><Relationship Id="rId58" Type="http://schemas.openxmlformats.org/officeDocument/2006/relationships/comments" Target="comments.xml"/><Relationship Id="rId66" Type="http://schemas.openxmlformats.org/officeDocument/2006/relationships/hyperlink" Target="https://english.elpais.com/elpais/2018/05/24/inenglish/1527149930_882802.html" TargetMode="External"/><Relationship Id="rId5" Type="http://schemas.openxmlformats.org/officeDocument/2006/relationships/webSettings" Target="webSettings.xml"/><Relationship Id="rId61" Type="http://schemas.openxmlformats.org/officeDocument/2006/relationships/hyperlink" Target="https://www.spainenglish.com/2023/10/30/mallorcan-rapper-returns-spain-belgium-after-years-avoiding-extradition/" TargetMode="External"/><Relationship Id="rId19" Type="http://schemas.openxmlformats.org/officeDocument/2006/relationships/hyperlink" Target="https://www.const-court.be/public/n/2021/2021-157n.pdf" TargetMode="External"/><Relationship Id="rId14" Type="http://schemas.openxmlformats.org/officeDocument/2006/relationships/hyperlink" Target="https://etaamb.openjustice.be/nl/wet-van-19-december-2003_n2003009950" TargetMode="External"/><Relationship Id="rId22" Type="http://schemas.openxmlformats.org/officeDocument/2006/relationships/hyperlink" Target="https://globalfreedomofexpression.columbia.edu/cases/handyside-v-uk/" TargetMode="External"/><Relationship Id="rId27" Type="http://schemas.openxmlformats.org/officeDocument/2006/relationships/hyperlink" Target="https://hudoc.echr.coe.int/spa" TargetMode="External"/><Relationship Id="rId30" Type="http://schemas.openxmlformats.org/officeDocument/2006/relationships/hyperlink" Target="https://www.const-court.be/public/n/2021/2021-157n.pdf" TargetMode="External"/><Relationship Id="rId35" Type="http://schemas.openxmlformats.org/officeDocument/2006/relationships/hyperlink" Target="https://globalfreedomofexpression.columbia.edu/cases/stern-taulats-roura-capellera-v-spain/" TargetMode="External"/><Relationship Id="rId43" Type="http://schemas.openxmlformats.org/officeDocument/2006/relationships/hyperlink" Target="https://hudoc.echr.coe.int/fre" TargetMode="External"/><Relationship Id="rId48" Type="http://schemas.openxmlformats.org/officeDocument/2006/relationships/hyperlink" Target="https://www.ejustice.just.fgov.be/eli/wet/1847/04/06/1847040650/justel" TargetMode="External"/><Relationship Id="rId56" Type="http://schemas.openxmlformats.org/officeDocument/2006/relationships/hyperlink" Target="https://www.boe.es/buscar/act.php?id=BOE-A-1995-25444" TargetMode="External"/><Relationship Id="rId64" Type="http://schemas.openxmlformats.org/officeDocument/2006/relationships/hyperlink" Target="https://www.const-court.be/public/n/2021/2021-157n-info.pdf" TargetMode="External"/><Relationship Id="rId69" Type="http://schemas.openxmlformats.org/officeDocument/2006/relationships/theme" Target="theme/theme1.xml"/><Relationship Id="rId8" Type="http://schemas.openxmlformats.org/officeDocument/2006/relationships/hyperlink" Target="https://www.boe.es/buscar/act.php?id=BOE-A-1995-25444" TargetMode="External"/><Relationship Id="rId51" Type="http://schemas.openxmlformats.org/officeDocument/2006/relationships/hyperlink" Target="https://www.dekamer.be/kvvcr/pdf_sections/publications/constitution/GrondwetUK.pdf" TargetMode="External"/><Relationship Id="rId3" Type="http://schemas.openxmlformats.org/officeDocument/2006/relationships/styles" Target="styles.xml"/><Relationship Id="rId12" Type="http://schemas.openxmlformats.org/officeDocument/2006/relationships/hyperlink" Target="https://english.elpais.com/elpais/2018/05/24/inenglish/1527149930_882802.html" TargetMode="External"/><Relationship Id="rId17" Type="http://schemas.openxmlformats.org/officeDocument/2006/relationships/hyperlink" Target="https://www.ejustice.just.fgov.be/eli/wet/1847/04/06/1847040650/justel" TargetMode="External"/><Relationship Id="rId25" Type="http://schemas.openxmlformats.org/officeDocument/2006/relationships/hyperlink" Target="https://globalfreedomofexpression.columbia.edu/cases/mouvement-raelien-suisse-v-switzerland/" TargetMode="External"/><Relationship Id="rId33" Type="http://schemas.openxmlformats.org/officeDocument/2006/relationships/hyperlink" Target="https://globalfreedomofexpression.columbia.edu/cases/stern-taulats-roura-capellera-v-spain/" TargetMode="External"/><Relationship Id="rId38" Type="http://schemas.openxmlformats.org/officeDocument/2006/relationships/hyperlink" Target="https://www.const-court.be/public/n/2021/2021-157n.pdf" TargetMode="External"/><Relationship Id="rId46" Type="http://schemas.openxmlformats.org/officeDocument/2006/relationships/hyperlink" Target="https://www.ejustice.just.fgov.be/cgi_loi/change_lg.pl?language=nl&amp;la=N&amp;cn=1867060801&amp;table_name=wet" TargetMode="External"/><Relationship Id="rId59" Type="http://schemas.microsoft.com/office/2011/relationships/commentsExtended" Target="commentsExtended.xml"/><Relationship Id="rId67" Type="http://schemas.openxmlformats.org/officeDocument/2006/relationships/hyperlink" Target="https://english.elpais.com/elpais/2018/09/17/inenglish/1537177941_473971.html" TargetMode="External"/><Relationship Id="rId20" Type="http://schemas.openxmlformats.org/officeDocument/2006/relationships/hyperlink" Target="https://www.ejustice.just.fgov.be/eli/wet/1847/04/06/1847040650/justel" TargetMode="External"/><Relationship Id="rId41" Type="http://schemas.openxmlformats.org/officeDocument/2006/relationships/hyperlink" Target="https://hudoc.echr.coe.int/fre" TargetMode="External"/><Relationship Id="rId54" Type="http://schemas.openxmlformats.org/officeDocument/2006/relationships/hyperlink" Target="https://www.ejustice.just.fgov.be/cgi_loi/change_lg.pl?language=nl&amp;la=N&amp;cn=1867060801&amp;table_name=wet" TargetMode="External"/><Relationship Id="rId62" Type="http://schemas.openxmlformats.org/officeDocument/2006/relationships/hyperlink" Target="https://www.const-court.be/public/n/2021/2021-157n.pdf" TargetMode="External"/><Relationship Id="rId1" Type="http://schemas.openxmlformats.org/officeDocument/2006/relationships/customXml" Target="../customXml/item1.xml"/><Relationship Id="rId6" Type="http://schemas.openxmlformats.org/officeDocument/2006/relationships/hyperlink" Target="https://www.washingtonpost.com/world/europe/to-prison-for-singing-spanish-rappers-to-serve-time-for-their-lyrics/2018/03/17/d8e4b88c-18cd-11e8-930c-45838ad0d77a_story.html" TargetMode="External"/><Relationship Id="rId15" Type="http://schemas.openxmlformats.org/officeDocument/2006/relationships/hyperlink" Target="https://etaamb.openjustice.be/nl/wet-van-19-december-2003_n2003009950" TargetMode="External"/><Relationship Id="rId23" Type="http://schemas.openxmlformats.org/officeDocument/2006/relationships/hyperlink" Target="https://globalfreedomofexpression.columbia.edu/cases/lehideux-and-isorni-v-france/" TargetMode="External"/><Relationship Id="rId28" Type="http://schemas.openxmlformats.org/officeDocument/2006/relationships/hyperlink" Target="https://globalfreedomofexpression.columbia.edu/cases/fressoz-roire-v-france/" TargetMode="External"/><Relationship Id="rId36" Type="http://schemas.openxmlformats.org/officeDocument/2006/relationships/hyperlink" Target="https://www.const-court.be/public/n/2021/2021-157n.pdf" TargetMode="External"/><Relationship Id="rId49" Type="http://schemas.openxmlformats.org/officeDocument/2006/relationships/hyperlink" Target="https://english.elpais.com/elpais/2018/09/17/inenglish/1537177941_473971.html" TargetMode="External"/><Relationship Id="rId57" Type="http://schemas.openxmlformats.org/officeDocument/2006/relationships/hyperlink" Target="https://globalfreedomofexpression.columbia.edu/cases/case-jose-miguel-arenas-valtonyc/" TargetMode="External"/><Relationship Id="rId10" Type="http://schemas.openxmlformats.org/officeDocument/2006/relationships/hyperlink" Target="https://www.boe.es/buscar/act.php?id=BOE-A-1995-25444" TargetMode="External"/><Relationship Id="rId31" Type="http://schemas.openxmlformats.org/officeDocument/2006/relationships/hyperlink" Target="https://www.const-court.be/public/n/2021/2021-157n.pdf" TargetMode="External"/><Relationship Id="rId44" Type="http://schemas.openxmlformats.org/officeDocument/2006/relationships/hyperlink" Target="https://www.const-court.be/public/n/2021/2021-157n.pdf" TargetMode="External"/><Relationship Id="rId52" Type="http://schemas.openxmlformats.org/officeDocument/2006/relationships/hyperlink" Target="https://www.ejustice.just.fgov.be/eli/wet/1847/04/06/1847040650/justel" TargetMode="External"/><Relationship Id="rId60" Type="http://schemas.microsoft.com/office/2016/09/relationships/commentsIds" Target="commentsIds.xml"/><Relationship Id="rId65" Type="http://schemas.openxmlformats.org/officeDocument/2006/relationships/hyperlink" Target="https://www.const-court.be/public/f/2021/2021-157f-info.pdf" TargetMode="External"/><Relationship Id="rId4" Type="http://schemas.openxmlformats.org/officeDocument/2006/relationships/settings" Target="settings.xml"/><Relationship Id="rId9" Type="http://schemas.openxmlformats.org/officeDocument/2006/relationships/hyperlink" Target="https://www.boe.es/buscar/act.php?id=BOE-A-1995-25444" TargetMode="External"/><Relationship Id="rId13" Type="http://schemas.openxmlformats.org/officeDocument/2006/relationships/hyperlink" Target="https://etaamb.openjustice.be/nl/wet-van-19-december-2003_n2003009950" TargetMode="External"/><Relationship Id="rId18" Type="http://schemas.openxmlformats.org/officeDocument/2006/relationships/hyperlink" Target="https://www.const-court.be/public/n/2021/2021-157n.pdf" TargetMode="External"/><Relationship Id="rId39" Type="http://schemas.openxmlformats.org/officeDocument/2006/relationships/hyperlink" Target="https://hudoc.echr.coe.int/fre" TargetMode="External"/><Relationship Id="rId34" Type="http://schemas.openxmlformats.org/officeDocument/2006/relationships/hyperlink" Target="https://www.const-court.be/public/n/2021/2021-157n.pdf" TargetMode="External"/><Relationship Id="rId50" Type="http://schemas.openxmlformats.org/officeDocument/2006/relationships/hyperlink" Target="https://www.echr.coe.int/Documents/Convention_ENG.pdf" TargetMode="External"/><Relationship Id="rId55" Type="http://schemas.openxmlformats.org/officeDocument/2006/relationships/hyperlink" Target="https://globalfreedomofexpression.columbia.edu/wp-content/uploads/2018/02/Valtronyc-ruling-Supreme-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BesT3D2Ubfz5y2TecIce5Cd4A==">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3354</Words>
  <Characters>19119</Characters>
  <Application>Microsoft Office Word</Application>
  <DocSecurity>0</DocSecurity>
  <Lines>159</Lines>
  <Paragraphs>44</Paragraphs>
  <ScaleCrop>false</ScaleCrop>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Sanskriti Sanghi</dc:creator>
  <cp:lastModifiedBy>hawley johnson</cp:lastModifiedBy>
  <cp:revision>2</cp:revision>
  <dcterms:created xsi:type="dcterms:W3CDTF">2024-02-27T23:39:00Z</dcterms:created>
  <dcterms:modified xsi:type="dcterms:W3CDTF">2024-02-27T23:39:00Z</dcterms:modified>
</cp:coreProperties>
</file>