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58FDA7E3"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741F80" w:rsidRPr="00741F80">
        <w:rPr>
          <w:rFonts w:ascii="Garamond" w:hAnsi="Garamond"/>
          <w:b/>
          <w:bCs/>
          <w:i/>
          <w:iCs/>
          <w:color w:val="000000" w:themeColor="text1"/>
          <w:sz w:val="22"/>
          <w:szCs w:val="22"/>
          <w:lang w:val="en-US"/>
        </w:rPr>
        <w:t>Responding to antisemitism</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331D33DE" w:rsidR="00181333" w:rsidRPr="0029093B" w:rsidRDefault="00322A4D" w:rsidP="0029093B">
      <w:pPr>
        <w:spacing w:line="276" w:lineRule="auto"/>
        <w:jc w:val="both"/>
        <w:rPr>
          <w:rFonts w:ascii="Garamond" w:hAnsi="Garamond"/>
          <w:sz w:val="22"/>
          <w:szCs w:val="22"/>
          <w:lang w:val="en-US"/>
        </w:rPr>
      </w:pPr>
      <w:r>
        <w:rPr>
          <w:rFonts w:ascii="Garamond" w:hAnsi="Garamond"/>
          <w:sz w:val="22"/>
          <w:szCs w:val="22"/>
          <w:lang w:val="en-US"/>
        </w:rPr>
        <w:t>On September 13, 2023, the Oversight Board overturned Meta’s original decision to remove a video condemning the statements made by rapper Ye in praise of Hitler and denying the Holocaust. The Board highlighted that enforcement errors, like the one in this case, impact counter-speech negatively. Meta reversed its original decision when notified of the appeal by the Board.</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77777777" w:rsidR="00527B86" w:rsidRDefault="00527B86" w:rsidP="006B0A1D">
      <w:pPr>
        <w:pStyle w:val="ListParagraph"/>
        <w:spacing w:line="276" w:lineRule="auto"/>
        <w:ind w:left="360"/>
        <w:jc w:val="both"/>
        <w:rPr>
          <w:rFonts w:ascii="Garamond" w:hAnsi="Garamond"/>
          <w:sz w:val="22"/>
          <w:szCs w:val="22"/>
          <w:lang w:val="en-US"/>
        </w:rPr>
      </w:pPr>
    </w:p>
    <w:p w14:paraId="4AA8F32D" w14:textId="019D6ECE" w:rsidR="00F257CA" w:rsidRDefault="00741F80"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January 2023, a Turkish user posted a video on Instagram of an interview in English where rapper  Ye stated that he “likes” Adolph Hitler and denying the Holocaust. </w:t>
      </w:r>
      <w:proofErr w:type="spellStart"/>
      <w:r>
        <w:rPr>
          <w:rFonts w:ascii="Garamond" w:hAnsi="Garamond"/>
          <w:sz w:val="22"/>
          <w:szCs w:val="22"/>
          <w:lang w:val="en-US"/>
        </w:rPr>
        <w:t>Ye’s</w:t>
      </w:r>
      <w:proofErr w:type="spellEnd"/>
      <w:r>
        <w:rPr>
          <w:rFonts w:ascii="Garamond" w:hAnsi="Garamond"/>
          <w:sz w:val="22"/>
          <w:szCs w:val="22"/>
          <w:lang w:val="en-US"/>
        </w:rPr>
        <w:t xml:space="preserve"> statements in the video were followed by a TV reporter expressing outrage and talking about his family members who were killed in the Holocaust. The video is subtitled in Turkish and was accompanied by a caption that translates to “TV reporter responds to Kanye West”.</w:t>
      </w:r>
    </w:p>
    <w:p w14:paraId="00CC495D" w14:textId="77777777" w:rsidR="00741F80" w:rsidRDefault="00741F80" w:rsidP="006B0A1D">
      <w:pPr>
        <w:pStyle w:val="ListParagraph"/>
        <w:spacing w:line="276" w:lineRule="auto"/>
        <w:ind w:left="360"/>
        <w:jc w:val="both"/>
        <w:rPr>
          <w:rFonts w:ascii="Garamond" w:hAnsi="Garamond"/>
          <w:sz w:val="22"/>
          <w:szCs w:val="22"/>
          <w:lang w:val="en-US"/>
        </w:rPr>
      </w:pPr>
    </w:p>
    <w:p w14:paraId="4FDA841D" w14:textId="346BBBCF" w:rsidR="00741F80" w:rsidRDefault="00741F80"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video was removed for violation the Dangerous Organizations and Individuals and Hate Speech policies. Under the first policy, praise of any designated individuals, including Hitler, is prohibited on Meta’s platforms, however, the policy allows content about designated individuals if its reporting, condemning or neutrally discussing them or their activities. Under the second policy, Holocaust denial is prohibited as it is a form of </w:t>
      </w:r>
      <w:r w:rsidR="00883B1C">
        <w:rPr>
          <w:rFonts w:ascii="Garamond" w:hAnsi="Garamond"/>
          <w:sz w:val="22"/>
          <w:szCs w:val="22"/>
          <w:lang w:val="en-US"/>
        </w:rPr>
        <w:t xml:space="preserve">a harmful stereotype historically linked to intimidation or discrimination on basis of a protected characteristic, however, the policy recognizes that people may share someone else’s hat speech to condemn it or raise awareness. </w:t>
      </w:r>
    </w:p>
    <w:p w14:paraId="3338ED41" w14:textId="77777777" w:rsidR="00883B1C" w:rsidRDefault="00883B1C" w:rsidP="006B0A1D">
      <w:pPr>
        <w:pStyle w:val="ListParagraph"/>
        <w:spacing w:line="276" w:lineRule="auto"/>
        <w:ind w:left="360"/>
        <w:jc w:val="both"/>
        <w:rPr>
          <w:rFonts w:ascii="Garamond" w:hAnsi="Garamond"/>
          <w:sz w:val="22"/>
          <w:szCs w:val="22"/>
          <w:lang w:val="en-US"/>
        </w:rPr>
      </w:pPr>
    </w:p>
    <w:p w14:paraId="5E00A877" w14:textId="11575E7C" w:rsidR="00883B1C" w:rsidRDefault="00883B1C"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user appealed the removal decision to the Oversight Board.</w:t>
      </w:r>
    </w:p>
    <w:p w14:paraId="3373C374" w14:textId="77777777" w:rsidR="00D46357" w:rsidRPr="00D46357" w:rsidRDefault="00D46357" w:rsidP="00D46357">
      <w:pPr>
        <w:pStyle w:val="ListParagraph"/>
        <w:spacing w:line="276" w:lineRule="auto"/>
        <w:ind w:left="360"/>
        <w:jc w:val="both"/>
        <w:rPr>
          <w:rFonts w:ascii="Garamond" w:hAnsi="Garamond"/>
          <w:sz w:val="22"/>
          <w:szCs w:val="22"/>
          <w:lang w:val="en-US"/>
        </w:rPr>
      </w:pP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77777777" w:rsidR="003668DD" w:rsidRDefault="003668DD" w:rsidP="0011450B">
      <w:pPr>
        <w:pStyle w:val="ListParagraph"/>
        <w:spacing w:line="276" w:lineRule="auto"/>
        <w:ind w:left="360"/>
        <w:jc w:val="both"/>
        <w:rPr>
          <w:rFonts w:ascii="Garamond" w:hAnsi="Garamond"/>
          <w:sz w:val="22"/>
          <w:szCs w:val="22"/>
          <w:lang w:val="en-US"/>
        </w:rPr>
      </w:pPr>
    </w:p>
    <w:p w14:paraId="663A810C" w14:textId="48F03DC6" w:rsidR="00883B1C" w:rsidRDefault="00883B1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Oversight Board was whether the removal of a video condemning praise of Adolf Hitler and Holocaust denial was compatible with Meta’s policies and human rights obligations.</w:t>
      </w:r>
    </w:p>
    <w:p w14:paraId="6FC6D8EE" w14:textId="77777777" w:rsidR="00883B1C" w:rsidRDefault="00883B1C" w:rsidP="0011450B">
      <w:pPr>
        <w:pStyle w:val="ListParagraph"/>
        <w:spacing w:line="276" w:lineRule="auto"/>
        <w:ind w:left="360"/>
        <w:jc w:val="both"/>
        <w:rPr>
          <w:rFonts w:ascii="Garamond" w:hAnsi="Garamond"/>
          <w:sz w:val="22"/>
          <w:szCs w:val="22"/>
          <w:lang w:val="en-US"/>
        </w:rPr>
      </w:pPr>
    </w:p>
    <w:p w14:paraId="6E5CBD48" w14:textId="23DF0197" w:rsidR="00883B1C" w:rsidRDefault="00883B1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their appeal to the Board, the user stressed that the video didn’t support Hitler and that it was </w:t>
      </w:r>
      <w:r w:rsidRPr="00883B1C">
        <w:rPr>
          <w:rFonts w:ascii="Garamond" w:hAnsi="Garamond"/>
          <w:sz w:val="22"/>
          <w:szCs w:val="22"/>
          <w:lang w:val="en-US"/>
        </w:rPr>
        <w:t>misinterpreted</w:t>
      </w:r>
      <w:r>
        <w:rPr>
          <w:rFonts w:ascii="Garamond" w:hAnsi="Garamond"/>
          <w:sz w:val="22"/>
          <w:szCs w:val="22"/>
          <w:lang w:val="en-US"/>
        </w:rPr>
        <w:t>.</w:t>
      </w:r>
    </w:p>
    <w:p w14:paraId="433E8FE9" w14:textId="77777777" w:rsidR="00883B1C" w:rsidRDefault="00883B1C" w:rsidP="0011450B">
      <w:pPr>
        <w:pStyle w:val="ListParagraph"/>
        <w:spacing w:line="276" w:lineRule="auto"/>
        <w:ind w:left="360"/>
        <w:jc w:val="both"/>
        <w:rPr>
          <w:rFonts w:ascii="Garamond" w:hAnsi="Garamond"/>
          <w:sz w:val="22"/>
          <w:szCs w:val="22"/>
          <w:lang w:val="en-US"/>
        </w:rPr>
      </w:pPr>
    </w:p>
    <w:p w14:paraId="411A4C82" w14:textId="51161F43" w:rsidR="00883B1C" w:rsidRDefault="00883B1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On the other hand, Meta reversed its decision when it was notified by the Board of the appeal. Meta recognized that while the video contained praise of Hitler and Holocaust denial, the second part of the video clearly condemns these statements which fulfilled allowances under both policies.</w:t>
      </w:r>
    </w:p>
    <w:p w14:paraId="781F05A6" w14:textId="77777777" w:rsidR="00883B1C" w:rsidRDefault="00883B1C" w:rsidP="0011450B">
      <w:pPr>
        <w:pStyle w:val="ListParagraph"/>
        <w:spacing w:line="276" w:lineRule="auto"/>
        <w:ind w:left="360"/>
        <w:jc w:val="both"/>
        <w:rPr>
          <w:rFonts w:ascii="Garamond" w:hAnsi="Garamond"/>
          <w:sz w:val="22"/>
          <w:szCs w:val="22"/>
          <w:lang w:val="en-US"/>
        </w:rPr>
      </w:pPr>
    </w:p>
    <w:p w14:paraId="223E7AE3" w14:textId="77777777" w:rsidR="00445EE0" w:rsidRDefault="00883B1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this case exemplified enforcement error of the exception in Meta’s Dangerous Organizations and Individuals and Hate Speech policies. The Board highlighted that such errors could impact speech condemning hate </w:t>
      </w:r>
      <w:r>
        <w:rPr>
          <w:rFonts w:ascii="Garamond" w:hAnsi="Garamond"/>
          <w:sz w:val="22"/>
          <w:szCs w:val="22"/>
          <w:lang w:val="en-US"/>
        </w:rPr>
        <w:lastRenderedPageBreak/>
        <w:t xml:space="preserve">speech and praise for dangerous individuals </w:t>
      </w:r>
      <w:r w:rsidR="00445EE0">
        <w:rPr>
          <w:rFonts w:ascii="Garamond" w:hAnsi="Garamond"/>
          <w:sz w:val="22"/>
          <w:szCs w:val="22"/>
          <w:lang w:val="en-US"/>
        </w:rPr>
        <w:t xml:space="preserve">negatively and that protecting such speech is essential for combating harmful speech. </w:t>
      </w:r>
    </w:p>
    <w:p w14:paraId="73287795" w14:textId="77777777" w:rsidR="00445EE0" w:rsidRDefault="00445EE0" w:rsidP="0011450B">
      <w:pPr>
        <w:pStyle w:val="ListParagraph"/>
        <w:spacing w:line="276" w:lineRule="auto"/>
        <w:ind w:left="360"/>
        <w:jc w:val="both"/>
        <w:rPr>
          <w:rFonts w:ascii="Garamond" w:hAnsi="Garamond"/>
          <w:sz w:val="22"/>
          <w:szCs w:val="22"/>
          <w:lang w:val="en-US"/>
        </w:rPr>
      </w:pPr>
    </w:p>
    <w:p w14:paraId="067F98D0" w14:textId="093A7CFA" w:rsidR="00883B1C" w:rsidRDefault="00445EE0"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reiterated several of its previous recommendations starting with its recommendation </w:t>
      </w:r>
      <w:r w:rsidR="00F5714E">
        <w:rPr>
          <w:rFonts w:ascii="Garamond" w:hAnsi="Garamond"/>
          <w:sz w:val="22"/>
          <w:szCs w:val="22"/>
          <w:lang w:val="en-US"/>
        </w:rPr>
        <w:t>in “Mention of the Taliban in news reporting” decision</w:t>
      </w:r>
      <w:r w:rsidR="00F5714E">
        <w:rPr>
          <w:rFonts w:ascii="Garamond" w:hAnsi="Garamond"/>
          <w:sz w:val="22"/>
          <w:szCs w:val="22"/>
          <w:lang w:val="en-US"/>
        </w:rPr>
        <w:t xml:space="preserve"> </w:t>
      </w:r>
      <w:r>
        <w:rPr>
          <w:rFonts w:ascii="Garamond" w:hAnsi="Garamond"/>
          <w:sz w:val="22"/>
          <w:szCs w:val="22"/>
          <w:lang w:val="en-US"/>
        </w:rPr>
        <w:t>for Meta to assess the accurac</w:t>
      </w:r>
      <w:r w:rsidR="00F5714E">
        <w:rPr>
          <w:rFonts w:ascii="Garamond" w:hAnsi="Garamond"/>
          <w:sz w:val="22"/>
          <w:szCs w:val="22"/>
          <w:lang w:val="en-US"/>
        </w:rPr>
        <w:t>y of its reviewers enforcing allowance under the Dangerous Organizations and Individuals policy to assess the cause of the enforcement errors and the Board’s recommendation in “</w:t>
      </w:r>
      <w:proofErr w:type="spellStart"/>
      <w:r w:rsidR="00F5714E" w:rsidRPr="00F5714E">
        <w:rPr>
          <w:rFonts w:ascii="Garamond" w:hAnsi="Garamond"/>
          <w:sz w:val="22"/>
          <w:szCs w:val="22"/>
          <w:lang w:val="en-US"/>
        </w:rPr>
        <w:t>Öcalan's</w:t>
      </w:r>
      <w:proofErr w:type="spellEnd"/>
      <w:r w:rsidR="00F5714E" w:rsidRPr="00F5714E">
        <w:rPr>
          <w:rFonts w:ascii="Garamond" w:hAnsi="Garamond"/>
          <w:sz w:val="22"/>
          <w:szCs w:val="22"/>
          <w:lang w:val="en-US"/>
        </w:rPr>
        <w:t xml:space="preserve"> isolation</w:t>
      </w:r>
      <w:r w:rsidR="00F5714E">
        <w:rPr>
          <w:rFonts w:ascii="Garamond" w:hAnsi="Garamond"/>
          <w:sz w:val="22"/>
          <w:szCs w:val="22"/>
          <w:lang w:val="en-US"/>
        </w:rPr>
        <w:t>” decision for Meta to evaluate automated moderation under the Dangerous Organizations and Individuals policy. Meta reported progress on the implementation of the first policy but refused to implement the second. Furthermore, the Board reiterated its recommendation in “Wampum belt” decision for Meta to conduct accuracy assessments on the Hate Speech policy allowances for counter-speech which Meta has demonstrated implementation of.</w:t>
      </w:r>
    </w:p>
    <w:p w14:paraId="5E6F5A01" w14:textId="77777777" w:rsidR="00F5714E" w:rsidRDefault="00F5714E" w:rsidP="0011450B">
      <w:pPr>
        <w:pStyle w:val="ListParagraph"/>
        <w:spacing w:line="276" w:lineRule="auto"/>
        <w:ind w:left="360"/>
        <w:jc w:val="both"/>
        <w:rPr>
          <w:rFonts w:ascii="Garamond" w:hAnsi="Garamond"/>
          <w:sz w:val="22"/>
          <w:szCs w:val="22"/>
          <w:lang w:val="en-US"/>
        </w:rPr>
      </w:pPr>
    </w:p>
    <w:p w14:paraId="60FA608A" w14:textId="2A23B1B8" w:rsidR="00F5714E" w:rsidRPr="0011450B" w:rsidRDefault="00F5714E"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Oversight Board overturned Meta’s original decision to remove the video and acknowledge Meta’s correction of the initial error. The Board stressed that the full implementation of its recommendations </w:t>
      </w:r>
      <w:r w:rsidR="00322A4D">
        <w:rPr>
          <w:rFonts w:ascii="Garamond" w:hAnsi="Garamond"/>
          <w:sz w:val="22"/>
          <w:szCs w:val="22"/>
          <w:lang w:val="en-US"/>
        </w:rPr>
        <w:t>might reduce enforcement errors and better protect counter-speech.</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lastRenderedPageBreak/>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AB50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5942329">
    <w:abstractNumId w:val="0"/>
  </w:num>
  <w:num w:numId="2" w16cid:durableId="1136873682">
    <w:abstractNumId w:val="6"/>
  </w:num>
  <w:num w:numId="3" w16cid:durableId="150340372">
    <w:abstractNumId w:val="4"/>
  </w:num>
  <w:num w:numId="4" w16cid:durableId="18051609">
    <w:abstractNumId w:val="2"/>
  </w:num>
  <w:num w:numId="5" w16cid:durableId="1923374430">
    <w:abstractNumId w:val="5"/>
  </w:num>
  <w:num w:numId="6" w16cid:durableId="16591232">
    <w:abstractNumId w:val="8"/>
  </w:num>
  <w:num w:numId="7" w16cid:durableId="269166866">
    <w:abstractNumId w:val="3"/>
  </w:num>
  <w:num w:numId="8" w16cid:durableId="79834140">
    <w:abstractNumId w:val="1"/>
  </w:num>
  <w:num w:numId="9" w16cid:durableId="199113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22A4D"/>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45EE0"/>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41F80"/>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83B1C"/>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B508A"/>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5714E"/>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2024-01-19T11:24:00Z</dcterms:created>
  <dcterms:modified xsi:type="dcterms:W3CDTF">2024-01-19T11:24:00Z</dcterms:modified>
</cp:coreProperties>
</file>