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266262AE"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9D7911" w:rsidRPr="009D7911">
        <w:rPr>
          <w:rFonts w:ascii="Garamond" w:hAnsi="Garamond"/>
          <w:b/>
          <w:bCs/>
          <w:i/>
          <w:iCs/>
          <w:color w:val="000000" w:themeColor="text1"/>
          <w:sz w:val="22"/>
          <w:szCs w:val="22"/>
          <w:lang w:val="en-US"/>
        </w:rPr>
        <w:t>Planet of the Apes racism</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1AA69FF2" w:rsidR="00181333" w:rsidRPr="0029093B" w:rsidRDefault="00512AEA" w:rsidP="0029093B">
      <w:pPr>
        <w:spacing w:line="276" w:lineRule="auto"/>
        <w:jc w:val="both"/>
        <w:rPr>
          <w:rFonts w:ascii="Garamond" w:hAnsi="Garamond"/>
          <w:sz w:val="22"/>
          <w:szCs w:val="22"/>
          <w:lang w:val="en-US"/>
        </w:rPr>
      </w:pPr>
      <w:r>
        <w:rPr>
          <w:rFonts w:ascii="Garamond" w:hAnsi="Garamond"/>
          <w:sz w:val="22"/>
          <w:szCs w:val="22"/>
          <w:lang w:val="en-US"/>
        </w:rPr>
        <w:t xml:space="preserve">On November 16, 2023, the Oversight Board overturned Meta’s original </w:t>
      </w:r>
      <w:r w:rsidR="00B72495">
        <w:rPr>
          <w:rFonts w:ascii="Garamond" w:hAnsi="Garamond"/>
          <w:sz w:val="22"/>
          <w:szCs w:val="22"/>
          <w:lang w:val="en-US"/>
        </w:rPr>
        <w:t>decision to leave up a video comparing a group of black men to apes. The Board noted that this case was an example of enforcement errors of the Hate Speech policy. Meta reversed its original decision and removed the post.</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5A815888" w:rsidR="00527B86" w:rsidRDefault="009D7911"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January 2023, a Facebook user posted a video of a car through neighborhoods at night until a group of Black men appeared and chased the car. The caption stated in English that </w:t>
      </w:r>
      <w:r w:rsidRPr="009D7911">
        <w:rPr>
          <w:rFonts w:ascii="Garamond" w:hAnsi="Garamond"/>
          <w:sz w:val="22"/>
          <w:szCs w:val="22"/>
          <w:lang w:val="en-US"/>
        </w:rPr>
        <w:t xml:space="preserve">"France has fell like planet of the </w:t>
      </w:r>
      <w:proofErr w:type="spellStart"/>
      <w:r w:rsidRPr="009D7911">
        <w:rPr>
          <w:rFonts w:ascii="Garamond" w:hAnsi="Garamond"/>
          <w:sz w:val="22"/>
          <w:szCs w:val="22"/>
          <w:lang w:val="en-US"/>
        </w:rPr>
        <w:t>friggin</w:t>
      </w:r>
      <w:proofErr w:type="spellEnd"/>
      <w:r w:rsidRPr="009D7911">
        <w:rPr>
          <w:rFonts w:ascii="Garamond" w:hAnsi="Garamond"/>
          <w:sz w:val="22"/>
          <w:szCs w:val="22"/>
          <w:lang w:val="en-US"/>
        </w:rPr>
        <w:t xml:space="preserve"> apes over there rioting in the streets running amok savages"</w:t>
      </w:r>
      <w:r>
        <w:rPr>
          <w:rFonts w:ascii="Garamond" w:hAnsi="Garamond"/>
          <w:sz w:val="22"/>
          <w:szCs w:val="22"/>
          <w:lang w:val="en-US"/>
        </w:rPr>
        <w:t>. The post gathered under 500 views and a Facebook user reported the post.</w:t>
      </w:r>
    </w:p>
    <w:p w14:paraId="1987F409" w14:textId="77777777" w:rsidR="009D7911" w:rsidRDefault="009D7911" w:rsidP="006B0A1D">
      <w:pPr>
        <w:pStyle w:val="ListParagraph"/>
        <w:spacing w:line="276" w:lineRule="auto"/>
        <w:ind w:left="360"/>
        <w:jc w:val="both"/>
        <w:rPr>
          <w:rFonts w:ascii="Garamond" w:hAnsi="Garamond"/>
          <w:sz w:val="22"/>
          <w:szCs w:val="22"/>
          <w:lang w:val="en-US"/>
        </w:rPr>
      </w:pPr>
    </w:p>
    <w:p w14:paraId="3373C374" w14:textId="35A0F34D" w:rsidR="00D46357" w:rsidRPr="001256EB" w:rsidRDefault="009D7911" w:rsidP="001256E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Under the Hate Speech policy, content dehumanizing people on basis of a protected characteristic by comparing them to animals believed to be </w:t>
      </w:r>
      <w:r w:rsidR="001256EB">
        <w:rPr>
          <w:rFonts w:ascii="Garamond" w:hAnsi="Garamond"/>
          <w:sz w:val="22"/>
          <w:szCs w:val="22"/>
          <w:lang w:val="en-US"/>
        </w:rPr>
        <w:t>intellectually or physically</w:t>
      </w:r>
      <w:r>
        <w:rPr>
          <w:rFonts w:ascii="Garamond" w:hAnsi="Garamond"/>
          <w:sz w:val="22"/>
          <w:szCs w:val="22"/>
          <w:lang w:val="en-US"/>
        </w:rPr>
        <w:t xml:space="preserve"> </w:t>
      </w:r>
      <w:r w:rsidR="001256EB">
        <w:rPr>
          <w:rFonts w:ascii="Garamond" w:hAnsi="Garamond"/>
          <w:sz w:val="22"/>
          <w:szCs w:val="22"/>
          <w:lang w:val="en-US"/>
        </w:rPr>
        <w:t xml:space="preserve">inferior. </w:t>
      </w:r>
      <w:r>
        <w:rPr>
          <w:rFonts w:ascii="Garamond" w:hAnsi="Garamond"/>
          <w:sz w:val="22"/>
          <w:szCs w:val="22"/>
          <w:lang w:val="en-US"/>
        </w:rPr>
        <w:t>However, Meta did not remove the post after it was reported.</w:t>
      </w:r>
      <w:r w:rsidR="001256EB">
        <w:rPr>
          <w:rFonts w:ascii="Garamond" w:hAnsi="Garamond"/>
          <w:sz w:val="22"/>
          <w:szCs w:val="22"/>
          <w:lang w:val="en-US"/>
        </w:rPr>
        <w:t xml:space="preserve"> The reporting user appealed Meta’s decision.</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494B572C" w14:textId="0737F262" w:rsidR="00BB2804" w:rsidRDefault="001256EB"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Oversight Board was whether Meta’s decision to keep a post comparing black men apes was compatible with its policies and human rights obligations.</w:t>
      </w:r>
    </w:p>
    <w:p w14:paraId="09F89934" w14:textId="77777777" w:rsidR="001256EB" w:rsidRDefault="001256EB" w:rsidP="0035234D">
      <w:pPr>
        <w:pStyle w:val="ListParagraph"/>
        <w:spacing w:line="276" w:lineRule="auto"/>
        <w:ind w:left="360"/>
        <w:jc w:val="both"/>
        <w:rPr>
          <w:rFonts w:ascii="Garamond" w:hAnsi="Garamond"/>
          <w:sz w:val="22"/>
          <w:szCs w:val="22"/>
          <w:lang w:val="en-US"/>
        </w:rPr>
      </w:pPr>
    </w:p>
    <w:p w14:paraId="7E776510" w14:textId="18CD8F6C" w:rsidR="001256EB" w:rsidRPr="001256EB" w:rsidRDefault="001256EB"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After the Board notified Meta of the appeal, the company reversed its decision and removed the post because it determined the caption violated the Hate Speech policy by comparing the men to apes.</w:t>
      </w:r>
    </w:p>
    <w:p w14:paraId="5BD63946" w14:textId="77777777" w:rsidR="003668DD" w:rsidRDefault="003668DD" w:rsidP="0011450B">
      <w:pPr>
        <w:pStyle w:val="ListParagraph"/>
        <w:spacing w:line="276" w:lineRule="auto"/>
        <w:ind w:left="360"/>
        <w:jc w:val="both"/>
        <w:rPr>
          <w:rFonts w:ascii="Garamond" w:hAnsi="Garamond"/>
          <w:sz w:val="22"/>
          <w:szCs w:val="22"/>
          <w:lang w:val="en-US"/>
        </w:rPr>
      </w:pPr>
    </w:p>
    <w:p w14:paraId="2DAE5BD2" w14:textId="192A49D9" w:rsidR="001256EB" w:rsidRDefault="001256E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the case highlighted enforcement inconsistency of content policies as the Hate Speech policy explicitly prohibits comparing black people to apes yet the content was not removed. </w:t>
      </w:r>
      <w:r w:rsidR="00F1487E">
        <w:rPr>
          <w:rFonts w:ascii="Garamond" w:hAnsi="Garamond"/>
          <w:sz w:val="22"/>
          <w:szCs w:val="22"/>
          <w:lang w:val="en-US"/>
        </w:rPr>
        <w:t xml:space="preserve">The Board underlined that it has previously examined contextual factor to determine whether statements amounted to qualified or unqualified behavioral statements for legit social commentary, however, the content in this case. However, the content at hand clearly used dehumanizing speech to degrade a group of people on basis of race. </w:t>
      </w:r>
      <w:r w:rsidR="00512AEA">
        <w:rPr>
          <w:rFonts w:ascii="Garamond" w:hAnsi="Garamond"/>
          <w:sz w:val="22"/>
          <w:szCs w:val="22"/>
          <w:lang w:val="en-US"/>
        </w:rPr>
        <w:t xml:space="preserve">The Board highlighted how enforcement errors might result in discriminating speech staying on the platform which would lead to offline harm against marginalized groups. </w:t>
      </w:r>
    </w:p>
    <w:p w14:paraId="22C027EF" w14:textId="77777777" w:rsidR="00512AEA" w:rsidRDefault="00512AEA" w:rsidP="0011450B">
      <w:pPr>
        <w:pStyle w:val="ListParagraph"/>
        <w:spacing w:line="276" w:lineRule="auto"/>
        <w:ind w:left="360"/>
        <w:jc w:val="both"/>
        <w:rPr>
          <w:rFonts w:ascii="Garamond" w:hAnsi="Garamond"/>
          <w:sz w:val="22"/>
          <w:szCs w:val="22"/>
          <w:lang w:val="en-US"/>
        </w:rPr>
      </w:pPr>
    </w:p>
    <w:p w14:paraId="6ED184F1" w14:textId="71A550B0" w:rsidR="00512AEA" w:rsidRDefault="00512AEA"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recalled its recommendation in the “</w:t>
      </w:r>
      <w:r w:rsidRPr="00512AEA">
        <w:rPr>
          <w:rFonts w:ascii="Garamond" w:hAnsi="Garamond"/>
          <w:sz w:val="22"/>
          <w:szCs w:val="22"/>
          <w:lang w:val="en-US"/>
        </w:rPr>
        <w:t>Knin cartoon</w:t>
      </w:r>
      <w:r>
        <w:rPr>
          <w:rFonts w:ascii="Garamond" w:hAnsi="Garamond"/>
          <w:sz w:val="22"/>
          <w:szCs w:val="22"/>
          <w:lang w:val="en-US"/>
        </w:rPr>
        <w:t xml:space="preserve">” </w:t>
      </w:r>
      <w:r w:rsidRPr="00512AEA">
        <w:rPr>
          <w:rFonts w:ascii="Garamond" w:hAnsi="Garamond"/>
          <w:sz w:val="22"/>
          <w:szCs w:val="22"/>
          <w:lang w:val="en-US"/>
        </w:rPr>
        <w:t>decision</w:t>
      </w:r>
      <w:r>
        <w:rPr>
          <w:rFonts w:ascii="Garamond" w:hAnsi="Garamond"/>
          <w:sz w:val="22"/>
          <w:szCs w:val="22"/>
          <w:lang w:val="en-US"/>
        </w:rPr>
        <w:t xml:space="preserve"> for Meta to clarify its Hate Speech policy and the internal guidance to explain that even implicit references are prohibited by the policy. Meta has demonstrated partial implementation of the recommendation, but the Board stressed the need for Meta to reduce the error rate in hate speech moderation. </w:t>
      </w:r>
    </w:p>
    <w:p w14:paraId="1C8DE7EC" w14:textId="77777777" w:rsidR="00512AEA" w:rsidRDefault="00512AEA" w:rsidP="0011450B">
      <w:pPr>
        <w:pStyle w:val="ListParagraph"/>
        <w:spacing w:line="276" w:lineRule="auto"/>
        <w:ind w:left="360"/>
        <w:jc w:val="both"/>
        <w:rPr>
          <w:rFonts w:ascii="Garamond" w:hAnsi="Garamond"/>
          <w:sz w:val="22"/>
          <w:szCs w:val="22"/>
          <w:lang w:val="en-US"/>
        </w:rPr>
      </w:pPr>
    </w:p>
    <w:p w14:paraId="280BDE03" w14:textId="2F0C5693" w:rsidR="00512AEA" w:rsidRPr="0011450B" w:rsidRDefault="00512AEA"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Oversight Board overturned Meta’s original decision and acknowledged Meta’s correction of the initial error.</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lastRenderedPageBreak/>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7D1F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2243882">
    <w:abstractNumId w:val="0"/>
  </w:num>
  <w:num w:numId="2" w16cid:durableId="1908295923">
    <w:abstractNumId w:val="6"/>
  </w:num>
  <w:num w:numId="3" w16cid:durableId="2102992223">
    <w:abstractNumId w:val="4"/>
  </w:num>
  <w:num w:numId="4" w16cid:durableId="2016611556">
    <w:abstractNumId w:val="2"/>
  </w:num>
  <w:num w:numId="5" w16cid:durableId="213123237">
    <w:abstractNumId w:val="5"/>
  </w:num>
  <w:num w:numId="6" w16cid:durableId="619730034">
    <w:abstractNumId w:val="8"/>
  </w:num>
  <w:num w:numId="7" w16cid:durableId="1175072890">
    <w:abstractNumId w:val="3"/>
  </w:num>
  <w:num w:numId="8" w16cid:durableId="724528301">
    <w:abstractNumId w:val="1"/>
  </w:num>
  <w:num w:numId="9" w16cid:durableId="642084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256E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12AEA"/>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D1F50"/>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D7911"/>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72495"/>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1487E"/>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18520">
      <w:bodyDiv w:val="1"/>
      <w:marLeft w:val="0"/>
      <w:marRight w:val="0"/>
      <w:marTop w:val="0"/>
      <w:marBottom w:val="0"/>
      <w:divBdr>
        <w:top w:val="none" w:sz="0" w:space="0" w:color="auto"/>
        <w:left w:val="none" w:sz="0" w:space="0" w:color="auto"/>
        <w:bottom w:val="none" w:sz="0" w:space="0" w:color="auto"/>
        <w:right w:val="none" w:sz="0" w:space="0" w:color="auto"/>
      </w:divBdr>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2024-01-19T20:53:00Z</dcterms:created>
  <dcterms:modified xsi:type="dcterms:W3CDTF">2024-01-19T20:53:00Z</dcterms:modified>
</cp:coreProperties>
</file>