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27CF36B2" w:rsidR="00BB2804" w:rsidRPr="000B5E6F"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0B5E6F">
        <w:rPr>
          <w:rFonts w:ascii="Garamond" w:hAnsi="Garamond"/>
          <w:b/>
          <w:bCs/>
          <w:color w:val="000000" w:themeColor="text1"/>
          <w:sz w:val="22"/>
          <w:szCs w:val="22"/>
          <w:lang w:val="en-US"/>
        </w:rPr>
        <w:t xml:space="preserve">The Case of  </w:t>
      </w:r>
      <w:r w:rsidR="000B5E6F" w:rsidRPr="000B5E6F">
        <w:rPr>
          <w:rFonts w:ascii="Garamond" w:hAnsi="Garamond"/>
          <w:b/>
          <w:bCs/>
          <w:color w:val="000000" w:themeColor="text1"/>
          <w:sz w:val="22"/>
          <w:szCs w:val="22"/>
          <w:lang w:val="en-US"/>
        </w:rPr>
        <w:t>Girls' Education in Afghanistan</w:t>
      </w:r>
    </w:p>
    <w:p w14:paraId="44AD3616" w14:textId="3D6A8471" w:rsidR="00BB2804" w:rsidRPr="00CE0DD1"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CE0DD1">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214A506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p>
    <w:p w14:paraId="66D44C8F" w14:textId="1745237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526D8B8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p>
    <w:p w14:paraId="079501A2" w14:textId="57721D7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p>
    <w:p w14:paraId="7A6C4B43" w14:textId="45026E4D"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p>
    <w:p w14:paraId="27903803" w14:textId="4A927A48"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p>
    <w:p w14:paraId="62C18981" w14:textId="7069FEC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p>
    <w:p w14:paraId="35C4FF78" w14:textId="2D5F5A2E"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p>
    <w:p w14:paraId="61895DC2" w14:textId="67D6D0F1"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p>
    <w:p w14:paraId="6DDEBA09" w14:textId="58B3CB3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p>
    <w:p w14:paraId="1493CDF4" w14:textId="549C39A8"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Pr="00D82DB0"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2CE97FD4" w14:textId="10B4201E" w:rsidR="00181333" w:rsidRPr="0029093B" w:rsidRDefault="00D542FD" w:rsidP="0029093B">
      <w:pPr>
        <w:spacing w:line="276" w:lineRule="auto"/>
        <w:jc w:val="both"/>
        <w:rPr>
          <w:rFonts w:ascii="Garamond" w:hAnsi="Garamond"/>
          <w:sz w:val="22"/>
          <w:szCs w:val="22"/>
          <w:lang w:val="en-US"/>
        </w:rPr>
      </w:pPr>
      <w:r>
        <w:rPr>
          <w:rFonts w:ascii="Garamond" w:hAnsi="Garamond"/>
          <w:sz w:val="22"/>
          <w:szCs w:val="22"/>
          <w:lang w:val="en-US"/>
        </w:rPr>
        <w:t>On</w:t>
      </w:r>
      <w:r w:rsidR="000B5E6F">
        <w:rPr>
          <w:rFonts w:ascii="Garamond" w:hAnsi="Garamond"/>
          <w:sz w:val="22"/>
          <w:szCs w:val="22"/>
          <w:lang w:val="en-US"/>
        </w:rPr>
        <w:t xml:space="preserve"> December 8, 2023, the Oversight Board overturned Meta’s discussion to remove a post expressing concern about education of girls in Afghanistan after the Taliban take over. The Board noted that this case was an example of the enforcement errors of the Dangerous Organizations and Individuals policy. Meta overturned its decision when notified of this case. </w:t>
      </w: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4CFEB09E" w14:textId="24B4A089" w:rsidR="00527B86" w:rsidRDefault="00675074" w:rsidP="00675074">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July 2023, a user from Afghanistan posted a Pashto post talking about the importance of education of girls in Afghanistan, calling people to continue expressing their concerns and the negative consequences of failure to take such concerns to the Taliban. </w:t>
      </w:r>
    </w:p>
    <w:p w14:paraId="4AA8F32D" w14:textId="4E85DDFD" w:rsidR="00F257CA" w:rsidRDefault="00F257CA" w:rsidP="006B0A1D">
      <w:pPr>
        <w:pStyle w:val="ListParagraph"/>
        <w:spacing w:line="276" w:lineRule="auto"/>
        <w:ind w:left="360"/>
        <w:jc w:val="both"/>
        <w:rPr>
          <w:rFonts w:ascii="Garamond" w:hAnsi="Garamond"/>
          <w:sz w:val="22"/>
          <w:szCs w:val="22"/>
          <w:lang w:val="en-US"/>
        </w:rPr>
      </w:pPr>
    </w:p>
    <w:p w14:paraId="360F9270" w14:textId="114E221E" w:rsidR="00675074" w:rsidRDefault="00675074" w:rsidP="006B0A1D">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Meta originally found the post violating its </w:t>
      </w:r>
      <w:r w:rsidRPr="00675074">
        <w:rPr>
          <w:rFonts w:ascii="Garamond" w:hAnsi="Garamond"/>
          <w:sz w:val="22"/>
          <w:szCs w:val="22"/>
          <w:lang w:val="en-US"/>
        </w:rPr>
        <w:t>Dangerous Organizations and Individuals policy</w:t>
      </w:r>
      <w:r>
        <w:rPr>
          <w:rFonts w:ascii="Garamond" w:hAnsi="Garamond"/>
          <w:sz w:val="22"/>
          <w:szCs w:val="22"/>
          <w:lang w:val="en-US"/>
        </w:rPr>
        <w:t xml:space="preserve"> and removed it. While the policy prohibits content that supports dangerous individuals or organizations, including the Taliban, it allows content criticizing them or talking about them in a neutral way. Meta determined that the removal was an error and restored the post after the Board brought the case to the company’s attention.</w:t>
      </w:r>
    </w:p>
    <w:p w14:paraId="24598112" w14:textId="77777777" w:rsidR="00675074" w:rsidRPr="00675074" w:rsidRDefault="00675074" w:rsidP="00675074">
      <w:pPr>
        <w:spacing w:line="276" w:lineRule="auto"/>
        <w:jc w:val="both"/>
        <w:rPr>
          <w:rFonts w:ascii="Garamond" w:hAnsi="Garamond"/>
          <w:sz w:val="22"/>
          <w:szCs w:val="22"/>
          <w:lang w:val="en-US"/>
        </w:rPr>
      </w:pPr>
    </w:p>
    <w:p w14:paraId="010BA86B" w14:textId="77777777" w:rsidR="00BB2804" w:rsidRDefault="00BB2804" w:rsidP="00BB2804">
      <w:pPr>
        <w:pStyle w:val="ListParagraph"/>
        <w:numPr>
          <w:ilvl w:val="0"/>
          <w:numId w:val="4"/>
        </w:numPr>
        <w:spacing w:line="276" w:lineRule="auto"/>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40798E23" w14:textId="3EA636AE" w:rsidR="00675074" w:rsidRDefault="00675074" w:rsidP="00675074">
      <w:pPr>
        <w:pStyle w:val="ListParagraph"/>
        <w:spacing w:line="276" w:lineRule="auto"/>
        <w:ind w:left="360"/>
        <w:jc w:val="both"/>
        <w:rPr>
          <w:rFonts w:ascii="Garamond" w:hAnsi="Garamond"/>
          <w:sz w:val="22"/>
          <w:szCs w:val="22"/>
          <w:lang w:val="en-US"/>
        </w:rPr>
      </w:pPr>
      <w:r>
        <w:rPr>
          <w:rFonts w:ascii="Garamond" w:hAnsi="Garamond"/>
          <w:sz w:val="22"/>
          <w:szCs w:val="22"/>
          <w:lang w:val="en-US"/>
        </w:rPr>
        <w:t>The main issue before the Oversight Board was whether the remo</w:t>
      </w:r>
      <w:r w:rsidR="00060C88">
        <w:rPr>
          <w:rFonts w:ascii="Garamond" w:hAnsi="Garamond"/>
          <w:sz w:val="22"/>
          <w:szCs w:val="22"/>
          <w:lang w:val="en-US"/>
        </w:rPr>
        <w:t>val was consistent with Meta’s policies and obligations under human rights.</w:t>
      </w:r>
    </w:p>
    <w:p w14:paraId="705D5C47" w14:textId="77777777" w:rsidR="00060C88" w:rsidRDefault="00060C88" w:rsidP="00675074">
      <w:pPr>
        <w:pStyle w:val="ListParagraph"/>
        <w:spacing w:line="276" w:lineRule="auto"/>
        <w:ind w:left="360"/>
        <w:jc w:val="both"/>
        <w:rPr>
          <w:rFonts w:ascii="Garamond" w:hAnsi="Garamond"/>
          <w:sz w:val="22"/>
          <w:szCs w:val="22"/>
          <w:lang w:val="en-US"/>
        </w:rPr>
      </w:pPr>
    </w:p>
    <w:p w14:paraId="3FAA5602" w14:textId="1AC2DEA4" w:rsidR="00060C88" w:rsidRDefault="00060C88" w:rsidP="00675074">
      <w:pPr>
        <w:pStyle w:val="ListParagraph"/>
        <w:spacing w:line="276" w:lineRule="auto"/>
        <w:ind w:left="360"/>
        <w:jc w:val="both"/>
        <w:rPr>
          <w:rFonts w:ascii="Garamond" w:hAnsi="Garamond"/>
          <w:sz w:val="22"/>
          <w:szCs w:val="22"/>
          <w:lang w:val="en-US"/>
        </w:rPr>
      </w:pPr>
      <w:r>
        <w:rPr>
          <w:rFonts w:ascii="Garamond" w:hAnsi="Garamond"/>
          <w:sz w:val="22"/>
          <w:szCs w:val="22"/>
          <w:lang w:val="en-US"/>
        </w:rPr>
        <w:t>The Board noted that this case was an example of enforcement errors in Meta’s Dangerous Organizations and Individuals policy which can impair user’s ability to share political commentary, such as the discussion of women’s education in Afghanistan after the Taliban takeover.</w:t>
      </w:r>
    </w:p>
    <w:p w14:paraId="0271AA9E" w14:textId="77777777" w:rsidR="00060C88" w:rsidRDefault="00060C88" w:rsidP="00675074">
      <w:pPr>
        <w:pStyle w:val="ListParagraph"/>
        <w:spacing w:line="276" w:lineRule="auto"/>
        <w:ind w:left="360"/>
        <w:jc w:val="both"/>
        <w:rPr>
          <w:rFonts w:ascii="Garamond" w:hAnsi="Garamond"/>
          <w:sz w:val="22"/>
          <w:szCs w:val="22"/>
          <w:lang w:val="en-US"/>
        </w:rPr>
      </w:pPr>
    </w:p>
    <w:p w14:paraId="07913222" w14:textId="444B23A5" w:rsidR="00060C88" w:rsidRDefault="00060C88" w:rsidP="00675074">
      <w:pPr>
        <w:pStyle w:val="ListParagraph"/>
        <w:spacing w:line="276" w:lineRule="auto"/>
        <w:ind w:left="360"/>
        <w:jc w:val="both"/>
        <w:rPr>
          <w:rFonts w:ascii="Garamond" w:hAnsi="Garamond"/>
          <w:sz w:val="22"/>
          <w:szCs w:val="22"/>
          <w:lang w:val="en-US"/>
        </w:rPr>
      </w:pPr>
      <w:r>
        <w:rPr>
          <w:rFonts w:ascii="Garamond" w:hAnsi="Garamond"/>
          <w:sz w:val="22"/>
          <w:szCs w:val="22"/>
          <w:lang w:val="en-US"/>
        </w:rPr>
        <w:t>The Board recalled two of its previous recommendations. The first was the recommendation to add criteria and examples to the policy to make the neutral discussion, condemnation, and news reporting exception clearer in Shared Al Jazeera Post decision; Meta has shared that this recommendation has been fully implemented. The second recommendation was to establish</w:t>
      </w:r>
      <w:r w:rsidRPr="00060C88">
        <w:rPr>
          <w:rFonts w:ascii="Garamond" w:hAnsi="Garamond"/>
          <w:sz w:val="22"/>
          <w:szCs w:val="22"/>
          <w:lang w:val="en-US"/>
        </w:rPr>
        <w:t xml:space="preserve"> </w:t>
      </w:r>
      <w:r w:rsidRPr="00060C88">
        <w:rPr>
          <w:rFonts w:ascii="Garamond" w:hAnsi="Garamond"/>
          <w:sz w:val="22"/>
          <w:szCs w:val="22"/>
          <w:lang w:val="en-US"/>
        </w:rPr>
        <w:t>an internal audit mechanism</w:t>
      </w:r>
      <w:r>
        <w:rPr>
          <w:rFonts w:ascii="Garamond" w:hAnsi="Garamond"/>
          <w:sz w:val="22"/>
          <w:szCs w:val="22"/>
          <w:lang w:val="en-US"/>
        </w:rPr>
        <w:t xml:space="preserve"> allowing Meta to examine samples of automated content removal decisions </w:t>
      </w:r>
      <w:r w:rsidRPr="00060C88">
        <w:rPr>
          <w:rFonts w:ascii="Garamond" w:hAnsi="Garamond"/>
          <w:sz w:val="22"/>
          <w:szCs w:val="22"/>
          <w:lang w:val="en-US"/>
        </w:rPr>
        <w:t>to correct and learn from enforcement errors</w:t>
      </w:r>
      <w:r>
        <w:rPr>
          <w:rFonts w:ascii="Garamond" w:hAnsi="Garamond"/>
          <w:sz w:val="22"/>
          <w:szCs w:val="22"/>
          <w:lang w:val="en-US"/>
        </w:rPr>
        <w:t xml:space="preserve"> in Breast Cancer Symptoms and Nudity decision</w:t>
      </w:r>
      <w:r w:rsidRPr="00060C88">
        <w:rPr>
          <w:rFonts w:ascii="Garamond" w:hAnsi="Garamond"/>
          <w:sz w:val="22"/>
          <w:szCs w:val="22"/>
          <w:lang w:val="en-US"/>
        </w:rPr>
        <w:t>.</w:t>
      </w:r>
      <w:r>
        <w:rPr>
          <w:rFonts w:ascii="Garamond" w:hAnsi="Garamond"/>
          <w:sz w:val="22"/>
          <w:szCs w:val="22"/>
          <w:lang w:val="en-US"/>
        </w:rPr>
        <w:t xml:space="preserve"> Meta has implemented this recommendation but has not published any further information on the implementation. </w:t>
      </w:r>
    </w:p>
    <w:p w14:paraId="36530009" w14:textId="77777777" w:rsidR="00060C88" w:rsidRDefault="00060C88" w:rsidP="00675074">
      <w:pPr>
        <w:pStyle w:val="ListParagraph"/>
        <w:spacing w:line="276" w:lineRule="auto"/>
        <w:ind w:left="360"/>
        <w:jc w:val="both"/>
        <w:rPr>
          <w:rFonts w:ascii="Garamond" w:hAnsi="Garamond"/>
          <w:sz w:val="22"/>
          <w:szCs w:val="22"/>
          <w:lang w:val="en-US"/>
        </w:rPr>
      </w:pPr>
    </w:p>
    <w:p w14:paraId="77869B65" w14:textId="0C9408CB" w:rsidR="00060C88" w:rsidRDefault="00060C88" w:rsidP="00675074">
      <w:pPr>
        <w:pStyle w:val="ListParagraph"/>
        <w:spacing w:line="276" w:lineRule="auto"/>
        <w:ind w:left="360"/>
        <w:jc w:val="both"/>
        <w:rPr>
          <w:rFonts w:ascii="Garamond" w:hAnsi="Garamond"/>
          <w:sz w:val="22"/>
          <w:szCs w:val="22"/>
          <w:lang w:val="en-US"/>
        </w:rPr>
      </w:pPr>
      <w:r>
        <w:rPr>
          <w:rFonts w:ascii="Garamond" w:hAnsi="Garamond"/>
          <w:sz w:val="22"/>
          <w:szCs w:val="22"/>
          <w:lang w:val="en-US"/>
        </w:rPr>
        <w:t>The Board overturned Meta’s decision to remove the content and acknowledged Meta’s correction. Furthermore, the Board urged Meta to reduce such errors by accelerating the implementation of open recommendations.</w:t>
      </w:r>
    </w:p>
    <w:p w14:paraId="0070BEEC" w14:textId="77777777" w:rsidR="00060C88" w:rsidRDefault="00060C88" w:rsidP="00675074">
      <w:pPr>
        <w:pStyle w:val="ListParagraph"/>
        <w:spacing w:line="276" w:lineRule="auto"/>
        <w:ind w:left="360"/>
        <w:jc w:val="both"/>
        <w:rPr>
          <w:rFonts w:ascii="Garamond" w:hAnsi="Garamond"/>
          <w:sz w:val="22"/>
          <w:szCs w:val="22"/>
          <w:lang w:val="en-US"/>
        </w:rPr>
      </w:pPr>
    </w:p>
    <w:p w14:paraId="7235E2CF" w14:textId="77777777" w:rsidR="00060C88" w:rsidRPr="00936DC8" w:rsidRDefault="00060C88" w:rsidP="00675074">
      <w:pPr>
        <w:pStyle w:val="ListParagraph"/>
        <w:spacing w:line="276" w:lineRule="auto"/>
        <w:ind w:left="360"/>
        <w:jc w:val="both"/>
        <w:rPr>
          <w:rFonts w:ascii="Garamond" w:hAnsi="Garamond"/>
          <w:sz w:val="22"/>
          <w:szCs w:val="22"/>
          <w:lang w:val="en-US"/>
        </w:rPr>
      </w:pPr>
    </w:p>
    <w:p w14:paraId="494B572C" w14:textId="3903A0D7" w:rsidR="00BB2804" w:rsidRDefault="00BB2804" w:rsidP="0035234D">
      <w:pPr>
        <w:pStyle w:val="ListParagraph"/>
        <w:spacing w:line="276" w:lineRule="auto"/>
        <w:ind w:left="360"/>
        <w:jc w:val="both"/>
        <w:rPr>
          <w:rFonts w:ascii="Garamond" w:hAnsi="Garamond"/>
          <w:sz w:val="22"/>
          <w:szCs w:val="22"/>
          <w:lang w:val="en-US"/>
        </w:rPr>
      </w:pPr>
      <w:r w:rsidRPr="00680DD6">
        <w:rPr>
          <w:rFonts w:ascii="Garamond" w:hAnsi="Garamond"/>
          <w:sz w:val="22"/>
          <w:szCs w:val="22"/>
          <w:u w:val="single"/>
          <w:lang w:val="en-US"/>
        </w:rPr>
        <w:lastRenderedPageBreak/>
        <w:t>Dissenting Opinion</w:t>
      </w:r>
      <w:r w:rsidR="003F53A4">
        <w:rPr>
          <w:rFonts w:ascii="Garamond" w:hAnsi="Garamond"/>
          <w:sz w:val="22"/>
          <w:szCs w:val="22"/>
          <w:u w:val="single"/>
          <w:lang w:val="en-US"/>
        </w:rPr>
        <w:t>s</w:t>
      </w:r>
      <w:r>
        <w:rPr>
          <w:rFonts w:ascii="Garamond" w:hAnsi="Garamond"/>
          <w:sz w:val="22"/>
          <w:szCs w:val="22"/>
          <w:u w:val="single"/>
          <w:lang w:val="en-US"/>
        </w:rPr>
        <w:t xml:space="preserve"> of </w:t>
      </w:r>
      <w:r w:rsidR="003F53A4" w:rsidRPr="003F53A4">
        <w:rPr>
          <w:rFonts w:ascii="Garamond" w:hAnsi="Garamond"/>
          <w:sz w:val="22"/>
          <w:szCs w:val="22"/>
          <w:u w:val="single"/>
          <w:lang w:val="en-US"/>
        </w:rPr>
        <w:t xml:space="preserve">Judges </w:t>
      </w:r>
      <w:r w:rsidR="00F766D8">
        <w:rPr>
          <w:rFonts w:ascii="Garamond" w:hAnsi="Garamond"/>
          <w:sz w:val="22"/>
          <w:szCs w:val="22"/>
          <w:u w:val="single"/>
          <w:lang w:val="en-US"/>
        </w:rPr>
        <w:t>…</w:t>
      </w:r>
      <w:r>
        <w:rPr>
          <w:rFonts w:ascii="Garamond" w:hAnsi="Garamond"/>
          <w:sz w:val="22"/>
          <w:szCs w:val="22"/>
          <w:lang w:val="en-US"/>
        </w:rPr>
        <w:t>:</w:t>
      </w:r>
    </w:p>
    <w:p w14:paraId="5BD63946" w14:textId="77777777" w:rsidR="003668DD" w:rsidRPr="0011450B" w:rsidRDefault="003668DD" w:rsidP="0011450B">
      <w:pPr>
        <w:pStyle w:val="ListParagraph"/>
        <w:spacing w:line="276" w:lineRule="auto"/>
        <w:ind w:left="360"/>
        <w:jc w:val="both"/>
        <w:rPr>
          <w:rFonts w:ascii="Garamond" w:hAnsi="Garamond"/>
          <w:sz w:val="22"/>
          <w:szCs w:val="22"/>
          <w:lang w:val="en-US"/>
        </w:rPr>
      </w:pPr>
    </w:p>
    <w:p w14:paraId="66E0BDC8" w14:textId="77777777"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56DD8E4D" w14:textId="2742C59C"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420273">
        <w:rPr>
          <w:rFonts w:ascii="Garamond" w:hAnsi="Garamond"/>
          <w:sz w:val="22"/>
          <w:szCs w:val="22"/>
          <w:lang w:val="en-US"/>
        </w:rPr>
        <w:t>Contracts Expression</w:t>
      </w:r>
      <w:r w:rsidR="00F766D8">
        <w:rPr>
          <w:rFonts w:ascii="Garamond" w:hAnsi="Garamond"/>
          <w:sz w:val="22"/>
          <w:szCs w:val="22"/>
          <w:lang w:val="en-US"/>
        </w:rPr>
        <w:t>/Mixed Outcome/Expands Expression</w:t>
      </w:r>
    </w:p>
    <w:p w14:paraId="47A3CBA9" w14:textId="366CFE11" w:rsid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This should be based on international standards</w:t>
      </w:r>
    </w:p>
    <w:p w14:paraId="0E5B9DDB" w14:textId="42CEF24D" w:rsidR="007A64D7" w:rsidRP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However, if you have knowledge of national standards, and can provide insights into how the decision impact precedent nationally, please do so.</w:t>
      </w:r>
    </w:p>
    <w:p w14:paraId="0CA9085A" w14:textId="77777777" w:rsidR="00BB2804" w:rsidRDefault="00BB2804" w:rsidP="00BB2804">
      <w:pPr>
        <w:spacing w:line="276" w:lineRule="auto"/>
        <w:jc w:val="both"/>
        <w:rPr>
          <w:rFonts w:ascii="Garamond" w:hAnsi="Garamond"/>
          <w:sz w:val="22"/>
          <w:szCs w:val="22"/>
          <w:lang w:val="en-US"/>
        </w:rPr>
      </w:pPr>
    </w:p>
    <w:p w14:paraId="4F96CC8E" w14:textId="1DF071D5" w:rsidR="00835092" w:rsidRDefault="003E37DB" w:rsidP="00BB2804">
      <w:pPr>
        <w:pStyle w:val="ListParagraph"/>
        <w:numPr>
          <w:ilvl w:val="0"/>
          <w:numId w:val="4"/>
        </w:numPr>
        <w:spacing w:line="276" w:lineRule="auto"/>
        <w:jc w:val="both"/>
        <w:rPr>
          <w:rFonts w:ascii="Garamond" w:hAnsi="Garamond"/>
          <w:sz w:val="22"/>
          <w:szCs w:val="22"/>
          <w:lang w:val="en-US"/>
        </w:rPr>
      </w:pPr>
      <w:r>
        <w:rPr>
          <w:rFonts w:ascii="Garamond" w:hAnsi="Garamond"/>
          <w:b/>
          <w:bCs/>
          <w:sz w:val="22"/>
          <w:szCs w:val="22"/>
          <w:lang w:val="en-US"/>
        </w:rPr>
        <w:t xml:space="preserve">Explanation </w:t>
      </w:r>
      <w:r w:rsidR="002168F9">
        <w:rPr>
          <w:rFonts w:ascii="Garamond" w:hAnsi="Garamond"/>
          <w:b/>
          <w:bCs/>
          <w:sz w:val="22"/>
          <w:szCs w:val="22"/>
          <w:lang w:val="en-US"/>
        </w:rPr>
        <w:t xml:space="preserve">for </w:t>
      </w:r>
      <w:r w:rsidR="00F02DB7">
        <w:rPr>
          <w:rFonts w:ascii="Garamond" w:hAnsi="Garamond"/>
          <w:b/>
          <w:bCs/>
          <w:sz w:val="22"/>
          <w:szCs w:val="22"/>
          <w:lang w:val="en-US"/>
        </w:rPr>
        <w:t xml:space="preserve">why and how it contracts or expands expression or has a mixed outcome. </w:t>
      </w:r>
      <w:r w:rsidR="00F02DB7">
        <w:rPr>
          <w:rFonts w:ascii="Garamond" w:hAnsi="Garamond"/>
          <w:sz w:val="22"/>
          <w:szCs w:val="22"/>
          <w:lang w:val="en-US"/>
        </w:rPr>
        <w:t xml:space="preserve">You can </w:t>
      </w:r>
      <w:r w:rsidR="00E41D52">
        <w:rPr>
          <w:rFonts w:ascii="Garamond" w:hAnsi="Garamond"/>
          <w:sz w:val="22"/>
          <w:szCs w:val="22"/>
          <w:lang w:val="en-US"/>
        </w:rPr>
        <w:t xml:space="preserve">also </w:t>
      </w:r>
      <w:r w:rsidR="00F02DB7">
        <w:rPr>
          <w:rFonts w:ascii="Garamond" w:hAnsi="Garamond"/>
          <w:sz w:val="22"/>
          <w:szCs w:val="22"/>
          <w:lang w:val="en-US"/>
        </w:rPr>
        <w:t xml:space="preserve">provide additional context about the case here. </w:t>
      </w:r>
    </w:p>
    <w:p w14:paraId="6732539A" w14:textId="77777777" w:rsidR="00835092" w:rsidRPr="00835092" w:rsidRDefault="00835092" w:rsidP="00835092">
      <w:pPr>
        <w:pStyle w:val="ListParagraph"/>
        <w:rPr>
          <w:rFonts w:ascii="Garamond" w:hAnsi="Garamond"/>
          <w:sz w:val="22"/>
          <w:szCs w:val="22"/>
          <w:lang w:val="en-US"/>
        </w:rPr>
      </w:pP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48C69DE" w14:textId="2D950A68" w:rsidR="00634BC1" w:rsidRPr="00F304E9" w:rsidRDefault="003357F3" w:rsidP="009672E6">
      <w:pPr>
        <w:pStyle w:val="ListParagraph"/>
        <w:spacing w:line="276" w:lineRule="auto"/>
        <w:ind w:left="501"/>
        <w:jc w:val="both"/>
        <w:rPr>
          <w:rFonts w:ascii="Garamond" w:hAnsi="Garamond"/>
          <w:sz w:val="22"/>
          <w:szCs w:val="22"/>
          <w:u w:val="single"/>
        </w:rPr>
      </w:pPr>
      <w:r>
        <w:rPr>
          <w:rFonts w:ascii="Garamond" w:hAnsi="Garamond"/>
          <w:b/>
          <w:bCs/>
          <w:sz w:val="22"/>
          <w:szCs w:val="22"/>
          <w:u w:val="single"/>
          <w:lang w:val="en-US"/>
        </w:rPr>
        <w:t>Example</w:t>
      </w:r>
      <w:r w:rsidR="009672E6">
        <w:rPr>
          <w:rFonts w:ascii="Garamond" w:hAnsi="Garamond"/>
          <w:b/>
          <w:bCs/>
          <w:sz w:val="22"/>
          <w:szCs w:val="22"/>
          <w:u w:val="single"/>
          <w:lang w:val="en-US"/>
        </w:rPr>
        <w:t>:</w:t>
      </w:r>
    </w:p>
    <w:p w14:paraId="016E8C81" w14:textId="6C15EBF2" w:rsidR="00BD7FAA" w:rsidRPr="00BD7FAA" w:rsidRDefault="00000000" w:rsidP="00BD7FAA">
      <w:pPr>
        <w:pStyle w:val="ListParagraph"/>
        <w:spacing w:line="276" w:lineRule="auto"/>
        <w:ind w:left="360"/>
        <w:jc w:val="both"/>
        <w:rPr>
          <w:rFonts w:ascii="Garamond" w:hAnsi="Garamond"/>
          <w:sz w:val="22"/>
          <w:szCs w:val="22"/>
        </w:rPr>
      </w:pPr>
      <w:hyperlink r:id="rId5" w:history="1">
        <w:r w:rsidR="00BD7FAA" w:rsidRPr="00BD7FAA">
          <w:rPr>
            <w:rStyle w:val="Hyperlink"/>
            <w:rFonts w:ascii="Garamond" w:hAnsi="Garamond"/>
            <w:sz w:val="22"/>
            <w:szCs w:val="22"/>
            <w:lang w:val="en-US"/>
          </w:rPr>
          <w:t>ECHR, art</w:t>
        </w:r>
        <w:r w:rsidR="00BD7FAA" w:rsidRPr="00BD7FAA">
          <w:rPr>
            <w:rStyle w:val="Hyperlink"/>
            <w:rFonts w:ascii="Garamond" w:hAnsi="Garamond"/>
            <w:sz w:val="22"/>
            <w:szCs w:val="22"/>
          </w:rPr>
          <w:t>. 10</w:t>
        </w:r>
      </w:hyperlink>
      <w:r w:rsidR="00BD7FAA" w:rsidRPr="00BD7FAA">
        <w:rPr>
          <w:rFonts w:ascii="Garamond" w:hAnsi="Garamond"/>
          <w:sz w:val="22"/>
          <w:szCs w:val="22"/>
        </w:rPr>
        <w:t xml:space="preserve">; </w:t>
      </w:r>
    </w:p>
    <w:p w14:paraId="5FF431F0" w14:textId="2D62FA1C" w:rsidR="00BB2804" w:rsidRDefault="00000000" w:rsidP="00EC1B6E">
      <w:pPr>
        <w:pStyle w:val="ListParagraph"/>
        <w:spacing w:line="276" w:lineRule="auto"/>
        <w:ind w:left="360"/>
        <w:jc w:val="both"/>
        <w:rPr>
          <w:rFonts w:ascii="Garamond" w:hAnsi="Garamond"/>
          <w:sz w:val="22"/>
          <w:szCs w:val="22"/>
        </w:rPr>
      </w:pPr>
      <w:hyperlink r:id="rId6" w:history="1">
        <w:r w:rsidR="00CD2DD6" w:rsidRPr="00BD7FAA">
          <w:rPr>
            <w:rStyle w:val="Hyperlink"/>
            <w:rFonts w:ascii="Garamond" w:hAnsi="Garamond"/>
            <w:sz w:val="22"/>
            <w:szCs w:val="22"/>
            <w:lang w:val="en-US"/>
          </w:rPr>
          <w:t>ECHR, art</w:t>
        </w:r>
        <w:r w:rsidR="00CD2DD6" w:rsidRPr="00BD7FAA">
          <w:rPr>
            <w:rStyle w:val="Hyperlink"/>
            <w:rFonts w:ascii="Garamond" w:hAnsi="Garamond"/>
            <w:sz w:val="22"/>
            <w:szCs w:val="22"/>
          </w:rPr>
          <w:t>. 11</w:t>
        </w:r>
      </w:hyperlink>
      <w:r w:rsidR="00CD2DD6" w:rsidRPr="00BD7FAA">
        <w:rPr>
          <w:rFonts w:ascii="Garamond" w:hAnsi="Garamond"/>
          <w:sz w:val="22"/>
          <w:szCs w:val="22"/>
        </w:rPr>
        <w:t xml:space="preserve">; </w:t>
      </w:r>
    </w:p>
    <w:p w14:paraId="3BC8EB05" w14:textId="77777777" w:rsidR="003D040E" w:rsidRPr="00EC1B6E" w:rsidRDefault="003D040E" w:rsidP="00EC1B6E">
      <w:pPr>
        <w:spacing w:line="276" w:lineRule="auto"/>
        <w:jc w:val="both"/>
        <w:rPr>
          <w:rFonts w:ascii="Garamond" w:hAnsi="Garamond"/>
          <w:sz w:val="22"/>
          <w:szCs w:val="22"/>
        </w:rPr>
      </w:pPr>
    </w:p>
    <w:p w14:paraId="6672CC91" w14:textId="26BE361F" w:rsidR="00CD2DD6" w:rsidRDefault="00BB2804" w:rsidP="00CD2DD6">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t>National law or jurisprudence</w:t>
      </w:r>
      <w:r w:rsidRPr="00213E27">
        <w:rPr>
          <w:rFonts w:ascii="Garamond" w:hAnsi="Garamond"/>
          <w:sz w:val="22"/>
          <w:szCs w:val="22"/>
          <w:lang w:val="en-US"/>
        </w:rPr>
        <w:t>:</w:t>
      </w:r>
    </w:p>
    <w:p w14:paraId="46FA423A" w14:textId="5BE65EE0" w:rsidR="00EC1B6E" w:rsidRPr="003357F3" w:rsidRDefault="009672E6" w:rsidP="003357F3">
      <w:pPr>
        <w:pStyle w:val="ListParagraph"/>
        <w:numPr>
          <w:ilvl w:val="0"/>
          <w:numId w:val="3"/>
        </w:numPr>
        <w:spacing w:line="276" w:lineRule="auto"/>
        <w:jc w:val="both"/>
        <w:rPr>
          <w:rFonts w:ascii="Garamond" w:hAnsi="Garamond"/>
          <w:sz w:val="22"/>
          <w:szCs w:val="22"/>
          <w:lang w:val="en-US"/>
        </w:rPr>
      </w:pPr>
      <w:r>
        <w:rPr>
          <w:rFonts w:ascii="Garamond" w:hAnsi="Garamond"/>
          <w:b/>
          <w:bCs/>
          <w:sz w:val="22"/>
          <w:szCs w:val="22"/>
          <w:lang w:val="en-US"/>
        </w:rPr>
        <w:t>Example</w:t>
      </w:r>
      <w:r w:rsidR="003357F3">
        <w:rPr>
          <w:rFonts w:ascii="Garamond" w:hAnsi="Garamond"/>
          <w:b/>
          <w:bCs/>
          <w:sz w:val="22"/>
          <w:szCs w:val="22"/>
          <w:lang w:val="en-US"/>
        </w:rPr>
        <w:t xml:space="preserve">: </w:t>
      </w:r>
      <w:hyperlink r:id="rId7" w:history="1">
        <w:r w:rsidR="00E03B60" w:rsidRPr="003357F3">
          <w:rPr>
            <w:rStyle w:val="Hyperlink"/>
            <w:rFonts w:ascii="Garamond" w:hAnsi="Garamond"/>
            <w:sz w:val="22"/>
            <w:szCs w:val="22"/>
          </w:rPr>
          <w:t>Sp. Constitution art. 14</w:t>
        </w:r>
      </w:hyperlink>
      <w:r w:rsidR="00153CD8" w:rsidRPr="003357F3">
        <w:rPr>
          <w:rFonts w:ascii="Garamond" w:hAnsi="Garamond"/>
          <w:sz w:val="22"/>
          <w:szCs w:val="22"/>
        </w:rPr>
        <w:t>;</w:t>
      </w:r>
    </w:p>
    <w:p w14:paraId="6096E63A" w14:textId="77777777" w:rsidR="00EC1B6E" w:rsidRDefault="00EC1B6E" w:rsidP="00EC1B6E">
      <w:pPr>
        <w:pStyle w:val="ListParagraph"/>
        <w:spacing w:line="276" w:lineRule="auto"/>
        <w:ind w:left="360"/>
        <w:jc w:val="both"/>
      </w:pPr>
    </w:p>
    <w:p w14:paraId="4AAEF32A" w14:textId="255A512F" w:rsidR="00457776" w:rsidRDefault="00BB2804" w:rsidP="00EC1B6E">
      <w:pPr>
        <w:pStyle w:val="ListParagraph"/>
        <w:spacing w:line="276" w:lineRule="auto"/>
        <w:ind w:left="360"/>
        <w:jc w:val="both"/>
        <w:rPr>
          <w:rFonts w:ascii="Garamond" w:hAnsi="Garamond"/>
          <w:sz w:val="22"/>
          <w:szCs w:val="22"/>
          <w:lang w:val="en-US"/>
        </w:rPr>
      </w:pPr>
      <w:r w:rsidRPr="00F67803">
        <w:rPr>
          <w:rFonts w:ascii="Garamond" w:hAnsi="Garamond"/>
          <w:b/>
          <w:bCs/>
          <w:sz w:val="22"/>
          <w:szCs w:val="22"/>
          <w:lang w:val="en-US"/>
        </w:rPr>
        <w:t>Other national law or jurisprudence</w:t>
      </w:r>
      <w:r w:rsidRPr="00F67803">
        <w:rPr>
          <w:rFonts w:ascii="Garamond" w:hAnsi="Garamond"/>
          <w:sz w:val="22"/>
          <w:szCs w:val="22"/>
          <w:lang w:val="en-US"/>
        </w:rPr>
        <w:t>:</w:t>
      </w:r>
      <w:r w:rsidR="003D040E">
        <w:rPr>
          <w:rFonts w:ascii="Garamond" w:hAnsi="Garamond"/>
          <w:sz w:val="22"/>
          <w:szCs w:val="22"/>
          <w:lang w:val="en-US"/>
        </w:rPr>
        <w:t xml:space="preserve"> </w:t>
      </w:r>
    </w:p>
    <w:p w14:paraId="14E934D8" w14:textId="5670655E" w:rsidR="009C55CB" w:rsidRPr="003D040E" w:rsidRDefault="009C55CB" w:rsidP="009C55CB">
      <w:pPr>
        <w:pStyle w:val="ListParagraph"/>
        <w:numPr>
          <w:ilvl w:val="0"/>
          <w:numId w:val="9"/>
        </w:numPr>
        <w:spacing w:line="276" w:lineRule="auto"/>
        <w:jc w:val="both"/>
        <w:rPr>
          <w:rFonts w:ascii="Garamond" w:hAnsi="Garamond"/>
          <w:sz w:val="22"/>
          <w:szCs w:val="22"/>
          <w:lang w:val="en-US"/>
        </w:rPr>
      </w:pPr>
      <w:r>
        <w:rPr>
          <w:rFonts w:ascii="Garamond" w:hAnsi="Garamond"/>
          <w:b/>
          <w:bCs/>
          <w:sz w:val="22"/>
          <w:szCs w:val="22"/>
          <w:lang w:val="en-US"/>
        </w:rPr>
        <w:t xml:space="preserve">List here any references to </w:t>
      </w:r>
      <w:r w:rsidR="000E729A">
        <w:rPr>
          <w:rFonts w:ascii="Garamond" w:hAnsi="Garamond"/>
          <w:b/>
          <w:bCs/>
          <w:sz w:val="22"/>
          <w:szCs w:val="22"/>
          <w:lang w:val="en-US"/>
        </w:rPr>
        <w:t xml:space="preserve">national </w:t>
      </w:r>
      <w:r>
        <w:rPr>
          <w:rFonts w:ascii="Garamond" w:hAnsi="Garamond"/>
          <w:b/>
          <w:bCs/>
          <w:sz w:val="22"/>
          <w:szCs w:val="22"/>
          <w:lang w:val="en-US"/>
        </w:rPr>
        <w:t xml:space="preserve">case law outside the </w:t>
      </w:r>
      <w:r w:rsidR="000E729A">
        <w:rPr>
          <w:rFonts w:ascii="Garamond" w:hAnsi="Garamond"/>
          <w:b/>
          <w:bCs/>
          <w:sz w:val="22"/>
          <w:szCs w:val="22"/>
          <w:lang w:val="en-US"/>
        </w:rPr>
        <w:t>Court’s jurisdiction</w:t>
      </w:r>
      <w:r w:rsidR="000E729A" w:rsidRPr="000E729A">
        <w:rPr>
          <w:rFonts w:ascii="Garamond" w:hAnsi="Garamond"/>
          <w:sz w:val="22"/>
          <w:szCs w:val="22"/>
          <w:lang w:val="en-US"/>
        </w:rPr>
        <w:t>.</w:t>
      </w:r>
      <w:r w:rsidR="000E729A">
        <w:rPr>
          <w:rFonts w:ascii="Garamond" w:hAnsi="Garamond"/>
          <w:sz w:val="22"/>
          <w:szCs w:val="22"/>
          <w:lang w:val="en-US"/>
        </w:rPr>
        <w:t xml:space="preserve"> For instance, if a UK Court </w:t>
      </w:r>
      <w:r w:rsidR="00276D37">
        <w:rPr>
          <w:rFonts w:ascii="Garamond" w:hAnsi="Garamond"/>
          <w:sz w:val="22"/>
          <w:szCs w:val="22"/>
          <w:lang w:val="en-US"/>
        </w:rPr>
        <w:t xml:space="preserve">relies on Canadian or Australian case law, it would be listed here. </w:t>
      </w:r>
    </w:p>
    <w:p w14:paraId="69511AC4" w14:textId="77777777" w:rsidR="00BB2804" w:rsidRDefault="00BB2804" w:rsidP="00BB2804">
      <w:pPr>
        <w:spacing w:line="276" w:lineRule="auto"/>
        <w:jc w:val="both"/>
        <w:rPr>
          <w:rFonts w:ascii="Garamond" w:hAnsi="Garamond"/>
          <w:sz w:val="22"/>
          <w:szCs w:val="22"/>
          <w:lang w:val="en-US"/>
        </w:rPr>
      </w:pP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3A0759A0" w14:textId="77777777" w:rsidR="00BB2804" w:rsidRDefault="00BB2804" w:rsidP="00BB2804">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 xml:space="preserve">; </w:t>
      </w:r>
      <w:r w:rsidRPr="00827D5A">
        <w:rPr>
          <w:rFonts w:ascii="Garamond" w:hAnsi="Garamond"/>
          <w:b/>
          <w:bCs/>
          <w:sz w:val="22"/>
          <w:szCs w:val="22"/>
          <w:lang w:val="en-US"/>
        </w:rPr>
        <w:t>Decision establishes influential or persuasive precedent outside jurisdiction</w:t>
      </w:r>
      <w:r w:rsidRPr="00827D5A">
        <w:rPr>
          <w:rFonts w:ascii="Garamond" w:hAnsi="Garamond"/>
          <w:sz w:val="22"/>
          <w:szCs w:val="22"/>
          <w:lang w:val="en-US"/>
        </w:rPr>
        <w:t xml:space="preserve">; </w:t>
      </w:r>
      <w:r w:rsidRPr="00827D5A">
        <w:rPr>
          <w:rFonts w:ascii="Garamond" w:hAnsi="Garamond"/>
          <w:b/>
          <w:bCs/>
          <w:sz w:val="22"/>
          <w:szCs w:val="22"/>
          <w:lang w:val="en-US"/>
        </w:rPr>
        <w:t>Explanation</w:t>
      </w:r>
      <w:r w:rsidRPr="00827D5A">
        <w:rPr>
          <w:rFonts w:ascii="Garamond" w:hAnsi="Garamond"/>
          <w:sz w:val="22"/>
          <w:szCs w:val="22"/>
          <w:lang w:val="en-US"/>
        </w:rPr>
        <w:t xml:space="preserve">: </w:t>
      </w:r>
    </w:p>
    <w:p w14:paraId="470633E7" w14:textId="77777777" w:rsidR="00BB2804" w:rsidRDefault="00BB2804" w:rsidP="00BB2804">
      <w:pPr>
        <w:pStyle w:val="ListParagraph"/>
        <w:spacing w:line="276" w:lineRule="auto"/>
        <w:ind w:left="360"/>
        <w:jc w:val="both"/>
        <w:rPr>
          <w:rFonts w:ascii="Garamond" w:hAnsi="Garamond"/>
          <w:sz w:val="22"/>
          <w:szCs w:val="22"/>
          <w:lang w:val="en-US"/>
        </w:rPr>
      </w:pPr>
      <w:r w:rsidRPr="00827D5A">
        <w:rPr>
          <w:rFonts w:ascii="Garamond" w:hAnsi="Garamond"/>
          <w:sz w:val="22"/>
          <w:szCs w:val="22"/>
          <w:u w:val="single"/>
          <w:lang w:val="en-US"/>
        </w:rPr>
        <w:t>Standard</w:t>
      </w:r>
      <w:r>
        <w:rPr>
          <w:rFonts w:ascii="Garamond" w:hAnsi="Garamond"/>
          <w:sz w:val="22"/>
          <w:szCs w:val="22"/>
          <w:u w:val="single"/>
          <w:lang w:val="en-US"/>
        </w:rPr>
        <w:t xml:space="preserve"> I</w:t>
      </w:r>
      <w:r w:rsidRPr="00827D5A">
        <w:rPr>
          <w:rFonts w:ascii="Garamond" w:hAnsi="Garamond"/>
          <w:sz w:val="22"/>
          <w:szCs w:val="22"/>
          <w:lang w:val="en-US"/>
        </w:rPr>
        <w:t>:</w:t>
      </w:r>
      <w:r>
        <w:rPr>
          <w:rFonts w:ascii="Garamond" w:hAnsi="Garamond"/>
          <w:sz w:val="22"/>
          <w:szCs w:val="22"/>
          <w:lang w:val="en-US"/>
        </w:rPr>
        <w:t xml:space="preserve"> </w:t>
      </w:r>
      <w:r w:rsidRPr="00827D5A">
        <w:rPr>
          <w:rFonts w:ascii="Garamond" w:hAnsi="Garamond"/>
          <w:sz w:val="22"/>
          <w:szCs w:val="22"/>
          <w:lang w:val="en-US"/>
        </w:rPr>
        <w:t>The decision establishes a binding or persuasive precedent within its jurisdiction.</w:t>
      </w:r>
    </w:p>
    <w:p w14:paraId="54020A85" w14:textId="633C699A" w:rsidR="00BB2804"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553C9C">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C225E5">
        <w:rPr>
          <w:rFonts w:ascii="Garamond" w:hAnsi="Garamond"/>
          <w:sz w:val="22"/>
          <w:szCs w:val="22"/>
          <w:lang w:val="en-US"/>
        </w:rPr>
        <w:t xml:space="preserve">Judgments of the European Court of Human Rights are binding upon parties to the </w:t>
      </w:r>
      <w:r>
        <w:rPr>
          <w:rFonts w:ascii="Garamond" w:hAnsi="Garamond"/>
          <w:sz w:val="22"/>
          <w:szCs w:val="22"/>
          <w:lang w:val="en-US"/>
        </w:rPr>
        <w:t>decision.</w:t>
      </w:r>
      <w:r w:rsidRPr="00C225E5">
        <w:rPr>
          <w:rFonts w:ascii="Garamond" w:hAnsi="Garamond"/>
          <w:sz w:val="22"/>
          <w:szCs w:val="22"/>
          <w:lang w:val="en-US"/>
        </w:rPr>
        <w:t xml:space="preserve"> </w:t>
      </w:r>
    </w:p>
    <w:p w14:paraId="6D5A75D8" w14:textId="77777777" w:rsidR="00BB2804" w:rsidRDefault="00BB2804" w:rsidP="00BB2804">
      <w:pPr>
        <w:pStyle w:val="ListParagraph"/>
        <w:spacing w:line="276" w:lineRule="auto"/>
        <w:ind w:left="360"/>
        <w:jc w:val="both"/>
        <w:rPr>
          <w:rFonts w:ascii="Garamond" w:hAnsi="Garamond"/>
          <w:sz w:val="22"/>
          <w:szCs w:val="22"/>
          <w:lang w:val="en-US"/>
        </w:rPr>
      </w:pPr>
    </w:p>
    <w:p w14:paraId="4267BE07" w14:textId="77777777" w:rsidR="00BB2804" w:rsidRDefault="00BB2804" w:rsidP="00BB2804">
      <w:pPr>
        <w:pStyle w:val="ListParagraph"/>
        <w:spacing w:line="276" w:lineRule="auto"/>
        <w:ind w:left="360"/>
        <w:jc w:val="both"/>
        <w:rPr>
          <w:rFonts w:ascii="Garamond" w:hAnsi="Garamond"/>
          <w:sz w:val="22"/>
          <w:szCs w:val="22"/>
          <w:lang w:val="en-US"/>
        </w:rPr>
      </w:pPr>
      <w:r w:rsidRPr="00A258CA">
        <w:rPr>
          <w:rFonts w:ascii="Garamond" w:hAnsi="Garamond"/>
          <w:sz w:val="22"/>
          <w:szCs w:val="22"/>
          <w:u w:val="single"/>
          <w:lang w:val="en-US"/>
        </w:rPr>
        <w:t xml:space="preserve">Standard </w:t>
      </w:r>
      <w:r>
        <w:rPr>
          <w:rFonts w:ascii="Garamond" w:hAnsi="Garamond"/>
          <w:sz w:val="22"/>
          <w:szCs w:val="22"/>
          <w:u w:val="single"/>
          <w:lang w:val="en-US"/>
        </w:rPr>
        <w:t>II</w:t>
      </w:r>
      <w:r>
        <w:rPr>
          <w:rFonts w:ascii="Garamond" w:hAnsi="Garamond"/>
          <w:sz w:val="22"/>
          <w:szCs w:val="22"/>
          <w:lang w:val="en-US"/>
        </w:rPr>
        <w:t xml:space="preserve">: </w:t>
      </w:r>
      <w:r w:rsidRPr="00872DA1">
        <w:rPr>
          <w:rFonts w:ascii="Garamond" w:hAnsi="Garamond"/>
          <w:sz w:val="22"/>
          <w:szCs w:val="22"/>
          <w:lang w:val="en-US"/>
        </w:rPr>
        <w:t>Decision (including concurring or dissenting opinions) establishes influential or persuasive precedent outside its jurisdiction.</w:t>
      </w:r>
    </w:p>
    <w:p w14:paraId="20F1F560" w14:textId="0ADA0F34" w:rsidR="00BB2804" w:rsidRPr="00F858B7"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A258CA">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F858B7">
        <w:rPr>
          <w:rFonts w:ascii="Garamond" w:hAnsi="Garamond"/>
          <w:sz w:val="22"/>
          <w:szCs w:val="22"/>
          <w:lang w:val="en-US"/>
        </w:rPr>
        <w:t xml:space="preserve">The decisions of the </w:t>
      </w:r>
      <w:r>
        <w:rPr>
          <w:rFonts w:ascii="Garamond" w:hAnsi="Garamond"/>
          <w:sz w:val="22"/>
          <w:szCs w:val="22"/>
          <w:lang w:val="en-US"/>
        </w:rPr>
        <w:t>European Court of Human Rights</w:t>
      </w:r>
      <w:r w:rsidRPr="00F858B7">
        <w:rPr>
          <w:rFonts w:ascii="Garamond" w:hAnsi="Garamond"/>
          <w:sz w:val="22"/>
          <w:szCs w:val="22"/>
          <w:lang w:val="en-US"/>
        </w:rPr>
        <w:t xml:space="preserve"> </w:t>
      </w:r>
      <w:r>
        <w:rPr>
          <w:rFonts w:ascii="Garamond" w:hAnsi="Garamond"/>
          <w:sz w:val="22"/>
          <w:szCs w:val="22"/>
          <w:lang w:val="en-US"/>
        </w:rPr>
        <w:t>have precedential value on the</w:t>
      </w:r>
      <w:r w:rsidRPr="00F858B7">
        <w:rPr>
          <w:rFonts w:ascii="Garamond" w:hAnsi="Garamond"/>
          <w:sz w:val="22"/>
          <w:szCs w:val="22"/>
          <w:lang w:val="en-US"/>
        </w:rPr>
        <w:t xml:space="preserve"> interpretation of the right to freedom of expression for other States Parties to the </w:t>
      </w:r>
      <w:r w:rsidRPr="008E198F">
        <w:rPr>
          <w:rFonts w:ascii="Garamond" w:hAnsi="Garamond"/>
          <w:sz w:val="22"/>
          <w:szCs w:val="22"/>
          <w:lang w:val="en-US"/>
        </w:rPr>
        <w:t>European Convention for the Protection of Human Rights and Fundamental Freedoms</w:t>
      </w:r>
      <w:r w:rsidRPr="00F858B7">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7412ECB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Judgment (in English) [Attached]</w:t>
      </w:r>
    </w:p>
    <w:p w14:paraId="52F85D83" w14:textId="48CCEE83"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D678DA">
        <w:rPr>
          <w:rFonts w:ascii="Garamond" w:hAnsi="Garamond"/>
          <w:sz w:val="22"/>
          <w:szCs w:val="22"/>
        </w:rPr>
        <w:t xml:space="preserve">…. </w:t>
      </w:r>
      <w:r>
        <w:rPr>
          <w:rFonts w:ascii="Garamond" w:hAnsi="Garamond"/>
          <w:sz w:val="22"/>
          <w:szCs w:val="22"/>
        </w:rPr>
        <w:t>(in English) [Attached]</w:t>
      </w:r>
    </w:p>
    <w:p w14:paraId="04674E6C" w14:textId="11FDD683" w:rsidR="00BB2804" w:rsidRDefault="00BB2804" w:rsidP="00BB2804">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DE28E5" w:rsidR="00D678DA" w:rsidRPr="001A31DB" w:rsidRDefault="00970093" w:rsidP="00970093">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p>
    <w:p w14:paraId="1C1B2ACA" w14:textId="77777777" w:rsidR="00BB2804" w:rsidRPr="002310EE" w:rsidRDefault="00BB2804" w:rsidP="00BB2804">
      <w:pPr>
        <w:pStyle w:val="ListParagraph"/>
        <w:spacing w:line="276" w:lineRule="auto"/>
        <w:ind w:left="360"/>
        <w:jc w:val="both"/>
        <w:rPr>
          <w:rFonts w:ascii="Garamond" w:hAnsi="Garamond"/>
          <w:sz w:val="22"/>
          <w:szCs w:val="22"/>
        </w:rPr>
      </w:pPr>
    </w:p>
    <w:p w14:paraId="577E387D" w14:textId="77777777" w:rsidR="00C35AA4" w:rsidRDefault="00C35AA4"/>
    <w:sectPr w:rsidR="00C35AA4" w:rsidSect="007E33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264771">
    <w:abstractNumId w:val="0"/>
  </w:num>
  <w:num w:numId="2" w16cid:durableId="1800106708">
    <w:abstractNumId w:val="6"/>
  </w:num>
  <w:num w:numId="3" w16cid:durableId="1093748223">
    <w:abstractNumId w:val="4"/>
  </w:num>
  <w:num w:numId="4" w16cid:durableId="419183055">
    <w:abstractNumId w:val="2"/>
  </w:num>
  <w:num w:numId="5" w16cid:durableId="1712850576">
    <w:abstractNumId w:val="5"/>
  </w:num>
  <w:num w:numId="6" w16cid:durableId="2034770519">
    <w:abstractNumId w:val="8"/>
  </w:num>
  <w:num w:numId="7" w16cid:durableId="261453442">
    <w:abstractNumId w:val="3"/>
  </w:num>
  <w:num w:numId="8" w16cid:durableId="483468502">
    <w:abstractNumId w:val="1"/>
  </w:num>
  <w:num w:numId="9" w16cid:durableId="1601640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2513"/>
    <w:rsid w:val="00030EB8"/>
    <w:rsid w:val="0003559C"/>
    <w:rsid w:val="00035C43"/>
    <w:rsid w:val="00060C88"/>
    <w:rsid w:val="00061C55"/>
    <w:rsid w:val="00065F2C"/>
    <w:rsid w:val="00071036"/>
    <w:rsid w:val="00074D3D"/>
    <w:rsid w:val="00080D1E"/>
    <w:rsid w:val="000964E6"/>
    <w:rsid w:val="000A0596"/>
    <w:rsid w:val="000A50A1"/>
    <w:rsid w:val="000B5E6F"/>
    <w:rsid w:val="000C1EDA"/>
    <w:rsid w:val="000C3530"/>
    <w:rsid w:val="000D31D2"/>
    <w:rsid w:val="000E729A"/>
    <w:rsid w:val="0011450B"/>
    <w:rsid w:val="00144E0C"/>
    <w:rsid w:val="00153CD8"/>
    <w:rsid w:val="00154C52"/>
    <w:rsid w:val="00156AEC"/>
    <w:rsid w:val="001650DC"/>
    <w:rsid w:val="00176CCA"/>
    <w:rsid w:val="00181333"/>
    <w:rsid w:val="001A2EAE"/>
    <w:rsid w:val="001A31DB"/>
    <w:rsid w:val="001C3575"/>
    <w:rsid w:val="001C6655"/>
    <w:rsid w:val="001E0E1C"/>
    <w:rsid w:val="001E4D3A"/>
    <w:rsid w:val="001F2A39"/>
    <w:rsid w:val="001F4DBE"/>
    <w:rsid w:val="00203474"/>
    <w:rsid w:val="00204CF3"/>
    <w:rsid w:val="00204E90"/>
    <w:rsid w:val="002132BB"/>
    <w:rsid w:val="00213E27"/>
    <w:rsid w:val="002168F9"/>
    <w:rsid w:val="00226488"/>
    <w:rsid w:val="00233076"/>
    <w:rsid w:val="00261E48"/>
    <w:rsid w:val="0027019F"/>
    <w:rsid w:val="00272504"/>
    <w:rsid w:val="0027612A"/>
    <w:rsid w:val="00276D37"/>
    <w:rsid w:val="00281F90"/>
    <w:rsid w:val="00284E3E"/>
    <w:rsid w:val="0029093B"/>
    <w:rsid w:val="00293AC4"/>
    <w:rsid w:val="00293B37"/>
    <w:rsid w:val="0029421B"/>
    <w:rsid w:val="0029491E"/>
    <w:rsid w:val="002B07E6"/>
    <w:rsid w:val="002E1E37"/>
    <w:rsid w:val="002F4414"/>
    <w:rsid w:val="00303E85"/>
    <w:rsid w:val="003131E0"/>
    <w:rsid w:val="00316D50"/>
    <w:rsid w:val="00330BF5"/>
    <w:rsid w:val="003357F3"/>
    <w:rsid w:val="00337DE0"/>
    <w:rsid w:val="00347B3D"/>
    <w:rsid w:val="0035234D"/>
    <w:rsid w:val="003548C7"/>
    <w:rsid w:val="003623ED"/>
    <w:rsid w:val="003637D3"/>
    <w:rsid w:val="003645D2"/>
    <w:rsid w:val="003668DD"/>
    <w:rsid w:val="003A3DFD"/>
    <w:rsid w:val="003D040E"/>
    <w:rsid w:val="003D4308"/>
    <w:rsid w:val="003E37DB"/>
    <w:rsid w:val="003F53A4"/>
    <w:rsid w:val="0040049B"/>
    <w:rsid w:val="00420273"/>
    <w:rsid w:val="0043475D"/>
    <w:rsid w:val="0045189F"/>
    <w:rsid w:val="00456B21"/>
    <w:rsid w:val="00457776"/>
    <w:rsid w:val="00463D53"/>
    <w:rsid w:val="00466503"/>
    <w:rsid w:val="00466F1E"/>
    <w:rsid w:val="004A1BDF"/>
    <w:rsid w:val="004A7672"/>
    <w:rsid w:val="004B4C61"/>
    <w:rsid w:val="004C0014"/>
    <w:rsid w:val="004F7BF2"/>
    <w:rsid w:val="00501621"/>
    <w:rsid w:val="0050392C"/>
    <w:rsid w:val="005115F0"/>
    <w:rsid w:val="005247F0"/>
    <w:rsid w:val="00527B86"/>
    <w:rsid w:val="0055359D"/>
    <w:rsid w:val="00557BD4"/>
    <w:rsid w:val="00566306"/>
    <w:rsid w:val="00577A00"/>
    <w:rsid w:val="005812CC"/>
    <w:rsid w:val="00590F4B"/>
    <w:rsid w:val="00592B60"/>
    <w:rsid w:val="005A35E0"/>
    <w:rsid w:val="005A5A4A"/>
    <w:rsid w:val="005C7A1B"/>
    <w:rsid w:val="005E02B8"/>
    <w:rsid w:val="005F1627"/>
    <w:rsid w:val="00602515"/>
    <w:rsid w:val="00633C98"/>
    <w:rsid w:val="00634034"/>
    <w:rsid w:val="00634BC1"/>
    <w:rsid w:val="006408C1"/>
    <w:rsid w:val="00657C10"/>
    <w:rsid w:val="00657F02"/>
    <w:rsid w:val="0067278E"/>
    <w:rsid w:val="006728AB"/>
    <w:rsid w:val="00675074"/>
    <w:rsid w:val="00694086"/>
    <w:rsid w:val="006B0349"/>
    <w:rsid w:val="006B0A1D"/>
    <w:rsid w:val="006B338A"/>
    <w:rsid w:val="006B5D5E"/>
    <w:rsid w:val="006B6407"/>
    <w:rsid w:val="006C6D8A"/>
    <w:rsid w:val="006C7838"/>
    <w:rsid w:val="006E24C0"/>
    <w:rsid w:val="006F332B"/>
    <w:rsid w:val="007030C7"/>
    <w:rsid w:val="00720AED"/>
    <w:rsid w:val="00752DEE"/>
    <w:rsid w:val="00764F98"/>
    <w:rsid w:val="00765864"/>
    <w:rsid w:val="0076783F"/>
    <w:rsid w:val="00773C17"/>
    <w:rsid w:val="00775F8B"/>
    <w:rsid w:val="007904D4"/>
    <w:rsid w:val="007A2093"/>
    <w:rsid w:val="007A4ACA"/>
    <w:rsid w:val="007A64D7"/>
    <w:rsid w:val="007A6790"/>
    <w:rsid w:val="007B2E1E"/>
    <w:rsid w:val="007B49C1"/>
    <w:rsid w:val="007E1185"/>
    <w:rsid w:val="007E3310"/>
    <w:rsid w:val="00802B46"/>
    <w:rsid w:val="00807461"/>
    <w:rsid w:val="0081345B"/>
    <w:rsid w:val="00815BEA"/>
    <w:rsid w:val="00825720"/>
    <w:rsid w:val="00835092"/>
    <w:rsid w:val="00836DCE"/>
    <w:rsid w:val="00841510"/>
    <w:rsid w:val="00856E66"/>
    <w:rsid w:val="00895437"/>
    <w:rsid w:val="00896BA9"/>
    <w:rsid w:val="008B75EF"/>
    <w:rsid w:val="008D2D3A"/>
    <w:rsid w:val="008D7484"/>
    <w:rsid w:val="008E2A34"/>
    <w:rsid w:val="008E3672"/>
    <w:rsid w:val="008E72E0"/>
    <w:rsid w:val="008F12DD"/>
    <w:rsid w:val="009223B6"/>
    <w:rsid w:val="00931F43"/>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C55CB"/>
    <w:rsid w:val="009D2399"/>
    <w:rsid w:val="009E0F9D"/>
    <w:rsid w:val="009F2E26"/>
    <w:rsid w:val="009F37CB"/>
    <w:rsid w:val="009F6322"/>
    <w:rsid w:val="00A028CD"/>
    <w:rsid w:val="00A035F1"/>
    <w:rsid w:val="00A12238"/>
    <w:rsid w:val="00A17622"/>
    <w:rsid w:val="00A31AF3"/>
    <w:rsid w:val="00A676C2"/>
    <w:rsid w:val="00A71789"/>
    <w:rsid w:val="00A777D1"/>
    <w:rsid w:val="00A81B37"/>
    <w:rsid w:val="00AA2220"/>
    <w:rsid w:val="00AA495D"/>
    <w:rsid w:val="00AA5060"/>
    <w:rsid w:val="00AB29C4"/>
    <w:rsid w:val="00AE3130"/>
    <w:rsid w:val="00AE4079"/>
    <w:rsid w:val="00AF61DD"/>
    <w:rsid w:val="00AF6D94"/>
    <w:rsid w:val="00B078E9"/>
    <w:rsid w:val="00B11702"/>
    <w:rsid w:val="00B136F6"/>
    <w:rsid w:val="00B177B5"/>
    <w:rsid w:val="00B621FF"/>
    <w:rsid w:val="00B82CB8"/>
    <w:rsid w:val="00B94368"/>
    <w:rsid w:val="00BA1F3D"/>
    <w:rsid w:val="00BA4C8A"/>
    <w:rsid w:val="00BB2804"/>
    <w:rsid w:val="00BC1EFF"/>
    <w:rsid w:val="00BD6835"/>
    <w:rsid w:val="00BD7FAA"/>
    <w:rsid w:val="00BF243D"/>
    <w:rsid w:val="00C00B36"/>
    <w:rsid w:val="00C06FBA"/>
    <w:rsid w:val="00C21E7B"/>
    <w:rsid w:val="00C32C62"/>
    <w:rsid w:val="00C35AA4"/>
    <w:rsid w:val="00C42519"/>
    <w:rsid w:val="00C50B66"/>
    <w:rsid w:val="00C711C1"/>
    <w:rsid w:val="00C8712D"/>
    <w:rsid w:val="00CA06DB"/>
    <w:rsid w:val="00CD2DD6"/>
    <w:rsid w:val="00CF48D7"/>
    <w:rsid w:val="00CF6D58"/>
    <w:rsid w:val="00D00061"/>
    <w:rsid w:val="00D13FDB"/>
    <w:rsid w:val="00D46357"/>
    <w:rsid w:val="00D542FD"/>
    <w:rsid w:val="00D678DA"/>
    <w:rsid w:val="00D82DB0"/>
    <w:rsid w:val="00D86804"/>
    <w:rsid w:val="00DA459F"/>
    <w:rsid w:val="00DC1A95"/>
    <w:rsid w:val="00DC6899"/>
    <w:rsid w:val="00DD38F7"/>
    <w:rsid w:val="00E03B60"/>
    <w:rsid w:val="00E246E8"/>
    <w:rsid w:val="00E24E8D"/>
    <w:rsid w:val="00E34B5B"/>
    <w:rsid w:val="00E34C99"/>
    <w:rsid w:val="00E37BBC"/>
    <w:rsid w:val="00E37F9A"/>
    <w:rsid w:val="00E41D52"/>
    <w:rsid w:val="00E45C18"/>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4C22"/>
    <w:rsid w:val="00F24FD4"/>
    <w:rsid w:val="00F257CA"/>
    <w:rsid w:val="00F304E9"/>
    <w:rsid w:val="00F54349"/>
    <w:rsid w:val="00F67803"/>
    <w:rsid w:val="00F766D8"/>
    <w:rsid w:val="00FA42AF"/>
    <w:rsid w:val="00FB7E0F"/>
    <w:rsid w:val="00FD0540"/>
    <w:rsid w:val="00FD1C8E"/>
    <w:rsid w:val="00FD3F26"/>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customStyle="1" w:styleId="8gu">
    <w:name w:val="_8gu_"/>
    <w:basedOn w:val="Normal"/>
    <w:rsid w:val="00675074"/>
    <w:pPr>
      <w:spacing w:before="100" w:beforeAutospacing="1" w:after="100" w:afterAutospacing="1"/>
    </w:pPr>
    <w:rPr>
      <w:rFonts w:ascii="Times New Roman" w:eastAsia="Times New Roman" w:hAnsi="Times New Roman" w:cs="Times New Roman"/>
      <w:lang w:val="en-EG"/>
    </w:rPr>
  </w:style>
  <w:style w:type="character" w:customStyle="1" w:styleId="8gv4">
    <w:name w:val="_8gv4"/>
    <w:basedOn w:val="DefaultParagraphFont"/>
    <w:rsid w:val="0067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9417">
      <w:bodyDiv w:val="1"/>
      <w:marLeft w:val="0"/>
      <w:marRight w:val="0"/>
      <w:marTop w:val="0"/>
      <w:marBottom w:val="0"/>
      <w:divBdr>
        <w:top w:val="none" w:sz="0" w:space="0" w:color="auto"/>
        <w:left w:val="none" w:sz="0" w:space="0" w:color="auto"/>
        <w:bottom w:val="none" w:sz="0" w:space="0" w:color="auto"/>
        <w:right w:val="none" w:sz="0" w:space="0" w:color="auto"/>
      </w:divBdr>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272">
      <w:bodyDiv w:val="1"/>
      <w:marLeft w:val="0"/>
      <w:marRight w:val="0"/>
      <w:marTop w:val="0"/>
      <w:marBottom w:val="0"/>
      <w:divBdr>
        <w:top w:val="none" w:sz="0" w:space="0" w:color="auto"/>
        <w:left w:val="none" w:sz="0" w:space="0" w:color="auto"/>
        <w:bottom w:val="none" w:sz="0" w:space="0" w:color="auto"/>
        <w:right w:val="none" w:sz="0" w:space="0" w:color="auto"/>
      </w:divBdr>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o.es/portal/page/portal/Congreso/Congreso/Hist_Normas/Norm/const_espa_texto_ingle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r.coe.int/Documents/Convention_ENG.pdf" TargetMode="External"/><Relationship Id="rId5" Type="http://schemas.openxmlformats.org/officeDocument/2006/relationships/hyperlink" Target="https://www.echr.coe.int/Documents/Convention_ENG.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3</cp:revision>
  <dcterms:created xsi:type="dcterms:W3CDTF">2024-01-13T15:56:00Z</dcterms:created>
  <dcterms:modified xsi:type="dcterms:W3CDTF">2024-01-13T16:01:00Z</dcterms:modified>
</cp:coreProperties>
</file>