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6321D" w14:textId="2440D6B7" w:rsidR="00BB2804" w:rsidRPr="00CE0DD1" w:rsidRDefault="00EE4216" w:rsidP="00FB13CC">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Case Title: </w:t>
      </w:r>
      <w:r w:rsidR="005A0AE7" w:rsidRPr="005A0AE7">
        <w:rPr>
          <w:rFonts w:ascii="Garamond" w:hAnsi="Garamond"/>
          <w:b/>
          <w:bCs/>
          <w:color w:val="000000" w:themeColor="text1"/>
          <w:sz w:val="22"/>
          <w:szCs w:val="22"/>
          <w:lang w:val="en-US"/>
        </w:rPr>
        <w:t>Oversight Board Case of</w:t>
      </w:r>
      <w:r w:rsidR="005A0AE7" w:rsidRPr="005A0AE7">
        <w:t xml:space="preserve"> </w:t>
      </w:r>
      <w:r w:rsidR="005A0AE7" w:rsidRPr="005A0AE7">
        <w:rPr>
          <w:rFonts w:ascii="Garamond" w:hAnsi="Garamond"/>
          <w:b/>
          <w:bCs/>
          <w:color w:val="000000" w:themeColor="text1"/>
          <w:sz w:val="22"/>
          <w:szCs w:val="22"/>
          <w:lang w:val="en-US"/>
        </w:rPr>
        <w:t xml:space="preserve">Sri Lanka </w:t>
      </w:r>
      <w:r w:rsidR="00FB13CC">
        <w:rPr>
          <w:rFonts w:ascii="Garamond" w:hAnsi="Garamond"/>
          <w:b/>
          <w:bCs/>
          <w:color w:val="000000" w:themeColor="text1"/>
          <w:sz w:val="22"/>
          <w:szCs w:val="22"/>
          <w:lang w:val="en-US"/>
        </w:rPr>
        <w:t>P</w:t>
      </w:r>
      <w:r w:rsidR="005A0AE7" w:rsidRPr="005A0AE7">
        <w:rPr>
          <w:rFonts w:ascii="Garamond" w:hAnsi="Garamond"/>
          <w:b/>
          <w:bCs/>
          <w:color w:val="000000" w:themeColor="text1"/>
          <w:sz w:val="22"/>
          <w:szCs w:val="22"/>
          <w:lang w:val="en-US"/>
        </w:rPr>
        <w:t>harmaceuticals</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40636EAA" w:rsidR="00BB2804" w:rsidRPr="00E20DAF" w:rsidRDefault="00BB2804" w:rsidP="009749C7">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r w:rsidR="009749C7" w:rsidRPr="009749C7">
        <w:rPr>
          <w:rFonts w:ascii="Garamond" w:hAnsi="Garamond"/>
          <w:sz w:val="22"/>
          <w:szCs w:val="22"/>
          <w:lang w:val="en-US"/>
        </w:rPr>
        <w:t>2022-014-FB-MR</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78EC8970" w:rsidR="00BB2804" w:rsidRPr="00E20DAF" w:rsidRDefault="00BB2804" w:rsidP="00F54FE9">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r w:rsidR="00F54FE9" w:rsidRPr="00F54FE9">
        <w:rPr>
          <w:rFonts w:ascii="Garamond" w:hAnsi="Garamond"/>
          <w:sz w:val="22"/>
          <w:szCs w:val="22"/>
          <w:lang w:val="en-US"/>
        </w:rPr>
        <w:t>Central and South Asia</w:t>
      </w:r>
    </w:p>
    <w:p w14:paraId="079501A2" w14:textId="2CD3BCBB" w:rsidR="00BB2804" w:rsidRPr="00E20DAF" w:rsidRDefault="00BB2804" w:rsidP="00CF0B3B">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r w:rsidR="00CF0B3B" w:rsidRPr="00CF0B3B">
        <w:rPr>
          <w:rFonts w:ascii="Garamond" w:hAnsi="Garamond"/>
          <w:sz w:val="22"/>
          <w:szCs w:val="22"/>
          <w:lang w:val="en-US"/>
        </w:rPr>
        <w:t>Sri Lanka</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27C263E7" w:rsidR="00BB2804" w:rsidRPr="00E20DAF" w:rsidRDefault="00BB2804" w:rsidP="00CF0B3B">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r w:rsidR="00CF0B3B" w:rsidRPr="00CF0B3B">
        <w:rPr>
          <w:rFonts w:ascii="Garamond" w:hAnsi="Garamond"/>
          <w:sz w:val="22"/>
          <w:szCs w:val="22"/>
          <w:lang w:val="en-US"/>
        </w:rPr>
        <w:t>Oversight Board</w:t>
      </w:r>
    </w:p>
    <w:p w14:paraId="62C18981" w14:textId="0EEE907A" w:rsidR="00BB2804" w:rsidRPr="00E20DAF" w:rsidRDefault="00BB2804" w:rsidP="00F54FE9">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r w:rsidR="00F54FE9" w:rsidRPr="00F54FE9">
        <w:rPr>
          <w:rFonts w:ascii="Garamond" w:hAnsi="Garamond"/>
          <w:sz w:val="22"/>
          <w:szCs w:val="22"/>
          <w:lang w:val="en-US"/>
        </w:rPr>
        <w:t>Meta's content policies, International Human Rights Law</w:t>
      </w:r>
    </w:p>
    <w:p w14:paraId="35C4FF78" w14:textId="0ED654FF" w:rsidR="00BB2804" w:rsidRPr="00FA42AF" w:rsidRDefault="00BB2804" w:rsidP="005A0AE7">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5A0AE7" w:rsidRPr="005A0AE7">
        <w:t xml:space="preserve"> </w:t>
      </w:r>
      <w:r w:rsidR="005A0AE7" w:rsidRPr="005A0AE7">
        <w:rPr>
          <w:rFonts w:ascii="Garamond" w:hAnsi="Garamond"/>
          <w:sz w:val="22"/>
          <w:szCs w:val="22"/>
          <w:lang w:val="en-US"/>
        </w:rPr>
        <w:t>Regulated goods</w:t>
      </w:r>
      <w:r w:rsidR="00FA42AF" w:rsidRPr="00FA42AF">
        <w:rPr>
          <w:rFonts w:ascii="Garamond" w:hAnsi="Garamond"/>
          <w:sz w:val="22"/>
          <w:szCs w:val="22"/>
          <w:lang w:val="en-US"/>
        </w:rPr>
        <w:t xml:space="preserve"> </w:t>
      </w:r>
    </w:p>
    <w:p w14:paraId="61895DC2" w14:textId="4A0BE0AC" w:rsidR="00BB2804" w:rsidRPr="00272504" w:rsidRDefault="00BB2804" w:rsidP="00F54FE9">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r w:rsidR="00F54FE9" w:rsidRPr="00F54FE9">
        <w:rPr>
          <w:rFonts w:ascii="Garamond" w:hAnsi="Garamond"/>
          <w:sz w:val="22"/>
          <w:szCs w:val="22"/>
          <w:lang w:val="en-US"/>
        </w:rPr>
        <w:t>upheld Meta's decision</w:t>
      </w:r>
    </w:p>
    <w:p w14:paraId="6DDEBA09" w14:textId="4E57B616" w:rsidR="00BB2804" w:rsidRPr="00E20DAF" w:rsidRDefault="00BB2804" w:rsidP="00F54FE9">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r w:rsidR="00F54FE9" w:rsidRPr="00F54FE9">
        <w:rPr>
          <w:rFonts w:ascii="Garamond" w:hAnsi="Garamond"/>
          <w:sz w:val="22"/>
          <w:szCs w:val="22"/>
          <w:lang w:val="en-US"/>
        </w:rPr>
        <w:t>closed</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776E8614" w14:textId="77777777" w:rsidR="00956F5D" w:rsidRPr="00A95811" w:rsidRDefault="00956F5D" w:rsidP="00BB2804">
      <w:pPr>
        <w:spacing w:line="276" w:lineRule="auto"/>
        <w:jc w:val="both"/>
        <w:rPr>
          <w:rFonts w:ascii="Garamond" w:hAnsi="Garamond"/>
          <w:color w:val="000000" w:themeColor="text1"/>
          <w:sz w:val="22"/>
          <w:szCs w:val="22"/>
          <w:lang w:val="en-US"/>
        </w:rPr>
      </w:pPr>
    </w:p>
    <w:p w14:paraId="689556F6" w14:textId="77777777" w:rsidR="00BB2804"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DA03DC5" w14:textId="77777777" w:rsidR="00956F5D" w:rsidRPr="00D82DB0" w:rsidRDefault="00956F5D" w:rsidP="00956F5D">
      <w:pPr>
        <w:pStyle w:val="ListParagraph"/>
        <w:spacing w:line="276" w:lineRule="auto"/>
        <w:ind w:left="360"/>
        <w:jc w:val="both"/>
        <w:rPr>
          <w:rFonts w:ascii="Garamond" w:hAnsi="Garamond"/>
          <w:sz w:val="22"/>
          <w:szCs w:val="22"/>
          <w:lang w:val="en-US"/>
        </w:rPr>
      </w:pPr>
    </w:p>
    <w:p w14:paraId="22D4E1F4" w14:textId="66A5B045" w:rsidR="00737288" w:rsidRPr="00E148AA" w:rsidRDefault="00737288" w:rsidP="00FB13CC">
      <w:pPr>
        <w:spacing w:line="276" w:lineRule="auto"/>
        <w:jc w:val="both"/>
        <w:rPr>
          <w:rFonts w:ascii="Garamond" w:hAnsi="Garamond"/>
          <w:sz w:val="22"/>
          <w:szCs w:val="22"/>
        </w:rPr>
      </w:pPr>
      <w:r w:rsidRPr="00737288">
        <w:rPr>
          <w:rFonts w:ascii="Garamond" w:hAnsi="Garamond"/>
          <w:sz w:val="22"/>
          <w:szCs w:val="22"/>
          <w:lang w:val="en-US"/>
        </w:rPr>
        <w:t>The Oversight Board</w:t>
      </w:r>
      <w:r>
        <w:rPr>
          <w:rFonts w:ascii="Garamond" w:hAnsi="Garamond"/>
          <w:sz w:val="22"/>
          <w:szCs w:val="22"/>
          <w:lang w:val="en-US"/>
        </w:rPr>
        <w:t xml:space="preserve"> upheld Meta's decision to leave up </w:t>
      </w:r>
      <w:r w:rsidRPr="00737288">
        <w:rPr>
          <w:rFonts w:ascii="Garamond" w:hAnsi="Garamond"/>
          <w:sz w:val="22"/>
          <w:szCs w:val="22"/>
          <w:lang w:val="en-US"/>
        </w:rPr>
        <w:t>a Facebook post that is asking for donations of pharmaceutical drugs to Sri Lanka</w:t>
      </w:r>
      <w:r>
        <w:rPr>
          <w:rFonts w:ascii="Garamond" w:hAnsi="Garamond"/>
          <w:sz w:val="22"/>
          <w:szCs w:val="22"/>
          <w:lang w:val="en-US"/>
        </w:rPr>
        <w:t>.</w:t>
      </w:r>
      <w:r w:rsidR="00E148AA">
        <w:rPr>
          <w:rFonts w:ascii="Garamond" w:hAnsi="Garamond"/>
          <w:sz w:val="22"/>
          <w:szCs w:val="22"/>
          <w:lang w:val="en-US"/>
        </w:rPr>
        <w:t xml:space="preserve"> </w:t>
      </w:r>
      <w:r w:rsidR="00AA0C0E">
        <w:rPr>
          <w:rFonts w:ascii="Garamond" w:hAnsi="Garamond"/>
          <w:sz w:val="22"/>
          <w:szCs w:val="22"/>
          <w:lang w:val="en-US"/>
        </w:rPr>
        <w:t>The</w:t>
      </w:r>
      <w:r w:rsidR="00E148AA">
        <w:rPr>
          <w:rFonts w:ascii="Garamond" w:hAnsi="Garamond"/>
          <w:sz w:val="22"/>
          <w:szCs w:val="22"/>
          <w:lang w:val="en-US"/>
        </w:rPr>
        <w:t xml:space="preserve"> country at that </w:t>
      </w:r>
      <w:r w:rsidR="00AA0C0E">
        <w:rPr>
          <w:rFonts w:ascii="Garamond" w:hAnsi="Garamond"/>
          <w:sz w:val="22"/>
          <w:szCs w:val="22"/>
          <w:lang w:val="en-US"/>
        </w:rPr>
        <w:t>time</w:t>
      </w:r>
      <w:r w:rsidR="00E148AA">
        <w:rPr>
          <w:rFonts w:ascii="Garamond" w:hAnsi="Garamond"/>
          <w:sz w:val="22"/>
          <w:szCs w:val="22"/>
          <w:lang w:val="en-US"/>
        </w:rPr>
        <w:t xml:space="preserve"> was in severe political and </w:t>
      </w:r>
      <w:r w:rsidR="00AA0C0E">
        <w:rPr>
          <w:rFonts w:ascii="Garamond" w:hAnsi="Garamond"/>
          <w:sz w:val="22"/>
          <w:szCs w:val="22"/>
          <w:lang w:val="en-US"/>
        </w:rPr>
        <w:t>financial crisis which caused a significant shortage of medicine.</w:t>
      </w:r>
      <w:r w:rsidR="00E148AA">
        <w:rPr>
          <w:rFonts w:ascii="Garamond" w:hAnsi="Garamond"/>
          <w:sz w:val="22"/>
          <w:szCs w:val="22"/>
          <w:lang w:val="en-US"/>
        </w:rPr>
        <w:t xml:space="preserve">  Meta found that the post violated </w:t>
      </w:r>
      <w:r w:rsidR="00E148AA" w:rsidRPr="00E148AA">
        <w:rPr>
          <w:rFonts w:ascii="Garamond" w:hAnsi="Garamond"/>
          <w:sz w:val="22"/>
          <w:szCs w:val="22"/>
          <w:lang w:val="en-US"/>
        </w:rPr>
        <w:t xml:space="preserve">its Restricted Goods and Services </w:t>
      </w:r>
      <w:r w:rsidR="00E148AA">
        <w:rPr>
          <w:rFonts w:ascii="Garamond" w:hAnsi="Garamond"/>
          <w:sz w:val="22"/>
          <w:szCs w:val="22"/>
          <w:lang w:val="en-US"/>
        </w:rPr>
        <w:t>p</w:t>
      </w:r>
      <w:r w:rsidR="00AA0C0E">
        <w:rPr>
          <w:rFonts w:ascii="Garamond" w:hAnsi="Garamond"/>
          <w:sz w:val="22"/>
          <w:szCs w:val="22"/>
          <w:lang w:val="en-US"/>
        </w:rPr>
        <w:t>ol</w:t>
      </w:r>
      <w:r w:rsidR="00E148AA">
        <w:rPr>
          <w:rFonts w:ascii="Garamond" w:hAnsi="Garamond"/>
          <w:sz w:val="22"/>
          <w:szCs w:val="22"/>
          <w:lang w:val="en-US"/>
        </w:rPr>
        <w:t xml:space="preserve">icy which </w:t>
      </w:r>
      <w:r w:rsidR="00E148AA" w:rsidRPr="00E148AA">
        <w:rPr>
          <w:rFonts w:ascii="Garamond" w:hAnsi="Garamond"/>
          <w:sz w:val="22"/>
          <w:szCs w:val="22"/>
        </w:rPr>
        <w:t>prohibits content that asks for pharmaceutical drugs</w:t>
      </w:r>
      <w:r w:rsidR="00AA0C0E">
        <w:rPr>
          <w:rFonts w:ascii="Garamond" w:hAnsi="Garamond"/>
          <w:sz w:val="22"/>
          <w:szCs w:val="22"/>
        </w:rPr>
        <w:t xml:space="preserve">. However, the company </w:t>
      </w:r>
      <w:r w:rsidR="00AA0C0E" w:rsidRPr="00AA0C0E">
        <w:rPr>
          <w:rFonts w:ascii="Garamond" w:hAnsi="Garamond"/>
          <w:sz w:val="22"/>
          <w:szCs w:val="22"/>
        </w:rPr>
        <w:t xml:space="preserve">applied a "spirit of the </w:t>
      </w:r>
      <w:r w:rsidR="00AA0C0E">
        <w:rPr>
          <w:rFonts w:ascii="Garamond" w:hAnsi="Garamond"/>
          <w:sz w:val="22"/>
          <w:szCs w:val="22"/>
        </w:rPr>
        <w:t xml:space="preserve">policy" allowance to permit the </w:t>
      </w:r>
      <w:r w:rsidR="00391C87">
        <w:rPr>
          <w:rFonts w:ascii="Garamond" w:hAnsi="Garamond"/>
          <w:sz w:val="22"/>
          <w:szCs w:val="22"/>
        </w:rPr>
        <w:t>post</w:t>
      </w:r>
      <w:r w:rsidR="00AA0C0E">
        <w:rPr>
          <w:rFonts w:ascii="Garamond" w:hAnsi="Garamond"/>
          <w:sz w:val="22"/>
          <w:szCs w:val="22"/>
        </w:rPr>
        <w:t xml:space="preserve"> and</w:t>
      </w:r>
      <w:r w:rsidR="00391C87">
        <w:rPr>
          <w:rFonts w:ascii="Garamond" w:hAnsi="Garamond"/>
          <w:sz w:val="22"/>
          <w:szCs w:val="22"/>
        </w:rPr>
        <w:t xml:space="preserve"> to </w:t>
      </w:r>
      <w:r w:rsidR="00BD6BB4">
        <w:rPr>
          <w:rFonts w:ascii="Garamond" w:hAnsi="Garamond"/>
          <w:sz w:val="22"/>
          <w:szCs w:val="22"/>
        </w:rPr>
        <w:t>reinforce</w:t>
      </w:r>
      <w:r w:rsidR="00391C87">
        <w:rPr>
          <w:rFonts w:ascii="Garamond" w:hAnsi="Garamond"/>
          <w:sz w:val="22"/>
          <w:szCs w:val="22"/>
        </w:rPr>
        <w:t xml:space="preserve"> the policy rational</w:t>
      </w:r>
      <w:r w:rsidR="00FB13CC">
        <w:rPr>
          <w:rFonts w:ascii="Garamond" w:hAnsi="Garamond"/>
          <w:sz w:val="22"/>
          <w:szCs w:val="22"/>
        </w:rPr>
        <w:t>e</w:t>
      </w:r>
      <w:r w:rsidR="00391C87">
        <w:rPr>
          <w:rFonts w:ascii="Garamond" w:hAnsi="Garamond"/>
          <w:sz w:val="22"/>
          <w:szCs w:val="22"/>
        </w:rPr>
        <w:t xml:space="preserve"> of "encouraging safety". </w:t>
      </w:r>
      <w:r w:rsidR="00AA0C0E">
        <w:rPr>
          <w:rFonts w:ascii="Garamond" w:hAnsi="Garamond"/>
          <w:sz w:val="22"/>
          <w:szCs w:val="22"/>
        </w:rPr>
        <w:t xml:space="preserve"> </w:t>
      </w:r>
    </w:p>
    <w:p w14:paraId="332A75B4" w14:textId="39488197" w:rsidR="00737288" w:rsidRPr="00BC790E" w:rsidRDefault="00BC790E" w:rsidP="00FB13CC">
      <w:pPr>
        <w:spacing w:line="276" w:lineRule="auto"/>
        <w:jc w:val="both"/>
        <w:rPr>
          <w:rFonts w:ascii="Garamond" w:hAnsi="Garamond"/>
          <w:sz w:val="22"/>
          <w:szCs w:val="22"/>
        </w:rPr>
      </w:pPr>
      <w:r>
        <w:rPr>
          <w:rFonts w:ascii="Garamond" w:hAnsi="Garamond"/>
          <w:sz w:val="22"/>
          <w:szCs w:val="22"/>
        </w:rPr>
        <w:t>T</w:t>
      </w:r>
      <w:r w:rsidRPr="00BC790E">
        <w:rPr>
          <w:rFonts w:ascii="Garamond" w:hAnsi="Garamond"/>
          <w:sz w:val="22"/>
          <w:szCs w:val="22"/>
        </w:rPr>
        <w:t>he Board upheld Meta's decision to leave up the content and to issue a "spirit of the policy" allowance as it protected people's life and health in Sri Lanka.</w:t>
      </w:r>
      <w:r w:rsidR="00BD6BB4" w:rsidRPr="00BD6BB4">
        <w:t xml:space="preserve"> </w:t>
      </w:r>
      <w:r w:rsidR="00BD6BB4" w:rsidRPr="00BD6BB4">
        <w:rPr>
          <w:rFonts w:ascii="Garamond" w:hAnsi="Garamond"/>
          <w:sz w:val="22"/>
          <w:szCs w:val="22"/>
        </w:rPr>
        <w:t>The Board stressed that Meta should</w:t>
      </w:r>
      <w:r w:rsidR="00956F5D" w:rsidRPr="00956F5D">
        <w:t xml:space="preserve"> </w:t>
      </w:r>
      <w:r w:rsidR="00956F5D" w:rsidRPr="00956F5D">
        <w:rPr>
          <w:rFonts w:ascii="Garamond" w:hAnsi="Garamond"/>
          <w:sz w:val="22"/>
          <w:szCs w:val="22"/>
        </w:rPr>
        <w:t>provide users with more clarity and information about</w:t>
      </w:r>
      <w:r w:rsidR="00956F5D">
        <w:rPr>
          <w:rFonts w:ascii="Garamond" w:hAnsi="Garamond"/>
          <w:sz w:val="22"/>
          <w:szCs w:val="22"/>
        </w:rPr>
        <w:t xml:space="preserve"> </w:t>
      </w:r>
      <w:r w:rsidR="00956F5D" w:rsidRPr="00956F5D">
        <w:rPr>
          <w:rFonts w:ascii="Garamond" w:hAnsi="Garamond"/>
          <w:sz w:val="22"/>
          <w:szCs w:val="22"/>
        </w:rPr>
        <w:t xml:space="preserve">the criteria </w:t>
      </w:r>
      <w:r w:rsidR="00956F5D">
        <w:rPr>
          <w:rFonts w:ascii="Garamond" w:hAnsi="Garamond"/>
          <w:sz w:val="22"/>
          <w:szCs w:val="22"/>
        </w:rPr>
        <w:t>the company</w:t>
      </w:r>
      <w:r w:rsidR="00956F5D" w:rsidRPr="00956F5D">
        <w:rPr>
          <w:rFonts w:ascii="Garamond" w:hAnsi="Garamond"/>
          <w:sz w:val="22"/>
          <w:szCs w:val="22"/>
        </w:rPr>
        <w:t xml:space="preserve"> uses to issue or terminate the allowance</w:t>
      </w:r>
      <w:r w:rsidR="00956F5D">
        <w:rPr>
          <w:rFonts w:ascii="Garamond" w:hAnsi="Garamond"/>
          <w:sz w:val="22"/>
          <w:szCs w:val="22"/>
        </w:rPr>
        <w:t>.</w:t>
      </w:r>
    </w:p>
    <w:p w14:paraId="118CED5D" w14:textId="77777777" w:rsidR="00737288" w:rsidRDefault="00737288" w:rsidP="0029093B">
      <w:pPr>
        <w:spacing w:line="276" w:lineRule="auto"/>
        <w:jc w:val="both"/>
        <w:rPr>
          <w:rFonts w:ascii="Garamond" w:hAnsi="Garamond"/>
          <w:sz w:val="22"/>
          <w:szCs w:val="22"/>
          <w:lang w:val="en-US"/>
        </w:rPr>
      </w:pPr>
    </w:p>
    <w:p w14:paraId="0F2D55A7" w14:textId="77777777" w:rsidR="00737288" w:rsidRPr="0029093B" w:rsidRDefault="00737288" w:rsidP="0029093B">
      <w:pPr>
        <w:spacing w:line="276" w:lineRule="auto"/>
        <w:jc w:val="both"/>
        <w:rPr>
          <w:rFonts w:ascii="Garamond" w:hAnsi="Garamond"/>
          <w:sz w:val="22"/>
          <w:szCs w:val="22"/>
          <w:lang w:val="en-US"/>
        </w:rPr>
      </w:pPr>
    </w:p>
    <w:p w14:paraId="75504B50" w14:textId="1DB8B95D" w:rsidR="000A5E2D" w:rsidRPr="000A5E2D" w:rsidRDefault="00BB2804" w:rsidP="000A5E2D">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544F7D3F" w14:textId="77777777" w:rsidR="000A5E2D" w:rsidRDefault="000A5E2D" w:rsidP="000A5E2D">
      <w:pPr>
        <w:spacing w:line="276" w:lineRule="auto"/>
        <w:jc w:val="both"/>
        <w:rPr>
          <w:rFonts w:ascii="Garamond" w:hAnsi="Garamond"/>
          <w:sz w:val="22"/>
          <w:szCs w:val="22"/>
          <w:lang w:val="en-US"/>
        </w:rPr>
      </w:pPr>
    </w:p>
    <w:p w14:paraId="4CFEB09E" w14:textId="01A0C853" w:rsidR="00527B86" w:rsidRDefault="000A5E2D" w:rsidP="00FB13CC">
      <w:pPr>
        <w:spacing w:line="276" w:lineRule="auto"/>
        <w:jc w:val="both"/>
        <w:rPr>
          <w:rFonts w:ascii="Garamond" w:hAnsi="Garamond"/>
          <w:sz w:val="22"/>
          <w:szCs w:val="22"/>
          <w:lang w:val="en-US" w:bidi="ar-EG"/>
        </w:rPr>
      </w:pPr>
      <w:r w:rsidRPr="000A5E2D">
        <w:rPr>
          <w:rFonts w:ascii="Garamond" w:hAnsi="Garamond"/>
          <w:sz w:val="22"/>
          <w:szCs w:val="22"/>
          <w:lang w:val="en-US"/>
        </w:rPr>
        <w:t>In Ap</w:t>
      </w:r>
      <w:r w:rsidR="0058511F">
        <w:rPr>
          <w:rFonts w:ascii="Garamond" w:hAnsi="Garamond"/>
          <w:sz w:val="22"/>
          <w:szCs w:val="22"/>
          <w:lang w:val="en-US"/>
        </w:rPr>
        <w:t xml:space="preserve">ril 2022, </w:t>
      </w:r>
      <w:r w:rsidR="0058511F" w:rsidRPr="0058511F">
        <w:rPr>
          <w:rFonts w:ascii="Garamond" w:hAnsi="Garamond"/>
          <w:sz w:val="22"/>
          <w:szCs w:val="22"/>
          <w:lang w:val="en-US"/>
        </w:rPr>
        <w:t xml:space="preserve">during </w:t>
      </w:r>
      <w:r w:rsidR="004353BC">
        <w:rPr>
          <w:rFonts w:ascii="Garamond" w:hAnsi="Garamond"/>
          <w:sz w:val="22"/>
          <w:szCs w:val="22"/>
          <w:lang w:val="en-US"/>
        </w:rPr>
        <w:t>a severe</w:t>
      </w:r>
      <w:r w:rsidR="00A6296C">
        <w:rPr>
          <w:rFonts w:ascii="Garamond" w:hAnsi="Garamond"/>
          <w:sz w:val="22"/>
          <w:szCs w:val="22"/>
          <w:lang w:val="en-US"/>
        </w:rPr>
        <w:t xml:space="preserve"> </w:t>
      </w:r>
      <w:r w:rsidR="0058511F" w:rsidRPr="0058511F">
        <w:rPr>
          <w:rFonts w:ascii="Garamond" w:hAnsi="Garamond"/>
          <w:sz w:val="22"/>
          <w:szCs w:val="22"/>
          <w:lang w:val="en-US"/>
        </w:rPr>
        <w:t>financial crisis</w:t>
      </w:r>
      <w:r w:rsidR="00A6296C">
        <w:rPr>
          <w:rFonts w:ascii="Garamond" w:hAnsi="Garamond"/>
          <w:sz w:val="22"/>
          <w:szCs w:val="22"/>
          <w:lang w:val="en-US"/>
        </w:rPr>
        <w:t xml:space="preserve"> in</w:t>
      </w:r>
      <w:r w:rsidR="00A6296C" w:rsidRPr="00A6296C">
        <w:t xml:space="preserve"> </w:t>
      </w:r>
      <w:r w:rsidR="00A6296C" w:rsidRPr="00A6296C">
        <w:rPr>
          <w:rFonts w:ascii="Garamond" w:hAnsi="Garamond"/>
          <w:sz w:val="22"/>
          <w:szCs w:val="22"/>
          <w:lang w:val="en-US"/>
        </w:rPr>
        <w:t>Sri Lanka</w:t>
      </w:r>
      <w:r w:rsidR="00A6296C">
        <w:rPr>
          <w:rFonts w:ascii="Garamond" w:hAnsi="Garamond"/>
          <w:sz w:val="22"/>
          <w:szCs w:val="22"/>
          <w:lang w:val="en-US"/>
        </w:rPr>
        <w:t xml:space="preserve">, </w:t>
      </w:r>
      <w:r w:rsidR="00A6296C" w:rsidRPr="0058511F">
        <w:rPr>
          <w:rFonts w:ascii="Garamond" w:hAnsi="Garamond"/>
          <w:sz w:val="22"/>
          <w:szCs w:val="22"/>
          <w:lang w:val="en-US"/>
        </w:rPr>
        <w:t>an</w:t>
      </w:r>
      <w:r w:rsidR="0058511F">
        <w:rPr>
          <w:rFonts w:ascii="Garamond" w:hAnsi="Garamond"/>
          <w:sz w:val="22"/>
          <w:szCs w:val="22"/>
          <w:lang w:val="en-US"/>
        </w:rPr>
        <w:t xml:space="preserve"> image was posted on the </w:t>
      </w:r>
      <w:r w:rsidR="0058511F" w:rsidRPr="0058511F">
        <w:rPr>
          <w:rFonts w:ascii="Garamond" w:hAnsi="Garamond"/>
          <w:sz w:val="22"/>
          <w:szCs w:val="22"/>
          <w:lang w:val="en-US"/>
        </w:rPr>
        <w:t>medical trade union</w:t>
      </w:r>
      <w:r w:rsidR="00FB13CC">
        <w:rPr>
          <w:rFonts w:ascii="Garamond" w:hAnsi="Garamond"/>
          <w:sz w:val="22"/>
          <w:szCs w:val="22"/>
          <w:lang w:val="en-US"/>
        </w:rPr>
        <w:t>'s</w:t>
      </w:r>
      <w:r w:rsidR="0058511F">
        <w:rPr>
          <w:rFonts w:ascii="Garamond" w:hAnsi="Garamond"/>
          <w:sz w:val="22"/>
          <w:szCs w:val="22"/>
          <w:lang w:val="en-US"/>
        </w:rPr>
        <w:t xml:space="preserve"> </w:t>
      </w:r>
      <w:r w:rsidR="00A6296C">
        <w:rPr>
          <w:rFonts w:ascii="Garamond" w:hAnsi="Garamond"/>
          <w:sz w:val="22"/>
          <w:szCs w:val="22"/>
          <w:lang w:val="en-US"/>
        </w:rPr>
        <w:t>Facebook</w:t>
      </w:r>
      <w:r w:rsidR="0058511F">
        <w:rPr>
          <w:rFonts w:ascii="Garamond" w:hAnsi="Garamond"/>
          <w:sz w:val="22"/>
          <w:szCs w:val="22"/>
          <w:lang w:val="en-US"/>
        </w:rPr>
        <w:t xml:space="preserve"> </w:t>
      </w:r>
      <w:r w:rsidR="00A6296C">
        <w:rPr>
          <w:rFonts w:ascii="Garamond" w:hAnsi="Garamond"/>
          <w:sz w:val="22"/>
          <w:szCs w:val="22"/>
          <w:lang w:val="en-US"/>
        </w:rPr>
        <w:t>page</w:t>
      </w:r>
      <w:r w:rsidR="0058511F">
        <w:rPr>
          <w:rFonts w:ascii="Garamond" w:hAnsi="Garamond"/>
          <w:sz w:val="22"/>
          <w:szCs w:val="22"/>
          <w:lang w:val="en-US"/>
        </w:rPr>
        <w:t xml:space="preserve">. </w:t>
      </w:r>
      <w:r w:rsidR="00A6296C">
        <w:rPr>
          <w:rFonts w:ascii="Garamond" w:hAnsi="Garamond"/>
          <w:sz w:val="22"/>
          <w:szCs w:val="22"/>
          <w:lang w:val="en-US"/>
        </w:rPr>
        <w:t>The post included a</w:t>
      </w:r>
      <w:r w:rsidR="004353BC">
        <w:rPr>
          <w:rFonts w:ascii="Garamond" w:hAnsi="Garamond"/>
          <w:sz w:val="22"/>
          <w:szCs w:val="22"/>
          <w:lang w:val="en-US"/>
        </w:rPr>
        <w:t xml:space="preserve"> caption</w:t>
      </w:r>
      <w:r w:rsidR="00A6296C">
        <w:rPr>
          <w:rFonts w:ascii="Garamond" w:hAnsi="Garamond"/>
          <w:sz w:val="22"/>
          <w:szCs w:val="22"/>
          <w:lang w:val="en-US"/>
        </w:rPr>
        <w:t xml:space="preserve"> that ask</w:t>
      </w:r>
      <w:r w:rsidR="00FB13CC">
        <w:rPr>
          <w:rFonts w:ascii="Garamond" w:hAnsi="Garamond"/>
          <w:sz w:val="22"/>
          <w:szCs w:val="22"/>
          <w:lang w:val="en-US"/>
        </w:rPr>
        <w:t>ed</w:t>
      </w:r>
      <w:r w:rsidR="00A6296C">
        <w:rPr>
          <w:rFonts w:ascii="Garamond" w:hAnsi="Garamond"/>
          <w:sz w:val="22"/>
          <w:szCs w:val="22"/>
          <w:lang w:val="en-US"/>
        </w:rPr>
        <w:t xml:space="preserve"> people to donate </w:t>
      </w:r>
      <w:r w:rsidR="004353BC" w:rsidRPr="004353BC">
        <w:rPr>
          <w:rFonts w:ascii="Garamond" w:hAnsi="Garamond"/>
          <w:sz w:val="22"/>
          <w:szCs w:val="22"/>
          <w:lang w:val="en-US"/>
        </w:rPr>
        <w:t>pharmaceutical drugs</w:t>
      </w:r>
      <w:r w:rsidR="00277E65" w:rsidRPr="00277E65">
        <w:rPr>
          <w:rFonts w:ascii="Garamond" w:hAnsi="Garamond"/>
          <w:sz w:val="22"/>
          <w:szCs w:val="22"/>
          <w:lang w:val="en-US"/>
        </w:rPr>
        <w:t xml:space="preserve"> to support the healthcare system</w:t>
      </w:r>
      <w:r w:rsidR="00277E65">
        <w:rPr>
          <w:rFonts w:ascii="Garamond" w:hAnsi="Garamond"/>
          <w:sz w:val="22"/>
          <w:szCs w:val="22"/>
          <w:lang w:val="en-US"/>
        </w:rPr>
        <w:t xml:space="preserve"> in Sri </w:t>
      </w:r>
      <w:r w:rsidR="00277E65" w:rsidRPr="00A6296C">
        <w:rPr>
          <w:rFonts w:ascii="Garamond" w:hAnsi="Garamond"/>
          <w:sz w:val="22"/>
          <w:szCs w:val="22"/>
          <w:lang w:val="en-US"/>
        </w:rPr>
        <w:t>Lanka</w:t>
      </w:r>
      <w:r w:rsidR="00277E65">
        <w:rPr>
          <w:rFonts w:ascii="Garamond" w:hAnsi="Garamond"/>
          <w:sz w:val="22"/>
          <w:szCs w:val="22"/>
          <w:lang w:val="en-US"/>
        </w:rPr>
        <w:t>.</w:t>
      </w:r>
      <w:r w:rsidR="003A1934">
        <w:rPr>
          <w:rFonts w:ascii="Garamond" w:hAnsi="Garamond"/>
          <w:sz w:val="22"/>
          <w:szCs w:val="22"/>
          <w:lang w:val="en-US"/>
        </w:rPr>
        <w:t xml:space="preserve"> </w:t>
      </w:r>
      <w:r w:rsidR="00382D2E">
        <w:rPr>
          <w:rFonts w:ascii="Garamond" w:hAnsi="Garamond"/>
          <w:sz w:val="22"/>
          <w:szCs w:val="22"/>
          <w:lang w:val="en-US" w:bidi="ar-EG"/>
        </w:rPr>
        <w:t>No one reported the post.</w:t>
      </w:r>
      <w:r w:rsidR="00382D2E">
        <w:rPr>
          <w:rFonts w:ascii="Garamond" w:hAnsi="Garamond"/>
          <w:sz w:val="22"/>
          <w:szCs w:val="22"/>
          <w:lang w:val="en-US"/>
        </w:rPr>
        <w:t xml:space="preserve"> However, t</w:t>
      </w:r>
      <w:r w:rsidR="003A1934">
        <w:rPr>
          <w:rFonts w:ascii="Garamond" w:hAnsi="Garamond"/>
          <w:sz w:val="22"/>
          <w:szCs w:val="22"/>
          <w:lang w:val="en-US"/>
        </w:rPr>
        <w:t xml:space="preserve">he crisis in the country </w:t>
      </w:r>
      <w:r w:rsidR="00065519">
        <w:rPr>
          <w:rFonts w:ascii="Garamond" w:hAnsi="Garamond"/>
          <w:sz w:val="22"/>
          <w:szCs w:val="22"/>
          <w:lang w:val="en-US"/>
        </w:rPr>
        <w:t>reached serious and alarming levels</w:t>
      </w:r>
      <w:r w:rsidR="00002978">
        <w:rPr>
          <w:rFonts w:ascii="Garamond" w:hAnsi="Garamond"/>
          <w:sz w:val="22"/>
          <w:szCs w:val="22"/>
          <w:lang w:val="en-US"/>
        </w:rPr>
        <w:t xml:space="preserve"> as the </w:t>
      </w:r>
      <w:r w:rsidR="00005D81">
        <w:rPr>
          <w:rFonts w:ascii="Garamond" w:hAnsi="Garamond"/>
          <w:sz w:val="22"/>
          <w:szCs w:val="22"/>
          <w:lang w:val="en-US"/>
        </w:rPr>
        <w:t>doctors</w:t>
      </w:r>
      <w:r w:rsidR="00382D2E">
        <w:rPr>
          <w:rFonts w:ascii="Garamond" w:hAnsi="Garamond"/>
          <w:sz w:val="22"/>
          <w:szCs w:val="22"/>
          <w:lang w:val="en-US"/>
        </w:rPr>
        <w:t xml:space="preserve"> the</w:t>
      </w:r>
      <w:r w:rsidR="00002978">
        <w:rPr>
          <w:rFonts w:ascii="Garamond" w:hAnsi="Garamond"/>
          <w:sz w:val="22"/>
          <w:szCs w:val="22"/>
          <w:lang w:val="en-US"/>
        </w:rPr>
        <w:t>r</w:t>
      </w:r>
      <w:r w:rsidR="00382D2E">
        <w:rPr>
          <w:rFonts w:ascii="Garamond" w:hAnsi="Garamond"/>
          <w:sz w:val="22"/>
          <w:szCs w:val="22"/>
          <w:lang w:val="en-US"/>
        </w:rPr>
        <w:t>e</w:t>
      </w:r>
      <w:r w:rsidR="00002978">
        <w:rPr>
          <w:rFonts w:ascii="Garamond" w:hAnsi="Garamond"/>
          <w:sz w:val="22"/>
          <w:szCs w:val="22"/>
          <w:lang w:val="en-US"/>
        </w:rPr>
        <w:t xml:space="preserve"> reported that the main medicines and supplies</w:t>
      </w:r>
      <w:r w:rsidR="00FB13CC">
        <w:rPr>
          <w:rFonts w:ascii="Garamond" w:hAnsi="Garamond"/>
          <w:sz w:val="22"/>
          <w:szCs w:val="22"/>
          <w:lang w:val="en-US"/>
        </w:rPr>
        <w:t xml:space="preserve"> were running out</w:t>
      </w:r>
      <w:r w:rsidR="00002978">
        <w:rPr>
          <w:rFonts w:ascii="Garamond" w:hAnsi="Garamond"/>
          <w:sz w:val="22"/>
          <w:szCs w:val="22"/>
          <w:lang w:val="en-US"/>
        </w:rPr>
        <w:t xml:space="preserve">. They </w:t>
      </w:r>
      <w:r w:rsidR="00382D2E">
        <w:rPr>
          <w:rFonts w:ascii="Garamond" w:hAnsi="Garamond"/>
          <w:sz w:val="22"/>
          <w:szCs w:val="22"/>
          <w:lang w:val="en-US"/>
        </w:rPr>
        <w:t>expected</w:t>
      </w:r>
      <w:r w:rsidR="00005D81">
        <w:rPr>
          <w:rFonts w:ascii="Garamond" w:hAnsi="Garamond"/>
          <w:sz w:val="22"/>
          <w:szCs w:val="22"/>
          <w:lang w:val="en-US"/>
        </w:rPr>
        <w:t xml:space="preserve"> an impending</w:t>
      </w:r>
      <w:r w:rsidR="00005D81" w:rsidRPr="00005D81">
        <w:rPr>
          <w:rFonts w:ascii="Garamond" w:hAnsi="Garamond"/>
          <w:sz w:val="22"/>
          <w:szCs w:val="22"/>
          <w:lang w:val="en-US"/>
        </w:rPr>
        <w:t xml:space="preserve"> health catastrophe.</w:t>
      </w:r>
      <w:r w:rsidR="00382D2E">
        <w:rPr>
          <w:rFonts w:ascii="Garamond" w:hAnsi="Garamond"/>
          <w:sz w:val="22"/>
          <w:szCs w:val="22"/>
          <w:lang w:val="en-US" w:bidi="ar-EG"/>
        </w:rPr>
        <w:t xml:space="preserve"> Hence, in such</w:t>
      </w:r>
      <w:r w:rsidR="00382D2E" w:rsidRPr="00382D2E">
        <w:t xml:space="preserve"> </w:t>
      </w:r>
      <w:r w:rsidR="00382D2E" w:rsidRPr="00382D2E">
        <w:rPr>
          <w:rFonts w:ascii="Garamond" w:hAnsi="Garamond"/>
          <w:sz w:val="22"/>
          <w:szCs w:val="22"/>
          <w:lang w:val="en-US" w:bidi="ar-EG"/>
        </w:rPr>
        <w:t>high-risk events</w:t>
      </w:r>
      <w:r w:rsidR="00FB13CC">
        <w:rPr>
          <w:rFonts w:ascii="Garamond" w:hAnsi="Garamond"/>
          <w:sz w:val="22"/>
          <w:szCs w:val="22"/>
          <w:lang w:val="en-US" w:bidi="ar-EG"/>
        </w:rPr>
        <w:t>,</w:t>
      </w:r>
      <w:r w:rsidR="009B0F0A">
        <w:rPr>
          <w:rFonts w:ascii="Garamond" w:hAnsi="Garamond"/>
          <w:sz w:val="22"/>
          <w:szCs w:val="22"/>
          <w:lang w:val="en-US" w:bidi="ar-EG"/>
        </w:rPr>
        <w:t xml:space="preserve"> Meta conducts a risk-monitoring effort.</w:t>
      </w:r>
      <w:r w:rsidR="00382D2E">
        <w:rPr>
          <w:rFonts w:ascii="Garamond" w:hAnsi="Garamond"/>
          <w:sz w:val="22"/>
          <w:szCs w:val="22"/>
          <w:lang w:val="en-US" w:bidi="ar-EG"/>
        </w:rPr>
        <w:t xml:space="preserve"> </w:t>
      </w:r>
    </w:p>
    <w:p w14:paraId="14D5D98B" w14:textId="196E8983" w:rsidR="009B0F0A" w:rsidRDefault="009B0F0A" w:rsidP="00FB13CC">
      <w:pPr>
        <w:spacing w:line="276" w:lineRule="auto"/>
        <w:jc w:val="both"/>
        <w:rPr>
          <w:rFonts w:ascii="Garamond" w:hAnsi="Garamond"/>
          <w:sz w:val="22"/>
          <w:szCs w:val="22"/>
          <w:lang w:val="en-US" w:bidi="ar-EG"/>
        </w:rPr>
      </w:pPr>
      <w:r>
        <w:rPr>
          <w:rFonts w:ascii="Garamond" w:hAnsi="Garamond"/>
          <w:sz w:val="22"/>
          <w:szCs w:val="22"/>
          <w:lang w:val="en-US" w:bidi="ar-EG"/>
        </w:rPr>
        <w:t xml:space="preserve"> Therefore, Meta G</w:t>
      </w:r>
      <w:r w:rsidR="00D14905">
        <w:rPr>
          <w:rFonts w:ascii="Garamond" w:hAnsi="Garamond"/>
          <w:sz w:val="22"/>
          <w:szCs w:val="22"/>
          <w:lang w:val="en-US" w:bidi="ar-EG"/>
        </w:rPr>
        <w:t xml:space="preserve">lobal </w:t>
      </w:r>
      <w:r w:rsidR="00D14905" w:rsidRPr="00D14905">
        <w:rPr>
          <w:rFonts w:ascii="Garamond" w:hAnsi="Garamond"/>
          <w:sz w:val="22"/>
          <w:szCs w:val="22"/>
          <w:lang w:val="en-US" w:bidi="ar-EG"/>
        </w:rPr>
        <w:t>Operations team</w:t>
      </w:r>
      <w:r w:rsidR="00611011">
        <w:rPr>
          <w:rFonts w:ascii="Garamond" w:hAnsi="Garamond"/>
          <w:sz w:val="22"/>
          <w:szCs w:val="22"/>
          <w:lang w:val="en-US" w:bidi="ar-EG"/>
        </w:rPr>
        <w:t xml:space="preserve"> identified the </w:t>
      </w:r>
      <w:r w:rsidR="00611011" w:rsidRPr="00611011">
        <w:rPr>
          <w:rFonts w:ascii="Garamond" w:hAnsi="Garamond"/>
          <w:sz w:val="22"/>
          <w:szCs w:val="22"/>
          <w:lang w:val="en-US" w:bidi="ar-EG"/>
        </w:rPr>
        <w:t>content in this case</w:t>
      </w:r>
      <w:r w:rsidR="00670E19">
        <w:rPr>
          <w:rFonts w:ascii="Garamond" w:hAnsi="Garamond"/>
          <w:sz w:val="22"/>
          <w:szCs w:val="22"/>
          <w:lang w:val="en-US" w:bidi="ar-EG"/>
        </w:rPr>
        <w:t xml:space="preserve"> via its</w:t>
      </w:r>
      <w:r w:rsidR="00670E19" w:rsidRPr="00670E19">
        <w:rPr>
          <w:rFonts w:ascii="Garamond" w:hAnsi="Garamond"/>
          <w:sz w:val="22"/>
          <w:szCs w:val="22"/>
          <w:lang w:val="en-US" w:bidi="ar-EG"/>
        </w:rPr>
        <w:t xml:space="preserve"> risk-monitoring effort</w:t>
      </w:r>
      <w:r w:rsidR="00670E19">
        <w:rPr>
          <w:rFonts w:ascii="Garamond" w:hAnsi="Garamond"/>
          <w:sz w:val="22"/>
          <w:szCs w:val="22"/>
          <w:lang w:val="en-US" w:bidi="ar-EG"/>
        </w:rPr>
        <w:t xml:space="preserve"> and found that the post violated the company's</w:t>
      </w:r>
      <w:r w:rsidR="00670E19" w:rsidRPr="00670E19">
        <w:t xml:space="preserve"> </w:t>
      </w:r>
      <w:r w:rsidR="00670E19" w:rsidRPr="00670E19">
        <w:rPr>
          <w:rFonts w:ascii="Garamond" w:hAnsi="Garamond"/>
          <w:sz w:val="22"/>
          <w:szCs w:val="22"/>
          <w:lang w:val="en-US" w:bidi="ar-EG"/>
        </w:rPr>
        <w:t>Restricted</w:t>
      </w:r>
      <w:r w:rsidR="00670E19">
        <w:rPr>
          <w:rFonts w:ascii="Garamond" w:hAnsi="Garamond"/>
          <w:sz w:val="22"/>
          <w:szCs w:val="22"/>
          <w:lang w:val="en-US" w:bidi="ar-EG"/>
        </w:rPr>
        <w:t xml:space="preserve"> </w:t>
      </w:r>
      <w:r w:rsidR="00670E19" w:rsidRPr="00315976">
        <w:rPr>
          <w:rFonts w:ascii="Garamond" w:hAnsi="Garamond"/>
          <w:sz w:val="22"/>
          <w:szCs w:val="22"/>
          <w:lang w:val="en-US" w:bidi="ar-EG"/>
        </w:rPr>
        <w:t>Goods and Services Community Standard</w:t>
      </w:r>
      <w:r w:rsidR="00670E19">
        <w:rPr>
          <w:rFonts w:ascii="Garamond" w:hAnsi="Garamond"/>
          <w:sz w:val="22"/>
          <w:szCs w:val="22"/>
          <w:lang w:val="en-US" w:bidi="ar-EG"/>
        </w:rPr>
        <w:t xml:space="preserve">. </w:t>
      </w:r>
      <w:r w:rsidR="00486CF7">
        <w:rPr>
          <w:rFonts w:ascii="Garamond" w:hAnsi="Garamond"/>
          <w:sz w:val="22"/>
          <w:szCs w:val="22"/>
          <w:lang w:val="en-US" w:bidi="ar-EG"/>
        </w:rPr>
        <w:t xml:space="preserve"> After the post</w:t>
      </w:r>
      <w:r w:rsidR="00486CF7" w:rsidRPr="00486CF7">
        <w:rPr>
          <w:rFonts w:ascii="Garamond" w:hAnsi="Garamond"/>
          <w:sz w:val="22"/>
          <w:szCs w:val="22"/>
          <w:lang w:val="en-US" w:bidi="ar-EG"/>
        </w:rPr>
        <w:t xml:space="preserve"> was escalated</w:t>
      </w:r>
      <w:r w:rsidR="00486CF7">
        <w:rPr>
          <w:rFonts w:ascii="Garamond" w:hAnsi="Garamond"/>
          <w:sz w:val="22"/>
          <w:szCs w:val="22"/>
          <w:lang w:val="en-US" w:bidi="ar-EG"/>
        </w:rPr>
        <w:t xml:space="preserve"> for additional review and after </w:t>
      </w:r>
      <w:r w:rsidR="00315976">
        <w:rPr>
          <w:rFonts w:ascii="Garamond" w:hAnsi="Garamond"/>
          <w:sz w:val="22"/>
          <w:szCs w:val="22"/>
          <w:lang w:val="en-US" w:bidi="ar-EG"/>
        </w:rPr>
        <w:t>the</w:t>
      </w:r>
      <w:r w:rsidR="00611011">
        <w:rPr>
          <w:rFonts w:ascii="Garamond" w:hAnsi="Garamond"/>
          <w:sz w:val="22"/>
          <w:szCs w:val="22"/>
          <w:lang w:val="en-US" w:bidi="ar-EG"/>
        </w:rPr>
        <w:t xml:space="preserve"> assessmen</w:t>
      </w:r>
      <w:r w:rsidR="00486CF7">
        <w:rPr>
          <w:rFonts w:ascii="Garamond" w:hAnsi="Garamond"/>
          <w:sz w:val="22"/>
          <w:szCs w:val="22"/>
          <w:lang w:val="en-US" w:bidi="ar-EG"/>
        </w:rPr>
        <w:t>t of</w:t>
      </w:r>
      <w:r w:rsidR="00315976">
        <w:rPr>
          <w:rFonts w:ascii="Garamond" w:hAnsi="Garamond"/>
          <w:sz w:val="22"/>
          <w:szCs w:val="22"/>
          <w:lang w:val="en-US" w:bidi="ar-EG"/>
        </w:rPr>
        <w:t xml:space="preserve"> the </w:t>
      </w:r>
      <w:r w:rsidR="00611011">
        <w:rPr>
          <w:rFonts w:ascii="Garamond" w:hAnsi="Garamond"/>
          <w:sz w:val="22"/>
          <w:szCs w:val="22"/>
          <w:lang w:val="en-US" w:bidi="ar-EG"/>
        </w:rPr>
        <w:t>off-</w:t>
      </w:r>
      <w:r w:rsidR="00502558">
        <w:rPr>
          <w:rFonts w:ascii="Garamond" w:hAnsi="Garamond"/>
          <w:sz w:val="22"/>
          <w:szCs w:val="22"/>
          <w:lang w:val="en-US" w:bidi="ar-EG"/>
        </w:rPr>
        <w:t>platform situation</w:t>
      </w:r>
      <w:r w:rsidR="00315976">
        <w:rPr>
          <w:rFonts w:ascii="Garamond" w:hAnsi="Garamond"/>
          <w:sz w:val="22"/>
          <w:szCs w:val="22"/>
          <w:lang w:val="en-US" w:bidi="ar-EG"/>
        </w:rPr>
        <w:t xml:space="preserve">, </w:t>
      </w:r>
      <w:r w:rsidR="00486CF7">
        <w:rPr>
          <w:rFonts w:ascii="Garamond" w:hAnsi="Garamond"/>
          <w:sz w:val="22"/>
          <w:szCs w:val="22"/>
          <w:lang w:val="en-US" w:bidi="ar-EG"/>
        </w:rPr>
        <w:t>Meta issued</w:t>
      </w:r>
      <w:r w:rsidR="00486CF7" w:rsidRPr="00486CF7">
        <w:rPr>
          <w:rFonts w:ascii="Garamond" w:hAnsi="Garamond"/>
          <w:sz w:val="22"/>
          <w:szCs w:val="22"/>
          <w:lang w:val="en-US" w:bidi="ar-EG"/>
        </w:rPr>
        <w:t xml:space="preserve"> </w:t>
      </w:r>
      <w:r w:rsidR="00391C87">
        <w:rPr>
          <w:rFonts w:ascii="Garamond" w:hAnsi="Garamond"/>
          <w:sz w:val="22"/>
          <w:szCs w:val="22"/>
          <w:lang w:val="en-US" w:bidi="ar-EG"/>
        </w:rPr>
        <w:t>"</w:t>
      </w:r>
      <w:r w:rsidR="00486CF7" w:rsidRPr="00486CF7">
        <w:rPr>
          <w:rFonts w:ascii="Garamond" w:hAnsi="Garamond"/>
          <w:sz w:val="22"/>
          <w:szCs w:val="22"/>
          <w:lang w:val="en-US" w:bidi="ar-EG"/>
        </w:rPr>
        <w:t>a time-bound and scaled "spirit of the policy" allowance to permit this post as well as other content attempting to donate, gift or ask for pharmaceutical drugs in Sri Lanka</w:t>
      </w:r>
      <w:r w:rsidR="00486CF7">
        <w:rPr>
          <w:rFonts w:ascii="Garamond" w:hAnsi="Garamond"/>
          <w:sz w:val="22"/>
          <w:szCs w:val="22"/>
          <w:lang w:val="en-US" w:bidi="ar-EG"/>
        </w:rPr>
        <w:t>"[p. 6]</w:t>
      </w:r>
      <w:r w:rsidR="00486CF7" w:rsidRPr="00486CF7">
        <w:rPr>
          <w:rFonts w:ascii="Garamond" w:hAnsi="Garamond"/>
          <w:sz w:val="22"/>
          <w:szCs w:val="22"/>
          <w:lang w:val="en-US" w:bidi="ar-EG"/>
        </w:rPr>
        <w:t>.</w:t>
      </w:r>
      <w:r w:rsidR="00315976">
        <w:rPr>
          <w:rFonts w:ascii="Garamond" w:hAnsi="Garamond"/>
          <w:sz w:val="22"/>
          <w:szCs w:val="22"/>
          <w:lang w:val="en-US" w:bidi="ar-EG"/>
        </w:rPr>
        <w:t xml:space="preserve"> </w:t>
      </w:r>
    </w:p>
    <w:p w14:paraId="080FDAE3" w14:textId="1619C11A" w:rsidR="00502558" w:rsidRDefault="00F86AB9" w:rsidP="00FB13CC">
      <w:pPr>
        <w:spacing w:line="276" w:lineRule="auto"/>
        <w:jc w:val="both"/>
        <w:rPr>
          <w:rFonts w:ascii="Garamond" w:hAnsi="Garamond"/>
          <w:sz w:val="22"/>
          <w:szCs w:val="22"/>
          <w:lang w:val="en-US" w:bidi="ar-EG"/>
        </w:rPr>
      </w:pPr>
      <w:r w:rsidRPr="00F86AB9">
        <w:rPr>
          <w:rFonts w:ascii="Garamond" w:hAnsi="Garamond"/>
          <w:sz w:val="22"/>
          <w:szCs w:val="22"/>
          <w:lang w:val="en-US" w:bidi="ar-EG"/>
        </w:rPr>
        <w:t xml:space="preserve">Meta makes "spirit of the policy" exceptions </w:t>
      </w:r>
      <w:r>
        <w:rPr>
          <w:rFonts w:ascii="Garamond" w:hAnsi="Garamond"/>
          <w:sz w:val="22"/>
          <w:szCs w:val="22"/>
          <w:lang w:val="en-US" w:bidi="ar-EG"/>
        </w:rPr>
        <w:t>"when</w:t>
      </w:r>
      <w:r w:rsidR="00502558" w:rsidRPr="00502558">
        <w:rPr>
          <w:rFonts w:ascii="Garamond" w:hAnsi="Garamond"/>
          <w:sz w:val="22"/>
          <w:szCs w:val="22"/>
          <w:lang w:val="en-US" w:bidi="ar-EG"/>
        </w:rPr>
        <w:t xml:space="preserve"> the policy </w:t>
      </w:r>
      <w:proofErr w:type="gramStart"/>
      <w:r w:rsidR="00502558" w:rsidRPr="00502558">
        <w:rPr>
          <w:rFonts w:ascii="Garamond" w:hAnsi="Garamond"/>
          <w:sz w:val="22"/>
          <w:szCs w:val="22"/>
          <w:lang w:val="en-US" w:bidi="ar-EG"/>
        </w:rPr>
        <w:t xml:space="preserve">rationale, and Meta's values, </w:t>
      </w:r>
      <w:r>
        <w:rPr>
          <w:rFonts w:ascii="Garamond" w:hAnsi="Garamond"/>
          <w:sz w:val="22"/>
          <w:szCs w:val="22"/>
          <w:lang w:val="en-US" w:bidi="ar-EG"/>
        </w:rPr>
        <w:t>demand</w:t>
      </w:r>
      <w:proofErr w:type="gramEnd"/>
      <w:r>
        <w:rPr>
          <w:rFonts w:ascii="Garamond" w:hAnsi="Garamond"/>
          <w:sz w:val="22"/>
          <w:szCs w:val="22"/>
          <w:lang w:val="en-US" w:bidi="ar-EG"/>
        </w:rPr>
        <w:t xml:space="preserve"> a different outcome to a </w:t>
      </w:r>
      <w:r w:rsidR="00502558" w:rsidRPr="00502558">
        <w:rPr>
          <w:rFonts w:ascii="Garamond" w:hAnsi="Garamond"/>
          <w:sz w:val="22"/>
          <w:szCs w:val="22"/>
          <w:lang w:val="en-US" w:bidi="ar-EG"/>
        </w:rPr>
        <w:t>strict reading of the rules.</w:t>
      </w:r>
      <w:r>
        <w:rPr>
          <w:rFonts w:ascii="Garamond" w:hAnsi="Garamond"/>
          <w:sz w:val="22"/>
          <w:szCs w:val="22"/>
          <w:lang w:val="en-US" w:bidi="ar-EG"/>
        </w:rPr>
        <w:t>"[p.2]</w:t>
      </w:r>
    </w:p>
    <w:p w14:paraId="7511B638" w14:textId="3F1FDCD6" w:rsidR="00F86AB9" w:rsidRDefault="00F86AB9" w:rsidP="00FB13CC">
      <w:pPr>
        <w:spacing w:line="276" w:lineRule="auto"/>
        <w:jc w:val="both"/>
        <w:rPr>
          <w:rFonts w:ascii="Garamond" w:hAnsi="Garamond"/>
          <w:sz w:val="22"/>
          <w:szCs w:val="22"/>
          <w:lang w:val="en-US" w:bidi="ar-EG"/>
        </w:rPr>
      </w:pPr>
      <w:r>
        <w:rPr>
          <w:rFonts w:ascii="Garamond" w:hAnsi="Garamond"/>
          <w:sz w:val="22"/>
          <w:szCs w:val="22"/>
          <w:lang w:val="en-US" w:bidi="ar-EG"/>
        </w:rPr>
        <w:t xml:space="preserve">In this case, this </w:t>
      </w:r>
      <w:r w:rsidRPr="00486CF7">
        <w:rPr>
          <w:rFonts w:ascii="Garamond" w:hAnsi="Garamond"/>
          <w:sz w:val="22"/>
          <w:szCs w:val="22"/>
          <w:lang w:val="en-US" w:bidi="ar-EG"/>
        </w:rPr>
        <w:t>allowance</w:t>
      </w:r>
      <w:r>
        <w:rPr>
          <w:rFonts w:ascii="Garamond" w:hAnsi="Garamond"/>
          <w:sz w:val="22"/>
          <w:szCs w:val="22"/>
          <w:lang w:val="en-US" w:bidi="ar-EG"/>
        </w:rPr>
        <w:t xml:space="preserve"> was issued from </w:t>
      </w:r>
      <w:r w:rsidRPr="00F86AB9">
        <w:rPr>
          <w:rFonts w:ascii="Garamond" w:hAnsi="Garamond"/>
          <w:sz w:val="22"/>
          <w:szCs w:val="22"/>
          <w:lang w:val="en-US" w:bidi="ar-EG"/>
        </w:rPr>
        <w:t>27 April 2022 to 10 May 2022</w:t>
      </w:r>
      <w:r w:rsidR="00D9198B">
        <w:rPr>
          <w:rFonts w:ascii="Garamond" w:hAnsi="Garamond"/>
          <w:sz w:val="22"/>
          <w:szCs w:val="22"/>
          <w:lang w:val="en-US" w:bidi="ar-EG"/>
        </w:rPr>
        <w:t xml:space="preserve">. It was </w:t>
      </w:r>
      <w:r w:rsidR="00D9198B" w:rsidRPr="00D9198B">
        <w:rPr>
          <w:rFonts w:ascii="Garamond" w:hAnsi="Garamond"/>
          <w:sz w:val="22"/>
          <w:szCs w:val="22"/>
          <w:lang w:val="en-US" w:bidi="ar-EG"/>
        </w:rPr>
        <w:t>constantly</w:t>
      </w:r>
      <w:r w:rsidR="00D9198B">
        <w:rPr>
          <w:rFonts w:ascii="Garamond" w:hAnsi="Garamond"/>
          <w:sz w:val="22"/>
          <w:szCs w:val="22"/>
          <w:lang w:val="en-US" w:bidi="ar-EG"/>
        </w:rPr>
        <w:t xml:space="preserve"> reviewed and </w:t>
      </w:r>
      <w:r w:rsidR="00D9198B" w:rsidRPr="00D9198B">
        <w:rPr>
          <w:rFonts w:ascii="Garamond" w:hAnsi="Garamond"/>
          <w:sz w:val="22"/>
          <w:szCs w:val="22"/>
          <w:lang w:val="en-US" w:bidi="ar-EG"/>
        </w:rPr>
        <w:t>extended multiple times</w:t>
      </w:r>
      <w:r w:rsidR="00D9198B">
        <w:rPr>
          <w:rFonts w:ascii="Garamond" w:hAnsi="Garamond"/>
          <w:sz w:val="22"/>
          <w:szCs w:val="22"/>
          <w:lang w:val="en-US" w:bidi="ar-EG"/>
        </w:rPr>
        <w:t>.</w:t>
      </w:r>
      <w:r w:rsidR="00B76931">
        <w:rPr>
          <w:rFonts w:ascii="Garamond" w:hAnsi="Garamond"/>
          <w:sz w:val="22"/>
          <w:szCs w:val="22"/>
          <w:lang w:val="en-US" w:bidi="ar-EG"/>
        </w:rPr>
        <w:t xml:space="preserve"> </w:t>
      </w:r>
      <w:r w:rsidR="00320364">
        <w:rPr>
          <w:rFonts w:ascii="Garamond" w:hAnsi="Garamond"/>
          <w:sz w:val="22"/>
          <w:szCs w:val="22"/>
          <w:lang w:val="en-US" w:bidi="ar-EG"/>
        </w:rPr>
        <w:t>The</w:t>
      </w:r>
      <w:r w:rsidR="00B76931">
        <w:rPr>
          <w:rFonts w:ascii="Garamond" w:hAnsi="Garamond"/>
          <w:sz w:val="22"/>
          <w:szCs w:val="22"/>
          <w:lang w:val="en-US" w:bidi="ar-EG"/>
        </w:rPr>
        <w:t xml:space="preserve"> company also </w:t>
      </w:r>
      <w:r w:rsidR="00320364">
        <w:rPr>
          <w:rFonts w:ascii="Garamond" w:hAnsi="Garamond"/>
          <w:sz w:val="22"/>
          <w:szCs w:val="22"/>
          <w:lang w:val="en-US" w:bidi="ar-EG"/>
        </w:rPr>
        <w:t>explained</w:t>
      </w:r>
      <w:r w:rsidR="00B76931">
        <w:rPr>
          <w:rFonts w:ascii="Garamond" w:hAnsi="Garamond"/>
          <w:sz w:val="22"/>
          <w:szCs w:val="22"/>
          <w:lang w:val="en-US" w:bidi="ar-EG"/>
        </w:rPr>
        <w:t xml:space="preserve"> that </w:t>
      </w:r>
      <w:r w:rsidR="00320364">
        <w:rPr>
          <w:rFonts w:ascii="Garamond" w:hAnsi="Garamond"/>
          <w:sz w:val="22"/>
          <w:szCs w:val="22"/>
          <w:lang w:val="en-US" w:bidi="ar-EG"/>
        </w:rPr>
        <w:t>t</w:t>
      </w:r>
      <w:r w:rsidR="00B76931" w:rsidRPr="00B76931">
        <w:rPr>
          <w:rFonts w:ascii="Garamond" w:hAnsi="Garamond"/>
          <w:sz w:val="22"/>
          <w:szCs w:val="22"/>
          <w:lang w:val="en-US" w:bidi="ar-EG"/>
        </w:rPr>
        <w:t xml:space="preserve">he policy allowance </w:t>
      </w:r>
      <w:r w:rsidR="00B76931">
        <w:rPr>
          <w:rFonts w:ascii="Garamond" w:hAnsi="Garamond"/>
          <w:sz w:val="22"/>
          <w:szCs w:val="22"/>
          <w:lang w:val="en-US" w:bidi="ar-EG"/>
        </w:rPr>
        <w:t xml:space="preserve">was applied to the </w:t>
      </w:r>
      <w:r w:rsidR="00B76931" w:rsidRPr="00B76931">
        <w:rPr>
          <w:rFonts w:ascii="Garamond" w:hAnsi="Garamond"/>
          <w:sz w:val="22"/>
          <w:szCs w:val="22"/>
          <w:lang w:val="en-US" w:bidi="ar-EG"/>
        </w:rPr>
        <w:t xml:space="preserve">Sri Lanka </w:t>
      </w:r>
      <w:r w:rsidR="00320364" w:rsidRPr="00B76931">
        <w:rPr>
          <w:rFonts w:ascii="Garamond" w:hAnsi="Garamond"/>
          <w:sz w:val="22"/>
          <w:szCs w:val="22"/>
          <w:lang w:val="en-US" w:bidi="ar-EG"/>
        </w:rPr>
        <w:t>market only</w:t>
      </w:r>
      <w:r w:rsidR="00320364">
        <w:rPr>
          <w:rFonts w:ascii="Garamond" w:hAnsi="Garamond"/>
          <w:sz w:val="22"/>
          <w:szCs w:val="22"/>
          <w:lang w:val="en-US" w:bidi="ar-EG"/>
        </w:rPr>
        <w:t>, which accordingly includes</w:t>
      </w:r>
      <w:r w:rsidR="00B76931">
        <w:rPr>
          <w:rFonts w:ascii="Garamond" w:hAnsi="Garamond"/>
          <w:sz w:val="22"/>
          <w:szCs w:val="22"/>
          <w:lang w:val="en-US" w:bidi="ar-EG"/>
        </w:rPr>
        <w:t xml:space="preserve"> content posted in</w:t>
      </w:r>
      <w:r w:rsidR="00B76931" w:rsidRPr="00B76931">
        <w:rPr>
          <w:rFonts w:ascii="Garamond" w:hAnsi="Garamond"/>
          <w:sz w:val="22"/>
          <w:szCs w:val="22"/>
          <w:lang w:val="en-US" w:bidi="ar-EG"/>
        </w:rPr>
        <w:t xml:space="preserve"> Sri Lanka</w:t>
      </w:r>
      <w:r w:rsidR="00B76931">
        <w:rPr>
          <w:rFonts w:ascii="Garamond" w:hAnsi="Garamond"/>
          <w:sz w:val="22"/>
          <w:szCs w:val="22"/>
          <w:lang w:val="en-US" w:bidi="ar-EG"/>
        </w:rPr>
        <w:t xml:space="preserve"> and </w:t>
      </w:r>
      <w:r w:rsidR="00B76931" w:rsidRPr="00B76931">
        <w:rPr>
          <w:rFonts w:ascii="Garamond" w:hAnsi="Garamond"/>
          <w:sz w:val="22"/>
          <w:szCs w:val="22"/>
          <w:lang w:val="en-US" w:bidi="ar-EG"/>
        </w:rPr>
        <w:t>in the Sinhalese language outside Sri Lanka</w:t>
      </w:r>
      <w:r w:rsidR="00B76931">
        <w:rPr>
          <w:rFonts w:ascii="Garamond" w:hAnsi="Garamond"/>
          <w:sz w:val="22"/>
          <w:szCs w:val="22"/>
          <w:lang w:val="en-US" w:bidi="ar-EG"/>
        </w:rPr>
        <w:t xml:space="preserve">. </w:t>
      </w:r>
      <w:r w:rsidR="00D9198B">
        <w:rPr>
          <w:rFonts w:ascii="Garamond" w:hAnsi="Garamond"/>
          <w:sz w:val="22"/>
          <w:szCs w:val="22"/>
          <w:lang w:val="en-US" w:bidi="ar-EG"/>
        </w:rPr>
        <w:t xml:space="preserve">By </w:t>
      </w:r>
      <w:r w:rsidR="00D9198B" w:rsidRPr="00D9198B">
        <w:rPr>
          <w:rFonts w:ascii="Garamond" w:hAnsi="Garamond"/>
          <w:sz w:val="22"/>
          <w:szCs w:val="22"/>
          <w:lang w:val="en-US" w:bidi="ar-EG"/>
        </w:rPr>
        <w:t>10 November 2022</w:t>
      </w:r>
      <w:r w:rsidR="00D9198B">
        <w:rPr>
          <w:rFonts w:ascii="Garamond" w:hAnsi="Garamond"/>
          <w:sz w:val="22"/>
          <w:szCs w:val="22"/>
          <w:lang w:val="en-US" w:bidi="ar-EG"/>
        </w:rPr>
        <w:t xml:space="preserve">, </w:t>
      </w:r>
      <w:r w:rsidR="00320364">
        <w:rPr>
          <w:rFonts w:ascii="Garamond" w:hAnsi="Garamond"/>
          <w:sz w:val="22"/>
          <w:szCs w:val="22"/>
          <w:lang w:val="en-US" w:bidi="ar-EG"/>
        </w:rPr>
        <w:t xml:space="preserve">the company ended </w:t>
      </w:r>
      <w:r w:rsidR="00D9198B">
        <w:rPr>
          <w:rFonts w:ascii="Garamond" w:hAnsi="Garamond"/>
          <w:sz w:val="22"/>
          <w:szCs w:val="22"/>
          <w:lang w:val="en-US" w:bidi="ar-EG"/>
        </w:rPr>
        <w:t xml:space="preserve">the allowance </w:t>
      </w:r>
      <w:r w:rsidR="00B76931">
        <w:rPr>
          <w:rFonts w:ascii="Garamond" w:hAnsi="Garamond"/>
          <w:sz w:val="22"/>
          <w:szCs w:val="22"/>
          <w:lang w:val="en-US" w:bidi="ar-EG"/>
        </w:rPr>
        <w:t>as by that time the crisis subsided</w:t>
      </w:r>
      <w:r w:rsidR="00FB13CC">
        <w:rPr>
          <w:rFonts w:ascii="Garamond" w:hAnsi="Garamond"/>
          <w:sz w:val="22"/>
          <w:szCs w:val="22"/>
          <w:lang w:val="en-US" w:bidi="ar-EG"/>
        </w:rPr>
        <w:t>,</w:t>
      </w:r>
      <w:r w:rsidR="00B76931">
        <w:rPr>
          <w:rFonts w:ascii="Garamond" w:hAnsi="Garamond"/>
          <w:sz w:val="22"/>
          <w:szCs w:val="22"/>
          <w:lang w:val="en-US" w:bidi="ar-EG"/>
        </w:rPr>
        <w:t xml:space="preserve"> and "</w:t>
      </w:r>
      <w:r w:rsidR="00B76931" w:rsidRPr="00B76931">
        <w:rPr>
          <w:rFonts w:ascii="Garamond" w:hAnsi="Garamond"/>
          <w:sz w:val="22"/>
          <w:szCs w:val="22"/>
          <w:lang w:val="en-US" w:bidi="ar-EG"/>
        </w:rPr>
        <w:t>the risk of potential abuse from unfettered calls for donations of medical drugs on Facebook outweighed the remaining benefits</w:t>
      </w:r>
      <w:r w:rsidR="00B76931">
        <w:rPr>
          <w:rFonts w:ascii="Garamond" w:hAnsi="Garamond"/>
          <w:sz w:val="22"/>
          <w:szCs w:val="22"/>
          <w:lang w:val="en-US" w:bidi="ar-EG"/>
        </w:rPr>
        <w:t xml:space="preserve">"[p. 15].  </w:t>
      </w:r>
      <w:r w:rsidR="00D9198B">
        <w:rPr>
          <w:rFonts w:ascii="Garamond" w:hAnsi="Garamond"/>
          <w:sz w:val="22"/>
          <w:szCs w:val="22"/>
          <w:lang w:val="en-US" w:bidi="ar-EG"/>
        </w:rPr>
        <w:t xml:space="preserve"> </w:t>
      </w:r>
    </w:p>
    <w:p w14:paraId="6F8523FA" w14:textId="60A08B76" w:rsidR="008F2738" w:rsidRDefault="008F2738" w:rsidP="00FB13CC">
      <w:pPr>
        <w:spacing w:line="276" w:lineRule="auto"/>
        <w:jc w:val="both"/>
        <w:rPr>
          <w:rFonts w:ascii="Garamond" w:hAnsi="Garamond"/>
          <w:sz w:val="22"/>
          <w:szCs w:val="22"/>
          <w:lang w:val="en-US" w:bidi="ar-EG"/>
        </w:rPr>
      </w:pPr>
      <w:r>
        <w:rPr>
          <w:rFonts w:ascii="Garamond" w:hAnsi="Garamond"/>
          <w:sz w:val="22"/>
          <w:szCs w:val="22"/>
          <w:lang w:val="en-US" w:bidi="ar-EG"/>
        </w:rPr>
        <w:t xml:space="preserve">After that, Meta </w:t>
      </w:r>
      <w:r w:rsidRPr="008F2738">
        <w:rPr>
          <w:rFonts w:ascii="Garamond" w:hAnsi="Garamond"/>
          <w:sz w:val="22"/>
          <w:szCs w:val="22"/>
          <w:lang w:val="en-US" w:bidi="ar-EG"/>
        </w:rPr>
        <w:t>referred the case to the Oversight Board</w:t>
      </w:r>
      <w:r w:rsidR="00A8387B">
        <w:rPr>
          <w:rFonts w:ascii="Garamond" w:hAnsi="Garamond"/>
          <w:sz w:val="22"/>
          <w:szCs w:val="22"/>
          <w:lang w:val="en-US" w:bidi="ar-EG"/>
        </w:rPr>
        <w:t xml:space="preserve"> for two reasons: first, the significance of the case, as the</w:t>
      </w:r>
      <w:r w:rsidR="00352947" w:rsidRPr="00352947">
        <w:t xml:space="preserve"> </w:t>
      </w:r>
      <w:r w:rsidR="00352947" w:rsidRPr="00352947">
        <w:rPr>
          <w:rFonts w:ascii="Garamond" w:hAnsi="Garamond"/>
          <w:sz w:val="22"/>
          <w:szCs w:val="22"/>
          <w:lang w:val="en-US" w:bidi="ar-EG"/>
        </w:rPr>
        <w:t>acute</w:t>
      </w:r>
      <w:r w:rsidR="00A8387B">
        <w:rPr>
          <w:rFonts w:ascii="Garamond" w:hAnsi="Garamond"/>
          <w:sz w:val="22"/>
          <w:szCs w:val="22"/>
          <w:lang w:val="en-US" w:bidi="ar-EG"/>
        </w:rPr>
        <w:t xml:space="preserve"> </w:t>
      </w:r>
      <w:r w:rsidR="00352947">
        <w:rPr>
          <w:rFonts w:ascii="Garamond" w:hAnsi="Garamond"/>
          <w:sz w:val="22"/>
          <w:szCs w:val="22"/>
          <w:lang w:val="en-US" w:bidi="ar-EG"/>
        </w:rPr>
        <w:t>crisis</w:t>
      </w:r>
      <w:r w:rsidR="00A8387B">
        <w:rPr>
          <w:rFonts w:ascii="Garamond" w:hAnsi="Garamond"/>
          <w:sz w:val="22"/>
          <w:szCs w:val="22"/>
          <w:lang w:val="en-US" w:bidi="ar-EG"/>
        </w:rPr>
        <w:t xml:space="preserve"> in </w:t>
      </w:r>
      <w:r w:rsidR="00352947" w:rsidRPr="00352947">
        <w:rPr>
          <w:rFonts w:ascii="Garamond" w:hAnsi="Garamond"/>
          <w:sz w:val="22"/>
          <w:szCs w:val="22"/>
          <w:lang w:val="en-US" w:bidi="ar-EG"/>
        </w:rPr>
        <w:t>Sri Lanka threatened people's li</w:t>
      </w:r>
      <w:r w:rsidR="00FB13CC">
        <w:rPr>
          <w:rFonts w:ascii="Garamond" w:hAnsi="Garamond"/>
          <w:sz w:val="22"/>
          <w:szCs w:val="22"/>
          <w:lang w:val="en-US" w:bidi="ar-EG"/>
        </w:rPr>
        <w:t>ves</w:t>
      </w:r>
      <w:r w:rsidR="00352947">
        <w:rPr>
          <w:rFonts w:ascii="Garamond" w:hAnsi="Garamond"/>
          <w:sz w:val="22"/>
          <w:szCs w:val="22"/>
          <w:lang w:val="en-US" w:bidi="ar-EG"/>
        </w:rPr>
        <w:t xml:space="preserve">; second, it was difficult in this case to </w:t>
      </w:r>
      <w:r w:rsidR="00352947" w:rsidRPr="00352947">
        <w:rPr>
          <w:rFonts w:ascii="Garamond" w:hAnsi="Garamond"/>
          <w:sz w:val="22"/>
          <w:szCs w:val="22"/>
          <w:lang w:val="en-US" w:bidi="ar-EG"/>
        </w:rPr>
        <w:t>strike a balance</w:t>
      </w:r>
      <w:r w:rsidR="00352947">
        <w:rPr>
          <w:rFonts w:ascii="Garamond" w:hAnsi="Garamond"/>
          <w:sz w:val="22"/>
          <w:szCs w:val="22"/>
          <w:lang w:val="en-US" w:bidi="ar-EG"/>
        </w:rPr>
        <w:t xml:space="preserve"> between </w:t>
      </w:r>
      <w:r w:rsidR="00352947" w:rsidRPr="00352947">
        <w:rPr>
          <w:rFonts w:ascii="Garamond" w:hAnsi="Garamond"/>
          <w:sz w:val="22"/>
          <w:szCs w:val="22"/>
          <w:lang w:val="en-US" w:bidi="ar-EG"/>
        </w:rPr>
        <w:t xml:space="preserve">competing </w:t>
      </w:r>
      <w:r w:rsidR="00352947" w:rsidRPr="00352947">
        <w:rPr>
          <w:rFonts w:ascii="Garamond" w:hAnsi="Garamond"/>
          <w:sz w:val="22"/>
          <w:szCs w:val="22"/>
          <w:lang w:val="en-US" w:bidi="ar-EG"/>
        </w:rPr>
        <w:lastRenderedPageBreak/>
        <w:t>values of "Safety" and "Voice</w:t>
      </w:r>
      <w:r w:rsidR="00352947">
        <w:rPr>
          <w:rFonts w:ascii="Garamond" w:hAnsi="Garamond"/>
          <w:sz w:val="22"/>
          <w:szCs w:val="22"/>
          <w:lang w:val="en-US" w:bidi="ar-EG"/>
        </w:rPr>
        <w:t xml:space="preserve">. </w:t>
      </w:r>
      <w:r w:rsidR="00352947" w:rsidRPr="00352947">
        <w:rPr>
          <w:rFonts w:ascii="Garamond" w:hAnsi="Garamond"/>
          <w:sz w:val="22"/>
          <w:szCs w:val="22"/>
          <w:lang w:val="en-US" w:bidi="ar-EG"/>
        </w:rPr>
        <w:t xml:space="preserve"> </w:t>
      </w:r>
      <w:r w:rsidR="00352947">
        <w:rPr>
          <w:rFonts w:ascii="Garamond" w:hAnsi="Garamond"/>
          <w:sz w:val="22"/>
          <w:szCs w:val="22"/>
          <w:lang w:val="en-US" w:bidi="ar-EG"/>
        </w:rPr>
        <w:t xml:space="preserve">Meta </w:t>
      </w:r>
      <w:r>
        <w:rPr>
          <w:rFonts w:ascii="Garamond" w:hAnsi="Garamond"/>
          <w:sz w:val="22"/>
          <w:szCs w:val="22"/>
          <w:lang w:val="en-US" w:bidi="ar-EG"/>
        </w:rPr>
        <w:t>asked the</w:t>
      </w:r>
      <w:r w:rsidRPr="008F2738">
        <w:t xml:space="preserve"> </w:t>
      </w:r>
      <w:r w:rsidRPr="008F2738">
        <w:rPr>
          <w:rFonts w:ascii="Garamond" w:hAnsi="Garamond"/>
          <w:sz w:val="22"/>
          <w:szCs w:val="22"/>
          <w:lang w:val="en-US" w:bidi="ar-EG"/>
        </w:rPr>
        <w:t>Board</w:t>
      </w:r>
      <w:r>
        <w:rPr>
          <w:rFonts w:ascii="Garamond" w:hAnsi="Garamond"/>
          <w:sz w:val="22"/>
          <w:szCs w:val="22"/>
          <w:lang w:val="en-US" w:bidi="ar-EG"/>
        </w:rPr>
        <w:t xml:space="preserve"> to </w:t>
      </w:r>
      <w:r w:rsidR="00A8387B">
        <w:rPr>
          <w:rFonts w:ascii="Garamond" w:hAnsi="Garamond"/>
          <w:sz w:val="22"/>
          <w:szCs w:val="22"/>
          <w:lang w:val="en-US" w:bidi="ar-EG"/>
        </w:rPr>
        <w:t>evaluate the company's issuance of temporary, region-specific "spirit of the policy" allowances in times of conflicts and crises.</w:t>
      </w:r>
    </w:p>
    <w:p w14:paraId="099E5BA7" w14:textId="77777777" w:rsidR="008F2738" w:rsidRDefault="008F2738" w:rsidP="008F2738">
      <w:pPr>
        <w:spacing w:line="276" w:lineRule="auto"/>
        <w:rPr>
          <w:rFonts w:ascii="Garamond" w:hAnsi="Garamond"/>
          <w:sz w:val="22"/>
          <w:szCs w:val="22"/>
          <w:lang w:val="en-US" w:bidi="ar-EG"/>
        </w:rPr>
      </w:pPr>
    </w:p>
    <w:p w14:paraId="4AA8F32D" w14:textId="4E85DDFD" w:rsidR="00F257CA" w:rsidRPr="00352947" w:rsidRDefault="00F257CA" w:rsidP="00352947">
      <w:pPr>
        <w:spacing w:line="276" w:lineRule="auto"/>
        <w:jc w:val="both"/>
        <w:rPr>
          <w:rFonts w:ascii="Garamond" w:hAnsi="Garamond"/>
          <w:sz w:val="22"/>
          <w:szCs w:val="22"/>
          <w:lang w:val="en-US"/>
        </w:rPr>
      </w:pPr>
    </w:p>
    <w:p w14:paraId="010BA86B" w14:textId="77777777" w:rsidR="00BB2804"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7EF0FC34" w14:textId="77777777" w:rsidR="00956337" w:rsidRDefault="00956337" w:rsidP="00956337">
      <w:pPr>
        <w:spacing w:line="276" w:lineRule="auto"/>
        <w:jc w:val="both"/>
        <w:rPr>
          <w:rFonts w:ascii="Garamond" w:hAnsi="Garamond"/>
          <w:sz w:val="22"/>
          <w:szCs w:val="22"/>
          <w:lang w:val="en-US"/>
        </w:rPr>
      </w:pPr>
    </w:p>
    <w:p w14:paraId="16B349FD" w14:textId="3BA3123A" w:rsidR="00743D1C" w:rsidRDefault="00F7145D" w:rsidP="00FB13CC">
      <w:pPr>
        <w:spacing w:line="276" w:lineRule="auto"/>
        <w:jc w:val="both"/>
        <w:rPr>
          <w:rFonts w:ascii="Garamond" w:hAnsi="Garamond"/>
          <w:sz w:val="22"/>
          <w:szCs w:val="22"/>
          <w:lang w:val="en-US"/>
        </w:rPr>
      </w:pPr>
      <w:r w:rsidRPr="00F7145D">
        <w:rPr>
          <w:rFonts w:ascii="Garamond" w:hAnsi="Garamond"/>
          <w:sz w:val="22"/>
          <w:szCs w:val="22"/>
          <w:lang w:val="en-US"/>
        </w:rPr>
        <w:t>The Oversight Board</w:t>
      </w:r>
      <w:r w:rsidR="00D30000">
        <w:rPr>
          <w:rFonts w:ascii="Garamond" w:hAnsi="Garamond"/>
          <w:sz w:val="22"/>
          <w:szCs w:val="22"/>
          <w:lang w:val="en-US"/>
        </w:rPr>
        <w:t xml:space="preserve"> </w:t>
      </w:r>
      <w:r w:rsidR="00D30000" w:rsidRPr="00D30000">
        <w:rPr>
          <w:rFonts w:ascii="Garamond" w:hAnsi="Garamond"/>
          <w:sz w:val="22"/>
          <w:szCs w:val="22"/>
          <w:lang w:val="en-US"/>
        </w:rPr>
        <w:t>analyzed whether Meta</w:t>
      </w:r>
      <w:r w:rsidR="003A48B5">
        <w:rPr>
          <w:rFonts w:ascii="Garamond" w:hAnsi="Garamond"/>
          <w:sz w:val="22"/>
          <w:szCs w:val="22"/>
          <w:lang w:val="en-US"/>
        </w:rPr>
        <w:t>'s</w:t>
      </w:r>
      <w:r w:rsidR="00D30000" w:rsidRPr="00D30000">
        <w:rPr>
          <w:rFonts w:ascii="Garamond" w:hAnsi="Garamond"/>
          <w:sz w:val="22"/>
          <w:szCs w:val="22"/>
          <w:lang w:val="en-US"/>
        </w:rPr>
        <w:t xml:space="preserve"> </w:t>
      </w:r>
      <w:r w:rsidR="003A48B5">
        <w:rPr>
          <w:rFonts w:ascii="Garamond" w:hAnsi="Garamond"/>
          <w:sz w:val="22"/>
          <w:szCs w:val="22"/>
          <w:lang w:val="en-US"/>
        </w:rPr>
        <w:t xml:space="preserve">decision to </w:t>
      </w:r>
      <w:r w:rsidR="00D30000" w:rsidRPr="00D30000">
        <w:rPr>
          <w:rFonts w:ascii="Garamond" w:hAnsi="Garamond"/>
          <w:sz w:val="22"/>
          <w:szCs w:val="22"/>
          <w:lang w:val="en-US"/>
        </w:rPr>
        <w:t>leave up a Facebook post asking for donations of pharmaceutical drugs to Sri Lanka during the country's financial crisis</w:t>
      </w:r>
      <w:r w:rsidR="003A48B5">
        <w:rPr>
          <w:rFonts w:ascii="Garamond" w:hAnsi="Garamond"/>
          <w:sz w:val="22"/>
          <w:szCs w:val="22"/>
          <w:lang w:val="en-US"/>
        </w:rPr>
        <w:t xml:space="preserve">, was </w:t>
      </w:r>
      <w:r w:rsidR="003A48B5" w:rsidRPr="003A48B5">
        <w:rPr>
          <w:rFonts w:ascii="Garamond" w:hAnsi="Garamond"/>
          <w:sz w:val="22"/>
          <w:szCs w:val="22"/>
          <w:lang w:val="en-US"/>
        </w:rPr>
        <w:t>in line with Meta's Restricted Goods and Services policy, Meta’s values, and the company’s human rights responsibilities.</w:t>
      </w:r>
      <w:r w:rsidR="003A48B5">
        <w:rPr>
          <w:rFonts w:ascii="Garamond" w:hAnsi="Garamond"/>
          <w:sz w:val="22"/>
          <w:szCs w:val="22"/>
          <w:lang w:val="en-US"/>
        </w:rPr>
        <w:t xml:space="preserve"> </w:t>
      </w:r>
      <w:r w:rsidR="00D30000">
        <w:rPr>
          <w:rFonts w:ascii="Garamond" w:hAnsi="Garamond"/>
          <w:sz w:val="22"/>
          <w:szCs w:val="22"/>
          <w:lang w:val="en-US"/>
        </w:rPr>
        <w:t xml:space="preserve"> </w:t>
      </w:r>
      <w:r w:rsidR="00D30000" w:rsidRPr="00D30000">
        <w:rPr>
          <w:rFonts w:ascii="Garamond" w:hAnsi="Garamond"/>
          <w:sz w:val="22"/>
          <w:szCs w:val="22"/>
          <w:lang w:val="en-US"/>
        </w:rPr>
        <w:t>The Board also assessed</w:t>
      </w:r>
      <w:r w:rsidR="003A48B5">
        <w:rPr>
          <w:rFonts w:ascii="Garamond" w:hAnsi="Garamond"/>
          <w:sz w:val="22"/>
          <w:szCs w:val="22"/>
          <w:lang w:val="en-US"/>
        </w:rPr>
        <w:t xml:space="preserve"> </w:t>
      </w:r>
      <w:r w:rsidR="003A48B5" w:rsidRPr="003A48B5">
        <w:rPr>
          <w:rFonts w:ascii="Garamond" w:hAnsi="Garamond"/>
          <w:sz w:val="22"/>
          <w:szCs w:val="22"/>
          <w:lang w:val="en-US"/>
        </w:rPr>
        <w:t xml:space="preserve">Meta's </w:t>
      </w:r>
      <w:r w:rsidR="004B4166">
        <w:rPr>
          <w:rFonts w:ascii="Garamond" w:hAnsi="Garamond"/>
          <w:sz w:val="22"/>
          <w:szCs w:val="22"/>
          <w:lang w:val="en-US"/>
        </w:rPr>
        <w:t xml:space="preserve">issuance of </w:t>
      </w:r>
      <w:r w:rsidR="004B4166" w:rsidRPr="003A48B5">
        <w:rPr>
          <w:rFonts w:ascii="Garamond" w:hAnsi="Garamond"/>
          <w:sz w:val="22"/>
          <w:szCs w:val="22"/>
          <w:lang w:val="en-US"/>
        </w:rPr>
        <w:t>"</w:t>
      </w:r>
      <w:r w:rsidR="003A48B5" w:rsidRPr="003A48B5">
        <w:rPr>
          <w:rFonts w:ascii="Garamond" w:hAnsi="Garamond"/>
          <w:sz w:val="22"/>
          <w:szCs w:val="22"/>
          <w:lang w:val="en-US"/>
        </w:rPr>
        <w:t>spirit of the policy" allowances</w:t>
      </w:r>
      <w:r w:rsidR="004B4166">
        <w:rPr>
          <w:rFonts w:ascii="Garamond" w:hAnsi="Garamond"/>
          <w:sz w:val="22"/>
          <w:szCs w:val="22"/>
          <w:lang w:val="en-US"/>
        </w:rPr>
        <w:t xml:space="preserve"> in times of cris</w:t>
      </w:r>
      <w:r w:rsidR="00FB13CC">
        <w:rPr>
          <w:rFonts w:ascii="Garamond" w:hAnsi="Garamond"/>
          <w:sz w:val="22"/>
          <w:szCs w:val="22"/>
          <w:lang w:val="en-US"/>
        </w:rPr>
        <w:t>i</w:t>
      </w:r>
      <w:r w:rsidR="004B4166">
        <w:rPr>
          <w:rFonts w:ascii="Garamond" w:hAnsi="Garamond"/>
          <w:sz w:val="22"/>
          <w:szCs w:val="22"/>
          <w:lang w:val="en-US"/>
        </w:rPr>
        <w:t>s.</w:t>
      </w:r>
      <w:r w:rsidR="00743D1C">
        <w:rPr>
          <w:rFonts w:ascii="Garamond" w:hAnsi="Garamond"/>
          <w:sz w:val="22"/>
          <w:szCs w:val="22"/>
          <w:lang w:val="en-US"/>
        </w:rPr>
        <w:t xml:space="preserve"> </w:t>
      </w:r>
    </w:p>
    <w:p w14:paraId="09E72C94" w14:textId="772A3065" w:rsidR="00956337" w:rsidRDefault="004B4166" w:rsidP="00FB13CC">
      <w:pPr>
        <w:spacing w:line="276" w:lineRule="auto"/>
        <w:jc w:val="both"/>
        <w:rPr>
          <w:rFonts w:ascii="Garamond" w:hAnsi="Garamond"/>
          <w:sz w:val="22"/>
          <w:szCs w:val="22"/>
          <w:lang w:val="en-US"/>
        </w:rPr>
      </w:pPr>
      <w:r>
        <w:rPr>
          <w:rFonts w:ascii="Garamond" w:hAnsi="Garamond"/>
          <w:sz w:val="22"/>
          <w:szCs w:val="22"/>
          <w:lang w:val="en-US"/>
        </w:rPr>
        <w:t xml:space="preserve"> </w:t>
      </w:r>
    </w:p>
    <w:p w14:paraId="04A5F1ED" w14:textId="15777772" w:rsidR="00956337" w:rsidRDefault="00743D1C" w:rsidP="00FB13CC">
      <w:pPr>
        <w:spacing w:line="276" w:lineRule="auto"/>
        <w:jc w:val="both"/>
        <w:rPr>
          <w:rFonts w:ascii="Garamond" w:hAnsi="Garamond"/>
          <w:sz w:val="22"/>
          <w:szCs w:val="22"/>
          <w:lang w:val="en-US"/>
        </w:rPr>
      </w:pPr>
      <w:r w:rsidRPr="00743D1C">
        <w:rPr>
          <w:rFonts w:ascii="Garamond" w:hAnsi="Garamond"/>
          <w:sz w:val="22"/>
          <w:szCs w:val="22"/>
          <w:lang w:val="en-US"/>
        </w:rPr>
        <w:t>The user did not provide a statement to the Board.</w:t>
      </w:r>
    </w:p>
    <w:p w14:paraId="60838249" w14:textId="77777777" w:rsidR="00D46BCF" w:rsidRDefault="00D46BCF" w:rsidP="00FB13CC">
      <w:pPr>
        <w:spacing w:line="276" w:lineRule="auto"/>
        <w:jc w:val="both"/>
        <w:rPr>
          <w:rFonts w:ascii="Garamond" w:hAnsi="Garamond"/>
          <w:sz w:val="22"/>
          <w:szCs w:val="22"/>
          <w:lang w:val="en-US"/>
        </w:rPr>
      </w:pPr>
    </w:p>
    <w:p w14:paraId="14DF87BA" w14:textId="49E8FF48" w:rsidR="0000154B" w:rsidRDefault="00743D1C" w:rsidP="00FB13CC">
      <w:pPr>
        <w:spacing w:line="276" w:lineRule="auto"/>
        <w:jc w:val="both"/>
        <w:rPr>
          <w:rFonts w:ascii="Garamond" w:hAnsi="Garamond"/>
          <w:sz w:val="22"/>
          <w:szCs w:val="22"/>
          <w:lang w:val="en-US" w:bidi="ar-EG"/>
        </w:rPr>
      </w:pPr>
      <w:r w:rsidRPr="00743D1C">
        <w:rPr>
          <w:rFonts w:ascii="Garamond" w:hAnsi="Garamond"/>
          <w:sz w:val="22"/>
          <w:szCs w:val="22"/>
          <w:lang w:val="en-US"/>
        </w:rPr>
        <w:t>In its submission to the Board, Meta</w:t>
      </w:r>
      <w:r w:rsidR="00650F51">
        <w:rPr>
          <w:rFonts w:ascii="Garamond" w:hAnsi="Garamond"/>
          <w:sz w:val="22"/>
          <w:szCs w:val="22"/>
          <w:lang w:val="en-US" w:bidi="ar-EG"/>
        </w:rPr>
        <w:t xml:space="preserve"> explained </w:t>
      </w:r>
      <w:r w:rsidR="001C58B7">
        <w:rPr>
          <w:rFonts w:ascii="Garamond" w:hAnsi="Garamond"/>
          <w:sz w:val="22"/>
          <w:szCs w:val="22"/>
          <w:lang w:val="en-US" w:bidi="ar-EG"/>
        </w:rPr>
        <w:t xml:space="preserve">that its </w:t>
      </w:r>
      <w:r w:rsidR="001C58B7" w:rsidRPr="003A48B5">
        <w:rPr>
          <w:rFonts w:ascii="Garamond" w:hAnsi="Garamond"/>
          <w:sz w:val="22"/>
          <w:szCs w:val="22"/>
          <w:lang w:val="en-US"/>
        </w:rPr>
        <w:t>Restricted Goods and Services policy</w:t>
      </w:r>
      <w:r w:rsidR="001C58B7">
        <w:rPr>
          <w:rFonts w:ascii="Garamond" w:hAnsi="Garamond"/>
          <w:sz w:val="22"/>
          <w:szCs w:val="22"/>
          <w:lang w:val="en-US" w:bidi="ar-EG"/>
        </w:rPr>
        <w:t xml:space="preserve"> does not allow</w:t>
      </w:r>
      <w:r w:rsidR="00431C3B">
        <w:rPr>
          <w:rFonts w:ascii="Garamond" w:hAnsi="Garamond"/>
          <w:sz w:val="22"/>
          <w:szCs w:val="22"/>
          <w:lang w:val="en-US" w:bidi="ar-EG"/>
        </w:rPr>
        <w:t xml:space="preserve"> content </w:t>
      </w:r>
      <w:r w:rsidR="00431C3B" w:rsidRPr="00431C3B">
        <w:rPr>
          <w:rFonts w:ascii="Garamond" w:hAnsi="Garamond"/>
          <w:sz w:val="22"/>
          <w:szCs w:val="22"/>
          <w:lang w:val="en-US" w:bidi="ar-EG"/>
        </w:rPr>
        <w:t>that a</w:t>
      </w:r>
      <w:r w:rsidR="00431C3B">
        <w:rPr>
          <w:rFonts w:ascii="Garamond" w:hAnsi="Garamond"/>
          <w:sz w:val="22"/>
          <w:szCs w:val="22"/>
          <w:lang w:val="en-US" w:bidi="ar-EG"/>
        </w:rPr>
        <w:t>sks for pharmaceutical</w:t>
      </w:r>
      <w:r w:rsidR="00FB13CC">
        <w:rPr>
          <w:rFonts w:ascii="Garamond" w:hAnsi="Garamond"/>
          <w:sz w:val="22"/>
          <w:szCs w:val="22"/>
          <w:lang w:val="en-US" w:bidi="ar-EG"/>
        </w:rPr>
        <w:t>s</w:t>
      </w:r>
      <w:r w:rsidR="00431C3B">
        <w:rPr>
          <w:rFonts w:ascii="Garamond" w:hAnsi="Garamond"/>
          <w:sz w:val="22"/>
          <w:szCs w:val="22"/>
          <w:lang w:val="en-US" w:bidi="ar-EG"/>
        </w:rPr>
        <w:t>. However, the rational</w:t>
      </w:r>
      <w:r w:rsidR="00FB13CC">
        <w:rPr>
          <w:rFonts w:ascii="Garamond" w:hAnsi="Garamond"/>
          <w:sz w:val="22"/>
          <w:szCs w:val="22"/>
          <w:lang w:val="en-US" w:bidi="ar-EG"/>
        </w:rPr>
        <w:t>e</w:t>
      </w:r>
      <w:r w:rsidR="00431C3B">
        <w:rPr>
          <w:rFonts w:ascii="Garamond" w:hAnsi="Garamond"/>
          <w:sz w:val="22"/>
          <w:szCs w:val="22"/>
          <w:lang w:val="en-US" w:bidi="ar-EG"/>
        </w:rPr>
        <w:t xml:space="preserve"> of this policy "provides</w:t>
      </w:r>
      <w:r w:rsidR="00431C3B" w:rsidRPr="00431C3B">
        <w:rPr>
          <w:rFonts w:ascii="Garamond" w:hAnsi="Garamond"/>
          <w:sz w:val="22"/>
          <w:szCs w:val="22"/>
          <w:lang w:val="en-US" w:bidi="ar-EG"/>
        </w:rPr>
        <w:t xml:space="preserve"> that the goal of this policy is </w:t>
      </w:r>
      <w:r w:rsidR="00431C3B">
        <w:rPr>
          <w:rFonts w:ascii="Garamond" w:hAnsi="Garamond"/>
          <w:sz w:val="22"/>
          <w:szCs w:val="22"/>
          <w:lang w:val="en-US" w:bidi="ar-EG"/>
        </w:rPr>
        <w:t xml:space="preserve">to </w:t>
      </w:r>
      <w:r w:rsidR="00431C3B" w:rsidRPr="00431C3B">
        <w:rPr>
          <w:rFonts w:ascii="Garamond" w:hAnsi="Garamond"/>
          <w:sz w:val="22"/>
          <w:szCs w:val="22"/>
          <w:lang w:val="en-US" w:bidi="ar-EG"/>
        </w:rPr>
        <w:t>encourage safety and deter potentially harmful activities"</w:t>
      </w:r>
      <w:r w:rsidR="00431C3B">
        <w:rPr>
          <w:rFonts w:ascii="Garamond" w:hAnsi="Garamond"/>
          <w:sz w:val="22"/>
          <w:szCs w:val="22"/>
          <w:lang w:val="en-US" w:bidi="ar-EG"/>
        </w:rPr>
        <w:t xml:space="preserve">[p.10]. Hence, </w:t>
      </w:r>
      <w:r w:rsidR="00512890">
        <w:rPr>
          <w:rFonts w:ascii="Garamond" w:hAnsi="Garamond"/>
          <w:sz w:val="22"/>
          <w:szCs w:val="22"/>
          <w:lang w:val="en-US" w:bidi="ar-EG"/>
        </w:rPr>
        <w:t xml:space="preserve">the issuance of </w:t>
      </w:r>
      <w:r w:rsidR="00512890" w:rsidRPr="00512890">
        <w:rPr>
          <w:rFonts w:ascii="Garamond" w:hAnsi="Garamond"/>
          <w:sz w:val="22"/>
          <w:szCs w:val="22"/>
          <w:lang w:val="en-US" w:bidi="ar-EG"/>
        </w:rPr>
        <w:t>the "spirit of the policy" allowance in this case</w:t>
      </w:r>
      <w:r w:rsidR="00512890">
        <w:rPr>
          <w:rFonts w:ascii="Garamond" w:hAnsi="Garamond"/>
          <w:sz w:val="22"/>
          <w:szCs w:val="22"/>
          <w:lang w:val="en-US" w:bidi="ar-EG"/>
        </w:rPr>
        <w:t xml:space="preserve"> was justified by the financial </w:t>
      </w:r>
      <w:r w:rsidR="0000154B">
        <w:rPr>
          <w:rFonts w:ascii="Garamond" w:hAnsi="Garamond"/>
          <w:sz w:val="22"/>
          <w:szCs w:val="22"/>
          <w:lang w:val="en-US" w:bidi="ar-EG"/>
        </w:rPr>
        <w:t xml:space="preserve">crisis in </w:t>
      </w:r>
      <w:r w:rsidR="0000154B" w:rsidRPr="0000154B">
        <w:rPr>
          <w:rFonts w:ascii="Garamond" w:hAnsi="Garamond"/>
          <w:sz w:val="22"/>
          <w:szCs w:val="22"/>
          <w:lang w:val="en-US" w:bidi="ar-EG"/>
        </w:rPr>
        <w:t>Sri Lanka</w:t>
      </w:r>
      <w:r w:rsidR="0000154B">
        <w:rPr>
          <w:rFonts w:ascii="Garamond" w:hAnsi="Garamond"/>
          <w:sz w:val="22"/>
          <w:szCs w:val="22"/>
          <w:lang w:val="en-US" w:bidi="ar-EG"/>
        </w:rPr>
        <w:t xml:space="preserve"> </w:t>
      </w:r>
      <w:r w:rsidR="00512890">
        <w:rPr>
          <w:rFonts w:ascii="Garamond" w:hAnsi="Garamond"/>
          <w:sz w:val="22"/>
          <w:szCs w:val="22"/>
          <w:lang w:val="en-US" w:bidi="ar-EG"/>
        </w:rPr>
        <w:t>which affected the safety of people and the public health.</w:t>
      </w:r>
      <w:r w:rsidR="007750F3">
        <w:rPr>
          <w:rFonts w:ascii="Garamond" w:hAnsi="Garamond"/>
          <w:sz w:val="22"/>
          <w:szCs w:val="22"/>
          <w:lang w:val="en-US" w:bidi="ar-EG"/>
        </w:rPr>
        <w:t xml:space="preserve"> Meta</w:t>
      </w:r>
      <w:r w:rsidR="00AE0D4E">
        <w:rPr>
          <w:rFonts w:ascii="Garamond" w:hAnsi="Garamond"/>
          <w:sz w:val="22"/>
          <w:szCs w:val="22"/>
          <w:lang w:val="en-US" w:bidi="ar-EG"/>
        </w:rPr>
        <w:t xml:space="preserve"> mentioned that the company</w:t>
      </w:r>
      <w:r w:rsidR="007750F3">
        <w:rPr>
          <w:rFonts w:ascii="Garamond" w:hAnsi="Garamond"/>
          <w:sz w:val="22"/>
          <w:szCs w:val="22"/>
          <w:lang w:val="en-US" w:bidi="ar-EG"/>
        </w:rPr>
        <w:t xml:space="preserve"> issued </w:t>
      </w:r>
      <w:r w:rsidR="007750F3" w:rsidRPr="007750F3">
        <w:rPr>
          <w:rFonts w:ascii="Garamond" w:hAnsi="Garamond"/>
          <w:sz w:val="22"/>
          <w:szCs w:val="22"/>
          <w:lang w:val="en-US" w:bidi="ar-EG"/>
        </w:rPr>
        <w:t>other allowances for pharmaceutical donations</w:t>
      </w:r>
      <w:r w:rsidR="00AE0D4E">
        <w:rPr>
          <w:rFonts w:ascii="Garamond" w:hAnsi="Garamond"/>
          <w:sz w:val="22"/>
          <w:szCs w:val="22"/>
          <w:lang w:val="en-US" w:bidi="ar-EG"/>
        </w:rPr>
        <w:t xml:space="preserve"> in different countries, and stated that "</w:t>
      </w:r>
      <w:r w:rsidR="00AE0D4E" w:rsidRPr="00AE0D4E">
        <w:rPr>
          <w:rFonts w:ascii="Garamond" w:hAnsi="Garamond"/>
          <w:sz w:val="22"/>
          <w:szCs w:val="22"/>
          <w:lang w:val="en-US" w:bidi="ar-EG"/>
        </w:rPr>
        <w:t>in each situation, the company relied on "independent reporting to verify the crisis</w:t>
      </w:r>
      <w:r w:rsidR="00AE0D4E">
        <w:rPr>
          <w:rFonts w:ascii="Garamond" w:hAnsi="Garamond"/>
          <w:sz w:val="22"/>
          <w:szCs w:val="22"/>
          <w:lang w:val="en-US" w:bidi="ar-EG"/>
        </w:rPr>
        <w:t xml:space="preserve">" [p.11]. </w:t>
      </w:r>
    </w:p>
    <w:p w14:paraId="232E1760" w14:textId="49A5B659" w:rsidR="00743D1C" w:rsidRDefault="007750F3" w:rsidP="00FB13CC">
      <w:pPr>
        <w:spacing w:line="276" w:lineRule="auto"/>
        <w:jc w:val="both"/>
        <w:rPr>
          <w:rFonts w:ascii="Garamond" w:hAnsi="Garamond"/>
          <w:sz w:val="22"/>
          <w:szCs w:val="22"/>
          <w:lang w:val="en-US" w:bidi="ar-EG"/>
        </w:rPr>
      </w:pPr>
      <w:r>
        <w:rPr>
          <w:rFonts w:ascii="Garamond" w:hAnsi="Garamond"/>
          <w:sz w:val="22"/>
          <w:szCs w:val="22"/>
          <w:lang w:val="en-US" w:bidi="ar-EG"/>
        </w:rPr>
        <w:t xml:space="preserve"> </w:t>
      </w:r>
      <w:r w:rsidR="00620CF2" w:rsidRPr="00C455A2">
        <w:rPr>
          <w:rFonts w:ascii="Garamond" w:hAnsi="Garamond"/>
          <w:sz w:val="22"/>
          <w:szCs w:val="22"/>
          <w:lang w:val="en-US" w:bidi="ar-EG"/>
        </w:rPr>
        <w:t>In</w:t>
      </w:r>
      <w:r w:rsidR="00C455A2" w:rsidRPr="00C455A2">
        <w:rPr>
          <w:rFonts w:ascii="Garamond" w:hAnsi="Garamond"/>
          <w:sz w:val="22"/>
          <w:szCs w:val="22"/>
          <w:lang w:val="en-US" w:bidi="ar-EG"/>
        </w:rPr>
        <w:t xml:space="preserve"> response to the Board's questions</w:t>
      </w:r>
      <w:r w:rsidR="00C455A2">
        <w:rPr>
          <w:rFonts w:ascii="Garamond" w:hAnsi="Garamond"/>
          <w:sz w:val="22"/>
          <w:szCs w:val="22"/>
          <w:lang w:val="en-US" w:bidi="ar-EG"/>
        </w:rPr>
        <w:t>,</w:t>
      </w:r>
      <w:r w:rsidR="00620CF2">
        <w:rPr>
          <w:rFonts w:ascii="Garamond" w:hAnsi="Garamond"/>
          <w:sz w:val="22"/>
          <w:szCs w:val="22"/>
          <w:lang w:val="en-US" w:bidi="ar-EG"/>
        </w:rPr>
        <w:t xml:space="preserve"> Meta explained that in this case its decision was based on "</w:t>
      </w:r>
      <w:r w:rsidR="00620CF2" w:rsidRPr="00620CF2">
        <w:rPr>
          <w:rFonts w:ascii="Garamond" w:hAnsi="Garamond"/>
          <w:sz w:val="22"/>
          <w:szCs w:val="22"/>
          <w:lang w:val="en-US" w:bidi="ar-EG"/>
        </w:rPr>
        <w:t xml:space="preserve"> the existence of a "well-demonstrated crisis" including "news coverage and economic analysis" on</w:t>
      </w:r>
      <w:r w:rsidR="00620CF2">
        <w:rPr>
          <w:rFonts w:ascii="Garamond" w:hAnsi="Garamond"/>
          <w:sz w:val="22"/>
          <w:szCs w:val="22"/>
          <w:lang w:val="en-US" w:bidi="ar-EG"/>
        </w:rPr>
        <w:t xml:space="preserve"> the shortages of medical drugs" [p.11]. </w:t>
      </w:r>
    </w:p>
    <w:p w14:paraId="4A9D0429" w14:textId="77777777" w:rsidR="00B70F60" w:rsidRDefault="00B70F60" w:rsidP="00620CF2">
      <w:pPr>
        <w:spacing w:line="276" w:lineRule="auto"/>
        <w:rPr>
          <w:rFonts w:ascii="Garamond" w:hAnsi="Garamond"/>
          <w:sz w:val="22"/>
          <w:szCs w:val="22"/>
          <w:lang w:val="en-US" w:bidi="ar-EG"/>
        </w:rPr>
      </w:pPr>
    </w:p>
    <w:p w14:paraId="04B569D2" w14:textId="13ECE493" w:rsidR="00B70F60" w:rsidRPr="00283958" w:rsidRDefault="00B70F60" w:rsidP="00620CF2">
      <w:pPr>
        <w:spacing w:line="276" w:lineRule="auto"/>
        <w:rPr>
          <w:rFonts w:ascii="Garamond" w:hAnsi="Garamond"/>
          <w:i/>
          <w:iCs/>
          <w:sz w:val="22"/>
          <w:szCs w:val="22"/>
          <w:rtl/>
          <w:lang w:val="en-US" w:bidi="ar-EG"/>
        </w:rPr>
      </w:pPr>
      <w:r w:rsidRPr="00283958">
        <w:rPr>
          <w:rFonts w:ascii="Garamond" w:hAnsi="Garamond"/>
          <w:i/>
          <w:iCs/>
          <w:sz w:val="22"/>
          <w:szCs w:val="22"/>
          <w:lang w:val="en-US" w:bidi="ar-EG"/>
        </w:rPr>
        <w:t>Compliance with Meta's Content Policies</w:t>
      </w:r>
    </w:p>
    <w:p w14:paraId="6D3EC180" w14:textId="77777777" w:rsidR="00956337" w:rsidRDefault="00956337" w:rsidP="00956337">
      <w:pPr>
        <w:spacing w:line="276" w:lineRule="auto"/>
        <w:jc w:val="both"/>
        <w:rPr>
          <w:rFonts w:ascii="Garamond" w:hAnsi="Garamond"/>
          <w:sz w:val="22"/>
          <w:szCs w:val="22"/>
          <w:lang w:val="en-US"/>
        </w:rPr>
      </w:pPr>
    </w:p>
    <w:p w14:paraId="6A68154C" w14:textId="77777777" w:rsidR="00283958" w:rsidRPr="00283958" w:rsidRDefault="00283958" w:rsidP="00283958">
      <w:pPr>
        <w:spacing w:line="276" w:lineRule="auto"/>
        <w:jc w:val="both"/>
        <w:rPr>
          <w:rFonts w:ascii="Garamond" w:hAnsi="Garamond"/>
          <w:sz w:val="22"/>
          <w:szCs w:val="22"/>
          <w:lang w:val="en-US"/>
        </w:rPr>
      </w:pPr>
    </w:p>
    <w:p w14:paraId="3DD67340" w14:textId="386C643C" w:rsidR="00B708E7" w:rsidRDefault="003719FC" w:rsidP="00FB13CC">
      <w:pPr>
        <w:spacing w:line="276" w:lineRule="auto"/>
        <w:jc w:val="both"/>
        <w:rPr>
          <w:rFonts w:ascii="Garamond" w:hAnsi="Garamond"/>
          <w:sz w:val="22"/>
          <w:szCs w:val="22"/>
          <w:lang w:val="en-US"/>
        </w:rPr>
      </w:pPr>
      <w:r>
        <w:rPr>
          <w:rFonts w:ascii="Garamond" w:hAnsi="Garamond"/>
          <w:sz w:val="22"/>
          <w:szCs w:val="22"/>
          <w:lang w:val="en-US"/>
        </w:rPr>
        <w:t xml:space="preserve">The Board found that the content in this case </w:t>
      </w:r>
      <w:r w:rsidR="00A105AC">
        <w:rPr>
          <w:rFonts w:ascii="Garamond" w:hAnsi="Garamond"/>
          <w:sz w:val="22"/>
          <w:szCs w:val="22"/>
          <w:lang w:val="en-US"/>
        </w:rPr>
        <w:t>was</w:t>
      </w:r>
      <w:r w:rsidR="007F71A5">
        <w:rPr>
          <w:rFonts w:ascii="Garamond" w:hAnsi="Garamond"/>
          <w:sz w:val="22"/>
          <w:szCs w:val="22"/>
          <w:lang w:val="en-US"/>
        </w:rPr>
        <w:t xml:space="preserve"> urging and</w:t>
      </w:r>
      <w:r>
        <w:rPr>
          <w:rFonts w:ascii="Garamond" w:hAnsi="Garamond"/>
          <w:sz w:val="22"/>
          <w:szCs w:val="22"/>
          <w:lang w:val="en-US"/>
        </w:rPr>
        <w:t xml:space="preserve"> asking</w:t>
      </w:r>
      <w:r w:rsidR="00C14ACA">
        <w:rPr>
          <w:rFonts w:ascii="Garamond" w:hAnsi="Garamond"/>
          <w:sz w:val="22"/>
          <w:szCs w:val="22"/>
          <w:lang w:val="en-US"/>
        </w:rPr>
        <w:t xml:space="preserve"> people to donate </w:t>
      </w:r>
      <w:r w:rsidRPr="003719FC">
        <w:rPr>
          <w:rFonts w:ascii="Garamond" w:hAnsi="Garamond"/>
          <w:sz w:val="22"/>
          <w:szCs w:val="22"/>
          <w:lang w:val="en-US"/>
        </w:rPr>
        <w:t xml:space="preserve">pharmaceutical </w:t>
      </w:r>
      <w:r w:rsidR="00A105AC">
        <w:rPr>
          <w:rFonts w:ascii="Garamond" w:hAnsi="Garamond"/>
          <w:sz w:val="22"/>
          <w:szCs w:val="22"/>
          <w:lang w:val="en-US"/>
        </w:rPr>
        <w:t>drug</w:t>
      </w:r>
      <w:r w:rsidR="00FB13CC">
        <w:rPr>
          <w:rFonts w:ascii="Garamond" w:hAnsi="Garamond"/>
          <w:sz w:val="22"/>
          <w:szCs w:val="22"/>
          <w:lang w:val="en-US"/>
        </w:rPr>
        <w:t>s</w:t>
      </w:r>
      <w:r w:rsidR="00A105AC">
        <w:rPr>
          <w:rFonts w:ascii="Garamond" w:hAnsi="Garamond"/>
          <w:sz w:val="22"/>
          <w:szCs w:val="22"/>
          <w:lang w:val="en-US"/>
        </w:rPr>
        <w:t>, hence</w:t>
      </w:r>
      <w:r w:rsidR="007F71A5">
        <w:rPr>
          <w:rFonts w:ascii="Garamond" w:hAnsi="Garamond"/>
          <w:sz w:val="22"/>
          <w:szCs w:val="22"/>
          <w:lang w:val="en-US"/>
        </w:rPr>
        <w:t>,</w:t>
      </w:r>
      <w:r w:rsidR="00A105AC">
        <w:rPr>
          <w:rFonts w:ascii="Garamond" w:hAnsi="Garamond"/>
          <w:sz w:val="22"/>
          <w:szCs w:val="22"/>
          <w:lang w:val="en-US"/>
        </w:rPr>
        <w:t xml:space="preserve"> violated </w:t>
      </w:r>
      <w:r w:rsidR="007F71A5" w:rsidRPr="007F71A5">
        <w:rPr>
          <w:rFonts w:ascii="Garamond" w:hAnsi="Garamond"/>
          <w:sz w:val="22"/>
          <w:szCs w:val="22"/>
          <w:lang w:val="en-US"/>
        </w:rPr>
        <w:t xml:space="preserve">Meta's Restricted Goods and Services policy </w:t>
      </w:r>
      <w:r w:rsidR="007F71A5">
        <w:rPr>
          <w:rFonts w:ascii="Garamond" w:hAnsi="Garamond"/>
          <w:sz w:val="22"/>
          <w:szCs w:val="22"/>
          <w:lang w:val="en-US"/>
        </w:rPr>
        <w:t xml:space="preserve">which" prohibits </w:t>
      </w:r>
      <w:r w:rsidR="007F71A5" w:rsidRPr="007F71A5">
        <w:rPr>
          <w:rFonts w:ascii="Garamond" w:hAnsi="Garamond"/>
          <w:sz w:val="22"/>
          <w:szCs w:val="22"/>
          <w:lang w:val="en-US"/>
        </w:rPr>
        <w:t>attempts to donate</w:t>
      </w:r>
      <w:r w:rsidR="007F71A5">
        <w:rPr>
          <w:rFonts w:ascii="Garamond" w:hAnsi="Garamond"/>
          <w:sz w:val="22"/>
          <w:szCs w:val="22"/>
          <w:lang w:val="en-US"/>
        </w:rPr>
        <w:t>,</w:t>
      </w:r>
      <w:r w:rsidR="007F71A5" w:rsidRPr="007F71A5">
        <w:rPr>
          <w:rFonts w:ascii="Garamond" w:hAnsi="Garamond"/>
          <w:sz w:val="22"/>
          <w:szCs w:val="22"/>
          <w:lang w:val="en-US"/>
        </w:rPr>
        <w:t xml:space="preserve"> gift</w:t>
      </w:r>
      <w:r w:rsidR="007F71A5">
        <w:rPr>
          <w:rFonts w:ascii="Garamond" w:hAnsi="Garamond"/>
          <w:sz w:val="22"/>
          <w:szCs w:val="22"/>
          <w:lang w:val="en-US"/>
        </w:rPr>
        <w:t>, or ask for</w:t>
      </w:r>
      <w:r w:rsidR="007F71A5" w:rsidRPr="007F71A5">
        <w:rPr>
          <w:rFonts w:ascii="Garamond" w:hAnsi="Garamond"/>
          <w:sz w:val="22"/>
          <w:szCs w:val="22"/>
          <w:lang w:val="en-US"/>
        </w:rPr>
        <w:t xml:space="preserve"> pharmaceutical </w:t>
      </w:r>
      <w:r w:rsidR="007F71A5">
        <w:rPr>
          <w:rFonts w:ascii="Garamond" w:hAnsi="Garamond"/>
          <w:sz w:val="22"/>
          <w:szCs w:val="22"/>
          <w:lang w:val="en-US"/>
        </w:rPr>
        <w:t xml:space="preserve">drugs, </w:t>
      </w:r>
      <w:r w:rsidR="007F71A5" w:rsidRPr="007F71A5">
        <w:rPr>
          <w:rFonts w:ascii="Garamond" w:hAnsi="Garamond"/>
          <w:sz w:val="22"/>
          <w:szCs w:val="22"/>
          <w:lang w:val="en-US"/>
        </w:rPr>
        <w:t xml:space="preserve">except when content discusses the affordability, accessibility or efficacy of </w:t>
      </w:r>
      <w:r w:rsidR="007F71A5">
        <w:rPr>
          <w:rFonts w:ascii="Garamond" w:hAnsi="Garamond"/>
          <w:sz w:val="22"/>
          <w:szCs w:val="22"/>
          <w:lang w:val="en-US"/>
        </w:rPr>
        <w:t xml:space="preserve"> </w:t>
      </w:r>
      <w:r w:rsidR="007F71A5" w:rsidRPr="007F71A5">
        <w:rPr>
          <w:rFonts w:ascii="Garamond" w:hAnsi="Garamond"/>
          <w:sz w:val="22"/>
          <w:szCs w:val="22"/>
          <w:lang w:val="en-US"/>
        </w:rPr>
        <w:t>pharmaceutical drugs in a medical context</w:t>
      </w:r>
      <w:r w:rsidR="007F71A5">
        <w:rPr>
          <w:rFonts w:ascii="Garamond" w:hAnsi="Garamond"/>
          <w:sz w:val="22"/>
          <w:szCs w:val="22"/>
          <w:lang w:val="en-US"/>
        </w:rPr>
        <w:t>."[p.13].</w:t>
      </w:r>
      <w:r w:rsidR="00FB13CC">
        <w:rPr>
          <w:rFonts w:ascii="Garamond" w:hAnsi="Garamond"/>
          <w:sz w:val="22"/>
          <w:szCs w:val="22"/>
          <w:lang w:val="en-US"/>
        </w:rPr>
        <w:t xml:space="preserve"> T</w:t>
      </w:r>
      <w:r w:rsidR="00C14ACA">
        <w:rPr>
          <w:rFonts w:ascii="Garamond" w:hAnsi="Garamond"/>
          <w:sz w:val="22"/>
          <w:szCs w:val="22"/>
          <w:lang w:val="en-US"/>
        </w:rPr>
        <w:t>he Board noted that for a post to be considered an</w:t>
      </w:r>
      <w:r w:rsidR="00B708E7">
        <w:rPr>
          <w:rFonts w:ascii="Garamond" w:hAnsi="Garamond"/>
          <w:sz w:val="22"/>
          <w:szCs w:val="22"/>
          <w:lang w:val="en-US"/>
        </w:rPr>
        <w:t>"</w:t>
      </w:r>
      <w:r w:rsidR="00C14ACA">
        <w:rPr>
          <w:rFonts w:ascii="Garamond" w:hAnsi="Garamond"/>
          <w:sz w:val="22"/>
          <w:szCs w:val="22"/>
          <w:lang w:val="en-US"/>
        </w:rPr>
        <w:t xml:space="preserve"> </w:t>
      </w:r>
      <w:r w:rsidR="00C14ACA" w:rsidRPr="00C14ACA">
        <w:rPr>
          <w:rFonts w:ascii="Garamond" w:hAnsi="Garamond"/>
          <w:sz w:val="22"/>
          <w:szCs w:val="22"/>
          <w:lang w:val="en-US"/>
        </w:rPr>
        <w:t xml:space="preserve">affordability and accessibility </w:t>
      </w:r>
      <w:r w:rsidR="00B708E7">
        <w:rPr>
          <w:rFonts w:ascii="Garamond" w:hAnsi="Garamond"/>
          <w:sz w:val="22"/>
          <w:szCs w:val="22"/>
          <w:lang w:val="en-US"/>
        </w:rPr>
        <w:t>d</w:t>
      </w:r>
      <w:r w:rsidR="00C14ACA">
        <w:rPr>
          <w:rFonts w:ascii="Garamond" w:hAnsi="Garamond"/>
          <w:sz w:val="22"/>
          <w:szCs w:val="22"/>
          <w:lang w:val="en-US"/>
        </w:rPr>
        <w:t>iscu</w:t>
      </w:r>
      <w:r w:rsidR="00B708E7">
        <w:rPr>
          <w:rFonts w:ascii="Garamond" w:hAnsi="Garamond"/>
          <w:sz w:val="22"/>
          <w:szCs w:val="22"/>
          <w:lang w:val="en-US"/>
        </w:rPr>
        <w:t>ssion"</w:t>
      </w:r>
      <w:r w:rsidR="00C14ACA">
        <w:rPr>
          <w:rFonts w:ascii="Garamond" w:hAnsi="Garamond"/>
          <w:sz w:val="22"/>
          <w:szCs w:val="22"/>
          <w:lang w:val="en-US"/>
        </w:rPr>
        <w:t xml:space="preserve"> the post should mention </w:t>
      </w:r>
      <w:r w:rsidR="00B708E7">
        <w:rPr>
          <w:rFonts w:ascii="Garamond" w:hAnsi="Garamond"/>
          <w:sz w:val="22"/>
          <w:szCs w:val="22"/>
          <w:lang w:val="en-US"/>
        </w:rPr>
        <w:t xml:space="preserve">discounts, </w:t>
      </w:r>
      <w:r w:rsidR="00B708E7" w:rsidRPr="00B708E7">
        <w:rPr>
          <w:rFonts w:ascii="Garamond" w:hAnsi="Garamond"/>
          <w:sz w:val="22"/>
          <w:szCs w:val="22"/>
          <w:lang w:val="en-US"/>
        </w:rPr>
        <w:t>the price of vaccines</w:t>
      </w:r>
      <w:r w:rsidR="00B708E7">
        <w:rPr>
          <w:rFonts w:ascii="Garamond" w:hAnsi="Garamond"/>
          <w:sz w:val="22"/>
          <w:szCs w:val="22"/>
          <w:lang w:val="en-US"/>
        </w:rPr>
        <w:t>,</w:t>
      </w:r>
      <w:r w:rsidR="00B708E7" w:rsidRPr="00B708E7">
        <w:t xml:space="preserve"> </w:t>
      </w:r>
      <w:r w:rsidR="00B708E7">
        <w:rPr>
          <w:rFonts w:ascii="Garamond" w:hAnsi="Garamond"/>
          <w:sz w:val="22"/>
          <w:szCs w:val="22"/>
          <w:lang w:val="en-US"/>
        </w:rPr>
        <w:t xml:space="preserve">or </w:t>
      </w:r>
      <w:r w:rsidR="00B708E7" w:rsidRPr="00B708E7">
        <w:rPr>
          <w:rFonts w:ascii="Garamond" w:hAnsi="Garamond"/>
          <w:sz w:val="22"/>
          <w:szCs w:val="22"/>
          <w:lang w:val="en-US"/>
        </w:rPr>
        <w:t>suggestions on how to address a medical condition</w:t>
      </w:r>
      <w:r w:rsidR="00B708E7">
        <w:rPr>
          <w:rFonts w:ascii="Garamond" w:hAnsi="Garamond"/>
          <w:sz w:val="22"/>
          <w:szCs w:val="22"/>
          <w:lang w:val="en-US"/>
        </w:rPr>
        <w:t>.</w:t>
      </w:r>
    </w:p>
    <w:p w14:paraId="5D2A711F" w14:textId="60043A95" w:rsidR="00283958" w:rsidRDefault="00B708E7" w:rsidP="00FB13CC">
      <w:pPr>
        <w:spacing w:line="276" w:lineRule="auto"/>
        <w:jc w:val="both"/>
        <w:rPr>
          <w:rFonts w:ascii="Garamond" w:hAnsi="Garamond"/>
          <w:sz w:val="22"/>
          <w:szCs w:val="22"/>
          <w:lang w:val="en-US"/>
        </w:rPr>
      </w:pPr>
      <w:r>
        <w:rPr>
          <w:rFonts w:ascii="Garamond" w:hAnsi="Garamond"/>
          <w:sz w:val="22"/>
          <w:szCs w:val="22"/>
          <w:lang w:val="en-US"/>
        </w:rPr>
        <w:t>However,</w:t>
      </w:r>
      <w:r w:rsidR="0070697E">
        <w:rPr>
          <w:rFonts w:ascii="Garamond" w:hAnsi="Garamond"/>
          <w:sz w:val="22"/>
          <w:szCs w:val="22"/>
          <w:lang w:val="en-US"/>
        </w:rPr>
        <w:t xml:space="preserve"> this was not the case here, as the post was </w:t>
      </w:r>
      <w:r w:rsidR="0070697E" w:rsidRPr="0070697E">
        <w:rPr>
          <w:rFonts w:ascii="Garamond" w:hAnsi="Garamond"/>
          <w:sz w:val="22"/>
          <w:szCs w:val="22"/>
          <w:lang w:val="en-US"/>
        </w:rPr>
        <w:t xml:space="preserve">asking for pharmaceutical </w:t>
      </w:r>
      <w:r w:rsidR="0070697E">
        <w:rPr>
          <w:rFonts w:ascii="Garamond" w:hAnsi="Garamond"/>
          <w:sz w:val="22"/>
          <w:szCs w:val="22"/>
          <w:lang w:val="en-US"/>
        </w:rPr>
        <w:t xml:space="preserve">drugs and therefore violated the </w:t>
      </w:r>
      <w:r w:rsidR="0070697E" w:rsidRPr="0070697E">
        <w:rPr>
          <w:rFonts w:ascii="Garamond" w:hAnsi="Garamond"/>
          <w:sz w:val="22"/>
          <w:szCs w:val="22"/>
          <w:lang w:val="en-US"/>
        </w:rPr>
        <w:t>Community Standard.</w:t>
      </w:r>
      <w:r w:rsidR="0070697E">
        <w:rPr>
          <w:rFonts w:ascii="Garamond" w:hAnsi="Garamond"/>
          <w:sz w:val="22"/>
          <w:szCs w:val="22"/>
          <w:lang w:val="en-US"/>
        </w:rPr>
        <w:t xml:space="preserve"> </w:t>
      </w:r>
      <w:r>
        <w:rPr>
          <w:rFonts w:ascii="Garamond" w:hAnsi="Garamond"/>
          <w:sz w:val="22"/>
          <w:szCs w:val="22"/>
          <w:lang w:val="en-US"/>
        </w:rPr>
        <w:t xml:space="preserve">  </w:t>
      </w:r>
    </w:p>
    <w:p w14:paraId="4042A953" w14:textId="77777777" w:rsidR="00283958" w:rsidRDefault="00283958" w:rsidP="00FB13CC">
      <w:pPr>
        <w:spacing w:line="276" w:lineRule="auto"/>
        <w:jc w:val="both"/>
        <w:rPr>
          <w:rFonts w:ascii="Garamond" w:hAnsi="Garamond"/>
          <w:sz w:val="22"/>
          <w:szCs w:val="22"/>
          <w:lang w:val="en-US"/>
        </w:rPr>
      </w:pPr>
    </w:p>
    <w:p w14:paraId="5866A0AE" w14:textId="65861E90" w:rsidR="00283958" w:rsidRDefault="00677A4F" w:rsidP="00FB13CC">
      <w:pPr>
        <w:spacing w:line="276" w:lineRule="auto"/>
        <w:jc w:val="both"/>
        <w:rPr>
          <w:rFonts w:ascii="Garamond" w:hAnsi="Garamond"/>
          <w:sz w:val="22"/>
          <w:szCs w:val="22"/>
          <w:lang w:val="en-US"/>
        </w:rPr>
      </w:pPr>
      <w:r>
        <w:rPr>
          <w:rFonts w:ascii="Garamond" w:hAnsi="Garamond"/>
          <w:sz w:val="22"/>
          <w:szCs w:val="22"/>
          <w:lang w:val="en-US"/>
        </w:rPr>
        <w:t xml:space="preserve">The Board </w:t>
      </w:r>
      <w:r w:rsidR="00BF23DD">
        <w:rPr>
          <w:rFonts w:ascii="Garamond" w:hAnsi="Garamond"/>
          <w:sz w:val="22"/>
          <w:szCs w:val="22"/>
          <w:lang w:val="en-US"/>
        </w:rPr>
        <w:t xml:space="preserve">explained that according to the </w:t>
      </w:r>
      <w:r w:rsidR="00BF23DD" w:rsidRPr="00BF23DD">
        <w:rPr>
          <w:rFonts w:ascii="Garamond" w:hAnsi="Garamond"/>
          <w:sz w:val="22"/>
          <w:szCs w:val="22"/>
          <w:lang w:val="en-US"/>
        </w:rPr>
        <w:t>value of "Safety"</w:t>
      </w:r>
      <w:r w:rsidR="00BF23DD">
        <w:rPr>
          <w:rFonts w:ascii="Garamond" w:hAnsi="Garamond"/>
          <w:sz w:val="22"/>
          <w:szCs w:val="22"/>
          <w:lang w:val="en-US"/>
        </w:rPr>
        <w:t xml:space="preserve"> Meta is obliged to</w:t>
      </w:r>
      <w:r w:rsidR="00BF23DD" w:rsidRPr="00BF23DD">
        <w:t xml:space="preserve"> </w:t>
      </w:r>
      <w:r w:rsidR="00BF23DD" w:rsidRPr="00BF23DD">
        <w:rPr>
          <w:rFonts w:ascii="Garamond" w:hAnsi="Garamond"/>
          <w:sz w:val="22"/>
          <w:szCs w:val="22"/>
          <w:lang w:val="en-US"/>
        </w:rPr>
        <w:t>"remove content that could contribu</w:t>
      </w:r>
      <w:r w:rsidR="00BF23DD">
        <w:rPr>
          <w:rFonts w:ascii="Garamond" w:hAnsi="Garamond"/>
          <w:sz w:val="22"/>
          <w:szCs w:val="22"/>
          <w:lang w:val="en-US"/>
        </w:rPr>
        <w:t xml:space="preserve">te to a </w:t>
      </w:r>
      <w:r w:rsidR="00BF23DD" w:rsidRPr="00BF23DD">
        <w:rPr>
          <w:rFonts w:ascii="Garamond" w:hAnsi="Garamond"/>
          <w:sz w:val="22"/>
          <w:szCs w:val="22"/>
          <w:lang w:val="en-US"/>
        </w:rPr>
        <w:t>risk of harm to the physical security of persons"</w:t>
      </w:r>
      <w:r w:rsidR="00BF23DD">
        <w:rPr>
          <w:rFonts w:ascii="Garamond" w:hAnsi="Garamond"/>
          <w:sz w:val="22"/>
          <w:szCs w:val="22"/>
          <w:lang w:val="en-US"/>
        </w:rPr>
        <w:t xml:space="preserve"> [p. 14]. </w:t>
      </w:r>
      <w:r w:rsidR="009B6335">
        <w:rPr>
          <w:rFonts w:ascii="Garamond" w:hAnsi="Garamond"/>
          <w:sz w:val="22"/>
          <w:szCs w:val="22"/>
          <w:lang w:val="en-US"/>
        </w:rPr>
        <w:t xml:space="preserve"> </w:t>
      </w:r>
      <w:r w:rsidR="00BF23DD">
        <w:rPr>
          <w:rFonts w:ascii="Garamond" w:hAnsi="Garamond"/>
          <w:sz w:val="22"/>
          <w:szCs w:val="22"/>
          <w:lang w:val="en-US"/>
        </w:rPr>
        <w:t>However, although</w:t>
      </w:r>
      <w:r w:rsidR="009B6335">
        <w:rPr>
          <w:rFonts w:ascii="Garamond" w:hAnsi="Garamond"/>
          <w:sz w:val="22"/>
          <w:szCs w:val="22"/>
          <w:lang w:val="en-US"/>
        </w:rPr>
        <w:t xml:space="preserve"> the severe </w:t>
      </w:r>
      <w:r w:rsidR="00D760D3">
        <w:rPr>
          <w:rFonts w:ascii="Garamond" w:hAnsi="Garamond"/>
          <w:sz w:val="22"/>
          <w:szCs w:val="22"/>
          <w:lang w:val="en-US"/>
        </w:rPr>
        <w:t>crisis</w:t>
      </w:r>
      <w:r w:rsidR="009B6335">
        <w:rPr>
          <w:rFonts w:ascii="Garamond" w:hAnsi="Garamond"/>
          <w:sz w:val="22"/>
          <w:szCs w:val="22"/>
          <w:lang w:val="en-US"/>
        </w:rPr>
        <w:t xml:space="preserve"> in </w:t>
      </w:r>
      <w:r w:rsidR="00BF23DD" w:rsidRPr="00BF23DD">
        <w:rPr>
          <w:rFonts w:ascii="Garamond" w:hAnsi="Garamond"/>
          <w:sz w:val="22"/>
          <w:szCs w:val="22"/>
          <w:lang w:val="en-US"/>
        </w:rPr>
        <w:t xml:space="preserve">Sri Lanka </w:t>
      </w:r>
      <w:r w:rsidR="009B6335">
        <w:rPr>
          <w:rFonts w:ascii="Garamond" w:hAnsi="Garamond"/>
          <w:sz w:val="22"/>
          <w:szCs w:val="22"/>
          <w:lang w:val="en-US"/>
        </w:rPr>
        <w:t xml:space="preserve">caused a serious </w:t>
      </w:r>
      <w:r w:rsidR="00D760D3">
        <w:rPr>
          <w:rFonts w:ascii="Garamond" w:hAnsi="Garamond"/>
          <w:sz w:val="22"/>
          <w:szCs w:val="22"/>
          <w:lang w:val="en-US"/>
        </w:rPr>
        <w:t>safety</w:t>
      </w:r>
      <w:r w:rsidR="009B6335">
        <w:rPr>
          <w:rFonts w:ascii="Garamond" w:hAnsi="Garamond"/>
          <w:sz w:val="22"/>
          <w:szCs w:val="22"/>
          <w:lang w:val="en-US"/>
        </w:rPr>
        <w:t xml:space="preserve"> risk, permitting </w:t>
      </w:r>
      <w:r w:rsidR="009B6335" w:rsidRPr="009B6335">
        <w:rPr>
          <w:rFonts w:ascii="Garamond" w:hAnsi="Garamond"/>
          <w:sz w:val="22"/>
          <w:szCs w:val="22"/>
          <w:lang w:val="en-US"/>
        </w:rPr>
        <w:t>pharmaceutical donations</w:t>
      </w:r>
      <w:r w:rsidR="009B6335">
        <w:rPr>
          <w:rFonts w:ascii="Garamond" w:hAnsi="Garamond"/>
          <w:sz w:val="22"/>
          <w:szCs w:val="22"/>
          <w:lang w:val="en-US"/>
        </w:rPr>
        <w:t xml:space="preserve"> can also</w:t>
      </w:r>
      <w:r w:rsidR="00BF23DD">
        <w:rPr>
          <w:rFonts w:ascii="Garamond" w:hAnsi="Garamond"/>
          <w:sz w:val="22"/>
          <w:szCs w:val="22"/>
          <w:lang w:val="en-US"/>
        </w:rPr>
        <w:t xml:space="preserve"> be</w:t>
      </w:r>
      <w:r w:rsidR="009B6335">
        <w:rPr>
          <w:rFonts w:ascii="Garamond" w:hAnsi="Garamond"/>
          <w:sz w:val="22"/>
          <w:szCs w:val="22"/>
          <w:lang w:val="en-US"/>
        </w:rPr>
        <w:t xml:space="preserve"> </w:t>
      </w:r>
      <w:r w:rsidR="00BF23DD" w:rsidRPr="00BF23DD">
        <w:rPr>
          <w:rFonts w:ascii="Garamond" w:hAnsi="Garamond"/>
          <w:sz w:val="22"/>
          <w:szCs w:val="22"/>
          <w:lang w:val="en-US"/>
        </w:rPr>
        <w:t>a major safety concern</w:t>
      </w:r>
      <w:r w:rsidR="009B6335">
        <w:rPr>
          <w:rFonts w:ascii="Garamond" w:hAnsi="Garamond"/>
          <w:sz w:val="22"/>
          <w:szCs w:val="22"/>
          <w:lang w:val="en-US"/>
        </w:rPr>
        <w:t xml:space="preserve">. </w:t>
      </w:r>
      <w:r w:rsidR="00B5199B">
        <w:rPr>
          <w:rFonts w:ascii="Garamond" w:hAnsi="Garamond"/>
          <w:sz w:val="22"/>
          <w:szCs w:val="22"/>
          <w:lang w:val="en-US"/>
        </w:rPr>
        <w:t>Meta therefore should consider</w:t>
      </w:r>
      <w:r w:rsidR="009F3B95">
        <w:rPr>
          <w:rFonts w:ascii="Garamond" w:hAnsi="Garamond"/>
          <w:sz w:val="22"/>
          <w:szCs w:val="22"/>
          <w:lang w:val="en-US"/>
        </w:rPr>
        <w:t xml:space="preserve"> that issuing </w:t>
      </w:r>
      <w:r w:rsidR="009F3B95" w:rsidRPr="009F3B95">
        <w:rPr>
          <w:rFonts w:ascii="Garamond" w:hAnsi="Garamond"/>
          <w:sz w:val="22"/>
          <w:szCs w:val="22"/>
          <w:lang w:val="en-US"/>
        </w:rPr>
        <w:t>a "spirit of the policy" allowance</w:t>
      </w:r>
      <w:r w:rsidR="00B5199B">
        <w:rPr>
          <w:rFonts w:ascii="Garamond" w:hAnsi="Garamond"/>
          <w:sz w:val="22"/>
          <w:szCs w:val="22"/>
          <w:lang w:val="en-US"/>
        </w:rPr>
        <w:t xml:space="preserve"> </w:t>
      </w:r>
      <w:r w:rsidR="009F3B95" w:rsidRPr="009F3B95">
        <w:rPr>
          <w:rFonts w:ascii="Garamond" w:hAnsi="Garamond"/>
          <w:sz w:val="22"/>
          <w:szCs w:val="22"/>
          <w:lang w:val="en-US"/>
        </w:rPr>
        <w:t>to the Restricted Goods and Services policy</w:t>
      </w:r>
      <w:r w:rsidR="00060FBC">
        <w:rPr>
          <w:rFonts w:ascii="Garamond" w:hAnsi="Garamond"/>
          <w:sz w:val="22"/>
          <w:szCs w:val="22"/>
          <w:lang w:val="en-US"/>
        </w:rPr>
        <w:t xml:space="preserve"> may allow users to use Met's platforms to exchange harmful drugs and misuse </w:t>
      </w:r>
      <w:r w:rsidR="00FB13CC">
        <w:rPr>
          <w:rFonts w:ascii="Garamond" w:hAnsi="Garamond"/>
          <w:sz w:val="22"/>
          <w:szCs w:val="22"/>
          <w:lang w:val="en-US"/>
        </w:rPr>
        <w:t>them</w:t>
      </w:r>
      <w:r w:rsidR="00060FBC">
        <w:rPr>
          <w:rFonts w:ascii="Garamond" w:hAnsi="Garamond"/>
          <w:sz w:val="22"/>
          <w:szCs w:val="22"/>
          <w:lang w:val="en-US"/>
        </w:rPr>
        <w:t xml:space="preserve"> for illegal purposes or in dangerous ways. </w:t>
      </w:r>
    </w:p>
    <w:p w14:paraId="742F10A5" w14:textId="77777777" w:rsidR="00283958" w:rsidRDefault="00283958" w:rsidP="00FB13CC">
      <w:pPr>
        <w:spacing w:line="276" w:lineRule="auto"/>
        <w:jc w:val="both"/>
        <w:rPr>
          <w:rFonts w:ascii="Garamond" w:hAnsi="Garamond"/>
          <w:sz w:val="22"/>
          <w:szCs w:val="22"/>
          <w:lang w:val="en-US"/>
        </w:rPr>
      </w:pPr>
    </w:p>
    <w:p w14:paraId="764F3FD4" w14:textId="6DC2C6CE" w:rsidR="00283958" w:rsidRPr="0072014F" w:rsidRDefault="002C1676" w:rsidP="00FB13CC">
      <w:pPr>
        <w:spacing w:line="276" w:lineRule="auto"/>
        <w:jc w:val="both"/>
        <w:rPr>
          <w:rFonts w:ascii="Garamond" w:hAnsi="Garamond"/>
          <w:sz w:val="22"/>
          <w:szCs w:val="22"/>
          <w:lang w:val="en-US"/>
        </w:rPr>
      </w:pPr>
      <w:r>
        <w:rPr>
          <w:rFonts w:ascii="Garamond" w:hAnsi="Garamond"/>
          <w:sz w:val="22"/>
          <w:szCs w:val="22"/>
          <w:lang w:val="en-US"/>
        </w:rPr>
        <w:t xml:space="preserve">Nevertheless, the Board found that </w:t>
      </w:r>
      <w:r w:rsidR="00C06C73">
        <w:rPr>
          <w:rFonts w:ascii="Garamond" w:hAnsi="Garamond"/>
          <w:sz w:val="22"/>
          <w:szCs w:val="22"/>
          <w:lang w:val="en-US"/>
        </w:rPr>
        <w:t>in this case the severe</w:t>
      </w:r>
      <w:r w:rsidR="005C2737">
        <w:rPr>
          <w:rFonts w:ascii="Garamond" w:hAnsi="Garamond"/>
          <w:sz w:val="22"/>
          <w:szCs w:val="22"/>
          <w:lang w:val="en-US"/>
        </w:rPr>
        <w:t xml:space="preserve"> </w:t>
      </w:r>
      <w:r w:rsidR="00C06C73">
        <w:rPr>
          <w:rFonts w:ascii="Garamond" w:hAnsi="Garamond"/>
          <w:sz w:val="22"/>
          <w:szCs w:val="22"/>
          <w:lang w:val="en-US"/>
        </w:rPr>
        <w:t>crisis</w:t>
      </w:r>
      <w:r w:rsidR="005C2737">
        <w:rPr>
          <w:rFonts w:ascii="Garamond" w:hAnsi="Garamond"/>
          <w:sz w:val="22"/>
          <w:szCs w:val="22"/>
          <w:lang w:val="en-US"/>
        </w:rPr>
        <w:t xml:space="preserve"> in </w:t>
      </w:r>
      <w:r w:rsidR="00C06C73" w:rsidRPr="00C06C73">
        <w:rPr>
          <w:rFonts w:ascii="Garamond" w:hAnsi="Garamond"/>
          <w:sz w:val="22"/>
          <w:szCs w:val="22"/>
          <w:lang w:val="en-US"/>
        </w:rPr>
        <w:t>Sri Lanka</w:t>
      </w:r>
      <w:r w:rsidR="00C06C73">
        <w:rPr>
          <w:rFonts w:ascii="Garamond" w:hAnsi="Garamond"/>
          <w:sz w:val="22"/>
          <w:szCs w:val="22"/>
          <w:lang w:val="en-US"/>
        </w:rPr>
        <w:t xml:space="preserve"> </w:t>
      </w:r>
      <w:r w:rsidR="005C2737">
        <w:rPr>
          <w:rFonts w:ascii="Garamond" w:hAnsi="Garamond"/>
          <w:sz w:val="22"/>
          <w:szCs w:val="22"/>
          <w:lang w:val="en-US"/>
        </w:rPr>
        <w:t xml:space="preserve">which </w:t>
      </w:r>
      <w:r w:rsidR="00C06C73">
        <w:rPr>
          <w:rFonts w:ascii="Garamond" w:hAnsi="Garamond"/>
          <w:sz w:val="22"/>
          <w:szCs w:val="22"/>
          <w:lang w:val="en-US"/>
        </w:rPr>
        <w:t>resulted</w:t>
      </w:r>
      <w:r w:rsidR="005C2737">
        <w:rPr>
          <w:rFonts w:ascii="Garamond" w:hAnsi="Garamond"/>
          <w:sz w:val="22"/>
          <w:szCs w:val="22"/>
          <w:lang w:val="en-US"/>
        </w:rPr>
        <w:t xml:space="preserve"> in an </w:t>
      </w:r>
      <w:r w:rsidR="005C2737" w:rsidRPr="005C2737">
        <w:rPr>
          <w:rFonts w:ascii="Garamond" w:hAnsi="Garamond"/>
          <w:sz w:val="22"/>
          <w:szCs w:val="22"/>
          <w:lang w:val="en-US"/>
        </w:rPr>
        <w:t>e</w:t>
      </w:r>
      <w:r w:rsidR="005C2737">
        <w:rPr>
          <w:rFonts w:ascii="Garamond" w:hAnsi="Garamond"/>
          <w:sz w:val="22"/>
          <w:szCs w:val="22"/>
          <w:lang w:val="en-US"/>
        </w:rPr>
        <w:t>normous</w:t>
      </w:r>
      <w:r w:rsidR="005C2737" w:rsidRPr="005C2737">
        <w:rPr>
          <w:rFonts w:ascii="Garamond" w:hAnsi="Garamond"/>
          <w:sz w:val="22"/>
          <w:szCs w:val="22"/>
          <w:lang w:val="en-US"/>
        </w:rPr>
        <w:t xml:space="preserve"> shortage of medical supplies</w:t>
      </w:r>
      <w:r w:rsidR="005C2737">
        <w:rPr>
          <w:rFonts w:ascii="Garamond" w:hAnsi="Garamond"/>
          <w:sz w:val="22"/>
          <w:szCs w:val="22"/>
          <w:lang w:val="en-US"/>
        </w:rPr>
        <w:t xml:space="preserve"> and </w:t>
      </w:r>
      <w:r w:rsidR="00073F66">
        <w:rPr>
          <w:rFonts w:ascii="Garamond" w:hAnsi="Garamond"/>
          <w:sz w:val="22"/>
          <w:szCs w:val="22"/>
          <w:lang w:val="en-US"/>
        </w:rPr>
        <w:t>medicines,</w:t>
      </w:r>
      <w:r w:rsidR="005C2737">
        <w:rPr>
          <w:rFonts w:ascii="Garamond" w:hAnsi="Garamond"/>
          <w:sz w:val="22"/>
          <w:szCs w:val="22"/>
          <w:lang w:val="en-US"/>
        </w:rPr>
        <w:t xml:space="preserve"> </w:t>
      </w:r>
      <w:r w:rsidR="00FB13CC">
        <w:rPr>
          <w:rFonts w:ascii="Garamond" w:hAnsi="Garamond"/>
          <w:sz w:val="22"/>
          <w:szCs w:val="22"/>
          <w:lang w:val="en-US"/>
        </w:rPr>
        <w:t>constituted a</w:t>
      </w:r>
      <w:r w:rsidR="00C06C73">
        <w:rPr>
          <w:rFonts w:ascii="Garamond" w:hAnsi="Garamond"/>
          <w:sz w:val="22"/>
          <w:szCs w:val="22"/>
          <w:lang w:val="en-US"/>
        </w:rPr>
        <w:t xml:space="preserve"> valid and justifiable reason for </w:t>
      </w:r>
      <w:r w:rsidR="005C2737">
        <w:rPr>
          <w:rFonts w:ascii="Garamond" w:hAnsi="Garamond"/>
          <w:sz w:val="22"/>
          <w:szCs w:val="22"/>
          <w:lang w:val="en-US"/>
        </w:rPr>
        <w:t xml:space="preserve">Meta </w:t>
      </w:r>
      <w:r>
        <w:rPr>
          <w:rFonts w:ascii="Garamond" w:hAnsi="Garamond"/>
          <w:sz w:val="22"/>
          <w:szCs w:val="22"/>
          <w:lang w:val="en-US"/>
        </w:rPr>
        <w:t xml:space="preserve">to issue </w:t>
      </w:r>
      <w:r w:rsidRPr="002C1676">
        <w:rPr>
          <w:rFonts w:ascii="Garamond" w:hAnsi="Garamond"/>
          <w:sz w:val="22"/>
          <w:szCs w:val="22"/>
          <w:lang w:val="en-US"/>
        </w:rPr>
        <w:t>a "spirit of the policy" allowance</w:t>
      </w:r>
      <w:r w:rsidR="00C06C73">
        <w:rPr>
          <w:rFonts w:ascii="Garamond" w:hAnsi="Garamond"/>
          <w:sz w:val="22"/>
          <w:szCs w:val="22"/>
          <w:lang w:val="en-US"/>
        </w:rPr>
        <w:t xml:space="preserve"> permitting</w:t>
      </w:r>
      <w:r w:rsidR="00855A22">
        <w:rPr>
          <w:rFonts w:ascii="Garamond" w:hAnsi="Garamond"/>
          <w:sz w:val="22"/>
          <w:szCs w:val="22"/>
          <w:lang w:val="en-US"/>
        </w:rPr>
        <w:t xml:space="preserve"> content</w:t>
      </w:r>
      <w:r w:rsidR="00C06C73">
        <w:rPr>
          <w:rFonts w:ascii="Garamond" w:hAnsi="Garamond"/>
          <w:sz w:val="22"/>
          <w:szCs w:val="22"/>
          <w:lang w:val="en-US"/>
        </w:rPr>
        <w:t xml:space="preserve"> asking to donate </w:t>
      </w:r>
      <w:r w:rsidR="00C06C73" w:rsidRPr="00C06C73">
        <w:rPr>
          <w:rFonts w:ascii="Garamond" w:hAnsi="Garamond"/>
          <w:sz w:val="22"/>
          <w:szCs w:val="22"/>
          <w:lang w:val="en-US"/>
        </w:rPr>
        <w:t>pharmaceutical drugs in Sri Lanka</w:t>
      </w:r>
      <w:r w:rsidR="00C06C73">
        <w:rPr>
          <w:rFonts w:ascii="Garamond" w:hAnsi="Garamond"/>
          <w:sz w:val="22"/>
          <w:szCs w:val="22"/>
          <w:lang w:val="en-US"/>
        </w:rPr>
        <w:t>. The Board explained that "t</w:t>
      </w:r>
      <w:r w:rsidR="00C06C73" w:rsidRPr="00C06C73">
        <w:rPr>
          <w:rFonts w:ascii="Garamond" w:hAnsi="Garamond"/>
          <w:sz w:val="22"/>
          <w:szCs w:val="22"/>
          <w:lang w:val="en-US"/>
        </w:rPr>
        <w:t>he more acute need in a time of severe economic crisis should prevail so that people's access to healthcare is minimally preserved</w:t>
      </w:r>
      <w:r w:rsidR="00C06C73">
        <w:rPr>
          <w:rFonts w:ascii="Garamond" w:hAnsi="Garamond"/>
          <w:sz w:val="22"/>
          <w:szCs w:val="22"/>
          <w:lang w:val="en-US"/>
        </w:rPr>
        <w:t xml:space="preserve">"[p. 14]. </w:t>
      </w:r>
      <w:r w:rsidR="002F4A5E">
        <w:rPr>
          <w:rFonts w:ascii="Garamond" w:hAnsi="Garamond"/>
          <w:sz w:val="22"/>
          <w:szCs w:val="22"/>
          <w:lang w:val="en-US"/>
        </w:rPr>
        <w:t>Additionally</w:t>
      </w:r>
      <w:r w:rsidR="00C06C73">
        <w:rPr>
          <w:rFonts w:ascii="Garamond" w:hAnsi="Garamond"/>
          <w:sz w:val="22"/>
          <w:szCs w:val="22"/>
          <w:lang w:val="en-US"/>
        </w:rPr>
        <w:t xml:space="preserve">, the </w:t>
      </w:r>
      <w:r w:rsidR="002F4A5E">
        <w:rPr>
          <w:rFonts w:ascii="Garamond" w:hAnsi="Garamond"/>
          <w:sz w:val="22"/>
          <w:szCs w:val="22"/>
          <w:lang w:val="en-US"/>
        </w:rPr>
        <w:t>concerns</w:t>
      </w:r>
      <w:r w:rsidR="00C06C73">
        <w:rPr>
          <w:rFonts w:ascii="Garamond" w:hAnsi="Garamond"/>
          <w:sz w:val="22"/>
          <w:szCs w:val="22"/>
          <w:lang w:val="en-US"/>
        </w:rPr>
        <w:t xml:space="preserve"> related to the misuse of </w:t>
      </w:r>
      <w:r w:rsidR="002F4A5E">
        <w:rPr>
          <w:rFonts w:ascii="Garamond" w:hAnsi="Garamond"/>
          <w:sz w:val="22"/>
          <w:szCs w:val="22"/>
          <w:lang w:val="en-US"/>
        </w:rPr>
        <w:t xml:space="preserve">drugs can be mitigated by the </w:t>
      </w:r>
      <w:r w:rsidR="002F4A5E" w:rsidRPr="002F4A5E">
        <w:rPr>
          <w:rFonts w:ascii="Garamond" w:hAnsi="Garamond"/>
          <w:sz w:val="22"/>
          <w:szCs w:val="22"/>
          <w:lang w:val="en-US"/>
        </w:rPr>
        <w:t xml:space="preserve">local authorities and </w:t>
      </w:r>
      <w:proofErr w:type="spellStart"/>
      <w:r w:rsidR="002F4A5E" w:rsidRPr="002F4A5E">
        <w:rPr>
          <w:rFonts w:ascii="Garamond" w:hAnsi="Garamond"/>
          <w:sz w:val="22"/>
          <w:szCs w:val="22"/>
          <w:lang w:val="en-US"/>
        </w:rPr>
        <w:t>organisations</w:t>
      </w:r>
      <w:proofErr w:type="spellEnd"/>
      <w:r w:rsidR="002F4A5E">
        <w:rPr>
          <w:rFonts w:ascii="Garamond" w:hAnsi="Garamond"/>
          <w:sz w:val="22"/>
          <w:szCs w:val="22"/>
          <w:lang w:val="en-US"/>
        </w:rPr>
        <w:t xml:space="preserve">, if </w:t>
      </w:r>
      <w:r w:rsidR="002F4A5E" w:rsidRPr="002F4A5E">
        <w:rPr>
          <w:rFonts w:ascii="Garamond" w:hAnsi="Garamond"/>
          <w:sz w:val="22"/>
          <w:szCs w:val="22"/>
          <w:lang w:val="en-US"/>
        </w:rPr>
        <w:t>properly notified by Meta of the policy allowance</w:t>
      </w:r>
      <w:r w:rsidR="002F4A5E">
        <w:rPr>
          <w:rFonts w:ascii="Garamond" w:hAnsi="Garamond"/>
          <w:sz w:val="22"/>
          <w:szCs w:val="22"/>
          <w:lang w:val="en-US"/>
        </w:rPr>
        <w:t>.</w:t>
      </w:r>
    </w:p>
    <w:p w14:paraId="20C8460D" w14:textId="77777777" w:rsidR="002F4A5E" w:rsidRPr="002F4A5E" w:rsidRDefault="002F4A5E" w:rsidP="00FB13CC">
      <w:pPr>
        <w:spacing w:line="276" w:lineRule="auto"/>
        <w:jc w:val="both"/>
        <w:rPr>
          <w:rFonts w:ascii="Garamond" w:hAnsi="Garamond"/>
          <w:i/>
          <w:iCs/>
          <w:sz w:val="22"/>
          <w:szCs w:val="22"/>
          <w:lang w:val="en-US"/>
        </w:rPr>
      </w:pPr>
    </w:p>
    <w:p w14:paraId="734F01D7" w14:textId="18B84A6F" w:rsidR="002F4A5E" w:rsidRPr="0072014F" w:rsidRDefault="00320364" w:rsidP="00855A22">
      <w:pPr>
        <w:spacing w:line="276" w:lineRule="auto"/>
        <w:jc w:val="both"/>
        <w:rPr>
          <w:rFonts w:ascii="Garamond" w:hAnsi="Garamond"/>
          <w:sz w:val="22"/>
          <w:szCs w:val="22"/>
          <w:lang w:val="en-US"/>
        </w:rPr>
      </w:pPr>
      <w:r w:rsidRPr="0072014F">
        <w:rPr>
          <w:rFonts w:ascii="Garamond" w:hAnsi="Garamond"/>
          <w:sz w:val="22"/>
          <w:szCs w:val="22"/>
          <w:lang w:val="en-US"/>
        </w:rPr>
        <w:t xml:space="preserve">The </w:t>
      </w:r>
      <w:r w:rsidR="00855A22" w:rsidRPr="0072014F">
        <w:rPr>
          <w:rFonts w:ascii="Garamond" w:hAnsi="Garamond"/>
          <w:sz w:val="22"/>
          <w:szCs w:val="22"/>
          <w:lang w:val="en-US"/>
        </w:rPr>
        <w:t xml:space="preserve">Board </w:t>
      </w:r>
      <w:r w:rsidRPr="0072014F">
        <w:rPr>
          <w:rFonts w:ascii="Garamond" w:hAnsi="Garamond"/>
          <w:sz w:val="22"/>
          <w:szCs w:val="22"/>
          <w:lang w:val="en-US"/>
        </w:rPr>
        <w:t>highlighted its concerns regarding Meta's uncertainty</w:t>
      </w:r>
      <w:r w:rsidR="00E5007D" w:rsidRPr="0072014F">
        <w:rPr>
          <w:rFonts w:ascii="Garamond" w:hAnsi="Garamond"/>
          <w:sz w:val="22"/>
          <w:szCs w:val="22"/>
          <w:lang w:val="en-US"/>
        </w:rPr>
        <w:t xml:space="preserve"> about the </w:t>
      </w:r>
      <w:proofErr w:type="spellStart"/>
      <w:r w:rsidR="00E5007D" w:rsidRPr="0072014F">
        <w:rPr>
          <w:rFonts w:ascii="Garamond" w:hAnsi="Garamond"/>
          <w:sz w:val="22"/>
          <w:szCs w:val="22"/>
          <w:lang w:val="en-US"/>
        </w:rPr>
        <w:t>the</w:t>
      </w:r>
      <w:proofErr w:type="spellEnd"/>
      <w:r w:rsidR="00E5007D" w:rsidRPr="0072014F">
        <w:rPr>
          <w:rFonts w:ascii="Garamond" w:hAnsi="Garamond"/>
          <w:sz w:val="22"/>
          <w:szCs w:val="22"/>
          <w:lang w:val="en-US"/>
        </w:rPr>
        <w:t xml:space="preserve"> scope of applying the allowances. Hence, the Board urged Meta to review its enforcement system so that it is clear the impact of such allowances</w:t>
      </w:r>
      <w:r w:rsidR="004534F6" w:rsidRPr="0072014F">
        <w:rPr>
          <w:rFonts w:ascii="Garamond" w:hAnsi="Garamond"/>
          <w:sz w:val="22"/>
          <w:szCs w:val="22"/>
          <w:lang w:val="en-US"/>
        </w:rPr>
        <w:t>. Moreover, Meta restricted the policy allowance on the Sri Lanka market</w:t>
      </w:r>
      <w:r w:rsidR="00FB13CC">
        <w:rPr>
          <w:rFonts w:ascii="Garamond" w:hAnsi="Garamond"/>
          <w:sz w:val="22"/>
          <w:szCs w:val="22"/>
          <w:lang w:val="en-US"/>
        </w:rPr>
        <w:t xml:space="preserve"> and</w:t>
      </w:r>
      <w:r w:rsidR="004534F6" w:rsidRPr="0072014F">
        <w:rPr>
          <w:rFonts w:ascii="Garamond" w:hAnsi="Garamond"/>
          <w:sz w:val="22"/>
          <w:szCs w:val="22"/>
          <w:lang w:val="en-US"/>
        </w:rPr>
        <w:t xml:space="preserve"> the Sinhalese language, a</w:t>
      </w:r>
      <w:r w:rsidR="002560B1" w:rsidRPr="0072014F">
        <w:rPr>
          <w:rFonts w:ascii="Garamond" w:hAnsi="Garamond"/>
          <w:sz w:val="22"/>
          <w:szCs w:val="22"/>
          <w:lang w:val="en-US"/>
        </w:rPr>
        <w:t>l</w:t>
      </w:r>
      <w:r w:rsidR="004534F6" w:rsidRPr="0072014F">
        <w:rPr>
          <w:rFonts w:ascii="Garamond" w:hAnsi="Garamond"/>
          <w:sz w:val="22"/>
          <w:szCs w:val="22"/>
          <w:lang w:val="en-US"/>
        </w:rPr>
        <w:t>though Sri Lanka has two official languages, Sinhala and Tamil</w:t>
      </w:r>
      <w:r w:rsidR="002560B1" w:rsidRPr="0072014F">
        <w:rPr>
          <w:rFonts w:ascii="Garamond" w:hAnsi="Garamond"/>
          <w:sz w:val="22"/>
          <w:szCs w:val="22"/>
          <w:lang w:val="en-US"/>
        </w:rPr>
        <w:t>. Since the Tamil language is largely spoken in the country by</w:t>
      </w:r>
      <w:r w:rsidR="002560B1" w:rsidRPr="002560B1">
        <w:t xml:space="preserve"> </w:t>
      </w:r>
      <w:r w:rsidR="002560B1" w:rsidRPr="0072014F">
        <w:rPr>
          <w:rFonts w:ascii="Garamond" w:hAnsi="Garamond"/>
          <w:sz w:val="22"/>
          <w:szCs w:val="22"/>
          <w:lang w:val="en-US"/>
        </w:rPr>
        <w:t>Tamil and Muslim ethnic minorities, the Board</w:t>
      </w:r>
      <w:r w:rsidR="002560B1" w:rsidRPr="002560B1">
        <w:t xml:space="preserve"> </w:t>
      </w:r>
      <w:r w:rsidR="002560B1" w:rsidRPr="0072014F">
        <w:rPr>
          <w:rFonts w:ascii="Garamond" w:hAnsi="Garamond"/>
          <w:sz w:val="22"/>
          <w:szCs w:val="22"/>
          <w:lang w:val="en-US"/>
        </w:rPr>
        <w:t xml:space="preserve">emphasized that "At-scale allowances should be sensitive </w:t>
      </w:r>
      <w:r w:rsidR="00AE5C22" w:rsidRPr="0072014F">
        <w:rPr>
          <w:rFonts w:ascii="Garamond" w:hAnsi="Garamond"/>
          <w:sz w:val="22"/>
          <w:szCs w:val="22"/>
          <w:lang w:val="en-US"/>
        </w:rPr>
        <w:t xml:space="preserve">to the ethnic and </w:t>
      </w:r>
      <w:r w:rsidR="002560B1" w:rsidRPr="0072014F">
        <w:rPr>
          <w:rFonts w:ascii="Garamond" w:hAnsi="Garamond"/>
          <w:sz w:val="22"/>
          <w:szCs w:val="22"/>
          <w:lang w:val="en-US"/>
        </w:rPr>
        <w:t>linguistic diversity of people they may affect in order to avoid inadvertent discrimination"[p.16].</w:t>
      </w:r>
    </w:p>
    <w:p w14:paraId="4E97FCD5" w14:textId="650ADD08" w:rsidR="0072014F" w:rsidRPr="0072014F" w:rsidRDefault="00932A59" w:rsidP="00FB13CC">
      <w:pPr>
        <w:spacing w:line="276" w:lineRule="auto"/>
        <w:jc w:val="both"/>
        <w:rPr>
          <w:rFonts w:ascii="Garamond" w:hAnsi="Garamond"/>
          <w:sz w:val="22"/>
          <w:szCs w:val="22"/>
          <w:lang w:val="en-US"/>
        </w:rPr>
      </w:pPr>
      <w:r w:rsidRPr="0072014F">
        <w:rPr>
          <w:rFonts w:ascii="Garamond" w:hAnsi="Garamond"/>
          <w:sz w:val="22"/>
          <w:szCs w:val="22"/>
          <w:lang w:val="en-US"/>
        </w:rPr>
        <w:t>The Board further noted that the users have no access to information about the "spirit of the policy" allowance</w:t>
      </w:r>
      <w:r w:rsidR="001657F8" w:rsidRPr="0072014F">
        <w:rPr>
          <w:rFonts w:ascii="Garamond" w:hAnsi="Garamond"/>
          <w:sz w:val="22"/>
          <w:szCs w:val="22"/>
          <w:lang w:val="en-US"/>
        </w:rPr>
        <w:t>. Therefore</w:t>
      </w:r>
      <w:r w:rsidRPr="0072014F">
        <w:rPr>
          <w:rFonts w:ascii="Garamond" w:hAnsi="Garamond"/>
          <w:sz w:val="22"/>
          <w:szCs w:val="22"/>
          <w:lang w:val="en-US"/>
        </w:rPr>
        <w:t>,</w:t>
      </w:r>
      <w:r w:rsidR="001657F8" w:rsidRPr="0072014F">
        <w:rPr>
          <w:rFonts w:ascii="Garamond" w:hAnsi="Garamond"/>
          <w:sz w:val="22"/>
          <w:szCs w:val="22"/>
          <w:lang w:val="en-US"/>
        </w:rPr>
        <w:t xml:space="preserve"> Meta should provide information about the</w:t>
      </w:r>
      <w:r w:rsidR="001657F8" w:rsidRPr="001657F8">
        <w:t xml:space="preserve"> </w:t>
      </w:r>
      <w:r w:rsidR="001657F8" w:rsidRPr="0072014F">
        <w:rPr>
          <w:rFonts w:ascii="Garamond" w:hAnsi="Garamond"/>
          <w:sz w:val="22"/>
          <w:szCs w:val="22"/>
          <w:lang w:val="en-US"/>
        </w:rPr>
        <w:t>allowance in its</w:t>
      </w:r>
      <w:r w:rsidR="001657F8" w:rsidRPr="001657F8">
        <w:t xml:space="preserve"> </w:t>
      </w:r>
      <w:r w:rsidR="001657F8" w:rsidRPr="0072014F">
        <w:rPr>
          <w:rFonts w:ascii="Garamond" w:hAnsi="Garamond"/>
          <w:sz w:val="22"/>
          <w:szCs w:val="22"/>
          <w:lang w:val="en-US"/>
        </w:rPr>
        <w:t xml:space="preserve">Transparency Centre by creating a page </w:t>
      </w:r>
      <w:r w:rsidR="00C96D18" w:rsidRPr="0072014F">
        <w:rPr>
          <w:rFonts w:ascii="Garamond" w:hAnsi="Garamond"/>
          <w:sz w:val="22"/>
          <w:szCs w:val="22"/>
          <w:lang w:val="en-US"/>
        </w:rPr>
        <w:t>indicat</w:t>
      </w:r>
      <w:r w:rsidR="00FB13CC">
        <w:rPr>
          <w:rFonts w:ascii="Garamond" w:hAnsi="Garamond"/>
          <w:sz w:val="22"/>
          <w:szCs w:val="22"/>
          <w:lang w:val="en-US"/>
        </w:rPr>
        <w:t>ing</w:t>
      </w:r>
      <w:r w:rsidR="00C96D18" w:rsidRPr="0072014F">
        <w:rPr>
          <w:rFonts w:ascii="Garamond" w:hAnsi="Garamond"/>
          <w:sz w:val="22"/>
          <w:szCs w:val="22"/>
          <w:lang w:val="en-US"/>
        </w:rPr>
        <w:t xml:space="preserve"> the criteria </w:t>
      </w:r>
      <w:r w:rsidR="00C96D18" w:rsidRPr="0072014F">
        <w:rPr>
          <w:rFonts w:ascii="Garamond" w:hAnsi="Garamond"/>
          <w:sz w:val="22"/>
          <w:szCs w:val="22"/>
          <w:lang w:val="en-US"/>
        </w:rPr>
        <w:lastRenderedPageBreak/>
        <w:t>Meta uses to issue or terminate the allowance. As well as providing users</w:t>
      </w:r>
      <w:r w:rsidR="00C96D18" w:rsidRPr="00C96D18">
        <w:t xml:space="preserve"> </w:t>
      </w:r>
      <w:r w:rsidR="00C96D18" w:rsidRPr="0072014F">
        <w:rPr>
          <w:rFonts w:ascii="Garamond" w:hAnsi="Garamond"/>
          <w:sz w:val="22"/>
          <w:szCs w:val="22"/>
          <w:lang w:val="en-US"/>
        </w:rPr>
        <w:t xml:space="preserve">a list of all the "spirit of the policy" allowances it has issued with aggregated data about it. The Bard </w:t>
      </w:r>
      <w:r w:rsidR="0072014F" w:rsidRPr="0072014F">
        <w:rPr>
          <w:rFonts w:ascii="Garamond" w:hAnsi="Garamond"/>
          <w:sz w:val="22"/>
          <w:szCs w:val="22"/>
          <w:lang w:val="en-US"/>
        </w:rPr>
        <w:t>pointed out the importance of providing such information because</w:t>
      </w:r>
      <w:r w:rsidR="0072014F" w:rsidRPr="0072014F">
        <w:t xml:space="preserve"> </w:t>
      </w:r>
      <w:r w:rsidR="0072014F" w:rsidRPr="0072014F">
        <w:rPr>
          <w:rFonts w:ascii="Garamond" w:hAnsi="Garamond"/>
          <w:sz w:val="22"/>
          <w:szCs w:val="22"/>
        </w:rPr>
        <w:t>"</w:t>
      </w:r>
      <w:r w:rsidR="0072014F" w:rsidRPr="0072014F">
        <w:rPr>
          <w:rFonts w:ascii="Garamond" w:hAnsi="Garamond"/>
          <w:sz w:val="22"/>
          <w:szCs w:val="22"/>
          <w:lang w:val="en-US"/>
        </w:rPr>
        <w:t>the "spirit of the policy" allowance is a general exception applicable to all content policies across Facebook and Instagram" [p. 16].</w:t>
      </w:r>
    </w:p>
    <w:p w14:paraId="11251E6B" w14:textId="77777777" w:rsidR="0072014F" w:rsidRDefault="0072014F" w:rsidP="0072014F">
      <w:pPr>
        <w:pStyle w:val="ListParagraph"/>
        <w:spacing w:line="276" w:lineRule="auto"/>
        <w:ind w:left="360"/>
        <w:rPr>
          <w:rFonts w:ascii="Garamond" w:hAnsi="Garamond"/>
          <w:sz w:val="22"/>
          <w:szCs w:val="22"/>
          <w:lang w:val="en-US"/>
        </w:rPr>
      </w:pPr>
    </w:p>
    <w:p w14:paraId="580CB8E6" w14:textId="77777777" w:rsidR="0072014F" w:rsidRDefault="0072014F" w:rsidP="0072014F">
      <w:pPr>
        <w:pStyle w:val="ListParagraph"/>
        <w:spacing w:line="276" w:lineRule="auto"/>
        <w:ind w:left="360"/>
        <w:rPr>
          <w:rFonts w:ascii="Garamond" w:hAnsi="Garamond"/>
          <w:sz w:val="22"/>
          <w:szCs w:val="22"/>
          <w:lang w:val="en-US"/>
        </w:rPr>
      </w:pPr>
    </w:p>
    <w:p w14:paraId="390688CC" w14:textId="225B0C64" w:rsidR="002F4A5E" w:rsidRPr="0072014F" w:rsidRDefault="0072014F" w:rsidP="0072014F">
      <w:pPr>
        <w:pStyle w:val="ListParagraph"/>
        <w:spacing w:line="276" w:lineRule="auto"/>
        <w:ind w:left="360"/>
        <w:rPr>
          <w:rFonts w:ascii="Garamond" w:hAnsi="Garamond"/>
          <w:i/>
          <w:iCs/>
          <w:sz w:val="22"/>
          <w:szCs w:val="22"/>
          <w:lang w:val="en-US"/>
        </w:rPr>
      </w:pPr>
      <w:r w:rsidRPr="0072014F">
        <w:rPr>
          <w:rFonts w:ascii="Garamond" w:hAnsi="Garamond"/>
          <w:sz w:val="22"/>
          <w:szCs w:val="22"/>
          <w:lang w:val="en-US"/>
        </w:rPr>
        <w:t xml:space="preserve"> </w:t>
      </w:r>
      <w:r w:rsidR="00C96D18" w:rsidRPr="0072014F">
        <w:rPr>
          <w:rFonts w:ascii="Garamond" w:hAnsi="Garamond"/>
          <w:sz w:val="22"/>
          <w:szCs w:val="22"/>
          <w:lang w:val="en-US"/>
        </w:rPr>
        <w:t xml:space="preserve">  </w:t>
      </w:r>
      <w:r w:rsidR="001657F8" w:rsidRPr="0072014F">
        <w:rPr>
          <w:rFonts w:ascii="Garamond" w:hAnsi="Garamond"/>
          <w:sz w:val="22"/>
          <w:szCs w:val="22"/>
          <w:lang w:val="en-US"/>
        </w:rPr>
        <w:t xml:space="preserve"> </w:t>
      </w:r>
      <w:r w:rsidRPr="0072014F">
        <w:rPr>
          <w:rFonts w:ascii="Garamond" w:hAnsi="Garamond"/>
          <w:i/>
          <w:iCs/>
          <w:sz w:val="22"/>
          <w:szCs w:val="22"/>
          <w:lang w:val="en-US"/>
        </w:rPr>
        <w:t>Compliance with Meta's human rights responsibilities</w:t>
      </w:r>
      <w:r w:rsidR="00932A59" w:rsidRPr="0072014F">
        <w:rPr>
          <w:rFonts w:ascii="Garamond" w:hAnsi="Garamond"/>
          <w:i/>
          <w:iCs/>
          <w:sz w:val="22"/>
          <w:szCs w:val="22"/>
          <w:lang w:val="en-US"/>
        </w:rPr>
        <w:t xml:space="preserve"> </w:t>
      </w:r>
    </w:p>
    <w:p w14:paraId="4ABABEF8" w14:textId="77777777" w:rsidR="002F4A5E" w:rsidRDefault="002F4A5E" w:rsidP="0035234D">
      <w:pPr>
        <w:pStyle w:val="ListParagraph"/>
        <w:spacing w:line="276" w:lineRule="auto"/>
        <w:ind w:left="360"/>
        <w:jc w:val="both"/>
        <w:rPr>
          <w:rFonts w:ascii="Garamond" w:hAnsi="Garamond"/>
          <w:sz w:val="22"/>
          <w:szCs w:val="22"/>
          <w:u w:val="single"/>
          <w:lang w:val="en-US"/>
        </w:rPr>
      </w:pPr>
    </w:p>
    <w:p w14:paraId="793D0728" w14:textId="77777777" w:rsidR="002F4A5E" w:rsidRDefault="002F4A5E" w:rsidP="0035234D">
      <w:pPr>
        <w:pStyle w:val="ListParagraph"/>
        <w:spacing w:line="276" w:lineRule="auto"/>
        <w:ind w:left="360"/>
        <w:jc w:val="both"/>
        <w:rPr>
          <w:rFonts w:ascii="Garamond" w:hAnsi="Garamond"/>
          <w:sz w:val="22"/>
          <w:szCs w:val="22"/>
          <w:u w:val="single"/>
          <w:lang w:val="en-US"/>
        </w:rPr>
      </w:pPr>
    </w:p>
    <w:p w14:paraId="74C6987F" w14:textId="6B3AE102" w:rsidR="00290012" w:rsidRDefault="00290012" w:rsidP="00FB13CC">
      <w:pPr>
        <w:spacing w:line="276" w:lineRule="auto"/>
        <w:jc w:val="both"/>
        <w:rPr>
          <w:rFonts w:ascii="Garamond" w:hAnsi="Garamond"/>
          <w:sz w:val="22"/>
          <w:szCs w:val="22"/>
          <w:lang w:val="en-US"/>
        </w:rPr>
      </w:pPr>
      <w:r>
        <w:rPr>
          <w:rFonts w:ascii="Garamond" w:hAnsi="Garamond"/>
          <w:sz w:val="22"/>
          <w:szCs w:val="22"/>
          <w:lang w:val="en-US"/>
        </w:rPr>
        <w:t>The Board mentioned that Meta</w:t>
      </w:r>
      <w:r w:rsidRPr="00290012">
        <w:t xml:space="preserve"> </w:t>
      </w:r>
      <w:r>
        <w:rPr>
          <w:rFonts w:ascii="Garamond" w:hAnsi="Garamond"/>
          <w:sz w:val="22"/>
          <w:szCs w:val="22"/>
          <w:lang w:val="en-US"/>
        </w:rPr>
        <w:t>"</w:t>
      </w:r>
      <w:r w:rsidRPr="00290012">
        <w:rPr>
          <w:rFonts w:ascii="Garamond" w:hAnsi="Garamond"/>
          <w:sz w:val="22"/>
          <w:szCs w:val="22"/>
          <w:lang w:val="en-US"/>
        </w:rPr>
        <w:t xml:space="preserve">has committed itself to respect human rights under the UN Guiding Principles on Business and Human </w:t>
      </w:r>
      <w:r>
        <w:rPr>
          <w:rFonts w:ascii="Garamond" w:hAnsi="Garamond"/>
          <w:sz w:val="22"/>
          <w:szCs w:val="22"/>
          <w:lang w:val="en-US"/>
        </w:rPr>
        <w:t>Rights (UNGPs)" [p.16].</w:t>
      </w:r>
    </w:p>
    <w:p w14:paraId="35488C48" w14:textId="47B6C556" w:rsidR="002F4A5E" w:rsidRPr="00684B25" w:rsidRDefault="00290012" w:rsidP="00855A22">
      <w:pPr>
        <w:spacing w:line="276" w:lineRule="auto"/>
        <w:jc w:val="both"/>
        <w:rPr>
          <w:rFonts w:ascii="Garamond" w:hAnsi="Garamond"/>
          <w:sz w:val="22"/>
          <w:szCs w:val="22"/>
          <w:lang w:val="en-US"/>
        </w:rPr>
      </w:pPr>
      <w:r w:rsidRPr="00290012">
        <w:rPr>
          <w:rFonts w:ascii="Garamond" w:hAnsi="Garamond"/>
          <w:sz w:val="22"/>
          <w:szCs w:val="22"/>
          <w:lang w:val="en-US"/>
        </w:rPr>
        <w:t>The Board recalled that Article 19 of the International Covenant on Civil and Political Rights (</w:t>
      </w:r>
      <w:r w:rsidR="00855A22">
        <w:rPr>
          <w:rFonts w:ascii="Garamond" w:hAnsi="Garamond"/>
          <w:sz w:val="22"/>
          <w:szCs w:val="22"/>
          <w:lang w:val="en-US"/>
        </w:rPr>
        <w:t>ICCPR</w:t>
      </w:r>
      <w:r w:rsidRPr="00290012">
        <w:rPr>
          <w:rFonts w:ascii="Garamond" w:hAnsi="Garamond"/>
          <w:sz w:val="22"/>
          <w:szCs w:val="22"/>
          <w:lang w:val="en-US"/>
        </w:rPr>
        <w:t>) provides</w:t>
      </w:r>
      <w:r w:rsidRPr="00290012">
        <w:t xml:space="preserve"> </w:t>
      </w:r>
      <w:r w:rsidRPr="00290012">
        <w:rPr>
          <w:rFonts w:ascii="Garamond" w:hAnsi="Garamond"/>
          <w:sz w:val="22"/>
          <w:szCs w:val="22"/>
          <w:lang w:val="en-US"/>
        </w:rPr>
        <w:t>heightened protection to expression</w:t>
      </w:r>
      <w:r w:rsidR="003D1810">
        <w:rPr>
          <w:rFonts w:ascii="Garamond" w:hAnsi="Garamond"/>
          <w:sz w:val="22"/>
          <w:szCs w:val="22"/>
          <w:lang w:val="en-US"/>
        </w:rPr>
        <w:t xml:space="preserve"> and that expression is "</w:t>
      </w:r>
      <w:r w:rsidR="003D1810" w:rsidRPr="003D1810">
        <w:rPr>
          <w:rFonts w:ascii="Garamond" w:hAnsi="Garamond"/>
          <w:sz w:val="22"/>
          <w:szCs w:val="22"/>
          <w:lang w:val="en-US"/>
        </w:rPr>
        <w:t>particularly important during a health crisis as it relates to matters of great public importance</w:t>
      </w:r>
      <w:r w:rsidR="003D1810">
        <w:rPr>
          <w:rFonts w:ascii="Garamond" w:hAnsi="Garamond"/>
          <w:sz w:val="22"/>
          <w:szCs w:val="22"/>
          <w:lang w:val="en-US"/>
        </w:rPr>
        <w:t>" [p.17]</w:t>
      </w:r>
    </w:p>
    <w:p w14:paraId="3B3A7EA6" w14:textId="5BA148C8" w:rsidR="002F4A5E" w:rsidRPr="00684B25" w:rsidRDefault="001D2CAF" w:rsidP="00FB13CC">
      <w:pPr>
        <w:spacing w:line="276" w:lineRule="auto"/>
        <w:jc w:val="both"/>
        <w:rPr>
          <w:rFonts w:ascii="Garamond" w:hAnsi="Garamond"/>
          <w:sz w:val="22"/>
          <w:szCs w:val="22"/>
          <w:lang w:val="en-US"/>
        </w:rPr>
      </w:pPr>
      <w:r w:rsidRPr="00684B25">
        <w:rPr>
          <w:rFonts w:ascii="Garamond" w:hAnsi="Garamond"/>
          <w:sz w:val="22"/>
          <w:szCs w:val="22"/>
          <w:lang w:val="en-US"/>
        </w:rPr>
        <w:t>The Board applied Article 19 of the ICCPR and employed a three-part test to analyze whether Meta’s</w:t>
      </w:r>
      <w:r w:rsidR="004E43CC">
        <w:rPr>
          <w:rFonts w:ascii="Garamond" w:hAnsi="Garamond"/>
          <w:sz w:val="22"/>
          <w:szCs w:val="22"/>
          <w:lang w:val="en-US"/>
        </w:rPr>
        <w:t xml:space="preserve"> decision to </w:t>
      </w:r>
      <w:r w:rsidR="00290012">
        <w:rPr>
          <w:rFonts w:ascii="Garamond" w:hAnsi="Garamond"/>
          <w:sz w:val="22"/>
          <w:szCs w:val="22"/>
          <w:lang w:val="en-US"/>
        </w:rPr>
        <w:t>leave</w:t>
      </w:r>
      <w:r w:rsidR="004E43CC">
        <w:rPr>
          <w:rFonts w:ascii="Garamond" w:hAnsi="Garamond"/>
          <w:sz w:val="22"/>
          <w:szCs w:val="22"/>
          <w:lang w:val="en-US"/>
        </w:rPr>
        <w:t xml:space="preserve"> up </w:t>
      </w:r>
      <w:r w:rsidR="00290012">
        <w:rPr>
          <w:rFonts w:ascii="Garamond" w:hAnsi="Garamond"/>
          <w:sz w:val="22"/>
          <w:szCs w:val="22"/>
          <w:lang w:val="en-US"/>
        </w:rPr>
        <w:t xml:space="preserve">the content </w:t>
      </w:r>
      <w:r w:rsidR="00073F66" w:rsidRPr="00073F66">
        <w:rPr>
          <w:rFonts w:ascii="Garamond" w:hAnsi="Garamond"/>
          <w:sz w:val="22"/>
          <w:szCs w:val="22"/>
          <w:lang w:val="en-US"/>
        </w:rPr>
        <w:t xml:space="preserve">complied </w:t>
      </w:r>
      <w:r w:rsidR="00290012" w:rsidRPr="00290012">
        <w:rPr>
          <w:rFonts w:ascii="Garamond" w:hAnsi="Garamond"/>
          <w:sz w:val="22"/>
          <w:szCs w:val="22"/>
          <w:lang w:val="en-US"/>
        </w:rPr>
        <w:t xml:space="preserve">with </w:t>
      </w:r>
      <w:r w:rsidR="00290012">
        <w:rPr>
          <w:rFonts w:ascii="Garamond" w:hAnsi="Garamond"/>
          <w:sz w:val="22"/>
          <w:szCs w:val="22"/>
          <w:lang w:val="en-US"/>
        </w:rPr>
        <w:t>its</w:t>
      </w:r>
      <w:r w:rsidR="00290012" w:rsidRPr="00290012">
        <w:rPr>
          <w:rFonts w:ascii="Garamond" w:hAnsi="Garamond"/>
          <w:sz w:val="22"/>
          <w:szCs w:val="22"/>
          <w:lang w:val="en-US"/>
        </w:rPr>
        <w:t xml:space="preserve"> human rights responsibilities</w:t>
      </w:r>
      <w:r w:rsidR="00290012">
        <w:rPr>
          <w:rFonts w:ascii="Garamond" w:hAnsi="Garamond"/>
          <w:sz w:val="22"/>
          <w:szCs w:val="22"/>
          <w:lang w:val="en-US"/>
        </w:rPr>
        <w:t xml:space="preserve">. </w:t>
      </w:r>
    </w:p>
    <w:p w14:paraId="7D5E3BA2" w14:textId="77777777" w:rsidR="00BE5C1A" w:rsidRDefault="00BE5C1A" w:rsidP="0035234D">
      <w:pPr>
        <w:pStyle w:val="ListParagraph"/>
        <w:spacing w:line="276" w:lineRule="auto"/>
        <w:ind w:left="360"/>
        <w:jc w:val="both"/>
        <w:rPr>
          <w:rFonts w:ascii="Garamond" w:hAnsi="Garamond"/>
          <w:sz w:val="22"/>
          <w:szCs w:val="22"/>
          <w:u w:val="single"/>
          <w:lang w:val="en-US"/>
        </w:rPr>
      </w:pPr>
    </w:p>
    <w:p w14:paraId="2322AA98" w14:textId="77777777" w:rsidR="00BE5C1A" w:rsidRDefault="00BE5C1A" w:rsidP="0035234D">
      <w:pPr>
        <w:pStyle w:val="ListParagraph"/>
        <w:spacing w:line="276" w:lineRule="auto"/>
        <w:ind w:left="360"/>
        <w:jc w:val="both"/>
        <w:rPr>
          <w:rFonts w:ascii="Garamond" w:hAnsi="Garamond"/>
          <w:sz w:val="22"/>
          <w:szCs w:val="22"/>
          <w:u w:val="single"/>
          <w:lang w:val="en-US"/>
        </w:rPr>
      </w:pPr>
    </w:p>
    <w:p w14:paraId="3EDA8A98" w14:textId="10B4D2D1" w:rsidR="00BE5C1A" w:rsidRPr="007E6085" w:rsidRDefault="00BE5C1A" w:rsidP="00BE5C1A">
      <w:pPr>
        <w:pStyle w:val="ListParagraph"/>
        <w:numPr>
          <w:ilvl w:val="0"/>
          <w:numId w:val="11"/>
        </w:numPr>
        <w:spacing w:line="276" w:lineRule="auto"/>
        <w:jc w:val="both"/>
        <w:rPr>
          <w:rFonts w:ascii="Garamond" w:hAnsi="Garamond"/>
          <w:sz w:val="22"/>
          <w:szCs w:val="22"/>
          <w:lang w:val="en-US"/>
        </w:rPr>
      </w:pPr>
      <w:r w:rsidRPr="00BE5C1A">
        <w:rPr>
          <w:rFonts w:ascii="Garamond" w:hAnsi="Garamond"/>
          <w:sz w:val="22"/>
          <w:szCs w:val="22"/>
          <w:lang w:val="en-US"/>
        </w:rPr>
        <w:t xml:space="preserve"> </w:t>
      </w:r>
      <w:r w:rsidRPr="00F266D0">
        <w:rPr>
          <w:rFonts w:ascii="Garamond" w:hAnsi="Garamond"/>
          <w:i/>
          <w:iCs/>
          <w:sz w:val="22"/>
          <w:szCs w:val="22"/>
          <w:lang w:val="en-US"/>
        </w:rPr>
        <w:t>Legality (clarity and accessibility of the rules)</w:t>
      </w:r>
    </w:p>
    <w:p w14:paraId="6103CAD9" w14:textId="4D2FE0C8" w:rsidR="00BE5C1A" w:rsidRDefault="00BE5C1A" w:rsidP="0035234D">
      <w:pPr>
        <w:pStyle w:val="ListParagraph"/>
        <w:spacing w:line="276" w:lineRule="auto"/>
        <w:ind w:left="360"/>
        <w:jc w:val="both"/>
        <w:rPr>
          <w:rFonts w:ascii="Garamond" w:hAnsi="Garamond"/>
          <w:sz w:val="22"/>
          <w:szCs w:val="22"/>
          <w:lang w:val="en-US"/>
        </w:rPr>
      </w:pPr>
    </w:p>
    <w:p w14:paraId="40CF253C" w14:textId="6CCE70B8" w:rsidR="007E6085" w:rsidRPr="00684B25" w:rsidRDefault="007E6085" w:rsidP="00FB13CC">
      <w:pPr>
        <w:spacing w:line="276" w:lineRule="auto"/>
        <w:jc w:val="both"/>
        <w:rPr>
          <w:rFonts w:ascii="Garamond" w:hAnsi="Garamond"/>
          <w:sz w:val="22"/>
          <w:szCs w:val="22"/>
          <w:lang w:val="en-US"/>
        </w:rPr>
      </w:pPr>
      <w:r w:rsidRPr="00684B25">
        <w:rPr>
          <w:rFonts w:ascii="Garamond" w:hAnsi="Garamond"/>
          <w:sz w:val="22"/>
          <w:szCs w:val="22"/>
          <w:lang w:val="en-US"/>
        </w:rPr>
        <w:t xml:space="preserve">The legality requirement demands restrictions on freedom of expression to be clear and accessible so that people have enough information about the limitations imposed on their right to freedom of expression. </w:t>
      </w:r>
      <w:r w:rsidR="00C70719" w:rsidRPr="00684B25">
        <w:rPr>
          <w:rFonts w:ascii="Garamond" w:hAnsi="Garamond"/>
          <w:sz w:val="22"/>
          <w:szCs w:val="22"/>
          <w:lang w:val="en-US"/>
        </w:rPr>
        <w:t xml:space="preserve">The </w:t>
      </w:r>
      <w:r w:rsidR="007929BA" w:rsidRPr="00684B25">
        <w:rPr>
          <w:rFonts w:ascii="Garamond" w:hAnsi="Garamond"/>
          <w:sz w:val="22"/>
          <w:szCs w:val="22"/>
          <w:lang w:val="en-US"/>
        </w:rPr>
        <w:t>lack</w:t>
      </w:r>
      <w:r w:rsidR="00C70719" w:rsidRPr="00684B25">
        <w:rPr>
          <w:rFonts w:ascii="Garamond" w:hAnsi="Garamond"/>
          <w:sz w:val="22"/>
          <w:szCs w:val="22"/>
          <w:lang w:val="en-US"/>
        </w:rPr>
        <w:t xml:space="preserve"> of clarity</w:t>
      </w:r>
      <w:r w:rsidRPr="00684B25">
        <w:rPr>
          <w:rFonts w:ascii="Garamond" w:hAnsi="Garamond"/>
          <w:sz w:val="22"/>
          <w:szCs w:val="22"/>
          <w:lang w:val="en-US"/>
        </w:rPr>
        <w:t xml:space="preserve"> </w:t>
      </w:r>
      <w:r w:rsidR="00C70719" w:rsidRPr="00684B25">
        <w:rPr>
          <w:rFonts w:ascii="Garamond" w:hAnsi="Garamond"/>
          <w:sz w:val="22"/>
          <w:szCs w:val="22"/>
          <w:lang w:val="en-US"/>
        </w:rPr>
        <w:t>"</w:t>
      </w:r>
      <w:r w:rsidRPr="00684B25">
        <w:rPr>
          <w:rFonts w:ascii="Garamond" w:hAnsi="Garamond"/>
          <w:sz w:val="22"/>
          <w:szCs w:val="22"/>
          <w:lang w:val="en-US"/>
        </w:rPr>
        <w:t xml:space="preserve">can lead to subjective interpretation of rules and their arbitrary enforcement"[p. 18].  </w:t>
      </w:r>
      <w:r w:rsidR="00C70719" w:rsidRPr="00684B25">
        <w:rPr>
          <w:rFonts w:ascii="Garamond" w:hAnsi="Garamond"/>
          <w:sz w:val="22"/>
          <w:szCs w:val="22"/>
          <w:lang w:val="en-US"/>
        </w:rPr>
        <w:t xml:space="preserve">In this case, the Board found that </w:t>
      </w:r>
      <w:r w:rsidR="004043BB" w:rsidRPr="00684B25">
        <w:rPr>
          <w:rFonts w:ascii="Garamond" w:hAnsi="Garamond"/>
          <w:sz w:val="22"/>
          <w:szCs w:val="22"/>
          <w:lang w:val="en-US"/>
        </w:rPr>
        <w:t xml:space="preserve">Meta's Restricted Goods and Services policy which prohibits content that "attempts to donate, gift, or ask for pharmaceutical drugs", is clear to users. </w:t>
      </w:r>
      <w:r w:rsidR="007929BA" w:rsidRPr="00684B25">
        <w:rPr>
          <w:rFonts w:ascii="Garamond" w:hAnsi="Garamond"/>
          <w:sz w:val="22"/>
          <w:szCs w:val="22"/>
          <w:lang w:val="en-US"/>
        </w:rPr>
        <w:t>H</w:t>
      </w:r>
      <w:r w:rsidR="004043BB" w:rsidRPr="00684B25">
        <w:rPr>
          <w:rFonts w:ascii="Garamond" w:hAnsi="Garamond"/>
          <w:sz w:val="22"/>
          <w:szCs w:val="22"/>
          <w:lang w:val="en-US"/>
        </w:rPr>
        <w:t>owever</w:t>
      </w:r>
      <w:r w:rsidR="007929BA" w:rsidRPr="00684B25">
        <w:rPr>
          <w:rFonts w:ascii="Garamond" w:hAnsi="Garamond"/>
          <w:sz w:val="22"/>
          <w:szCs w:val="22"/>
          <w:lang w:val="en-US"/>
        </w:rPr>
        <w:t xml:space="preserve"> exceptions to</w:t>
      </w:r>
      <w:r w:rsidR="00C3722A" w:rsidRPr="00684B25">
        <w:rPr>
          <w:rFonts w:ascii="Garamond" w:hAnsi="Garamond"/>
          <w:sz w:val="22"/>
          <w:szCs w:val="22"/>
          <w:lang w:val="en-US"/>
        </w:rPr>
        <w:t xml:space="preserve"> it</w:t>
      </w:r>
      <w:r w:rsidR="007929BA" w:rsidRPr="007929BA">
        <w:t xml:space="preserve"> </w:t>
      </w:r>
      <w:r w:rsidR="007929BA" w:rsidRPr="00684B25">
        <w:rPr>
          <w:rFonts w:ascii="Garamond" w:hAnsi="Garamond"/>
          <w:sz w:val="22"/>
          <w:szCs w:val="22"/>
          <w:lang w:val="en-US"/>
        </w:rPr>
        <w:t>which allow content discussing "the affordability, accessibility or efficacy</w:t>
      </w:r>
      <w:r w:rsidR="007929BA" w:rsidRPr="007929BA">
        <w:t xml:space="preserve"> </w:t>
      </w:r>
      <w:r w:rsidR="007929BA" w:rsidRPr="00684B25">
        <w:rPr>
          <w:rFonts w:ascii="Garamond" w:hAnsi="Garamond"/>
          <w:sz w:val="22"/>
          <w:szCs w:val="22"/>
          <w:lang w:val="en-US"/>
        </w:rPr>
        <w:t>of pharmaceutical drugs in a medical context</w:t>
      </w:r>
      <w:r w:rsidR="00C3722A" w:rsidRPr="00684B25">
        <w:rPr>
          <w:rFonts w:ascii="Garamond" w:hAnsi="Garamond"/>
          <w:sz w:val="22"/>
          <w:szCs w:val="22"/>
          <w:lang w:val="en-US"/>
        </w:rPr>
        <w:t>", a</w:t>
      </w:r>
      <w:r w:rsidR="007929BA" w:rsidRPr="00684B25">
        <w:rPr>
          <w:rFonts w:ascii="Garamond" w:hAnsi="Garamond"/>
          <w:sz w:val="22"/>
          <w:szCs w:val="22"/>
          <w:lang w:val="en-US"/>
        </w:rPr>
        <w:t xml:space="preserve">re not sufficiently clear and accessible to users. </w:t>
      </w:r>
    </w:p>
    <w:p w14:paraId="6989DAAB" w14:textId="4DC41553" w:rsidR="00BE5C1A" w:rsidRPr="00684B25" w:rsidRDefault="00C3722A" w:rsidP="00FB13CC">
      <w:pPr>
        <w:spacing w:line="276" w:lineRule="auto"/>
        <w:jc w:val="both"/>
        <w:rPr>
          <w:rFonts w:ascii="Garamond" w:hAnsi="Garamond"/>
          <w:sz w:val="22"/>
          <w:szCs w:val="22"/>
          <w:lang w:val="en-US"/>
        </w:rPr>
      </w:pPr>
      <w:r w:rsidRPr="00684B25">
        <w:rPr>
          <w:rFonts w:ascii="Garamond" w:hAnsi="Garamond"/>
          <w:sz w:val="22"/>
          <w:szCs w:val="22"/>
          <w:lang w:val="en-US"/>
        </w:rPr>
        <w:t>The Board highlighted its concerns regardin</w:t>
      </w:r>
      <w:r w:rsidR="00684B25" w:rsidRPr="00684B25">
        <w:rPr>
          <w:rFonts w:ascii="Garamond" w:hAnsi="Garamond"/>
          <w:sz w:val="22"/>
          <w:szCs w:val="22"/>
          <w:lang w:val="en-US"/>
        </w:rPr>
        <w:t>g the lack of sufficie</w:t>
      </w:r>
      <w:r w:rsidRPr="00684B25">
        <w:rPr>
          <w:rFonts w:ascii="Garamond" w:hAnsi="Garamond"/>
          <w:sz w:val="22"/>
          <w:szCs w:val="22"/>
          <w:lang w:val="en-US"/>
        </w:rPr>
        <w:t xml:space="preserve">nt information </w:t>
      </w:r>
      <w:r w:rsidR="00684B25" w:rsidRPr="00684B25">
        <w:rPr>
          <w:rFonts w:ascii="Garamond" w:hAnsi="Garamond"/>
          <w:sz w:val="22"/>
          <w:szCs w:val="22"/>
          <w:lang w:val="en-US"/>
        </w:rPr>
        <w:t>a</w:t>
      </w:r>
      <w:r w:rsidR="00FB13CC">
        <w:rPr>
          <w:rFonts w:ascii="Garamond" w:hAnsi="Garamond"/>
          <w:sz w:val="22"/>
          <w:szCs w:val="22"/>
          <w:lang w:val="en-US"/>
        </w:rPr>
        <w:t>bout</w:t>
      </w:r>
      <w:r w:rsidRPr="00684B25">
        <w:rPr>
          <w:rFonts w:ascii="Garamond" w:hAnsi="Garamond"/>
          <w:sz w:val="22"/>
          <w:szCs w:val="22"/>
          <w:lang w:val="en-US"/>
        </w:rPr>
        <w:t xml:space="preserve"> these </w:t>
      </w:r>
      <w:r w:rsidR="00684B25" w:rsidRPr="00684B25">
        <w:rPr>
          <w:rFonts w:ascii="Garamond" w:hAnsi="Garamond"/>
          <w:sz w:val="22"/>
          <w:szCs w:val="22"/>
          <w:lang w:val="en-US"/>
        </w:rPr>
        <w:t>exceptions</w:t>
      </w:r>
      <w:r w:rsidRPr="00684B25">
        <w:rPr>
          <w:rFonts w:ascii="Garamond" w:hAnsi="Garamond"/>
          <w:sz w:val="22"/>
          <w:szCs w:val="22"/>
          <w:lang w:val="en-US"/>
        </w:rPr>
        <w:t xml:space="preserve">. </w:t>
      </w:r>
      <w:r w:rsidR="00684B25" w:rsidRPr="00684B25">
        <w:rPr>
          <w:rFonts w:ascii="Garamond" w:hAnsi="Garamond"/>
          <w:sz w:val="22"/>
          <w:szCs w:val="22"/>
          <w:lang w:val="en-US"/>
        </w:rPr>
        <w:t>The Board</w:t>
      </w:r>
      <w:r w:rsidRPr="00684B25">
        <w:rPr>
          <w:rFonts w:ascii="Garamond" w:hAnsi="Garamond"/>
          <w:sz w:val="22"/>
          <w:szCs w:val="22"/>
          <w:lang w:val="en-US"/>
        </w:rPr>
        <w:t xml:space="preserve"> urged Meta to pr</w:t>
      </w:r>
      <w:r w:rsidR="00684B25" w:rsidRPr="00684B25">
        <w:rPr>
          <w:rFonts w:ascii="Garamond" w:hAnsi="Garamond"/>
          <w:sz w:val="22"/>
          <w:szCs w:val="22"/>
          <w:lang w:val="en-US"/>
        </w:rPr>
        <w:t>ovide users "with clearer guidance on how the company interprets its content policies"[p. 19]</w:t>
      </w:r>
      <w:r w:rsidR="00684B25" w:rsidRPr="00684B25">
        <w:t xml:space="preserve"> </w:t>
      </w:r>
      <w:r w:rsidR="00684B25" w:rsidRPr="00684B25">
        <w:rPr>
          <w:rFonts w:ascii="Garamond" w:hAnsi="Garamond"/>
          <w:sz w:val="22"/>
          <w:szCs w:val="22"/>
          <w:lang w:val="en-US"/>
        </w:rPr>
        <w:t>because, "as restrictions on rights must be clear, any exceptions to those restrictions should also be clear enough for users to understan</w:t>
      </w:r>
      <w:r w:rsidR="00855A22">
        <w:rPr>
          <w:rFonts w:ascii="Garamond" w:hAnsi="Garamond"/>
          <w:sz w:val="22"/>
          <w:szCs w:val="22"/>
          <w:lang w:val="en-US"/>
        </w:rPr>
        <w:t>d what they can and cannot post"</w:t>
      </w:r>
      <w:r w:rsidR="00684B25" w:rsidRPr="00684B25">
        <w:rPr>
          <w:rFonts w:ascii="Garamond" w:hAnsi="Garamond"/>
          <w:sz w:val="22"/>
          <w:szCs w:val="22"/>
          <w:lang w:val="en-US"/>
        </w:rPr>
        <w:t>.[p. 18].</w:t>
      </w:r>
    </w:p>
    <w:p w14:paraId="5E0B0FD9" w14:textId="44F8186F" w:rsidR="00684B25" w:rsidRDefault="00716DEE" w:rsidP="00FB13CC">
      <w:pPr>
        <w:spacing w:line="276" w:lineRule="auto"/>
        <w:jc w:val="both"/>
        <w:rPr>
          <w:rFonts w:ascii="Garamond" w:hAnsi="Garamond"/>
          <w:sz w:val="22"/>
          <w:szCs w:val="22"/>
          <w:lang w:val="en-US"/>
        </w:rPr>
      </w:pPr>
      <w:r>
        <w:rPr>
          <w:rFonts w:ascii="Garamond" w:hAnsi="Garamond"/>
          <w:sz w:val="22"/>
          <w:szCs w:val="22"/>
          <w:lang w:val="en-US"/>
        </w:rPr>
        <w:t xml:space="preserve">Furthermore, </w:t>
      </w:r>
      <w:r w:rsidR="00B21A9B">
        <w:rPr>
          <w:rFonts w:ascii="Garamond" w:hAnsi="Garamond"/>
          <w:sz w:val="22"/>
          <w:szCs w:val="22"/>
          <w:lang w:val="en-US"/>
        </w:rPr>
        <w:t>the Bo</w:t>
      </w:r>
      <w:r w:rsidR="00393D54">
        <w:rPr>
          <w:rFonts w:ascii="Garamond" w:hAnsi="Garamond"/>
          <w:sz w:val="22"/>
          <w:szCs w:val="22"/>
          <w:lang w:val="en-US"/>
        </w:rPr>
        <w:t>ar</w:t>
      </w:r>
      <w:r w:rsidR="00B21A9B">
        <w:rPr>
          <w:rFonts w:ascii="Garamond" w:hAnsi="Garamond"/>
          <w:sz w:val="22"/>
          <w:szCs w:val="22"/>
          <w:lang w:val="en-US"/>
        </w:rPr>
        <w:t xml:space="preserve">d noted that </w:t>
      </w:r>
      <w:r w:rsidR="00B21A9B" w:rsidRPr="00B21A9B">
        <w:rPr>
          <w:rFonts w:ascii="Garamond" w:hAnsi="Garamond"/>
          <w:sz w:val="22"/>
          <w:szCs w:val="22"/>
          <w:lang w:val="en-US"/>
        </w:rPr>
        <w:t>users have no access to information about the "</w:t>
      </w:r>
      <w:r w:rsidR="00B21A9B">
        <w:rPr>
          <w:rFonts w:ascii="Garamond" w:hAnsi="Garamond"/>
          <w:sz w:val="22"/>
          <w:szCs w:val="22"/>
          <w:lang w:val="en-US"/>
        </w:rPr>
        <w:t>spirit of the policy" allowance, as Meta did not me</w:t>
      </w:r>
      <w:r w:rsidR="00393D54">
        <w:rPr>
          <w:rFonts w:ascii="Garamond" w:hAnsi="Garamond"/>
          <w:sz w:val="22"/>
          <w:szCs w:val="22"/>
          <w:lang w:val="en-US"/>
        </w:rPr>
        <w:t>n</w:t>
      </w:r>
      <w:r w:rsidR="00B21A9B">
        <w:rPr>
          <w:rFonts w:ascii="Garamond" w:hAnsi="Garamond"/>
          <w:sz w:val="22"/>
          <w:szCs w:val="22"/>
          <w:lang w:val="en-US"/>
        </w:rPr>
        <w:t>tion the</w:t>
      </w:r>
      <w:r w:rsidR="00393D54" w:rsidRPr="00393D54">
        <w:rPr>
          <w:rFonts w:ascii="Garamond" w:hAnsi="Garamond"/>
          <w:sz w:val="22"/>
          <w:szCs w:val="22"/>
          <w:lang w:val="en-US"/>
        </w:rPr>
        <w:t xml:space="preserve"> </w:t>
      </w:r>
      <w:r w:rsidR="00393D54">
        <w:rPr>
          <w:rFonts w:ascii="Garamond" w:hAnsi="Garamond"/>
          <w:sz w:val="22"/>
          <w:szCs w:val="22"/>
          <w:lang w:val="en-US"/>
        </w:rPr>
        <w:t>allowance</w:t>
      </w:r>
      <w:r w:rsidR="00393D54" w:rsidRPr="00393D54">
        <w:rPr>
          <w:rFonts w:ascii="Garamond" w:hAnsi="Garamond"/>
          <w:sz w:val="22"/>
          <w:szCs w:val="22"/>
          <w:lang w:val="en-US"/>
        </w:rPr>
        <w:t xml:space="preserve"> in the Community Standards</w:t>
      </w:r>
      <w:r w:rsidR="00393D54">
        <w:rPr>
          <w:rFonts w:ascii="Garamond" w:hAnsi="Garamond"/>
          <w:sz w:val="22"/>
          <w:szCs w:val="22"/>
          <w:lang w:val="en-US"/>
        </w:rPr>
        <w:t xml:space="preserve">.  Accordingly, the Board stated that "secret discretionary </w:t>
      </w:r>
      <w:r w:rsidR="00393D54" w:rsidRPr="00393D54">
        <w:rPr>
          <w:rFonts w:ascii="Garamond" w:hAnsi="Garamond"/>
          <w:sz w:val="22"/>
          <w:szCs w:val="22"/>
          <w:lang w:val="en-US"/>
        </w:rPr>
        <w:t>exemptions to Meta's policies are incompatible with the legality standard</w:t>
      </w:r>
      <w:r w:rsidR="00393D54">
        <w:rPr>
          <w:rFonts w:ascii="Garamond" w:hAnsi="Garamond"/>
          <w:sz w:val="22"/>
          <w:szCs w:val="22"/>
          <w:lang w:val="en-US"/>
        </w:rPr>
        <w:t>"[p</w:t>
      </w:r>
      <w:r w:rsidR="00855A22">
        <w:rPr>
          <w:rFonts w:ascii="Garamond" w:hAnsi="Garamond"/>
          <w:sz w:val="22"/>
          <w:szCs w:val="22"/>
          <w:lang w:val="en-US"/>
        </w:rPr>
        <w:t>.</w:t>
      </w:r>
      <w:r w:rsidR="00393D54">
        <w:rPr>
          <w:rFonts w:ascii="Garamond" w:hAnsi="Garamond"/>
          <w:sz w:val="22"/>
          <w:szCs w:val="22"/>
          <w:lang w:val="en-US"/>
        </w:rPr>
        <w:t xml:space="preserve"> 19]</w:t>
      </w:r>
      <w:r w:rsidR="00393D54" w:rsidRPr="00393D54">
        <w:rPr>
          <w:rFonts w:ascii="Garamond" w:hAnsi="Garamond"/>
          <w:sz w:val="22"/>
          <w:szCs w:val="22"/>
          <w:lang w:val="en-US"/>
        </w:rPr>
        <w:t>.</w:t>
      </w:r>
      <w:r w:rsidR="00393D54">
        <w:rPr>
          <w:rFonts w:ascii="Garamond" w:hAnsi="Garamond"/>
          <w:sz w:val="22"/>
          <w:szCs w:val="22"/>
          <w:lang w:val="en-US"/>
        </w:rPr>
        <w:t xml:space="preserve"> </w:t>
      </w:r>
    </w:p>
    <w:p w14:paraId="557215EB" w14:textId="77777777" w:rsidR="00073F66" w:rsidRDefault="00073F66" w:rsidP="00FB13CC">
      <w:pPr>
        <w:spacing w:line="276" w:lineRule="auto"/>
        <w:jc w:val="both"/>
        <w:rPr>
          <w:rFonts w:ascii="Garamond" w:hAnsi="Garamond"/>
          <w:sz w:val="22"/>
          <w:szCs w:val="22"/>
          <w:lang w:val="en-US"/>
        </w:rPr>
      </w:pPr>
    </w:p>
    <w:p w14:paraId="47E15B92" w14:textId="4AF4FD74" w:rsidR="00850254" w:rsidRDefault="008427D0" w:rsidP="00FB13CC">
      <w:pPr>
        <w:spacing w:line="276" w:lineRule="auto"/>
        <w:jc w:val="both"/>
        <w:rPr>
          <w:rFonts w:ascii="Garamond" w:hAnsi="Garamond"/>
          <w:sz w:val="22"/>
          <w:szCs w:val="22"/>
          <w:lang w:val="en-US"/>
        </w:rPr>
      </w:pPr>
      <w:r>
        <w:rPr>
          <w:rFonts w:ascii="Garamond" w:hAnsi="Garamond"/>
          <w:sz w:val="22"/>
          <w:szCs w:val="22"/>
          <w:lang w:val="en-US"/>
        </w:rPr>
        <w:t>Additionally, t</w:t>
      </w:r>
      <w:r w:rsidR="005463E0" w:rsidRPr="005463E0">
        <w:rPr>
          <w:rFonts w:ascii="Garamond" w:hAnsi="Garamond"/>
          <w:sz w:val="22"/>
          <w:szCs w:val="22"/>
          <w:lang w:val="en-US"/>
        </w:rPr>
        <w:t xml:space="preserve">he Board referred to its decision in the case of </w:t>
      </w:r>
      <w:hyperlink r:id="rId6" w:history="1">
        <w:r w:rsidR="00BA7874" w:rsidRPr="000833D5">
          <w:rPr>
            <w:rStyle w:val="Hyperlink"/>
            <w:rFonts w:ascii="Garamond" w:hAnsi="Garamond"/>
            <w:sz w:val="22"/>
            <w:szCs w:val="22"/>
            <w:lang w:val="en-US"/>
          </w:rPr>
          <w:t>Colombia protests</w:t>
        </w:r>
      </w:hyperlink>
      <w:r w:rsidR="00BA7874">
        <w:rPr>
          <w:rFonts w:ascii="Garamond" w:hAnsi="Garamond"/>
          <w:sz w:val="22"/>
          <w:szCs w:val="22"/>
          <w:lang w:val="en-US"/>
        </w:rPr>
        <w:t xml:space="preserve"> </w:t>
      </w:r>
      <w:r>
        <w:rPr>
          <w:rFonts w:ascii="Garamond" w:hAnsi="Garamond"/>
          <w:sz w:val="22"/>
          <w:szCs w:val="22"/>
          <w:lang w:val="en-US"/>
        </w:rPr>
        <w:t xml:space="preserve">to emphasize the importance of notifying users when their reported content benefited from the company's </w:t>
      </w:r>
      <w:r w:rsidRPr="008427D0">
        <w:rPr>
          <w:rFonts w:ascii="Garamond" w:hAnsi="Garamond"/>
          <w:sz w:val="22"/>
          <w:szCs w:val="22"/>
          <w:lang w:val="en-US"/>
        </w:rPr>
        <w:t>allowance</w:t>
      </w:r>
      <w:r>
        <w:rPr>
          <w:rFonts w:ascii="Garamond" w:hAnsi="Garamond"/>
          <w:sz w:val="22"/>
          <w:szCs w:val="22"/>
          <w:lang w:val="en-US"/>
        </w:rPr>
        <w:t>s.</w:t>
      </w:r>
      <w:r w:rsidR="002B274C">
        <w:rPr>
          <w:rFonts w:ascii="Garamond" w:hAnsi="Garamond"/>
          <w:sz w:val="22"/>
          <w:szCs w:val="22"/>
          <w:lang w:val="en-US"/>
        </w:rPr>
        <w:t xml:space="preserve"> Since Meta confirmed that it did</w:t>
      </w:r>
      <w:r w:rsidR="00850254">
        <w:rPr>
          <w:rFonts w:ascii="Garamond" w:hAnsi="Garamond"/>
          <w:sz w:val="22"/>
          <w:szCs w:val="22"/>
          <w:lang w:val="en-US"/>
        </w:rPr>
        <w:t xml:space="preserve"> not</w:t>
      </w:r>
      <w:r w:rsidR="002B274C">
        <w:rPr>
          <w:rFonts w:ascii="Garamond" w:hAnsi="Garamond"/>
          <w:sz w:val="22"/>
          <w:szCs w:val="22"/>
          <w:lang w:val="en-US"/>
        </w:rPr>
        <w:t xml:space="preserve"> notify users when applying the </w:t>
      </w:r>
      <w:r w:rsidR="00850254">
        <w:rPr>
          <w:rFonts w:ascii="Garamond" w:hAnsi="Garamond"/>
          <w:sz w:val="22"/>
          <w:szCs w:val="22"/>
          <w:lang w:val="en-US"/>
        </w:rPr>
        <w:t>allowance</w:t>
      </w:r>
      <w:r w:rsidR="002B274C">
        <w:rPr>
          <w:rFonts w:ascii="Garamond" w:hAnsi="Garamond"/>
          <w:sz w:val="22"/>
          <w:szCs w:val="22"/>
          <w:lang w:val="en-US"/>
        </w:rPr>
        <w:t>, the Board recommended Meta</w:t>
      </w:r>
      <w:r w:rsidR="00850254">
        <w:rPr>
          <w:rFonts w:ascii="Garamond" w:hAnsi="Garamond"/>
          <w:sz w:val="22"/>
          <w:szCs w:val="22"/>
          <w:lang w:val="en-US"/>
        </w:rPr>
        <w:t xml:space="preserve"> to</w:t>
      </w:r>
      <w:r w:rsidR="002B274C">
        <w:rPr>
          <w:rFonts w:ascii="Garamond" w:hAnsi="Garamond"/>
          <w:sz w:val="22"/>
          <w:szCs w:val="22"/>
          <w:lang w:val="en-US"/>
        </w:rPr>
        <w:t xml:space="preserve"> notify </w:t>
      </w:r>
      <w:r w:rsidR="002B274C" w:rsidRPr="002B274C">
        <w:rPr>
          <w:rFonts w:ascii="Garamond" w:hAnsi="Garamond"/>
          <w:sz w:val="22"/>
          <w:szCs w:val="22"/>
          <w:lang w:val="en-US"/>
        </w:rPr>
        <w:t>users who reported content</w:t>
      </w:r>
      <w:r w:rsidR="00850254">
        <w:rPr>
          <w:rFonts w:ascii="Garamond" w:hAnsi="Garamond"/>
          <w:sz w:val="22"/>
          <w:szCs w:val="22"/>
          <w:lang w:val="en-US"/>
        </w:rPr>
        <w:t>,</w:t>
      </w:r>
      <w:r w:rsidR="002B274C" w:rsidRPr="002B274C">
        <w:rPr>
          <w:rFonts w:ascii="Garamond" w:hAnsi="Garamond"/>
          <w:sz w:val="22"/>
          <w:szCs w:val="22"/>
          <w:lang w:val="en-US"/>
        </w:rPr>
        <w:t xml:space="preserve"> </w:t>
      </w:r>
      <w:r w:rsidR="00850254">
        <w:rPr>
          <w:rFonts w:ascii="Garamond" w:hAnsi="Garamond"/>
          <w:sz w:val="22"/>
          <w:szCs w:val="22"/>
          <w:lang w:val="en-US"/>
        </w:rPr>
        <w:t xml:space="preserve">of the application of </w:t>
      </w:r>
      <w:r w:rsidR="002B274C" w:rsidRPr="002B274C">
        <w:rPr>
          <w:rFonts w:ascii="Garamond" w:hAnsi="Garamond"/>
          <w:sz w:val="22"/>
          <w:szCs w:val="22"/>
          <w:lang w:val="en-US"/>
        </w:rPr>
        <w:t>a "spirit of the policy" allowance</w:t>
      </w:r>
      <w:r w:rsidR="00FB13CC">
        <w:rPr>
          <w:rFonts w:ascii="Garamond" w:hAnsi="Garamond"/>
          <w:sz w:val="22"/>
          <w:szCs w:val="22"/>
          <w:lang w:val="en-US"/>
        </w:rPr>
        <w:t>;</w:t>
      </w:r>
      <w:r w:rsidR="00850254">
        <w:rPr>
          <w:rFonts w:ascii="Garamond" w:hAnsi="Garamond"/>
          <w:sz w:val="22"/>
          <w:szCs w:val="22"/>
          <w:lang w:val="en-US"/>
        </w:rPr>
        <w:t xml:space="preserve"> as </w:t>
      </w:r>
      <w:r w:rsidR="002B274C">
        <w:rPr>
          <w:rFonts w:ascii="Garamond" w:hAnsi="Garamond"/>
          <w:sz w:val="22"/>
          <w:szCs w:val="22"/>
          <w:lang w:val="en-US"/>
        </w:rPr>
        <w:t xml:space="preserve">it would provide them with </w:t>
      </w:r>
      <w:r w:rsidR="00FB13CC">
        <w:rPr>
          <w:rFonts w:ascii="Garamond" w:hAnsi="Garamond"/>
          <w:sz w:val="22"/>
          <w:szCs w:val="22"/>
          <w:lang w:val="en-US"/>
        </w:rPr>
        <w:t xml:space="preserve">a </w:t>
      </w:r>
      <w:r w:rsidR="002B274C">
        <w:rPr>
          <w:rFonts w:ascii="Garamond" w:hAnsi="Garamond"/>
          <w:sz w:val="22"/>
          <w:szCs w:val="22"/>
          <w:lang w:val="en-US"/>
        </w:rPr>
        <w:t>better understanding o</w:t>
      </w:r>
      <w:r w:rsidR="00FB13CC">
        <w:rPr>
          <w:rFonts w:ascii="Garamond" w:hAnsi="Garamond"/>
          <w:sz w:val="22"/>
          <w:szCs w:val="22"/>
          <w:lang w:val="en-US"/>
        </w:rPr>
        <w:t>f</w:t>
      </w:r>
      <w:r w:rsidR="002B274C">
        <w:rPr>
          <w:rFonts w:ascii="Garamond" w:hAnsi="Garamond"/>
          <w:sz w:val="22"/>
          <w:szCs w:val="22"/>
          <w:lang w:val="en-US"/>
        </w:rPr>
        <w:t xml:space="preserve"> why a violating content was </w:t>
      </w:r>
      <w:r w:rsidR="00850254">
        <w:rPr>
          <w:rFonts w:ascii="Garamond" w:hAnsi="Garamond"/>
          <w:sz w:val="22"/>
          <w:szCs w:val="22"/>
          <w:lang w:val="en-US"/>
        </w:rPr>
        <w:t xml:space="preserve">left on the company's platform. </w:t>
      </w:r>
      <w:r w:rsidR="00073F66" w:rsidRPr="00073F66">
        <w:rPr>
          <w:rFonts w:ascii="Garamond" w:hAnsi="Garamond"/>
          <w:sz w:val="22"/>
          <w:szCs w:val="22"/>
          <w:lang w:val="en-US"/>
        </w:rPr>
        <w:t xml:space="preserve">The Board </w:t>
      </w:r>
      <w:r w:rsidR="00073F66">
        <w:rPr>
          <w:rFonts w:ascii="Garamond" w:hAnsi="Garamond"/>
          <w:sz w:val="22"/>
          <w:szCs w:val="22"/>
          <w:lang w:val="en-US"/>
        </w:rPr>
        <w:t>stated</w:t>
      </w:r>
      <w:r w:rsidR="00073F66" w:rsidRPr="00073F66">
        <w:rPr>
          <w:rFonts w:ascii="Garamond" w:hAnsi="Garamond"/>
          <w:sz w:val="22"/>
          <w:szCs w:val="22"/>
          <w:lang w:val="en-US"/>
        </w:rPr>
        <w:t xml:space="preserve"> that</w:t>
      </w:r>
      <w:r w:rsidR="00073F66">
        <w:rPr>
          <w:rFonts w:ascii="Garamond" w:hAnsi="Garamond"/>
          <w:sz w:val="22"/>
          <w:szCs w:val="22"/>
          <w:lang w:val="en-US"/>
        </w:rPr>
        <w:t>"</w:t>
      </w:r>
      <w:r w:rsidR="00073F66" w:rsidRPr="00073F66">
        <w:rPr>
          <w:rFonts w:ascii="Garamond" w:hAnsi="Garamond"/>
          <w:sz w:val="22"/>
          <w:szCs w:val="22"/>
          <w:lang w:val="en-US"/>
        </w:rPr>
        <w:t xml:space="preserve"> when moderating vast amounts of content on a global scale, it is necessary to have a "catch-all" allowance that can be applied to </w:t>
      </w:r>
      <w:r w:rsidR="00073F66">
        <w:rPr>
          <w:rFonts w:ascii="Garamond" w:hAnsi="Garamond"/>
          <w:sz w:val="22"/>
          <w:szCs w:val="22"/>
          <w:lang w:val="en-US"/>
        </w:rPr>
        <w:t>prevent clear injustices'[p. 19]</w:t>
      </w:r>
    </w:p>
    <w:p w14:paraId="535318CA" w14:textId="77777777" w:rsidR="00850254" w:rsidRDefault="00850254" w:rsidP="00FB13CC">
      <w:pPr>
        <w:spacing w:line="276" w:lineRule="auto"/>
        <w:jc w:val="both"/>
        <w:rPr>
          <w:rFonts w:ascii="Garamond" w:hAnsi="Garamond"/>
          <w:sz w:val="22"/>
          <w:szCs w:val="22"/>
          <w:lang w:val="en-US"/>
        </w:rPr>
      </w:pPr>
      <w:r>
        <w:rPr>
          <w:rFonts w:ascii="Garamond" w:hAnsi="Garamond"/>
          <w:sz w:val="22"/>
          <w:szCs w:val="22"/>
          <w:lang w:val="en-US"/>
        </w:rPr>
        <w:t xml:space="preserve">However, the Board found that although Meta failed to meet the </w:t>
      </w:r>
      <w:r w:rsidRPr="000A7410">
        <w:rPr>
          <w:rFonts w:ascii="Garamond" w:hAnsi="Garamond"/>
          <w:sz w:val="22"/>
          <w:szCs w:val="22"/>
          <w:lang w:val="en-US"/>
        </w:rPr>
        <w:t>standard of legality</w:t>
      </w:r>
      <w:r>
        <w:rPr>
          <w:rFonts w:ascii="Garamond" w:hAnsi="Garamond"/>
          <w:sz w:val="22"/>
          <w:szCs w:val="22"/>
          <w:lang w:val="en-US"/>
        </w:rPr>
        <w:t xml:space="preserve"> by not providing enough information about the allowance, this did not "</w:t>
      </w:r>
      <w:r w:rsidRPr="000A7410">
        <w:rPr>
          <w:rFonts w:ascii="Garamond" w:hAnsi="Garamond"/>
          <w:sz w:val="22"/>
          <w:szCs w:val="22"/>
          <w:lang w:val="en-US"/>
        </w:rPr>
        <w:t>undermine the application of that al</w:t>
      </w:r>
      <w:r>
        <w:rPr>
          <w:rFonts w:ascii="Garamond" w:hAnsi="Garamond"/>
          <w:sz w:val="22"/>
          <w:szCs w:val="22"/>
          <w:lang w:val="en-US"/>
        </w:rPr>
        <w:t>lowance in this case"[p. 18], given the severe crisis in Sri Lanka.</w:t>
      </w:r>
    </w:p>
    <w:p w14:paraId="31A52114" w14:textId="2B82C883" w:rsidR="005463E0" w:rsidRDefault="002B274C" w:rsidP="00850254">
      <w:pPr>
        <w:spacing w:line="276" w:lineRule="auto"/>
        <w:rPr>
          <w:rFonts w:ascii="Garamond" w:hAnsi="Garamond"/>
          <w:sz w:val="22"/>
          <w:szCs w:val="22"/>
          <w:lang w:val="en-US"/>
        </w:rPr>
      </w:pPr>
      <w:r>
        <w:rPr>
          <w:rFonts w:ascii="Garamond" w:hAnsi="Garamond"/>
          <w:sz w:val="22"/>
          <w:szCs w:val="22"/>
          <w:lang w:val="en-US"/>
        </w:rPr>
        <w:t xml:space="preserve"> </w:t>
      </w:r>
    </w:p>
    <w:p w14:paraId="364D85AF" w14:textId="77777777" w:rsidR="000A7410" w:rsidRPr="00684B25" w:rsidRDefault="000A7410" w:rsidP="000A7410">
      <w:pPr>
        <w:spacing w:line="276" w:lineRule="auto"/>
        <w:rPr>
          <w:rFonts w:ascii="Garamond" w:hAnsi="Garamond"/>
          <w:sz w:val="22"/>
          <w:szCs w:val="22"/>
          <w:lang w:val="en-US"/>
        </w:rPr>
      </w:pPr>
    </w:p>
    <w:p w14:paraId="7C0157FA" w14:textId="684F3133" w:rsidR="00BE5C1A" w:rsidRDefault="00BE5C1A" w:rsidP="00BE5C1A">
      <w:pPr>
        <w:pStyle w:val="ListParagraph"/>
        <w:numPr>
          <w:ilvl w:val="0"/>
          <w:numId w:val="11"/>
        </w:numPr>
        <w:spacing w:line="276" w:lineRule="auto"/>
        <w:jc w:val="both"/>
        <w:rPr>
          <w:rFonts w:ascii="Garamond" w:hAnsi="Garamond"/>
          <w:sz w:val="22"/>
          <w:szCs w:val="22"/>
          <w:lang w:val="en-US"/>
        </w:rPr>
      </w:pPr>
      <w:r w:rsidRPr="00F266D0">
        <w:rPr>
          <w:rFonts w:ascii="Garamond" w:hAnsi="Garamond"/>
          <w:i/>
          <w:iCs/>
          <w:sz w:val="22"/>
          <w:szCs w:val="22"/>
          <w:lang w:val="en-US"/>
        </w:rPr>
        <w:t xml:space="preserve"> Legitimate aim</w:t>
      </w:r>
    </w:p>
    <w:p w14:paraId="7E9CA082" w14:textId="77777777" w:rsidR="00D36B0B" w:rsidRPr="000A7410" w:rsidRDefault="00D36B0B" w:rsidP="00D36B0B">
      <w:pPr>
        <w:pStyle w:val="ListParagraph"/>
        <w:spacing w:line="276" w:lineRule="auto"/>
        <w:ind w:left="1080"/>
        <w:jc w:val="both"/>
        <w:rPr>
          <w:rFonts w:ascii="Garamond" w:hAnsi="Garamond"/>
          <w:sz w:val="22"/>
          <w:szCs w:val="22"/>
          <w:lang w:val="en-US"/>
        </w:rPr>
      </w:pPr>
    </w:p>
    <w:p w14:paraId="2F17DCE6" w14:textId="2927371B" w:rsidR="00B260B4" w:rsidRPr="00D36B0B" w:rsidRDefault="00713375" w:rsidP="00FB13CC">
      <w:pPr>
        <w:spacing w:line="276" w:lineRule="auto"/>
        <w:jc w:val="both"/>
        <w:rPr>
          <w:rFonts w:ascii="Garamond" w:hAnsi="Garamond"/>
          <w:sz w:val="22"/>
          <w:szCs w:val="22"/>
          <w:lang w:val="en-US"/>
        </w:rPr>
      </w:pPr>
      <w:r w:rsidRPr="00D36B0B">
        <w:rPr>
          <w:rFonts w:ascii="Garamond" w:hAnsi="Garamond"/>
          <w:sz w:val="22"/>
          <w:szCs w:val="22"/>
          <w:lang w:val="en-US"/>
        </w:rPr>
        <w:t>To be valid, restrictions on freedom of expression should pursue one of the legitimate aims listed in the ICCPR</w:t>
      </w:r>
      <w:r w:rsidR="00B260B4" w:rsidRPr="00D36B0B">
        <w:rPr>
          <w:rFonts w:ascii="Garamond" w:hAnsi="Garamond"/>
          <w:sz w:val="22"/>
          <w:szCs w:val="22"/>
          <w:lang w:val="en-US"/>
        </w:rPr>
        <w:t>.</w:t>
      </w:r>
    </w:p>
    <w:p w14:paraId="38805F04" w14:textId="09185A71" w:rsidR="00F266D0" w:rsidRPr="00D36B0B" w:rsidRDefault="00FC2217" w:rsidP="00FB13CC">
      <w:pPr>
        <w:spacing w:line="276" w:lineRule="auto"/>
        <w:jc w:val="both"/>
        <w:rPr>
          <w:rFonts w:ascii="Garamond" w:hAnsi="Garamond"/>
          <w:sz w:val="22"/>
          <w:szCs w:val="22"/>
          <w:lang w:val="en-US"/>
        </w:rPr>
      </w:pPr>
      <w:r w:rsidRPr="00D36B0B">
        <w:rPr>
          <w:rFonts w:ascii="Garamond" w:hAnsi="Garamond"/>
          <w:sz w:val="22"/>
          <w:szCs w:val="22"/>
          <w:lang w:val="en-US"/>
        </w:rPr>
        <w:t xml:space="preserve">The Board </w:t>
      </w:r>
      <w:r w:rsidR="00B260B4" w:rsidRPr="00D36B0B">
        <w:rPr>
          <w:rFonts w:ascii="Garamond" w:hAnsi="Garamond"/>
          <w:sz w:val="22"/>
          <w:szCs w:val="22"/>
          <w:lang w:val="en-US"/>
        </w:rPr>
        <w:t>found</w:t>
      </w:r>
      <w:r w:rsidRPr="00D36B0B">
        <w:rPr>
          <w:rFonts w:ascii="Garamond" w:hAnsi="Garamond"/>
          <w:sz w:val="22"/>
          <w:szCs w:val="22"/>
          <w:lang w:val="en-US"/>
        </w:rPr>
        <w:t xml:space="preserve"> that Meta's Rest</w:t>
      </w:r>
      <w:r w:rsidR="00B260B4" w:rsidRPr="00D36B0B">
        <w:rPr>
          <w:rFonts w:ascii="Garamond" w:hAnsi="Garamond"/>
          <w:sz w:val="22"/>
          <w:szCs w:val="22"/>
          <w:lang w:val="en-US"/>
        </w:rPr>
        <w:t xml:space="preserve">ricted Goods and Services </w:t>
      </w:r>
      <w:r w:rsidRPr="00D36B0B">
        <w:rPr>
          <w:rFonts w:ascii="Garamond" w:hAnsi="Garamond"/>
          <w:sz w:val="22"/>
          <w:szCs w:val="22"/>
          <w:lang w:val="en-US"/>
        </w:rPr>
        <w:t>policy</w:t>
      </w:r>
      <w:r w:rsidR="00B260B4" w:rsidRPr="00D36B0B">
        <w:rPr>
          <w:rFonts w:ascii="Garamond" w:hAnsi="Garamond"/>
          <w:sz w:val="22"/>
          <w:szCs w:val="22"/>
          <w:lang w:val="en-US"/>
        </w:rPr>
        <w:t xml:space="preserve"> which prohibits attempts to donate, gift, or ask for pharmaceutical drugs</w:t>
      </w:r>
      <w:r w:rsidR="00C71A4F" w:rsidRPr="00D36B0B">
        <w:rPr>
          <w:rFonts w:ascii="Garamond" w:hAnsi="Garamond"/>
          <w:sz w:val="22"/>
          <w:szCs w:val="22"/>
          <w:lang w:val="en-US"/>
        </w:rPr>
        <w:t>,</w:t>
      </w:r>
      <w:r w:rsidR="00B260B4" w:rsidRPr="00D36B0B">
        <w:rPr>
          <w:rFonts w:ascii="Garamond" w:hAnsi="Garamond"/>
          <w:sz w:val="22"/>
          <w:szCs w:val="22"/>
          <w:lang w:val="en-US"/>
        </w:rPr>
        <w:t xml:space="preserve"> seeks to reinforce the legitimate aims of protecting public safety, public health,</w:t>
      </w:r>
      <w:r w:rsidR="00FB13CC">
        <w:rPr>
          <w:rFonts w:ascii="Garamond" w:hAnsi="Garamond"/>
          <w:sz w:val="22"/>
          <w:szCs w:val="22"/>
          <w:lang w:val="en-US"/>
        </w:rPr>
        <w:t xml:space="preserve"> and </w:t>
      </w:r>
      <w:r w:rsidR="00B260B4" w:rsidRPr="00D36B0B">
        <w:rPr>
          <w:rFonts w:ascii="Garamond" w:hAnsi="Garamond"/>
          <w:sz w:val="22"/>
          <w:szCs w:val="22"/>
          <w:lang w:val="en-US"/>
        </w:rPr>
        <w:t xml:space="preserve">the right of others to health and life. </w:t>
      </w:r>
    </w:p>
    <w:p w14:paraId="2FC9F518" w14:textId="77777777" w:rsidR="00F266D0" w:rsidRPr="00FC2217" w:rsidRDefault="00F266D0" w:rsidP="0035234D">
      <w:pPr>
        <w:pStyle w:val="ListParagraph"/>
        <w:spacing w:line="276" w:lineRule="auto"/>
        <w:ind w:left="360"/>
        <w:jc w:val="both"/>
        <w:rPr>
          <w:rFonts w:ascii="Garamond" w:hAnsi="Garamond"/>
          <w:sz w:val="22"/>
          <w:szCs w:val="22"/>
          <w:lang w:val="en-US"/>
        </w:rPr>
      </w:pPr>
    </w:p>
    <w:p w14:paraId="71CC6EFC" w14:textId="77777777" w:rsidR="00F266D0" w:rsidRPr="00FC2217" w:rsidRDefault="00F266D0" w:rsidP="0035234D">
      <w:pPr>
        <w:pStyle w:val="ListParagraph"/>
        <w:spacing w:line="276" w:lineRule="auto"/>
        <w:ind w:left="360"/>
        <w:jc w:val="both"/>
        <w:rPr>
          <w:rFonts w:ascii="Garamond" w:hAnsi="Garamond"/>
          <w:sz w:val="22"/>
          <w:szCs w:val="22"/>
          <w:u w:val="single"/>
          <w:lang w:val="en-US"/>
        </w:rPr>
      </w:pPr>
    </w:p>
    <w:p w14:paraId="0E7E9F54" w14:textId="15989BFF" w:rsidR="00F266D0" w:rsidRDefault="00F266D0" w:rsidP="00F266D0">
      <w:pPr>
        <w:pStyle w:val="ListParagraph"/>
        <w:numPr>
          <w:ilvl w:val="0"/>
          <w:numId w:val="11"/>
        </w:numPr>
        <w:spacing w:line="276" w:lineRule="auto"/>
        <w:jc w:val="both"/>
        <w:rPr>
          <w:rFonts w:ascii="Garamond" w:hAnsi="Garamond"/>
          <w:sz w:val="22"/>
          <w:szCs w:val="22"/>
          <w:lang w:val="en-US"/>
        </w:rPr>
      </w:pPr>
      <w:r w:rsidRPr="00F266D0">
        <w:rPr>
          <w:rFonts w:ascii="Garamond" w:hAnsi="Garamond"/>
          <w:i/>
          <w:iCs/>
          <w:sz w:val="22"/>
          <w:szCs w:val="22"/>
          <w:lang w:val="en-US"/>
        </w:rPr>
        <w:t xml:space="preserve"> Necessity and proportionality</w:t>
      </w:r>
    </w:p>
    <w:p w14:paraId="408BE58C" w14:textId="77777777" w:rsidR="0073762C" w:rsidRPr="0073762C" w:rsidRDefault="0073762C" w:rsidP="0073762C">
      <w:pPr>
        <w:spacing w:line="276" w:lineRule="auto"/>
        <w:ind w:left="360"/>
        <w:jc w:val="both"/>
        <w:rPr>
          <w:rFonts w:ascii="Garamond" w:hAnsi="Garamond"/>
          <w:sz w:val="22"/>
          <w:szCs w:val="22"/>
          <w:lang w:val="en-US"/>
        </w:rPr>
      </w:pPr>
    </w:p>
    <w:p w14:paraId="7EE934A4" w14:textId="4DFD9B2A" w:rsidR="00BE5C1A" w:rsidRPr="00D36B0B" w:rsidRDefault="0073762C" w:rsidP="00FB13CC">
      <w:pPr>
        <w:spacing w:line="276" w:lineRule="auto"/>
        <w:jc w:val="both"/>
        <w:rPr>
          <w:rFonts w:ascii="Garamond" w:hAnsi="Garamond"/>
          <w:sz w:val="22"/>
          <w:szCs w:val="22"/>
          <w:lang w:val="en-US"/>
        </w:rPr>
      </w:pPr>
      <w:r w:rsidRPr="00D36B0B">
        <w:rPr>
          <w:rFonts w:ascii="Garamond" w:hAnsi="Garamond"/>
          <w:sz w:val="22"/>
          <w:szCs w:val="22"/>
          <w:lang w:val="en-US"/>
        </w:rPr>
        <w:t>The necessity and proportionality principles provide</w:t>
      </w:r>
      <w:r w:rsidR="00D36B0B" w:rsidRPr="00D36B0B">
        <w:rPr>
          <w:rFonts w:ascii="Garamond" w:hAnsi="Garamond"/>
          <w:sz w:val="22"/>
          <w:szCs w:val="22"/>
          <w:lang w:val="en-US"/>
        </w:rPr>
        <w:t xml:space="preserve"> "</w:t>
      </w:r>
      <w:r w:rsidRPr="00D36B0B">
        <w:rPr>
          <w:rFonts w:ascii="Garamond" w:hAnsi="Garamond"/>
          <w:sz w:val="22"/>
          <w:szCs w:val="22"/>
          <w:lang w:val="en-US"/>
        </w:rPr>
        <w:t>that any restrict</w:t>
      </w:r>
      <w:r w:rsidR="00D36B0B" w:rsidRPr="00D36B0B">
        <w:rPr>
          <w:rFonts w:ascii="Garamond" w:hAnsi="Garamond"/>
          <w:sz w:val="22"/>
          <w:szCs w:val="22"/>
          <w:lang w:val="en-US"/>
        </w:rPr>
        <w:t xml:space="preserve">ions on freedom of expression </w:t>
      </w:r>
      <w:r w:rsidRPr="00D36B0B">
        <w:rPr>
          <w:rFonts w:ascii="Garamond" w:hAnsi="Garamond"/>
          <w:sz w:val="22"/>
          <w:szCs w:val="22"/>
          <w:lang w:val="en-US"/>
        </w:rPr>
        <w:t>must be appropriate to achieve their protective function; they must be the least intrusive instrument amongst those which might achieve their protective function; [and] they must be proportionate to the interest to be protect</w:t>
      </w:r>
      <w:r w:rsidR="00D36B0B" w:rsidRPr="00D36B0B">
        <w:rPr>
          <w:rFonts w:ascii="Garamond" w:hAnsi="Garamond"/>
          <w:sz w:val="22"/>
          <w:szCs w:val="22"/>
          <w:lang w:val="en-US"/>
        </w:rPr>
        <w:t>ed" [p.21].</w:t>
      </w:r>
    </w:p>
    <w:p w14:paraId="0E4AABF0" w14:textId="77777777" w:rsidR="00D36B0B" w:rsidRDefault="0073762C" w:rsidP="00FB13CC">
      <w:pPr>
        <w:spacing w:line="276" w:lineRule="auto"/>
        <w:jc w:val="both"/>
        <w:rPr>
          <w:rFonts w:ascii="Garamond" w:hAnsi="Garamond"/>
          <w:sz w:val="22"/>
          <w:szCs w:val="22"/>
          <w:lang w:val="en-US"/>
        </w:rPr>
      </w:pPr>
      <w:r w:rsidRPr="00D36B0B">
        <w:rPr>
          <w:rFonts w:ascii="Garamond" w:hAnsi="Garamond"/>
          <w:sz w:val="22"/>
          <w:szCs w:val="22"/>
          <w:lang w:val="en-US"/>
        </w:rPr>
        <w:t>The Board found that "the application of the Restricted Goods and Service Policy in this case would not have been a proportional restriction on speech given the severe political and economic crisis in Sri Lanka"[p. 21].</w:t>
      </w:r>
      <w:r w:rsidR="00D36B0B" w:rsidRPr="00D36B0B">
        <w:rPr>
          <w:rFonts w:ascii="Garamond" w:hAnsi="Garamond"/>
          <w:sz w:val="22"/>
          <w:szCs w:val="22"/>
          <w:lang w:val="en-US"/>
        </w:rPr>
        <w:t xml:space="preserve"> </w:t>
      </w:r>
    </w:p>
    <w:p w14:paraId="4E3F2ABE" w14:textId="77777777" w:rsidR="0080484C" w:rsidRDefault="0080484C" w:rsidP="00FB13CC">
      <w:pPr>
        <w:spacing w:line="276" w:lineRule="auto"/>
        <w:jc w:val="both"/>
        <w:rPr>
          <w:rFonts w:ascii="Garamond" w:hAnsi="Garamond"/>
          <w:sz w:val="22"/>
          <w:szCs w:val="22"/>
          <w:lang w:val="en-US"/>
        </w:rPr>
      </w:pPr>
    </w:p>
    <w:p w14:paraId="2BF872C3" w14:textId="207E8556" w:rsidR="00D36B0B" w:rsidRPr="00D36B0B" w:rsidRDefault="00D36B0B" w:rsidP="00FB13CC">
      <w:pPr>
        <w:spacing w:line="276" w:lineRule="auto"/>
        <w:jc w:val="both"/>
        <w:rPr>
          <w:rFonts w:ascii="Garamond" w:hAnsi="Garamond"/>
          <w:sz w:val="22"/>
          <w:szCs w:val="22"/>
          <w:lang w:val="en-US"/>
        </w:rPr>
      </w:pPr>
      <w:r>
        <w:rPr>
          <w:rFonts w:ascii="Garamond" w:hAnsi="Garamond"/>
          <w:sz w:val="22"/>
          <w:szCs w:val="22"/>
          <w:lang w:val="en-US"/>
        </w:rPr>
        <w:t>In conclusion</w:t>
      </w:r>
      <w:r w:rsidRPr="00D36B0B">
        <w:rPr>
          <w:rFonts w:ascii="Garamond" w:hAnsi="Garamond"/>
          <w:sz w:val="22"/>
          <w:szCs w:val="22"/>
          <w:lang w:val="en-US"/>
        </w:rPr>
        <w:t>,</w:t>
      </w:r>
      <w:r w:rsidR="0080484C">
        <w:rPr>
          <w:rFonts w:ascii="Garamond" w:hAnsi="Garamond"/>
          <w:sz w:val="22"/>
          <w:szCs w:val="22"/>
          <w:lang w:val="en-US"/>
        </w:rPr>
        <w:t xml:space="preserve"> the Board upheld</w:t>
      </w:r>
      <w:r w:rsidRPr="00D36B0B">
        <w:rPr>
          <w:rFonts w:ascii="Garamond" w:hAnsi="Garamond"/>
          <w:sz w:val="22"/>
          <w:szCs w:val="22"/>
          <w:lang w:val="en-US"/>
        </w:rPr>
        <w:t xml:space="preserve"> Meta's decision to leave up the content and </w:t>
      </w:r>
      <w:r w:rsidR="0080484C">
        <w:rPr>
          <w:rFonts w:ascii="Garamond" w:hAnsi="Garamond"/>
          <w:sz w:val="22"/>
          <w:szCs w:val="22"/>
          <w:lang w:val="en-US"/>
        </w:rPr>
        <w:t xml:space="preserve">to </w:t>
      </w:r>
      <w:r w:rsidRPr="00D36B0B">
        <w:rPr>
          <w:rFonts w:ascii="Garamond" w:hAnsi="Garamond"/>
          <w:sz w:val="22"/>
          <w:szCs w:val="22"/>
          <w:lang w:val="en-US"/>
        </w:rPr>
        <w:t xml:space="preserve">issue a "spirit of the policy" allowance </w:t>
      </w:r>
      <w:r w:rsidR="0080484C">
        <w:rPr>
          <w:rFonts w:ascii="Garamond" w:hAnsi="Garamond"/>
          <w:sz w:val="22"/>
          <w:szCs w:val="22"/>
          <w:lang w:val="en-US"/>
        </w:rPr>
        <w:t xml:space="preserve">as it </w:t>
      </w:r>
      <w:r w:rsidRPr="00D36B0B">
        <w:rPr>
          <w:rFonts w:ascii="Garamond" w:hAnsi="Garamond"/>
          <w:sz w:val="22"/>
          <w:szCs w:val="22"/>
          <w:lang w:val="en-US"/>
        </w:rPr>
        <w:t>protected people's li</w:t>
      </w:r>
      <w:r w:rsidR="00FB13CC">
        <w:rPr>
          <w:rFonts w:ascii="Garamond" w:hAnsi="Garamond"/>
          <w:sz w:val="22"/>
          <w:szCs w:val="22"/>
          <w:lang w:val="en-US"/>
        </w:rPr>
        <w:t>ves</w:t>
      </w:r>
      <w:r w:rsidRPr="00D36B0B">
        <w:rPr>
          <w:rFonts w:ascii="Garamond" w:hAnsi="Garamond"/>
          <w:sz w:val="22"/>
          <w:szCs w:val="22"/>
          <w:lang w:val="en-US"/>
        </w:rPr>
        <w:t xml:space="preserve"> and health in Sri Lanka.</w:t>
      </w:r>
    </w:p>
    <w:p w14:paraId="3731BE13" w14:textId="77777777" w:rsidR="00D36B0B" w:rsidRDefault="00D36B0B" w:rsidP="00D36B0B">
      <w:pPr>
        <w:pStyle w:val="ListParagraph"/>
        <w:spacing w:line="276" w:lineRule="auto"/>
        <w:ind w:left="360"/>
        <w:rPr>
          <w:rFonts w:ascii="Garamond" w:hAnsi="Garamond"/>
          <w:sz w:val="22"/>
          <w:szCs w:val="22"/>
          <w:lang w:val="en-US"/>
        </w:rPr>
      </w:pPr>
    </w:p>
    <w:p w14:paraId="53957887" w14:textId="01AF0829" w:rsidR="00BE5C1A" w:rsidRDefault="00D36B0B" w:rsidP="00D36B0B">
      <w:pPr>
        <w:pStyle w:val="ListParagraph"/>
        <w:spacing w:line="276" w:lineRule="auto"/>
        <w:ind w:left="360"/>
        <w:rPr>
          <w:rFonts w:ascii="Garamond" w:hAnsi="Garamond"/>
          <w:i/>
          <w:iCs/>
          <w:sz w:val="22"/>
          <w:szCs w:val="22"/>
          <w:lang w:val="en-US"/>
        </w:rPr>
      </w:pPr>
      <w:r>
        <w:rPr>
          <w:rFonts w:ascii="Garamond" w:hAnsi="Garamond"/>
          <w:sz w:val="22"/>
          <w:szCs w:val="22"/>
          <w:lang w:val="en-US"/>
        </w:rPr>
        <w:t xml:space="preserve"> </w:t>
      </w:r>
      <w:r w:rsidRPr="00D36B0B">
        <w:rPr>
          <w:rFonts w:ascii="Garamond" w:hAnsi="Garamond"/>
          <w:sz w:val="22"/>
          <w:szCs w:val="22"/>
          <w:lang w:val="en-US"/>
        </w:rPr>
        <w:t xml:space="preserve"> </w:t>
      </w:r>
      <w:r w:rsidRPr="00D36B0B">
        <w:rPr>
          <w:rFonts w:ascii="Garamond" w:hAnsi="Garamond"/>
          <w:i/>
          <w:iCs/>
          <w:sz w:val="22"/>
          <w:szCs w:val="22"/>
          <w:lang w:val="en-US"/>
        </w:rPr>
        <w:t>Policy advisory statement</w:t>
      </w:r>
      <w:r>
        <w:rPr>
          <w:rFonts w:ascii="Garamond" w:hAnsi="Garamond"/>
          <w:i/>
          <w:iCs/>
          <w:sz w:val="22"/>
          <w:szCs w:val="22"/>
          <w:lang w:val="en-US"/>
        </w:rPr>
        <w:t>:</w:t>
      </w:r>
    </w:p>
    <w:p w14:paraId="32D8BB34" w14:textId="77777777" w:rsidR="00D36B0B" w:rsidRPr="00D36B0B" w:rsidRDefault="00D36B0B" w:rsidP="00D36B0B">
      <w:pPr>
        <w:spacing w:line="276" w:lineRule="auto"/>
        <w:rPr>
          <w:rFonts w:ascii="Garamond" w:hAnsi="Garamond"/>
          <w:sz w:val="22"/>
          <w:szCs w:val="22"/>
          <w:lang w:val="en-US"/>
        </w:rPr>
      </w:pPr>
    </w:p>
    <w:p w14:paraId="649943AE" w14:textId="1C2E26D6" w:rsidR="00BE5C1A" w:rsidRPr="00695C9C" w:rsidRDefault="00465F45" w:rsidP="00F24A19">
      <w:pPr>
        <w:pStyle w:val="ListParagraph"/>
        <w:spacing w:line="276" w:lineRule="auto"/>
        <w:ind w:left="360"/>
        <w:jc w:val="both"/>
        <w:rPr>
          <w:rFonts w:ascii="Garamond" w:hAnsi="Garamond"/>
          <w:sz w:val="22"/>
          <w:szCs w:val="22"/>
          <w:lang w:val="en-US"/>
        </w:rPr>
      </w:pPr>
      <w:r w:rsidRPr="00465F45">
        <w:rPr>
          <w:rFonts w:ascii="Garamond" w:hAnsi="Garamond"/>
          <w:sz w:val="22"/>
          <w:szCs w:val="22"/>
          <w:lang w:val="en-US"/>
        </w:rPr>
        <w:t>The Board recommended Meta</w:t>
      </w:r>
      <w:r w:rsidR="00695C9C">
        <w:rPr>
          <w:rFonts w:ascii="Garamond" w:hAnsi="Garamond"/>
          <w:sz w:val="22"/>
          <w:szCs w:val="22"/>
          <w:lang w:val="en-US"/>
        </w:rPr>
        <w:t xml:space="preserve"> to provide users with more information and clarity about the company's allowances. </w:t>
      </w:r>
      <w:r w:rsidR="00855A22">
        <w:rPr>
          <w:rFonts w:ascii="Garamond" w:hAnsi="Garamond"/>
          <w:sz w:val="22"/>
          <w:szCs w:val="22"/>
          <w:lang w:val="en-US"/>
        </w:rPr>
        <w:t>Meta</w:t>
      </w:r>
      <w:r w:rsidR="00695C9C">
        <w:rPr>
          <w:rFonts w:ascii="Garamond" w:hAnsi="Garamond"/>
          <w:sz w:val="22"/>
          <w:szCs w:val="22"/>
          <w:lang w:val="en-US"/>
        </w:rPr>
        <w:t xml:space="preserve"> should "</w:t>
      </w:r>
      <w:r w:rsidR="00695C9C" w:rsidRPr="00695C9C">
        <w:rPr>
          <w:rFonts w:ascii="Garamond" w:hAnsi="Garamond"/>
          <w:sz w:val="22"/>
          <w:szCs w:val="22"/>
          <w:lang w:val="en-US"/>
        </w:rPr>
        <w:t>include a link to a Transparency Centre page which provides information about the "spirit of the policy" allowance</w:t>
      </w:r>
      <w:r w:rsidR="00695C9C">
        <w:rPr>
          <w:rFonts w:ascii="Garamond" w:hAnsi="Garamond"/>
          <w:sz w:val="22"/>
          <w:szCs w:val="22"/>
          <w:lang w:val="en-US"/>
        </w:rPr>
        <w:t xml:space="preserve">"[p.21]. The Board recommended Meta to </w:t>
      </w:r>
      <w:r w:rsidR="00695C9C" w:rsidRPr="00695C9C">
        <w:rPr>
          <w:rFonts w:ascii="Garamond" w:hAnsi="Garamond"/>
          <w:sz w:val="22"/>
          <w:szCs w:val="22"/>
          <w:lang w:val="en-US"/>
        </w:rPr>
        <w:t xml:space="preserve">notify users who reported content, of the application of a "spirit of the policy" allowance, as it would provide them with </w:t>
      </w:r>
      <w:r w:rsidR="00FB13CC">
        <w:rPr>
          <w:rFonts w:ascii="Garamond" w:hAnsi="Garamond"/>
          <w:sz w:val="22"/>
          <w:szCs w:val="22"/>
          <w:lang w:val="en-US"/>
        </w:rPr>
        <w:t xml:space="preserve">a </w:t>
      </w:r>
      <w:r w:rsidR="00695C9C" w:rsidRPr="00695C9C">
        <w:rPr>
          <w:rFonts w:ascii="Garamond" w:hAnsi="Garamond"/>
          <w:sz w:val="22"/>
          <w:szCs w:val="22"/>
          <w:lang w:val="en-US"/>
        </w:rPr>
        <w:t>better understanding o</w:t>
      </w:r>
      <w:r w:rsidR="00FB13CC">
        <w:rPr>
          <w:rFonts w:ascii="Garamond" w:hAnsi="Garamond"/>
          <w:sz w:val="22"/>
          <w:szCs w:val="22"/>
          <w:lang w:val="en-US"/>
        </w:rPr>
        <w:t>f</w:t>
      </w:r>
      <w:r w:rsidR="00695C9C" w:rsidRPr="00695C9C">
        <w:rPr>
          <w:rFonts w:ascii="Garamond" w:hAnsi="Garamond"/>
          <w:sz w:val="22"/>
          <w:szCs w:val="22"/>
          <w:lang w:val="en-US"/>
        </w:rPr>
        <w:t xml:space="preserve"> why a violating content was left on the company's platform.</w:t>
      </w:r>
      <w:r w:rsidR="00695C9C">
        <w:rPr>
          <w:rFonts w:ascii="Garamond" w:hAnsi="Garamond"/>
          <w:sz w:val="22"/>
          <w:szCs w:val="22"/>
          <w:lang w:val="en-US"/>
        </w:rPr>
        <w:t xml:space="preserve"> Additionally, </w:t>
      </w:r>
      <w:r w:rsidR="004E43CC" w:rsidRPr="004E43CC">
        <w:rPr>
          <w:rFonts w:ascii="Garamond" w:hAnsi="Garamond"/>
          <w:sz w:val="22"/>
          <w:szCs w:val="22"/>
          <w:lang w:val="en-US"/>
        </w:rPr>
        <w:t xml:space="preserve">The Board recommended Meta </w:t>
      </w:r>
      <w:r w:rsidR="004E43CC">
        <w:rPr>
          <w:rFonts w:ascii="Garamond" w:hAnsi="Garamond"/>
          <w:sz w:val="22"/>
          <w:szCs w:val="22"/>
          <w:lang w:val="en-US"/>
        </w:rPr>
        <w:t>to publish</w:t>
      </w:r>
      <w:r w:rsidR="004E43CC" w:rsidRPr="004E43CC">
        <w:rPr>
          <w:rFonts w:ascii="Garamond" w:hAnsi="Garamond"/>
          <w:sz w:val="22"/>
          <w:szCs w:val="22"/>
          <w:lang w:val="en-US"/>
        </w:rPr>
        <w:t xml:space="preserve"> information about the allowance in its Transparency Centre by creating a page </w:t>
      </w:r>
      <w:r w:rsidR="00F24A19">
        <w:rPr>
          <w:rFonts w:ascii="Garamond" w:hAnsi="Garamond"/>
          <w:sz w:val="22"/>
          <w:szCs w:val="22"/>
          <w:lang w:val="en-US"/>
        </w:rPr>
        <w:t xml:space="preserve">that </w:t>
      </w:r>
      <w:r w:rsidR="004E43CC" w:rsidRPr="004E43CC">
        <w:rPr>
          <w:rFonts w:ascii="Garamond" w:hAnsi="Garamond"/>
          <w:sz w:val="22"/>
          <w:szCs w:val="22"/>
          <w:lang w:val="en-US"/>
        </w:rPr>
        <w:t>indicates the criteria Meta uses to issue or terminate the allowance. As well as providing users a list of all the "spirit of the policy" allowances it has issued with aggregated data about it</w:t>
      </w:r>
      <w:r w:rsidR="00695C9C">
        <w:rPr>
          <w:rFonts w:ascii="Garamond" w:hAnsi="Garamond"/>
          <w:sz w:val="22"/>
          <w:szCs w:val="22"/>
          <w:lang w:val="en-US"/>
        </w:rPr>
        <w:t xml:space="preserve"> </w:t>
      </w:r>
    </w:p>
    <w:p w14:paraId="5BD63946" w14:textId="77777777" w:rsidR="003668DD" w:rsidRPr="00956F5D" w:rsidRDefault="003668DD" w:rsidP="00956F5D">
      <w:pPr>
        <w:spacing w:line="276" w:lineRule="auto"/>
        <w:jc w:val="both"/>
        <w:rPr>
          <w:rFonts w:ascii="Garamond" w:hAnsi="Garamond"/>
          <w:sz w:val="22"/>
          <w:szCs w:val="22"/>
          <w:u w:val="single"/>
          <w:lang w:val="en-US"/>
        </w:rPr>
      </w:pPr>
    </w:p>
    <w:p w14:paraId="18A48F21" w14:textId="77777777" w:rsidR="00465F45" w:rsidRPr="0011450B" w:rsidRDefault="00465F45" w:rsidP="0011450B">
      <w:pPr>
        <w:pStyle w:val="ListParagraph"/>
        <w:spacing w:line="276" w:lineRule="auto"/>
        <w:ind w:left="360"/>
        <w:jc w:val="both"/>
        <w:rPr>
          <w:rFonts w:ascii="Garamond" w:hAnsi="Garamond"/>
          <w:sz w:val="22"/>
          <w:szCs w:val="22"/>
          <w:lang w:val="en-US"/>
        </w:rPr>
      </w:pP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62D10941" w14:textId="77777777" w:rsidR="00956F5D" w:rsidRDefault="00956F5D" w:rsidP="00956F5D">
      <w:pPr>
        <w:spacing w:line="276" w:lineRule="auto"/>
        <w:jc w:val="both"/>
        <w:rPr>
          <w:rFonts w:ascii="Garamond" w:hAnsi="Garamond"/>
          <w:sz w:val="22"/>
          <w:szCs w:val="22"/>
          <w:lang w:val="en-US"/>
        </w:rPr>
      </w:pPr>
    </w:p>
    <w:p w14:paraId="4F96CC8E" w14:textId="3A1E975E" w:rsidR="00835092" w:rsidRPr="00956F5D" w:rsidRDefault="00F02DB7" w:rsidP="00FB13CC">
      <w:pPr>
        <w:spacing w:line="276" w:lineRule="auto"/>
        <w:jc w:val="both"/>
        <w:rPr>
          <w:rFonts w:ascii="Garamond" w:hAnsi="Garamond"/>
          <w:sz w:val="22"/>
          <w:szCs w:val="22"/>
          <w:lang w:val="en-US"/>
        </w:rPr>
      </w:pPr>
      <w:r w:rsidRPr="00956F5D">
        <w:rPr>
          <w:rFonts w:ascii="Garamond" w:hAnsi="Garamond"/>
          <w:sz w:val="22"/>
          <w:szCs w:val="22"/>
          <w:lang w:val="en-US"/>
        </w:rPr>
        <w:t xml:space="preserve"> </w:t>
      </w:r>
      <w:r w:rsidR="00956F5D" w:rsidRPr="00956F5D">
        <w:rPr>
          <w:rFonts w:ascii="Garamond" w:hAnsi="Garamond"/>
          <w:sz w:val="22"/>
          <w:szCs w:val="22"/>
          <w:lang w:val="en-US"/>
        </w:rPr>
        <w:t>In this decision, the Oversight Board expanded freedom of expression by</w:t>
      </w:r>
      <w:r w:rsidR="00F45325" w:rsidRPr="00F45325">
        <w:t xml:space="preserve"> </w:t>
      </w:r>
      <w:r w:rsidR="00FE6BE5">
        <w:rPr>
          <w:rFonts w:ascii="Garamond" w:hAnsi="Garamond"/>
          <w:sz w:val="22"/>
          <w:szCs w:val="22"/>
          <w:lang w:val="en-US"/>
        </w:rPr>
        <w:t xml:space="preserve">protecting the right to health and life </w:t>
      </w:r>
      <w:r w:rsidR="00FE6BE5" w:rsidRPr="00F45325">
        <w:rPr>
          <w:rFonts w:ascii="Garamond" w:hAnsi="Garamond"/>
          <w:sz w:val="22"/>
          <w:szCs w:val="22"/>
          <w:lang w:val="en-US"/>
        </w:rPr>
        <w:t>and its relationship with freedom of expression</w:t>
      </w:r>
      <w:r w:rsidR="003B35E6">
        <w:rPr>
          <w:rFonts w:ascii="Garamond" w:hAnsi="Garamond"/>
          <w:sz w:val="22"/>
          <w:szCs w:val="22"/>
          <w:lang w:val="en-US"/>
        </w:rPr>
        <w:t>.</w:t>
      </w:r>
      <w:r w:rsidR="00FC172F" w:rsidRPr="00FC172F">
        <w:t xml:space="preserve"> </w:t>
      </w:r>
      <w:r w:rsidR="00FB13CC">
        <w:rPr>
          <w:rFonts w:ascii="Garamond" w:hAnsi="Garamond"/>
          <w:sz w:val="22"/>
          <w:szCs w:val="22"/>
          <w:lang w:val="en-US"/>
        </w:rPr>
        <w:t>T</w:t>
      </w:r>
      <w:r w:rsidR="00FC172F" w:rsidRPr="00FC172F">
        <w:rPr>
          <w:rFonts w:ascii="Garamond" w:hAnsi="Garamond"/>
          <w:sz w:val="22"/>
          <w:szCs w:val="22"/>
          <w:lang w:val="en-US"/>
        </w:rPr>
        <w:t>he Board expanded freedom of expression</w:t>
      </w:r>
      <w:r w:rsidR="00FE6BE5" w:rsidRPr="00F45325">
        <w:rPr>
          <w:rFonts w:ascii="Garamond" w:hAnsi="Garamond"/>
          <w:sz w:val="22"/>
          <w:szCs w:val="22"/>
          <w:lang w:val="en-US"/>
        </w:rPr>
        <w:t xml:space="preserve"> </w:t>
      </w:r>
      <w:r w:rsidR="00FC172F">
        <w:rPr>
          <w:rFonts w:ascii="Garamond" w:hAnsi="Garamond"/>
          <w:sz w:val="22"/>
          <w:szCs w:val="22"/>
          <w:lang w:val="en-US"/>
        </w:rPr>
        <w:t>by assessing</w:t>
      </w:r>
      <w:r w:rsidR="00FC172F" w:rsidRPr="00FC172F">
        <w:t xml:space="preserve"> </w:t>
      </w:r>
      <w:r w:rsidR="00FC172F" w:rsidRPr="00FC172F">
        <w:rPr>
          <w:rFonts w:ascii="Garamond" w:hAnsi="Garamond"/>
          <w:sz w:val="22"/>
          <w:szCs w:val="22"/>
          <w:lang w:val="en-US"/>
        </w:rPr>
        <w:t xml:space="preserve">Meta's approach to "spirit of the policy" </w:t>
      </w:r>
      <w:r w:rsidR="00FC172F">
        <w:rPr>
          <w:rFonts w:ascii="Garamond" w:hAnsi="Garamond"/>
          <w:sz w:val="22"/>
          <w:szCs w:val="22"/>
          <w:lang w:val="en-US"/>
        </w:rPr>
        <w:t xml:space="preserve">allowances and </w:t>
      </w:r>
      <w:r w:rsidR="003B35E6">
        <w:rPr>
          <w:rFonts w:ascii="Garamond" w:hAnsi="Garamond"/>
          <w:sz w:val="22"/>
          <w:szCs w:val="22"/>
          <w:lang w:val="en-US"/>
        </w:rPr>
        <w:t>recommending</w:t>
      </w:r>
      <w:r w:rsidR="00FC172F">
        <w:rPr>
          <w:rFonts w:ascii="Garamond" w:hAnsi="Garamond"/>
          <w:sz w:val="22"/>
          <w:szCs w:val="22"/>
          <w:lang w:val="en-US"/>
        </w:rPr>
        <w:t xml:space="preserve"> Meta to provide </w:t>
      </w:r>
      <w:r w:rsidR="003B35E6">
        <w:rPr>
          <w:rFonts w:ascii="Garamond" w:hAnsi="Garamond"/>
          <w:sz w:val="22"/>
          <w:szCs w:val="22"/>
          <w:lang w:val="en-US"/>
        </w:rPr>
        <w:t>more</w:t>
      </w:r>
      <w:r w:rsidR="00FC172F">
        <w:rPr>
          <w:rFonts w:ascii="Garamond" w:hAnsi="Garamond"/>
          <w:sz w:val="22"/>
          <w:szCs w:val="22"/>
          <w:lang w:val="en-US"/>
        </w:rPr>
        <w:t xml:space="preserve"> transparency </w:t>
      </w:r>
      <w:r w:rsidR="003B35E6">
        <w:rPr>
          <w:rFonts w:ascii="Garamond" w:hAnsi="Garamond"/>
          <w:sz w:val="22"/>
          <w:szCs w:val="22"/>
          <w:lang w:val="en-US"/>
        </w:rPr>
        <w:t xml:space="preserve">regarding </w:t>
      </w:r>
      <w:r w:rsidR="00FC172F" w:rsidRPr="00FC172F">
        <w:rPr>
          <w:rFonts w:ascii="Garamond" w:hAnsi="Garamond"/>
          <w:sz w:val="22"/>
          <w:szCs w:val="22"/>
          <w:lang w:val="en-US"/>
        </w:rPr>
        <w:t xml:space="preserve">an allowance </w:t>
      </w:r>
      <w:r w:rsidR="00FB13CC">
        <w:rPr>
          <w:rFonts w:ascii="Garamond" w:hAnsi="Garamond"/>
          <w:sz w:val="22"/>
          <w:szCs w:val="22"/>
          <w:lang w:val="en-US"/>
        </w:rPr>
        <w:t>that</w:t>
      </w:r>
      <w:r w:rsidR="00FC172F" w:rsidRPr="00FC172F">
        <w:rPr>
          <w:rFonts w:ascii="Garamond" w:hAnsi="Garamond"/>
          <w:sz w:val="22"/>
          <w:szCs w:val="22"/>
          <w:lang w:val="en-US"/>
        </w:rPr>
        <w:t xml:space="preserve"> permits more speech</w:t>
      </w:r>
      <w:r w:rsidR="00FC172F">
        <w:rPr>
          <w:rFonts w:ascii="Garamond" w:hAnsi="Garamond"/>
          <w:sz w:val="22"/>
          <w:szCs w:val="22"/>
          <w:lang w:val="en-US"/>
        </w:rPr>
        <w:t>.</w:t>
      </w:r>
      <w:r w:rsidR="003B35E6">
        <w:rPr>
          <w:rFonts w:ascii="Garamond" w:hAnsi="Garamond"/>
          <w:sz w:val="22"/>
          <w:szCs w:val="22"/>
          <w:lang w:val="en-US"/>
        </w:rPr>
        <w:t xml:space="preserve"> </w:t>
      </w:r>
      <w:r w:rsidR="00FC172F">
        <w:rPr>
          <w:rFonts w:ascii="Garamond" w:hAnsi="Garamond"/>
          <w:sz w:val="22"/>
          <w:szCs w:val="22"/>
          <w:lang w:val="en-US"/>
        </w:rPr>
        <w:t>The</w:t>
      </w:r>
      <w:r w:rsidR="00F45325">
        <w:rPr>
          <w:rFonts w:ascii="Garamond" w:hAnsi="Garamond"/>
          <w:sz w:val="22"/>
          <w:szCs w:val="22"/>
          <w:lang w:val="en-US"/>
        </w:rPr>
        <w:t xml:space="preserve"> Board emphasized the importance of </w:t>
      </w:r>
      <w:r w:rsidR="003B35E6">
        <w:rPr>
          <w:rFonts w:ascii="Garamond" w:hAnsi="Garamond"/>
          <w:sz w:val="22"/>
          <w:szCs w:val="22"/>
          <w:lang w:val="en-US"/>
        </w:rPr>
        <w:t>accessing</w:t>
      </w:r>
      <w:r w:rsidR="00F45325" w:rsidRPr="00F45325">
        <w:rPr>
          <w:rFonts w:ascii="Garamond" w:hAnsi="Garamond"/>
          <w:sz w:val="22"/>
          <w:szCs w:val="22"/>
          <w:lang w:val="en-US"/>
        </w:rPr>
        <w:t xml:space="preserve"> health-rel</w:t>
      </w:r>
      <w:r w:rsidR="00F45325">
        <w:rPr>
          <w:rFonts w:ascii="Garamond" w:hAnsi="Garamond"/>
          <w:sz w:val="22"/>
          <w:szCs w:val="22"/>
          <w:lang w:val="en-US"/>
        </w:rPr>
        <w:t xml:space="preserve">ated </w:t>
      </w:r>
      <w:r w:rsidR="00F45325" w:rsidRPr="00F45325">
        <w:rPr>
          <w:rFonts w:ascii="Garamond" w:hAnsi="Garamond"/>
          <w:sz w:val="22"/>
          <w:szCs w:val="22"/>
          <w:lang w:val="en-US"/>
        </w:rPr>
        <w:t>information</w:t>
      </w:r>
      <w:r w:rsidR="003B35E6">
        <w:rPr>
          <w:rFonts w:ascii="Garamond" w:hAnsi="Garamond"/>
          <w:sz w:val="22"/>
          <w:szCs w:val="22"/>
          <w:lang w:val="en-US"/>
        </w:rPr>
        <w:t>, especially</w:t>
      </w:r>
      <w:r w:rsidR="00FE6BE5">
        <w:rPr>
          <w:rFonts w:ascii="Garamond" w:hAnsi="Garamond"/>
          <w:sz w:val="22"/>
          <w:szCs w:val="22"/>
          <w:lang w:val="en-US"/>
        </w:rPr>
        <w:t xml:space="preserve"> during times of cris</w:t>
      </w:r>
      <w:r w:rsidR="00FB13CC">
        <w:rPr>
          <w:rFonts w:ascii="Garamond" w:hAnsi="Garamond"/>
          <w:sz w:val="22"/>
          <w:szCs w:val="22"/>
          <w:lang w:val="en-US"/>
        </w:rPr>
        <w:t>i</w:t>
      </w:r>
      <w:r w:rsidR="00FE6BE5">
        <w:rPr>
          <w:rFonts w:ascii="Garamond" w:hAnsi="Garamond"/>
          <w:sz w:val="22"/>
          <w:szCs w:val="22"/>
          <w:lang w:val="en-US"/>
        </w:rPr>
        <w:t>s.</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69511AC4" w14:textId="77777777" w:rsidR="00BB2804" w:rsidRDefault="00BB2804" w:rsidP="00BB2804">
      <w:pPr>
        <w:spacing w:line="276" w:lineRule="auto"/>
        <w:jc w:val="both"/>
        <w:rPr>
          <w:rFonts w:ascii="Garamond" w:hAnsi="Garamond"/>
          <w:sz w:val="22"/>
          <w:szCs w:val="22"/>
          <w:lang w:val="en-US"/>
        </w:rPr>
      </w:pPr>
    </w:p>
    <w:p w14:paraId="4790BE6D" w14:textId="77777777" w:rsidR="00773BA7" w:rsidRDefault="00773BA7" w:rsidP="00773BA7">
      <w:pPr>
        <w:pStyle w:val="ListParagraph"/>
        <w:numPr>
          <w:ilvl w:val="0"/>
          <w:numId w:val="12"/>
        </w:numPr>
        <w:spacing w:line="276" w:lineRule="auto"/>
        <w:jc w:val="both"/>
        <w:rPr>
          <w:rFonts w:ascii="Garamond" w:hAnsi="Garamond"/>
          <w:sz w:val="22"/>
          <w:szCs w:val="22"/>
          <w:lang w:val="en-US"/>
        </w:rPr>
      </w:pPr>
      <w:r w:rsidRPr="00773BA7">
        <w:rPr>
          <w:rFonts w:ascii="Garamond" w:hAnsi="Garamond"/>
          <w:b/>
          <w:bCs/>
          <w:sz w:val="22"/>
          <w:szCs w:val="22"/>
          <w:lang w:val="en-US"/>
        </w:rPr>
        <w:t>United Nations Guiding Principles on Business and Human Rights (2011)</w:t>
      </w:r>
    </w:p>
    <w:p w14:paraId="389A756D" w14:textId="16E63D4F" w:rsidR="00773BA7" w:rsidRDefault="00773BA7" w:rsidP="00773BA7">
      <w:pPr>
        <w:pStyle w:val="ListParagraph"/>
        <w:spacing w:line="276" w:lineRule="auto"/>
        <w:jc w:val="both"/>
        <w:rPr>
          <w:rFonts w:ascii="Garamond" w:hAnsi="Garamond"/>
          <w:sz w:val="22"/>
          <w:szCs w:val="22"/>
          <w:lang w:val="en-US"/>
        </w:rPr>
      </w:pPr>
      <w:r w:rsidRPr="00773BA7">
        <w:rPr>
          <w:rFonts w:ascii="Garamond" w:hAnsi="Garamond"/>
          <w:sz w:val="22"/>
          <w:szCs w:val="22"/>
          <w:lang w:val="en-US"/>
        </w:rPr>
        <w:t>The Board used the UNGPs as the legal basis of Meta’s commitment to respect human rights.</w:t>
      </w:r>
    </w:p>
    <w:p w14:paraId="7F6EED96" w14:textId="77777777" w:rsidR="00773BA7" w:rsidRPr="00773BA7" w:rsidRDefault="00773BA7" w:rsidP="00773BA7">
      <w:pPr>
        <w:pStyle w:val="ListParagraph"/>
        <w:numPr>
          <w:ilvl w:val="0"/>
          <w:numId w:val="12"/>
        </w:numPr>
        <w:spacing w:line="276" w:lineRule="auto"/>
        <w:jc w:val="both"/>
        <w:rPr>
          <w:rFonts w:ascii="Garamond" w:hAnsi="Garamond"/>
          <w:b/>
          <w:bCs/>
          <w:sz w:val="22"/>
          <w:szCs w:val="22"/>
          <w:lang w:val="en-US"/>
        </w:rPr>
      </w:pPr>
      <w:r w:rsidRPr="00773BA7">
        <w:rPr>
          <w:rFonts w:ascii="Garamond" w:hAnsi="Garamond"/>
          <w:b/>
          <w:bCs/>
          <w:sz w:val="22"/>
          <w:szCs w:val="22"/>
          <w:lang w:val="en-US"/>
        </w:rPr>
        <w:t>ICCPR, art. 19</w:t>
      </w:r>
    </w:p>
    <w:p w14:paraId="19CAADC8" w14:textId="0AF0F6A6" w:rsidR="00773BA7" w:rsidRDefault="00773BA7" w:rsidP="00FB13CC">
      <w:pPr>
        <w:pStyle w:val="ListParagraph"/>
        <w:spacing w:line="276" w:lineRule="auto"/>
        <w:jc w:val="both"/>
        <w:rPr>
          <w:rFonts w:ascii="Garamond" w:hAnsi="Garamond"/>
          <w:sz w:val="22"/>
          <w:szCs w:val="22"/>
          <w:lang w:val="en-US"/>
        </w:rPr>
      </w:pPr>
      <w:r w:rsidRPr="00773BA7">
        <w:rPr>
          <w:rFonts w:ascii="Garamond" w:hAnsi="Garamond"/>
          <w:sz w:val="22"/>
          <w:szCs w:val="22"/>
          <w:lang w:val="en-US"/>
        </w:rPr>
        <w:t xml:space="preserve">The Board used Article 19 of the ICCPR as a legal basis that provides broad protection for freedom of expression. They also used it to apply the three-part test of </w:t>
      </w:r>
      <w:r w:rsidR="00FB13CC">
        <w:rPr>
          <w:rFonts w:ascii="Garamond" w:hAnsi="Garamond"/>
          <w:sz w:val="22"/>
          <w:szCs w:val="22"/>
          <w:lang w:val="en-US"/>
        </w:rPr>
        <w:t xml:space="preserve">legality (clarity), legitimacy, </w:t>
      </w:r>
      <w:r w:rsidRPr="00773BA7">
        <w:rPr>
          <w:rFonts w:ascii="Garamond" w:hAnsi="Garamond"/>
          <w:sz w:val="22"/>
          <w:szCs w:val="22"/>
          <w:lang w:val="en-US"/>
        </w:rPr>
        <w:t>necessity</w:t>
      </w:r>
      <w:r w:rsidR="00FB13CC">
        <w:rPr>
          <w:rFonts w:ascii="Garamond" w:hAnsi="Garamond"/>
          <w:sz w:val="22"/>
          <w:szCs w:val="22"/>
          <w:lang w:val="en-US"/>
        </w:rPr>
        <w:t>,</w:t>
      </w:r>
      <w:r w:rsidRPr="00773BA7">
        <w:rPr>
          <w:rFonts w:ascii="Garamond" w:hAnsi="Garamond"/>
          <w:sz w:val="22"/>
          <w:szCs w:val="22"/>
          <w:lang w:val="en-US"/>
        </w:rPr>
        <w:t xml:space="preserve"> and proportionality</w:t>
      </w:r>
      <w:r>
        <w:rPr>
          <w:rFonts w:ascii="Garamond" w:hAnsi="Garamond"/>
          <w:sz w:val="22"/>
          <w:szCs w:val="22"/>
          <w:lang w:val="en-US"/>
        </w:rPr>
        <w:t>.</w:t>
      </w:r>
    </w:p>
    <w:p w14:paraId="44E77070" w14:textId="4530A9FB" w:rsidR="00773BA7" w:rsidRDefault="00773BA7" w:rsidP="00773BA7">
      <w:pPr>
        <w:pStyle w:val="ListParagraph"/>
        <w:numPr>
          <w:ilvl w:val="0"/>
          <w:numId w:val="12"/>
        </w:numPr>
        <w:spacing w:line="276" w:lineRule="auto"/>
        <w:jc w:val="both"/>
        <w:rPr>
          <w:rFonts w:ascii="Garamond" w:hAnsi="Garamond"/>
          <w:b/>
          <w:bCs/>
          <w:sz w:val="22"/>
          <w:szCs w:val="22"/>
          <w:lang w:val="en-US"/>
        </w:rPr>
      </w:pPr>
      <w:r w:rsidRPr="00773BA7">
        <w:rPr>
          <w:rFonts w:ascii="Garamond" w:hAnsi="Garamond"/>
          <w:b/>
          <w:bCs/>
          <w:sz w:val="22"/>
          <w:szCs w:val="22"/>
          <w:lang w:val="en-US"/>
        </w:rPr>
        <w:t>ICCPR, art. 6</w:t>
      </w:r>
    </w:p>
    <w:p w14:paraId="78B072B6" w14:textId="195AEB43" w:rsidR="006330E4" w:rsidRDefault="006330E4" w:rsidP="006330E4">
      <w:pPr>
        <w:pStyle w:val="ListParagraph"/>
        <w:spacing w:line="276" w:lineRule="auto"/>
        <w:jc w:val="both"/>
        <w:rPr>
          <w:rFonts w:ascii="Garamond" w:hAnsi="Garamond"/>
          <w:sz w:val="22"/>
          <w:szCs w:val="22"/>
          <w:lang w:val="en-US"/>
        </w:rPr>
      </w:pPr>
      <w:r w:rsidRPr="006330E4">
        <w:rPr>
          <w:rFonts w:ascii="Garamond" w:hAnsi="Garamond"/>
          <w:sz w:val="22"/>
          <w:szCs w:val="22"/>
          <w:lang w:val="en-US"/>
        </w:rPr>
        <w:t xml:space="preserve">The Board referred to Article </w:t>
      </w:r>
      <w:r>
        <w:rPr>
          <w:rFonts w:ascii="Garamond" w:hAnsi="Garamond"/>
          <w:sz w:val="22"/>
          <w:szCs w:val="22"/>
          <w:lang w:val="en-US"/>
        </w:rPr>
        <w:t>6</w:t>
      </w:r>
      <w:r w:rsidRPr="006330E4">
        <w:rPr>
          <w:rFonts w:ascii="Garamond" w:hAnsi="Garamond"/>
          <w:sz w:val="22"/>
          <w:szCs w:val="22"/>
          <w:lang w:val="en-US"/>
        </w:rPr>
        <w:t xml:space="preserve"> of the ICCPR as the legal basis for the right to</w:t>
      </w:r>
      <w:r>
        <w:rPr>
          <w:rFonts w:ascii="Garamond" w:hAnsi="Garamond"/>
          <w:sz w:val="22"/>
          <w:szCs w:val="22"/>
          <w:lang w:val="en-US"/>
        </w:rPr>
        <w:t xml:space="preserve"> life.</w:t>
      </w:r>
    </w:p>
    <w:p w14:paraId="1E1888FC" w14:textId="2A2277DB" w:rsidR="006330E4" w:rsidRPr="006330E4" w:rsidRDefault="006330E4" w:rsidP="006330E4">
      <w:pPr>
        <w:pStyle w:val="ListParagraph"/>
        <w:numPr>
          <w:ilvl w:val="0"/>
          <w:numId w:val="12"/>
        </w:numPr>
        <w:spacing w:line="276" w:lineRule="auto"/>
        <w:jc w:val="both"/>
        <w:rPr>
          <w:rFonts w:ascii="Garamond" w:hAnsi="Garamond"/>
          <w:b/>
          <w:bCs/>
          <w:sz w:val="22"/>
          <w:szCs w:val="22"/>
          <w:lang w:val="en-US"/>
        </w:rPr>
      </w:pPr>
      <w:r w:rsidRPr="006330E4">
        <w:rPr>
          <w:rFonts w:ascii="Garamond" w:hAnsi="Garamond"/>
          <w:b/>
          <w:bCs/>
          <w:sz w:val="22"/>
          <w:szCs w:val="22"/>
          <w:lang w:val="en-US"/>
        </w:rPr>
        <w:t>ICESCR, art. 12</w:t>
      </w:r>
    </w:p>
    <w:p w14:paraId="008C16FF" w14:textId="048918E8" w:rsidR="006330E4" w:rsidRDefault="006330E4" w:rsidP="006330E4">
      <w:pPr>
        <w:pStyle w:val="ListParagraph"/>
        <w:spacing w:line="276" w:lineRule="auto"/>
        <w:jc w:val="both"/>
        <w:rPr>
          <w:rFonts w:ascii="Garamond" w:hAnsi="Garamond"/>
          <w:sz w:val="22"/>
          <w:szCs w:val="22"/>
          <w:lang w:val="en-US"/>
        </w:rPr>
      </w:pPr>
      <w:r w:rsidRPr="006330E4">
        <w:rPr>
          <w:rFonts w:ascii="Garamond" w:hAnsi="Garamond"/>
          <w:sz w:val="22"/>
          <w:szCs w:val="22"/>
          <w:lang w:val="en-US"/>
        </w:rPr>
        <w:t>The Board referred to this Article to highlight the right to</w:t>
      </w:r>
      <w:r>
        <w:rPr>
          <w:rFonts w:ascii="Garamond" w:hAnsi="Garamond"/>
          <w:sz w:val="22"/>
          <w:szCs w:val="22"/>
          <w:lang w:val="en-US"/>
        </w:rPr>
        <w:t xml:space="preserve"> health.</w:t>
      </w:r>
    </w:p>
    <w:p w14:paraId="4E3A33F5" w14:textId="5A6A3D91" w:rsidR="006330E4" w:rsidRPr="006330E4" w:rsidRDefault="00F24A19" w:rsidP="006330E4">
      <w:pPr>
        <w:pStyle w:val="ListParagraph"/>
        <w:numPr>
          <w:ilvl w:val="0"/>
          <w:numId w:val="12"/>
        </w:numPr>
        <w:spacing w:line="276" w:lineRule="auto"/>
        <w:jc w:val="both"/>
        <w:rPr>
          <w:rFonts w:ascii="Garamond" w:hAnsi="Garamond"/>
          <w:b/>
          <w:bCs/>
          <w:sz w:val="22"/>
          <w:szCs w:val="22"/>
          <w:lang w:val="en-US"/>
        </w:rPr>
      </w:pPr>
      <w:hyperlink r:id="rId7" w:history="1">
        <w:r w:rsidR="006330E4" w:rsidRPr="004B7563">
          <w:rPr>
            <w:rStyle w:val="Hyperlink"/>
            <w:rFonts w:ascii="Garamond" w:hAnsi="Garamond"/>
            <w:b/>
            <w:bCs/>
            <w:sz w:val="22"/>
            <w:szCs w:val="22"/>
            <w:lang w:val="en-US"/>
          </w:rPr>
          <w:t>UNHR Comm., General Comment No. 34 (CCPR/C/GC/34)</w:t>
        </w:r>
      </w:hyperlink>
    </w:p>
    <w:p w14:paraId="6735584B" w14:textId="29E82A80" w:rsidR="006330E4" w:rsidRDefault="006330E4" w:rsidP="006330E4">
      <w:pPr>
        <w:pStyle w:val="ListParagraph"/>
        <w:spacing w:line="276" w:lineRule="auto"/>
        <w:jc w:val="both"/>
        <w:rPr>
          <w:rFonts w:ascii="Garamond" w:hAnsi="Garamond"/>
          <w:sz w:val="22"/>
          <w:szCs w:val="22"/>
          <w:lang w:val="en-US"/>
        </w:rPr>
      </w:pPr>
      <w:r w:rsidRPr="006330E4">
        <w:rPr>
          <w:rFonts w:ascii="Garamond" w:hAnsi="Garamond"/>
          <w:sz w:val="22"/>
          <w:szCs w:val="22"/>
          <w:lang w:val="en-US"/>
        </w:rPr>
        <w:t>The Board used General Comment No. 34 as the legal basis to apply the three-part test.</w:t>
      </w:r>
    </w:p>
    <w:p w14:paraId="3A488C72" w14:textId="3BA33FF1" w:rsidR="00436F94" w:rsidRPr="00436F94" w:rsidRDefault="00F24A19" w:rsidP="00436F94">
      <w:pPr>
        <w:pStyle w:val="ListParagraph"/>
        <w:numPr>
          <w:ilvl w:val="0"/>
          <w:numId w:val="12"/>
        </w:numPr>
        <w:spacing w:line="276" w:lineRule="auto"/>
        <w:jc w:val="both"/>
        <w:rPr>
          <w:rFonts w:ascii="Garamond" w:hAnsi="Garamond"/>
          <w:b/>
          <w:bCs/>
          <w:sz w:val="22"/>
          <w:szCs w:val="22"/>
          <w:lang w:val="en-US"/>
        </w:rPr>
      </w:pPr>
      <w:hyperlink r:id="rId8" w:history="1">
        <w:r w:rsidR="00436F94" w:rsidRPr="004B7563">
          <w:rPr>
            <w:rStyle w:val="Hyperlink"/>
            <w:rFonts w:ascii="Garamond" w:hAnsi="Garamond"/>
            <w:b/>
            <w:bCs/>
            <w:sz w:val="22"/>
            <w:szCs w:val="22"/>
            <w:lang w:val="en-US"/>
          </w:rPr>
          <w:t>Rapporteur on freedom of opinion and expression, A/HRC/38/35 (2018)</w:t>
        </w:r>
      </w:hyperlink>
    </w:p>
    <w:p w14:paraId="605C17A9" w14:textId="4E106F59" w:rsidR="00436F94" w:rsidRPr="00436F94" w:rsidRDefault="00F24A19" w:rsidP="00436F94">
      <w:pPr>
        <w:pStyle w:val="ListParagraph"/>
        <w:numPr>
          <w:ilvl w:val="0"/>
          <w:numId w:val="12"/>
        </w:numPr>
        <w:spacing w:line="276" w:lineRule="auto"/>
        <w:jc w:val="both"/>
        <w:rPr>
          <w:rFonts w:ascii="Garamond" w:hAnsi="Garamond"/>
          <w:b/>
          <w:bCs/>
          <w:sz w:val="22"/>
          <w:szCs w:val="22"/>
          <w:lang w:val="en-US"/>
        </w:rPr>
      </w:pPr>
      <w:hyperlink r:id="rId9" w:history="1">
        <w:r w:rsidR="00436F94" w:rsidRPr="004B7563">
          <w:rPr>
            <w:rStyle w:val="Hyperlink"/>
            <w:rFonts w:ascii="Garamond" w:hAnsi="Garamond"/>
            <w:b/>
            <w:bCs/>
            <w:sz w:val="22"/>
            <w:szCs w:val="22"/>
            <w:lang w:val="en-US"/>
          </w:rPr>
          <w:t>UN Special Rapporteur on freedom of opinion and expression, A/74/486 (2019).</w:t>
        </w:r>
      </w:hyperlink>
    </w:p>
    <w:p w14:paraId="20A7EDF9" w14:textId="71FBA434" w:rsidR="00B907CE" w:rsidRDefault="00F24A19" w:rsidP="00436F94">
      <w:pPr>
        <w:pStyle w:val="ListParagraph"/>
        <w:numPr>
          <w:ilvl w:val="0"/>
          <w:numId w:val="12"/>
        </w:numPr>
        <w:spacing w:line="276" w:lineRule="auto"/>
        <w:jc w:val="both"/>
        <w:rPr>
          <w:rFonts w:ascii="Garamond" w:hAnsi="Garamond"/>
          <w:b/>
          <w:bCs/>
          <w:sz w:val="22"/>
          <w:szCs w:val="22"/>
          <w:lang w:val="en-US"/>
        </w:rPr>
      </w:pPr>
      <w:hyperlink r:id="rId10" w:history="1">
        <w:r w:rsidR="00436F94" w:rsidRPr="00B907CE">
          <w:rPr>
            <w:rStyle w:val="Hyperlink"/>
            <w:rFonts w:ascii="Garamond" w:hAnsi="Garamond"/>
            <w:b/>
            <w:bCs/>
            <w:sz w:val="22"/>
            <w:szCs w:val="22"/>
            <w:lang w:val="en-US"/>
          </w:rPr>
          <w:t>UN Committee on Economic, Social and Cultural Rights, General Comment No.14</w:t>
        </w:r>
        <w:r w:rsidR="00B907CE" w:rsidRPr="00B907CE">
          <w:rPr>
            <w:rStyle w:val="Hyperlink"/>
            <w:rFonts w:ascii="Garamond" w:hAnsi="Garamond"/>
            <w:b/>
            <w:bCs/>
            <w:sz w:val="22"/>
            <w:szCs w:val="22"/>
            <w:lang w:val="en-US"/>
          </w:rPr>
          <w:t xml:space="preserve"> (2000)</w:t>
        </w:r>
      </w:hyperlink>
    </w:p>
    <w:p w14:paraId="5D484857" w14:textId="77777777" w:rsidR="00B907CE" w:rsidRDefault="00B907CE" w:rsidP="00B907CE">
      <w:pPr>
        <w:spacing w:line="276" w:lineRule="auto"/>
        <w:jc w:val="both"/>
        <w:rPr>
          <w:rFonts w:ascii="Garamond" w:hAnsi="Garamond"/>
          <w:b/>
          <w:bCs/>
          <w:sz w:val="22"/>
          <w:szCs w:val="22"/>
          <w:lang w:val="en-US"/>
        </w:rPr>
      </w:pPr>
    </w:p>
    <w:p w14:paraId="390C1EA0" w14:textId="77777777" w:rsidR="00B907CE" w:rsidRDefault="00B907CE" w:rsidP="00B907CE">
      <w:pPr>
        <w:spacing w:line="276" w:lineRule="auto"/>
        <w:jc w:val="both"/>
        <w:rPr>
          <w:rFonts w:ascii="Garamond" w:hAnsi="Garamond"/>
          <w:b/>
          <w:bCs/>
          <w:sz w:val="22"/>
          <w:szCs w:val="22"/>
          <w:lang w:val="en-US"/>
        </w:rPr>
      </w:pPr>
    </w:p>
    <w:p w14:paraId="42BD1F09" w14:textId="409BECC2" w:rsidR="00B907CE" w:rsidRPr="00B907CE" w:rsidRDefault="00B907CE" w:rsidP="00B907CE">
      <w:pPr>
        <w:spacing w:line="276" w:lineRule="auto"/>
        <w:rPr>
          <w:rFonts w:ascii="Garamond" w:hAnsi="Garamond"/>
          <w:b/>
          <w:bCs/>
          <w:sz w:val="28"/>
          <w:szCs w:val="28"/>
          <w:lang w:val="en-US"/>
        </w:rPr>
      </w:pPr>
      <w:r>
        <w:rPr>
          <w:rFonts w:ascii="Garamond" w:hAnsi="Garamond"/>
          <w:b/>
          <w:bCs/>
          <w:sz w:val="22"/>
          <w:szCs w:val="22"/>
          <w:lang w:val="en-US"/>
        </w:rPr>
        <w:t xml:space="preserve">      </w:t>
      </w:r>
      <w:r w:rsidR="00436F94" w:rsidRPr="00B907CE">
        <w:rPr>
          <w:rFonts w:ascii="Garamond" w:hAnsi="Garamond"/>
          <w:b/>
          <w:bCs/>
          <w:sz w:val="22"/>
          <w:szCs w:val="22"/>
          <w:lang w:val="en-US"/>
        </w:rPr>
        <w:t xml:space="preserve"> </w:t>
      </w:r>
      <w:r w:rsidRPr="00B907CE">
        <w:rPr>
          <w:rFonts w:ascii="Garamond" w:hAnsi="Garamond"/>
          <w:b/>
          <w:bCs/>
          <w:lang w:val="en-US"/>
        </w:rPr>
        <w:t>General Law Notes</w:t>
      </w:r>
    </w:p>
    <w:p w14:paraId="205FA1F1" w14:textId="77777777" w:rsidR="00B907CE" w:rsidRDefault="00B907CE" w:rsidP="00B907CE">
      <w:pPr>
        <w:spacing w:line="276" w:lineRule="auto"/>
        <w:jc w:val="both"/>
        <w:rPr>
          <w:rFonts w:ascii="Garamond" w:hAnsi="Garamond"/>
          <w:b/>
          <w:bCs/>
          <w:sz w:val="22"/>
          <w:szCs w:val="22"/>
          <w:lang w:val="en-US"/>
        </w:rPr>
      </w:pPr>
    </w:p>
    <w:p w14:paraId="7DA599B2" w14:textId="0FD45E84" w:rsidR="00436F94" w:rsidRDefault="00B907CE" w:rsidP="00B907CE">
      <w:pPr>
        <w:spacing w:line="276" w:lineRule="auto"/>
        <w:jc w:val="both"/>
        <w:rPr>
          <w:rFonts w:ascii="Garamond" w:hAnsi="Garamond"/>
          <w:b/>
          <w:bCs/>
          <w:sz w:val="22"/>
          <w:szCs w:val="22"/>
          <w:lang w:val="en-US"/>
        </w:rPr>
      </w:pPr>
      <w:r>
        <w:rPr>
          <w:rFonts w:ascii="Garamond" w:hAnsi="Garamond"/>
          <w:b/>
          <w:bCs/>
          <w:sz w:val="22"/>
          <w:szCs w:val="22"/>
          <w:lang w:val="en-US"/>
        </w:rPr>
        <w:lastRenderedPageBreak/>
        <w:t xml:space="preserve">      </w:t>
      </w:r>
      <w:r w:rsidRPr="00B907CE">
        <w:rPr>
          <w:rFonts w:ascii="Garamond" w:hAnsi="Garamond"/>
          <w:b/>
          <w:bCs/>
          <w:sz w:val="22"/>
          <w:szCs w:val="22"/>
          <w:lang w:val="en-US"/>
        </w:rPr>
        <w:t>Oversight Board Decisions:</w:t>
      </w:r>
    </w:p>
    <w:p w14:paraId="613A97C3" w14:textId="77777777" w:rsidR="00B907CE" w:rsidRDefault="00B907CE" w:rsidP="00B907CE">
      <w:pPr>
        <w:spacing w:line="276" w:lineRule="auto"/>
        <w:jc w:val="both"/>
        <w:rPr>
          <w:rFonts w:ascii="Garamond" w:hAnsi="Garamond"/>
          <w:b/>
          <w:bCs/>
          <w:sz w:val="22"/>
          <w:szCs w:val="22"/>
          <w:lang w:val="en-US"/>
        </w:rPr>
      </w:pPr>
    </w:p>
    <w:p w14:paraId="1FDCFB51" w14:textId="368B77E0" w:rsidR="00B907CE" w:rsidRDefault="004B7563" w:rsidP="004B7563">
      <w:pPr>
        <w:pStyle w:val="ListParagraph"/>
        <w:numPr>
          <w:ilvl w:val="0"/>
          <w:numId w:val="13"/>
        </w:numPr>
        <w:spacing w:line="276" w:lineRule="auto"/>
        <w:jc w:val="both"/>
        <w:rPr>
          <w:rFonts w:ascii="Garamond" w:hAnsi="Garamond"/>
          <w:b/>
          <w:bCs/>
          <w:sz w:val="22"/>
          <w:szCs w:val="22"/>
          <w:lang w:val="en-US"/>
        </w:rPr>
      </w:pPr>
      <w:r>
        <w:rPr>
          <w:rFonts w:ascii="Garamond" w:hAnsi="Garamond"/>
          <w:b/>
          <w:bCs/>
          <w:sz w:val="22"/>
          <w:szCs w:val="22"/>
          <w:lang w:val="en-US"/>
        </w:rPr>
        <w:t>Iran protest slogan</w:t>
      </w:r>
      <w:r w:rsidRPr="004B7563">
        <w:rPr>
          <w:rFonts w:ascii="Garamond" w:hAnsi="Garamond"/>
          <w:b/>
          <w:bCs/>
          <w:sz w:val="22"/>
          <w:szCs w:val="22"/>
          <w:lang w:val="en-US"/>
        </w:rPr>
        <w:t xml:space="preserve"> ( </w:t>
      </w:r>
      <w:hyperlink r:id="rId11" w:history="1">
        <w:r w:rsidRPr="00141196">
          <w:rPr>
            <w:rStyle w:val="Hyperlink"/>
            <w:rFonts w:ascii="Garamond" w:hAnsi="Garamond"/>
            <w:b/>
            <w:bCs/>
            <w:sz w:val="22"/>
            <w:szCs w:val="22"/>
            <w:lang w:val="en-US"/>
          </w:rPr>
          <w:t>2022-013-FB-UA</w:t>
        </w:r>
      </w:hyperlink>
      <w:r>
        <w:rPr>
          <w:rFonts w:ascii="Garamond" w:hAnsi="Garamond"/>
          <w:b/>
          <w:bCs/>
          <w:sz w:val="22"/>
          <w:szCs w:val="22"/>
          <w:lang w:val="en-US"/>
        </w:rPr>
        <w:t>)</w:t>
      </w:r>
    </w:p>
    <w:p w14:paraId="01C3309D" w14:textId="7C49596D" w:rsidR="00141196" w:rsidRDefault="004B7563" w:rsidP="00141196">
      <w:pPr>
        <w:pStyle w:val="ListParagraph"/>
        <w:spacing w:line="276" w:lineRule="auto"/>
        <w:jc w:val="both"/>
        <w:rPr>
          <w:rFonts w:ascii="Garamond" w:hAnsi="Garamond"/>
          <w:sz w:val="22"/>
          <w:szCs w:val="22"/>
          <w:lang w:val="en-US"/>
        </w:rPr>
      </w:pPr>
      <w:r>
        <w:rPr>
          <w:rFonts w:ascii="Garamond" w:hAnsi="Garamond"/>
          <w:b/>
          <w:bCs/>
          <w:sz w:val="22"/>
          <w:szCs w:val="22"/>
          <w:lang w:val="en-US"/>
        </w:rPr>
        <w:t xml:space="preserve"> </w:t>
      </w:r>
      <w:r w:rsidR="00141196" w:rsidRPr="00141196">
        <w:rPr>
          <w:rFonts w:ascii="Garamond" w:hAnsi="Garamond"/>
          <w:sz w:val="22"/>
          <w:szCs w:val="22"/>
          <w:lang w:val="en-US"/>
        </w:rPr>
        <w:t>By referring to this case, the Board recalled that it</w:t>
      </w:r>
      <w:r w:rsidR="00141196">
        <w:rPr>
          <w:rFonts w:ascii="Garamond" w:hAnsi="Garamond"/>
          <w:sz w:val="22"/>
          <w:szCs w:val="22"/>
          <w:lang w:val="en-US"/>
        </w:rPr>
        <w:t xml:space="preserve"> had urged</w:t>
      </w:r>
      <w:r w:rsidR="00141196" w:rsidRPr="00141196">
        <w:rPr>
          <w:rFonts w:ascii="Garamond" w:hAnsi="Garamond"/>
          <w:sz w:val="22"/>
          <w:szCs w:val="22"/>
          <w:lang w:val="en-US"/>
        </w:rPr>
        <w:t xml:space="preserve"> </w:t>
      </w:r>
      <w:r w:rsidR="00141196">
        <w:rPr>
          <w:rFonts w:ascii="Garamond" w:hAnsi="Garamond"/>
          <w:sz w:val="22"/>
          <w:szCs w:val="22"/>
          <w:lang w:val="en-US"/>
        </w:rPr>
        <w:t>Meta</w:t>
      </w:r>
      <w:r w:rsidR="00141196" w:rsidRPr="00141196">
        <w:rPr>
          <w:rFonts w:ascii="Garamond" w:hAnsi="Garamond"/>
          <w:sz w:val="22"/>
          <w:szCs w:val="22"/>
          <w:lang w:val="en-US"/>
        </w:rPr>
        <w:t xml:space="preserve"> to give users more</w:t>
      </w:r>
      <w:r w:rsidR="00141196">
        <w:rPr>
          <w:rFonts w:ascii="Garamond" w:hAnsi="Garamond"/>
          <w:sz w:val="22"/>
          <w:szCs w:val="22"/>
          <w:lang w:val="en-US"/>
        </w:rPr>
        <w:t xml:space="preserve"> data on newsworthiness </w:t>
      </w:r>
      <w:r w:rsidR="00141196" w:rsidRPr="00141196">
        <w:rPr>
          <w:rFonts w:ascii="Garamond" w:hAnsi="Garamond"/>
          <w:sz w:val="22"/>
          <w:szCs w:val="22"/>
          <w:lang w:val="en-US"/>
        </w:rPr>
        <w:t>allowances</w:t>
      </w:r>
      <w:r w:rsidR="00141196" w:rsidRPr="006330E4">
        <w:rPr>
          <w:rFonts w:ascii="Garamond" w:hAnsi="Garamond"/>
          <w:sz w:val="22"/>
          <w:szCs w:val="22"/>
          <w:lang w:val="en-US"/>
        </w:rPr>
        <w:t>.</w:t>
      </w:r>
      <w:r w:rsidRPr="00141196">
        <w:rPr>
          <w:rFonts w:ascii="Garamond" w:hAnsi="Garamond"/>
          <w:sz w:val="22"/>
          <w:szCs w:val="22"/>
          <w:lang w:val="en-US"/>
        </w:rPr>
        <w:t xml:space="preserve"> </w:t>
      </w:r>
    </w:p>
    <w:p w14:paraId="479F4752" w14:textId="5B7460EA" w:rsidR="004B7563" w:rsidRDefault="00141196" w:rsidP="00141196">
      <w:pPr>
        <w:pStyle w:val="ListParagraph"/>
        <w:numPr>
          <w:ilvl w:val="0"/>
          <w:numId w:val="13"/>
        </w:numPr>
        <w:spacing w:line="276" w:lineRule="auto"/>
        <w:jc w:val="both"/>
        <w:rPr>
          <w:rFonts w:ascii="Garamond" w:hAnsi="Garamond"/>
          <w:b/>
          <w:bCs/>
          <w:sz w:val="22"/>
          <w:szCs w:val="22"/>
          <w:lang w:val="en-US"/>
        </w:rPr>
      </w:pPr>
      <w:r w:rsidRPr="00141196">
        <w:rPr>
          <w:rFonts w:ascii="Garamond" w:hAnsi="Garamond"/>
          <w:b/>
          <w:bCs/>
          <w:sz w:val="22"/>
          <w:szCs w:val="22"/>
          <w:lang w:val="en-US"/>
        </w:rPr>
        <w:t xml:space="preserve">Colombia protests ( </w:t>
      </w:r>
      <w:hyperlink r:id="rId12" w:history="1">
        <w:r w:rsidRPr="00141196">
          <w:rPr>
            <w:rStyle w:val="Hyperlink"/>
            <w:rFonts w:ascii="Garamond" w:hAnsi="Garamond"/>
            <w:b/>
            <w:bCs/>
            <w:sz w:val="22"/>
            <w:szCs w:val="22"/>
            <w:lang w:val="en-US"/>
          </w:rPr>
          <w:t>2021-010-FB-UA</w:t>
        </w:r>
      </w:hyperlink>
      <w:r w:rsidRPr="00141196">
        <w:rPr>
          <w:rFonts w:ascii="Garamond" w:hAnsi="Garamond"/>
          <w:b/>
          <w:bCs/>
          <w:sz w:val="22"/>
          <w:szCs w:val="22"/>
          <w:lang w:val="en-US"/>
        </w:rPr>
        <w:t>)</w:t>
      </w:r>
    </w:p>
    <w:p w14:paraId="1AB6E4A0" w14:textId="1158A401" w:rsidR="00141196" w:rsidRDefault="00141196" w:rsidP="00FB13CC">
      <w:pPr>
        <w:pStyle w:val="ListParagraph"/>
        <w:spacing w:line="276" w:lineRule="auto"/>
        <w:rPr>
          <w:rFonts w:ascii="Garamond" w:hAnsi="Garamond"/>
          <w:sz w:val="22"/>
          <w:szCs w:val="22"/>
          <w:lang w:val="en-US"/>
        </w:rPr>
      </w:pPr>
      <w:r w:rsidRPr="00141196">
        <w:rPr>
          <w:rFonts w:ascii="Garamond" w:hAnsi="Garamond"/>
          <w:sz w:val="22"/>
          <w:szCs w:val="22"/>
          <w:lang w:val="en-US"/>
        </w:rPr>
        <w:t>The Board referred to this decision to highlight</w:t>
      </w:r>
      <w:r>
        <w:rPr>
          <w:rFonts w:ascii="Garamond" w:hAnsi="Garamond"/>
          <w:sz w:val="22"/>
          <w:szCs w:val="22"/>
          <w:lang w:val="en-US"/>
        </w:rPr>
        <w:t xml:space="preserve"> the importance of notifying</w:t>
      </w:r>
      <w:r w:rsidRPr="00141196">
        <w:rPr>
          <w:rFonts w:ascii="Garamond" w:hAnsi="Garamond"/>
          <w:sz w:val="22"/>
          <w:szCs w:val="22"/>
          <w:lang w:val="en-US"/>
        </w:rPr>
        <w:t xml:space="preserve"> all users who reported content </w:t>
      </w:r>
      <w:r w:rsidR="00FB13CC">
        <w:rPr>
          <w:rFonts w:ascii="Garamond" w:hAnsi="Garamond"/>
          <w:sz w:val="22"/>
          <w:szCs w:val="22"/>
          <w:lang w:val="en-US"/>
        </w:rPr>
        <w:t>that</w:t>
      </w:r>
      <w:r w:rsidRPr="00141196">
        <w:rPr>
          <w:rFonts w:ascii="Garamond" w:hAnsi="Garamond"/>
          <w:sz w:val="22"/>
          <w:szCs w:val="22"/>
          <w:lang w:val="en-US"/>
        </w:rPr>
        <w:t xml:space="preserve"> was assessed as violating bu</w:t>
      </w:r>
      <w:bookmarkStart w:id="0" w:name="_GoBack"/>
      <w:bookmarkEnd w:id="0"/>
      <w:r w:rsidRPr="00141196">
        <w:rPr>
          <w:rFonts w:ascii="Garamond" w:hAnsi="Garamond"/>
          <w:sz w:val="22"/>
          <w:szCs w:val="22"/>
          <w:lang w:val="en-US"/>
        </w:rPr>
        <w:t>t left on the platform</w:t>
      </w:r>
      <w:r>
        <w:rPr>
          <w:rFonts w:ascii="Garamond" w:hAnsi="Garamond"/>
          <w:sz w:val="22"/>
          <w:szCs w:val="22"/>
          <w:lang w:val="en-US"/>
        </w:rPr>
        <w:t xml:space="preserve">, with the application of </w:t>
      </w:r>
      <w:r w:rsidRPr="00141196">
        <w:rPr>
          <w:rFonts w:ascii="Garamond" w:hAnsi="Garamond"/>
          <w:sz w:val="22"/>
          <w:szCs w:val="22"/>
          <w:lang w:val="en-US"/>
        </w:rPr>
        <w:t>the newsworthiness allowance</w:t>
      </w:r>
      <w:r w:rsidRPr="006330E4">
        <w:rPr>
          <w:rFonts w:ascii="Garamond" w:hAnsi="Garamond"/>
          <w:sz w:val="22"/>
          <w:szCs w:val="22"/>
          <w:lang w:val="en-US"/>
        </w:rPr>
        <w:t>.</w:t>
      </w:r>
    </w:p>
    <w:p w14:paraId="71EE5587" w14:textId="4049A271" w:rsidR="00141196" w:rsidRPr="00141196" w:rsidRDefault="00391205" w:rsidP="00391205">
      <w:pPr>
        <w:pStyle w:val="ListParagraph"/>
        <w:numPr>
          <w:ilvl w:val="0"/>
          <w:numId w:val="13"/>
        </w:numPr>
        <w:spacing w:line="276" w:lineRule="auto"/>
        <w:rPr>
          <w:rFonts w:ascii="Garamond" w:hAnsi="Garamond"/>
          <w:sz w:val="22"/>
          <w:szCs w:val="22"/>
          <w:lang w:val="en-US"/>
        </w:rPr>
      </w:pPr>
      <w:r w:rsidRPr="00F24A19">
        <w:rPr>
          <w:rFonts w:ascii="Garamond" w:hAnsi="Garamond"/>
          <w:b/>
          <w:bCs/>
          <w:sz w:val="22"/>
          <w:szCs w:val="22"/>
          <w:lang w:val="en-US"/>
        </w:rPr>
        <w:t>Former President Trump's suspension</w:t>
      </w:r>
      <w:r w:rsidRPr="00391205">
        <w:rPr>
          <w:rFonts w:ascii="Garamond" w:hAnsi="Garamond"/>
          <w:sz w:val="22"/>
          <w:szCs w:val="22"/>
          <w:lang w:val="en-US"/>
        </w:rPr>
        <w:t xml:space="preserve"> ( </w:t>
      </w:r>
      <w:hyperlink r:id="rId13" w:history="1">
        <w:r w:rsidRPr="00391205">
          <w:rPr>
            <w:rStyle w:val="Hyperlink"/>
            <w:rFonts w:ascii="Garamond" w:hAnsi="Garamond"/>
            <w:sz w:val="22"/>
            <w:szCs w:val="22"/>
            <w:lang w:val="en-US"/>
          </w:rPr>
          <w:t>2021-001-FB-FBR</w:t>
        </w:r>
      </w:hyperlink>
      <w:r w:rsidRPr="00391205">
        <w:rPr>
          <w:rFonts w:ascii="Garamond" w:hAnsi="Garamond"/>
          <w:sz w:val="22"/>
          <w:szCs w:val="22"/>
          <w:lang w:val="en-US"/>
        </w:rPr>
        <w:t>)</w:t>
      </w:r>
    </w:p>
    <w:p w14:paraId="61E3AF25" w14:textId="77777777" w:rsidR="00141196" w:rsidRPr="00141196" w:rsidRDefault="00141196" w:rsidP="00141196">
      <w:pPr>
        <w:pStyle w:val="ListParagraph"/>
        <w:spacing w:line="276" w:lineRule="auto"/>
        <w:jc w:val="both"/>
        <w:rPr>
          <w:rFonts w:ascii="Garamond" w:hAnsi="Garamond"/>
          <w:sz w:val="22"/>
          <w:szCs w:val="22"/>
          <w:lang w:val="en-US"/>
        </w:rPr>
      </w:pPr>
    </w:p>
    <w:p w14:paraId="00187259" w14:textId="77777777" w:rsidR="00773BA7" w:rsidRPr="00436F94" w:rsidRDefault="00773BA7" w:rsidP="00773BA7">
      <w:pPr>
        <w:pStyle w:val="ListParagraph"/>
        <w:spacing w:line="276" w:lineRule="auto"/>
        <w:jc w:val="both"/>
        <w:rPr>
          <w:rFonts w:ascii="Garamond" w:hAnsi="Garamond"/>
          <w:b/>
          <w:bCs/>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50FEACD5" w14:textId="77777777" w:rsidR="00747125" w:rsidRDefault="00747125" w:rsidP="00BB2804">
      <w:pPr>
        <w:spacing w:line="276" w:lineRule="auto"/>
        <w:jc w:val="both"/>
        <w:rPr>
          <w:rFonts w:ascii="Garamond" w:hAnsi="Garamond"/>
          <w:sz w:val="22"/>
          <w:szCs w:val="22"/>
          <w:lang w:val="en-US"/>
        </w:rPr>
      </w:pPr>
    </w:p>
    <w:p w14:paraId="129E7AF7" w14:textId="3AB39C2A" w:rsidR="00747125" w:rsidRDefault="00747125" w:rsidP="00BB2804">
      <w:pPr>
        <w:spacing w:line="276" w:lineRule="auto"/>
        <w:jc w:val="both"/>
        <w:rPr>
          <w:rFonts w:ascii="Garamond" w:hAnsi="Garamond"/>
          <w:sz w:val="22"/>
          <w:szCs w:val="22"/>
          <w:lang w:val="en-US"/>
        </w:rPr>
      </w:pPr>
      <w:r w:rsidRPr="00747125">
        <w:rPr>
          <w:rFonts w:ascii="Garamond" w:hAnsi="Garamond"/>
          <w:sz w:val="22"/>
          <w:szCs w:val="22"/>
          <w:lang w:val="en-US"/>
        </w:rPr>
        <w:t>The decision establishes a binding or persuasive precedent within its jurisdiction.</w:t>
      </w:r>
    </w:p>
    <w:p w14:paraId="64E00981" w14:textId="77777777" w:rsidR="00747125" w:rsidRDefault="00747125" w:rsidP="00BB2804">
      <w:pPr>
        <w:spacing w:line="276" w:lineRule="auto"/>
        <w:jc w:val="both"/>
        <w:rPr>
          <w:rFonts w:ascii="Garamond" w:hAnsi="Garamond"/>
          <w:sz w:val="22"/>
          <w:szCs w:val="22"/>
          <w:lang w:val="en-US"/>
        </w:rPr>
      </w:pPr>
    </w:p>
    <w:p w14:paraId="01D9876A" w14:textId="77777777" w:rsidR="00747125" w:rsidRDefault="00747125" w:rsidP="00BB2804">
      <w:pPr>
        <w:spacing w:line="276" w:lineRule="auto"/>
        <w:jc w:val="both"/>
        <w:rPr>
          <w:rFonts w:ascii="Garamond" w:hAnsi="Garamond"/>
          <w:sz w:val="22"/>
          <w:szCs w:val="22"/>
          <w:lang w:val="en-US"/>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0F08FB84" w14:textId="77777777" w:rsidR="00FB13CC" w:rsidRDefault="00FB13CC" w:rsidP="00BB2804">
      <w:pPr>
        <w:spacing w:line="276" w:lineRule="auto"/>
        <w:jc w:val="both"/>
        <w:rPr>
          <w:rFonts w:ascii="Garamond" w:hAnsi="Garamond"/>
          <w:sz w:val="22"/>
          <w:szCs w:val="22"/>
        </w:rPr>
      </w:pPr>
    </w:p>
    <w:p w14:paraId="727D6AAC" w14:textId="77777777" w:rsidR="00747125"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w:t>
      </w:r>
    </w:p>
    <w:p w14:paraId="4EB4B5BC" w14:textId="50722BC4" w:rsidR="00BB2804" w:rsidRPr="001A2EAE" w:rsidRDefault="00BB2804" w:rsidP="00747125">
      <w:pPr>
        <w:pStyle w:val="ListParagraph"/>
        <w:spacing w:line="276" w:lineRule="auto"/>
        <w:ind w:left="360"/>
        <w:jc w:val="both"/>
        <w:rPr>
          <w:rFonts w:ascii="Garamond" w:hAnsi="Garamond"/>
          <w:sz w:val="22"/>
          <w:szCs w:val="22"/>
        </w:rPr>
      </w:pPr>
      <w:r w:rsidRPr="001A2EAE">
        <w:rPr>
          <w:rFonts w:ascii="Garamond" w:hAnsi="Garamond"/>
          <w:sz w:val="22"/>
          <w:szCs w:val="22"/>
        </w:rPr>
        <w:t xml:space="preserve"> </w:t>
      </w:r>
    </w:p>
    <w:p w14:paraId="2A9310B1" w14:textId="77777777" w:rsidR="00FD6025" w:rsidRPr="00FD6025" w:rsidRDefault="00FD6025" w:rsidP="00FD6025">
      <w:pPr>
        <w:pStyle w:val="ListParagraph"/>
        <w:numPr>
          <w:ilvl w:val="0"/>
          <w:numId w:val="13"/>
        </w:numPr>
        <w:spacing w:line="276" w:lineRule="auto"/>
        <w:jc w:val="both"/>
        <w:rPr>
          <w:rFonts w:ascii="Garamond" w:hAnsi="Garamond"/>
          <w:b/>
          <w:bCs/>
          <w:sz w:val="22"/>
          <w:szCs w:val="22"/>
        </w:rPr>
      </w:pPr>
      <w:r w:rsidRPr="00FD6025">
        <w:rPr>
          <w:rFonts w:ascii="Garamond" w:hAnsi="Garamond"/>
          <w:b/>
          <w:bCs/>
          <w:sz w:val="22"/>
          <w:szCs w:val="22"/>
        </w:rPr>
        <w:t>Decision (in English)</w:t>
      </w:r>
    </w:p>
    <w:p w14:paraId="40FBC5D8" w14:textId="25523E21" w:rsidR="00FD6025" w:rsidRDefault="00F24A19" w:rsidP="00BB2804">
      <w:pPr>
        <w:pStyle w:val="ListParagraph"/>
        <w:spacing w:line="276" w:lineRule="auto"/>
        <w:ind w:left="360"/>
        <w:jc w:val="both"/>
        <w:rPr>
          <w:rFonts w:ascii="Garamond" w:hAnsi="Garamond"/>
          <w:sz w:val="22"/>
          <w:szCs w:val="22"/>
        </w:rPr>
      </w:pPr>
      <w:hyperlink r:id="rId14" w:history="1">
        <w:r w:rsidR="00FD6025" w:rsidRPr="00437D60">
          <w:rPr>
            <w:rStyle w:val="Hyperlink"/>
            <w:rFonts w:ascii="Garamond" w:hAnsi="Garamond"/>
            <w:sz w:val="22"/>
            <w:szCs w:val="22"/>
          </w:rPr>
          <w:t>https://www.oversightboard.com/decision/FB-CZHY85JC/</w:t>
        </w:r>
      </w:hyperlink>
    </w:p>
    <w:p w14:paraId="4D9A7AF3" w14:textId="77777777" w:rsidR="00FD6025" w:rsidRDefault="00FD6025" w:rsidP="00BB2804">
      <w:pPr>
        <w:pStyle w:val="ListParagraph"/>
        <w:spacing w:line="276" w:lineRule="auto"/>
        <w:ind w:left="360"/>
        <w:jc w:val="both"/>
        <w:rPr>
          <w:rFonts w:ascii="Garamond" w:hAnsi="Garamond"/>
          <w:sz w:val="22"/>
          <w:szCs w:val="22"/>
        </w:rPr>
      </w:pPr>
    </w:p>
    <w:p w14:paraId="3A6BA9F9" w14:textId="37DBFFA2" w:rsidR="00FD6025" w:rsidRDefault="00FD6025" w:rsidP="00FD6025">
      <w:pPr>
        <w:pStyle w:val="ListParagraph"/>
        <w:numPr>
          <w:ilvl w:val="0"/>
          <w:numId w:val="13"/>
        </w:numPr>
        <w:spacing w:line="276" w:lineRule="auto"/>
        <w:jc w:val="both"/>
        <w:rPr>
          <w:rFonts w:ascii="Garamond" w:hAnsi="Garamond"/>
          <w:b/>
          <w:bCs/>
          <w:sz w:val="22"/>
          <w:szCs w:val="22"/>
        </w:rPr>
      </w:pPr>
      <w:r w:rsidRPr="00FD6025">
        <w:rPr>
          <w:rFonts w:ascii="Garamond" w:hAnsi="Garamond"/>
          <w:b/>
          <w:bCs/>
          <w:sz w:val="22"/>
          <w:szCs w:val="22"/>
        </w:rPr>
        <w:t>Press Release issued by The Oversight Board (in English)</w:t>
      </w:r>
    </w:p>
    <w:p w14:paraId="0DEAB89B" w14:textId="352CB42D" w:rsidR="00FD6025" w:rsidRDefault="00F24A19" w:rsidP="00FD6025">
      <w:pPr>
        <w:pStyle w:val="ListParagraph"/>
        <w:spacing w:line="276" w:lineRule="auto"/>
        <w:jc w:val="both"/>
        <w:rPr>
          <w:rFonts w:ascii="Garamond" w:hAnsi="Garamond"/>
          <w:sz w:val="22"/>
          <w:szCs w:val="22"/>
        </w:rPr>
      </w:pPr>
      <w:hyperlink r:id="rId15" w:history="1">
        <w:r w:rsidR="00FB13CC" w:rsidRPr="00437D60">
          <w:rPr>
            <w:rStyle w:val="Hyperlink"/>
            <w:rFonts w:ascii="Garamond" w:hAnsi="Garamond"/>
            <w:sz w:val="22"/>
            <w:szCs w:val="22"/>
          </w:rPr>
          <w:t>https://www.oversightboard.com/news/539069631694711-oversight-board-announces-two-new-cases-and-upholds-meta-s-decision-in-the-sri-lanka-pharmaceuticals-case/</w:t>
        </w:r>
      </w:hyperlink>
      <w:r w:rsidR="00FB13CC">
        <w:rPr>
          <w:rFonts w:ascii="Garamond" w:hAnsi="Garamond"/>
          <w:sz w:val="22"/>
          <w:szCs w:val="22"/>
        </w:rPr>
        <w:t xml:space="preserve"> </w:t>
      </w:r>
    </w:p>
    <w:p w14:paraId="00B8C21E" w14:textId="77777777" w:rsidR="00FD6025" w:rsidRDefault="00FD6025" w:rsidP="00FD6025">
      <w:pPr>
        <w:pStyle w:val="ListParagraph"/>
        <w:spacing w:line="276" w:lineRule="auto"/>
        <w:jc w:val="both"/>
        <w:rPr>
          <w:rFonts w:ascii="Garamond" w:hAnsi="Garamond"/>
          <w:sz w:val="22"/>
          <w:szCs w:val="22"/>
        </w:rPr>
      </w:pPr>
    </w:p>
    <w:p w14:paraId="4AFBA807" w14:textId="77777777" w:rsidR="00FD6025" w:rsidRPr="00FD6025" w:rsidRDefault="00FD6025" w:rsidP="00FD6025">
      <w:pPr>
        <w:pStyle w:val="ListParagraph"/>
        <w:spacing w:line="276" w:lineRule="auto"/>
        <w:jc w:val="both"/>
        <w:rPr>
          <w:rFonts w:ascii="Garamond" w:hAnsi="Garamond"/>
          <w:sz w:val="22"/>
          <w:szCs w:val="22"/>
        </w:rPr>
      </w:pP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1C1B2ACA" w14:textId="77777777" w:rsidR="00BB2804" w:rsidRDefault="00BB2804" w:rsidP="00BB2804">
      <w:pPr>
        <w:pStyle w:val="ListParagraph"/>
        <w:spacing w:line="276" w:lineRule="auto"/>
        <w:ind w:left="360"/>
        <w:jc w:val="both"/>
        <w:rPr>
          <w:rFonts w:ascii="Garamond" w:hAnsi="Garamond"/>
          <w:sz w:val="22"/>
          <w:szCs w:val="22"/>
        </w:rPr>
      </w:pPr>
    </w:p>
    <w:p w14:paraId="03CD95B6" w14:textId="11C498AE" w:rsidR="00FD6025" w:rsidRDefault="00FD6025" w:rsidP="00FD6025">
      <w:pPr>
        <w:pStyle w:val="ListParagraph"/>
        <w:numPr>
          <w:ilvl w:val="0"/>
          <w:numId w:val="13"/>
        </w:numPr>
        <w:spacing w:line="276" w:lineRule="auto"/>
        <w:jc w:val="both"/>
        <w:rPr>
          <w:rFonts w:ascii="Garamond" w:hAnsi="Garamond"/>
          <w:b/>
          <w:bCs/>
          <w:sz w:val="22"/>
          <w:szCs w:val="22"/>
        </w:rPr>
      </w:pPr>
      <w:r w:rsidRPr="00FD6025">
        <w:rPr>
          <w:rFonts w:ascii="Garamond" w:hAnsi="Garamond"/>
          <w:b/>
          <w:bCs/>
          <w:sz w:val="22"/>
          <w:szCs w:val="22"/>
        </w:rPr>
        <w:t>Public Comments</w:t>
      </w:r>
    </w:p>
    <w:p w14:paraId="3E2205A8" w14:textId="66321A54" w:rsidR="00FD6025" w:rsidRDefault="00F24A19" w:rsidP="00FD6025">
      <w:pPr>
        <w:pStyle w:val="ListParagraph"/>
        <w:spacing w:line="276" w:lineRule="auto"/>
        <w:jc w:val="both"/>
        <w:rPr>
          <w:rFonts w:ascii="Garamond" w:hAnsi="Garamond"/>
          <w:sz w:val="22"/>
          <w:szCs w:val="22"/>
        </w:rPr>
      </w:pPr>
      <w:hyperlink r:id="rId16" w:history="1">
        <w:r w:rsidR="00FD6025" w:rsidRPr="00437D60">
          <w:rPr>
            <w:rStyle w:val="Hyperlink"/>
            <w:rFonts w:ascii="Garamond" w:hAnsi="Garamond"/>
            <w:sz w:val="22"/>
            <w:szCs w:val="22"/>
          </w:rPr>
          <w:t>https://oversightboard.com/attachment/900959357714070/</w:t>
        </w:r>
      </w:hyperlink>
    </w:p>
    <w:p w14:paraId="023F4FF5" w14:textId="77777777" w:rsidR="00FD6025" w:rsidRDefault="00FD6025" w:rsidP="00FD6025">
      <w:pPr>
        <w:pStyle w:val="ListParagraph"/>
        <w:spacing w:line="276" w:lineRule="auto"/>
        <w:jc w:val="both"/>
        <w:rPr>
          <w:rFonts w:ascii="Garamond" w:hAnsi="Garamond"/>
          <w:sz w:val="22"/>
          <w:szCs w:val="22"/>
        </w:rPr>
      </w:pPr>
    </w:p>
    <w:p w14:paraId="2B28FF21" w14:textId="77777777" w:rsidR="00FD6025" w:rsidRPr="00FD6025" w:rsidRDefault="00FD6025" w:rsidP="00FD6025">
      <w:pPr>
        <w:pStyle w:val="ListParagraph"/>
        <w:spacing w:line="276" w:lineRule="auto"/>
        <w:jc w:val="both"/>
        <w:rPr>
          <w:rFonts w:ascii="Garamond" w:hAnsi="Garamond"/>
          <w:sz w:val="22"/>
          <w:szCs w:val="22"/>
        </w:rPr>
      </w:pPr>
    </w:p>
    <w:p w14:paraId="577E387D" w14:textId="77777777" w:rsidR="00C35AA4" w:rsidRDefault="00C35AA4"/>
    <w:sectPr w:rsidR="00C35AA4" w:rsidSect="00936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084CC0"/>
    <w:multiLevelType w:val="hybridMultilevel"/>
    <w:tmpl w:val="0F7447CA"/>
    <w:lvl w:ilvl="0" w:tplc="03BA367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nsid w:val="18970D30"/>
    <w:multiLevelType w:val="hybridMultilevel"/>
    <w:tmpl w:val="9590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835F9B"/>
    <w:multiLevelType w:val="hybridMultilevel"/>
    <w:tmpl w:val="774062E8"/>
    <w:lvl w:ilvl="0" w:tplc="065083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D112EF4"/>
    <w:multiLevelType w:val="hybridMultilevel"/>
    <w:tmpl w:val="14926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A116A5"/>
    <w:multiLevelType w:val="hybridMultilevel"/>
    <w:tmpl w:val="9EC6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8"/>
  </w:num>
  <w:num w:numId="6">
    <w:abstractNumId w:val="11"/>
  </w:num>
  <w:num w:numId="7">
    <w:abstractNumId w:val="6"/>
  </w:num>
  <w:num w:numId="8">
    <w:abstractNumId w:val="2"/>
  </w:num>
  <w:num w:numId="9">
    <w:abstractNumId w:val="10"/>
  </w:num>
  <w:num w:numId="10">
    <w:abstractNumId w:val="5"/>
  </w:num>
  <w:num w:numId="11">
    <w:abstractNumId w:val="1"/>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e1MLGwMDE3NjM2NjBQ0lEKTi0uzszPAykwqgUALIapYiwAAAA="/>
  </w:docVars>
  <w:rsids>
    <w:rsidRoot w:val="00BB2804"/>
    <w:rsid w:val="0000154B"/>
    <w:rsid w:val="00002978"/>
    <w:rsid w:val="0000359C"/>
    <w:rsid w:val="000047BA"/>
    <w:rsid w:val="00005D81"/>
    <w:rsid w:val="00022513"/>
    <w:rsid w:val="00030EB8"/>
    <w:rsid w:val="0003559C"/>
    <w:rsid w:val="00035C43"/>
    <w:rsid w:val="00060FBC"/>
    <w:rsid w:val="00061C55"/>
    <w:rsid w:val="00065519"/>
    <w:rsid w:val="00065F2C"/>
    <w:rsid w:val="00071036"/>
    <w:rsid w:val="00073F66"/>
    <w:rsid w:val="00074D3D"/>
    <w:rsid w:val="00080D1E"/>
    <w:rsid w:val="000833D5"/>
    <w:rsid w:val="000964E6"/>
    <w:rsid w:val="000A0596"/>
    <w:rsid w:val="000A50A1"/>
    <w:rsid w:val="000A5E2D"/>
    <w:rsid w:val="000A7410"/>
    <w:rsid w:val="000C0300"/>
    <w:rsid w:val="000C1EDA"/>
    <w:rsid w:val="000C3530"/>
    <w:rsid w:val="000D31D2"/>
    <w:rsid w:val="000D72A8"/>
    <w:rsid w:val="000E729A"/>
    <w:rsid w:val="0011450B"/>
    <w:rsid w:val="00141196"/>
    <w:rsid w:val="00144E0C"/>
    <w:rsid w:val="00153CD8"/>
    <w:rsid w:val="00154C52"/>
    <w:rsid w:val="00156AEC"/>
    <w:rsid w:val="001650DC"/>
    <w:rsid w:val="001657F8"/>
    <w:rsid w:val="00176CCA"/>
    <w:rsid w:val="00181333"/>
    <w:rsid w:val="001A2EAE"/>
    <w:rsid w:val="001A31DB"/>
    <w:rsid w:val="001C3575"/>
    <w:rsid w:val="001C58B7"/>
    <w:rsid w:val="001C6655"/>
    <w:rsid w:val="001D2CAF"/>
    <w:rsid w:val="001E0E1C"/>
    <w:rsid w:val="001E4D3A"/>
    <w:rsid w:val="001F2A39"/>
    <w:rsid w:val="001F4DBE"/>
    <w:rsid w:val="00203474"/>
    <w:rsid w:val="00204CF3"/>
    <w:rsid w:val="00204E90"/>
    <w:rsid w:val="002132BB"/>
    <w:rsid w:val="00213E27"/>
    <w:rsid w:val="002168F9"/>
    <w:rsid w:val="00226488"/>
    <w:rsid w:val="00233076"/>
    <w:rsid w:val="002560B1"/>
    <w:rsid w:val="00261E48"/>
    <w:rsid w:val="0027019F"/>
    <w:rsid w:val="00272504"/>
    <w:rsid w:val="0027612A"/>
    <w:rsid w:val="00276D37"/>
    <w:rsid w:val="00277E65"/>
    <w:rsid w:val="00281F90"/>
    <w:rsid w:val="00283958"/>
    <w:rsid w:val="00284E3E"/>
    <w:rsid w:val="00290012"/>
    <w:rsid w:val="0029093B"/>
    <w:rsid w:val="00293AC4"/>
    <w:rsid w:val="00293B37"/>
    <w:rsid w:val="0029421B"/>
    <w:rsid w:val="0029491E"/>
    <w:rsid w:val="002A4EC8"/>
    <w:rsid w:val="002B07E6"/>
    <w:rsid w:val="002B274C"/>
    <w:rsid w:val="002C1676"/>
    <w:rsid w:val="002E1E37"/>
    <w:rsid w:val="002F4414"/>
    <w:rsid w:val="002F4A5E"/>
    <w:rsid w:val="00303E85"/>
    <w:rsid w:val="003131E0"/>
    <w:rsid w:val="00315976"/>
    <w:rsid w:val="00316D50"/>
    <w:rsid w:val="00320364"/>
    <w:rsid w:val="00330BF5"/>
    <w:rsid w:val="003357F3"/>
    <w:rsid w:val="00337DE0"/>
    <w:rsid w:val="00347B3D"/>
    <w:rsid w:val="0035234D"/>
    <w:rsid w:val="00352947"/>
    <w:rsid w:val="003548C7"/>
    <w:rsid w:val="003623ED"/>
    <w:rsid w:val="003637D3"/>
    <w:rsid w:val="003645D2"/>
    <w:rsid w:val="003668DD"/>
    <w:rsid w:val="003719FC"/>
    <w:rsid w:val="00382D2E"/>
    <w:rsid w:val="00391205"/>
    <w:rsid w:val="00391C87"/>
    <w:rsid w:val="00393D54"/>
    <w:rsid w:val="003A1934"/>
    <w:rsid w:val="003A3DFD"/>
    <w:rsid w:val="003A48B5"/>
    <w:rsid w:val="003B35E6"/>
    <w:rsid w:val="003D040E"/>
    <w:rsid w:val="003D1810"/>
    <w:rsid w:val="003D4308"/>
    <w:rsid w:val="003E37DB"/>
    <w:rsid w:val="003F53A4"/>
    <w:rsid w:val="0040049B"/>
    <w:rsid w:val="004043BB"/>
    <w:rsid w:val="00420273"/>
    <w:rsid w:val="00431C3B"/>
    <w:rsid w:val="0043475D"/>
    <w:rsid w:val="004353BC"/>
    <w:rsid w:val="00436F94"/>
    <w:rsid w:val="0045189F"/>
    <w:rsid w:val="004534F6"/>
    <w:rsid w:val="00456B21"/>
    <w:rsid w:val="00457776"/>
    <w:rsid w:val="00463D53"/>
    <w:rsid w:val="00465F45"/>
    <w:rsid w:val="00466503"/>
    <w:rsid w:val="00466F1E"/>
    <w:rsid w:val="00486CF7"/>
    <w:rsid w:val="004A1BDF"/>
    <w:rsid w:val="004A7672"/>
    <w:rsid w:val="004B4166"/>
    <w:rsid w:val="004B4C61"/>
    <w:rsid w:val="004B7563"/>
    <w:rsid w:val="004C0014"/>
    <w:rsid w:val="004E43CC"/>
    <w:rsid w:val="004F7BF2"/>
    <w:rsid w:val="00501621"/>
    <w:rsid w:val="00502558"/>
    <w:rsid w:val="0050392C"/>
    <w:rsid w:val="005115F0"/>
    <w:rsid w:val="00512890"/>
    <w:rsid w:val="005247F0"/>
    <w:rsid w:val="00527B86"/>
    <w:rsid w:val="005463E0"/>
    <w:rsid w:val="0055359D"/>
    <w:rsid w:val="00557BD4"/>
    <w:rsid w:val="00566306"/>
    <w:rsid w:val="005729B3"/>
    <w:rsid w:val="00577A00"/>
    <w:rsid w:val="005812CC"/>
    <w:rsid w:val="0058511F"/>
    <w:rsid w:val="00590F4B"/>
    <w:rsid w:val="00592B60"/>
    <w:rsid w:val="005A0AE7"/>
    <w:rsid w:val="005A35E0"/>
    <w:rsid w:val="005A5A4A"/>
    <w:rsid w:val="005C2737"/>
    <w:rsid w:val="005C7A1B"/>
    <w:rsid w:val="005D74AE"/>
    <w:rsid w:val="005E02B8"/>
    <w:rsid w:val="005F1627"/>
    <w:rsid w:val="00602515"/>
    <w:rsid w:val="00611011"/>
    <w:rsid w:val="00620CF2"/>
    <w:rsid w:val="006330E4"/>
    <w:rsid w:val="00633C98"/>
    <w:rsid w:val="00634034"/>
    <w:rsid w:val="00634BC1"/>
    <w:rsid w:val="006408C1"/>
    <w:rsid w:val="00650F51"/>
    <w:rsid w:val="00657C10"/>
    <w:rsid w:val="00657F02"/>
    <w:rsid w:val="00670E19"/>
    <w:rsid w:val="0067278E"/>
    <w:rsid w:val="006728AB"/>
    <w:rsid w:val="00677A4F"/>
    <w:rsid w:val="00684B25"/>
    <w:rsid w:val="00694086"/>
    <w:rsid w:val="00695C9C"/>
    <w:rsid w:val="006B0349"/>
    <w:rsid w:val="006B0A1D"/>
    <w:rsid w:val="006B338A"/>
    <w:rsid w:val="006B5D5E"/>
    <w:rsid w:val="006B6407"/>
    <w:rsid w:val="006C6D8A"/>
    <w:rsid w:val="006C7838"/>
    <w:rsid w:val="006E24C0"/>
    <w:rsid w:val="006F332B"/>
    <w:rsid w:val="007030C7"/>
    <w:rsid w:val="0070697E"/>
    <w:rsid w:val="00713375"/>
    <w:rsid w:val="00716DEE"/>
    <w:rsid w:val="0072014F"/>
    <w:rsid w:val="00720AED"/>
    <w:rsid w:val="00737288"/>
    <w:rsid w:val="0073762C"/>
    <w:rsid w:val="00743D1C"/>
    <w:rsid w:val="00747125"/>
    <w:rsid w:val="00752DEE"/>
    <w:rsid w:val="00764F98"/>
    <w:rsid w:val="00765864"/>
    <w:rsid w:val="0076783F"/>
    <w:rsid w:val="00773BA7"/>
    <w:rsid w:val="00773C17"/>
    <w:rsid w:val="007750F3"/>
    <w:rsid w:val="00775F8B"/>
    <w:rsid w:val="007904D4"/>
    <w:rsid w:val="007929BA"/>
    <w:rsid w:val="007A2093"/>
    <w:rsid w:val="007A4ACA"/>
    <w:rsid w:val="007A64D7"/>
    <w:rsid w:val="007A6790"/>
    <w:rsid w:val="007B2E1E"/>
    <w:rsid w:val="007B49C1"/>
    <w:rsid w:val="007E1185"/>
    <w:rsid w:val="007E6085"/>
    <w:rsid w:val="007F71A5"/>
    <w:rsid w:val="00802B46"/>
    <w:rsid w:val="0080484C"/>
    <w:rsid w:val="00807461"/>
    <w:rsid w:val="0081345B"/>
    <w:rsid w:val="00815BEA"/>
    <w:rsid w:val="00825720"/>
    <w:rsid w:val="00835092"/>
    <w:rsid w:val="00836DCE"/>
    <w:rsid w:val="00841510"/>
    <w:rsid w:val="008427D0"/>
    <w:rsid w:val="00850254"/>
    <w:rsid w:val="00855A22"/>
    <w:rsid w:val="00856E66"/>
    <w:rsid w:val="00895437"/>
    <w:rsid w:val="00896BA9"/>
    <w:rsid w:val="008B75EF"/>
    <w:rsid w:val="008D2D3A"/>
    <w:rsid w:val="008D7484"/>
    <w:rsid w:val="008E2A34"/>
    <w:rsid w:val="008E3672"/>
    <w:rsid w:val="008E72E0"/>
    <w:rsid w:val="008F12DD"/>
    <w:rsid w:val="008F2738"/>
    <w:rsid w:val="008F47AE"/>
    <w:rsid w:val="009223B6"/>
    <w:rsid w:val="00931F43"/>
    <w:rsid w:val="00932A59"/>
    <w:rsid w:val="00936DC8"/>
    <w:rsid w:val="00940621"/>
    <w:rsid w:val="009410BF"/>
    <w:rsid w:val="009417D1"/>
    <w:rsid w:val="009447D6"/>
    <w:rsid w:val="00956337"/>
    <w:rsid w:val="00956F5D"/>
    <w:rsid w:val="009672E6"/>
    <w:rsid w:val="00970093"/>
    <w:rsid w:val="009728E2"/>
    <w:rsid w:val="009749C7"/>
    <w:rsid w:val="009771B5"/>
    <w:rsid w:val="00980A87"/>
    <w:rsid w:val="009812DC"/>
    <w:rsid w:val="00982334"/>
    <w:rsid w:val="00992D0C"/>
    <w:rsid w:val="0099379F"/>
    <w:rsid w:val="009B0F0A"/>
    <w:rsid w:val="009B6335"/>
    <w:rsid w:val="009C55CB"/>
    <w:rsid w:val="009D2399"/>
    <w:rsid w:val="009E0F9D"/>
    <w:rsid w:val="009F2E26"/>
    <w:rsid w:val="009F37CB"/>
    <w:rsid w:val="009F3B95"/>
    <w:rsid w:val="009F6322"/>
    <w:rsid w:val="00A028CD"/>
    <w:rsid w:val="00A035F1"/>
    <w:rsid w:val="00A041DE"/>
    <w:rsid w:val="00A105AC"/>
    <w:rsid w:val="00A12238"/>
    <w:rsid w:val="00A17622"/>
    <w:rsid w:val="00A31AF3"/>
    <w:rsid w:val="00A6296C"/>
    <w:rsid w:val="00A64FA4"/>
    <w:rsid w:val="00A676C2"/>
    <w:rsid w:val="00A71789"/>
    <w:rsid w:val="00A777D1"/>
    <w:rsid w:val="00A81B37"/>
    <w:rsid w:val="00A8387B"/>
    <w:rsid w:val="00AA0C0E"/>
    <w:rsid w:val="00AA2220"/>
    <w:rsid w:val="00AA495D"/>
    <w:rsid w:val="00AA5060"/>
    <w:rsid w:val="00AB29C4"/>
    <w:rsid w:val="00AE0D4E"/>
    <w:rsid w:val="00AE3130"/>
    <w:rsid w:val="00AE4079"/>
    <w:rsid w:val="00AE5C22"/>
    <w:rsid w:val="00AF61DD"/>
    <w:rsid w:val="00AF6D94"/>
    <w:rsid w:val="00B078E9"/>
    <w:rsid w:val="00B11702"/>
    <w:rsid w:val="00B136F6"/>
    <w:rsid w:val="00B177B5"/>
    <w:rsid w:val="00B21A9B"/>
    <w:rsid w:val="00B260B4"/>
    <w:rsid w:val="00B5199B"/>
    <w:rsid w:val="00B621FF"/>
    <w:rsid w:val="00B708E7"/>
    <w:rsid w:val="00B70F60"/>
    <w:rsid w:val="00B76931"/>
    <w:rsid w:val="00B82CB8"/>
    <w:rsid w:val="00B907CE"/>
    <w:rsid w:val="00B94368"/>
    <w:rsid w:val="00BA1F3D"/>
    <w:rsid w:val="00BA4C8A"/>
    <w:rsid w:val="00BA7716"/>
    <w:rsid w:val="00BA7874"/>
    <w:rsid w:val="00BB2804"/>
    <w:rsid w:val="00BC1EFF"/>
    <w:rsid w:val="00BC790E"/>
    <w:rsid w:val="00BD6835"/>
    <w:rsid w:val="00BD6BB4"/>
    <w:rsid w:val="00BD7FAA"/>
    <w:rsid w:val="00BE5C1A"/>
    <w:rsid w:val="00BF23DD"/>
    <w:rsid w:val="00BF243D"/>
    <w:rsid w:val="00C00B36"/>
    <w:rsid w:val="00C06C73"/>
    <w:rsid w:val="00C06FBA"/>
    <w:rsid w:val="00C14ACA"/>
    <w:rsid w:val="00C21E7B"/>
    <w:rsid w:val="00C32C62"/>
    <w:rsid w:val="00C35AA4"/>
    <w:rsid w:val="00C3722A"/>
    <w:rsid w:val="00C42519"/>
    <w:rsid w:val="00C455A2"/>
    <w:rsid w:val="00C50B66"/>
    <w:rsid w:val="00C70719"/>
    <w:rsid w:val="00C711C1"/>
    <w:rsid w:val="00C71A4F"/>
    <w:rsid w:val="00C8712D"/>
    <w:rsid w:val="00C96D18"/>
    <w:rsid w:val="00CA06DB"/>
    <w:rsid w:val="00CD2DD6"/>
    <w:rsid w:val="00CF0B3B"/>
    <w:rsid w:val="00CF6D58"/>
    <w:rsid w:val="00D00061"/>
    <w:rsid w:val="00D13FDB"/>
    <w:rsid w:val="00D14905"/>
    <w:rsid w:val="00D30000"/>
    <w:rsid w:val="00D36B0B"/>
    <w:rsid w:val="00D46357"/>
    <w:rsid w:val="00D46BCF"/>
    <w:rsid w:val="00D678DA"/>
    <w:rsid w:val="00D760D3"/>
    <w:rsid w:val="00D82DB0"/>
    <w:rsid w:val="00D86804"/>
    <w:rsid w:val="00D9198B"/>
    <w:rsid w:val="00DA459F"/>
    <w:rsid w:val="00DC1A95"/>
    <w:rsid w:val="00DC6899"/>
    <w:rsid w:val="00DD38F7"/>
    <w:rsid w:val="00E03B60"/>
    <w:rsid w:val="00E148AA"/>
    <w:rsid w:val="00E246E8"/>
    <w:rsid w:val="00E24E8D"/>
    <w:rsid w:val="00E34B5B"/>
    <w:rsid w:val="00E34C99"/>
    <w:rsid w:val="00E37BBC"/>
    <w:rsid w:val="00E37F9A"/>
    <w:rsid w:val="00E41D52"/>
    <w:rsid w:val="00E45C18"/>
    <w:rsid w:val="00E5007D"/>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29BC"/>
    <w:rsid w:val="00F13F07"/>
    <w:rsid w:val="00F24A19"/>
    <w:rsid w:val="00F24C22"/>
    <w:rsid w:val="00F24FD4"/>
    <w:rsid w:val="00F257CA"/>
    <w:rsid w:val="00F266D0"/>
    <w:rsid w:val="00F304E9"/>
    <w:rsid w:val="00F4036A"/>
    <w:rsid w:val="00F45325"/>
    <w:rsid w:val="00F54349"/>
    <w:rsid w:val="00F54FE9"/>
    <w:rsid w:val="00F67803"/>
    <w:rsid w:val="00F7145D"/>
    <w:rsid w:val="00F766D8"/>
    <w:rsid w:val="00F86AB9"/>
    <w:rsid w:val="00FA42AF"/>
    <w:rsid w:val="00FB13CC"/>
    <w:rsid w:val="00FB7E0F"/>
    <w:rsid w:val="00FC172F"/>
    <w:rsid w:val="00FC2217"/>
    <w:rsid w:val="00FD0540"/>
    <w:rsid w:val="00FD1C8E"/>
    <w:rsid w:val="00FD3F26"/>
    <w:rsid w:val="00FD6025"/>
    <w:rsid w:val="00FD7FD8"/>
    <w:rsid w:val="00FE6BE5"/>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customStyle="1"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customStyle="1"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undocs.org%2FHome%2FMobile%3FFinalSymbol%3DA%252FHRC%252F38%252F35%26Language%3DE%26DeviceType%3DDesktop&amp;h=AT1zWt2Ilsu0QinX7LGoKMbaIv4zzkjOvKqyGAnbMskjAOMJh61mx6umzBmIYfa7Vi5r2yWuemsnMHzIZU50u46lBtoJxdatcx8-OvzSP0enrP1QEcR_bPEjYpo" TargetMode="External"/><Relationship Id="rId13" Type="http://schemas.openxmlformats.org/officeDocument/2006/relationships/hyperlink" Target="https://www.oversightboard.com/decision/FB-691QAMH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facebook.com/l.php?u=https%3A%2F%2Fwww2.ohchr.org%2Fenglish%2Fbodies%2Fhrc%2Fdocs%2Fgc34.pdf&amp;h=AT3fP7KsK5mgnXy53KASuTY1DtDMv0zKDgZA-kj0AjO8cXjKQCJ31HVPCOxsZ2si_7RqraxS-10JQI48sLSdwppOydU-DxiFWGzIQwfpXxygrND27Ai44OzcBok" TargetMode="External"/><Relationship Id="rId12" Type="http://schemas.openxmlformats.org/officeDocument/2006/relationships/hyperlink" Target="https://www.oversightboard.com/decision/FB-E5M6QZG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versightboard.com/attachment/900959357714070/" TargetMode="External"/><Relationship Id="rId1" Type="http://schemas.openxmlformats.org/officeDocument/2006/relationships/numbering" Target="numbering.xml"/><Relationship Id="rId6" Type="http://schemas.openxmlformats.org/officeDocument/2006/relationships/hyperlink" Target="https://globalfreedomofexpression.columbia.edu/cases/oversight-board-case-of-colombian-protests/" TargetMode="External"/><Relationship Id="rId11" Type="http://schemas.openxmlformats.org/officeDocument/2006/relationships/hyperlink" Target="https://www.oversightboard.com/decision/FB-ZT6AJS4X/" TargetMode="External"/><Relationship Id="rId5" Type="http://schemas.openxmlformats.org/officeDocument/2006/relationships/webSettings" Target="webSettings.xml"/><Relationship Id="rId15" Type="http://schemas.openxmlformats.org/officeDocument/2006/relationships/hyperlink" Target="https://www.oversightboard.com/news/539069631694711-oversight-board-announces-two-new-cases-and-upholds-meta-s-decision-in-the-sri-lanka-pharmaceuticals-case/" TargetMode="External"/><Relationship Id="rId10" Type="http://schemas.openxmlformats.org/officeDocument/2006/relationships/hyperlink" Target="https://l.facebook.com/l.php?u=https%3A%2F%2Fdigitallibrary.un.org%2Frecord%2F425041%3Fln%3Den&amp;h=AT2RCrtFWyOS0BtZI1CBTFtMtNy1akfC7KQTe9pCDsfmOgEUtN0guvU_93-tR-5e7CIWIKFmXf4Y_SNb0H8-Un1m5u0NAR7hWtFw-GGMdYRcMfr_SLfwb1-IkB0" TargetMode="External"/><Relationship Id="rId4" Type="http://schemas.openxmlformats.org/officeDocument/2006/relationships/settings" Target="settings.xml"/><Relationship Id="rId9" Type="http://schemas.openxmlformats.org/officeDocument/2006/relationships/hyperlink" Target="https://l.facebook.com/l.php?u=https%3A%2F%2Fundocs.org%2FHome%2FMobile%3FFinalSymbol%3DA%252F74%252F486%26Language%3DE%26DeviceType%3DDesktop&amp;h=AT0vqyhKWkiCK48WGfRX6L219QGlY-tyThTHfzmZomNzna9b6MU7F28GGtgQHghcbIJTVPLxNoHZdNhCRZna6oxOt8axRLRZy3jojP4hncmeBThyU_krRt5lZpg" TargetMode="External"/><Relationship Id="rId14" Type="http://schemas.openxmlformats.org/officeDocument/2006/relationships/hyperlink" Target="https://www.oversightboard.com/decision/FB-CZHY85J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Sanghi</dc:creator>
  <cp:lastModifiedBy>source</cp:lastModifiedBy>
  <cp:revision>4</cp:revision>
  <cp:lastPrinted>2023-12-20T23:20:00Z</cp:lastPrinted>
  <dcterms:created xsi:type="dcterms:W3CDTF">2023-12-20T22:58:00Z</dcterms:created>
  <dcterms:modified xsi:type="dcterms:W3CDTF">2023-12-20T23:20:00Z</dcterms:modified>
</cp:coreProperties>
</file>