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F5A1C" w14:textId="31C1F3A8" w:rsidR="00351041" w:rsidRPr="004343DC" w:rsidRDefault="0025591B" w:rsidP="00351041">
      <w:pPr>
        <w:shd w:val="clear" w:color="auto" w:fill="8EAADB" w:themeFill="accent1" w:themeFillTint="99"/>
        <w:spacing w:line="276" w:lineRule="auto"/>
        <w:jc w:val="center"/>
        <w:rPr>
          <w:b/>
          <w:bCs/>
          <w:color w:val="000000" w:themeColor="text1"/>
          <w:sz w:val="22"/>
          <w:szCs w:val="22"/>
          <w:lang w:val="en-US"/>
        </w:rPr>
      </w:pPr>
      <w:r>
        <w:rPr>
          <w:b/>
          <w:bCs/>
          <w:i/>
          <w:iCs/>
          <w:color w:val="000000" w:themeColor="text1"/>
          <w:sz w:val="22"/>
          <w:szCs w:val="22"/>
          <w:lang w:val="en-US"/>
        </w:rPr>
        <w:t>Case of Sergey Sorokin v Russia</w:t>
      </w:r>
      <w:r w:rsidR="00351041" w:rsidRPr="004343DC">
        <w:rPr>
          <w:b/>
          <w:bCs/>
          <w:color w:val="000000" w:themeColor="text1"/>
          <w:sz w:val="22"/>
          <w:szCs w:val="22"/>
          <w:lang w:val="en-US"/>
        </w:rPr>
        <w:t>) | Columbia Global Freedom of Expression</w:t>
      </w:r>
    </w:p>
    <w:p w14:paraId="43950FDD" w14:textId="77777777" w:rsidR="00351041" w:rsidRPr="004343DC" w:rsidRDefault="00351041" w:rsidP="00351041">
      <w:pPr>
        <w:spacing w:line="276" w:lineRule="auto"/>
        <w:jc w:val="center"/>
        <w:rPr>
          <w:color w:val="000000" w:themeColor="text1"/>
          <w:sz w:val="22"/>
          <w:szCs w:val="22"/>
          <w:lang w:val="en-US"/>
        </w:rPr>
      </w:pPr>
    </w:p>
    <w:p w14:paraId="488E723E" w14:textId="77777777" w:rsidR="00351041" w:rsidRPr="004343DC" w:rsidRDefault="00351041" w:rsidP="00351041">
      <w:pPr>
        <w:spacing w:line="276" w:lineRule="auto"/>
        <w:jc w:val="both"/>
        <w:rPr>
          <w:b/>
          <w:bCs/>
          <w:color w:val="000000" w:themeColor="text1"/>
          <w:sz w:val="22"/>
          <w:szCs w:val="22"/>
          <w:lang w:val="en-US"/>
        </w:rPr>
      </w:pPr>
      <w:r w:rsidRPr="004343DC">
        <w:rPr>
          <w:b/>
          <w:bCs/>
          <w:i/>
          <w:iCs/>
          <w:color w:val="000000" w:themeColor="text1"/>
          <w:sz w:val="22"/>
          <w:szCs w:val="22"/>
          <w:u w:val="single"/>
          <w:lang w:val="en-US"/>
        </w:rPr>
        <w:t>Meta-Data</w:t>
      </w:r>
      <w:r w:rsidRPr="004343DC">
        <w:rPr>
          <w:b/>
          <w:bCs/>
          <w:color w:val="000000" w:themeColor="text1"/>
          <w:sz w:val="22"/>
          <w:szCs w:val="22"/>
          <w:lang w:val="en-US"/>
        </w:rPr>
        <w:t xml:space="preserve">: </w:t>
      </w:r>
    </w:p>
    <w:p w14:paraId="1BC19003" w14:textId="39706F6C" w:rsidR="00351041" w:rsidRPr="004343DC" w:rsidRDefault="00351041" w:rsidP="0025591B">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Case Number</w:t>
      </w:r>
      <w:r w:rsidRPr="004343DC">
        <w:rPr>
          <w:color w:val="000000" w:themeColor="text1"/>
          <w:sz w:val="22"/>
          <w:szCs w:val="22"/>
          <w:lang w:val="en-US"/>
        </w:rPr>
        <w:t xml:space="preserve">: </w:t>
      </w:r>
      <w:r w:rsidR="0025591B" w:rsidRPr="0025591B">
        <w:rPr>
          <w:color w:val="000000" w:themeColor="text1"/>
          <w:sz w:val="22"/>
          <w:szCs w:val="22"/>
          <w:lang w:val="en-US"/>
        </w:rPr>
        <w:t>App. No. 52808/09</w:t>
      </w:r>
    </w:p>
    <w:p w14:paraId="6BBE949C" w14:textId="43CF881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Corresponding Law Reference</w:t>
      </w:r>
      <w:r w:rsidRPr="004343DC">
        <w:rPr>
          <w:color w:val="000000" w:themeColor="text1"/>
          <w:sz w:val="22"/>
          <w:szCs w:val="22"/>
          <w:lang w:val="en-US"/>
        </w:rPr>
        <w:t xml:space="preserve">: </w:t>
      </w:r>
      <w:r w:rsidR="00C60CF8" w:rsidRPr="00046D2A">
        <w:rPr>
          <w:color w:val="000000" w:themeColor="text1"/>
          <w:sz w:val="22"/>
          <w:szCs w:val="22"/>
          <w:lang w:val="en-US"/>
        </w:rPr>
        <w:t>Not found</w:t>
      </w:r>
    </w:p>
    <w:p w14:paraId="0958167E" w14:textId="6BACFFB6"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Date of decision</w:t>
      </w:r>
      <w:r w:rsidRPr="004343DC">
        <w:rPr>
          <w:color w:val="000000" w:themeColor="text1"/>
          <w:sz w:val="22"/>
          <w:szCs w:val="22"/>
          <w:lang w:val="en-US"/>
        </w:rPr>
        <w:t>:</w:t>
      </w:r>
      <w:r w:rsidR="00C60CF8">
        <w:rPr>
          <w:color w:val="000000" w:themeColor="text1"/>
          <w:sz w:val="22"/>
          <w:szCs w:val="22"/>
          <w:lang w:val="en-US"/>
        </w:rPr>
        <w:t xml:space="preserve"> August 30</w:t>
      </w:r>
      <w:r w:rsidRPr="004343DC">
        <w:rPr>
          <w:color w:val="000000" w:themeColor="text1"/>
          <w:sz w:val="22"/>
          <w:szCs w:val="22"/>
          <w:lang w:val="en-US"/>
        </w:rPr>
        <w:t>, 20</w:t>
      </w:r>
      <w:r w:rsidR="00C60CF8">
        <w:rPr>
          <w:color w:val="000000" w:themeColor="text1"/>
          <w:sz w:val="22"/>
          <w:szCs w:val="22"/>
          <w:lang w:val="en-US"/>
        </w:rPr>
        <w:t>22</w:t>
      </w:r>
      <w:r w:rsidRPr="004343DC">
        <w:rPr>
          <w:color w:val="000000" w:themeColor="text1"/>
          <w:sz w:val="22"/>
          <w:szCs w:val="22"/>
          <w:lang w:val="en-US"/>
        </w:rPr>
        <w:t xml:space="preserve"> </w:t>
      </w:r>
    </w:p>
    <w:p w14:paraId="13638FF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Featured case</w:t>
      </w:r>
      <w:r w:rsidRPr="004343DC">
        <w:rPr>
          <w:color w:val="000000" w:themeColor="text1"/>
          <w:sz w:val="22"/>
          <w:szCs w:val="22"/>
          <w:lang w:val="en-US"/>
        </w:rPr>
        <w:t>: N/A</w:t>
      </w:r>
    </w:p>
    <w:p w14:paraId="6D96559C"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Region</w:t>
      </w:r>
      <w:r w:rsidRPr="004343DC">
        <w:rPr>
          <w:color w:val="000000" w:themeColor="text1"/>
          <w:sz w:val="22"/>
          <w:szCs w:val="22"/>
          <w:lang w:val="en-US"/>
        </w:rPr>
        <w:t xml:space="preserve">: Europe and Central Asia </w:t>
      </w:r>
    </w:p>
    <w:p w14:paraId="3B5F36EF" w14:textId="5E4FDA68"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Country</w:t>
      </w:r>
      <w:r w:rsidRPr="004343DC">
        <w:rPr>
          <w:color w:val="000000" w:themeColor="text1"/>
          <w:sz w:val="22"/>
          <w:szCs w:val="22"/>
          <w:lang w:val="en-US"/>
        </w:rPr>
        <w:t xml:space="preserve">: </w:t>
      </w:r>
      <w:r w:rsidR="00C60CF8">
        <w:rPr>
          <w:color w:val="000000" w:themeColor="text1"/>
          <w:sz w:val="22"/>
          <w:szCs w:val="22"/>
          <w:lang w:val="en-US"/>
        </w:rPr>
        <w:t>Russian Federation</w:t>
      </w:r>
      <w:r w:rsidRPr="004343DC">
        <w:rPr>
          <w:color w:val="000000" w:themeColor="text1"/>
          <w:sz w:val="22"/>
          <w:szCs w:val="22"/>
          <w:lang w:val="en-US"/>
        </w:rPr>
        <w:t xml:space="preserve"> </w:t>
      </w:r>
    </w:p>
    <w:p w14:paraId="4ECB5301" w14:textId="77C46AA6"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expression</w:t>
      </w:r>
      <w:r w:rsidR="000D7E44" w:rsidRPr="004343DC">
        <w:rPr>
          <w:color w:val="000000" w:themeColor="text1"/>
          <w:sz w:val="22"/>
          <w:szCs w:val="22"/>
          <w:lang w:val="en-US"/>
        </w:rPr>
        <w:t xml:space="preserve">: </w:t>
      </w:r>
      <w:r w:rsidR="00C60CF8">
        <w:rPr>
          <w:color w:val="000000" w:themeColor="text1"/>
          <w:sz w:val="22"/>
          <w:szCs w:val="22"/>
          <w:lang w:val="en-US"/>
        </w:rPr>
        <w:t>Electronic/internet based communication</w:t>
      </w:r>
    </w:p>
    <w:p w14:paraId="693C219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Judicial Body</w:t>
      </w:r>
      <w:r w:rsidRPr="004343DC">
        <w:rPr>
          <w:color w:val="000000" w:themeColor="text1"/>
          <w:sz w:val="22"/>
          <w:szCs w:val="22"/>
          <w:lang w:val="en-US"/>
        </w:rPr>
        <w:t xml:space="preserve">: European Court of Human Rights (ECtHR) </w:t>
      </w:r>
    </w:p>
    <w:p w14:paraId="42E13143"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law</w:t>
      </w:r>
      <w:r w:rsidRPr="004343DC">
        <w:rPr>
          <w:color w:val="000000" w:themeColor="text1"/>
          <w:sz w:val="22"/>
          <w:szCs w:val="22"/>
          <w:lang w:val="en-US"/>
        </w:rPr>
        <w:t xml:space="preserve">: International/Regional Human Rights Law </w:t>
      </w:r>
    </w:p>
    <w:p w14:paraId="542BB2E7" w14:textId="7BE2F136"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Main Themes</w:t>
      </w:r>
      <w:r w:rsidRPr="004343DC">
        <w:rPr>
          <w:color w:val="000000" w:themeColor="text1"/>
          <w:sz w:val="22"/>
          <w:szCs w:val="22"/>
          <w:lang w:val="en-US"/>
        </w:rPr>
        <w:t xml:space="preserve">: </w:t>
      </w:r>
      <w:r w:rsidR="00C60CF8">
        <w:rPr>
          <w:color w:val="000000" w:themeColor="text1"/>
          <w:sz w:val="22"/>
          <w:szCs w:val="22"/>
          <w:lang w:val="en-US"/>
        </w:rPr>
        <w:t xml:space="preserve">Violence Against Speakers/Impunity </w:t>
      </w:r>
    </w:p>
    <w:p w14:paraId="2B7B2069"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ECtHR, Article 10 violation</w:t>
      </w:r>
      <w:r w:rsidRPr="004343DC">
        <w:rPr>
          <w:b/>
          <w:bCs/>
          <w:color w:val="000000" w:themeColor="text1"/>
          <w:sz w:val="22"/>
          <w:szCs w:val="22"/>
          <w:lang w:val="en-US"/>
        </w:rPr>
        <w:t xml:space="preserve"> </w:t>
      </w:r>
    </w:p>
    <w:p w14:paraId="2D97237A"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Status</w:t>
      </w:r>
      <w:r w:rsidRPr="004343DC">
        <w:rPr>
          <w:color w:val="000000" w:themeColor="text1"/>
          <w:sz w:val="22"/>
          <w:szCs w:val="22"/>
          <w:lang w:val="en-US"/>
        </w:rPr>
        <w:t xml:space="preserve">: Closed </w:t>
      </w:r>
    </w:p>
    <w:p w14:paraId="1A38D62A" w14:textId="1CC7FFF5"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Tags</w:t>
      </w:r>
      <w:r w:rsidRPr="004343DC">
        <w:rPr>
          <w:color w:val="000000" w:themeColor="text1"/>
          <w:sz w:val="22"/>
          <w:szCs w:val="22"/>
          <w:lang w:val="en-US"/>
        </w:rPr>
        <w:t xml:space="preserve">: </w:t>
      </w:r>
      <w:r w:rsidR="00C60CF8">
        <w:rPr>
          <w:color w:val="000000" w:themeColor="text1"/>
          <w:sz w:val="22"/>
          <w:szCs w:val="22"/>
          <w:lang w:val="en-US"/>
        </w:rPr>
        <w:t>Search Warrant, Protection of sources</w:t>
      </w:r>
    </w:p>
    <w:p w14:paraId="117CD0BE"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7C60C76F"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Analysis:</w:t>
      </w:r>
    </w:p>
    <w:p w14:paraId="27CFF94B" w14:textId="77777777" w:rsidR="00351041" w:rsidRDefault="00351041" w:rsidP="00351041">
      <w:pPr>
        <w:pStyle w:val="ListParagraph"/>
        <w:numPr>
          <w:ilvl w:val="0"/>
          <w:numId w:val="5"/>
        </w:numPr>
        <w:spacing w:line="276" w:lineRule="auto"/>
        <w:jc w:val="both"/>
        <w:rPr>
          <w:color w:val="000000" w:themeColor="text1"/>
          <w:sz w:val="22"/>
          <w:szCs w:val="22"/>
          <w:lang w:val="en-US"/>
        </w:rPr>
      </w:pPr>
      <w:r w:rsidRPr="004343DC">
        <w:rPr>
          <w:b/>
          <w:bCs/>
          <w:color w:val="000000" w:themeColor="text1"/>
          <w:sz w:val="22"/>
          <w:szCs w:val="22"/>
          <w:lang w:val="en-US"/>
        </w:rPr>
        <w:t>Summary and Outcome</w:t>
      </w:r>
      <w:r w:rsidRPr="004343DC">
        <w:rPr>
          <w:color w:val="000000" w:themeColor="text1"/>
          <w:sz w:val="22"/>
          <w:szCs w:val="22"/>
          <w:lang w:val="en-US"/>
        </w:rPr>
        <w:t>:</w:t>
      </w:r>
    </w:p>
    <w:p w14:paraId="5CB7DCB0" w14:textId="144514E5" w:rsidR="00C60CF8" w:rsidRPr="00C60CF8" w:rsidRDefault="00C60CF8" w:rsidP="00C60CF8">
      <w:pPr>
        <w:pStyle w:val="ListParagraph"/>
        <w:spacing w:line="276" w:lineRule="auto"/>
        <w:ind w:left="360"/>
        <w:jc w:val="both"/>
        <w:rPr>
          <w:color w:val="000000" w:themeColor="text1"/>
          <w:sz w:val="22"/>
          <w:szCs w:val="22"/>
          <w:lang w:val="en-US"/>
        </w:rPr>
      </w:pPr>
      <w:r w:rsidRPr="00C60CF8">
        <w:rPr>
          <w:color w:val="000000" w:themeColor="text1"/>
          <w:sz w:val="22"/>
          <w:szCs w:val="22"/>
          <w:lang w:val="en-US"/>
        </w:rPr>
        <w:t xml:space="preserve">On August 30, 2022, the Third Section of the European Court of Human Rights (ECtHR) held the State of Russia responsible for searching a </w:t>
      </w:r>
      <w:r w:rsidR="00650E78">
        <w:rPr>
          <w:color w:val="000000" w:themeColor="text1"/>
          <w:sz w:val="22"/>
          <w:szCs w:val="22"/>
          <w:lang w:val="en-US"/>
        </w:rPr>
        <w:t>j</w:t>
      </w:r>
      <w:r w:rsidRPr="00C60CF8">
        <w:rPr>
          <w:color w:val="000000" w:themeColor="text1"/>
          <w:sz w:val="22"/>
          <w:szCs w:val="22"/>
          <w:lang w:val="en-US"/>
        </w:rPr>
        <w:t xml:space="preserve">ournalist's home and </w:t>
      </w:r>
      <w:r w:rsidR="00650E78">
        <w:rPr>
          <w:color w:val="000000" w:themeColor="text1"/>
          <w:sz w:val="22"/>
          <w:szCs w:val="22"/>
          <w:lang w:val="en-US"/>
        </w:rPr>
        <w:t xml:space="preserve">authorizing the </w:t>
      </w:r>
      <w:r w:rsidRPr="00C60CF8">
        <w:rPr>
          <w:color w:val="000000" w:themeColor="text1"/>
          <w:sz w:val="22"/>
          <w:szCs w:val="22"/>
          <w:lang w:val="en-US"/>
        </w:rPr>
        <w:t xml:space="preserve">seizure of his electronic devices, </w:t>
      </w:r>
      <w:r w:rsidR="00650E78">
        <w:rPr>
          <w:color w:val="000000" w:themeColor="text1"/>
          <w:sz w:val="22"/>
          <w:szCs w:val="22"/>
          <w:lang w:val="en-US"/>
        </w:rPr>
        <w:t xml:space="preserve">as a direct interference </w:t>
      </w:r>
      <w:r w:rsidRPr="00C60CF8">
        <w:rPr>
          <w:color w:val="000000" w:themeColor="text1"/>
          <w:sz w:val="22"/>
          <w:szCs w:val="22"/>
          <w:lang w:val="en-US"/>
        </w:rPr>
        <w:t xml:space="preserve">with </w:t>
      </w:r>
      <w:r w:rsidR="00650E78">
        <w:rPr>
          <w:color w:val="000000" w:themeColor="text1"/>
          <w:sz w:val="22"/>
          <w:szCs w:val="22"/>
          <w:lang w:val="en-US"/>
        </w:rPr>
        <w:t xml:space="preserve">the </w:t>
      </w:r>
      <w:r w:rsidRPr="00C60CF8">
        <w:rPr>
          <w:color w:val="000000" w:themeColor="text1"/>
          <w:sz w:val="22"/>
          <w:szCs w:val="22"/>
          <w:lang w:val="en-US"/>
        </w:rPr>
        <w:t>right to freedom of expression under Article 10 of the Convention. The case arose after a journalist published an interview on the website of his weekly newspaper</w:t>
      </w:r>
      <w:r w:rsidR="00B25C37" w:rsidRPr="00B25C37">
        <w:rPr>
          <w:color w:val="000000" w:themeColor="text1"/>
          <w:sz w:val="22"/>
          <w:szCs w:val="22"/>
          <w:lang w:val="en-US"/>
        </w:rPr>
        <w:t>,”</w:t>
      </w:r>
      <w:r w:rsidR="00B25C37" w:rsidRPr="00046D2A">
        <w:rPr>
          <w:i/>
          <w:iCs/>
          <w:color w:val="000000"/>
          <w:sz w:val="22"/>
          <w:szCs w:val="22"/>
          <w:shd w:val="clear" w:color="auto" w:fill="FFFFFF"/>
        </w:rPr>
        <w:t xml:space="preserve"> </w:t>
      </w:r>
      <w:r w:rsidR="00B25C37" w:rsidRPr="00046D2A">
        <w:rPr>
          <w:rStyle w:val="sbc73225d"/>
          <w:i/>
          <w:iCs/>
          <w:color w:val="000000"/>
          <w:sz w:val="22"/>
          <w:szCs w:val="22"/>
          <w:shd w:val="clear" w:color="auto" w:fill="FFFFFF"/>
        </w:rPr>
        <w:t>Zyryanskaya zhizn</w:t>
      </w:r>
      <w:r w:rsidR="00B25C37" w:rsidRPr="00046D2A">
        <w:rPr>
          <w:rStyle w:val="s68f5eaef"/>
          <w:color w:val="000000"/>
          <w:sz w:val="22"/>
          <w:szCs w:val="22"/>
          <w:shd w:val="clear" w:color="auto" w:fill="FFFFFF"/>
        </w:rPr>
        <w:t>”</w:t>
      </w:r>
      <w:r w:rsidRPr="00C60CF8">
        <w:rPr>
          <w:color w:val="000000" w:themeColor="text1"/>
          <w:sz w:val="22"/>
          <w:szCs w:val="22"/>
          <w:lang w:val="en-US"/>
        </w:rPr>
        <w:t xml:space="preserve"> with a high-ranking police officer regarding a scandal. A criminal case was subsequently opened against the police officer for d</w:t>
      </w:r>
      <w:r>
        <w:rPr>
          <w:color w:val="000000" w:themeColor="text1"/>
          <w:sz w:val="22"/>
          <w:szCs w:val="22"/>
          <w:lang w:val="en-US"/>
        </w:rPr>
        <w:t>isclosing State secrets, and </w:t>
      </w:r>
      <w:r w:rsidR="00B25C37">
        <w:rPr>
          <w:color w:val="000000" w:themeColor="text1"/>
          <w:sz w:val="22"/>
          <w:szCs w:val="22"/>
          <w:lang w:val="en-US"/>
        </w:rPr>
        <w:t xml:space="preserve">the </w:t>
      </w:r>
      <w:r w:rsidR="00B25C37" w:rsidRPr="00B25C37">
        <w:rPr>
          <w:color w:val="000000" w:themeColor="text1"/>
          <w:sz w:val="22"/>
          <w:szCs w:val="22"/>
          <w:lang w:val="en-US"/>
        </w:rPr>
        <w:t xml:space="preserve">Syktyvkar Town Court of the Republic of </w:t>
      </w:r>
      <w:r w:rsidR="00B25C37">
        <w:rPr>
          <w:color w:val="000000" w:themeColor="text1"/>
          <w:sz w:val="22"/>
          <w:szCs w:val="22"/>
          <w:lang w:val="en-US"/>
        </w:rPr>
        <w:t xml:space="preserve">Komi </w:t>
      </w:r>
      <w:r w:rsidRPr="00C60CF8">
        <w:rPr>
          <w:color w:val="000000" w:themeColor="text1"/>
          <w:sz w:val="22"/>
          <w:szCs w:val="22"/>
          <w:lang w:val="en-US"/>
        </w:rPr>
        <w:t>authorized a search of the applicant's flat and the seizure of devices containing information relating to the interview. The journalist's computer, four hard drives, and an audio cassette were seized during the search. As a result, the applicant appealed to the Supreme Court of the Republic of Komi; however, his plea was unsuccessful</w:t>
      </w:r>
      <w:r w:rsidR="00B25C37">
        <w:rPr>
          <w:color w:val="000000" w:themeColor="text1"/>
          <w:sz w:val="22"/>
          <w:szCs w:val="22"/>
          <w:lang w:val="en-US"/>
        </w:rPr>
        <w:t xml:space="preserve"> on grounds that the search and seizure authorization were reasoned and substantiated by materials submitted by the investigator</w:t>
      </w:r>
      <w:r w:rsidRPr="00C60CF8">
        <w:rPr>
          <w:color w:val="000000" w:themeColor="text1"/>
          <w:sz w:val="22"/>
          <w:szCs w:val="22"/>
          <w:lang w:val="en-US"/>
        </w:rPr>
        <w:t>. </w:t>
      </w:r>
    </w:p>
    <w:p w14:paraId="149A24CE" w14:textId="77777777" w:rsidR="00C60CF8" w:rsidRPr="00C60CF8" w:rsidRDefault="00C60CF8" w:rsidP="00C60CF8">
      <w:pPr>
        <w:pStyle w:val="ListParagraph"/>
        <w:spacing w:line="276" w:lineRule="auto"/>
        <w:ind w:left="360"/>
        <w:jc w:val="both"/>
        <w:rPr>
          <w:color w:val="000000" w:themeColor="text1"/>
          <w:sz w:val="22"/>
          <w:szCs w:val="22"/>
          <w:lang w:val="en-US"/>
        </w:rPr>
      </w:pPr>
    </w:p>
    <w:p w14:paraId="3FB30AA2" w14:textId="7882B6A5" w:rsidR="00C60CF8" w:rsidRPr="004343DC" w:rsidRDefault="00C60CF8" w:rsidP="00C60CF8">
      <w:pPr>
        <w:pStyle w:val="ListParagraph"/>
        <w:spacing w:line="276" w:lineRule="auto"/>
        <w:ind w:left="360"/>
        <w:jc w:val="both"/>
        <w:rPr>
          <w:color w:val="000000" w:themeColor="text1"/>
          <w:sz w:val="22"/>
          <w:szCs w:val="22"/>
          <w:lang w:val="en-US"/>
        </w:rPr>
      </w:pPr>
      <w:r w:rsidRPr="00C60CF8">
        <w:rPr>
          <w:color w:val="000000" w:themeColor="text1"/>
          <w:sz w:val="22"/>
          <w:szCs w:val="22"/>
          <w:lang w:val="en-US"/>
        </w:rPr>
        <w:t>The ECtHR held that while the search and seizure measures had had a general legal basis in domestic law, there was a lack of procedural safeguards protecting journalistic sources and addressing the seizure and examination of data carriers. </w:t>
      </w:r>
    </w:p>
    <w:p w14:paraId="74EACF57" w14:textId="77777777" w:rsidR="001C5051" w:rsidRPr="004343DC" w:rsidRDefault="001C5051" w:rsidP="00350031">
      <w:pPr>
        <w:spacing w:line="276" w:lineRule="auto"/>
        <w:jc w:val="both"/>
        <w:rPr>
          <w:color w:val="000000" w:themeColor="text1"/>
          <w:sz w:val="22"/>
          <w:szCs w:val="22"/>
        </w:rPr>
      </w:pPr>
    </w:p>
    <w:p w14:paraId="75C451D9" w14:textId="1400A556" w:rsidR="00351041" w:rsidRDefault="00351041" w:rsidP="00EB42B5">
      <w:pPr>
        <w:pStyle w:val="ListParagraph"/>
        <w:numPr>
          <w:ilvl w:val="0"/>
          <w:numId w:val="4"/>
        </w:numPr>
        <w:spacing w:line="276" w:lineRule="auto"/>
        <w:jc w:val="both"/>
        <w:rPr>
          <w:color w:val="000000" w:themeColor="text1"/>
          <w:sz w:val="22"/>
          <w:szCs w:val="22"/>
          <w:lang w:val="en-US"/>
        </w:rPr>
      </w:pPr>
      <w:r w:rsidRPr="00C60CF8">
        <w:rPr>
          <w:b/>
          <w:bCs/>
          <w:color w:val="000000" w:themeColor="text1"/>
          <w:sz w:val="22"/>
          <w:szCs w:val="22"/>
          <w:lang w:val="en-US"/>
        </w:rPr>
        <w:t>Facts</w:t>
      </w:r>
      <w:r w:rsidRPr="00C60CF8">
        <w:rPr>
          <w:color w:val="000000" w:themeColor="text1"/>
          <w:sz w:val="22"/>
          <w:szCs w:val="22"/>
          <w:lang w:val="en-US"/>
        </w:rPr>
        <w:t>:</w:t>
      </w:r>
    </w:p>
    <w:p w14:paraId="2405CFA8"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The applicant, Sergey Sorokin, was a public activist and a journalist from Syktyvkar, Republic of Komi, Russia.  In 2004, Sorokin founded and became the chief editor of "Zyryanskaya zhizn", a weekly printed newspaper, and its official website, www.zyryane.ru.</w:t>
      </w:r>
    </w:p>
    <w:p w14:paraId="0DFC1C5A"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1BD864A4"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In 2006, the printed version of the newspaper ceased to exist; nevertheless, Sorokin and some other journalists continued to publish articles on the website.</w:t>
      </w:r>
    </w:p>
    <w:p w14:paraId="5799A70B"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3CAA2511"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In 2007, the head of the Economic Crimes Department of the regional Ministry of the Interior, Lieutenant-Colonel T. (Lt.-Col. T.), was arrested on suspicion of abuse of power. He was accused on grounds of unofficially possessing telephonic communicated data of several including Mr. Z., the then mayor of Syktyvkar (capital of the Komi Republic) and a member of the "United Russia" political party. </w:t>
      </w:r>
    </w:p>
    <w:p w14:paraId="665CCF5F"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118C5352"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On February 4, 2008, Sorokin published an interview with Mr. L, deputy head of the regional Ministry of the Interior, on his website. According to the publication, Mr. L. stated that Lt.-Col. T. presumed there were leaks of operational information internally, after which he allegedly made an attempt to collect the telephonic data to find the person responsible behind the leaks. </w:t>
      </w:r>
    </w:p>
    <w:p w14:paraId="4F65222B"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75DC99FE"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Subsequently, on April 3, 2008, a criminal case was initiated against Mr. L. for disclosing information about operational activities, which, by law, was regarded as a State secret. During the proceedings, Sorokin was questioned as a witness, and to avoid any self-incrimination, the applicant did not answer any questions. </w:t>
      </w:r>
    </w:p>
    <w:p w14:paraId="2B0CA554"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1F2F4B54"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On April 29, 2008, an officer of the Federal Security Service (FSB) of the Republic of Komi sent a letter to Sorokin, requesting him to remove his interview with Mr. L. from the website, and not to publicise the details of the operational activities and to hand up all the interview records. To this,  Sorokin did not agree to comply.</w:t>
      </w:r>
    </w:p>
    <w:p w14:paraId="746997C0"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11EF9079"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On an unknown date, Mr. L.'s criminal case was closed for lack of corpus delicti. However, on December 26, 2008, the investigation was resumed, and an FSB investigator requested judicial authorization to search Sorokin's flat and seize devices containing information relating to the interview of Mr. L. On December 29, 2008 after the Syktyvkar Town Court of the Republic of Komi granted the application, the police seized the system unit of Sorokin's computer, four hard drives, and an audio cassette.</w:t>
      </w:r>
    </w:p>
    <w:p w14:paraId="2E861ED7"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6A59F060"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Sorokin then filed an appeal against the search warrant and asked the court to declassify and provide him access to the evidence that had led to the search warrant's issuance. The applicant argued that the information regarding the operational actions had already been made public and that no State secrets had been involved.</w:t>
      </w:r>
    </w:p>
    <w:p w14:paraId="17677DA7"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53C42CDC" w14:textId="784C1CEC" w:rsidR="00C60CF8"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On March 3, 2009, the Supreme Court of the Republic of Komi dismissed Sorokin's application to declassify the material on the grounds that all the material would be examined if he agreed to comply with the legal requirement of signing a non-disclosure statement. Since Sorokin refused to sign the statement, the Court dismissed the appeal.</w:t>
      </w:r>
    </w:p>
    <w:p w14:paraId="1AFE7EDA" w14:textId="77777777" w:rsidR="0043050C" w:rsidRPr="00C60CF8" w:rsidRDefault="0043050C" w:rsidP="0043050C">
      <w:pPr>
        <w:pStyle w:val="ListParagraph"/>
        <w:spacing w:line="276" w:lineRule="auto"/>
        <w:ind w:left="360"/>
        <w:jc w:val="both"/>
        <w:rPr>
          <w:color w:val="000000" w:themeColor="text1"/>
          <w:sz w:val="22"/>
          <w:szCs w:val="22"/>
          <w:lang w:val="en-US"/>
        </w:rPr>
      </w:pPr>
    </w:p>
    <w:p w14:paraId="0784EF6A" w14:textId="77777777"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Decision Overview</w:t>
      </w:r>
      <w:r w:rsidRPr="004343DC">
        <w:rPr>
          <w:color w:val="000000" w:themeColor="text1"/>
          <w:sz w:val="22"/>
          <w:szCs w:val="22"/>
          <w:lang w:val="en-US"/>
        </w:rPr>
        <w:t xml:space="preserve">: </w:t>
      </w:r>
    </w:p>
    <w:p w14:paraId="588AEE8E" w14:textId="77777777" w:rsidR="009239D3" w:rsidRDefault="009239D3" w:rsidP="009239D3">
      <w:pPr>
        <w:pStyle w:val="NormalWeb"/>
        <w:rPr>
          <w:lang w:eastAsia="en-IN"/>
        </w:rPr>
      </w:pPr>
      <w:r>
        <w:t>The decision of the ECtHR (Third Section) was delivered on August 30, 2022.</w:t>
      </w:r>
    </w:p>
    <w:p w14:paraId="64EEA582" w14:textId="77777777" w:rsidR="009239D3" w:rsidRDefault="009239D3" w:rsidP="009239D3">
      <w:pPr>
        <w:pStyle w:val="NormalWeb"/>
      </w:pPr>
      <w:r>
        <w:rPr>
          <w:u w:val="single"/>
        </w:rPr>
        <w:t>Issues found by the Court</w:t>
      </w:r>
      <w:r>
        <w:t>:</w:t>
      </w:r>
    </w:p>
    <w:p w14:paraId="325069F5" w14:textId="77777777" w:rsidR="009239D3" w:rsidRDefault="009239D3" w:rsidP="009239D3">
      <w:pPr>
        <w:pStyle w:val="NormalWeb"/>
      </w:pPr>
      <w:r>
        <w:t>The main issue for the Third Section of the ECtHR to examine in this case was whether the search of the journalist's home and the seizure of his electronic devices constituted a justified interference with the exercise of his right to freedom of expression under Article 10 § 2 of the ECHR. </w:t>
      </w:r>
    </w:p>
    <w:p w14:paraId="51FDADE6" w14:textId="77777777" w:rsidR="009239D3" w:rsidRDefault="009239D3" w:rsidP="009239D3">
      <w:pPr>
        <w:pStyle w:val="NormalWeb"/>
      </w:pPr>
      <w:r>
        <w:rPr>
          <w:rStyle w:val="Emphasis"/>
        </w:rPr>
        <w:t>Parties’ Submissions</w:t>
      </w:r>
    </w:p>
    <w:p w14:paraId="0C053EDA" w14:textId="77777777" w:rsidR="009239D3" w:rsidRDefault="009239D3" w:rsidP="009239D3">
      <w:pPr>
        <w:pStyle w:val="NormalWeb"/>
      </w:pPr>
      <w:r>
        <w:t>In his submission to the ECtHR, Mr. Sorokin argued that the search of his home and the seizure of his electronic devices had not pursued a legitimate aim and had been neither lawful nor necessary in a democratic society. Mainly, Sorokin argued that the search had been conducted within the framework of a criminal investigation into Mr. L's alleged disclosure of State secret information about operational activities in respect of the mayor, Mr. Z. Relying on PACE Resolution 1551 (2007) and the criteria set out in the ECtHR ruling in the case of </w:t>
      </w:r>
      <w:hyperlink r:id="rId7" w:tgtFrame="_blank" w:history="1">
        <w:r>
          <w:rPr>
            <w:rStyle w:val="Hyperlink"/>
          </w:rPr>
          <w:t>Vereniging</w:t>
        </w:r>
      </w:hyperlink>
      <w:r>
        <w:rPr>
          <w:rStyle w:val="Emphasis"/>
        </w:rPr>
        <w:t> </w:t>
      </w:r>
      <w:hyperlink r:id="rId8" w:tgtFrame="_blank" w:history="1">
        <w:r>
          <w:rPr>
            <w:rStyle w:val="Emphasis"/>
            <w:color w:val="0000FF"/>
          </w:rPr>
          <w:t xml:space="preserve">Weekblad Bluf! v. the </w:t>
        </w:r>
        <w:r>
          <w:rPr>
            <w:rStyle w:val="Emphasis"/>
            <w:color w:val="0000FF"/>
          </w:rPr>
          <w:lastRenderedPageBreak/>
          <w:t>Netherlands</w:t>
        </w:r>
      </w:hyperlink>
      <w:r>
        <w:t xml:space="preserve">, Sorokin argued that information was already in the public domain, thus, and could not be considered a state secret. </w:t>
      </w:r>
    </w:p>
    <w:p w14:paraId="4048F30F" w14:textId="77777777" w:rsidR="009239D3" w:rsidRDefault="009239D3" w:rsidP="009239D3">
      <w:pPr>
        <w:pStyle w:val="NormalWeb"/>
      </w:pPr>
      <w:r>
        <w:t xml:space="preserve">Sorkin argued that the court's search warrant was written in a broad manner which did not restrict the investigator's discretion in deciding how to carry the search and seizure procedures. Similarly, Sorokin claimed that the judicial review of the search and seizure measures were tokenistic as the national courts failed to balance the need to protect the confidentiality of journalistic sources while referring to the ruling set in the </w:t>
      </w:r>
      <w:hyperlink r:id="rId9" w:history="1">
        <w:r>
          <w:rPr>
            <w:rStyle w:val="Emphasis"/>
            <w:color w:val="0000FF"/>
          </w:rPr>
          <w:t>Case of Kabalis v. Russia</w:t>
        </w:r>
      </w:hyperlink>
      <w:r>
        <w:t>.  </w:t>
      </w:r>
    </w:p>
    <w:p w14:paraId="49A15353" w14:textId="77777777" w:rsidR="009239D3" w:rsidRDefault="009239D3" w:rsidP="009239D3">
      <w:pPr>
        <w:pStyle w:val="NormalWeb"/>
      </w:pPr>
      <w:r>
        <w:t>In turn, the Government argued that Sorokin's home had been searched because he refused to remove the interview from his Internet news site and because the electronic devices that could have been located at the applicant's home could potentially contain relevant information for the criminal investigation and was compliant with Articles 165 and 182 of the Code of Criminal Procedure.</w:t>
      </w:r>
    </w:p>
    <w:p w14:paraId="4D067EED" w14:textId="77777777" w:rsidR="009239D3" w:rsidRDefault="009239D3" w:rsidP="009239D3">
      <w:pPr>
        <w:pStyle w:val="NormalWeb"/>
      </w:pPr>
      <w:r>
        <w:t>The Government explained that the search did not pursue the objective of identifying the journalist's sources of information but aimed to find and seize devices containing information relevant for a thorough investigation and the identification of the person responsible for the disclosure of confidential material and the prevention of the further use of confidential information. Moreover, the Government considered that since Sorokin's articles were still accessible on his website, his right to publish information on issues of public interest had not been breached. </w:t>
      </w:r>
    </w:p>
    <w:p w14:paraId="0D4039E5" w14:textId="77777777" w:rsidR="009239D3" w:rsidRDefault="009239D3" w:rsidP="009239D3">
      <w:pPr>
        <w:pStyle w:val="NormalWeb"/>
      </w:pPr>
      <w:r>
        <w:rPr>
          <w:rStyle w:val="Emphasis"/>
        </w:rPr>
        <w:t>The Court’s Findings</w:t>
      </w:r>
    </w:p>
    <w:p w14:paraId="73F9B9F7" w14:textId="77777777" w:rsidR="009239D3" w:rsidRDefault="009239D3" w:rsidP="009239D3">
      <w:pPr>
        <w:pStyle w:val="NormalWeb"/>
      </w:pPr>
      <w:r>
        <w:t xml:space="preserve">The Court began its analysis of the case by noting that the search of Sorokin's home and the seizure of his electronic devices interfered with his right to freedom of expression under Article 10 of the ECHR, and referred to the ruling of </w:t>
      </w:r>
      <w:hyperlink r:id="rId10" w:history="1">
        <w:r>
          <w:rPr>
            <w:rStyle w:val="sbc73225d"/>
            <w:i/>
            <w:iCs/>
            <w:color w:val="0000FF"/>
          </w:rPr>
          <w:t>Avaz Zeynalov v. Azerbaijan</w:t>
        </w:r>
        <w:r>
          <w:rPr>
            <w:rStyle w:val="Emphasis"/>
            <w:color w:val="0000FF"/>
          </w:rPr>
          <w:t xml:space="preserve"> </w:t>
        </w:r>
      </w:hyperlink>
      <w:r>
        <w:t>. The Court stated that an interference must be mandated by law, pursue legal objectives and be required for a democratic society to remain justified under Article 10 § 2. </w:t>
      </w:r>
    </w:p>
    <w:p w14:paraId="4E602646" w14:textId="77777777" w:rsidR="009239D3" w:rsidRDefault="009239D3" w:rsidP="009239D3">
      <w:pPr>
        <w:pStyle w:val="NormalWeb"/>
      </w:pPr>
      <w:r>
        <w:t>Before examining whether the interference was legitimate in the immediate case, the Court emphasized that freedom of expression constitutes one of the essential foundations of a democratic society and that the safeguards to be afforded to the press are particularly important. Moreover, the Court highlighted that considering the importance of the protection of journalistic sources for press freedom in a democratic society, for an interference to be compatible with Article 10 of the ECHR, it must be justified by an overriding requirement in the public interest. The court highlighted the importance of freedom of press protected under Article 10, without which the role of press can be undermined and reliable information coverage be affected, as seen in cases of</w:t>
      </w:r>
      <w:hyperlink r:id="rId11" w:tgtFrame="_blank" w:history="1">
        <w:r>
          <w:rPr>
            <w:rStyle w:val="Hyperlink"/>
          </w:rPr>
          <w:t> </w:t>
        </w:r>
        <w:r>
          <w:rPr>
            <w:rStyle w:val="Emphasis"/>
            <w:color w:val="0000FF"/>
          </w:rPr>
          <w:t>Sanoma Uitgevers B.V. v.the Netherlands [GC]</w:t>
        </w:r>
      </w:hyperlink>
      <w:r>
        <w:t xml:space="preserve"> and Big </w:t>
      </w:r>
      <w:hyperlink r:id="rId12" w:history="1">
        <w:r>
          <w:rPr>
            <w:rStyle w:val="Hyperlink"/>
            <w:i/>
            <w:iCs/>
          </w:rPr>
          <w:t>Brother Watch and Others v. the United Kingdom. </w:t>
        </w:r>
      </w:hyperlink>
    </w:p>
    <w:p w14:paraId="59A93AD9" w14:textId="77777777" w:rsidR="009239D3" w:rsidRDefault="009239D3" w:rsidP="009239D3">
      <w:pPr>
        <w:pStyle w:val="NormalWeb"/>
      </w:pPr>
      <w:r>
        <w:t>According to the Court, expressions "prescribed by law" and "under the law" under Articles 8 to 11 of the ECHR require the impugned measure to have some basis in domestic law and refer to the quality of the law in question. The Court noted that for domestic law to meet such requirements, it must afford legal protections against arbitrary interferences by public authorities and define the scope of any legal discretion vested in the competent authorities and the manner of its exercise.</w:t>
      </w:r>
    </w:p>
    <w:p w14:paraId="4C43747E" w14:textId="77777777" w:rsidR="009239D3" w:rsidRDefault="009239D3" w:rsidP="009239D3">
      <w:pPr>
        <w:pStyle w:val="NormalWeb"/>
      </w:pPr>
      <w:r>
        <w:t xml:space="preserve">The Court stressed upon the procedural safeguards that the domestic law should consider is the guarantee of review by a judge or an independent and impartial decision-making body. The Court underscored that such a decision must be "governed by clear criteria, including whether a less intrusive measure can suffice to serve the overriding public interests established..... to protect sources from being revealed....on the grounds that the communication of such material creates a serious risk </w:t>
      </w:r>
      <w:r>
        <w:lastRenderedPageBreak/>
        <w:t>of compromising the identity of journalist’s sources." [para.48]. The Court noted that similar to what was held in the cases of</w:t>
      </w:r>
      <w:hyperlink r:id="rId13" w:tgtFrame="_blank" w:history="1">
        <w:r>
          <w:rPr>
            <w:rStyle w:val="Hyperlink"/>
          </w:rPr>
          <w:t> </w:t>
        </w:r>
        <w:r>
          <w:rPr>
            <w:rStyle w:val="Emphasis"/>
            <w:color w:val="0000FF"/>
          </w:rPr>
          <w:t>Särgava v. Estonia</w:t>
        </w:r>
      </w:hyperlink>
      <w:r>
        <w:rPr>
          <w:rStyle w:val="Emphasis"/>
        </w:rPr>
        <w:t> and</w:t>
      </w:r>
      <w:hyperlink r:id="rId14" w:tgtFrame="_blank" w:history="1">
        <w:r>
          <w:rPr>
            <w:rStyle w:val="Hyperlink"/>
            <w:i/>
            <w:iCs/>
          </w:rPr>
          <w:t> Big Brother Watch v. The United Kingdom</w:t>
        </w:r>
      </w:hyperlink>
      <w:r>
        <w:rPr>
          <w:rStyle w:val="Emphasis"/>
        </w:rPr>
        <w:t>;</w:t>
      </w:r>
      <w:r>
        <w:t xml:space="preserve"> domestic law must contain specific guidelines and safeguards to examine electronic data carriers containing protected materials.</w:t>
      </w:r>
    </w:p>
    <w:p w14:paraId="52D8E18F" w14:textId="77777777" w:rsidR="009239D3" w:rsidRDefault="009239D3" w:rsidP="009239D3">
      <w:pPr>
        <w:pStyle w:val="NormalWeb"/>
      </w:pPr>
      <w:r>
        <w:t>The Court then proceeded to analyze the applicability of those principles to the present case.</w:t>
      </w:r>
    </w:p>
    <w:p w14:paraId="65521858" w14:textId="77777777" w:rsidR="009239D3" w:rsidRDefault="009239D3" w:rsidP="009239D3">
      <w:pPr>
        <w:pStyle w:val="NormalWeb"/>
      </w:pPr>
      <w:r>
        <w:rPr>
          <w:rStyle w:val="Emphasis"/>
        </w:rPr>
        <w:t>i). Whether the interference was in accordance with the law</w:t>
      </w:r>
    </w:p>
    <w:p w14:paraId="197CC94E" w14:textId="77777777" w:rsidR="009239D3" w:rsidRDefault="009239D3" w:rsidP="009239D3">
      <w:pPr>
        <w:pStyle w:val="NormalWeb"/>
      </w:pPr>
      <w:r>
        <w:t>The Court acknowledged that the search and seizure measures of Sorokin's flat and personal devices had a general legal basis in domestic law, particularly in Articles 165 and 182 § 1 of the Code of Criminal Procedure. </w:t>
      </w:r>
    </w:p>
    <w:p w14:paraId="634366F0" w14:textId="77777777" w:rsidR="009239D3" w:rsidRDefault="009239D3" w:rsidP="009239D3">
      <w:pPr>
        <w:pStyle w:val="NormalWeb"/>
      </w:pPr>
      <w:r>
        <w:rPr>
          <w:rStyle w:val="Emphasis"/>
        </w:rPr>
        <w:t>ii). Quality of the law</w:t>
      </w:r>
    </w:p>
    <w:p w14:paraId="2BD0E878" w14:textId="77777777" w:rsidR="009239D3" w:rsidRDefault="009239D3" w:rsidP="009239D3">
      <w:pPr>
        <w:pStyle w:val="NormalWeb"/>
      </w:pPr>
      <w:r>
        <w:t> The Court remarked that the domestic criminal procedure law failed to provide any protection for confidential journalistic sources in the context of searches and seizures.</w:t>
      </w:r>
    </w:p>
    <w:p w14:paraId="087310EC" w14:textId="77777777" w:rsidR="009239D3" w:rsidRDefault="009239D3" w:rsidP="009239D3">
      <w:pPr>
        <w:pStyle w:val="NormalWeb"/>
      </w:pPr>
      <w:r>
        <w:rPr>
          <w:rStyle w:val="Emphasis"/>
        </w:rPr>
        <w:t>iii). Whether the interference pursued a legitimate aim.</w:t>
      </w:r>
    </w:p>
    <w:p w14:paraId="415CF298" w14:textId="4DE04590" w:rsidR="009239D3" w:rsidRDefault="009239D3" w:rsidP="009239D3">
      <w:pPr>
        <w:pStyle w:val="NormalWeb"/>
      </w:pPr>
      <w:r>
        <w:t>The Court recognized that the interference pursued the legitimate objective of preventing crime as the search and seizure procedure were authorized in the the "context of an a criminal investigation opened into Mr. L.'s alleged expos</w:t>
      </w:r>
      <w:r>
        <w:t>ure of State secret information</w:t>
      </w:r>
      <w:r>
        <w:t>: [para 60] </w:t>
      </w:r>
    </w:p>
    <w:p w14:paraId="25D3884A" w14:textId="77777777" w:rsidR="009239D3" w:rsidRDefault="009239D3" w:rsidP="009239D3">
      <w:pPr>
        <w:pStyle w:val="NormalWeb"/>
      </w:pPr>
      <w:r>
        <w:rPr>
          <w:rStyle w:val="Emphasis"/>
        </w:rPr>
        <w:t>iv). Whether the interference was "necessary in a democratic society."</w:t>
      </w:r>
    </w:p>
    <w:p w14:paraId="3F2034E8" w14:textId="77777777" w:rsidR="009239D3" w:rsidRDefault="009239D3" w:rsidP="009239D3">
      <w:pPr>
        <w:pStyle w:val="NormalWeb"/>
      </w:pPr>
      <w:r>
        <w:t>The Court recalled that the Syktyvkar Town Court relied on two suppositions to authorize the search warrant: "(1) The fact that a criminal investigation into the disclosure of a State secret had been initiated, and (2) the possibility that Sorokin's devices could have had information about his interview with Mr. L." [Para 61]</w:t>
      </w:r>
    </w:p>
    <w:p w14:paraId="519A80B2" w14:textId="77777777" w:rsidR="009239D3" w:rsidRDefault="009239D3" w:rsidP="009239D3">
      <w:pPr>
        <w:pStyle w:val="NormalWeb"/>
      </w:pPr>
      <w:r>
        <w:t xml:space="preserve">However, by referring to the cases of  </w:t>
      </w:r>
      <w:hyperlink r:id="rId15" w:tgtFrame="_blank" w:history="1">
        <w:r>
          <w:rPr>
            <w:rStyle w:val="Hyperlink"/>
          </w:rPr>
          <w:t>Nagla v. Latvia and Sanoma Uitgevers B.V.</w:t>
        </w:r>
      </w:hyperlink>
      <w:r>
        <w:t> and </w:t>
      </w:r>
      <w:hyperlink r:id="rId16" w:tgtFrame="_blank" w:history="1">
        <w:r>
          <w:rPr>
            <w:rStyle w:val="Hyperlink"/>
          </w:rPr>
          <w:t> </w:t>
        </w:r>
        <w:r>
          <w:rPr>
            <w:rStyle w:val="Emphasis"/>
            <w:color w:val="0000FF"/>
          </w:rPr>
          <w:t>Sanoma Uitgevers B.V. v.the Netherlands [GC]</w:t>
        </w:r>
      </w:hyperlink>
      <w:r>
        <w:t xml:space="preserve"> the Court emphasized that the decision failed to examine whether the interests of investigation in securing evidence were sufficient to override the general public interest in the protection of journalistic sources. Moreover, the Court noted that the Supreme Court of the Republic of Komi had limited its review solely to the assessment of the "formal lawfulness of the search" [para 61] rather than focusing on the "necessity and proportionality of the investigating authorities' actions." [para 61] The Court inferenced that the Town Court had failed to require the investigative authorities to ensure that the applicant's unrelated personal and professional information was not accessed and did not clarify if the search of all of the data in the applicant's house was important for the investigation </w:t>
      </w:r>
      <w:hyperlink r:id="rId17" w:history="1">
        <w:r>
          <w:rPr>
            <w:rStyle w:val="Hyperlink"/>
            <w:i/>
            <w:iCs/>
          </w:rPr>
          <w:t>(Robathin v. Austria)</w:t>
        </w:r>
      </w:hyperlink>
      <w:r>
        <w:t>. </w:t>
      </w:r>
    </w:p>
    <w:p w14:paraId="2F481364" w14:textId="77777777" w:rsidR="009239D3" w:rsidRDefault="009239D3" w:rsidP="009239D3">
      <w:pPr>
        <w:pStyle w:val="NormalWeb"/>
      </w:pPr>
      <w:r>
        <w:t xml:space="preserve">The Court came to the conclusion that the search for Sorokin's home was conducted without proper procedural safeguards to protect the privacy of his  journalistic sources and that it was not "necessary for a democratic society"[para 64] to accomplish the legitimate goal pursued, indicating the violation of Article 10 of the Convention. </w:t>
      </w:r>
      <w:r>
        <w:rPr>
          <w:rStyle w:val="css-guq32d"/>
        </w:rPr>
        <w:t> </w:t>
      </w:r>
    </w:p>
    <w:p w14:paraId="7B1CBE4A" w14:textId="77777777" w:rsidR="009239D3" w:rsidRDefault="009239D3" w:rsidP="009239D3">
      <w:pPr>
        <w:pStyle w:val="NormalWeb"/>
      </w:pPr>
      <w:r>
        <w:rPr>
          <w:rStyle w:val="Emphasis"/>
        </w:rPr>
        <w:t>Other alleged violations of the Convention</w:t>
      </w:r>
    </w:p>
    <w:p w14:paraId="18BD0A5B" w14:textId="77777777" w:rsidR="009239D3" w:rsidRDefault="009239D3" w:rsidP="009239D3">
      <w:pPr>
        <w:pStyle w:val="NormalWeb"/>
      </w:pPr>
      <w:r>
        <w:lastRenderedPageBreak/>
        <w:t>The Court found that while Sorokin had complained about the search and seizure measure and the subsequent court proceedings under Articles 6, 8, and 13 of the Convention, it's drawing of conclusion under Article 10 made it unnecessary to examine the admissibility and merits of Sorokin's complaints separately. </w:t>
      </w:r>
    </w:p>
    <w:p w14:paraId="27430712" w14:textId="77777777" w:rsidR="009239D3" w:rsidRDefault="009239D3" w:rsidP="009239D3">
      <w:pPr>
        <w:pStyle w:val="NormalWeb"/>
      </w:pPr>
      <w:r>
        <w:rPr>
          <w:rStyle w:val="Emphasis"/>
        </w:rPr>
        <w:t>Damages</w:t>
      </w:r>
    </w:p>
    <w:p w14:paraId="5173185A" w14:textId="77777777" w:rsidR="009239D3" w:rsidRDefault="009239D3" w:rsidP="009239D3">
      <w:pPr>
        <w:pStyle w:val="NormalWeb"/>
      </w:pPr>
      <w:r>
        <w:t>The Court ordered the Russian State to pay Sorokin, under Article 44 § 2 of the Convention, EUR 7,500 in respect of non-pecuniary damage and EUR 6,000 to be paid directly into the bank account of Mr. A. Laptev (Sorokin's Lawyer) in respect of costs and expenses.</w:t>
      </w:r>
    </w:p>
    <w:p w14:paraId="477A143B" w14:textId="77777777" w:rsidR="009239D3" w:rsidRDefault="009239D3" w:rsidP="009239D3">
      <w:pPr>
        <w:pStyle w:val="NormalWeb"/>
      </w:pPr>
      <w:r>
        <w:rPr>
          <w:rStyle w:val="Emphasis"/>
        </w:rPr>
        <w:t>Concurring opinion of Judge Zünd, joined by Judge Seibert-Fohr. </w:t>
      </w:r>
    </w:p>
    <w:p w14:paraId="191DF4E5" w14:textId="5481E2CD" w:rsidR="00136E43" w:rsidRPr="009239D3" w:rsidRDefault="009239D3" w:rsidP="009239D3">
      <w:pPr>
        <w:pStyle w:val="NormalWeb"/>
      </w:pPr>
      <w:r>
        <w:t>In Judge Zünd's view, he consented that "in abstracto that a sifting procedure may be necessary if the search and seizure of electronic devices belonging to a journalist are concerned" [para 3]; however, he disagreed that in the instant case, such a procedure could have been appropriate to the aim pursued. In his opinion, while a disclosure order or even a search and seizure order could be justified by an overriding public interest when such measures prove necessary for the investigation of very serious crimes, and thought that there was no connection to the crime between any such act and the justifications offered by the Government and the domestic authorities. Mainly, Judge Zünd considered that the measures taken in the present case were explicitly intended to ensure that the applicant removed the interview from his Internet site and that he did not use the material for further publications, an effort directed against freedom of expression. For Zünd, the search and seizure measures were, from the outset, "incompatible with Article 10 of the Convention on substantive grounds." [para 3]</w:t>
      </w:r>
    </w:p>
    <w:p w14:paraId="3C29B50B"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Direction:</w:t>
      </w:r>
    </w:p>
    <w:p w14:paraId="271340E9" w14:textId="7E3EA6D0"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xml:space="preserve">: </w:t>
      </w:r>
      <w:r w:rsidR="00E451C1" w:rsidRPr="004343DC">
        <w:rPr>
          <w:color w:val="000000" w:themeColor="text1"/>
          <w:sz w:val="22"/>
          <w:szCs w:val="22"/>
          <w:lang w:val="en-US"/>
        </w:rPr>
        <w:t>Expands Expression</w:t>
      </w:r>
      <w:r w:rsidR="00254AEC" w:rsidRPr="004343DC">
        <w:rPr>
          <w:color w:val="000000" w:themeColor="text1"/>
          <w:sz w:val="22"/>
          <w:szCs w:val="22"/>
          <w:lang w:val="en-US"/>
        </w:rPr>
        <w:t>.</w:t>
      </w:r>
    </w:p>
    <w:p w14:paraId="28AE0349" w14:textId="77777777" w:rsidR="00351041" w:rsidRPr="004343DC" w:rsidRDefault="00351041" w:rsidP="00351041">
      <w:pPr>
        <w:spacing w:line="276" w:lineRule="auto"/>
        <w:jc w:val="both"/>
        <w:rPr>
          <w:color w:val="000000" w:themeColor="text1"/>
          <w:sz w:val="22"/>
          <w:szCs w:val="22"/>
          <w:lang w:val="en-US"/>
        </w:rPr>
      </w:pPr>
    </w:p>
    <w:p w14:paraId="4B0E1FCC" w14:textId="77777777" w:rsidR="00046D2A" w:rsidRDefault="00351041" w:rsidP="00046D2A">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Information</w:t>
      </w:r>
      <w:r w:rsidRPr="004343DC">
        <w:rPr>
          <w:color w:val="000000" w:themeColor="text1"/>
          <w:sz w:val="22"/>
          <w:szCs w:val="22"/>
          <w:lang w:val="en-US"/>
        </w:rPr>
        <w:t>:</w:t>
      </w:r>
    </w:p>
    <w:p w14:paraId="66234559" w14:textId="77777777" w:rsidR="00046D2A" w:rsidRPr="00046D2A" w:rsidRDefault="00046D2A" w:rsidP="00046D2A">
      <w:pPr>
        <w:pStyle w:val="ListParagraph"/>
        <w:rPr>
          <w:color w:val="000000" w:themeColor="text1"/>
          <w:sz w:val="22"/>
          <w:szCs w:val="22"/>
          <w:lang w:val="en-US"/>
        </w:rPr>
      </w:pPr>
    </w:p>
    <w:p w14:paraId="3FA22E19" w14:textId="77E6A3B5" w:rsidR="00C60CF8" w:rsidRPr="00046D2A" w:rsidRDefault="00046D2A" w:rsidP="00046D2A">
      <w:pPr>
        <w:pStyle w:val="ListParagraph"/>
        <w:numPr>
          <w:ilvl w:val="0"/>
          <w:numId w:val="4"/>
        </w:numPr>
        <w:spacing w:line="276" w:lineRule="auto"/>
        <w:jc w:val="both"/>
        <w:rPr>
          <w:color w:val="000000" w:themeColor="text1"/>
          <w:sz w:val="22"/>
          <w:szCs w:val="22"/>
          <w:lang w:val="en-US"/>
        </w:rPr>
      </w:pPr>
      <w:r w:rsidRPr="00046D2A">
        <w:rPr>
          <w:color w:val="000000" w:themeColor="text1"/>
          <w:sz w:val="22"/>
          <w:szCs w:val="22"/>
          <w:lang w:val="en-US"/>
        </w:rPr>
        <w:t>The ruling broadens the scope of freedom of expression by concluding that the applicant's right to the freedom was violated when his home was authorized for a search and seizure of his electronic devices. In particular, the Court upheld that while the impugned measures found a legal basis in domestic law, there was a lack of procedural safeguards protecting journalistic sources and addressing the seizure and examination of data carriers; leading to the undermining of the press's task of imparting and dissemination information of public interest.</w:t>
      </w:r>
    </w:p>
    <w:p w14:paraId="6CE047B7" w14:textId="77777777" w:rsidR="00046D2A" w:rsidRPr="004343DC" w:rsidRDefault="00046D2A" w:rsidP="00351041">
      <w:pPr>
        <w:pStyle w:val="ListParagraph"/>
        <w:spacing w:line="276" w:lineRule="auto"/>
        <w:ind w:left="360"/>
        <w:jc w:val="both"/>
        <w:rPr>
          <w:color w:val="000000" w:themeColor="text1"/>
          <w:sz w:val="22"/>
          <w:szCs w:val="22"/>
          <w:lang w:val="en-US"/>
        </w:rPr>
      </w:pPr>
    </w:p>
    <w:p w14:paraId="5DA66607"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Perspective</w:t>
      </w:r>
      <w:r w:rsidRPr="004343DC">
        <w:rPr>
          <w:color w:val="000000" w:themeColor="text1"/>
          <w:sz w:val="22"/>
          <w:szCs w:val="22"/>
          <w:lang w:val="en-US"/>
        </w:rPr>
        <w:t xml:space="preserve">: </w:t>
      </w:r>
    </w:p>
    <w:p w14:paraId="05EF3D51" w14:textId="3EF55CB4" w:rsidR="00C60CF8" w:rsidRDefault="00351041" w:rsidP="004022B5">
      <w:pPr>
        <w:pStyle w:val="ListParagraph"/>
        <w:numPr>
          <w:ilvl w:val="0"/>
          <w:numId w:val="3"/>
        </w:numPr>
        <w:spacing w:line="276" w:lineRule="auto"/>
        <w:jc w:val="both"/>
        <w:rPr>
          <w:color w:val="000000" w:themeColor="text1"/>
          <w:sz w:val="22"/>
          <w:szCs w:val="22"/>
          <w:lang w:val="en-US"/>
        </w:rPr>
      </w:pPr>
      <w:r w:rsidRPr="004022B5">
        <w:rPr>
          <w:b/>
          <w:bCs/>
          <w:color w:val="000000" w:themeColor="text1"/>
          <w:sz w:val="22"/>
          <w:szCs w:val="22"/>
          <w:lang w:val="en-US"/>
        </w:rPr>
        <w:t>Outcome</w:t>
      </w:r>
      <w:r w:rsidRPr="004022B5">
        <w:rPr>
          <w:color w:val="000000" w:themeColor="text1"/>
          <w:sz w:val="22"/>
          <w:szCs w:val="22"/>
          <w:lang w:val="en-US"/>
        </w:rPr>
        <w:t xml:space="preserve">: </w:t>
      </w:r>
      <w:r w:rsidR="004022B5" w:rsidRPr="004022B5">
        <w:rPr>
          <w:color w:val="000000" w:themeColor="text1"/>
          <w:sz w:val="22"/>
          <w:szCs w:val="22"/>
          <w:lang w:val="en-US"/>
        </w:rPr>
        <w:t>International and/or Regional Perspective</w:t>
      </w:r>
    </w:p>
    <w:p w14:paraId="65F23590" w14:textId="77777777" w:rsidR="004022B5" w:rsidRPr="004022B5" w:rsidRDefault="004022B5" w:rsidP="004022B5">
      <w:pPr>
        <w:pStyle w:val="ListParagraph"/>
        <w:spacing w:line="276" w:lineRule="auto"/>
        <w:ind w:left="360"/>
        <w:jc w:val="both"/>
        <w:rPr>
          <w:color w:val="000000" w:themeColor="text1"/>
          <w:sz w:val="22"/>
          <w:szCs w:val="22"/>
          <w:lang w:val="en-US"/>
        </w:rPr>
      </w:pPr>
    </w:p>
    <w:p w14:paraId="4C9E00CF" w14:textId="77777777" w:rsidR="00351041" w:rsidRPr="004343DC" w:rsidRDefault="00351041" w:rsidP="00351041">
      <w:pPr>
        <w:pStyle w:val="ListParagraph"/>
        <w:numPr>
          <w:ilvl w:val="0"/>
          <w:numId w:val="3"/>
        </w:numPr>
        <w:spacing w:line="276" w:lineRule="auto"/>
        <w:jc w:val="both"/>
        <w:rPr>
          <w:color w:val="000000" w:themeColor="text1"/>
          <w:sz w:val="22"/>
          <w:szCs w:val="22"/>
        </w:rPr>
      </w:pPr>
      <w:r w:rsidRPr="004343DC">
        <w:rPr>
          <w:b/>
          <w:bCs/>
          <w:color w:val="000000" w:themeColor="text1"/>
          <w:sz w:val="22"/>
          <w:szCs w:val="22"/>
          <w:lang w:val="en-US"/>
        </w:rPr>
        <w:t>Related International and/or regional laws</w:t>
      </w:r>
      <w:r w:rsidRPr="004343DC">
        <w:rPr>
          <w:color w:val="000000" w:themeColor="text1"/>
          <w:sz w:val="22"/>
          <w:szCs w:val="22"/>
          <w:lang w:val="en-US"/>
        </w:rPr>
        <w:t xml:space="preserve">: </w:t>
      </w:r>
    </w:p>
    <w:p w14:paraId="6491D9A4" w14:textId="7CE252A9" w:rsidR="00351041" w:rsidRDefault="004022B5" w:rsidP="00351041">
      <w:pPr>
        <w:pStyle w:val="ListParagraph"/>
        <w:spacing w:line="276" w:lineRule="auto"/>
        <w:ind w:left="360"/>
        <w:jc w:val="both"/>
        <w:rPr>
          <w:color w:val="000000" w:themeColor="text1"/>
          <w:sz w:val="22"/>
          <w:szCs w:val="22"/>
        </w:rPr>
      </w:pPr>
      <w:r>
        <w:rPr>
          <w:sz w:val="22"/>
          <w:szCs w:val="22"/>
        </w:rPr>
        <w:t>ECHR, art. 6</w:t>
      </w:r>
      <w:r w:rsidR="00011E0E" w:rsidRPr="004343DC">
        <w:rPr>
          <w:color w:val="000000" w:themeColor="text1"/>
          <w:sz w:val="22"/>
          <w:szCs w:val="22"/>
        </w:rPr>
        <w:t>;</w:t>
      </w:r>
    </w:p>
    <w:p w14:paraId="380C66AC" w14:textId="76BA9A05" w:rsidR="004022B5" w:rsidRDefault="004022B5" w:rsidP="004022B5">
      <w:pPr>
        <w:pStyle w:val="ListParagraph"/>
        <w:spacing w:line="276" w:lineRule="auto"/>
        <w:ind w:left="360"/>
        <w:jc w:val="both"/>
        <w:rPr>
          <w:color w:val="000000" w:themeColor="text1"/>
          <w:sz w:val="22"/>
          <w:szCs w:val="22"/>
        </w:rPr>
      </w:pPr>
      <w:r>
        <w:rPr>
          <w:sz w:val="22"/>
          <w:szCs w:val="22"/>
        </w:rPr>
        <w:t>ECHR, art. 8</w:t>
      </w:r>
      <w:r w:rsidRPr="004343DC">
        <w:rPr>
          <w:color w:val="000000" w:themeColor="text1"/>
          <w:sz w:val="22"/>
          <w:szCs w:val="22"/>
        </w:rPr>
        <w:t>;</w:t>
      </w:r>
    </w:p>
    <w:p w14:paraId="525F259D" w14:textId="34B26A07" w:rsidR="004022B5" w:rsidRDefault="004022B5" w:rsidP="004022B5">
      <w:pPr>
        <w:pStyle w:val="ListParagraph"/>
        <w:spacing w:line="276" w:lineRule="auto"/>
        <w:ind w:left="360"/>
        <w:jc w:val="both"/>
        <w:rPr>
          <w:sz w:val="22"/>
          <w:szCs w:val="22"/>
        </w:rPr>
      </w:pPr>
      <w:r>
        <w:rPr>
          <w:sz w:val="22"/>
          <w:szCs w:val="22"/>
        </w:rPr>
        <w:t>ECHR, art. 10;</w:t>
      </w:r>
    </w:p>
    <w:p w14:paraId="566D3EBB" w14:textId="6A9CC95C" w:rsidR="004022B5" w:rsidRPr="004022B5" w:rsidRDefault="004022B5" w:rsidP="004022B5">
      <w:pPr>
        <w:pStyle w:val="ListParagraph"/>
        <w:tabs>
          <w:tab w:val="left" w:pos="3608"/>
        </w:tabs>
        <w:spacing w:line="276" w:lineRule="auto"/>
        <w:ind w:left="360"/>
        <w:jc w:val="both"/>
        <w:rPr>
          <w:color w:val="000000" w:themeColor="text1"/>
          <w:sz w:val="22"/>
          <w:szCs w:val="22"/>
        </w:rPr>
      </w:pPr>
      <w:r>
        <w:rPr>
          <w:sz w:val="22"/>
          <w:szCs w:val="22"/>
        </w:rPr>
        <w:t>ECHR, art. 41;</w:t>
      </w:r>
      <w:r>
        <w:rPr>
          <w:sz w:val="22"/>
          <w:szCs w:val="22"/>
        </w:rPr>
        <w:tab/>
      </w:r>
    </w:p>
    <w:p w14:paraId="0A18A6AD" w14:textId="4027E431" w:rsidR="00B40F84" w:rsidRPr="004343DC" w:rsidRDefault="00C2034A" w:rsidP="00192F50">
      <w:pPr>
        <w:pStyle w:val="ListParagraph"/>
        <w:spacing w:line="276" w:lineRule="auto"/>
        <w:ind w:left="360"/>
        <w:jc w:val="both"/>
        <w:rPr>
          <w:color w:val="000000" w:themeColor="text1"/>
          <w:sz w:val="22"/>
          <w:szCs w:val="22"/>
        </w:rPr>
      </w:pPr>
      <w:hyperlink r:id="rId18" w:anchor="{&quot;itemid&quot;:[&quot;001-95154&quot;]}" w:history="1">
        <w:r w:rsidR="00B40F84" w:rsidRPr="004343DC">
          <w:rPr>
            <w:rStyle w:val="Hyperlink"/>
            <w:color w:val="000000" w:themeColor="text1"/>
            <w:sz w:val="22"/>
            <w:szCs w:val="22"/>
          </w:rPr>
          <w:t xml:space="preserve">ECtHR, </w:t>
        </w:r>
      </w:hyperlink>
      <w:r w:rsidR="004022B5" w:rsidRPr="004022B5">
        <w:t xml:space="preserve"> </w:t>
      </w:r>
      <w:r w:rsidR="004022B5" w:rsidRPr="004022B5">
        <w:rPr>
          <w:rStyle w:val="Hyperlink"/>
          <w:color w:val="000000" w:themeColor="text1"/>
          <w:sz w:val="22"/>
          <w:szCs w:val="22"/>
        </w:rPr>
        <w:t>Sanoma Uitgevers B.V. v. the Netherlands, App. No. 38224 (2003)</w:t>
      </w:r>
      <w:r w:rsidR="00B40F84" w:rsidRPr="004343DC">
        <w:rPr>
          <w:color w:val="000000" w:themeColor="text1"/>
          <w:sz w:val="22"/>
          <w:szCs w:val="22"/>
        </w:rPr>
        <w:t xml:space="preserve">; </w:t>
      </w:r>
      <w:r w:rsidR="005D72FE" w:rsidRPr="004343DC">
        <w:rPr>
          <w:color w:val="000000" w:themeColor="text1"/>
          <w:sz w:val="22"/>
          <w:szCs w:val="22"/>
        </w:rPr>
        <w:t xml:space="preserve"> </w:t>
      </w:r>
    </w:p>
    <w:p w14:paraId="6EBEF943" w14:textId="53210035" w:rsidR="00B40F84" w:rsidRPr="004343DC" w:rsidRDefault="00C2034A" w:rsidP="00454276">
      <w:pPr>
        <w:pStyle w:val="ListParagraph"/>
        <w:spacing w:line="276" w:lineRule="auto"/>
        <w:ind w:left="360"/>
        <w:jc w:val="both"/>
        <w:rPr>
          <w:color w:val="000000" w:themeColor="text1"/>
          <w:sz w:val="22"/>
          <w:szCs w:val="22"/>
        </w:rPr>
      </w:pPr>
      <w:hyperlink r:id="rId19" w:anchor="{&quot;fulltext&quot;:[&quot;\" w:history="1">
        <w:r w:rsidR="00B40F84" w:rsidRPr="004343DC">
          <w:rPr>
            <w:rStyle w:val="Hyperlink"/>
            <w:color w:val="000000" w:themeColor="text1"/>
            <w:sz w:val="22"/>
            <w:szCs w:val="22"/>
          </w:rPr>
          <w:t xml:space="preserve">ECtHR, </w:t>
        </w:r>
      </w:hyperlink>
      <w:r w:rsidR="004022B5" w:rsidRPr="004022B5">
        <w:t xml:space="preserve"> </w:t>
      </w:r>
      <w:r w:rsidR="004022B5" w:rsidRPr="004022B5">
        <w:rPr>
          <w:rStyle w:val="Hyperlink"/>
          <w:color w:val="000000" w:themeColor="text1"/>
          <w:sz w:val="22"/>
          <w:szCs w:val="22"/>
        </w:rPr>
        <w:t>Big Brother Watch and Others v. the United Kingdom (2021), app. no. 58170/13, 62322/14 and 24960/15.</w:t>
      </w:r>
      <w:r w:rsidR="00B40F84" w:rsidRPr="004343DC">
        <w:rPr>
          <w:color w:val="000000" w:themeColor="text1"/>
          <w:sz w:val="22"/>
          <w:szCs w:val="22"/>
        </w:rPr>
        <w:t>;</w:t>
      </w:r>
    </w:p>
    <w:p w14:paraId="2F6D64F2" w14:textId="5AB284C6" w:rsidR="00B40F84" w:rsidRPr="00C221F0" w:rsidRDefault="00B40F84" w:rsidP="00192F50">
      <w:pPr>
        <w:pStyle w:val="ListParagraph"/>
        <w:spacing w:line="276" w:lineRule="auto"/>
        <w:ind w:left="360"/>
        <w:jc w:val="both"/>
        <w:rPr>
          <w:color w:val="000000" w:themeColor="text1"/>
          <w:sz w:val="22"/>
          <w:szCs w:val="22"/>
          <w:u w:val="single"/>
        </w:rPr>
      </w:pPr>
      <w:r w:rsidRPr="00C221F0">
        <w:rPr>
          <w:sz w:val="22"/>
          <w:szCs w:val="22"/>
          <w:u w:val="single"/>
        </w:rPr>
        <w:lastRenderedPageBreak/>
        <w:t>ECtHR,</w:t>
      </w:r>
      <w:r w:rsidR="004022B5" w:rsidRPr="00C221F0">
        <w:rPr>
          <w:sz w:val="22"/>
          <w:szCs w:val="22"/>
          <w:u w:val="single"/>
        </w:rPr>
        <w:t xml:space="preserve"> Roemen v. Luxembourg, No. 51772/99 (2003)</w:t>
      </w:r>
      <w:r w:rsidRPr="00C221F0">
        <w:rPr>
          <w:color w:val="000000" w:themeColor="text1"/>
          <w:sz w:val="22"/>
          <w:szCs w:val="22"/>
          <w:u w:val="single"/>
        </w:rPr>
        <w:t xml:space="preserve">; </w:t>
      </w:r>
    </w:p>
    <w:p w14:paraId="12C65715" w14:textId="38560425" w:rsidR="00B40F84" w:rsidRPr="00C221F0" w:rsidRDefault="00C2034A" w:rsidP="00192F50">
      <w:pPr>
        <w:pStyle w:val="ListParagraph"/>
        <w:spacing w:line="276" w:lineRule="auto"/>
        <w:ind w:left="360"/>
        <w:jc w:val="both"/>
        <w:rPr>
          <w:color w:val="000000" w:themeColor="text1"/>
          <w:sz w:val="22"/>
          <w:szCs w:val="22"/>
          <w:u w:val="single"/>
        </w:rPr>
      </w:pPr>
      <w:hyperlink r:id="rId20" w:anchor="{&quot;fulltext&quot;:[&quot;\" w:history="1">
        <w:r w:rsidR="00B40F84" w:rsidRPr="00C221F0">
          <w:rPr>
            <w:rStyle w:val="Hyperlink"/>
            <w:color w:val="000000" w:themeColor="text1"/>
            <w:sz w:val="22"/>
            <w:szCs w:val="22"/>
          </w:rPr>
          <w:t xml:space="preserve">ECtHR, </w:t>
        </w:r>
      </w:hyperlink>
      <w:r w:rsidR="004022B5" w:rsidRPr="00C221F0">
        <w:rPr>
          <w:sz w:val="22"/>
          <w:szCs w:val="22"/>
          <w:u w:val="single"/>
        </w:rPr>
        <w:t xml:space="preserve"> </w:t>
      </w:r>
      <w:r w:rsidR="004022B5" w:rsidRPr="00C221F0">
        <w:rPr>
          <w:rStyle w:val="Hyperlink"/>
          <w:color w:val="000000" w:themeColor="text1"/>
          <w:sz w:val="22"/>
          <w:szCs w:val="22"/>
        </w:rPr>
        <w:t>Särgava v. Estonia, App. No. 698/19 (2021)</w:t>
      </w:r>
      <w:r w:rsidR="00B40F84" w:rsidRPr="00C221F0">
        <w:rPr>
          <w:color w:val="000000" w:themeColor="text1"/>
          <w:sz w:val="22"/>
          <w:szCs w:val="22"/>
          <w:u w:val="single"/>
        </w:rPr>
        <w:t xml:space="preserve">; </w:t>
      </w:r>
    </w:p>
    <w:p w14:paraId="5E0778D3" w14:textId="7A3FDFE2" w:rsidR="00B40F84" w:rsidRPr="00C221F0" w:rsidRDefault="00C2034A" w:rsidP="00192F50">
      <w:pPr>
        <w:pStyle w:val="ListParagraph"/>
        <w:spacing w:line="276" w:lineRule="auto"/>
        <w:ind w:left="360"/>
        <w:jc w:val="both"/>
        <w:rPr>
          <w:color w:val="000000" w:themeColor="text1"/>
          <w:sz w:val="22"/>
          <w:szCs w:val="22"/>
          <w:u w:val="single"/>
        </w:rPr>
      </w:pPr>
      <w:hyperlink r:id="rId21" w:anchor="{&quot;fulltext&quot;:[&quot;\" w:history="1">
        <w:r w:rsidR="00B40F84" w:rsidRPr="00C221F0">
          <w:rPr>
            <w:rStyle w:val="Hyperlink"/>
            <w:color w:val="000000" w:themeColor="text1"/>
            <w:sz w:val="22"/>
            <w:szCs w:val="22"/>
          </w:rPr>
          <w:t xml:space="preserve">ECtHR, </w:t>
        </w:r>
      </w:hyperlink>
      <w:r w:rsidR="004022B5" w:rsidRPr="00C221F0">
        <w:rPr>
          <w:sz w:val="22"/>
          <w:szCs w:val="22"/>
          <w:u w:val="single"/>
        </w:rPr>
        <w:t xml:space="preserve"> </w:t>
      </w:r>
      <w:r w:rsidR="004022B5" w:rsidRPr="00C221F0">
        <w:rPr>
          <w:rStyle w:val="Hyperlink"/>
          <w:color w:val="000000" w:themeColor="text1"/>
          <w:sz w:val="22"/>
          <w:szCs w:val="22"/>
        </w:rPr>
        <w:t>Nagla v. Latvia, App. No. 73469/10 (2013)</w:t>
      </w:r>
      <w:r w:rsidR="00B40F84" w:rsidRPr="00C221F0">
        <w:rPr>
          <w:color w:val="000000" w:themeColor="text1"/>
          <w:sz w:val="22"/>
          <w:szCs w:val="22"/>
          <w:u w:val="single"/>
        </w:rPr>
        <w:t>;</w:t>
      </w:r>
    </w:p>
    <w:p w14:paraId="5FB31955" w14:textId="206F34C9" w:rsidR="00B40F84" w:rsidRPr="00C221F0" w:rsidRDefault="00C2034A" w:rsidP="00192F50">
      <w:pPr>
        <w:pStyle w:val="ListParagraph"/>
        <w:spacing w:line="276" w:lineRule="auto"/>
        <w:ind w:left="360"/>
        <w:jc w:val="both"/>
        <w:rPr>
          <w:color w:val="000000" w:themeColor="text1"/>
          <w:sz w:val="22"/>
          <w:szCs w:val="22"/>
          <w:u w:val="single"/>
        </w:rPr>
      </w:pPr>
      <w:hyperlink r:id="rId22" w:anchor="{&quot;fulltext&quot;:[&quot;\" w:history="1">
        <w:r w:rsidR="00B40F84" w:rsidRPr="00C221F0">
          <w:rPr>
            <w:rStyle w:val="Hyperlink"/>
            <w:color w:val="000000" w:themeColor="text1"/>
            <w:sz w:val="22"/>
            <w:szCs w:val="22"/>
          </w:rPr>
          <w:t xml:space="preserve">ECtHR, </w:t>
        </w:r>
      </w:hyperlink>
      <w:r w:rsidR="004022B5" w:rsidRPr="00C221F0">
        <w:rPr>
          <w:sz w:val="22"/>
          <w:szCs w:val="22"/>
          <w:u w:val="single"/>
        </w:rPr>
        <w:t xml:space="preserve"> </w:t>
      </w:r>
      <w:r w:rsidR="004022B5" w:rsidRPr="00C221F0">
        <w:rPr>
          <w:rStyle w:val="Hyperlink"/>
          <w:color w:val="000000" w:themeColor="text1"/>
          <w:sz w:val="22"/>
          <w:szCs w:val="22"/>
        </w:rPr>
        <w:t>Robathin v. Austria, App. No. 30457/06 (2012)</w:t>
      </w:r>
      <w:r w:rsidR="00B40F84" w:rsidRPr="00C221F0">
        <w:rPr>
          <w:color w:val="000000" w:themeColor="text1"/>
          <w:sz w:val="22"/>
          <w:szCs w:val="22"/>
          <w:u w:val="single"/>
        </w:rPr>
        <w:t>;</w:t>
      </w:r>
    </w:p>
    <w:p w14:paraId="74DFB42F" w14:textId="685E8A90" w:rsidR="00B40F84" w:rsidRPr="00C221F0" w:rsidRDefault="00C2034A" w:rsidP="00454276">
      <w:pPr>
        <w:pStyle w:val="ListParagraph"/>
        <w:spacing w:line="276" w:lineRule="auto"/>
        <w:ind w:left="360"/>
        <w:jc w:val="both"/>
        <w:rPr>
          <w:color w:val="000000" w:themeColor="text1"/>
          <w:sz w:val="22"/>
          <w:szCs w:val="22"/>
          <w:u w:val="single"/>
        </w:rPr>
      </w:pPr>
      <w:hyperlink r:id="rId23" w:anchor="{&quot;fulltext&quot;:[&quot;janowski&quot;],&quot;documentcollectionid2&quot;:[&quot;GRANDCHAMBER&quot;,&quot;CHAMBER&quot;],&quot;itemid&quot;:[&quot;001-58909&quot;]}" w:history="1">
        <w:r w:rsidR="00B40F84" w:rsidRPr="00C221F0">
          <w:rPr>
            <w:rStyle w:val="Hyperlink"/>
            <w:color w:val="000000" w:themeColor="text1"/>
            <w:sz w:val="22"/>
            <w:szCs w:val="22"/>
          </w:rPr>
          <w:t xml:space="preserve">ECtHR, </w:t>
        </w:r>
      </w:hyperlink>
      <w:r w:rsidR="004022B5" w:rsidRPr="00C221F0">
        <w:rPr>
          <w:sz w:val="22"/>
          <w:szCs w:val="22"/>
          <w:u w:val="single"/>
        </w:rPr>
        <w:t xml:space="preserve"> </w:t>
      </w:r>
      <w:r w:rsidR="004022B5" w:rsidRPr="00C221F0">
        <w:rPr>
          <w:rStyle w:val="Hyperlink"/>
          <w:color w:val="000000" w:themeColor="text1"/>
          <w:sz w:val="22"/>
          <w:szCs w:val="22"/>
        </w:rPr>
        <w:t>Nordisk Film &amp; TV A/S v. Denmark, App. No. 40485/02 (2005)</w:t>
      </w:r>
      <w:r w:rsidR="00B40F84" w:rsidRPr="00C221F0">
        <w:rPr>
          <w:color w:val="000000" w:themeColor="text1"/>
          <w:sz w:val="22"/>
          <w:szCs w:val="22"/>
          <w:u w:val="single"/>
        </w:rPr>
        <w:t>;</w:t>
      </w:r>
    </w:p>
    <w:p w14:paraId="71AB4329" w14:textId="2E1DAE02" w:rsidR="00C221F0" w:rsidRPr="00C221F0" w:rsidRDefault="00C221F0" w:rsidP="00454276">
      <w:pPr>
        <w:pStyle w:val="ListParagraph"/>
        <w:spacing w:line="276" w:lineRule="auto"/>
        <w:ind w:left="360"/>
        <w:jc w:val="both"/>
        <w:rPr>
          <w:rStyle w:val="sbc73225d"/>
          <w:iCs/>
          <w:color w:val="000000"/>
          <w:sz w:val="22"/>
          <w:szCs w:val="22"/>
          <w:u w:val="single"/>
          <w:shd w:val="clear" w:color="auto" w:fill="FFFFFF"/>
        </w:rPr>
      </w:pPr>
      <w:r w:rsidRPr="00C221F0">
        <w:rPr>
          <w:color w:val="000000" w:themeColor="text1"/>
          <w:sz w:val="22"/>
          <w:szCs w:val="22"/>
          <w:u w:val="single"/>
        </w:rPr>
        <w:t xml:space="preserve">ECtHR, </w:t>
      </w:r>
      <w:r w:rsidRPr="00C221F0">
        <w:rPr>
          <w:rStyle w:val="sbc73225d"/>
          <w:iCs/>
          <w:color w:val="000000"/>
          <w:sz w:val="22"/>
          <w:szCs w:val="22"/>
          <w:u w:val="single"/>
          <w:shd w:val="clear" w:color="auto" w:fill="FFFFFF"/>
        </w:rPr>
        <w:t>Vereniging Weekblad </w:t>
      </w:r>
      <w:r w:rsidRPr="00C221F0">
        <w:rPr>
          <w:rStyle w:val="s68f5eaef"/>
          <w:color w:val="000000"/>
          <w:sz w:val="22"/>
          <w:szCs w:val="22"/>
          <w:u w:val="single"/>
          <w:shd w:val="clear" w:color="auto" w:fill="FFFFFF"/>
        </w:rPr>
        <w:t>Bluf!</w:t>
      </w:r>
      <w:r w:rsidRPr="00C221F0">
        <w:rPr>
          <w:rStyle w:val="sbc73225d"/>
          <w:iCs/>
          <w:color w:val="000000"/>
          <w:sz w:val="22"/>
          <w:szCs w:val="22"/>
          <w:u w:val="single"/>
          <w:shd w:val="clear" w:color="auto" w:fill="FFFFFF"/>
        </w:rPr>
        <w:t> v. the Netherlands</w:t>
      </w:r>
      <w:r w:rsidRPr="00C221F0">
        <w:rPr>
          <w:rStyle w:val="sbc73225d"/>
          <w:iCs/>
          <w:color w:val="000000"/>
          <w:sz w:val="22"/>
          <w:szCs w:val="22"/>
          <w:u w:val="single"/>
          <w:shd w:val="clear" w:color="auto" w:fill="FFFFFF"/>
        </w:rPr>
        <w:t>, App. No 16616/90 (1995)</w:t>
      </w:r>
    </w:p>
    <w:p w14:paraId="530EE6D3" w14:textId="738A9EC6" w:rsidR="00C221F0" w:rsidRDefault="00C221F0" w:rsidP="00454276">
      <w:pPr>
        <w:pStyle w:val="ListParagraph"/>
        <w:spacing w:line="276" w:lineRule="auto"/>
        <w:ind w:left="360"/>
        <w:jc w:val="both"/>
        <w:rPr>
          <w:rStyle w:val="sbc73225d"/>
          <w:iCs/>
          <w:color w:val="000000"/>
          <w:sz w:val="22"/>
          <w:szCs w:val="22"/>
          <w:u w:val="single"/>
          <w:shd w:val="clear" w:color="auto" w:fill="FFFFFF"/>
        </w:rPr>
      </w:pPr>
      <w:r w:rsidRPr="00C221F0">
        <w:rPr>
          <w:rStyle w:val="sbc73225d"/>
          <w:iCs/>
          <w:color w:val="000000"/>
          <w:sz w:val="22"/>
          <w:szCs w:val="22"/>
          <w:u w:val="single"/>
          <w:shd w:val="clear" w:color="auto" w:fill="FFFFFF"/>
        </w:rPr>
        <w:t>ECtHR, Case of Kabalis v Russia, App. No 48310/16 and 59663/17 (2019)</w:t>
      </w:r>
    </w:p>
    <w:p w14:paraId="19704CD5" w14:textId="47F16299" w:rsidR="00C221F0" w:rsidRPr="00C221F0" w:rsidRDefault="00C221F0" w:rsidP="00454276">
      <w:pPr>
        <w:pStyle w:val="ListParagraph"/>
        <w:spacing w:line="276" w:lineRule="auto"/>
        <w:ind w:left="360"/>
        <w:jc w:val="both"/>
        <w:rPr>
          <w:rStyle w:val="sbc73225d"/>
          <w:iCs/>
          <w:color w:val="000000"/>
          <w:sz w:val="22"/>
          <w:szCs w:val="22"/>
          <w:u w:val="single"/>
          <w:shd w:val="clear" w:color="auto" w:fill="FFFFFF"/>
        </w:rPr>
      </w:pPr>
      <w:r>
        <w:rPr>
          <w:rStyle w:val="sbc73225d"/>
          <w:iCs/>
          <w:color w:val="000000"/>
          <w:sz w:val="22"/>
          <w:szCs w:val="22"/>
          <w:u w:val="single"/>
          <w:shd w:val="clear" w:color="auto" w:fill="FFFFFF"/>
        </w:rPr>
        <w:t>ECtHR, Avaz Zynalov v. Azerbaijan, App. No 37816/12 and 25260/14 (2021)</w:t>
      </w:r>
    </w:p>
    <w:p w14:paraId="60C8C156" w14:textId="77777777" w:rsidR="00241E8A" w:rsidRPr="00C221F0" w:rsidRDefault="00241E8A" w:rsidP="00C221F0">
      <w:pPr>
        <w:spacing w:line="276" w:lineRule="auto"/>
        <w:jc w:val="both"/>
        <w:rPr>
          <w:color w:val="000000" w:themeColor="text1"/>
          <w:sz w:val="22"/>
          <w:szCs w:val="22"/>
        </w:rPr>
      </w:pPr>
    </w:p>
    <w:p w14:paraId="652BD94B" w14:textId="77777777" w:rsidR="00351041"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National law or jurisprudence</w:t>
      </w:r>
      <w:r w:rsidRPr="004343DC">
        <w:rPr>
          <w:color w:val="000000" w:themeColor="text1"/>
          <w:sz w:val="22"/>
          <w:szCs w:val="22"/>
          <w:lang w:val="en-US"/>
        </w:rPr>
        <w:t>:</w:t>
      </w:r>
    </w:p>
    <w:p w14:paraId="209CBDFF" w14:textId="77777777" w:rsidR="004022B5" w:rsidRPr="004022B5" w:rsidRDefault="004022B5" w:rsidP="004022B5">
      <w:pPr>
        <w:pStyle w:val="ListParagraph"/>
        <w:spacing w:line="276" w:lineRule="auto"/>
        <w:ind w:left="360"/>
        <w:jc w:val="both"/>
        <w:rPr>
          <w:color w:val="000000" w:themeColor="text1"/>
          <w:sz w:val="22"/>
          <w:szCs w:val="22"/>
          <w:lang w:val="en-US"/>
        </w:rPr>
      </w:pPr>
      <w:r w:rsidRPr="004022B5">
        <w:rPr>
          <w:color w:val="000000" w:themeColor="text1"/>
          <w:sz w:val="22"/>
          <w:szCs w:val="22"/>
          <w:lang w:val="en-US"/>
        </w:rPr>
        <w:t>Russ., Code of Criminal Procedure, art. 165</w:t>
      </w:r>
    </w:p>
    <w:p w14:paraId="3831B4C2" w14:textId="77777777" w:rsidR="004022B5" w:rsidRPr="004022B5" w:rsidRDefault="004022B5" w:rsidP="004022B5">
      <w:pPr>
        <w:pStyle w:val="ListParagraph"/>
        <w:spacing w:line="276" w:lineRule="auto"/>
        <w:ind w:left="360"/>
        <w:jc w:val="both"/>
        <w:rPr>
          <w:color w:val="000000" w:themeColor="text1"/>
          <w:sz w:val="22"/>
          <w:szCs w:val="22"/>
          <w:lang w:val="en-US"/>
        </w:rPr>
      </w:pPr>
      <w:r w:rsidRPr="004022B5">
        <w:rPr>
          <w:color w:val="000000" w:themeColor="text1"/>
          <w:sz w:val="22"/>
          <w:szCs w:val="22"/>
          <w:lang w:val="en-US"/>
        </w:rPr>
        <w:t>Russ., Code of Criminal Procedure, art. 182 § 1</w:t>
      </w:r>
    </w:p>
    <w:p w14:paraId="0DF6A3B6" w14:textId="65F03723" w:rsidR="004022B5" w:rsidRPr="004343DC" w:rsidRDefault="004022B5" w:rsidP="004022B5">
      <w:pPr>
        <w:pStyle w:val="ListParagraph"/>
        <w:spacing w:line="276" w:lineRule="auto"/>
        <w:ind w:left="360"/>
        <w:jc w:val="both"/>
        <w:rPr>
          <w:color w:val="000000" w:themeColor="text1"/>
          <w:sz w:val="22"/>
          <w:szCs w:val="22"/>
          <w:lang w:val="en-US"/>
        </w:rPr>
      </w:pPr>
      <w:r w:rsidRPr="004022B5">
        <w:rPr>
          <w:color w:val="000000" w:themeColor="text1"/>
          <w:sz w:val="22"/>
          <w:szCs w:val="22"/>
          <w:lang w:val="en-US"/>
        </w:rPr>
        <w:t>Russ., Resolution of the Supreme Court No 16 "On the practice of courts of the Russian Federation on Mass Media Law", June 15, 2010</w:t>
      </w:r>
    </w:p>
    <w:p w14:paraId="2052ECC4" w14:textId="77777777" w:rsidR="00351041" w:rsidRPr="004343DC" w:rsidRDefault="00351041" w:rsidP="00512F7A">
      <w:pPr>
        <w:spacing w:line="276" w:lineRule="auto"/>
        <w:jc w:val="both"/>
        <w:rPr>
          <w:color w:val="000000" w:themeColor="text1"/>
          <w:sz w:val="22"/>
          <w:szCs w:val="22"/>
        </w:rPr>
      </w:pPr>
    </w:p>
    <w:p w14:paraId="2851D845" w14:textId="05AA7705"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Other national law or jurisprudence</w:t>
      </w:r>
      <w:r w:rsidRPr="004343DC">
        <w:rPr>
          <w:color w:val="000000" w:themeColor="text1"/>
          <w:sz w:val="22"/>
          <w:szCs w:val="22"/>
          <w:lang w:val="en-US"/>
        </w:rPr>
        <w:t>: N/A</w:t>
      </w:r>
      <w:r w:rsidR="00DA6DC2" w:rsidRPr="004343DC">
        <w:rPr>
          <w:color w:val="000000" w:themeColor="text1"/>
          <w:sz w:val="22"/>
          <w:szCs w:val="22"/>
          <w:lang w:val="en-US"/>
        </w:rPr>
        <w:t>.</w:t>
      </w:r>
    </w:p>
    <w:p w14:paraId="66E2AA54"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0AD3B80"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Significance</w:t>
      </w:r>
      <w:r w:rsidRPr="004343DC">
        <w:rPr>
          <w:color w:val="000000" w:themeColor="text1"/>
          <w:sz w:val="22"/>
          <w:szCs w:val="22"/>
          <w:lang w:val="en-US"/>
        </w:rPr>
        <w:t xml:space="preserve">: </w:t>
      </w:r>
    </w:p>
    <w:p w14:paraId="30D04EF4" w14:textId="77777777"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Significance:</w:t>
      </w:r>
      <w:r w:rsidRPr="004343DC">
        <w:rPr>
          <w:color w:val="000000" w:themeColor="text1"/>
          <w:sz w:val="22"/>
          <w:szCs w:val="22"/>
          <w:lang w:val="en-US"/>
        </w:rPr>
        <w:t xml:space="preserve"> The decision establishes a binding or persuasive precedent within its jurisdiction.</w:t>
      </w:r>
    </w:p>
    <w:p w14:paraId="4271BBFC"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683AB03" w14:textId="1D6632CB" w:rsidR="00351041" w:rsidRDefault="00351041" w:rsidP="00C221F0">
      <w:pPr>
        <w:pStyle w:val="ListParagraph"/>
        <w:numPr>
          <w:ilvl w:val="0"/>
          <w:numId w:val="2"/>
        </w:numPr>
        <w:spacing w:line="276" w:lineRule="auto"/>
        <w:jc w:val="both"/>
        <w:rPr>
          <w:color w:val="000000" w:themeColor="text1"/>
          <w:sz w:val="22"/>
          <w:szCs w:val="22"/>
        </w:rPr>
      </w:pPr>
      <w:r w:rsidRPr="004343DC">
        <w:rPr>
          <w:b/>
          <w:bCs/>
          <w:color w:val="000000" w:themeColor="text1"/>
          <w:sz w:val="22"/>
          <w:szCs w:val="22"/>
        </w:rPr>
        <w:t>Related Cases</w:t>
      </w:r>
      <w:r w:rsidRPr="004343DC">
        <w:rPr>
          <w:color w:val="000000" w:themeColor="text1"/>
          <w:sz w:val="22"/>
          <w:szCs w:val="22"/>
        </w:rPr>
        <w:t>: Self-generated</w:t>
      </w:r>
      <w:r w:rsidR="001F2B6B" w:rsidRPr="004343DC">
        <w:rPr>
          <w:color w:val="000000" w:themeColor="text1"/>
          <w:sz w:val="22"/>
          <w:szCs w:val="22"/>
        </w:rPr>
        <w:t>.</w:t>
      </w:r>
    </w:p>
    <w:p w14:paraId="6AD175F9" w14:textId="77777777" w:rsidR="00351041" w:rsidRPr="004343DC" w:rsidRDefault="00351041" w:rsidP="00351041">
      <w:pPr>
        <w:spacing w:line="276" w:lineRule="auto"/>
        <w:jc w:val="both"/>
        <w:rPr>
          <w:color w:val="000000" w:themeColor="text1"/>
          <w:sz w:val="22"/>
          <w:szCs w:val="22"/>
        </w:rPr>
      </w:pPr>
      <w:bookmarkStart w:id="0" w:name="_GoBack"/>
      <w:bookmarkEnd w:id="0"/>
    </w:p>
    <w:p w14:paraId="00A7CC7E" w14:textId="77777777" w:rsidR="00351041" w:rsidRPr="004343DC" w:rsidRDefault="00351041" w:rsidP="00351041">
      <w:pPr>
        <w:spacing w:line="276" w:lineRule="auto"/>
        <w:jc w:val="both"/>
        <w:rPr>
          <w:color w:val="000000" w:themeColor="text1"/>
          <w:sz w:val="22"/>
          <w:szCs w:val="22"/>
        </w:rPr>
      </w:pPr>
      <w:r w:rsidRPr="004343DC">
        <w:rPr>
          <w:b/>
          <w:bCs/>
          <w:i/>
          <w:iCs/>
          <w:color w:val="000000" w:themeColor="text1"/>
          <w:sz w:val="22"/>
          <w:szCs w:val="22"/>
          <w:u w:val="single"/>
        </w:rPr>
        <w:t>Documents:</w:t>
      </w:r>
      <w:r w:rsidRPr="004343DC">
        <w:rPr>
          <w:color w:val="000000" w:themeColor="text1"/>
          <w:sz w:val="22"/>
          <w:szCs w:val="22"/>
        </w:rPr>
        <w:t xml:space="preserve"> </w:t>
      </w:r>
    </w:p>
    <w:p w14:paraId="405CBB24" w14:textId="77777777" w:rsidR="00351041" w:rsidRPr="004343DC" w:rsidRDefault="00351041" w:rsidP="00351041">
      <w:pPr>
        <w:pStyle w:val="ListParagraph"/>
        <w:numPr>
          <w:ilvl w:val="0"/>
          <w:numId w:val="7"/>
        </w:numPr>
        <w:spacing w:line="276" w:lineRule="auto"/>
        <w:jc w:val="both"/>
        <w:rPr>
          <w:color w:val="000000" w:themeColor="text1"/>
          <w:sz w:val="22"/>
          <w:szCs w:val="22"/>
        </w:rPr>
      </w:pPr>
      <w:r w:rsidRPr="004343DC">
        <w:rPr>
          <w:b/>
          <w:bCs/>
          <w:color w:val="000000" w:themeColor="text1"/>
          <w:sz w:val="22"/>
          <w:szCs w:val="22"/>
        </w:rPr>
        <w:t>Official Case Documents</w:t>
      </w:r>
      <w:r w:rsidRPr="004343DC">
        <w:rPr>
          <w:color w:val="000000" w:themeColor="text1"/>
          <w:sz w:val="22"/>
          <w:szCs w:val="22"/>
        </w:rPr>
        <w:t xml:space="preserve">: </w:t>
      </w:r>
    </w:p>
    <w:p w14:paraId="408424DA" w14:textId="3D2936B8" w:rsidR="00351041" w:rsidRPr="004343DC" w:rsidRDefault="00351041" w:rsidP="00351041">
      <w:pPr>
        <w:pStyle w:val="ListParagraph"/>
        <w:spacing w:line="276" w:lineRule="auto"/>
        <w:ind w:left="360"/>
        <w:jc w:val="both"/>
        <w:rPr>
          <w:color w:val="000000" w:themeColor="text1"/>
          <w:sz w:val="22"/>
          <w:szCs w:val="22"/>
        </w:rPr>
      </w:pPr>
      <w:r w:rsidRPr="004343DC">
        <w:rPr>
          <w:color w:val="000000" w:themeColor="text1"/>
          <w:sz w:val="22"/>
          <w:szCs w:val="22"/>
        </w:rPr>
        <w:t>Judgment (ECtHR) (in English) [</w:t>
      </w:r>
      <w:hyperlink r:id="rId24" w:history="1">
        <w:r w:rsidRPr="004022B5">
          <w:rPr>
            <w:rStyle w:val="Hyperlink"/>
            <w:sz w:val="22"/>
            <w:szCs w:val="22"/>
          </w:rPr>
          <w:t>Attached</w:t>
        </w:r>
      </w:hyperlink>
      <w:r w:rsidRPr="004343DC">
        <w:rPr>
          <w:color w:val="000000" w:themeColor="text1"/>
          <w:sz w:val="22"/>
          <w:szCs w:val="22"/>
        </w:rPr>
        <w:t>]</w:t>
      </w:r>
      <w:r w:rsidR="00D54648" w:rsidRPr="004343DC">
        <w:rPr>
          <w:color w:val="000000" w:themeColor="text1"/>
          <w:sz w:val="22"/>
          <w:szCs w:val="22"/>
        </w:rPr>
        <w:t>;</w:t>
      </w:r>
    </w:p>
    <w:p w14:paraId="4F47D8D4" w14:textId="77777777" w:rsidR="00351041" w:rsidRPr="004343DC" w:rsidRDefault="00351041" w:rsidP="00351041">
      <w:pPr>
        <w:pStyle w:val="ListParagraph"/>
        <w:spacing w:line="276" w:lineRule="auto"/>
        <w:ind w:left="360"/>
        <w:jc w:val="both"/>
        <w:rPr>
          <w:color w:val="000000" w:themeColor="text1"/>
          <w:sz w:val="22"/>
          <w:szCs w:val="22"/>
        </w:rPr>
      </w:pPr>
    </w:p>
    <w:p w14:paraId="125619EE" w14:textId="77777777" w:rsidR="00351041" w:rsidRPr="007B461B" w:rsidRDefault="00351041" w:rsidP="00351041">
      <w:pPr>
        <w:pStyle w:val="ListParagraph"/>
        <w:numPr>
          <w:ilvl w:val="0"/>
          <w:numId w:val="6"/>
        </w:numPr>
        <w:spacing w:line="276" w:lineRule="auto"/>
        <w:jc w:val="both"/>
        <w:rPr>
          <w:color w:val="FF0000"/>
          <w:sz w:val="22"/>
          <w:szCs w:val="22"/>
        </w:rPr>
      </w:pPr>
      <w:r w:rsidRPr="007B461B">
        <w:rPr>
          <w:b/>
          <w:bCs/>
          <w:color w:val="000000" w:themeColor="text1"/>
          <w:sz w:val="22"/>
          <w:szCs w:val="22"/>
        </w:rPr>
        <w:t>Amicus briefs and other legal authorities</w:t>
      </w:r>
      <w:r w:rsidRPr="007B461B">
        <w:rPr>
          <w:color w:val="FF0000"/>
          <w:sz w:val="22"/>
          <w:szCs w:val="22"/>
        </w:rPr>
        <w:t>:</w:t>
      </w:r>
    </w:p>
    <w:p w14:paraId="0C2D7BEE" w14:textId="467011B6" w:rsidR="00351041" w:rsidRPr="004343DC" w:rsidRDefault="00C2034A" w:rsidP="00351041">
      <w:pPr>
        <w:pStyle w:val="ListParagraph"/>
        <w:spacing w:line="276" w:lineRule="auto"/>
        <w:ind w:left="360"/>
        <w:jc w:val="both"/>
        <w:rPr>
          <w:color w:val="000000" w:themeColor="text1"/>
          <w:sz w:val="22"/>
          <w:szCs w:val="22"/>
        </w:rPr>
      </w:pPr>
      <w:hyperlink r:id="rId25" w:history="1">
        <w:r w:rsidR="00351041" w:rsidRPr="004343DC">
          <w:rPr>
            <w:rStyle w:val="Hyperlink"/>
            <w:color w:val="000000" w:themeColor="text1"/>
            <w:sz w:val="22"/>
            <w:szCs w:val="22"/>
          </w:rPr>
          <w:t>Case Guide of the ECtHR on Article 10 (Freedom of Expression) (in English)</w:t>
        </w:r>
      </w:hyperlink>
      <w:r w:rsidR="00351041" w:rsidRPr="004343DC">
        <w:rPr>
          <w:color w:val="000000" w:themeColor="text1"/>
          <w:sz w:val="22"/>
          <w:szCs w:val="22"/>
        </w:rPr>
        <w:t xml:space="preserve"> [Attached]</w:t>
      </w:r>
      <w:r w:rsidR="00890678" w:rsidRPr="004343DC">
        <w:rPr>
          <w:color w:val="000000" w:themeColor="text1"/>
          <w:sz w:val="22"/>
          <w:szCs w:val="22"/>
        </w:rPr>
        <w:t>.</w:t>
      </w:r>
    </w:p>
    <w:p w14:paraId="035B2529" w14:textId="77777777" w:rsidR="00351041" w:rsidRPr="004343DC" w:rsidRDefault="00351041" w:rsidP="00351041">
      <w:pPr>
        <w:rPr>
          <w:color w:val="000000" w:themeColor="text1"/>
          <w:sz w:val="22"/>
          <w:szCs w:val="22"/>
        </w:rPr>
      </w:pPr>
    </w:p>
    <w:p w14:paraId="3E0FF403" w14:textId="77777777" w:rsidR="004A4D34" w:rsidRPr="004343DC" w:rsidRDefault="004A4D34">
      <w:pPr>
        <w:rPr>
          <w:color w:val="000000" w:themeColor="text1"/>
          <w:sz w:val="22"/>
          <w:szCs w:val="22"/>
        </w:rPr>
      </w:pPr>
    </w:p>
    <w:sectPr w:rsidR="004A4D34" w:rsidRPr="004343DC" w:rsidSect="007F17C2">
      <w:footerReference w:type="even" r:id="rId26"/>
      <w:footerReference w:type="default" r:id="rId27"/>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A53" w16cex:dateUtc="2022-06-1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354CE" w16cid:durableId="26545A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E0AE" w14:textId="77777777" w:rsidR="00C2034A" w:rsidRDefault="00C2034A" w:rsidP="003F2777">
      <w:r>
        <w:separator/>
      </w:r>
    </w:p>
  </w:endnote>
  <w:endnote w:type="continuationSeparator" w:id="0">
    <w:p w14:paraId="11B35D02" w14:textId="77777777" w:rsidR="00C2034A" w:rsidRDefault="00C2034A" w:rsidP="003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3532693"/>
      <w:docPartObj>
        <w:docPartGallery w:val="Page Numbers (Bottom of Page)"/>
        <w:docPartUnique/>
      </w:docPartObj>
    </w:sdtPr>
    <w:sdtEndPr>
      <w:rPr>
        <w:rStyle w:val="PageNumber"/>
      </w:rPr>
    </w:sdtEndPr>
    <w:sdtContent>
      <w:p w14:paraId="2F65B781" w14:textId="10152492" w:rsidR="003F2777" w:rsidRDefault="003F2777" w:rsidP="004927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96071" w14:textId="77777777" w:rsidR="003F2777" w:rsidRDefault="003F2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666625303"/>
      <w:docPartObj>
        <w:docPartGallery w:val="Page Numbers (Bottom of Page)"/>
        <w:docPartUnique/>
      </w:docPartObj>
    </w:sdtPr>
    <w:sdtEndPr>
      <w:rPr>
        <w:rStyle w:val="PageNumber"/>
      </w:rPr>
    </w:sdtEndPr>
    <w:sdtContent>
      <w:p w14:paraId="3F561C1D" w14:textId="1F6FAABE" w:rsidR="003F2777" w:rsidRPr="003F2777" w:rsidRDefault="003F2777" w:rsidP="003F2777">
        <w:pPr>
          <w:pStyle w:val="Footer"/>
          <w:framePr w:wrap="none" w:vAnchor="text" w:hAnchor="margin" w:xAlign="center" w:y="1"/>
          <w:jc w:val="center"/>
          <w:rPr>
            <w:rStyle w:val="PageNumber"/>
            <w:sz w:val="16"/>
            <w:szCs w:val="16"/>
          </w:rPr>
        </w:pPr>
        <w:r w:rsidRPr="003F2777">
          <w:rPr>
            <w:rStyle w:val="PageNumber"/>
            <w:sz w:val="16"/>
            <w:szCs w:val="16"/>
          </w:rPr>
          <w:fldChar w:fldCharType="begin"/>
        </w:r>
        <w:r w:rsidRPr="003F2777">
          <w:rPr>
            <w:rStyle w:val="PageNumber"/>
            <w:sz w:val="16"/>
            <w:szCs w:val="16"/>
          </w:rPr>
          <w:instrText xml:space="preserve"> PAGE </w:instrText>
        </w:r>
        <w:r w:rsidRPr="003F2777">
          <w:rPr>
            <w:rStyle w:val="PageNumber"/>
            <w:sz w:val="16"/>
            <w:szCs w:val="16"/>
          </w:rPr>
          <w:fldChar w:fldCharType="separate"/>
        </w:r>
        <w:r w:rsidR="00C221F0">
          <w:rPr>
            <w:rStyle w:val="PageNumber"/>
            <w:noProof/>
            <w:sz w:val="16"/>
            <w:szCs w:val="16"/>
          </w:rPr>
          <w:t>5</w:t>
        </w:r>
        <w:r w:rsidRPr="003F2777">
          <w:rPr>
            <w:rStyle w:val="PageNumber"/>
            <w:sz w:val="16"/>
            <w:szCs w:val="16"/>
          </w:rPr>
          <w:fldChar w:fldCharType="end"/>
        </w:r>
      </w:p>
    </w:sdtContent>
  </w:sdt>
  <w:p w14:paraId="153C24A2" w14:textId="77777777" w:rsidR="003F2777" w:rsidRPr="003F2777" w:rsidRDefault="003F2777" w:rsidP="003F277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A544" w14:textId="77777777" w:rsidR="00C2034A" w:rsidRDefault="00C2034A" w:rsidP="003F2777">
      <w:r>
        <w:separator/>
      </w:r>
    </w:p>
  </w:footnote>
  <w:footnote w:type="continuationSeparator" w:id="0">
    <w:p w14:paraId="2FACD357" w14:textId="77777777" w:rsidR="00C2034A" w:rsidRDefault="00C2034A" w:rsidP="003F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8D7D7C"/>
    <w:multiLevelType w:val="hybridMultilevel"/>
    <w:tmpl w:val="8A2ADF9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996D3B"/>
    <w:multiLevelType w:val="multilevel"/>
    <w:tmpl w:val="86A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41"/>
    <w:rsid w:val="00002D27"/>
    <w:rsid w:val="0000443E"/>
    <w:rsid w:val="0000577E"/>
    <w:rsid w:val="000065AA"/>
    <w:rsid w:val="00006F42"/>
    <w:rsid w:val="00007F93"/>
    <w:rsid w:val="00011E0E"/>
    <w:rsid w:val="00012531"/>
    <w:rsid w:val="00013FF3"/>
    <w:rsid w:val="00014DAF"/>
    <w:rsid w:val="000173C7"/>
    <w:rsid w:val="00017CAC"/>
    <w:rsid w:val="000202E7"/>
    <w:rsid w:val="00020BD4"/>
    <w:rsid w:val="00020F37"/>
    <w:rsid w:val="000211B9"/>
    <w:rsid w:val="00022BDB"/>
    <w:rsid w:val="0002615A"/>
    <w:rsid w:val="00031592"/>
    <w:rsid w:val="000325BC"/>
    <w:rsid w:val="0003487C"/>
    <w:rsid w:val="0003498D"/>
    <w:rsid w:val="0003789A"/>
    <w:rsid w:val="0004016E"/>
    <w:rsid w:val="000413AA"/>
    <w:rsid w:val="00041D5F"/>
    <w:rsid w:val="00042DC2"/>
    <w:rsid w:val="00046021"/>
    <w:rsid w:val="00046D2A"/>
    <w:rsid w:val="0004767F"/>
    <w:rsid w:val="00050499"/>
    <w:rsid w:val="000508DC"/>
    <w:rsid w:val="0005439F"/>
    <w:rsid w:val="000546A2"/>
    <w:rsid w:val="00055E3D"/>
    <w:rsid w:val="00060559"/>
    <w:rsid w:val="00062481"/>
    <w:rsid w:val="000625BC"/>
    <w:rsid w:val="00063783"/>
    <w:rsid w:val="0006426C"/>
    <w:rsid w:val="00064813"/>
    <w:rsid w:val="00065F1E"/>
    <w:rsid w:val="00067365"/>
    <w:rsid w:val="00071309"/>
    <w:rsid w:val="00073FC1"/>
    <w:rsid w:val="000754DE"/>
    <w:rsid w:val="00077BD4"/>
    <w:rsid w:val="00080537"/>
    <w:rsid w:val="00081E7D"/>
    <w:rsid w:val="0008219F"/>
    <w:rsid w:val="00084629"/>
    <w:rsid w:val="000847A0"/>
    <w:rsid w:val="00084E28"/>
    <w:rsid w:val="000876D7"/>
    <w:rsid w:val="0009157D"/>
    <w:rsid w:val="00096009"/>
    <w:rsid w:val="000972C6"/>
    <w:rsid w:val="000A017B"/>
    <w:rsid w:val="000A0358"/>
    <w:rsid w:val="000A224C"/>
    <w:rsid w:val="000A64A3"/>
    <w:rsid w:val="000A730A"/>
    <w:rsid w:val="000B2E76"/>
    <w:rsid w:val="000B33FA"/>
    <w:rsid w:val="000B39C8"/>
    <w:rsid w:val="000B3E74"/>
    <w:rsid w:val="000B4FEC"/>
    <w:rsid w:val="000B5052"/>
    <w:rsid w:val="000B6B77"/>
    <w:rsid w:val="000B7D2C"/>
    <w:rsid w:val="000B7E43"/>
    <w:rsid w:val="000C0A57"/>
    <w:rsid w:val="000C0BEB"/>
    <w:rsid w:val="000C21D2"/>
    <w:rsid w:val="000D49B4"/>
    <w:rsid w:val="000D6320"/>
    <w:rsid w:val="000D7DE1"/>
    <w:rsid w:val="000D7E44"/>
    <w:rsid w:val="000E30E2"/>
    <w:rsid w:val="000E32EE"/>
    <w:rsid w:val="000E3A33"/>
    <w:rsid w:val="000E3E94"/>
    <w:rsid w:val="000E420D"/>
    <w:rsid w:val="000E5DE2"/>
    <w:rsid w:val="000E66BC"/>
    <w:rsid w:val="000E731E"/>
    <w:rsid w:val="000E7C4E"/>
    <w:rsid w:val="000F32D7"/>
    <w:rsid w:val="000F6343"/>
    <w:rsid w:val="00100611"/>
    <w:rsid w:val="00101ED6"/>
    <w:rsid w:val="00103D3B"/>
    <w:rsid w:val="001045DE"/>
    <w:rsid w:val="00104F52"/>
    <w:rsid w:val="0010553A"/>
    <w:rsid w:val="00111067"/>
    <w:rsid w:val="00112E76"/>
    <w:rsid w:val="00114549"/>
    <w:rsid w:val="001149CE"/>
    <w:rsid w:val="00114CA5"/>
    <w:rsid w:val="00116BE4"/>
    <w:rsid w:val="00116E3D"/>
    <w:rsid w:val="0012075E"/>
    <w:rsid w:val="001217C9"/>
    <w:rsid w:val="00121A88"/>
    <w:rsid w:val="00121F53"/>
    <w:rsid w:val="001223A4"/>
    <w:rsid w:val="001223D3"/>
    <w:rsid w:val="00122D82"/>
    <w:rsid w:val="00123673"/>
    <w:rsid w:val="00125970"/>
    <w:rsid w:val="00126B14"/>
    <w:rsid w:val="00127796"/>
    <w:rsid w:val="001309BF"/>
    <w:rsid w:val="00131804"/>
    <w:rsid w:val="00133A3F"/>
    <w:rsid w:val="00134634"/>
    <w:rsid w:val="001352EC"/>
    <w:rsid w:val="00135C38"/>
    <w:rsid w:val="00136E43"/>
    <w:rsid w:val="00140EBB"/>
    <w:rsid w:val="00140EDD"/>
    <w:rsid w:val="00143F5E"/>
    <w:rsid w:val="001449F3"/>
    <w:rsid w:val="00145A71"/>
    <w:rsid w:val="001470F0"/>
    <w:rsid w:val="0015367A"/>
    <w:rsid w:val="00155410"/>
    <w:rsid w:val="00157839"/>
    <w:rsid w:val="00157B1F"/>
    <w:rsid w:val="001617CE"/>
    <w:rsid w:val="0016233A"/>
    <w:rsid w:val="00162432"/>
    <w:rsid w:val="001626DF"/>
    <w:rsid w:val="00163947"/>
    <w:rsid w:val="00163E48"/>
    <w:rsid w:val="00163FB5"/>
    <w:rsid w:val="00164B58"/>
    <w:rsid w:val="001652B0"/>
    <w:rsid w:val="00165FDF"/>
    <w:rsid w:val="00166B63"/>
    <w:rsid w:val="00166C56"/>
    <w:rsid w:val="00166D5F"/>
    <w:rsid w:val="0016756B"/>
    <w:rsid w:val="001678D3"/>
    <w:rsid w:val="00167B6B"/>
    <w:rsid w:val="0017009E"/>
    <w:rsid w:val="00170101"/>
    <w:rsid w:val="00170471"/>
    <w:rsid w:val="00170525"/>
    <w:rsid w:val="001706F5"/>
    <w:rsid w:val="00170911"/>
    <w:rsid w:val="00174448"/>
    <w:rsid w:val="00174713"/>
    <w:rsid w:val="001774D5"/>
    <w:rsid w:val="0018036B"/>
    <w:rsid w:val="0018084E"/>
    <w:rsid w:val="00182BDB"/>
    <w:rsid w:val="001855E8"/>
    <w:rsid w:val="001856CD"/>
    <w:rsid w:val="00190D5C"/>
    <w:rsid w:val="00191547"/>
    <w:rsid w:val="00192C0E"/>
    <w:rsid w:val="00192F50"/>
    <w:rsid w:val="001938F9"/>
    <w:rsid w:val="001941BC"/>
    <w:rsid w:val="001954DA"/>
    <w:rsid w:val="001956EB"/>
    <w:rsid w:val="00195B3C"/>
    <w:rsid w:val="00195CA8"/>
    <w:rsid w:val="001970D3"/>
    <w:rsid w:val="00197DCF"/>
    <w:rsid w:val="001A0D8E"/>
    <w:rsid w:val="001A16D2"/>
    <w:rsid w:val="001A1F47"/>
    <w:rsid w:val="001A368D"/>
    <w:rsid w:val="001A47A3"/>
    <w:rsid w:val="001A51D9"/>
    <w:rsid w:val="001A543B"/>
    <w:rsid w:val="001A564A"/>
    <w:rsid w:val="001A5A1A"/>
    <w:rsid w:val="001A6A7C"/>
    <w:rsid w:val="001B049F"/>
    <w:rsid w:val="001B1500"/>
    <w:rsid w:val="001B4226"/>
    <w:rsid w:val="001B44BC"/>
    <w:rsid w:val="001B6A27"/>
    <w:rsid w:val="001B6B68"/>
    <w:rsid w:val="001B76D3"/>
    <w:rsid w:val="001B7C2D"/>
    <w:rsid w:val="001B7E13"/>
    <w:rsid w:val="001C025F"/>
    <w:rsid w:val="001C0424"/>
    <w:rsid w:val="001C3101"/>
    <w:rsid w:val="001C320B"/>
    <w:rsid w:val="001C5051"/>
    <w:rsid w:val="001C5817"/>
    <w:rsid w:val="001C5D93"/>
    <w:rsid w:val="001C6BC8"/>
    <w:rsid w:val="001C7312"/>
    <w:rsid w:val="001D174E"/>
    <w:rsid w:val="001D2A13"/>
    <w:rsid w:val="001D2D5C"/>
    <w:rsid w:val="001D3679"/>
    <w:rsid w:val="001D5514"/>
    <w:rsid w:val="001D5D0D"/>
    <w:rsid w:val="001E1003"/>
    <w:rsid w:val="001E1626"/>
    <w:rsid w:val="001E2B86"/>
    <w:rsid w:val="001E3416"/>
    <w:rsid w:val="001E51B6"/>
    <w:rsid w:val="001E6136"/>
    <w:rsid w:val="001E70D8"/>
    <w:rsid w:val="001E774C"/>
    <w:rsid w:val="001E7A98"/>
    <w:rsid w:val="001F022C"/>
    <w:rsid w:val="001F0285"/>
    <w:rsid w:val="001F09E3"/>
    <w:rsid w:val="001F0DB1"/>
    <w:rsid w:val="001F131A"/>
    <w:rsid w:val="001F2B6B"/>
    <w:rsid w:val="001F4394"/>
    <w:rsid w:val="001F4963"/>
    <w:rsid w:val="001F6CB4"/>
    <w:rsid w:val="0020078B"/>
    <w:rsid w:val="00200972"/>
    <w:rsid w:val="0020100B"/>
    <w:rsid w:val="00203113"/>
    <w:rsid w:val="002048A9"/>
    <w:rsid w:val="00205512"/>
    <w:rsid w:val="002057AA"/>
    <w:rsid w:val="0020668C"/>
    <w:rsid w:val="002078BB"/>
    <w:rsid w:val="00212B0F"/>
    <w:rsid w:val="002147C4"/>
    <w:rsid w:val="00215A49"/>
    <w:rsid w:val="00215A87"/>
    <w:rsid w:val="00215C7A"/>
    <w:rsid w:val="00217FF3"/>
    <w:rsid w:val="002255D1"/>
    <w:rsid w:val="00226805"/>
    <w:rsid w:val="00226EFF"/>
    <w:rsid w:val="002302B3"/>
    <w:rsid w:val="00230E72"/>
    <w:rsid w:val="00231023"/>
    <w:rsid w:val="002313BF"/>
    <w:rsid w:val="002326DA"/>
    <w:rsid w:val="00233AF8"/>
    <w:rsid w:val="00234757"/>
    <w:rsid w:val="002358EC"/>
    <w:rsid w:val="00236B35"/>
    <w:rsid w:val="002376BF"/>
    <w:rsid w:val="00241E8A"/>
    <w:rsid w:val="00241FC8"/>
    <w:rsid w:val="002426C3"/>
    <w:rsid w:val="00245338"/>
    <w:rsid w:val="00247136"/>
    <w:rsid w:val="00247DF8"/>
    <w:rsid w:val="0025047C"/>
    <w:rsid w:val="002512A7"/>
    <w:rsid w:val="002518DC"/>
    <w:rsid w:val="0025382D"/>
    <w:rsid w:val="002540B4"/>
    <w:rsid w:val="002543BE"/>
    <w:rsid w:val="00254AEC"/>
    <w:rsid w:val="0025591B"/>
    <w:rsid w:val="002560D7"/>
    <w:rsid w:val="00257ADD"/>
    <w:rsid w:val="00257B08"/>
    <w:rsid w:val="002613F1"/>
    <w:rsid w:val="002631A2"/>
    <w:rsid w:val="00265B5E"/>
    <w:rsid w:val="00266A07"/>
    <w:rsid w:val="0027092B"/>
    <w:rsid w:val="00270D13"/>
    <w:rsid w:val="00271C42"/>
    <w:rsid w:val="00272379"/>
    <w:rsid w:val="00272A63"/>
    <w:rsid w:val="00274FC6"/>
    <w:rsid w:val="002770D3"/>
    <w:rsid w:val="002800CB"/>
    <w:rsid w:val="002802C2"/>
    <w:rsid w:val="0028054F"/>
    <w:rsid w:val="00284411"/>
    <w:rsid w:val="00284EA6"/>
    <w:rsid w:val="00286104"/>
    <w:rsid w:val="00287DE2"/>
    <w:rsid w:val="00290206"/>
    <w:rsid w:val="00290FF1"/>
    <w:rsid w:val="00291812"/>
    <w:rsid w:val="002924E4"/>
    <w:rsid w:val="002940C6"/>
    <w:rsid w:val="00294707"/>
    <w:rsid w:val="00295B36"/>
    <w:rsid w:val="00295F36"/>
    <w:rsid w:val="002970B5"/>
    <w:rsid w:val="00297733"/>
    <w:rsid w:val="002A02CA"/>
    <w:rsid w:val="002A0D4C"/>
    <w:rsid w:val="002A2E7C"/>
    <w:rsid w:val="002A39E7"/>
    <w:rsid w:val="002A5378"/>
    <w:rsid w:val="002A5A57"/>
    <w:rsid w:val="002B05E3"/>
    <w:rsid w:val="002B4DBD"/>
    <w:rsid w:val="002C1247"/>
    <w:rsid w:val="002C46B7"/>
    <w:rsid w:val="002C5465"/>
    <w:rsid w:val="002C5A45"/>
    <w:rsid w:val="002C68B3"/>
    <w:rsid w:val="002C6DED"/>
    <w:rsid w:val="002D280D"/>
    <w:rsid w:val="002D3A10"/>
    <w:rsid w:val="002D3EAF"/>
    <w:rsid w:val="002D4170"/>
    <w:rsid w:val="002D52E8"/>
    <w:rsid w:val="002D53FF"/>
    <w:rsid w:val="002D57AC"/>
    <w:rsid w:val="002D5EC4"/>
    <w:rsid w:val="002D6858"/>
    <w:rsid w:val="002D7AF9"/>
    <w:rsid w:val="002E0456"/>
    <w:rsid w:val="002E14AC"/>
    <w:rsid w:val="002E22B9"/>
    <w:rsid w:val="002E5693"/>
    <w:rsid w:val="002E775D"/>
    <w:rsid w:val="002F2ABE"/>
    <w:rsid w:val="002F2AEA"/>
    <w:rsid w:val="002F4B2A"/>
    <w:rsid w:val="002F5759"/>
    <w:rsid w:val="00302769"/>
    <w:rsid w:val="00305992"/>
    <w:rsid w:val="00307024"/>
    <w:rsid w:val="003070CE"/>
    <w:rsid w:val="0030757B"/>
    <w:rsid w:val="00307B36"/>
    <w:rsid w:val="00312987"/>
    <w:rsid w:val="00312F85"/>
    <w:rsid w:val="00313920"/>
    <w:rsid w:val="00316EA5"/>
    <w:rsid w:val="003202D3"/>
    <w:rsid w:val="0032068A"/>
    <w:rsid w:val="00320CED"/>
    <w:rsid w:val="0032272B"/>
    <w:rsid w:val="00322C7B"/>
    <w:rsid w:val="00322FC3"/>
    <w:rsid w:val="003247F7"/>
    <w:rsid w:val="003257A9"/>
    <w:rsid w:val="00325EC1"/>
    <w:rsid w:val="003316F1"/>
    <w:rsid w:val="00331C91"/>
    <w:rsid w:val="00332256"/>
    <w:rsid w:val="00337503"/>
    <w:rsid w:val="00337C83"/>
    <w:rsid w:val="003402D1"/>
    <w:rsid w:val="003416BA"/>
    <w:rsid w:val="00342B4B"/>
    <w:rsid w:val="00343690"/>
    <w:rsid w:val="0034592A"/>
    <w:rsid w:val="00345FC8"/>
    <w:rsid w:val="00350031"/>
    <w:rsid w:val="00350C1D"/>
    <w:rsid w:val="00351041"/>
    <w:rsid w:val="00352339"/>
    <w:rsid w:val="00361D7B"/>
    <w:rsid w:val="003640D2"/>
    <w:rsid w:val="003653D9"/>
    <w:rsid w:val="00370094"/>
    <w:rsid w:val="0037089D"/>
    <w:rsid w:val="00370E78"/>
    <w:rsid w:val="0037355B"/>
    <w:rsid w:val="00375086"/>
    <w:rsid w:val="003754B4"/>
    <w:rsid w:val="00376073"/>
    <w:rsid w:val="003773AF"/>
    <w:rsid w:val="00381A9D"/>
    <w:rsid w:val="00382A5A"/>
    <w:rsid w:val="003840EE"/>
    <w:rsid w:val="003868E9"/>
    <w:rsid w:val="00386B1D"/>
    <w:rsid w:val="00394527"/>
    <w:rsid w:val="003945B0"/>
    <w:rsid w:val="00394642"/>
    <w:rsid w:val="0039793B"/>
    <w:rsid w:val="003A2333"/>
    <w:rsid w:val="003A3023"/>
    <w:rsid w:val="003A3110"/>
    <w:rsid w:val="003A31A0"/>
    <w:rsid w:val="003A50EA"/>
    <w:rsid w:val="003A55F9"/>
    <w:rsid w:val="003A5A5E"/>
    <w:rsid w:val="003A5FA8"/>
    <w:rsid w:val="003A6743"/>
    <w:rsid w:val="003A68EF"/>
    <w:rsid w:val="003A7B84"/>
    <w:rsid w:val="003B0167"/>
    <w:rsid w:val="003B1A1C"/>
    <w:rsid w:val="003B756B"/>
    <w:rsid w:val="003C0BE3"/>
    <w:rsid w:val="003C2527"/>
    <w:rsid w:val="003C396A"/>
    <w:rsid w:val="003C6C22"/>
    <w:rsid w:val="003C7EC2"/>
    <w:rsid w:val="003D015E"/>
    <w:rsid w:val="003D1760"/>
    <w:rsid w:val="003D3419"/>
    <w:rsid w:val="003D3918"/>
    <w:rsid w:val="003D600B"/>
    <w:rsid w:val="003D7571"/>
    <w:rsid w:val="003D79D4"/>
    <w:rsid w:val="003D7A21"/>
    <w:rsid w:val="003E0D75"/>
    <w:rsid w:val="003E0F16"/>
    <w:rsid w:val="003E18DD"/>
    <w:rsid w:val="003E2227"/>
    <w:rsid w:val="003E552B"/>
    <w:rsid w:val="003E57CD"/>
    <w:rsid w:val="003F0478"/>
    <w:rsid w:val="003F161B"/>
    <w:rsid w:val="003F2777"/>
    <w:rsid w:val="003F48C2"/>
    <w:rsid w:val="003F6E2F"/>
    <w:rsid w:val="003F7F00"/>
    <w:rsid w:val="0040002A"/>
    <w:rsid w:val="004006C8"/>
    <w:rsid w:val="004022B5"/>
    <w:rsid w:val="00402848"/>
    <w:rsid w:val="004044F9"/>
    <w:rsid w:val="00405FC2"/>
    <w:rsid w:val="0041055E"/>
    <w:rsid w:val="00410DBF"/>
    <w:rsid w:val="00411E4F"/>
    <w:rsid w:val="00414513"/>
    <w:rsid w:val="00415BAA"/>
    <w:rsid w:val="00420E12"/>
    <w:rsid w:val="00421D3D"/>
    <w:rsid w:val="00424C22"/>
    <w:rsid w:val="004262C3"/>
    <w:rsid w:val="00427405"/>
    <w:rsid w:val="00427B05"/>
    <w:rsid w:val="00427B2A"/>
    <w:rsid w:val="0043050C"/>
    <w:rsid w:val="004306B0"/>
    <w:rsid w:val="00430B6A"/>
    <w:rsid w:val="00432608"/>
    <w:rsid w:val="0043317D"/>
    <w:rsid w:val="004343DC"/>
    <w:rsid w:val="00436406"/>
    <w:rsid w:val="004407DA"/>
    <w:rsid w:val="00441A66"/>
    <w:rsid w:val="00442540"/>
    <w:rsid w:val="004439AA"/>
    <w:rsid w:val="00444B00"/>
    <w:rsid w:val="00444FB5"/>
    <w:rsid w:val="00446273"/>
    <w:rsid w:val="00446890"/>
    <w:rsid w:val="00446CF9"/>
    <w:rsid w:val="00450253"/>
    <w:rsid w:val="004514F2"/>
    <w:rsid w:val="004519CA"/>
    <w:rsid w:val="00451C07"/>
    <w:rsid w:val="00452B09"/>
    <w:rsid w:val="00454276"/>
    <w:rsid w:val="004542F6"/>
    <w:rsid w:val="00454325"/>
    <w:rsid w:val="00463496"/>
    <w:rsid w:val="004637BC"/>
    <w:rsid w:val="004640DD"/>
    <w:rsid w:val="0046511A"/>
    <w:rsid w:val="00467CDC"/>
    <w:rsid w:val="004732BB"/>
    <w:rsid w:val="0047408C"/>
    <w:rsid w:val="00474ECA"/>
    <w:rsid w:val="00476936"/>
    <w:rsid w:val="00484D47"/>
    <w:rsid w:val="0048541E"/>
    <w:rsid w:val="004871F5"/>
    <w:rsid w:val="0049024A"/>
    <w:rsid w:val="00491C1E"/>
    <w:rsid w:val="00492369"/>
    <w:rsid w:val="00496981"/>
    <w:rsid w:val="004A03AA"/>
    <w:rsid w:val="004A0BEB"/>
    <w:rsid w:val="004A2423"/>
    <w:rsid w:val="004A2ECA"/>
    <w:rsid w:val="004A3FE1"/>
    <w:rsid w:val="004A4A13"/>
    <w:rsid w:val="004A4D34"/>
    <w:rsid w:val="004A57DC"/>
    <w:rsid w:val="004A67A0"/>
    <w:rsid w:val="004B5A3E"/>
    <w:rsid w:val="004B7A30"/>
    <w:rsid w:val="004C481B"/>
    <w:rsid w:val="004C524B"/>
    <w:rsid w:val="004C54C5"/>
    <w:rsid w:val="004C6142"/>
    <w:rsid w:val="004C7517"/>
    <w:rsid w:val="004C78BB"/>
    <w:rsid w:val="004D033C"/>
    <w:rsid w:val="004D08FF"/>
    <w:rsid w:val="004D0980"/>
    <w:rsid w:val="004D18F1"/>
    <w:rsid w:val="004D2C9E"/>
    <w:rsid w:val="004D416D"/>
    <w:rsid w:val="004D6A4F"/>
    <w:rsid w:val="004E197D"/>
    <w:rsid w:val="004E1C3E"/>
    <w:rsid w:val="004E3AAF"/>
    <w:rsid w:val="004E3EC1"/>
    <w:rsid w:val="004E4320"/>
    <w:rsid w:val="004E4C48"/>
    <w:rsid w:val="004E56AE"/>
    <w:rsid w:val="004E72C9"/>
    <w:rsid w:val="004E7AD9"/>
    <w:rsid w:val="004F02CF"/>
    <w:rsid w:val="004F15D3"/>
    <w:rsid w:val="004F1F1D"/>
    <w:rsid w:val="004F363E"/>
    <w:rsid w:val="004F4405"/>
    <w:rsid w:val="004F4C36"/>
    <w:rsid w:val="005006A3"/>
    <w:rsid w:val="00502893"/>
    <w:rsid w:val="00503199"/>
    <w:rsid w:val="00510D28"/>
    <w:rsid w:val="00512F7A"/>
    <w:rsid w:val="0051615E"/>
    <w:rsid w:val="005177B0"/>
    <w:rsid w:val="00520AF6"/>
    <w:rsid w:val="00521698"/>
    <w:rsid w:val="00521708"/>
    <w:rsid w:val="00522896"/>
    <w:rsid w:val="005228A8"/>
    <w:rsid w:val="00522C0C"/>
    <w:rsid w:val="00523ACC"/>
    <w:rsid w:val="0052498A"/>
    <w:rsid w:val="005271DF"/>
    <w:rsid w:val="005309BE"/>
    <w:rsid w:val="00530E6E"/>
    <w:rsid w:val="00531E59"/>
    <w:rsid w:val="005338E3"/>
    <w:rsid w:val="00533A9F"/>
    <w:rsid w:val="00534B26"/>
    <w:rsid w:val="005374F5"/>
    <w:rsid w:val="00537DE7"/>
    <w:rsid w:val="00537E03"/>
    <w:rsid w:val="00540557"/>
    <w:rsid w:val="00545694"/>
    <w:rsid w:val="005469ED"/>
    <w:rsid w:val="005514E8"/>
    <w:rsid w:val="00554840"/>
    <w:rsid w:val="00554A79"/>
    <w:rsid w:val="00555D4F"/>
    <w:rsid w:val="00556AF2"/>
    <w:rsid w:val="00560421"/>
    <w:rsid w:val="0056109F"/>
    <w:rsid w:val="00565E0E"/>
    <w:rsid w:val="005669D8"/>
    <w:rsid w:val="00574313"/>
    <w:rsid w:val="00574D2B"/>
    <w:rsid w:val="0058001D"/>
    <w:rsid w:val="005835C7"/>
    <w:rsid w:val="005842A6"/>
    <w:rsid w:val="00586D31"/>
    <w:rsid w:val="00590460"/>
    <w:rsid w:val="005909C2"/>
    <w:rsid w:val="00591253"/>
    <w:rsid w:val="00592991"/>
    <w:rsid w:val="005930C0"/>
    <w:rsid w:val="0059499F"/>
    <w:rsid w:val="00596C4B"/>
    <w:rsid w:val="00597893"/>
    <w:rsid w:val="005A0492"/>
    <w:rsid w:val="005A208F"/>
    <w:rsid w:val="005A48E0"/>
    <w:rsid w:val="005B0D6F"/>
    <w:rsid w:val="005B2502"/>
    <w:rsid w:val="005B2D58"/>
    <w:rsid w:val="005B5016"/>
    <w:rsid w:val="005B55EA"/>
    <w:rsid w:val="005C2F65"/>
    <w:rsid w:val="005C53BB"/>
    <w:rsid w:val="005C565E"/>
    <w:rsid w:val="005C5D9B"/>
    <w:rsid w:val="005C712A"/>
    <w:rsid w:val="005D0EB5"/>
    <w:rsid w:val="005D0F07"/>
    <w:rsid w:val="005D2848"/>
    <w:rsid w:val="005D4841"/>
    <w:rsid w:val="005D61E2"/>
    <w:rsid w:val="005D645E"/>
    <w:rsid w:val="005D6F7C"/>
    <w:rsid w:val="005D72FE"/>
    <w:rsid w:val="005E204A"/>
    <w:rsid w:val="005E4A9F"/>
    <w:rsid w:val="005E527C"/>
    <w:rsid w:val="005E6691"/>
    <w:rsid w:val="005E672C"/>
    <w:rsid w:val="005E7C87"/>
    <w:rsid w:val="005F0208"/>
    <w:rsid w:val="005F14E3"/>
    <w:rsid w:val="005F1ED3"/>
    <w:rsid w:val="005F53D5"/>
    <w:rsid w:val="005F5D6A"/>
    <w:rsid w:val="005F6DDB"/>
    <w:rsid w:val="00600587"/>
    <w:rsid w:val="0060139D"/>
    <w:rsid w:val="00601B45"/>
    <w:rsid w:val="0060239A"/>
    <w:rsid w:val="00602D7A"/>
    <w:rsid w:val="00604EC8"/>
    <w:rsid w:val="006056B3"/>
    <w:rsid w:val="00605E3B"/>
    <w:rsid w:val="00606287"/>
    <w:rsid w:val="00606DAD"/>
    <w:rsid w:val="006137EE"/>
    <w:rsid w:val="00613A1F"/>
    <w:rsid w:val="0061539A"/>
    <w:rsid w:val="0061704E"/>
    <w:rsid w:val="0061771F"/>
    <w:rsid w:val="00620008"/>
    <w:rsid w:val="0062067B"/>
    <w:rsid w:val="00621A55"/>
    <w:rsid w:val="00623E70"/>
    <w:rsid w:val="006269B7"/>
    <w:rsid w:val="00627224"/>
    <w:rsid w:val="00632708"/>
    <w:rsid w:val="00633648"/>
    <w:rsid w:val="0063429D"/>
    <w:rsid w:val="00636ACB"/>
    <w:rsid w:val="00637524"/>
    <w:rsid w:val="00637AC2"/>
    <w:rsid w:val="00637F0C"/>
    <w:rsid w:val="00637FA3"/>
    <w:rsid w:val="00640610"/>
    <w:rsid w:val="00643AEE"/>
    <w:rsid w:val="006442D1"/>
    <w:rsid w:val="006457D9"/>
    <w:rsid w:val="00646864"/>
    <w:rsid w:val="00647B57"/>
    <w:rsid w:val="00650E78"/>
    <w:rsid w:val="00651A1B"/>
    <w:rsid w:val="00651EAA"/>
    <w:rsid w:val="00652A5F"/>
    <w:rsid w:val="00653124"/>
    <w:rsid w:val="00653733"/>
    <w:rsid w:val="00653B7E"/>
    <w:rsid w:val="00654942"/>
    <w:rsid w:val="00655BC7"/>
    <w:rsid w:val="0065622D"/>
    <w:rsid w:val="00656BEE"/>
    <w:rsid w:val="00657189"/>
    <w:rsid w:val="00663945"/>
    <w:rsid w:val="006676F2"/>
    <w:rsid w:val="006715A2"/>
    <w:rsid w:val="00672DBC"/>
    <w:rsid w:val="00673411"/>
    <w:rsid w:val="006746FD"/>
    <w:rsid w:val="0067596C"/>
    <w:rsid w:val="00676266"/>
    <w:rsid w:val="006764D6"/>
    <w:rsid w:val="0067758B"/>
    <w:rsid w:val="00681681"/>
    <w:rsid w:val="006828AF"/>
    <w:rsid w:val="00682EAB"/>
    <w:rsid w:val="0068392B"/>
    <w:rsid w:val="00684833"/>
    <w:rsid w:val="00686D91"/>
    <w:rsid w:val="006873DF"/>
    <w:rsid w:val="00690CF8"/>
    <w:rsid w:val="00692C85"/>
    <w:rsid w:val="00692FF6"/>
    <w:rsid w:val="006942CE"/>
    <w:rsid w:val="00694B0E"/>
    <w:rsid w:val="00695402"/>
    <w:rsid w:val="0069628C"/>
    <w:rsid w:val="0069689C"/>
    <w:rsid w:val="006974E0"/>
    <w:rsid w:val="00697B33"/>
    <w:rsid w:val="006A0237"/>
    <w:rsid w:val="006A024D"/>
    <w:rsid w:val="006A103C"/>
    <w:rsid w:val="006A2673"/>
    <w:rsid w:val="006A3A7C"/>
    <w:rsid w:val="006A446A"/>
    <w:rsid w:val="006A5534"/>
    <w:rsid w:val="006A5B01"/>
    <w:rsid w:val="006A5E6E"/>
    <w:rsid w:val="006A65B8"/>
    <w:rsid w:val="006A76FE"/>
    <w:rsid w:val="006B0110"/>
    <w:rsid w:val="006B0FFF"/>
    <w:rsid w:val="006B2594"/>
    <w:rsid w:val="006B3F22"/>
    <w:rsid w:val="006B3F8C"/>
    <w:rsid w:val="006B4CD5"/>
    <w:rsid w:val="006B5265"/>
    <w:rsid w:val="006B58FF"/>
    <w:rsid w:val="006B615F"/>
    <w:rsid w:val="006B6295"/>
    <w:rsid w:val="006B6998"/>
    <w:rsid w:val="006B7A3B"/>
    <w:rsid w:val="006B7F4C"/>
    <w:rsid w:val="006C3A21"/>
    <w:rsid w:val="006C5524"/>
    <w:rsid w:val="006C5E4F"/>
    <w:rsid w:val="006D1DBF"/>
    <w:rsid w:val="006D1E6B"/>
    <w:rsid w:val="006D2169"/>
    <w:rsid w:val="006D28FA"/>
    <w:rsid w:val="006D299F"/>
    <w:rsid w:val="006D3B50"/>
    <w:rsid w:val="006D40DB"/>
    <w:rsid w:val="006D4857"/>
    <w:rsid w:val="006D7BE8"/>
    <w:rsid w:val="006E21A2"/>
    <w:rsid w:val="006E67B3"/>
    <w:rsid w:val="006E7D4C"/>
    <w:rsid w:val="006F13A7"/>
    <w:rsid w:val="006F17B0"/>
    <w:rsid w:val="006F1844"/>
    <w:rsid w:val="006F18A3"/>
    <w:rsid w:val="006F1E76"/>
    <w:rsid w:val="006F3661"/>
    <w:rsid w:val="006F3935"/>
    <w:rsid w:val="006F466B"/>
    <w:rsid w:val="00700706"/>
    <w:rsid w:val="007016A9"/>
    <w:rsid w:val="00701B54"/>
    <w:rsid w:val="00703CC7"/>
    <w:rsid w:val="00704458"/>
    <w:rsid w:val="00706313"/>
    <w:rsid w:val="00707878"/>
    <w:rsid w:val="00710BA6"/>
    <w:rsid w:val="00712282"/>
    <w:rsid w:val="00712543"/>
    <w:rsid w:val="007128EA"/>
    <w:rsid w:val="0072011C"/>
    <w:rsid w:val="007228E2"/>
    <w:rsid w:val="0072381B"/>
    <w:rsid w:val="00723AC4"/>
    <w:rsid w:val="00723D3D"/>
    <w:rsid w:val="007254E0"/>
    <w:rsid w:val="007262D6"/>
    <w:rsid w:val="00726AF6"/>
    <w:rsid w:val="00732383"/>
    <w:rsid w:val="00733353"/>
    <w:rsid w:val="007355CF"/>
    <w:rsid w:val="00736D96"/>
    <w:rsid w:val="00740E42"/>
    <w:rsid w:val="00741870"/>
    <w:rsid w:val="007435ED"/>
    <w:rsid w:val="007466B7"/>
    <w:rsid w:val="0074690B"/>
    <w:rsid w:val="00747443"/>
    <w:rsid w:val="0074745C"/>
    <w:rsid w:val="0075018D"/>
    <w:rsid w:val="007542E2"/>
    <w:rsid w:val="00754965"/>
    <w:rsid w:val="00754AEB"/>
    <w:rsid w:val="007577F3"/>
    <w:rsid w:val="007624F7"/>
    <w:rsid w:val="00762EB9"/>
    <w:rsid w:val="007642B2"/>
    <w:rsid w:val="007665F7"/>
    <w:rsid w:val="007674B2"/>
    <w:rsid w:val="00767999"/>
    <w:rsid w:val="0077010E"/>
    <w:rsid w:val="007717F5"/>
    <w:rsid w:val="00772E2B"/>
    <w:rsid w:val="007739E9"/>
    <w:rsid w:val="007746D7"/>
    <w:rsid w:val="00776B16"/>
    <w:rsid w:val="00781796"/>
    <w:rsid w:val="00781D36"/>
    <w:rsid w:val="007824BE"/>
    <w:rsid w:val="00782E29"/>
    <w:rsid w:val="007833DE"/>
    <w:rsid w:val="007852C2"/>
    <w:rsid w:val="00786FB2"/>
    <w:rsid w:val="00790578"/>
    <w:rsid w:val="007916C4"/>
    <w:rsid w:val="00791909"/>
    <w:rsid w:val="007934EB"/>
    <w:rsid w:val="007940A7"/>
    <w:rsid w:val="007941CC"/>
    <w:rsid w:val="00794AF2"/>
    <w:rsid w:val="0079760F"/>
    <w:rsid w:val="007A263B"/>
    <w:rsid w:val="007A6F14"/>
    <w:rsid w:val="007B0823"/>
    <w:rsid w:val="007B1076"/>
    <w:rsid w:val="007B278C"/>
    <w:rsid w:val="007B3086"/>
    <w:rsid w:val="007B3B69"/>
    <w:rsid w:val="007B461B"/>
    <w:rsid w:val="007B4BF4"/>
    <w:rsid w:val="007B5490"/>
    <w:rsid w:val="007B5BE8"/>
    <w:rsid w:val="007B75BA"/>
    <w:rsid w:val="007C2C54"/>
    <w:rsid w:val="007C4381"/>
    <w:rsid w:val="007C4680"/>
    <w:rsid w:val="007C58E1"/>
    <w:rsid w:val="007C5D99"/>
    <w:rsid w:val="007C64F4"/>
    <w:rsid w:val="007D3ED2"/>
    <w:rsid w:val="007D7021"/>
    <w:rsid w:val="007D7428"/>
    <w:rsid w:val="007D7D5C"/>
    <w:rsid w:val="007E084E"/>
    <w:rsid w:val="007E12CC"/>
    <w:rsid w:val="007E3CA8"/>
    <w:rsid w:val="007E5C5D"/>
    <w:rsid w:val="007E6A1F"/>
    <w:rsid w:val="007E7198"/>
    <w:rsid w:val="007F17C2"/>
    <w:rsid w:val="007F4444"/>
    <w:rsid w:val="007F5971"/>
    <w:rsid w:val="007F7CAB"/>
    <w:rsid w:val="008023D4"/>
    <w:rsid w:val="00802B75"/>
    <w:rsid w:val="00803115"/>
    <w:rsid w:val="00803BF0"/>
    <w:rsid w:val="0080425C"/>
    <w:rsid w:val="00805AF5"/>
    <w:rsid w:val="00806262"/>
    <w:rsid w:val="008067AC"/>
    <w:rsid w:val="00807B68"/>
    <w:rsid w:val="00812285"/>
    <w:rsid w:val="008123F9"/>
    <w:rsid w:val="0081273C"/>
    <w:rsid w:val="00813CFE"/>
    <w:rsid w:val="008154A3"/>
    <w:rsid w:val="00817CEB"/>
    <w:rsid w:val="00817D12"/>
    <w:rsid w:val="00820020"/>
    <w:rsid w:val="0082468D"/>
    <w:rsid w:val="0082597B"/>
    <w:rsid w:val="00826B18"/>
    <w:rsid w:val="00827522"/>
    <w:rsid w:val="008309CF"/>
    <w:rsid w:val="00831440"/>
    <w:rsid w:val="008315F5"/>
    <w:rsid w:val="00831E3C"/>
    <w:rsid w:val="008321C1"/>
    <w:rsid w:val="00832611"/>
    <w:rsid w:val="0083277F"/>
    <w:rsid w:val="0083305A"/>
    <w:rsid w:val="00834AD9"/>
    <w:rsid w:val="00836FD0"/>
    <w:rsid w:val="00837327"/>
    <w:rsid w:val="00837845"/>
    <w:rsid w:val="00837A95"/>
    <w:rsid w:val="00842C5F"/>
    <w:rsid w:val="00845EB4"/>
    <w:rsid w:val="00853529"/>
    <w:rsid w:val="00853DA4"/>
    <w:rsid w:val="0085516A"/>
    <w:rsid w:val="00857F13"/>
    <w:rsid w:val="0086119D"/>
    <w:rsid w:val="008644FE"/>
    <w:rsid w:val="00866A2A"/>
    <w:rsid w:val="00867F84"/>
    <w:rsid w:val="00870211"/>
    <w:rsid w:val="00871659"/>
    <w:rsid w:val="008725C3"/>
    <w:rsid w:val="00873361"/>
    <w:rsid w:val="00875545"/>
    <w:rsid w:val="00876A88"/>
    <w:rsid w:val="00880248"/>
    <w:rsid w:val="0088075C"/>
    <w:rsid w:val="008815FF"/>
    <w:rsid w:val="008820A4"/>
    <w:rsid w:val="008851B0"/>
    <w:rsid w:val="00890678"/>
    <w:rsid w:val="0089136C"/>
    <w:rsid w:val="00892406"/>
    <w:rsid w:val="008946C7"/>
    <w:rsid w:val="008951CC"/>
    <w:rsid w:val="00895AB8"/>
    <w:rsid w:val="008960FA"/>
    <w:rsid w:val="00896395"/>
    <w:rsid w:val="00896616"/>
    <w:rsid w:val="00896D39"/>
    <w:rsid w:val="008A0743"/>
    <w:rsid w:val="008A0D27"/>
    <w:rsid w:val="008A13AA"/>
    <w:rsid w:val="008A27C0"/>
    <w:rsid w:val="008A3F2B"/>
    <w:rsid w:val="008A412A"/>
    <w:rsid w:val="008A6222"/>
    <w:rsid w:val="008B3E88"/>
    <w:rsid w:val="008B5FD1"/>
    <w:rsid w:val="008B6D70"/>
    <w:rsid w:val="008B7F7F"/>
    <w:rsid w:val="008C0C0E"/>
    <w:rsid w:val="008C1C94"/>
    <w:rsid w:val="008C2143"/>
    <w:rsid w:val="008C28BA"/>
    <w:rsid w:val="008C538B"/>
    <w:rsid w:val="008C5DE9"/>
    <w:rsid w:val="008C63CB"/>
    <w:rsid w:val="008C68A7"/>
    <w:rsid w:val="008D084B"/>
    <w:rsid w:val="008D2A16"/>
    <w:rsid w:val="008D2DBC"/>
    <w:rsid w:val="008D3066"/>
    <w:rsid w:val="008D5858"/>
    <w:rsid w:val="008D5AA6"/>
    <w:rsid w:val="008D6862"/>
    <w:rsid w:val="008D69A5"/>
    <w:rsid w:val="008D74EB"/>
    <w:rsid w:val="008E0231"/>
    <w:rsid w:val="008E09A8"/>
    <w:rsid w:val="008E3DA9"/>
    <w:rsid w:val="008E4020"/>
    <w:rsid w:val="008E4CE0"/>
    <w:rsid w:val="008E5072"/>
    <w:rsid w:val="008E65F4"/>
    <w:rsid w:val="008E7B71"/>
    <w:rsid w:val="008F283A"/>
    <w:rsid w:val="008F35A8"/>
    <w:rsid w:val="008F5EC4"/>
    <w:rsid w:val="008F62D7"/>
    <w:rsid w:val="008F77CE"/>
    <w:rsid w:val="008F7B8B"/>
    <w:rsid w:val="00900FE2"/>
    <w:rsid w:val="009014B6"/>
    <w:rsid w:val="00901C34"/>
    <w:rsid w:val="00903610"/>
    <w:rsid w:val="0090521C"/>
    <w:rsid w:val="00905505"/>
    <w:rsid w:val="00905E3B"/>
    <w:rsid w:val="00906168"/>
    <w:rsid w:val="00906AE3"/>
    <w:rsid w:val="009072D1"/>
    <w:rsid w:val="009077B1"/>
    <w:rsid w:val="00912631"/>
    <w:rsid w:val="009129B3"/>
    <w:rsid w:val="00915707"/>
    <w:rsid w:val="00916184"/>
    <w:rsid w:val="00916917"/>
    <w:rsid w:val="00917BF1"/>
    <w:rsid w:val="00921671"/>
    <w:rsid w:val="00921D69"/>
    <w:rsid w:val="00922A7C"/>
    <w:rsid w:val="009231EA"/>
    <w:rsid w:val="009239D3"/>
    <w:rsid w:val="0092401C"/>
    <w:rsid w:val="00926F1E"/>
    <w:rsid w:val="0093322E"/>
    <w:rsid w:val="009376A8"/>
    <w:rsid w:val="009377AB"/>
    <w:rsid w:val="0093780B"/>
    <w:rsid w:val="00943032"/>
    <w:rsid w:val="009430DB"/>
    <w:rsid w:val="009431E7"/>
    <w:rsid w:val="00944EA9"/>
    <w:rsid w:val="00944F66"/>
    <w:rsid w:val="009458B6"/>
    <w:rsid w:val="00952730"/>
    <w:rsid w:val="00952B5A"/>
    <w:rsid w:val="009547EF"/>
    <w:rsid w:val="00956924"/>
    <w:rsid w:val="009624D6"/>
    <w:rsid w:val="00962591"/>
    <w:rsid w:val="00970065"/>
    <w:rsid w:val="00970C83"/>
    <w:rsid w:val="009711F1"/>
    <w:rsid w:val="00973062"/>
    <w:rsid w:val="00975273"/>
    <w:rsid w:val="009761AD"/>
    <w:rsid w:val="00977FD6"/>
    <w:rsid w:val="0098093F"/>
    <w:rsid w:val="00981526"/>
    <w:rsid w:val="009820D2"/>
    <w:rsid w:val="009853E5"/>
    <w:rsid w:val="009876E2"/>
    <w:rsid w:val="00987B85"/>
    <w:rsid w:val="00987E89"/>
    <w:rsid w:val="0099191E"/>
    <w:rsid w:val="00993911"/>
    <w:rsid w:val="00994815"/>
    <w:rsid w:val="00997688"/>
    <w:rsid w:val="00997F91"/>
    <w:rsid w:val="009A102C"/>
    <w:rsid w:val="009B0364"/>
    <w:rsid w:val="009B0B2C"/>
    <w:rsid w:val="009B26DD"/>
    <w:rsid w:val="009B35E0"/>
    <w:rsid w:val="009B4937"/>
    <w:rsid w:val="009B6479"/>
    <w:rsid w:val="009C0541"/>
    <w:rsid w:val="009C26EA"/>
    <w:rsid w:val="009C2A1D"/>
    <w:rsid w:val="009C57FD"/>
    <w:rsid w:val="009C5C0A"/>
    <w:rsid w:val="009C6BDA"/>
    <w:rsid w:val="009D3627"/>
    <w:rsid w:val="009D3E62"/>
    <w:rsid w:val="009D52C1"/>
    <w:rsid w:val="009D65A1"/>
    <w:rsid w:val="009E13A7"/>
    <w:rsid w:val="009E2340"/>
    <w:rsid w:val="009E2B47"/>
    <w:rsid w:val="009E41D7"/>
    <w:rsid w:val="009E4CE1"/>
    <w:rsid w:val="009E5263"/>
    <w:rsid w:val="009E6021"/>
    <w:rsid w:val="009E7F0F"/>
    <w:rsid w:val="009F124A"/>
    <w:rsid w:val="009F1BFB"/>
    <w:rsid w:val="009F1CB9"/>
    <w:rsid w:val="009F4130"/>
    <w:rsid w:val="009F4306"/>
    <w:rsid w:val="009F4895"/>
    <w:rsid w:val="009F59A4"/>
    <w:rsid w:val="009F5BC8"/>
    <w:rsid w:val="009F6D99"/>
    <w:rsid w:val="00A0194A"/>
    <w:rsid w:val="00A0276E"/>
    <w:rsid w:val="00A0332C"/>
    <w:rsid w:val="00A0764A"/>
    <w:rsid w:val="00A115E6"/>
    <w:rsid w:val="00A119AA"/>
    <w:rsid w:val="00A129D5"/>
    <w:rsid w:val="00A13DDE"/>
    <w:rsid w:val="00A144C8"/>
    <w:rsid w:val="00A167DF"/>
    <w:rsid w:val="00A16D6B"/>
    <w:rsid w:val="00A17028"/>
    <w:rsid w:val="00A239FD"/>
    <w:rsid w:val="00A26D21"/>
    <w:rsid w:val="00A3181A"/>
    <w:rsid w:val="00A31BEB"/>
    <w:rsid w:val="00A3291B"/>
    <w:rsid w:val="00A32B88"/>
    <w:rsid w:val="00A3424A"/>
    <w:rsid w:val="00A35D18"/>
    <w:rsid w:val="00A368AD"/>
    <w:rsid w:val="00A40BD5"/>
    <w:rsid w:val="00A40E91"/>
    <w:rsid w:val="00A4117E"/>
    <w:rsid w:val="00A41ECD"/>
    <w:rsid w:val="00A44964"/>
    <w:rsid w:val="00A47385"/>
    <w:rsid w:val="00A478E9"/>
    <w:rsid w:val="00A503A9"/>
    <w:rsid w:val="00A51D31"/>
    <w:rsid w:val="00A52CAB"/>
    <w:rsid w:val="00A53841"/>
    <w:rsid w:val="00A5460C"/>
    <w:rsid w:val="00A57A20"/>
    <w:rsid w:val="00A6054B"/>
    <w:rsid w:val="00A61B0C"/>
    <w:rsid w:val="00A63A08"/>
    <w:rsid w:val="00A63F6C"/>
    <w:rsid w:val="00A64096"/>
    <w:rsid w:val="00A66965"/>
    <w:rsid w:val="00A67665"/>
    <w:rsid w:val="00A67D50"/>
    <w:rsid w:val="00A7047D"/>
    <w:rsid w:val="00A7082C"/>
    <w:rsid w:val="00A71C94"/>
    <w:rsid w:val="00A7293E"/>
    <w:rsid w:val="00A74BAB"/>
    <w:rsid w:val="00A75446"/>
    <w:rsid w:val="00A7661B"/>
    <w:rsid w:val="00A76A41"/>
    <w:rsid w:val="00A76E00"/>
    <w:rsid w:val="00A77B6F"/>
    <w:rsid w:val="00A80E3C"/>
    <w:rsid w:val="00A81E64"/>
    <w:rsid w:val="00A84031"/>
    <w:rsid w:val="00A84295"/>
    <w:rsid w:val="00A85742"/>
    <w:rsid w:val="00A8606F"/>
    <w:rsid w:val="00A8663E"/>
    <w:rsid w:val="00A92D3C"/>
    <w:rsid w:val="00A93611"/>
    <w:rsid w:val="00A94F68"/>
    <w:rsid w:val="00A96DB3"/>
    <w:rsid w:val="00AA0FEE"/>
    <w:rsid w:val="00AA2D45"/>
    <w:rsid w:val="00AA334C"/>
    <w:rsid w:val="00AA4111"/>
    <w:rsid w:val="00AA7530"/>
    <w:rsid w:val="00AB0504"/>
    <w:rsid w:val="00AB0D9A"/>
    <w:rsid w:val="00AB3DAC"/>
    <w:rsid w:val="00AB4C24"/>
    <w:rsid w:val="00AB4C7D"/>
    <w:rsid w:val="00AB4F75"/>
    <w:rsid w:val="00AB6518"/>
    <w:rsid w:val="00AB7003"/>
    <w:rsid w:val="00AB79A1"/>
    <w:rsid w:val="00AC1545"/>
    <w:rsid w:val="00AC1B9F"/>
    <w:rsid w:val="00AC27F3"/>
    <w:rsid w:val="00AC3E57"/>
    <w:rsid w:val="00AC666B"/>
    <w:rsid w:val="00AD0DEE"/>
    <w:rsid w:val="00AD2676"/>
    <w:rsid w:val="00AD5397"/>
    <w:rsid w:val="00AD6B68"/>
    <w:rsid w:val="00AD6C1A"/>
    <w:rsid w:val="00AD6F32"/>
    <w:rsid w:val="00AE059C"/>
    <w:rsid w:val="00AE0FB1"/>
    <w:rsid w:val="00AE1BEF"/>
    <w:rsid w:val="00AE3F15"/>
    <w:rsid w:val="00AE420D"/>
    <w:rsid w:val="00AF1754"/>
    <w:rsid w:val="00AF3D46"/>
    <w:rsid w:val="00AF522F"/>
    <w:rsid w:val="00AF79CB"/>
    <w:rsid w:val="00B02F7B"/>
    <w:rsid w:val="00B03996"/>
    <w:rsid w:val="00B03CB4"/>
    <w:rsid w:val="00B04296"/>
    <w:rsid w:val="00B05D67"/>
    <w:rsid w:val="00B0753B"/>
    <w:rsid w:val="00B07B89"/>
    <w:rsid w:val="00B125E7"/>
    <w:rsid w:val="00B13291"/>
    <w:rsid w:val="00B141EF"/>
    <w:rsid w:val="00B14852"/>
    <w:rsid w:val="00B14883"/>
    <w:rsid w:val="00B15F6F"/>
    <w:rsid w:val="00B202AA"/>
    <w:rsid w:val="00B2058D"/>
    <w:rsid w:val="00B21982"/>
    <w:rsid w:val="00B223E1"/>
    <w:rsid w:val="00B22EF6"/>
    <w:rsid w:val="00B23020"/>
    <w:rsid w:val="00B2505C"/>
    <w:rsid w:val="00B2530F"/>
    <w:rsid w:val="00B25C37"/>
    <w:rsid w:val="00B27E07"/>
    <w:rsid w:val="00B3232E"/>
    <w:rsid w:val="00B3326F"/>
    <w:rsid w:val="00B33BA9"/>
    <w:rsid w:val="00B3404D"/>
    <w:rsid w:val="00B34C7F"/>
    <w:rsid w:val="00B361EB"/>
    <w:rsid w:val="00B37C5D"/>
    <w:rsid w:val="00B40BD5"/>
    <w:rsid w:val="00B40F84"/>
    <w:rsid w:val="00B42520"/>
    <w:rsid w:val="00B456EC"/>
    <w:rsid w:val="00B50D66"/>
    <w:rsid w:val="00B51DF0"/>
    <w:rsid w:val="00B525EE"/>
    <w:rsid w:val="00B52CC5"/>
    <w:rsid w:val="00B52D61"/>
    <w:rsid w:val="00B52EB3"/>
    <w:rsid w:val="00B5308F"/>
    <w:rsid w:val="00B60D16"/>
    <w:rsid w:val="00B61070"/>
    <w:rsid w:val="00B61240"/>
    <w:rsid w:val="00B63919"/>
    <w:rsid w:val="00B6475A"/>
    <w:rsid w:val="00B6621E"/>
    <w:rsid w:val="00B66439"/>
    <w:rsid w:val="00B6708A"/>
    <w:rsid w:val="00B67317"/>
    <w:rsid w:val="00B707D8"/>
    <w:rsid w:val="00B70AEF"/>
    <w:rsid w:val="00B70D25"/>
    <w:rsid w:val="00B7227D"/>
    <w:rsid w:val="00B75CDB"/>
    <w:rsid w:val="00B76012"/>
    <w:rsid w:val="00B772C7"/>
    <w:rsid w:val="00B80A42"/>
    <w:rsid w:val="00B80B67"/>
    <w:rsid w:val="00B81DBA"/>
    <w:rsid w:val="00B82C3F"/>
    <w:rsid w:val="00B832FF"/>
    <w:rsid w:val="00B836C0"/>
    <w:rsid w:val="00B84355"/>
    <w:rsid w:val="00B84A1A"/>
    <w:rsid w:val="00B859B7"/>
    <w:rsid w:val="00B86003"/>
    <w:rsid w:val="00B901C9"/>
    <w:rsid w:val="00B91899"/>
    <w:rsid w:val="00B919E6"/>
    <w:rsid w:val="00B94801"/>
    <w:rsid w:val="00B94BD2"/>
    <w:rsid w:val="00B94D48"/>
    <w:rsid w:val="00B95C7B"/>
    <w:rsid w:val="00B95EE2"/>
    <w:rsid w:val="00B96365"/>
    <w:rsid w:val="00B97418"/>
    <w:rsid w:val="00BA0A2F"/>
    <w:rsid w:val="00BA3ECC"/>
    <w:rsid w:val="00BA4A86"/>
    <w:rsid w:val="00BB06D8"/>
    <w:rsid w:val="00BB1227"/>
    <w:rsid w:val="00BB33AE"/>
    <w:rsid w:val="00BB4066"/>
    <w:rsid w:val="00BB4BA2"/>
    <w:rsid w:val="00BB4F82"/>
    <w:rsid w:val="00BB503C"/>
    <w:rsid w:val="00BB70F0"/>
    <w:rsid w:val="00BB7E3F"/>
    <w:rsid w:val="00BC1410"/>
    <w:rsid w:val="00BC2412"/>
    <w:rsid w:val="00BC3394"/>
    <w:rsid w:val="00BC34FD"/>
    <w:rsid w:val="00BC3861"/>
    <w:rsid w:val="00BC4A19"/>
    <w:rsid w:val="00BC4E8E"/>
    <w:rsid w:val="00BC547F"/>
    <w:rsid w:val="00BC75BA"/>
    <w:rsid w:val="00BD037E"/>
    <w:rsid w:val="00BD0784"/>
    <w:rsid w:val="00BD0E07"/>
    <w:rsid w:val="00BD1824"/>
    <w:rsid w:val="00BD1E44"/>
    <w:rsid w:val="00BD2B0D"/>
    <w:rsid w:val="00BD2C06"/>
    <w:rsid w:val="00BD2DF9"/>
    <w:rsid w:val="00BD321D"/>
    <w:rsid w:val="00BD32DF"/>
    <w:rsid w:val="00BD60E8"/>
    <w:rsid w:val="00BE0874"/>
    <w:rsid w:val="00BE15AC"/>
    <w:rsid w:val="00BE2FF6"/>
    <w:rsid w:val="00BE4097"/>
    <w:rsid w:val="00BE49EE"/>
    <w:rsid w:val="00BE7D97"/>
    <w:rsid w:val="00BF0CA9"/>
    <w:rsid w:val="00BF1E63"/>
    <w:rsid w:val="00BF3701"/>
    <w:rsid w:val="00BF3E14"/>
    <w:rsid w:val="00BF6024"/>
    <w:rsid w:val="00C00D4E"/>
    <w:rsid w:val="00C01B2A"/>
    <w:rsid w:val="00C01C74"/>
    <w:rsid w:val="00C071A5"/>
    <w:rsid w:val="00C077C3"/>
    <w:rsid w:val="00C107EE"/>
    <w:rsid w:val="00C11888"/>
    <w:rsid w:val="00C125D0"/>
    <w:rsid w:val="00C12C7F"/>
    <w:rsid w:val="00C140DA"/>
    <w:rsid w:val="00C15AFD"/>
    <w:rsid w:val="00C16D03"/>
    <w:rsid w:val="00C17EF0"/>
    <w:rsid w:val="00C2034A"/>
    <w:rsid w:val="00C205C1"/>
    <w:rsid w:val="00C20E1E"/>
    <w:rsid w:val="00C221F0"/>
    <w:rsid w:val="00C2322A"/>
    <w:rsid w:val="00C2426F"/>
    <w:rsid w:val="00C245DB"/>
    <w:rsid w:val="00C24CC3"/>
    <w:rsid w:val="00C2656F"/>
    <w:rsid w:val="00C267EC"/>
    <w:rsid w:val="00C32CCB"/>
    <w:rsid w:val="00C35823"/>
    <w:rsid w:val="00C358A1"/>
    <w:rsid w:val="00C3598C"/>
    <w:rsid w:val="00C37C28"/>
    <w:rsid w:val="00C40022"/>
    <w:rsid w:val="00C43EA9"/>
    <w:rsid w:val="00C4424D"/>
    <w:rsid w:val="00C44E3F"/>
    <w:rsid w:val="00C454E1"/>
    <w:rsid w:val="00C46826"/>
    <w:rsid w:val="00C514BF"/>
    <w:rsid w:val="00C51929"/>
    <w:rsid w:val="00C52494"/>
    <w:rsid w:val="00C5352E"/>
    <w:rsid w:val="00C55A2D"/>
    <w:rsid w:val="00C57311"/>
    <w:rsid w:val="00C607E3"/>
    <w:rsid w:val="00C60CF8"/>
    <w:rsid w:val="00C6266E"/>
    <w:rsid w:val="00C62E8E"/>
    <w:rsid w:val="00C6612C"/>
    <w:rsid w:val="00C666E5"/>
    <w:rsid w:val="00C66C57"/>
    <w:rsid w:val="00C67F8C"/>
    <w:rsid w:val="00C70338"/>
    <w:rsid w:val="00C717D2"/>
    <w:rsid w:val="00C72CC2"/>
    <w:rsid w:val="00C75E62"/>
    <w:rsid w:val="00C7694E"/>
    <w:rsid w:val="00C80618"/>
    <w:rsid w:val="00C80D1A"/>
    <w:rsid w:val="00C84608"/>
    <w:rsid w:val="00C84A5C"/>
    <w:rsid w:val="00C85549"/>
    <w:rsid w:val="00C867C0"/>
    <w:rsid w:val="00C87294"/>
    <w:rsid w:val="00C8761E"/>
    <w:rsid w:val="00C91242"/>
    <w:rsid w:val="00C916E2"/>
    <w:rsid w:val="00C92985"/>
    <w:rsid w:val="00C95B4B"/>
    <w:rsid w:val="00C95EA9"/>
    <w:rsid w:val="00CA2D16"/>
    <w:rsid w:val="00CA7596"/>
    <w:rsid w:val="00CB04A0"/>
    <w:rsid w:val="00CB092B"/>
    <w:rsid w:val="00CB09CD"/>
    <w:rsid w:val="00CB1232"/>
    <w:rsid w:val="00CB12C2"/>
    <w:rsid w:val="00CB1715"/>
    <w:rsid w:val="00CB24BE"/>
    <w:rsid w:val="00CB2FAE"/>
    <w:rsid w:val="00CB3EB5"/>
    <w:rsid w:val="00CB509E"/>
    <w:rsid w:val="00CB57CA"/>
    <w:rsid w:val="00CB6D05"/>
    <w:rsid w:val="00CC02FB"/>
    <w:rsid w:val="00CC248F"/>
    <w:rsid w:val="00CC260A"/>
    <w:rsid w:val="00CC2A64"/>
    <w:rsid w:val="00CC2C3A"/>
    <w:rsid w:val="00CC2FD4"/>
    <w:rsid w:val="00CC393B"/>
    <w:rsid w:val="00CC4D96"/>
    <w:rsid w:val="00CC5201"/>
    <w:rsid w:val="00CC66BA"/>
    <w:rsid w:val="00CC710C"/>
    <w:rsid w:val="00CC73FD"/>
    <w:rsid w:val="00CD244D"/>
    <w:rsid w:val="00CD2565"/>
    <w:rsid w:val="00CD25CA"/>
    <w:rsid w:val="00CD3206"/>
    <w:rsid w:val="00CD371D"/>
    <w:rsid w:val="00CD3C2F"/>
    <w:rsid w:val="00CD51AA"/>
    <w:rsid w:val="00CD6D50"/>
    <w:rsid w:val="00CD7058"/>
    <w:rsid w:val="00CD70F1"/>
    <w:rsid w:val="00CE2DA5"/>
    <w:rsid w:val="00CE3977"/>
    <w:rsid w:val="00CE55F3"/>
    <w:rsid w:val="00CE57B6"/>
    <w:rsid w:val="00CE6BD9"/>
    <w:rsid w:val="00CE7D2F"/>
    <w:rsid w:val="00CE7E72"/>
    <w:rsid w:val="00CF0D03"/>
    <w:rsid w:val="00CF1CBC"/>
    <w:rsid w:val="00CF1D48"/>
    <w:rsid w:val="00CF2677"/>
    <w:rsid w:val="00CF2C7E"/>
    <w:rsid w:val="00CF4705"/>
    <w:rsid w:val="00CF51B5"/>
    <w:rsid w:val="00CF58B3"/>
    <w:rsid w:val="00CF61DF"/>
    <w:rsid w:val="00CF7A1A"/>
    <w:rsid w:val="00D00E3F"/>
    <w:rsid w:val="00D01434"/>
    <w:rsid w:val="00D05767"/>
    <w:rsid w:val="00D07D17"/>
    <w:rsid w:val="00D1015B"/>
    <w:rsid w:val="00D1039C"/>
    <w:rsid w:val="00D11AC5"/>
    <w:rsid w:val="00D13445"/>
    <w:rsid w:val="00D13FD4"/>
    <w:rsid w:val="00D14374"/>
    <w:rsid w:val="00D15700"/>
    <w:rsid w:val="00D170F9"/>
    <w:rsid w:val="00D17554"/>
    <w:rsid w:val="00D21DFE"/>
    <w:rsid w:val="00D22508"/>
    <w:rsid w:val="00D228DC"/>
    <w:rsid w:val="00D234AD"/>
    <w:rsid w:val="00D244F1"/>
    <w:rsid w:val="00D2466D"/>
    <w:rsid w:val="00D2487C"/>
    <w:rsid w:val="00D253BD"/>
    <w:rsid w:val="00D27562"/>
    <w:rsid w:val="00D31AEE"/>
    <w:rsid w:val="00D31BC4"/>
    <w:rsid w:val="00D33AB2"/>
    <w:rsid w:val="00D33F4A"/>
    <w:rsid w:val="00D34B07"/>
    <w:rsid w:val="00D36DFB"/>
    <w:rsid w:val="00D37A89"/>
    <w:rsid w:val="00D42882"/>
    <w:rsid w:val="00D43614"/>
    <w:rsid w:val="00D44270"/>
    <w:rsid w:val="00D44313"/>
    <w:rsid w:val="00D454CD"/>
    <w:rsid w:val="00D46CCE"/>
    <w:rsid w:val="00D47067"/>
    <w:rsid w:val="00D505DB"/>
    <w:rsid w:val="00D50FA3"/>
    <w:rsid w:val="00D516AA"/>
    <w:rsid w:val="00D537AC"/>
    <w:rsid w:val="00D54648"/>
    <w:rsid w:val="00D54EA6"/>
    <w:rsid w:val="00D54FB2"/>
    <w:rsid w:val="00D57C33"/>
    <w:rsid w:val="00D60441"/>
    <w:rsid w:val="00D61C64"/>
    <w:rsid w:val="00D61FBB"/>
    <w:rsid w:val="00D6432B"/>
    <w:rsid w:val="00D668B4"/>
    <w:rsid w:val="00D71CFE"/>
    <w:rsid w:val="00D72B75"/>
    <w:rsid w:val="00D730D9"/>
    <w:rsid w:val="00D748DA"/>
    <w:rsid w:val="00D74FC7"/>
    <w:rsid w:val="00D767CB"/>
    <w:rsid w:val="00D77705"/>
    <w:rsid w:val="00D8028D"/>
    <w:rsid w:val="00D80FB4"/>
    <w:rsid w:val="00D811E5"/>
    <w:rsid w:val="00D82CCD"/>
    <w:rsid w:val="00D83354"/>
    <w:rsid w:val="00D84512"/>
    <w:rsid w:val="00D85535"/>
    <w:rsid w:val="00D86778"/>
    <w:rsid w:val="00D87201"/>
    <w:rsid w:val="00D8729E"/>
    <w:rsid w:val="00D906DF"/>
    <w:rsid w:val="00D90F3C"/>
    <w:rsid w:val="00D92C8C"/>
    <w:rsid w:val="00D92D57"/>
    <w:rsid w:val="00D95E05"/>
    <w:rsid w:val="00D969EE"/>
    <w:rsid w:val="00D97788"/>
    <w:rsid w:val="00DA2425"/>
    <w:rsid w:val="00DA36CD"/>
    <w:rsid w:val="00DA5ADB"/>
    <w:rsid w:val="00DA5BF6"/>
    <w:rsid w:val="00DA6DC2"/>
    <w:rsid w:val="00DB0146"/>
    <w:rsid w:val="00DB01E6"/>
    <w:rsid w:val="00DB5FDF"/>
    <w:rsid w:val="00DB60FC"/>
    <w:rsid w:val="00DB6C06"/>
    <w:rsid w:val="00DC1F91"/>
    <w:rsid w:val="00DC3C0B"/>
    <w:rsid w:val="00DC400E"/>
    <w:rsid w:val="00DC55EF"/>
    <w:rsid w:val="00DC5801"/>
    <w:rsid w:val="00DC7D31"/>
    <w:rsid w:val="00DD0284"/>
    <w:rsid w:val="00DD1C5C"/>
    <w:rsid w:val="00DD2CE7"/>
    <w:rsid w:val="00DD5BF9"/>
    <w:rsid w:val="00DD5F12"/>
    <w:rsid w:val="00DE49A1"/>
    <w:rsid w:val="00DE51A8"/>
    <w:rsid w:val="00DE534E"/>
    <w:rsid w:val="00DE572D"/>
    <w:rsid w:val="00DE66EC"/>
    <w:rsid w:val="00DE762B"/>
    <w:rsid w:val="00DE7CA9"/>
    <w:rsid w:val="00DE7E33"/>
    <w:rsid w:val="00DF0313"/>
    <w:rsid w:val="00DF0E1E"/>
    <w:rsid w:val="00DF1D69"/>
    <w:rsid w:val="00DF27E7"/>
    <w:rsid w:val="00DF2D9B"/>
    <w:rsid w:val="00DF2F6F"/>
    <w:rsid w:val="00DF378D"/>
    <w:rsid w:val="00DF3850"/>
    <w:rsid w:val="00DF3C1C"/>
    <w:rsid w:val="00DF47DE"/>
    <w:rsid w:val="00DF5C5E"/>
    <w:rsid w:val="00DF60EA"/>
    <w:rsid w:val="00DF61AC"/>
    <w:rsid w:val="00E02988"/>
    <w:rsid w:val="00E03BA3"/>
    <w:rsid w:val="00E06BE3"/>
    <w:rsid w:val="00E07A55"/>
    <w:rsid w:val="00E10756"/>
    <w:rsid w:val="00E14518"/>
    <w:rsid w:val="00E16035"/>
    <w:rsid w:val="00E167FC"/>
    <w:rsid w:val="00E17163"/>
    <w:rsid w:val="00E175A9"/>
    <w:rsid w:val="00E20019"/>
    <w:rsid w:val="00E201BF"/>
    <w:rsid w:val="00E201CC"/>
    <w:rsid w:val="00E20DBC"/>
    <w:rsid w:val="00E210E5"/>
    <w:rsid w:val="00E2175A"/>
    <w:rsid w:val="00E21D9A"/>
    <w:rsid w:val="00E21DB5"/>
    <w:rsid w:val="00E23923"/>
    <w:rsid w:val="00E24054"/>
    <w:rsid w:val="00E2407A"/>
    <w:rsid w:val="00E25206"/>
    <w:rsid w:val="00E316A4"/>
    <w:rsid w:val="00E31A56"/>
    <w:rsid w:val="00E31FD2"/>
    <w:rsid w:val="00E320C3"/>
    <w:rsid w:val="00E32B05"/>
    <w:rsid w:val="00E33A5D"/>
    <w:rsid w:val="00E33D6D"/>
    <w:rsid w:val="00E33EFF"/>
    <w:rsid w:val="00E3550B"/>
    <w:rsid w:val="00E374C7"/>
    <w:rsid w:val="00E375B7"/>
    <w:rsid w:val="00E4109C"/>
    <w:rsid w:val="00E41283"/>
    <w:rsid w:val="00E43597"/>
    <w:rsid w:val="00E4409D"/>
    <w:rsid w:val="00E44D22"/>
    <w:rsid w:val="00E451C1"/>
    <w:rsid w:val="00E47868"/>
    <w:rsid w:val="00E51CBE"/>
    <w:rsid w:val="00E52E96"/>
    <w:rsid w:val="00E531A2"/>
    <w:rsid w:val="00E5378E"/>
    <w:rsid w:val="00E53F2C"/>
    <w:rsid w:val="00E5569E"/>
    <w:rsid w:val="00E60020"/>
    <w:rsid w:val="00E63980"/>
    <w:rsid w:val="00E63BBC"/>
    <w:rsid w:val="00E6636D"/>
    <w:rsid w:val="00E6725C"/>
    <w:rsid w:val="00E70644"/>
    <w:rsid w:val="00E732A2"/>
    <w:rsid w:val="00E7438C"/>
    <w:rsid w:val="00E7499F"/>
    <w:rsid w:val="00E74AAA"/>
    <w:rsid w:val="00E769E3"/>
    <w:rsid w:val="00E80000"/>
    <w:rsid w:val="00E91F3E"/>
    <w:rsid w:val="00E966DB"/>
    <w:rsid w:val="00EA16E9"/>
    <w:rsid w:val="00EA64B4"/>
    <w:rsid w:val="00EB5EE6"/>
    <w:rsid w:val="00EB6431"/>
    <w:rsid w:val="00EC0807"/>
    <w:rsid w:val="00EC1C91"/>
    <w:rsid w:val="00EC271D"/>
    <w:rsid w:val="00EC39E3"/>
    <w:rsid w:val="00EC42A5"/>
    <w:rsid w:val="00EC5C9F"/>
    <w:rsid w:val="00EC5EA3"/>
    <w:rsid w:val="00EC697C"/>
    <w:rsid w:val="00EC69C6"/>
    <w:rsid w:val="00EC6F7A"/>
    <w:rsid w:val="00EC7622"/>
    <w:rsid w:val="00EC7750"/>
    <w:rsid w:val="00ED040B"/>
    <w:rsid w:val="00ED09BA"/>
    <w:rsid w:val="00ED1BC6"/>
    <w:rsid w:val="00ED61BF"/>
    <w:rsid w:val="00ED78B6"/>
    <w:rsid w:val="00EE00B8"/>
    <w:rsid w:val="00EE04D6"/>
    <w:rsid w:val="00EE0FB7"/>
    <w:rsid w:val="00EE2EF8"/>
    <w:rsid w:val="00EE33D4"/>
    <w:rsid w:val="00EE4947"/>
    <w:rsid w:val="00EE7972"/>
    <w:rsid w:val="00EF1A96"/>
    <w:rsid w:val="00EF36C5"/>
    <w:rsid w:val="00EF3A82"/>
    <w:rsid w:val="00EF4271"/>
    <w:rsid w:val="00EF4CF9"/>
    <w:rsid w:val="00EF4D34"/>
    <w:rsid w:val="00EF4E1A"/>
    <w:rsid w:val="00EF55D8"/>
    <w:rsid w:val="00EF6575"/>
    <w:rsid w:val="00EF71B9"/>
    <w:rsid w:val="00F015F9"/>
    <w:rsid w:val="00F06DC6"/>
    <w:rsid w:val="00F12553"/>
    <w:rsid w:val="00F13F06"/>
    <w:rsid w:val="00F16DC8"/>
    <w:rsid w:val="00F2284F"/>
    <w:rsid w:val="00F25293"/>
    <w:rsid w:val="00F305C3"/>
    <w:rsid w:val="00F326C9"/>
    <w:rsid w:val="00F34F93"/>
    <w:rsid w:val="00F36D7F"/>
    <w:rsid w:val="00F41216"/>
    <w:rsid w:val="00F440EA"/>
    <w:rsid w:val="00F45088"/>
    <w:rsid w:val="00F454F1"/>
    <w:rsid w:val="00F45662"/>
    <w:rsid w:val="00F45ADF"/>
    <w:rsid w:val="00F460CA"/>
    <w:rsid w:val="00F4702A"/>
    <w:rsid w:val="00F471DF"/>
    <w:rsid w:val="00F4753B"/>
    <w:rsid w:val="00F5188D"/>
    <w:rsid w:val="00F51DD5"/>
    <w:rsid w:val="00F51E3D"/>
    <w:rsid w:val="00F57342"/>
    <w:rsid w:val="00F6038E"/>
    <w:rsid w:val="00F620E2"/>
    <w:rsid w:val="00F62A68"/>
    <w:rsid w:val="00F650DB"/>
    <w:rsid w:val="00F65CB4"/>
    <w:rsid w:val="00F66378"/>
    <w:rsid w:val="00F66DFA"/>
    <w:rsid w:val="00F7203D"/>
    <w:rsid w:val="00F7206C"/>
    <w:rsid w:val="00F72C58"/>
    <w:rsid w:val="00F736A3"/>
    <w:rsid w:val="00F7402C"/>
    <w:rsid w:val="00F75F86"/>
    <w:rsid w:val="00F76400"/>
    <w:rsid w:val="00F77EC5"/>
    <w:rsid w:val="00F801AD"/>
    <w:rsid w:val="00F80E91"/>
    <w:rsid w:val="00F81D8D"/>
    <w:rsid w:val="00F81E22"/>
    <w:rsid w:val="00F8224F"/>
    <w:rsid w:val="00F82A54"/>
    <w:rsid w:val="00F8327E"/>
    <w:rsid w:val="00F8381E"/>
    <w:rsid w:val="00F8443B"/>
    <w:rsid w:val="00F84A82"/>
    <w:rsid w:val="00F8523A"/>
    <w:rsid w:val="00F86687"/>
    <w:rsid w:val="00F86B89"/>
    <w:rsid w:val="00F91355"/>
    <w:rsid w:val="00F919AB"/>
    <w:rsid w:val="00F951F9"/>
    <w:rsid w:val="00F954B5"/>
    <w:rsid w:val="00F95616"/>
    <w:rsid w:val="00F97E94"/>
    <w:rsid w:val="00F97EB7"/>
    <w:rsid w:val="00FA13F5"/>
    <w:rsid w:val="00FA302A"/>
    <w:rsid w:val="00FA3143"/>
    <w:rsid w:val="00FA70EC"/>
    <w:rsid w:val="00FA74B6"/>
    <w:rsid w:val="00FA79EE"/>
    <w:rsid w:val="00FA7F87"/>
    <w:rsid w:val="00FB0226"/>
    <w:rsid w:val="00FB4CF2"/>
    <w:rsid w:val="00FB7032"/>
    <w:rsid w:val="00FB7283"/>
    <w:rsid w:val="00FC13C1"/>
    <w:rsid w:val="00FC15BE"/>
    <w:rsid w:val="00FC1845"/>
    <w:rsid w:val="00FC3B81"/>
    <w:rsid w:val="00FC4446"/>
    <w:rsid w:val="00FC553A"/>
    <w:rsid w:val="00FC7246"/>
    <w:rsid w:val="00FC7EB5"/>
    <w:rsid w:val="00FD192B"/>
    <w:rsid w:val="00FD1F6A"/>
    <w:rsid w:val="00FD1FDB"/>
    <w:rsid w:val="00FD259B"/>
    <w:rsid w:val="00FD418A"/>
    <w:rsid w:val="00FD4F27"/>
    <w:rsid w:val="00FD5202"/>
    <w:rsid w:val="00FD6108"/>
    <w:rsid w:val="00FD7A4B"/>
    <w:rsid w:val="00FD7E28"/>
    <w:rsid w:val="00FE0461"/>
    <w:rsid w:val="00FE2DF7"/>
    <w:rsid w:val="00FE30EA"/>
    <w:rsid w:val="00FE428E"/>
    <w:rsid w:val="00FE4916"/>
    <w:rsid w:val="00FE4A75"/>
    <w:rsid w:val="00FE4A85"/>
    <w:rsid w:val="00FE6CA3"/>
    <w:rsid w:val="00FE73DF"/>
    <w:rsid w:val="00FE7EA8"/>
    <w:rsid w:val="00FF29AE"/>
    <w:rsid w:val="00FF53CE"/>
    <w:rsid w:val="00FF6312"/>
    <w:rsid w:val="00FF6343"/>
    <w:rsid w:val="00FF6B97"/>
    <w:rsid w:val="00FF73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8C00"/>
  <w15:chartTrackingRefBased/>
  <w15:docId w15:val="{B9DC6251-3902-0A47-8BB0-E747323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41"/>
    <w:pPr>
      <w:ind w:left="720"/>
      <w:contextualSpacing/>
    </w:pPr>
  </w:style>
  <w:style w:type="character" w:styleId="Hyperlink">
    <w:name w:val="Hyperlink"/>
    <w:basedOn w:val="DefaultParagraphFont"/>
    <w:uiPriority w:val="99"/>
    <w:unhideWhenUsed/>
    <w:rsid w:val="00351041"/>
    <w:rPr>
      <w:color w:val="0563C1" w:themeColor="hyperlink"/>
      <w:u w:val="single"/>
    </w:rPr>
  </w:style>
  <w:style w:type="paragraph" w:styleId="NormalWeb">
    <w:name w:val="Normal (Web)"/>
    <w:basedOn w:val="Normal"/>
    <w:uiPriority w:val="99"/>
    <w:unhideWhenUsed/>
    <w:rsid w:val="009B6479"/>
    <w:pPr>
      <w:spacing w:before="100" w:beforeAutospacing="1" w:after="100" w:afterAutospacing="1"/>
    </w:pPr>
  </w:style>
  <w:style w:type="character" w:customStyle="1" w:styleId="UnresolvedMention">
    <w:name w:val="Unresolved Mention"/>
    <w:basedOn w:val="DefaultParagraphFont"/>
    <w:uiPriority w:val="99"/>
    <w:semiHidden/>
    <w:unhideWhenUsed/>
    <w:rsid w:val="001E2B86"/>
    <w:rPr>
      <w:color w:val="605E5C"/>
      <w:shd w:val="clear" w:color="auto" w:fill="E1DFDD"/>
    </w:rPr>
  </w:style>
  <w:style w:type="character" w:styleId="FollowedHyperlink">
    <w:name w:val="FollowedHyperlink"/>
    <w:basedOn w:val="DefaultParagraphFont"/>
    <w:uiPriority w:val="99"/>
    <w:semiHidden/>
    <w:unhideWhenUsed/>
    <w:rsid w:val="00011E0E"/>
    <w:rPr>
      <w:color w:val="954F72" w:themeColor="followedHyperlink"/>
      <w:u w:val="single"/>
    </w:rPr>
  </w:style>
  <w:style w:type="character" w:customStyle="1" w:styleId="apple-converted-space">
    <w:name w:val="apple-converted-space"/>
    <w:basedOn w:val="DefaultParagraphFont"/>
    <w:rsid w:val="0061539A"/>
  </w:style>
  <w:style w:type="paragraph" w:styleId="Footer">
    <w:name w:val="footer"/>
    <w:basedOn w:val="Normal"/>
    <w:link w:val="FooterChar"/>
    <w:uiPriority w:val="99"/>
    <w:unhideWhenUsed/>
    <w:rsid w:val="003F2777"/>
    <w:pPr>
      <w:tabs>
        <w:tab w:val="center" w:pos="4513"/>
        <w:tab w:val="right" w:pos="9026"/>
      </w:tabs>
    </w:pPr>
  </w:style>
  <w:style w:type="character" w:customStyle="1" w:styleId="FooterChar">
    <w:name w:val="Footer Char"/>
    <w:basedOn w:val="DefaultParagraphFont"/>
    <w:link w:val="Footer"/>
    <w:uiPriority w:val="99"/>
    <w:rsid w:val="003F277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F2777"/>
  </w:style>
  <w:style w:type="paragraph" w:styleId="Header">
    <w:name w:val="header"/>
    <w:basedOn w:val="Normal"/>
    <w:link w:val="HeaderChar"/>
    <w:uiPriority w:val="99"/>
    <w:unhideWhenUsed/>
    <w:rsid w:val="003F2777"/>
    <w:pPr>
      <w:tabs>
        <w:tab w:val="center" w:pos="4513"/>
        <w:tab w:val="right" w:pos="9026"/>
      </w:tabs>
    </w:pPr>
  </w:style>
  <w:style w:type="character" w:customStyle="1" w:styleId="HeaderChar">
    <w:name w:val="Header Char"/>
    <w:basedOn w:val="DefaultParagraphFont"/>
    <w:link w:val="Header"/>
    <w:uiPriority w:val="99"/>
    <w:rsid w:val="003F2777"/>
    <w:rPr>
      <w:rFonts w:ascii="Times New Roman" w:eastAsia="Times New Roman" w:hAnsi="Times New Roman" w:cs="Times New Roman"/>
      <w:lang w:eastAsia="en-GB"/>
    </w:rPr>
  </w:style>
  <w:style w:type="paragraph" w:styleId="Revision">
    <w:name w:val="Revision"/>
    <w:hidden/>
    <w:uiPriority w:val="99"/>
    <w:semiHidden/>
    <w:rsid w:val="00A67D5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94BD2"/>
    <w:rPr>
      <w:sz w:val="16"/>
      <w:szCs w:val="16"/>
    </w:rPr>
  </w:style>
  <w:style w:type="paragraph" w:styleId="CommentText">
    <w:name w:val="annotation text"/>
    <w:basedOn w:val="Normal"/>
    <w:link w:val="CommentTextChar"/>
    <w:uiPriority w:val="99"/>
    <w:semiHidden/>
    <w:unhideWhenUsed/>
    <w:rsid w:val="00B94BD2"/>
    <w:rPr>
      <w:sz w:val="20"/>
      <w:szCs w:val="20"/>
    </w:rPr>
  </w:style>
  <w:style w:type="character" w:customStyle="1" w:styleId="CommentTextChar">
    <w:name w:val="Comment Text Char"/>
    <w:basedOn w:val="DefaultParagraphFont"/>
    <w:link w:val="CommentText"/>
    <w:uiPriority w:val="99"/>
    <w:semiHidden/>
    <w:rsid w:val="00B94B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4BD2"/>
    <w:rPr>
      <w:b/>
      <w:bCs/>
    </w:rPr>
  </w:style>
  <w:style w:type="character" w:customStyle="1" w:styleId="CommentSubjectChar">
    <w:name w:val="Comment Subject Char"/>
    <w:basedOn w:val="CommentTextChar"/>
    <w:link w:val="CommentSubject"/>
    <w:uiPriority w:val="99"/>
    <w:semiHidden/>
    <w:rsid w:val="00B94BD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36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96"/>
    <w:rPr>
      <w:rFonts w:ascii="Segoe UI" w:eastAsia="Times New Roman" w:hAnsi="Segoe UI" w:cs="Segoe UI"/>
      <w:sz w:val="18"/>
      <w:szCs w:val="18"/>
      <w:lang w:eastAsia="en-GB"/>
    </w:rPr>
  </w:style>
  <w:style w:type="character" w:customStyle="1" w:styleId="sbc73225d">
    <w:name w:val="sbc73225d"/>
    <w:basedOn w:val="DefaultParagraphFont"/>
    <w:rsid w:val="00B25C37"/>
  </w:style>
  <w:style w:type="character" w:customStyle="1" w:styleId="s68f5eaef">
    <w:name w:val="s68f5eaef"/>
    <w:basedOn w:val="DefaultParagraphFont"/>
    <w:rsid w:val="00B25C37"/>
  </w:style>
  <w:style w:type="character" w:styleId="Emphasis">
    <w:name w:val="Emphasis"/>
    <w:basedOn w:val="DefaultParagraphFont"/>
    <w:uiPriority w:val="20"/>
    <w:qFormat/>
    <w:rsid w:val="009239D3"/>
    <w:rPr>
      <w:i/>
      <w:iCs/>
    </w:rPr>
  </w:style>
  <w:style w:type="character" w:customStyle="1" w:styleId="css-guq32d">
    <w:name w:val="css-guq32d"/>
    <w:basedOn w:val="DefaultParagraphFont"/>
    <w:rsid w:val="0092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379">
      <w:bodyDiv w:val="1"/>
      <w:marLeft w:val="0"/>
      <w:marRight w:val="0"/>
      <w:marTop w:val="0"/>
      <w:marBottom w:val="0"/>
      <w:divBdr>
        <w:top w:val="none" w:sz="0" w:space="0" w:color="auto"/>
        <w:left w:val="none" w:sz="0" w:space="0" w:color="auto"/>
        <w:bottom w:val="none" w:sz="0" w:space="0" w:color="auto"/>
        <w:right w:val="none" w:sz="0" w:space="0" w:color="auto"/>
      </w:divBdr>
      <w:divsChild>
        <w:div w:id="10381296">
          <w:marLeft w:val="0"/>
          <w:marRight w:val="0"/>
          <w:marTop w:val="0"/>
          <w:marBottom w:val="0"/>
          <w:divBdr>
            <w:top w:val="none" w:sz="0" w:space="0" w:color="auto"/>
            <w:left w:val="none" w:sz="0" w:space="0" w:color="auto"/>
            <w:bottom w:val="none" w:sz="0" w:space="0" w:color="auto"/>
            <w:right w:val="none" w:sz="0" w:space="0" w:color="auto"/>
          </w:divBdr>
          <w:divsChild>
            <w:div w:id="615723418">
              <w:marLeft w:val="0"/>
              <w:marRight w:val="0"/>
              <w:marTop w:val="0"/>
              <w:marBottom w:val="0"/>
              <w:divBdr>
                <w:top w:val="none" w:sz="0" w:space="0" w:color="auto"/>
                <w:left w:val="none" w:sz="0" w:space="0" w:color="auto"/>
                <w:bottom w:val="none" w:sz="0" w:space="0" w:color="auto"/>
                <w:right w:val="none" w:sz="0" w:space="0" w:color="auto"/>
              </w:divBdr>
              <w:divsChild>
                <w:div w:id="574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689">
          <w:marLeft w:val="0"/>
          <w:marRight w:val="0"/>
          <w:marTop w:val="0"/>
          <w:marBottom w:val="0"/>
          <w:divBdr>
            <w:top w:val="none" w:sz="0" w:space="0" w:color="auto"/>
            <w:left w:val="none" w:sz="0" w:space="0" w:color="auto"/>
            <w:bottom w:val="none" w:sz="0" w:space="0" w:color="auto"/>
            <w:right w:val="none" w:sz="0" w:space="0" w:color="auto"/>
          </w:divBdr>
          <w:divsChild>
            <w:div w:id="1050107258">
              <w:marLeft w:val="0"/>
              <w:marRight w:val="0"/>
              <w:marTop w:val="0"/>
              <w:marBottom w:val="0"/>
              <w:divBdr>
                <w:top w:val="none" w:sz="0" w:space="0" w:color="auto"/>
                <w:left w:val="none" w:sz="0" w:space="0" w:color="auto"/>
                <w:bottom w:val="none" w:sz="0" w:space="0" w:color="auto"/>
                <w:right w:val="none" w:sz="0" w:space="0" w:color="auto"/>
              </w:divBdr>
              <w:divsChild>
                <w:div w:id="174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32">
      <w:bodyDiv w:val="1"/>
      <w:marLeft w:val="0"/>
      <w:marRight w:val="0"/>
      <w:marTop w:val="0"/>
      <w:marBottom w:val="0"/>
      <w:divBdr>
        <w:top w:val="none" w:sz="0" w:space="0" w:color="auto"/>
        <w:left w:val="none" w:sz="0" w:space="0" w:color="auto"/>
        <w:bottom w:val="none" w:sz="0" w:space="0" w:color="auto"/>
        <w:right w:val="none" w:sz="0" w:space="0" w:color="auto"/>
      </w:divBdr>
      <w:divsChild>
        <w:div w:id="622736658">
          <w:marLeft w:val="0"/>
          <w:marRight w:val="0"/>
          <w:marTop w:val="0"/>
          <w:marBottom w:val="0"/>
          <w:divBdr>
            <w:top w:val="none" w:sz="0" w:space="0" w:color="auto"/>
            <w:left w:val="none" w:sz="0" w:space="0" w:color="auto"/>
            <w:bottom w:val="none" w:sz="0" w:space="0" w:color="auto"/>
            <w:right w:val="none" w:sz="0" w:space="0" w:color="auto"/>
          </w:divBdr>
          <w:divsChild>
            <w:div w:id="272978901">
              <w:marLeft w:val="0"/>
              <w:marRight w:val="0"/>
              <w:marTop w:val="0"/>
              <w:marBottom w:val="0"/>
              <w:divBdr>
                <w:top w:val="none" w:sz="0" w:space="0" w:color="auto"/>
                <w:left w:val="none" w:sz="0" w:space="0" w:color="auto"/>
                <w:bottom w:val="none" w:sz="0" w:space="0" w:color="auto"/>
                <w:right w:val="none" w:sz="0" w:space="0" w:color="auto"/>
              </w:divBdr>
              <w:divsChild>
                <w:div w:id="726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4279">
      <w:bodyDiv w:val="1"/>
      <w:marLeft w:val="0"/>
      <w:marRight w:val="0"/>
      <w:marTop w:val="0"/>
      <w:marBottom w:val="0"/>
      <w:divBdr>
        <w:top w:val="none" w:sz="0" w:space="0" w:color="auto"/>
        <w:left w:val="none" w:sz="0" w:space="0" w:color="auto"/>
        <w:bottom w:val="none" w:sz="0" w:space="0" w:color="auto"/>
        <w:right w:val="none" w:sz="0" w:space="0" w:color="auto"/>
      </w:divBdr>
      <w:divsChild>
        <w:div w:id="594634633">
          <w:marLeft w:val="0"/>
          <w:marRight w:val="0"/>
          <w:marTop w:val="0"/>
          <w:marBottom w:val="0"/>
          <w:divBdr>
            <w:top w:val="none" w:sz="0" w:space="0" w:color="auto"/>
            <w:left w:val="none" w:sz="0" w:space="0" w:color="auto"/>
            <w:bottom w:val="none" w:sz="0" w:space="0" w:color="auto"/>
            <w:right w:val="none" w:sz="0" w:space="0" w:color="auto"/>
          </w:divBdr>
          <w:divsChild>
            <w:div w:id="1417239819">
              <w:marLeft w:val="0"/>
              <w:marRight w:val="0"/>
              <w:marTop w:val="0"/>
              <w:marBottom w:val="0"/>
              <w:divBdr>
                <w:top w:val="none" w:sz="0" w:space="0" w:color="auto"/>
                <w:left w:val="none" w:sz="0" w:space="0" w:color="auto"/>
                <w:bottom w:val="none" w:sz="0" w:space="0" w:color="auto"/>
                <w:right w:val="none" w:sz="0" w:space="0" w:color="auto"/>
              </w:divBdr>
              <w:divsChild>
                <w:div w:id="368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8257">
      <w:bodyDiv w:val="1"/>
      <w:marLeft w:val="0"/>
      <w:marRight w:val="0"/>
      <w:marTop w:val="0"/>
      <w:marBottom w:val="0"/>
      <w:divBdr>
        <w:top w:val="none" w:sz="0" w:space="0" w:color="auto"/>
        <w:left w:val="none" w:sz="0" w:space="0" w:color="auto"/>
        <w:bottom w:val="none" w:sz="0" w:space="0" w:color="auto"/>
        <w:right w:val="none" w:sz="0" w:space="0" w:color="auto"/>
      </w:divBdr>
      <w:divsChild>
        <w:div w:id="1605963871">
          <w:marLeft w:val="0"/>
          <w:marRight w:val="0"/>
          <w:marTop w:val="0"/>
          <w:marBottom w:val="0"/>
          <w:divBdr>
            <w:top w:val="none" w:sz="0" w:space="0" w:color="auto"/>
            <w:left w:val="none" w:sz="0" w:space="0" w:color="auto"/>
            <w:bottom w:val="none" w:sz="0" w:space="0" w:color="auto"/>
            <w:right w:val="none" w:sz="0" w:space="0" w:color="auto"/>
          </w:divBdr>
          <w:divsChild>
            <w:div w:id="646322360">
              <w:marLeft w:val="0"/>
              <w:marRight w:val="0"/>
              <w:marTop w:val="0"/>
              <w:marBottom w:val="0"/>
              <w:divBdr>
                <w:top w:val="none" w:sz="0" w:space="0" w:color="auto"/>
                <w:left w:val="none" w:sz="0" w:space="0" w:color="auto"/>
                <w:bottom w:val="none" w:sz="0" w:space="0" w:color="auto"/>
                <w:right w:val="none" w:sz="0" w:space="0" w:color="auto"/>
              </w:divBdr>
              <w:divsChild>
                <w:div w:id="165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1274">
      <w:bodyDiv w:val="1"/>
      <w:marLeft w:val="0"/>
      <w:marRight w:val="0"/>
      <w:marTop w:val="0"/>
      <w:marBottom w:val="0"/>
      <w:divBdr>
        <w:top w:val="none" w:sz="0" w:space="0" w:color="auto"/>
        <w:left w:val="none" w:sz="0" w:space="0" w:color="auto"/>
        <w:bottom w:val="none" w:sz="0" w:space="0" w:color="auto"/>
        <w:right w:val="none" w:sz="0" w:space="0" w:color="auto"/>
      </w:divBdr>
      <w:divsChild>
        <w:div w:id="951283099">
          <w:marLeft w:val="0"/>
          <w:marRight w:val="0"/>
          <w:marTop w:val="0"/>
          <w:marBottom w:val="0"/>
          <w:divBdr>
            <w:top w:val="none" w:sz="0" w:space="0" w:color="auto"/>
            <w:left w:val="none" w:sz="0" w:space="0" w:color="auto"/>
            <w:bottom w:val="none" w:sz="0" w:space="0" w:color="auto"/>
            <w:right w:val="none" w:sz="0" w:space="0" w:color="auto"/>
          </w:divBdr>
          <w:divsChild>
            <w:div w:id="1487093679">
              <w:marLeft w:val="0"/>
              <w:marRight w:val="0"/>
              <w:marTop w:val="0"/>
              <w:marBottom w:val="0"/>
              <w:divBdr>
                <w:top w:val="none" w:sz="0" w:space="0" w:color="auto"/>
                <w:left w:val="none" w:sz="0" w:space="0" w:color="auto"/>
                <w:bottom w:val="none" w:sz="0" w:space="0" w:color="auto"/>
                <w:right w:val="none" w:sz="0" w:space="0" w:color="auto"/>
              </w:divBdr>
              <w:divsChild>
                <w:div w:id="822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326">
      <w:bodyDiv w:val="1"/>
      <w:marLeft w:val="0"/>
      <w:marRight w:val="0"/>
      <w:marTop w:val="0"/>
      <w:marBottom w:val="0"/>
      <w:divBdr>
        <w:top w:val="none" w:sz="0" w:space="0" w:color="auto"/>
        <w:left w:val="none" w:sz="0" w:space="0" w:color="auto"/>
        <w:bottom w:val="none" w:sz="0" w:space="0" w:color="auto"/>
        <w:right w:val="none" w:sz="0" w:space="0" w:color="auto"/>
      </w:divBdr>
      <w:divsChild>
        <w:div w:id="713777686">
          <w:marLeft w:val="0"/>
          <w:marRight w:val="0"/>
          <w:marTop w:val="0"/>
          <w:marBottom w:val="0"/>
          <w:divBdr>
            <w:top w:val="none" w:sz="0" w:space="0" w:color="auto"/>
            <w:left w:val="none" w:sz="0" w:space="0" w:color="auto"/>
            <w:bottom w:val="none" w:sz="0" w:space="0" w:color="auto"/>
            <w:right w:val="none" w:sz="0" w:space="0" w:color="auto"/>
          </w:divBdr>
          <w:divsChild>
            <w:div w:id="90705565">
              <w:marLeft w:val="0"/>
              <w:marRight w:val="0"/>
              <w:marTop w:val="0"/>
              <w:marBottom w:val="0"/>
              <w:divBdr>
                <w:top w:val="none" w:sz="0" w:space="0" w:color="auto"/>
                <w:left w:val="none" w:sz="0" w:space="0" w:color="auto"/>
                <w:bottom w:val="none" w:sz="0" w:space="0" w:color="auto"/>
                <w:right w:val="none" w:sz="0" w:space="0" w:color="auto"/>
              </w:divBdr>
              <w:divsChild>
                <w:div w:id="154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6577">
      <w:bodyDiv w:val="1"/>
      <w:marLeft w:val="0"/>
      <w:marRight w:val="0"/>
      <w:marTop w:val="0"/>
      <w:marBottom w:val="0"/>
      <w:divBdr>
        <w:top w:val="none" w:sz="0" w:space="0" w:color="auto"/>
        <w:left w:val="none" w:sz="0" w:space="0" w:color="auto"/>
        <w:bottom w:val="none" w:sz="0" w:space="0" w:color="auto"/>
        <w:right w:val="none" w:sz="0" w:space="0" w:color="auto"/>
      </w:divBdr>
      <w:divsChild>
        <w:div w:id="1065639149">
          <w:marLeft w:val="0"/>
          <w:marRight w:val="0"/>
          <w:marTop w:val="0"/>
          <w:marBottom w:val="0"/>
          <w:divBdr>
            <w:top w:val="none" w:sz="0" w:space="0" w:color="auto"/>
            <w:left w:val="none" w:sz="0" w:space="0" w:color="auto"/>
            <w:bottom w:val="none" w:sz="0" w:space="0" w:color="auto"/>
            <w:right w:val="none" w:sz="0" w:space="0" w:color="auto"/>
          </w:divBdr>
          <w:divsChild>
            <w:div w:id="479998434">
              <w:marLeft w:val="0"/>
              <w:marRight w:val="0"/>
              <w:marTop w:val="0"/>
              <w:marBottom w:val="0"/>
              <w:divBdr>
                <w:top w:val="none" w:sz="0" w:space="0" w:color="auto"/>
                <w:left w:val="none" w:sz="0" w:space="0" w:color="auto"/>
                <w:bottom w:val="none" w:sz="0" w:space="0" w:color="auto"/>
                <w:right w:val="none" w:sz="0" w:space="0" w:color="auto"/>
              </w:divBdr>
              <w:divsChild>
                <w:div w:id="878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0314">
      <w:bodyDiv w:val="1"/>
      <w:marLeft w:val="0"/>
      <w:marRight w:val="0"/>
      <w:marTop w:val="0"/>
      <w:marBottom w:val="0"/>
      <w:divBdr>
        <w:top w:val="none" w:sz="0" w:space="0" w:color="auto"/>
        <w:left w:val="none" w:sz="0" w:space="0" w:color="auto"/>
        <w:bottom w:val="none" w:sz="0" w:space="0" w:color="auto"/>
        <w:right w:val="none" w:sz="0" w:space="0" w:color="auto"/>
      </w:divBdr>
      <w:divsChild>
        <w:div w:id="350647388">
          <w:marLeft w:val="0"/>
          <w:marRight w:val="0"/>
          <w:marTop w:val="0"/>
          <w:marBottom w:val="0"/>
          <w:divBdr>
            <w:top w:val="none" w:sz="0" w:space="0" w:color="auto"/>
            <w:left w:val="none" w:sz="0" w:space="0" w:color="auto"/>
            <w:bottom w:val="none" w:sz="0" w:space="0" w:color="auto"/>
            <w:right w:val="none" w:sz="0" w:space="0" w:color="auto"/>
          </w:divBdr>
          <w:divsChild>
            <w:div w:id="912201163">
              <w:marLeft w:val="0"/>
              <w:marRight w:val="0"/>
              <w:marTop w:val="0"/>
              <w:marBottom w:val="0"/>
              <w:divBdr>
                <w:top w:val="none" w:sz="0" w:space="0" w:color="auto"/>
                <w:left w:val="none" w:sz="0" w:space="0" w:color="auto"/>
                <w:bottom w:val="none" w:sz="0" w:space="0" w:color="auto"/>
                <w:right w:val="none" w:sz="0" w:space="0" w:color="auto"/>
              </w:divBdr>
              <w:divsChild>
                <w:div w:id="3212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700">
      <w:bodyDiv w:val="1"/>
      <w:marLeft w:val="0"/>
      <w:marRight w:val="0"/>
      <w:marTop w:val="0"/>
      <w:marBottom w:val="0"/>
      <w:divBdr>
        <w:top w:val="none" w:sz="0" w:space="0" w:color="auto"/>
        <w:left w:val="none" w:sz="0" w:space="0" w:color="auto"/>
        <w:bottom w:val="none" w:sz="0" w:space="0" w:color="auto"/>
        <w:right w:val="none" w:sz="0" w:space="0" w:color="auto"/>
      </w:divBdr>
      <w:divsChild>
        <w:div w:id="1530801910">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sChild>
                <w:div w:id="13807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2495">
      <w:bodyDiv w:val="1"/>
      <w:marLeft w:val="0"/>
      <w:marRight w:val="0"/>
      <w:marTop w:val="0"/>
      <w:marBottom w:val="0"/>
      <w:divBdr>
        <w:top w:val="none" w:sz="0" w:space="0" w:color="auto"/>
        <w:left w:val="none" w:sz="0" w:space="0" w:color="auto"/>
        <w:bottom w:val="none" w:sz="0" w:space="0" w:color="auto"/>
        <w:right w:val="none" w:sz="0" w:space="0" w:color="auto"/>
      </w:divBdr>
      <w:divsChild>
        <w:div w:id="744107923">
          <w:marLeft w:val="0"/>
          <w:marRight w:val="0"/>
          <w:marTop w:val="0"/>
          <w:marBottom w:val="0"/>
          <w:divBdr>
            <w:top w:val="none" w:sz="0" w:space="0" w:color="auto"/>
            <w:left w:val="none" w:sz="0" w:space="0" w:color="auto"/>
            <w:bottom w:val="none" w:sz="0" w:space="0" w:color="auto"/>
            <w:right w:val="none" w:sz="0" w:space="0" w:color="auto"/>
          </w:divBdr>
          <w:divsChild>
            <w:div w:id="1622877491">
              <w:marLeft w:val="0"/>
              <w:marRight w:val="0"/>
              <w:marTop w:val="0"/>
              <w:marBottom w:val="0"/>
              <w:divBdr>
                <w:top w:val="none" w:sz="0" w:space="0" w:color="auto"/>
                <w:left w:val="none" w:sz="0" w:space="0" w:color="auto"/>
                <w:bottom w:val="none" w:sz="0" w:space="0" w:color="auto"/>
                <w:right w:val="none" w:sz="0" w:space="0" w:color="auto"/>
              </w:divBdr>
              <w:divsChild>
                <w:div w:id="39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3454">
      <w:bodyDiv w:val="1"/>
      <w:marLeft w:val="0"/>
      <w:marRight w:val="0"/>
      <w:marTop w:val="0"/>
      <w:marBottom w:val="0"/>
      <w:divBdr>
        <w:top w:val="none" w:sz="0" w:space="0" w:color="auto"/>
        <w:left w:val="none" w:sz="0" w:space="0" w:color="auto"/>
        <w:bottom w:val="none" w:sz="0" w:space="0" w:color="auto"/>
        <w:right w:val="none" w:sz="0" w:space="0" w:color="auto"/>
      </w:divBdr>
    </w:div>
    <w:div w:id="809521226">
      <w:bodyDiv w:val="1"/>
      <w:marLeft w:val="0"/>
      <w:marRight w:val="0"/>
      <w:marTop w:val="0"/>
      <w:marBottom w:val="0"/>
      <w:divBdr>
        <w:top w:val="none" w:sz="0" w:space="0" w:color="auto"/>
        <w:left w:val="none" w:sz="0" w:space="0" w:color="auto"/>
        <w:bottom w:val="none" w:sz="0" w:space="0" w:color="auto"/>
        <w:right w:val="none" w:sz="0" w:space="0" w:color="auto"/>
      </w:divBdr>
      <w:divsChild>
        <w:div w:id="647168899">
          <w:marLeft w:val="0"/>
          <w:marRight w:val="0"/>
          <w:marTop w:val="0"/>
          <w:marBottom w:val="0"/>
          <w:divBdr>
            <w:top w:val="none" w:sz="0" w:space="0" w:color="auto"/>
            <w:left w:val="none" w:sz="0" w:space="0" w:color="auto"/>
            <w:bottom w:val="none" w:sz="0" w:space="0" w:color="auto"/>
            <w:right w:val="none" w:sz="0" w:space="0" w:color="auto"/>
          </w:divBdr>
          <w:divsChild>
            <w:div w:id="811218739">
              <w:marLeft w:val="0"/>
              <w:marRight w:val="0"/>
              <w:marTop w:val="0"/>
              <w:marBottom w:val="0"/>
              <w:divBdr>
                <w:top w:val="none" w:sz="0" w:space="0" w:color="auto"/>
                <w:left w:val="none" w:sz="0" w:space="0" w:color="auto"/>
                <w:bottom w:val="none" w:sz="0" w:space="0" w:color="auto"/>
                <w:right w:val="none" w:sz="0" w:space="0" w:color="auto"/>
              </w:divBdr>
              <w:divsChild>
                <w:div w:id="9363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2420">
      <w:bodyDiv w:val="1"/>
      <w:marLeft w:val="0"/>
      <w:marRight w:val="0"/>
      <w:marTop w:val="0"/>
      <w:marBottom w:val="0"/>
      <w:divBdr>
        <w:top w:val="none" w:sz="0" w:space="0" w:color="auto"/>
        <w:left w:val="none" w:sz="0" w:space="0" w:color="auto"/>
        <w:bottom w:val="none" w:sz="0" w:space="0" w:color="auto"/>
        <w:right w:val="none" w:sz="0" w:space="0" w:color="auto"/>
      </w:divBdr>
    </w:div>
    <w:div w:id="888221390">
      <w:bodyDiv w:val="1"/>
      <w:marLeft w:val="0"/>
      <w:marRight w:val="0"/>
      <w:marTop w:val="0"/>
      <w:marBottom w:val="0"/>
      <w:divBdr>
        <w:top w:val="none" w:sz="0" w:space="0" w:color="auto"/>
        <w:left w:val="none" w:sz="0" w:space="0" w:color="auto"/>
        <w:bottom w:val="none" w:sz="0" w:space="0" w:color="auto"/>
        <w:right w:val="none" w:sz="0" w:space="0" w:color="auto"/>
      </w:divBdr>
      <w:divsChild>
        <w:div w:id="135026178">
          <w:marLeft w:val="0"/>
          <w:marRight w:val="0"/>
          <w:marTop w:val="0"/>
          <w:marBottom w:val="0"/>
          <w:divBdr>
            <w:top w:val="none" w:sz="0" w:space="0" w:color="auto"/>
            <w:left w:val="none" w:sz="0" w:space="0" w:color="auto"/>
            <w:bottom w:val="none" w:sz="0" w:space="0" w:color="auto"/>
            <w:right w:val="none" w:sz="0" w:space="0" w:color="auto"/>
          </w:divBdr>
          <w:divsChild>
            <w:div w:id="423187302">
              <w:marLeft w:val="0"/>
              <w:marRight w:val="0"/>
              <w:marTop w:val="0"/>
              <w:marBottom w:val="0"/>
              <w:divBdr>
                <w:top w:val="none" w:sz="0" w:space="0" w:color="auto"/>
                <w:left w:val="none" w:sz="0" w:space="0" w:color="auto"/>
                <w:bottom w:val="none" w:sz="0" w:space="0" w:color="auto"/>
                <w:right w:val="none" w:sz="0" w:space="0" w:color="auto"/>
              </w:divBdr>
              <w:divsChild>
                <w:div w:id="1619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963">
      <w:bodyDiv w:val="1"/>
      <w:marLeft w:val="0"/>
      <w:marRight w:val="0"/>
      <w:marTop w:val="0"/>
      <w:marBottom w:val="0"/>
      <w:divBdr>
        <w:top w:val="none" w:sz="0" w:space="0" w:color="auto"/>
        <w:left w:val="none" w:sz="0" w:space="0" w:color="auto"/>
        <w:bottom w:val="none" w:sz="0" w:space="0" w:color="auto"/>
        <w:right w:val="none" w:sz="0" w:space="0" w:color="auto"/>
      </w:divBdr>
    </w:div>
    <w:div w:id="955984473">
      <w:bodyDiv w:val="1"/>
      <w:marLeft w:val="0"/>
      <w:marRight w:val="0"/>
      <w:marTop w:val="0"/>
      <w:marBottom w:val="0"/>
      <w:divBdr>
        <w:top w:val="none" w:sz="0" w:space="0" w:color="auto"/>
        <w:left w:val="none" w:sz="0" w:space="0" w:color="auto"/>
        <w:bottom w:val="none" w:sz="0" w:space="0" w:color="auto"/>
        <w:right w:val="none" w:sz="0" w:space="0" w:color="auto"/>
      </w:divBdr>
      <w:divsChild>
        <w:div w:id="1112553737">
          <w:marLeft w:val="0"/>
          <w:marRight w:val="0"/>
          <w:marTop w:val="0"/>
          <w:marBottom w:val="0"/>
          <w:divBdr>
            <w:top w:val="none" w:sz="0" w:space="0" w:color="auto"/>
            <w:left w:val="none" w:sz="0" w:space="0" w:color="auto"/>
            <w:bottom w:val="none" w:sz="0" w:space="0" w:color="auto"/>
            <w:right w:val="none" w:sz="0" w:space="0" w:color="auto"/>
          </w:divBdr>
          <w:divsChild>
            <w:div w:id="190731081">
              <w:marLeft w:val="0"/>
              <w:marRight w:val="0"/>
              <w:marTop w:val="0"/>
              <w:marBottom w:val="0"/>
              <w:divBdr>
                <w:top w:val="none" w:sz="0" w:space="0" w:color="auto"/>
                <w:left w:val="none" w:sz="0" w:space="0" w:color="auto"/>
                <w:bottom w:val="none" w:sz="0" w:space="0" w:color="auto"/>
                <w:right w:val="none" w:sz="0" w:space="0" w:color="auto"/>
              </w:divBdr>
              <w:divsChild>
                <w:div w:id="100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0119">
          <w:marLeft w:val="0"/>
          <w:marRight w:val="0"/>
          <w:marTop w:val="0"/>
          <w:marBottom w:val="0"/>
          <w:divBdr>
            <w:top w:val="none" w:sz="0" w:space="0" w:color="auto"/>
            <w:left w:val="none" w:sz="0" w:space="0" w:color="auto"/>
            <w:bottom w:val="none" w:sz="0" w:space="0" w:color="auto"/>
            <w:right w:val="none" w:sz="0" w:space="0" w:color="auto"/>
          </w:divBdr>
          <w:divsChild>
            <w:div w:id="615449667">
              <w:marLeft w:val="0"/>
              <w:marRight w:val="0"/>
              <w:marTop w:val="0"/>
              <w:marBottom w:val="0"/>
              <w:divBdr>
                <w:top w:val="none" w:sz="0" w:space="0" w:color="auto"/>
                <w:left w:val="none" w:sz="0" w:space="0" w:color="auto"/>
                <w:bottom w:val="none" w:sz="0" w:space="0" w:color="auto"/>
                <w:right w:val="none" w:sz="0" w:space="0" w:color="auto"/>
              </w:divBdr>
              <w:divsChild>
                <w:div w:id="516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9010">
      <w:bodyDiv w:val="1"/>
      <w:marLeft w:val="0"/>
      <w:marRight w:val="0"/>
      <w:marTop w:val="0"/>
      <w:marBottom w:val="0"/>
      <w:divBdr>
        <w:top w:val="none" w:sz="0" w:space="0" w:color="auto"/>
        <w:left w:val="none" w:sz="0" w:space="0" w:color="auto"/>
        <w:bottom w:val="none" w:sz="0" w:space="0" w:color="auto"/>
        <w:right w:val="none" w:sz="0" w:space="0" w:color="auto"/>
      </w:divBdr>
      <w:divsChild>
        <w:div w:id="122969940">
          <w:marLeft w:val="0"/>
          <w:marRight w:val="0"/>
          <w:marTop w:val="0"/>
          <w:marBottom w:val="0"/>
          <w:divBdr>
            <w:top w:val="none" w:sz="0" w:space="0" w:color="auto"/>
            <w:left w:val="none" w:sz="0" w:space="0" w:color="auto"/>
            <w:bottom w:val="none" w:sz="0" w:space="0" w:color="auto"/>
            <w:right w:val="none" w:sz="0" w:space="0" w:color="auto"/>
          </w:divBdr>
          <w:divsChild>
            <w:div w:id="1212690265">
              <w:marLeft w:val="0"/>
              <w:marRight w:val="0"/>
              <w:marTop w:val="0"/>
              <w:marBottom w:val="0"/>
              <w:divBdr>
                <w:top w:val="none" w:sz="0" w:space="0" w:color="auto"/>
                <w:left w:val="none" w:sz="0" w:space="0" w:color="auto"/>
                <w:bottom w:val="none" w:sz="0" w:space="0" w:color="auto"/>
                <w:right w:val="none" w:sz="0" w:space="0" w:color="auto"/>
              </w:divBdr>
              <w:divsChild>
                <w:div w:id="1525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499">
      <w:bodyDiv w:val="1"/>
      <w:marLeft w:val="0"/>
      <w:marRight w:val="0"/>
      <w:marTop w:val="0"/>
      <w:marBottom w:val="0"/>
      <w:divBdr>
        <w:top w:val="none" w:sz="0" w:space="0" w:color="auto"/>
        <w:left w:val="none" w:sz="0" w:space="0" w:color="auto"/>
        <w:bottom w:val="none" w:sz="0" w:space="0" w:color="auto"/>
        <w:right w:val="none" w:sz="0" w:space="0" w:color="auto"/>
      </w:divBdr>
      <w:divsChild>
        <w:div w:id="973212778">
          <w:marLeft w:val="0"/>
          <w:marRight w:val="0"/>
          <w:marTop w:val="0"/>
          <w:marBottom w:val="0"/>
          <w:divBdr>
            <w:top w:val="none" w:sz="0" w:space="0" w:color="auto"/>
            <w:left w:val="none" w:sz="0" w:space="0" w:color="auto"/>
            <w:bottom w:val="none" w:sz="0" w:space="0" w:color="auto"/>
            <w:right w:val="none" w:sz="0" w:space="0" w:color="auto"/>
          </w:divBdr>
          <w:divsChild>
            <w:div w:id="1264411002">
              <w:marLeft w:val="0"/>
              <w:marRight w:val="0"/>
              <w:marTop w:val="0"/>
              <w:marBottom w:val="0"/>
              <w:divBdr>
                <w:top w:val="none" w:sz="0" w:space="0" w:color="auto"/>
                <w:left w:val="none" w:sz="0" w:space="0" w:color="auto"/>
                <w:bottom w:val="none" w:sz="0" w:space="0" w:color="auto"/>
                <w:right w:val="none" w:sz="0" w:space="0" w:color="auto"/>
              </w:divBdr>
              <w:divsChild>
                <w:div w:id="838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2369">
      <w:bodyDiv w:val="1"/>
      <w:marLeft w:val="0"/>
      <w:marRight w:val="0"/>
      <w:marTop w:val="0"/>
      <w:marBottom w:val="0"/>
      <w:divBdr>
        <w:top w:val="none" w:sz="0" w:space="0" w:color="auto"/>
        <w:left w:val="none" w:sz="0" w:space="0" w:color="auto"/>
        <w:bottom w:val="none" w:sz="0" w:space="0" w:color="auto"/>
        <w:right w:val="none" w:sz="0" w:space="0" w:color="auto"/>
      </w:divBdr>
      <w:divsChild>
        <w:div w:id="1519080986">
          <w:marLeft w:val="0"/>
          <w:marRight w:val="0"/>
          <w:marTop w:val="0"/>
          <w:marBottom w:val="0"/>
          <w:divBdr>
            <w:top w:val="none" w:sz="0" w:space="0" w:color="auto"/>
            <w:left w:val="none" w:sz="0" w:space="0" w:color="auto"/>
            <w:bottom w:val="none" w:sz="0" w:space="0" w:color="auto"/>
            <w:right w:val="none" w:sz="0" w:space="0" w:color="auto"/>
          </w:divBdr>
          <w:divsChild>
            <w:div w:id="24404874">
              <w:marLeft w:val="0"/>
              <w:marRight w:val="0"/>
              <w:marTop w:val="0"/>
              <w:marBottom w:val="0"/>
              <w:divBdr>
                <w:top w:val="none" w:sz="0" w:space="0" w:color="auto"/>
                <w:left w:val="none" w:sz="0" w:space="0" w:color="auto"/>
                <w:bottom w:val="none" w:sz="0" w:space="0" w:color="auto"/>
                <w:right w:val="none" w:sz="0" w:space="0" w:color="auto"/>
              </w:divBdr>
              <w:divsChild>
                <w:div w:id="10833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4041">
      <w:bodyDiv w:val="1"/>
      <w:marLeft w:val="0"/>
      <w:marRight w:val="0"/>
      <w:marTop w:val="0"/>
      <w:marBottom w:val="0"/>
      <w:divBdr>
        <w:top w:val="none" w:sz="0" w:space="0" w:color="auto"/>
        <w:left w:val="none" w:sz="0" w:space="0" w:color="auto"/>
        <w:bottom w:val="none" w:sz="0" w:space="0" w:color="auto"/>
        <w:right w:val="none" w:sz="0" w:space="0" w:color="auto"/>
      </w:divBdr>
    </w:div>
    <w:div w:id="1497841521">
      <w:bodyDiv w:val="1"/>
      <w:marLeft w:val="0"/>
      <w:marRight w:val="0"/>
      <w:marTop w:val="0"/>
      <w:marBottom w:val="0"/>
      <w:divBdr>
        <w:top w:val="none" w:sz="0" w:space="0" w:color="auto"/>
        <w:left w:val="none" w:sz="0" w:space="0" w:color="auto"/>
        <w:bottom w:val="none" w:sz="0" w:space="0" w:color="auto"/>
        <w:right w:val="none" w:sz="0" w:space="0" w:color="auto"/>
      </w:divBdr>
      <w:divsChild>
        <w:div w:id="2055959209">
          <w:marLeft w:val="0"/>
          <w:marRight w:val="0"/>
          <w:marTop w:val="0"/>
          <w:marBottom w:val="0"/>
          <w:divBdr>
            <w:top w:val="none" w:sz="0" w:space="0" w:color="auto"/>
            <w:left w:val="none" w:sz="0" w:space="0" w:color="auto"/>
            <w:bottom w:val="none" w:sz="0" w:space="0" w:color="auto"/>
            <w:right w:val="none" w:sz="0" w:space="0" w:color="auto"/>
          </w:divBdr>
          <w:divsChild>
            <w:div w:id="770661282">
              <w:marLeft w:val="0"/>
              <w:marRight w:val="0"/>
              <w:marTop w:val="0"/>
              <w:marBottom w:val="0"/>
              <w:divBdr>
                <w:top w:val="none" w:sz="0" w:space="0" w:color="auto"/>
                <w:left w:val="none" w:sz="0" w:space="0" w:color="auto"/>
                <w:bottom w:val="none" w:sz="0" w:space="0" w:color="auto"/>
                <w:right w:val="none" w:sz="0" w:space="0" w:color="auto"/>
              </w:divBdr>
              <w:divsChild>
                <w:div w:id="115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366">
      <w:bodyDiv w:val="1"/>
      <w:marLeft w:val="0"/>
      <w:marRight w:val="0"/>
      <w:marTop w:val="0"/>
      <w:marBottom w:val="0"/>
      <w:divBdr>
        <w:top w:val="none" w:sz="0" w:space="0" w:color="auto"/>
        <w:left w:val="none" w:sz="0" w:space="0" w:color="auto"/>
        <w:bottom w:val="none" w:sz="0" w:space="0" w:color="auto"/>
        <w:right w:val="none" w:sz="0" w:space="0" w:color="auto"/>
      </w:divBdr>
      <w:divsChild>
        <w:div w:id="1750300259">
          <w:marLeft w:val="0"/>
          <w:marRight w:val="0"/>
          <w:marTop w:val="0"/>
          <w:marBottom w:val="0"/>
          <w:divBdr>
            <w:top w:val="none" w:sz="0" w:space="0" w:color="auto"/>
            <w:left w:val="none" w:sz="0" w:space="0" w:color="auto"/>
            <w:bottom w:val="none" w:sz="0" w:space="0" w:color="auto"/>
            <w:right w:val="none" w:sz="0" w:space="0" w:color="auto"/>
          </w:divBdr>
          <w:divsChild>
            <w:div w:id="1320117431">
              <w:marLeft w:val="0"/>
              <w:marRight w:val="0"/>
              <w:marTop w:val="0"/>
              <w:marBottom w:val="0"/>
              <w:divBdr>
                <w:top w:val="none" w:sz="0" w:space="0" w:color="auto"/>
                <w:left w:val="none" w:sz="0" w:space="0" w:color="auto"/>
                <w:bottom w:val="none" w:sz="0" w:space="0" w:color="auto"/>
                <w:right w:val="none" w:sz="0" w:space="0" w:color="auto"/>
              </w:divBdr>
              <w:divsChild>
                <w:div w:id="3900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284">
      <w:bodyDiv w:val="1"/>
      <w:marLeft w:val="0"/>
      <w:marRight w:val="0"/>
      <w:marTop w:val="0"/>
      <w:marBottom w:val="0"/>
      <w:divBdr>
        <w:top w:val="none" w:sz="0" w:space="0" w:color="auto"/>
        <w:left w:val="none" w:sz="0" w:space="0" w:color="auto"/>
        <w:bottom w:val="none" w:sz="0" w:space="0" w:color="auto"/>
        <w:right w:val="none" w:sz="0" w:space="0" w:color="auto"/>
      </w:divBdr>
    </w:div>
    <w:div w:id="1684431209">
      <w:bodyDiv w:val="1"/>
      <w:marLeft w:val="0"/>
      <w:marRight w:val="0"/>
      <w:marTop w:val="0"/>
      <w:marBottom w:val="0"/>
      <w:divBdr>
        <w:top w:val="none" w:sz="0" w:space="0" w:color="auto"/>
        <w:left w:val="none" w:sz="0" w:space="0" w:color="auto"/>
        <w:bottom w:val="none" w:sz="0" w:space="0" w:color="auto"/>
        <w:right w:val="none" w:sz="0" w:space="0" w:color="auto"/>
      </w:divBdr>
      <w:divsChild>
        <w:div w:id="2127457760">
          <w:marLeft w:val="0"/>
          <w:marRight w:val="0"/>
          <w:marTop w:val="0"/>
          <w:marBottom w:val="0"/>
          <w:divBdr>
            <w:top w:val="none" w:sz="0" w:space="0" w:color="auto"/>
            <w:left w:val="none" w:sz="0" w:space="0" w:color="auto"/>
            <w:bottom w:val="none" w:sz="0" w:space="0" w:color="auto"/>
            <w:right w:val="none" w:sz="0" w:space="0" w:color="auto"/>
          </w:divBdr>
          <w:divsChild>
            <w:div w:id="718674459">
              <w:marLeft w:val="0"/>
              <w:marRight w:val="0"/>
              <w:marTop w:val="0"/>
              <w:marBottom w:val="0"/>
              <w:divBdr>
                <w:top w:val="none" w:sz="0" w:space="0" w:color="auto"/>
                <w:left w:val="none" w:sz="0" w:space="0" w:color="auto"/>
                <w:bottom w:val="none" w:sz="0" w:space="0" w:color="auto"/>
                <w:right w:val="none" w:sz="0" w:space="0" w:color="auto"/>
              </w:divBdr>
              <w:divsChild>
                <w:div w:id="2413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347">
      <w:bodyDiv w:val="1"/>
      <w:marLeft w:val="0"/>
      <w:marRight w:val="0"/>
      <w:marTop w:val="0"/>
      <w:marBottom w:val="0"/>
      <w:divBdr>
        <w:top w:val="none" w:sz="0" w:space="0" w:color="auto"/>
        <w:left w:val="none" w:sz="0" w:space="0" w:color="auto"/>
        <w:bottom w:val="none" w:sz="0" w:space="0" w:color="auto"/>
        <w:right w:val="none" w:sz="0" w:space="0" w:color="auto"/>
      </w:divBdr>
    </w:div>
    <w:div w:id="1733580844">
      <w:bodyDiv w:val="1"/>
      <w:marLeft w:val="0"/>
      <w:marRight w:val="0"/>
      <w:marTop w:val="0"/>
      <w:marBottom w:val="0"/>
      <w:divBdr>
        <w:top w:val="none" w:sz="0" w:space="0" w:color="auto"/>
        <w:left w:val="none" w:sz="0" w:space="0" w:color="auto"/>
        <w:bottom w:val="none" w:sz="0" w:space="0" w:color="auto"/>
        <w:right w:val="none" w:sz="0" w:space="0" w:color="auto"/>
      </w:divBdr>
      <w:divsChild>
        <w:div w:id="195168046">
          <w:marLeft w:val="0"/>
          <w:marRight w:val="0"/>
          <w:marTop w:val="0"/>
          <w:marBottom w:val="0"/>
          <w:divBdr>
            <w:top w:val="none" w:sz="0" w:space="0" w:color="auto"/>
            <w:left w:val="none" w:sz="0" w:space="0" w:color="auto"/>
            <w:bottom w:val="none" w:sz="0" w:space="0" w:color="auto"/>
            <w:right w:val="none" w:sz="0" w:space="0" w:color="auto"/>
          </w:divBdr>
          <w:divsChild>
            <w:div w:id="458106766">
              <w:marLeft w:val="0"/>
              <w:marRight w:val="0"/>
              <w:marTop w:val="0"/>
              <w:marBottom w:val="0"/>
              <w:divBdr>
                <w:top w:val="none" w:sz="0" w:space="0" w:color="auto"/>
                <w:left w:val="none" w:sz="0" w:space="0" w:color="auto"/>
                <w:bottom w:val="none" w:sz="0" w:space="0" w:color="auto"/>
                <w:right w:val="none" w:sz="0" w:space="0" w:color="auto"/>
              </w:divBdr>
              <w:divsChild>
                <w:div w:id="2136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394">
      <w:bodyDiv w:val="1"/>
      <w:marLeft w:val="0"/>
      <w:marRight w:val="0"/>
      <w:marTop w:val="0"/>
      <w:marBottom w:val="0"/>
      <w:divBdr>
        <w:top w:val="none" w:sz="0" w:space="0" w:color="auto"/>
        <w:left w:val="none" w:sz="0" w:space="0" w:color="auto"/>
        <w:bottom w:val="none" w:sz="0" w:space="0" w:color="auto"/>
        <w:right w:val="none" w:sz="0" w:space="0" w:color="auto"/>
      </w:divBdr>
      <w:divsChild>
        <w:div w:id="1787894632">
          <w:marLeft w:val="0"/>
          <w:marRight w:val="0"/>
          <w:marTop w:val="0"/>
          <w:marBottom w:val="0"/>
          <w:divBdr>
            <w:top w:val="none" w:sz="0" w:space="0" w:color="auto"/>
            <w:left w:val="none" w:sz="0" w:space="0" w:color="auto"/>
            <w:bottom w:val="none" w:sz="0" w:space="0" w:color="auto"/>
            <w:right w:val="none" w:sz="0" w:space="0" w:color="auto"/>
          </w:divBdr>
          <w:divsChild>
            <w:div w:id="1839954922">
              <w:marLeft w:val="0"/>
              <w:marRight w:val="0"/>
              <w:marTop w:val="0"/>
              <w:marBottom w:val="0"/>
              <w:divBdr>
                <w:top w:val="none" w:sz="0" w:space="0" w:color="auto"/>
                <w:left w:val="none" w:sz="0" w:space="0" w:color="auto"/>
                <w:bottom w:val="none" w:sz="0" w:space="0" w:color="auto"/>
                <w:right w:val="none" w:sz="0" w:space="0" w:color="auto"/>
              </w:divBdr>
              <w:divsChild>
                <w:div w:id="1845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025">
      <w:bodyDiv w:val="1"/>
      <w:marLeft w:val="0"/>
      <w:marRight w:val="0"/>
      <w:marTop w:val="0"/>
      <w:marBottom w:val="0"/>
      <w:divBdr>
        <w:top w:val="none" w:sz="0" w:space="0" w:color="auto"/>
        <w:left w:val="none" w:sz="0" w:space="0" w:color="auto"/>
        <w:bottom w:val="none" w:sz="0" w:space="0" w:color="auto"/>
        <w:right w:val="none" w:sz="0" w:space="0" w:color="auto"/>
      </w:divBdr>
      <w:divsChild>
        <w:div w:id="186524484">
          <w:marLeft w:val="0"/>
          <w:marRight w:val="0"/>
          <w:marTop w:val="0"/>
          <w:marBottom w:val="0"/>
          <w:divBdr>
            <w:top w:val="none" w:sz="0" w:space="0" w:color="auto"/>
            <w:left w:val="none" w:sz="0" w:space="0" w:color="auto"/>
            <w:bottom w:val="none" w:sz="0" w:space="0" w:color="auto"/>
            <w:right w:val="none" w:sz="0" w:space="0" w:color="auto"/>
          </w:divBdr>
          <w:divsChild>
            <w:div w:id="1180316085">
              <w:marLeft w:val="0"/>
              <w:marRight w:val="0"/>
              <w:marTop w:val="0"/>
              <w:marBottom w:val="0"/>
              <w:divBdr>
                <w:top w:val="none" w:sz="0" w:space="0" w:color="auto"/>
                <w:left w:val="none" w:sz="0" w:space="0" w:color="auto"/>
                <w:bottom w:val="none" w:sz="0" w:space="0" w:color="auto"/>
                <w:right w:val="none" w:sz="0" w:space="0" w:color="auto"/>
              </w:divBdr>
              <w:divsChild>
                <w:div w:id="19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7845">
      <w:bodyDiv w:val="1"/>
      <w:marLeft w:val="0"/>
      <w:marRight w:val="0"/>
      <w:marTop w:val="0"/>
      <w:marBottom w:val="0"/>
      <w:divBdr>
        <w:top w:val="none" w:sz="0" w:space="0" w:color="auto"/>
        <w:left w:val="none" w:sz="0" w:space="0" w:color="auto"/>
        <w:bottom w:val="none" w:sz="0" w:space="0" w:color="auto"/>
        <w:right w:val="none" w:sz="0" w:space="0" w:color="auto"/>
      </w:divBdr>
      <w:divsChild>
        <w:div w:id="1086920074">
          <w:marLeft w:val="0"/>
          <w:marRight w:val="0"/>
          <w:marTop w:val="0"/>
          <w:marBottom w:val="0"/>
          <w:divBdr>
            <w:top w:val="none" w:sz="0" w:space="0" w:color="auto"/>
            <w:left w:val="none" w:sz="0" w:space="0" w:color="auto"/>
            <w:bottom w:val="none" w:sz="0" w:space="0" w:color="auto"/>
            <w:right w:val="none" w:sz="0" w:space="0" w:color="auto"/>
          </w:divBdr>
          <w:divsChild>
            <w:div w:id="1370061274">
              <w:marLeft w:val="0"/>
              <w:marRight w:val="0"/>
              <w:marTop w:val="0"/>
              <w:marBottom w:val="0"/>
              <w:divBdr>
                <w:top w:val="none" w:sz="0" w:space="0" w:color="auto"/>
                <w:left w:val="none" w:sz="0" w:space="0" w:color="auto"/>
                <w:bottom w:val="none" w:sz="0" w:space="0" w:color="auto"/>
                <w:right w:val="none" w:sz="0" w:space="0" w:color="auto"/>
              </w:divBdr>
              <w:divsChild>
                <w:div w:id="11641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8051">
      <w:bodyDiv w:val="1"/>
      <w:marLeft w:val="0"/>
      <w:marRight w:val="0"/>
      <w:marTop w:val="0"/>
      <w:marBottom w:val="0"/>
      <w:divBdr>
        <w:top w:val="none" w:sz="0" w:space="0" w:color="auto"/>
        <w:left w:val="none" w:sz="0" w:space="0" w:color="auto"/>
        <w:bottom w:val="none" w:sz="0" w:space="0" w:color="auto"/>
        <w:right w:val="none" w:sz="0" w:space="0" w:color="auto"/>
      </w:divBdr>
      <w:divsChild>
        <w:div w:id="1278676829">
          <w:marLeft w:val="0"/>
          <w:marRight w:val="0"/>
          <w:marTop w:val="0"/>
          <w:marBottom w:val="0"/>
          <w:divBdr>
            <w:top w:val="none" w:sz="0" w:space="0" w:color="auto"/>
            <w:left w:val="none" w:sz="0" w:space="0" w:color="auto"/>
            <w:bottom w:val="none" w:sz="0" w:space="0" w:color="auto"/>
            <w:right w:val="none" w:sz="0" w:space="0" w:color="auto"/>
          </w:divBdr>
          <w:divsChild>
            <w:div w:id="1275749412">
              <w:marLeft w:val="0"/>
              <w:marRight w:val="0"/>
              <w:marTop w:val="0"/>
              <w:marBottom w:val="0"/>
              <w:divBdr>
                <w:top w:val="none" w:sz="0" w:space="0" w:color="auto"/>
                <w:left w:val="none" w:sz="0" w:space="0" w:color="auto"/>
                <w:bottom w:val="none" w:sz="0" w:space="0" w:color="auto"/>
                <w:right w:val="none" w:sz="0" w:space="0" w:color="auto"/>
              </w:divBdr>
              <w:divsChild>
                <w:div w:id="177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5365">
      <w:bodyDiv w:val="1"/>
      <w:marLeft w:val="0"/>
      <w:marRight w:val="0"/>
      <w:marTop w:val="0"/>
      <w:marBottom w:val="0"/>
      <w:divBdr>
        <w:top w:val="none" w:sz="0" w:space="0" w:color="auto"/>
        <w:left w:val="none" w:sz="0" w:space="0" w:color="auto"/>
        <w:bottom w:val="none" w:sz="0" w:space="0" w:color="auto"/>
        <w:right w:val="none" w:sz="0" w:space="0" w:color="auto"/>
      </w:divBdr>
      <w:divsChild>
        <w:div w:id="1765300189">
          <w:marLeft w:val="0"/>
          <w:marRight w:val="0"/>
          <w:marTop w:val="0"/>
          <w:marBottom w:val="0"/>
          <w:divBdr>
            <w:top w:val="none" w:sz="0" w:space="0" w:color="auto"/>
            <w:left w:val="none" w:sz="0" w:space="0" w:color="auto"/>
            <w:bottom w:val="none" w:sz="0" w:space="0" w:color="auto"/>
            <w:right w:val="none" w:sz="0" w:space="0" w:color="auto"/>
          </w:divBdr>
          <w:divsChild>
            <w:div w:id="1267542195">
              <w:marLeft w:val="0"/>
              <w:marRight w:val="0"/>
              <w:marTop w:val="0"/>
              <w:marBottom w:val="0"/>
              <w:divBdr>
                <w:top w:val="none" w:sz="0" w:space="0" w:color="auto"/>
                <w:left w:val="none" w:sz="0" w:space="0" w:color="auto"/>
                <w:bottom w:val="none" w:sz="0" w:space="0" w:color="auto"/>
                <w:right w:val="none" w:sz="0" w:space="0" w:color="auto"/>
              </w:divBdr>
              <w:divsChild>
                <w:div w:id="724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140">
      <w:bodyDiv w:val="1"/>
      <w:marLeft w:val="0"/>
      <w:marRight w:val="0"/>
      <w:marTop w:val="0"/>
      <w:marBottom w:val="0"/>
      <w:divBdr>
        <w:top w:val="none" w:sz="0" w:space="0" w:color="auto"/>
        <w:left w:val="none" w:sz="0" w:space="0" w:color="auto"/>
        <w:bottom w:val="none" w:sz="0" w:space="0" w:color="auto"/>
        <w:right w:val="none" w:sz="0" w:space="0" w:color="auto"/>
      </w:divBdr>
      <w:divsChild>
        <w:div w:id="2024823834">
          <w:marLeft w:val="0"/>
          <w:marRight w:val="0"/>
          <w:marTop w:val="0"/>
          <w:marBottom w:val="0"/>
          <w:divBdr>
            <w:top w:val="none" w:sz="0" w:space="0" w:color="auto"/>
            <w:left w:val="none" w:sz="0" w:space="0" w:color="auto"/>
            <w:bottom w:val="none" w:sz="0" w:space="0" w:color="auto"/>
            <w:right w:val="none" w:sz="0" w:space="0" w:color="auto"/>
          </w:divBdr>
          <w:divsChild>
            <w:div w:id="1342851857">
              <w:marLeft w:val="0"/>
              <w:marRight w:val="0"/>
              <w:marTop w:val="0"/>
              <w:marBottom w:val="0"/>
              <w:divBdr>
                <w:top w:val="none" w:sz="0" w:space="0" w:color="auto"/>
                <w:left w:val="none" w:sz="0" w:space="0" w:color="auto"/>
                <w:bottom w:val="none" w:sz="0" w:space="0" w:color="auto"/>
                <w:right w:val="none" w:sz="0" w:space="0" w:color="auto"/>
              </w:divBdr>
              <w:divsChild>
                <w:div w:id="937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6173">
      <w:bodyDiv w:val="1"/>
      <w:marLeft w:val="0"/>
      <w:marRight w:val="0"/>
      <w:marTop w:val="0"/>
      <w:marBottom w:val="0"/>
      <w:divBdr>
        <w:top w:val="none" w:sz="0" w:space="0" w:color="auto"/>
        <w:left w:val="none" w:sz="0" w:space="0" w:color="auto"/>
        <w:bottom w:val="none" w:sz="0" w:space="0" w:color="auto"/>
        <w:right w:val="none" w:sz="0" w:space="0" w:color="auto"/>
      </w:divBdr>
      <w:divsChild>
        <w:div w:id="18625649">
          <w:marLeft w:val="0"/>
          <w:marRight w:val="0"/>
          <w:marTop w:val="0"/>
          <w:marBottom w:val="0"/>
          <w:divBdr>
            <w:top w:val="none" w:sz="0" w:space="0" w:color="auto"/>
            <w:left w:val="none" w:sz="0" w:space="0" w:color="auto"/>
            <w:bottom w:val="none" w:sz="0" w:space="0" w:color="auto"/>
            <w:right w:val="none" w:sz="0" w:space="0" w:color="auto"/>
          </w:divBdr>
          <w:divsChild>
            <w:div w:id="316885754">
              <w:marLeft w:val="0"/>
              <w:marRight w:val="0"/>
              <w:marTop w:val="0"/>
              <w:marBottom w:val="0"/>
              <w:divBdr>
                <w:top w:val="none" w:sz="0" w:space="0" w:color="auto"/>
                <w:left w:val="none" w:sz="0" w:space="0" w:color="auto"/>
                <w:bottom w:val="none" w:sz="0" w:space="0" w:color="auto"/>
                <w:right w:val="none" w:sz="0" w:space="0" w:color="auto"/>
              </w:divBdr>
              <w:divsChild>
                <w:div w:id="20051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1388">
      <w:bodyDiv w:val="1"/>
      <w:marLeft w:val="0"/>
      <w:marRight w:val="0"/>
      <w:marTop w:val="0"/>
      <w:marBottom w:val="0"/>
      <w:divBdr>
        <w:top w:val="none" w:sz="0" w:space="0" w:color="auto"/>
        <w:left w:val="none" w:sz="0" w:space="0" w:color="auto"/>
        <w:bottom w:val="none" w:sz="0" w:space="0" w:color="auto"/>
        <w:right w:val="none" w:sz="0" w:space="0" w:color="auto"/>
      </w:divBdr>
    </w:div>
    <w:div w:id="1931348005">
      <w:bodyDiv w:val="1"/>
      <w:marLeft w:val="0"/>
      <w:marRight w:val="0"/>
      <w:marTop w:val="0"/>
      <w:marBottom w:val="0"/>
      <w:divBdr>
        <w:top w:val="none" w:sz="0" w:space="0" w:color="auto"/>
        <w:left w:val="none" w:sz="0" w:space="0" w:color="auto"/>
        <w:bottom w:val="none" w:sz="0" w:space="0" w:color="auto"/>
        <w:right w:val="none" w:sz="0" w:space="0" w:color="auto"/>
      </w:divBdr>
      <w:divsChild>
        <w:div w:id="1736539795">
          <w:marLeft w:val="0"/>
          <w:marRight w:val="0"/>
          <w:marTop w:val="0"/>
          <w:marBottom w:val="0"/>
          <w:divBdr>
            <w:top w:val="none" w:sz="0" w:space="0" w:color="auto"/>
            <w:left w:val="none" w:sz="0" w:space="0" w:color="auto"/>
            <w:bottom w:val="none" w:sz="0" w:space="0" w:color="auto"/>
            <w:right w:val="none" w:sz="0" w:space="0" w:color="auto"/>
          </w:divBdr>
          <w:divsChild>
            <w:div w:id="2029023366">
              <w:marLeft w:val="0"/>
              <w:marRight w:val="0"/>
              <w:marTop w:val="0"/>
              <w:marBottom w:val="0"/>
              <w:divBdr>
                <w:top w:val="none" w:sz="0" w:space="0" w:color="auto"/>
                <w:left w:val="none" w:sz="0" w:space="0" w:color="auto"/>
                <w:bottom w:val="none" w:sz="0" w:space="0" w:color="auto"/>
                <w:right w:val="none" w:sz="0" w:space="0" w:color="auto"/>
              </w:divBdr>
              <w:divsChild>
                <w:div w:id="997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8413">
      <w:bodyDiv w:val="1"/>
      <w:marLeft w:val="0"/>
      <w:marRight w:val="0"/>
      <w:marTop w:val="0"/>
      <w:marBottom w:val="0"/>
      <w:divBdr>
        <w:top w:val="none" w:sz="0" w:space="0" w:color="auto"/>
        <w:left w:val="none" w:sz="0" w:space="0" w:color="auto"/>
        <w:bottom w:val="none" w:sz="0" w:space="0" w:color="auto"/>
        <w:right w:val="none" w:sz="0" w:space="0" w:color="auto"/>
      </w:divBdr>
      <w:divsChild>
        <w:div w:id="2014185732">
          <w:marLeft w:val="0"/>
          <w:marRight w:val="0"/>
          <w:marTop w:val="0"/>
          <w:marBottom w:val="0"/>
          <w:divBdr>
            <w:top w:val="none" w:sz="0" w:space="0" w:color="auto"/>
            <w:left w:val="none" w:sz="0" w:space="0" w:color="auto"/>
            <w:bottom w:val="none" w:sz="0" w:space="0" w:color="auto"/>
            <w:right w:val="none" w:sz="0" w:space="0" w:color="auto"/>
          </w:divBdr>
          <w:divsChild>
            <w:div w:id="2023705752">
              <w:marLeft w:val="0"/>
              <w:marRight w:val="0"/>
              <w:marTop w:val="0"/>
              <w:marBottom w:val="0"/>
              <w:divBdr>
                <w:top w:val="none" w:sz="0" w:space="0" w:color="auto"/>
                <w:left w:val="none" w:sz="0" w:space="0" w:color="auto"/>
                <w:bottom w:val="none" w:sz="0" w:space="0" w:color="auto"/>
                <w:right w:val="none" w:sz="0" w:space="0" w:color="auto"/>
              </w:divBdr>
              <w:divsChild>
                <w:div w:id="981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308">
      <w:bodyDiv w:val="1"/>
      <w:marLeft w:val="0"/>
      <w:marRight w:val="0"/>
      <w:marTop w:val="0"/>
      <w:marBottom w:val="0"/>
      <w:divBdr>
        <w:top w:val="none" w:sz="0" w:space="0" w:color="auto"/>
        <w:left w:val="none" w:sz="0" w:space="0" w:color="auto"/>
        <w:bottom w:val="none" w:sz="0" w:space="0" w:color="auto"/>
        <w:right w:val="none" w:sz="0" w:space="0" w:color="auto"/>
      </w:divBdr>
      <w:divsChild>
        <w:div w:id="2040230306">
          <w:marLeft w:val="0"/>
          <w:marRight w:val="0"/>
          <w:marTop w:val="0"/>
          <w:marBottom w:val="0"/>
          <w:divBdr>
            <w:top w:val="none" w:sz="0" w:space="0" w:color="auto"/>
            <w:left w:val="none" w:sz="0" w:space="0" w:color="auto"/>
            <w:bottom w:val="none" w:sz="0" w:space="0" w:color="auto"/>
            <w:right w:val="none" w:sz="0" w:space="0" w:color="auto"/>
          </w:divBdr>
          <w:divsChild>
            <w:div w:id="207885306">
              <w:marLeft w:val="0"/>
              <w:marRight w:val="0"/>
              <w:marTop w:val="0"/>
              <w:marBottom w:val="0"/>
              <w:divBdr>
                <w:top w:val="none" w:sz="0" w:space="0" w:color="auto"/>
                <w:left w:val="none" w:sz="0" w:space="0" w:color="auto"/>
                <w:bottom w:val="none" w:sz="0" w:space="0" w:color="auto"/>
                <w:right w:val="none" w:sz="0" w:space="0" w:color="auto"/>
              </w:divBdr>
              <w:divsChild>
                <w:div w:id="18844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reedomofexpression.columbia.edu/laws/echr-vereniging-weekblad-bluf-v-netherlands-app-no-1661690-1995/" TargetMode="External"/><Relationship Id="rId13" Type="http://schemas.openxmlformats.org/officeDocument/2006/relationships/hyperlink" Target="https://hudoc.echr.coe.int/fre?i=002-13472" TargetMode="External"/><Relationship Id="rId18" Type="http://schemas.openxmlformats.org/officeDocument/2006/relationships/hyperlink" Target="https://hudoc.echr.coe.int/en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hudoc.echr.coe.int/eng" TargetMode="External"/><Relationship Id="rId42" Type="http://schemas.microsoft.com/office/2016/09/relationships/commentsIds" Target="commentsIds.xml"/><Relationship Id="rId7" Type="http://schemas.openxmlformats.org/officeDocument/2006/relationships/hyperlink" Target="https://globalfreedomofexpression.columbia.edu/laws/echr-vereniging-weekblad-bluf-v-netherlands-app-no-1661690-1995/" TargetMode="External"/><Relationship Id="rId12" Type="http://schemas.openxmlformats.org/officeDocument/2006/relationships/hyperlink" Target="https://hudoc.echr.coe.int/eng?i=001-210077" TargetMode="External"/><Relationship Id="rId17" Type="http://schemas.openxmlformats.org/officeDocument/2006/relationships/hyperlink" Target="https://hudoc.echr.coe.int/eng?i=001-111890" TargetMode="External"/><Relationship Id="rId25" Type="http://schemas.openxmlformats.org/officeDocument/2006/relationships/hyperlink" Target="https://www.echr.coe.int/Documents/Guide_Art_10_ENG.pdf" TargetMode="External"/><Relationship Id="rId2" Type="http://schemas.openxmlformats.org/officeDocument/2006/relationships/styles" Target="styles.xml"/><Relationship Id="rId16" Type="http://schemas.openxmlformats.org/officeDocument/2006/relationships/hyperlink" Target="https://globalfreedomofexpression.columbia.edu/cases/sanoma-uitgevers-b-v-v-the-netherlands/" TargetMode="External"/><Relationship Id="rId20" Type="http://schemas.openxmlformats.org/officeDocument/2006/relationships/hyperlink" Target="https://hudoc.echr.coe.int/e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freedomofexpression.columbia.edu/cases/sanoma-uitgevers-b-v-v-the-netherlands/" TargetMode="External"/><Relationship Id="rId24" Type="http://schemas.openxmlformats.org/officeDocument/2006/relationships/hyperlink" Target="https://hudoc.echr.coe.int/eng?i=001-218918" TargetMode="External"/><Relationship Id="rId5" Type="http://schemas.openxmlformats.org/officeDocument/2006/relationships/footnotes" Target="footnotes.xml"/><Relationship Id="rId15" Type="http://schemas.openxmlformats.org/officeDocument/2006/relationships/hyperlink" Target="https://globalfreedomofexpression.columbia.edu/cases/nagla-v-latvia/" TargetMode="External"/><Relationship Id="rId23" Type="http://schemas.openxmlformats.org/officeDocument/2006/relationships/hyperlink" Target="https://hudoc.echr.coe.int/eng" TargetMode="External"/><Relationship Id="rId28" Type="http://schemas.openxmlformats.org/officeDocument/2006/relationships/fontTable" Target="fontTable.xml"/><Relationship Id="rId10" Type="http://schemas.openxmlformats.org/officeDocument/2006/relationships/hyperlink" Target="https://hudoc.echr.coe.int/eng?i=001-209346" TargetMode="External"/><Relationship Id="rId19"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hyperlink" Target="https://hudoc.echr.coe.int/eng?i=001-192769" TargetMode="External"/><Relationship Id="rId14" Type="http://schemas.openxmlformats.org/officeDocument/2006/relationships/hyperlink" Target="https://globalfreedomofexpression.columbia.edu/cases/big-brother-watch-v-united-kingdom/" TargetMode="External"/><Relationship Id="rId22" Type="http://schemas.openxmlformats.org/officeDocument/2006/relationships/hyperlink" Target="https://hudoc.echr.coe.int/eng" TargetMode="External"/><Relationship Id="rId27" Type="http://schemas.openxmlformats.org/officeDocument/2006/relationships/footer" Target="footer2.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Acer</cp:lastModifiedBy>
  <cp:revision>9</cp:revision>
  <dcterms:created xsi:type="dcterms:W3CDTF">2022-11-26T04:02:00Z</dcterms:created>
  <dcterms:modified xsi:type="dcterms:W3CDTF">2022-11-30T05:09:00Z</dcterms:modified>
</cp:coreProperties>
</file>