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F2" w:rsidRDefault="004A42F2" w:rsidP="004A42F2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  <w:r w:rsidRPr="004A42F2"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  <w:t>CASE ANALYSIS</w:t>
      </w:r>
    </w:p>
    <w:p w:rsidR="004A42F2" w:rsidRDefault="004A42F2" w:rsidP="004A42F2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4A42F2" w:rsidRDefault="004A42F2" w:rsidP="004A42F2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C70EF7" w:rsidRDefault="00C70EF7" w:rsidP="00C70EF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70EF7">
        <w:rPr>
          <w:rFonts w:ascii="Times New Roman" w:hAnsi="Times New Roman" w:cs="Times New Roman"/>
          <w:sz w:val="24"/>
          <w:szCs w:val="24"/>
        </w:rPr>
        <w:t>Ristivojević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 v.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C70E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Serbia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70EF7" w:rsidRPr="00C70EF7" w:rsidRDefault="001D0A2C" w:rsidP="00C70E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="00C70EF7">
        <w:rPr>
          <w:rFonts w:ascii="Times New Roman" w:hAnsi="Times New Roman" w:cs="Times New Roman"/>
          <w:sz w:val="24"/>
          <w:szCs w:val="24"/>
        </w:rPr>
        <w:t xml:space="preserve">: </w:t>
      </w:r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The </w:t>
      </w:r>
      <w:proofErr w:type="spellStart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>Supreme</w:t>
      </w:r>
      <w:proofErr w:type="spellEnd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>Cassation</w:t>
      </w:r>
      <w:proofErr w:type="spellEnd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="00C70EF7" w:rsidRPr="00A603AA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="00C70EF7">
        <w:rPr>
          <w:rFonts w:ascii="Times New Roman" w:hAnsi="Times New Roman" w:cs="Times New Roman"/>
          <w:sz w:val="24"/>
          <w:szCs w:val="24"/>
        </w:rPr>
        <w:t>;</w:t>
      </w:r>
    </w:p>
    <w:p w:rsidR="00C70EF7" w:rsidRDefault="00C70EF7" w:rsidP="00C70EF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>: 2020;</w:t>
      </w:r>
    </w:p>
    <w:p w:rsidR="00C70EF7" w:rsidRDefault="00C70EF7" w:rsidP="00C7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>: 29.01.2020;</w:t>
      </w:r>
    </w:p>
    <w:p w:rsidR="00C70EF7" w:rsidRDefault="00C70EF7" w:rsidP="00C70EF7">
      <w:p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no. </w:t>
      </w:r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r w:rsidRPr="00C70EF7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Rev 195/2019</w:t>
      </w:r>
      <w:r w:rsidR="001D0A2C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1D0A2C" w:rsidRDefault="001D0A2C" w:rsidP="00C70EF7">
      <w:pP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Type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law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Civil </w:t>
      </w: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law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;</w:t>
      </w:r>
    </w:p>
    <w:p w:rsidR="001D0A2C" w:rsidRPr="001D0A2C" w:rsidRDefault="001D0A2C" w:rsidP="00C70EF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Themes</w:t>
      </w:r>
      <w:proofErr w:type="spellEnd"/>
      <w:r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discrimination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spellEnd"/>
    </w:p>
    <w:p w:rsidR="00C70EF7" w:rsidRPr="00C70EF7" w:rsidRDefault="00C70EF7" w:rsidP="00C70EF7">
      <w:pPr>
        <w:rPr>
          <w:rFonts w:ascii="Times New Roman" w:hAnsi="Times New Roman" w:cs="Times New Roman"/>
          <w:sz w:val="24"/>
          <w:szCs w:val="24"/>
        </w:rPr>
      </w:pPr>
    </w:p>
    <w:p w:rsidR="00C70EF7" w:rsidRPr="004A42F2" w:rsidRDefault="00C70EF7" w:rsidP="004A42F2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</w:p>
    <w:p w:rsidR="004A42F2" w:rsidRPr="004A42F2" w:rsidRDefault="004A42F2" w:rsidP="004A42F2">
      <w:pPr>
        <w:shd w:val="clear" w:color="auto" w:fill="FFFFFF"/>
        <w:spacing w:after="300" w:line="24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Case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Summary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and</w:t>
      </w:r>
      <w:proofErr w:type="spellEnd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4A42F2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Outcome</w:t>
      </w:r>
      <w:proofErr w:type="spellEnd"/>
    </w:p>
    <w:p w:rsidR="004A42F2" w:rsidRDefault="004A42F2" w:rsidP="00A603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2F2" w:rsidRDefault="00A603AA" w:rsidP="00A603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Supreme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Cassation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confirmed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judgment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Appeal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which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overturned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decision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High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in Novi Sad,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which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determined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that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professor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Faculty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Law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in Novi Sad,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Serbia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>,</w:t>
      </w:r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had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committed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an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act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discrimination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against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women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and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LGBT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persons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when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expressed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his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opinion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67A4">
        <w:rPr>
          <w:rFonts w:ascii="Times New Roman" w:hAnsi="Times New Roman" w:cs="Times New Roman"/>
          <w:sz w:val="24"/>
          <w:szCs w:val="24"/>
        </w:rPr>
        <w:t>on</w:t>
      </w:r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new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Law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on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Prevention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Domestic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sz w:val="24"/>
          <w:szCs w:val="24"/>
          <w:lang w:val="sr-Cyrl-RS"/>
        </w:rPr>
        <w:t>Violence</w:t>
      </w:r>
      <w:proofErr w:type="spellEnd"/>
      <w:r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The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Commissioner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for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Protection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of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Equality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reacted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to the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4A42F2">
        <w:rPr>
          <w:rFonts w:ascii="Times New Roman" w:hAnsi="Times New Roman" w:cs="Times New Roman"/>
          <w:sz w:val="24"/>
          <w:szCs w:val="24"/>
          <w:lang w:val="sr-Cyrl-RS"/>
        </w:rPr>
        <w:t>iews</w:t>
      </w:r>
      <w:proofErr w:type="spellEnd"/>
      <w:r w:rsid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>
        <w:rPr>
          <w:rFonts w:ascii="Times New Roman" w:hAnsi="Times New Roman" w:cs="Times New Roman"/>
          <w:sz w:val="24"/>
          <w:szCs w:val="24"/>
          <w:lang w:val="sr-Cyrl-RS"/>
        </w:rPr>
        <w:t>expressed</w:t>
      </w:r>
      <w:proofErr w:type="spellEnd"/>
      <w:r w:rsid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>
        <w:rPr>
          <w:rFonts w:ascii="Times New Roman" w:hAnsi="Times New Roman" w:cs="Times New Roman"/>
          <w:sz w:val="24"/>
          <w:szCs w:val="24"/>
          <w:lang w:val="sr-Cyrl-RS"/>
        </w:rPr>
        <w:t>by</w:t>
      </w:r>
      <w:proofErr w:type="spellEnd"/>
      <w:r w:rsidR="004A42F2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="004A42F2">
        <w:rPr>
          <w:rFonts w:ascii="Times New Roman" w:hAnsi="Times New Roman" w:cs="Times New Roman"/>
          <w:sz w:val="24"/>
          <w:szCs w:val="24"/>
          <w:lang w:val="sr-Cyrl-RS"/>
        </w:rPr>
        <w:t>professor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42F2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filed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a </w:t>
      </w:r>
      <w:r w:rsidR="004A42F2">
        <w:rPr>
          <w:rFonts w:ascii="Times New Roman" w:hAnsi="Times New Roman" w:cs="Times New Roman"/>
          <w:sz w:val="24"/>
          <w:szCs w:val="24"/>
          <w:lang w:val="en-US"/>
        </w:rPr>
        <w:t>lawsuit</w:t>
      </w:r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42F2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competent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court</w:t>
      </w:r>
      <w:proofErr w:type="spellEnd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A42F2">
        <w:rPr>
          <w:rFonts w:ascii="Times New Roman" w:hAnsi="Times New Roman" w:cs="Times New Roman"/>
          <w:sz w:val="24"/>
          <w:szCs w:val="24"/>
          <w:lang w:val="en-US"/>
        </w:rPr>
        <w:t>claiming</w:t>
      </w:r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sz w:val="24"/>
          <w:szCs w:val="24"/>
          <w:lang w:val="sr-Cyrl-RS"/>
        </w:rPr>
        <w:t>that</w:t>
      </w:r>
      <w:proofErr w:type="spellEnd"/>
      <w:r w:rsidR="004A42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professor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expressed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ideas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attitudes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that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are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disturbing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humiliating</w:t>
      </w:r>
      <w:proofErr w:type="spellEnd"/>
      <w:r w:rsidRPr="00A60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</w:t>
      </w:r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final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instance,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Supreme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Cassation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Serbia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considered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-instance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proofErr w:type="spellEnd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correctly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concluded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views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expressed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by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A603AA">
        <w:rPr>
          <w:rFonts w:ascii="Times New Roman" w:hAnsi="Times New Roman" w:cs="Times New Roman"/>
          <w:sz w:val="24"/>
          <w:szCs w:val="24"/>
          <w:lang w:val="sr-Cyrl-RS"/>
        </w:rPr>
        <w:t>professor</w:t>
      </w:r>
      <w:proofErr w:type="spellEnd"/>
      <w:r w:rsidR="004A42F2" w:rsidRPr="00A603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contested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insult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other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orientation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He </w:t>
      </w:r>
      <w:proofErr w:type="spellStart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has</w:t>
      </w:r>
      <w:proofErr w:type="spellEnd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</w:t>
      </w:r>
      <w:proofErr w:type="spellEnd"/>
      <w:r w:rsid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value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judgment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quality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Prevention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Domestic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Violence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while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criticizing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manifestation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sexuality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LGBT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group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expressed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walk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LGBT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members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during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held</w:t>
      </w:r>
      <w:proofErr w:type="spellEnd"/>
      <w:r w:rsidR="004A42F2" w:rsidRPr="004A4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parade.</w:t>
      </w:r>
    </w:p>
    <w:p w:rsidR="00DC242A" w:rsidRPr="00DC242A" w:rsidRDefault="00DC242A" w:rsidP="00A603AA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</w:pPr>
    </w:p>
    <w:p w:rsidR="00DC242A" w:rsidRPr="00DC242A" w:rsidRDefault="00DC242A" w:rsidP="00DC242A">
      <w:pPr>
        <w:shd w:val="clear" w:color="auto" w:fill="FFFFFF"/>
        <w:spacing w:after="300" w:line="24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DC242A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Facts</w:t>
      </w:r>
      <w:proofErr w:type="spellEnd"/>
    </w:p>
    <w:p w:rsidR="004A42F2" w:rsidRPr="00F402B0" w:rsidRDefault="004A42F2" w:rsidP="00F402B0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2B0" w:rsidRDefault="00F402B0" w:rsidP="00F402B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defendant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known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after</w:t>
      </w:r>
      <w:proofErr w:type="spellEnd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coming</w:t>
      </w:r>
      <w:proofErr w:type="spellEnd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into</w:t>
      </w:r>
      <w:proofErr w:type="spellEnd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force</w:t>
      </w:r>
      <w:proofErr w:type="spellEnd"/>
      <w:r w:rsid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Prevention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Domestic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Violence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from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2016, h</w:t>
      </w:r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wrote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author's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published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media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in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weaknesses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shortcomings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said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ten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parts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primarily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its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expediency</w:t>
      </w:r>
      <w:proofErr w:type="spellEnd"/>
      <w:r w:rsidRPr="00F402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Pr="00F40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proofErr w:type="spellStart"/>
      <w:r w:rsidRPr="00F402B0">
        <w:rPr>
          <w:rFonts w:ascii="Times New Roman" w:hAnsi="Times New Roman" w:cs="Times New Roman"/>
          <w:sz w:val="24"/>
          <w:szCs w:val="24"/>
          <w:shd w:val="clear" w:color="auto" w:fill="FFFFFF"/>
        </w:rPr>
        <w:t>wrote</w:t>
      </w:r>
      <w:proofErr w:type="spellEnd"/>
      <w:r w:rsidRPr="00F402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sz w:val="24"/>
          <w:szCs w:val="24"/>
          <w:shd w:val="clear" w:color="auto" w:fill="FFFFFF"/>
        </w:rPr>
        <w:t>following</w:t>
      </w:r>
      <w:proofErr w:type="spellEnd"/>
      <w:r w:rsidRPr="00F402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DC242A" w:rsidRPr="00DC242A" w:rsidRDefault="00DC242A" w:rsidP="00F402B0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</w:p>
    <w:p w:rsidR="00F402B0" w:rsidRDefault="00F402B0" w:rsidP="00F402B0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Does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Law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weaker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persons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family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? No,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serves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women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regardless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whether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strong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weak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loved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unloved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nervous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musical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a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good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mood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whether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have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lover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not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whether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earn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money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supported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whether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brought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some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property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into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marriage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moved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into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her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husband's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house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etc.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If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law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serves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weak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then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guess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would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at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least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mention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children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who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weakest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most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vulnerable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domestic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violence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elderly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parents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Pr="00F402B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perhaps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increase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volume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domestic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violence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is (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partially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mostly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)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to the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state's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manic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display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the so-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called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reality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show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programs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on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television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channels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national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coverage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in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which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acts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of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violence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relationships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between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people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living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in the same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household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are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most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directly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encouraged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police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protection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with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a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ceremonial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parade of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homosexuals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on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city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streets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which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openly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celebrates</w:t>
      </w:r>
      <w:proofErr w:type="spellEnd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402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primitive</w:t>
      </w:r>
      <w:proofErr w:type="spellEnd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violent</w:t>
      </w:r>
      <w:proofErr w:type="spellEnd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and</w:t>
      </w:r>
      <w:proofErr w:type="spellEnd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vulgar</w:t>
      </w:r>
      <w:proofErr w:type="spellEnd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sexuality</w:t>
      </w:r>
      <w:proofErr w:type="spellEnd"/>
      <w:r w:rsidR="00DC242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  <w:t>?</w:t>
      </w:r>
    </w:p>
    <w:p w:rsidR="00DC242A" w:rsidRDefault="00DC242A" w:rsidP="00F402B0">
      <w:pPr>
        <w:pStyle w:val="FootnoteText"/>
        <w:spacing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sr-Cyrl-RS"/>
        </w:rPr>
      </w:pPr>
    </w:p>
    <w:p w:rsidR="00324460" w:rsidRDefault="00324460" w:rsidP="00DC242A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applicant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argued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defendant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grossly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insulted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inspired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hatred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towards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LGBT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text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stating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defen</w:t>
      </w:r>
      <w:r w:rsid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dant</w:t>
      </w:r>
      <w:proofErr w:type="spellEnd"/>
      <w:r w:rsid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 a university </w:t>
      </w:r>
      <w:proofErr w:type="spellStart"/>
      <w:r w:rsidR="00EB6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obliged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take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special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 of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public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appearances</w:t>
      </w:r>
      <w:proofErr w:type="spellEnd"/>
      <w:r w:rsidRPr="00324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22FE" w:rsidRDefault="00DC242A" w:rsidP="00DC242A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court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first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instance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accepted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claim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determined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that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professor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committed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act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discrimination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based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on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provision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Art. 15, 21, 46, 48, 68 of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Constitution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Republic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Serbia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provision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Article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10 of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European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Convention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for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Protection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Human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Rights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Fundamental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Freedoms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as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well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as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provision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Article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2,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paragraph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1,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Article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4,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paragraph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1, Art. 8, 9, 11, 12, 20, 21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45,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paragraph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2 of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Law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on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Prohibition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Discrimination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. 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court stated that the defendant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expressed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ideas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attitudes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that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are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disturbing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</w:t>
      </w:r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</w:t>
      </w:r>
      <w:proofErr w:type="spellEnd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humiliating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 that he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insult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dignity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incite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discrimination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hatred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agains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groups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people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,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only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because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their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personal</w:t>
      </w:r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inherent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characteristics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lastRenderedPageBreak/>
        <w:t xml:space="preserve">At the same time,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first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-instance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court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ound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that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statements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from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disputed</w:t>
      </w:r>
      <w:proofErr w:type="spellEnd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text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advocates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wider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stereotypes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about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patriarchal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organization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of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family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,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according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to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which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principle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the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man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puts</w:t>
      </w:r>
      <w:proofErr w:type="spellEnd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wom</w:t>
      </w:r>
      <w:proofErr w:type="spellEnd"/>
      <w:r w:rsid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n in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an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unequal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position</w:t>
      </w:r>
      <w:proofErr w:type="spellEnd"/>
      <w:r w:rsidRPr="00DC24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sr-Cyrl-RS"/>
        </w:rPr>
        <w:t>.</w:t>
      </w:r>
    </w:p>
    <w:p w:rsidR="003622FE" w:rsidRDefault="003622FE" w:rsidP="003622FE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defendant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appealed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Appeals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overturned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-instance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The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instance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reiterated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well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established</w:t>
      </w:r>
      <w:proofErr w:type="spellEnd"/>
      <w:r w:rsidRPr="003622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standard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according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applying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discrimination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test,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necessary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examine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whether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objective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reasonable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justification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making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difference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unequal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treatment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terms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pursuit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a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legitimate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aim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such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aim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exists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whether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there</w:t>
      </w:r>
      <w:proofErr w:type="spellEnd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was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required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proportionality</w:t>
      </w:r>
      <w:proofErr w:type="spellEnd"/>
      <w:r w:rsidR="005C20D4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C20D4" w:rsidRDefault="005C20D4" w:rsidP="003622FE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0D4" w:rsidRDefault="005C20D4" w:rsidP="003622FE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0D4" w:rsidRDefault="005C20D4" w:rsidP="003622FE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C20D4" w:rsidRPr="005C20D4" w:rsidRDefault="005C20D4" w:rsidP="005C20D4">
      <w:pPr>
        <w:shd w:val="clear" w:color="auto" w:fill="FFFFFF"/>
        <w:spacing w:after="300" w:line="240" w:lineRule="auto"/>
        <w:outlineLvl w:val="2"/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</w:pPr>
      <w:proofErr w:type="spellStart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Decision</w:t>
      </w:r>
      <w:proofErr w:type="spellEnd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 xml:space="preserve"> </w:t>
      </w:r>
      <w:proofErr w:type="spellStart"/>
      <w:r w:rsidRPr="005C20D4">
        <w:rPr>
          <w:rFonts w:ascii="Helvetica" w:eastAsia="Times New Roman" w:hAnsi="Helvetica" w:cs="Times New Roman"/>
          <w:b/>
          <w:bCs/>
          <w:color w:val="002B43"/>
          <w:sz w:val="30"/>
          <w:szCs w:val="30"/>
          <w:lang w:eastAsia="sr-Latn-RS"/>
        </w:rPr>
        <w:t>Overview</w:t>
      </w:r>
      <w:proofErr w:type="spellEnd"/>
    </w:p>
    <w:p w:rsidR="005C20D4" w:rsidRDefault="005C20D4" w:rsidP="003622FE">
      <w:pPr>
        <w:pStyle w:val="FootnoteTex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42B4" w:rsidRDefault="005C20D4" w:rsidP="005C20D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Dissatisfied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decision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Appellate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Commissioner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Equality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prosecutor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review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extraordinary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legal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remedy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before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Supreme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Court</w:t>
      </w:r>
      <w:proofErr w:type="spellEnd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Cassation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aligned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Appellate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, </w:t>
      </w:r>
      <w:r w:rsidR="00EB67A4">
        <w:rPr>
          <w:rFonts w:ascii="Times New Roman" w:hAnsi="Times New Roman" w:cs="Times New Roman"/>
          <w:sz w:val="24"/>
          <w:szCs w:val="24"/>
        </w:rPr>
        <w:t>t</w:t>
      </w:r>
      <w:r w:rsidR="004C42B4" w:rsidRPr="004C42B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Cassation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defendant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disputed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, 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insult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. 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criticizing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manifestation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sexuality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the LGBT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of LGBT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42B4" w:rsidRPr="004C42B4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4C42B4" w:rsidRPr="004C42B4">
        <w:rPr>
          <w:rFonts w:ascii="Times New Roman" w:hAnsi="Times New Roman" w:cs="Times New Roman"/>
          <w:sz w:val="24"/>
          <w:szCs w:val="24"/>
        </w:rPr>
        <w:t xml:space="preserve"> the parade.</w:t>
      </w:r>
    </w:p>
    <w:p w:rsidR="005C20D4" w:rsidRDefault="004C42B4" w:rsidP="005C20D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defendant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raise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sexes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EB67A4" w:rsidRPr="00EB67A4">
        <w:rPr>
          <w:rFonts w:ascii="Times New Roman" w:hAnsi="Times New Roman" w:cs="Times New Roman"/>
          <w:sz w:val="24"/>
          <w:szCs w:val="24"/>
        </w:rPr>
        <w:t xml:space="preserve"> status</w:t>
      </w:r>
      <w:r w:rsidRPr="004C42B4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underlined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dysfunctionality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law's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provisions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emphasizing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ineffectiveness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>.</w:t>
      </w:r>
    </w:p>
    <w:p w:rsidR="004C42B4" w:rsidRDefault="004C42B4" w:rsidP="005C20D4">
      <w:pPr>
        <w:pStyle w:val="Footnote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2B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Supreme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pointed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correctly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base</w:t>
      </w:r>
      <w:r w:rsidR="00324460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entire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B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4C4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24460">
        <w:rPr>
          <w:rFonts w:ascii="Times New Roman" w:hAnsi="Times New Roman" w:cs="Times New Roman"/>
          <w:sz w:val="24"/>
          <w:szCs w:val="24"/>
        </w:rPr>
        <w:t xml:space="preserve"> separate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parts</w:t>
      </w:r>
      <w:proofErr w:type="spellEnd"/>
      <w:r w:rsidR="003244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24460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="00324460">
        <w:rPr>
          <w:rFonts w:ascii="Times New Roman" w:hAnsi="Times New Roman" w:cs="Times New Roman"/>
          <w:sz w:val="24"/>
          <w:szCs w:val="24"/>
        </w:rPr>
        <w:t xml:space="preserve">, </w:t>
      </w:r>
      <w:r w:rsidR="00324460" w:rsidRPr="00324460">
        <w:rPr>
          <w:rFonts w:ascii="Times New Roman" w:hAnsi="Times New Roman" w:cs="Times New Roman"/>
          <w:sz w:val="24"/>
          <w:szCs w:val="24"/>
        </w:rPr>
        <w:t xml:space="preserve">at the same time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indicating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defendant's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expressing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insult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sex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sexual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orientation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, but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rather</w:t>
      </w:r>
      <w:proofErr w:type="spellEnd"/>
      <w:r w:rsidR="00324460" w:rsidRPr="00324460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24460" w:rsidRPr="00324460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of general </w:t>
      </w:r>
      <w:proofErr w:type="spellStart"/>
      <w:r w:rsidR="00BD36C1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>.</w:t>
      </w:r>
      <w:r w:rsidR="0032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460" w:rsidRDefault="00324460" w:rsidP="00EA79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5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A2C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="001D0A2C">
        <w:rPr>
          <w:rFonts w:ascii="Times New Roman" w:hAnsi="Times New Roman" w:cs="Times New Roman"/>
          <w:sz w:val="24"/>
          <w:szCs w:val="24"/>
        </w:rPr>
        <w:t xml:space="preserve"> the stance</w:t>
      </w:r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phenomenon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considered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r w:rsidR="00EA7955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veracity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</w:t>
      </w:r>
      <w:r w:rsidRPr="00EA7955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defendant's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generally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discussed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to be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done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EA7955" w:rsidRPr="00EA7955">
        <w:rPr>
          <w:rFonts w:ascii="Times New Roman" w:hAnsi="Times New Roman" w:cs="Times New Roman"/>
          <w:sz w:val="24"/>
          <w:szCs w:val="24"/>
        </w:rPr>
        <w:t>factual</w:t>
      </w:r>
      <w:proofErr w:type="spellEnd"/>
      <w:r w:rsidR="00EA7955"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 w:rsidRPr="00EA7955">
        <w:rPr>
          <w:rFonts w:ascii="Times New Roman" w:hAnsi="Times New Roman" w:cs="Times New Roman"/>
          <w:sz w:val="24"/>
          <w:szCs w:val="24"/>
        </w:rPr>
        <w:t>allegations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defendant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r w:rsidR="00EA7955">
        <w:rPr>
          <w:rFonts w:ascii="Times New Roman" w:hAnsi="Times New Roman" w:cs="Times New Roman"/>
          <w:sz w:val="24"/>
          <w:szCs w:val="24"/>
        </w:rPr>
        <w:t>to</w:t>
      </w:r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publicly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value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judgment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represents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to</w:t>
      </w:r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survival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democratic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constitute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harshly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7955">
        <w:rPr>
          <w:rFonts w:ascii="Times New Roman" w:hAnsi="Times New Roman" w:cs="Times New Roman"/>
          <w:sz w:val="24"/>
          <w:szCs w:val="24"/>
        </w:rPr>
        <w:t>words</w:t>
      </w:r>
      <w:proofErr w:type="spellEnd"/>
      <w:r w:rsidRPr="00EA7955">
        <w:rPr>
          <w:rFonts w:ascii="Times New Roman" w:hAnsi="Times New Roman" w:cs="Times New Roman"/>
          <w:sz w:val="24"/>
          <w:szCs w:val="24"/>
        </w:rPr>
        <w:t xml:space="preserve">. </w:t>
      </w:r>
      <w:r w:rsidR="00EA7955" w:rsidRPr="00EA7955">
        <w:rPr>
          <w:rFonts w:ascii="Times New Roman" w:hAnsi="Times New Roman" w:cs="Times New Roman"/>
          <w:i/>
          <w:sz w:val="24"/>
          <w:szCs w:val="24"/>
        </w:rPr>
        <w:t>A priori</w:t>
      </w:r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 w:rsidRPr="00EA7955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EA7955" w:rsidRPr="00EA7955">
        <w:rPr>
          <w:rFonts w:ascii="Times New Roman" w:hAnsi="Times New Roman" w:cs="Times New Roman"/>
          <w:sz w:val="24"/>
          <w:szCs w:val="24"/>
        </w:rPr>
        <w:t>discriminatory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>
        <w:rPr>
          <w:rFonts w:ascii="Times New Roman" w:hAnsi="Times New Roman" w:cs="Times New Roman"/>
          <w:sz w:val="24"/>
          <w:szCs w:val="24"/>
        </w:rPr>
        <w:t>lead</w:t>
      </w:r>
      <w:proofErr w:type="spellEnd"/>
      <w:r w:rsidR="00EA7955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="00EA7955" w:rsidRPr="00C70EF7">
        <w:rPr>
          <w:rFonts w:ascii="Times New Roman" w:hAnsi="Times New Roman" w:cs="Times New Roman"/>
          <w:sz w:val="24"/>
          <w:szCs w:val="24"/>
        </w:rPr>
        <w:t>chilling</w:t>
      </w:r>
      <w:proofErr w:type="spellEnd"/>
      <w:r w:rsidR="00EA7955"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 w:rsidRPr="00C70EF7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EA7955"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 w:rsidRPr="00C70EF7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EA7955"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955" w:rsidRPr="00C70EF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="00EA7955" w:rsidRPr="00C70EF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C70EF7" w:rsidRPr="00C70EF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C70EF7" w:rsidRPr="00C70E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70EF7" w:rsidRPr="00C70EF7">
        <w:rPr>
          <w:rFonts w:ascii="Times New Roman" w:hAnsi="Times New Roman" w:cs="Times New Roman"/>
          <w:sz w:val="24"/>
          <w:szCs w:val="24"/>
        </w:rPr>
        <w:t>discuss</w:t>
      </w:r>
      <w:proofErr w:type="spellEnd"/>
      <w:r w:rsidR="00C70EF7"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7" w:rsidRPr="00C70EF7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C70EF7" w:rsidRPr="00C70EF7">
        <w:rPr>
          <w:rFonts w:ascii="Times New Roman" w:hAnsi="Times New Roman" w:cs="Times New Roman"/>
          <w:sz w:val="24"/>
          <w:szCs w:val="24"/>
        </w:rPr>
        <w:t xml:space="preserve"> of </w:t>
      </w:r>
      <w:r w:rsidR="00C70EF7">
        <w:rPr>
          <w:rFonts w:ascii="Times New Roman" w:hAnsi="Times New Roman" w:cs="Times New Roman"/>
          <w:sz w:val="24"/>
          <w:szCs w:val="24"/>
        </w:rPr>
        <w:t>general</w:t>
      </w:r>
      <w:r w:rsidR="00C70EF7"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EF7" w:rsidRPr="00C70EF7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C70EF7" w:rsidRPr="00C70EF7">
        <w:rPr>
          <w:rFonts w:ascii="Times New Roman" w:hAnsi="Times New Roman" w:cs="Times New Roman"/>
          <w:sz w:val="24"/>
          <w:szCs w:val="24"/>
        </w:rPr>
        <w:t>.</w:t>
      </w:r>
    </w:p>
    <w:p w:rsidR="00C70EF7" w:rsidRDefault="00C70EF7" w:rsidP="00C70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EF7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,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objective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</w:t>
      </w:r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conclude</w:t>
      </w:r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goal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defendant's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challenge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insult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targeted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EF7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C70EF7">
        <w:rPr>
          <w:rFonts w:ascii="Times New Roman" w:hAnsi="Times New Roman" w:cs="Times New Roman"/>
          <w:sz w:val="24"/>
          <w:szCs w:val="24"/>
        </w:rPr>
        <w:t>.</w:t>
      </w:r>
    </w:p>
    <w:p w:rsidR="001D0A2C" w:rsidRDefault="001D0A2C" w:rsidP="00C70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2C" w:rsidRPr="001D0A2C" w:rsidRDefault="001D0A2C" w:rsidP="001D0A2C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  <w:r w:rsidRPr="001D0A2C"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  <w:t>DECISION DIRECTION</w:t>
      </w:r>
    </w:p>
    <w:p w:rsidR="001D0A2C" w:rsidRDefault="001D0A2C" w:rsidP="00C70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A2C" w:rsidRDefault="001D0A2C" w:rsidP="00C70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essentially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standard</w:t>
      </w:r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in the ECHR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Handyside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1976)</w:t>
      </w:r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protections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extend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might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offensive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shocking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disturbing</w:t>
      </w:r>
      <w:proofErr w:type="spellEnd"/>
      <w:r w:rsidRPr="00A864F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864FA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0A2C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court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clarified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discrimination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test,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every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 w:rsidRPr="00EB67A4">
        <w:rPr>
          <w:rFonts w:ascii="Times New Roman" w:hAnsi="Times New Roman" w:cs="Times New Roman"/>
          <w:sz w:val="24"/>
          <w:szCs w:val="24"/>
        </w:rPr>
        <w:t>expressed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illegal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D0A2C">
        <w:rPr>
          <w:rFonts w:ascii="Times New Roman" w:hAnsi="Times New Roman" w:cs="Times New Roman"/>
          <w:sz w:val="24"/>
          <w:szCs w:val="24"/>
        </w:rPr>
        <w:t>justification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aim</w:t>
      </w:r>
      <w:proofErr w:type="spellEnd"/>
      <w:r w:rsidRPr="001D0A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6C1" w:rsidRPr="005C20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proportionality</w:t>
      </w:r>
      <w:proofErr w:type="spellEnd"/>
      <w:r w:rsidR="00BD36C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EB67A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examined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7A4">
        <w:rPr>
          <w:rFonts w:ascii="Times New Roman" w:hAnsi="Times New Roman" w:cs="Times New Roman"/>
          <w:sz w:val="24"/>
          <w:szCs w:val="24"/>
        </w:rPr>
        <w:t>previously</w:t>
      </w:r>
      <w:proofErr w:type="spellEnd"/>
      <w:r w:rsidR="00EB67A4">
        <w:rPr>
          <w:rFonts w:ascii="Times New Roman" w:hAnsi="Times New Roman" w:cs="Times New Roman"/>
          <w:sz w:val="24"/>
          <w:szCs w:val="24"/>
        </w:rPr>
        <w:t>.</w:t>
      </w:r>
    </w:p>
    <w:p w:rsidR="001D0A2C" w:rsidRPr="001D0A2C" w:rsidRDefault="001D0A2C" w:rsidP="001D0A2C">
      <w:pPr>
        <w:shd w:val="clear" w:color="auto" w:fill="FFFFFF"/>
        <w:spacing w:after="0" w:line="450" w:lineRule="atLeast"/>
        <w:outlineLvl w:val="1"/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</w:pPr>
      <w:r w:rsidRPr="001D0A2C">
        <w:rPr>
          <w:rFonts w:ascii="Helvetica" w:eastAsia="Times New Roman" w:hAnsi="Helvetica" w:cs="Times New Roman"/>
          <w:caps/>
          <w:color w:val="5F7085"/>
          <w:spacing w:val="30"/>
          <w:sz w:val="45"/>
          <w:szCs w:val="45"/>
          <w:lang w:eastAsia="sr-Latn-RS"/>
        </w:rPr>
        <w:t>CASE SIGNIFICANCE</w:t>
      </w:r>
    </w:p>
    <w:p w:rsidR="001D0A2C" w:rsidRDefault="001D0A2C" w:rsidP="001D0A2C"/>
    <w:p w:rsidR="001D0A2C" w:rsidRPr="00EB67A4" w:rsidRDefault="001D0A2C" w:rsidP="001D0A2C">
      <w:pPr>
        <w:rPr>
          <w:rFonts w:ascii="Times New Roman" w:hAnsi="Times New Roman" w:cs="Times New Roman"/>
          <w:sz w:val="24"/>
          <w:szCs w:val="24"/>
        </w:rPr>
      </w:pPr>
      <w:r w:rsidRPr="00EB67A4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decision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establishes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persuasive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precedent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7A4">
        <w:rPr>
          <w:rFonts w:ascii="Times New Roman" w:hAnsi="Times New Roman" w:cs="Times New Roman"/>
          <w:sz w:val="24"/>
          <w:szCs w:val="24"/>
        </w:rPr>
        <w:t>jurisdiction</w:t>
      </w:r>
      <w:proofErr w:type="spellEnd"/>
      <w:r w:rsidRPr="00EB67A4">
        <w:rPr>
          <w:rFonts w:ascii="Times New Roman" w:hAnsi="Times New Roman" w:cs="Times New Roman"/>
          <w:sz w:val="24"/>
          <w:szCs w:val="24"/>
        </w:rPr>
        <w:t>.</w:t>
      </w:r>
    </w:p>
    <w:p w:rsidR="001D0A2C" w:rsidRPr="00EB67A4" w:rsidRDefault="001D0A2C" w:rsidP="00C70E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0A2C" w:rsidRPr="00EB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AA"/>
    <w:rsid w:val="001D0A2C"/>
    <w:rsid w:val="00324460"/>
    <w:rsid w:val="003622FE"/>
    <w:rsid w:val="004A42F2"/>
    <w:rsid w:val="004C42B4"/>
    <w:rsid w:val="005C20D4"/>
    <w:rsid w:val="00A603AA"/>
    <w:rsid w:val="00BD36C1"/>
    <w:rsid w:val="00C70EF7"/>
    <w:rsid w:val="00DB5C5A"/>
    <w:rsid w:val="00DC242A"/>
    <w:rsid w:val="00EA7955"/>
    <w:rsid w:val="00EB67A4"/>
    <w:rsid w:val="00F4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2B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70E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A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F402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402B0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70EF7"/>
    <w:rPr>
      <w:b/>
      <w:bCs/>
    </w:rPr>
  </w:style>
  <w:style w:type="character" w:styleId="Hyperlink">
    <w:name w:val="Hyperlink"/>
    <w:basedOn w:val="DefaultParagraphFont"/>
    <w:uiPriority w:val="99"/>
    <w:unhideWhenUsed/>
    <w:rsid w:val="001D0A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6589">
              <w:marLeft w:val="300"/>
              <w:marRight w:val="-11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809845">
              <w:marLeft w:val="0"/>
              <w:marRight w:val="0"/>
              <w:marTop w:val="0"/>
              <w:marBottom w:val="600"/>
              <w:divBdr>
                <w:top w:val="single" w:sz="24" w:space="20" w:color="C8DCE7"/>
                <w:left w:val="single" w:sz="24" w:space="20" w:color="C8DCE7"/>
                <w:bottom w:val="single" w:sz="24" w:space="20" w:color="C8DCE7"/>
                <w:right w:val="single" w:sz="24" w:space="20" w:color="C8DCE7"/>
              </w:divBdr>
            </w:div>
          </w:divsChild>
        </w:div>
      </w:divsChild>
    </w:div>
    <w:div w:id="16964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2022-07-23T21:56:00Z</dcterms:created>
  <dcterms:modified xsi:type="dcterms:W3CDTF">2022-07-24T00:19:00Z</dcterms:modified>
</cp:coreProperties>
</file>