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FA1C" w14:textId="77777777" w:rsidR="00F26230" w:rsidRPr="003F42B2" w:rsidRDefault="00C351AA" w:rsidP="00F26230">
      <w:pPr>
        <w:rPr>
          <w:rFonts w:ascii="Arial" w:hAnsi="Arial" w:cs="Arial"/>
        </w:rPr>
      </w:pPr>
      <w:r>
        <w:rPr>
          <w:rFonts w:ascii="Arial" w:hAnsi="Arial" w:cs="Arial"/>
        </w:rPr>
        <w:t>I</w:t>
      </w:r>
      <w:r w:rsidR="00F26230" w:rsidRPr="003F42B2">
        <w:rPr>
          <w:rFonts w:ascii="Arial" w:hAnsi="Arial" w:cs="Arial"/>
        </w:rPr>
        <w:t>NTERNATIONAL - COUNCIL OF EUROPE</w:t>
      </w:r>
    </w:p>
    <w:p w14:paraId="3FAAF670" w14:textId="77777777" w:rsidR="00F26230" w:rsidRPr="00AF007E" w:rsidRDefault="00F26230" w:rsidP="00F26230">
      <w:pPr>
        <w:rPr>
          <w:rFonts w:ascii="Arial" w:hAnsi="Arial" w:cs="Arial"/>
          <w:b/>
        </w:rPr>
      </w:pPr>
    </w:p>
    <w:p w14:paraId="260E9FAD" w14:textId="21F7C36C" w:rsidR="00AF007E" w:rsidRPr="00AF007E" w:rsidRDefault="00F26230" w:rsidP="00331DBD">
      <w:pPr>
        <w:rPr>
          <w:rFonts w:ascii="Arial" w:hAnsi="Arial" w:cs="Arial"/>
          <w:b/>
        </w:rPr>
      </w:pPr>
      <w:bookmarkStart w:id="0" w:name="_Hlk94795682"/>
      <w:r w:rsidRPr="00AF007E">
        <w:rPr>
          <w:rFonts w:ascii="Arial" w:hAnsi="Arial" w:cs="Arial"/>
          <w:b/>
        </w:rPr>
        <w:t>European Court of Human Rights:</w:t>
      </w:r>
      <w:r w:rsidR="00AF007E">
        <w:rPr>
          <w:rFonts w:ascii="Arial" w:hAnsi="Arial" w:cs="Arial"/>
          <w:b/>
        </w:rPr>
        <w:t xml:space="preserve"> </w:t>
      </w:r>
      <w:r w:rsidR="00905F53" w:rsidRPr="00905F53">
        <w:rPr>
          <w:rFonts w:ascii="Arial" w:hAnsi="Arial" w:cs="Arial"/>
          <w:b/>
        </w:rPr>
        <w:t>NIT S.R.L. v. the Republic of Moldova</w:t>
      </w:r>
    </w:p>
    <w:p w14:paraId="4ACCBC58" w14:textId="634FA99D" w:rsidR="00730CEA" w:rsidRPr="00730CEA" w:rsidRDefault="00BA2AD2" w:rsidP="00730CEA">
      <w:pPr>
        <w:rPr>
          <w:rFonts w:ascii="Arial" w:hAnsi="Arial" w:cs="Arial"/>
        </w:rPr>
      </w:pPr>
      <w:r w:rsidRPr="00005D4E">
        <w:rPr>
          <w:rFonts w:ascii="Arial" w:hAnsi="Arial" w:cs="Arial"/>
          <w:sz w:val="24"/>
          <w:szCs w:val="24"/>
        </w:rPr>
        <w:br/>
      </w:r>
      <w:r w:rsidR="00827F1D">
        <w:rPr>
          <w:rFonts w:ascii="Arial" w:hAnsi="Arial" w:cs="Arial"/>
        </w:rPr>
        <w:t>T</w:t>
      </w:r>
      <w:r w:rsidR="00283E27" w:rsidRPr="00283E27">
        <w:rPr>
          <w:rFonts w:ascii="Arial" w:hAnsi="Arial" w:cs="Arial"/>
        </w:rPr>
        <w:t xml:space="preserve">he </w:t>
      </w:r>
      <w:r w:rsidR="00F93471">
        <w:rPr>
          <w:rFonts w:ascii="Arial" w:hAnsi="Arial" w:cs="Arial"/>
        </w:rPr>
        <w:t xml:space="preserve">Grand Chamber of the </w:t>
      </w:r>
      <w:r w:rsidR="00283E27" w:rsidRPr="00283E27">
        <w:rPr>
          <w:rFonts w:ascii="Arial" w:hAnsi="Arial" w:cs="Arial"/>
        </w:rPr>
        <w:t xml:space="preserve">European Court of Human Rights (ECtHR) </w:t>
      </w:r>
      <w:r w:rsidR="00F93471">
        <w:rPr>
          <w:rFonts w:ascii="Arial" w:hAnsi="Arial" w:cs="Arial"/>
        </w:rPr>
        <w:t xml:space="preserve">found no violation of the right to freedom of expression and information in a case </w:t>
      </w:r>
      <w:r w:rsidR="00F93471" w:rsidRPr="00F93471">
        <w:rPr>
          <w:rFonts w:ascii="Arial" w:hAnsi="Arial" w:cs="Arial"/>
        </w:rPr>
        <w:t xml:space="preserve">concerning </w:t>
      </w:r>
      <w:r w:rsidR="00F93471">
        <w:rPr>
          <w:rFonts w:ascii="Arial" w:hAnsi="Arial" w:cs="Arial"/>
        </w:rPr>
        <w:t xml:space="preserve">the </w:t>
      </w:r>
      <w:r w:rsidR="00F93471" w:rsidRPr="00F93471">
        <w:rPr>
          <w:rFonts w:ascii="Arial" w:hAnsi="Arial" w:cs="Arial"/>
        </w:rPr>
        <w:t xml:space="preserve">withdrawal of </w:t>
      </w:r>
      <w:r w:rsidR="004751DC">
        <w:rPr>
          <w:rFonts w:ascii="Arial" w:hAnsi="Arial" w:cs="Arial"/>
        </w:rPr>
        <w:t xml:space="preserve">a </w:t>
      </w:r>
      <w:r w:rsidR="00F93471" w:rsidRPr="00F93471">
        <w:rPr>
          <w:rFonts w:ascii="Arial" w:hAnsi="Arial" w:cs="Arial"/>
        </w:rPr>
        <w:t>television station’s licence</w:t>
      </w:r>
      <w:r w:rsidR="00371EAB">
        <w:rPr>
          <w:rFonts w:ascii="Arial" w:hAnsi="Arial" w:cs="Arial"/>
        </w:rPr>
        <w:t xml:space="preserve"> in Moldova</w:t>
      </w:r>
      <w:r w:rsidR="00BA2952">
        <w:rPr>
          <w:rFonts w:ascii="Arial" w:hAnsi="Arial" w:cs="Arial"/>
        </w:rPr>
        <w:t xml:space="preserve">. The </w:t>
      </w:r>
      <w:r w:rsidR="00811C91">
        <w:rPr>
          <w:rFonts w:ascii="Arial" w:hAnsi="Arial" w:cs="Arial"/>
        </w:rPr>
        <w:t xml:space="preserve">licence of the </w:t>
      </w:r>
      <w:r w:rsidR="00BA2952">
        <w:rPr>
          <w:rFonts w:ascii="Arial" w:hAnsi="Arial" w:cs="Arial"/>
        </w:rPr>
        <w:t xml:space="preserve">television channel NIT </w:t>
      </w:r>
      <w:r w:rsidR="00811C91">
        <w:rPr>
          <w:rFonts w:ascii="Arial" w:hAnsi="Arial" w:cs="Arial"/>
        </w:rPr>
        <w:t xml:space="preserve">was revoked </w:t>
      </w:r>
      <w:r w:rsidR="00882CBE">
        <w:rPr>
          <w:rFonts w:ascii="Arial" w:hAnsi="Arial" w:cs="Arial"/>
        </w:rPr>
        <w:t xml:space="preserve">in 2012 </w:t>
      </w:r>
      <w:r w:rsidR="008328F4">
        <w:rPr>
          <w:rFonts w:ascii="Arial" w:hAnsi="Arial" w:cs="Arial"/>
        </w:rPr>
        <w:t>because of the failure to provide balanced political coverage</w:t>
      </w:r>
      <w:r w:rsidR="00BA2952">
        <w:rPr>
          <w:rFonts w:ascii="Arial" w:hAnsi="Arial" w:cs="Arial"/>
        </w:rPr>
        <w:t xml:space="preserve">, </w:t>
      </w:r>
      <w:r w:rsidR="00EC76F6">
        <w:rPr>
          <w:rFonts w:ascii="Arial" w:hAnsi="Arial" w:cs="Arial"/>
        </w:rPr>
        <w:t xml:space="preserve">and </w:t>
      </w:r>
      <w:r w:rsidR="00BA2952">
        <w:rPr>
          <w:rFonts w:ascii="Arial" w:hAnsi="Arial" w:cs="Arial"/>
        </w:rPr>
        <w:t>in particular for its biased support of the communist opposition party in Moldova</w:t>
      </w:r>
      <w:r w:rsidR="00556535">
        <w:rPr>
          <w:rFonts w:ascii="Arial" w:hAnsi="Arial" w:cs="Arial"/>
        </w:rPr>
        <w:t xml:space="preserve"> (PCRM) and its harsh criticism of (members of</w:t>
      </w:r>
      <w:r w:rsidR="008D2EB8">
        <w:rPr>
          <w:rFonts w:ascii="Arial" w:hAnsi="Arial" w:cs="Arial"/>
        </w:rPr>
        <w:t>)</w:t>
      </w:r>
      <w:r w:rsidR="00556535">
        <w:rPr>
          <w:rFonts w:ascii="Arial" w:hAnsi="Arial" w:cs="Arial"/>
        </w:rPr>
        <w:t xml:space="preserve"> the Government and </w:t>
      </w:r>
      <w:r w:rsidR="00811C91">
        <w:rPr>
          <w:rFonts w:ascii="Arial" w:hAnsi="Arial" w:cs="Arial"/>
        </w:rPr>
        <w:t xml:space="preserve">its supporting coalition, the </w:t>
      </w:r>
      <w:r w:rsidR="00556535" w:rsidRPr="00556535">
        <w:rPr>
          <w:rFonts w:ascii="Arial" w:hAnsi="Arial" w:cs="Arial"/>
        </w:rPr>
        <w:t>Alliance for European Integration</w:t>
      </w:r>
      <w:r w:rsidR="00811C91">
        <w:rPr>
          <w:rFonts w:ascii="Arial" w:hAnsi="Arial" w:cs="Arial"/>
        </w:rPr>
        <w:t xml:space="preserve"> (AEI)</w:t>
      </w:r>
      <w:r w:rsidR="00F93471">
        <w:rPr>
          <w:rFonts w:ascii="Arial" w:hAnsi="Arial" w:cs="Arial"/>
        </w:rPr>
        <w:t xml:space="preserve">. </w:t>
      </w:r>
      <w:r w:rsidR="00F93471" w:rsidRPr="00F93471">
        <w:rPr>
          <w:rFonts w:ascii="Arial" w:hAnsi="Arial" w:cs="Arial"/>
        </w:rPr>
        <w:t xml:space="preserve">The </w:t>
      </w:r>
      <w:r w:rsidR="00F93471">
        <w:rPr>
          <w:rFonts w:ascii="Arial" w:hAnsi="Arial" w:cs="Arial"/>
        </w:rPr>
        <w:t>ECtHR</w:t>
      </w:r>
      <w:r w:rsidR="00F93471" w:rsidRPr="00F93471">
        <w:rPr>
          <w:rFonts w:ascii="Arial" w:hAnsi="Arial" w:cs="Arial"/>
        </w:rPr>
        <w:t xml:space="preserve"> was satisfied that the </w:t>
      </w:r>
      <w:r w:rsidR="00F93471">
        <w:rPr>
          <w:rFonts w:ascii="Arial" w:hAnsi="Arial" w:cs="Arial"/>
        </w:rPr>
        <w:t xml:space="preserve">Moldovan authorities </w:t>
      </w:r>
      <w:r w:rsidR="00F93471" w:rsidRPr="00F93471">
        <w:rPr>
          <w:rFonts w:ascii="Arial" w:hAnsi="Arial" w:cs="Arial"/>
        </w:rPr>
        <w:t xml:space="preserve">had struck a fair balance between the general interest of the community </w:t>
      </w:r>
      <w:r w:rsidR="00F93471">
        <w:rPr>
          <w:rFonts w:ascii="Arial" w:hAnsi="Arial" w:cs="Arial"/>
        </w:rPr>
        <w:t xml:space="preserve">in order to protect media pluralism </w:t>
      </w:r>
      <w:r w:rsidR="00F93471" w:rsidRPr="00F93471">
        <w:rPr>
          <w:rFonts w:ascii="Arial" w:hAnsi="Arial" w:cs="Arial"/>
        </w:rPr>
        <w:t>and the</w:t>
      </w:r>
      <w:r w:rsidR="00F93471">
        <w:rPr>
          <w:rFonts w:ascii="Arial" w:hAnsi="Arial" w:cs="Arial"/>
        </w:rPr>
        <w:t xml:space="preserve"> </w:t>
      </w:r>
      <w:r w:rsidR="00F93471" w:rsidRPr="00F93471">
        <w:rPr>
          <w:rFonts w:ascii="Arial" w:hAnsi="Arial" w:cs="Arial"/>
        </w:rPr>
        <w:t>right</w:t>
      </w:r>
      <w:r w:rsidR="00F93471">
        <w:rPr>
          <w:rFonts w:ascii="Arial" w:hAnsi="Arial" w:cs="Arial"/>
        </w:rPr>
        <w:t xml:space="preserve"> to freedom of expression</w:t>
      </w:r>
      <w:r w:rsidR="00F93471" w:rsidRPr="00F93471">
        <w:rPr>
          <w:rFonts w:ascii="Arial" w:hAnsi="Arial" w:cs="Arial"/>
        </w:rPr>
        <w:t xml:space="preserve"> of the television station</w:t>
      </w:r>
      <w:r w:rsidR="00F93471">
        <w:rPr>
          <w:rFonts w:ascii="Arial" w:hAnsi="Arial" w:cs="Arial"/>
        </w:rPr>
        <w:t xml:space="preserve"> as guaranteed by Article 10 of </w:t>
      </w:r>
      <w:r w:rsidR="00AF28CF" w:rsidRPr="00AF28CF">
        <w:rPr>
          <w:rFonts w:ascii="Arial" w:hAnsi="Arial" w:cs="Arial"/>
          <w:lang w:val="en-US"/>
        </w:rPr>
        <w:t>the European Convention on Human Rights (ECHR)</w:t>
      </w:r>
      <w:bookmarkStart w:id="1" w:name="_Hlk57392780"/>
      <w:bookmarkEnd w:id="0"/>
      <w:r w:rsidR="00F93471">
        <w:rPr>
          <w:rFonts w:ascii="Arial" w:hAnsi="Arial" w:cs="Arial"/>
          <w:lang w:val="en-US"/>
        </w:rPr>
        <w:t>.</w:t>
      </w:r>
      <w:r w:rsidR="00730CEA">
        <w:rPr>
          <w:rFonts w:ascii="Arial" w:hAnsi="Arial" w:cs="Arial"/>
          <w:lang w:val="en-US"/>
        </w:rPr>
        <w:t xml:space="preserve"> Three judges dissented, arguing </w:t>
      </w:r>
      <w:r w:rsidR="00730CEA" w:rsidRPr="00730CEA">
        <w:rPr>
          <w:rFonts w:ascii="Arial" w:hAnsi="Arial" w:cs="Arial"/>
        </w:rPr>
        <w:t>th</w:t>
      </w:r>
      <w:r w:rsidR="00730CEA">
        <w:rPr>
          <w:rFonts w:ascii="Arial" w:hAnsi="Arial" w:cs="Arial"/>
        </w:rPr>
        <w:t xml:space="preserve">at the </w:t>
      </w:r>
      <w:r w:rsidR="00730CEA" w:rsidRPr="00730CEA">
        <w:rPr>
          <w:rFonts w:ascii="Arial" w:hAnsi="Arial" w:cs="Arial"/>
        </w:rPr>
        <w:t>revocation decision was marred by serious procedural shortcomings</w:t>
      </w:r>
      <w:r w:rsidR="008D2EB8">
        <w:rPr>
          <w:rFonts w:ascii="Arial" w:hAnsi="Arial" w:cs="Arial"/>
        </w:rPr>
        <w:t xml:space="preserve">, also raising </w:t>
      </w:r>
      <w:r w:rsidR="00730CEA" w:rsidRPr="00730CEA">
        <w:rPr>
          <w:rFonts w:ascii="Arial" w:hAnsi="Arial" w:cs="Arial"/>
        </w:rPr>
        <w:t xml:space="preserve">substantial questions about the </w:t>
      </w:r>
      <w:r w:rsidR="00730CEA">
        <w:rPr>
          <w:rFonts w:ascii="Arial" w:hAnsi="Arial" w:cs="Arial"/>
        </w:rPr>
        <w:t xml:space="preserve">Moldovan </w:t>
      </w:r>
      <w:r w:rsidR="0067477F">
        <w:rPr>
          <w:rFonts w:ascii="Arial" w:hAnsi="Arial" w:cs="Arial"/>
        </w:rPr>
        <w:t>m</w:t>
      </w:r>
      <w:r w:rsidR="00730CEA">
        <w:rPr>
          <w:rFonts w:ascii="Arial" w:hAnsi="Arial" w:cs="Arial"/>
        </w:rPr>
        <w:t xml:space="preserve">edia </w:t>
      </w:r>
      <w:r w:rsidR="0067477F">
        <w:rPr>
          <w:rFonts w:ascii="Arial" w:hAnsi="Arial" w:cs="Arial"/>
        </w:rPr>
        <w:t>r</w:t>
      </w:r>
      <w:r w:rsidR="00730CEA">
        <w:rPr>
          <w:rFonts w:ascii="Arial" w:hAnsi="Arial" w:cs="Arial"/>
        </w:rPr>
        <w:t>egulator’s</w:t>
      </w:r>
      <w:r w:rsidR="00730CEA" w:rsidRPr="00730CEA">
        <w:rPr>
          <w:rFonts w:ascii="Arial" w:hAnsi="Arial" w:cs="Arial"/>
        </w:rPr>
        <w:t xml:space="preserve"> impartiality in the process.</w:t>
      </w:r>
    </w:p>
    <w:p w14:paraId="5FC61043" w14:textId="4357FF63" w:rsidR="00730CEA" w:rsidRPr="00730CEA" w:rsidRDefault="00730CEA" w:rsidP="00C31C13">
      <w:pPr>
        <w:rPr>
          <w:rFonts w:ascii="Arial" w:hAnsi="Arial" w:cs="Arial"/>
        </w:rPr>
      </w:pPr>
    </w:p>
    <w:p w14:paraId="2996BE7F" w14:textId="4B6B49F9" w:rsidR="001D2105" w:rsidRDefault="008328F4" w:rsidP="00826187">
      <w:pPr>
        <w:rPr>
          <w:rFonts w:ascii="Arial" w:hAnsi="Arial" w:cs="Arial"/>
        </w:rPr>
      </w:pPr>
      <w:r w:rsidRPr="008328F4">
        <w:rPr>
          <w:rFonts w:ascii="Arial" w:hAnsi="Arial" w:cs="Arial"/>
        </w:rPr>
        <w:t>The case concern</w:t>
      </w:r>
      <w:r>
        <w:rPr>
          <w:rFonts w:ascii="Arial" w:hAnsi="Arial" w:cs="Arial"/>
        </w:rPr>
        <w:t>s</w:t>
      </w:r>
      <w:r w:rsidRPr="008328F4">
        <w:rPr>
          <w:rFonts w:ascii="Arial" w:hAnsi="Arial" w:cs="Arial"/>
        </w:rPr>
        <w:t xml:space="preserve"> </w:t>
      </w:r>
      <w:r w:rsidR="00833C09">
        <w:rPr>
          <w:rFonts w:ascii="Arial" w:hAnsi="Arial" w:cs="Arial"/>
        </w:rPr>
        <w:t xml:space="preserve">a </w:t>
      </w:r>
      <w:r w:rsidR="0066660D">
        <w:rPr>
          <w:rFonts w:ascii="Arial" w:hAnsi="Arial" w:cs="Arial"/>
        </w:rPr>
        <w:t>media</w:t>
      </w:r>
      <w:r w:rsidRPr="008328F4">
        <w:rPr>
          <w:rFonts w:ascii="Arial" w:hAnsi="Arial" w:cs="Arial"/>
        </w:rPr>
        <w:t xml:space="preserve"> company’s allegation that its television channel </w:t>
      </w:r>
      <w:r w:rsidR="00811C91">
        <w:rPr>
          <w:rFonts w:ascii="Arial" w:hAnsi="Arial" w:cs="Arial"/>
        </w:rPr>
        <w:t xml:space="preserve">NIT </w:t>
      </w:r>
      <w:r w:rsidRPr="008328F4">
        <w:rPr>
          <w:rFonts w:ascii="Arial" w:hAnsi="Arial" w:cs="Arial"/>
        </w:rPr>
        <w:t xml:space="preserve">was shut down for being overly critical of the Government and, in particular, whether domestic law could impose an obligation of neutrality and impartiality in the news bulletins of </w:t>
      </w:r>
      <w:r w:rsidR="00DE42C0">
        <w:rPr>
          <w:rFonts w:ascii="Arial" w:hAnsi="Arial" w:cs="Arial"/>
        </w:rPr>
        <w:t xml:space="preserve">a </w:t>
      </w:r>
      <w:r w:rsidRPr="008328F4">
        <w:rPr>
          <w:rFonts w:ascii="Arial" w:hAnsi="Arial" w:cs="Arial"/>
        </w:rPr>
        <w:t>television station</w:t>
      </w:r>
      <w:r w:rsidR="00DE42C0">
        <w:rPr>
          <w:rFonts w:ascii="Arial" w:hAnsi="Arial" w:cs="Arial"/>
        </w:rPr>
        <w:t xml:space="preserve"> with nationwide coverage</w:t>
      </w:r>
      <w:r w:rsidRPr="008328F4">
        <w:rPr>
          <w:rFonts w:ascii="Arial" w:hAnsi="Arial" w:cs="Arial"/>
        </w:rPr>
        <w:t xml:space="preserve">. </w:t>
      </w:r>
      <w:r w:rsidR="00826187">
        <w:rPr>
          <w:rFonts w:ascii="Arial" w:hAnsi="Arial" w:cs="Arial"/>
        </w:rPr>
        <w:t>After having imposed over a period of several years multiple sanctions against the NIT television channel, the Audiovisual Coordinating Council (ACC) decided to withdraw NIT’s broadcasting licence</w:t>
      </w:r>
      <w:r w:rsidR="00811C91">
        <w:rPr>
          <w:rFonts w:ascii="Arial" w:hAnsi="Arial" w:cs="Arial"/>
        </w:rPr>
        <w:t xml:space="preserve">. The ACC based its decision on a monitoring report of the </w:t>
      </w:r>
      <w:r w:rsidR="00811C91" w:rsidRPr="00811C91">
        <w:rPr>
          <w:rFonts w:ascii="Arial" w:hAnsi="Arial" w:cs="Arial"/>
        </w:rPr>
        <w:t xml:space="preserve">news bulletins of all television channels with nationwide coverage regarding compliance with Article 7 of the </w:t>
      </w:r>
      <w:r w:rsidR="00811C91">
        <w:rPr>
          <w:rFonts w:ascii="Arial" w:hAnsi="Arial" w:cs="Arial"/>
        </w:rPr>
        <w:t xml:space="preserve">Audiovisual </w:t>
      </w:r>
      <w:r w:rsidR="00811C91" w:rsidRPr="00811C91">
        <w:rPr>
          <w:rFonts w:ascii="Arial" w:hAnsi="Arial" w:cs="Arial"/>
        </w:rPr>
        <w:t>Code</w:t>
      </w:r>
      <w:r w:rsidR="00811C91">
        <w:rPr>
          <w:rFonts w:ascii="Arial" w:hAnsi="Arial" w:cs="Arial"/>
        </w:rPr>
        <w:t xml:space="preserve"> 200</w:t>
      </w:r>
      <w:r w:rsidR="00044D65">
        <w:rPr>
          <w:rFonts w:ascii="Arial" w:hAnsi="Arial" w:cs="Arial"/>
        </w:rPr>
        <w:t>6</w:t>
      </w:r>
      <w:r w:rsidR="00833C09" w:rsidRPr="00833C09">
        <w:rPr>
          <w:rFonts w:ascii="Arial" w:hAnsi="Arial" w:cs="Arial"/>
        </w:rPr>
        <w:t>.</w:t>
      </w:r>
      <w:r w:rsidR="00833C09">
        <w:rPr>
          <w:rFonts w:ascii="Arial" w:hAnsi="Arial" w:cs="Arial"/>
          <w:b/>
        </w:rPr>
        <w:t xml:space="preserve"> </w:t>
      </w:r>
      <w:r w:rsidR="00833C09">
        <w:rPr>
          <w:rFonts w:ascii="Arial" w:hAnsi="Arial" w:cs="Arial"/>
        </w:rPr>
        <w:t xml:space="preserve">This article </w:t>
      </w:r>
      <w:r w:rsidR="0067477F" w:rsidRPr="0067477F">
        <w:rPr>
          <w:rFonts w:ascii="Arial" w:hAnsi="Arial" w:cs="Arial"/>
        </w:rPr>
        <w:t xml:space="preserve">on political and social balance and pluralism </w:t>
      </w:r>
      <w:r w:rsidR="00833C09">
        <w:rPr>
          <w:rFonts w:ascii="Arial" w:hAnsi="Arial" w:cs="Arial"/>
        </w:rPr>
        <w:t>provides that w</w:t>
      </w:r>
      <w:r w:rsidR="00833C09" w:rsidRPr="00833C09">
        <w:rPr>
          <w:rFonts w:ascii="Arial" w:hAnsi="Arial" w:cs="Arial"/>
        </w:rPr>
        <w:t>hen giving airtime to a</w:t>
      </w:r>
      <w:r w:rsidR="0067477F">
        <w:rPr>
          <w:rFonts w:ascii="Arial" w:hAnsi="Arial" w:cs="Arial"/>
        </w:rPr>
        <w:t xml:space="preserve"> </w:t>
      </w:r>
      <w:r w:rsidR="00833C09" w:rsidRPr="00833C09">
        <w:rPr>
          <w:rFonts w:ascii="Arial" w:hAnsi="Arial" w:cs="Arial"/>
        </w:rPr>
        <w:t xml:space="preserve">political party, a broadcaster shall also give airtime to other political parties within the same </w:t>
      </w:r>
      <w:r w:rsidR="0067477F">
        <w:rPr>
          <w:rFonts w:ascii="Arial" w:hAnsi="Arial" w:cs="Arial"/>
        </w:rPr>
        <w:t xml:space="preserve"> </w:t>
      </w:r>
      <w:r w:rsidR="00833C09" w:rsidRPr="00833C09">
        <w:rPr>
          <w:rFonts w:ascii="Arial" w:hAnsi="Arial" w:cs="Arial"/>
        </w:rPr>
        <w:t>type of programme and in the same time slot, without any unjustified delay and without favouring a certain party, regardless of the percentage of its parliamentary representation.</w:t>
      </w:r>
      <w:r w:rsidR="00833C09">
        <w:rPr>
          <w:rFonts w:ascii="Arial" w:hAnsi="Arial" w:cs="Arial"/>
        </w:rPr>
        <w:t xml:space="preserve"> It</w:t>
      </w:r>
      <w:r w:rsidR="00833C09" w:rsidRPr="00833C09">
        <w:rPr>
          <w:rFonts w:ascii="Arial" w:hAnsi="Arial" w:cs="Arial"/>
        </w:rPr>
        <w:t xml:space="preserve"> appear</w:t>
      </w:r>
      <w:r w:rsidR="00833C09">
        <w:rPr>
          <w:rFonts w:ascii="Arial" w:hAnsi="Arial" w:cs="Arial"/>
        </w:rPr>
        <w:t xml:space="preserve">ed </w:t>
      </w:r>
      <w:r w:rsidR="00154A3A">
        <w:rPr>
          <w:rFonts w:ascii="Arial" w:hAnsi="Arial" w:cs="Arial"/>
        </w:rPr>
        <w:t>from the</w:t>
      </w:r>
      <w:r w:rsidR="00DE42C0">
        <w:rPr>
          <w:rFonts w:ascii="Arial" w:hAnsi="Arial" w:cs="Arial"/>
        </w:rPr>
        <w:t xml:space="preserve"> </w:t>
      </w:r>
      <w:r w:rsidR="00154A3A">
        <w:rPr>
          <w:rFonts w:ascii="Arial" w:hAnsi="Arial" w:cs="Arial"/>
        </w:rPr>
        <w:t xml:space="preserve">monitoring report </w:t>
      </w:r>
      <w:r w:rsidR="00833C09" w:rsidRPr="00833C09">
        <w:rPr>
          <w:rFonts w:ascii="Arial" w:hAnsi="Arial" w:cs="Arial"/>
        </w:rPr>
        <w:t xml:space="preserve">that most of </w:t>
      </w:r>
      <w:r w:rsidR="00833C09">
        <w:rPr>
          <w:rFonts w:ascii="Arial" w:hAnsi="Arial" w:cs="Arial"/>
        </w:rPr>
        <w:t xml:space="preserve">the NIT </w:t>
      </w:r>
      <w:r w:rsidR="00833C09" w:rsidRPr="00833C09">
        <w:rPr>
          <w:rFonts w:ascii="Arial" w:hAnsi="Arial" w:cs="Arial"/>
        </w:rPr>
        <w:t>news bulletins were devoted to political matters and that the reporting was clearly biased in favour of the activities of the PCRM and its members and supporters, without providing an opportunity to respond to criticism and attacks</w:t>
      </w:r>
      <w:r w:rsidR="00154A3A">
        <w:rPr>
          <w:rFonts w:ascii="Arial" w:hAnsi="Arial" w:cs="Arial"/>
        </w:rPr>
        <w:t xml:space="preserve"> on the Government and its supporting coalition parties</w:t>
      </w:r>
      <w:r w:rsidR="001D2105">
        <w:rPr>
          <w:rFonts w:ascii="Arial" w:hAnsi="Arial" w:cs="Arial"/>
        </w:rPr>
        <w:t xml:space="preserve"> of AEI</w:t>
      </w:r>
      <w:r w:rsidR="00154A3A">
        <w:rPr>
          <w:rFonts w:ascii="Arial" w:hAnsi="Arial" w:cs="Arial"/>
        </w:rPr>
        <w:t>.</w:t>
      </w:r>
      <w:r w:rsidR="006F7E30">
        <w:rPr>
          <w:rFonts w:ascii="Arial" w:hAnsi="Arial" w:cs="Arial"/>
        </w:rPr>
        <w:t xml:space="preserve"> The ACC found</w:t>
      </w:r>
      <w:r w:rsidR="001D2105" w:rsidRPr="001D2105">
        <w:rPr>
          <w:rFonts w:ascii="Arial" w:hAnsi="Arial" w:cs="Arial"/>
        </w:rPr>
        <w:t xml:space="preserve"> that this imbalance was in breach of Article 7 § 2 of the </w:t>
      </w:r>
      <w:r w:rsidR="001D2105">
        <w:rPr>
          <w:rFonts w:ascii="Arial" w:hAnsi="Arial" w:cs="Arial"/>
        </w:rPr>
        <w:t xml:space="preserve">Audiovisual </w:t>
      </w:r>
      <w:r w:rsidR="001D2105" w:rsidRPr="001D2105">
        <w:rPr>
          <w:rFonts w:ascii="Arial" w:hAnsi="Arial" w:cs="Arial"/>
        </w:rPr>
        <w:t>Code</w:t>
      </w:r>
      <w:r w:rsidR="006F7E30">
        <w:rPr>
          <w:rFonts w:ascii="Arial" w:hAnsi="Arial" w:cs="Arial"/>
        </w:rPr>
        <w:t xml:space="preserve"> and it </w:t>
      </w:r>
      <w:r w:rsidR="00A22C09" w:rsidRPr="00A22C09">
        <w:rPr>
          <w:rFonts w:ascii="Arial" w:hAnsi="Arial" w:cs="Arial"/>
        </w:rPr>
        <w:t>revoked the broadcasting licence</w:t>
      </w:r>
      <w:r w:rsidR="006F7E30">
        <w:rPr>
          <w:rFonts w:ascii="Arial" w:hAnsi="Arial" w:cs="Arial"/>
        </w:rPr>
        <w:t xml:space="preserve"> as a justified interference</w:t>
      </w:r>
      <w:r w:rsidR="00A22C09" w:rsidRPr="00A22C09">
        <w:rPr>
          <w:rFonts w:ascii="Arial" w:hAnsi="Arial" w:cs="Arial"/>
        </w:rPr>
        <w:t xml:space="preserve"> after it had gradually applied all the other sanctions provided for in the Code.</w:t>
      </w:r>
      <w:r w:rsidR="00A22C09">
        <w:rPr>
          <w:rFonts w:ascii="Arial" w:hAnsi="Arial" w:cs="Arial"/>
        </w:rPr>
        <w:t xml:space="preserve"> </w:t>
      </w:r>
    </w:p>
    <w:p w14:paraId="48342791" w14:textId="77777777" w:rsidR="00A22C09" w:rsidRDefault="00A22C09" w:rsidP="00826187">
      <w:pPr>
        <w:rPr>
          <w:rFonts w:ascii="Arial" w:hAnsi="Arial" w:cs="Arial"/>
        </w:rPr>
      </w:pPr>
    </w:p>
    <w:p w14:paraId="5C93B3B0" w14:textId="32680F65" w:rsidR="00523ECA" w:rsidRDefault="00154A3A" w:rsidP="001D2105">
      <w:pPr>
        <w:rPr>
          <w:rFonts w:ascii="Arial" w:hAnsi="Arial" w:cs="Arial"/>
        </w:rPr>
      </w:pPr>
      <w:r>
        <w:rPr>
          <w:rFonts w:ascii="Arial" w:hAnsi="Arial" w:cs="Arial"/>
        </w:rPr>
        <w:t>NIT challenged unsuccessfully the decision by the ACC</w:t>
      </w:r>
      <w:r w:rsidR="001D2105">
        <w:rPr>
          <w:rFonts w:ascii="Arial" w:hAnsi="Arial" w:cs="Arial"/>
        </w:rPr>
        <w:t xml:space="preserve"> before the Court of Appeal and the Supreme Court</w:t>
      </w:r>
      <w:r>
        <w:rPr>
          <w:rFonts w:ascii="Arial" w:hAnsi="Arial" w:cs="Arial"/>
        </w:rPr>
        <w:t xml:space="preserve">. </w:t>
      </w:r>
      <w:r w:rsidR="001D2105">
        <w:rPr>
          <w:rFonts w:ascii="Arial" w:hAnsi="Arial" w:cs="Arial"/>
        </w:rPr>
        <w:t>T</w:t>
      </w:r>
      <w:r>
        <w:rPr>
          <w:rFonts w:ascii="Arial" w:hAnsi="Arial" w:cs="Arial"/>
        </w:rPr>
        <w:t xml:space="preserve">he </w:t>
      </w:r>
      <w:r w:rsidR="00556535" w:rsidRPr="00556535">
        <w:rPr>
          <w:rFonts w:ascii="Arial" w:hAnsi="Arial" w:cs="Arial"/>
        </w:rPr>
        <w:t xml:space="preserve">Supreme Court emphasised that the measure of revocation of the </w:t>
      </w:r>
      <w:r>
        <w:rPr>
          <w:rFonts w:ascii="Arial" w:hAnsi="Arial" w:cs="Arial"/>
        </w:rPr>
        <w:t xml:space="preserve">NIT’s </w:t>
      </w:r>
      <w:r w:rsidR="00556535" w:rsidRPr="00556535">
        <w:rPr>
          <w:rFonts w:ascii="Arial" w:hAnsi="Arial" w:cs="Arial"/>
        </w:rPr>
        <w:t xml:space="preserve">licence had been necessary in order to enforce the rules concerning the pluralism of opinions and in order to enforce the rule of law. </w:t>
      </w:r>
      <w:r w:rsidR="001D2105">
        <w:rPr>
          <w:rFonts w:ascii="Arial" w:hAnsi="Arial" w:cs="Arial"/>
        </w:rPr>
        <w:t xml:space="preserve">NIT </w:t>
      </w:r>
      <w:r w:rsidR="00523ECA">
        <w:rPr>
          <w:rFonts w:ascii="Arial" w:hAnsi="Arial" w:cs="Arial"/>
        </w:rPr>
        <w:t xml:space="preserve">subsequently </w:t>
      </w:r>
      <w:r w:rsidR="001D2105">
        <w:rPr>
          <w:rFonts w:ascii="Arial" w:hAnsi="Arial" w:cs="Arial"/>
        </w:rPr>
        <w:t xml:space="preserve">lodged an application with the ECtHR, complaining </w:t>
      </w:r>
      <w:r w:rsidR="001D2105" w:rsidRPr="001D2105">
        <w:rPr>
          <w:rFonts w:ascii="Arial" w:hAnsi="Arial" w:cs="Arial"/>
        </w:rPr>
        <w:t xml:space="preserve">that the revocation of its </w:t>
      </w:r>
      <w:r w:rsidR="006F7E30">
        <w:rPr>
          <w:rFonts w:ascii="Arial" w:hAnsi="Arial" w:cs="Arial"/>
        </w:rPr>
        <w:t xml:space="preserve">broadcasting </w:t>
      </w:r>
      <w:r w:rsidR="001D2105" w:rsidRPr="001D2105">
        <w:rPr>
          <w:rFonts w:ascii="Arial" w:hAnsi="Arial" w:cs="Arial"/>
        </w:rPr>
        <w:t>licenc</w:t>
      </w:r>
      <w:r w:rsidR="006F7E30">
        <w:rPr>
          <w:rFonts w:ascii="Arial" w:hAnsi="Arial" w:cs="Arial"/>
        </w:rPr>
        <w:t xml:space="preserve">e </w:t>
      </w:r>
      <w:r w:rsidR="001D2105" w:rsidRPr="001D2105">
        <w:rPr>
          <w:rFonts w:ascii="Arial" w:hAnsi="Arial" w:cs="Arial"/>
        </w:rPr>
        <w:t xml:space="preserve">had breached its right to freedom of expression under Article 10 </w:t>
      </w:r>
      <w:r w:rsidR="001D2105">
        <w:rPr>
          <w:rFonts w:ascii="Arial" w:hAnsi="Arial" w:cs="Arial"/>
        </w:rPr>
        <w:t>ECHR.</w:t>
      </w:r>
    </w:p>
    <w:p w14:paraId="13E1F9C0" w14:textId="77777777" w:rsidR="00523ECA" w:rsidRDefault="00523ECA" w:rsidP="001D2105">
      <w:pPr>
        <w:rPr>
          <w:rFonts w:ascii="Arial" w:hAnsi="Arial" w:cs="Arial"/>
        </w:rPr>
      </w:pPr>
    </w:p>
    <w:p w14:paraId="34A2E98C" w14:textId="2DBE2A70" w:rsidR="001D2105" w:rsidRPr="001D2105" w:rsidRDefault="0091705E" w:rsidP="001D2105">
      <w:pPr>
        <w:rPr>
          <w:rFonts w:ascii="Arial" w:hAnsi="Arial" w:cs="Arial"/>
          <w:lang w:val="en-US"/>
        </w:rPr>
      </w:pPr>
      <w:r>
        <w:rPr>
          <w:rFonts w:ascii="Arial" w:hAnsi="Arial" w:cs="Arial"/>
        </w:rPr>
        <w:t xml:space="preserve">The ECtHR </w:t>
      </w:r>
      <w:bookmarkStart w:id="2" w:name="_GoBack"/>
      <w:bookmarkEnd w:id="2"/>
      <w:r w:rsidR="00E924FA">
        <w:rPr>
          <w:rFonts w:ascii="Arial" w:hAnsi="Arial" w:cs="Arial"/>
        </w:rPr>
        <w:t xml:space="preserve">adjudicated </w:t>
      </w:r>
      <w:r w:rsidR="00A22C09" w:rsidRPr="00A22C09">
        <w:rPr>
          <w:rFonts w:ascii="Arial" w:hAnsi="Arial" w:cs="Arial"/>
        </w:rPr>
        <w:t>the present case</w:t>
      </w:r>
      <w:r w:rsidR="00E924FA">
        <w:rPr>
          <w:rFonts w:ascii="Arial" w:hAnsi="Arial" w:cs="Arial"/>
        </w:rPr>
        <w:t xml:space="preserve"> from the perspective that </w:t>
      </w:r>
      <w:r w:rsidR="00A22C09" w:rsidRPr="00A22C09">
        <w:rPr>
          <w:rFonts w:ascii="Arial" w:hAnsi="Arial" w:cs="Arial"/>
        </w:rPr>
        <w:t>the negative obligation of the State not to interfere</w:t>
      </w:r>
      <w:r w:rsidR="00E924FA">
        <w:rPr>
          <w:rFonts w:ascii="Arial" w:hAnsi="Arial" w:cs="Arial"/>
        </w:rPr>
        <w:t xml:space="preserve"> with the right to freedom of expression</w:t>
      </w:r>
      <w:r w:rsidR="00A22C09" w:rsidRPr="00A22C09">
        <w:rPr>
          <w:rFonts w:ascii="Arial" w:hAnsi="Arial" w:cs="Arial"/>
        </w:rPr>
        <w:t xml:space="preserve"> is linked to the question as to whether the State complied with its positive obligation to put in place a proper legal and administrative framework guaranteeing media pluralism</w:t>
      </w:r>
      <w:r w:rsidR="00E924FA">
        <w:rPr>
          <w:rFonts w:ascii="Arial" w:hAnsi="Arial" w:cs="Arial"/>
        </w:rPr>
        <w:t xml:space="preserve">. It considered </w:t>
      </w:r>
      <w:r w:rsidR="00E924FA" w:rsidRPr="00E924FA">
        <w:rPr>
          <w:rFonts w:ascii="Arial" w:hAnsi="Arial" w:cs="Arial"/>
        </w:rPr>
        <w:t>th</w:t>
      </w:r>
      <w:r w:rsidR="00E924FA">
        <w:rPr>
          <w:rFonts w:ascii="Arial" w:hAnsi="Arial" w:cs="Arial"/>
        </w:rPr>
        <w:t>at th</w:t>
      </w:r>
      <w:r w:rsidR="00E924FA" w:rsidRPr="00E924FA">
        <w:rPr>
          <w:rFonts w:ascii="Arial" w:hAnsi="Arial" w:cs="Arial"/>
        </w:rPr>
        <w:t xml:space="preserve">e relevant domestic law was formulated sufficiently clearly in order to fulfil the requirements of precision and foreseeability under Article 10 § 2 </w:t>
      </w:r>
      <w:r w:rsidR="00E924FA">
        <w:rPr>
          <w:rFonts w:ascii="Arial" w:hAnsi="Arial" w:cs="Arial"/>
        </w:rPr>
        <w:t>ECtHR, and it therefore found that</w:t>
      </w:r>
      <w:r w:rsidR="00E924FA" w:rsidRPr="00E924FA">
        <w:rPr>
          <w:rFonts w:ascii="Arial" w:hAnsi="Arial" w:cs="Arial"/>
        </w:rPr>
        <w:t xml:space="preserve"> the impugned interference was “prescribed by law”.</w:t>
      </w:r>
      <w:r w:rsidR="00E924FA" w:rsidRPr="00E924FA">
        <w:rPr>
          <w:sz w:val="24"/>
          <w:szCs w:val="24"/>
        </w:rPr>
        <w:t xml:space="preserve"> </w:t>
      </w:r>
      <w:r w:rsidR="00E924FA" w:rsidRPr="00E924FA">
        <w:rPr>
          <w:rFonts w:ascii="Arial" w:hAnsi="Arial" w:cs="Arial"/>
        </w:rPr>
        <w:t xml:space="preserve">It </w:t>
      </w:r>
      <w:r w:rsidR="00E924FA">
        <w:rPr>
          <w:rFonts w:ascii="Arial" w:hAnsi="Arial" w:cs="Arial"/>
        </w:rPr>
        <w:t xml:space="preserve">also accepted </w:t>
      </w:r>
      <w:r w:rsidR="00E924FA" w:rsidRPr="00E924FA">
        <w:rPr>
          <w:rFonts w:ascii="Arial" w:hAnsi="Arial" w:cs="Arial"/>
        </w:rPr>
        <w:t>that the interference corresponded to the legitimate aim of protecting the “rights of others”</w:t>
      </w:r>
      <w:r w:rsidR="00E924FA">
        <w:rPr>
          <w:rFonts w:ascii="Arial" w:hAnsi="Arial" w:cs="Arial"/>
        </w:rPr>
        <w:t xml:space="preserve">, while the ECtHR was </w:t>
      </w:r>
      <w:r w:rsidR="00E924FA" w:rsidRPr="00E924FA">
        <w:rPr>
          <w:rFonts w:ascii="Arial" w:hAnsi="Arial" w:cs="Arial"/>
        </w:rPr>
        <w:t>not persuaded by the Government’s suggestion that the impugned measure had been imposed in the interests of “national security” or “public safety” or for the “prevention of disorder”</w:t>
      </w:r>
      <w:r w:rsidR="00E924FA">
        <w:rPr>
          <w:rFonts w:ascii="Arial" w:hAnsi="Arial" w:cs="Arial"/>
        </w:rPr>
        <w:t xml:space="preserve">. With regard the decisive question whether the revocation of NIT’s licence had been necessary in a </w:t>
      </w:r>
      <w:r w:rsidR="00E924FA">
        <w:rPr>
          <w:rFonts w:ascii="Arial" w:hAnsi="Arial" w:cs="Arial"/>
        </w:rPr>
        <w:lastRenderedPageBreak/>
        <w:t>democratic society the ECtHR reiterated that t</w:t>
      </w:r>
      <w:r w:rsidR="00E924FA" w:rsidRPr="00E924FA">
        <w:rPr>
          <w:rFonts w:ascii="Arial" w:hAnsi="Arial" w:cs="Arial"/>
        </w:rPr>
        <w:t xml:space="preserve">he most careful scrutiny on the part of the </w:t>
      </w:r>
      <w:r w:rsidR="00E924FA">
        <w:rPr>
          <w:rFonts w:ascii="Arial" w:hAnsi="Arial" w:cs="Arial"/>
        </w:rPr>
        <w:t>ECtHR</w:t>
      </w:r>
      <w:r w:rsidR="00E924FA" w:rsidRPr="00E924FA">
        <w:rPr>
          <w:rFonts w:ascii="Arial" w:hAnsi="Arial" w:cs="Arial"/>
        </w:rPr>
        <w:t xml:space="preserve"> </w:t>
      </w:r>
      <w:r w:rsidR="00E924FA" w:rsidRPr="00451FC2">
        <w:rPr>
          <w:rFonts w:ascii="Arial" w:hAnsi="Arial" w:cs="Arial"/>
        </w:rPr>
        <w:t xml:space="preserve">is called for when the measures taken or sanctions imposed by </w:t>
      </w:r>
      <w:r w:rsidR="00403EA2">
        <w:rPr>
          <w:rFonts w:ascii="Arial" w:hAnsi="Arial" w:cs="Arial"/>
        </w:rPr>
        <w:t>a</w:t>
      </w:r>
      <w:r w:rsidR="00E924FA" w:rsidRPr="00451FC2">
        <w:rPr>
          <w:rFonts w:ascii="Arial" w:hAnsi="Arial" w:cs="Arial"/>
        </w:rPr>
        <w:t xml:space="preserve"> national authority are capable of discouraging the participation of the press in debates over matters of legitimate public concern and that there is little scope under Article 10 § 2 ECHR for restrictions on political speech or on debate on matters of public interest. </w:t>
      </w:r>
      <w:r w:rsidR="00D94C20" w:rsidRPr="00451FC2">
        <w:rPr>
          <w:rFonts w:ascii="Arial" w:hAnsi="Arial" w:cs="Arial"/>
        </w:rPr>
        <w:t xml:space="preserve">The Court </w:t>
      </w:r>
      <w:r w:rsidR="00451FC2" w:rsidRPr="00451FC2">
        <w:rPr>
          <w:rFonts w:ascii="Arial" w:hAnsi="Arial" w:cs="Arial"/>
        </w:rPr>
        <w:t xml:space="preserve">also </w:t>
      </w:r>
      <w:r w:rsidR="00D94C20" w:rsidRPr="00451FC2">
        <w:rPr>
          <w:rFonts w:ascii="Arial" w:hAnsi="Arial" w:cs="Arial"/>
        </w:rPr>
        <w:t>reiterate</w:t>
      </w:r>
      <w:r w:rsidR="00451FC2" w:rsidRPr="00451FC2">
        <w:rPr>
          <w:rFonts w:ascii="Arial" w:hAnsi="Arial" w:cs="Arial"/>
        </w:rPr>
        <w:t xml:space="preserve">d </w:t>
      </w:r>
      <w:r w:rsidR="00D94C20" w:rsidRPr="00451FC2">
        <w:rPr>
          <w:rFonts w:ascii="Arial" w:hAnsi="Arial" w:cs="Arial"/>
        </w:rPr>
        <w:t>that there can be no democracy without pluralism</w:t>
      </w:r>
      <w:r w:rsidR="00451FC2" w:rsidRPr="00451FC2">
        <w:rPr>
          <w:rFonts w:ascii="Arial" w:hAnsi="Arial" w:cs="Arial"/>
        </w:rPr>
        <w:t xml:space="preserve"> : “</w:t>
      </w:r>
      <w:r w:rsidR="00D94C20" w:rsidRPr="00451FC2">
        <w:rPr>
          <w:rFonts w:ascii="Arial" w:hAnsi="Arial" w:cs="Arial"/>
        </w:rPr>
        <w:t xml:space="preserve">Democracy thrives on freedom of expression. It is of the essence of democracy to allow diverse political programmes to be proposed and debated, even those that call into question the way a State is currently organised, provided that they do not harm democracy. In order to ensure true pluralism in the </w:t>
      </w:r>
      <w:proofErr w:type="spellStart"/>
      <w:r w:rsidR="00D94C20" w:rsidRPr="00451FC2">
        <w:rPr>
          <w:rFonts w:ascii="Arial" w:hAnsi="Arial" w:cs="Arial"/>
        </w:rPr>
        <w:t>audiovisual</w:t>
      </w:r>
      <w:proofErr w:type="spellEnd"/>
      <w:r w:rsidR="00D94C20" w:rsidRPr="00451FC2">
        <w:rPr>
          <w:rFonts w:ascii="Arial" w:hAnsi="Arial" w:cs="Arial"/>
        </w:rPr>
        <w:t xml:space="preserve"> sector in a democratic society, it is not sufficient to provide for the existence of several channels or the theoretical possibility for potential operators to access the </w:t>
      </w:r>
      <w:proofErr w:type="spellStart"/>
      <w:r w:rsidR="00D94C20" w:rsidRPr="00451FC2">
        <w:rPr>
          <w:rFonts w:ascii="Arial" w:hAnsi="Arial" w:cs="Arial"/>
        </w:rPr>
        <w:t>audiovisual</w:t>
      </w:r>
      <w:proofErr w:type="spellEnd"/>
      <w:r w:rsidR="00D94C20" w:rsidRPr="00451FC2">
        <w:rPr>
          <w:rFonts w:ascii="Arial" w:hAnsi="Arial" w:cs="Arial"/>
        </w:rPr>
        <w:t xml:space="preserve"> market. It is necessary in addition to allow effective access to the market so as to guarantee diversity of overall programme content, reflecting as far as possible the variety of opinions encountered in the society at which the programmes are aimed</w:t>
      </w:r>
      <w:r w:rsidR="00451FC2" w:rsidRPr="00451FC2">
        <w:rPr>
          <w:rFonts w:ascii="Arial" w:hAnsi="Arial" w:cs="Arial"/>
        </w:rPr>
        <w:t>”. It transpires from the Court’s case law that the principle of media pluralism is considered crucial for the effective protection of media freedom.</w:t>
      </w:r>
      <w:r w:rsidR="00615A53" w:rsidRPr="00615A53">
        <w:rPr>
          <w:sz w:val="24"/>
          <w:szCs w:val="24"/>
        </w:rPr>
        <w:t xml:space="preserve"> </w:t>
      </w:r>
      <w:r w:rsidR="00615A53">
        <w:rPr>
          <w:rFonts w:ascii="Arial" w:hAnsi="Arial" w:cs="Arial"/>
        </w:rPr>
        <w:t xml:space="preserve">The ECtHR observed that </w:t>
      </w:r>
      <w:r w:rsidR="00615A53" w:rsidRPr="00615A53">
        <w:rPr>
          <w:rFonts w:ascii="Arial" w:hAnsi="Arial" w:cs="Arial"/>
        </w:rPr>
        <w:t xml:space="preserve">a number of national licensing systems </w:t>
      </w:r>
      <w:r w:rsidR="00615A53">
        <w:rPr>
          <w:rFonts w:ascii="Arial" w:hAnsi="Arial" w:cs="Arial"/>
        </w:rPr>
        <w:t xml:space="preserve">in Europe </w:t>
      </w:r>
      <w:r w:rsidR="00615A53" w:rsidRPr="00615A53">
        <w:rPr>
          <w:rFonts w:ascii="Arial" w:hAnsi="Arial" w:cs="Arial"/>
        </w:rPr>
        <w:t xml:space="preserve">tend to rely on the diversity of perspectives provided by the different licensed operators, coupled with structural safeguards and general obligations of fair coverage, while other national systems require stricter content-based duties of internal pluralism. </w:t>
      </w:r>
      <w:r w:rsidR="00615A53">
        <w:rPr>
          <w:rFonts w:ascii="Arial" w:hAnsi="Arial" w:cs="Arial"/>
        </w:rPr>
        <w:t xml:space="preserve">According to the ECtHR </w:t>
      </w:r>
      <w:r w:rsidR="00615A53" w:rsidRPr="00615A53">
        <w:rPr>
          <w:rFonts w:ascii="Arial" w:hAnsi="Arial" w:cs="Arial"/>
        </w:rPr>
        <w:t xml:space="preserve">Article 10 </w:t>
      </w:r>
      <w:r w:rsidR="00615A53">
        <w:rPr>
          <w:rFonts w:ascii="Arial" w:hAnsi="Arial" w:cs="Arial"/>
        </w:rPr>
        <w:t>ECHR “</w:t>
      </w:r>
      <w:r w:rsidR="00615A53" w:rsidRPr="00615A53">
        <w:rPr>
          <w:rFonts w:ascii="Arial" w:hAnsi="Arial" w:cs="Arial"/>
        </w:rPr>
        <w:t>does not impose a particular model in this respect</w:t>
      </w:r>
      <w:r w:rsidR="00615A53">
        <w:rPr>
          <w:rFonts w:ascii="Arial" w:hAnsi="Arial" w:cs="Arial"/>
        </w:rPr>
        <w:t>”</w:t>
      </w:r>
      <w:r w:rsidR="00615A53" w:rsidRPr="00615A53">
        <w:rPr>
          <w:rFonts w:ascii="Arial" w:hAnsi="Arial" w:cs="Arial"/>
        </w:rPr>
        <w:t>.</w:t>
      </w:r>
      <w:r w:rsidR="00615A53">
        <w:rPr>
          <w:rFonts w:ascii="Arial" w:hAnsi="Arial" w:cs="Arial"/>
        </w:rPr>
        <w:t xml:space="preserve"> It r</w:t>
      </w:r>
      <w:r w:rsidR="008328F4" w:rsidRPr="008328F4">
        <w:rPr>
          <w:rFonts w:ascii="Arial" w:hAnsi="Arial" w:cs="Arial"/>
        </w:rPr>
        <w:t>ecalled that the internal pluralism policy chosen by the Moldovan authorities and embodied in the Audiovisual Code 2006 had received a positive assessment by Council of Europe experts. While the policy chosen by the national authorities could be viewed as rather strict, the case related to a period before Moldova transitioned to terrestrial digital television, when the number of national frequencies was very limited and when the authorities had to put in place broadcasting legislation ensuring the transmission of accurate and balanced news and information reflecting the full range of political opinions</w:t>
      </w:r>
      <w:r w:rsidR="001D2105">
        <w:rPr>
          <w:rFonts w:ascii="Arial" w:hAnsi="Arial" w:cs="Arial"/>
        </w:rPr>
        <w:t xml:space="preserve">. The ECtHR also referred to its judgment </w:t>
      </w:r>
      <w:r w:rsidR="00A22C09">
        <w:rPr>
          <w:rFonts w:ascii="Arial" w:hAnsi="Arial" w:cs="Arial"/>
        </w:rPr>
        <w:t xml:space="preserve">of 17 </w:t>
      </w:r>
      <w:r w:rsidR="00523ECA">
        <w:rPr>
          <w:rFonts w:ascii="Arial" w:hAnsi="Arial" w:cs="Arial"/>
        </w:rPr>
        <w:t>September</w:t>
      </w:r>
      <w:r w:rsidR="00A22C09">
        <w:rPr>
          <w:rFonts w:ascii="Arial" w:hAnsi="Arial" w:cs="Arial"/>
        </w:rPr>
        <w:t xml:space="preserve"> 2009 </w:t>
      </w:r>
      <w:r w:rsidR="001D2105">
        <w:rPr>
          <w:rFonts w:ascii="Arial" w:hAnsi="Arial" w:cs="Arial"/>
        </w:rPr>
        <w:t xml:space="preserve">in </w:t>
      </w:r>
      <w:proofErr w:type="spellStart"/>
      <w:r w:rsidR="001D2105" w:rsidRPr="00A22C09">
        <w:rPr>
          <w:rFonts w:ascii="Arial" w:hAnsi="Arial" w:cs="Arial"/>
          <w:i/>
        </w:rPr>
        <w:t>Manole</w:t>
      </w:r>
      <w:proofErr w:type="spellEnd"/>
      <w:r w:rsidR="001D2105" w:rsidRPr="00A22C09">
        <w:rPr>
          <w:rFonts w:ascii="Arial" w:hAnsi="Arial" w:cs="Arial"/>
          <w:i/>
        </w:rPr>
        <w:t xml:space="preserve"> </w:t>
      </w:r>
      <w:proofErr w:type="spellStart"/>
      <w:r w:rsidR="001D2105" w:rsidRPr="00A22C09">
        <w:rPr>
          <w:rFonts w:ascii="Arial" w:hAnsi="Arial" w:cs="Arial"/>
          <w:i/>
        </w:rPr>
        <w:t>a.o.</w:t>
      </w:r>
      <w:proofErr w:type="spellEnd"/>
      <w:r w:rsidR="001D2105" w:rsidRPr="00A22C09">
        <w:rPr>
          <w:rFonts w:ascii="Arial" w:hAnsi="Arial" w:cs="Arial"/>
          <w:i/>
        </w:rPr>
        <w:t xml:space="preserve"> v. Moldova</w:t>
      </w:r>
      <w:r w:rsidR="001D2105">
        <w:rPr>
          <w:rFonts w:ascii="Arial" w:hAnsi="Arial" w:cs="Arial"/>
        </w:rPr>
        <w:t xml:space="preserve"> </w:t>
      </w:r>
      <w:r w:rsidR="00A22C09">
        <w:rPr>
          <w:rFonts w:ascii="Arial" w:hAnsi="Arial" w:cs="Arial"/>
        </w:rPr>
        <w:t>(</w:t>
      </w:r>
      <w:r w:rsidR="001D2105" w:rsidRPr="001D2105">
        <w:rPr>
          <w:rFonts w:ascii="Arial" w:hAnsi="Arial" w:cs="Arial"/>
          <w:bCs/>
          <w:lang w:val="en-US"/>
        </w:rPr>
        <w:t>IRIS 2009-10/1</w:t>
      </w:r>
      <w:r w:rsidR="00A22C09">
        <w:rPr>
          <w:rFonts w:ascii="Arial" w:hAnsi="Arial" w:cs="Arial"/>
          <w:bCs/>
          <w:lang w:val="en-US"/>
        </w:rPr>
        <w:t xml:space="preserve">), in which it found </w:t>
      </w:r>
      <w:r w:rsidR="001D2105" w:rsidRPr="001D2105">
        <w:rPr>
          <w:rFonts w:ascii="Arial" w:hAnsi="Arial" w:cs="Arial"/>
          <w:bCs/>
          <w:lang w:val="en-US"/>
        </w:rPr>
        <w:t xml:space="preserve">that from February 2001 until September 2006 the Moldovan authorities violated freedom of expression </w:t>
      </w:r>
      <w:r w:rsidR="00A22C09">
        <w:rPr>
          <w:rFonts w:ascii="Arial" w:hAnsi="Arial" w:cs="Arial"/>
          <w:bCs/>
          <w:lang w:val="en-US"/>
        </w:rPr>
        <w:t xml:space="preserve">and media pluralism </w:t>
      </w:r>
      <w:r w:rsidR="001D2105" w:rsidRPr="001D2105">
        <w:rPr>
          <w:rFonts w:ascii="Arial" w:hAnsi="Arial" w:cs="Arial"/>
          <w:bCs/>
          <w:lang w:val="en-US"/>
        </w:rPr>
        <w:t xml:space="preserve">by not sufficiently guaranteeing the independence </w:t>
      </w:r>
      <w:r w:rsidR="00523ECA">
        <w:rPr>
          <w:rFonts w:ascii="Arial" w:hAnsi="Arial" w:cs="Arial"/>
          <w:bCs/>
          <w:lang w:val="en-US"/>
        </w:rPr>
        <w:t xml:space="preserve">and pluralism </w:t>
      </w:r>
      <w:r w:rsidR="001D2105" w:rsidRPr="001D2105">
        <w:rPr>
          <w:rFonts w:ascii="Arial" w:hAnsi="Arial" w:cs="Arial"/>
          <w:bCs/>
          <w:lang w:val="en-US"/>
        </w:rPr>
        <w:t xml:space="preserve">of </w:t>
      </w:r>
      <w:proofErr w:type="spellStart"/>
      <w:r w:rsidR="001D2105" w:rsidRPr="001D2105">
        <w:rPr>
          <w:rFonts w:ascii="Arial" w:hAnsi="Arial" w:cs="Arial"/>
          <w:bCs/>
          <w:lang w:val="en-US"/>
        </w:rPr>
        <w:t>Teleradio</w:t>
      </w:r>
      <w:proofErr w:type="spellEnd"/>
      <w:r w:rsidR="001D2105" w:rsidRPr="001D2105">
        <w:rPr>
          <w:rFonts w:ascii="Arial" w:hAnsi="Arial" w:cs="Arial"/>
          <w:bCs/>
          <w:lang w:val="en-US"/>
        </w:rPr>
        <w:t>-Moldova (TRM), the State-owned broadcasting company, which became a public broadcasting company in 2002.</w:t>
      </w:r>
    </w:p>
    <w:p w14:paraId="0C01C286" w14:textId="77777777" w:rsidR="001D2105" w:rsidRDefault="001D2105" w:rsidP="008328F4">
      <w:pPr>
        <w:rPr>
          <w:rFonts w:ascii="Arial" w:hAnsi="Arial" w:cs="Arial"/>
        </w:rPr>
      </w:pPr>
    </w:p>
    <w:p w14:paraId="371A35A3" w14:textId="6E50167F" w:rsidR="00523ECA" w:rsidRPr="00523ECA" w:rsidRDefault="008328F4" w:rsidP="00523ECA">
      <w:pPr>
        <w:rPr>
          <w:rFonts w:ascii="Arial" w:hAnsi="Arial" w:cs="Arial"/>
        </w:rPr>
      </w:pPr>
      <w:r w:rsidRPr="008328F4">
        <w:rPr>
          <w:rFonts w:ascii="Arial" w:hAnsi="Arial" w:cs="Arial"/>
        </w:rPr>
        <w:t>With th</w:t>
      </w:r>
      <w:r w:rsidR="00A22C09">
        <w:rPr>
          <w:rFonts w:ascii="Arial" w:hAnsi="Arial" w:cs="Arial"/>
        </w:rPr>
        <w:t>is history and context</w:t>
      </w:r>
      <w:r w:rsidRPr="008328F4">
        <w:rPr>
          <w:rFonts w:ascii="Arial" w:hAnsi="Arial" w:cs="Arial"/>
        </w:rPr>
        <w:t xml:space="preserve"> in mind, the </w:t>
      </w:r>
      <w:r w:rsidR="007E1532">
        <w:rPr>
          <w:rFonts w:ascii="Arial" w:hAnsi="Arial" w:cs="Arial"/>
        </w:rPr>
        <w:t xml:space="preserve">ECtHR </w:t>
      </w:r>
      <w:r w:rsidRPr="008328F4">
        <w:rPr>
          <w:rFonts w:ascii="Arial" w:hAnsi="Arial" w:cs="Arial"/>
        </w:rPr>
        <w:t xml:space="preserve">was satisfied that the reasons behind the decision to </w:t>
      </w:r>
      <w:r w:rsidR="007E1532">
        <w:rPr>
          <w:rFonts w:ascii="Arial" w:hAnsi="Arial" w:cs="Arial"/>
        </w:rPr>
        <w:t xml:space="preserve">interfere with </w:t>
      </w:r>
      <w:r w:rsidRPr="008328F4">
        <w:rPr>
          <w:rFonts w:ascii="Arial" w:hAnsi="Arial" w:cs="Arial"/>
        </w:rPr>
        <w:t xml:space="preserve">the </w:t>
      </w:r>
      <w:r w:rsidR="007E1532">
        <w:rPr>
          <w:rFonts w:ascii="Arial" w:hAnsi="Arial" w:cs="Arial"/>
        </w:rPr>
        <w:t xml:space="preserve">NIT’s </w:t>
      </w:r>
      <w:r w:rsidRPr="008328F4">
        <w:rPr>
          <w:rFonts w:ascii="Arial" w:hAnsi="Arial" w:cs="Arial"/>
        </w:rPr>
        <w:t xml:space="preserve">freedom of expression had been relevant and sufficient and that the domestic authorities had balanced the need to protect pluralism and the rights of others, on the one hand, and the need to protect the </w:t>
      </w:r>
      <w:r w:rsidR="007E1532">
        <w:rPr>
          <w:rFonts w:ascii="Arial" w:hAnsi="Arial" w:cs="Arial"/>
        </w:rPr>
        <w:t xml:space="preserve">television </w:t>
      </w:r>
      <w:r w:rsidRPr="008328F4">
        <w:rPr>
          <w:rFonts w:ascii="Arial" w:hAnsi="Arial" w:cs="Arial"/>
        </w:rPr>
        <w:t xml:space="preserve">company’s right to freedom of expression on the other. </w:t>
      </w:r>
      <w:r w:rsidR="00C57985">
        <w:rPr>
          <w:rFonts w:ascii="Arial" w:hAnsi="Arial" w:cs="Arial"/>
        </w:rPr>
        <w:t>The Grand Chamber’s judgment</w:t>
      </w:r>
      <w:r w:rsidR="00A22C09">
        <w:rPr>
          <w:rFonts w:ascii="Arial" w:hAnsi="Arial" w:cs="Arial"/>
        </w:rPr>
        <w:t xml:space="preserve"> </w:t>
      </w:r>
      <w:r w:rsidRPr="008328F4">
        <w:rPr>
          <w:rFonts w:ascii="Arial" w:hAnsi="Arial" w:cs="Arial"/>
        </w:rPr>
        <w:t>develop</w:t>
      </w:r>
      <w:r w:rsidR="00C57985">
        <w:rPr>
          <w:rFonts w:ascii="Arial" w:hAnsi="Arial" w:cs="Arial"/>
        </w:rPr>
        <w:t xml:space="preserve">ed the Court’s </w:t>
      </w:r>
      <w:r w:rsidRPr="008328F4">
        <w:rPr>
          <w:rFonts w:ascii="Arial" w:hAnsi="Arial" w:cs="Arial"/>
        </w:rPr>
        <w:t xml:space="preserve">case-law on pluralism in the media and clarified the </w:t>
      </w:r>
      <w:r w:rsidRPr="00615A53">
        <w:rPr>
          <w:rFonts w:ascii="Arial" w:hAnsi="Arial" w:cs="Arial"/>
        </w:rPr>
        <w:t>interrelationship between the internal and external aspects of media pluralism, the scope of the margin of appreciation afforded to States, and the level of scrutiny applicable to restrictions in this area. It also outlined the factors for assessing a regulatory framework and its application.</w:t>
      </w:r>
      <w:r w:rsidR="00A22C09" w:rsidRPr="00615A53">
        <w:rPr>
          <w:rFonts w:ascii="Arial" w:hAnsi="Arial" w:cs="Arial"/>
        </w:rPr>
        <w:t xml:space="preserve"> </w:t>
      </w:r>
      <w:r w:rsidR="00615A53" w:rsidRPr="00615A53">
        <w:rPr>
          <w:rFonts w:ascii="Arial" w:hAnsi="Arial" w:cs="Arial"/>
        </w:rPr>
        <w:t xml:space="preserve">The ECtHR observed that the implementation of the requirements on internal media pluralism was monitored by the ACC, a specialist body which was established by law. </w:t>
      </w:r>
      <w:r w:rsidR="00615A53" w:rsidRPr="00A64AAC">
        <w:rPr>
          <w:rFonts w:ascii="Arial" w:hAnsi="Arial" w:cs="Arial"/>
        </w:rPr>
        <w:t>It stressed the important role which regulatory authorities play in upholding and promoting media freedom and pluralism, and the need to ensure their independence given the delicate and complex nature of this role</w:t>
      </w:r>
      <w:r w:rsidR="00D20FAA" w:rsidRPr="00A64AAC">
        <w:rPr>
          <w:rFonts w:ascii="Arial" w:hAnsi="Arial" w:cs="Arial"/>
        </w:rPr>
        <w:t>.</w:t>
      </w:r>
      <w:r w:rsidR="00BA3A10" w:rsidRPr="00A64AAC">
        <w:t xml:space="preserve"> </w:t>
      </w:r>
      <w:r w:rsidR="00BA3A10" w:rsidRPr="00A64AAC">
        <w:rPr>
          <w:rFonts w:ascii="Arial" w:hAnsi="Arial" w:cs="Arial"/>
        </w:rPr>
        <w:t>The ECtHR agreed with the approach and findings by the ACC, also emphasising that it was not persuaded that the NIT news reporting had contributed to political pluralism in the media in any meaningful way.</w:t>
      </w:r>
      <w:r w:rsidR="00971152" w:rsidRPr="00A64AAC">
        <w:rPr>
          <w:rFonts w:ascii="Arial" w:hAnsi="Arial" w:cs="Arial"/>
        </w:rPr>
        <w:t xml:space="preserve"> The ECtHR furthermore argued why it considered the revocation of NIT’s licence a proportionate measure, and why it considered the proceedings at the domestic level fair, with sufficient procedural safeguards.</w:t>
      </w:r>
      <w:r w:rsidR="00A64AAC" w:rsidRPr="00A64AAC">
        <w:rPr>
          <w:rFonts w:ascii="Arial" w:hAnsi="Arial" w:cs="Arial"/>
        </w:rPr>
        <w:t xml:space="preserve"> </w:t>
      </w:r>
      <w:r w:rsidR="00A64AAC">
        <w:rPr>
          <w:rFonts w:ascii="Arial" w:hAnsi="Arial" w:cs="Arial"/>
        </w:rPr>
        <w:t xml:space="preserve">The ECtHR observed that </w:t>
      </w:r>
      <w:r w:rsidR="00523ECA">
        <w:rPr>
          <w:rFonts w:ascii="Arial" w:hAnsi="Arial" w:cs="Arial"/>
        </w:rPr>
        <w:t xml:space="preserve">the </w:t>
      </w:r>
      <w:r w:rsidR="00A64AAC">
        <w:rPr>
          <w:rFonts w:ascii="Arial" w:hAnsi="Arial" w:cs="Arial"/>
        </w:rPr>
        <w:t>revocation of its licence</w:t>
      </w:r>
      <w:r w:rsidR="00A64AAC" w:rsidRPr="00A64AAC">
        <w:rPr>
          <w:rFonts w:ascii="Arial" w:hAnsi="Arial" w:cs="Arial"/>
        </w:rPr>
        <w:t xml:space="preserve"> did not prevent NIT from using other means, such as the Internet, to broadcast its programmes, including news bulletins, </w:t>
      </w:r>
      <w:r w:rsidR="00FE678C">
        <w:rPr>
          <w:rFonts w:ascii="Arial" w:hAnsi="Arial" w:cs="Arial"/>
        </w:rPr>
        <w:t xml:space="preserve">while NIT </w:t>
      </w:r>
      <w:r w:rsidR="00A64AAC" w:rsidRPr="00A64AAC">
        <w:rPr>
          <w:rFonts w:ascii="Arial" w:hAnsi="Arial" w:cs="Arial"/>
        </w:rPr>
        <w:t xml:space="preserve">had </w:t>
      </w:r>
      <w:r w:rsidR="00FE678C">
        <w:rPr>
          <w:rFonts w:ascii="Arial" w:hAnsi="Arial" w:cs="Arial"/>
        </w:rPr>
        <w:t xml:space="preserve">also </w:t>
      </w:r>
      <w:r w:rsidR="00A64AAC" w:rsidRPr="00A64AAC">
        <w:rPr>
          <w:rFonts w:ascii="Arial" w:hAnsi="Arial" w:cs="Arial"/>
        </w:rPr>
        <w:t xml:space="preserve">continued to share content through its Internet homepage and its YouTube channel. Moreover, the impugned measure did not have a permanent effect as </w:t>
      </w:r>
      <w:r w:rsidR="00FE678C">
        <w:rPr>
          <w:rFonts w:ascii="Arial" w:hAnsi="Arial" w:cs="Arial"/>
        </w:rPr>
        <w:t>NIT</w:t>
      </w:r>
      <w:r w:rsidR="00A64AAC" w:rsidRPr="00A64AAC">
        <w:rPr>
          <w:rFonts w:ascii="Arial" w:hAnsi="Arial" w:cs="Arial"/>
        </w:rPr>
        <w:t xml:space="preserve"> could have reapplied for a broadcasting </w:t>
      </w:r>
      <w:r w:rsidR="00A64AAC" w:rsidRPr="00A64AAC">
        <w:rPr>
          <w:rFonts w:ascii="Arial" w:hAnsi="Arial" w:cs="Arial"/>
        </w:rPr>
        <w:lastRenderedPageBreak/>
        <w:t>licence one year after its licence had been revoked</w:t>
      </w:r>
      <w:r w:rsidR="00FE678C">
        <w:rPr>
          <w:rFonts w:ascii="Arial" w:hAnsi="Arial" w:cs="Arial"/>
        </w:rPr>
        <w:t xml:space="preserve">. </w:t>
      </w:r>
      <w:r w:rsidR="00A64AAC" w:rsidRPr="00A64AAC">
        <w:rPr>
          <w:rFonts w:ascii="Arial" w:hAnsi="Arial" w:cs="Arial"/>
        </w:rPr>
        <w:t xml:space="preserve">The ECtHR </w:t>
      </w:r>
      <w:r w:rsidR="00FE678C">
        <w:rPr>
          <w:rFonts w:ascii="Arial" w:hAnsi="Arial" w:cs="Arial"/>
        </w:rPr>
        <w:t xml:space="preserve">also </w:t>
      </w:r>
      <w:r w:rsidR="00A64AAC" w:rsidRPr="00A64AAC">
        <w:rPr>
          <w:rFonts w:ascii="Arial" w:hAnsi="Arial" w:cs="Arial"/>
        </w:rPr>
        <w:t xml:space="preserve">found that there was no concrete evidence to support the allegation that the ACC sought to hinder NIT from expressing critical views of the </w:t>
      </w:r>
      <w:r w:rsidR="00585511">
        <w:rPr>
          <w:rFonts w:ascii="Arial" w:hAnsi="Arial" w:cs="Arial"/>
        </w:rPr>
        <w:t>G</w:t>
      </w:r>
      <w:r w:rsidR="00A64AAC" w:rsidRPr="00A64AAC">
        <w:rPr>
          <w:rFonts w:ascii="Arial" w:hAnsi="Arial" w:cs="Arial"/>
        </w:rPr>
        <w:t>overnment or pursued any other ulterior purpose when revoking the licence.</w:t>
      </w:r>
      <w:r w:rsidR="00523ECA" w:rsidRPr="00523ECA">
        <w:rPr>
          <w:sz w:val="24"/>
          <w:szCs w:val="24"/>
        </w:rPr>
        <w:t xml:space="preserve"> </w:t>
      </w:r>
      <w:r w:rsidR="00523ECA">
        <w:rPr>
          <w:rFonts w:ascii="Arial" w:hAnsi="Arial" w:cs="Arial"/>
        </w:rPr>
        <w:t xml:space="preserve">The Grand Chamber of the ECtHR concluded </w:t>
      </w:r>
      <w:r w:rsidR="00FC3979">
        <w:rPr>
          <w:rFonts w:ascii="Arial" w:hAnsi="Arial" w:cs="Arial"/>
        </w:rPr>
        <w:t>t</w:t>
      </w:r>
      <w:r w:rsidR="00523ECA" w:rsidRPr="00523ECA">
        <w:rPr>
          <w:rFonts w:ascii="Arial" w:hAnsi="Arial" w:cs="Arial"/>
        </w:rPr>
        <w:t xml:space="preserve">hat the domestic authorities acted within their margin of appreciation </w:t>
      </w:r>
      <w:r w:rsidR="00FC3979">
        <w:rPr>
          <w:rFonts w:ascii="Arial" w:hAnsi="Arial" w:cs="Arial"/>
        </w:rPr>
        <w:t>and that t</w:t>
      </w:r>
      <w:r w:rsidR="00523ECA" w:rsidRPr="00523ECA">
        <w:rPr>
          <w:rFonts w:ascii="Arial" w:hAnsi="Arial" w:cs="Arial"/>
        </w:rPr>
        <w:t xml:space="preserve">he interference </w:t>
      </w:r>
      <w:r w:rsidR="00FC3979">
        <w:rPr>
          <w:rFonts w:ascii="Arial" w:hAnsi="Arial" w:cs="Arial"/>
        </w:rPr>
        <w:t xml:space="preserve">with NIT’s right under Article 10 ECHR </w:t>
      </w:r>
      <w:r w:rsidR="00523ECA" w:rsidRPr="00523ECA">
        <w:rPr>
          <w:rFonts w:ascii="Arial" w:hAnsi="Arial" w:cs="Arial"/>
        </w:rPr>
        <w:t>was thus “necessary in a democratic society”</w:t>
      </w:r>
      <w:r w:rsidR="00FC3979">
        <w:rPr>
          <w:rFonts w:ascii="Arial" w:hAnsi="Arial" w:cs="Arial"/>
        </w:rPr>
        <w:t xml:space="preserve">. </w:t>
      </w:r>
      <w:r w:rsidR="00523ECA" w:rsidRPr="00523ECA">
        <w:rPr>
          <w:rFonts w:ascii="Arial" w:hAnsi="Arial" w:cs="Arial"/>
        </w:rPr>
        <w:t>There has accordingly been no violation of that Article in the present case.</w:t>
      </w:r>
      <w:r w:rsidR="00D17AAE">
        <w:rPr>
          <w:rFonts w:ascii="Arial" w:hAnsi="Arial" w:cs="Arial"/>
        </w:rPr>
        <w:t xml:space="preserve"> The ECtHR also concluded that there has been no violation of NIT’s property rights under Article 1 of Protocol no. 1 to the Convention</w:t>
      </w:r>
      <w:r w:rsidR="008F62FE">
        <w:rPr>
          <w:rFonts w:ascii="Arial" w:hAnsi="Arial" w:cs="Arial"/>
        </w:rPr>
        <w:t xml:space="preserve">. </w:t>
      </w:r>
      <w:r w:rsidR="00D30EF7">
        <w:rPr>
          <w:rFonts w:ascii="Arial" w:hAnsi="Arial" w:cs="Arial"/>
        </w:rPr>
        <w:t xml:space="preserve">The ECtHR dismissed the complaints based on Article 6 </w:t>
      </w:r>
      <w:r w:rsidR="008F62FE">
        <w:rPr>
          <w:rFonts w:ascii="Arial" w:hAnsi="Arial" w:cs="Arial"/>
        </w:rPr>
        <w:t xml:space="preserve">§ 1 (right to fair trial), </w:t>
      </w:r>
      <w:r w:rsidR="00D30EF7">
        <w:rPr>
          <w:rFonts w:ascii="Arial" w:hAnsi="Arial" w:cs="Arial"/>
        </w:rPr>
        <w:t>Article 13 ECHR (right to an effective remedy) and Article 14 (prohibition of discrimination).</w:t>
      </w:r>
    </w:p>
    <w:p w14:paraId="0DDEEC8F" w14:textId="2D25A021" w:rsidR="00A64AAC" w:rsidRPr="00A64AAC" w:rsidRDefault="00A64AAC" w:rsidP="00A64AAC">
      <w:pPr>
        <w:rPr>
          <w:rFonts w:ascii="Arial" w:hAnsi="Arial" w:cs="Arial"/>
        </w:rPr>
      </w:pPr>
    </w:p>
    <w:p w14:paraId="23D6B0BB" w14:textId="4936DE96" w:rsidR="00F457E4" w:rsidRPr="00F457E4" w:rsidRDefault="005E44C9" w:rsidP="00F457E4">
      <w:pPr>
        <w:rPr>
          <w:rFonts w:ascii="Arial" w:hAnsi="Arial" w:cs="Arial"/>
        </w:rPr>
      </w:pPr>
      <w:r>
        <w:rPr>
          <w:rFonts w:ascii="Arial" w:hAnsi="Arial" w:cs="Arial"/>
        </w:rPr>
        <w:t xml:space="preserve">Three judges dissented with </w:t>
      </w:r>
      <w:r w:rsidR="008F62FE">
        <w:rPr>
          <w:rFonts w:ascii="Arial" w:hAnsi="Arial" w:cs="Arial"/>
        </w:rPr>
        <w:t xml:space="preserve">the </w:t>
      </w:r>
      <w:r>
        <w:rPr>
          <w:rFonts w:ascii="Arial" w:hAnsi="Arial" w:cs="Arial"/>
        </w:rPr>
        <w:t>Grand Chamber’s majority</w:t>
      </w:r>
      <w:r w:rsidR="008F62FE">
        <w:rPr>
          <w:rFonts w:ascii="Arial" w:hAnsi="Arial" w:cs="Arial"/>
        </w:rPr>
        <w:t xml:space="preserve"> as to the finding of no violation of Article 10 ECHR</w:t>
      </w:r>
      <w:r>
        <w:rPr>
          <w:rFonts w:ascii="Arial" w:hAnsi="Arial" w:cs="Arial"/>
        </w:rPr>
        <w:t xml:space="preserve">. </w:t>
      </w:r>
      <w:bookmarkStart w:id="3" w:name="_Hlk102660834"/>
      <w:r w:rsidR="0066660D">
        <w:rPr>
          <w:rFonts w:ascii="Arial" w:hAnsi="Arial" w:cs="Arial"/>
        </w:rPr>
        <w:t xml:space="preserve">The judges Pavli (Albania), Lemmens (Belgium) and </w:t>
      </w:r>
      <w:proofErr w:type="spellStart"/>
      <w:r w:rsidR="0066660D" w:rsidRPr="0066660D">
        <w:rPr>
          <w:rFonts w:ascii="Arial" w:hAnsi="Arial" w:cs="Arial"/>
        </w:rPr>
        <w:t>Jelić</w:t>
      </w:r>
      <w:proofErr w:type="spellEnd"/>
      <w:r w:rsidR="0066660D">
        <w:rPr>
          <w:rFonts w:ascii="Arial" w:hAnsi="Arial" w:cs="Arial"/>
        </w:rPr>
        <w:t xml:space="preserve"> (Montenegro)</w:t>
      </w:r>
      <w:r w:rsidR="00C57985">
        <w:rPr>
          <w:rFonts w:ascii="Arial" w:hAnsi="Arial" w:cs="Arial"/>
        </w:rPr>
        <w:t xml:space="preserve"> </w:t>
      </w:r>
      <w:r w:rsidR="008F62FE">
        <w:rPr>
          <w:rFonts w:ascii="Arial" w:hAnsi="Arial" w:cs="Arial"/>
        </w:rPr>
        <w:t>consider</w:t>
      </w:r>
      <w:r w:rsidR="00C57985">
        <w:rPr>
          <w:rFonts w:ascii="Arial" w:hAnsi="Arial" w:cs="Arial"/>
        </w:rPr>
        <w:t>ed</w:t>
      </w:r>
      <w:r w:rsidR="008F62FE">
        <w:rPr>
          <w:rFonts w:ascii="Arial" w:hAnsi="Arial" w:cs="Arial"/>
        </w:rPr>
        <w:t xml:space="preserve"> it highly </w:t>
      </w:r>
      <w:r w:rsidR="008F62FE" w:rsidRPr="008F62FE">
        <w:rPr>
          <w:rFonts w:ascii="Arial" w:hAnsi="Arial" w:cs="Arial"/>
        </w:rPr>
        <w:t>relevant that the NIT channel appeared to be the only national operator that gave prominence to the views of the country’s only opposition party at the time</w:t>
      </w:r>
      <w:r w:rsidR="008F62FE">
        <w:rPr>
          <w:rFonts w:ascii="Arial" w:hAnsi="Arial" w:cs="Arial"/>
        </w:rPr>
        <w:t xml:space="preserve"> :</w:t>
      </w:r>
      <w:r w:rsidR="00C57985">
        <w:rPr>
          <w:rFonts w:ascii="Arial" w:hAnsi="Arial" w:cs="Arial"/>
        </w:rPr>
        <w:t xml:space="preserve"> </w:t>
      </w:r>
      <w:r w:rsidR="008F62FE">
        <w:rPr>
          <w:rFonts w:ascii="Arial" w:hAnsi="Arial" w:cs="Arial"/>
        </w:rPr>
        <w:t>”</w:t>
      </w:r>
      <w:r w:rsidR="008F62FE" w:rsidRPr="008F62FE">
        <w:rPr>
          <w:rFonts w:ascii="Arial" w:hAnsi="Arial" w:cs="Arial"/>
        </w:rPr>
        <w:t>With its disappearance from the broadcasting scene, it seems obvious that there was an adverse impact on overall pluralism. This argument cannot translate into a licence for minority voices to break the law with impunity, but it is nevertheless an important consideration</w:t>
      </w:r>
      <w:r w:rsidR="008F62FE">
        <w:rPr>
          <w:rFonts w:ascii="Arial" w:hAnsi="Arial" w:cs="Arial"/>
        </w:rPr>
        <w:t>”</w:t>
      </w:r>
      <w:r w:rsidR="008F62FE" w:rsidRPr="008F62FE">
        <w:rPr>
          <w:rFonts w:ascii="Arial" w:hAnsi="Arial" w:cs="Arial"/>
        </w:rPr>
        <w:t>.</w:t>
      </w:r>
      <w:r w:rsidR="009D501E">
        <w:rPr>
          <w:rFonts w:ascii="Arial" w:hAnsi="Arial" w:cs="Arial"/>
        </w:rPr>
        <w:t xml:space="preserve"> </w:t>
      </w:r>
      <w:r w:rsidR="002C53F4" w:rsidRPr="002C53F4">
        <w:rPr>
          <w:rFonts w:ascii="Arial" w:hAnsi="Arial" w:cs="Arial"/>
        </w:rPr>
        <w:t xml:space="preserve">The dissenters </w:t>
      </w:r>
      <w:r w:rsidR="002C53F4">
        <w:rPr>
          <w:rFonts w:ascii="Arial" w:hAnsi="Arial" w:cs="Arial"/>
        </w:rPr>
        <w:t xml:space="preserve">also expressed </w:t>
      </w:r>
      <w:r w:rsidR="002C53F4" w:rsidRPr="002C53F4">
        <w:rPr>
          <w:rFonts w:ascii="Arial" w:hAnsi="Arial" w:cs="Arial"/>
        </w:rPr>
        <w:t>the opinion that the requirement in Article 7 § 2 of the Audiovisual Code to give equal airtime to political parties “within the same type of programme and in the same time slot”, suffers from both vagueness and potential overbreadth, and that it can be quite difficult to implement this requirement in practice without significantly undermining a broadcaster’s editorial independence.</w:t>
      </w:r>
      <w:r w:rsidR="002C53F4">
        <w:rPr>
          <w:rFonts w:ascii="Arial" w:hAnsi="Arial" w:cs="Arial"/>
        </w:rPr>
        <w:t xml:space="preserve"> </w:t>
      </w:r>
      <w:r w:rsidR="00F860BD" w:rsidRPr="00F860BD">
        <w:rPr>
          <w:rFonts w:ascii="Arial" w:hAnsi="Arial" w:cs="Arial"/>
        </w:rPr>
        <w:t>While the dissenting judges agree</w:t>
      </w:r>
      <w:r w:rsidR="00C57985">
        <w:rPr>
          <w:rFonts w:ascii="Arial" w:hAnsi="Arial" w:cs="Arial"/>
        </w:rPr>
        <w:t>d</w:t>
      </w:r>
      <w:r w:rsidR="00F860BD" w:rsidRPr="00F860BD">
        <w:rPr>
          <w:rFonts w:ascii="Arial" w:hAnsi="Arial" w:cs="Arial"/>
        </w:rPr>
        <w:t xml:space="preserve"> with much of the majority analysis of the </w:t>
      </w:r>
      <w:r w:rsidR="00F860BD" w:rsidRPr="00E3767B">
        <w:rPr>
          <w:rFonts w:ascii="Arial" w:hAnsi="Arial" w:cs="Arial"/>
        </w:rPr>
        <w:t>generally applicable principles and the possible grounds justifying the revocation NIT’s broadcasting licence, they disagree</w:t>
      </w:r>
      <w:r w:rsidR="00C57985">
        <w:rPr>
          <w:rFonts w:ascii="Arial" w:hAnsi="Arial" w:cs="Arial"/>
        </w:rPr>
        <w:t>d</w:t>
      </w:r>
      <w:r w:rsidR="00F860BD" w:rsidRPr="00E3767B">
        <w:rPr>
          <w:rFonts w:ascii="Arial" w:hAnsi="Arial" w:cs="Arial"/>
        </w:rPr>
        <w:t xml:space="preserve"> with the conclusion that the decisions of the national authorities were accompanied by sufficient procedural safeguards. </w:t>
      </w:r>
      <w:r w:rsidR="009D501E" w:rsidRPr="00E3767B">
        <w:rPr>
          <w:rFonts w:ascii="Arial" w:hAnsi="Arial" w:cs="Arial"/>
        </w:rPr>
        <w:t>Confirming the important role of independent regulatory authorities, the dissenters emphasize</w:t>
      </w:r>
      <w:r w:rsidR="00C57985">
        <w:rPr>
          <w:rFonts w:ascii="Arial" w:hAnsi="Arial" w:cs="Arial"/>
        </w:rPr>
        <w:t>d</w:t>
      </w:r>
      <w:r w:rsidR="009D501E" w:rsidRPr="00E3767B">
        <w:rPr>
          <w:rFonts w:ascii="Arial" w:hAnsi="Arial" w:cs="Arial"/>
        </w:rPr>
        <w:t xml:space="preserve"> that it is essential that both this ECtHR and domestic courts scrutinise quite carefully any interferences with media freedoms by such regulatory authorities, to ensure that their decision-making is not marred by any signs of bias or lack of fair treatment</w:t>
      </w:r>
      <w:r w:rsidR="002C53F4">
        <w:rPr>
          <w:rFonts w:ascii="Arial" w:hAnsi="Arial" w:cs="Arial"/>
        </w:rPr>
        <w:t xml:space="preserve">. A strict scrutiny </w:t>
      </w:r>
      <w:r w:rsidR="002C53F4" w:rsidRPr="002565B7">
        <w:rPr>
          <w:rFonts w:ascii="Arial" w:hAnsi="Arial" w:cs="Arial"/>
        </w:rPr>
        <w:t>is</w:t>
      </w:r>
      <w:r w:rsidR="009D501E" w:rsidRPr="002565B7">
        <w:rPr>
          <w:rFonts w:ascii="Arial" w:hAnsi="Arial" w:cs="Arial"/>
        </w:rPr>
        <w:t xml:space="preserve"> especially </w:t>
      </w:r>
      <w:r w:rsidR="002C53F4" w:rsidRPr="002565B7">
        <w:rPr>
          <w:rFonts w:ascii="Arial" w:hAnsi="Arial" w:cs="Arial"/>
        </w:rPr>
        <w:t xml:space="preserve">mandatory </w:t>
      </w:r>
      <w:r w:rsidR="009D501E" w:rsidRPr="002565B7">
        <w:rPr>
          <w:rFonts w:ascii="Arial" w:hAnsi="Arial" w:cs="Arial"/>
        </w:rPr>
        <w:t>in cases of revocation of a licence as a form of prior restraint</w:t>
      </w:r>
      <w:r w:rsidR="009D501E" w:rsidRPr="002565B7">
        <w:rPr>
          <w:rFonts w:ascii="Arial" w:eastAsia="Times New Roman" w:hAnsi="Arial" w:cs="Arial"/>
        </w:rPr>
        <w:t xml:space="preserve">, </w:t>
      </w:r>
      <w:r w:rsidR="009D501E" w:rsidRPr="002565B7">
        <w:rPr>
          <w:rFonts w:ascii="Arial" w:hAnsi="Arial" w:cs="Arial"/>
        </w:rPr>
        <w:t xml:space="preserve">subjecting a national broadcaster to the ultimate sanction </w:t>
      </w:r>
      <w:r w:rsidR="00BA69D1" w:rsidRPr="002565B7">
        <w:rPr>
          <w:rFonts w:ascii="Arial" w:hAnsi="Arial" w:cs="Arial"/>
        </w:rPr>
        <w:t xml:space="preserve">(“the nuclear option”) </w:t>
      </w:r>
      <w:r w:rsidR="009D501E" w:rsidRPr="002565B7">
        <w:rPr>
          <w:rFonts w:ascii="Arial" w:hAnsi="Arial" w:cs="Arial"/>
        </w:rPr>
        <w:t>of delicensing for supposed failures of internal pluralism</w:t>
      </w:r>
      <w:r w:rsidR="00A34B9D" w:rsidRPr="002565B7">
        <w:rPr>
          <w:rFonts w:ascii="Arial" w:hAnsi="Arial" w:cs="Arial"/>
        </w:rPr>
        <w:t>.</w:t>
      </w:r>
      <w:r w:rsidR="00F860BD" w:rsidRPr="002565B7">
        <w:rPr>
          <w:rFonts w:ascii="Arial" w:eastAsia="Times New Roman" w:hAnsi="Arial" w:cs="Arial"/>
        </w:rPr>
        <w:t xml:space="preserve"> </w:t>
      </w:r>
      <w:r w:rsidR="00BA69D1" w:rsidRPr="002565B7">
        <w:rPr>
          <w:rFonts w:ascii="Arial" w:hAnsi="Arial" w:cs="Arial"/>
        </w:rPr>
        <w:t>F</w:t>
      </w:r>
      <w:r w:rsidR="00E3767B" w:rsidRPr="002565B7">
        <w:rPr>
          <w:rFonts w:ascii="Arial" w:hAnsi="Arial" w:cs="Arial"/>
        </w:rPr>
        <w:t>ive factors in the present case called for strict scrutiny by the ECtHR: the presence of a strict national model of internal pluralism, based on legislative provisions that were liable to open-ended and subjective enforcement; the imposition of the ultimate sanction on the broadcaster with immediate effect; the fact that this particular operator represented the main opposition voice in the country’s broadcasting scene; certain concerns about the ACC’s independence; and the obvious chilling effects that a licence revocation in these circumstances would have on other broadcasters and the national political discourse generally.</w:t>
      </w:r>
      <w:r w:rsidR="00F457E4" w:rsidRPr="002565B7">
        <w:rPr>
          <w:rFonts w:ascii="Arial" w:eastAsia="Times New Roman" w:hAnsi="Arial" w:cs="Arial"/>
        </w:rPr>
        <w:t xml:space="preserve"> </w:t>
      </w:r>
      <w:r w:rsidR="002565B7" w:rsidRPr="002565B7">
        <w:rPr>
          <w:rFonts w:ascii="Arial" w:eastAsia="Times New Roman" w:hAnsi="Arial" w:cs="Arial"/>
        </w:rPr>
        <w:t xml:space="preserve">The dissenting opinion refers to the weak methodology used by the ACC for its monitoring of pluralism compliance, </w:t>
      </w:r>
      <w:proofErr w:type="spellStart"/>
      <w:r w:rsidR="002565B7" w:rsidRPr="002565B7">
        <w:rPr>
          <w:rFonts w:ascii="Arial" w:eastAsia="Times New Roman" w:hAnsi="Arial" w:cs="Arial"/>
        </w:rPr>
        <w:t>the</w:t>
      </w:r>
      <w:proofErr w:type="spellEnd"/>
      <w:r w:rsidR="002565B7" w:rsidRPr="002565B7">
        <w:rPr>
          <w:rFonts w:ascii="Arial" w:eastAsia="Times New Roman" w:hAnsi="Arial" w:cs="Arial"/>
        </w:rPr>
        <w:t xml:space="preserve"> difficulties of applying the standards of Article 7 § 2 of the Audiovisual Code to news editions and the extremely hasty manner in which the final ACC decision was taken. The latter raised serious questions about the  procedural fairness and NIT’s ability to present an effective defence before the ACC. All by all t</w:t>
      </w:r>
      <w:r w:rsidR="00F457E4" w:rsidRPr="002565B7">
        <w:rPr>
          <w:rFonts w:ascii="Arial" w:hAnsi="Arial" w:cs="Arial"/>
        </w:rPr>
        <w:t xml:space="preserve">he dissention opinion </w:t>
      </w:r>
      <w:r w:rsidR="00585511" w:rsidRPr="002565B7">
        <w:rPr>
          <w:rFonts w:ascii="Arial" w:hAnsi="Arial" w:cs="Arial"/>
        </w:rPr>
        <w:t>found</w:t>
      </w:r>
      <w:r w:rsidR="00F457E4" w:rsidRPr="002565B7">
        <w:rPr>
          <w:rFonts w:ascii="Arial" w:hAnsi="Arial" w:cs="Arial"/>
        </w:rPr>
        <w:t xml:space="preserve"> </w:t>
      </w:r>
      <w:bookmarkStart w:id="4" w:name="_Hlk102660433"/>
      <w:r w:rsidR="00F457E4" w:rsidRPr="002565B7">
        <w:rPr>
          <w:rFonts w:ascii="Arial" w:hAnsi="Arial" w:cs="Arial"/>
        </w:rPr>
        <w:t>that the revocation decision was marred by serious procedural shortcomings that not only undermined NIT’s ability to properly defend its interests but also raised substantial questions about the ACC’s impartiality in the process. As the national courts also failed to promptly address and remedy these shortcomings, the</w:t>
      </w:r>
      <w:r w:rsidR="00585511" w:rsidRPr="002565B7">
        <w:rPr>
          <w:rFonts w:ascii="Arial" w:hAnsi="Arial" w:cs="Arial"/>
        </w:rPr>
        <w:t xml:space="preserve"> </w:t>
      </w:r>
      <w:r w:rsidR="00F457E4" w:rsidRPr="002565B7">
        <w:rPr>
          <w:rFonts w:ascii="Arial" w:hAnsi="Arial" w:cs="Arial"/>
        </w:rPr>
        <w:t>dissenting judges conclude</w:t>
      </w:r>
      <w:r w:rsidR="00E44807" w:rsidRPr="002565B7">
        <w:rPr>
          <w:rFonts w:ascii="Arial" w:hAnsi="Arial" w:cs="Arial"/>
        </w:rPr>
        <w:t>d</w:t>
      </w:r>
      <w:r w:rsidR="00F457E4" w:rsidRPr="002565B7">
        <w:rPr>
          <w:rFonts w:ascii="Arial" w:hAnsi="Arial" w:cs="Arial"/>
        </w:rPr>
        <w:t xml:space="preserve"> that there has been a violation of NIT’s rights under Article 10 ECHR.</w:t>
      </w:r>
    </w:p>
    <w:bookmarkEnd w:id="4"/>
    <w:bookmarkEnd w:id="3"/>
    <w:p w14:paraId="3B675C40" w14:textId="77777777" w:rsidR="00905F53" w:rsidRDefault="00905F53" w:rsidP="00AF007E">
      <w:pPr>
        <w:rPr>
          <w:rFonts w:ascii="Arial" w:hAnsi="Arial" w:cs="Arial"/>
          <w:sz w:val="20"/>
          <w:szCs w:val="20"/>
        </w:rPr>
      </w:pPr>
    </w:p>
    <w:p w14:paraId="71B7B98D" w14:textId="7385BF11" w:rsidR="00905F53" w:rsidRPr="00905F53" w:rsidRDefault="002821C9" w:rsidP="00905F53">
      <w:pPr>
        <w:rPr>
          <w:rFonts w:ascii="Arial" w:hAnsi="Arial" w:cs="Arial"/>
          <w:sz w:val="20"/>
          <w:szCs w:val="20"/>
        </w:rPr>
      </w:pPr>
      <w:r w:rsidRPr="00905F53">
        <w:rPr>
          <w:rFonts w:ascii="Arial" w:hAnsi="Arial" w:cs="Arial"/>
          <w:sz w:val="20"/>
          <w:szCs w:val="20"/>
        </w:rPr>
        <w:t>J</w:t>
      </w:r>
      <w:r w:rsidR="00301F20" w:rsidRPr="00905F53">
        <w:rPr>
          <w:rFonts w:ascii="Arial" w:hAnsi="Arial" w:cs="Arial"/>
          <w:sz w:val="20"/>
          <w:szCs w:val="20"/>
        </w:rPr>
        <w:t>u</w:t>
      </w:r>
      <w:r w:rsidR="00FF2EC3" w:rsidRPr="00905F53">
        <w:rPr>
          <w:rFonts w:ascii="Arial" w:hAnsi="Arial" w:cs="Arial"/>
          <w:sz w:val="20"/>
          <w:szCs w:val="20"/>
        </w:rPr>
        <w:t>dg</w:t>
      </w:r>
      <w:r w:rsidR="00AE30EE" w:rsidRPr="00905F53">
        <w:rPr>
          <w:rFonts w:ascii="Arial" w:hAnsi="Arial" w:cs="Arial"/>
          <w:sz w:val="20"/>
          <w:szCs w:val="20"/>
        </w:rPr>
        <w:t xml:space="preserve">ment </w:t>
      </w:r>
      <w:r w:rsidR="001138C0" w:rsidRPr="00905F53">
        <w:rPr>
          <w:rFonts w:ascii="Arial" w:hAnsi="Arial" w:cs="Arial"/>
          <w:sz w:val="20"/>
          <w:szCs w:val="20"/>
        </w:rPr>
        <w:t xml:space="preserve">by the </w:t>
      </w:r>
      <w:r w:rsidR="004E11A5" w:rsidRPr="00905F53">
        <w:rPr>
          <w:rFonts w:ascii="Arial" w:hAnsi="Arial" w:cs="Arial"/>
          <w:sz w:val="20"/>
          <w:szCs w:val="20"/>
        </w:rPr>
        <w:t xml:space="preserve">European Court of Human Rights, </w:t>
      </w:r>
      <w:r w:rsidR="00905F53" w:rsidRPr="00905F53">
        <w:rPr>
          <w:rFonts w:ascii="Arial" w:hAnsi="Arial" w:cs="Arial"/>
          <w:sz w:val="20"/>
          <w:szCs w:val="20"/>
        </w:rPr>
        <w:t>Grand Chamber</w:t>
      </w:r>
      <w:r w:rsidR="001138C0" w:rsidRPr="00905F53">
        <w:rPr>
          <w:rFonts w:ascii="Arial" w:hAnsi="Arial" w:cs="Arial"/>
          <w:sz w:val="20"/>
          <w:szCs w:val="20"/>
        </w:rPr>
        <w:t xml:space="preserve">, </w:t>
      </w:r>
      <w:r w:rsidR="004E11A5" w:rsidRPr="00905F53">
        <w:rPr>
          <w:rFonts w:ascii="Arial" w:hAnsi="Arial" w:cs="Arial"/>
          <w:sz w:val="20"/>
          <w:szCs w:val="20"/>
        </w:rPr>
        <w:t>in the case of</w:t>
      </w:r>
      <w:r w:rsidR="004208A1" w:rsidRPr="00905F53">
        <w:rPr>
          <w:rFonts w:ascii="Arial" w:hAnsi="Arial" w:cs="Arial"/>
          <w:sz w:val="20"/>
          <w:szCs w:val="20"/>
        </w:rPr>
        <w:t xml:space="preserve"> </w:t>
      </w:r>
      <w:r w:rsidR="00905F53" w:rsidRPr="00905F53">
        <w:rPr>
          <w:rFonts w:ascii="Arial" w:hAnsi="Arial" w:cs="Arial"/>
          <w:sz w:val="20"/>
          <w:szCs w:val="20"/>
        </w:rPr>
        <w:t>NIT S.R.L. v. the Republic of Moldova,</w:t>
      </w:r>
      <w:bookmarkEnd w:id="1"/>
      <w:r w:rsidR="00905F53" w:rsidRPr="00905F53">
        <w:rPr>
          <w:rFonts w:ascii="Arial" w:hAnsi="Arial" w:cs="Arial"/>
          <w:sz w:val="20"/>
          <w:szCs w:val="20"/>
        </w:rPr>
        <w:t xml:space="preserve"> Applica</w:t>
      </w:r>
      <w:r w:rsidR="00BA2AD2" w:rsidRPr="00905F53">
        <w:rPr>
          <w:rFonts w:ascii="Arial" w:hAnsi="Arial" w:cs="Arial"/>
          <w:sz w:val="20"/>
          <w:szCs w:val="20"/>
        </w:rPr>
        <w:t>tion</w:t>
      </w:r>
      <w:r w:rsidR="00984E27" w:rsidRPr="00905F53">
        <w:rPr>
          <w:rFonts w:ascii="Arial" w:hAnsi="Arial" w:cs="Arial"/>
          <w:sz w:val="20"/>
          <w:szCs w:val="20"/>
        </w:rPr>
        <w:t xml:space="preserve"> no</w:t>
      </w:r>
      <w:r w:rsidR="00612955" w:rsidRPr="00905F53">
        <w:rPr>
          <w:rFonts w:ascii="Arial" w:hAnsi="Arial" w:cs="Arial"/>
          <w:sz w:val="20"/>
          <w:szCs w:val="20"/>
        </w:rPr>
        <w:t>.</w:t>
      </w:r>
      <w:r w:rsidR="004208A1" w:rsidRPr="00905F53">
        <w:rPr>
          <w:rFonts w:ascii="Arial" w:hAnsi="Arial" w:cs="Arial"/>
          <w:sz w:val="20"/>
          <w:szCs w:val="20"/>
        </w:rPr>
        <w:t xml:space="preserve"> </w:t>
      </w:r>
      <w:r w:rsidR="00905F53" w:rsidRPr="00905F53">
        <w:rPr>
          <w:rFonts w:ascii="Arial" w:hAnsi="Arial" w:cs="Arial"/>
          <w:sz w:val="20"/>
          <w:szCs w:val="20"/>
        </w:rPr>
        <w:t>28470/12</w:t>
      </w:r>
      <w:r w:rsidR="006A0292" w:rsidRPr="00905F53">
        <w:rPr>
          <w:rFonts w:ascii="Arial" w:hAnsi="Arial" w:cs="Arial"/>
          <w:sz w:val="20"/>
          <w:szCs w:val="20"/>
        </w:rPr>
        <w:t xml:space="preserve">, </w:t>
      </w:r>
      <w:r w:rsidR="00905F53" w:rsidRPr="00905F53">
        <w:rPr>
          <w:rFonts w:ascii="Arial" w:hAnsi="Arial" w:cs="Arial"/>
          <w:sz w:val="20"/>
          <w:szCs w:val="20"/>
        </w:rPr>
        <w:t xml:space="preserve">5 April </w:t>
      </w:r>
      <w:r w:rsidR="00BA2AD2" w:rsidRPr="00905F53">
        <w:rPr>
          <w:rFonts w:ascii="Arial" w:hAnsi="Arial" w:cs="Arial"/>
          <w:sz w:val="20"/>
          <w:szCs w:val="20"/>
        </w:rPr>
        <w:t>202</w:t>
      </w:r>
      <w:r w:rsidR="0061346E" w:rsidRPr="00905F53">
        <w:rPr>
          <w:rFonts w:ascii="Arial" w:hAnsi="Arial" w:cs="Arial"/>
          <w:sz w:val="20"/>
          <w:szCs w:val="20"/>
        </w:rPr>
        <w:t>2</w:t>
      </w:r>
      <w:r w:rsidR="002D46C2" w:rsidRPr="00905F53">
        <w:rPr>
          <w:rFonts w:ascii="Arial" w:hAnsi="Arial" w:cs="Arial"/>
          <w:sz w:val="20"/>
          <w:szCs w:val="20"/>
        </w:rPr>
        <w:t xml:space="preserve">, </w:t>
      </w:r>
    </w:p>
    <w:p w14:paraId="30563FA6" w14:textId="77777777" w:rsidR="00905F53" w:rsidRPr="00905F53" w:rsidRDefault="00905F53" w:rsidP="00905F53">
      <w:pPr>
        <w:rPr>
          <w:rFonts w:ascii="Arial" w:hAnsi="Arial" w:cs="Arial"/>
          <w:sz w:val="20"/>
          <w:szCs w:val="20"/>
        </w:rPr>
      </w:pPr>
      <w:hyperlink r:id="rId11" w:history="1">
        <w:r w:rsidRPr="00905F53">
          <w:rPr>
            <w:rStyle w:val="Hyperlink"/>
            <w:rFonts w:ascii="Arial" w:hAnsi="Arial" w:cs="Arial"/>
            <w:sz w:val="20"/>
            <w:szCs w:val="20"/>
          </w:rPr>
          <w:t>https://hudoc.echr.coe.int/eng?i=001-216872</w:t>
        </w:r>
      </w:hyperlink>
      <w:r w:rsidRPr="00905F53">
        <w:rPr>
          <w:rFonts w:ascii="Arial" w:hAnsi="Arial" w:cs="Arial"/>
          <w:sz w:val="20"/>
          <w:szCs w:val="20"/>
        </w:rPr>
        <w:t xml:space="preserve"> </w:t>
      </w:r>
    </w:p>
    <w:p w14:paraId="38AEFDB2" w14:textId="77777777" w:rsidR="00827F1D" w:rsidRPr="00AF007E" w:rsidRDefault="00827F1D" w:rsidP="00337051">
      <w:pPr>
        <w:rPr>
          <w:rFonts w:ascii="Arial" w:hAnsi="Arial" w:cs="Arial"/>
          <w:sz w:val="20"/>
          <w:szCs w:val="20"/>
        </w:rPr>
      </w:pPr>
    </w:p>
    <w:p w14:paraId="3ECB7753" w14:textId="2CB690A7" w:rsidR="00F56198" w:rsidRDefault="006A0292" w:rsidP="002D46C2">
      <w:pPr>
        <w:pStyle w:val="ECHRPara"/>
        <w:ind w:firstLine="0"/>
        <w:jc w:val="left"/>
        <w:rPr>
          <w:rFonts w:ascii="Arial" w:hAnsi="Arial" w:cs="Arial"/>
          <w:sz w:val="20"/>
          <w:szCs w:val="20"/>
        </w:rPr>
      </w:pPr>
      <w:r>
        <w:rPr>
          <w:rFonts w:ascii="Arial" w:hAnsi="Arial" w:cs="Arial"/>
          <w:sz w:val="20"/>
          <w:szCs w:val="20"/>
        </w:rPr>
        <w:lastRenderedPageBreak/>
        <w:t>ENG</w:t>
      </w:r>
      <w:r w:rsidR="000838C5">
        <w:rPr>
          <w:rFonts w:ascii="Arial" w:hAnsi="Arial" w:cs="Arial"/>
          <w:sz w:val="20"/>
          <w:szCs w:val="20"/>
        </w:rPr>
        <w:t>/FR</w:t>
      </w:r>
    </w:p>
    <w:p w14:paraId="1EAD8E49" w14:textId="77777777" w:rsidR="007377E1" w:rsidRPr="00D27E95" w:rsidRDefault="002A07EF" w:rsidP="002F6E0B">
      <w:pPr>
        <w:pStyle w:val="DecHCase"/>
        <w:keepNext w:val="0"/>
        <w:keepLines w:val="0"/>
        <w:jc w:val="left"/>
        <w:rPr>
          <w:rFonts w:ascii="Arial" w:hAnsi="Arial" w:cs="Arial"/>
          <w:sz w:val="22"/>
          <w:szCs w:val="22"/>
        </w:rPr>
      </w:pPr>
      <w:r w:rsidRPr="00D27E95">
        <w:rPr>
          <w:rFonts w:ascii="Arial" w:hAnsi="Arial" w:cs="Arial"/>
          <w:sz w:val="22"/>
          <w:szCs w:val="22"/>
          <w:lang w:val="en-US"/>
        </w:rPr>
        <w:t>Dirk Voorhoof</w:t>
      </w:r>
      <w:r w:rsidR="00D23FA6" w:rsidRPr="00D27E95">
        <w:rPr>
          <w:rFonts w:ascii="Arial" w:hAnsi="Arial" w:cs="Arial"/>
          <w:sz w:val="22"/>
          <w:szCs w:val="22"/>
          <w:lang w:val="en-US"/>
        </w:rPr>
        <w:br/>
      </w:r>
      <w:r w:rsidRPr="00D27E95">
        <w:rPr>
          <w:rFonts w:ascii="Arial" w:hAnsi="Arial" w:cs="Arial"/>
          <w:sz w:val="22"/>
          <w:szCs w:val="22"/>
        </w:rPr>
        <w:t>Human Rights Centre, Ghent University and Legal Human Academy</w:t>
      </w:r>
    </w:p>
    <w:sectPr w:rsidR="007377E1" w:rsidRPr="00D27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08086" w14:textId="77777777" w:rsidR="007A1926" w:rsidRDefault="007A1926" w:rsidP="00D31ADD">
      <w:r>
        <w:separator/>
      </w:r>
    </w:p>
  </w:endnote>
  <w:endnote w:type="continuationSeparator" w:id="0">
    <w:p w14:paraId="492E91B8" w14:textId="77777777" w:rsidR="007A1926" w:rsidRDefault="007A1926" w:rsidP="00D3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altName w:val="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CD416" w14:textId="77777777" w:rsidR="007A1926" w:rsidRDefault="007A1926" w:rsidP="00D31ADD">
      <w:r>
        <w:separator/>
      </w:r>
    </w:p>
  </w:footnote>
  <w:footnote w:type="continuationSeparator" w:id="0">
    <w:p w14:paraId="4DDB144A" w14:textId="77777777" w:rsidR="007A1926" w:rsidRDefault="007A1926" w:rsidP="00D31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29E3241"/>
    <w:multiLevelType w:val="hybridMultilevel"/>
    <w:tmpl w:val="F1B092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A1C08B6"/>
    <w:multiLevelType w:val="multilevel"/>
    <w:tmpl w:val="A15482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8E"/>
    <w:rsid w:val="000014FF"/>
    <w:rsid w:val="000023E4"/>
    <w:rsid w:val="000025F0"/>
    <w:rsid w:val="00003638"/>
    <w:rsid w:val="00005D4E"/>
    <w:rsid w:val="0000689A"/>
    <w:rsid w:val="00007F93"/>
    <w:rsid w:val="00010038"/>
    <w:rsid w:val="0001281A"/>
    <w:rsid w:val="00012C92"/>
    <w:rsid w:val="00013A7A"/>
    <w:rsid w:val="00013EDF"/>
    <w:rsid w:val="0001434B"/>
    <w:rsid w:val="0001488C"/>
    <w:rsid w:val="00015271"/>
    <w:rsid w:val="00017CC4"/>
    <w:rsid w:val="000208E8"/>
    <w:rsid w:val="00021E65"/>
    <w:rsid w:val="00021F56"/>
    <w:rsid w:val="00022395"/>
    <w:rsid w:val="0002293D"/>
    <w:rsid w:val="00022984"/>
    <w:rsid w:val="000233E1"/>
    <w:rsid w:val="00026E6A"/>
    <w:rsid w:val="00027012"/>
    <w:rsid w:val="00027990"/>
    <w:rsid w:val="00027FB1"/>
    <w:rsid w:val="000319E2"/>
    <w:rsid w:val="00031F6E"/>
    <w:rsid w:val="00034702"/>
    <w:rsid w:val="00035386"/>
    <w:rsid w:val="000369CD"/>
    <w:rsid w:val="00037E79"/>
    <w:rsid w:val="00040B64"/>
    <w:rsid w:val="0004102B"/>
    <w:rsid w:val="000411CF"/>
    <w:rsid w:val="00041A4C"/>
    <w:rsid w:val="00041E32"/>
    <w:rsid w:val="00042E69"/>
    <w:rsid w:val="00043233"/>
    <w:rsid w:val="000439D5"/>
    <w:rsid w:val="00044D65"/>
    <w:rsid w:val="000458A1"/>
    <w:rsid w:val="00047FC8"/>
    <w:rsid w:val="000535AC"/>
    <w:rsid w:val="00053AA5"/>
    <w:rsid w:val="00053AF4"/>
    <w:rsid w:val="000550C2"/>
    <w:rsid w:val="00057216"/>
    <w:rsid w:val="00060EB2"/>
    <w:rsid w:val="00062B35"/>
    <w:rsid w:val="0006310D"/>
    <w:rsid w:val="00066E3E"/>
    <w:rsid w:val="00067A0D"/>
    <w:rsid w:val="000726EB"/>
    <w:rsid w:val="00072E70"/>
    <w:rsid w:val="00073C27"/>
    <w:rsid w:val="00075EDC"/>
    <w:rsid w:val="000775FE"/>
    <w:rsid w:val="00082013"/>
    <w:rsid w:val="000838C5"/>
    <w:rsid w:val="00083FE0"/>
    <w:rsid w:val="00084043"/>
    <w:rsid w:val="00086DC0"/>
    <w:rsid w:val="00087E6A"/>
    <w:rsid w:val="00091315"/>
    <w:rsid w:val="00091D77"/>
    <w:rsid w:val="00092EE8"/>
    <w:rsid w:val="00093CE0"/>
    <w:rsid w:val="00095F4C"/>
    <w:rsid w:val="00097047"/>
    <w:rsid w:val="00097EA3"/>
    <w:rsid w:val="000A0A00"/>
    <w:rsid w:val="000A0D56"/>
    <w:rsid w:val="000A24A5"/>
    <w:rsid w:val="000A2B69"/>
    <w:rsid w:val="000A33DD"/>
    <w:rsid w:val="000A3650"/>
    <w:rsid w:val="000A58C0"/>
    <w:rsid w:val="000A6803"/>
    <w:rsid w:val="000B049D"/>
    <w:rsid w:val="000B369C"/>
    <w:rsid w:val="000B48CD"/>
    <w:rsid w:val="000B50AD"/>
    <w:rsid w:val="000B5197"/>
    <w:rsid w:val="000B55E8"/>
    <w:rsid w:val="000B564D"/>
    <w:rsid w:val="000B5C5A"/>
    <w:rsid w:val="000B62DA"/>
    <w:rsid w:val="000B796B"/>
    <w:rsid w:val="000B7CF3"/>
    <w:rsid w:val="000C380D"/>
    <w:rsid w:val="000C383A"/>
    <w:rsid w:val="000C3D80"/>
    <w:rsid w:val="000D144F"/>
    <w:rsid w:val="000D28C2"/>
    <w:rsid w:val="000D466D"/>
    <w:rsid w:val="000D5017"/>
    <w:rsid w:val="000D605C"/>
    <w:rsid w:val="000D6453"/>
    <w:rsid w:val="000D7AEC"/>
    <w:rsid w:val="000E0C3C"/>
    <w:rsid w:val="000E1291"/>
    <w:rsid w:val="000E1F29"/>
    <w:rsid w:val="000E22D4"/>
    <w:rsid w:val="000E5922"/>
    <w:rsid w:val="000E6C10"/>
    <w:rsid w:val="000E762F"/>
    <w:rsid w:val="000E7B1C"/>
    <w:rsid w:val="000F0FAB"/>
    <w:rsid w:val="000F1394"/>
    <w:rsid w:val="000F146F"/>
    <w:rsid w:val="000F1861"/>
    <w:rsid w:val="000F3D2C"/>
    <w:rsid w:val="000F566F"/>
    <w:rsid w:val="00101E26"/>
    <w:rsid w:val="00102214"/>
    <w:rsid w:val="00103955"/>
    <w:rsid w:val="00103A3E"/>
    <w:rsid w:val="00104A55"/>
    <w:rsid w:val="001113AB"/>
    <w:rsid w:val="001138C0"/>
    <w:rsid w:val="001218D7"/>
    <w:rsid w:val="00121CD8"/>
    <w:rsid w:val="00121D27"/>
    <w:rsid w:val="001236F0"/>
    <w:rsid w:val="00123DF6"/>
    <w:rsid w:val="00126DEB"/>
    <w:rsid w:val="001279DF"/>
    <w:rsid w:val="001307AE"/>
    <w:rsid w:val="00133281"/>
    <w:rsid w:val="00133BF9"/>
    <w:rsid w:val="001375A3"/>
    <w:rsid w:val="0014096D"/>
    <w:rsid w:val="00141577"/>
    <w:rsid w:val="00143F6D"/>
    <w:rsid w:val="0014465E"/>
    <w:rsid w:val="00145412"/>
    <w:rsid w:val="00145453"/>
    <w:rsid w:val="00146710"/>
    <w:rsid w:val="00147354"/>
    <w:rsid w:val="00151EE7"/>
    <w:rsid w:val="00152F4D"/>
    <w:rsid w:val="00153122"/>
    <w:rsid w:val="00154A3A"/>
    <w:rsid w:val="00162474"/>
    <w:rsid w:val="00162BD4"/>
    <w:rsid w:val="00162BDE"/>
    <w:rsid w:val="0016311A"/>
    <w:rsid w:val="00165746"/>
    <w:rsid w:val="001657D8"/>
    <w:rsid w:val="00166155"/>
    <w:rsid w:val="00166993"/>
    <w:rsid w:val="0017138C"/>
    <w:rsid w:val="00175204"/>
    <w:rsid w:val="00176379"/>
    <w:rsid w:val="00176420"/>
    <w:rsid w:val="00176D21"/>
    <w:rsid w:val="00176FC5"/>
    <w:rsid w:val="001809AE"/>
    <w:rsid w:val="00182118"/>
    <w:rsid w:val="001824B6"/>
    <w:rsid w:val="00183A9B"/>
    <w:rsid w:val="00183ED6"/>
    <w:rsid w:val="00185BF0"/>
    <w:rsid w:val="00185DC5"/>
    <w:rsid w:val="00186424"/>
    <w:rsid w:val="00190DBD"/>
    <w:rsid w:val="00191E6B"/>
    <w:rsid w:val="001926AE"/>
    <w:rsid w:val="00193BF7"/>
    <w:rsid w:val="00195460"/>
    <w:rsid w:val="00197BD3"/>
    <w:rsid w:val="001A0D18"/>
    <w:rsid w:val="001A1F6E"/>
    <w:rsid w:val="001A228B"/>
    <w:rsid w:val="001A4C88"/>
    <w:rsid w:val="001A5C9B"/>
    <w:rsid w:val="001B18AE"/>
    <w:rsid w:val="001B292A"/>
    <w:rsid w:val="001B2A35"/>
    <w:rsid w:val="001B2B68"/>
    <w:rsid w:val="001B32F0"/>
    <w:rsid w:val="001B3BC6"/>
    <w:rsid w:val="001B58B9"/>
    <w:rsid w:val="001B613B"/>
    <w:rsid w:val="001B69CE"/>
    <w:rsid w:val="001B6B48"/>
    <w:rsid w:val="001B6C87"/>
    <w:rsid w:val="001C0C5A"/>
    <w:rsid w:val="001C42EF"/>
    <w:rsid w:val="001C515E"/>
    <w:rsid w:val="001C5216"/>
    <w:rsid w:val="001C5240"/>
    <w:rsid w:val="001C54DA"/>
    <w:rsid w:val="001C7131"/>
    <w:rsid w:val="001D0F3E"/>
    <w:rsid w:val="001D1486"/>
    <w:rsid w:val="001D2105"/>
    <w:rsid w:val="001D2117"/>
    <w:rsid w:val="001D30F1"/>
    <w:rsid w:val="001D5BC1"/>
    <w:rsid w:val="001D7A28"/>
    <w:rsid w:val="001E0112"/>
    <w:rsid w:val="001E28CF"/>
    <w:rsid w:val="001E2DB3"/>
    <w:rsid w:val="001E41A7"/>
    <w:rsid w:val="001E44B9"/>
    <w:rsid w:val="001E4659"/>
    <w:rsid w:val="001E4E9A"/>
    <w:rsid w:val="001E59BE"/>
    <w:rsid w:val="001E6900"/>
    <w:rsid w:val="001E6FCD"/>
    <w:rsid w:val="001F03AB"/>
    <w:rsid w:val="001F1927"/>
    <w:rsid w:val="001F1BCD"/>
    <w:rsid w:val="001F1EEA"/>
    <w:rsid w:val="001F2BC3"/>
    <w:rsid w:val="001F46CE"/>
    <w:rsid w:val="001F759E"/>
    <w:rsid w:val="0020028A"/>
    <w:rsid w:val="0020080F"/>
    <w:rsid w:val="00200FE8"/>
    <w:rsid w:val="00205418"/>
    <w:rsid w:val="00205A9D"/>
    <w:rsid w:val="00205C64"/>
    <w:rsid w:val="002072B9"/>
    <w:rsid w:val="00210476"/>
    <w:rsid w:val="0021228E"/>
    <w:rsid w:val="00216CD1"/>
    <w:rsid w:val="0021780A"/>
    <w:rsid w:val="00220FAF"/>
    <w:rsid w:val="002213C8"/>
    <w:rsid w:val="002231FB"/>
    <w:rsid w:val="002245CD"/>
    <w:rsid w:val="00224DC7"/>
    <w:rsid w:val="0022580D"/>
    <w:rsid w:val="00230428"/>
    <w:rsid w:val="00230767"/>
    <w:rsid w:val="00230B54"/>
    <w:rsid w:val="0023102A"/>
    <w:rsid w:val="00232AA4"/>
    <w:rsid w:val="00233C46"/>
    <w:rsid w:val="002356B7"/>
    <w:rsid w:val="0023592C"/>
    <w:rsid w:val="0023788A"/>
    <w:rsid w:val="00237D23"/>
    <w:rsid w:val="00237FD5"/>
    <w:rsid w:val="002409A6"/>
    <w:rsid w:val="00241063"/>
    <w:rsid w:val="00241469"/>
    <w:rsid w:val="00241B44"/>
    <w:rsid w:val="00242745"/>
    <w:rsid w:val="002429BB"/>
    <w:rsid w:val="00242B5B"/>
    <w:rsid w:val="00243DEB"/>
    <w:rsid w:val="00244C7F"/>
    <w:rsid w:val="00244D80"/>
    <w:rsid w:val="002451FA"/>
    <w:rsid w:val="00246788"/>
    <w:rsid w:val="0024696D"/>
    <w:rsid w:val="00246D2E"/>
    <w:rsid w:val="002477AE"/>
    <w:rsid w:val="00247C88"/>
    <w:rsid w:val="00250EED"/>
    <w:rsid w:val="002511DF"/>
    <w:rsid w:val="00252C41"/>
    <w:rsid w:val="00252D01"/>
    <w:rsid w:val="00253323"/>
    <w:rsid w:val="0025381E"/>
    <w:rsid w:val="002541BF"/>
    <w:rsid w:val="0025572D"/>
    <w:rsid w:val="002565B7"/>
    <w:rsid w:val="0026033A"/>
    <w:rsid w:val="00262863"/>
    <w:rsid w:val="00262CBC"/>
    <w:rsid w:val="00264C55"/>
    <w:rsid w:val="002654B4"/>
    <w:rsid w:val="00266EC4"/>
    <w:rsid w:val="00271A47"/>
    <w:rsid w:val="00272B67"/>
    <w:rsid w:val="00273CFF"/>
    <w:rsid w:val="002766D6"/>
    <w:rsid w:val="002821C9"/>
    <w:rsid w:val="002836B7"/>
    <w:rsid w:val="00283E27"/>
    <w:rsid w:val="002856C7"/>
    <w:rsid w:val="00285BFA"/>
    <w:rsid w:val="00290F97"/>
    <w:rsid w:val="0029215C"/>
    <w:rsid w:val="00292FDF"/>
    <w:rsid w:val="0029333C"/>
    <w:rsid w:val="00294344"/>
    <w:rsid w:val="002952B3"/>
    <w:rsid w:val="00295718"/>
    <w:rsid w:val="00295CAA"/>
    <w:rsid w:val="00296870"/>
    <w:rsid w:val="002A07EF"/>
    <w:rsid w:val="002A524E"/>
    <w:rsid w:val="002A5770"/>
    <w:rsid w:val="002A6203"/>
    <w:rsid w:val="002A7D05"/>
    <w:rsid w:val="002B0393"/>
    <w:rsid w:val="002B132D"/>
    <w:rsid w:val="002B44B7"/>
    <w:rsid w:val="002B44C1"/>
    <w:rsid w:val="002B59F9"/>
    <w:rsid w:val="002C0492"/>
    <w:rsid w:val="002C1A31"/>
    <w:rsid w:val="002C53F4"/>
    <w:rsid w:val="002C75A7"/>
    <w:rsid w:val="002D0D5A"/>
    <w:rsid w:val="002D0DBF"/>
    <w:rsid w:val="002D203F"/>
    <w:rsid w:val="002D365D"/>
    <w:rsid w:val="002D46C2"/>
    <w:rsid w:val="002D51BB"/>
    <w:rsid w:val="002E069C"/>
    <w:rsid w:val="002E148E"/>
    <w:rsid w:val="002E238F"/>
    <w:rsid w:val="002E46EC"/>
    <w:rsid w:val="002E4C13"/>
    <w:rsid w:val="002E5001"/>
    <w:rsid w:val="002E5526"/>
    <w:rsid w:val="002F1388"/>
    <w:rsid w:val="002F22B9"/>
    <w:rsid w:val="002F2FE8"/>
    <w:rsid w:val="002F4E43"/>
    <w:rsid w:val="002F5036"/>
    <w:rsid w:val="002F62F0"/>
    <w:rsid w:val="002F650B"/>
    <w:rsid w:val="002F6A36"/>
    <w:rsid w:val="002F6E0B"/>
    <w:rsid w:val="002F76E2"/>
    <w:rsid w:val="002F7810"/>
    <w:rsid w:val="00301F20"/>
    <w:rsid w:val="00304B1F"/>
    <w:rsid w:val="00304C77"/>
    <w:rsid w:val="00304E3B"/>
    <w:rsid w:val="00305738"/>
    <w:rsid w:val="0030781E"/>
    <w:rsid w:val="003101E0"/>
    <w:rsid w:val="003112C8"/>
    <w:rsid w:val="00313EF0"/>
    <w:rsid w:val="00314CA8"/>
    <w:rsid w:val="003150F0"/>
    <w:rsid w:val="003152DB"/>
    <w:rsid w:val="00315421"/>
    <w:rsid w:val="003217EA"/>
    <w:rsid w:val="00321899"/>
    <w:rsid w:val="0032296D"/>
    <w:rsid w:val="003255FA"/>
    <w:rsid w:val="003266CE"/>
    <w:rsid w:val="003267B1"/>
    <w:rsid w:val="00326D81"/>
    <w:rsid w:val="00327648"/>
    <w:rsid w:val="00327BD2"/>
    <w:rsid w:val="00330A7A"/>
    <w:rsid w:val="00330E5B"/>
    <w:rsid w:val="00331613"/>
    <w:rsid w:val="00331DBD"/>
    <w:rsid w:val="00332A39"/>
    <w:rsid w:val="00332A80"/>
    <w:rsid w:val="00334584"/>
    <w:rsid w:val="00337051"/>
    <w:rsid w:val="00337349"/>
    <w:rsid w:val="00337E6E"/>
    <w:rsid w:val="00340FD8"/>
    <w:rsid w:val="00341142"/>
    <w:rsid w:val="00343F71"/>
    <w:rsid w:val="00346FD0"/>
    <w:rsid w:val="00350260"/>
    <w:rsid w:val="00353714"/>
    <w:rsid w:val="00354274"/>
    <w:rsid w:val="0035433C"/>
    <w:rsid w:val="003546F0"/>
    <w:rsid w:val="003558E7"/>
    <w:rsid w:val="00356F88"/>
    <w:rsid w:val="0035742C"/>
    <w:rsid w:val="003577ED"/>
    <w:rsid w:val="00357A95"/>
    <w:rsid w:val="00360212"/>
    <w:rsid w:val="00360AB4"/>
    <w:rsid w:val="00361026"/>
    <w:rsid w:val="0036673E"/>
    <w:rsid w:val="00366923"/>
    <w:rsid w:val="003676EB"/>
    <w:rsid w:val="00367BEF"/>
    <w:rsid w:val="003718EF"/>
    <w:rsid w:val="00371EAB"/>
    <w:rsid w:val="00375534"/>
    <w:rsid w:val="00375ED6"/>
    <w:rsid w:val="00376097"/>
    <w:rsid w:val="0037668E"/>
    <w:rsid w:val="00376DB5"/>
    <w:rsid w:val="00380678"/>
    <w:rsid w:val="00381198"/>
    <w:rsid w:val="00381989"/>
    <w:rsid w:val="003820DE"/>
    <w:rsid w:val="0038578A"/>
    <w:rsid w:val="0039062C"/>
    <w:rsid w:val="003916E7"/>
    <w:rsid w:val="0039197A"/>
    <w:rsid w:val="00393611"/>
    <w:rsid w:val="00393F53"/>
    <w:rsid w:val="00394413"/>
    <w:rsid w:val="00395108"/>
    <w:rsid w:val="0039633D"/>
    <w:rsid w:val="00396FF7"/>
    <w:rsid w:val="003A1308"/>
    <w:rsid w:val="003A1469"/>
    <w:rsid w:val="003A1B27"/>
    <w:rsid w:val="003A1F7C"/>
    <w:rsid w:val="003A30FA"/>
    <w:rsid w:val="003A35F9"/>
    <w:rsid w:val="003A3FDD"/>
    <w:rsid w:val="003B1CB6"/>
    <w:rsid w:val="003B4A22"/>
    <w:rsid w:val="003B63B5"/>
    <w:rsid w:val="003C074E"/>
    <w:rsid w:val="003C1CEE"/>
    <w:rsid w:val="003C2690"/>
    <w:rsid w:val="003C38E1"/>
    <w:rsid w:val="003C3A33"/>
    <w:rsid w:val="003C5BD4"/>
    <w:rsid w:val="003C6350"/>
    <w:rsid w:val="003D113A"/>
    <w:rsid w:val="003D1513"/>
    <w:rsid w:val="003D2EF0"/>
    <w:rsid w:val="003D32AC"/>
    <w:rsid w:val="003D46C6"/>
    <w:rsid w:val="003D4935"/>
    <w:rsid w:val="003D5DB7"/>
    <w:rsid w:val="003D6C44"/>
    <w:rsid w:val="003E01E4"/>
    <w:rsid w:val="003E20F3"/>
    <w:rsid w:val="003E27DD"/>
    <w:rsid w:val="003E28F4"/>
    <w:rsid w:val="003E44F8"/>
    <w:rsid w:val="003E7909"/>
    <w:rsid w:val="003F1B85"/>
    <w:rsid w:val="003F42B2"/>
    <w:rsid w:val="003F5BCA"/>
    <w:rsid w:val="003F601C"/>
    <w:rsid w:val="003F6179"/>
    <w:rsid w:val="003F6B41"/>
    <w:rsid w:val="003F78D7"/>
    <w:rsid w:val="004014FA"/>
    <w:rsid w:val="00403285"/>
    <w:rsid w:val="00403EA2"/>
    <w:rsid w:val="00407E0A"/>
    <w:rsid w:val="004101DD"/>
    <w:rsid w:val="00410FCB"/>
    <w:rsid w:val="004120F7"/>
    <w:rsid w:val="0041240D"/>
    <w:rsid w:val="004173E2"/>
    <w:rsid w:val="004208A1"/>
    <w:rsid w:val="00421929"/>
    <w:rsid w:val="00422527"/>
    <w:rsid w:val="00424FE0"/>
    <w:rsid w:val="00425B46"/>
    <w:rsid w:val="00426AEF"/>
    <w:rsid w:val="004271AD"/>
    <w:rsid w:val="00427760"/>
    <w:rsid w:val="00427A54"/>
    <w:rsid w:val="00427CF1"/>
    <w:rsid w:val="00427FCB"/>
    <w:rsid w:val="004300BE"/>
    <w:rsid w:val="00430428"/>
    <w:rsid w:val="0043149A"/>
    <w:rsid w:val="00431AC1"/>
    <w:rsid w:val="00432F8E"/>
    <w:rsid w:val="00433395"/>
    <w:rsid w:val="00434E1B"/>
    <w:rsid w:val="00435660"/>
    <w:rsid w:val="004365A4"/>
    <w:rsid w:val="00437068"/>
    <w:rsid w:val="00437B7F"/>
    <w:rsid w:val="00437C31"/>
    <w:rsid w:val="00437E01"/>
    <w:rsid w:val="00440476"/>
    <w:rsid w:val="00441725"/>
    <w:rsid w:val="00446CAD"/>
    <w:rsid w:val="004476D4"/>
    <w:rsid w:val="00450327"/>
    <w:rsid w:val="00450C59"/>
    <w:rsid w:val="00451D8F"/>
    <w:rsid w:val="00451FC2"/>
    <w:rsid w:val="00454338"/>
    <w:rsid w:val="00454BA3"/>
    <w:rsid w:val="00455916"/>
    <w:rsid w:val="004567D8"/>
    <w:rsid w:val="00460FB1"/>
    <w:rsid w:val="004610D5"/>
    <w:rsid w:val="00461E2B"/>
    <w:rsid w:val="00462BA6"/>
    <w:rsid w:val="004633C7"/>
    <w:rsid w:val="00463C49"/>
    <w:rsid w:val="00464134"/>
    <w:rsid w:val="00464153"/>
    <w:rsid w:val="0046473E"/>
    <w:rsid w:val="00471F95"/>
    <w:rsid w:val="004751DC"/>
    <w:rsid w:val="00475251"/>
    <w:rsid w:val="004765AD"/>
    <w:rsid w:val="00477299"/>
    <w:rsid w:val="00483325"/>
    <w:rsid w:val="004844FE"/>
    <w:rsid w:val="004848FB"/>
    <w:rsid w:val="004849C1"/>
    <w:rsid w:val="0048552C"/>
    <w:rsid w:val="00486D57"/>
    <w:rsid w:val="004878BF"/>
    <w:rsid w:val="004906F2"/>
    <w:rsid w:val="00490C15"/>
    <w:rsid w:val="00492B2C"/>
    <w:rsid w:val="00493EFF"/>
    <w:rsid w:val="004A068D"/>
    <w:rsid w:val="004A0A5A"/>
    <w:rsid w:val="004A18F1"/>
    <w:rsid w:val="004A1E51"/>
    <w:rsid w:val="004A2488"/>
    <w:rsid w:val="004A372C"/>
    <w:rsid w:val="004A485C"/>
    <w:rsid w:val="004A5F84"/>
    <w:rsid w:val="004A6D01"/>
    <w:rsid w:val="004A7B1B"/>
    <w:rsid w:val="004B2EA2"/>
    <w:rsid w:val="004B353D"/>
    <w:rsid w:val="004B43FC"/>
    <w:rsid w:val="004B4809"/>
    <w:rsid w:val="004B4DA6"/>
    <w:rsid w:val="004B5DB6"/>
    <w:rsid w:val="004B6FF5"/>
    <w:rsid w:val="004B754B"/>
    <w:rsid w:val="004C1AE4"/>
    <w:rsid w:val="004C244C"/>
    <w:rsid w:val="004C337C"/>
    <w:rsid w:val="004C3673"/>
    <w:rsid w:val="004C3D5B"/>
    <w:rsid w:val="004C4131"/>
    <w:rsid w:val="004C4979"/>
    <w:rsid w:val="004C50C3"/>
    <w:rsid w:val="004C5502"/>
    <w:rsid w:val="004C75F8"/>
    <w:rsid w:val="004D0005"/>
    <w:rsid w:val="004D22A9"/>
    <w:rsid w:val="004D3D12"/>
    <w:rsid w:val="004D4636"/>
    <w:rsid w:val="004D4A40"/>
    <w:rsid w:val="004D5906"/>
    <w:rsid w:val="004D60EA"/>
    <w:rsid w:val="004D671C"/>
    <w:rsid w:val="004E11A5"/>
    <w:rsid w:val="004E136A"/>
    <w:rsid w:val="004E18B4"/>
    <w:rsid w:val="004E2608"/>
    <w:rsid w:val="004E3149"/>
    <w:rsid w:val="004E367E"/>
    <w:rsid w:val="004E5106"/>
    <w:rsid w:val="004E57EE"/>
    <w:rsid w:val="004E6FF3"/>
    <w:rsid w:val="004E7C4E"/>
    <w:rsid w:val="004F05D3"/>
    <w:rsid w:val="004F27D6"/>
    <w:rsid w:val="004F3901"/>
    <w:rsid w:val="004F3B7F"/>
    <w:rsid w:val="004F4338"/>
    <w:rsid w:val="004F579D"/>
    <w:rsid w:val="004F5BA4"/>
    <w:rsid w:val="004F727F"/>
    <w:rsid w:val="00501132"/>
    <w:rsid w:val="00502254"/>
    <w:rsid w:val="005024CB"/>
    <w:rsid w:val="00503166"/>
    <w:rsid w:val="005036D6"/>
    <w:rsid w:val="00504670"/>
    <w:rsid w:val="0050704D"/>
    <w:rsid w:val="00507533"/>
    <w:rsid w:val="005100E4"/>
    <w:rsid w:val="00513513"/>
    <w:rsid w:val="00514C2B"/>
    <w:rsid w:val="00516A4F"/>
    <w:rsid w:val="00516D28"/>
    <w:rsid w:val="0051733A"/>
    <w:rsid w:val="00520A96"/>
    <w:rsid w:val="00520F28"/>
    <w:rsid w:val="005229C9"/>
    <w:rsid w:val="00522CC5"/>
    <w:rsid w:val="00523ECA"/>
    <w:rsid w:val="00524DE8"/>
    <w:rsid w:val="005259F1"/>
    <w:rsid w:val="00525E3A"/>
    <w:rsid w:val="00526D19"/>
    <w:rsid w:val="005319BD"/>
    <w:rsid w:val="005349F1"/>
    <w:rsid w:val="005361B8"/>
    <w:rsid w:val="00536566"/>
    <w:rsid w:val="00536770"/>
    <w:rsid w:val="00537B02"/>
    <w:rsid w:val="00541700"/>
    <w:rsid w:val="00542499"/>
    <w:rsid w:val="005435FF"/>
    <w:rsid w:val="00543FA2"/>
    <w:rsid w:val="00544682"/>
    <w:rsid w:val="00546B0A"/>
    <w:rsid w:val="005503B0"/>
    <w:rsid w:val="00550880"/>
    <w:rsid w:val="00550A18"/>
    <w:rsid w:val="00555D2F"/>
    <w:rsid w:val="00556465"/>
    <w:rsid w:val="00556535"/>
    <w:rsid w:val="005600E5"/>
    <w:rsid w:val="005606BB"/>
    <w:rsid w:val="00563464"/>
    <w:rsid w:val="0056356E"/>
    <w:rsid w:val="005638CE"/>
    <w:rsid w:val="00563D03"/>
    <w:rsid w:val="00563D7D"/>
    <w:rsid w:val="00564479"/>
    <w:rsid w:val="005650AC"/>
    <w:rsid w:val="005653F2"/>
    <w:rsid w:val="005664A2"/>
    <w:rsid w:val="0056751B"/>
    <w:rsid w:val="00567826"/>
    <w:rsid w:val="00570823"/>
    <w:rsid w:val="00571CF5"/>
    <w:rsid w:val="00573A4D"/>
    <w:rsid w:val="00573FE5"/>
    <w:rsid w:val="0057401A"/>
    <w:rsid w:val="005759F4"/>
    <w:rsid w:val="00580954"/>
    <w:rsid w:val="00581B83"/>
    <w:rsid w:val="00581FB5"/>
    <w:rsid w:val="005823E2"/>
    <w:rsid w:val="00583504"/>
    <w:rsid w:val="0058352F"/>
    <w:rsid w:val="00584019"/>
    <w:rsid w:val="0058455C"/>
    <w:rsid w:val="00584E52"/>
    <w:rsid w:val="00585511"/>
    <w:rsid w:val="005866D5"/>
    <w:rsid w:val="00586D5D"/>
    <w:rsid w:val="00587BA1"/>
    <w:rsid w:val="00590276"/>
    <w:rsid w:val="005904FF"/>
    <w:rsid w:val="00591326"/>
    <w:rsid w:val="00592D9A"/>
    <w:rsid w:val="00595169"/>
    <w:rsid w:val="005A2EFB"/>
    <w:rsid w:val="005B0502"/>
    <w:rsid w:val="005B0B56"/>
    <w:rsid w:val="005B3476"/>
    <w:rsid w:val="005B3653"/>
    <w:rsid w:val="005B5AF2"/>
    <w:rsid w:val="005B7C94"/>
    <w:rsid w:val="005B7EFD"/>
    <w:rsid w:val="005C1082"/>
    <w:rsid w:val="005C2A48"/>
    <w:rsid w:val="005C482F"/>
    <w:rsid w:val="005C4E8C"/>
    <w:rsid w:val="005C53BD"/>
    <w:rsid w:val="005C5826"/>
    <w:rsid w:val="005C66EB"/>
    <w:rsid w:val="005D0BDC"/>
    <w:rsid w:val="005D0E82"/>
    <w:rsid w:val="005D1BA4"/>
    <w:rsid w:val="005D206A"/>
    <w:rsid w:val="005D4A62"/>
    <w:rsid w:val="005D529E"/>
    <w:rsid w:val="005D58BA"/>
    <w:rsid w:val="005D782E"/>
    <w:rsid w:val="005D7EC2"/>
    <w:rsid w:val="005E0B2A"/>
    <w:rsid w:val="005E24D2"/>
    <w:rsid w:val="005E2BC0"/>
    <w:rsid w:val="005E44C9"/>
    <w:rsid w:val="005E4B57"/>
    <w:rsid w:val="005E6722"/>
    <w:rsid w:val="005F063A"/>
    <w:rsid w:val="005F0ABE"/>
    <w:rsid w:val="005F1076"/>
    <w:rsid w:val="005F1202"/>
    <w:rsid w:val="005F1A6F"/>
    <w:rsid w:val="005F1D44"/>
    <w:rsid w:val="005F2A23"/>
    <w:rsid w:val="005F31C0"/>
    <w:rsid w:val="005F5835"/>
    <w:rsid w:val="005F74B3"/>
    <w:rsid w:val="006017B5"/>
    <w:rsid w:val="006034B3"/>
    <w:rsid w:val="0060366D"/>
    <w:rsid w:val="006045C9"/>
    <w:rsid w:val="00606917"/>
    <w:rsid w:val="00606E85"/>
    <w:rsid w:val="00607E07"/>
    <w:rsid w:val="00610405"/>
    <w:rsid w:val="006106D8"/>
    <w:rsid w:val="006120EB"/>
    <w:rsid w:val="006125B6"/>
    <w:rsid w:val="00612955"/>
    <w:rsid w:val="0061328E"/>
    <w:rsid w:val="0061346E"/>
    <w:rsid w:val="00613555"/>
    <w:rsid w:val="00613B1F"/>
    <w:rsid w:val="006150BB"/>
    <w:rsid w:val="00615A53"/>
    <w:rsid w:val="0061617B"/>
    <w:rsid w:val="00616B42"/>
    <w:rsid w:val="006177C6"/>
    <w:rsid w:val="0062207D"/>
    <w:rsid w:val="006238ED"/>
    <w:rsid w:val="006250F0"/>
    <w:rsid w:val="006252CB"/>
    <w:rsid w:val="00625924"/>
    <w:rsid w:val="006279CD"/>
    <w:rsid w:val="00635BC6"/>
    <w:rsid w:val="00635C1D"/>
    <w:rsid w:val="00637B6E"/>
    <w:rsid w:val="006408E5"/>
    <w:rsid w:val="00641F80"/>
    <w:rsid w:val="0064670E"/>
    <w:rsid w:val="00646E11"/>
    <w:rsid w:val="00646F8B"/>
    <w:rsid w:val="006500CC"/>
    <w:rsid w:val="006501DF"/>
    <w:rsid w:val="006503DB"/>
    <w:rsid w:val="006537F8"/>
    <w:rsid w:val="00653B34"/>
    <w:rsid w:val="006549D0"/>
    <w:rsid w:val="00655732"/>
    <w:rsid w:val="00656507"/>
    <w:rsid w:val="006575E6"/>
    <w:rsid w:val="00661634"/>
    <w:rsid w:val="00663124"/>
    <w:rsid w:val="006632D1"/>
    <w:rsid w:val="0066660D"/>
    <w:rsid w:val="00666666"/>
    <w:rsid w:val="00670253"/>
    <w:rsid w:val="00670F79"/>
    <w:rsid w:val="006710E6"/>
    <w:rsid w:val="00671106"/>
    <w:rsid w:val="006719BB"/>
    <w:rsid w:val="0067200B"/>
    <w:rsid w:val="00672710"/>
    <w:rsid w:val="00673186"/>
    <w:rsid w:val="0067455C"/>
    <w:rsid w:val="0067477F"/>
    <w:rsid w:val="00674E96"/>
    <w:rsid w:val="00676914"/>
    <w:rsid w:val="00676C0E"/>
    <w:rsid w:val="0067740F"/>
    <w:rsid w:val="00677E2C"/>
    <w:rsid w:val="006809AE"/>
    <w:rsid w:val="0068126B"/>
    <w:rsid w:val="00681577"/>
    <w:rsid w:val="00681E7B"/>
    <w:rsid w:val="006827F8"/>
    <w:rsid w:val="00686EF2"/>
    <w:rsid w:val="0068799A"/>
    <w:rsid w:val="00693944"/>
    <w:rsid w:val="00693DCE"/>
    <w:rsid w:val="00694593"/>
    <w:rsid w:val="006952D9"/>
    <w:rsid w:val="00696FD9"/>
    <w:rsid w:val="006A0292"/>
    <w:rsid w:val="006A0DA7"/>
    <w:rsid w:val="006A365A"/>
    <w:rsid w:val="006A3DC4"/>
    <w:rsid w:val="006A3E14"/>
    <w:rsid w:val="006A611E"/>
    <w:rsid w:val="006B0FF9"/>
    <w:rsid w:val="006B2190"/>
    <w:rsid w:val="006B24FE"/>
    <w:rsid w:val="006B471A"/>
    <w:rsid w:val="006B5187"/>
    <w:rsid w:val="006B67D0"/>
    <w:rsid w:val="006B7BF7"/>
    <w:rsid w:val="006C076F"/>
    <w:rsid w:val="006C229F"/>
    <w:rsid w:val="006C4878"/>
    <w:rsid w:val="006C540D"/>
    <w:rsid w:val="006D279F"/>
    <w:rsid w:val="006D736C"/>
    <w:rsid w:val="006E0B8E"/>
    <w:rsid w:val="006E2A57"/>
    <w:rsid w:val="006E3C2E"/>
    <w:rsid w:val="006E54B6"/>
    <w:rsid w:val="006E6685"/>
    <w:rsid w:val="006E7819"/>
    <w:rsid w:val="006F0CF4"/>
    <w:rsid w:val="006F1F39"/>
    <w:rsid w:val="006F311D"/>
    <w:rsid w:val="006F532B"/>
    <w:rsid w:val="006F5C37"/>
    <w:rsid w:val="006F7108"/>
    <w:rsid w:val="006F7E30"/>
    <w:rsid w:val="006F7FC8"/>
    <w:rsid w:val="00702744"/>
    <w:rsid w:val="00703447"/>
    <w:rsid w:val="007054BA"/>
    <w:rsid w:val="0070700B"/>
    <w:rsid w:val="00707CE7"/>
    <w:rsid w:val="00707F78"/>
    <w:rsid w:val="00712A98"/>
    <w:rsid w:val="00714293"/>
    <w:rsid w:val="007151FA"/>
    <w:rsid w:val="00715C0E"/>
    <w:rsid w:val="00721AB2"/>
    <w:rsid w:val="00727C69"/>
    <w:rsid w:val="0073017B"/>
    <w:rsid w:val="00730644"/>
    <w:rsid w:val="0073068E"/>
    <w:rsid w:val="00730CEA"/>
    <w:rsid w:val="0073362F"/>
    <w:rsid w:val="00735070"/>
    <w:rsid w:val="0073652D"/>
    <w:rsid w:val="00736582"/>
    <w:rsid w:val="007369A3"/>
    <w:rsid w:val="00737148"/>
    <w:rsid w:val="007377E1"/>
    <w:rsid w:val="00740821"/>
    <w:rsid w:val="00740BA8"/>
    <w:rsid w:val="00741A14"/>
    <w:rsid w:val="00742251"/>
    <w:rsid w:val="0074278B"/>
    <w:rsid w:val="0074460C"/>
    <w:rsid w:val="0074720B"/>
    <w:rsid w:val="007501B1"/>
    <w:rsid w:val="00750335"/>
    <w:rsid w:val="007503DF"/>
    <w:rsid w:val="00753688"/>
    <w:rsid w:val="00755E8C"/>
    <w:rsid w:val="00757578"/>
    <w:rsid w:val="00761A7F"/>
    <w:rsid w:val="00761B4B"/>
    <w:rsid w:val="00764508"/>
    <w:rsid w:val="00765BE9"/>
    <w:rsid w:val="007666C0"/>
    <w:rsid w:val="00767C1E"/>
    <w:rsid w:val="007704B8"/>
    <w:rsid w:val="0077211F"/>
    <w:rsid w:val="007723E2"/>
    <w:rsid w:val="00773411"/>
    <w:rsid w:val="00774E2E"/>
    <w:rsid w:val="0077604D"/>
    <w:rsid w:val="00776D18"/>
    <w:rsid w:val="00777248"/>
    <w:rsid w:val="00777CB8"/>
    <w:rsid w:val="007801E8"/>
    <w:rsid w:val="00780854"/>
    <w:rsid w:val="00781202"/>
    <w:rsid w:val="00781655"/>
    <w:rsid w:val="0078448A"/>
    <w:rsid w:val="007853F8"/>
    <w:rsid w:val="007871B2"/>
    <w:rsid w:val="00793CF5"/>
    <w:rsid w:val="00795400"/>
    <w:rsid w:val="00796B1A"/>
    <w:rsid w:val="007A0A47"/>
    <w:rsid w:val="007A16CB"/>
    <w:rsid w:val="007A1926"/>
    <w:rsid w:val="007A29C9"/>
    <w:rsid w:val="007A44F1"/>
    <w:rsid w:val="007A7488"/>
    <w:rsid w:val="007B0129"/>
    <w:rsid w:val="007B2454"/>
    <w:rsid w:val="007B2AC8"/>
    <w:rsid w:val="007B4FB7"/>
    <w:rsid w:val="007B6216"/>
    <w:rsid w:val="007B6804"/>
    <w:rsid w:val="007C0601"/>
    <w:rsid w:val="007C0824"/>
    <w:rsid w:val="007C2796"/>
    <w:rsid w:val="007C4164"/>
    <w:rsid w:val="007C492B"/>
    <w:rsid w:val="007C68C1"/>
    <w:rsid w:val="007C69E2"/>
    <w:rsid w:val="007D05E2"/>
    <w:rsid w:val="007D101D"/>
    <w:rsid w:val="007D1886"/>
    <w:rsid w:val="007D3746"/>
    <w:rsid w:val="007D37A8"/>
    <w:rsid w:val="007D52C4"/>
    <w:rsid w:val="007D58B2"/>
    <w:rsid w:val="007D7655"/>
    <w:rsid w:val="007E022E"/>
    <w:rsid w:val="007E0A0B"/>
    <w:rsid w:val="007E13D0"/>
    <w:rsid w:val="007E1532"/>
    <w:rsid w:val="007E6D47"/>
    <w:rsid w:val="007E7550"/>
    <w:rsid w:val="007E779C"/>
    <w:rsid w:val="007F103B"/>
    <w:rsid w:val="007F2119"/>
    <w:rsid w:val="007F2484"/>
    <w:rsid w:val="007F2CDA"/>
    <w:rsid w:val="007F311C"/>
    <w:rsid w:val="007F3C0D"/>
    <w:rsid w:val="007F3C5D"/>
    <w:rsid w:val="007F4AC6"/>
    <w:rsid w:val="007F4EA4"/>
    <w:rsid w:val="007F5E15"/>
    <w:rsid w:val="007F695F"/>
    <w:rsid w:val="007F7D7F"/>
    <w:rsid w:val="008004E8"/>
    <w:rsid w:val="00800FB8"/>
    <w:rsid w:val="0080188E"/>
    <w:rsid w:val="008021EB"/>
    <w:rsid w:val="00802BFF"/>
    <w:rsid w:val="00804B96"/>
    <w:rsid w:val="008050FA"/>
    <w:rsid w:val="00805139"/>
    <w:rsid w:val="00805C2E"/>
    <w:rsid w:val="00805E38"/>
    <w:rsid w:val="00807D0D"/>
    <w:rsid w:val="00807E89"/>
    <w:rsid w:val="00811C91"/>
    <w:rsid w:val="00811F1F"/>
    <w:rsid w:val="008120E7"/>
    <w:rsid w:val="00812290"/>
    <w:rsid w:val="00813D0F"/>
    <w:rsid w:val="0081468D"/>
    <w:rsid w:val="00814AED"/>
    <w:rsid w:val="00814F28"/>
    <w:rsid w:val="008156A6"/>
    <w:rsid w:val="008175F2"/>
    <w:rsid w:val="00817EB7"/>
    <w:rsid w:val="008205E3"/>
    <w:rsid w:val="00822B92"/>
    <w:rsid w:val="00822C0A"/>
    <w:rsid w:val="00823191"/>
    <w:rsid w:val="008257CA"/>
    <w:rsid w:val="00825980"/>
    <w:rsid w:val="00826187"/>
    <w:rsid w:val="00827F1D"/>
    <w:rsid w:val="00830F04"/>
    <w:rsid w:val="00832269"/>
    <w:rsid w:val="00832579"/>
    <w:rsid w:val="008328D3"/>
    <w:rsid w:val="008328F4"/>
    <w:rsid w:val="008338DB"/>
    <w:rsid w:val="00833BD7"/>
    <w:rsid w:val="00833C09"/>
    <w:rsid w:val="00833FDF"/>
    <w:rsid w:val="008355F0"/>
    <w:rsid w:val="00840C48"/>
    <w:rsid w:val="00842604"/>
    <w:rsid w:val="00842845"/>
    <w:rsid w:val="00845B62"/>
    <w:rsid w:val="00845D88"/>
    <w:rsid w:val="0084798D"/>
    <w:rsid w:val="008505DF"/>
    <w:rsid w:val="008535DE"/>
    <w:rsid w:val="00853BC8"/>
    <w:rsid w:val="00854518"/>
    <w:rsid w:val="008555B6"/>
    <w:rsid w:val="00855D1C"/>
    <w:rsid w:val="008572EE"/>
    <w:rsid w:val="008608E5"/>
    <w:rsid w:val="00861173"/>
    <w:rsid w:val="00861EFF"/>
    <w:rsid w:val="00864969"/>
    <w:rsid w:val="00870241"/>
    <w:rsid w:val="00873CF8"/>
    <w:rsid w:val="008747BE"/>
    <w:rsid w:val="00874EF6"/>
    <w:rsid w:val="0087599B"/>
    <w:rsid w:val="008767D0"/>
    <w:rsid w:val="008800DC"/>
    <w:rsid w:val="00881FA4"/>
    <w:rsid w:val="008828F7"/>
    <w:rsid w:val="00882CBE"/>
    <w:rsid w:val="00883481"/>
    <w:rsid w:val="00884855"/>
    <w:rsid w:val="0088599A"/>
    <w:rsid w:val="00885F56"/>
    <w:rsid w:val="00887919"/>
    <w:rsid w:val="008879D8"/>
    <w:rsid w:val="008912B0"/>
    <w:rsid w:val="0089487B"/>
    <w:rsid w:val="00894F12"/>
    <w:rsid w:val="00895674"/>
    <w:rsid w:val="00895B8B"/>
    <w:rsid w:val="00896EEC"/>
    <w:rsid w:val="008973DB"/>
    <w:rsid w:val="008A179E"/>
    <w:rsid w:val="008A3202"/>
    <w:rsid w:val="008A37D7"/>
    <w:rsid w:val="008A3FD8"/>
    <w:rsid w:val="008A6576"/>
    <w:rsid w:val="008B103E"/>
    <w:rsid w:val="008B4077"/>
    <w:rsid w:val="008B4420"/>
    <w:rsid w:val="008B50C6"/>
    <w:rsid w:val="008B53D7"/>
    <w:rsid w:val="008C0171"/>
    <w:rsid w:val="008C0315"/>
    <w:rsid w:val="008C1A3B"/>
    <w:rsid w:val="008C2B3E"/>
    <w:rsid w:val="008C3955"/>
    <w:rsid w:val="008C5324"/>
    <w:rsid w:val="008C6EB2"/>
    <w:rsid w:val="008C721C"/>
    <w:rsid w:val="008D05CB"/>
    <w:rsid w:val="008D0728"/>
    <w:rsid w:val="008D2284"/>
    <w:rsid w:val="008D23FD"/>
    <w:rsid w:val="008D2EB8"/>
    <w:rsid w:val="008D33D2"/>
    <w:rsid w:val="008D5256"/>
    <w:rsid w:val="008D555F"/>
    <w:rsid w:val="008D6578"/>
    <w:rsid w:val="008D76A3"/>
    <w:rsid w:val="008E28E2"/>
    <w:rsid w:val="008E37DD"/>
    <w:rsid w:val="008E5AB4"/>
    <w:rsid w:val="008E620A"/>
    <w:rsid w:val="008E6833"/>
    <w:rsid w:val="008E6865"/>
    <w:rsid w:val="008E69C2"/>
    <w:rsid w:val="008E75F4"/>
    <w:rsid w:val="008E7724"/>
    <w:rsid w:val="008F01BB"/>
    <w:rsid w:val="008F01BF"/>
    <w:rsid w:val="008F2F11"/>
    <w:rsid w:val="008F4389"/>
    <w:rsid w:val="008F62FE"/>
    <w:rsid w:val="008F6C2C"/>
    <w:rsid w:val="008F7013"/>
    <w:rsid w:val="008F7304"/>
    <w:rsid w:val="0090052B"/>
    <w:rsid w:val="0090100E"/>
    <w:rsid w:val="00901C8E"/>
    <w:rsid w:val="009021F2"/>
    <w:rsid w:val="009023A4"/>
    <w:rsid w:val="00903D47"/>
    <w:rsid w:val="00903FC8"/>
    <w:rsid w:val="0090504A"/>
    <w:rsid w:val="009055DB"/>
    <w:rsid w:val="00905F53"/>
    <w:rsid w:val="009072AC"/>
    <w:rsid w:val="00907E35"/>
    <w:rsid w:val="00912081"/>
    <w:rsid w:val="009122DE"/>
    <w:rsid w:val="00912C53"/>
    <w:rsid w:val="009147BB"/>
    <w:rsid w:val="0091705E"/>
    <w:rsid w:val="00917737"/>
    <w:rsid w:val="0092034C"/>
    <w:rsid w:val="009223A1"/>
    <w:rsid w:val="00924E84"/>
    <w:rsid w:val="0092595E"/>
    <w:rsid w:val="00927CA9"/>
    <w:rsid w:val="0093235D"/>
    <w:rsid w:val="009361DB"/>
    <w:rsid w:val="009369D2"/>
    <w:rsid w:val="00936B8C"/>
    <w:rsid w:val="00937C78"/>
    <w:rsid w:val="00937FEA"/>
    <w:rsid w:val="00940309"/>
    <w:rsid w:val="00941200"/>
    <w:rsid w:val="00945739"/>
    <w:rsid w:val="00946E0F"/>
    <w:rsid w:val="009513F3"/>
    <w:rsid w:val="00951A81"/>
    <w:rsid w:val="0095270A"/>
    <w:rsid w:val="0095483B"/>
    <w:rsid w:val="009609E6"/>
    <w:rsid w:val="00960C0E"/>
    <w:rsid w:val="009628B9"/>
    <w:rsid w:val="00962EFC"/>
    <w:rsid w:val="00963079"/>
    <w:rsid w:val="00964732"/>
    <w:rsid w:val="00964A88"/>
    <w:rsid w:val="00966300"/>
    <w:rsid w:val="00966D76"/>
    <w:rsid w:val="00966EF0"/>
    <w:rsid w:val="00970C76"/>
    <w:rsid w:val="00971152"/>
    <w:rsid w:val="00971CA8"/>
    <w:rsid w:val="009743F4"/>
    <w:rsid w:val="00976D67"/>
    <w:rsid w:val="009805E8"/>
    <w:rsid w:val="00982337"/>
    <w:rsid w:val="00984A1A"/>
    <w:rsid w:val="00984E27"/>
    <w:rsid w:val="00986279"/>
    <w:rsid w:val="00987AD0"/>
    <w:rsid w:val="00995259"/>
    <w:rsid w:val="00995D86"/>
    <w:rsid w:val="00996000"/>
    <w:rsid w:val="009966F7"/>
    <w:rsid w:val="00996F1F"/>
    <w:rsid w:val="0099709A"/>
    <w:rsid w:val="009A1AFD"/>
    <w:rsid w:val="009A2195"/>
    <w:rsid w:val="009A223B"/>
    <w:rsid w:val="009A65E5"/>
    <w:rsid w:val="009B0111"/>
    <w:rsid w:val="009B0498"/>
    <w:rsid w:val="009B0A27"/>
    <w:rsid w:val="009B1C8F"/>
    <w:rsid w:val="009B25E4"/>
    <w:rsid w:val="009B3F45"/>
    <w:rsid w:val="009C0AC9"/>
    <w:rsid w:val="009C2253"/>
    <w:rsid w:val="009C2DC0"/>
    <w:rsid w:val="009C5198"/>
    <w:rsid w:val="009C52F7"/>
    <w:rsid w:val="009C533B"/>
    <w:rsid w:val="009C67A1"/>
    <w:rsid w:val="009D148E"/>
    <w:rsid w:val="009D1A69"/>
    <w:rsid w:val="009D1E0D"/>
    <w:rsid w:val="009D211F"/>
    <w:rsid w:val="009D42FF"/>
    <w:rsid w:val="009D4C03"/>
    <w:rsid w:val="009D501E"/>
    <w:rsid w:val="009D5760"/>
    <w:rsid w:val="009D6443"/>
    <w:rsid w:val="009D7598"/>
    <w:rsid w:val="009E1F15"/>
    <w:rsid w:val="009E42A7"/>
    <w:rsid w:val="009E47CC"/>
    <w:rsid w:val="009E4DF7"/>
    <w:rsid w:val="009E5672"/>
    <w:rsid w:val="009E769A"/>
    <w:rsid w:val="009E7EB4"/>
    <w:rsid w:val="009F06D7"/>
    <w:rsid w:val="009F22C8"/>
    <w:rsid w:val="009F2844"/>
    <w:rsid w:val="009F2EDF"/>
    <w:rsid w:val="009F332D"/>
    <w:rsid w:val="009F43DD"/>
    <w:rsid w:val="009F5D7F"/>
    <w:rsid w:val="009F5FDB"/>
    <w:rsid w:val="009F6675"/>
    <w:rsid w:val="00A008E3"/>
    <w:rsid w:val="00A010B3"/>
    <w:rsid w:val="00A01500"/>
    <w:rsid w:val="00A01682"/>
    <w:rsid w:val="00A01784"/>
    <w:rsid w:val="00A02635"/>
    <w:rsid w:val="00A02961"/>
    <w:rsid w:val="00A05F82"/>
    <w:rsid w:val="00A07BE9"/>
    <w:rsid w:val="00A13FC6"/>
    <w:rsid w:val="00A1410F"/>
    <w:rsid w:val="00A20344"/>
    <w:rsid w:val="00A22141"/>
    <w:rsid w:val="00A22C09"/>
    <w:rsid w:val="00A26926"/>
    <w:rsid w:val="00A274DE"/>
    <w:rsid w:val="00A279EF"/>
    <w:rsid w:val="00A27B0D"/>
    <w:rsid w:val="00A30710"/>
    <w:rsid w:val="00A309C6"/>
    <w:rsid w:val="00A30D14"/>
    <w:rsid w:val="00A319B4"/>
    <w:rsid w:val="00A33F14"/>
    <w:rsid w:val="00A34249"/>
    <w:rsid w:val="00A34936"/>
    <w:rsid w:val="00A34B9D"/>
    <w:rsid w:val="00A358CD"/>
    <w:rsid w:val="00A40E7E"/>
    <w:rsid w:val="00A415E4"/>
    <w:rsid w:val="00A4225E"/>
    <w:rsid w:val="00A42D46"/>
    <w:rsid w:val="00A42F52"/>
    <w:rsid w:val="00A43239"/>
    <w:rsid w:val="00A458F5"/>
    <w:rsid w:val="00A518B7"/>
    <w:rsid w:val="00A51B51"/>
    <w:rsid w:val="00A528A4"/>
    <w:rsid w:val="00A533A3"/>
    <w:rsid w:val="00A55E53"/>
    <w:rsid w:val="00A57566"/>
    <w:rsid w:val="00A60C01"/>
    <w:rsid w:val="00A61FFB"/>
    <w:rsid w:val="00A62E12"/>
    <w:rsid w:val="00A646F7"/>
    <w:rsid w:val="00A64AAC"/>
    <w:rsid w:val="00A66C89"/>
    <w:rsid w:val="00A6708A"/>
    <w:rsid w:val="00A673A5"/>
    <w:rsid w:val="00A67AD3"/>
    <w:rsid w:val="00A71307"/>
    <w:rsid w:val="00A715CD"/>
    <w:rsid w:val="00A722F7"/>
    <w:rsid w:val="00A760AC"/>
    <w:rsid w:val="00A76264"/>
    <w:rsid w:val="00A80204"/>
    <w:rsid w:val="00A80419"/>
    <w:rsid w:val="00A81F66"/>
    <w:rsid w:val="00A8219D"/>
    <w:rsid w:val="00A82FC5"/>
    <w:rsid w:val="00A83ACE"/>
    <w:rsid w:val="00A84263"/>
    <w:rsid w:val="00A84269"/>
    <w:rsid w:val="00A87B0E"/>
    <w:rsid w:val="00A87B5E"/>
    <w:rsid w:val="00A9068A"/>
    <w:rsid w:val="00A91E61"/>
    <w:rsid w:val="00A931F8"/>
    <w:rsid w:val="00A95540"/>
    <w:rsid w:val="00A9599E"/>
    <w:rsid w:val="00A95E41"/>
    <w:rsid w:val="00A97FB4"/>
    <w:rsid w:val="00AA0E80"/>
    <w:rsid w:val="00AA3203"/>
    <w:rsid w:val="00AA44A3"/>
    <w:rsid w:val="00AA5136"/>
    <w:rsid w:val="00AA56B6"/>
    <w:rsid w:val="00AA66D0"/>
    <w:rsid w:val="00AA6C2E"/>
    <w:rsid w:val="00AA78EA"/>
    <w:rsid w:val="00AB26B4"/>
    <w:rsid w:val="00AB3536"/>
    <w:rsid w:val="00AB3FCA"/>
    <w:rsid w:val="00AB53AB"/>
    <w:rsid w:val="00AC0B6D"/>
    <w:rsid w:val="00AC39EF"/>
    <w:rsid w:val="00AC4A23"/>
    <w:rsid w:val="00AC5D62"/>
    <w:rsid w:val="00AC6ED8"/>
    <w:rsid w:val="00AD1601"/>
    <w:rsid w:val="00AD2CEF"/>
    <w:rsid w:val="00AD3B2B"/>
    <w:rsid w:val="00AD417F"/>
    <w:rsid w:val="00AD431D"/>
    <w:rsid w:val="00AD58FD"/>
    <w:rsid w:val="00AE19AC"/>
    <w:rsid w:val="00AE1F10"/>
    <w:rsid w:val="00AE30EE"/>
    <w:rsid w:val="00AE3143"/>
    <w:rsid w:val="00AE364A"/>
    <w:rsid w:val="00AE4459"/>
    <w:rsid w:val="00AE65E5"/>
    <w:rsid w:val="00AF007E"/>
    <w:rsid w:val="00AF1A5D"/>
    <w:rsid w:val="00AF2003"/>
    <w:rsid w:val="00AF28CF"/>
    <w:rsid w:val="00AF28D1"/>
    <w:rsid w:val="00AF3038"/>
    <w:rsid w:val="00AF35D8"/>
    <w:rsid w:val="00AF4930"/>
    <w:rsid w:val="00AF5F36"/>
    <w:rsid w:val="00AF6A93"/>
    <w:rsid w:val="00AF6C0D"/>
    <w:rsid w:val="00AF6E79"/>
    <w:rsid w:val="00B01231"/>
    <w:rsid w:val="00B02AA7"/>
    <w:rsid w:val="00B02C07"/>
    <w:rsid w:val="00B02EED"/>
    <w:rsid w:val="00B03DCC"/>
    <w:rsid w:val="00B0639E"/>
    <w:rsid w:val="00B133F9"/>
    <w:rsid w:val="00B149DC"/>
    <w:rsid w:val="00B14C87"/>
    <w:rsid w:val="00B14F0D"/>
    <w:rsid w:val="00B159D5"/>
    <w:rsid w:val="00B17BD7"/>
    <w:rsid w:val="00B21052"/>
    <w:rsid w:val="00B21567"/>
    <w:rsid w:val="00B215CC"/>
    <w:rsid w:val="00B21695"/>
    <w:rsid w:val="00B221D7"/>
    <w:rsid w:val="00B266F4"/>
    <w:rsid w:val="00B308D7"/>
    <w:rsid w:val="00B318F9"/>
    <w:rsid w:val="00B337A3"/>
    <w:rsid w:val="00B33EB9"/>
    <w:rsid w:val="00B35CFC"/>
    <w:rsid w:val="00B36564"/>
    <w:rsid w:val="00B373BF"/>
    <w:rsid w:val="00B40787"/>
    <w:rsid w:val="00B41029"/>
    <w:rsid w:val="00B430EE"/>
    <w:rsid w:val="00B44A41"/>
    <w:rsid w:val="00B45C90"/>
    <w:rsid w:val="00B460F5"/>
    <w:rsid w:val="00B467D2"/>
    <w:rsid w:val="00B47516"/>
    <w:rsid w:val="00B51633"/>
    <w:rsid w:val="00B57A75"/>
    <w:rsid w:val="00B602AC"/>
    <w:rsid w:val="00B61BF2"/>
    <w:rsid w:val="00B61C7F"/>
    <w:rsid w:val="00B63737"/>
    <w:rsid w:val="00B63D97"/>
    <w:rsid w:val="00B63FF0"/>
    <w:rsid w:val="00B6531C"/>
    <w:rsid w:val="00B65C1C"/>
    <w:rsid w:val="00B65C23"/>
    <w:rsid w:val="00B66318"/>
    <w:rsid w:val="00B71B87"/>
    <w:rsid w:val="00B71CAB"/>
    <w:rsid w:val="00B728A6"/>
    <w:rsid w:val="00B734CB"/>
    <w:rsid w:val="00B74F2F"/>
    <w:rsid w:val="00B815D1"/>
    <w:rsid w:val="00B821C5"/>
    <w:rsid w:val="00B836F2"/>
    <w:rsid w:val="00B8376A"/>
    <w:rsid w:val="00B84558"/>
    <w:rsid w:val="00B84633"/>
    <w:rsid w:val="00B85271"/>
    <w:rsid w:val="00B86155"/>
    <w:rsid w:val="00B865F5"/>
    <w:rsid w:val="00B8764B"/>
    <w:rsid w:val="00B91DA9"/>
    <w:rsid w:val="00BA204A"/>
    <w:rsid w:val="00BA2846"/>
    <w:rsid w:val="00BA2952"/>
    <w:rsid w:val="00BA2AD2"/>
    <w:rsid w:val="00BA317C"/>
    <w:rsid w:val="00BA3A10"/>
    <w:rsid w:val="00BA3C0D"/>
    <w:rsid w:val="00BA4445"/>
    <w:rsid w:val="00BA558E"/>
    <w:rsid w:val="00BA60CB"/>
    <w:rsid w:val="00BA69D1"/>
    <w:rsid w:val="00BB1B12"/>
    <w:rsid w:val="00BB27BF"/>
    <w:rsid w:val="00BB5171"/>
    <w:rsid w:val="00BB57A5"/>
    <w:rsid w:val="00BB5AAD"/>
    <w:rsid w:val="00BB72B8"/>
    <w:rsid w:val="00BC2357"/>
    <w:rsid w:val="00BC35F8"/>
    <w:rsid w:val="00BC44DC"/>
    <w:rsid w:val="00BC5B76"/>
    <w:rsid w:val="00BC6FD0"/>
    <w:rsid w:val="00BC7C4C"/>
    <w:rsid w:val="00BD13E4"/>
    <w:rsid w:val="00BD1529"/>
    <w:rsid w:val="00BD7261"/>
    <w:rsid w:val="00BE0436"/>
    <w:rsid w:val="00BE0450"/>
    <w:rsid w:val="00BE09C1"/>
    <w:rsid w:val="00BE1791"/>
    <w:rsid w:val="00BE1A3F"/>
    <w:rsid w:val="00BE2A47"/>
    <w:rsid w:val="00BE2AF2"/>
    <w:rsid w:val="00BE49E6"/>
    <w:rsid w:val="00BE5EB9"/>
    <w:rsid w:val="00BF04CF"/>
    <w:rsid w:val="00BF2229"/>
    <w:rsid w:val="00BF519A"/>
    <w:rsid w:val="00BF6AE6"/>
    <w:rsid w:val="00BF720B"/>
    <w:rsid w:val="00C01C34"/>
    <w:rsid w:val="00C05771"/>
    <w:rsid w:val="00C07B04"/>
    <w:rsid w:val="00C1578F"/>
    <w:rsid w:val="00C179F9"/>
    <w:rsid w:val="00C17BB9"/>
    <w:rsid w:val="00C2031C"/>
    <w:rsid w:val="00C2242C"/>
    <w:rsid w:val="00C22456"/>
    <w:rsid w:val="00C2325E"/>
    <w:rsid w:val="00C23DFE"/>
    <w:rsid w:val="00C27ABA"/>
    <w:rsid w:val="00C30755"/>
    <w:rsid w:val="00C31290"/>
    <w:rsid w:val="00C313D2"/>
    <w:rsid w:val="00C3187F"/>
    <w:rsid w:val="00C31C13"/>
    <w:rsid w:val="00C323B7"/>
    <w:rsid w:val="00C3288C"/>
    <w:rsid w:val="00C331BD"/>
    <w:rsid w:val="00C339D2"/>
    <w:rsid w:val="00C34340"/>
    <w:rsid w:val="00C351AA"/>
    <w:rsid w:val="00C36039"/>
    <w:rsid w:val="00C36091"/>
    <w:rsid w:val="00C3725A"/>
    <w:rsid w:val="00C4408D"/>
    <w:rsid w:val="00C44A5B"/>
    <w:rsid w:val="00C44E50"/>
    <w:rsid w:val="00C46535"/>
    <w:rsid w:val="00C47112"/>
    <w:rsid w:val="00C476D8"/>
    <w:rsid w:val="00C5012D"/>
    <w:rsid w:val="00C50F0C"/>
    <w:rsid w:val="00C51023"/>
    <w:rsid w:val="00C51D2A"/>
    <w:rsid w:val="00C5249F"/>
    <w:rsid w:val="00C52B8B"/>
    <w:rsid w:val="00C5301B"/>
    <w:rsid w:val="00C5465A"/>
    <w:rsid w:val="00C55362"/>
    <w:rsid w:val="00C57985"/>
    <w:rsid w:val="00C601AF"/>
    <w:rsid w:val="00C62E31"/>
    <w:rsid w:val="00C63245"/>
    <w:rsid w:val="00C63F8E"/>
    <w:rsid w:val="00C6479E"/>
    <w:rsid w:val="00C6579E"/>
    <w:rsid w:val="00C67085"/>
    <w:rsid w:val="00C670B7"/>
    <w:rsid w:val="00C70351"/>
    <w:rsid w:val="00C73635"/>
    <w:rsid w:val="00C73754"/>
    <w:rsid w:val="00C75C27"/>
    <w:rsid w:val="00C7717C"/>
    <w:rsid w:val="00C803E1"/>
    <w:rsid w:val="00C825EF"/>
    <w:rsid w:val="00C82A15"/>
    <w:rsid w:val="00C82A48"/>
    <w:rsid w:val="00C878D6"/>
    <w:rsid w:val="00C914DB"/>
    <w:rsid w:val="00C91E1A"/>
    <w:rsid w:val="00C93F4A"/>
    <w:rsid w:val="00C958D8"/>
    <w:rsid w:val="00C958FA"/>
    <w:rsid w:val="00C95A46"/>
    <w:rsid w:val="00C96BE1"/>
    <w:rsid w:val="00C97F67"/>
    <w:rsid w:val="00CA1719"/>
    <w:rsid w:val="00CA1D89"/>
    <w:rsid w:val="00CA508A"/>
    <w:rsid w:val="00CA666A"/>
    <w:rsid w:val="00CA6C09"/>
    <w:rsid w:val="00CA7AE5"/>
    <w:rsid w:val="00CB04ED"/>
    <w:rsid w:val="00CB086B"/>
    <w:rsid w:val="00CB34A1"/>
    <w:rsid w:val="00CB3830"/>
    <w:rsid w:val="00CB3ED1"/>
    <w:rsid w:val="00CB45D1"/>
    <w:rsid w:val="00CB4D86"/>
    <w:rsid w:val="00CB4E73"/>
    <w:rsid w:val="00CB5368"/>
    <w:rsid w:val="00CB62F5"/>
    <w:rsid w:val="00CB6BAD"/>
    <w:rsid w:val="00CC0401"/>
    <w:rsid w:val="00CC1951"/>
    <w:rsid w:val="00CC2A6C"/>
    <w:rsid w:val="00CC2E2A"/>
    <w:rsid w:val="00CC4EA7"/>
    <w:rsid w:val="00CC4EA8"/>
    <w:rsid w:val="00CC7601"/>
    <w:rsid w:val="00CD02CD"/>
    <w:rsid w:val="00CD2478"/>
    <w:rsid w:val="00CD2FA9"/>
    <w:rsid w:val="00CD3E38"/>
    <w:rsid w:val="00CD6A02"/>
    <w:rsid w:val="00CD6C9B"/>
    <w:rsid w:val="00CD6CFF"/>
    <w:rsid w:val="00CE3C4C"/>
    <w:rsid w:val="00CE53EE"/>
    <w:rsid w:val="00CF0B3C"/>
    <w:rsid w:val="00CF112E"/>
    <w:rsid w:val="00CF453C"/>
    <w:rsid w:val="00CF4704"/>
    <w:rsid w:val="00CF561F"/>
    <w:rsid w:val="00CF6020"/>
    <w:rsid w:val="00CF63C7"/>
    <w:rsid w:val="00CF6477"/>
    <w:rsid w:val="00CF6DCC"/>
    <w:rsid w:val="00CF7C5C"/>
    <w:rsid w:val="00D0098F"/>
    <w:rsid w:val="00D01009"/>
    <w:rsid w:val="00D04B1F"/>
    <w:rsid w:val="00D04D15"/>
    <w:rsid w:val="00D050D6"/>
    <w:rsid w:val="00D053EA"/>
    <w:rsid w:val="00D054AE"/>
    <w:rsid w:val="00D0585E"/>
    <w:rsid w:val="00D05E63"/>
    <w:rsid w:val="00D10186"/>
    <w:rsid w:val="00D1051F"/>
    <w:rsid w:val="00D118AB"/>
    <w:rsid w:val="00D133DC"/>
    <w:rsid w:val="00D142E6"/>
    <w:rsid w:val="00D1473E"/>
    <w:rsid w:val="00D1514C"/>
    <w:rsid w:val="00D17AAE"/>
    <w:rsid w:val="00D20119"/>
    <w:rsid w:val="00D20FAA"/>
    <w:rsid w:val="00D2125C"/>
    <w:rsid w:val="00D221E9"/>
    <w:rsid w:val="00D23126"/>
    <w:rsid w:val="00D23FA6"/>
    <w:rsid w:val="00D2443E"/>
    <w:rsid w:val="00D25A15"/>
    <w:rsid w:val="00D26A5C"/>
    <w:rsid w:val="00D27E95"/>
    <w:rsid w:val="00D30153"/>
    <w:rsid w:val="00D30639"/>
    <w:rsid w:val="00D30C63"/>
    <w:rsid w:val="00D30EF7"/>
    <w:rsid w:val="00D31ADD"/>
    <w:rsid w:val="00D33E3B"/>
    <w:rsid w:val="00D344EF"/>
    <w:rsid w:val="00D3479B"/>
    <w:rsid w:val="00D35BD8"/>
    <w:rsid w:val="00D35ED2"/>
    <w:rsid w:val="00D3668E"/>
    <w:rsid w:val="00D371F5"/>
    <w:rsid w:val="00D41424"/>
    <w:rsid w:val="00D425BF"/>
    <w:rsid w:val="00D436E3"/>
    <w:rsid w:val="00D43A74"/>
    <w:rsid w:val="00D4696A"/>
    <w:rsid w:val="00D47597"/>
    <w:rsid w:val="00D51091"/>
    <w:rsid w:val="00D52398"/>
    <w:rsid w:val="00D53F06"/>
    <w:rsid w:val="00D55DEB"/>
    <w:rsid w:val="00D56B7C"/>
    <w:rsid w:val="00D60457"/>
    <w:rsid w:val="00D64FE0"/>
    <w:rsid w:val="00D70513"/>
    <w:rsid w:val="00D74936"/>
    <w:rsid w:val="00D77C49"/>
    <w:rsid w:val="00D80A06"/>
    <w:rsid w:val="00D8332D"/>
    <w:rsid w:val="00D84408"/>
    <w:rsid w:val="00D8737D"/>
    <w:rsid w:val="00D906B6"/>
    <w:rsid w:val="00D9227C"/>
    <w:rsid w:val="00D92AEA"/>
    <w:rsid w:val="00D93219"/>
    <w:rsid w:val="00D94C20"/>
    <w:rsid w:val="00D95D30"/>
    <w:rsid w:val="00DA1BB8"/>
    <w:rsid w:val="00DA31F5"/>
    <w:rsid w:val="00DA3CC1"/>
    <w:rsid w:val="00DA45D1"/>
    <w:rsid w:val="00DA48BC"/>
    <w:rsid w:val="00DA4C3A"/>
    <w:rsid w:val="00DA5084"/>
    <w:rsid w:val="00DA56A5"/>
    <w:rsid w:val="00DA5752"/>
    <w:rsid w:val="00DA6E82"/>
    <w:rsid w:val="00DB1369"/>
    <w:rsid w:val="00DB2E88"/>
    <w:rsid w:val="00DB318C"/>
    <w:rsid w:val="00DB4FA4"/>
    <w:rsid w:val="00DB7C1A"/>
    <w:rsid w:val="00DC11C9"/>
    <w:rsid w:val="00DC3BCB"/>
    <w:rsid w:val="00DC4CA6"/>
    <w:rsid w:val="00DC538B"/>
    <w:rsid w:val="00DC651A"/>
    <w:rsid w:val="00DC6593"/>
    <w:rsid w:val="00DC7A60"/>
    <w:rsid w:val="00DD04F4"/>
    <w:rsid w:val="00DD0532"/>
    <w:rsid w:val="00DD102B"/>
    <w:rsid w:val="00DD1BE9"/>
    <w:rsid w:val="00DD2114"/>
    <w:rsid w:val="00DD218F"/>
    <w:rsid w:val="00DD5F36"/>
    <w:rsid w:val="00DD6392"/>
    <w:rsid w:val="00DD6579"/>
    <w:rsid w:val="00DE2250"/>
    <w:rsid w:val="00DE2321"/>
    <w:rsid w:val="00DE42C0"/>
    <w:rsid w:val="00DE44DD"/>
    <w:rsid w:val="00DE4FD2"/>
    <w:rsid w:val="00DE724B"/>
    <w:rsid w:val="00DF124F"/>
    <w:rsid w:val="00DF13A3"/>
    <w:rsid w:val="00DF5B65"/>
    <w:rsid w:val="00DF7E49"/>
    <w:rsid w:val="00E00D11"/>
    <w:rsid w:val="00E01575"/>
    <w:rsid w:val="00E02EB3"/>
    <w:rsid w:val="00E0388B"/>
    <w:rsid w:val="00E0402B"/>
    <w:rsid w:val="00E04B05"/>
    <w:rsid w:val="00E04F33"/>
    <w:rsid w:val="00E06EDA"/>
    <w:rsid w:val="00E110D4"/>
    <w:rsid w:val="00E1146E"/>
    <w:rsid w:val="00E11B7D"/>
    <w:rsid w:val="00E11C67"/>
    <w:rsid w:val="00E1310A"/>
    <w:rsid w:val="00E13B1A"/>
    <w:rsid w:val="00E14ACD"/>
    <w:rsid w:val="00E1500E"/>
    <w:rsid w:val="00E15C12"/>
    <w:rsid w:val="00E15CF1"/>
    <w:rsid w:val="00E16437"/>
    <w:rsid w:val="00E16D38"/>
    <w:rsid w:val="00E16E6F"/>
    <w:rsid w:val="00E17B09"/>
    <w:rsid w:val="00E21ADB"/>
    <w:rsid w:val="00E2684D"/>
    <w:rsid w:val="00E273F7"/>
    <w:rsid w:val="00E27613"/>
    <w:rsid w:val="00E279DB"/>
    <w:rsid w:val="00E30014"/>
    <w:rsid w:val="00E305AB"/>
    <w:rsid w:val="00E320F5"/>
    <w:rsid w:val="00E32BFF"/>
    <w:rsid w:val="00E32CE6"/>
    <w:rsid w:val="00E331FA"/>
    <w:rsid w:val="00E33AA1"/>
    <w:rsid w:val="00E3413F"/>
    <w:rsid w:val="00E35E83"/>
    <w:rsid w:val="00E3767B"/>
    <w:rsid w:val="00E4066E"/>
    <w:rsid w:val="00E41418"/>
    <w:rsid w:val="00E420B2"/>
    <w:rsid w:val="00E4254D"/>
    <w:rsid w:val="00E43AFC"/>
    <w:rsid w:val="00E43E44"/>
    <w:rsid w:val="00E43FC6"/>
    <w:rsid w:val="00E44807"/>
    <w:rsid w:val="00E44C77"/>
    <w:rsid w:val="00E4525D"/>
    <w:rsid w:val="00E4553E"/>
    <w:rsid w:val="00E46197"/>
    <w:rsid w:val="00E47469"/>
    <w:rsid w:val="00E505B8"/>
    <w:rsid w:val="00E511E3"/>
    <w:rsid w:val="00E53FCC"/>
    <w:rsid w:val="00E541E3"/>
    <w:rsid w:val="00E547F7"/>
    <w:rsid w:val="00E55A32"/>
    <w:rsid w:val="00E55A66"/>
    <w:rsid w:val="00E574BF"/>
    <w:rsid w:val="00E60AD7"/>
    <w:rsid w:val="00E6191A"/>
    <w:rsid w:val="00E61F37"/>
    <w:rsid w:val="00E62387"/>
    <w:rsid w:val="00E62DDC"/>
    <w:rsid w:val="00E63F52"/>
    <w:rsid w:val="00E64619"/>
    <w:rsid w:val="00E66EA3"/>
    <w:rsid w:val="00E6741C"/>
    <w:rsid w:val="00E723EB"/>
    <w:rsid w:val="00E72F70"/>
    <w:rsid w:val="00E7347E"/>
    <w:rsid w:val="00E7385A"/>
    <w:rsid w:val="00E7469C"/>
    <w:rsid w:val="00E76C19"/>
    <w:rsid w:val="00E813AC"/>
    <w:rsid w:val="00E83F74"/>
    <w:rsid w:val="00E863A9"/>
    <w:rsid w:val="00E86A11"/>
    <w:rsid w:val="00E87B1C"/>
    <w:rsid w:val="00E909B9"/>
    <w:rsid w:val="00E91E4D"/>
    <w:rsid w:val="00E924FA"/>
    <w:rsid w:val="00E9291F"/>
    <w:rsid w:val="00E93833"/>
    <w:rsid w:val="00E94830"/>
    <w:rsid w:val="00E9523D"/>
    <w:rsid w:val="00E95FD4"/>
    <w:rsid w:val="00E96042"/>
    <w:rsid w:val="00E97AD3"/>
    <w:rsid w:val="00EA2A35"/>
    <w:rsid w:val="00EA2FFC"/>
    <w:rsid w:val="00EA4593"/>
    <w:rsid w:val="00EA5786"/>
    <w:rsid w:val="00EA7E08"/>
    <w:rsid w:val="00EA7EA3"/>
    <w:rsid w:val="00EB01D8"/>
    <w:rsid w:val="00EB0238"/>
    <w:rsid w:val="00EB03FD"/>
    <w:rsid w:val="00EB2BC1"/>
    <w:rsid w:val="00EB3B53"/>
    <w:rsid w:val="00EB43B8"/>
    <w:rsid w:val="00EB493C"/>
    <w:rsid w:val="00EB4C93"/>
    <w:rsid w:val="00EB678C"/>
    <w:rsid w:val="00EC1CE3"/>
    <w:rsid w:val="00EC1F3C"/>
    <w:rsid w:val="00EC4386"/>
    <w:rsid w:val="00EC4A95"/>
    <w:rsid w:val="00EC5001"/>
    <w:rsid w:val="00EC6370"/>
    <w:rsid w:val="00EC6D09"/>
    <w:rsid w:val="00EC76F6"/>
    <w:rsid w:val="00EC7DF9"/>
    <w:rsid w:val="00ED1340"/>
    <w:rsid w:val="00ED1710"/>
    <w:rsid w:val="00ED3225"/>
    <w:rsid w:val="00ED5B54"/>
    <w:rsid w:val="00EE2D55"/>
    <w:rsid w:val="00EE2EC7"/>
    <w:rsid w:val="00EE37DC"/>
    <w:rsid w:val="00EE562B"/>
    <w:rsid w:val="00EE6EBE"/>
    <w:rsid w:val="00EE7F9B"/>
    <w:rsid w:val="00EF0787"/>
    <w:rsid w:val="00EF2266"/>
    <w:rsid w:val="00EF320F"/>
    <w:rsid w:val="00EF3289"/>
    <w:rsid w:val="00EF382E"/>
    <w:rsid w:val="00EF4DDB"/>
    <w:rsid w:val="00EF697C"/>
    <w:rsid w:val="00F001B2"/>
    <w:rsid w:val="00F037B2"/>
    <w:rsid w:val="00F04CEC"/>
    <w:rsid w:val="00F10E1C"/>
    <w:rsid w:val="00F13BA6"/>
    <w:rsid w:val="00F1477A"/>
    <w:rsid w:val="00F149A1"/>
    <w:rsid w:val="00F14D09"/>
    <w:rsid w:val="00F14E19"/>
    <w:rsid w:val="00F20F82"/>
    <w:rsid w:val="00F21837"/>
    <w:rsid w:val="00F22FFB"/>
    <w:rsid w:val="00F2313F"/>
    <w:rsid w:val="00F23D3B"/>
    <w:rsid w:val="00F242D2"/>
    <w:rsid w:val="00F251CC"/>
    <w:rsid w:val="00F26230"/>
    <w:rsid w:val="00F266EE"/>
    <w:rsid w:val="00F30EEE"/>
    <w:rsid w:val="00F318E6"/>
    <w:rsid w:val="00F3240B"/>
    <w:rsid w:val="00F32900"/>
    <w:rsid w:val="00F33074"/>
    <w:rsid w:val="00F33103"/>
    <w:rsid w:val="00F34428"/>
    <w:rsid w:val="00F34DC5"/>
    <w:rsid w:val="00F35A53"/>
    <w:rsid w:val="00F361E8"/>
    <w:rsid w:val="00F37068"/>
    <w:rsid w:val="00F37232"/>
    <w:rsid w:val="00F40042"/>
    <w:rsid w:val="00F40084"/>
    <w:rsid w:val="00F40EFE"/>
    <w:rsid w:val="00F4162F"/>
    <w:rsid w:val="00F41AEB"/>
    <w:rsid w:val="00F4346D"/>
    <w:rsid w:val="00F4441D"/>
    <w:rsid w:val="00F44CEB"/>
    <w:rsid w:val="00F457E4"/>
    <w:rsid w:val="00F45D12"/>
    <w:rsid w:val="00F501B8"/>
    <w:rsid w:val="00F5025A"/>
    <w:rsid w:val="00F50391"/>
    <w:rsid w:val="00F51BB4"/>
    <w:rsid w:val="00F521DB"/>
    <w:rsid w:val="00F533BF"/>
    <w:rsid w:val="00F55157"/>
    <w:rsid w:val="00F56198"/>
    <w:rsid w:val="00F56DD8"/>
    <w:rsid w:val="00F60418"/>
    <w:rsid w:val="00F608A3"/>
    <w:rsid w:val="00F62641"/>
    <w:rsid w:val="00F62948"/>
    <w:rsid w:val="00F640B0"/>
    <w:rsid w:val="00F6431F"/>
    <w:rsid w:val="00F64E3C"/>
    <w:rsid w:val="00F64F14"/>
    <w:rsid w:val="00F66041"/>
    <w:rsid w:val="00F671AF"/>
    <w:rsid w:val="00F67224"/>
    <w:rsid w:val="00F710EB"/>
    <w:rsid w:val="00F711A5"/>
    <w:rsid w:val="00F72EB4"/>
    <w:rsid w:val="00F73177"/>
    <w:rsid w:val="00F73E97"/>
    <w:rsid w:val="00F748F7"/>
    <w:rsid w:val="00F74F6B"/>
    <w:rsid w:val="00F75CDF"/>
    <w:rsid w:val="00F75EFE"/>
    <w:rsid w:val="00F80DD2"/>
    <w:rsid w:val="00F81E9A"/>
    <w:rsid w:val="00F85250"/>
    <w:rsid w:val="00F860BD"/>
    <w:rsid w:val="00F87153"/>
    <w:rsid w:val="00F90BBB"/>
    <w:rsid w:val="00F93471"/>
    <w:rsid w:val="00F938CF"/>
    <w:rsid w:val="00F942B0"/>
    <w:rsid w:val="00F967DF"/>
    <w:rsid w:val="00F97580"/>
    <w:rsid w:val="00FA1158"/>
    <w:rsid w:val="00FA1230"/>
    <w:rsid w:val="00FA31D8"/>
    <w:rsid w:val="00FA38F8"/>
    <w:rsid w:val="00FA3EF9"/>
    <w:rsid w:val="00FA4A65"/>
    <w:rsid w:val="00FA57F4"/>
    <w:rsid w:val="00FA5B53"/>
    <w:rsid w:val="00FB059F"/>
    <w:rsid w:val="00FB0A44"/>
    <w:rsid w:val="00FB0FB5"/>
    <w:rsid w:val="00FB1257"/>
    <w:rsid w:val="00FB1B50"/>
    <w:rsid w:val="00FB27A1"/>
    <w:rsid w:val="00FB2AE2"/>
    <w:rsid w:val="00FB3050"/>
    <w:rsid w:val="00FB6E7E"/>
    <w:rsid w:val="00FC0173"/>
    <w:rsid w:val="00FC0984"/>
    <w:rsid w:val="00FC107E"/>
    <w:rsid w:val="00FC17DE"/>
    <w:rsid w:val="00FC18F7"/>
    <w:rsid w:val="00FC3979"/>
    <w:rsid w:val="00FC4157"/>
    <w:rsid w:val="00FC424A"/>
    <w:rsid w:val="00FC47FB"/>
    <w:rsid w:val="00FC7F60"/>
    <w:rsid w:val="00FD0126"/>
    <w:rsid w:val="00FD08A9"/>
    <w:rsid w:val="00FD0E54"/>
    <w:rsid w:val="00FD1893"/>
    <w:rsid w:val="00FD2787"/>
    <w:rsid w:val="00FD37D4"/>
    <w:rsid w:val="00FD42BD"/>
    <w:rsid w:val="00FD7B4A"/>
    <w:rsid w:val="00FE1EAF"/>
    <w:rsid w:val="00FE4570"/>
    <w:rsid w:val="00FE46BB"/>
    <w:rsid w:val="00FE56D5"/>
    <w:rsid w:val="00FE678C"/>
    <w:rsid w:val="00FE7531"/>
    <w:rsid w:val="00FE7CA1"/>
    <w:rsid w:val="00FF26E4"/>
    <w:rsid w:val="00FF2EC3"/>
    <w:rsid w:val="00FF458C"/>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DC7E"/>
  <w15:docId w15:val="{25F0A5E9-CAA6-43FA-9B5F-E4A60B3A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right="-4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33C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833C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33C0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833C09"/>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833C09"/>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833C09"/>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833C09"/>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833C0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3C0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8"/>
    <w:unhideWhenUsed/>
    <w:rsid w:val="00DE44DD"/>
    <w:rPr>
      <w:color w:val="0000FF" w:themeColor="hyperlink"/>
      <w:u w:val="single"/>
    </w:rPr>
  </w:style>
  <w:style w:type="paragraph" w:styleId="Ballontekst">
    <w:name w:val="Balloon Text"/>
    <w:basedOn w:val="Standaard"/>
    <w:link w:val="BallontekstChar"/>
    <w:uiPriority w:val="99"/>
    <w:semiHidden/>
    <w:unhideWhenUsed/>
    <w:rsid w:val="00583504"/>
    <w:rPr>
      <w:rFonts w:ascii="Tahoma" w:hAnsi="Tahoma" w:cs="Tahoma"/>
      <w:sz w:val="16"/>
      <w:szCs w:val="16"/>
    </w:rPr>
  </w:style>
  <w:style w:type="character" w:customStyle="1" w:styleId="BallontekstChar">
    <w:name w:val="Ballontekst Char"/>
    <w:basedOn w:val="Standaardalinea-lettertype"/>
    <w:link w:val="Ballontekst"/>
    <w:uiPriority w:val="99"/>
    <w:semiHidden/>
    <w:rsid w:val="00583504"/>
    <w:rPr>
      <w:rFonts w:ascii="Tahoma" w:hAnsi="Tahoma" w:cs="Tahoma"/>
      <w:sz w:val="16"/>
      <w:szCs w:val="16"/>
    </w:rPr>
  </w:style>
  <w:style w:type="paragraph" w:customStyle="1" w:styleId="ECHRPara">
    <w:name w:val="ECHR_Para"/>
    <w:aliases w:val="Ju_Para,Left,First line:  0 cm,Para,_Para"/>
    <w:basedOn w:val="Standaard"/>
    <w:link w:val="ECHRParaChar"/>
    <w:uiPriority w:val="4"/>
    <w:qFormat/>
    <w:rsid w:val="00102214"/>
    <w:pPr>
      <w:ind w:right="0" w:firstLine="284"/>
      <w:jc w:val="both"/>
    </w:pPr>
    <w:rPr>
      <w:rFonts w:eastAsia="MS Mincho"/>
      <w:sz w:val="24"/>
    </w:rPr>
  </w:style>
  <w:style w:type="character" w:customStyle="1" w:styleId="ECHRParaChar">
    <w:name w:val="ECHR_Para Char"/>
    <w:aliases w:val="Ju_Para Char,_Para Char"/>
    <w:link w:val="ECHRPara"/>
    <w:uiPriority w:val="4"/>
    <w:rsid w:val="00102214"/>
    <w:rPr>
      <w:rFonts w:eastAsia="MS Mincho"/>
      <w:sz w:val="24"/>
    </w:rPr>
  </w:style>
  <w:style w:type="paragraph" w:customStyle="1" w:styleId="ECHRDecisionBody">
    <w:name w:val="ECHR_Decision_Body"/>
    <w:aliases w:val="Ju_Judges"/>
    <w:basedOn w:val="Standaard"/>
    <w:uiPriority w:val="11"/>
    <w:qFormat/>
    <w:rsid w:val="00F001B2"/>
    <w:pPr>
      <w:tabs>
        <w:tab w:val="left" w:pos="567"/>
        <w:tab w:val="left" w:pos="1134"/>
      </w:tabs>
      <w:ind w:right="0"/>
    </w:pPr>
    <w:rPr>
      <w:rFonts w:eastAsiaTheme="minorEastAsia"/>
      <w:sz w:val="24"/>
    </w:rPr>
  </w:style>
  <w:style w:type="character" w:styleId="GevolgdeHyperlink">
    <w:name w:val="FollowedHyperlink"/>
    <w:basedOn w:val="Standaardalinea-lettertype"/>
    <w:uiPriority w:val="99"/>
    <w:semiHidden/>
    <w:unhideWhenUsed/>
    <w:rsid w:val="00D60457"/>
    <w:rPr>
      <w:color w:val="800080" w:themeColor="followedHyperlink"/>
      <w:u w:val="single"/>
    </w:rPr>
  </w:style>
  <w:style w:type="character" w:styleId="Verwijzingopmerking">
    <w:name w:val="annotation reference"/>
    <w:basedOn w:val="Standaardalinea-lettertype"/>
    <w:uiPriority w:val="98"/>
    <w:semiHidden/>
    <w:rsid w:val="002B0393"/>
    <w:rPr>
      <w:sz w:val="16"/>
      <w:szCs w:val="16"/>
    </w:rPr>
  </w:style>
  <w:style w:type="character" w:styleId="Onopgelostemelding">
    <w:name w:val="Unresolved Mention"/>
    <w:basedOn w:val="Standaardalinea-lettertype"/>
    <w:uiPriority w:val="99"/>
    <w:semiHidden/>
    <w:unhideWhenUsed/>
    <w:rsid w:val="00F34DC5"/>
    <w:rPr>
      <w:color w:val="605E5C"/>
      <w:shd w:val="clear" w:color="auto" w:fill="E1DFDD"/>
    </w:rPr>
  </w:style>
  <w:style w:type="paragraph" w:customStyle="1" w:styleId="DecHCase">
    <w:name w:val="Dec_H_Case"/>
    <w:aliases w:val="_Title_3"/>
    <w:basedOn w:val="ECHRPara"/>
    <w:next w:val="ECHRPara"/>
    <w:uiPriority w:val="38"/>
    <w:qFormat/>
    <w:rsid w:val="00D23FA6"/>
    <w:pPr>
      <w:keepNext/>
      <w:keepLines/>
      <w:spacing w:after="280"/>
      <w:ind w:firstLine="0"/>
      <w:jc w:val="center"/>
    </w:pPr>
    <w:rPr>
      <w:rFonts w:asciiTheme="majorHAnsi" w:eastAsiaTheme="minorHAnsi" w:hAnsiTheme="majorHAnsi"/>
      <w:szCs w:val="24"/>
    </w:rPr>
  </w:style>
  <w:style w:type="paragraph" w:styleId="HTML-voorafopgemaakt">
    <w:name w:val="HTML Preformatted"/>
    <w:basedOn w:val="Standaard"/>
    <w:link w:val="HTML-voorafopgemaaktChar"/>
    <w:uiPriority w:val="99"/>
    <w:semiHidden/>
    <w:unhideWhenUsed/>
    <w:rsid w:val="002F4E43"/>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2F4E43"/>
    <w:rPr>
      <w:rFonts w:ascii="Consolas" w:hAnsi="Consolas" w:cs="Consolas"/>
      <w:sz w:val="20"/>
      <w:szCs w:val="20"/>
    </w:rPr>
  </w:style>
  <w:style w:type="character" w:styleId="Tekstvantijdelijkeaanduiding">
    <w:name w:val="Placeholder Text"/>
    <w:basedOn w:val="Standaardalinea-lettertype"/>
    <w:uiPriority w:val="99"/>
    <w:semiHidden/>
    <w:rsid w:val="00285BFA"/>
    <w:rPr>
      <w:color w:val="808080"/>
    </w:rPr>
  </w:style>
  <w:style w:type="paragraph" w:customStyle="1" w:styleId="JuList">
    <w:name w:val="Ju_List"/>
    <w:aliases w:val="_List_1"/>
    <w:basedOn w:val="Standaard"/>
    <w:uiPriority w:val="23"/>
    <w:qFormat/>
    <w:rsid w:val="005E4B57"/>
    <w:pPr>
      <w:numPr>
        <w:numId w:val="1"/>
      </w:numPr>
      <w:spacing w:before="280" w:after="60"/>
      <w:ind w:right="0"/>
      <w:jc w:val="both"/>
    </w:pPr>
    <w:rPr>
      <w:sz w:val="24"/>
      <w:szCs w:val="24"/>
      <w:lang w:val="fr-FR"/>
    </w:rPr>
  </w:style>
  <w:style w:type="paragraph" w:customStyle="1" w:styleId="JuLista">
    <w:name w:val="Ju_List_a"/>
    <w:aliases w:val="_List_2"/>
    <w:basedOn w:val="Standaard"/>
    <w:uiPriority w:val="23"/>
    <w:rsid w:val="005E4B57"/>
    <w:pPr>
      <w:numPr>
        <w:ilvl w:val="1"/>
        <w:numId w:val="1"/>
      </w:numPr>
      <w:ind w:right="0"/>
      <w:jc w:val="both"/>
    </w:pPr>
    <w:rPr>
      <w:sz w:val="24"/>
      <w:szCs w:val="24"/>
      <w:lang w:val="fr-FR"/>
    </w:rPr>
  </w:style>
  <w:style w:type="paragraph" w:customStyle="1" w:styleId="JuListi">
    <w:name w:val="Ju_List_i"/>
    <w:aliases w:val="_List_3"/>
    <w:basedOn w:val="Standaard"/>
    <w:uiPriority w:val="23"/>
    <w:rsid w:val="005E4B57"/>
    <w:pPr>
      <w:numPr>
        <w:ilvl w:val="2"/>
        <w:numId w:val="1"/>
      </w:numPr>
      <w:ind w:right="0"/>
      <w:jc w:val="both"/>
    </w:pPr>
    <w:rPr>
      <w:sz w:val="24"/>
      <w:szCs w:val="24"/>
      <w:lang w:val="fr-FR"/>
    </w:rPr>
  </w:style>
  <w:style w:type="numbering" w:customStyle="1" w:styleId="ECHRA1StyleList">
    <w:name w:val="ECHR_A1_Style_List"/>
    <w:basedOn w:val="Geenlijst"/>
    <w:uiPriority w:val="99"/>
    <w:rsid w:val="005E4B57"/>
    <w:pPr>
      <w:numPr>
        <w:numId w:val="1"/>
      </w:numPr>
    </w:pPr>
  </w:style>
  <w:style w:type="numbering" w:customStyle="1" w:styleId="ECHRA1StyleList1">
    <w:name w:val="ECHR_A1_Style_List1"/>
    <w:basedOn w:val="Geenlijst"/>
    <w:uiPriority w:val="99"/>
    <w:rsid w:val="003A30FA"/>
  </w:style>
  <w:style w:type="paragraph" w:styleId="Lijstalinea">
    <w:name w:val="List Paragraph"/>
    <w:basedOn w:val="Standaard"/>
    <w:uiPriority w:val="34"/>
    <w:qFormat/>
    <w:rsid w:val="00E7347E"/>
    <w:pPr>
      <w:spacing w:after="160" w:line="259" w:lineRule="auto"/>
      <w:ind w:left="720" w:right="0"/>
      <w:contextualSpacing/>
    </w:pPr>
    <w:rPr>
      <w:rFonts w:ascii="Times New Roman" w:hAnsi="Times New Roman"/>
      <w:sz w:val="24"/>
      <w:lang w:val="cs-CZ"/>
    </w:rPr>
  </w:style>
  <w:style w:type="character" w:styleId="Voetnootmarkering">
    <w:name w:val="footnote reference"/>
    <w:basedOn w:val="Standaardalinea-lettertype"/>
    <w:uiPriority w:val="98"/>
    <w:semiHidden/>
    <w:rsid w:val="00D31ADD"/>
    <w:rPr>
      <w:vertAlign w:val="superscript"/>
    </w:rPr>
  </w:style>
  <w:style w:type="paragraph" w:styleId="Voetnoottekst">
    <w:name w:val="footnote text"/>
    <w:basedOn w:val="Standaard"/>
    <w:link w:val="VoetnoottekstChar"/>
    <w:uiPriority w:val="98"/>
    <w:semiHidden/>
    <w:rsid w:val="00D31ADD"/>
    <w:pPr>
      <w:ind w:right="0"/>
    </w:pPr>
    <w:rPr>
      <w:sz w:val="20"/>
      <w:szCs w:val="20"/>
    </w:rPr>
  </w:style>
  <w:style w:type="character" w:customStyle="1" w:styleId="VoetnoottekstChar">
    <w:name w:val="Voetnoottekst Char"/>
    <w:basedOn w:val="Standaardalinea-lettertype"/>
    <w:link w:val="Voetnoottekst"/>
    <w:uiPriority w:val="98"/>
    <w:semiHidden/>
    <w:rsid w:val="00D31ADD"/>
    <w:rPr>
      <w:sz w:val="20"/>
      <w:szCs w:val="20"/>
    </w:rPr>
  </w:style>
  <w:style w:type="paragraph" w:customStyle="1" w:styleId="JuHHead">
    <w:name w:val="Ju_H_Head"/>
    <w:aliases w:val="_Head_1"/>
    <w:basedOn w:val="Kop1"/>
    <w:next w:val="ECHRPara"/>
    <w:uiPriority w:val="17"/>
    <w:qFormat/>
    <w:rsid w:val="00833C09"/>
    <w:pPr>
      <w:numPr>
        <w:numId w:val="4"/>
      </w:numPr>
      <w:tabs>
        <w:tab w:val="num" w:pos="360"/>
      </w:tabs>
      <w:spacing w:before="100" w:beforeAutospacing="1" w:after="240"/>
      <w:ind w:right="0"/>
      <w:jc w:val="both"/>
    </w:pPr>
    <w:rPr>
      <w:bCs/>
      <w:caps/>
      <w:color w:val="auto"/>
      <w:sz w:val="28"/>
      <w:szCs w:val="28"/>
    </w:rPr>
  </w:style>
  <w:style w:type="paragraph" w:customStyle="1" w:styleId="JuHIRoman">
    <w:name w:val="Ju_H_I_Roman"/>
    <w:aliases w:val="_Head_2"/>
    <w:basedOn w:val="Kop2"/>
    <w:next w:val="ECHRPara"/>
    <w:uiPriority w:val="17"/>
    <w:qFormat/>
    <w:rsid w:val="00833C09"/>
    <w:pPr>
      <w:numPr>
        <w:ilvl w:val="1"/>
        <w:numId w:val="4"/>
      </w:numPr>
      <w:tabs>
        <w:tab w:val="num" w:pos="360"/>
        <w:tab w:val="left" w:pos="454"/>
        <w:tab w:val="left" w:pos="539"/>
        <w:tab w:val="left" w:pos="624"/>
        <w:tab w:val="left" w:pos="709"/>
        <w:tab w:val="left" w:pos="794"/>
      </w:tabs>
      <w:spacing w:before="100" w:beforeAutospacing="1" w:after="240"/>
      <w:ind w:left="0" w:right="0" w:firstLine="0"/>
      <w:jc w:val="both"/>
    </w:pPr>
    <w:rPr>
      <w:bCs/>
      <w:caps/>
      <w:color w:val="auto"/>
      <w:sz w:val="24"/>
    </w:rPr>
  </w:style>
  <w:style w:type="paragraph" w:customStyle="1" w:styleId="JuHA">
    <w:name w:val="Ju_H_A"/>
    <w:aliases w:val="_Head_3"/>
    <w:basedOn w:val="Kop3"/>
    <w:next w:val="ECHRPara"/>
    <w:uiPriority w:val="17"/>
    <w:qFormat/>
    <w:rsid w:val="00833C09"/>
    <w:pPr>
      <w:numPr>
        <w:ilvl w:val="2"/>
        <w:numId w:val="4"/>
      </w:numPr>
      <w:tabs>
        <w:tab w:val="num" w:pos="360"/>
      </w:tabs>
      <w:spacing w:before="100" w:beforeAutospacing="1" w:after="240"/>
      <w:ind w:left="0" w:right="0" w:firstLine="0"/>
      <w:jc w:val="both"/>
    </w:pPr>
    <w:rPr>
      <w:b/>
      <w:bCs/>
      <w:color w:val="auto"/>
      <w:szCs w:val="22"/>
    </w:rPr>
  </w:style>
  <w:style w:type="paragraph" w:customStyle="1" w:styleId="JuH1">
    <w:name w:val="Ju_H_1."/>
    <w:aliases w:val="_Head_4"/>
    <w:basedOn w:val="Kop4"/>
    <w:next w:val="ECHRPara"/>
    <w:uiPriority w:val="17"/>
    <w:rsid w:val="00833C09"/>
    <w:pPr>
      <w:numPr>
        <w:ilvl w:val="3"/>
        <w:numId w:val="4"/>
      </w:numPr>
      <w:tabs>
        <w:tab w:val="num" w:pos="360"/>
      </w:tabs>
      <w:spacing w:before="100" w:beforeAutospacing="1" w:after="120"/>
      <w:ind w:left="0" w:right="0" w:firstLine="0"/>
      <w:jc w:val="both"/>
    </w:pPr>
    <w:rPr>
      <w:bCs/>
      <w:color w:val="auto"/>
      <w:sz w:val="24"/>
    </w:rPr>
  </w:style>
  <w:style w:type="paragraph" w:customStyle="1" w:styleId="JuHa0">
    <w:name w:val="Ju_H_a"/>
    <w:aliases w:val="_Head_5"/>
    <w:basedOn w:val="Kop5"/>
    <w:next w:val="ECHRPara"/>
    <w:uiPriority w:val="17"/>
    <w:rsid w:val="00833C09"/>
    <w:pPr>
      <w:numPr>
        <w:ilvl w:val="4"/>
        <w:numId w:val="4"/>
      </w:numPr>
      <w:tabs>
        <w:tab w:val="num" w:pos="360"/>
      </w:tabs>
      <w:spacing w:before="100" w:beforeAutospacing="1" w:after="120"/>
      <w:ind w:left="0" w:right="0" w:firstLine="0"/>
      <w:jc w:val="both"/>
    </w:pPr>
    <w:rPr>
      <w:b/>
      <w:bCs/>
      <w:color w:val="auto"/>
      <w:sz w:val="20"/>
    </w:rPr>
  </w:style>
  <w:style w:type="paragraph" w:customStyle="1" w:styleId="JuHi">
    <w:name w:val="Ju_H_i"/>
    <w:aliases w:val="_Head_6"/>
    <w:basedOn w:val="Kop6"/>
    <w:next w:val="ECHRPara"/>
    <w:uiPriority w:val="17"/>
    <w:rsid w:val="00833C09"/>
    <w:pPr>
      <w:numPr>
        <w:ilvl w:val="5"/>
        <w:numId w:val="4"/>
      </w:numPr>
      <w:tabs>
        <w:tab w:val="num" w:pos="360"/>
        <w:tab w:val="left" w:pos="1077"/>
        <w:tab w:val="left" w:pos="1134"/>
        <w:tab w:val="left" w:pos="1191"/>
        <w:tab w:val="left" w:pos="1247"/>
      </w:tabs>
      <w:spacing w:before="100" w:beforeAutospacing="1" w:after="120" w:line="271" w:lineRule="auto"/>
      <w:ind w:left="0" w:right="0" w:firstLine="0"/>
      <w:jc w:val="both"/>
    </w:pPr>
    <w:rPr>
      <w:bCs/>
      <w:i/>
      <w:iCs/>
      <w:color w:val="auto"/>
      <w:sz w:val="20"/>
      <w:lang w:bidi="en-US"/>
    </w:rPr>
  </w:style>
  <w:style w:type="paragraph" w:customStyle="1" w:styleId="JuHalpha">
    <w:name w:val="Ju_H_alpha"/>
    <w:aliases w:val="_Head_7"/>
    <w:basedOn w:val="Kop7"/>
    <w:next w:val="ECHRPara"/>
    <w:uiPriority w:val="17"/>
    <w:rsid w:val="00833C09"/>
    <w:pPr>
      <w:numPr>
        <w:ilvl w:val="6"/>
        <w:numId w:val="4"/>
      </w:numPr>
      <w:tabs>
        <w:tab w:val="num" w:pos="360"/>
        <w:tab w:val="left" w:pos="1361"/>
      </w:tabs>
      <w:spacing w:before="100" w:beforeAutospacing="1" w:after="120"/>
      <w:ind w:left="0" w:right="0" w:firstLine="0"/>
      <w:jc w:val="both"/>
    </w:pPr>
    <w:rPr>
      <w:i w:val="0"/>
      <w:color w:val="auto"/>
      <w:sz w:val="20"/>
      <w:lang w:bidi="en-US"/>
    </w:rPr>
  </w:style>
  <w:style w:type="paragraph" w:customStyle="1" w:styleId="JuH">
    <w:name w:val="Ju_H_–"/>
    <w:aliases w:val="_Head_8"/>
    <w:basedOn w:val="Kop8"/>
    <w:next w:val="ECHRPara"/>
    <w:uiPriority w:val="17"/>
    <w:rsid w:val="00833C09"/>
    <w:pPr>
      <w:numPr>
        <w:ilvl w:val="7"/>
        <w:numId w:val="4"/>
      </w:numPr>
      <w:tabs>
        <w:tab w:val="num" w:pos="360"/>
      </w:tabs>
      <w:spacing w:before="100" w:beforeAutospacing="1" w:after="120"/>
      <w:ind w:left="0" w:right="0" w:firstLine="0"/>
      <w:jc w:val="both"/>
    </w:pPr>
    <w:rPr>
      <w:i/>
      <w:color w:val="auto"/>
      <w:sz w:val="20"/>
      <w:szCs w:val="20"/>
      <w:lang w:bidi="en-US"/>
    </w:rPr>
  </w:style>
  <w:style w:type="paragraph" w:customStyle="1" w:styleId="ECHRHeading9">
    <w:name w:val="ECHR_Heading_9"/>
    <w:aliases w:val="_Head_9"/>
    <w:basedOn w:val="Kop9"/>
    <w:uiPriority w:val="17"/>
    <w:semiHidden/>
    <w:rsid w:val="00833C09"/>
    <w:pPr>
      <w:numPr>
        <w:ilvl w:val="8"/>
        <w:numId w:val="4"/>
      </w:numPr>
      <w:tabs>
        <w:tab w:val="num" w:pos="360"/>
      </w:tabs>
      <w:spacing w:before="100" w:beforeAutospacing="1"/>
      <w:ind w:left="0" w:right="0" w:firstLine="0"/>
      <w:contextualSpacing/>
      <w:jc w:val="both"/>
    </w:pPr>
    <w:rPr>
      <w:i w:val="0"/>
      <w:color w:val="auto"/>
      <w:spacing w:val="5"/>
      <w:sz w:val="18"/>
      <w:szCs w:val="20"/>
      <w:lang w:bidi="en-US"/>
    </w:rPr>
  </w:style>
  <w:style w:type="character" w:customStyle="1" w:styleId="Kop1Char">
    <w:name w:val="Kop 1 Char"/>
    <w:basedOn w:val="Standaardalinea-lettertype"/>
    <w:link w:val="Kop1"/>
    <w:uiPriority w:val="9"/>
    <w:rsid w:val="00833C09"/>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833C09"/>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833C09"/>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833C09"/>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833C09"/>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833C09"/>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833C09"/>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833C0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33C0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2958">
      <w:bodyDiv w:val="1"/>
      <w:marLeft w:val="0"/>
      <w:marRight w:val="0"/>
      <w:marTop w:val="0"/>
      <w:marBottom w:val="0"/>
      <w:divBdr>
        <w:top w:val="none" w:sz="0" w:space="0" w:color="auto"/>
        <w:left w:val="none" w:sz="0" w:space="0" w:color="auto"/>
        <w:bottom w:val="none" w:sz="0" w:space="0" w:color="auto"/>
        <w:right w:val="none" w:sz="0" w:space="0" w:color="auto"/>
      </w:divBdr>
    </w:div>
    <w:div w:id="140003837">
      <w:bodyDiv w:val="1"/>
      <w:marLeft w:val="0"/>
      <w:marRight w:val="0"/>
      <w:marTop w:val="0"/>
      <w:marBottom w:val="0"/>
      <w:divBdr>
        <w:top w:val="none" w:sz="0" w:space="0" w:color="auto"/>
        <w:left w:val="none" w:sz="0" w:space="0" w:color="auto"/>
        <w:bottom w:val="none" w:sz="0" w:space="0" w:color="auto"/>
        <w:right w:val="none" w:sz="0" w:space="0" w:color="auto"/>
      </w:divBdr>
    </w:div>
    <w:div w:id="261887184">
      <w:bodyDiv w:val="1"/>
      <w:marLeft w:val="0"/>
      <w:marRight w:val="0"/>
      <w:marTop w:val="0"/>
      <w:marBottom w:val="0"/>
      <w:divBdr>
        <w:top w:val="none" w:sz="0" w:space="0" w:color="auto"/>
        <w:left w:val="none" w:sz="0" w:space="0" w:color="auto"/>
        <w:bottom w:val="none" w:sz="0" w:space="0" w:color="auto"/>
        <w:right w:val="none" w:sz="0" w:space="0" w:color="auto"/>
      </w:divBdr>
    </w:div>
    <w:div w:id="572473460">
      <w:bodyDiv w:val="1"/>
      <w:marLeft w:val="0"/>
      <w:marRight w:val="0"/>
      <w:marTop w:val="0"/>
      <w:marBottom w:val="0"/>
      <w:divBdr>
        <w:top w:val="none" w:sz="0" w:space="0" w:color="auto"/>
        <w:left w:val="none" w:sz="0" w:space="0" w:color="auto"/>
        <w:bottom w:val="none" w:sz="0" w:space="0" w:color="auto"/>
        <w:right w:val="none" w:sz="0" w:space="0" w:color="auto"/>
      </w:divBdr>
    </w:div>
    <w:div w:id="813911968">
      <w:bodyDiv w:val="1"/>
      <w:marLeft w:val="0"/>
      <w:marRight w:val="0"/>
      <w:marTop w:val="0"/>
      <w:marBottom w:val="0"/>
      <w:divBdr>
        <w:top w:val="none" w:sz="0" w:space="0" w:color="auto"/>
        <w:left w:val="none" w:sz="0" w:space="0" w:color="auto"/>
        <w:bottom w:val="none" w:sz="0" w:space="0" w:color="auto"/>
        <w:right w:val="none" w:sz="0" w:space="0" w:color="auto"/>
      </w:divBdr>
    </w:div>
    <w:div w:id="870874062">
      <w:bodyDiv w:val="1"/>
      <w:marLeft w:val="0"/>
      <w:marRight w:val="0"/>
      <w:marTop w:val="0"/>
      <w:marBottom w:val="0"/>
      <w:divBdr>
        <w:top w:val="none" w:sz="0" w:space="0" w:color="auto"/>
        <w:left w:val="none" w:sz="0" w:space="0" w:color="auto"/>
        <w:bottom w:val="none" w:sz="0" w:space="0" w:color="auto"/>
        <w:right w:val="none" w:sz="0" w:space="0" w:color="auto"/>
      </w:divBdr>
    </w:div>
    <w:div w:id="1132405331">
      <w:bodyDiv w:val="1"/>
      <w:marLeft w:val="0"/>
      <w:marRight w:val="0"/>
      <w:marTop w:val="0"/>
      <w:marBottom w:val="0"/>
      <w:divBdr>
        <w:top w:val="none" w:sz="0" w:space="0" w:color="auto"/>
        <w:left w:val="none" w:sz="0" w:space="0" w:color="auto"/>
        <w:bottom w:val="none" w:sz="0" w:space="0" w:color="auto"/>
        <w:right w:val="none" w:sz="0" w:space="0" w:color="auto"/>
      </w:divBdr>
    </w:div>
    <w:div w:id="1149322275">
      <w:bodyDiv w:val="1"/>
      <w:marLeft w:val="0"/>
      <w:marRight w:val="0"/>
      <w:marTop w:val="0"/>
      <w:marBottom w:val="0"/>
      <w:divBdr>
        <w:top w:val="none" w:sz="0" w:space="0" w:color="auto"/>
        <w:left w:val="none" w:sz="0" w:space="0" w:color="auto"/>
        <w:bottom w:val="none" w:sz="0" w:space="0" w:color="auto"/>
        <w:right w:val="none" w:sz="0" w:space="0" w:color="auto"/>
      </w:divBdr>
    </w:div>
    <w:div w:id="1233462927">
      <w:bodyDiv w:val="1"/>
      <w:marLeft w:val="0"/>
      <w:marRight w:val="0"/>
      <w:marTop w:val="0"/>
      <w:marBottom w:val="0"/>
      <w:divBdr>
        <w:top w:val="none" w:sz="0" w:space="0" w:color="auto"/>
        <w:left w:val="none" w:sz="0" w:space="0" w:color="auto"/>
        <w:bottom w:val="none" w:sz="0" w:space="0" w:color="auto"/>
        <w:right w:val="none" w:sz="0" w:space="0" w:color="auto"/>
      </w:divBdr>
    </w:div>
    <w:div w:id="128958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doc.echr.coe.int/eng?i=001-216872"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E722D823DE0469427D3E7B51DEE73" ma:contentTypeVersion="11" ma:contentTypeDescription="Een nieuw document maken." ma:contentTypeScope="" ma:versionID="cd559d59e992e4b2ece5385724fef2d4">
  <xsd:schema xmlns:xsd="http://www.w3.org/2001/XMLSchema" xmlns:xs="http://www.w3.org/2001/XMLSchema" xmlns:p="http://schemas.microsoft.com/office/2006/metadata/properties" xmlns:ns3="9ea0c07f-07d1-472f-901f-feedca366349" targetNamespace="http://schemas.microsoft.com/office/2006/metadata/properties" ma:root="true" ma:fieldsID="9fb65ee3ad65048c601af3f5364f8565" ns3:_="">
    <xsd:import namespace="9ea0c07f-07d1-472f-901f-feedca3663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0c07f-07d1-472f-901f-feedca3663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DC51-4E6F-451B-99BE-8003D2A36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0c07f-07d1-472f-901f-feedca366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2D5A3-2948-4E9C-B7BD-CDE6C62982CF}">
  <ds:schemaRefs>
    <ds:schemaRef ds:uri="http://schemas.microsoft.com/sharepoint/v3/contenttype/forms"/>
  </ds:schemaRefs>
</ds:datastoreItem>
</file>

<file path=customXml/itemProps3.xml><?xml version="1.0" encoding="utf-8"?>
<ds:datastoreItem xmlns:ds="http://schemas.openxmlformats.org/officeDocument/2006/customXml" ds:itemID="{7CF8F156-DE7F-40C8-96B3-C6BD122C3286}">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9ea0c07f-07d1-472f-901f-feedca366349"/>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72CB1AC3-751E-4EC9-8C5D-3D810587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2145</Words>
  <Characters>11803</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 R.F.</dc:creator>
  <cp:keywords/>
  <dc:description/>
  <cp:lastModifiedBy>Dirk Voorhoof</cp:lastModifiedBy>
  <cp:revision>6</cp:revision>
  <dcterms:created xsi:type="dcterms:W3CDTF">2022-05-06T11:59:00Z</dcterms:created>
  <dcterms:modified xsi:type="dcterms:W3CDTF">2022-05-06T12:28:00Z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0x010100D33E722D823DE0469427D3E7B51DEE73</vt:lpwstr>
  </property>
</Properties>
</file>