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D5BA" w14:textId="70056AF0" w:rsidR="002E5429" w:rsidRDefault="002E5429" w:rsidP="002E5429">
      <w:pPr>
        <w:rPr>
          <w:lang w:val="en-US"/>
        </w:rPr>
      </w:pPr>
      <w:proofErr w:type="spellStart"/>
      <w:r w:rsidRPr="002E5429">
        <w:rPr>
          <w:lang w:val="en-US"/>
        </w:rPr>
        <w:t>Flinkkilä</w:t>
      </w:r>
      <w:proofErr w:type="spellEnd"/>
      <w:r w:rsidRPr="002E5429">
        <w:rPr>
          <w:lang w:val="en-US"/>
        </w:rPr>
        <w:t xml:space="preserve"> v. Finland</w:t>
      </w:r>
    </w:p>
    <w:p w14:paraId="1AE46CBB" w14:textId="2EF456EA" w:rsidR="002E5429" w:rsidRDefault="002E5429" w:rsidP="002E5429">
      <w:pPr>
        <w:rPr>
          <w:lang w:val="en-US"/>
        </w:rPr>
      </w:pPr>
      <w:r>
        <w:rPr>
          <w:lang w:val="en-US"/>
        </w:rPr>
        <w:t>Closed</w:t>
      </w:r>
    </w:p>
    <w:p w14:paraId="6EB72267" w14:textId="7FCB0D58" w:rsidR="002E5429" w:rsidRDefault="002E5429" w:rsidP="002E5429">
      <w:pPr>
        <w:rPr>
          <w:lang w:val="en-US"/>
        </w:rPr>
      </w:pPr>
      <w:r>
        <w:rPr>
          <w:lang w:val="en-US"/>
        </w:rPr>
        <w:t>Expands Freedom of Expression</w:t>
      </w:r>
    </w:p>
    <w:p w14:paraId="4A525C6C" w14:textId="4D239531" w:rsidR="002E5429" w:rsidRPr="002E5429" w:rsidRDefault="002E5429" w:rsidP="002E5429">
      <w:pPr>
        <w:rPr>
          <w:lang w:val="en-US"/>
        </w:rPr>
      </w:pPr>
      <w:r w:rsidRPr="002E5429">
        <w:rPr>
          <w:lang w:val="en-US"/>
        </w:rPr>
        <w:t>Region and Country: F</w:t>
      </w:r>
      <w:r>
        <w:rPr>
          <w:lang w:val="en-US"/>
        </w:rPr>
        <w:t>inland</w:t>
      </w:r>
      <w:r w:rsidRPr="002E5429">
        <w:rPr>
          <w:lang w:val="en-US"/>
        </w:rPr>
        <w:t>, Europe</w:t>
      </w:r>
    </w:p>
    <w:p w14:paraId="73EB55A4" w14:textId="403F3015" w:rsidR="002E5429" w:rsidRDefault="002E5429" w:rsidP="002E5429">
      <w:pPr>
        <w:rPr>
          <w:lang w:val="en-US"/>
        </w:rPr>
      </w:pPr>
      <w:r w:rsidRPr="002E5429">
        <w:rPr>
          <w:lang w:val="en-US"/>
        </w:rPr>
        <w:t xml:space="preserve">Judicial Body: European Court of Human Rights, </w:t>
      </w:r>
      <w:r>
        <w:rPr>
          <w:lang w:val="en-US"/>
        </w:rPr>
        <w:t>Fourth Section</w:t>
      </w:r>
    </w:p>
    <w:p w14:paraId="358ABAA6" w14:textId="50FC2293" w:rsidR="002E5429" w:rsidRPr="002E5429" w:rsidRDefault="002E5429" w:rsidP="002E5429">
      <w:pPr>
        <w:rPr>
          <w:lang w:val="en-US"/>
        </w:rPr>
      </w:pPr>
      <w:r w:rsidRPr="002E5429">
        <w:rPr>
          <w:lang w:val="en-US"/>
        </w:rPr>
        <w:t>Type of law: C</w:t>
      </w:r>
      <w:r>
        <w:rPr>
          <w:lang w:val="en-US"/>
        </w:rPr>
        <w:t>riminal</w:t>
      </w:r>
      <w:r w:rsidRPr="002E5429">
        <w:rPr>
          <w:lang w:val="en-US"/>
        </w:rPr>
        <w:t xml:space="preserve"> law, </w:t>
      </w:r>
      <w:proofErr w:type="gramStart"/>
      <w:r w:rsidRPr="002E5429">
        <w:rPr>
          <w:lang w:val="en-US"/>
        </w:rPr>
        <w:t>International</w:t>
      </w:r>
      <w:proofErr w:type="gramEnd"/>
      <w:r w:rsidRPr="002E5429">
        <w:rPr>
          <w:lang w:val="en-US"/>
        </w:rPr>
        <w:t xml:space="preserve"> law</w:t>
      </w:r>
    </w:p>
    <w:p w14:paraId="26274866" w14:textId="77777777" w:rsidR="002E5429" w:rsidRPr="002E5429" w:rsidRDefault="002E5429" w:rsidP="002E5429">
      <w:pPr>
        <w:rPr>
          <w:lang w:val="en-US"/>
        </w:rPr>
      </w:pPr>
      <w:r w:rsidRPr="002E5429">
        <w:rPr>
          <w:lang w:val="en-US"/>
        </w:rPr>
        <w:t>Themes: Privacy, Data Protection and Retention</w:t>
      </w:r>
    </w:p>
    <w:p w14:paraId="3FB0EEBE" w14:textId="4067BBE3" w:rsidR="002E5429" w:rsidRPr="002E5429" w:rsidRDefault="002E5429" w:rsidP="002E5429">
      <w:pPr>
        <w:rPr>
          <w:lang w:val="en-US"/>
        </w:rPr>
      </w:pPr>
      <w:r w:rsidRPr="002E5429">
        <w:rPr>
          <w:lang w:val="en-US"/>
        </w:rPr>
        <w:t xml:space="preserve">Tags: </w:t>
      </w:r>
      <w:r>
        <w:rPr>
          <w:lang w:val="en-US"/>
        </w:rPr>
        <w:t>Newspaper articles</w:t>
      </w:r>
      <w:r w:rsidRPr="002E5429">
        <w:rPr>
          <w:lang w:val="en-US"/>
        </w:rPr>
        <w:t>, public interest, reasonable expectation of privacy</w:t>
      </w:r>
    </w:p>
    <w:p w14:paraId="5324602F" w14:textId="6AB2DA59" w:rsidR="002E5429" w:rsidRPr="002E5429" w:rsidRDefault="002E5429" w:rsidP="002E5429">
      <w:pPr>
        <w:rPr>
          <w:lang w:val="en-US"/>
        </w:rPr>
      </w:pPr>
      <w:r>
        <w:rPr>
          <w:lang w:val="en-US"/>
        </w:rPr>
        <w:t>Mode of expression: Press/Newspapers</w:t>
      </w:r>
    </w:p>
    <w:p w14:paraId="35C0C2EB" w14:textId="4153C125" w:rsidR="007E491B" w:rsidRDefault="002E5429" w:rsidP="002E5429">
      <w:pPr>
        <w:rPr>
          <w:lang w:val="en-US"/>
        </w:rPr>
      </w:pPr>
      <w:r>
        <w:rPr>
          <w:lang w:val="en-US"/>
        </w:rPr>
        <w:t xml:space="preserve">Date of decision: </w:t>
      </w:r>
      <w:r w:rsidRPr="002E5429">
        <w:rPr>
          <w:lang w:val="en-US"/>
        </w:rPr>
        <w:t>July 6, 2010</w:t>
      </w:r>
    </w:p>
    <w:p w14:paraId="4A0F80D2" w14:textId="24F7211E" w:rsidR="002E5429" w:rsidRDefault="002E5429" w:rsidP="002E5429">
      <w:pPr>
        <w:rPr>
          <w:lang w:val="en-US"/>
        </w:rPr>
      </w:pPr>
      <w:r w:rsidRPr="002E5429">
        <w:rPr>
          <w:lang w:val="en-US"/>
        </w:rPr>
        <w:t>Outcome: Convention Articles on Freedom of Expression and Information violated</w:t>
      </w:r>
    </w:p>
    <w:p w14:paraId="17DB7427" w14:textId="77777777" w:rsidR="002E5429" w:rsidRPr="002E5429" w:rsidRDefault="002E5429" w:rsidP="002E5429">
      <w:pPr>
        <w:rPr>
          <w:lang w:val="en-US"/>
        </w:rPr>
      </w:pPr>
      <w:r w:rsidRPr="002E5429">
        <w:rPr>
          <w:lang w:val="en-US"/>
        </w:rPr>
        <w:t>Case number: Application no. 25576/04</w:t>
      </w:r>
    </w:p>
    <w:p w14:paraId="37BE3A9D" w14:textId="7CBE26E3" w:rsidR="002E5429" w:rsidRDefault="002E5429" w:rsidP="002E5429">
      <w:pPr>
        <w:rPr>
          <w:lang w:val="en-US"/>
        </w:rPr>
      </w:pPr>
    </w:p>
    <w:p w14:paraId="25E6CD6D" w14:textId="4F75B3A9" w:rsidR="002E5429" w:rsidRDefault="002E5429" w:rsidP="002E5429">
      <w:pPr>
        <w:rPr>
          <w:b/>
          <w:bCs/>
          <w:lang w:val="en-US"/>
        </w:rPr>
      </w:pPr>
      <w:r w:rsidRPr="002E5429">
        <w:rPr>
          <w:b/>
          <w:bCs/>
          <w:lang w:val="en-US"/>
        </w:rPr>
        <w:t>Summary and outcome</w:t>
      </w:r>
    </w:p>
    <w:p w14:paraId="717A453D" w14:textId="1547B227" w:rsidR="002E5429" w:rsidRPr="00920C00" w:rsidRDefault="00E36F5D" w:rsidP="006A1A9A">
      <w:pPr>
        <w:ind w:left="708" w:hanging="708"/>
        <w:rPr>
          <w:lang w:val="en-US"/>
        </w:rPr>
      </w:pPr>
      <w:r w:rsidRPr="00920C00">
        <w:rPr>
          <w:lang w:val="en-US"/>
        </w:rPr>
        <w:t xml:space="preserve">The European Court of Human </w:t>
      </w:r>
      <w:r w:rsidR="00EA7C2F" w:rsidRPr="00920C00">
        <w:rPr>
          <w:lang w:val="en-US"/>
        </w:rPr>
        <w:t>R</w:t>
      </w:r>
      <w:r w:rsidRPr="00920C00">
        <w:rPr>
          <w:lang w:val="en-US"/>
        </w:rPr>
        <w:t>ights</w:t>
      </w:r>
      <w:r w:rsidR="00691F66" w:rsidRPr="00920C00">
        <w:rPr>
          <w:lang w:val="en-US"/>
        </w:rPr>
        <w:t xml:space="preserve"> (ECtHR)</w:t>
      </w:r>
      <w:r w:rsidRPr="00920C00">
        <w:rPr>
          <w:lang w:val="en-US"/>
        </w:rPr>
        <w:t xml:space="preserve"> </w:t>
      </w:r>
      <w:r w:rsidR="00D453F0" w:rsidRPr="00920C00">
        <w:rPr>
          <w:lang w:val="en-US"/>
        </w:rPr>
        <w:t xml:space="preserve">found that the State of Finland violated </w:t>
      </w:r>
      <w:r w:rsidR="00A93972" w:rsidRPr="00920C00">
        <w:rPr>
          <w:lang w:val="en-US"/>
        </w:rPr>
        <w:t>Article 10 of the European Convention</w:t>
      </w:r>
      <w:r w:rsidR="007C72BD" w:rsidRPr="00920C00">
        <w:rPr>
          <w:lang w:val="en-US"/>
        </w:rPr>
        <w:t xml:space="preserve"> when its </w:t>
      </w:r>
      <w:r w:rsidR="004A3681" w:rsidRPr="00920C00">
        <w:rPr>
          <w:lang w:val="en-US"/>
        </w:rPr>
        <w:t xml:space="preserve">national courts </w:t>
      </w:r>
      <w:r w:rsidR="00516E71" w:rsidRPr="00920C00">
        <w:rPr>
          <w:lang w:val="en-US"/>
        </w:rPr>
        <w:t xml:space="preserve">ordered the </w:t>
      </w:r>
      <w:r w:rsidR="00AD1F5F" w:rsidRPr="00920C00">
        <w:rPr>
          <w:lang w:val="en-US"/>
        </w:rPr>
        <w:t xml:space="preserve">editors and journalists of two magazines to pay </w:t>
      </w:r>
      <w:r w:rsidR="00664C18" w:rsidRPr="00920C00">
        <w:rPr>
          <w:lang w:val="en-US"/>
        </w:rPr>
        <w:t>fines and damages</w:t>
      </w:r>
      <w:r w:rsidR="00EA687B" w:rsidRPr="00920C00">
        <w:rPr>
          <w:lang w:val="en-US"/>
        </w:rPr>
        <w:t xml:space="preserve">, in the context of criminal </w:t>
      </w:r>
      <w:r w:rsidR="005B5E52" w:rsidRPr="00920C00">
        <w:rPr>
          <w:lang w:val="en-US"/>
        </w:rPr>
        <w:t>proceedings,</w:t>
      </w:r>
      <w:r w:rsidR="00664C18" w:rsidRPr="00920C00">
        <w:rPr>
          <w:lang w:val="en-US"/>
        </w:rPr>
        <w:t xml:space="preserve"> for publishing </w:t>
      </w:r>
      <w:r w:rsidR="005B5E52" w:rsidRPr="00920C00">
        <w:rPr>
          <w:lang w:val="en-US"/>
        </w:rPr>
        <w:t xml:space="preserve">news </w:t>
      </w:r>
      <w:r w:rsidR="00664C18" w:rsidRPr="00920C00">
        <w:rPr>
          <w:lang w:val="en-US"/>
        </w:rPr>
        <w:t>article</w:t>
      </w:r>
      <w:r w:rsidR="00865832" w:rsidRPr="00920C00">
        <w:rPr>
          <w:lang w:val="en-US"/>
        </w:rPr>
        <w:t>s</w:t>
      </w:r>
      <w:r w:rsidR="00664C18" w:rsidRPr="00920C00">
        <w:rPr>
          <w:lang w:val="en-US"/>
        </w:rPr>
        <w:t xml:space="preserve"> </w:t>
      </w:r>
      <w:r w:rsidR="00C223C1" w:rsidRPr="00920C00">
        <w:rPr>
          <w:lang w:val="en-US"/>
        </w:rPr>
        <w:t>mentioning the name an</w:t>
      </w:r>
      <w:r w:rsidR="00865832" w:rsidRPr="00920C00">
        <w:rPr>
          <w:lang w:val="en-US"/>
        </w:rPr>
        <w:t>d</w:t>
      </w:r>
      <w:r w:rsidR="00C223C1" w:rsidRPr="00920C00">
        <w:rPr>
          <w:lang w:val="en-US"/>
        </w:rPr>
        <w:t xml:space="preserve"> identity of</w:t>
      </w:r>
      <w:r w:rsidR="002808DA" w:rsidRPr="00920C00">
        <w:rPr>
          <w:lang w:val="en-US"/>
        </w:rPr>
        <w:t xml:space="preserve"> B,</w:t>
      </w:r>
      <w:r w:rsidR="00C223C1" w:rsidRPr="00920C00">
        <w:rPr>
          <w:lang w:val="en-US"/>
        </w:rPr>
        <w:t xml:space="preserve"> the female friend of the </w:t>
      </w:r>
      <w:r w:rsidR="00C223C1" w:rsidRPr="00920C00">
        <w:rPr>
          <w:lang w:val="en-US"/>
        </w:rPr>
        <w:t>National Conciliator</w:t>
      </w:r>
      <w:r w:rsidR="00865832" w:rsidRPr="00920C00">
        <w:rPr>
          <w:lang w:val="en-US"/>
        </w:rPr>
        <w:t xml:space="preserve">, and their involvement </w:t>
      </w:r>
      <w:r w:rsidR="00A26D80" w:rsidRPr="00920C00">
        <w:rPr>
          <w:lang w:val="en-US"/>
        </w:rPr>
        <w:t>in a violent altercation</w:t>
      </w:r>
      <w:r w:rsidR="006D2003" w:rsidRPr="00920C00">
        <w:rPr>
          <w:lang w:val="en-US"/>
        </w:rPr>
        <w:t xml:space="preserve">. </w:t>
      </w:r>
      <w:r w:rsidR="00F77087" w:rsidRPr="00920C00">
        <w:rPr>
          <w:lang w:val="en-US"/>
        </w:rPr>
        <w:t xml:space="preserve">The national courts considered that these articles were an </w:t>
      </w:r>
      <w:r w:rsidR="002808DA" w:rsidRPr="00920C00">
        <w:rPr>
          <w:lang w:val="en-US"/>
        </w:rPr>
        <w:t xml:space="preserve">unjustified invasion of </w:t>
      </w:r>
      <w:r w:rsidR="00691F66" w:rsidRPr="00920C00">
        <w:rPr>
          <w:lang w:val="en-US"/>
        </w:rPr>
        <w:t>B’s privacy. For the ECtHR</w:t>
      </w:r>
      <w:r w:rsidR="006A1A9A" w:rsidRPr="00920C00">
        <w:rPr>
          <w:lang w:val="en-US"/>
        </w:rPr>
        <w:t xml:space="preserve"> the interfere</w:t>
      </w:r>
      <w:r w:rsidR="00C648D2" w:rsidRPr="00920C00">
        <w:rPr>
          <w:lang w:val="en-US"/>
        </w:rPr>
        <w:t>nce on the freedom of expression of the claimant, although it was prescribed by law and pursued a legitimate aim, was disproportionate</w:t>
      </w:r>
      <w:r w:rsidR="00FD1617" w:rsidRPr="00920C00">
        <w:rPr>
          <w:lang w:val="en-US"/>
        </w:rPr>
        <w:t xml:space="preserve"> and thus not necessary in a democratic society, since </w:t>
      </w:r>
      <w:r w:rsidR="00A856AA" w:rsidRPr="00920C00">
        <w:rPr>
          <w:lang w:val="en-US"/>
        </w:rPr>
        <w:t xml:space="preserve">B’s identity had been previously </w:t>
      </w:r>
      <w:proofErr w:type="gramStart"/>
      <w:r w:rsidR="00A856AA" w:rsidRPr="00920C00">
        <w:rPr>
          <w:lang w:val="en-US"/>
        </w:rPr>
        <w:t xml:space="preserve">disclosed </w:t>
      </w:r>
      <w:r w:rsidR="00FD1617" w:rsidRPr="00920C00">
        <w:rPr>
          <w:lang w:val="en-US"/>
        </w:rPr>
        <w:t xml:space="preserve"> </w:t>
      </w:r>
      <w:r w:rsidR="00A856AA" w:rsidRPr="00920C00">
        <w:rPr>
          <w:lang w:val="en-US"/>
        </w:rPr>
        <w:t>on</w:t>
      </w:r>
      <w:proofErr w:type="gramEnd"/>
      <w:r w:rsidR="00A856AA" w:rsidRPr="00920C00">
        <w:rPr>
          <w:lang w:val="en-US"/>
        </w:rPr>
        <w:t xml:space="preserve"> national television, the</w:t>
      </w:r>
      <w:r w:rsidR="00920C00" w:rsidRPr="00920C00">
        <w:rPr>
          <w:lang w:val="en-US"/>
        </w:rPr>
        <w:t xml:space="preserve"> </w:t>
      </w:r>
      <w:r w:rsidR="00FD1617" w:rsidRPr="00920C00">
        <w:rPr>
          <w:lang w:val="en-US"/>
        </w:rPr>
        <w:t xml:space="preserve">questioned news articles </w:t>
      </w:r>
      <w:r w:rsidR="00A34B0B" w:rsidRPr="00920C00">
        <w:rPr>
          <w:lang w:val="en-US"/>
        </w:rPr>
        <w:t>were of public interest,</w:t>
      </w:r>
      <w:r w:rsidR="00920C00" w:rsidRPr="00920C00">
        <w:rPr>
          <w:lang w:val="en-US"/>
        </w:rPr>
        <w:t xml:space="preserve"> and </w:t>
      </w:r>
      <w:r w:rsidR="00A34B0B" w:rsidRPr="00920C00">
        <w:rPr>
          <w:lang w:val="en-US"/>
        </w:rPr>
        <w:t>the sanctions too severe</w:t>
      </w:r>
      <w:r w:rsidR="00920C00" w:rsidRPr="00920C00">
        <w:rPr>
          <w:lang w:val="en-US"/>
        </w:rPr>
        <w:t>.</w:t>
      </w:r>
      <w:r w:rsidR="00A34B0B" w:rsidRPr="00920C00">
        <w:rPr>
          <w:lang w:val="en-US"/>
        </w:rPr>
        <w:t xml:space="preserve"> </w:t>
      </w:r>
    </w:p>
    <w:p w14:paraId="148BC13E" w14:textId="552E81A4" w:rsidR="002E5429" w:rsidRDefault="002E5429" w:rsidP="002E5429">
      <w:pPr>
        <w:rPr>
          <w:b/>
          <w:bCs/>
          <w:lang w:val="en-US"/>
        </w:rPr>
      </w:pPr>
      <w:r>
        <w:rPr>
          <w:b/>
          <w:bCs/>
          <w:lang w:val="en-US"/>
        </w:rPr>
        <w:t>Facts</w:t>
      </w:r>
    </w:p>
    <w:p w14:paraId="12A0EEC3" w14:textId="14D66257" w:rsidR="00215891" w:rsidRPr="004D5E2B" w:rsidRDefault="002B4C1E" w:rsidP="00215891">
      <w:pPr>
        <w:rPr>
          <w:lang w:val="en-US"/>
        </w:rPr>
      </w:pPr>
      <w:r w:rsidRPr="004D5E2B">
        <w:rPr>
          <w:lang w:val="en-US"/>
        </w:rPr>
        <w:t xml:space="preserve">On December 4, 1996, A, Finland’s then </w:t>
      </w:r>
      <w:bookmarkStart w:id="0" w:name="_Hlk103350998"/>
      <w:r w:rsidRPr="004D5E2B">
        <w:rPr>
          <w:lang w:val="en-US"/>
        </w:rPr>
        <w:t>National Conciliator</w:t>
      </w:r>
      <w:bookmarkEnd w:id="0"/>
      <w:r w:rsidRPr="004D5E2B">
        <w:rPr>
          <w:lang w:val="en-US"/>
        </w:rPr>
        <w:t>, and B entered late at night into A’s house, where his wife was present. The situation escalated, involving A’s children, and the police was called</w:t>
      </w:r>
      <w:r w:rsidR="00215891" w:rsidRPr="004D5E2B">
        <w:rPr>
          <w:lang w:val="en-US"/>
        </w:rPr>
        <w:t xml:space="preserve">. A was arrested that day. Both A and B were criminally charged. On December 18, 1996, the Helsinki District Court convicted A “to a four-month conditional prison </w:t>
      </w:r>
      <w:r w:rsidR="00215891" w:rsidRPr="00215891">
        <w:rPr>
          <w:lang w:val="en-US"/>
        </w:rPr>
        <w:t>sentence</w:t>
      </w:r>
      <w:r w:rsidR="00215891" w:rsidRPr="004D5E2B">
        <w:rPr>
          <w:lang w:val="en-US"/>
        </w:rPr>
        <w:t xml:space="preserve"> for resisting arrest and for criminal damage</w:t>
      </w:r>
      <w:r w:rsidR="00215891" w:rsidRPr="00215891">
        <w:rPr>
          <w:lang w:val="en-US"/>
        </w:rPr>
        <w:t>, and B. to a fine for assault</w:t>
      </w:r>
      <w:r w:rsidR="00215891" w:rsidRPr="004D5E2B">
        <w:rPr>
          <w:lang w:val="en-US"/>
        </w:rPr>
        <w:t>” (par. 7)</w:t>
      </w:r>
      <w:r w:rsidR="00215891" w:rsidRPr="00215891">
        <w:rPr>
          <w:lang w:val="en-US"/>
        </w:rPr>
        <w:t>.</w:t>
      </w:r>
    </w:p>
    <w:p w14:paraId="24307DCA" w14:textId="5C8CF33E" w:rsidR="005878C8" w:rsidRPr="004D5E2B" w:rsidRDefault="00215891" w:rsidP="005878C8">
      <w:pPr>
        <w:rPr>
          <w:lang w:val="en-US"/>
        </w:rPr>
      </w:pPr>
      <w:r w:rsidRPr="004D5E2B">
        <w:rPr>
          <w:lang w:val="en-US"/>
        </w:rPr>
        <w:t>On January 17, 1997, A was dismissed from his post as National Conciliator by the Council of State. An Appeal Court, on June 25</w:t>
      </w:r>
      <w:r w:rsidR="005878C8" w:rsidRPr="004D5E2B">
        <w:rPr>
          <w:lang w:val="en-US"/>
        </w:rPr>
        <w:t xml:space="preserve">, 1997, upheld the criminal conviction against B. </w:t>
      </w:r>
      <w:r w:rsidRPr="004D5E2B">
        <w:rPr>
          <w:lang w:val="en-US"/>
        </w:rPr>
        <w:t xml:space="preserve"> </w:t>
      </w:r>
      <w:r w:rsidR="005878C8" w:rsidRPr="004D5E2B">
        <w:rPr>
          <w:lang w:val="en-US"/>
        </w:rPr>
        <w:t xml:space="preserve">As regards A., the case had lapsed as </w:t>
      </w:r>
      <w:r w:rsidR="005878C8" w:rsidRPr="005878C8">
        <w:rPr>
          <w:lang w:val="en-US"/>
        </w:rPr>
        <w:t>he had died on 14 May 1998</w:t>
      </w:r>
      <w:r w:rsidR="005878C8" w:rsidRPr="004D5E2B">
        <w:rPr>
          <w:lang w:val="en-US"/>
        </w:rPr>
        <w:t xml:space="preserve"> (par. 7).</w:t>
      </w:r>
    </w:p>
    <w:p w14:paraId="39A028CB" w14:textId="32512076" w:rsidR="00030DA1" w:rsidRPr="004D5E2B" w:rsidRDefault="005878C8" w:rsidP="00030DA1">
      <w:pPr>
        <w:rPr>
          <w:lang w:val="en-US"/>
        </w:rPr>
      </w:pPr>
      <w:r w:rsidRPr="004D5E2B">
        <w:rPr>
          <w:lang w:val="en-US"/>
        </w:rPr>
        <w:t xml:space="preserve">On January 31 and March 1, 1997, </w:t>
      </w:r>
      <w:proofErr w:type="spellStart"/>
      <w:r w:rsidRPr="004D5E2B">
        <w:rPr>
          <w:i/>
          <w:iCs/>
          <w:lang w:val="en-US"/>
        </w:rPr>
        <w:t>Seura</w:t>
      </w:r>
      <w:proofErr w:type="spellEnd"/>
      <w:r w:rsidRPr="004D5E2B">
        <w:rPr>
          <w:lang w:val="en-US"/>
        </w:rPr>
        <w:t xml:space="preserve"> and </w:t>
      </w:r>
      <w:proofErr w:type="spellStart"/>
      <w:r w:rsidRPr="004D5E2B">
        <w:rPr>
          <w:i/>
          <w:iCs/>
          <w:lang w:val="en-US"/>
        </w:rPr>
        <w:t>Nykyposti</w:t>
      </w:r>
      <w:proofErr w:type="spellEnd"/>
      <w:r w:rsidRPr="004D5E2B">
        <w:rPr>
          <w:i/>
          <w:iCs/>
          <w:lang w:val="en-US"/>
        </w:rPr>
        <w:t xml:space="preserve"> </w:t>
      </w:r>
      <w:r w:rsidRPr="004D5E2B">
        <w:rPr>
          <w:lang w:val="en-US"/>
        </w:rPr>
        <w:t>magazines, respectively, published press articles about A</w:t>
      </w:r>
      <w:r w:rsidR="007325C2" w:rsidRPr="004D5E2B">
        <w:rPr>
          <w:lang w:val="en-US"/>
        </w:rPr>
        <w:t xml:space="preserve">. In the first article, based on an interview with A, B’s name and age were </w:t>
      </w:r>
      <w:r w:rsidR="007325C2" w:rsidRPr="004D5E2B">
        <w:rPr>
          <w:lang w:val="en-US"/>
        </w:rPr>
        <w:lastRenderedPageBreak/>
        <w:t xml:space="preserve">mentioned along with her picture. </w:t>
      </w:r>
      <w:r w:rsidR="00030DA1" w:rsidRPr="004D5E2B">
        <w:rPr>
          <w:lang w:val="en-US"/>
        </w:rPr>
        <w:t xml:space="preserve">The article concerned A.’s “feelings about his </w:t>
      </w:r>
      <w:r w:rsidR="00030DA1" w:rsidRPr="00030DA1">
        <w:rPr>
          <w:lang w:val="en-US"/>
        </w:rPr>
        <w:t>dismissal and his possible divorce in the aftermath of the incident of</w:t>
      </w:r>
      <w:r w:rsidR="00030DA1" w:rsidRPr="004D5E2B">
        <w:rPr>
          <w:lang w:val="en-US"/>
        </w:rPr>
        <w:t xml:space="preserve"> </w:t>
      </w:r>
      <w:r w:rsidR="00030DA1" w:rsidRPr="00030DA1">
        <w:rPr>
          <w:lang w:val="en-US"/>
        </w:rPr>
        <w:t>4 December 1996</w:t>
      </w:r>
      <w:r w:rsidR="00030DA1" w:rsidRPr="004D5E2B">
        <w:rPr>
          <w:lang w:val="en-US"/>
        </w:rPr>
        <w:t xml:space="preserve">” (par. 8). The second article was also about A’s divorce and the </w:t>
      </w:r>
      <w:proofErr w:type="gramStart"/>
      <w:r w:rsidR="00030DA1" w:rsidRPr="004D5E2B">
        <w:rPr>
          <w:lang w:val="en-US"/>
        </w:rPr>
        <w:t>aforementioned incident</w:t>
      </w:r>
      <w:proofErr w:type="gramEnd"/>
      <w:r w:rsidR="00030DA1" w:rsidRPr="004D5E2B">
        <w:rPr>
          <w:lang w:val="en-US"/>
        </w:rPr>
        <w:t>. In that context, B’s name was mentioned too.</w:t>
      </w:r>
    </w:p>
    <w:p w14:paraId="6D572BA0" w14:textId="7E1A2E7A" w:rsidR="00030DA1" w:rsidRPr="004D5E2B" w:rsidRDefault="00030DA1" w:rsidP="00030DA1">
      <w:pPr>
        <w:rPr>
          <w:lang w:val="en-US"/>
        </w:rPr>
      </w:pPr>
      <w:r w:rsidRPr="004D5E2B">
        <w:rPr>
          <w:lang w:val="en-US"/>
        </w:rPr>
        <w:t>Before these two articles</w:t>
      </w:r>
      <w:r w:rsidR="00AC226B" w:rsidRPr="004D5E2B">
        <w:rPr>
          <w:lang w:val="en-US"/>
        </w:rPr>
        <w:t>,</w:t>
      </w:r>
      <w:r w:rsidRPr="004D5E2B">
        <w:rPr>
          <w:lang w:val="en-US"/>
        </w:rPr>
        <w:t xml:space="preserve"> B’s identity was revealed in a Swedish newspaper (January 21, 1997) and in a Finnish television broadcast (January 23, 1997)</w:t>
      </w:r>
      <w:r w:rsidR="00AC226B" w:rsidRPr="004D5E2B">
        <w:rPr>
          <w:lang w:val="en-US"/>
        </w:rPr>
        <w:t>.</w:t>
      </w:r>
    </w:p>
    <w:p w14:paraId="6FBE8B34" w14:textId="5B762DB0" w:rsidR="005878C8" w:rsidRPr="004D5E2B" w:rsidRDefault="00AC226B" w:rsidP="005878C8">
      <w:pPr>
        <w:rPr>
          <w:lang w:val="en-US"/>
        </w:rPr>
      </w:pPr>
      <w:r w:rsidRPr="004D5E2B">
        <w:rPr>
          <w:lang w:val="en-US"/>
        </w:rPr>
        <w:t xml:space="preserve">A and B requested, in the spring of 1997, criminal investigations against the journalists who wrote about the incident of December 4, 1996. </w:t>
      </w:r>
      <w:r w:rsidR="00E86BE1" w:rsidRPr="004D5E2B">
        <w:rPr>
          <w:lang w:val="en-US"/>
        </w:rPr>
        <w:t>The public prosecutor brought charges</w:t>
      </w:r>
      <w:r w:rsidR="00F00A8A" w:rsidRPr="004D5E2B">
        <w:rPr>
          <w:lang w:val="en-US"/>
        </w:rPr>
        <w:t xml:space="preserve"> for invasion of privacy</w:t>
      </w:r>
      <w:r w:rsidR="00E86BE1" w:rsidRPr="004D5E2B">
        <w:rPr>
          <w:lang w:val="en-US"/>
        </w:rPr>
        <w:t xml:space="preserve"> against Mr. </w:t>
      </w:r>
      <w:proofErr w:type="spellStart"/>
      <w:r w:rsidR="00E86BE1" w:rsidRPr="004D5E2B">
        <w:rPr>
          <w:lang w:val="en-US"/>
        </w:rPr>
        <w:t>Jouni</w:t>
      </w:r>
      <w:proofErr w:type="spellEnd"/>
      <w:r w:rsidR="00E86BE1" w:rsidRPr="004D5E2B">
        <w:rPr>
          <w:lang w:val="en-US"/>
        </w:rPr>
        <w:t xml:space="preserve"> Mikael </w:t>
      </w:r>
      <w:proofErr w:type="spellStart"/>
      <w:r w:rsidR="00E86BE1" w:rsidRPr="004D5E2B">
        <w:rPr>
          <w:lang w:val="en-US"/>
        </w:rPr>
        <w:t>Flinkkilä</w:t>
      </w:r>
      <w:proofErr w:type="spellEnd"/>
      <w:r w:rsidR="00E86BE1" w:rsidRPr="004D5E2B">
        <w:rPr>
          <w:lang w:val="en-US"/>
        </w:rPr>
        <w:t xml:space="preserve">, Ms. </w:t>
      </w:r>
      <w:proofErr w:type="spellStart"/>
      <w:r w:rsidR="00E86BE1" w:rsidRPr="004D5E2B">
        <w:rPr>
          <w:lang w:val="en-US"/>
        </w:rPr>
        <w:t>Sanna</w:t>
      </w:r>
      <w:proofErr w:type="spellEnd"/>
      <w:r w:rsidR="00E86BE1" w:rsidRPr="004D5E2B">
        <w:rPr>
          <w:lang w:val="en-US"/>
        </w:rPr>
        <w:t xml:space="preserve"> </w:t>
      </w:r>
      <w:proofErr w:type="spellStart"/>
      <w:r w:rsidR="00E86BE1" w:rsidRPr="004D5E2B">
        <w:rPr>
          <w:lang w:val="en-US"/>
        </w:rPr>
        <w:t>Rakel</w:t>
      </w:r>
      <w:proofErr w:type="spellEnd"/>
      <w:r w:rsidR="008F440F" w:rsidRPr="004D5E2B">
        <w:rPr>
          <w:lang w:val="en-US"/>
        </w:rPr>
        <w:t xml:space="preserve"> </w:t>
      </w:r>
      <w:proofErr w:type="spellStart"/>
      <w:r w:rsidR="008F440F" w:rsidRPr="004D5E2B">
        <w:rPr>
          <w:lang w:val="en-US"/>
        </w:rPr>
        <w:t>Wirtavuori</w:t>
      </w:r>
      <w:proofErr w:type="spellEnd"/>
      <w:r w:rsidR="008F440F" w:rsidRPr="004D5E2B">
        <w:rPr>
          <w:lang w:val="en-US"/>
        </w:rPr>
        <w:t xml:space="preserve"> </w:t>
      </w:r>
      <w:r w:rsidR="00E86BE1" w:rsidRPr="004D5E2B">
        <w:rPr>
          <w:lang w:val="en-US"/>
        </w:rPr>
        <w:t xml:space="preserve">—editors-in-chief of </w:t>
      </w:r>
      <w:proofErr w:type="spellStart"/>
      <w:r w:rsidR="00E86BE1" w:rsidRPr="004D5E2B">
        <w:rPr>
          <w:i/>
          <w:iCs/>
          <w:lang w:val="en-US"/>
        </w:rPr>
        <w:t>Seura</w:t>
      </w:r>
      <w:proofErr w:type="spellEnd"/>
      <w:r w:rsidR="00E86BE1" w:rsidRPr="004D5E2B">
        <w:rPr>
          <w:lang w:val="en-US"/>
        </w:rPr>
        <w:t xml:space="preserve"> magazine</w:t>
      </w:r>
      <w:r w:rsidR="00E86BE1" w:rsidRPr="004D5E2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</w:t>
      </w:r>
      <w:r w:rsidR="00E86BE1" w:rsidRPr="004D5E2B">
        <w:rPr>
          <w:lang w:val="en-US"/>
        </w:rPr>
        <w:t xml:space="preserve">—, </w:t>
      </w:r>
      <w:proofErr w:type="spellStart"/>
      <w:r w:rsidR="00E86BE1" w:rsidRPr="004D5E2B">
        <w:rPr>
          <w:lang w:val="en-US"/>
        </w:rPr>
        <w:t>Ms</w:t>
      </w:r>
      <w:proofErr w:type="spellEnd"/>
      <w:r w:rsidR="00E86BE1" w:rsidRPr="004D5E2B">
        <w:rPr>
          <w:lang w:val="en-US"/>
        </w:rPr>
        <w:t xml:space="preserve"> </w:t>
      </w:r>
      <w:proofErr w:type="spellStart"/>
      <w:r w:rsidR="00E86BE1" w:rsidRPr="004D5E2B">
        <w:rPr>
          <w:lang w:val="en-US"/>
        </w:rPr>
        <w:t>Jaana</w:t>
      </w:r>
      <w:proofErr w:type="spellEnd"/>
      <w:r w:rsidR="00E86BE1" w:rsidRPr="004D5E2B">
        <w:rPr>
          <w:lang w:val="en-US"/>
        </w:rPr>
        <w:t xml:space="preserve"> Helena and </w:t>
      </w:r>
      <w:proofErr w:type="spellStart"/>
      <w:r w:rsidR="00E86BE1" w:rsidRPr="004D5E2B">
        <w:rPr>
          <w:lang w:val="en-US"/>
        </w:rPr>
        <w:t>Mr</w:t>
      </w:r>
      <w:proofErr w:type="spellEnd"/>
      <w:r w:rsidR="00E86BE1" w:rsidRPr="004D5E2B">
        <w:rPr>
          <w:lang w:val="en-US"/>
        </w:rPr>
        <w:t xml:space="preserve"> </w:t>
      </w:r>
      <w:proofErr w:type="spellStart"/>
      <w:r w:rsidR="00E86BE1" w:rsidRPr="004D5E2B">
        <w:rPr>
          <w:lang w:val="en-US"/>
        </w:rPr>
        <w:t>Risto</w:t>
      </w:r>
      <w:proofErr w:type="spellEnd"/>
      <w:r w:rsidR="00E86BE1" w:rsidRPr="004D5E2B">
        <w:rPr>
          <w:lang w:val="en-US"/>
        </w:rPr>
        <w:t xml:space="preserve"> Valdemar </w:t>
      </w:r>
      <w:proofErr w:type="spellStart"/>
      <w:r w:rsidR="00E86BE1" w:rsidRPr="004D5E2B">
        <w:rPr>
          <w:lang w:val="en-US"/>
        </w:rPr>
        <w:t>Ainasoja</w:t>
      </w:r>
      <w:proofErr w:type="spellEnd"/>
      <w:r w:rsidR="00E86BE1" w:rsidRPr="004D5E2B">
        <w:rPr>
          <w:rFonts w:ascii="Arial" w:hAnsi="Arial" w:cs="Arial"/>
          <w:color w:val="000000"/>
          <w:lang w:val="en-US"/>
        </w:rPr>
        <w:t xml:space="preserve"> —</w:t>
      </w:r>
      <w:r w:rsidR="00E86BE1" w:rsidRPr="004D5E2B">
        <w:rPr>
          <w:lang w:val="en-US"/>
        </w:rPr>
        <w:t xml:space="preserve">editor-in-chief and a journalist of </w:t>
      </w:r>
      <w:proofErr w:type="spellStart"/>
      <w:r w:rsidR="00E86BE1" w:rsidRPr="004D5E2B">
        <w:rPr>
          <w:lang w:val="en-US"/>
        </w:rPr>
        <w:t>Nykypost</w:t>
      </w:r>
      <w:r w:rsidR="00BC3976" w:rsidRPr="004D5E2B">
        <w:rPr>
          <w:lang w:val="en-US"/>
        </w:rPr>
        <w:t>i</w:t>
      </w:r>
      <w:proofErr w:type="spellEnd"/>
      <w:r w:rsidR="00BC3976" w:rsidRPr="004D5E2B">
        <w:rPr>
          <w:lang w:val="en-US"/>
        </w:rPr>
        <w:t>—</w:t>
      </w:r>
      <w:r w:rsidR="00163356" w:rsidRPr="004D5E2B">
        <w:rPr>
          <w:lang w:val="en-US"/>
        </w:rPr>
        <w:t>"</w:t>
      </w:r>
      <w:r w:rsidR="008971B0" w:rsidRPr="004D5E2B">
        <w:rPr>
          <w:lang w:val="en-US"/>
        </w:rPr>
        <w:t>under Chapter 27, section 3(a), paragraph 2 of the</w:t>
      </w:r>
      <w:r w:rsidR="00163356" w:rsidRPr="004D5E2B">
        <w:rPr>
          <w:lang w:val="en-US"/>
        </w:rPr>
        <w:t xml:space="preserve"> [Finnish]</w:t>
      </w:r>
      <w:r w:rsidR="008971B0" w:rsidRPr="004D5E2B">
        <w:rPr>
          <w:lang w:val="en-US"/>
        </w:rPr>
        <w:t xml:space="preserve"> Penal Code</w:t>
      </w:r>
      <w:r w:rsidR="00163356" w:rsidRPr="004D5E2B">
        <w:rPr>
          <w:lang w:val="en-US"/>
        </w:rPr>
        <w:t>” (par. 11)</w:t>
      </w:r>
      <w:r w:rsidR="00E86BE1" w:rsidRPr="004D5E2B">
        <w:rPr>
          <w:lang w:val="en-US"/>
        </w:rPr>
        <w:t xml:space="preserve">. </w:t>
      </w:r>
    </w:p>
    <w:p w14:paraId="4D16592E" w14:textId="77777777" w:rsidR="00FD7F08" w:rsidRPr="004D5E2B" w:rsidRDefault="00BC3976" w:rsidP="00BC3976">
      <w:pPr>
        <w:rPr>
          <w:lang w:val="en-US"/>
        </w:rPr>
      </w:pPr>
      <w:r w:rsidRPr="004D5E2B">
        <w:rPr>
          <w:lang w:val="en-US"/>
        </w:rPr>
        <w:t xml:space="preserve">On December 15, 2000, the Espoo District Court dismissed all the charges. The court argued that the </w:t>
      </w:r>
      <w:r w:rsidRPr="00BC3976">
        <w:rPr>
          <w:lang w:val="en-US"/>
        </w:rPr>
        <w:t xml:space="preserve">information </w:t>
      </w:r>
      <w:r w:rsidRPr="004D5E2B">
        <w:rPr>
          <w:lang w:val="en-US"/>
        </w:rPr>
        <w:t>“</w:t>
      </w:r>
      <w:r w:rsidRPr="00BC3976">
        <w:rPr>
          <w:lang w:val="en-US"/>
        </w:rPr>
        <w:t>concerning B.’s private life in the article could not as such be</w:t>
      </w:r>
      <w:r w:rsidRPr="004D5E2B">
        <w:rPr>
          <w:lang w:val="en-US"/>
        </w:rPr>
        <w:t xml:space="preserve"> </w:t>
      </w:r>
      <w:r w:rsidRPr="00BC3976">
        <w:rPr>
          <w:lang w:val="en-US"/>
        </w:rPr>
        <w:t xml:space="preserve">conducive to causing her </w:t>
      </w:r>
      <w:proofErr w:type="gramStart"/>
      <w:r w:rsidRPr="00BC3976">
        <w:rPr>
          <w:lang w:val="en-US"/>
        </w:rPr>
        <w:t>particular suffering</w:t>
      </w:r>
      <w:proofErr w:type="gramEnd"/>
      <w:r w:rsidRPr="00BC3976">
        <w:rPr>
          <w:lang w:val="en-US"/>
        </w:rPr>
        <w:t>, except for the information</w:t>
      </w:r>
      <w:r w:rsidRPr="004D5E2B">
        <w:rPr>
          <w:lang w:val="en-US"/>
        </w:rPr>
        <w:t xml:space="preserve"> </w:t>
      </w:r>
      <w:r w:rsidRPr="00BC3976">
        <w:rPr>
          <w:lang w:val="en-US"/>
        </w:rPr>
        <w:t>concerning her relationship with A. However, since the incident of</w:t>
      </w:r>
      <w:r w:rsidRPr="004D5E2B">
        <w:rPr>
          <w:lang w:val="en-US"/>
        </w:rPr>
        <w:t xml:space="preserve"> </w:t>
      </w:r>
      <w:r w:rsidRPr="00BC3976">
        <w:rPr>
          <w:lang w:val="en-US"/>
        </w:rPr>
        <w:t>4 December 1996 B. must have understood that she could no longer seek</w:t>
      </w:r>
      <w:r w:rsidRPr="004D5E2B">
        <w:rPr>
          <w:lang w:val="en-US"/>
        </w:rPr>
        <w:t xml:space="preserve"> </w:t>
      </w:r>
      <w:r w:rsidRPr="00BC3976">
        <w:rPr>
          <w:lang w:val="en-US"/>
        </w:rPr>
        <w:t>protection on this ground</w:t>
      </w:r>
      <w:r w:rsidRPr="004D5E2B">
        <w:rPr>
          <w:lang w:val="en-US"/>
        </w:rPr>
        <w:t>” (par. 13). The court also considered there was no proof against the defendants regarding the intention of invading B’s privacy.</w:t>
      </w:r>
    </w:p>
    <w:p w14:paraId="11D03D92" w14:textId="22E701A2" w:rsidR="001A2D65" w:rsidRPr="004D5E2B" w:rsidRDefault="00FD7F08" w:rsidP="001A2D65">
      <w:pPr>
        <w:rPr>
          <w:lang w:val="en-US"/>
        </w:rPr>
      </w:pPr>
      <w:r w:rsidRPr="004D5E2B">
        <w:rPr>
          <w:lang w:val="en-US"/>
        </w:rPr>
        <w:t xml:space="preserve">The Appeal Court, on May 15, 2003, quashed the </w:t>
      </w:r>
      <w:proofErr w:type="spellStart"/>
      <w:r w:rsidRPr="004D5E2B">
        <w:rPr>
          <w:lang w:val="en-US"/>
        </w:rPr>
        <w:t>Disitrict’s</w:t>
      </w:r>
      <w:proofErr w:type="spellEnd"/>
      <w:r w:rsidRPr="004D5E2B">
        <w:rPr>
          <w:lang w:val="en-US"/>
        </w:rPr>
        <w:t xml:space="preserve"> Court </w:t>
      </w:r>
      <w:r w:rsidR="0080535D" w:rsidRPr="004D5E2B">
        <w:rPr>
          <w:lang w:val="en-US"/>
        </w:rPr>
        <w:t>decision</w:t>
      </w:r>
      <w:r w:rsidR="00BC3976" w:rsidRPr="00BC3976">
        <w:rPr>
          <w:lang w:val="en-US"/>
        </w:rPr>
        <w:t xml:space="preserve"> </w:t>
      </w:r>
      <w:r w:rsidR="008F74E9" w:rsidRPr="004D5E2B">
        <w:rPr>
          <w:lang w:val="en-US"/>
        </w:rPr>
        <w:t xml:space="preserve">and </w:t>
      </w:r>
      <w:r w:rsidR="00B85072" w:rsidRPr="004D5E2B">
        <w:rPr>
          <w:lang w:val="en-US"/>
        </w:rPr>
        <w:t xml:space="preserve">convicted the defendants </w:t>
      </w:r>
      <w:r w:rsidR="002A200B" w:rsidRPr="004D5E2B">
        <w:rPr>
          <w:lang w:val="en-US"/>
        </w:rPr>
        <w:t>“</w:t>
      </w:r>
      <w:r w:rsidR="00B85072" w:rsidRPr="004D5E2B">
        <w:rPr>
          <w:lang w:val="en-US"/>
        </w:rPr>
        <w:t xml:space="preserve">to pay </w:t>
      </w:r>
      <w:r w:rsidR="00B85072" w:rsidRPr="00B85072">
        <w:rPr>
          <w:lang w:val="en-US"/>
        </w:rPr>
        <w:t>twenty day-fines, amounting to 1,180 euros (EUR), EUR 1,100, EUR 1,020</w:t>
      </w:r>
      <w:r w:rsidR="00B85072" w:rsidRPr="004D5E2B">
        <w:rPr>
          <w:lang w:val="en-US"/>
        </w:rPr>
        <w:t xml:space="preserve"> </w:t>
      </w:r>
      <w:r w:rsidR="00B85072" w:rsidRPr="00B85072">
        <w:rPr>
          <w:lang w:val="en-US"/>
        </w:rPr>
        <w:t>and EUR 120 respectively, for invasion of private life</w:t>
      </w:r>
      <w:r w:rsidR="001A2D65" w:rsidRPr="004D5E2B">
        <w:rPr>
          <w:lang w:val="en-US"/>
        </w:rPr>
        <w:t>. Moreover, [</w:t>
      </w:r>
      <w:proofErr w:type="spellStart"/>
      <w:r w:rsidR="001A2D65" w:rsidRPr="004D5E2B">
        <w:rPr>
          <w:lang w:val="en-US"/>
        </w:rPr>
        <w:t>Flinkkilä</w:t>
      </w:r>
      <w:proofErr w:type="spellEnd"/>
      <w:r w:rsidR="001A2D65" w:rsidRPr="004D5E2B">
        <w:rPr>
          <w:lang w:val="en-US"/>
        </w:rPr>
        <w:t xml:space="preserve">] </w:t>
      </w:r>
      <w:r w:rsidR="001A2D65" w:rsidRPr="001A2D65">
        <w:rPr>
          <w:lang w:val="en-US"/>
        </w:rPr>
        <w:t xml:space="preserve">and </w:t>
      </w:r>
      <w:r w:rsidR="007F519D" w:rsidRPr="004D5E2B">
        <w:rPr>
          <w:lang w:val="en-US"/>
        </w:rPr>
        <w:t>[</w:t>
      </w:r>
      <w:bookmarkStart w:id="1" w:name="_Hlk103262964"/>
      <w:proofErr w:type="spellStart"/>
      <w:r w:rsidR="001A2D65" w:rsidRPr="004D5E2B">
        <w:rPr>
          <w:lang w:val="en-US"/>
        </w:rPr>
        <w:t>Wirtavuori</w:t>
      </w:r>
      <w:bookmarkEnd w:id="1"/>
      <w:proofErr w:type="spellEnd"/>
      <w:r w:rsidR="007F519D" w:rsidRPr="004D5E2B">
        <w:rPr>
          <w:lang w:val="en-US"/>
        </w:rPr>
        <w:t>]</w:t>
      </w:r>
      <w:r w:rsidR="001A2D65" w:rsidRPr="004D5E2B">
        <w:rPr>
          <w:lang w:val="en-US"/>
        </w:rPr>
        <w:t xml:space="preserve"> </w:t>
      </w:r>
      <w:r w:rsidR="001A2D65" w:rsidRPr="001A2D65">
        <w:rPr>
          <w:lang w:val="en-US"/>
        </w:rPr>
        <w:t>were ordered jointly to pay B. EUR 5,000 plus</w:t>
      </w:r>
      <w:r w:rsidR="001A2D65" w:rsidRPr="004D5E2B">
        <w:rPr>
          <w:lang w:val="en-US"/>
        </w:rPr>
        <w:t xml:space="preserve"> </w:t>
      </w:r>
      <w:r w:rsidR="001A2D65" w:rsidRPr="001A2D65">
        <w:rPr>
          <w:lang w:val="en-US"/>
        </w:rPr>
        <w:t xml:space="preserve">interest and </w:t>
      </w:r>
      <w:r w:rsidR="007F519D" w:rsidRPr="004D5E2B">
        <w:rPr>
          <w:lang w:val="en-US"/>
        </w:rPr>
        <w:t>[</w:t>
      </w:r>
      <w:proofErr w:type="spellStart"/>
      <w:r w:rsidR="007F519D" w:rsidRPr="004D5E2B">
        <w:rPr>
          <w:lang w:val="en-US"/>
        </w:rPr>
        <w:t>Isosaari</w:t>
      </w:r>
      <w:proofErr w:type="spellEnd"/>
      <w:r w:rsidR="007F519D" w:rsidRPr="004D5E2B">
        <w:rPr>
          <w:lang w:val="en-US"/>
        </w:rPr>
        <w:t xml:space="preserve">] </w:t>
      </w:r>
      <w:r w:rsidR="001A2D65" w:rsidRPr="001A2D65">
        <w:rPr>
          <w:lang w:val="en-US"/>
        </w:rPr>
        <w:t xml:space="preserve">and </w:t>
      </w:r>
      <w:r w:rsidR="007F519D" w:rsidRPr="004D5E2B">
        <w:rPr>
          <w:lang w:val="en-US"/>
        </w:rPr>
        <w:t>[</w:t>
      </w:r>
      <w:proofErr w:type="spellStart"/>
      <w:r w:rsidR="007F519D" w:rsidRPr="004D5E2B">
        <w:rPr>
          <w:lang w:val="en-US"/>
        </w:rPr>
        <w:t>Ainasoja</w:t>
      </w:r>
      <w:proofErr w:type="spellEnd"/>
      <w:r w:rsidR="007F519D" w:rsidRPr="004D5E2B">
        <w:rPr>
          <w:lang w:val="en-US"/>
        </w:rPr>
        <w:t xml:space="preserve">] </w:t>
      </w:r>
      <w:r w:rsidR="001A2D65" w:rsidRPr="001A2D65">
        <w:rPr>
          <w:lang w:val="en-US"/>
        </w:rPr>
        <w:t>EUR 3,000 plus interest for nonpecuniary damage as well as her costs and expenses jointly with the</w:t>
      </w:r>
      <w:r w:rsidR="001A2D65" w:rsidRPr="004D5E2B">
        <w:rPr>
          <w:lang w:val="en-US"/>
        </w:rPr>
        <w:t xml:space="preserve"> </w:t>
      </w:r>
      <w:r w:rsidR="001A2D65" w:rsidRPr="001A2D65">
        <w:rPr>
          <w:lang w:val="en-US"/>
        </w:rPr>
        <w:t>publishing company</w:t>
      </w:r>
      <w:r w:rsidR="005D42F9" w:rsidRPr="004D5E2B">
        <w:rPr>
          <w:lang w:val="en-US"/>
        </w:rPr>
        <w:t>” (par. 15).</w:t>
      </w:r>
    </w:p>
    <w:p w14:paraId="02D6BDE2" w14:textId="0FFB11C0" w:rsidR="007B746B" w:rsidRPr="004D5E2B" w:rsidRDefault="007C5110" w:rsidP="007B746B">
      <w:pPr>
        <w:rPr>
          <w:lang w:val="en-US"/>
        </w:rPr>
      </w:pPr>
      <w:r w:rsidRPr="004D5E2B">
        <w:rPr>
          <w:lang w:val="en-US"/>
        </w:rPr>
        <w:t xml:space="preserve">For the Appeal Court the information mentioned on the articles amounted to a violation of the private life of B. </w:t>
      </w:r>
      <w:r w:rsidR="00D45BC5" w:rsidRPr="004D5E2B">
        <w:rPr>
          <w:lang w:val="en-US"/>
        </w:rPr>
        <w:t xml:space="preserve">The fact that she was a friend of A’s and was involved in the incident that led to his dismissal didn’t justify revealing her identity, the court noted. </w:t>
      </w:r>
      <w:r w:rsidR="0060150A" w:rsidRPr="004D5E2B">
        <w:rPr>
          <w:lang w:val="en-US"/>
        </w:rPr>
        <w:t xml:space="preserve">The tribunal also considered </w:t>
      </w:r>
      <w:r w:rsidR="003E7610" w:rsidRPr="004D5E2B">
        <w:rPr>
          <w:lang w:val="en-US"/>
        </w:rPr>
        <w:t>that the crime in question didn’t require proof of intent</w:t>
      </w:r>
      <w:r w:rsidR="007B746B" w:rsidRPr="004D5E2B">
        <w:rPr>
          <w:lang w:val="en-US"/>
        </w:rPr>
        <w:t xml:space="preserve">: “it was sufficient that the </w:t>
      </w:r>
      <w:r w:rsidR="007B746B" w:rsidRPr="007B746B">
        <w:rPr>
          <w:lang w:val="en-US"/>
        </w:rPr>
        <w:t>dissemination of information about the private life of a person was capable</w:t>
      </w:r>
      <w:r w:rsidR="007B746B" w:rsidRPr="004D5E2B">
        <w:rPr>
          <w:lang w:val="en-US"/>
        </w:rPr>
        <w:t xml:space="preserve"> </w:t>
      </w:r>
      <w:r w:rsidR="007B746B" w:rsidRPr="007B746B">
        <w:rPr>
          <w:lang w:val="en-US"/>
        </w:rPr>
        <w:t>of causing him or her damage or suffering</w:t>
      </w:r>
      <w:r w:rsidR="007B746B" w:rsidRPr="004D5E2B">
        <w:rPr>
          <w:lang w:val="en-US"/>
        </w:rPr>
        <w:t xml:space="preserve">” (par. 16). </w:t>
      </w:r>
    </w:p>
    <w:p w14:paraId="74C8654E" w14:textId="33BD5BCD" w:rsidR="000B67E2" w:rsidRPr="004D5E2B" w:rsidRDefault="000B67E2" w:rsidP="007B746B">
      <w:pPr>
        <w:rPr>
          <w:lang w:val="en-US"/>
        </w:rPr>
      </w:pPr>
      <w:r w:rsidRPr="004D5E2B">
        <w:rPr>
          <w:lang w:val="en-US"/>
        </w:rPr>
        <w:t xml:space="preserve">The Supreme Court </w:t>
      </w:r>
      <w:r w:rsidR="008B3542" w:rsidRPr="004D5E2B">
        <w:rPr>
          <w:lang w:val="en-US"/>
        </w:rPr>
        <w:t>of Finland refused an appeal</w:t>
      </w:r>
      <w:r w:rsidR="008F440F" w:rsidRPr="004D5E2B">
        <w:rPr>
          <w:lang w:val="en-US"/>
        </w:rPr>
        <w:t xml:space="preserve"> on January 20, </w:t>
      </w:r>
      <w:r w:rsidR="00D649CD" w:rsidRPr="004D5E2B">
        <w:rPr>
          <w:lang w:val="en-US"/>
        </w:rPr>
        <w:t>2004, lodged</w:t>
      </w:r>
      <w:r w:rsidR="008B3542" w:rsidRPr="004D5E2B">
        <w:rPr>
          <w:lang w:val="en-US"/>
        </w:rPr>
        <w:t xml:space="preserve"> by </w:t>
      </w:r>
      <w:proofErr w:type="spellStart"/>
      <w:r w:rsidR="008F440F" w:rsidRPr="004D5E2B">
        <w:rPr>
          <w:lang w:val="en-US"/>
        </w:rPr>
        <w:t>Flinkkilä</w:t>
      </w:r>
      <w:proofErr w:type="spellEnd"/>
      <w:r w:rsidR="008F440F" w:rsidRPr="004D5E2B">
        <w:rPr>
          <w:lang w:val="en-US"/>
        </w:rPr>
        <w:t xml:space="preserve"> </w:t>
      </w:r>
      <w:proofErr w:type="spellStart"/>
      <w:r w:rsidR="008F440F" w:rsidRPr="004D5E2B">
        <w:rPr>
          <w:lang w:val="en-US"/>
        </w:rPr>
        <w:t>Wirtavuori</w:t>
      </w:r>
      <w:proofErr w:type="spellEnd"/>
      <w:r w:rsidR="008F440F" w:rsidRPr="004D5E2B">
        <w:rPr>
          <w:lang w:val="en-US"/>
        </w:rPr>
        <w:t xml:space="preserve">, </w:t>
      </w:r>
      <w:proofErr w:type="spellStart"/>
      <w:r w:rsidR="008F440F" w:rsidRPr="004D5E2B">
        <w:rPr>
          <w:lang w:val="en-US"/>
        </w:rPr>
        <w:t>Isosaari</w:t>
      </w:r>
      <w:proofErr w:type="spellEnd"/>
      <w:r w:rsidR="008F440F" w:rsidRPr="004D5E2B">
        <w:rPr>
          <w:lang w:val="en-US"/>
        </w:rPr>
        <w:t xml:space="preserve"> and </w:t>
      </w:r>
      <w:proofErr w:type="spellStart"/>
      <w:r w:rsidR="008F440F" w:rsidRPr="004D5E2B">
        <w:rPr>
          <w:lang w:val="en-US"/>
        </w:rPr>
        <w:t>Ainasoja</w:t>
      </w:r>
      <w:proofErr w:type="spellEnd"/>
      <w:r w:rsidR="00FD384E" w:rsidRPr="004D5E2B">
        <w:rPr>
          <w:lang w:val="en-US"/>
        </w:rPr>
        <w:t xml:space="preserve">. </w:t>
      </w:r>
    </w:p>
    <w:p w14:paraId="376E41A6" w14:textId="2953BD73" w:rsidR="00CC7CCC" w:rsidRPr="004D5E2B" w:rsidRDefault="00B241D0" w:rsidP="00CC7CCC">
      <w:pPr>
        <w:rPr>
          <w:lang w:val="en-US"/>
        </w:rPr>
      </w:pPr>
      <w:r w:rsidRPr="004D5E2B">
        <w:rPr>
          <w:lang w:val="en-US"/>
        </w:rPr>
        <w:t xml:space="preserve">On July 19, 2004, </w:t>
      </w:r>
      <w:proofErr w:type="spellStart"/>
      <w:r w:rsidRPr="004D5E2B">
        <w:rPr>
          <w:lang w:val="en-US"/>
        </w:rPr>
        <w:t>Flinkkilä</w:t>
      </w:r>
      <w:proofErr w:type="spellEnd"/>
      <w:r w:rsidRPr="004D5E2B">
        <w:rPr>
          <w:lang w:val="en-US"/>
        </w:rPr>
        <w:t xml:space="preserve"> </w:t>
      </w:r>
      <w:proofErr w:type="spellStart"/>
      <w:r w:rsidRPr="004D5E2B">
        <w:rPr>
          <w:lang w:val="en-US"/>
        </w:rPr>
        <w:t>Wirtavuori</w:t>
      </w:r>
      <w:proofErr w:type="spellEnd"/>
      <w:r w:rsidRPr="004D5E2B">
        <w:rPr>
          <w:lang w:val="en-US"/>
        </w:rPr>
        <w:t xml:space="preserve">, </w:t>
      </w:r>
      <w:proofErr w:type="spellStart"/>
      <w:r w:rsidRPr="004D5E2B">
        <w:rPr>
          <w:lang w:val="en-US"/>
        </w:rPr>
        <w:t>Isosaari</w:t>
      </w:r>
      <w:proofErr w:type="spellEnd"/>
      <w:r w:rsidRPr="004D5E2B">
        <w:rPr>
          <w:lang w:val="en-US"/>
        </w:rPr>
        <w:t xml:space="preserve"> and </w:t>
      </w:r>
      <w:proofErr w:type="spellStart"/>
      <w:r w:rsidRPr="004D5E2B">
        <w:rPr>
          <w:lang w:val="en-US"/>
        </w:rPr>
        <w:t>Ainasoja</w:t>
      </w:r>
      <w:proofErr w:type="spellEnd"/>
      <w:r w:rsidR="00E62E97" w:rsidRPr="004D5E2B">
        <w:rPr>
          <w:lang w:val="en-US"/>
        </w:rPr>
        <w:t xml:space="preserve"> (from here on the </w:t>
      </w:r>
      <w:proofErr w:type="gramStart"/>
      <w:r w:rsidR="00E62E97" w:rsidRPr="004D5E2B">
        <w:rPr>
          <w:lang w:val="en-US"/>
        </w:rPr>
        <w:t>applicants)  lodged</w:t>
      </w:r>
      <w:proofErr w:type="gramEnd"/>
      <w:r w:rsidR="00E62E97" w:rsidRPr="004D5E2B">
        <w:rPr>
          <w:lang w:val="en-US"/>
        </w:rPr>
        <w:t xml:space="preserve"> an application before the European Court of Justice </w:t>
      </w:r>
      <w:r w:rsidR="007324BB" w:rsidRPr="004D5E2B">
        <w:rPr>
          <w:lang w:val="en-US"/>
        </w:rPr>
        <w:t xml:space="preserve">alleging </w:t>
      </w:r>
      <w:r w:rsidR="00CC7CCC" w:rsidRPr="004D5E2B">
        <w:rPr>
          <w:lang w:val="en-US"/>
        </w:rPr>
        <w:t xml:space="preserve"> that their right to freedom of expression, as laid out by article 10 of the European Convention of Human Rights (ECHR), had been violated. </w:t>
      </w:r>
    </w:p>
    <w:p w14:paraId="7433D412" w14:textId="77777777" w:rsidR="004D5E2B" w:rsidRDefault="004D5E2B" w:rsidP="00CC7CCC">
      <w:pPr>
        <w:rPr>
          <w:b/>
          <w:bCs/>
          <w:lang w:val="en-US"/>
        </w:rPr>
      </w:pPr>
    </w:p>
    <w:p w14:paraId="70984787" w14:textId="767FF3B5" w:rsidR="004D5E2B" w:rsidRDefault="004D5E2B" w:rsidP="00CC7CCC">
      <w:pPr>
        <w:rPr>
          <w:b/>
          <w:bCs/>
          <w:lang w:val="en-US"/>
        </w:rPr>
      </w:pPr>
      <w:r>
        <w:rPr>
          <w:b/>
          <w:bCs/>
          <w:lang w:val="en-US"/>
        </w:rPr>
        <w:t>Decision Overview</w:t>
      </w:r>
    </w:p>
    <w:p w14:paraId="27DC1C4A" w14:textId="205B5C23" w:rsidR="00155D6F" w:rsidRPr="003D163F" w:rsidRDefault="0053569B" w:rsidP="00CC7CCC">
      <w:pPr>
        <w:rPr>
          <w:lang w:val="en-US"/>
        </w:rPr>
      </w:pPr>
      <w:r w:rsidRPr="003D163F">
        <w:rPr>
          <w:lang w:val="en-US"/>
        </w:rPr>
        <w:t>The European Court of Human Rights analyzed if the State of Finland violated the freedom of expression of the applicants</w:t>
      </w:r>
      <w:r w:rsidR="00424A6D" w:rsidRPr="003D163F">
        <w:rPr>
          <w:lang w:val="en-US"/>
        </w:rPr>
        <w:t xml:space="preserve"> </w:t>
      </w:r>
      <w:r w:rsidR="003360F4" w:rsidRPr="003D163F">
        <w:rPr>
          <w:lang w:val="en-US"/>
        </w:rPr>
        <w:t xml:space="preserve">by </w:t>
      </w:r>
      <w:r w:rsidR="00E70E7C" w:rsidRPr="003D163F">
        <w:rPr>
          <w:lang w:val="en-US"/>
        </w:rPr>
        <w:t xml:space="preserve">criminally convicting </w:t>
      </w:r>
      <w:r w:rsidR="00E5013B" w:rsidRPr="003D163F">
        <w:rPr>
          <w:lang w:val="en-US"/>
        </w:rPr>
        <w:t xml:space="preserve">them and ordering the payment of damages </w:t>
      </w:r>
      <w:r w:rsidR="00E5013B" w:rsidRPr="003D163F">
        <w:rPr>
          <w:lang w:val="en-US"/>
        </w:rPr>
        <w:lastRenderedPageBreak/>
        <w:t>t</w:t>
      </w:r>
      <w:r w:rsidR="00C77794" w:rsidRPr="003D163F">
        <w:rPr>
          <w:lang w:val="en-US"/>
        </w:rPr>
        <w:t>o B. for publishing</w:t>
      </w:r>
      <w:r w:rsidR="00C439C8" w:rsidRPr="003D163F">
        <w:rPr>
          <w:lang w:val="en-US"/>
        </w:rPr>
        <w:t xml:space="preserve"> news</w:t>
      </w:r>
      <w:r w:rsidR="00C77794" w:rsidRPr="003D163F">
        <w:rPr>
          <w:lang w:val="en-US"/>
        </w:rPr>
        <w:t xml:space="preserve"> articles which revealed </w:t>
      </w:r>
      <w:r w:rsidR="00C439C8" w:rsidRPr="003D163F">
        <w:rPr>
          <w:lang w:val="en-US"/>
        </w:rPr>
        <w:t>her identity</w:t>
      </w:r>
      <w:r w:rsidR="004B269A" w:rsidRPr="003D163F">
        <w:rPr>
          <w:lang w:val="en-US"/>
        </w:rPr>
        <w:t>. The main issue before the Court was whether the interference to the freedom of expressions of the applicants</w:t>
      </w:r>
      <w:r w:rsidR="00660BCE" w:rsidRPr="003D163F">
        <w:rPr>
          <w:lang w:val="en-US"/>
        </w:rPr>
        <w:t xml:space="preserve"> was prescribed by law, pursued a legitimate interest and was necessary in a democratic society. </w:t>
      </w:r>
      <w:r w:rsidR="00E5013B" w:rsidRPr="003D163F">
        <w:rPr>
          <w:lang w:val="en-US"/>
        </w:rPr>
        <w:t xml:space="preserve"> </w:t>
      </w:r>
    </w:p>
    <w:p w14:paraId="3A75EEDD" w14:textId="17BB34D0" w:rsidR="006A6260" w:rsidRPr="003D163F" w:rsidRDefault="004E7163" w:rsidP="006A6260">
      <w:pPr>
        <w:rPr>
          <w:lang w:val="en-US"/>
        </w:rPr>
      </w:pPr>
      <w:r w:rsidRPr="003D163F">
        <w:rPr>
          <w:lang w:val="en-US"/>
        </w:rPr>
        <w:t xml:space="preserve">The applicants argued </w:t>
      </w:r>
      <w:r w:rsidR="00A22D8F" w:rsidRPr="003D163F">
        <w:rPr>
          <w:lang w:val="en-US"/>
        </w:rPr>
        <w:t xml:space="preserve">that the </w:t>
      </w:r>
      <w:r w:rsidR="00924052" w:rsidRPr="003D163F">
        <w:rPr>
          <w:lang w:val="en-US"/>
        </w:rPr>
        <w:t xml:space="preserve">criminal convictions issued against them were not prescribed by law and were not necessary in democratic society. </w:t>
      </w:r>
      <w:r w:rsidR="00983849" w:rsidRPr="003D163F">
        <w:rPr>
          <w:lang w:val="en-US"/>
        </w:rPr>
        <w:t>According to the</w:t>
      </w:r>
      <w:r w:rsidR="000F384C" w:rsidRPr="003D163F">
        <w:rPr>
          <w:lang w:val="en-US"/>
        </w:rPr>
        <w:t>m “it had not been clear from the Penal Code provision applied that their conduct might be punishable, as the provision had not defined the scope of private life</w:t>
      </w:r>
      <w:r w:rsidR="00A873E8" w:rsidRPr="003D163F">
        <w:rPr>
          <w:lang w:val="en-US"/>
        </w:rPr>
        <w:t>”</w:t>
      </w:r>
      <w:r w:rsidR="000F384C" w:rsidRPr="003D163F">
        <w:rPr>
          <w:lang w:val="en-US"/>
        </w:rPr>
        <w:t xml:space="preserve"> (par. 49)</w:t>
      </w:r>
      <w:r w:rsidR="00A873E8" w:rsidRPr="003D163F">
        <w:rPr>
          <w:lang w:val="en-US"/>
        </w:rPr>
        <w:t xml:space="preserve">. The applicants considered too that the provision used to </w:t>
      </w:r>
      <w:r w:rsidR="005607EC" w:rsidRPr="003D163F">
        <w:rPr>
          <w:lang w:val="en-US"/>
        </w:rPr>
        <w:t xml:space="preserve">convict them, or the preparatory works for said </w:t>
      </w:r>
      <w:r w:rsidR="00AE50E2" w:rsidRPr="003D163F">
        <w:rPr>
          <w:lang w:val="en-US"/>
        </w:rPr>
        <w:t>law, “</w:t>
      </w:r>
      <w:r w:rsidR="006A6260" w:rsidRPr="003D163F">
        <w:rPr>
          <w:lang w:val="en-US"/>
        </w:rPr>
        <w:t>had mentioned that the provision would apply to the publication of an accused or convicted person’s name.” (par. 55).</w:t>
      </w:r>
    </w:p>
    <w:p w14:paraId="164C62CA" w14:textId="62E94C45" w:rsidR="000A79CE" w:rsidRPr="003D163F" w:rsidRDefault="002F177E" w:rsidP="000A79CE">
      <w:pPr>
        <w:rPr>
          <w:lang w:val="en-US"/>
        </w:rPr>
      </w:pPr>
      <w:r w:rsidRPr="003D163F">
        <w:rPr>
          <w:lang w:val="en-US"/>
        </w:rPr>
        <w:t>Regarding the necessity of the interference on freedom of expression</w:t>
      </w:r>
      <w:r w:rsidR="00B932AA" w:rsidRPr="003D163F">
        <w:rPr>
          <w:lang w:val="en-US"/>
        </w:rPr>
        <w:t xml:space="preserve">, the applicants considered it was </w:t>
      </w:r>
      <w:r w:rsidR="0052192E" w:rsidRPr="003D163F">
        <w:rPr>
          <w:lang w:val="en-US"/>
        </w:rPr>
        <w:t xml:space="preserve">“grossly disproportionate, especially in view of their obligation to pay very substantial damages in the case” (par. 49). </w:t>
      </w:r>
      <w:r w:rsidR="00AE50E2" w:rsidRPr="003D163F">
        <w:rPr>
          <w:lang w:val="en-US"/>
        </w:rPr>
        <w:t xml:space="preserve">The applicants argued </w:t>
      </w:r>
      <w:r w:rsidR="00D231D2" w:rsidRPr="003D163F">
        <w:rPr>
          <w:lang w:val="en-US"/>
        </w:rPr>
        <w:t xml:space="preserve">that since B actively participated in the December 4, </w:t>
      </w:r>
      <w:proofErr w:type="gramStart"/>
      <w:r w:rsidR="00D231D2" w:rsidRPr="003D163F">
        <w:rPr>
          <w:lang w:val="en-US"/>
        </w:rPr>
        <w:t>1996</w:t>
      </w:r>
      <w:proofErr w:type="gramEnd"/>
      <w:r w:rsidR="00D231D2" w:rsidRPr="003D163F">
        <w:rPr>
          <w:lang w:val="en-US"/>
        </w:rPr>
        <w:t xml:space="preserve"> incident </w:t>
      </w:r>
      <w:r w:rsidR="00162FAC" w:rsidRPr="003D163F">
        <w:rPr>
          <w:lang w:val="en-US"/>
        </w:rPr>
        <w:t xml:space="preserve">and was subsequently fined, </w:t>
      </w:r>
      <w:r w:rsidR="000A79CE" w:rsidRPr="003D163F">
        <w:rPr>
          <w:lang w:val="en-US"/>
        </w:rPr>
        <w:t>“the public had a right to know about issues of public interest, especially in this type of case where the person concerned had been a defendant in a high-profile criminal case” (par. 49).</w:t>
      </w:r>
    </w:p>
    <w:p w14:paraId="1BC6761A" w14:textId="71EA1D35" w:rsidR="00040C42" w:rsidRPr="003D163F" w:rsidRDefault="000A79CE" w:rsidP="00040C42">
      <w:pPr>
        <w:rPr>
          <w:lang w:val="en-US"/>
        </w:rPr>
      </w:pPr>
      <w:proofErr w:type="gramStart"/>
      <w:r w:rsidRPr="003D163F">
        <w:rPr>
          <w:lang w:val="en-US"/>
        </w:rPr>
        <w:t>Similarly</w:t>
      </w:r>
      <w:proofErr w:type="gramEnd"/>
      <w:r w:rsidRPr="003D163F">
        <w:rPr>
          <w:lang w:val="en-US"/>
        </w:rPr>
        <w:t xml:space="preserve"> so, the applicants</w:t>
      </w:r>
      <w:r w:rsidR="003F07FF" w:rsidRPr="003D163F">
        <w:rPr>
          <w:lang w:val="en-US"/>
        </w:rPr>
        <w:t xml:space="preserve"> noted that B’s identity had already been </w:t>
      </w:r>
      <w:r w:rsidR="00792694" w:rsidRPr="003D163F">
        <w:rPr>
          <w:lang w:val="en-US"/>
        </w:rPr>
        <w:t>revealed</w:t>
      </w:r>
      <w:r w:rsidR="003F07FF" w:rsidRPr="003D163F">
        <w:rPr>
          <w:lang w:val="en-US"/>
        </w:rPr>
        <w:t xml:space="preserve"> </w:t>
      </w:r>
      <w:r w:rsidR="00792694" w:rsidRPr="003D163F">
        <w:rPr>
          <w:lang w:val="en-US"/>
        </w:rPr>
        <w:t xml:space="preserve">publicly, not only in the media, but in the judgements of her </w:t>
      </w:r>
      <w:r w:rsidR="00817E45" w:rsidRPr="003D163F">
        <w:rPr>
          <w:lang w:val="en-US"/>
        </w:rPr>
        <w:t>criminal case</w:t>
      </w:r>
      <w:r w:rsidR="00040C42" w:rsidRPr="003D163F">
        <w:rPr>
          <w:lang w:val="en-US"/>
        </w:rPr>
        <w:t xml:space="preserve">: “this public information could not have become retrospectively private” (par. 55). </w:t>
      </w:r>
      <w:r w:rsidR="00065875" w:rsidRPr="003D163F">
        <w:rPr>
          <w:lang w:val="en-US"/>
        </w:rPr>
        <w:t xml:space="preserve">Ultimately, the applicants considered that the sanctions </w:t>
      </w:r>
      <w:r w:rsidR="00873C85" w:rsidRPr="003D163F">
        <w:rPr>
          <w:lang w:val="en-US"/>
        </w:rPr>
        <w:t xml:space="preserve">imposed upon them (fines, non-pecuniary damages, legal expenses) violated </w:t>
      </w:r>
      <w:r w:rsidR="00B31DCF" w:rsidRPr="003D163F">
        <w:rPr>
          <w:lang w:val="en-US"/>
        </w:rPr>
        <w:t>Article 10 of the ECHR.</w:t>
      </w:r>
    </w:p>
    <w:p w14:paraId="7F2B2993" w14:textId="5784F328" w:rsidR="00A72E10" w:rsidRPr="003D163F" w:rsidRDefault="00B31DCF" w:rsidP="00F213C7">
      <w:pPr>
        <w:rPr>
          <w:lang w:val="en-US"/>
        </w:rPr>
      </w:pPr>
      <w:r w:rsidRPr="003D163F">
        <w:rPr>
          <w:lang w:val="en-US"/>
        </w:rPr>
        <w:t xml:space="preserve">On its part, the Government of Finland </w:t>
      </w:r>
      <w:r w:rsidR="005D74C3" w:rsidRPr="003D163F">
        <w:rPr>
          <w:lang w:val="en-US"/>
        </w:rPr>
        <w:t xml:space="preserve">argued that the sanctions imposed upon the applicants, although </w:t>
      </w:r>
      <w:r w:rsidR="003D059C" w:rsidRPr="003D163F">
        <w:rPr>
          <w:lang w:val="en-US"/>
        </w:rPr>
        <w:t>can be considered interferences to freedom of expression, were prescribed by law</w:t>
      </w:r>
      <w:r w:rsidR="002123AC" w:rsidRPr="003D163F">
        <w:rPr>
          <w:lang w:val="en-US"/>
        </w:rPr>
        <w:t xml:space="preserve">. Finland argued </w:t>
      </w:r>
      <w:r w:rsidR="002B7D7D" w:rsidRPr="003D163F">
        <w:rPr>
          <w:lang w:val="en-US"/>
        </w:rPr>
        <w:t>that Chapter 27, section 3(a), of the Penal Code</w:t>
      </w:r>
      <w:r w:rsidR="005E2EB9" w:rsidRPr="003D163F">
        <w:rPr>
          <w:lang w:val="en-US"/>
        </w:rPr>
        <w:t xml:space="preserve"> </w:t>
      </w:r>
      <w:r w:rsidR="002B7D7D" w:rsidRPr="003D163F">
        <w:rPr>
          <w:lang w:val="en-US"/>
        </w:rPr>
        <w:t>were the basis of the enacted measures</w:t>
      </w:r>
      <w:r w:rsidR="00556B07" w:rsidRPr="003D163F">
        <w:rPr>
          <w:lang w:val="en-US"/>
        </w:rPr>
        <w:t xml:space="preserve">: “At the relevant time the provision had been in force more than 20 </w:t>
      </w:r>
      <w:r w:rsidR="005E2EB9" w:rsidRPr="003D163F">
        <w:rPr>
          <w:lang w:val="en-US"/>
        </w:rPr>
        <w:t>years,</w:t>
      </w:r>
      <w:r w:rsidR="00556B07" w:rsidRPr="003D163F">
        <w:rPr>
          <w:lang w:val="en-US"/>
        </w:rPr>
        <w:t xml:space="preserve"> and it had been interpreted by the Supreme Court […</w:t>
      </w:r>
      <w:r w:rsidR="00F213C7" w:rsidRPr="003D163F">
        <w:rPr>
          <w:lang w:val="en-US"/>
        </w:rPr>
        <w:t>]</w:t>
      </w:r>
      <w:r w:rsidR="00DC0A7D" w:rsidRPr="003D163F">
        <w:rPr>
          <w:lang w:val="en-US"/>
        </w:rPr>
        <w:t xml:space="preserve"> </w:t>
      </w:r>
      <w:r w:rsidR="00F213C7" w:rsidRPr="003D163F">
        <w:rPr>
          <w:lang w:val="en-US"/>
        </w:rPr>
        <w:t>The rules on criminal liability could</w:t>
      </w:r>
      <w:r w:rsidR="002247A8" w:rsidRPr="003D163F">
        <w:rPr>
          <w:lang w:val="en-US"/>
        </w:rPr>
        <w:t xml:space="preserve"> </w:t>
      </w:r>
      <w:r w:rsidR="00F213C7" w:rsidRPr="003D163F">
        <w:rPr>
          <w:lang w:val="en-US"/>
        </w:rPr>
        <w:t>thus be regarded as having been gradually clarified through judicial</w:t>
      </w:r>
      <w:r w:rsidR="002247A8" w:rsidRPr="003D163F">
        <w:rPr>
          <w:lang w:val="en-US"/>
        </w:rPr>
        <w:t xml:space="preserve"> </w:t>
      </w:r>
      <w:r w:rsidR="00F213C7" w:rsidRPr="003D163F">
        <w:rPr>
          <w:lang w:val="en-US"/>
        </w:rPr>
        <w:t>interpretation in a manner which had been consistent with the essence of the</w:t>
      </w:r>
      <w:r w:rsidR="002247A8" w:rsidRPr="003D163F">
        <w:rPr>
          <w:lang w:val="en-US"/>
        </w:rPr>
        <w:t xml:space="preserve"> </w:t>
      </w:r>
      <w:r w:rsidR="00F213C7" w:rsidRPr="003D163F">
        <w:rPr>
          <w:lang w:val="en-US"/>
        </w:rPr>
        <w:t>offence. The liability therefore could reasonably have been foreseen</w:t>
      </w:r>
      <w:r w:rsidR="002247A8" w:rsidRPr="003D163F">
        <w:rPr>
          <w:lang w:val="en-US"/>
        </w:rPr>
        <w:t>” (par. 58)</w:t>
      </w:r>
      <w:r w:rsidR="00DC0A7D" w:rsidRPr="003D163F">
        <w:rPr>
          <w:lang w:val="en-US"/>
        </w:rPr>
        <w:t xml:space="preserve">, noted </w:t>
      </w:r>
      <w:r w:rsidR="00A72E10" w:rsidRPr="003D163F">
        <w:rPr>
          <w:lang w:val="en-US"/>
        </w:rPr>
        <w:t>the respondent State.</w:t>
      </w:r>
    </w:p>
    <w:p w14:paraId="425B7F38" w14:textId="027B55E2" w:rsidR="003A5D4B" w:rsidRPr="003D163F" w:rsidRDefault="0091551B" w:rsidP="003A5D4B">
      <w:pPr>
        <w:rPr>
          <w:lang w:val="en-US"/>
        </w:rPr>
      </w:pPr>
      <w:r w:rsidRPr="003D163F">
        <w:rPr>
          <w:lang w:val="en-US"/>
        </w:rPr>
        <w:t xml:space="preserve">The Government also mentioned </w:t>
      </w:r>
      <w:r w:rsidR="001913AE" w:rsidRPr="003D163F">
        <w:rPr>
          <w:lang w:val="en-US"/>
        </w:rPr>
        <w:t xml:space="preserve">the Guidelines for Journalists, by The Union of Journalists in Finland, </w:t>
      </w:r>
      <w:r w:rsidR="00B34C55" w:rsidRPr="003D163F">
        <w:rPr>
          <w:lang w:val="en-US"/>
        </w:rPr>
        <w:t>and the practice of the Council for Mass Media (</w:t>
      </w:r>
      <w:proofErr w:type="spellStart"/>
      <w:r w:rsidR="00B34C55" w:rsidRPr="003D163F">
        <w:rPr>
          <w:lang w:val="en-US"/>
        </w:rPr>
        <w:t>Julkisen</w:t>
      </w:r>
      <w:proofErr w:type="spellEnd"/>
      <w:r w:rsidR="00B34C55" w:rsidRPr="003D163F">
        <w:rPr>
          <w:lang w:val="en-US"/>
        </w:rPr>
        <w:t xml:space="preserve"> </w:t>
      </w:r>
      <w:proofErr w:type="spellStart"/>
      <w:r w:rsidR="00B34C55" w:rsidRPr="003D163F">
        <w:rPr>
          <w:lang w:val="en-US"/>
        </w:rPr>
        <w:t>sanan</w:t>
      </w:r>
      <w:proofErr w:type="spellEnd"/>
      <w:r w:rsidR="00B34C55" w:rsidRPr="003D163F">
        <w:rPr>
          <w:lang w:val="en-US"/>
        </w:rPr>
        <w:t xml:space="preserve"> </w:t>
      </w:r>
      <w:proofErr w:type="spellStart"/>
      <w:r w:rsidR="00B34C55" w:rsidRPr="003D163F">
        <w:rPr>
          <w:lang w:val="en-US"/>
        </w:rPr>
        <w:t>neuvosto</w:t>
      </w:r>
      <w:proofErr w:type="spellEnd"/>
      <w:r w:rsidR="00B34C55" w:rsidRPr="003D163F">
        <w:rPr>
          <w:lang w:val="en-US"/>
        </w:rPr>
        <w:t xml:space="preserve">, </w:t>
      </w:r>
      <w:proofErr w:type="spellStart"/>
      <w:r w:rsidR="00B34C55" w:rsidRPr="003D163F">
        <w:rPr>
          <w:lang w:val="en-US"/>
        </w:rPr>
        <w:t>Opinionsnämnden</w:t>
      </w:r>
      <w:proofErr w:type="spellEnd"/>
      <w:r w:rsidR="00B34C55" w:rsidRPr="003D163F">
        <w:rPr>
          <w:lang w:val="en-US"/>
        </w:rPr>
        <w:t xml:space="preserve"> för </w:t>
      </w:r>
      <w:proofErr w:type="spellStart"/>
      <w:r w:rsidR="00B34C55" w:rsidRPr="003D163F">
        <w:rPr>
          <w:lang w:val="en-US"/>
        </w:rPr>
        <w:t>massmedier</w:t>
      </w:r>
      <w:proofErr w:type="spellEnd"/>
      <w:r w:rsidR="00B34C55" w:rsidRPr="003D163F">
        <w:rPr>
          <w:lang w:val="en-US"/>
        </w:rPr>
        <w:t>)</w:t>
      </w:r>
      <w:r w:rsidR="00AD439E" w:rsidRPr="003D163F">
        <w:rPr>
          <w:lang w:val="en-US"/>
        </w:rPr>
        <w:t>, to</w:t>
      </w:r>
      <w:r w:rsidR="00534028" w:rsidRPr="003D163F">
        <w:rPr>
          <w:lang w:val="en-US"/>
        </w:rPr>
        <w:t xml:space="preserve"> highlight the fact that both </w:t>
      </w:r>
      <w:r w:rsidR="003A5D4B" w:rsidRPr="003D163F">
        <w:rPr>
          <w:lang w:val="en-US"/>
        </w:rPr>
        <w:t xml:space="preserve">“had restricted the disclosure of a person’s name in crime news coverage. Offences were not automatically issues of private life” (par. 59). </w:t>
      </w:r>
    </w:p>
    <w:p w14:paraId="58713509" w14:textId="68136A69" w:rsidR="00466464" w:rsidRPr="003D163F" w:rsidRDefault="00466464" w:rsidP="003A5D4B">
      <w:pPr>
        <w:rPr>
          <w:lang w:val="en-US"/>
        </w:rPr>
      </w:pPr>
      <w:r w:rsidRPr="003D163F">
        <w:rPr>
          <w:lang w:val="en-US"/>
        </w:rPr>
        <w:t xml:space="preserve">Given this regulatory framework, the Government considered the applicants </w:t>
      </w:r>
      <w:r w:rsidR="00E12B75" w:rsidRPr="003D163F">
        <w:rPr>
          <w:lang w:val="en-US"/>
        </w:rPr>
        <w:t>“must have been aware of the regulations concerning the freedom of expression. In any event, they could have sought legal advice before publishing the article” (par. 59).</w:t>
      </w:r>
    </w:p>
    <w:p w14:paraId="5697602E" w14:textId="39E3CA25" w:rsidR="00E12B75" w:rsidRPr="003D163F" w:rsidRDefault="00CC6CC0" w:rsidP="003A5D4B">
      <w:pPr>
        <w:rPr>
          <w:lang w:val="en-US"/>
        </w:rPr>
      </w:pPr>
      <w:r w:rsidRPr="003D163F">
        <w:rPr>
          <w:lang w:val="en-US"/>
        </w:rPr>
        <w:t xml:space="preserve">For Finland, the measures against the applicants did pursue a legitimate aim, that is </w:t>
      </w:r>
      <w:r w:rsidR="00B146B7" w:rsidRPr="003D163F">
        <w:rPr>
          <w:lang w:val="en-US"/>
        </w:rPr>
        <w:t xml:space="preserve">the protection of B’s private life. </w:t>
      </w:r>
    </w:p>
    <w:p w14:paraId="24054FAC" w14:textId="5A537A28" w:rsidR="00147392" w:rsidRPr="003D163F" w:rsidRDefault="00913B11" w:rsidP="00147392">
      <w:pPr>
        <w:rPr>
          <w:lang w:val="en-US"/>
        </w:rPr>
      </w:pPr>
      <w:r w:rsidRPr="003D163F">
        <w:rPr>
          <w:lang w:val="en-US"/>
        </w:rPr>
        <w:t xml:space="preserve">Regarding the necessity of the measures in a democratic society, the respondent argued </w:t>
      </w:r>
      <w:r w:rsidR="000B2BFB" w:rsidRPr="003D163F">
        <w:rPr>
          <w:lang w:val="en-US"/>
        </w:rPr>
        <w:t xml:space="preserve">that B’s conduct was not a matter of public </w:t>
      </w:r>
      <w:r w:rsidR="00E11C5C" w:rsidRPr="003D163F">
        <w:rPr>
          <w:lang w:val="en-US"/>
        </w:rPr>
        <w:t>relevance</w:t>
      </w:r>
      <w:r w:rsidR="00777114" w:rsidRPr="003D163F">
        <w:rPr>
          <w:lang w:val="en-US"/>
        </w:rPr>
        <w:t xml:space="preserve">, and that the articles describing her behavior didn’t </w:t>
      </w:r>
      <w:r w:rsidR="00777114" w:rsidRPr="003D163F">
        <w:rPr>
          <w:lang w:val="en-US"/>
        </w:rPr>
        <w:lastRenderedPageBreak/>
        <w:t>contribute</w:t>
      </w:r>
      <w:r w:rsidR="00E11C5C" w:rsidRPr="003D163F">
        <w:rPr>
          <w:lang w:val="en-US"/>
        </w:rPr>
        <w:t xml:space="preserve"> to </w:t>
      </w:r>
      <w:r w:rsidR="00147392" w:rsidRPr="003D163F">
        <w:rPr>
          <w:lang w:val="en-US"/>
        </w:rPr>
        <w:t>“any discussion of general interest but had been intended to satisfy public curiosity” (par. 61). According to the Government of Finland</w:t>
      </w:r>
      <w:r w:rsidR="00E474C1" w:rsidRPr="003D163F">
        <w:rPr>
          <w:lang w:val="en-US"/>
        </w:rPr>
        <w:t>, there was no need in mentioning B’s name</w:t>
      </w:r>
      <w:r w:rsidR="008E7908" w:rsidRPr="003D163F">
        <w:rPr>
          <w:lang w:val="en-US"/>
        </w:rPr>
        <w:t xml:space="preserve"> to report on the event</w:t>
      </w:r>
      <w:r w:rsidR="00B224CB" w:rsidRPr="003D163F">
        <w:rPr>
          <w:lang w:val="en-US"/>
        </w:rPr>
        <w:t>s</w:t>
      </w:r>
      <w:r w:rsidR="008E7908" w:rsidRPr="003D163F">
        <w:rPr>
          <w:lang w:val="en-US"/>
        </w:rPr>
        <w:t xml:space="preserve"> of December 4, 1996.</w:t>
      </w:r>
    </w:p>
    <w:p w14:paraId="4F24B5BE" w14:textId="77777777" w:rsidR="00B224CB" w:rsidRPr="003D163F" w:rsidRDefault="00B224CB" w:rsidP="00147392">
      <w:pPr>
        <w:rPr>
          <w:lang w:val="en-US"/>
        </w:rPr>
      </w:pPr>
    </w:p>
    <w:p w14:paraId="6A8913C2" w14:textId="3742FAFB" w:rsidR="00817190" w:rsidRPr="003D163F" w:rsidRDefault="0000525F" w:rsidP="00817190">
      <w:pPr>
        <w:rPr>
          <w:lang w:val="en-US"/>
        </w:rPr>
      </w:pPr>
      <w:r w:rsidRPr="003D163F">
        <w:rPr>
          <w:lang w:val="en-US"/>
        </w:rPr>
        <w:t xml:space="preserve">The ECtHR began its considerations by analyzing whether the measures enacted against the applicants were prescribed by law. According to the Court </w:t>
      </w:r>
      <w:r w:rsidR="009365C2" w:rsidRPr="003D163F">
        <w:rPr>
          <w:lang w:val="en-US"/>
        </w:rPr>
        <w:t>the criminal provision</w:t>
      </w:r>
      <w:r w:rsidR="00817190" w:rsidRPr="003D163F">
        <w:rPr>
          <w:lang w:val="en-US"/>
        </w:rPr>
        <w:t>, found on the penal code,</w:t>
      </w:r>
      <w:r w:rsidR="00090284" w:rsidRPr="003D163F">
        <w:rPr>
          <w:lang w:val="en-US"/>
        </w:rPr>
        <w:t xml:space="preserve"> used to convict the applicants were clear enough</w:t>
      </w:r>
      <w:r w:rsidR="00817190" w:rsidRPr="003D163F">
        <w:rPr>
          <w:lang w:val="en-US"/>
        </w:rPr>
        <w:t xml:space="preserve"> and</w:t>
      </w:r>
      <w:r w:rsidR="007463B3" w:rsidRPr="003D163F">
        <w:rPr>
          <w:lang w:val="en-US"/>
        </w:rPr>
        <w:t xml:space="preserve"> free of ambiguities,</w:t>
      </w:r>
      <w:r w:rsidR="00817190" w:rsidRPr="003D163F">
        <w:rPr>
          <w:lang w:val="en-US"/>
        </w:rPr>
        <w:t xml:space="preserve"> </w:t>
      </w:r>
      <w:r w:rsidR="0012096D" w:rsidRPr="003D163F">
        <w:rPr>
          <w:lang w:val="en-US"/>
        </w:rPr>
        <w:t>so “that</w:t>
      </w:r>
      <w:r w:rsidR="00817190" w:rsidRPr="003D163F">
        <w:rPr>
          <w:lang w:val="en-US"/>
        </w:rPr>
        <w:t xml:space="preserve"> the possibility that a sanction would be imposed for</w:t>
      </w:r>
      <w:r w:rsidR="00817190" w:rsidRPr="003D163F">
        <w:rPr>
          <w:lang w:val="en-US"/>
        </w:rPr>
        <w:t xml:space="preserve"> </w:t>
      </w:r>
      <w:r w:rsidR="00817190" w:rsidRPr="00817190">
        <w:rPr>
          <w:lang w:val="en-US"/>
        </w:rPr>
        <w:t>invasion of private life was not unforeseeable</w:t>
      </w:r>
      <w:r w:rsidR="0012096D" w:rsidRPr="003D163F">
        <w:rPr>
          <w:lang w:val="en-US"/>
        </w:rPr>
        <w:t>” (par. 66).</w:t>
      </w:r>
    </w:p>
    <w:p w14:paraId="2E46295A" w14:textId="12AA4571" w:rsidR="003F173A" w:rsidRPr="003D163F" w:rsidRDefault="00401E32" w:rsidP="003F173A">
      <w:pPr>
        <w:rPr>
          <w:lang w:val="en-US"/>
        </w:rPr>
      </w:pPr>
      <w:r w:rsidRPr="003D163F">
        <w:rPr>
          <w:lang w:val="en-US"/>
        </w:rPr>
        <w:t xml:space="preserve">The Court also noted that </w:t>
      </w:r>
      <w:r w:rsidR="002C1CC3" w:rsidRPr="003D163F">
        <w:rPr>
          <w:lang w:val="en-US"/>
        </w:rPr>
        <w:t>Guidelines for Journalists and the practice of the Council for Mass Media</w:t>
      </w:r>
      <w:r w:rsidR="00EF684E" w:rsidRPr="003D163F">
        <w:rPr>
          <w:lang w:val="en-US"/>
        </w:rPr>
        <w:t xml:space="preserve"> provided a set of rules </w:t>
      </w:r>
      <w:r w:rsidR="005E2EB9" w:rsidRPr="003D163F">
        <w:rPr>
          <w:lang w:val="en-US"/>
        </w:rPr>
        <w:t>stricter</w:t>
      </w:r>
      <w:r w:rsidR="00EF684E" w:rsidRPr="003D163F">
        <w:rPr>
          <w:lang w:val="en-US"/>
        </w:rPr>
        <w:t xml:space="preserve"> than those found on the </w:t>
      </w:r>
      <w:r w:rsidR="005E2EB9" w:rsidRPr="003D163F">
        <w:rPr>
          <w:lang w:val="en-US"/>
        </w:rPr>
        <w:t>P</w:t>
      </w:r>
      <w:r w:rsidR="00EF684E" w:rsidRPr="003D163F">
        <w:rPr>
          <w:lang w:val="en-US"/>
        </w:rPr>
        <w:t xml:space="preserve">enal </w:t>
      </w:r>
      <w:r w:rsidR="005E2EB9" w:rsidRPr="003D163F">
        <w:rPr>
          <w:lang w:val="en-US"/>
        </w:rPr>
        <w:t>C</w:t>
      </w:r>
      <w:r w:rsidR="00EF684E" w:rsidRPr="003D163F">
        <w:rPr>
          <w:lang w:val="en-US"/>
        </w:rPr>
        <w:t>ode</w:t>
      </w:r>
      <w:r w:rsidR="00C1779F" w:rsidRPr="003D163F">
        <w:rPr>
          <w:lang w:val="en-US"/>
        </w:rPr>
        <w:t xml:space="preserve">, so the applicants, who are professional </w:t>
      </w:r>
      <w:r w:rsidR="00E47A0A" w:rsidRPr="003D163F">
        <w:rPr>
          <w:lang w:val="en-US"/>
        </w:rPr>
        <w:t>journalists, “</w:t>
      </w:r>
      <w:r w:rsidR="003F173A" w:rsidRPr="003D163F">
        <w:rPr>
          <w:lang w:val="en-US"/>
        </w:rPr>
        <w:t>could not</w:t>
      </w:r>
      <w:r w:rsidR="003F173A" w:rsidRPr="003D163F">
        <w:rPr>
          <w:lang w:val="en-US"/>
        </w:rPr>
        <w:t xml:space="preserve"> </w:t>
      </w:r>
      <w:r w:rsidR="003F173A" w:rsidRPr="003F173A">
        <w:rPr>
          <w:lang w:val="en-US"/>
        </w:rPr>
        <w:t xml:space="preserve">claim to be ignorant about the content of the </w:t>
      </w:r>
      <w:r w:rsidR="003F173A" w:rsidRPr="003D163F">
        <w:rPr>
          <w:lang w:val="en-US"/>
        </w:rPr>
        <w:t xml:space="preserve">[penal code]” (par. 67). </w:t>
      </w:r>
      <w:r w:rsidR="00E47A0A" w:rsidRPr="003D163F">
        <w:rPr>
          <w:lang w:val="en-US"/>
        </w:rPr>
        <w:t xml:space="preserve">For these reasons the Court considered that the interference on the freedom of expression of the applicant was indeed prescribed by law. </w:t>
      </w:r>
    </w:p>
    <w:p w14:paraId="3594FE60" w14:textId="77BA574D" w:rsidR="002150DD" w:rsidRPr="003D163F" w:rsidRDefault="00A1083E" w:rsidP="002150DD">
      <w:pPr>
        <w:rPr>
          <w:lang w:val="en-US"/>
        </w:rPr>
      </w:pPr>
      <w:r w:rsidRPr="003D163F">
        <w:rPr>
          <w:lang w:val="en-US"/>
        </w:rPr>
        <w:t xml:space="preserve">Upon analyzing if the </w:t>
      </w:r>
      <w:proofErr w:type="gramStart"/>
      <w:r w:rsidRPr="003D163F">
        <w:rPr>
          <w:lang w:val="en-US"/>
        </w:rPr>
        <w:t>aforementioned interference</w:t>
      </w:r>
      <w:proofErr w:type="gramEnd"/>
      <w:r w:rsidRPr="003D163F">
        <w:rPr>
          <w:lang w:val="en-US"/>
        </w:rPr>
        <w:t xml:space="preserve"> pursued a legitimate aim, the ECtHR noted that it was not disputed by the parties </w:t>
      </w:r>
      <w:r w:rsidR="00BE7D6A" w:rsidRPr="003D163F">
        <w:rPr>
          <w:lang w:val="en-US"/>
        </w:rPr>
        <w:t xml:space="preserve">that the measures </w:t>
      </w:r>
      <w:r w:rsidR="002150DD" w:rsidRPr="003D163F">
        <w:rPr>
          <w:lang w:val="en-US"/>
        </w:rPr>
        <w:t>pursued the legitimate aim of protecting the reputation</w:t>
      </w:r>
      <w:r w:rsidR="002150DD" w:rsidRPr="003D163F">
        <w:rPr>
          <w:lang w:val="en-US"/>
        </w:rPr>
        <w:t xml:space="preserve"> </w:t>
      </w:r>
      <w:r w:rsidR="002150DD" w:rsidRPr="002150DD">
        <w:rPr>
          <w:lang w:val="en-US"/>
        </w:rPr>
        <w:t>or rights of others, within the meaning of Article 10 § 2</w:t>
      </w:r>
      <w:r w:rsidR="002150DD" w:rsidRPr="003D163F">
        <w:rPr>
          <w:lang w:val="en-US"/>
        </w:rPr>
        <w:t xml:space="preserve"> (par. 68).</w:t>
      </w:r>
    </w:p>
    <w:p w14:paraId="505ED45C" w14:textId="0CCC952E" w:rsidR="00A24174" w:rsidRPr="003D163F" w:rsidRDefault="00E55636" w:rsidP="00A24174">
      <w:pPr>
        <w:rPr>
          <w:lang w:val="en-US"/>
        </w:rPr>
      </w:pPr>
      <w:r w:rsidRPr="003D163F">
        <w:rPr>
          <w:lang w:val="en-US"/>
        </w:rPr>
        <w:t xml:space="preserve">When analyzing the necessity of the interference in a democratic society, the Court highlighted </w:t>
      </w:r>
      <w:r w:rsidR="00763ACF" w:rsidRPr="003D163F">
        <w:rPr>
          <w:lang w:val="en-US"/>
        </w:rPr>
        <w:t>the value of journalism, as a cornerstone for the development of democratic society</w:t>
      </w:r>
      <w:r w:rsidR="00C04553" w:rsidRPr="003D163F">
        <w:rPr>
          <w:lang w:val="en-US"/>
        </w:rPr>
        <w:t xml:space="preserve"> and its individuals. Thus, for the ECtHR freedom </w:t>
      </w:r>
      <w:r w:rsidR="008042E7" w:rsidRPr="003D163F">
        <w:rPr>
          <w:lang w:val="en-US"/>
        </w:rPr>
        <w:t xml:space="preserve">of expression doesn’t protect exclusively </w:t>
      </w:r>
      <w:r w:rsidR="00A24174" w:rsidRPr="003D163F">
        <w:rPr>
          <w:lang w:val="en-US"/>
        </w:rPr>
        <w:t>“’</w:t>
      </w:r>
      <w:r w:rsidR="00A24174" w:rsidRPr="003D163F">
        <w:rPr>
          <w:lang w:val="en-US"/>
        </w:rPr>
        <w:t>information</w:t>
      </w:r>
      <w:r w:rsidR="00A24174" w:rsidRPr="003D163F">
        <w:rPr>
          <w:lang w:val="en-US"/>
        </w:rPr>
        <w:t>’</w:t>
      </w:r>
      <w:r w:rsidR="00A24174" w:rsidRPr="003D163F">
        <w:rPr>
          <w:lang w:val="en-US"/>
        </w:rPr>
        <w:t xml:space="preserve"> or </w:t>
      </w:r>
      <w:r w:rsidR="00A24174" w:rsidRPr="003D163F">
        <w:rPr>
          <w:lang w:val="en-US"/>
        </w:rPr>
        <w:t>‘</w:t>
      </w:r>
      <w:r w:rsidR="00A24174" w:rsidRPr="003D163F">
        <w:rPr>
          <w:lang w:val="en-US"/>
        </w:rPr>
        <w:t>ideas</w:t>
      </w:r>
      <w:r w:rsidR="00A24174" w:rsidRPr="003D163F">
        <w:rPr>
          <w:lang w:val="en-US"/>
        </w:rPr>
        <w:t>’</w:t>
      </w:r>
      <w:r w:rsidR="00A24174" w:rsidRPr="003D163F">
        <w:rPr>
          <w:lang w:val="en-US"/>
        </w:rPr>
        <w:t xml:space="preserve"> that are </w:t>
      </w:r>
      <w:proofErr w:type="spellStart"/>
      <w:r w:rsidR="00A24174" w:rsidRPr="003D163F">
        <w:rPr>
          <w:lang w:val="en-US"/>
        </w:rPr>
        <w:t>favourably</w:t>
      </w:r>
      <w:proofErr w:type="spellEnd"/>
      <w:r w:rsidR="00A24174" w:rsidRPr="003D163F">
        <w:rPr>
          <w:lang w:val="en-US"/>
        </w:rPr>
        <w:t xml:space="preserve"> received</w:t>
      </w:r>
      <w:r w:rsidR="00A24174" w:rsidRPr="003D163F">
        <w:rPr>
          <w:lang w:val="en-US"/>
        </w:rPr>
        <w:t xml:space="preserve"> </w:t>
      </w:r>
      <w:r w:rsidR="00A24174" w:rsidRPr="00A24174">
        <w:rPr>
          <w:lang w:val="en-US"/>
        </w:rPr>
        <w:t>or regarded as inoffensive or as a matter of indifference, but also those</w:t>
      </w:r>
      <w:r w:rsidR="005531D1" w:rsidRPr="003D163F">
        <w:rPr>
          <w:lang w:val="en-US"/>
        </w:rPr>
        <w:t xml:space="preserve"> </w:t>
      </w:r>
      <w:r w:rsidR="00A24174" w:rsidRPr="00A24174">
        <w:rPr>
          <w:lang w:val="en-US"/>
        </w:rPr>
        <w:t>that offend, shock or disturb</w:t>
      </w:r>
      <w:r w:rsidR="005531D1" w:rsidRPr="003D163F">
        <w:rPr>
          <w:lang w:val="en-US"/>
        </w:rPr>
        <w:t>” (par. 69)</w:t>
      </w:r>
      <w:r w:rsidR="0088058C" w:rsidRPr="003D163F">
        <w:rPr>
          <w:lang w:val="en-US"/>
        </w:rPr>
        <w:t>.</w:t>
      </w:r>
    </w:p>
    <w:p w14:paraId="1E77D4AD" w14:textId="39E9033A" w:rsidR="0088058C" w:rsidRPr="003D163F" w:rsidRDefault="00865266" w:rsidP="00A24174">
      <w:pPr>
        <w:rPr>
          <w:lang w:val="en-US"/>
        </w:rPr>
      </w:pPr>
      <w:r w:rsidRPr="003D163F">
        <w:rPr>
          <w:lang w:val="en-US"/>
        </w:rPr>
        <w:t xml:space="preserve">In this context, the Court argued </w:t>
      </w:r>
      <w:r w:rsidR="00FB14B7" w:rsidRPr="003D163F">
        <w:rPr>
          <w:lang w:val="en-US"/>
        </w:rPr>
        <w:t>that any interference to freedom of expression must be proportionate</w:t>
      </w:r>
      <w:r w:rsidR="007C5F85" w:rsidRPr="003D163F">
        <w:rPr>
          <w:lang w:val="en-US"/>
        </w:rPr>
        <w:t xml:space="preserve"> to the aims it pursues</w:t>
      </w:r>
      <w:r w:rsidR="00DF2998" w:rsidRPr="003D163F">
        <w:rPr>
          <w:lang w:val="en-US"/>
        </w:rPr>
        <w:t>.</w:t>
      </w:r>
      <w:r w:rsidR="007C5F85" w:rsidRPr="003D163F">
        <w:rPr>
          <w:lang w:val="en-US"/>
        </w:rPr>
        <w:t xml:space="preserve"> In this particular </w:t>
      </w:r>
      <w:proofErr w:type="gramStart"/>
      <w:r w:rsidR="007C5F85" w:rsidRPr="003D163F">
        <w:rPr>
          <w:lang w:val="en-US"/>
        </w:rPr>
        <w:t xml:space="preserve">case </w:t>
      </w:r>
      <w:r w:rsidR="00DF2998" w:rsidRPr="003D163F">
        <w:rPr>
          <w:lang w:val="en-US"/>
        </w:rPr>
        <w:t>,</w:t>
      </w:r>
      <w:proofErr w:type="gramEnd"/>
      <w:r w:rsidR="00DF2998" w:rsidRPr="003D163F">
        <w:rPr>
          <w:lang w:val="en-US"/>
        </w:rPr>
        <w:t xml:space="preserve"> the ECtHR considered that freedom of expressions had to be balance </w:t>
      </w:r>
      <w:r w:rsidR="00355BE7" w:rsidRPr="003D163F">
        <w:rPr>
          <w:lang w:val="en-US"/>
        </w:rPr>
        <w:t xml:space="preserve">against private life, as laid out in Article 8 of the ECHR. </w:t>
      </w:r>
    </w:p>
    <w:p w14:paraId="03603FD0" w14:textId="660BEDF0" w:rsidR="002A357F" w:rsidRPr="003D163F" w:rsidRDefault="008C7F83" w:rsidP="002A357F">
      <w:pPr>
        <w:rPr>
          <w:lang w:val="en-US"/>
        </w:rPr>
      </w:pPr>
      <w:r w:rsidRPr="003D163F">
        <w:rPr>
          <w:lang w:val="en-US"/>
        </w:rPr>
        <w:t>In cases</w:t>
      </w:r>
      <w:r w:rsidR="00C343E0" w:rsidRPr="003D163F">
        <w:rPr>
          <w:lang w:val="en-US"/>
        </w:rPr>
        <w:t xml:space="preserve"> where freedom of expression and privacy come into conflict</w:t>
      </w:r>
      <w:r w:rsidR="002C77A2" w:rsidRPr="003D163F">
        <w:rPr>
          <w:lang w:val="en-US"/>
        </w:rPr>
        <w:t xml:space="preserve">, the Court </w:t>
      </w:r>
      <w:r w:rsidR="004E317D" w:rsidRPr="003D163F">
        <w:rPr>
          <w:lang w:val="en-US"/>
        </w:rPr>
        <w:t xml:space="preserve">has considered that factors such as </w:t>
      </w:r>
      <w:r w:rsidR="002A357F" w:rsidRPr="003D163F">
        <w:rPr>
          <w:lang w:val="en-US"/>
        </w:rPr>
        <w:t>“</w:t>
      </w:r>
      <w:r w:rsidR="002A357F" w:rsidRPr="003D163F">
        <w:rPr>
          <w:lang w:val="en-US"/>
        </w:rPr>
        <w:t>the contribution</w:t>
      </w:r>
      <w:r w:rsidR="002A357F" w:rsidRPr="003D163F">
        <w:rPr>
          <w:lang w:val="en-US"/>
        </w:rPr>
        <w:t xml:space="preserve"> </w:t>
      </w:r>
      <w:r w:rsidR="002A357F" w:rsidRPr="002A357F">
        <w:rPr>
          <w:lang w:val="en-US"/>
        </w:rPr>
        <w:t>made by photos or articles in the press to a debate of general interest</w:t>
      </w:r>
      <w:r w:rsidR="002A357F" w:rsidRPr="003D163F">
        <w:rPr>
          <w:lang w:val="en-US"/>
        </w:rPr>
        <w:t>” (par. 76) are important.</w:t>
      </w:r>
      <w:r w:rsidR="00013D27" w:rsidRPr="003D163F">
        <w:rPr>
          <w:lang w:val="en-US"/>
        </w:rPr>
        <w:t xml:space="preserve"> </w:t>
      </w:r>
      <w:proofErr w:type="gramStart"/>
      <w:r w:rsidR="00013D27" w:rsidRPr="003D163F">
        <w:rPr>
          <w:lang w:val="en-US"/>
        </w:rPr>
        <w:t>Similarly</w:t>
      </w:r>
      <w:proofErr w:type="gramEnd"/>
      <w:r w:rsidR="00013D27" w:rsidRPr="003D163F">
        <w:rPr>
          <w:lang w:val="en-US"/>
        </w:rPr>
        <w:t xml:space="preserve"> so, if freedom of expression is used to report on court proceedings </w:t>
      </w:r>
      <w:r w:rsidR="00BC70C7" w:rsidRPr="003D163F">
        <w:rPr>
          <w:lang w:val="en-US"/>
        </w:rPr>
        <w:t>is also a factor relevance</w:t>
      </w:r>
      <w:r w:rsidR="00933DED" w:rsidRPr="003D163F">
        <w:rPr>
          <w:lang w:val="en-US"/>
        </w:rPr>
        <w:t xml:space="preserve">, since that contributes </w:t>
      </w:r>
      <w:r w:rsidR="00E13F8D" w:rsidRPr="003D163F">
        <w:rPr>
          <w:lang w:val="en-US"/>
        </w:rPr>
        <w:t>to the publicity of hearings</w:t>
      </w:r>
      <w:r w:rsidR="00B75C5B" w:rsidRPr="003D163F">
        <w:rPr>
          <w:lang w:val="en-US"/>
        </w:rPr>
        <w:t>.</w:t>
      </w:r>
    </w:p>
    <w:p w14:paraId="2AEC0EB5" w14:textId="0E6E3E4B" w:rsidR="00EF5246" w:rsidRPr="003D163F" w:rsidRDefault="008A6270" w:rsidP="00EF5246">
      <w:pPr>
        <w:rPr>
          <w:lang w:val="en-US"/>
        </w:rPr>
      </w:pPr>
      <w:r w:rsidRPr="003D163F">
        <w:rPr>
          <w:lang w:val="en-US"/>
        </w:rPr>
        <w:t xml:space="preserve">The Court also noted that there was </w:t>
      </w:r>
      <w:r w:rsidR="00EF5246" w:rsidRPr="003D163F">
        <w:rPr>
          <w:lang w:val="en-US"/>
        </w:rPr>
        <w:t>“</w:t>
      </w:r>
      <w:r w:rsidR="00EF5246" w:rsidRPr="003D163F">
        <w:rPr>
          <w:lang w:val="en-US"/>
        </w:rPr>
        <w:t>no evidence, or indeed any allegation,</w:t>
      </w:r>
      <w:r w:rsidR="00EF5246" w:rsidRPr="003D163F">
        <w:rPr>
          <w:lang w:val="en-US"/>
        </w:rPr>
        <w:t xml:space="preserve"> </w:t>
      </w:r>
      <w:r w:rsidR="00EF5246" w:rsidRPr="00EF5246">
        <w:rPr>
          <w:lang w:val="en-US"/>
        </w:rPr>
        <w:t>of factual misrepresentation or bad faith on the part of the applicants. Nor is</w:t>
      </w:r>
      <w:r w:rsidR="00EF5246" w:rsidRPr="003D163F">
        <w:rPr>
          <w:lang w:val="en-US"/>
        </w:rPr>
        <w:t xml:space="preserve"> </w:t>
      </w:r>
      <w:r w:rsidR="00EF5246" w:rsidRPr="00EF5246">
        <w:rPr>
          <w:lang w:val="en-US"/>
        </w:rPr>
        <w:t>there any suggestion that details about B. were obtained by subterfuge or</w:t>
      </w:r>
      <w:r w:rsidR="00EF5246" w:rsidRPr="003D163F">
        <w:rPr>
          <w:lang w:val="en-US"/>
        </w:rPr>
        <w:t xml:space="preserve"> </w:t>
      </w:r>
      <w:r w:rsidR="00EF5246" w:rsidRPr="00EF5246">
        <w:rPr>
          <w:lang w:val="en-US"/>
        </w:rPr>
        <w:t>other illicit mean</w:t>
      </w:r>
      <w:r w:rsidR="00EF5246" w:rsidRPr="003D163F">
        <w:rPr>
          <w:lang w:val="en-US"/>
        </w:rPr>
        <w:t>” (par. 81).</w:t>
      </w:r>
    </w:p>
    <w:p w14:paraId="791032FC" w14:textId="2EC7EF34" w:rsidR="00586EE2" w:rsidRPr="003D163F" w:rsidRDefault="002E381A" w:rsidP="00586EE2">
      <w:pPr>
        <w:rPr>
          <w:lang w:val="en-US"/>
        </w:rPr>
      </w:pPr>
      <w:r w:rsidRPr="003D163F">
        <w:rPr>
          <w:lang w:val="en-US"/>
        </w:rPr>
        <w:t>Regarding the status of B</w:t>
      </w:r>
      <w:r w:rsidR="006A7591" w:rsidRPr="003D163F">
        <w:rPr>
          <w:lang w:val="en-US"/>
        </w:rPr>
        <w:t xml:space="preserve">, the Court argues that since she is an ordinary person, the scope of protection of her private life </w:t>
      </w:r>
      <w:r w:rsidR="00C32BA9" w:rsidRPr="003D163F">
        <w:rPr>
          <w:lang w:val="en-US"/>
        </w:rPr>
        <w:t>is larger</w:t>
      </w:r>
      <w:r w:rsidR="00586EE2" w:rsidRPr="003D163F">
        <w:rPr>
          <w:lang w:val="en-US"/>
        </w:rPr>
        <w:t>: “</w:t>
      </w:r>
      <w:r w:rsidR="00586EE2" w:rsidRPr="003D163F">
        <w:rPr>
          <w:lang w:val="en-US"/>
        </w:rPr>
        <w:t>The fact that she had been the subject of criminal</w:t>
      </w:r>
      <w:r w:rsidR="00586EE2" w:rsidRPr="003D163F">
        <w:rPr>
          <w:lang w:val="en-US"/>
        </w:rPr>
        <w:t xml:space="preserve"> </w:t>
      </w:r>
      <w:r w:rsidR="00586EE2" w:rsidRPr="00586EE2">
        <w:rPr>
          <w:lang w:val="en-US"/>
        </w:rPr>
        <w:t>proceedings cannot deprive her of the protection of Article 8</w:t>
      </w:r>
      <w:r w:rsidR="00586EE2" w:rsidRPr="003D163F">
        <w:rPr>
          <w:lang w:val="en-US"/>
        </w:rPr>
        <w:t>” (par. 82).</w:t>
      </w:r>
    </w:p>
    <w:p w14:paraId="0926BC02" w14:textId="3A6E8DE8" w:rsidR="00213289" w:rsidRPr="003D163F" w:rsidRDefault="00C153BA" w:rsidP="00213289">
      <w:pPr>
        <w:rPr>
          <w:lang w:val="en-US"/>
        </w:rPr>
      </w:pPr>
      <w:r w:rsidRPr="003D163F">
        <w:rPr>
          <w:lang w:val="en-US"/>
        </w:rPr>
        <w:t xml:space="preserve">Nonetheless, the Court argues, B was involved in a public disturbance </w:t>
      </w:r>
      <w:r w:rsidR="00071C21" w:rsidRPr="003D163F">
        <w:rPr>
          <w:lang w:val="en-US"/>
        </w:rPr>
        <w:t>outside the house of a senior public figure</w:t>
      </w:r>
      <w:r w:rsidR="00120084" w:rsidRPr="003D163F">
        <w:rPr>
          <w:lang w:val="en-US"/>
        </w:rPr>
        <w:t xml:space="preserve">. Thus, </w:t>
      </w:r>
      <w:r w:rsidR="00213289" w:rsidRPr="003D163F">
        <w:rPr>
          <w:lang w:val="en-US"/>
        </w:rPr>
        <w:t>B, “</w:t>
      </w:r>
      <w:r w:rsidR="00213289" w:rsidRPr="003D163F">
        <w:rPr>
          <w:lang w:val="en-US"/>
        </w:rPr>
        <w:t>notwithstanding her status as a private</w:t>
      </w:r>
      <w:r w:rsidR="00213289" w:rsidRPr="003D163F">
        <w:rPr>
          <w:lang w:val="en-US"/>
        </w:rPr>
        <w:t xml:space="preserve"> </w:t>
      </w:r>
      <w:r w:rsidR="00213289" w:rsidRPr="00213289">
        <w:rPr>
          <w:lang w:val="en-US"/>
        </w:rPr>
        <w:t>person, can reasonably be taken to have entered the public domain</w:t>
      </w:r>
      <w:r w:rsidR="00213289" w:rsidRPr="003D163F">
        <w:rPr>
          <w:lang w:val="en-US"/>
        </w:rPr>
        <w:t xml:space="preserve">” (par. 83). </w:t>
      </w:r>
    </w:p>
    <w:p w14:paraId="24D0D45A" w14:textId="6272EE5C" w:rsidR="00F50D47" w:rsidRPr="003D163F" w:rsidRDefault="003F5A44" w:rsidP="00F50D47">
      <w:pPr>
        <w:rPr>
          <w:lang w:val="en-US"/>
        </w:rPr>
      </w:pPr>
      <w:r w:rsidRPr="003D163F">
        <w:rPr>
          <w:lang w:val="en-US"/>
        </w:rPr>
        <w:lastRenderedPageBreak/>
        <w:t xml:space="preserve">The ECtHR also considered that </w:t>
      </w:r>
      <w:r w:rsidR="00C24C8E" w:rsidRPr="003D163F">
        <w:rPr>
          <w:lang w:val="en-US"/>
        </w:rPr>
        <w:t xml:space="preserve">the articles published by </w:t>
      </w:r>
      <w:proofErr w:type="spellStart"/>
      <w:r w:rsidR="00C24C8E" w:rsidRPr="003D163F">
        <w:rPr>
          <w:i/>
          <w:iCs/>
          <w:lang w:val="en-US"/>
        </w:rPr>
        <w:t>Seura</w:t>
      </w:r>
      <w:proofErr w:type="spellEnd"/>
      <w:r w:rsidR="00C24C8E" w:rsidRPr="003D163F">
        <w:rPr>
          <w:lang w:val="en-US"/>
        </w:rPr>
        <w:t xml:space="preserve"> and </w:t>
      </w:r>
      <w:proofErr w:type="spellStart"/>
      <w:r w:rsidR="00C24C8E" w:rsidRPr="003D163F">
        <w:rPr>
          <w:i/>
          <w:iCs/>
          <w:lang w:val="en-US"/>
        </w:rPr>
        <w:t>Nykyposti</w:t>
      </w:r>
      <w:proofErr w:type="spellEnd"/>
      <w:r w:rsidR="00C24C8E" w:rsidRPr="003D163F">
        <w:rPr>
          <w:i/>
          <w:iCs/>
          <w:lang w:val="en-US"/>
        </w:rPr>
        <w:t xml:space="preserve"> </w:t>
      </w:r>
      <w:r w:rsidR="00C24C8E" w:rsidRPr="003D163F">
        <w:rPr>
          <w:lang w:val="en-US"/>
        </w:rPr>
        <w:t>magazines</w:t>
      </w:r>
      <w:r w:rsidR="00C24C8E" w:rsidRPr="003D163F">
        <w:rPr>
          <w:lang w:val="en-US"/>
        </w:rPr>
        <w:t xml:space="preserve"> about the incidents </w:t>
      </w:r>
      <w:r w:rsidR="00481B03" w:rsidRPr="003D163F">
        <w:rPr>
          <w:lang w:val="en-US"/>
        </w:rPr>
        <w:t>of 4 December 1996</w:t>
      </w:r>
      <w:r w:rsidR="00481B03" w:rsidRPr="003D163F">
        <w:rPr>
          <w:lang w:val="en-US"/>
        </w:rPr>
        <w:t xml:space="preserve">, focused mainly on A’s behavior, made no reference </w:t>
      </w:r>
      <w:r w:rsidR="00DB51E9" w:rsidRPr="003D163F">
        <w:rPr>
          <w:lang w:val="en-US"/>
        </w:rPr>
        <w:t xml:space="preserve">to B’s private life, except for her involvement on the </w:t>
      </w:r>
      <w:proofErr w:type="gramStart"/>
      <w:r w:rsidR="00DB51E9" w:rsidRPr="003D163F">
        <w:rPr>
          <w:lang w:val="en-US"/>
        </w:rPr>
        <w:t>aforementioned incidents</w:t>
      </w:r>
      <w:proofErr w:type="gramEnd"/>
      <w:r w:rsidR="00AD5C26" w:rsidRPr="003D163F">
        <w:rPr>
          <w:lang w:val="en-US"/>
        </w:rPr>
        <w:t xml:space="preserve"> and her relationship with A</w:t>
      </w:r>
      <w:r w:rsidR="00F50D47" w:rsidRPr="003D163F">
        <w:rPr>
          <w:lang w:val="en-US"/>
        </w:rPr>
        <w:t>, “</w:t>
      </w:r>
      <w:r w:rsidR="00F50D47" w:rsidRPr="003D163F">
        <w:rPr>
          <w:lang w:val="en-US"/>
        </w:rPr>
        <w:t>both circumstances</w:t>
      </w:r>
      <w:r w:rsidR="00F50D47" w:rsidRPr="003D163F">
        <w:rPr>
          <w:lang w:val="en-US"/>
        </w:rPr>
        <w:t xml:space="preserve"> </w:t>
      </w:r>
      <w:r w:rsidR="00F50D47" w:rsidRPr="00F50D47">
        <w:rPr>
          <w:lang w:val="en-US"/>
        </w:rPr>
        <w:t>being already public knowledge before the publication of the articles in</w:t>
      </w:r>
      <w:r w:rsidR="00F50D47" w:rsidRPr="003D163F">
        <w:rPr>
          <w:lang w:val="en-US"/>
        </w:rPr>
        <w:t xml:space="preserve"> </w:t>
      </w:r>
      <w:r w:rsidR="00F50D47" w:rsidRPr="00F50D47">
        <w:rPr>
          <w:lang w:val="en-US"/>
        </w:rPr>
        <w:t>issue. Thus, the information concerning B. was essentially limited to her</w:t>
      </w:r>
      <w:r w:rsidR="00F50D47" w:rsidRPr="003D163F">
        <w:rPr>
          <w:lang w:val="en-US"/>
        </w:rPr>
        <w:t xml:space="preserve"> </w:t>
      </w:r>
      <w:r w:rsidR="00F50D47" w:rsidRPr="00F50D47">
        <w:rPr>
          <w:lang w:val="en-US"/>
        </w:rPr>
        <w:t>conviction and to facts which were inherently related to A.’s story.</w:t>
      </w:r>
      <w:r w:rsidR="00F50D47" w:rsidRPr="003D163F">
        <w:rPr>
          <w:lang w:val="en-US"/>
        </w:rPr>
        <w:t xml:space="preserve">” (par. 84). </w:t>
      </w:r>
    </w:p>
    <w:p w14:paraId="0F9F64CF" w14:textId="678463F6" w:rsidR="00FB068B" w:rsidRPr="003D163F" w:rsidRDefault="00EC6FFB" w:rsidP="00586EE2">
      <w:pPr>
        <w:rPr>
          <w:lang w:val="en-US"/>
        </w:rPr>
      </w:pPr>
      <w:r w:rsidRPr="003D163F">
        <w:rPr>
          <w:lang w:val="en-US"/>
        </w:rPr>
        <w:t>For the ECtHR,</w:t>
      </w:r>
      <w:r w:rsidR="00F82847" w:rsidRPr="003D163F">
        <w:rPr>
          <w:lang w:val="en-US"/>
        </w:rPr>
        <w:t xml:space="preserve"> </w:t>
      </w:r>
      <w:r w:rsidR="00605CDB" w:rsidRPr="003D163F">
        <w:rPr>
          <w:lang w:val="en-US"/>
        </w:rPr>
        <w:t>B’s identity and</w:t>
      </w:r>
      <w:r w:rsidRPr="003D163F">
        <w:rPr>
          <w:lang w:val="en-US"/>
        </w:rPr>
        <w:t xml:space="preserve"> </w:t>
      </w:r>
      <w:r w:rsidR="00B406A9" w:rsidRPr="003D163F">
        <w:rPr>
          <w:lang w:val="en-US"/>
        </w:rPr>
        <w:t>her involvement</w:t>
      </w:r>
      <w:r w:rsidR="00605CDB" w:rsidRPr="003D163F">
        <w:rPr>
          <w:lang w:val="en-US"/>
        </w:rPr>
        <w:t xml:space="preserve"> in the incident of December 4, 1996, </w:t>
      </w:r>
      <w:r w:rsidR="0035301E" w:rsidRPr="003D163F">
        <w:rPr>
          <w:lang w:val="en-US"/>
        </w:rPr>
        <w:t>“</w:t>
      </w:r>
      <w:r w:rsidR="00CA4500" w:rsidRPr="003D163F">
        <w:rPr>
          <w:lang w:val="en-US"/>
        </w:rPr>
        <w:t>had a direct bearing on matters of public interest, namely A.’s</w:t>
      </w:r>
      <w:r w:rsidR="0035301E" w:rsidRPr="003D163F">
        <w:rPr>
          <w:lang w:val="en-US"/>
        </w:rPr>
        <w:t xml:space="preserve"> </w:t>
      </w:r>
      <w:r w:rsidR="00CA4500" w:rsidRPr="003D163F">
        <w:rPr>
          <w:lang w:val="en-US"/>
        </w:rPr>
        <w:t>conduct and his ability to continue in his post as a high-level public servant</w:t>
      </w:r>
      <w:r w:rsidR="00B406A9" w:rsidRPr="003D163F">
        <w:rPr>
          <w:lang w:val="en-US"/>
        </w:rPr>
        <w:t>.</w:t>
      </w:r>
      <w:r w:rsidRPr="003D163F">
        <w:rPr>
          <w:lang w:val="en-US"/>
        </w:rPr>
        <w:t xml:space="preserve"> </w:t>
      </w:r>
      <w:r w:rsidR="00B406A9" w:rsidRPr="003D163F">
        <w:rPr>
          <w:lang w:val="en-US"/>
        </w:rPr>
        <w:t>B. had taken an active and willing part in the events of 4 December</w:t>
      </w:r>
      <w:r w:rsidR="00B406A9" w:rsidRPr="003D163F">
        <w:rPr>
          <w:lang w:val="en-US"/>
        </w:rPr>
        <w:t xml:space="preserve"> </w:t>
      </w:r>
      <w:r w:rsidR="00B406A9" w:rsidRPr="00B406A9">
        <w:rPr>
          <w:lang w:val="en-US"/>
        </w:rPr>
        <w:t>1996, leading to A.’s conviction and dismissal, it is difficult to see how her</w:t>
      </w:r>
      <w:r w:rsidR="00B406A9" w:rsidRPr="003D163F">
        <w:rPr>
          <w:lang w:val="en-US"/>
        </w:rPr>
        <w:t xml:space="preserve"> </w:t>
      </w:r>
      <w:r w:rsidR="00B406A9" w:rsidRPr="00B406A9">
        <w:rPr>
          <w:lang w:val="en-US"/>
        </w:rPr>
        <w:t xml:space="preserve">involvement in the events </w:t>
      </w:r>
      <w:proofErr w:type="gramStart"/>
      <w:r w:rsidR="00B406A9" w:rsidRPr="00B406A9">
        <w:rPr>
          <w:lang w:val="en-US"/>
        </w:rPr>
        <w:t>was not a matter of public interest</w:t>
      </w:r>
      <w:proofErr w:type="gramEnd"/>
      <w:r w:rsidR="0035301E" w:rsidRPr="003D163F">
        <w:rPr>
          <w:lang w:val="en-US"/>
        </w:rPr>
        <w:t>” (par. 85).</w:t>
      </w:r>
    </w:p>
    <w:p w14:paraId="4292A82C" w14:textId="7F191A83" w:rsidR="00FB068B" w:rsidRPr="003D163F" w:rsidRDefault="00FB068B" w:rsidP="00586EE2">
      <w:pPr>
        <w:rPr>
          <w:lang w:val="en-US"/>
        </w:rPr>
      </w:pPr>
      <w:r w:rsidRPr="003D163F">
        <w:rPr>
          <w:lang w:val="en-US"/>
        </w:rPr>
        <w:t xml:space="preserve">The Tribunal also noted that </w:t>
      </w:r>
      <w:r w:rsidR="002A43D7" w:rsidRPr="003D163F">
        <w:rPr>
          <w:lang w:val="en-US"/>
        </w:rPr>
        <w:t>the articles in question didn’t disclose for the first time B’s identity</w:t>
      </w:r>
      <w:r w:rsidR="00E73745" w:rsidRPr="003D163F">
        <w:rPr>
          <w:lang w:val="en-US"/>
        </w:rPr>
        <w:t xml:space="preserve">. The events of December 4, 1996, and the </w:t>
      </w:r>
      <w:r w:rsidR="00B30748" w:rsidRPr="003D163F">
        <w:rPr>
          <w:lang w:val="en-US"/>
        </w:rPr>
        <w:t>dismissal of A, along the conviction of A and B</w:t>
      </w:r>
      <w:r w:rsidR="00BB444A" w:rsidRPr="003D163F">
        <w:rPr>
          <w:lang w:val="en-US"/>
        </w:rPr>
        <w:t xml:space="preserve">, were widely publicized on nationwide </w:t>
      </w:r>
      <w:r w:rsidR="00DF0F05" w:rsidRPr="003D163F">
        <w:rPr>
          <w:lang w:val="en-US"/>
        </w:rPr>
        <w:t>prime time television</w:t>
      </w:r>
      <w:r w:rsidR="003D5BBC" w:rsidRPr="003D163F">
        <w:rPr>
          <w:lang w:val="en-US"/>
        </w:rPr>
        <w:t>.</w:t>
      </w:r>
    </w:p>
    <w:p w14:paraId="1898DC69" w14:textId="5151BA64" w:rsidR="004C3429" w:rsidRPr="003D163F" w:rsidRDefault="00E24C84" w:rsidP="004C3429">
      <w:pPr>
        <w:rPr>
          <w:lang w:val="en-US"/>
        </w:rPr>
      </w:pPr>
      <w:proofErr w:type="gramStart"/>
      <w:r w:rsidRPr="003D163F">
        <w:rPr>
          <w:lang w:val="en-US"/>
        </w:rPr>
        <w:t>In light of</w:t>
      </w:r>
      <w:proofErr w:type="gramEnd"/>
      <w:r w:rsidRPr="003D163F">
        <w:rPr>
          <w:lang w:val="en-US"/>
        </w:rPr>
        <w:t xml:space="preserve"> these factors, the Court found that the sanctions imposed upon the applicants were too severe</w:t>
      </w:r>
      <w:r w:rsidR="00305F8C" w:rsidRPr="003D163F">
        <w:rPr>
          <w:lang w:val="en-US"/>
        </w:rPr>
        <w:t>. The fines</w:t>
      </w:r>
      <w:r w:rsidR="000C7A11" w:rsidRPr="003D163F">
        <w:rPr>
          <w:lang w:val="en-US"/>
        </w:rPr>
        <w:t xml:space="preserve"> and the order “</w:t>
      </w:r>
      <w:r w:rsidR="000C7A11" w:rsidRPr="003D163F">
        <w:rPr>
          <w:lang w:val="en-US"/>
        </w:rPr>
        <w:t>to pay damages jointly and severally in a total</w:t>
      </w:r>
      <w:r w:rsidR="000C7A11" w:rsidRPr="003D163F">
        <w:rPr>
          <w:lang w:val="en-US"/>
        </w:rPr>
        <w:t xml:space="preserve"> </w:t>
      </w:r>
      <w:r w:rsidR="000C7A11" w:rsidRPr="000C7A11">
        <w:rPr>
          <w:lang w:val="en-US"/>
        </w:rPr>
        <w:t>amount of EUR 8,000</w:t>
      </w:r>
      <w:r w:rsidR="000C7A11" w:rsidRPr="003D163F">
        <w:rPr>
          <w:lang w:val="en-US"/>
        </w:rPr>
        <w:t xml:space="preserve">” (par. </w:t>
      </w:r>
      <w:r w:rsidR="00906F30" w:rsidRPr="003D163F">
        <w:rPr>
          <w:lang w:val="en-US"/>
        </w:rPr>
        <w:t>89)</w:t>
      </w:r>
      <w:r w:rsidR="00F1106C" w:rsidRPr="003D163F">
        <w:rPr>
          <w:lang w:val="en-US"/>
        </w:rPr>
        <w:t xml:space="preserve"> were deemed drastic by the ECtHR</w:t>
      </w:r>
      <w:r w:rsidR="004C3429" w:rsidRPr="003D163F">
        <w:rPr>
          <w:lang w:val="en-US"/>
        </w:rPr>
        <w:t xml:space="preserve"> </w:t>
      </w:r>
      <w:proofErr w:type="gramStart"/>
      <w:r w:rsidR="004C3429" w:rsidRPr="003D163F">
        <w:rPr>
          <w:lang w:val="en-US"/>
        </w:rPr>
        <w:t>“</w:t>
      </w:r>
      <w:r w:rsidR="004C3429" w:rsidRPr="003D163F">
        <w:rPr>
          <w:lang w:val="en-US"/>
        </w:rPr>
        <w:t> given</w:t>
      </w:r>
      <w:proofErr w:type="gramEnd"/>
      <w:r w:rsidR="004C3429" w:rsidRPr="003D163F">
        <w:rPr>
          <w:lang w:val="en-US"/>
        </w:rPr>
        <w:t xml:space="preserve"> that the maximum</w:t>
      </w:r>
      <w:r w:rsidR="004C3429" w:rsidRPr="003D163F">
        <w:rPr>
          <w:lang w:val="en-US"/>
        </w:rPr>
        <w:t xml:space="preserve"> </w:t>
      </w:r>
      <w:r w:rsidR="004C3429" w:rsidRPr="004C3429">
        <w:rPr>
          <w:lang w:val="en-US"/>
        </w:rPr>
        <w:t>compensation afforded to victims of serious violence</w:t>
      </w:r>
      <w:r w:rsidR="008809A0" w:rsidRPr="003D163F">
        <w:rPr>
          <w:lang w:val="en-US"/>
        </w:rPr>
        <w:t xml:space="preserve"> [in Finland]</w:t>
      </w:r>
      <w:r w:rsidR="004C3429" w:rsidRPr="004C3429">
        <w:rPr>
          <w:lang w:val="en-US"/>
        </w:rPr>
        <w:t xml:space="preserve"> was approximately</w:t>
      </w:r>
      <w:r w:rsidR="004C3429" w:rsidRPr="003D163F">
        <w:rPr>
          <w:lang w:val="en-US"/>
        </w:rPr>
        <w:t xml:space="preserve"> </w:t>
      </w:r>
      <w:r w:rsidR="004C3429" w:rsidRPr="004C3429">
        <w:rPr>
          <w:lang w:val="en-US"/>
        </w:rPr>
        <w:t>FIM 100,000 (EUR 17,000) at the time.</w:t>
      </w:r>
    </w:p>
    <w:p w14:paraId="2240C42E" w14:textId="2BF9CB24" w:rsidR="0091676B" w:rsidRPr="003D163F" w:rsidRDefault="00AE19F5" w:rsidP="000E3BBC">
      <w:pPr>
        <w:rPr>
          <w:lang w:val="en-US"/>
        </w:rPr>
      </w:pPr>
      <w:r w:rsidRPr="003D163F">
        <w:rPr>
          <w:lang w:val="en-US"/>
        </w:rPr>
        <w:t xml:space="preserve">Given the circumstances </w:t>
      </w:r>
      <w:r w:rsidR="00145CAE" w:rsidRPr="003D163F">
        <w:rPr>
          <w:lang w:val="en-US"/>
        </w:rPr>
        <w:t>and the consequences and the severity of the interference on freedom of expression</w:t>
      </w:r>
      <w:r w:rsidR="008A296C" w:rsidRPr="003D163F">
        <w:rPr>
          <w:lang w:val="en-US"/>
        </w:rPr>
        <w:t xml:space="preserve">, the Court found that the measures enacted against the applicants were </w:t>
      </w:r>
      <w:r w:rsidR="00F617F7" w:rsidRPr="003D163F">
        <w:rPr>
          <w:lang w:val="en-US"/>
        </w:rPr>
        <w:t xml:space="preserve">disproportionate </w:t>
      </w:r>
      <w:r w:rsidR="00ED7D98" w:rsidRPr="003D163F">
        <w:rPr>
          <w:lang w:val="en-US"/>
        </w:rPr>
        <w:t xml:space="preserve">and that </w:t>
      </w:r>
      <w:r w:rsidR="000E3BBC" w:rsidRPr="003D163F">
        <w:rPr>
          <w:lang w:val="en-US"/>
        </w:rPr>
        <w:t>“</w:t>
      </w:r>
      <w:r w:rsidR="000E3BBC" w:rsidRPr="003D163F">
        <w:rPr>
          <w:lang w:val="en-US"/>
        </w:rPr>
        <w:t>domestic courts failed to strike a fair balance between the competing</w:t>
      </w:r>
      <w:r w:rsidR="000E3BBC" w:rsidRPr="003D163F">
        <w:rPr>
          <w:lang w:val="en-US"/>
        </w:rPr>
        <w:t xml:space="preserve"> </w:t>
      </w:r>
      <w:r w:rsidR="000E3BBC" w:rsidRPr="000E3BBC">
        <w:rPr>
          <w:lang w:val="en-US"/>
        </w:rPr>
        <w:t>interests at stake</w:t>
      </w:r>
      <w:r w:rsidR="000E3BBC" w:rsidRPr="003D163F">
        <w:rPr>
          <w:lang w:val="en-US"/>
        </w:rPr>
        <w:t>”</w:t>
      </w:r>
      <w:r w:rsidR="00224D91" w:rsidRPr="003D163F">
        <w:rPr>
          <w:lang w:val="en-US"/>
        </w:rPr>
        <w:t xml:space="preserve"> (par. 92)</w:t>
      </w:r>
      <w:r w:rsidR="0091676B" w:rsidRPr="003D163F">
        <w:rPr>
          <w:lang w:val="en-US"/>
        </w:rPr>
        <w:t xml:space="preserve">. </w:t>
      </w:r>
    </w:p>
    <w:p w14:paraId="25E0B9EA" w14:textId="4479BB5A" w:rsidR="000E3BBC" w:rsidRPr="003D163F" w:rsidRDefault="0091676B" w:rsidP="000E3BBC">
      <w:pPr>
        <w:rPr>
          <w:lang w:val="en-US"/>
        </w:rPr>
      </w:pPr>
      <w:r w:rsidRPr="003D163F">
        <w:rPr>
          <w:lang w:val="en-US"/>
        </w:rPr>
        <w:t>Since the interference was</w:t>
      </w:r>
      <w:r w:rsidR="006A01F1" w:rsidRPr="003D163F">
        <w:rPr>
          <w:lang w:val="en-US"/>
        </w:rPr>
        <w:t xml:space="preserve"> </w:t>
      </w:r>
      <w:r w:rsidR="00224D91" w:rsidRPr="003D163F">
        <w:rPr>
          <w:lang w:val="en-US"/>
        </w:rPr>
        <w:t>disproportionate, hence</w:t>
      </w:r>
      <w:r w:rsidR="006A01F1" w:rsidRPr="003D163F">
        <w:rPr>
          <w:lang w:val="en-US"/>
        </w:rPr>
        <w:t xml:space="preserve"> </w:t>
      </w:r>
      <w:r w:rsidRPr="003D163F">
        <w:rPr>
          <w:lang w:val="en-US"/>
        </w:rPr>
        <w:t>not necessary in a democratic society</w:t>
      </w:r>
      <w:r w:rsidR="006A01F1" w:rsidRPr="003D163F">
        <w:rPr>
          <w:lang w:val="en-US"/>
        </w:rPr>
        <w:t xml:space="preserve">, </w:t>
      </w:r>
      <w:r w:rsidR="00224D91" w:rsidRPr="003D163F">
        <w:rPr>
          <w:lang w:val="en-US"/>
        </w:rPr>
        <w:t>the ECtHR considered the applicant’s right to freedom of expression</w:t>
      </w:r>
      <w:r w:rsidR="009100F3" w:rsidRPr="003D163F">
        <w:rPr>
          <w:lang w:val="en-US"/>
        </w:rPr>
        <w:t>, under Article 10 of the ECHR, was violated</w:t>
      </w:r>
      <w:r w:rsidR="00DC4CAD" w:rsidRPr="003D163F">
        <w:rPr>
          <w:lang w:val="en-US"/>
        </w:rPr>
        <w:t>.</w:t>
      </w:r>
    </w:p>
    <w:p w14:paraId="161D1182" w14:textId="1BF7CD95" w:rsidR="00DC4CAD" w:rsidRPr="000E3BBC" w:rsidRDefault="00DC4CAD" w:rsidP="000E3BBC">
      <w:pPr>
        <w:rPr>
          <w:lang w:val="en-US"/>
        </w:rPr>
      </w:pPr>
      <w:r w:rsidRPr="003D163F">
        <w:rPr>
          <w:lang w:val="en-US"/>
        </w:rPr>
        <w:t xml:space="preserve">The Court awarded the applicants </w:t>
      </w:r>
      <w:r w:rsidR="00F8662D" w:rsidRPr="003D163F">
        <w:rPr>
          <w:lang w:val="en-US"/>
        </w:rPr>
        <w:t>EUR 22,000 jointly in compensation for pecuniary damage</w:t>
      </w:r>
      <w:r w:rsidR="00A81A71" w:rsidRPr="003D163F">
        <w:rPr>
          <w:lang w:val="en-US"/>
        </w:rPr>
        <w:t>. Moreover, each applicant was awarded</w:t>
      </w:r>
      <w:r w:rsidR="00BA3C8C" w:rsidRPr="003D163F">
        <w:rPr>
          <w:lang w:val="en-US"/>
        </w:rPr>
        <w:t>, on an equitable basis,</w:t>
      </w:r>
      <w:r w:rsidR="00A81A71" w:rsidRPr="003D163F">
        <w:rPr>
          <w:lang w:val="en-US"/>
        </w:rPr>
        <w:t xml:space="preserve"> EUR 2,000 for non-pecuniary damage</w:t>
      </w:r>
      <w:r w:rsidR="00BA3C8C" w:rsidRPr="003D163F">
        <w:rPr>
          <w:lang w:val="en-US"/>
        </w:rPr>
        <w:t xml:space="preserve">. Finally, </w:t>
      </w:r>
      <w:r w:rsidR="00E44CA0" w:rsidRPr="003D163F">
        <w:rPr>
          <w:lang w:val="en-US"/>
        </w:rPr>
        <w:t xml:space="preserve">the applicants were awarded jointly EUR 5,000 </w:t>
      </w:r>
      <w:r w:rsidR="005C65CD" w:rsidRPr="003D163F">
        <w:rPr>
          <w:lang w:val="en-US"/>
        </w:rPr>
        <w:t xml:space="preserve">for costs and </w:t>
      </w:r>
      <w:proofErr w:type="gramStart"/>
      <w:r w:rsidR="005C65CD" w:rsidRPr="003D163F">
        <w:rPr>
          <w:lang w:val="en-US"/>
        </w:rPr>
        <w:t>expenses .</w:t>
      </w:r>
      <w:proofErr w:type="gramEnd"/>
      <w:r w:rsidR="00BA3C8C" w:rsidRPr="003D163F">
        <w:rPr>
          <w:lang w:val="en-US"/>
        </w:rPr>
        <w:t xml:space="preserve"> </w:t>
      </w:r>
    </w:p>
    <w:p w14:paraId="1F968F27" w14:textId="7A4B7639" w:rsidR="00AE19F5" w:rsidRPr="004C3429" w:rsidRDefault="00AE19F5" w:rsidP="004C3429">
      <w:pPr>
        <w:rPr>
          <w:b/>
          <w:bCs/>
          <w:lang w:val="en-US"/>
        </w:rPr>
      </w:pPr>
    </w:p>
    <w:p w14:paraId="5E57B0C2" w14:textId="3B4C5819" w:rsidR="000C7A11" w:rsidRPr="000C7A11" w:rsidRDefault="000C7A11" w:rsidP="000C7A11">
      <w:pPr>
        <w:rPr>
          <w:b/>
          <w:bCs/>
          <w:lang w:val="en-US"/>
        </w:rPr>
      </w:pPr>
    </w:p>
    <w:p w14:paraId="07BBF9F2" w14:textId="6524D832" w:rsidR="003D5BBC" w:rsidRPr="00586EE2" w:rsidRDefault="003D5BBC" w:rsidP="00586EE2">
      <w:pPr>
        <w:rPr>
          <w:b/>
          <w:bCs/>
          <w:lang w:val="en-US"/>
        </w:rPr>
      </w:pPr>
    </w:p>
    <w:p w14:paraId="6EDCE077" w14:textId="7D80D671" w:rsidR="002E381A" w:rsidRPr="00EF5246" w:rsidRDefault="002E381A" w:rsidP="00EF5246">
      <w:pPr>
        <w:rPr>
          <w:b/>
          <w:bCs/>
          <w:lang w:val="en-US"/>
        </w:rPr>
      </w:pPr>
    </w:p>
    <w:p w14:paraId="6D155F77" w14:textId="3CFD0FD1" w:rsidR="008A6270" w:rsidRPr="002A357F" w:rsidRDefault="008A6270" w:rsidP="002A357F">
      <w:pPr>
        <w:rPr>
          <w:b/>
          <w:bCs/>
          <w:lang w:val="en-US"/>
        </w:rPr>
      </w:pPr>
    </w:p>
    <w:p w14:paraId="0E6CAE80" w14:textId="1E7CB4B4" w:rsidR="00830F28" w:rsidRPr="00A24174" w:rsidRDefault="00830F28" w:rsidP="00A24174">
      <w:pPr>
        <w:rPr>
          <w:b/>
          <w:bCs/>
          <w:lang w:val="en-US"/>
        </w:rPr>
      </w:pPr>
    </w:p>
    <w:p w14:paraId="15870FB7" w14:textId="6105BB91" w:rsidR="002150DD" w:rsidRPr="002150DD" w:rsidRDefault="002150DD" w:rsidP="002150DD">
      <w:pPr>
        <w:rPr>
          <w:b/>
          <w:bCs/>
          <w:lang w:val="en-US"/>
        </w:rPr>
      </w:pPr>
    </w:p>
    <w:p w14:paraId="2DFF96FE" w14:textId="2FEF7EAC" w:rsidR="007A0EB7" w:rsidRDefault="007A0EB7" w:rsidP="003F173A">
      <w:pPr>
        <w:rPr>
          <w:b/>
          <w:bCs/>
          <w:lang w:val="en-US"/>
        </w:rPr>
      </w:pPr>
    </w:p>
    <w:p w14:paraId="6BE486A5" w14:textId="77777777" w:rsidR="00F43332" w:rsidRDefault="00F43332" w:rsidP="003F173A">
      <w:pPr>
        <w:rPr>
          <w:b/>
          <w:bCs/>
          <w:lang w:val="en-US"/>
        </w:rPr>
      </w:pPr>
    </w:p>
    <w:p w14:paraId="1283D729" w14:textId="77777777" w:rsidR="00CF2814" w:rsidRDefault="00CF2814" w:rsidP="002E5429">
      <w:pPr>
        <w:rPr>
          <w:b/>
          <w:bCs/>
          <w:lang w:val="en-US"/>
        </w:rPr>
      </w:pPr>
    </w:p>
    <w:p w14:paraId="1216AF7B" w14:textId="7D286A52" w:rsidR="002E5429" w:rsidRDefault="002E5429" w:rsidP="002E5429">
      <w:pPr>
        <w:rPr>
          <w:b/>
          <w:bCs/>
          <w:lang w:val="en-US"/>
        </w:rPr>
      </w:pPr>
      <w:r>
        <w:rPr>
          <w:b/>
          <w:bCs/>
          <w:lang w:val="en-US"/>
        </w:rPr>
        <w:t>Decision Direction</w:t>
      </w:r>
    </w:p>
    <w:p w14:paraId="3C76C3B1" w14:textId="667F825E" w:rsidR="00E02DC3" w:rsidRDefault="00E02DC3" w:rsidP="002E5429">
      <w:pPr>
        <w:rPr>
          <w:b/>
          <w:bCs/>
          <w:lang w:val="en-US"/>
        </w:rPr>
      </w:pPr>
      <w:r>
        <w:rPr>
          <w:b/>
          <w:bCs/>
          <w:lang w:val="en-US"/>
        </w:rPr>
        <w:t>Expands Freedom of Expression</w:t>
      </w:r>
    </w:p>
    <w:p w14:paraId="13A885BE" w14:textId="32E9B07F" w:rsidR="00E02DC3" w:rsidRPr="001B65B8" w:rsidRDefault="00626C53" w:rsidP="002E5429">
      <w:pPr>
        <w:rPr>
          <w:lang w:val="en-US"/>
        </w:rPr>
      </w:pPr>
      <w:r w:rsidRPr="001B65B8">
        <w:rPr>
          <w:lang w:val="en-US"/>
        </w:rPr>
        <w:t xml:space="preserve">By considering that </w:t>
      </w:r>
      <w:r w:rsidR="004D6563" w:rsidRPr="001B65B8">
        <w:rPr>
          <w:lang w:val="en-US"/>
        </w:rPr>
        <w:t xml:space="preserve">the measures enacted against the applicants were disproportionate </w:t>
      </w:r>
      <w:r w:rsidR="005B2364" w:rsidRPr="001B65B8">
        <w:rPr>
          <w:lang w:val="en-US"/>
        </w:rPr>
        <w:t xml:space="preserve">the Court provides a robust protection of press </w:t>
      </w:r>
      <w:r w:rsidR="00986DB6" w:rsidRPr="001B65B8">
        <w:rPr>
          <w:lang w:val="en-US"/>
        </w:rPr>
        <w:t>freedom</w:t>
      </w:r>
      <w:r w:rsidR="002F4E8F" w:rsidRPr="001B65B8">
        <w:rPr>
          <w:lang w:val="en-US"/>
        </w:rPr>
        <w:t>,</w:t>
      </w:r>
      <w:r w:rsidR="00986DB6" w:rsidRPr="001B65B8">
        <w:rPr>
          <w:lang w:val="en-US"/>
        </w:rPr>
        <w:t xml:space="preserve"> when </w:t>
      </w:r>
      <w:r w:rsidR="006B667B" w:rsidRPr="001B65B8">
        <w:rPr>
          <w:lang w:val="en-US"/>
        </w:rPr>
        <w:t xml:space="preserve">in conflict with the </w:t>
      </w:r>
      <w:r w:rsidR="00496AE8" w:rsidRPr="001B65B8">
        <w:rPr>
          <w:lang w:val="en-US"/>
        </w:rPr>
        <w:t>right to privacy</w:t>
      </w:r>
      <w:r w:rsidR="002F4E8F" w:rsidRPr="001B65B8">
        <w:rPr>
          <w:lang w:val="en-US"/>
        </w:rPr>
        <w:t>, in matters of public relevance. Also</w:t>
      </w:r>
      <w:r w:rsidR="00523F09" w:rsidRPr="001B65B8">
        <w:rPr>
          <w:lang w:val="en-US"/>
        </w:rPr>
        <w:t xml:space="preserve">, by arguing that the pecuniary sanctions </w:t>
      </w:r>
      <w:r w:rsidR="00CF324E" w:rsidRPr="001B65B8">
        <w:rPr>
          <w:lang w:val="en-US"/>
        </w:rPr>
        <w:t>were too severe</w:t>
      </w:r>
      <w:r w:rsidR="00D807E1" w:rsidRPr="001B65B8">
        <w:rPr>
          <w:lang w:val="en-US"/>
        </w:rPr>
        <w:t>,</w:t>
      </w:r>
      <w:r w:rsidR="00CF324E" w:rsidRPr="001B65B8">
        <w:rPr>
          <w:lang w:val="en-US"/>
        </w:rPr>
        <w:t xml:space="preserve"> the Court also </w:t>
      </w:r>
      <w:r w:rsidR="00D807E1" w:rsidRPr="001B65B8">
        <w:rPr>
          <w:lang w:val="en-US"/>
        </w:rPr>
        <w:t xml:space="preserve">expands the scope of freedom of expression </w:t>
      </w:r>
      <w:r w:rsidR="009473CD" w:rsidRPr="001B65B8">
        <w:rPr>
          <w:lang w:val="en-US"/>
        </w:rPr>
        <w:t xml:space="preserve">considering the chilling effect this interference </w:t>
      </w:r>
      <w:r w:rsidR="008059D8" w:rsidRPr="001B65B8">
        <w:rPr>
          <w:lang w:val="en-US"/>
        </w:rPr>
        <w:t xml:space="preserve">can have when reporting issues of general interest. </w:t>
      </w:r>
    </w:p>
    <w:p w14:paraId="1BDF8D8C" w14:textId="77777777" w:rsidR="00E81190" w:rsidRDefault="00E81190" w:rsidP="002E5429">
      <w:pPr>
        <w:rPr>
          <w:b/>
          <w:bCs/>
          <w:lang w:val="en-US"/>
        </w:rPr>
      </w:pPr>
    </w:p>
    <w:p w14:paraId="1AEA7BD4" w14:textId="77777777" w:rsidR="00E81190" w:rsidRDefault="00E81190" w:rsidP="002E5429">
      <w:pPr>
        <w:rPr>
          <w:b/>
          <w:bCs/>
          <w:lang w:val="en-US"/>
        </w:rPr>
      </w:pPr>
    </w:p>
    <w:p w14:paraId="161F423D" w14:textId="532621EC" w:rsidR="002E5429" w:rsidRDefault="002E5429" w:rsidP="002E5429">
      <w:pPr>
        <w:rPr>
          <w:b/>
          <w:bCs/>
          <w:lang w:val="en-US"/>
        </w:rPr>
      </w:pPr>
      <w:r>
        <w:rPr>
          <w:b/>
          <w:bCs/>
          <w:lang w:val="en-US"/>
        </w:rPr>
        <w:t>Global Perspective</w:t>
      </w:r>
    </w:p>
    <w:p w14:paraId="7FE604DC" w14:textId="77777777" w:rsidR="00917410" w:rsidRPr="00917410" w:rsidRDefault="00917410" w:rsidP="00917410">
      <w:pPr>
        <w:rPr>
          <w:b/>
          <w:bCs/>
          <w:lang w:val="en-US"/>
        </w:rPr>
      </w:pPr>
      <w:r w:rsidRPr="00917410">
        <w:rPr>
          <w:b/>
          <w:bCs/>
          <w:lang w:val="en-US"/>
        </w:rPr>
        <w:t>Art. 10, ECHR</w:t>
      </w:r>
    </w:p>
    <w:p w14:paraId="30003B13" w14:textId="22713C98" w:rsidR="00917410" w:rsidRDefault="005E2EB9" w:rsidP="002E5429">
      <w:pPr>
        <w:rPr>
          <w:b/>
          <w:bCs/>
          <w:lang w:val="en-US"/>
        </w:rPr>
      </w:pPr>
      <w:r w:rsidRPr="005E2EB9">
        <w:rPr>
          <w:b/>
          <w:bCs/>
          <w:lang w:val="en-US"/>
        </w:rPr>
        <w:t>Chapter 27, section 3(a), of the Penal Code</w:t>
      </w:r>
    </w:p>
    <w:p w14:paraId="05F8D3C2" w14:textId="77777777" w:rsidR="00F43332" w:rsidRPr="00F43332" w:rsidRDefault="00F43332" w:rsidP="00F43332">
      <w:pPr>
        <w:rPr>
          <w:b/>
          <w:bCs/>
          <w:lang w:val="en-US"/>
        </w:rPr>
      </w:pPr>
      <w:r w:rsidRPr="00F43332">
        <w:rPr>
          <w:b/>
          <w:bCs/>
          <w:lang w:val="en-US"/>
        </w:rPr>
        <w:t xml:space="preserve">see </w:t>
      </w:r>
      <w:proofErr w:type="spellStart"/>
      <w:r w:rsidRPr="00F43332">
        <w:rPr>
          <w:b/>
          <w:bCs/>
          <w:lang w:val="en-US"/>
        </w:rPr>
        <w:t>Nikula</w:t>
      </w:r>
      <w:proofErr w:type="spellEnd"/>
      <w:r w:rsidRPr="00F43332">
        <w:rPr>
          <w:b/>
          <w:bCs/>
          <w:lang w:val="en-US"/>
        </w:rPr>
        <w:t xml:space="preserve"> v. Finland, no. 31611/96, § 34, ECHR 2002-II; </w:t>
      </w:r>
      <w:proofErr w:type="spellStart"/>
      <w:r w:rsidRPr="00F43332">
        <w:rPr>
          <w:b/>
          <w:bCs/>
          <w:lang w:val="en-US"/>
        </w:rPr>
        <w:t>Selistö</w:t>
      </w:r>
      <w:proofErr w:type="spellEnd"/>
    </w:p>
    <w:p w14:paraId="35E06144" w14:textId="77777777" w:rsidR="00F43332" w:rsidRPr="00F43332" w:rsidRDefault="00F43332" w:rsidP="00F43332">
      <w:pPr>
        <w:rPr>
          <w:b/>
          <w:bCs/>
          <w:lang w:val="en-US"/>
        </w:rPr>
      </w:pPr>
      <w:r w:rsidRPr="00F43332">
        <w:rPr>
          <w:b/>
          <w:bCs/>
          <w:lang w:val="en-US"/>
        </w:rPr>
        <w:t xml:space="preserve">v. Finland, no. 56767/00, § 34, 16 November 2004 and </w:t>
      </w:r>
      <w:proofErr w:type="spellStart"/>
      <w:r w:rsidRPr="00F43332">
        <w:rPr>
          <w:b/>
          <w:bCs/>
          <w:lang w:val="en-US"/>
        </w:rPr>
        <w:t>Karhuvaara</w:t>
      </w:r>
      <w:proofErr w:type="spellEnd"/>
      <w:r w:rsidRPr="00F43332">
        <w:rPr>
          <w:b/>
          <w:bCs/>
          <w:lang w:val="en-US"/>
        </w:rPr>
        <w:t xml:space="preserve"> and</w:t>
      </w:r>
    </w:p>
    <w:p w14:paraId="7C00327C" w14:textId="77777777" w:rsidR="00F43332" w:rsidRPr="00F43332" w:rsidRDefault="00F43332" w:rsidP="00F43332">
      <w:pPr>
        <w:rPr>
          <w:b/>
          <w:bCs/>
          <w:lang w:val="en-US"/>
        </w:rPr>
      </w:pPr>
      <w:proofErr w:type="spellStart"/>
      <w:r w:rsidRPr="00F43332">
        <w:rPr>
          <w:b/>
          <w:bCs/>
          <w:lang w:val="en-US"/>
        </w:rPr>
        <w:t>Iltalehti</w:t>
      </w:r>
      <w:proofErr w:type="spellEnd"/>
      <w:r w:rsidRPr="00F43332">
        <w:rPr>
          <w:b/>
          <w:bCs/>
          <w:lang w:val="en-US"/>
        </w:rPr>
        <w:t xml:space="preserve"> v. Finland, no. 53678/00, § 43, ECHR 2004-X, </w:t>
      </w:r>
      <w:proofErr w:type="spellStart"/>
      <w:r w:rsidRPr="00F43332">
        <w:rPr>
          <w:b/>
          <w:bCs/>
          <w:lang w:val="en-US"/>
        </w:rPr>
        <w:t>Eerikäinen</w:t>
      </w:r>
      <w:proofErr w:type="spellEnd"/>
      <w:r w:rsidRPr="00F43332">
        <w:rPr>
          <w:b/>
          <w:bCs/>
          <w:lang w:val="en-US"/>
        </w:rPr>
        <w:t xml:space="preserve"> and</w:t>
      </w:r>
    </w:p>
    <w:p w14:paraId="2E9DB583" w14:textId="77777777" w:rsidR="00F43332" w:rsidRPr="00F43332" w:rsidRDefault="00F43332" w:rsidP="00F43332">
      <w:pPr>
        <w:rPr>
          <w:b/>
          <w:bCs/>
          <w:lang w:val="en-US"/>
        </w:rPr>
      </w:pPr>
      <w:r w:rsidRPr="00F43332">
        <w:rPr>
          <w:b/>
          <w:bCs/>
          <w:lang w:val="en-US"/>
        </w:rPr>
        <w:t>Others v. Finland, cited above, § 58</w:t>
      </w:r>
    </w:p>
    <w:p w14:paraId="0B8EA4CF" w14:textId="77777777" w:rsidR="0021561E" w:rsidRPr="0021561E" w:rsidRDefault="0021561E" w:rsidP="0021561E">
      <w:pPr>
        <w:rPr>
          <w:b/>
          <w:bCs/>
          <w:lang w:val="en-US"/>
        </w:rPr>
      </w:pPr>
      <w:r w:rsidRPr="0021561E">
        <w:rPr>
          <w:b/>
          <w:bCs/>
          <w:lang w:val="en-US"/>
        </w:rPr>
        <w:t>Sunday Times</w:t>
      </w:r>
    </w:p>
    <w:p w14:paraId="7A5560AD" w14:textId="77777777" w:rsidR="0021561E" w:rsidRPr="0021561E" w:rsidRDefault="0021561E" w:rsidP="0021561E">
      <w:pPr>
        <w:rPr>
          <w:b/>
          <w:bCs/>
          <w:lang w:val="en-US"/>
        </w:rPr>
      </w:pPr>
      <w:r w:rsidRPr="0021561E">
        <w:rPr>
          <w:b/>
          <w:bCs/>
          <w:lang w:val="en-US"/>
        </w:rPr>
        <w:t>v. the United Kingdom (no. 1), 26 April 1979, § 49, Series A no. 30 and</w:t>
      </w:r>
    </w:p>
    <w:p w14:paraId="386AD7FE" w14:textId="77777777" w:rsidR="0021561E" w:rsidRPr="0021561E" w:rsidRDefault="0021561E" w:rsidP="0021561E">
      <w:pPr>
        <w:rPr>
          <w:b/>
          <w:bCs/>
          <w:lang w:val="en-US"/>
        </w:rPr>
      </w:pPr>
      <w:r w:rsidRPr="0021561E">
        <w:rPr>
          <w:b/>
          <w:bCs/>
          <w:lang w:val="en-US"/>
        </w:rPr>
        <w:t xml:space="preserve">mutatis mutandis </w:t>
      </w:r>
      <w:proofErr w:type="spellStart"/>
      <w:r w:rsidRPr="0021561E">
        <w:rPr>
          <w:b/>
          <w:bCs/>
          <w:lang w:val="en-US"/>
        </w:rPr>
        <w:t>Kokkinakis</w:t>
      </w:r>
      <w:proofErr w:type="spellEnd"/>
      <w:r w:rsidRPr="0021561E">
        <w:rPr>
          <w:b/>
          <w:bCs/>
          <w:lang w:val="en-US"/>
        </w:rPr>
        <w:t xml:space="preserve"> v. Greece, 25 May 1993, § 40, Series A</w:t>
      </w:r>
    </w:p>
    <w:p w14:paraId="75ECEA96" w14:textId="77777777" w:rsidR="0021561E" w:rsidRPr="0021561E" w:rsidRDefault="0021561E" w:rsidP="0021561E">
      <w:pPr>
        <w:rPr>
          <w:b/>
          <w:bCs/>
          <w:lang w:val="en-US"/>
        </w:rPr>
      </w:pPr>
      <w:proofErr w:type="gramStart"/>
      <w:r w:rsidRPr="0021561E">
        <w:rPr>
          <w:b/>
          <w:bCs/>
          <w:lang w:val="en-US"/>
        </w:rPr>
        <w:t>no. 260-A</w:t>
      </w:r>
      <w:proofErr w:type="gramEnd"/>
    </w:p>
    <w:p w14:paraId="6F32826F" w14:textId="77777777" w:rsidR="005531D1" w:rsidRPr="005531D1" w:rsidRDefault="005531D1" w:rsidP="005531D1">
      <w:pPr>
        <w:rPr>
          <w:b/>
          <w:bCs/>
          <w:lang w:val="en-US"/>
        </w:rPr>
      </w:pPr>
      <w:proofErr w:type="spellStart"/>
      <w:r w:rsidRPr="005531D1">
        <w:rPr>
          <w:b/>
          <w:bCs/>
          <w:lang w:val="en-US"/>
        </w:rPr>
        <w:t>Lingens</w:t>
      </w:r>
      <w:proofErr w:type="spellEnd"/>
      <w:r w:rsidRPr="005531D1">
        <w:rPr>
          <w:b/>
          <w:bCs/>
          <w:lang w:val="en-US"/>
        </w:rPr>
        <w:t xml:space="preserve"> v. Austria, 8 July 1986,</w:t>
      </w:r>
    </w:p>
    <w:p w14:paraId="7FC2BDF4" w14:textId="77777777" w:rsidR="005531D1" w:rsidRPr="005531D1" w:rsidRDefault="005531D1" w:rsidP="005531D1">
      <w:pPr>
        <w:rPr>
          <w:b/>
          <w:bCs/>
          <w:lang w:val="en-US"/>
        </w:rPr>
      </w:pPr>
      <w:r w:rsidRPr="005531D1">
        <w:rPr>
          <w:b/>
          <w:bCs/>
          <w:lang w:val="en-US"/>
        </w:rPr>
        <w:t>§ 41, Series A no. 103, and Nilsen and Johnsen v. Norway [GC],</w:t>
      </w:r>
    </w:p>
    <w:p w14:paraId="6CFE2D8D" w14:textId="77777777" w:rsidR="005531D1" w:rsidRPr="005531D1" w:rsidRDefault="005531D1" w:rsidP="005531D1">
      <w:pPr>
        <w:rPr>
          <w:b/>
          <w:bCs/>
        </w:rPr>
      </w:pPr>
      <w:r w:rsidRPr="005531D1">
        <w:rPr>
          <w:b/>
          <w:bCs/>
        </w:rPr>
        <w:t>no. 23118/93, § 43, ECHR 1999-VIII</w:t>
      </w:r>
    </w:p>
    <w:p w14:paraId="37BBE36E" w14:textId="77777777" w:rsidR="003E35B3" w:rsidRPr="003E35B3" w:rsidRDefault="003E35B3" w:rsidP="003E35B3">
      <w:pPr>
        <w:rPr>
          <w:b/>
          <w:bCs/>
        </w:rPr>
      </w:pPr>
      <w:proofErr w:type="spellStart"/>
      <w:r w:rsidRPr="003E35B3">
        <w:rPr>
          <w:b/>
          <w:bCs/>
        </w:rPr>
        <w:t>Barfod</w:t>
      </w:r>
      <w:proofErr w:type="spellEnd"/>
      <w:r w:rsidRPr="003E35B3">
        <w:rPr>
          <w:b/>
          <w:bCs/>
        </w:rPr>
        <w:t xml:space="preserve"> v. </w:t>
      </w:r>
      <w:proofErr w:type="spellStart"/>
      <w:r w:rsidRPr="003E35B3">
        <w:rPr>
          <w:b/>
          <w:bCs/>
        </w:rPr>
        <w:t>Denmark</w:t>
      </w:r>
      <w:proofErr w:type="spellEnd"/>
      <w:r w:rsidRPr="003E35B3">
        <w:rPr>
          <w:b/>
          <w:bCs/>
        </w:rPr>
        <w:t>,</w:t>
      </w:r>
    </w:p>
    <w:p w14:paraId="3E10CD1A" w14:textId="77777777" w:rsidR="003E35B3" w:rsidRPr="003E35B3" w:rsidRDefault="003E35B3" w:rsidP="003E35B3">
      <w:pPr>
        <w:rPr>
          <w:b/>
          <w:bCs/>
          <w:lang w:val="en-US"/>
        </w:rPr>
      </w:pPr>
      <w:r w:rsidRPr="003E35B3">
        <w:rPr>
          <w:b/>
          <w:bCs/>
          <w:lang w:val="en-US"/>
        </w:rPr>
        <w:t xml:space="preserve">22 February 1989, § 28, Series A no. 149; </w:t>
      </w:r>
      <w:proofErr w:type="spellStart"/>
      <w:r w:rsidRPr="003E35B3">
        <w:rPr>
          <w:b/>
          <w:bCs/>
          <w:lang w:val="en-US"/>
        </w:rPr>
        <w:t>Janowski</w:t>
      </w:r>
      <w:proofErr w:type="spellEnd"/>
      <w:r w:rsidRPr="003E35B3">
        <w:rPr>
          <w:b/>
          <w:bCs/>
          <w:lang w:val="en-US"/>
        </w:rPr>
        <w:t>, cited above, § 30; and</w:t>
      </w:r>
    </w:p>
    <w:p w14:paraId="259925A1" w14:textId="77777777" w:rsidR="003E35B3" w:rsidRPr="003E35B3" w:rsidRDefault="003E35B3" w:rsidP="003E35B3">
      <w:pPr>
        <w:rPr>
          <w:b/>
          <w:bCs/>
        </w:rPr>
      </w:pPr>
      <w:r w:rsidRPr="003E35B3">
        <w:rPr>
          <w:b/>
          <w:bCs/>
        </w:rPr>
        <w:t xml:space="preserve">News </w:t>
      </w:r>
      <w:proofErr w:type="spellStart"/>
      <w:r w:rsidRPr="003E35B3">
        <w:rPr>
          <w:b/>
          <w:bCs/>
        </w:rPr>
        <w:t>Verlags</w:t>
      </w:r>
      <w:proofErr w:type="spellEnd"/>
      <w:r w:rsidRPr="003E35B3">
        <w:rPr>
          <w:b/>
          <w:bCs/>
        </w:rPr>
        <w:t xml:space="preserve"> </w:t>
      </w:r>
      <w:proofErr w:type="spellStart"/>
      <w:r w:rsidRPr="003E35B3">
        <w:rPr>
          <w:b/>
          <w:bCs/>
        </w:rPr>
        <w:t>GmbH</w:t>
      </w:r>
      <w:proofErr w:type="spellEnd"/>
      <w:r w:rsidRPr="003E35B3">
        <w:rPr>
          <w:b/>
          <w:bCs/>
        </w:rPr>
        <w:t xml:space="preserve"> &amp; Co.KG v. Austria, no. 31457/96, § 52, ECHR</w:t>
      </w:r>
    </w:p>
    <w:p w14:paraId="7F455A64" w14:textId="77777777" w:rsidR="003E35B3" w:rsidRDefault="003E35B3" w:rsidP="003E35B3">
      <w:pPr>
        <w:rPr>
          <w:b/>
          <w:bCs/>
        </w:rPr>
      </w:pPr>
      <w:r w:rsidRPr="003E35B3">
        <w:rPr>
          <w:b/>
          <w:bCs/>
        </w:rPr>
        <w:t>2000-I</w:t>
      </w:r>
    </w:p>
    <w:p w14:paraId="340CA57A" w14:textId="77777777" w:rsidR="00822535" w:rsidRPr="00822535" w:rsidRDefault="00822535" w:rsidP="00822535">
      <w:pPr>
        <w:rPr>
          <w:b/>
          <w:bCs/>
          <w:lang w:val="en-US"/>
        </w:rPr>
      </w:pPr>
      <w:proofErr w:type="spellStart"/>
      <w:r w:rsidRPr="00822535">
        <w:rPr>
          <w:b/>
          <w:bCs/>
          <w:lang w:val="en-US"/>
        </w:rPr>
        <w:t>Tammer</w:t>
      </w:r>
      <w:proofErr w:type="spellEnd"/>
      <w:r w:rsidRPr="00822535">
        <w:rPr>
          <w:b/>
          <w:bCs/>
          <w:lang w:val="en-US"/>
        </w:rPr>
        <w:t xml:space="preserve"> v. Estonia, no. 41205/98, §§ 59 et seq., ECHR 2001-</w:t>
      </w:r>
      <w:proofErr w:type="gramStart"/>
      <w:r w:rsidRPr="00822535">
        <w:rPr>
          <w:b/>
          <w:bCs/>
          <w:lang w:val="en-US"/>
        </w:rPr>
        <w:t>I;</w:t>
      </w:r>
      <w:proofErr w:type="gramEnd"/>
    </w:p>
    <w:p w14:paraId="64351A47" w14:textId="77777777" w:rsidR="00822535" w:rsidRPr="00822535" w:rsidRDefault="00822535" w:rsidP="00822535">
      <w:pPr>
        <w:rPr>
          <w:b/>
          <w:bCs/>
          <w:lang w:val="en-US"/>
        </w:rPr>
      </w:pPr>
      <w:r w:rsidRPr="00822535">
        <w:rPr>
          <w:b/>
          <w:bCs/>
          <w:lang w:val="en-US"/>
        </w:rPr>
        <w:lastRenderedPageBreak/>
        <w:t xml:space="preserve">News </w:t>
      </w:r>
      <w:proofErr w:type="spellStart"/>
      <w:r w:rsidRPr="00822535">
        <w:rPr>
          <w:b/>
          <w:bCs/>
          <w:lang w:val="en-US"/>
        </w:rPr>
        <w:t>Verlags</w:t>
      </w:r>
      <w:proofErr w:type="spellEnd"/>
      <w:r w:rsidRPr="00822535">
        <w:rPr>
          <w:b/>
          <w:bCs/>
          <w:lang w:val="en-US"/>
        </w:rPr>
        <w:t xml:space="preserve"> GmbH &amp; Co. KG v. Austria, cited above, §§ 52 et seq.; and</w:t>
      </w:r>
    </w:p>
    <w:p w14:paraId="643DF147" w14:textId="77777777" w:rsidR="00822535" w:rsidRPr="00822535" w:rsidRDefault="00822535" w:rsidP="00822535">
      <w:pPr>
        <w:rPr>
          <w:b/>
          <w:bCs/>
          <w:lang w:val="en-US"/>
        </w:rPr>
      </w:pPr>
      <w:r w:rsidRPr="00822535">
        <w:rPr>
          <w:b/>
          <w:bCs/>
          <w:lang w:val="en-US"/>
        </w:rPr>
        <w:t>Krone Verlag GmbH &amp; Co. KG v. Austria</w:t>
      </w:r>
    </w:p>
    <w:p w14:paraId="3A75A400" w14:textId="77777777" w:rsidR="00822535" w:rsidRPr="003E35B3" w:rsidRDefault="00822535" w:rsidP="003E35B3">
      <w:pPr>
        <w:rPr>
          <w:b/>
          <w:bCs/>
          <w:lang w:val="en-US"/>
        </w:rPr>
      </w:pPr>
    </w:p>
    <w:p w14:paraId="1A8BF313" w14:textId="77777777" w:rsidR="00F43332" w:rsidRDefault="00F43332" w:rsidP="002E5429">
      <w:pPr>
        <w:rPr>
          <w:b/>
          <w:bCs/>
          <w:lang w:val="en-US"/>
        </w:rPr>
      </w:pPr>
    </w:p>
    <w:p w14:paraId="78F03612" w14:textId="594F84A1" w:rsidR="002E5429" w:rsidRPr="002E5429" w:rsidRDefault="002E5429" w:rsidP="002E5429">
      <w:pPr>
        <w:rPr>
          <w:b/>
          <w:bCs/>
          <w:lang w:val="en-US"/>
        </w:rPr>
      </w:pPr>
      <w:r>
        <w:rPr>
          <w:b/>
          <w:bCs/>
          <w:lang w:val="en-US"/>
        </w:rPr>
        <w:t>Case significance</w:t>
      </w:r>
    </w:p>
    <w:p w14:paraId="45257BE9" w14:textId="77777777" w:rsidR="002E5429" w:rsidRPr="002E5429" w:rsidRDefault="002E5429" w:rsidP="002E5429">
      <w:pPr>
        <w:rPr>
          <w:lang w:val="en-US"/>
        </w:rPr>
      </w:pPr>
    </w:p>
    <w:sectPr w:rsidR="002E5429" w:rsidRPr="002E54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29"/>
    <w:rsid w:val="0000525F"/>
    <w:rsid w:val="00013D27"/>
    <w:rsid w:val="00030DA1"/>
    <w:rsid w:val="00040C42"/>
    <w:rsid w:val="00065875"/>
    <w:rsid w:val="00071C21"/>
    <w:rsid w:val="00090284"/>
    <w:rsid w:val="000A79CE"/>
    <w:rsid w:val="000B2BFB"/>
    <w:rsid w:val="000B67E2"/>
    <w:rsid w:val="000C7A11"/>
    <w:rsid w:val="000E3BBC"/>
    <w:rsid w:val="000F384C"/>
    <w:rsid w:val="000F53F6"/>
    <w:rsid w:val="00120084"/>
    <w:rsid w:val="0012096D"/>
    <w:rsid w:val="00145CAE"/>
    <w:rsid w:val="00147392"/>
    <w:rsid w:val="00155D6F"/>
    <w:rsid w:val="00162FAC"/>
    <w:rsid w:val="00163356"/>
    <w:rsid w:val="001913AE"/>
    <w:rsid w:val="001A2D65"/>
    <w:rsid w:val="001B65B8"/>
    <w:rsid w:val="001C394D"/>
    <w:rsid w:val="002123AC"/>
    <w:rsid w:val="00213289"/>
    <w:rsid w:val="002150DD"/>
    <w:rsid w:val="0021561E"/>
    <w:rsid w:val="00215891"/>
    <w:rsid w:val="002247A8"/>
    <w:rsid w:val="00224D91"/>
    <w:rsid w:val="002808DA"/>
    <w:rsid w:val="002A200B"/>
    <w:rsid w:val="002A357F"/>
    <w:rsid w:val="002A43D7"/>
    <w:rsid w:val="002B4C1E"/>
    <w:rsid w:val="002B7D7D"/>
    <w:rsid w:val="002C1CC3"/>
    <w:rsid w:val="002C77A2"/>
    <w:rsid w:val="002E381A"/>
    <w:rsid w:val="002E5429"/>
    <w:rsid w:val="002F177E"/>
    <w:rsid w:val="002F4E8F"/>
    <w:rsid w:val="0030107D"/>
    <w:rsid w:val="00305F8C"/>
    <w:rsid w:val="003360F4"/>
    <w:rsid w:val="00340AC9"/>
    <w:rsid w:val="0035301E"/>
    <w:rsid w:val="00355BE7"/>
    <w:rsid w:val="003A5D4B"/>
    <w:rsid w:val="003A7E3C"/>
    <w:rsid w:val="003D059C"/>
    <w:rsid w:val="003D163F"/>
    <w:rsid w:val="003D5BBC"/>
    <w:rsid w:val="003E35B3"/>
    <w:rsid w:val="003E7610"/>
    <w:rsid w:val="003F07FF"/>
    <w:rsid w:val="003F173A"/>
    <w:rsid w:val="003F5A44"/>
    <w:rsid w:val="00401E32"/>
    <w:rsid w:val="00424A6D"/>
    <w:rsid w:val="00466464"/>
    <w:rsid w:val="00481B03"/>
    <w:rsid w:val="00495FBD"/>
    <w:rsid w:val="00496AE8"/>
    <w:rsid w:val="004A3681"/>
    <w:rsid w:val="004B269A"/>
    <w:rsid w:val="004C3429"/>
    <w:rsid w:val="004D5E2B"/>
    <w:rsid w:val="004D6563"/>
    <w:rsid w:val="004E317D"/>
    <w:rsid w:val="004E7163"/>
    <w:rsid w:val="00516E71"/>
    <w:rsid w:val="0052192E"/>
    <w:rsid w:val="00523F09"/>
    <w:rsid w:val="00534028"/>
    <w:rsid w:val="00534830"/>
    <w:rsid w:val="0053569B"/>
    <w:rsid w:val="005531D1"/>
    <w:rsid w:val="00556B07"/>
    <w:rsid w:val="005607EC"/>
    <w:rsid w:val="00586EE2"/>
    <w:rsid w:val="005878C8"/>
    <w:rsid w:val="005B2364"/>
    <w:rsid w:val="005B5E52"/>
    <w:rsid w:val="005C65CD"/>
    <w:rsid w:val="005D42F9"/>
    <w:rsid w:val="005D74C3"/>
    <w:rsid w:val="005E1316"/>
    <w:rsid w:val="005E2EB9"/>
    <w:rsid w:val="0060150A"/>
    <w:rsid w:val="00605CDB"/>
    <w:rsid w:val="00626C53"/>
    <w:rsid w:val="00660BCE"/>
    <w:rsid w:val="00664C18"/>
    <w:rsid w:val="00691F66"/>
    <w:rsid w:val="006A01F1"/>
    <w:rsid w:val="006A1A9A"/>
    <w:rsid w:val="006A6260"/>
    <w:rsid w:val="006A7591"/>
    <w:rsid w:val="006B667B"/>
    <w:rsid w:val="006D2003"/>
    <w:rsid w:val="007324BB"/>
    <w:rsid w:val="007325C2"/>
    <w:rsid w:val="007463B3"/>
    <w:rsid w:val="00763ACF"/>
    <w:rsid w:val="00777114"/>
    <w:rsid w:val="00792694"/>
    <w:rsid w:val="007A0EB7"/>
    <w:rsid w:val="007B746B"/>
    <w:rsid w:val="007C3256"/>
    <w:rsid w:val="007C5110"/>
    <w:rsid w:val="007C5F85"/>
    <w:rsid w:val="007C6DC5"/>
    <w:rsid w:val="007C72BD"/>
    <w:rsid w:val="007E491B"/>
    <w:rsid w:val="007F519D"/>
    <w:rsid w:val="008042E7"/>
    <w:rsid w:val="0080535D"/>
    <w:rsid w:val="008059D8"/>
    <w:rsid w:val="00817190"/>
    <w:rsid w:val="00817E45"/>
    <w:rsid w:val="00822535"/>
    <w:rsid w:val="00830F28"/>
    <w:rsid w:val="00865266"/>
    <w:rsid w:val="00865832"/>
    <w:rsid w:val="00873C85"/>
    <w:rsid w:val="0088058C"/>
    <w:rsid w:val="008809A0"/>
    <w:rsid w:val="008971B0"/>
    <w:rsid w:val="008A296C"/>
    <w:rsid w:val="008A6270"/>
    <w:rsid w:val="008B3542"/>
    <w:rsid w:val="008C7F83"/>
    <w:rsid w:val="008E7908"/>
    <w:rsid w:val="008F440F"/>
    <w:rsid w:val="008F74E9"/>
    <w:rsid w:val="00906F30"/>
    <w:rsid w:val="009100F3"/>
    <w:rsid w:val="00913B11"/>
    <w:rsid w:val="0091551B"/>
    <w:rsid w:val="0091676B"/>
    <w:rsid w:val="00917410"/>
    <w:rsid w:val="00920C00"/>
    <w:rsid w:val="00924052"/>
    <w:rsid w:val="00924D2B"/>
    <w:rsid w:val="00933DED"/>
    <w:rsid w:val="009365C2"/>
    <w:rsid w:val="009473CD"/>
    <w:rsid w:val="00983849"/>
    <w:rsid w:val="00986DB6"/>
    <w:rsid w:val="00A1083E"/>
    <w:rsid w:val="00A22D8F"/>
    <w:rsid w:val="00A24174"/>
    <w:rsid w:val="00A26D80"/>
    <w:rsid w:val="00A34B0B"/>
    <w:rsid w:val="00A72E10"/>
    <w:rsid w:val="00A74AD2"/>
    <w:rsid w:val="00A81A71"/>
    <w:rsid w:val="00A856AA"/>
    <w:rsid w:val="00A873E8"/>
    <w:rsid w:val="00A93972"/>
    <w:rsid w:val="00AC226B"/>
    <w:rsid w:val="00AD1F5F"/>
    <w:rsid w:val="00AD439E"/>
    <w:rsid w:val="00AD5C26"/>
    <w:rsid w:val="00AE19F5"/>
    <w:rsid w:val="00AE50E2"/>
    <w:rsid w:val="00AF3498"/>
    <w:rsid w:val="00B146B7"/>
    <w:rsid w:val="00B224CB"/>
    <w:rsid w:val="00B241D0"/>
    <w:rsid w:val="00B30748"/>
    <w:rsid w:val="00B31DCF"/>
    <w:rsid w:val="00B34C55"/>
    <w:rsid w:val="00B406A9"/>
    <w:rsid w:val="00B75C5B"/>
    <w:rsid w:val="00B85072"/>
    <w:rsid w:val="00B932AA"/>
    <w:rsid w:val="00BA3C8C"/>
    <w:rsid w:val="00BB444A"/>
    <w:rsid w:val="00BC3976"/>
    <w:rsid w:val="00BC70C7"/>
    <w:rsid w:val="00BE7D6A"/>
    <w:rsid w:val="00C04553"/>
    <w:rsid w:val="00C153BA"/>
    <w:rsid w:val="00C1779F"/>
    <w:rsid w:val="00C223C1"/>
    <w:rsid w:val="00C24C8E"/>
    <w:rsid w:val="00C32BA9"/>
    <w:rsid w:val="00C343E0"/>
    <w:rsid w:val="00C439C8"/>
    <w:rsid w:val="00C648D2"/>
    <w:rsid w:val="00C77794"/>
    <w:rsid w:val="00CA4500"/>
    <w:rsid w:val="00CC6CC0"/>
    <w:rsid w:val="00CC7CCC"/>
    <w:rsid w:val="00CD46EC"/>
    <w:rsid w:val="00CF2814"/>
    <w:rsid w:val="00CF324E"/>
    <w:rsid w:val="00D231D2"/>
    <w:rsid w:val="00D453F0"/>
    <w:rsid w:val="00D45BC5"/>
    <w:rsid w:val="00D649CD"/>
    <w:rsid w:val="00D66DCE"/>
    <w:rsid w:val="00D807E1"/>
    <w:rsid w:val="00DB51E9"/>
    <w:rsid w:val="00DC0A7D"/>
    <w:rsid w:val="00DC4CAD"/>
    <w:rsid w:val="00DF0F05"/>
    <w:rsid w:val="00DF2998"/>
    <w:rsid w:val="00E02DC3"/>
    <w:rsid w:val="00E11C5C"/>
    <w:rsid w:val="00E12B75"/>
    <w:rsid w:val="00E13F8D"/>
    <w:rsid w:val="00E24C84"/>
    <w:rsid w:val="00E36F5D"/>
    <w:rsid w:val="00E44CA0"/>
    <w:rsid w:val="00E474C1"/>
    <w:rsid w:val="00E47A0A"/>
    <w:rsid w:val="00E5013B"/>
    <w:rsid w:val="00E55636"/>
    <w:rsid w:val="00E62E97"/>
    <w:rsid w:val="00E70E7C"/>
    <w:rsid w:val="00E73745"/>
    <w:rsid w:val="00E81190"/>
    <w:rsid w:val="00E86BE1"/>
    <w:rsid w:val="00EA687B"/>
    <w:rsid w:val="00EA7C2F"/>
    <w:rsid w:val="00EC6FFB"/>
    <w:rsid w:val="00ED7D98"/>
    <w:rsid w:val="00EF5246"/>
    <w:rsid w:val="00EF684E"/>
    <w:rsid w:val="00F00A8A"/>
    <w:rsid w:val="00F0751D"/>
    <w:rsid w:val="00F1106C"/>
    <w:rsid w:val="00F213C7"/>
    <w:rsid w:val="00F43332"/>
    <w:rsid w:val="00F50D47"/>
    <w:rsid w:val="00F617F7"/>
    <w:rsid w:val="00F77087"/>
    <w:rsid w:val="00F82847"/>
    <w:rsid w:val="00F8662D"/>
    <w:rsid w:val="00FB068B"/>
    <w:rsid w:val="00FB14B7"/>
    <w:rsid w:val="00FD1617"/>
    <w:rsid w:val="00FD384E"/>
    <w:rsid w:val="00FD7F08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2D25"/>
  <w15:chartTrackingRefBased/>
  <w15:docId w15:val="{7E911F78-749D-41C2-8399-13B44C17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2457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Ospina Sánchez</dc:creator>
  <cp:keywords/>
  <dc:description/>
  <cp:lastModifiedBy>Juan Manuel Ospina Sánchez</cp:lastModifiedBy>
  <cp:revision>241</cp:revision>
  <dcterms:created xsi:type="dcterms:W3CDTF">2022-05-12T17:02:00Z</dcterms:created>
  <dcterms:modified xsi:type="dcterms:W3CDTF">2022-05-13T22:00:00Z</dcterms:modified>
</cp:coreProperties>
</file>