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CF112" w14:textId="06B2041C" w:rsidR="00B76E3C" w:rsidRPr="00C901A3" w:rsidRDefault="009C3CF7">
      <w:pPr>
        <w:rPr>
          <w:lang w:val="en-US"/>
        </w:rPr>
      </w:pPr>
      <w:r w:rsidRPr="00C901A3">
        <w:rPr>
          <w:lang w:val="en-US"/>
        </w:rPr>
        <w:t xml:space="preserve">Éditions </w:t>
      </w:r>
      <w:proofErr w:type="spellStart"/>
      <w:r w:rsidRPr="00C901A3">
        <w:rPr>
          <w:lang w:val="en-US"/>
        </w:rPr>
        <w:t>Plon</w:t>
      </w:r>
      <w:proofErr w:type="spellEnd"/>
      <w:r w:rsidRPr="00C901A3">
        <w:rPr>
          <w:lang w:val="en-US"/>
        </w:rPr>
        <w:t xml:space="preserve"> v. France</w:t>
      </w:r>
    </w:p>
    <w:p w14:paraId="76544C75" w14:textId="63D1CF42" w:rsidR="009C3CF7" w:rsidRDefault="009C3CF7">
      <w:pPr>
        <w:rPr>
          <w:lang w:val="en-US"/>
        </w:rPr>
      </w:pPr>
      <w:r w:rsidRPr="00C901A3">
        <w:rPr>
          <w:lang w:val="en-US"/>
        </w:rPr>
        <w:t>Closed</w:t>
      </w:r>
    </w:p>
    <w:p w14:paraId="7FA230FA" w14:textId="70A7DA69" w:rsidR="00DB1871" w:rsidRPr="00C901A3" w:rsidRDefault="00DB1871">
      <w:pPr>
        <w:rPr>
          <w:lang w:val="en-US"/>
        </w:rPr>
      </w:pPr>
      <w:r>
        <w:rPr>
          <w:lang w:val="en-US"/>
        </w:rPr>
        <w:t>Mixed Outcome</w:t>
      </w:r>
    </w:p>
    <w:p w14:paraId="030909EC" w14:textId="2A41E5EA" w:rsidR="009C3CF7" w:rsidRPr="00C901A3" w:rsidRDefault="009C3CF7">
      <w:pPr>
        <w:rPr>
          <w:lang w:val="en-US"/>
        </w:rPr>
      </w:pPr>
      <w:r w:rsidRPr="00C901A3">
        <w:rPr>
          <w:lang w:val="en-US"/>
        </w:rPr>
        <w:t>Region and Country: France, Europe</w:t>
      </w:r>
    </w:p>
    <w:p w14:paraId="3D1DFA94" w14:textId="13E2E7E4" w:rsidR="009C3CF7" w:rsidRDefault="009C3CF7">
      <w:pPr>
        <w:rPr>
          <w:lang w:val="en-US"/>
        </w:rPr>
      </w:pPr>
      <w:r w:rsidRPr="009C3CF7">
        <w:rPr>
          <w:lang w:val="en-US"/>
        </w:rPr>
        <w:t>Judicial Body: European Court of H</w:t>
      </w:r>
      <w:r>
        <w:rPr>
          <w:lang w:val="en-US"/>
        </w:rPr>
        <w:t>uman Rights, Second section</w:t>
      </w:r>
    </w:p>
    <w:p w14:paraId="02E6D346" w14:textId="7CCFA087" w:rsidR="009C3CF7" w:rsidRDefault="009C3CF7">
      <w:pPr>
        <w:rPr>
          <w:lang w:val="en-US"/>
        </w:rPr>
      </w:pPr>
      <w:r>
        <w:rPr>
          <w:lang w:val="en-US"/>
        </w:rPr>
        <w:t xml:space="preserve">Type of law: Civil law, </w:t>
      </w:r>
      <w:proofErr w:type="gramStart"/>
      <w:r>
        <w:rPr>
          <w:lang w:val="en-US"/>
        </w:rPr>
        <w:t>International</w:t>
      </w:r>
      <w:proofErr w:type="gramEnd"/>
      <w:r>
        <w:rPr>
          <w:lang w:val="en-US"/>
        </w:rPr>
        <w:t xml:space="preserve"> law</w:t>
      </w:r>
    </w:p>
    <w:p w14:paraId="444E53AD" w14:textId="62C69FE9" w:rsidR="009C3CF7" w:rsidRDefault="009C3CF7">
      <w:pPr>
        <w:rPr>
          <w:lang w:val="en-US"/>
        </w:rPr>
      </w:pPr>
      <w:r>
        <w:rPr>
          <w:lang w:val="en-US"/>
        </w:rPr>
        <w:t>Themes: Privacy</w:t>
      </w:r>
      <w:r w:rsidR="00345B16">
        <w:rPr>
          <w:lang w:val="en-US"/>
        </w:rPr>
        <w:t xml:space="preserve">, </w:t>
      </w:r>
      <w:r w:rsidR="00345B16" w:rsidRPr="00345B16">
        <w:rPr>
          <w:lang w:val="en-US"/>
        </w:rPr>
        <w:t>Data Protection and Retention</w:t>
      </w:r>
    </w:p>
    <w:p w14:paraId="78F198A4" w14:textId="05234F0A" w:rsidR="00345B16" w:rsidRDefault="00345B16">
      <w:pPr>
        <w:rPr>
          <w:lang w:val="en-US"/>
        </w:rPr>
      </w:pPr>
      <w:r>
        <w:rPr>
          <w:lang w:val="en-US"/>
        </w:rPr>
        <w:t>Tags: Book, public interest, reasonable expectation of privacy</w:t>
      </w:r>
    </w:p>
    <w:p w14:paraId="369BF70B" w14:textId="773400CE" w:rsidR="00345B16" w:rsidRDefault="00345B16">
      <w:pPr>
        <w:rPr>
          <w:lang w:val="en-US"/>
        </w:rPr>
      </w:pPr>
      <w:r>
        <w:rPr>
          <w:lang w:val="en-US"/>
        </w:rPr>
        <w:t>Mode of Expression: Books/Play</w:t>
      </w:r>
    </w:p>
    <w:p w14:paraId="210FCCC2" w14:textId="6E049253" w:rsidR="00345B16" w:rsidRDefault="00345B16">
      <w:pPr>
        <w:rPr>
          <w:lang w:val="en-US"/>
        </w:rPr>
      </w:pPr>
      <w:r>
        <w:rPr>
          <w:lang w:val="en-US"/>
        </w:rPr>
        <w:t xml:space="preserve">Date of Decision: </w:t>
      </w:r>
      <w:r w:rsidRPr="00345B16">
        <w:rPr>
          <w:lang w:val="en-US"/>
        </w:rPr>
        <w:t>August 18, 2014</w:t>
      </w:r>
    </w:p>
    <w:p w14:paraId="406E74CF" w14:textId="7F56F33D" w:rsidR="00345B16" w:rsidRDefault="00345B16">
      <w:pPr>
        <w:rPr>
          <w:lang w:val="en-US"/>
        </w:rPr>
      </w:pPr>
      <w:r>
        <w:rPr>
          <w:lang w:val="en-US"/>
        </w:rPr>
        <w:t xml:space="preserve">Outcome: </w:t>
      </w:r>
      <w:r w:rsidR="00EF34D2" w:rsidRPr="00EF34D2">
        <w:rPr>
          <w:lang w:val="en-US"/>
        </w:rPr>
        <w:t xml:space="preserve">Convention Articles on Freedom of Expression </w:t>
      </w:r>
      <w:r w:rsidR="00EF34D2">
        <w:rPr>
          <w:lang w:val="en-US"/>
        </w:rPr>
        <w:t xml:space="preserve">and </w:t>
      </w:r>
      <w:r w:rsidR="00EF34D2" w:rsidRPr="00EF34D2">
        <w:rPr>
          <w:lang w:val="en-US"/>
        </w:rPr>
        <w:t>Information violated</w:t>
      </w:r>
    </w:p>
    <w:p w14:paraId="45BE5F39" w14:textId="0EB09C9B" w:rsidR="00EF34D2" w:rsidRDefault="00EF34D2">
      <w:pPr>
        <w:rPr>
          <w:lang w:val="en-US"/>
        </w:rPr>
      </w:pPr>
      <w:r>
        <w:rPr>
          <w:lang w:val="en-US"/>
        </w:rPr>
        <w:t xml:space="preserve">Case number: </w:t>
      </w:r>
      <w:r w:rsidRPr="00EF34D2">
        <w:rPr>
          <w:lang w:val="en-US"/>
        </w:rPr>
        <w:t>App no. 58148/00</w:t>
      </w:r>
    </w:p>
    <w:p w14:paraId="2874AD44" w14:textId="1F27E412" w:rsidR="00647D88" w:rsidRDefault="00647D88">
      <w:pPr>
        <w:rPr>
          <w:lang w:val="en-US"/>
        </w:rPr>
      </w:pPr>
    </w:p>
    <w:p w14:paraId="58653C43" w14:textId="260CA8AC" w:rsidR="00647D88" w:rsidRPr="00647D88" w:rsidRDefault="00647D88">
      <w:pPr>
        <w:rPr>
          <w:b/>
          <w:bCs/>
          <w:lang w:val="en-US"/>
        </w:rPr>
      </w:pPr>
      <w:r w:rsidRPr="00647D88">
        <w:rPr>
          <w:b/>
          <w:bCs/>
          <w:lang w:val="en-US"/>
        </w:rPr>
        <w:t>Summary and outcome</w:t>
      </w:r>
    </w:p>
    <w:p w14:paraId="4EAFA2C8" w14:textId="324EEE72" w:rsidR="00647D88" w:rsidRPr="003E58DE" w:rsidRDefault="00C901A3" w:rsidP="007D724D">
      <w:pPr>
        <w:ind w:left="708" w:hanging="708"/>
        <w:rPr>
          <w:lang w:val="en-US"/>
        </w:rPr>
      </w:pPr>
      <w:r>
        <w:rPr>
          <w:lang w:val="en-US"/>
        </w:rPr>
        <w:t>The European Court of Human Rights</w:t>
      </w:r>
      <w:r w:rsidR="00EB5228">
        <w:rPr>
          <w:lang w:val="en-US"/>
        </w:rPr>
        <w:t xml:space="preserve"> (ECtHR)</w:t>
      </w:r>
      <w:r>
        <w:rPr>
          <w:lang w:val="en-US"/>
        </w:rPr>
        <w:t xml:space="preserve"> </w:t>
      </w:r>
      <w:r w:rsidR="005E62B6">
        <w:rPr>
          <w:lang w:val="en-US"/>
        </w:rPr>
        <w:t xml:space="preserve">found that France violated Article 10 of the </w:t>
      </w:r>
      <w:r w:rsidR="006B029E">
        <w:rPr>
          <w:lang w:val="en-US"/>
        </w:rPr>
        <w:t>European</w:t>
      </w:r>
      <w:r w:rsidR="003424AA">
        <w:rPr>
          <w:lang w:val="en-US"/>
        </w:rPr>
        <w:t xml:space="preserve"> </w:t>
      </w:r>
      <w:r w:rsidR="006B029E">
        <w:rPr>
          <w:lang w:val="en-US"/>
        </w:rPr>
        <w:t>Convention</w:t>
      </w:r>
      <w:r w:rsidR="003424AA">
        <w:rPr>
          <w:lang w:val="en-US"/>
        </w:rPr>
        <w:t xml:space="preserve"> of Human Rights</w:t>
      </w:r>
      <w:r w:rsidR="005E4EE4">
        <w:rPr>
          <w:lang w:val="en-US"/>
        </w:rPr>
        <w:t xml:space="preserve"> when its domestic courts banned indefinitely </w:t>
      </w:r>
      <w:r w:rsidR="003E58DE">
        <w:rPr>
          <w:lang w:val="en-US"/>
        </w:rPr>
        <w:t xml:space="preserve">the book </w:t>
      </w:r>
      <w:r w:rsidR="003E58DE" w:rsidRPr="003E58DE">
        <w:rPr>
          <w:i/>
          <w:iCs/>
          <w:lang w:val="en-US"/>
        </w:rPr>
        <w:t>Le Grand Secret</w:t>
      </w:r>
      <w:r w:rsidR="003E58DE">
        <w:rPr>
          <w:lang w:val="en-US"/>
        </w:rPr>
        <w:t xml:space="preserve"> published by Éditions </w:t>
      </w:r>
      <w:proofErr w:type="spellStart"/>
      <w:r w:rsidR="003E58DE">
        <w:rPr>
          <w:lang w:val="en-US"/>
        </w:rPr>
        <w:t>Plon</w:t>
      </w:r>
      <w:proofErr w:type="spellEnd"/>
      <w:r w:rsidR="00BC29B4">
        <w:rPr>
          <w:lang w:val="en-US"/>
        </w:rPr>
        <w:t xml:space="preserve">. The book was coauthored </w:t>
      </w:r>
      <w:r w:rsidR="008A5715">
        <w:rPr>
          <w:lang w:val="en-US"/>
        </w:rPr>
        <w:t xml:space="preserve">by Dr. </w:t>
      </w:r>
      <w:proofErr w:type="spellStart"/>
      <w:r w:rsidR="008A5715">
        <w:rPr>
          <w:lang w:val="en-US"/>
        </w:rPr>
        <w:t>G</w:t>
      </w:r>
      <w:r w:rsidR="00E05F4E">
        <w:rPr>
          <w:lang w:val="en-US"/>
        </w:rPr>
        <w:t>ubler</w:t>
      </w:r>
      <w:proofErr w:type="spellEnd"/>
      <w:r w:rsidR="00E05F4E">
        <w:rPr>
          <w:lang w:val="en-US"/>
        </w:rPr>
        <w:t xml:space="preserve">, a private physician to then President </w:t>
      </w:r>
      <w:r w:rsidR="00E05F4E" w:rsidRPr="00E05F4E">
        <w:rPr>
          <w:lang w:val="en-US"/>
        </w:rPr>
        <w:t>François Mitterrand</w:t>
      </w:r>
      <w:r w:rsidR="0022778F">
        <w:rPr>
          <w:lang w:val="en-US"/>
        </w:rPr>
        <w:t>, a</w:t>
      </w:r>
      <w:r w:rsidR="00C35767">
        <w:rPr>
          <w:lang w:val="en-US"/>
        </w:rPr>
        <w:t>nd</w:t>
      </w:r>
      <w:r w:rsidR="0022778F">
        <w:rPr>
          <w:lang w:val="en-US"/>
        </w:rPr>
        <w:t xml:space="preserve"> gave a detailed account of </w:t>
      </w:r>
      <w:r w:rsidR="00950487">
        <w:rPr>
          <w:lang w:val="en-US"/>
        </w:rPr>
        <w:t xml:space="preserve">the </w:t>
      </w:r>
      <w:r w:rsidR="00C35767">
        <w:rPr>
          <w:lang w:val="en-US"/>
        </w:rPr>
        <w:t>President</w:t>
      </w:r>
      <w:r w:rsidR="00C35767" w:rsidRPr="00527555">
        <w:rPr>
          <w:lang w:val="en-US"/>
        </w:rPr>
        <w:t>’s</w:t>
      </w:r>
      <w:r w:rsidR="00527555" w:rsidRPr="00527555">
        <w:rPr>
          <w:lang w:val="en-US"/>
        </w:rPr>
        <w:t xml:space="preserve"> illness, and subsequent treatment</w:t>
      </w:r>
      <w:r w:rsidR="006107C8">
        <w:rPr>
          <w:lang w:val="en-US"/>
        </w:rPr>
        <w:t xml:space="preserve">. The book was published shortly after the death of </w:t>
      </w:r>
      <w:r w:rsidR="00DE5C22">
        <w:rPr>
          <w:lang w:val="en-US"/>
        </w:rPr>
        <w:t>Mitterrand</w:t>
      </w:r>
      <w:r w:rsidR="006107C8">
        <w:rPr>
          <w:lang w:val="en-US"/>
        </w:rPr>
        <w:t xml:space="preserve">. </w:t>
      </w:r>
      <w:r w:rsidR="00DE5C22">
        <w:rPr>
          <w:lang w:val="en-US"/>
        </w:rPr>
        <w:t>Upon request</w:t>
      </w:r>
      <w:r w:rsidR="004178B7">
        <w:rPr>
          <w:lang w:val="en-US"/>
        </w:rPr>
        <w:t xml:space="preserve"> from</w:t>
      </w:r>
      <w:r w:rsidR="00DE5C22">
        <w:rPr>
          <w:lang w:val="en-US"/>
        </w:rPr>
        <w:t xml:space="preserve"> Mitterrand’s heirs</w:t>
      </w:r>
      <w:r w:rsidR="00B115B8">
        <w:rPr>
          <w:lang w:val="en-US"/>
        </w:rPr>
        <w:t xml:space="preserve">, national French Courts banned the book indefinitely </w:t>
      </w:r>
      <w:r w:rsidR="004178B7">
        <w:rPr>
          <w:lang w:val="en-US"/>
        </w:rPr>
        <w:t xml:space="preserve">arguing that </w:t>
      </w:r>
      <w:r w:rsidR="00C270C9">
        <w:rPr>
          <w:lang w:val="en-US"/>
        </w:rPr>
        <w:t xml:space="preserve">it </w:t>
      </w:r>
      <w:r w:rsidR="00EB5228">
        <w:rPr>
          <w:lang w:val="en-US"/>
        </w:rPr>
        <w:t>breached</w:t>
      </w:r>
      <w:r w:rsidR="00C270C9">
        <w:rPr>
          <w:lang w:val="en-US"/>
        </w:rPr>
        <w:t xml:space="preserve"> </w:t>
      </w:r>
      <w:r w:rsidR="00EB5228" w:rsidRPr="00EB5228">
        <w:rPr>
          <w:lang w:val="en-US"/>
        </w:rPr>
        <w:t>medical confidentiality</w:t>
      </w:r>
      <w:r w:rsidR="000C4E1F">
        <w:rPr>
          <w:lang w:val="en-US"/>
        </w:rPr>
        <w:t xml:space="preserve">. For the ECtHR an indefinite ban on the book was a disproportionate measure </w:t>
      </w:r>
      <w:r w:rsidR="0061015D">
        <w:rPr>
          <w:lang w:val="en-US"/>
        </w:rPr>
        <w:t>not necessary in a democratic society</w:t>
      </w:r>
      <w:r w:rsidR="001073C8">
        <w:rPr>
          <w:lang w:val="en-US"/>
        </w:rPr>
        <w:t>.</w:t>
      </w:r>
    </w:p>
    <w:p w14:paraId="2509D96F" w14:textId="2B569AFA" w:rsidR="00647D88" w:rsidRDefault="00647D88">
      <w:pPr>
        <w:rPr>
          <w:b/>
          <w:bCs/>
          <w:lang w:val="en-US"/>
        </w:rPr>
      </w:pPr>
      <w:r w:rsidRPr="00647D88">
        <w:rPr>
          <w:b/>
          <w:bCs/>
          <w:lang w:val="en-US"/>
        </w:rPr>
        <w:t>Facts</w:t>
      </w:r>
    </w:p>
    <w:p w14:paraId="3D683728" w14:textId="46A65412" w:rsidR="00E8318A" w:rsidRPr="007754FC" w:rsidRDefault="00647D88" w:rsidP="00E8318A">
      <w:pPr>
        <w:rPr>
          <w:lang w:val="en-US"/>
        </w:rPr>
      </w:pPr>
      <w:r w:rsidRPr="007754FC">
        <w:rPr>
          <w:lang w:val="en-US"/>
        </w:rPr>
        <w:t xml:space="preserve">On November 8, 1995, </w:t>
      </w:r>
      <w:r w:rsidR="006B029E">
        <w:rPr>
          <w:lang w:val="en-US"/>
        </w:rPr>
        <w:t>É</w:t>
      </w:r>
      <w:r w:rsidRPr="007754FC">
        <w:rPr>
          <w:lang w:val="en-US"/>
        </w:rPr>
        <w:t xml:space="preserve">ditions </w:t>
      </w:r>
      <w:proofErr w:type="spellStart"/>
      <w:r w:rsidRPr="007754FC">
        <w:rPr>
          <w:lang w:val="en-US"/>
        </w:rPr>
        <w:t>Plon</w:t>
      </w:r>
      <w:proofErr w:type="spellEnd"/>
      <w:r w:rsidRPr="007754FC">
        <w:rPr>
          <w:lang w:val="en-US"/>
        </w:rPr>
        <w:t xml:space="preserve"> acquired the publishing rights of the book </w:t>
      </w:r>
      <w:r w:rsidRPr="007754FC">
        <w:rPr>
          <w:i/>
          <w:iCs/>
          <w:lang w:val="en-US"/>
        </w:rPr>
        <w:t xml:space="preserve">Le Grand Secret </w:t>
      </w:r>
      <w:r w:rsidRPr="007754FC">
        <w:rPr>
          <w:lang w:val="en-US"/>
        </w:rPr>
        <w:t xml:space="preserve">(“The Big Secret”). Written by Mr. </w:t>
      </w:r>
      <w:proofErr w:type="spellStart"/>
      <w:r w:rsidRPr="007754FC">
        <w:rPr>
          <w:lang w:val="en-US"/>
        </w:rPr>
        <w:t>Gonod</w:t>
      </w:r>
      <w:proofErr w:type="spellEnd"/>
      <w:r w:rsidRPr="007754FC">
        <w:rPr>
          <w:lang w:val="en-US"/>
        </w:rPr>
        <w:t xml:space="preserve">, a journalist, and Dr. </w:t>
      </w:r>
      <w:proofErr w:type="spellStart"/>
      <w:r w:rsidRPr="007754FC">
        <w:rPr>
          <w:lang w:val="en-US"/>
        </w:rPr>
        <w:t>Gubler</w:t>
      </w:r>
      <w:proofErr w:type="spellEnd"/>
      <w:r w:rsidR="00E8318A" w:rsidRPr="007754FC">
        <w:rPr>
          <w:lang w:val="en-US"/>
        </w:rPr>
        <w:t xml:space="preserve">, a private physician </w:t>
      </w:r>
      <w:r w:rsidR="001A4E58" w:rsidRPr="007754FC">
        <w:rPr>
          <w:lang w:val="en-US"/>
        </w:rPr>
        <w:t>to</w:t>
      </w:r>
      <w:r w:rsidR="001A4E58">
        <w:rPr>
          <w:lang w:val="en-US"/>
        </w:rPr>
        <w:t xml:space="preserve"> </w:t>
      </w:r>
      <w:r w:rsidR="00E05F4E" w:rsidRPr="007754FC">
        <w:rPr>
          <w:lang w:val="en-US"/>
        </w:rPr>
        <w:t xml:space="preserve">president </w:t>
      </w:r>
      <w:r w:rsidR="00E05F4E">
        <w:rPr>
          <w:lang w:val="en-US"/>
        </w:rPr>
        <w:t>of</w:t>
      </w:r>
      <w:r w:rsidR="001A4E58">
        <w:rPr>
          <w:lang w:val="en-US"/>
        </w:rPr>
        <w:t xml:space="preserve"> France </w:t>
      </w:r>
      <w:r w:rsidR="00E8318A" w:rsidRPr="007754FC">
        <w:rPr>
          <w:lang w:val="en-US"/>
        </w:rPr>
        <w:t xml:space="preserve">François Mitterrand, the </w:t>
      </w:r>
      <w:r w:rsidR="00271B5C" w:rsidRPr="007754FC">
        <w:rPr>
          <w:lang w:val="en-US"/>
        </w:rPr>
        <w:t>book “</w:t>
      </w:r>
      <w:r w:rsidR="00E8318A" w:rsidRPr="007754FC">
        <w:rPr>
          <w:lang w:val="en-US"/>
        </w:rPr>
        <w:t xml:space="preserve">gave an account of the </w:t>
      </w:r>
      <w:r w:rsidR="00E8318A" w:rsidRPr="00E8318A">
        <w:rPr>
          <w:lang w:val="en-US"/>
        </w:rPr>
        <w:t xml:space="preserve">relations between Dr </w:t>
      </w:r>
      <w:proofErr w:type="spellStart"/>
      <w:r w:rsidR="00E8318A" w:rsidRPr="00E8318A">
        <w:rPr>
          <w:lang w:val="en-US"/>
        </w:rPr>
        <w:t>Gubler</w:t>
      </w:r>
      <w:proofErr w:type="spellEnd"/>
      <w:r w:rsidR="00E8318A" w:rsidRPr="00E8318A">
        <w:rPr>
          <w:lang w:val="en-US"/>
        </w:rPr>
        <w:t xml:space="preserve"> and the President, describing how the former</w:t>
      </w:r>
      <w:r w:rsidR="00E8318A" w:rsidRPr="007754FC">
        <w:rPr>
          <w:lang w:val="en-US"/>
        </w:rPr>
        <w:t xml:space="preserve"> </w:t>
      </w:r>
      <w:r w:rsidR="00E8318A" w:rsidRPr="00E8318A">
        <w:rPr>
          <w:lang w:val="en-US"/>
        </w:rPr>
        <w:t xml:space="preserve">had </w:t>
      </w:r>
      <w:proofErr w:type="spellStart"/>
      <w:r w:rsidR="00E8318A" w:rsidRPr="00E8318A">
        <w:rPr>
          <w:lang w:val="en-US"/>
        </w:rPr>
        <w:t>organised</w:t>
      </w:r>
      <w:proofErr w:type="spellEnd"/>
      <w:r w:rsidR="00E8318A" w:rsidRPr="00E8318A">
        <w:rPr>
          <w:lang w:val="en-US"/>
        </w:rPr>
        <w:t xml:space="preserve"> a medical team to take care of the latter, who had been</w:t>
      </w:r>
      <w:r w:rsidR="00E8318A" w:rsidRPr="007754FC">
        <w:rPr>
          <w:lang w:val="en-US"/>
        </w:rPr>
        <w:t xml:space="preserve"> </w:t>
      </w:r>
      <w:r w:rsidR="00E8318A" w:rsidRPr="00E8318A">
        <w:rPr>
          <w:lang w:val="en-US"/>
        </w:rPr>
        <w:t>diagnosed with cancer in 1981, a few months after he had first been elected</w:t>
      </w:r>
      <w:r w:rsidR="00E8318A" w:rsidRPr="007754FC">
        <w:rPr>
          <w:lang w:val="en-US"/>
        </w:rPr>
        <w:t xml:space="preserve"> </w:t>
      </w:r>
      <w:r w:rsidR="00E8318A" w:rsidRPr="00E8318A">
        <w:rPr>
          <w:lang w:val="en-US"/>
        </w:rPr>
        <w:t>President of France</w:t>
      </w:r>
      <w:r w:rsidR="00E8318A" w:rsidRPr="007754FC">
        <w:rPr>
          <w:lang w:val="en-US"/>
        </w:rPr>
        <w:t>”</w:t>
      </w:r>
      <w:r w:rsidR="005B387C" w:rsidRPr="007754FC">
        <w:rPr>
          <w:lang w:val="en-US"/>
        </w:rPr>
        <w:t xml:space="preserve"> (par. 6)</w:t>
      </w:r>
      <w:r w:rsidR="00E8318A" w:rsidRPr="007754FC">
        <w:rPr>
          <w:lang w:val="en-US"/>
        </w:rPr>
        <w:t>.</w:t>
      </w:r>
    </w:p>
    <w:p w14:paraId="553FCAE4" w14:textId="0BDD0F76" w:rsidR="005B387C" w:rsidRPr="007754FC" w:rsidRDefault="00E8318A" w:rsidP="00E8318A">
      <w:pPr>
        <w:rPr>
          <w:lang w:val="en-US"/>
        </w:rPr>
      </w:pPr>
      <w:r w:rsidRPr="007754FC">
        <w:rPr>
          <w:lang w:val="en-US"/>
        </w:rPr>
        <w:t>Originally the book was to be published in mid-</w:t>
      </w:r>
      <w:r w:rsidR="001A4E58" w:rsidRPr="007754FC">
        <w:rPr>
          <w:lang w:val="en-US"/>
        </w:rPr>
        <w:t>January</w:t>
      </w:r>
      <w:r w:rsidRPr="007754FC">
        <w:rPr>
          <w:lang w:val="en-US"/>
        </w:rPr>
        <w:t xml:space="preserve"> 1996, while President Mitterrand was alive. However, </w:t>
      </w:r>
      <w:proofErr w:type="gramStart"/>
      <w:r w:rsidRPr="007754FC">
        <w:rPr>
          <w:lang w:val="en-US"/>
        </w:rPr>
        <w:t>due to the fact that</w:t>
      </w:r>
      <w:proofErr w:type="gramEnd"/>
      <w:r w:rsidRPr="007754FC">
        <w:rPr>
          <w:lang w:val="en-US"/>
        </w:rPr>
        <w:t xml:space="preserve"> Mitterrand died on 8 January 1996, </w:t>
      </w:r>
      <w:r w:rsidR="006B029E">
        <w:rPr>
          <w:lang w:val="en-US"/>
        </w:rPr>
        <w:t>É</w:t>
      </w:r>
      <w:r w:rsidRPr="007754FC">
        <w:rPr>
          <w:lang w:val="en-US"/>
        </w:rPr>
        <w:t xml:space="preserve">ditions </w:t>
      </w:r>
      <w:proofErr w:type="spellStart"/>
      <w:r w:rsidRPr="007754FC">
        <w:rPr>
          <w:lang w:val="en-US"/>
        </w:rPr>
        <w:t>Plon</w:t>
      </w:r>
      <w:proofErr w:type="spellEnd"/>
      <w:r w:rsidRPr="007754FC">
        <w:rPr>
          <w:lang w:val="en-US"/>
        </w:rPr>
        <w:t xml:space="preserve"> and the author</w:t>
      </w:r>
      <w:r w:rsidR="006A3ACD">
        <w:rPr>
          <w:lang w:val="en-US"/>
        </w:rPr>
        <w:t>s</w:t>
      </w:r>
      <w:r w:rsidRPr="007754FC">
        <w:rPr>
          <w:lang w:val="en-US"/>
        </w:rPr>
        <w:t xml:space="preserve"> decided to postpone the publication</w:t>
      </w:r>
      <w:r w:rsidR="005B387C" w:rsidRPr="007754FC">
        <w:rPr>
          <w:lang w:val="en-US"/>
        </w:rPr>
        <w:t>.</w:t>
      </w:r>
    </w:p>
    <w:p w14:paraId="232EF715" w14:textId="4FDA75A9" w:rsidR="005B387C" w:rsidRPr="007754FC" w:rsidRDefault="005B387C" w:rsidP="005B387C">
      <w:pPr>
        <w:rPr>
          <w:lang w:val="en-US"/>
        </w:rPr>
      </w:pPr>
      <w:r w:rsidRPr="007754FC">
        <w:rPr>
          <w:lang w:val="en-US"/>
        </w:rPr>
        <w:t xml:space="preserve">On January 19, 1996, the newspaper </w:t>
      </w:r>
      <w:r w:rsidRPr="007754FC">
        <w:rPr>
          <w:i/>
          <w:iCs/>
          <w:lang w:val="en-US"/>
        </w:rPr>
        <w:t xml:space="preserve">Le Monde </w:t>
      </w:r>
      <w:r w:rsidRPr="007754FC">
        <w:rPr>
          <w:lang w:val="en-US"/>
        </w:rPr>
        <w:t xml:space="preserve">published an article “which revealed that President Mitterrand had been suffering from </w:t>
      </w:r>
      <w:r w:rsidRPr="005B387C">
        <w:rPr>
          <w:lang w:val="en-US"/>
        </w:rPr>
        <w:t xml:space="preserve">prostate cancer since the beginning of his first seven-year </w:t>
      </w:r>
      <w:r w:rsidRPr="005B387C">
        <w:rPr>
          <w:lang w:val="en-US"/>
        </w:rPr>
        <w:lastRenderedPageBreak/>
        <w:t>term of office and</w:t>
      </w:r>
      <w:r w:rsidRPr="007754FC">
        <w:rPr>
          <w:lang w:val="en-US"/>
        </w:rPr>
        <w:t xml:space="preserve"> </w:t>
      </w:r>
      <w:r w:rsidRPr="005B387C">
        <w:rPr>
          <w:lang w:val="en-US"/>
        </w:rPr>
        <w:t>pointed out that the public had not been officially informed about his illness</w:t>
      </w:r>
      <w:r w:rsidRPr="007754FC">
        <w:rPr>
          <w:lang w:val="en-US"/>
        </w:rPr>
        <w:t xml:space="preserve"> </w:t>
      </w:r>
      <w:r w:rsidRPr="005B387C">
        <w:rPr>
          <w:lang w:val="en-US"/>
        </w:rPr>
        <w:t>until 1992. The article also stated that President Mitterrand had dismissed</w:t>
      </w:r>
      <w:r w:rsidRPr="007754FC">
        <w:rPr>
          <w:lang w:val="en-US"/>
        </w:rPr>
        <w:t xml:space="preserve"> </w:t>
      </w:r>
      <w:r w:rsidRPr="005B387C">
        <w:rPr>
          <w:lang w:val="en-US"/>
        </w:rPr>
        <w:t xml:space="preserve">Dr </w:t>
      </w:r>
      <w:proofErr w:type="spellStart"/>
      <w:r w:rsidRPr="005B387C">
        <w:rPr>
          <w:lang w:val="en-US"/>
        </w:rPr>
        <w:t>Gubler</w:t>
      </w:r>
      <w:proofErr w:type="spellEnd"/>
      <w:r w:rsidRPr="005B387C">
        <w:rPr>
          <w:lang w:val="en-US"/>
        </w:rPr>
        <w:t xml:space="preserve"> in 1994, choosing instead to be treated with medicine described</w:t>
      </w:r>
      <w:r w:rsidRPr="007754FC">
        <w:rPr>
          <w:lang w:val="en-US"/>
        </w:rPr>
        <w:t xml:space="preserve"> </w:t>
      </w:r>
      <w:r w:rsidRPr="005B387C">
        <w:rPr>
          <w:lang w:val="en-US"/>
        </w:rPr>
        <w:t xml:space="preserve">by </w:t>
      </w:r>
      <w:r w:rsidRPr="007754FC">
        <w:rPr>
          <w:lang w:val="en-US"/>
        </w:rPr>
        <w:t>[</w:t>
      </w:r>
      <w:r w:rsidR="006B029E">
        <w:rPr>
          <w:lang w:val="en-US"/>
        </w:rPr>
        <w:t>É</w:t>
      </w:r>
      <w:r w:rsidRPr="007754FC">
        <w:rPr>
          <w:lang w:val="en-US"/>
        </w:rPr>
        <w:t xml:space="preserve">ditions </w:t>
      </w:r>
      <w:proofErr w:type="spellStart"/>
      <w:r w:rsidRPr="007754FC">
        <w:rPr>
          <w:lang w:val="en-US"/>
        </w:rPr>
        <w:t>Plon</w:t>
      </w:r>
      <w:proofErr w:type="spellEnd"/>
      <w:r w:rsidRPr="007754FC">
        <w:rPr>
          <w:lang w:val="en-US"/>
        </w:rPr>
        <w:t>]</w:t>
      </w:r>
      <w:r w:rsidRPr="005B387C">
        <w:rPr>
          <w:lang w:val="en-US"/>
        </w:rPr>
        <w:t xml:space="preserve"> as </w:t>
      </w:r>
      <w:r w:rsidRPr="007754FC">
        <w:rPr>
          <w:lang w:val="en-US"/>
        </w:rPr>
        <w:t>‘</w:t>
      </w:r>
      <w:r w:rsidRPr="005B387C">
        <w:rPr>
          <w:lang w:val="en-US"/>
        </w:rPr>
        <w:t>alternative</w:t>
      </w:r>
      <w:r w:rsidRPr="007754FC">
        <w:rPr>
          <w:lang w:val="en-US"/>
        </w:rPr>
        <w:t>’” (par. 7)</w:t>
      </w:r>
      <w:r w:rsidRPr="005B387C">
        <w:rPr>
          <w:lang w:val="en-US"/>
        </w:rPr>
        <w:t>.</w:t>
      </w:r>
    </w:p>
    <w:p w14:paraId="586C9E27" w14:textId="7D96A832" w:rsidR="00956613" w:rsidRPr="007754FC" w:rsidRDefault="005B387C" w:rsidP="00956613">
      <w:pPr>
        <w:rPr>
          <w:lang w:val="en-US"/>
        </w:rPr>
      </w:pPr>
      <w:r w:rsidRPr="007754FC">
        <w:rPr>
          <w:lang w:val="en-US"/>
        </w:rPr>
        <w:t xml:space="preserve">In a book published in 1995, titled </w:t>
      </w:r>
      <w:proofErr w:type="spellStart"/>
      <w:r w:rsidRPr="007754FC">
        <w:rPr>
          <w:i/>
          <w:iCs/>
          <w:lang w:val="en-US"/>
        </w:rPr>
        <w:t>L'Année</w:t>
      </w:r>
      <w:proofErr w:type="spellEnd"/>
      <w:r w:rsidRPr="007754FC">
        <w:rPr>
          <w:i/>
          <w:iCs/>
          <w:lang w:val="en-US"/>
        </w:rPr>
        <w:t xml:space="preserve"> des adieux</w:t>
      </w:r>
      <w:r w:rsidRPr="007754FC">
        <w:rPr>
          <w:lang w:val="en-US"/>
        </w:rPr>
        <w:t xml:space="preserve">, a former cultural advisor to Mitterrand claimed </w:t>
      </w:r>
      <w:r w:rsidR="00956613" w:rsidRPr="007754FC">
        <w:rPr>
          <w:lang w:val="en-US"/>
        </w:rPr>
        <w:t xml:space="preserve">that the president didn’t’ receive proper treatment. This opinion was echoed, shortly after Mitterrand’s death, by one of his brothers and by the head of the cancer treatment department at the </w:t>
      </w:r>
      <w:proofErr w:type="spellStart"/>
      <w:r w:rsidR="00956613" w:rsidRPr="007754FC">
        <w:rPr>
          <w:lang w:val="en-US"/>
        </w:rPr>
        <w:t>Pitié-Salpêtrière</w:t>
      </w:r>
      <w:proofErr w:type="spellEnd"/>
      <w:r w:rsidR="00956613" w:rsidRPr="007754FC">
        <w:rPr>
          <w:lang w:val="en-US"/>
        </w:rPr>
        <w:t xml:space="preserve"> Hospital, who considered that for years </w:t>
      </w:r>
      <w:r w:rsidR="00956613" w:rsidRPr="00956613">
        <w:rPr>
          <w:lang w:val="en-US"/>
        </w:rPr>
        <w:t>[President Mitterrand had been] given nothing but magical cures, and these</w:t>
      </w:r>
      <w:r w:rsidR="00956613" w:rsidRPr="007754FC">
        <w:rPr>
          <w:lang w:val="en-US"/>
        </w:rPr>
        <w:t xml:space="preserve"> </w:t>
      </w:r>
      <w:r w:rsidR="00956613" w:rsidRPr="00956613">
        <w:rPr>
          <w:lang w:val="en-US"/>
        </w:rPr>
        <w:t>techniques were completely ineffective in treating his illness</w:t>
      </w:r>
      <w:r w:rsidR="00956613" w:rsidRPr="007754FC">
        <w:rPr>
          <w:lang w:val="en-US"/>
        </w:rPr>
        <w:t>” (par. 7).</w:t>
      </w:r>
    </w:p>
    <w:p w14:paraId="7DB577F4" w14:textId="67EEF2B1" w:rsidR="007754FC" w:rsidRPr="007754FC" w:rsidRDefault="00956613" w:rsidP="007754FC">
      <w:pPr>
        <w:rPr>
          <w:lang w:val="en-US"/>
        </w:rPr>
      </w:pPr>
      <w:r w:rsidRPr="007754FC">
        <w:rPr>
          <w:lang w:val="en-US"/>
        </w:rPr>
        <w:t xml:space="preserve">The revelations received extensive media coverage and scrutiny, especially those referring to the </w:t>
      </w:r>
      <w:r w:rsidR="007754FC" w:rsidRPr="007754FC">
        <w:rPr>
          <w:lang w:val="en-US"/>
        </w:rPr>
        <w:t>“quality of the treatment received by President Mitterrand” (par. 7).</w:t>
      </w:r>
    </w:p>
    <w:p w14:paraId="67F0A593" w14:textId="77777777" w:rsidR="001A4E58" w:rsidRDefault="007754FC" w:rsidP="007754FC">
      <w:pPr>
        <w:jc w:val="both"/>
        <w:rPr>
          <w:lang w:val="en-US"/>
        </w:rPr>
      </w:pPr>
      <w:r w:rsidRPr="007754FC">
        <w:rPr>
          <w:lang w:val="en-US"/>
        </w:rPr>
        <w:t xml:space="preserve">Dr. </w:t>
      </w:r>
      <w:proofErr w:type="spellStart"/>
      <w:r w:rsidRPr="007754FC">
        <w:rPr>
          <w:lang w:val="en-US"/>
        </w:rPr>
        <w:t>Gubler</w:t>
      </w:r>
      <w:proofErr w:type="spellEnd"/>
      <w:r w:rsidRPr="007754FC">
        <w:rPr>
          <w:lang w:val="en-US"/>
        </w:rPr>
        <w:t xml:space="preserve"> considered that his reputation was being questioned and decided to publish </w:t>
      </w:r>
      <w:r w:rsidRPr="007754FC">
        <w:rPr>
          <w:i/>
          <w:iCs/>
          <w:lang w:val="en-US"/>
        </w:rPr>
        <w:t xml:space="preserve">Le Grand </w:t>
      </w:r>
      <w:r w:rsidR="001A4E58" w:rsidRPr="007754FC">
        <w:rPr>
          <w:i/>
          <w:iCs/>
          <w:lang w:val="en-US"/>
        </w:rPr>
        <w:t xml:space="preserve">Secret </w:t>
      </w:r>
      <w:r w:rsidR="001A4E58" w:rsidRPr="007754FC">
        <w:rPr>
          <w:lang w:val="en-US"/>
        </w:rPr>
        <w:t>on</w:t>
      </w:r>
      <w:r>
        <w:rPr>
          <w:lang w:val="en-US"/>
        </w:rPr>
        <w:t xml:space="preserve"> January 17, 1996.</w:t>
      </w:r>
      <w:r w:rsidR="007A258E">
        <w:rPr>
          <w:lang w:val="en-US"/>
        </w:rPr>
        <w:t xml:space="preserve"> The book gave a detailed account of Mitterrand’s illness, (including his symptoms and examinations) and subsequent treatment (describing side effects of the medical treatment and anxiety attacks suffered by the President)</w:t>
      </w:r>
      <w:r w:rsidR="001A4E58">
        <w:rPr>
          <w:lang w:val="en-US"/>
        </w:rPr>
        <w:t>, among other details related to the health of the President</w:t>
      </w:r>
      <w:r w:rsidR="007A258E">
        <w:rPr>
          <w:lang w:val="en-US"/>
        </w:rPr>
        <w:t>.</w:t>
      </w:r>
    </w:p>
    <w:p w14:paraId="0F365EC8" w14:textId="694F5C8B" w:rsidR="001A4E58" w:rsidRDefault="001A4E58" w:rsidP="001A4E58">
      <w:pPr>
        <w:jc w:val="both"/>
        <w:rPr>
          <w:lang w:val="en-US"/>
        </w:rPr>
      </w:pPr>
      <w:r>
        <w:rPr>
          <w:lang w:val="en-US"/>
        </w:rPr>
        <w:t>On January 18, 1996</w:t>
      </w:r>
      <w:r w:rsidR="00BB1CCB">
        <w:rPr>
          <w:lang w:val="en-US"/>
        </w:rPr>
        <w:t xml:space="preserve">, after Mitterrand’s widow and children lodged an urgent application complaining “of </w:t>
      </w:r>
      <w:r w:rsidR="00BB1CCB" w:rsidRPr="00BB1CCB">
        <w:rPr>
          <w:lang w:val="en-US"/>
        </w:rPr>
        <w:t>a breach of medical</w:t>
      </w:r>
      <w:r w:rsidR="00BB1CCB">
        <w:rPr>
          <w:lang w:val="en-US"/>
        </w:rPr>
        <w:t xml:space="preserve"> </w:t>
      </w:r>
      <w:r w:rsidR="00BB1CCB" w:rsidRPr="00BB1CCB">
        <w:rPr>
          <w:lang w:val="en-US"/>
        </w:rPr>
        <w:t>confidentiality</w:t>
      </w:r>
      <w:r w:rsidR="00BB1CCB">
        <w:rPr>
          <w:lang w:val="en-US"/>
        </w:rPr>
        <w:t>” and an</w:t>
      </w:r>
      <w:r w:rsidR="00BB1CCB" w:rsidRPr="00BB1CCB">
        <w:rPr>
          <w:lang w:val="en-US"/>
        </w:rPr>
        <w:t xml:space="preserve"> </w:t>
      </w:r>
      <w:r w:rsidR="00BB1CCB">
        <w:rPr>
          <w:lang w:val="en-US"/>
        </w:rPr>
        <w:t>“</w:t>
      </w:r>
      <w:r w:rsidR="00BB1CCB" w:rsidRPr="00BB1CCB">
        <w:rPr>
          <w:lang w:val="en-US"/>
        </w:rPr>
        <w:t>invasion of President Mitterrand's privacy</w:t>
      </w:r>
      <w:r w:rsidR="00BB1CCB">
        <w:rPr>
          <w:lang w:val="en-US"/>
        </w:rPr>
        <w:t xml:space="preserve">” (par. 9), the </w:t>
      </w:r>
      <w:r w:rsidRPr="00BB1CCB">
        <w:rPr>
          <w:lang w:val="en-US"/>
        </w:rPr>
        <w:t xml:space="preserve">Paris Tribunal </w:t>
      </w:r>
      <w:r w:rsidRPr="005814DE">
        <w:rPr>
          <w:lang w:val="en-US"/>
        </w:rPr>
        <w:t>de Grande Instance</w:t>
      </w:r>
      <w:r w:rsidRPr="00BB1CCB">
        <w:rPr>
          <w:lang w:val="en-US"/>
        </w:rPr>
        <w:t xml:space="preserve"> issued a</w:t>
      </w:r>
      <w:r w:rsidR="00BB1CCB">
        <w:rPr>
          <w:lang w:val="en-US"/>
        </w:rPr>
        <w:t xml:space="preserve"> provisional</w:t>
      </w:r>
      <w:r w:rsidRPr="00BB1CCB">
        <w:rPr>
          <w:lang w:val="en-US"/>
        </w:rPr>
        <w:t xml:space="preserve"> </w:t>
      </w:r>
      <w:r w:rsidR="00BB1CCB" w:rsidRPr="00BB1CCB">
        <w:rPr>
          <w:lang w:val="en-US"/>
        </w:rPr>
        <w:t>injunction</w:t>
      </w:r>
      <w:r w:rsidRPr="00BB1CCB">
        <w:rPr>
          <w:lang w:val="en-US"/>
        </w:rPr>
        <w:t xml:space="preserve"> prohibiting</w:t>
      </w:r>
      <w:r w:rsidR="00BB1CCB">
        <w:rPr>
          <w:lang w:val="en-US"/>
        </w:rPr>
        <w:t xml:space="preserve"> </w:t>
      </w:r>
      <w:r w:rsidR="006B029E">
        <w:rPr>
          <w:lang w:val="en-US"/>
        </w:rPr>
        <w:t>É</w:t>
      </w:r>
      <w:r w:rsidR="00BB1CCB">
        <w:rPr>
          <w:lang w:val="en-US"/>
        </w:rPr>
        <w:t xml:space="preserve">ditions </w:t>
      </w:r>
      <w:proofErr w:type="spellStart"/>
      <w:r w:rsidR="00BB1CCB">
        <w:rPr>
          <w:lang w:val="en-US"/>
        </w:rPr>
        <w:t>Plon</w:t>
      </w:r>
      <w:proofErr w:type="spellEnd"/>
      <w:r w:rsidR="00BB1CCB">
        <w:rPr>
          <w:lang w:val="en-US"/>
        </w:rPr>
        <w:t xml:space="preserve"> and Dr. </w:t>
      </w:r>
      <w:proofErr w:type="spellStart"/>
      <w:r w:rsidR="00BB1CCB">
        <w:rPr>
          <w:lang w:val="en-US"/>
        </w:rPr>
        <w:t>Gubler</w:t>
      </w:r>
      <w:proofErr w:type="spellEnd"/>
      <w:r w:rsidR="00BB1CCB">
        <w:rPr>
          <w:lang w:val="en-US"/>
        </w:rPr>
        <w:t xml:space="preserve"> from distri</w:t>
      </w:r>
      <w:r w:rsidR="00C86E9C">
        <w:rPr>
          <w:lang w:val="en-US"/>
        </w:rPr>
        <w:t>buting</w:t>
      </w:r>
      <w:r w:rsidR="00C86E9C" w:rsidRPr="00C86E9C">
        <w:rPr>
          <w:i/>
          <w:iCs/>
          <w:lang w:val="en-US"/>
        </w:rPr>
        <w:t xml:space="preserve"> Le Grand Secret</w:t>
      </w:r>
      <w:r w:rsidR="005075F2">
        <w:rPr>
          <w:lang w:val="en-US"/>
        </w:rPr>
        <w:t xml:space="preserve">. The tribunal considered that </w:t>
      </w:r>
      <w:r w:rsidR="009310DE">
        <w:rPr>
          <w:lang w:val="en-US"/>
        </w:rPr>
        <w:t xml:space="preserve">the book </w:t>
      </w:r>
      <w:r w:rsidR="00753BBB">
        <w:rPr>
          <w:lang w:val="en-US"/>
        </w:rPr>
        <w:t>breached “</w:t>
      </w:r>
      <w:r w:rsidR="00675868" w:rsidRPr="00675868">
        <w:rPr>
          <w:lang w:val="en-US"/>
        </w:rPr>
        <w:t xml:space="preserve">provisions that lay down a duty of professional confidentiality, </w:t>
      </w:r>
      <w:proofErr w:type="gramStart"/>
      <w:r w:rsidR="00675868" w:rsidRPr="00675868">
        <w:rPr>
          <w:lang w:val="en-US"/>
        </w:rPr>
        <w:t>all the more</w:t>
      </w:r>
      <w:proofErr w:type="gramEnd"/>
      <w:r w:rsidR="00675868" w:rsidRPr="00675868">
        <w:rPr>
          <w:lang w:val="en-US"/>
        </w:rPr>
        <w:t xml:space="preserve"> strictly where medical confidentiality is concerned</w:t>
      </w:r>
      <w:r w:rsidR="00753BBB">
        <w:rPr>
          <w:lang w:val="en-US"/>
        </w:rPr>
        <w:t>” that “</w:t>
      </w:r>
      <w:r w:rsidR="00C071C8" w:rsidRPr="00C071C8">
        <w:rPr>
          <w:lang w:val="en-US"/>
        </w:rPr>
        <w:t>constitute a particularly serious intrusion into the intimate sphere of President François Mitterrand's private family life and that of his wife and children</w:t>
      </w:r>
      <w:r w:rsidR="00C071C8">
        <w:rPr>
          <w:lang w:val="en-US"/>
        </w:rPr>
        <w:t>” (par. 9)</w:t>
      </w:r>
      <w:r w:rsidR="00470BA5">
        <w:rPr>
          <w:lang w:val="en-US"/>
        </w:rPr>
        <w:t>.</w:t>
      </w:r>
    </w:p>
    <w:p w14:paraId="7A261590" w14:textId="77777777" w:rsidR="001B49F4" w:rsidRDefault="00A8350F" w:rsidP="00A8350F">
      <w:pPr>
        <w:jc w:val="both"/>
        <w:rPr>
          <w:lang w:val="en-US"/>
        </w:rPr>
      </w:pPr>
      <w:r>
        <w:rPr>
          <w:lang w:val="en-US"/>
        </w:rPr>
        <w:t xml:space="preserve">On March 13, 1996, </w:t>
      </w:r>
      <w:r w:rsidRPr="00A8350F">
        <w:rPr>
          <w:lang w:val="en-US"/>
        </w:rPr>
        <w:t>the Paris Court of Appeal upheld</w:t>
      </w:r>
      <w:r>
        <w:rPr>
          <w:lang w:val="en-US"/>
        </w:rPr>
        <w:t xml:space="preserve"> </w:t>
      </w:r>
      <w:r w:rsidRPr="00A8350F">
        <w:rPr>
          <w:lang w:val="en-US"/>
        </w:rPr>
        <w:t>the injunction and gave the claimants one month to apply to a court with</w:t>
      </w:r>
      <w:r>
        <w:rPr>
          <w:lang w:val="en-US"/>
        </w:rPr>
        <w:t xml:space="preserve"> </w:t>
      </w:r>
      <w:r w:rsidRPr="00A8350F">
        <w:rPr>
          <w:lang w:val="en-US"/>
        </w:rPr>
        <w:t>jurisdiction to examine the merits of the case.</w:t>
      </w:r>
      <w:r w:rsidR="005D7E6F">
        <w:rPr>
          <w:lang w:val="en-US"/>
        </w:rPr>
        <w:t xml:space="preserve"> </w:t>
      </w:r>
    </w:p>
    <w:p w14:paraId="03AFAD5E" w14:textId="15B54505" w:rsidR="0059014D" w:rsidRDefault="005D7E6F" w:rsidP="0059014D">
      <w:pPr>
        <w:jc w:val="both"/>
        <w:rPr>
          <w:lang w:val="en-US"/>
        </w:rPr>
      </w:pPr>
      <w:r>
        <w:rPr>
          <w:lang w:val="en-US"/>
        </w:rPr>
        <w:t xml:space="preserve">On </w:t>
      </w:r>
      <w:r w:rsidR="001253A4">
        <w:rPr>
          <w:lang w:val="en-US"/>
        </w:rPr>
        <w:t xml:space="preserve">July 16, 1997, the Court of Cassation </w:t>
      </w:r>
      <w:r w:rsidR="00A24D96">
        <w:rPr>
          <w:lang w:val="en-US"/>
        </w:rPr>
        <w:t xml:space="preserve">upheld the injunction too, arguing that </w:t>
      </w:r>
      <w:r w:rsidR="004B7AC4">
        <w:rPr>
          <w:lang w:val="en-US"/>
        </w:rPr>
        <w:t>the measure</w:t>
      </w:r>
      <w:r w:rsidR="0059014D">
        <w:rPr>
          <w:lang w:val="en-US"/>
        </w:rPr>
        <w:t>,</w:t>
      </w:r>
      <w:r w:rsidR="004B7AC4">
        <w:rPr>
          <w:lang w:val="en-US"/>
        </w:rPr>
        <w:t xml:space="preserve"> </w:t>
      </w:r>
      <w:r w:rsidR="0059014D">
        <w:rPr>
          <w:lang w:val="en-US"/>
        </w:rPr>
        <w:t>“</w:t>
      </w:r>
      <w:r w:rsidR="0059014D" w:rsidRPr="0059014D">
        <w:rPr>
          <w:lang w:val="en-US"/>
        </w:rPr>
        <w:t>valid for a limited period only, was the only means of</w:t>
      </w:r>
      <w:r w:rsidR="0059014D">
        <w:rPr>
          <w:lang w:val="en-US"/>
        </w:rPr>
        <w:t xml:space="preserve"> </w:t>
      </w:r>
      <w:r w:rsidR="0059014D" w:rsidRPr="0059014D">
        <w:rPr>
          <w:lang w:val="en-US"/>
        </w:rPr>
        <w:t>putting an end to the infringement pending a decision on the merits</w:t>
      </w:r>
      <w:r w:rsidR="0059014D">
        <w:rPr>
          <w:lang w:val="en-US"/>
        </w:rPr>
        <w:t xml:space="preserve">” (par. </w:t>
      </w:r>
      <w:r w:rsidR="002541E7">
        <w:rPr>
          <w:lang w:val="en-US"/>
        </w:rPr>
        <w:t>11).</w:t>
      </w:r>
    </w:p>
    <w:p w14:paraId="59E12FEC" w14:textId="5ECF9343" w:rsidR="00F9161A" w:rsidRPr="0059014D" w:rsidRDefault="002D4D8C" w:rsidP="0059014D">
      <w:pPr>
        <w:jc w:val="both"/>
        <w:rPr>
          <w:lang w:val="en-US"/>
        </w:rPr>
      </w:pPr>
      <w:r>
        <w:rPr>
          <w:lang w:val="en-US"/>
        </w:rPr>
        <w:t xml:space="preserve">Alongside the injunction, criminal and civil proceedings </w:t>
      </w:r>
      <w:r w:rsidR="00976984">
        <w:rPr>
          <w:lang w:val="en-US"/>
        </w:rPr>
        <w:t>were carried against</w:t>
      </w:r>
      <w:r w:rsidR="00551C99" w:rsidRPr="00551C99">
        <w:rPr>
          <w:lang w:val="en-US"/>
        </w:rPr>
        <w:t xml:space="preserve"> Mr. </w:t>
      </w:r>
      <w:proofErr w:type="spellStart"/>
      <w:r w:rsidR="00551C99" w:rsidRPr="00551C99">
        <w:rPr>
          <w:lang w:val="en-US"/>
        </w:rPr>
        <w:t>Gonod</w:t>
      </w:r>
      <w:proofErr w:type="spellEnd"/>
      <w:r w:rsidR="00551C99">
        <w:rPr>
          <w:lang w:val="en-US"/>
        </w:rPr>
        <w:t>,</w:t>
      </w:r>
      <w:r w:rsidR="00976984">
        <w:rPr>
          <w:lang w:val="en-US"/>
        </w:rPr>
        <w:t xml:space="preserve"> Dr. </w:t>
      </w:r>
      <w:proofErr w:type="spellStart"/>
      <w:r w:rsidR="00976984">
        <w:rPr>
          <w:lang w:val="en-US"/>
        </w:rPr>
        <w:t>Gubler</w:t>
      </w:r>
      <w:proofErr w:type="spellEnd"/>
      <w:r w:rsidR="00976984">
        <w:rPr>
          <w:lang w:val="en-US"/>
        </w:rPr>
        <w:t>,</w:t>
      </w:r>
      <w:r w:rsidR="00D84905">
        <w:rPr>
          <w:lang w:val="en-US"/>
        </w:rPr>
        <w:t xml:space="preserve"> </w:t>
      </w:r>
      <w:r w:rsidR="00551C99">
        <w:rPr>
          <w:lang w:val="en-US"/>
        </w:rPr>
        <w:t>Mr.</w:t>
      </w:r>
      <w:r w:rsidR="00A170FB">
        <w:rPr>
          <w:lang w:val="en-US"/>
        </w:rPr>
        <w:t xml:space="preserve"> Olivier</w:t>
      </w:r>
      <w:r w:rsidR="00551C99">
        <w:rPr>
          <w:lang w:val="en-US"/>
        </w:rPr>
        <w:t xml:space="preserve"> </w:t>
      </w:r>
      <w:proofErr w:type="spellStart"/>
      <w:r w:rsidR="002F7F1C">
        <w:rPr>
          <w:lang w:val="en-US"/>
        </w:rPr>
        <w:t>Orban</w:t>
      </w:r>
      <w:proofErr w:type="spellEnd"/>
      <w:r w:rsidR="002F7F1C" w:rsidRPr="00040B87">
        <w:rPr>
          <w:lang w:val="en-US"/>
        </w:rPr>
        <w:t>,</w:t>
      </w:r>
      <w:r w:rsidR="00040B87">
        <w:rPr>
          <w:lang w:val="en-US"/>
        </w:rPr>
        <w:t xml:space="preserve"> </w:t>
      </w:r>
      <w:r w:rsidR="00040B87" w:rsidRPr="00040B87">
        <w:rPr>
          <w:lang w:val="en-US"/>
        </w:rPr>
        <w:t xml:space="preserve">managing director of </w:t>
      </w:r>
      <w:r w:rsidR="006B029E">
        <w:rPr>
          <w:lang w:val="en-US"/>
        </w:rPr>
        <w:t>É</w:t>
      </w:r>
      <w:r w:rsidR="00040B87" w:rsidRPr="00040B87">
        <w:rPr>
          <w:lang w:val="en-US"/>
        </w:rPr>
        <w:t xml:space="preserve">ditions </w:t>
      </w:r>
      <w:proofErr w:type="spellStart"/>
      <w:r w:rsidR="00040B87" w:rsidRPr="00040B87">
        <w:rPr>
          <w:lang w:val="en-US"/>
        </w:rPr>
        <w:t>Plon</w:t>
      </w:r>
      <w:proofErr w:type="spellEnd"/>
      <w:r w:rsidR="005B1111">
        <w:rPr>
          <w:lang w:val="en-US"/>
        </w:rPr>
        <w:t xml:space="preserve">, and the publishing company. </w:t>
      </w:r>
    </w:p>
    <w:p w14:paraId="3D9E025F" w14:textId="6C9E3602" w:rsidR="00107A97" w:rsidRDefault="00F87D92" w:rsidP="00107A97">
      <w:pPr>
        <w:jc w:val="both"/>
        <w:rPr>
          <w:lang w:val="en-US"/>
        </w:rPr>
      </w:pPr>
      <w:r>
        <w:rPr>
          <w:lang w:val="en-US"/>
        </w:rPr>
        <w:t>On July 5, 1996</w:t>
      </w:r>
      <w:r w:rsidR="00593686">
        <w:rPr>
          <w:lang w:val="en-US"/>
        </w:rPr>
        <w:t xml:space="preserve">, a criminal court found Dr. </w:t>
      </w:r>
      <w:proofErr w:type="spellStart"/>
      <w:r w:rsidR="00593686">
        <w:rPr>
          <w:lang w:val="en-US"/>
        </w:rPr>
        <w:t>Gubler</w:t>
      </w:r>
      <w:proofErr w:type="spellEnd"/>
      <w:r w:rsidR="00593686">
        <w:rPr>
          <w:lang w:val="en-US"/>
        </w:rPr>
        <w:t xml:space="preserve"> guilty of breaching professional </w:t>
      </w:r>
      <w:r w:rsidR="005D4043">
        <w:rPr>
          <w:lang w:val="en-US"/>
        </w:rPr>
        <w:t>confidence, and “</w:t>
      </w:r>
      <w:proofErr w:type="spellStart"/>
      <w:r w:rsidR="005D4043" w:rsidRPr="005D4043">
        <w:rPr>
          <w:lang w:val="en-US"/>
        </w:rPr>
        <w:t>Mr</w:t>
      </w:r>
      <w:proofErr w:type="spellEnd"/>
      <w:r w:rsidR="005D4043" w:rsidRPr="005D4043">
        <w:rPr>
          <w:lang w:val="en-US"/>
        </w:rPr>
        <w:t xml:space="preserve"> </w:t>
      </w:r>
      <w:proofErr w:type="spellStart"/>
      <w:r w:rsidR="005D4043" w:rsidRPr="005D4043">
        <w:rPr>
          <w:lang w:val="en-US"/>
        </w:rPr>
        <w:t>Gonod</w:t>
      </w:r>
      <w:proofErr w:type="spellEnd"/>
      <w:r w:rsidR="005D4043" w:rsidRPr="005D4043">
        <w:rPr>
          <w:lang w:val="en-US"/>
        </w:rPr>
        <w:t xml:space="preserve"> and </w:t>
      </w:r>
      <w:proofErr w:type="spellStart"/>
      <w:r w:rsidR="005D4043" w:rsidRPr="005D4043">
        <w:rPr>
          <w:lang w:val="en-US"/>
        </w:rPr>
        <w:t>Mr</w:t>
      </w:r>
      <w:proofErr w:type="spellEnd"/>
      <w:r w:rsidR="005D4043" w:rsidRPr="005D4043">
        <w:rPr>
          <w:lang w:val="en-US"/>
        </w:rPr>
        <w:t xml:space="preserve"> </w:t>
      </w:r>
      <w:proofErr w:type="spellStart"/>
      <w:r w:rsidR="005D4043" w:rsidRPr="005D4043">
        <w:rPr>
          <w:lang w:val="en-US"/>
        </w:rPr>
        <w:t>Orban</w:t>
      </w:r>
      <w:proofErr w:type="spellEnd"/>
      <w:r w:rsidR="005D4043" w:rsidRPr="005D4043">
        <w:rPr>
          <w:lang w:val="en-US"/>
        </w:rPr>
        <w:t xml:space="preserve"> guilty of</w:t>
      </w:r>
      <w:r w:rsidR="005D4043">
        <w:rPr>
          <w:lang w:val="en-US"/>
        </w:rPr>
        <w:t xml:space="preserve"> </w:t>
      </w:r>
      <w:r w:rsidR="005D4043" w:rsidRPr="005D4043">
        <w:rPr>
          <w:lang w:val="en-US"/>
        </w:rPr>
        <w:t>aiding and abetting the same offence</w:t>
      </w:r>
      <w:r w:rsidR="005D4043">
        <w:rPr>
          <w:lang w:val="en-US"/>
        </w:rPr>
        <w:t>”</w:t>
      </w:r>
      <w:r w:rsidR="00EE0BCB">
        <w:rPr>
          <w:lang w:val="en-US"/>
        </w:rPr>
        <w:t xml:space="preserve"> (par. 12). Dr. </w:t>
      </w:r>
      <w:proofErr w:type="spellStart"/>
      <w:r w:rsidR="00EE0BCB">
        <w:rPr>
          <w:lang w:val="en-US"/>
        </w:rPr>
        <w:t>Gubler</w:t>
      </w:r>
      <w:proofErr w:type="spellEnd"/>
      <w:r w:rsidR="00EE0BCB">
        <w:rPr>
          <w:lang w:val="en-US"/>
        </w:rPr>
        <w:t xml:space="preserve"> was convicted </w:t>
      </w:r>
      <w:r w:rsidR="00D11D6F">
        <w:rPr>
          <w:lang w:val="en-US"/>
        </w:rPr>
        <w:t xml:space="preserve">to four months imprisonment, while Mr. </w:t>
      </w:r>
      <w:proofErr w:type="spellStart"/>
      <w:r w:rsidR="00D11D6F">
        <w:rPr>
          <w:lang w:val="en-US"/>
        </w:rPr>
        <w:t>Gonod</w:t>
      </w:r>
      <w:proofErr w:type="spellEnd"/>
      <w:r w:rsidR="00D11D6F">
        <w:rPr>
          <w:lang w:val="en-US"/>
        </w:rPr>
        <w:t xml:space="preserve"> and Mr. </w:t>
      </w:r>
      <w:proofErr w:type="spellStart"/>
      <w:r w:rsidR="00D11D6F">
        <w:rPr>
          <w:lang w:val="en-US"/>
        </w:rPr>
        <w:t>Orban</w:t>
      </w:r>
      <w:proofErr w:type="spellEnd"/>
      <w:r w:rsidR="00D11D6F">
        <w:rPr>
          <w:lang w:val="en-US"/>
        </w:rPr>
        <w:t xml:space="preserve"> were fined </w:t>
      </w:r>
      <w:r w:rsidR="002161D6">
        <w:rPr>
          <w:lang w:val="en-US"/>
        </w:rPr>
        <w:t>30,000 and 60,000 francs respectively</w:t>
      </w:r>
      <w:r w:rsidR="00266AD6">
        <w:rPr>
          <w:lang w:val="en-US"/>
        </w:rPr>
        <w:t xml:space="preserve">. The judgement </w:t>
      </w:r>
      <w:r w:rsidR="00107A97">
        <w:rPr>
          <w:lang w:val="en-US"/>
        </w:rPr>
        <w:t>considered that the “</w:t>
      </w:r>
      <w:r w:rsidR="00107A97" w:rsidRPr="00107A97">
        <w:rPr>
          <w:lang w:val="en-US"/>
        </w:rPr>
        <w:t>publication of an entire book based on a breach of medical confidentiality</w:t>
      </w:r>
      <w:r w:rsidR="00107A97">
        <w:rPr>
          <w:lang w:val="en-US"/>
        </w:rPr>
        <w:t xml:space="preserve"> </w:t>
      </w:r>
      <w:r w:rsidR="00107A97" w:rsidRPr="00107A97">
        <w:rPr>
          <w:lang w:val="en-US"/>
        </w:rPr>
        <w:t>amounted, on Mr</w:t>
      </w:r>
      <w:r w:rsidR="002F7F1C">
        <w:rPr>
          <w:lang w:val="en-US"/>
        </w:rPr>
        <w:t>.</w:t>
      </w:r>
      <w:r w:rsidR="00107A97" w:rsidRPr="00107A97">
        <w:rPr>
          <w:lang w:val="en-US"/>
        </w:rPr>
        <w:t xml:space="preserve"> Claude </w:t>
      </w:r>
      <w:proofErr w:type="spellStart"/>
      <w:r w:rsidR="00107A97" w:rsidRPr="00107A97">
        <w:rPr>
          <w:lang w:val="en-US"/>
        </w:rPr>
        <w:t>Gubler's</w:t>
      </w:r>
      <w:proofErr w:type="spellEnd"/>
      <w:r w:rsidR="00107A97" w:rsidRPr="00107A97">
        <w:rPr>
          <w:lang w:val="en-US"/>
        </w:rPr>
        <w:t xml:space="preserve"> part, to a serious breach of his</w:t>
      </w:r>
      <w:r w:rsidR="00373506">
        <w:rPr>
          <w:lang w:val="en-US"/>
        </w:rPr>
        <w:t xml:space="preserve"> </w:t>
      </w:r>
      <w:r w:rsidR="00107A97" w:rsidRPr="00107A97">
        <w:rPr>
          <w:lang w:val="en-US"/>
        </w:rPr>
        <w:t>professional duties, calling for a stern reminder of the law</w:t>
      </w:r>
      <w:r w:rsidR="00107A97">
        <w:rPr>
          <w:lang w:val="en-US"/>
        </w:rPr>
        <w:t>” (par. 12).</w:t>
      </w:r>
    </w:p>
    <w:p w14:paraId="18BC17A7" w14:textId="2737FA96" w:rsidR="003F4231" w:rsidRDefault="00691780" w:rsidP="003F4231">
      <w:pPr>
        <w:jc w:val="both"/>
        <w:rPr>
          <w:lang w:val="en-US"/>
        </w:rPr>
      </w:pPr>
      <w:r>
        <w:rPr>
          <w:lang w:val="en-US"/>
        </w:rPr>
        <w:t xml:space="preserve">In the context of the civil </w:t>
      </w:r>
      <w:r w:rsidR="006234EE">
        <w:rPr>
          <w:lang w:val="en-US"/>
        </w:rPr>
        <w:t>proceedings</w:t>
      </w:r>
      <w:r>
        <w:rPr>
          <w:lang w:val="en-US"/>
        </w:rPr>
        <w:t xml:space="preserve"> </w:t>
      </w:r>
      <w:r w:rsidR="00236D4F">
        <w:rPr>
          <w:lang w:val="en-US"/>
        </w:rPr>
        <w:t>on October 23, 1996</w:t>
      </w:r>
      <w:r w:rsidR="007022CB">
        <w:rPr>
          <w:lang w:val="en-US"/>
        </w:rPr>
        <w:t xml:space="preserve">, </w:t>
      </w:r>
      <w:r w:rsidR="007022CB" w:rsidRPr="007022CB">
        <w:rPr>
          <w:lang w:val="en-US"/>
        </w:rPr>
        <w:t xml:space="preserve">the Paris </w:t>
      </w:r>
      <w:r w:rsidR="00C260C0">
        <w:rPr>
          <w:lang w:val="en-US"/>
        </w:rPr>
        <w:t>T</w:t>
      </w:r>
      <w:r w:rsidR="007022CB" w:rsidRPr="007022CB">
        <w:rPr>
          <w:lang w:val="en-US"/>
        </w:rPr>
        <w:t xml:space="preserve">ribunal de </w:t>
      </w:r>
      <w:r w:rsidR="007022CB">
        <w:rPr>
          <w:lang w:val="en-US"/>
        </w:rPr>
        <w:t>G</w:t>
      </w:r>
      <w:r w:rsidR="007022CB" w:rsidRPr="007022CB">
        <w:rPr>
          <w:lang w:val="en-US"/>
        </w:rPr>
        <w:t xml:space="preserve">rande </w:t>
      </w:r>
      <w:r w:rsidR="007022CB">
        <w:rPr>
          <w:lang w:val="en-US"/>
        </w:rPr>
        <w:t>I</w:t>
      </w:r>
      <w:r w:rsidR="007022CB" w:rsidRPr="007022CB">
        <w:rPr>
          <w:lang w:val="en-US"/>
        </w:rPr>
        <w:t>nstance</w:t>
      </w:r>
      <w:r w:rsidR="00325A9F">
        <w:rPr>
          <w:lang w:val="en-US"/>
        </w:rPr>
        <w:t xml:space="preserve"> ordered Dr. </w:t>
      </w:r>
      <w:proofErr w:type="spellStart"/>
      <w:r w:rsidR="00325A9F">
        <w:rPr>
          <w:lang w:val="en-US"/>
        </w:rPr>
        <w:t>Gubler</w:t>
      </w:r>
      <w:proofErr w:type="spellEnd"/>
      <w:r w:rsidR="00325A9F">
        <w:rPr>
          <w:lang w:val="en-US"/>
        </w:rPr>
        <w:t xml:space="preserve">, Mr. </w:t>
      </w:r>
      <w:proofErr w:type="spellStart"/>
      <w:r w:rsidR="00325A9F">
        <w:rPr>
          <w:lang w:val="en-US"/>
        </w:rPr>
        <w:t>Orban</w:t>
      </w:r>
      <w:proofErr w:type="spellEnd"/>
      <w:r w:rsidR="00325A9F">
        <w:rPr>
          <w:lang w:val="en-US"/>
        </w:rPr>
        <w:t xml:space="preserve"> and </w:t>
      </w:r>
      <w:r w:rsidR="006B029E">
        <w:rPr>
          <w:lang w:val="en-US"/>
        </w:rPr>
        <w:t>É</w:t>
      </w:r>
      <w:r w:rsidR="00325A9F">
        <w:rPr>
          <w:lang w:val="en-US"/>
        </w:rPr>
        <w:t xml:space="preserve">ditions </w:t>
      </w:r>
      <w:proofErr w:type="spellStart"/>
      <w:r w:rsidR="00325A9F">
        <w:rPr>
          <w:lang w:val="en-US"/>
        </w:rPr>
        <w:t>Plon</w:t>
      </w:r>
      <w:proofErr w:type="spellEnd"/>
      <w:r w:rsidR="00325A9F">
        <w:rPr>
          <w:lang w:val="en-US"/>
        </w:rPr>
        <w:t xml:space="preserve"> </w:t>
      </w:r>
      <w:r w:rsidR="00B3375A">
        <w:rPr>
          <w:lang w:val="en-US"/>
        </w:rPr>
        <w:t>“to</w:t>
      </w:r>
      <w:r w:rsidR="009450EE" w:rsidRPr="009450EE">
        <w:rPr>
          <w:lang w:val="en-US"/>
        </w:rPr>
        <w:t xml:space="preserve"> pay damages of FRF 100,000 to </w:t>
      </w:r>
      <w:proofErr w:type="spellStart"/>
      <w:r w:rsidR="009450EE" w:rsidRPr="009450EE">
        <w:rPr>
          <w:lang w:val="en-US"/>
        </w:rPr>
        <w:t>Mrs</w:t>
      </w:r>
      <w:proofErr w:type="spellEnd"/>
      <w:r w:rsidR="009450EE">
        <w:rPr>
          <w:lang w:val="en-US"/>
        </w:rPr>
        <w:t xml:space="preserve"> [Danielle]</w:t>
      </w:r>
      <w:r w:rsidR="009450EE" w:rsidRPr="009450EE">
        <w:rPr>
          <w:lang w:val="en-US"/>
        </w:rPr>
        <w:t xml:space="preserve"> </w:t>
      </w:r>
      <w:r w:rsidR="009450EE" w:rsidRPr="009450EE">
        <w:rPr>
          <w:lang w:val="en-US"/>
        </w:rPr>
        <w:lastRenderedPageBreak/>
        <w:t>Mitterrand and</w:t>
      </w:r>
      <w:r w:rsidR="009450EE">
        <w:rPr>
          <w:lang w:val="en-US"/>
        </w:rPr>
        <w:t xml:space="preserve"> </w:t>
      </w:r>
      <w:r w:rsidR="009450EE" w:rsidRPr="009450EE">
        <w:rPr>
          <w:lang w:val="en-US"/>
        </w:rPr>
        <w:t>FRF 80,00</w:t>
      </w:r>
      <w:r w:rsidR="00FA3056">
        <w:rPr>
          <w:lang w:val="en-US"/>
        </w:rPr>
        <w:t>0” (par. 14) to her three children</w:t>
      </w:r>
      <w:r w:rsidR="0089582F">
        <w:rPr>
          <w:lang w:val="en-US"/>
        </w:rPr>
        <w:t>.</w:t>
      </w:r>
      <w:r w:rsidR="00C260C0">
        <w:rPr>
          <w:lang w:val="en-US"/>
        </w:rPr>
        <w:t xml:space="preserve"> The tribunal </w:t>
      </w:r>
      <w:r w:rsidR="00D44917">
        <w:rPr>
          <w:lang w:val="en-US"/>
        </w:rPr>
        <w:t>also maintained the publishing ban on the book and made</w:t>
      </w:r>
      <w:r w:rsidR="00E80936">
        <w:rPr>
          <w:lang w:val="en-US"/>
        </w:rPr>
        <w:t xml:space="preserve"> it</w:t>
      </w:r>
      <w:r w:rsidR="00D44917">
        <w:rPr>
          <w:lang w:val="en-US"/>
        </w:rPr>
        <w:t xml:space="preserve"> indefinite</w:t>
      </w:r>
      <w:r w:rsidR="001711DA">
        <w:rPr>
          <w:lang w:val="en-US"/>
        </w:rPr>
        <w:t xml:space="preserve">. </w:t>
      </w:r>
      <w:r w:rsidR="006234EE">
        <w:rPr>
          <w:lang w:val="en-US"/>
        </w:rPr>
        <w:t xml:space="preserve">The tribunal considered </w:t>
      </w:r>
      <w:r w:rsidR="00CA73B5">
        <w:rPr>
          <w:lang w:val="en-US"/>
        </w:rPr>
        <w:t xml:space="preserve">that Dr. </w:t>
      </w:r>
      <w:proofErr w:type="spellStart"/>
      <w:r w:rsidR="00CA73B5">
        <w:rPr>
          <w:lang w:val="en-US"/>
        </w:rPr>
        <w:t>Gubler</w:t>
      </w:r>
      <w:proofErr w:type="spellEnd"/>
      <w:r w:rsidR="00CA73B5">
        <w:rPr>
          <w:lang w:val="en-US"/>
        </w:rPr>
        <w:t xml:space="preserve"> </w:t>
      </w:r>
      <w:r w:rsidR="002F7F1C">
        <w:rPr>
          <w:lang w:val="en-US"/>
        </w:rPr>
        <w:t>breached medical confidentiality</w:t>
      </w:r>
      <w:r w:rsidR="00F821C5">
        <w:rPr>
          <w:lang w:val="en-US"/>
        </w:rPr>
        <w:t xml:space="preserve">, since the events </w:t>
      </w:r>
      <w:r w:rsidR="003F4231">
        <w:rPr>
          <w:lang w:val="en-US"/>
        </w:rPr>
        <w:t>described in</w:t>
      </w:r>
      <w:r w:rsidR="00F821C5">
        <w:rPr>
          <w:lang w:val="en-US"/>
        </w:rPr>
        <w:t xml:space="preserve"> “</w:t>
      </w:r>
      <w:r w:rsidR="003F4231" w:rsidRPr="003F4231">
        <w:rPr>
          <w:i/>
          <w:iCs/>
          <w:lang w:val="en-US"/>
        </w:rPr>
        <w:t>Le Grand Secret</w:t>
      </w:r>
      <w:r w:rsidR="003F4231" w:rsidRPr="003F4231">
        <w:rPr>
          <w:lang w:val="en-US"/>
        </w:rPr>
        <w:t xml:space="preserve"> became known to</w:t>
      </w:r>
      <w:r w:rsidR="003F4231">
        <w:rPr>
          <w:lang w:val="en-US"/>
        </w:rPr>
        <w:t xml:space="preserve"> </w:t>
      </w:r>
      <w:r w:rsidR="003F4231" w:rsidRPr="003F4231">
        <w:rPr>
          <w:lang w:val="en-US"/>
        </w:rPr>
        <w:t xml:space="preserve">Claude </w:t>
      </w:r>
      <w:proofErr w:type="spellStart"/>
      <w:r w:rsidR="003F4231" w:rsidRPr="003F4231">
        <w:rPr>
          <w:lang w:val="en-US"/>
        </w:rPr>
        <w:t>Gubler</w:t>
      </w:r>
      <w:proofErr w:type="spellEnd"/>
      <w:r w:rsidR="003F4231" w:rsidRPr="003F4231">
        <w:rPr>
          <w:lang w:val="en-US"/>
        </w:rPr>
        <w:t xml:space="preserve"> in the performance of his professional duties as physician to François</w:t>
      </w:r>
      <w:r w:rsidR="003F4231">
        <w:rPr>
          <w:lang w:val="en-US"/>
        </w:rPr>
        <w:t xml:space="preserve"> </w:t>
      </w:r>
      <w:r w:rsidR="003F4231" w:rsidRPr="003F4231">
        <w:rPr>
          <w:lang w:val="en-US"/>
        </w:rPr>
        <w:t>Mitterrand or members of his entourage</w:t>
      </w:r>
      <w:r w:rsidR="003F4231">
        <w:rPr>
          <w:lang w:val="en-US"/>
        </w:rPr>
        <w:t>” (par. 14)</w:t>
      </w:r>
      <w:r w:rsidR="007962C3">
        <w:rPr>
          <w:lang w:val="en-US"/>
        </w:rPr>
        <w:t>.</w:t>
      </w:r>
    </w:p>
    <w:p w14:paraId="5011722A" w14:textId="095C9807" w:rsidR="00B3375A" w:rsidRDefault="007962C3" w:rsidP="00B3375A">
      <w:pPr>
        <w:jc w:val="both"/>
        <w:rPr>
          <w:lang w:val="en-US"/>
        </w:rPr>
      </w:pPr>
      <w:r>
        <w:rPr>
          <w:lang w:val="en-US"/>
        </w:rPr>
        <w:t xml:space="preserve">The Paris Court of Appeal upheld the decision of the lower court on May </w:t>
      </w:r>
      <w:r w:rsidR="003F4CA7">
        <w:rPr>
          <w:lang w:val="en-US"/>
        </w:rPr>
        <w:t>27, 1997</w:t>
      </w:r>
      <w:r w:rsidR="00A3020C">
        <w:rPr>
          <w:lang w:val="en-US"/>
        </w:rPr>
        <w:t xml:space="preserve">, maintaining the ban on the book. </w:t>
      </w:r>
      <w:r w:rsidR="00551257">
        <w:rPr>
          <w:lang w:val="en-US"/>
        </w:rPr>
        <w:t xml:space="preserve">On December 14, 1999, the Court of Cassation dismissed an appeal lodged by Mr. </w:t>
      </w:r>
      <w:proofErr w:type="spellStart"/>
      <w:r w:rsidR="00551257">
        <w:rPr>
          <w:lang w:val="en-US"/>
        </w:rPr>
        <w:t>Orban</w:t>
      </w:r>
      <w:proofErr w:type="spellEnd"/>
      <w:r w:rsidR="00551257">
        <w:rPr>
          <w:lang w:val="en-US"/>
        </w:rPr>
        <w:t xml:space="preserve"> and </w:t>
      </w:r>
      <w:r w:rsidR="006B029E">
        <w:rPr>
          <w:lang w:val="en-US"/>
        </w:rPr>
        <w:t>É</w:t>
      </w:r>
      <w:r w:rsidR="00551257">
        <w:rPr>
          <w:lang w:val="en-US"/>
        </w:rPr>
        <w:t xml:space="preserve">ditions </w:t>
      </w:r>
      <w:proofErr w:type="spellStart"/>
      <w:r w:rsidR="00551257">
        <w:rPr>
          <w:lang w:val="en-US"/>
        </w:rPr>
        <w:t>Plon</w:t>
      </w:r>
      <w:proofErr w:type="spellEnd"/>
      <w:r w:rsidR="002413A9">
        <w:rPr>
          <w:lang w:val="en-US"/>
        </w:rPr>
        <w:t xml:space="preserve"> arguing that </w:t>
      </w:r>
      <w:r w:rsidR="00AF24FD">
        <w:rPr>
          <w:lang w:val="en-US"/>
        </w:rPr>
        <w:t>“</w:t>
      </w:r>
      <w:r w:rsidR="00AF24FD" w:rsidRPr="00AF24FD">
        <w:rPr>
          <w:lang w:val="en-US"/>
        </w:rPr>
        <w:t>the exercise of freedom of expression could be subject to certain restrictions, in particular for the protection of the rights of others</w:t>
      </w:r>
      <w:r w:rsidR="00AF24FD">
        <w:rPr>
          <w:lang w:val="en-US"/>
        </w:rPr>
        <w:t>”</w:t>
      </w:r>
      <w:r w:rsidR="00B3375A">
        <w:rPr>
          <w:lang w:val="en-US"/>
        </w:rPr>
        <w:t xml:space="preserve"> (par. 16). The Court of Cassation thus considered “</w:t>
      </w:r>
      <w:r w:rsidR="00B3375A" w:rsidRPr="00B3375A">
        <w:rPr>
          <w:lang w:val="en-US"/>
        </w:rPr>
        <w:t>that discontinuing the distribution of the book was the only</w:t>
      </w:r>
      <w:r w:rsidR="00B3375A">
        <w:rPr>
          <w:lang w:val="en-US"/>
        </w:rPr>
        <w:t xml:space="preserve"> </w:t>
      </w:r>
      <w:r w:rsidR="00B3375A" w:rsidRPr="00B3375A">
        <w:rPr>
          <w:lang w:val="en-US"/>
        </w:rPr>
        <w:t>means of putting an end to the criminal offence and the damage sustained</w:t>
      </w:r>
      <w:r w:rsidR="00B3375A">
        <w:rPr>
          <w:lang w:val="en-US"/>
        </w:rPr>
        <w:t xml:space="preserve">” (par. 16). </w:t>
      </w:r>
    </w:p>
    <w:p w14:paraId="22D52FF5" w14:textId="50F3B1BE" w:rsidR="00713561" w:rsidRDefault="006B029E" w:rsidP="00713561">
      <w:pPr>
        <w:jc w:val="both"/>
        <w:rPr>
          <w:lang w:val="en-US"/>
        </w:rPr>
      </w:pPr>
      <w:r>
        <w:rPr>
          <w:lang w:val="en-US"/>
        </w:rPr>
        <w:t>É</w:t>
      </w:r>
      <w:r w:rsidR="00243B21">
        <w:rPr>
          <w:lang w:val="en-US"/>
        </w:rPr>
        <w:t xml:space="preserve">ditions </w:t>
      </w:r>
      <w:proofErr w:type="spellStart"/>
      <w:r w:rsidR="00243B21">
        <w:rPr>
          <w:lang w:val="en-US"/>
        </w:rPr>
        <w:t>Plon</w:t>
      </w:r>
      <w:proofErr w:type="spellEnd"/>
      <w:r w:rsidR="0012194D">
        <w:rPr>
          <w:lang w:val="en-US"/>
        </w:rPr>
        <w:t xml:space="preserve"> </w:t>
      </w:r>
      <w:r w:rsidR="00AF5CC2">
        <w:rPr>
          <w:lang w:val="en-US"/>
        </w:rPr>
        <w:t>lodge</w:t>
      </w:r>
      <w:r w:rsidR="0027259C">
        <w:rPr>
          <w:lang w:val="en-US"/>
        </w:rPr>
        <w:t>d</w:t>
      </w:r>
      <w:r w:rsidR="00AF5CC2">
        <w:rPr>
          <w:lang w:val="en-US"/>
        </w:rPr>
        <w:t xml:space="preserve"> an application against the </w:t>
      </w:r>
      <w:r w:rsidR="00160AE4">
        <w:rPr>
          <w:lang w:val="en-US"/>
        </w:rPr>
        <w:t>French Republic before the European Court of Human Rights (ECtHR)</w:t>
      </w:r>
      <w:r w:rsidR="0027259C">
        <w:rPr>
          <w:lang w:val="en-US"/>
        </w:rPr>
        <w:t xml:space="preserve"> on June 9, 2000</w:t>
      </w:r>
      <w:r w:rsidR="00D335CF">
        <w:rPr>
          <w:lang w:val="en-US"/>
        </w:rPr>
        <w:t>,</w:t>
      </w:r>
      <w:r w:rsidR="00713561">
        <w:rPr>
          <w:lang w:val="en-US"/>
        </w:rPr>
        <w:t xml:space="preserve"> alleging </w:t>
      </w:r>
      <w:r w:rsidR="00713561" w:rsidRPr="00713561">
        <w:rPr>
          <w:lang w:val="en-US"/>
        </w:rPr>
        <w:t>a violation of its right to freedom of</w:t>
      </w:r>
      <w:r w:rsidR="00713561">
        <w:rPr>
          <w:lang w:val="en-US"/>
        </w:rPr>
        <w:t xml:space="preserve"> </w:t>
      </w:r>
      <w:r w:rsidR="00713561" w:rsidRPr="00713561">
        <w:rPr>
          <w:lang w:val="en-US"/>
        </w:rPr>
        <w:t>expression</w:t>
      </w:r>
      <w:r w:rsidR="00713561">
        <w:rPr>
          <w:lang w:val="en-US"/>
        </w:rPr>
        <w:t xml:space="preserve"> under article 10 of the European C</w:t>
      </w:r>
      <w:r w:rsidR="007D724D">
        <w:rPr>
          <w:lang w:val="en-US"/>
        </w:rPr>
        <w:t xml:space="preserve">onvention </w:t>
      </w:r>
      <w:r w:rsidR="00713561">
        <w:rPr>
          <w:lang w:val="en-US"/>
        </w:rPr>
        <w:t xml:space="preserve">of Human Rights (ECHR). </w:t>
      </w:r>
    </w:p>
    <w:p w14:paraId="51278DA0" w14:textId="2EE19371" w:rsidR="00607806" w:rsidRDefault="00607806" w:rsidP="00713561">
      <w:pPr>
        <w:jc w:val="both"/>
        <w:rPr>
          <w:b/>
          <w:bCs/>
          <w:lang w:val="en-US"/>
        </w:rPr>
      </w:pPr>
      <w:r w:rsidRPr="00607806">
        <w:rPr>
          <w:b/>
          <w:bCs/>
          <w:lang w:val="en-US"/>
        </w:rPr>
        <w:t>Decision Overview</w:t>
      </w:r>
    </w:p>
    <w:p w14:paraId="41FF678E" w14:textId="160DF2FA" w:rsidR="00D63819" w:rsidRDefault="001D0F52" w:rsidP="00713561">
      <w:pPr>
        <w:jc w:val="both"/>
        <w:rPr>
          <w:lang w:val="en-US"/>
        </w:rPr>
      </w:pPr>
      <w:r w:rsidRPr="00380F19">
        <w:rPr>
          <w:lang w:val="en-US"/>
        </w:rPr>
        <w:t>The European Court of Human Rights</w:t>
      </w:r>
      <w:r w:rsidR="00BA5FD3">
        <w:rPr>
          <w:lang w:val="en-US"/>
        </w:rPr>
        <w:t xml:space="preserve"> analyzed if the Republic of France violated </w:t>
      </w:r>
      <w:r w:rsidR="00BB14DF">
        <w:rPr>
          <w:lang w:val="en-US"/>
        </w:rPr>
        <w:t xml:space="preserve">the freedom of expression of </w:t>
      </w:r>
      <w:r w:rsidR="006B029E">
        <w:rPr>
          <w:lang w:val="en-US"/>
        </w:rPr>
        <w:t>É</w:t>
      </w:r>
      <w:r w:rsidR="00BB14DF">
        <w:rPr>
          <w:lang w:val="en-US"/>
        </w:rPr>
        <w:t xml:space="preserve">ditions </w:t>
      </w:r>
      <w:proofErr w:type="spellStart"/>
      <w:r w:rsidR="00BB14DF">
        <w:rPr>
          <w:lang w:val="en-US"/>
        </w:rPr>
        <w:t>Plon</w:t>
      </w:r>
      <w:proofErr w:type="spellEnd"/>
      <w:r w:rsidR="00D37734">
        <w:rPr>
          <w:lang w:val="en-US"/>
        </w:rPr>
        <w:t xml:space="preserve"> (the applicant)</w:t>
      </w:r>
      <w:r w:rsidR="00AA150C">
        <w:rPr>
          <w:lang w:val="en-US"/>
        </w:rPr>
        <w:t xml:space="preserve"> by </w:t>
      </w:r>
      <w:r w:rsidR="00383A12">
        <w:rPr>
          <w:lang w:val="en-US"/>
        </w:rPr>
        <w:t>banning,</w:t>
      </w:r>
      <w:r w:rsidR="00383A12" w:rsidRPr="00383A12">
        <w:rPr>
          <w:lang w:val="en-US"/>
        </w:rPr>
        <w:t> initially on a temporary basis and later permanently</w:t>
      </w:r>
      <w:r w:rsidR="00383A12">
        <w:rPr>
          <w:lang w:val="en-US"/>
        </w:rPr>
        <w:t xml:space="preserve">, the book </w:t>
      </w:r>
      <w:r w:rsidR="00383A12" w:rsidRPr="00383A12">
        <w:rPr>
          <w:i/>
          <w:iCs/>
          <w:lang w:val="en-US"/>
        </w:rPr>
        <w:t>Le Grand Secret</w:t>
      </w:r>
      <w:r w:rsidR="00BB14DF">
        <w:rPr>
          <w:lang w:val="en-US"/>
        </w:rPr>
        <w:t xml:space="preserve">. The main issue before the </w:t>
      </w:r>
      <w:r w:rsidR="0064241A">
        <w:rPr>
          <w:lang w:val="en-US"/>
        </w:rPr>
        <w:t>Court was whether the interference</w:t>
      </w:r>
      <w:r w:rsidR="00BA1D07">
        <w:rPr>
          <w:lang w:val="en-US"/>
        </w:rPr>
        <w:t xml:space="preserve"> to the freedom of expression of the applicant</w:t>
      </w:r>
      <w:r w:rsidR="00B82AC1">
        <w:rPr>
          <w:lang w:val="en-US"/>
        </w:rPr>
        <w:t xml:space="preserve"> </w:t>
      </w:r>
      <w:r w:rsidR="0099584E">
        <w:rPr>
          <w:lang w:val="en-US"/>
        </w:rPr>
        <w:t>was</w:t>
      </w:r>
      <w:r w:rsidR="007E33D7">
        <w:rPr>
          <w:lang w:val="en-US"/>
        </w:rPr>
        <w:t xml:space="preserve"> justified</w:t>
      </w:r>
      <w:r w:rsidR="001D7334">
        <w:rPr>
          <w:lang w:val="en-US"/>
        </w:rPr>
        <w:t xml:space="preserve"> under International Law</w:t>
      </w:r>
      <w:r w:rsidR="00D63819">
        <w:rPr>
          <w:lang w:val="en-US"/>
        </w:rPr>
        <w:t>.</w:t>
      </w:r>
    </w:p>
    <w:p w14:paraId="65D59530" w14:textId="379269C4" w:rsidR="00607806" w:rsidRDefault="0012194D" w:rsidP="00713561">
      <w:pPr>
        <w:jc w:val="both"/>
        <w:rPr>
          <w:lang w:val="en-US"/>
        </w:rPr>
      </w:pPr>
      <w:r>
        <w:rPr>
          <w:lang w:val="en-US"/>
        </w:rPr>
        <w:t>According to the applicant company</w:t>
      </w:r>
      <w:r w:rsidR="00B50C1C">
        <w:rPr>
          <w:lang w:val="en-US"/>
        </w:rPr>
        <w:t xml:space="preserve">, </w:t>
      </w:r>
      <w:r w:rsidR="00D30185">
        <w:rPr>
          <w:lang w:val="en-US"/>
        </w:rPr>
        <w:t>the interim injunction and general ban levied against the book had not been prescribed by law, didn’t pursue a legitime aim and w</w:t>
      </w:r>
      <w:r w:rsidR="0099584E">
        <w:rPr>
          <w:lang w:val="en-US"/>
        </w:rPr>
        <w:t>ere</w:t>
      </w:r>
      <w:r w:rsidR="00D30185">
        <w:rPr>
          <w:lang w:val="en-US"/>
        </w:rPr>
        <w:t xml:space="preserve"> not necessary in a democratic society</w:t>
      </w:r>
      <w:r w:rsidR="00D16005">
        <w:rPr>
          <w:lang w:val="en-US"/>
        </w:rPr>
        <w:t xml:space="preserve">. For </w:t>
      </w:r>
      <w:r w:rsidR="006B029E">
        <w:rPr>
          <w:lang w:val="en-US"/>
        </w:rPr>
        <w:t>É</w:t>
      </w:r>
      <w:r w:rsidR="00D16005">
        <w:rPr>
          <w:lang w:val="en-US"/>
        </w:rPr>
        <w:t xml:space="preserve">ditions </w:t>
      </w:r>
      <w:proofErr w:type="spellStart"/>
      <w:r w:rsidR="00D16005">
        <w:rPr>
          <w:lang w:val="en-US"/>
        </w:rPr>
        <w:t>Plon</w:t>
      </w:r>
      <w:proofErr w:type="spellEnd"/>
      <w:r w:rsidR="00D16005">
        <w:rPr>
          <w:lang w:val="en-US"/>
        </w:rPr>
        <w:t xml:space="preserve">, the amount of the damages it was ordered to pay was </w:t>
      </w:r>
      <w:r w:rsidR="00AC3D7F">
        <w:rPr>
          <w:lang w:val="en-US"/>
        </w:rPr>
        <w:t xml:space="preserve">exorbitant and “had not been proportionate to the aim pursued” (par. 21). </w:t>
      </w:r>
    </w:p>
    <w:p w14:paraId="1B2700F0" w14:textId="20A7950B" w:rsidR="005205D2" w:rsidRDefault="007C1289" w:rsidP="005205D2">
      <w:pPr>
        <w:jc w:val="both"/>
        <w:rPr>
          <w:lang w:val="en-US"/>
        </w:rPr>
      </w:pPr>
      <w:r>
        <w:rPr>
          <w:lang w:val="en-US"/>
        </w:rPr>
        <w:t xml:space="preserve">The applicant argued that </w:t>
      </w:r>
      <w:r w:rsidR="00D47354">
        <w:rPr>
          <w:lang w:val="en-US"/>
        </w:rPr>
        <w:t>“</w:t>
      </w:r>
      <w:r w:rsidR="00D47354" w:rsidRPr="00D47354">
        <w:rPr>
          <w:lang w:val="en-US"/>
        </w:rPr>
        <w:t xml:space="preserve">President Mitterrand had officially released Dr </w:t>
      </w:r>
      <w:proofErr w:type="spellStart"/>
      <w:r w:rsidR="00D47354" w:rsidRPr="00D47354">
        <w:rPr>
          <w:lang w:val="en-US"/>
        </w:rPr>
        <w:t>Gubler</w:t>
      </w:r>
      <w:proofErr w:type="spellEnd"/>
      <w:r w:rsidR="00D47354" w:rsidRPr="00D47354">
        <w:rPr>
          <w:lang w:val="en-US"/>
        </w:rPr>
        <w:t xml:space="preserve"> from his obligation </w:t>
      </w:r>
      <w:r w:rsidR="00D47354">
        <w:rPr>
          <w:lang w:val="en-US"/>
        </w:rPr>
        <w:t xml:space="preserve">[of confidentiality] </w:t>
      </w:r>
      <w:r w:rsidR="00D47354" w:rsidRPr="00D47354">
        <w:rPr>
          <w:lang w:val="en-US"/>
        </w:rPr>
        <w:t>by asking him to publish health bulletins on him for years, had expressed the wish, more generally, to make public all matters pertaining to his health</w:t>
      </w:r>
      <w:r w:rsidR="00F34337">
        <w:rPr>
          <w:lang w:val="en-US"/>
        </w:rPr>
        <w:t xml:space="preserve">” (par. 24). </w:t>
      </w:r>
      <w:r w:rsidR="006B029E">
        <w:rPr>
          <w:lang w:val="en-US"/>
        </w:rPr>
        <w:t>É</w:t>
      </w:r>
      <w:r w:rsidR="005205D2">
        <w:rPr>
          <w:lang w:val="en-US"/>
        </w:rPr>
        <w:t xml:space="preserve">ditions </w:t>
      </w:r>
      <w:proofErr w:type="spellStart"/>
      <w:r w:rsidR="005205D2">
        <w:rPr>
          <w:lang w:val="en-US"/>
        </w:rPr>
        <w:t>Plon</w:t>
      </w:r>
      <w:proofErr w:type="spellEnd"/>
      <w:r w:rsidR="005205D2">
        <w:rPr>
          <w:lang w:val="en-US"/>
        </w:rPr>
        <w:t xml:space="preserve"> also considered “</w:t>
      </w:r>
      <w:r w:rsidR="005205D2" w:rsidRPr="005205D2">
        <w:rPr>
          <w:lang w:val="en-US"/>
        </w:rPr>
        <w:t>that</w:t>
      </w:r>
      <w:r w:rsidR="005205D2">
        <w:rPr>
          <w:lang w:val="en-US"/>
        </w:rPr>
        <w:t xml:space="preserve"> </w:t>
      </w:r>
      <w:r w:rsidR="005205D2" w:rsidRPr="005205D2">
        <w:rPr>
          <w:lang w:val="en-US"/>
        </w:rPr>
        <w:t>medical practitioners who had come under attack were entitled to defend</w:t>
      </w:r>
      <w:r w:rsidR="005205D2">
        <w:rPr>
          <w:lang w:val="en-US"/>
        </w:rPr>
        <w:t xml:space="preserve"> </w:t>
      </w:r>
      <w:r w:rsidR="005205D2" w:rsidRPr="005205D2">
        <w:rPr>
          <w:lang w:val="en-US"/>
        </w:rPr>
        <w:t>themselves, notwithstanding the duty of medical confidentiality by which</w:t>
      </w:r>
      <w:r w:rsidR="005205D2">
        <w:rPr>
          <w:lang w:val="en-US"/>
        </w:rPr>
        <w:t xml:space="preserve"> </w:t>
      </w:r>
      <w:r w:rsidR="005205D2" w:rsidRPr="005205D2">
        <w:rPr>
          <w:lang w:val="en-US"/>
        </w:rPr>
        <w:t>they were bound</w:t>
      </w:r>
      <w:r w:rsidR="005205D2">
        <w:rPr>
          <w:lang w:val="en-US"/>
        </w:rPr>
        <w:t>” (par. 24).</w:t>
      </w:r>
    </w:p>
    <w:p w14:paraId="04AE3FC1" w14:textId="50DB90C0" w:rsidR="004700B0" w:rsidRDefault="00260F62" w:rsidP="006B1C9A">
      <w:pPr>
        <w:jc w:val="both"/>
        <w:rPr>
          <w:lang w:val="en-US"/>
        </w:rPr>
      </w:pPr>
      <w:r>
        <w:rPr>
          <w:lang w:val="en-US"/>
        </w:rPr>
        <w:t>The applicant also considered that the interference o</w:t>
      </w:r>
      <w:r w:rsidR="00CD1EE9">
        <w:rPr>
          <w:lang w:val="en-US"/>
        </w:rPr>
        <w:t>n</w:t>
      </w:r>
      <w:r>
        <w:rPr>
          <w:lang w:val="en-US"/>
        </w:rPr>
        <w:t xml:space="preserve"> their right </w:t>
      </w:r>
      <w:r w:rsidR="00665A87">
        <w:rPr>
          <w:lang w:val="en-US"/>
        </w:rPr>
        <w:t xml:space="preserve">to freedom of expression didn’t pursue a legitimate aim, since medical confidentiality </w:t>
      </w:r>
      <w:r w:rsidR="00463DB9">
        <w:rPr>
          <w:lang w:val="en-US"/>
        </w:rPr>
        <w:t>“</w:t>
      </w:r>
      <w:r w:rsidR="006B1C9A" w:rsidRPr="006B1C9A">
        <w:rPr>
          <w:lang w:val="en-US"/>
        </w:rPr>
        <w:t xml:space="preserve">could not justify a ruling in </w:t>
      </w:r>
      <w:proofErr w:type="spellStart"/>
      <w:r w:rsidR="006B1C9A" w:rsidRPr="006B1C9A">
        <w:rPr>
          <w:lang w:val="en-US"/>
        </w:rPr>
        <w:t>favour</w:t>
      </w:r>
      <w:proofErr w:type="spellEnd"/>
      <w:r w:rsidR="006B1C9A" w:rsidRPr="006B1C9A">
        <w:rPr>
          <w:lang w:val="en-US"/>
        </w:rPr>
        <w:t xml:space="preserve"> of a</w:t>
      </w:r>
      <w:r w:rsidR="006B1C9A">
        <w:rPr>
          <w:lang w:val="en-US"/>
        </w:rPr>
        <w:t xml:space="preserve"> </w:t>
      </w:r>
      <w:r w:rsidR="006B1C9A" w:rsidRPr="006B1C9A">
        <w:rPr>
          <w:lang w:val="en-US"/>
        </w:rPr>
        <w:t>person's heirs, and secondly, the protection of François Mitterrand's private</w:t>
      </w:r>
      <w:r w:rsidR="006B1C9A">
        <w:rPr>
          <w:lang w:val="en-US"/>
        </w:rPr>
        <w:t xml:space="preserve"> </w:t>
      </w:r>
      <w:r w:rsidR="006B1C9A" w:rsidRPr="006B1C9A">
        <w:rPr>
          <w:lang w:val="en-US"/>
        </w:rPr>
        <w:t>interests could not be relied on since the right to institute civil proceedings</w:t>
      </w:r>
      <w:r w:rsidR="006B1C9A">
        <w:rPr>
          <w:lang w:val="en-US"/>
        </w:rPr>
        <w:t xml:space="preserve"> </w:t>
      </w:r>
      <w:r w:rsidR="006B1C9A" w:rsidRPr="006B1C9A">
        <w:rPr>
          <w:lang w:val="en-US"/>
        </w:rPr>
        <w:t>had lapsed on his death</w:t>
      </w:r>
      <w:r w:rsidR="00463DB9">
        <w:rPr>
          <w:lang w:val="en-US"/>
        </w:rPr>
        <w:t>” (par. 32)</w:t>
      </w:r>
      <w:r w:rsidR="004700B0">
        <w:rPr>
          <w:lang w:val="en-US"/>
        </w:rPr>
        <w:t>.</w:t>
      </w:r>
    </w:p>
    <w:p w14:paraId="7676F2A9" w14:textId="3760D5E8" w:rsidR="004700B0" w:rsidRDefault="006B029E" w:rsidP="000D5EB2">
      <w:pPr>
        <w:jc w:val="both"/>
        <w:rPr>
          <w:lang w:val="en-US"/>
        </w:rPr>
      </w:pPr>
      <w:r>
        <w:rPr>
          <w:lang w:val="en-US"/>
        </w:rPr>
        <w:t>É</w:t>
      </w:r>
      <w:r w:rsidR="004700B0">
        <w:rPr>
          <w:lang w:val="en-US"/>
        </w:rPr>
        <w:t xml:space="preserve">ditions </w:t>
      </w:r>
      <w:proofErr w:type="spellStart"/>
      <w:r w:rsidR="004700B0">
        <w:rPr>
          <w:lang w:val="en-US"/>
        </w:rPr>
        <w:t>Plon</w:t>
      </w:r>
      <w:proofErr w:type="spellEnd"/>
      <w:r w:rsidR="004700B0">
        <w:rPr>
          <w:lang w:val="en-US"/>
        </w:rPr>
        <w:t xml:space="preserve"> also considered </w:t>
      </w:r>
      <w:r w:rsidR="001163FA">
        <w:rPr>
          <w:lang w:val="en-US"/>
        </w:rPr>
        <w:t>that in a democratic society the measures against the freedom of expression of the company were not necessary. For the appli</w:t>
      </w:r>
      <w:r w:rsidR="000F4E22">
        <w:rPr>
          <w:lang w:val="en-US"/>
        </w:rPr>
        <w:t xml:space="preserve">cant the book </w:t>
      </w:r>
      <w:r w:rsidR="000D5EB2">
        <w:rPr>
          <w:lang w:val="en-US"/>
        </w:rPr>
        <w:t>“</w:t>
      </w:r>
      <w:r w:rsidR="000D5EB2" w:rsidRPr="000D5EB2">
        <w:rPr>
          <w:lang w:val="en-US"/>
        </w:rPr>
        <w:t>had raised issues of general</w:t>
      </w:r>
      <w:r w:rsidR="000D5EB2">
        <w:rPr>
          <w:lang w:val="en-US"/>
        </w:rPr>
        <w:t xml:space="preserve"> </w:t>
      </w:r>
      <w:r w:rsidR="000D5EB2" w:rsidRPr="000D5EB2">
        <w:rPr>
          <w:lang w:val="en-US"/>
        </w:rPr>
        <w:t>interest; it had contributed both to the right of citizens – towards whom</w:t>
      </w:r>
      <w:r w:rsidR="000D5EB2">
        <w:rPr>
          <w:lang w:val="en-US"/>
        </w:rPr>
        <w:t xml:space="preserve"> </w:t>
      </w:r>
      <w:r w:rsidR="000D5EB2" w:rsidRPr="000D5EB2">
        <w:rPr>
          <w:lang w:val="en-US"/>
        </w:rPr>
        <w:t xml:space="preserve">President Mitterrand had voluntarily assumed a duty of </w:t>
      </w:r>
      <w:r w:rsidR="003D5AE6">
        <w:rPr>
          <w:lang w:val="en-US"/>
        </w:rPr>
        <w:t>‘</w:t>
      </w:r>
      <w:r w:rsidR="000D5EB2" w:rsidRPr="000D5EB2">
        <w:rPr>
          <w:lang w:val="en-US"/>
        </w:rPr>
        <w:t>medical</w:t>
      </w:r>
      <w:r w:rsidR="000D5EB2">
        <w:rPr>
          <w:lang w:val="en-US"/>
        </w:rPr>
        <w:t xml:space="preserve"> </w:t>
      </w:r>
      <w:r w:rsidR="000D5EB2" w:rsidRPr="000D5EB2">
        <w:rPr>
          <w:lang w:val="en-US"/>
        </w:rPr>
        <w:t>transparency</w:t>
      </w:r>
      <w:r w:rsidR="003D5AE6">
        <w:rPr>
          <w:lang w:val="en-US"/>
        </w:rPr>
        <w:t>’</w:t>
      </w:r>
      <w:r w:rsidR="000D5EB2" w:rsidRPr="000D5EB2">
        <w:rPr>
          <w:lang w:val="en-US"/>
        </w:rPr>
        <w:t xml:space="preserve"> – to receive information</w:t>
      </w:r>
      <w:r w:rsidR="000D5EB2">
        <w:rPr>
          <w:lang w:val="en-US"/>
        </w:rPr>
        <w:t xml:space="preserve">” (par. 40). </w:t>
      </w:r>
      <w:r w:rsidR="003F6E86">
        <w:rPr>
          <w:lang w:val="en-US"/>
        </w:rPr>
        <w:t xml:space="preserve">Furthermore, the applicant argued </w:t>
      </w:r>
      <w:r w:rsidR="005948C1">
        <w:rPr>
          <w:lang w:val="en-US"/>
        </w:rPr>
        <w:t xml:space="preserve">that in any case the book was </w:t>
      </w:r>
      <w:r w:rsidR="00584C3F">
        <w:rPr>
          <w:lang w:val="en-US"/>
        </w:rPr>
        <w:t>widely</w:t>
      </w:r>
      <w:r w:rsidR="005948C1">
        <w:rPr>
          <w:lang w:val="en-US"/>
        </w:rPr>
        <w:t xml:space="preserve"> disseminated and could be accessed through the internet</w:t>
      </w:r>
      <w:r w:rsidR="00584C3F">
        <w:rPr>
          <w:lang w:val="en-US"/>
        </w:rPr>
        <w:t xml:space="preserve">. For </w:t>
      </w:r>
      <w:r>
        <w:rPr>
          <w:lang w:val="en-US"/>
        </w:rPr>
        <w:t>É</w:t>
      </w:r>
      <w:r w:rsidR="00584C3F">
        <w:rPr>
          <w:lang w:val="en-US"/>
        </w:rPr>
        <w:t xml:space="preserve">ditions </w:t>
      </w:r>
      <w:proofErr w:type="spellStart"/>
      <w:r w:rsidR="00584C3F">
        <w:rPr>
          <w:lang w:val="en-US"/>
        </w:rPr>
        <w:t>Plon</w:t>
      </w:r>
      <w:proofErr w:type="spellEnd"/>
      <w:r w:rsidR="00447760">
        <w:rPr>
          <w:lang w:val="en-US"/>
        </w:rPr>
        <w:t xml:space="preserve">, both the blanket ban on the distribution of the book and the </w:t>
      </w:r>
      <w:proofErr w:type="gramStart"/>
      <w:r w:rsidR="00447760">
        <w:rPr>
          <w:lang w:val="en-US"/>
        </w:rPr>
        <w:t>amount</w:t>
      </w:r>
      <w:proofErr w:type="gramEnd"/>
      <w:r w:rsidR="00447760">
        <w:rPr>
          <w:lang w:val="en-US"/>
        </w:rPr>
        <w:t xml:space="preserve"> o</w:t>
      </w:r>
      <w:r w:rsidR="00791D38">
        <w:rPr>
          <w:lang w:val="en-US"/>
        </w:rPr>
        <w:t xml:space="preserve">f </w:t>
      </w:r>
      <w:r w:rsidR="00447760">
        <w:rPr>
          <w:lang w:val="en-US"/>
        </w:rPr>
        <w:t>damages</w:t>
      </w:r>
      <w:r w:rsidR="00982D9C">
        <w:rPr>
          <w:lang w:val="en-US"/>
        </w:rPr>
        <w:t xml:space="preserve"> </w:t>
      </w:r>
      <w:r w:rsidR="00791D38">
        <w:rPr>
          <w:lang w:val="en-US"/>
        </w:rPr>
        <w:t xml:space="preserve">paid to Mitterrand’s heirs </w:t>
      </w:r>
      <w:r w:rsidR="00982D9C">
        <w:rPr>
          <w:lang w:val="en-US"/>
        </w:rPr>
        <w:t xml:space="preserve">were disproportionate measures. </w:t>
      </w:r>
    </w:p>
    <w:p w14:paraId="6EFDD058" w14:textId="6374A4EC" w:rsidR="00C11182" w:rsidRDefault="00982D9C" w:rsidP="00C11182">
      <w:pPr>
        <w:jc w:val="both"/>
        <w:rPr>
          <w:lang w:val="en-US"/>
        </w:rPr>
      </w:pPr>
      <w:r>
        <w:rPr>
          <w:lang w:val="en-US"/>
        </w:rPr>
        <w:lastRenderedPageBreak/>
        <w:t xml:space="preserve">On </w:t>
      </w:r>
      <w:r w:rsidR="00791D38">
        <w:rPr>
          <w:lang w:val="en-US"/>
        </w:rPr>
        <w:t xml:space="preserve">its part, the Government </w:t>
      </w:r>
      <w:r w:rsidR="00631628">
        <w:rPr>
          <w:lang w:val="en-US"/>
        </w:rPr>
        <w:t xml:space="preserve">argued that the applicant </w:t>
      </w:r>
      <w:r w:rsidR="008A1DDA">
        <w:rPr>
          <w:lang w:val="en-US"/>
        </w:rPr>
        <w:t xml:space="preserve">could not have been unaware of the </w:t>
      </w:r>
      <w:r w:rsidR="00C11182">
        <w:rPr>
          <w:lang w:val="en-US"/>
        </w:rPr>
        <w:t>“</w:t>
      </w:r>
      <w:r w:rsidR="00C11182" w:rsidRPr="00C11182">
        <w:rPr>
          <w:lang w:val="en-US"/>
        </w:rPr>
        <w:t>extensive</w:t>
      </w:r>
      <w:r w:rsidR="00C11182">
        <w:rPr>
          <w:lang w:val="en-US"/>
        </w:rPr>
        <w:t xml:space="preserve"> </w:t>
      </w:r>
      <w:r w:rsidR="00C11182" w:rsidRPr="00C11182">
        <w:rPr>
          <w:lang w:val="en-US"/>
        </w:rPr>
        <w:t>case-law concerning medical confidentiality, the rules of medical ethics and</w:t>
      </w:r>
      <w:r w:rsidR="00C11182">
        <w:rPr>
          <w:lang w:val="en-US"/>
        </w:rPr>
        <w:t xml:space="preserve"> </w:t>
      </w:r>
      <w:r w:rsidR="00C11182" w:rsidRPr="00C11182">
        <w:rPr>
          <w:lang w:val="en-US"/>
        </w:rPr>
        <w:t>Article 226-13 of the Criminal Code</w:t>
      </w:r>
      <w:r w:rsidR="005A221B">
        <w:rPr>
          <w:lang w:val="en-US"/>
        </w:rPr>
        <w:t xml:space="preserve"> [disclosure of confidential </w:t>
      </w:r>
      <w:r w:rsidR="00080740">
        <w:rPr>
          <w:lang w:val="en-US"/>
        </w:rPr>
        <w:t xml:space="preserve">information]” (par. 25). </w:t>
      </w:r>
    </w:p>
    <w:p w14:paraId="31445A36" w14:textId="4C6FB421" w:rsidR="006E72E8" w:rsidRDefault="009A4D4A" w:rsidP="005B515C">
      <w:pPr>
        <w:jc w:val="both"/>
        <w:rPr>
          <w:lang w:val="en-US"/>
        </w:rPr>
      </w:pPr>
      <w:r>
        <w:rPr>
          <w:lang w:val="en-US"/>
        </w:rPr>
        <w:t xml:space="preserve">The State also </w:t>
      </w:r>
      <w:r w:rsidR="006A6822">
        <w:rPr>
          <w:lang w:val="en-US"/>
        </w:rPr>
        <w:t>considered th</w:t>
      </w:r>
      <w:r w:rsidR="001565DF">
        <w:rPr>
          <w:lang w:val="en-US"/>
        </w:rPr>
        <w:t>at the</w:t>
      </w:r>
      <w:r w:rsidR="006A6822">
        <w:rPr>
          <w:lang w:val="en-US"/>
        </w:rPr>
        <w:t xml:space="preserve"> interference on the freedom of expression of the applicant had a legitimate aim: </w:t>
      </w:r>
      <w:r w:rsidR="00BC6933">
        <w:rPr>
          <w:lang w:val="en-US"/>
        </w:rPr>
        <w:t>“</w:t>
      </w:r>
      <w:r w:rsidR="005B515C" w:rsidRPr="005B515C">
        <w:rPr>
          <w:lang w:val="en-US"/>
        </w:rPr>
        <w:t>the</w:t>
      </w:r>
      <w:r w:rsidR="005B515C">
        <w:rPr>
          <w:lang w:val="en-US"/>
        </w:rPr>
        <w:t xml:space="preserve"> </w:t>
      </w:r>
      <w:r w:rsidR="005B515C" w:rsidRPr="005B515C">
        <w:rPr>
          <w:lang w:val="en-US"/>
        </w:rPr>
        <w:t>measures taken had been intended to ensure medical confidentiality and</w:t>
      </w:r>
      <w:r w:rsidR="005B515C">
        <w:rPr>
          <w:lang w:val="en-US"/>
        </w:rPr>
        <w:t xml:space="preserve"> </w:t>
      </w:r>
      <w:r w:rsidR="005B515C" w:rsidRPr="005B515C">
        <w:rPr>
          <w:lang w:val="en-US"/>
        </w:rPr>
        <w:t xml:space="preserve">hence to </w:t>
      </w:r>
      <w:r w:rsidR="00BC6933">
        <w:rPr>
          <w:lang w:val="en-US"/>
        </w:rPr>
        <w:t>‘</w:t>
      </w:r>
      <w:r w:rsidR="005B515C" w:rsidRPr="005B515C">
        <w:rPr>
          <w:lang w:val="en-US"/>
        </w:rPr>
        <w:t>protect the reputation or rights of others</w:t>
      </w:r>
      <w:r w:rsidR="00BC6933">
        <w:rPr>
          <w:lang w:val="en-US"/>
        </w:rPr>
        <w:t>’</w:t>
      </w:r>
      <w:r w:rsidR="005B515C" w:rsidRPr="005B515C">
        <w:rPr>
          <w:lang w:val="en-US"/>
        </w:rPr>
        <w:t xml:space="preserve"> and to prevent </w:t>
      </w:r>
      <w:r w:rsidR="00BC6933">
        <w:rPr>
          <w:lang w:val="en-US"/>
        </w:rPr>
        <w:t>‘</w:t>
      </w:r>
      <w:r w:rsidR="005B515C" w:rsidRPr="005B515C">
        <w:rPr>
          <w:lang w:val="en-US"/>
        </w:rPr>
        <w:t>the</w:t>
      </w:r>
      <w:r w:rsidR="005B515C">
        <w:rPr>
          <w:lang w:val="en-US"/>
        </w:rPr>
        <w:t xml:space="preserve"> </w:t>
      </w:r>
      <w:r w:rsidR="005B515C" w:rsidRPr="005B515C">
        <w:rPr>
          <w:lang w:val="en-US"/>
        </w:rPr>
        <w:t>disclosure of information received in confidence</w:t>
      </w:r>
      <w:r w:rsidR="00BC6933">
        <w:rPr>
          <w:lang w:val="en-US"/>
        </w:rPr>
        <w:t>’</w:t>
      </w:r>
      <w:r w:rsidR="006E72E8">
        <w:rPr>
          <w:lang w:val="en-US"/>
        </w:rPr>
        <w:t>” (par. 33)</w:t>
      </w:r>
      <w:r w:rsidR="005B515C" w:rsidRPr="005B515C">
        <w:rPr>
          <w:lang w:val="en-US"/>
        </w:rPr>
        <w:t xml:space="preserve">. </w:t>
      </w:r>
      <w:r w:rsidR="006E72E8">
        <w:rPr>
          <w:lang w:val="en-US"/>
        </w:rPr>
        <w:t>For the Government medical con</w:t>
      </w:r>
      <w:r w:rsidR="004229C8">
        <w:rPr>
          <w:lang w:val="en-US"/>
        </w:rPr>
        <w:t>fidentiality benefits patients, since it allows them to con</w:t>
      </w:r>
      <w:r w:rsidR="00854BA0">
        <w:rPr>
          <w:lang w:val="en-US"/>
        </w:rPr>
        <w:t xml:space="preserve">fide in medical practitioners without fear of information disclosure </w:t>
      </w:r>
      <w:r w:rsidR="007E41FD">
        <w:rPr>
          <w:lang w:val="en-US"/>
        </w:rPr>
        <w:t xml:space="preserve">related to intimate matters. </w:t>
      </w:r>
    </w:p>
    <w:p w14:paraId="2834F70D" w14:textId="3869AA93" w:rsidR="00144F88" w:rsidRDefault="000A194C" w:rsidP="00144F88">
      <w:pPr>
        <w:jc w:val="both"/>
        <w:rPr>
          <w:lang w:val="en-US"/>
        </w:rPr>
      </w:pPr>
      <w:r>
        <w:rPr>
          <w:lang w:val="en-US"/>
        </w:rPr>
        <w:t xml:space="preserve">Regarding the necessity in a democratic society of the measures, the respondent </w:t>
      </w:r>
      <w:r w:rsidR="00DE6B65">
        <w:rPr>
          <w:lang w:val="en-US"/>
        </w:rPr>
        <w:t xml:space="preserve">acknowledged the </w:t>
      </w:r>
      <w:r w:rsidR="005039E6">
        <w:rPr>
          <w:lang w:val="en-US"/>
        </w:rPr>
        <w:t>“</w:t>
      </w:r>
      <w:r w:rsidR="00DE6B65">
        <w:rPr>
          <w:lang w:val="en-US"/>
        </w:rPr>
        <w:t>importance</w:t>
      </w:r>
      <w:r w:rsidR="00330382" w:rsidRPr="00330382">
        <w:rPr>
          <w:lang w:val="en-US"/>
        </w:rPr>
        <w:t xml:space="preserve"> of a public</w:t>
      </w:r>
      <w:r w:rsidR="00330382">
        <w:rPr>
          <w:lang w:val="en-US"/>
        </w:rPr>
        <w:t xml:space="preserve"> </w:t>
      </w:r>
      <w:r w:rsidR="00330382" w:rsidRPr="00330382">
        <w:rPr>
          <w:lang w:val="en-US"/>
        </w:rPr>
        <w:t>debate on the right of the electorate to receive information about the</w:t>
      </w:r>
      <w:r w:rsidR="00330382">
        <w:rPr>
          <w:lang w:val="en-US"/>
        </w:rPr>
        <w:t xml:space="preserve"> </w:t>
      </w:r>
      <w:r w:rsidR="00330382" w:rsidRPr="00330382">
        <w:rPr>
          <w:lang w:val="en-US"/>
        </w:rPr>
        <w:t>physical and intellectual capacities of its leaders</w:t>
      </w:r>
      <w:r w:rsidR="005039E6">
        <w:rPr>
          <w:lang w:val="en-US"/>
        </w:rPr>
        <w:t>” (par. 37</w:t>
      </w:r>
      <w:r w:rsidR="0006245F">
        <w:rPr>
          <w:lang w:val="en-US"/>
        </w:rPr>
        <w:t>) but</w:t>
      </w:r>
      <w:r w:rsidR="00140CE0">
        <w:rPr>
          <w:lang w:val="en-US"/>
        </w:rPr>
        <w:t xml:space="preserve"> </w:t>
      </w:r>
      <w:r w:rsidR="00976ED0">
        <w:rPr>
          <w:lang w:val="en-US"/>
        </w:rPr>
        <w:t xml:space="preserve">considered this did not justified </w:t>
      </w:r>
      <w:r w:rsidR="009649F7">
        <w:rPr>
          <w:lang w:val="en-US"/>
        </w:rPr>
        <w:t>“</w:t>
      </w:r>
      <w:r w:rsidR="004D458C">
        <w:rPr>
          <w:lang w:val="en-US"/>
        </w:rPr>
        <w:t>th</w:t>
      </w:r>
      <w:r w:rsidR="009649F7" w:rsidRPr="009649F7">
        <w:rPr>
          <w:lang w:val="en-US"/>
        </w:rPr>
        <w:t>e publication of a book which essentially</w:t>
      </w:r>
      <w:r w:rsidR="009649F7">
        <w:rPr>
          <w:lang w:val="en-US"/>
        </w:rPr>
        <w:t xml:space="preserve"> </w:t>
      </w:r>
      <w:r w:rsidR="009649F7" w:rsidRPr="009649F7">
        <w:rPr>
          <w:lang w:val="en-US"/>
        </w:rPr>
        <w:t>described the stages of President Mitterrand's illness, the treatment he had</w:t>
      </w:r>
      <w:r w:rsidR="009649F7">
        <w:rPr>
          <w:lang w:val="en-US"/>
        </w:rPr>
        <w:t xml:space="preserve"> </w:t>
      </w:r>
      <w:r w:rsidR="009649F7" w:rsidRPr="009649F7">
        <w:rPr>
          <w:lang w:val="en-US"/>
        </w:rPr>
        <w:t>received</w:t>
      </w:r>
      <w:r w:rsidR="009649F7">
        <w:rPr>
          <w:lang w:val="en-US"/>
        </w:rPr>
        <w:t xml:space="preserve"> […]” (par 37).</w:t>
      </w:r>
      <w:r w:rsidR="00F71B98">
        <w:rPr>
          <w:lang w:val="en-US"/>
        </w:rPr>
        <w:t xml:space="preserve"> For the</w:t>
      </w:r>
      <w:r w:rsidR="00D94C34">
        <w:rPr>
          <w:lang w:val="en-US"/>
        </w:rPr>
        <w:t xml:space="preserve"> State of France, the measures issued by domestic courts were proportionate</w:t>
      </w:r>
      <w:r w:rsidR="008D46A2">
        <w:rPr>
          <w:lang w:val="en-US"/>
        </w:rPr>
        <w:t>: the ban on the book’s publication s</w:t>
      </w:r>
      <w:r w:rsidR="005E241A">
        <w:rPr>
          <w:lang w:val="en-US"/>
        </w:rPr>
        <w:t>ought</w:t>
      </w:r>
      <w:r w:rsidR="008D46A2">
        <w:rPr>
          <w:lang w:val="en-US"/>
        </w:rPr>
        <w:t xml:space="preserve"> redress for the damage </w:t>
      </w:r>
      <w:r w:rsidR="00CC67CC">
        <w:rPr>
          <w:lang w:val="en-US"/>
        </w:rPr>
        <w:t>“</w:t>
      </w:r>
      <w:r w:rsidR="00CC67CC" w:rsidRPr="00CC67CC">
        <w:rPr>
          <w:lang w:val="en-US"/>
        </w:rPr>
        <w:t>caused by the breach of medical</w:t>
      </w:r>
      <w:r w:rsidR="00CC67CC">
        <w:rPr>
          <w:lang w:val="en-US"/>
        </w:rPr>
        <w:t xml:space="preserve"> </w:t>
      </w:r>
      <w:r w:rsidR="00CC67CC" w:rsidRPr="00CC67CC">
        <w:rPr>
          <w:lang w:val="en-US"/>
        </w:rPr>
        <w:t>confidentiality</w:t>
      </w:r>
      <w:r w:rsidR="00CC67CC">
        <w:rPr>
          <w:lang w:val="en-US"/>
        </w:rPr>
        <w:t>” (par. 39)</w:t>
      </w:r>
      <w:r w:rsidR="00AD1DF7">
        <w:rPr>
          <w:lang w:val="en-US"/>
        </w:rPr>
        <w:t xml:space="preserve">. </w:t>
      </w:r>
      <w:r w:rsidR="00AF49BB">
        <w:rPr>
          <w:lang w:val="en-US"/>
        </w:rPr>
        <w:t xml:space="preserve">Likewise, </w:t>
      </w:r>
      <w:r w:rsidR="00FA36AF">
        <w:rPr>
          <w:lang w:val="en-US"/>
        </w:rPr>
        <w:t xml:space="preserve">the Government </w:t>
      </w:r>
      <w:r w:rsidR="0015429C">
        <w:rPr>
          <w:lang w:val="en-US"/>
        </w:rPr>
        <w:t>argued</w:t>
      </w:r>
      <w:r w:rsidR="00FA36AF">
        <w:rPr>
          <w:lang w:val="en-US"/>
        </w:rPr>
        <w:t xml:space="preserve"> </w:t>
      </w:r>
      <w:r w:rsidR="0015429C">
        <w:rPr>
          <w:lang w:val="en-US"/>
        </w:rPr>
        <w:t xml:space="preserve">that the amount of the damages </w:t>
      </w:r>
      <w:r w:rsidR="00144F88">
        <w:rPr>
          <w:lang w:val="en-US"/>
        </w:rPr>
        <w:t>“</w:t>
      </w:r>
      <w:r w:rsidR="00144F88" w:rsidRPr="00144F88">
        <w:rPr>
          <w:lang w:val="en-US"/>
        </w:rPr>
        <w:t>should in any event be seen in relative terms, given that the</w:t>
      </w:r>
      <w:r w:rsidR="00144F88">
        <w:rPr>
          <w:lang w:val="en-US"/>
        </w:rPr>
        <w:t xml:space="preserve"> </w:t>
      </w:r>
      <w:r w:rsidR="00144F88" w:rsidRPr="00144F88">
        <w:rPr>
          <w:lang w:val="en-US"/>
        </w:rPr>
        <w:t>applicant company had made a substantial profit through the sale of 40,000</w:t>
      </w:r>
      <w:r w:rsidR="00144F88">
        <w:rPr>
          <w:lang w:val="en-US"/>
        </w:rPr>
        <w:t xml:space="preserve"> </w:t>
      </w:r>
      <w:r w:rsidR="00144F88" w:rsidRPr="00144F88">
        <w:rPr>
          <w:lang w:val="en-US"/>
        </w:rPr>
        <w:t>copies of the book</w:t>
      </w:r>
      <w:r w:rsidR="00144F88">
        <w:rPr>
          <w:lang w:val="en-US"/>
        </w:rPr>
        <w:t xml:space="preserve">” (par. 39). </w:t>
      </w:r>
    </w:p>
    <w:p w14:paraId="15C0FAE9" w14:textId="4147A1EE" w:rsidR="00E83399" w:rsidRDefault="00BE0481" w:rsidP="00E83399">
      <w:pPr>
        <w:jc w:val="both"/>
        <w:rPr>
          <w:lang w:val="en-US"/>
        </w:rPr>
      </w:pPr>
      <w:r>
        <w:rPr>
          <w:lang w:val="en-US"/>
        </w:rPr>
        <w:t xml:space="preserve">The ECtHR </w:t>
      </w:r>
      <w:r w:rsidR="00B801A5">
        <w:rPr>
          <w:lang w:val="en-US"/>
        </w:rPr>
        <w:t xml:space="preserve">began its considerations by applying a three-part test on the </w:t>
      </w:r>
      <w:r w:rsidR="00734EDC">
        <w:rPr>
          <w:lang w:val="en-US"/>
        </w:rPr>
        <w:t xml:space="preserve">interim injunction and the general ban issued </w:t>
      </w:r>
      <w:r w:rsidR="009A07C2">
        <w:rPr>
          <w:lang w:val="en-US"/>
        </w:rPr>
        <w:t xml:space="preserve">against the publication of the book </w:t>
      </w:r>
      <w:r w:rsidR="009A07C2" w:rsidRPr="009A07C2">
        <w:rPr>
          <w:i/>
          <w:iCs/>
          <w:lang w:val="en-US"/>
        </w:rPr>
        <w:t>Le Grand Secret</w:t>
      </w:r>
      <w:r w:rsidR="009A07C2">
        <w:rPr>
          <w:lang w:val="en-US"/>
        </w:rPr>
        <w:t xml:space="preserve">. </w:t>
      </w:r>
      <w:r w:rsidR="00212135">
        <w:rPr>
          <w:lang w:val="en-US"/>
        </w:rPr>
        <w:t xml:space="preserve">For the Court </w:t>
      </w:r>
      <w:r w:rsidR="00873485">
        <w:rPr>
          <w:lang w:val="en-US"/>
        </w:rPr>
        <w:t>it</w:t>
      </w:r>
      <w:r w:rsidR="00756FAD">
        <w:rPr>
          <w:lang w:val="en-US"/>
        </w:rPr>
        <w:t xml:space="preserve"> was </w:t>
      </w:r>
      <w:r w:rsidR="00873485">
        <w:rPr>
          <w:lang w:val="en-US"/>
        </w:rPr>
        <w:t xml:space="preserve">clear there are several French laws </w:t>
      </w:r>
      <w:r w:rsidR="004E7B8D">
        <w:rPr>
          <w:lang w:val="en-US"/>
        </w:rPr>
        <w:t>which allowed t</w:t>
      </w:r>
      <w:r w:rsidR="00C55E85">
        <w:rPr>
          <w:lang w:val="en-US"/>
        </w:rPr>
        <w:t>he applicant to rationally foresee that</w:t>
      </w:r>
      <w:r w:rsidR="003B139F">
        <w:rPr>
          <w:lang w:val="en-US"/>
        </w:rPr>
        <w:t xml:space="preserve"> by</w:t>
      </w:r>
      <w:r w:rsidR="00C55E85">
        <w:rPr>
          <w:lang w:val="en-US"/>
        </w:rPr>
        <w:t xml:space="preserve"> publishing a </w:t>
      </w:r>
      <w:r w:rsidR="00713DBD">
        <w:rPr>
          <w:lang w:val="en-US"/>
        </w:rPr>
        <w:t>book</w:t>
      </w:r>
      <w:r w:rsidR="003B139F">
        <w:rPr>
          <w:lang w:val="en-US"/>
        </w:rPr>
        <w:t xml:space="preserve"> describing</w:t>
      </w:r>
      <w:r w:rsidR="00713DBD" w:rsidRPr="00713DBD">
        <w:rPr>
          <w:lang w:val="en-US"/>
        </w:rPr>
        <w:t xml:space="preserve"> </w:t>
      </w:r>
      <w:r w:rsidR="003B139F">
        <w:rPr>
          <w:lang w:val="en-US"/>
        </w:rPr>
        <w:t>“</w:t>
      </w:r>
      <w:r w:rsidR="00713DBD" w:rsidRPr="00713DBD">
        <w:rPr>
          <w:lang w:val="en-US"/>
        </w:rPr>
        <w:t>among other things, the progress of</w:t>
      </w:r>
      <w:r w:rsidR="00713DBD">
        <w:rPr>
          <w:lang w:val="en-US"/>
        </w:rPr>
        <w:t xml:space="preserve"> [Mitterrand’s]</w:t>
      </w:r>
      <w:r w:rsidR="00713DBD" w:rsidRPr="00713DBD">
        <w:rPr>
          <w:lang w:val="en-US"/>
        </w:rPr>
        <w:t xml:space="preserve"> illness and contained information about the medical treatment and</w:t>
      </w:r>
      <w:r w:rsidR="00713DBD">
        <w:rPr>
          <w:lang w:val="en-US"/>
        </w:rPr>
        <w:t xml:space="preserve"> </w:t>
      </w:r>
      <w:r w:rsidR="00713DBD" w:rsidRPr="00713DBD">
        <w:rPr>
          <w:lang w:val="en-US"/>
        </w:rPr>
        <w:t>operations he had undergone and his conversations with medical</w:t>
      </w:r>
      <w:r w:rsidR="00713DBD">
        <w:rPr>
          <w:lang w:val="en-US"/>
        </w:rPr>
        <w:t xml:space="preserve"> </w:t>
      </w:r>
      <w:r w:rsidR="00713DBD" w:rsidRPr="00713DBD">
        <w:rPr>
          <w:lang w:val="en-US"/>
        </w:rPr>
        <w:t>practitioners, it was publishing disclosures likely to be covered by the rules</w:t>
      </w:r>
      <w:r w:rsidR="00713DBD">
        <w:rPr>
          <w:lang w:val="en-US"/>
        </w:rPr>
        <w:t xml:space="preserve"> </w:t>
      </w:r>
      <w:r w:rsidR="00713DBD" w:rsidRPr="00713DBD">
        <w:rPr>
          <w:lang w:val="en-US"/>
        </w:rPr>
        <w:t>of medical confidentiality</w:t>
      </w:r>
      <w:r w:rsidR="00713DBD">
        <w:rPr>
          <w:lang w:val="en-US"/>
        </w:rPr>
        <w:t xml:space="preserve">” (par. 27). </w:t>
      </w:r>
      <w:r w:rsidR="00B36678">
        <w:rPr>
          <w:lang w:val="en-US"/>
        </w:rPr>
        <w:t xml:space="preserve">Thus, Article 4 of the Code of Conduct for Medical </w:t>
      </w:r>
      <w:r w:rsidR="00E83399">
        <w:rPr>
          <w:lang w:val="en-US"/>
        </w:rPr>
        <w:t>Practitioners states</w:t>
      </w:r>
      <w:r w:rsidR="004F33E1">
        <w:rPr>
          <w:lang w:val="en-US"/>
        </w:rPr>
        <w:t xml:space="preserve"> the duty </w:t>
      </w:r>
      <w:r w:rsidR="00E83399">
        <w:rPr>
          <w:lang w:val="en-US"/>
        </w:rPr>
        <w:t>“</w:t>
      </w:r>
      <w:r w:rsidR="00E83399" w:rsidRPr="00E83399">
        <w:rPr>
          <w:lang w:val="en-US"/>
        </w:rPr>
        <w:t>of professional confidentiality by which</w:t>
      </w:r>
      <w:r w:rsidR="00E83399">
        <w:rPr>
          <w:lang w:val="en-US"/>
        </w:rPr>
        <w:t xml:space="preserve"> </w:t>
      </w:r>
      <w:r w:rsidR="00E83399" w:rsidRPr="00E83399">
        <w:rPr>
          <w:lang w:val="en-US"/>
        </w:rPr>
        <w:t>medical practitioners are bound</w:t>
      </w:r>
      <w:r w:rsidR="00E83399">
        <w:rPr>
          <w:lang w:val="en-US"/>
        </w:rPr>
        <w:t>” (par. 27)</w:t>
      </w:r>
      <w:r w:rsidR="00E777A7">
        <w:rPr>
          <w:lang w:val="en-US"/>
        </w:rPr>
        <w:t>. Article 226-13 of the</w:t>
      </w:r>
      <w:r w:rsidR="003E7E5E">
        <w:rPr>
          <w:lang w:val="en-US"/>
        </w:rPr>
        <w:t xml:space="preserve"> French</w:t>
      </w:r>
      <w:r w:rsidR="00E777A7">
        <w:rPr>
          <w:lang w:val="en-US"/>
        </w:rPr>
        <w:t xml:space="preserve"> Criminal Code</w:t>
      </w:r>
      <w:r w:rsidR="00F06BC9">
        <w:rPr>
          <w:lang w:val="en-US"/>
        </w:rPr>
        <w:t xml:space="preserve"> criminalizes breaching professional </w:t>
      </w:r>
      <w:r w:rsidR="003E7E5E">
        <w:rPr>
          <w:lang w:val="en-US"/>
        </w:rPr>
        <w:t>confidence</w:t>
      </w:r>
      <w:r w:rsidR="00CB3271">
        <w:rPr>
          <w:lang w:val="en-US"/>
        </w:rPr>
        <w:t xml:space="preserve">. </w:t>
      </w:r>
      <w:proofErr w:type="gramStart"/>
      <w:r w:rsidR="00CB3271">
        <w:rPr>
          <w:lang w:val="en-US"/>
        </w:rPr>
        <w:t>Similarly</w:t>
      </w:r>
      <w:proofErr w:type="gramEnd"/>
      <w:r w:rsidR="00CB3271">
        <w:rPr>
          <w:lang w:val="en-US"/>
        </w:rPr>
        <w:t xml:space="preserve"> so, the Court notes, Article 1382 of the French Civil Code</w:t>
      </w:r>
      <w:r w:rsidR="00527808">
        <w:rPr>
          <w:lang w:val="en-US"/>
        </w:rPr>
        <w:t xml:space="preserve"> is the basis of civil liability for negligence</w:t>
      </w:r>
      <w:r w:rsidR="00BE00FF">
        <w:rPr>
          <w:lang w:val="en-US"/>
        </w:rPr>
        <w:t xml:space="preserve">. Finally, Article 809 of the New Code for Civil Procedure </w:t>
      </w:r>
      <w:r w:rsidR="00726867">
        <w:rPr>
          <w:lang w:val="en-US"/>
        </w:rPr>
        <w:t xml:space="preserve">allows for judges to issue </w:t>
      </w:r>
      <w:r w:rsidR="00587F13">
        <w:rPr>
          <w:lang w:val="en-US"/>
        </w:rPr>
        <w:t>“</w:t>
      </w:r>
      <w:r w:rsidR="00587F13" w:rsidRPr="00587F13">
        <w:rPr>
          <w:lang w:val="en-US"/>
        </w:rPr>
        <w:t>such measures to preserve or restore the present position as are necessary either to prevent imminent damage or to put an end to a manifestly unlawful infringement</w:t>
      </w:r>
      <w:r w:rsidR="00587F13">
        <w:rPr>
          <w:lang w:val="en-US"/>
        </w:rPr>
        <w:t xml:space="preserve">” (par. 30). </w:t>
      </w:r>
    </w:p>
    <w:p w14:paraId="1BBF6F8C" w14:textId="7082FE64" w:rsidR="00961638" w:rsidRDefault="001B5E15" w:rsidP="00961638">
      <w:pPr>
        <w:jc w:val="both"/>
        <w:rPr>
          <w:lang w:val="en-US"/>
        </w:rPr>
      </w:pPr>
      <w:r>
        <w:rPr>
          <w:lang w:val="en-US"/>
        </w:rPr>
        <w:t xml:space="preserve">Contrary to what was argued by the applicant, the Court </w:t>
      </w:r>
      <w:r w:rsidR="00961638">
        <w:rPr>
          <w:lang w:val="en-US"/>
        </w:rPr>
        <w:t xml:space="preserve">opined that the law </w:t>
      </w:r>
      <w:r w:rsidR="00961638" w:rsidRPr="00961638">
        <w:rPr>
          <w:lang w:val="en-US"/>
        </w:rPr>
        <w:t>does not provide that a medical practitioner may be</w:t>
      </w:r>
      <w:r w:rsidR="00961638">
        <w:rPr>
          <w:lang w:val="en-US"/>
        </w:rPr>
        <w:t xml:space="preserve"> </w:t>
      </w:r>
      <w:r w:rsidR="00961638" w:rsidRPr="00961638">
        <w:rPr>
          <w:lang w:val="en-US"/>
        </w:rPr>
        <w:t>released from the duty of confidentiality by a patient or, in general terms, by</w:t>
      </w:r>
      <w:r w:rsidR="00961638">
        <w:rPr>
          <w:lang w:val="en-US"/>
        </w:rPr>
        <w:t xml:space="preserve"> </w:t>
      </w:r>
      <w:r w:rsidR="00961638" w:rsidRPr="00961638">
        <w:rPr>
          <w:lang w:val="en-US"/>
        </w:rPr>
        <w:t>a “legitimate interest”</w:t>
      </w:r>
      <w:r w:rsidR="00724E0A">
        <w:rPr>
          <w:lang w:val="en-US"/>
        </w:rPr>
        <w:t xml:space="preserve"> (par. 27).</w:t>
      </w:r>
    </w:p>
    <w:p w14:paraId="7450F313" w14:textId="1F57B13F" w:rsidR="00007876" w:rsidRDefault="00724E0A" w:rsidP="00007876">
      <w:pPr>
        <w:jc w:val="both"/>
        <w:rPr>
          <w:lang w:val="en-US"/>
        </w:rPr>
      </w:pPr>
      <w:r>
        <w:rPr>
          <w:lang w:val="en-US"/>
        </w:rPr>
        <w:t xml:space="preserve">Taking into consideration this legal framework, </w:t>
      </w:r>
      <w:r w:rsidR="00636D0B">
        <w:rPr>
          <w:lang w:val="en-US"/>
        </w:rPr>
        <w:t xml:space="preserve">the Court concluded </w:t>
      </w:r>
      <w:r w:rsidR="00F812B1">
        <w:rPr>
          <w:lang w:val="en-US"/>
        </w:rPr>
        <w:t>“</w:t>
      </w:r>
      <w:r w:rsidR="00636D0B" w:rsidRPr="00636D0B">
        <w:rPr>
          <w:lang w:val="en-US"/>
        </w:rPr>
        <w:t xml:space="preserve">that the interference in issue was </w:t>
      </w:r>
      <w:r w:rsidR="00007876">
        <w:rPr>
          <w:lang w:val="en-US"/>
        </w:rPr>
        <w:t>‘</w:t>
      </w:r>
      <w:r w:rsidR="00636D0B" w:rsidRPr="00636D0B">
        <w:rPr>
          <w:lang w:val="en-US"/>
        </w:rPr>
        <w:t>prescribed by law</w:t>
      </w:r>
      <w:r w:rsidR="00007876">
        <w:rPr>
          <w:lang w:val="en-US"/>
        </w:rPr>
        <w:t>’</w:t>
      </w:r>
      <w:r w:rsidR="00007876" w:rsidRPr="00007876">
        <w:rPr>
          <w:rFonts w:ascii="Arial" w:eastAsia="Times New Roman" w:hAnsi="Arial" w:cs="Arial"/>
          <w:b/>
          <w:bCs/>
          <w:color w:val="000000"/>
          <w:lang w:val="en-US" w:eastAsia="es-CO"/>
        </w:rPr>
        <w:t xml:space="preserve"> </w:t>
      </w:r>
      <w:r w:rsidR="00007876" w:rsidRPr="00007876">
        <w:rPr>
          <w:lang w:val="en-US"/>
        </w:rPr>
        <w:t>within the meaning of the second paragraph of Article 10 of the Convention</w:t>
      </w:r>
      <w:r w:rsidR="00007876">
        <w:rPr>
          <w:lang w:val="en-US"/>
        </w:rPr>
        <w:t xml:space="preserve">” (par. 31). </w:t>
      </w:r>
    </w:p>
    <w:p w14:paraId="2601B728" w14:textId="24CAE34E" w:rsidR="002962F7" w:rsidRDefault="00480011" w:rsidP="002962F7">
      <w:pPr>
        <w:jc w:val="both"/>
        <w:rPr>
          <w:lang w:val="en-US"/>
        </w:rPr>
      </w:pPr>
      <w:r>
        <w:rPr>
          <w:lang w:val="en-US"/>
        </w:rPr>
        <w:t>When analyzing if the</w:t>
      </w:r>
      <w:r w:rsidR="00F723D0" w:rsidRPr="00F723D0">
        <w:rPr>
          <w:lang w:val="en-US"/>
        </w:rPr>
        <w:t xml:space="preserve"> interim injunction and the decision to keep the</w:t>
      </w:r>
      <w:r w:rsidR="003E272B">
        <w:rPr>
          <w:lang w:val="en-US"/>
        </w:rPr>
        <w:t xml:space="preserve"> book</w:t>
      </w:r>
      <w:r w:rsidR="00F723D0" w:rsidRPr="00F723D0">
        <w:rPr>
          <w:lang w:val="en-US"/>
        </w:rPr>
        <w:t xml:space="preserve"> ban</w:t>
      </w:r>
      <w:r w:rsidR="00F723D0">
        <w:rPr>
          <w:lang w:val="en-US"/>
        </w:rPr>
        <w:t xml:space="preserve"> </w:t>
      </w:r>
      <w:r w:rsidR="00F723D0" w:rsidRPr="00F723D0">
        <w:rPr>
          <w:lang w:val="en-US"/>
        </w:rPr>
        <w:t>in force</w:t>
      </w:r>
      <w:r w:rsidR="004F2DA1">
        <w:rPr>
          <w:lang w:val="en-US"/>
        </w:rPr>
        <w:t xml:space="preserve">, issued by national French courts, </w:t>
      </w:r>
      <w:r w:rsidR="00B70BDE">
        <w:rPr>
          <w:lang w:val="en-US"/>
        </w:rPr>
        <w:t>had a legitimate aim, the ECtHR con</w:t>
      </w:r>
      <w:r w:rsidR="00887B8E">
        <w:rPr>
          <w:lang w:val="en-US"/>
        </w:rPr>
        <w:t>sidered th</w:t>
      </w:r>
      <w:r w:rsidR="000F19A6">
        <w:rPr>
          <w:lang w:val="en-US"/>
        </w:rPr>
        <w:t xml:space="preserve">at the </w:t>
      </w:r>
      <w:proofErr w:type="gramStart"/>
      <w:r w:rsidR="000F19A6">
        <w:rPr>
          <w:lang w:val="en-US"/>
        </w:rPr>
        <w:t>aforementione</w:t>
      </w:r>
      <w:r w:rsidR="003E272B">
        <w:rPr>
          <w:lang w:val="en-US"/>
        </w:rPr>
        <w:t>d measures</w:t>
      </w:r>
      <w:proofErr w:type="gramEnd"/>
      <w:r w:rsidR="003E272B">
        <w:rPr>
          <w:lang w:val="en-US"/>
        </w:rPr>
        <w:t xml:space="preserve"> did indeed pursue a legitimate aim</w:t>
      </w:r>
      <w:r w:rsidR="0061125D">
        <w:rPr>
          <w:lang w:val="en-US"/>
        </w:rPr>
        <w:t xml:space="preserve">. The Court </w:t>
      </w:r>
      <w:r w:rsidR="00BA511A">
        <w:rPr>
          <w:lang w:val="en-US"/>
        </w:rPr>
        <w:t xml:space="preserve">argued that the interference on freedom of expression was </w:t>
      </w:r>
      <w:r w:rsidR="002962F7">
        <w:rPr>
          <w:lang w:val="en-US"/>
        </w:rPr>
        <w:t>“</w:t>
      </w:r>
      <w:r w:rsidR="002962F7" w:rsidRPr="002962F7">
        <w:rPr>
          <w:lang w:val="en-US"/>
        </w:rPr>
        <w:t xml:space="preserve">intended to protect the late President's </w:t>
      </w:r>
      <w:proofErr w:type="spellStart"/>
      <w:r w:rsidR="002962F7" w:rsidRPr="002962F7">
        <w:rPr>
          <w:lang w:val="en-US"/>
        </w:rPr>
        <w:t>honour</w:t>
      </w:r>
      <w:proofErr w:type="spellEnd"/>
      <w:r w:rsidR="002962F7" w:rsidRPr="002962F7">
        <w:rPr>
          <w:lang w:val="en-US"/>
        </w:rPr>
        <w:t>, reputation and</w:t>
      </w:r>
      <w:r w:rsidR="002962F7">
        <w:rPr>
          <w:lang w:val="en-US"/>
        </w:rPr>
        <w:t xml:space="preserve"> </w:t>
      </w:r>
      <w:r w:rsidR="002962F7" w:rsidRPr="002962F7">
        <w:rPr>
          <w:lang w:val="en-US"/>
        </w:rPr>
        <w:t xml:space="preserve">privacy, and that </w:t>
      </w:r>
      <w:r w:rsidR="002962F7" w:rsidRPr="002962F7">
        <w:rPr>
          <w:lang w:val="en-US"/>
        </w:rPr>
        <w:lastRenderedPageBreak/>
        <w:t xml:space="preserve">the national courts' assessment that these </w:t>
      </w:r>
      <w:r w:rsidR="00232221">
        <w:rPr>
          <w:lang w:val="en-US"/>
        </w:rPr>
        <w:t>‘</w:t>
      </w:r>
      <w:r w:rsidR="002962F7" w:rsidRPr="002962F7">
        <w:rPr>
          <w:lang w:val="en-US"/>
        </w:rPr>
        <w:t>rights of others</w:t>
      </w:r>
      <w:r w:rsidR="00232221">
        <w:rPr>
          <w:lang w:val="en-US"/>
        </w:rPr>
        <w:t>’</w:t>
      </w:r>
      <w:r w:rsidR="002962F7">
        <w:rPr>
          <w:lang w:val="en-US"/>
        </w:rPr>
        <w:t xml:space="preserve"> </w:t>
      </w:r>
      <w:r w:rsidR="002962F7" w:rsidRPr="002962F7">
        <w:rPr>
          <w:lang w:val="en-US"/>
        </w:rPr>
        <w:t>were passed on to his family on his death does not appear in any way</w:t>
      </w:r>
      <w:r w:rsidR="002962F7">
        <w:rPr>
          <w:lang w:val="en-US"/>
        </w:rPr>
        <w:t xml:space="preserve"> </w:t>
      </w:r>
      <w:r w:rsidR="002962F7" w:rsidRPr="002962F7">
        <w:rPr>
          <w:lang w:val="en-US"/>
        </w:rPr>
        <w:t>unreasonable or arbitrary. Moreover, it is precisely because much of the</w:t>
      </w:r>
      <w:r w:rsidR="002962F7">
        <w:rPr>
          <w:lang w:val="en-US"/>
        </w:rPr>
        <w:t xml:space="preserve"> </w:t>
      </w:r>
      <w:r w:rsidR="002962F7" w:rsidRPr="002962F7">
        <w:rPr>
          <w:lang w:val="en-US"/>
        </w:rPr>
        <w:t>information disclosed in the book was classified in law as secret, and was</w:t>
      </w:r>
      <w:r w:rsidR="002962F7">
        <w:rPr>
          <w:lang w:val="en-US"/>
        </w:rPr>
        <w:t xml:space="preserve"> </w:t>
      </w:r>
      <w:r w:rsidR="002962F7" w:rsidRPr="002962F7">
        <w:rPr>
          <w:lang w:val="en-US"/>
        </w:rPr>
        <w:t xml:space="preserve">therefore </w:t>
      </w:r>
      <w:r w:rsidR="002962F7" w:rsidRPr="001F6EA2">
        <w:rPr>
          <w:i/>
          <w:iCs/>
          <w:lang w:val="en-US"/>
        </w:rPr>
        <w:t>a fortiori</w:t>
      </w:r>
      <w:r w:rsidR="002962F7" w:rsidRPr="002962F7">
        <w:rPr>
          <w:lang w:val="en-US"/>
        </w:rPr>
        <w:t xml:space="preserve"> received in confidence, that it was capable in practical</w:t>
      </w:r>
      <w:r w:rsidR="002962F7">
        <w:rPr>
          <w:lang w:val="en-US"/>
        </w:rPr>
        <w:t xml:space="preserve"> </w:t>
      </w:r>
      <w:r w:rsidR="002962F7" w:rsidRPr="002962F7">
        <w:rPr>
          <w:lang w:val="en-US"/>
        </w:rPr>
        <w:t>terms of infringing the rights of others</w:t>
      </w:r>
      <w:r w:rsidR="004B7C73">
        <w:rPr>
          <w:lang w:val="en-US"/>
        </w:rPr>
        <w:t>” (par. 34).</w:t>
      </w:r>
    </w:p>
    <w:p w14:paraId="543E0949" w14:textId="77777777" w:rsidR="00DD332C" w:rsidRDefault="002A6394" w:rsidP="002962F7">
      <w:pPr>
        <w:jc w:val="both"/>
        <w:rPr>
          <w:lang w:val="en-US"/>
        </w:rPr>
      </w:pPr>
      <w:r>
        <w:rPr>
          <w:lang w:val="en-US"/>
        </w:rPr>
        <w:t xml:space="preserve">Upon studying the necessity in a democratic society of the </w:t>
      </w:r>
      <w:r w:rsidR="00EE274B">
        <w:rPr>
          <w:lang w:val="en-US"/>
        </w:rPr>
        <w:t>interim injunction and the permanent ban of the book</w:t>
      </w:r>
      <w:r w:rsidR="00B12AC6">
        <w:rPr>
          <w:lang w:val="en-US"/>
        </w:rPr>
        <w:t xml:space="preserve">, the ECtHR deemed important to </w:t>
      </w:r>
      <w:r w:rsidR="008F1ED9">
        <w:rPr>
          <w:lang w:val="en-US"/>
        </w:rPr>
        <w:t xml:space="preserve">make </w:t>
      </w:r>
      <w:r w:rsidR="0093012D">
        <w:rPr>
          <w:lang w:val="en-US"/>
        </w:rPr>
        <w:t xml:space="preserve">a </w:t>
      </w:r>
      <w:r w:rsidR="008F1ED9">
        <w:rPr>
          <w:lang w:val="en-US"/>
        </w:rPr>
        <w:t>distinction</w:t>
      </w:r>
      <w:r w:rsidR="0093012D">
        <w:rPr>
          <w:lang w:val="en-US"/>
        </w:rPr>
        <w:t xml:space="preserve"> between </w:t>
      </w:r>
      <w:r w:rsidR="00DD332C">
        <w:rPr>
          <w:lang w:val="en-US"/>
        </w:rPr>
        <w:t>these measures</w:t>
      </w:r>
      <w:r w:rsidR="0093012D">
        <w:rPr>
          <w:lang w:val="en-US"/>
        </w:rPr>
        <w:t>.</w:t>
      </w:r>
    </w:p>
    <w:p w14:paraId="3D5CFEDD" w14:textId="556ECDD2" w:rsidR="00A97E33" w:rsidRDefault="00DD332C" w:rsidP="00A97E33">
      <w:pPr>
        <w:jc w:val="both"/>
        <w:rPr>
          <w:lang w:val="en-US"/>
        </w:rPr>
      </w:pPr>
      <w:r>
        <w:rPr>
          <w:lang w:val="en-US"/>
        </w:rPr>
        <w:t xml:space="preserve">After </w:t>
      </w:r>
      <w:r w:rsidR="00AD7B63">
        <w:rPr>
          <w:lang w:val="en-US"/>
        </w:rPr>
        <w:t>explaining that freedom of expression “</w:t>
      </w:r>
      <w:r w:rsidR="00AD7B63" w:rsidRPr="00AD7B63">
        <w:rPr>
          <w:lang w:val="en-US"/>
        </w:rPr>
        <w:t>constitutes one of the essential foundations of a</w:t>
      </w:r>
      <w:r w:rsidR="00AD7B63">
        <w:rPr>
          <w:lang w:val="en-US"/>
        </w:rPr>
        <w:t xml:space="preserve"> </w:t>
      </w:r>
      <w:r w:rsidR="00AD7B63" w:rsidRPr="00AD7B63">
        <w:rPr>
          <w:lang w:val="en-US"/>
        </w:rPr>
        <w:t>democratic society and one of the basic conditions for its progres</w:t>
      </w:r>
      <w:r w:rsidR="00AD7B63">
        <w:rPr>
          <w:lang w:val="en-US"/>
        </w:rPr>
        <w:t>s” (par. 42)</w:t>
      </w:r>
      <w:r w:rsidR="00BE037F">
        <w:rPr>
          <w:lang w:val="en-US"/>
        </w:rPr>
        <w:t>,</w:t>
      </w:r>
      <w:r w:rsidR="00242044">
        <w:rPr>
          <w:lang w:val="en-US"/>
        </w:rPr>
        <w:t xml:space="preserve"> and that restrictions to this right </w:t>
      </w:r>
      <w:r w:rsidR="001147F0">
        <w:rPr>
          <w:lang w:val="en-US"/>
        </w:rPr>
        <w:t>“</w:t>
      </w:r>
      <w:r w:rsidR="001147F0" w:rsidRPr="001147F0">
        <w:rPr>
          <w:lang w:val="en-US"/>
        </w:rPr>
        <w:t>call for the most careful</w:t>
      </w:r>
      <w:r w:rsidR="001147F0">
        <w:rPr>
          <w:lang w:val="en-US"/>
        </w:rPr>
        <w:t xml:space="preserve"> </w:t>
      </w:r>
      <w:r w:rsidR="001147F0" w:rsidRPr="001147F0">
        <w:rPr>
          <w:lang w:val="en-US"/>
        </w:rPr>
        <w:t>scrutiny on the part of the Court</w:t>
      </w:r>
      <w:r w:rsidR="001147F0">
        <w:rPr>
          <w:lang w:val="en-US"/>
        </w:rPr>
        <w:t>” (par. 42)</w:t>
      </w:r>
      <w:r w:rsidR="00E848B0">
        <w:rPr>
          <w:lang w:val="en-US"/>
        </w:rPr>
        <w:t xml:space="preserve">, the ECtHR </w:t>
      </w:r>
      <w:r w:rsidR="00C011BB">
        <w:rPr>
          <w:lang w:val="en-US"/>
        </w:rPr>
        <w:t xml:space="preserve">considered that </w:t>
      </w:r>
      <w:r w:rsidR="00A97E33">
        <w:rPr>
          <w:lang w:val="en-US"/>
        </w:rPr>
        <w:t>“</w:t>
      </w:r>
      <w:r w:rsidR="00A97E33" w:rsidRPr="00A97E33">
        <w:rPr>
          <w:lang w:val="en-US"/>
        </w:rPr>
        <w:t> the French authorities had</w:t>
      </w:r>
      <w:r w:rsidR="00A97E33">
        <w:rPr>
          <w:lang w:val="en-US"/>
        </w:rPr>
        <w:t xml:space="preserve"> </w:t>
      </w:r>
      <w:r w:rsidR="00A97E33" w:rsidRPr="00A97E33">
        <w:rPr>
          <w:lang w:val="en-US"/>
        </w:rPr>
        <w:t>only a limited margin of appreciation to decide whether there was a</w:t>
      </w:r>
      <w:r w:rsidR="00A97E33">
        <w:rPr>
          <w:lang w:val="en-US"/>
        </w:rPr>
        <w:t xml:space="preserve"> ‘</w:t>
      </w:r>
      <w:r w:rsidR="00A97E33" w:rsidRPr="00A97E33">
        <w:rPr>
          <w:lang w:val="en-US"/>
        </w:rPr>
        <w:t>pressing social need</w:t>
      </w:r>
      <w:r w:rsidR="00A97E33">
        <w:rPr>
          <w:lang w:val="en-US"/>
        </w:rPr>
        <w:t>’</w:t>
      </w:r>
      <w:r w:rsidR="00A97E33" w:rsidRPr="00A97E33">
        <w:rPr>
          <w:lang w:val="en-US"/>
        </w:rPr>
        <w:t xml:space="preserve"> to take the measures in question against the applicant</w:t>
      </w:r>
      <w:r w:rsidR="00A97E33">
        <w:rPr>
          <w:lang w:val="en-US"/>
        </w:rPr>
        <w:t xml:space="preserve"> </w:t>
      </w:r>
      <w:r w:rsidR="00A97E33" w:rsidRPr="00A97E33">
        <w:rPr>
          <w:lang w:val="en-US"/>
        </w:rPr>
        <w:t>company</w:t>
      </w:r>
      <w:r w:rsidR="00A97E33">
        <w:rPr>
          <w:lang w:val="en-US"/>
        </w:rPr>
        <w:t>” (par. 44)</w:t>
      </w:r>
      <w:r w:rsidR="00B05E92">
        <w:rPr>
          <w:lang w:val="en-US"/>
        </w:rPr>
        <w:t xml:space="preserve">, which </w:t>
      </w:r>
      <w:r w:rsidR="00A10749">
        <w:rPr>
          <w:lang w:val="en-US"/>
        </w:rPr>
        <w:t>allows for a temporal ban, but not  an indefinite</w:t>
      </w:r>
      <w:r w:rsidR="00D31EE9">
        <w:rPr>
          <w:lang w:val="en-US"/>
        </w:rPr>
        <w:t xml:space="preserve"> or</w:t>
      </w:r>
      <w:r w:rsidR="00A10749">
        <w:rPr>
          <w:lang w:val="en-US"/>
        </w:rPr>
        <w:t xml:space="preserve"> permanent one. </w:t>
      </w:r>
    </w:p>
    <w:p w14:paraId="42E805A3" w14:textId="6E23A507" w:rsidR="0044323C" w:rsidRDefault="00D31EE9" w:rsidP="0044323C">
      <w:pPr>
        <w:jc w:val="both"/>
        <w:rPr>
          <w:lang w:val="en-US"/>
        </w:rPr>
      </w:pPr>
      <w:r>
        <w:rPr>
          <w:lang w:val="en-US"/>
        </w:rPr>
        <w:t>The Court considered that the book was published in a</w:t>
      </w:r>
      <w:r w:rsidR="008D28A0">
        <w:rPr>
          <w:lang w:val="en-US"/>
        </w:rPr>
        <w:t xml:space="preserve"> context of national public debate </w:t>
      </w:r>
      <w:r w:rsidR="00DC1A82">
        <w:rPr>
          <w:lang w:val="en-US"/>
        </w:rPr>
        <w:t xml:space="preserve">regarding the right to information of the public about </w:t>
      </w:r>
      <w:r w:rsidR="0044323C">
        <w:rPr>
          <w:lang w:val="en-US"/>
        </w:rPr>
        <w:t>“</w:t>
      </w:r>
      <w:r w:rsidR="0044323C" w:rsidRPr="0044323C">
        <w:rPr>
          <w:lang w:val="en-US"/>
        </w:rPr>
        <w:t>any serious illnesses suffered by the head of State, and the question whether a person who knew that he was seriously ill was fit to hold the highest national office</w:t>
      </w:r>
      <w:r w:rsidR="0044323C">
        <w:rPr>
          <w:lang w:val="en-US"/>
        </w:rPr>
        <w:t>” (par. 45)</w:t>
      </w:r>
      <w:r w:rsidR="000F5ADE">
        <w:rPr>
          <w:lang w:val="en-US"/>
        </w:rPr>
        <w:t xml:space="preserve">, and the duty of transparency of political figures. </w:t>
      </w:r>
    </w:p>
    <w:p w14:paraId="08B34369" w14:textId="060F1526" w:rsidR="005A692B" w:rsidRDefault="0035765E" w:rsidP="005A692B">
      <w:pPr>
        <w:jc w:val="both"/>
        <w:rPr>
          <w:lang w:val="en-US"/>
        </w:rPr>
      </w:pPr>
      <w:proofErr w:type="gramStart"/>
      <w:r>
        <w:rPr>
          <w:lang w:val="en-US"/>
        </w:rPr>
        <w:t>In light of</w:t>
      </w:r>
      <w:proofErr w:type="gramEnd"/>
      <w:r>
        <w:rPr>
          <w:lang w:val="en-US"/>
        </w:rPr>
        <w:t xml:space="preserve"> this context, the ECtHR </w:t>
      </w:r>
      <w:r w:rsidR="005A003F">
        <w:rPr>
          <w:lang w:val="en-US"/>
        </w:rPr>
        <w:t xml:space="preserve">considered that the injunction </w:t>
      </w:r>
      <w:r w:rsidR="008F41A2">
        <w:rPr>
          <w:lang w:val="en-US"/>
        </w:rPr>
        <w:t xml:space="preserve">was a necessary and proportionate interference on the freedom of expression </w:t>
      </w:r>
      <w:r w:rsidR="00A844B1">
        <w:rPr>
          <w:lang w:val="en-US"/>
        </w:rPr>
        <w:t xml:space="preserve">of </w:t>
      </w:r>
      <w:r w:rsidR="006B029E">
        <w:rPr>
          <w:lang w:val="en-US"/>
        </w:rPr>
        <w:t>É</w:t>
      </w:r>
      <w:r w:rsidR="00A844B1">
        <w:rPr>
          <w:lang w:val="en-US"/>
        </w:rPr>
        <w:t xml:space="preserve">ditions </w:t>
      </w:r>
      <w:proofErr w:type="spellStart"/>
      <w:r w:rsidR="00A844B1">
        <w:rPr>
          <w:lang w:val="en-US"/>
        </w:rPr>
        <w:t>Plon</w:t>
      </w:r>
      <w:proofErr w:type="spellEnd"/>
      <w:r w:rsidR="00A844B1">
        <w:rPr>
          <w:lang w:val="en-US"/>
        </w:rPr>
        <w:t>. Its temporary nature</w:t>
      </w:r>
      <w:r w:rsidR="00B438E4">
        <w:rPr>
          <w:lang w:val="en-US"/>
        </w:rPr>
        <w:t>, and reasonable time limit</w:t>
      </w:r>
      <w:r w:rsidR="005A692B">
        <w:rPr>
          <w:lang w:val="en-US"/>
        </w:rPr>
        <w:t xml:space="preserve"> (ceasing </w:t>
      </w:r>
      <w:r w:rsidR="00900B79">
        <w:rPr>
          <w:lang w:val="en-US"/>
        </w:rPr>
        <w:t>“</w:t>
      </w:r>
      <w:r w:rsidR="005A692B" w:rsidRPr="005A692B">
        <w:rPr>
          <w:lang w:val="en-US"/>
        </w:rPr>
        <w:t>to have effect if</w:t>
      </w:r>
      <w:r w:rsidR="005A692B">
        <w:rPr>
          <w:lang w:val="en-US"/>
        </w:rPr>
        <w:t xml:space="preserve"> </w:t>
      </w:r>
      <w:r w:rsidR="005A692B" w:rsidRPr="005A692B">
        <w:rPr>
          <w:lang w:val="en-US"/>
        </w:rPr>
        <w:t>no application for a decision on the merits was made within one month</w:t>
      </w:r>
      <w:r w:rsidR="00900B79">
        <w:rPr>
          <w:lang w:val="en-US"/>
        </w:rPr>
        <w:t>” (par. 47)</w:t>
      </w:r>
      <w:r w:rsidR="005A692B">
        <w:rPr>
          <w:lang w:val="en-US"/>
        </w:rPr>
        <w:t>)</w:t>
      </w:r>
      <w:r w:rsidR="00900B79">
        <w:rPr>
          <w:lang w:val="en-US"/>
        </w:rPr>
        <w:t xml:space="preserve">, in the eyes of the </w:t>
      </w:r>
      <w:r w:rsidR="00732D9E">
        <w:rPr>
          <w:lang w:val="en-US"/>
        </w:rPr>
        <w:t xml:space="preserve">Court, affirmed the validity </w:t>
      </w:r>
      <w:r w:rsidR="0007417F">
        <w:rPr>
          <w:lang w:val="en-US"/>
        </w:rPr>
        <w:t>of this measure</w:t>
      </w:r>
      <w:r w:rsidR="0070139F">
        <w:rPr>
          <w:lang w:val="en-US"/>
        </w:rPr>
        <w:t xml:space="preserve"> </w:t>
      </w:r>
      <w:r w:rsidR="00D13802">
        <w:rPr>
          <w:lang w:val="en-US"/>
        </w:rPr>
        <w:t xml:space="preserve">since it allowed national courts </w:t>
      </w:r>
      <w:r w:rsidR="0054716C">
        <w:rPr>
          <w:lang w:val="en-US"/>
        </w:rPr>
        <w:t xml:space="preserve">to rule about whether the book “was </w:t>
      </w:r>
      <w:r w:rsidR="0054716C" w:rsidRPr="0054716C">
        <w:rPr>
          <w:lang w:val="en-US"/>
        </w:rPr>
        <w:t>compatible with medical confidentiality and the rights of others</w:t>
      </w:r>
      <w:r w:rsidR="0054716C">
        <w:rPr>
          <w:lang w:val="en-US"/>
        </w:rPr>
        <w:t>” (</w:t>
      </w:r>
      <w:r w:rsidR="00A1106B">
        <w:rPr>
          <w:lang w:val="en-US"/>
        </w:rPr>
        <w:t>par. 47).</w:t>
      </w:r>
    </w:p>
    <w:p w14:paraId="46695FA1" w14:textId="77777777" w:rsidR="008E515A" w:rsidRDefault="00A1106B" w:rsidP="009177C2">
      <w:pPr>
        <w:jc w:val="both"/>
        <w:rPr>
          <w:lang w:val="en-US"/>
        </w:rPr>
      </w:pPr>
      <w:r>
        <w:rPr>
          <w:lang w:val="en-US"/>
        </w:rPr>
        <w:t xml:space="preserve">Regarding the indefinite ban issued </w:t>
      </w:r>
      <w:r w:rsidR="0067781F">
        <w:rPr>
          <w:lang w:val="en-US"/>
        </w:rPr>
        <w:t xml:space="preserve">by the </w:t>
      </w:r>
      <w:r w:rsidR="0067781F" w:rsidRPr="0067781F">
        <w:rPr>
          <w:lang w:val="en-US"/>
        </w:rPr>
        <w:t xml:space="preserve">Paris </w:t>
      </w:r>
      <w:r w:rsidR="0067781F">
        <w:rPr>
          <w:lang w:val="en-US"/>
        </w:rPr>
        <w:t>T</w:t>
      </w:r>
      <w:r w:rsidR="0067781F" w:rsidRPr="0067781F">
        <w:rPr>
          <w:lang w:val="en-US"/>
        </w:rPr>
        <w:t xml:space="preserve">ribunal de </w:t>
      </w:r>
      <w:r w:rsidR="0067781F">
        <w:rPr>
          <w:lang w:val="en-US"/>
        </w:rPr>
        <w:t>G</w:t>
      </w:r>
      <w:r w:rsidR="0067781F" w:rsidRPr="0067781F">
        <w:rPr>
          <w:lang w:val="en-US"/>
        </w:rPr>
        <w:t>rande</w:t>
      </w:r>
      <w:r w:rsidR="0067781F">
        <w:rPr>
          <w:lang w:val="en-US"/>
        </w:rPr>
        <w:t xml:space="preserve"> I</w:t>
      </w:r>
      <w:r w:rsidR="0067781F" w:rsidRPr="0067781F">
        <w:rPr>
          <w:lang w:val="en-US"/>
        </w:rPr>
        <w:t>nstance</w:t>
      </w:r>
      <w:r w:rsidR="00BA4BE1">
        <w:rPr>
          <w:lang w:val="en-US"/>
        </w:rPr>
        <w:t xml:space="preserve"> on October 23, 1996, the ECtHR was of the opposite opinion. </w:t>
      </w:r>
      <w:r w:rsidR="005E7F61">
        <w:rPr>
          <w:lang w:val="en-US"/>
        </w:rPr>
        <w:t xml:space="preserve">According to the </w:t>
      </w:r>
      <w:r w:rsidR="00324EAA">
        <w:rPr>
          <w:lang w:val="en-US"/>
        </w:rPr>
        <w:t>Court “</w:t>
      </w:r>
      <w:r w:rsidR="009177C2" w:rsidRPr="009177C2">
        <w:rPr>
          <w:lang w:val="en-US"/>
        </w:rPr>
        <w:t>the more time that elapsed, the more the public interest</w:t>
      </w:r>
      <w:r w:rsidR="009177C2">
        <w:rPr>
          <w:lang w:val="en-US"/>
        </w:rPr>
        <w:t xml:space="preserve"> </w:t>
      </w:r>
      <w:r w:rsidR="009177C2" w:rsidRPr="009177C2">
        <w:rPr>
          <w:lang w:val="en-US"/>
        </w:rPr>
        <w:t>in discussion of the history of President Mitterrand's two terms of office</w:t>
      </w:r>
      <w:r w:rsidR="009177C2">
        <w:rPr>
          <w:lang w:val="en-US"/>
        </w:rPr>
        <w:t xml:space="preserve"> </w:t>
      </w:r>
      <w:r w:rsidR="009177C2" w:rsidRPr="009177C2">
        <w:rPr>
          <w:lang w:val="en-US"/>
        </w:rPr>
        <w:t>prevailed over the requirements of protecting the President's rights with</w:t>
      </w:r>
      <w:r w:rsidR="009177C2">
        <w:rPr>
          <w:lang w:val="en-US"/>
        </w:rPr>
        <w:t xml:space="preserve"> </w:t>
      </w:r>
      <w:r w:rsidR="009177C2" w:rsidRPr="009177C2">
        <w:rPr>
          <w:lang w:val="en-US"/>
        </w:rPr>
        <w:t>regard to medical confidentiality</w:t>
      </w:r>
      <w:r w:rsidR="00324EAA">
        <w:rPr>
          <w:lang w:val="en-US"/>
        </w:rPr>
        <w:t xml:space="preserve">” (par. 53). </w:t>
      </w:r>
      <w:r w:rsidR="008E515A">
        <w:rPr>
          <w:lang w:val="en-US"/>
        </w:rPr>
        <w:t xml:space="preserve"> </w:t>
      </w:r>
    </w:p>
    <w:p w14:paraId="2DD4C82D" w14:textId="4DE97A05" w:rsidR="00F671A0" w:rsidRDefault="008E515A" w:rsidP="00F671A0">
      <w:pPr>
        <w:jc w:val="both"/>
        <w:rPr>
          <w:lang w:val="en-US"/>
        </w:rPr>
      </w:pPr>
      <w:r>
        <w:rPr>
          <w:lang w:val="en-US"/>
        </w:rPr>
        <w:t xml:space="preserve">The ECtHR clarified that this does not mean </w:t>
      </w:r>
      <w:r w:rsidR="00570E0B">
        <w:rPr>
          <w:lang w:val="en-US"/>
        </w:rPr>
        <w:t>that medical practitioners are released from their duty of confidentiality</w:t>
      </w:r>
      <w:r w:rsidR="00EC5B06">
        <w:rPr>
          <w:lang w:val="en-US"/>
        </w:rPr>
        <w:t>, which is general and absolute, rather that when this duty  has been breached</w:t>
      </w:r>
      <w:r w:rsidR="001D4EF5">
        <w:rPr>
          <w:lang w:val="en-US"/>
        </w:rPr>
        <w:t>, and criminal sanctions have been imposed upon the person responsible</w:t>
      </w:r>
      <w:r w:rsidR="00F671A0">
        <w:rPr>
          <w:lang w:val="en-US"/>
        </w:rPr>
        <w:t xml:space="preserve"> “</w:t>
      </w:r>
      <w:r w:rsidR="00F671A0" w:rsidRPr="00F671A0">
        <w:rPr>
          <w:lang w:val="en-US"/>
        </w:rPr>
        <w:t>the passage of time must be taken into account in</w:t>
      </w:r>
      <w:r w:rsidR="00F671A0">
        <w:rPr>
          <w:lang w:val="en-US"/>
        </w:rPr>
        <w:t xml:space="preserve"> </w:t>
      </w:r>
      <w:r w:rsidR="00F671A0" w:rsidRPr="00F671A0">
        <w:rPr>
          <w:lang w:val="en-US"/>
        </w:rPr>
        <w:t>assessing whether such a serious measure as banning a book – a measure</w:t>
      </w:r>
      <w:r w:rsidR="00F671A0">
        <w:rPr>
          <w:lang w:val="en-US"/>
        </w:rPr>
        <w:t xml:space="preserve"> </w:t>
      </w:r>
      <w:r w:rsidR="00F671A0" w:rsidRPr="00F671A0">
        <w:rPr>
          <w:lang w:val="en-US"/>
        </w:rPr>
        <w:t>which in the instant case was likewise general and absolute – was</w:t>
      </w:r>
      <w:r w:rsidR="00F671A0">
        <w:rPr>
          <w:lang w:val="en-US"/>
        </w:rPr>
        <w:t xml:space="preserve"> c</w:t>
      </w:r>
      <w:r w:rsidR="00F671A0" w:rsidRPr="00F671A0">
        <w:rPr>
          <w:lang w:val="en-US"/>
        </w:rPr>
        <w:t>ompatible with freedom of expression</w:t>
      </w:r>
      <w:r w:rsidR="00F671A0">
        <w:rPr>
          <w:lang w:val="en-US"/>
        </w:rPr>
        <w:t xml:space="preserve">” (par. </w:t>
      </w:r>
      <w:r w:rsidR="00551840">
        <w:rPr>
          <w:lang w:val="en-US"/>
        </w:rPr>
        <w:t xml:space="preserve">53). </w:t>
      </w:r>
    </w:p>
    <w:p w14:paraId="7456A481" w14:textId="22E88F95" w:rsidR="00185B37" w:rsidRDefault="00551840" w:rsidP="00185B37">
      <w:pPr>
        <w:jc w:val="both"/>
        <w:rPr>
          <w:lang w:val="en-US"/>
        </w:rPr>
      </w:pPr>
      <w:r>
        <w:rPr>
          <w:lang w:val="en-US"/>
        </w:rPr>
        <w:t xml:space="preserve">The Court also </w:t>
      </w:r>
      <w:proofErr w:type="gramStart"/>
      <w:r>
        <w:rPr>
          <w:lang w:val="en-US"/>
        </w:rPr>
        <w:t>took into account</w:t>
      </w:r>
      <w:proofErr w:type="gramEnd"/>
      <w:r>
        <w:rPr>
          <w:lang w:val="en-US"/>
        </w:rPr>
        <w:t>, in assessing the necessity of a permanent ban</w:t>
      </w:r>
      <w:r w:rsidR="00360764">
        <w:rPr>
          <w:lang w:val="en-US"/>
        </w:rPr>
        <w:t>, the fact that over 40,000 copies of the book had been sold before its ban</w:t>
      </w:r>
      <w:r w:rsidR="00E87CD1">
        <w:rPr>
          <w:lang w:val="en-US"/>
        </w:rPr>
        <w:t>, and that the book was disseminated on the Internet</w:t>
      </w:r>
      <w:r w:rsidR="00B53D92">
        <w:rPr>
          <w:lang w:val="en-US"/>
        </w:rPr>
        <w:t xml:space="preserve"> and was subjected to considerable media </w:t>
      </w:r>
      <w:r w:rsidR="00185B37">
        <w:rPr>
          <w:lang w:val="en-US"/>
        </w:rPr>
        <w:t>attention. “</w:t>
      </w:r>
      <w:r w:rsidR="00185B37" w:rsidRPr="00185B37">
        <w:rPr>
          <w:lang w:val="en-US"/>
        </w:rPr>
        <w:t>Accordingly, by that stage the information in the book was to a</w:t>
      </w:r>
      <w:r w:rsidR="00185B37">
        <w:rPr>
          <w:lang w:val="en-US"/>
        </w:rPr>
        <w:t xml:space="preserve"> </w:t>
      </w:r>
      <w:r w:rsidR="00185B37" w:rsidRPr="00185B37">
        <w:rPr>
          <w:lang w:val="en-US"/>
        </w:rPr>
        <w:t>large extent no longer confidential in practice. Consequently, the</w:t>
      </w:r>
      <w:r w:rsidR="00C75651">
        <w:rPr>
          <w:lang w:val="en-US"/>
        </w:rPr>
        <w:t xml:space="preserve"> </w:t>
      </w:r>
      <w:r w:rsidR="00185B37" w:rsidRPr="00185B37">
        <w:rPr>
          <w:lang w:val="en-US"/>
        </w:rPr>
        <w:t>preservation of medical confidentiality could no longer constitute an</w:t>
      </w:r>
      <w:r w:rsidR="00C75651">
        <w:rPr>
          <w:lang w:val="en-US"/>
        </w:rPr>
        <w:t xml:space="preserve"> </w:t>
      </w:r>
      <w:r w:rsidR="00185B37" w:rsidRPr="00185B37">
        <w:rPr>
          <w:lang w:val="en-US"/>
        </w:rPr>
        <w:t>overriding requirement</w:t>
      </w:r>
      <w:r w:rsidR="00C75651">
        <w:rPr>
          <w:lang w:val="en-US"/>
        </w:rPr>
        <w:t xml:space="preserve">” (par. 53). </w:t>
      </w:r>
    </w:p>
    <w:p w14:paraId="714EB41D" w14:textId="3995DB6B" w:rsidR="004A76A9" w:rsidRDefault="00CF09E2" w:rsidP="004A76A9">
      <w:pPr>
        <w:jc w:val="both"/>
        <w:rPr>
          <w:lang w:val="en-US"/>
        </w:rPr>
      </w:pPr>
      <w:r>
        <w:rPr>
          <w:lang w:val="en-US"/>
        </w:rPr>
        <w:lastRenderedPageBreak/>
        <w:t xml:space="preserve">Thus, the Court </w:t>
      </w:r>
      <w:r w:rsidR="001C6E50">
        <w:rPr>
          <w:lang w:val="en-US"/>
        </w:rPr>
        <w:t>found</w:t>
      </w:r>
      <w:r>
        <w:rPr>
          <w:lang w:val="en-US"/>
        </w:rPr>
        <w:t xml:space="preserve"> a violation</w:t>
      </w:r>
      <w:r w:rsidR="00855670">
        <w:rPr>
          <w:lang w:val="en-US"/>
        </w:rPr>
        <w:t>,</w:t>
      </w:r>
      <w:r>
        <w:rPr>
          <w:lang w:val="en-US"/>
        </w:rPr>
        <w:t xml:space="preserve"> </w:t>
      </w:r>
      <w:r w:rsidR="00640815">
        <w:rPr>
          <w:lang w:val="en-US"/>
        </w:rPr>
        <w:t xml:space="preserve">under article 10 of the </w:t>
      </w:r>
      <w:r w:rsidR="00DC5C9B">
        <w:rPr>
          <w:lang w:val="en-US"/>
        </w:rPr>
        <w:t>ECHR,</w:t>
      </w:r>
      <w:r w:rsidR="00855670">
        <w:rPr>
          <w:lang w:val="en-US"/>
        </w:rPr>
        <w:t xml:space="preserve"> of the freedom of expression of </w:t>
      </w:r>
      <w:r w:rsidR="006B029E">
        <w:rPr>
          <w:lang w:val="en-US"/>
        </w:rPr>
        <w:t>É</w:t>
      </w:r>
      <w:r w:rsidR="00855670">
        <w:rPr>
          <w:lang w:val="en-US"/>
        </w:rPr>
        <w:t xml:space="preserve">ditions </w:t>
      </w:r>
      <w:proofErr w:type="spellStart"/>
      <w:r w:rsidR="00855670">
        <w:rPr>
          <w:lang w:val="en-US"/>
        </w:rPr>
        <w:t>Plon</w:t>
      </w:r>
      <w:proofErr w:type="spellEnd"/>
      <w:r w:rsidR="001C6E50">
        <w:rPr>
          <w:lang w:val="en-US"/>
        </w:rPr>
        <w:t xml:space="preserve">, since </w:t>
      </w:r>
      <w:r w:rsidR="004A76A9">
        <w:rPr>
          <w:lang w:val="en-US"/>
        </w:rPr>
        <w:t>“</w:t>
      </w:r>
      <w:r w:rsidR="001C6E50">
        <w:rPr>
          <w:lang w:val="en-US"/>
        </w:rPr>
        <w:t xml:space="preserve">there was </w:t>
      </w:r>
      <w:r w:rsidR="004A76A9" w:rsidRPr="004A76A9">
        <w:rPr>
          <w:lang w:val="en-US"/>
        </w:rPr>
        <w:t>no longer a</w:t>
      </w:r>
      <w:r w:rsidR="004A76A9">
        <w:rPr>
          <w:lang w:val="en-US"/>
        </w:rPr>
        <w:t xml:space="preserve"> </w:t>
      </w:r>
      <w:r w:rsidR="004A76A9" w:rsidRPr="004A76A9">
        <w:rPr>
          <w:lang w:val="en-US"/>
        </w:rPr>
        <w:t xml:space="preserve">“pressing social need” justifying the continued ban on distribution of </w:t>
      </w:r>
      <w:r w:rsidR="004A76A9" w:rsidRPr="004A76A9">
        <w:rPr>
          <w:i/>
          <w:iCs/>
          <w:lang w:val="en-US"/>
        </w:rPr>
        <w:t>Le Grand Secret</w:t>
      </w:r>
      <w:r w:rsidR="004A76A9">
        <w:rPr>
          <w:lang w:val="en-US"/>
        </w:rPr>
        <w:t>”</w:t>
      </w:r>
      <w:r w:rsidR="00DC5C9B">
        <w:rPr>
          <w:lang w:val="en-US"/>
        </w:rPr>
        <w:t xml:space="preserve"> (par. 55). </w:t>
      </w:r>
    </w:p>
    <w:p w14:paraId="6E52A3FE" w14:textId="56BF5EB7" w:rsidR="00993BAB" w:rsidRDefault="00B428E8" w:rsidP="004A76A9">
      <w:pPr>
        <w:jc w:val="both"/>
        <w:rPr>
          <w:lang w:val="en-US"/>
        </w:rPr>
      </w:pPr>
      <w:proofErr w:type="gramStart"/>
      <w:r>
        <w:rPr>
          <w:lang w:val="en-US"/>
        </w:rPr>
        <w:t>In regard to</w:t>
      </w:r>
      <w:proofErr w:type="gramEnd"/>
      <w:r w:rsidR="00747490">
        <w:rPr>
          <w:lang w:val="en-US"/>
        </w:rPr>
        <w:t xml:space="preserve"> the complain of the applicant company</w:t>
      </w:r>
      <w:r w:rsidR="00B76F77">
        <w:rPr>
          <w:lang w:val="en-US"/>
        </w:rPr>
        <w:t xml:space="preserve">, </w:t>
      </w:r>
      <w:r>
        <w:rPr>
          <w:lang w:val="en-US"/>
        </w:rPr>
        <w:t xml:space="preserve">which argued that there was an infringement </w:t>
      </w:r>
      <w:r w:rsidR="00D01226">
        <w:rPr>
          <w:lang w:val="en-US"/>
        </w:rPr>
        <w:t xml:space="preserve">of its right to freedom of expression for being ordered to </w:t>
      </w:r>
      <w:r w:rsidR="005E05DC">
        <w:rPr>
          <w:lang w:val="en-US"/>
        </w:rPr>
        <w:t>pay an</w:t>
      </w:r>
      <w:r w:rsidR="00EA7182">
        <w:rPr>
          <w:lang w:val="en-US"/>
        </w:rPr>
        <w:t xml:space="preserve"> </w:t>
      </w:r>
      <w:r w:rsidR="00D01226">
        <w:rPr>
          <w:lang w:val="en-US"/>
        </w:rPr>
        <w:t>“exorbitant</w:t>
      </w:r>
      <w:r w:rsidR="00EA7182">
        <w:rPr>
          <w:lang w:val="en-US"/>
        </w:rPr>
        <w:t xml:space="preserve">” amount for damages, </w:t>
      </w:r>
      <w:r w:rsidR="002836D3">
        <w:rPr>
          <w:lang w:val="en-US"/>
        </w:rPr>
        <w:t>“</w:t>
      </w:r>
      <w:r w:rsidR="002836D3" w:rsidRPr="002836D3">
        <w:rPr>
          <w:lang w:val="en-US"/>
        </w:rPr>
        <w:t>the Court consider</w:t>
      </w:r>
      <w:r w:rsidR="002836D3">
        <w:rPr>
          <w:lang w:val="en-US"/>
        </w:rPr>
        <w:t>[ed]</w:t>
      </w:r>
      <w:r w:rsidR="002836D3" w:rsidRPr="002836D3">
        <w:rPr>
          <w:lang w:val="en-US"/>
        </w:rPr>
        <w:t xml:space="preserve"> that it is not necessary to examine separately this aspect of the complaint, whose relevance, moreover, is not apparent</w:t>
      </w:r>
      <w:r w:rsidR="002836D3">
        <w:rPr>
          <w:lang w:val="en-US"/>
        </w:rPr>
        <w:t>” (par. 57)</w:t>
      </w:r>
      <w:r w:rsidR="005E05DC">
        <w:rPr>
          <w:lang w:val="en-US"/>
        </w:rPr>
        <w:t>.</w:t>
      </w:r>
    </w:p>
    <w:p w14:paraId="18CC2D70" w14:textId="77777777" w:rsidR="001073C8" w:rsidRDefault="001073C8" w:rsidP="004A76A9">
      <w:pPr>
        <w:jc w:val="both"/>
        <w:rPr>
          <w:lang w:val="en-US"/>
        </w:rPr>
      </w:pPr>
    </w:p>
    <w:p w14:paraId="50A79714" w14:textId="763121F7" w:rsidR="001073C8" w:rsidRPr="001073C8" w:rsidRDefault="001073C8" w:rsidP="004A76A9">
      <w:pPr>
        <w:jc w:val="both"/>
        <w:rPr>
          <w:b/>
          <w:bCs/>
          <w:lang w:val="en-US"/>
        </w:rPr>
      </w:pPr>
      <w:r w:rsidRPr="001073C8">
        <w:rPr>
          <w:b/>
          <w:bCs/>
          <w:lang w:val="en-US"/>
        </w:rPr>
        <w:t>Decision Direction</w:t>
      </w:r>
    </w:p>
    <w:p w14:paraId="7FC050FF" w14:textId="455D18B8" w:rsidR="001073C8" w:rsidRDefault="001073C8" w:rsidP="004A76A9">
      <w:pPr>
        <w:jc w:val="both"/>
        <w:rPr>
          <w:b/>
          <w:bCs/>
          <w:lang w:val="en-US"/>
        </w:rPr>
      </w:pPr>
      <w:r w:rsidRPr="001073C8">
        <w:rPr>
          <w:b/>
          <w:bCs/>
          <w:lang w:val="en-US"/>
        </w:rPr>
        <w:t>Mixed Outcome</w:t>
      </w:r>
    </w:p>
    <w:p w14:paraId="10F347A8" w14:textId="7D148A64" w:rsidR="001073C8" w:rsidRPr="006157B6" w:rsidRDefault="00245BEF" w:rsidP="004A76A9">
      <w:pPr>
        <w:jc w:val="both"/>
        <w:rPr>
          <w:lang w:val="en-US"/>
        </w:rPr>
      </w:pPr>
      <w:r>
        <w:rPr>
          <w:lang w:val="en-US"/>
        </w:rPr>
        <w:t>This judgment expands freedom of expression by considering that a book</w:t>
      </w:r>
      <w:r w:rsidR="00A019E4">
        <w:rPr>
          <w:lang w:val="en-US"/>
        </w:rPr>
        <w:t xml:space="preserve"> can</w:t>
      </w:r>
      <w:r w:rsidR="00297C67">
        <w:rPr>
          <w:lang w:val="en-US"/>
        </w:rPr>
        <w:t>’t</w:t>
      </w:r>
      <w:r w:rsidR="00A019E4">
        <w:rPr>
          <w:lang w:val="en-US"/>
        </w:rPr>
        <w:t xml:space="preserve"> be subjected to indefinite bans, even when the publication is about confidential and intimate matters</w:t>
      </w:r>
      <w:r w:rsidR="00A91018">
        <w:rPr>
          <w:lang w:val="en-US"/>
        </w:rPr>
        <w:t xml:space="preserve">. Nevertheless, this decision </w:t>
      </w:r>
      <w:r w:rsidR="00D76CBC">
        <w:rPr>
          <w:lang w:val="en-US"/>
        </w:rPr>
        <w:t xml:space="preserve">argues that temporal interferences or restraints </w:t>
      </w:r>
      <w:r w:rsidR="00C41DD4">
        <w:rPr>
          <w:lang w:val="en-US"/>
        </w:rPr>
        <w:t xml:space="preserve">on freedom of expression can be valid under international law. The ECtHR </w:t>
      </w:r>
      <w:r w:rsidR="006C532D">
        <w:rPr>
          <w:lang w:val="en-US"/>
        </w:rPr>
        <w:t xml:space="preserve">didn’t find any merit </w:t>
      </w:r>
      <w:r w:rsidR="007D1AD5">
        <w:rPr>
          <w:lang w:val="en-US"/>
        </w:rPr>
        <w:t xml:space="preserve">to the applicant’s complain regarding the payment of monetary </w:t>
      </w:r>
      <w:r w:rsidR="007F0F84">
        <w:rPr>
          <w:lang w:val="en-US"/>
        </w:rPr>
        <w:t>damages to Mitterrand’s heirs</w:t>
      </w:r>
      <w:r w:rsidR="00902C71">
        <w:rPr>
          <w:lang w:val="en-US"/>
        </w:rPr>
        <w:t xml:space="preserve">, thus failing to analyze if said measures could have a chilling effect </w:t>
      </w:r>
      <w:r w:rsidR="0060512E">
        <w:rPr>
          <w:lang w:val="en-US"/>
        </w:rPr>
        <w:t>on expression.</w:t>
      </w:r>
    </w:p>
    <w:p w14:paraId="7A654DD6" w14:textId="77777777" w:rsidR="001073C8" w:rsidRPr="001073C8" w:rsidRDefault="001073C8" w:rsidP="004A76A9">
      <w:pPr>
        <w:jc w:val="both"/>
        <w:rPr>
          <w:b/>
          <w:bCs/>
          <w:lang w:val="en-US"/>
        </w:rPr>
      </w:pPr>
    </w:p>
    <w:p w14:paraId="5786AFBA" w14:textId="77777777" w:rsidR="00A345BC" w:rsidRPr="00A345BC" w:rsidRDefault="00A345BC" w:rsidP="00A345BC">
      <w:pPr>
        <w:jc w:val="both"/>
        <w:rPr>
          <w:b/>
          <w:bCs/>
          <w:lang w:val="en-US"/>
        </w:rPr>
      </w:pPr>
      <w:r w:rsidRPr="00A345BC">
        <w:rPr>
          <w:b/>
          <w:bCs/>
          <w:lang w:val="en-US"/>
        </w:rPr>
        <w:t>Global Perspective</w:t>
      </w:r>
    </w:p>
    <w:p w14:paraId="65105613" w14:textId="77777777" w:rsidR="00A345BC" w:rsidRPr="00A345BC" w:rsidRDefault="00A345BC" w:rsidP="00A345BC">
      <w:pPr>
        <w:jc w:val="both"/>
        <w:rPr>
          <w:b/>
          <w:bCs/>
          <w:lang w:val="en-US"/>
        </w:rPr>
      </w:pPr>
      <w:r w:rsidRPr="00A345BC">
        <w:rPr>
          <w:b/>
          <w:bCs/>
          <w:lang w:val="en-US"/>
        </w:rPr>
        <w:t>National standards, law or jurisprudence</w:t>
      </w:r>
    </w:p>
    <w:p w14:paraId="3EC2F922" w14:textId="77777777" w:rsidR="00A345BC" w:rsidRPr="00A345BC" w:rsidRDefault="00A345BC" w:rsidP="00A345BC">
      <w:pPr>
        <w:jc w:val="both"/>
        <w:rPr>
          <w:b/>
          <w:bCs/>
          <w:lang w:val="en-US"/>
        </w:rPr>
      </w:pPr>
    </w:p>
    <w:p w14:paraId="123A6DFC" w14:textId="01197219" w:rsidR="00E162E7" w:rsidRDefault="008B10C4" w:rsidP="00380FCE">
      <w:pPr>
        <w:numPr>
          <w:ilvl w:val="0"/>
          <w:numId w:val="2"/>
        </w:numPr>
        <w:jc w:val="both"/>
        <w:rPr>
          <w:lang w:val="en-US"/>
        </w:rPr>
      </w:pPr>
      <w:r w:rsidRPr="00E162E7">
        <w:rPr>
          <w:lang w:val="en-US"/>
        </w:rPr>
        <w:t>ECtHR, Association</w:t>
      </w:r>
      <w:r w:rsidR="00E162E7" w:rsidRPr="00E162E7">
        <w:rPr>
          <w:lang w:val="en-US"/>
        </w:rPr>
        <w:t xml:space="preserve"> </w:t>
      </w:r>
      <w:proofErr w:type="spellStart"/>
      <w:r w:rsidR="00E162E7" w:rsidRPr="00E162E7">
        <w:rPr>
          <w:lang w:val="en-US"/>
        </w:rPr>
        <w:t>Ekin</w:t>
      </w:r>
      <w:proofErr w:type="spellEnd"/>
      <w:r w:rsidR="00E162E7" w:rsidRPr="00E162E7">
        <w:rPr>
          <w:lang w:val="en-US"/>
        </w:rPr>
        <w:t xml:space="preserve"> v. France, </w:t>
      </w:r>
      <w:r w:rsidR="004C781B">
        <w:rPr>
          <w:lang w:val="en-US"/>
        </w:rPr>
        <w:t>App</w:t>
      </w:r>
      <w:r w:rsidR="00E162E7" w:rsidRPr="00E162E7">
        <w:rPr>
          <w:lang w:val="en-US"/>
        </w:rPr>
        <w:t>. 39288/98</w:t>
      </w:r>
      <w:r w:rsidR="00173354">
        <w:rPr>
          <w:lang w:val="en-US"/>
        </w:rPr>
        <w:t xml:space="preserve"> (Jul. 17, 2001)</w:t>
      </w:r>
    </w:p>
    <w:p w14:paraId="347DBB2D" w14:textId="1E8FDE24" w:rsidR="00B65ADB" w:rsidRDefault="00B65ADB" w:rsidP="00380FCE">
      <w:pPr>
        <w:numPr>
          <w:ilvl w:val="0"/>
          <w:numId w:val="2"/>
        </w:numPr>
        <w:jc w:val="both"/>
        <w:rPr>
          <w:lang w:val="en-US"/>
        </w:rPr>
      </w:pPr>
      <w:r w:rsidRPr="00B65ADB">
        <w:rPr>
          <w:lang w:val="en-US"/>
        </w:rPr>
        <w:t xml:space="preserve">ECtHR, </w:t>
      </w:r>
      <w:proofErr w:type="spellStart"/>
      <w:r w:rsidRPr="00B65ADB">
        <w:rPr>
          <w:lang w:val="en-US"/>
        </w:rPr>
        <w:t>Bladet</w:t>
      </w:r>
      <w:proofErr w:type="spellEnd"/>
      <w:r w:rsidRPr="00B65ADB">
        <w:rPr>
          <w:lang w:val="en-US"/>
        </w:rPr>
        <w:t xml:space="preserve"> </w:t>
      </w:r>
      <w:proofErr w:type="spellStart"/>
      <w:r w:rsidRPr="00B65ADB">
        <w:rPr>
          <w:lang w:val="en-US"/>
        </w:rPr>
        <w:t>Tromsø</w:t>
      </w:r>
      <w:proofErr w:type="spellEnd"/>
      <w:r w:rsidRPr="00B65ADB">
        <w:rPr>
          <w:lang w:val="en-US"/>
        </w:rPr>
        <w:t xml:space="preserve"> and </w:t>
      </w:r>
      <w:proofErr w:type="spellStart"/>
      <w:r w:rsidRPr="00B65ADB">
        <w:rPr>
          <w:lang w:val="en-US"/>
        </w:rPr>
        <w:t>Stensaas</w:t>
      </w:r>
      <w:proofErr w:type="spellEnd"/>
      <w:r w:rsidRPr="00B65ADB">
        <w:rPr>
          <w:lang w:val="en-US"/>
        </w:rPr>
        <w:t xml:space="preserve"> v. Norway, </w:t>
      </w:r>
      <w:r>
        <w:rPr>
          <w:lang w:val="en-US"/>
        </w:rPr>
        <w:t>App.</w:t>
      </w:r>
      <w:r w:rsidRPr="00B65ADB">
        <w:rPr>
          <w:lang w:val="en-US"/>
        </w:rPr>
        <w:t xml:space="preserve"> 21980/93</w:t>
      </w:r>
      <w:r w:rsidR="002F048D">
        <w:rPr>
          <w:lang w:val="en-US"/>
        </w:rPr>
        <w:t xml:space="preserve"> (May 20, 1999)</w:t>
      </w:r>
    </w:p>
    <w:p w14:paraId="65037056" w14:textId="7BD2BA73" w:rsidR="009069E2" w:rsidRDefault="009069E2" w:rsidP="00380FCE">
      <w:pPr>
        <w:numPr>
          <w:ilvl w:val="0"/>
          <w:numId w:val="2"/>
        </w:numPr>
        <w:jc w:val="both"/>
        <w:rPr>
          <w:lang w:val="en-US"/>
        </w:rPr>
      </w:pPr>
      <w:r w:rsidRPr="009069E2">
        <w:rPr>
          <w:lang w:val="en-US"/>
        </w:rPr>
        <w:t xml:space="preserve">ECtHR, </w:t>
      </w:r>
      <w:proofErr w:type="spellStart"/>
      <w:r w:rsidRPr="009069E2">
        <w:rPr>
          <w:lang w:val="en-US"/>
        </w:rPr>
        <w:t>Colombani</w:t>
      </w:r>
      <w:proofErr w:type="spellEnd"/>
      <w:r w:rsidRPr="009069E2">
        <w:rPr>
          <w:lang w:val="en-US"/>
        </w:rPr>
        <w:t xml:space="preserve"> and Others v. France, </w:t>
      </w:r>
      <w:r>
        <w:rPr>
          <w:lang w:val="en-US"/>
        </w:rPr>
        <w:t>App</w:t>
      </w:r>
      <w:r w:rsidRPr="009069E2">
        <w:rPr>
          <w:lang w:val="en-US"/>
        </w:rPr>
        <w:t>. 51279/99</w:t>
      </w:r>
      <w:r>
        <w:rPr>
          <w:lang w:val="en-US"/>
        </w:rPr>
        <w:t xml:space="preserve"> (</w:t>
      </w:r>
      <w:r w:rsidR="00F22818">
        <w:rPr>
          <w:lang w:val="en-US"/>
        </w:rPr>
        <w:t>Jun. 25</w:t>
      </w:r>
      <w:r w:rsidR="008B10C4">
        <w:rPr>
          <w:lang w:val="en-US"/>
        </w:rPr>
        <w:t>, 2002)</w:t>
      </w:r>
    </w:p>
    <w:p w14:paraId="21E54D8D" w14:textId="4C440619" w:rsidR="008B10C4" w:rsidRDefault="008B10C4" w:rsidP="00380FCE">
      <w:pPr>
        <w:numPr>
          <w:ilvl w:val="0"/>
          <w:numId w:val="2"/>
        </w:numPr>
        <w:jc w:val="both"/>
        <w:rPr>
          <w:lang w:val="en-US"/>
        </w:rPr>
      </w:pPr>
      <w:r w:rsidRPr="008B10C4">
        <w:rPr>
          <w:lang w:val="en-US"/>
        </w:rPr>
        <w:t>ECtHR, Hertel v. Switzerland</w:t>
      </w:r>
      <w:r w:rsidR="00A72FBF">
        <w:rPr>
          <w:lang w:val="en-US"/>
        </w:rPr>
        <w:t>,</w:t>
      </w:r>
      <w:r w:rsidR="00A72FBF" w:rsidRPr="00A72FBF">
        <w:rPr>
          <w:lang w:val="en-US"/>
        </w:rPr>
        <w:t xml:space="preserve"> App. No. 25181/94</w:t>
      </w:r>
      <w:r w:rsidRPr="008B10C4">
        <w:rPr>
          <w:lang w:val="en-US"/>
        </w:rPr>
        <w:t xml:space="preserve"> (</w:t>
      </w:r>
      <w:r w:rsidR="009F6571">
        <w:rPr>
          <w:lang w:val="en-US"/>
        </w:rPr>
        <w:t>Jan. 17, 2002</w:t>
      </w:r>
      <w:r w:rsidRPr="008B10C4">
        <w:rPr>
          <w:lang w:val="en-US"/>
        </w:rPr>
        <w:t>)</w:t>
      </w:r>
    </w:p>
    <w:p w14:paraId="58DC6C36" w14:textId="1F762371" w:rsidR="00A345BC" w:rsidRDefault="00A345BC" w:rsidP="00380FCE">
      <w:pPr>
        <w:numPr>
          <w:ilvl w:val="0"/>
          <w:numId w:val="2"/>
        </w:numPr>
        <w:jc w:val="both"/>
        <w:rPr>
          <w:lang w:val="en-US"/>
        </w:rPr>
      </w:pPr>
      <w:r w:rsidRPr="00A345BC">
        <w:rPr>
          <w:lang w:val="en-US"/>
        </w:rPr>
        <w:t xml:space="preserve">ECtHR, </w:t>
      </w:r>
      <w:r w:rsidR="00380FCE" w:rsidRPr="00380FCE">
        <w:rPr>
          <w:lang w:val="en-US"/>
        </w:rPr>
        <w:t>Sunday Times v. the United Kingdom</w:t>
      </w:r>
      <w:r w:rsidR="000045CD">
        <w:rPr>
          <w:lang w:val="en-US"/>
        </w:rPr>
        <w:t>, App</w:t>
      </w:r>
      <w:r w:rsidR="00E162E7">
        <w:rPr>
          <w:lang w:val="en-US"/>
        </w:rPr>
        <w:t>.</w:t>
      </w:r>
      <w:r w:rsidR="00491EF6">
        <w:rPr>
          <w:lang w:val="en-US"/>
        </w:rPr>
        <w:t xml:space="preserve"> 6538/74</w:t>
      </w:r>
      <w:r w:rsidR="00380FCE" w:rsidRPr="00380FCE">
        <w:rPr>
          <w:lang w:val="en-US"/>
        </w:rPr>
        <w:t xml:space="preserve"> </w:t>
      </w:r>
      <w:r w:rsidR="00A73991">
        <w:rPr>
          <w:lang w:val="en-US"/>
        </w:rPr>
        <w:t>(Apr</w:t>
      </w:r>
      <w:r w:rsidR="00690443">
        <w:rPr>
          <w:lang w:val="en-US"/>
        </w:rPr>
        <w:t>.</w:t>
      </w:r>
      <w:r w:rsidR="00A73991">
        <w:rPr>
          <w:lang w:val="en-US"/>
        </w:rPr>
        <w:t xml:space="preserve"> 26, 1979).</w:t>
      </w:r>
    </w:p>
    <w:p w14:paraId="0B827B58" w14:textId="58E87027" w:rsidR="00E24B4B" w:rsidRDefault="00E24B4B" w:rsidP="00380FCE">
      <w:pPr>
        <w:numPr>
          <w:ilvl w:val="0"/>
          <w:numId w:val="2"/>
        </w:numPr>
        <w:jc w:val="both"/>
        <w:rPr>
          <w:lang w:val="en-US"/>
        </w:rPr>
      </w:pPr>
      <w:r>
        <w:rPr>
          <w:lang w:val="en-US"/>
        </w:rPr>
        <w:t>ECHR, art. 10</w:t>
      </w:r>
    </w:p>
    <w:p w14:paraId="605B0906" w14:textId="5CC347D5" w:rsidR="00E162E7" w:rsidRPr="00B9345F" w:rsidRDefault="00AE5F62" w:rsidP="00380FCE">
      <w:pPr>
        <w:numPr>
          <w:ilvl w:val="0"/>
          <w:numId w:val="2"/>
        </w:numPr>
        <w:jc w:val="both"/>
        <w:rPr>
          <w:b/>
          <w:bCs/>
          <w:lang w:val="en-US"/>
        </w:rPr>
      </w:pPr>
      <w:r w:rsidRPr="00B9345F">
        <w:rPr>
          <w:b/>
          <w:bCs/>
          <w:lang w:val="en-US"/>
        </w:rPr>
        <w:t xml:space="preserve">France, </w:t>
      </w:r>
      <w:r w:rsidR="00F73F61" w:rsidRPr="00B9345F">
        <w:rPr>
          <w:b/>
          <w:bCs/>
          <w:lang w:val="en-US"/>
        </w:rPr>
        <w:t>a</w:t>
      </w:r>
      <w:r w:rsidR="00CD463B" w:rsidRPr="00B9345F">
        <w:rPr>
          <w:b/>
          <w:bCs/>
          <w:lang w:val="en-US"/>
        </w:rPr>
        <w:t>rts. 4, 72 and 73, Code of Conduct for Medical Practitioners</w:t>
      </w:r>
    </w:p>
    <w:p w14:paraId="6934EC89" w14:textId="78EFBE0C" w:rsidR="00CD463B" w:rsidRPr="00B9345F" w:rsidRDefault="00CD463B" w:rsidP="00380FCE">
      <w:pPr>
        <w:numPr>
          <w:ilvl w:val="0"/>
          <w:numId w:val="2"/>
        </w:numPr>
        <w:jc w:val="both"/>
        <w:rPr>
          <w:b/>
          <w:bCs/>
          <w:lang w:val="en-US"/>
        </w:rPr>
      </w:pPr>
      <w:r w:rsidRPr="00B9345F">
        <w:rPr>
          <w:b/>
          <w:bCs/>
          <w:lang w:val="en-US"/>
        </w:rPr>
        <w:t xml:space="preserve">France, </w:t>
      </w:r>
      <w:r w:rsidR="00F73F61" w:rsidRPr="00B9345F">
        <w:rPr>
          <w:b/>
          <w:bCs/>
          <w:lang w:val="en-US"/>
        </w:rPr>
        <w:t>art. 226-13 of the Criminal Code</w:t>
      </w:r>
    </w:p>
    <w:p w14:paraId="2C5811E8" w14:textId="124E3D42" w:rsidR="00F73F61" w:rsidRDefault="00F73F61" w:rsidP="00380FCE">
      <w:pPr>
        <w:numPr>
          <w:ilvl w:val="0"/>
          <w:numId w:val="2"/>
        </w:numPr>
        <w:jc w:val="both"/>
        <w:rPr>
          <w:lang w:val="en-US"/>
        </w:rPr>
      </w:pPr>
      <w:r w:rsidRPr="00F73F61">
        <w:rPr>
          <w:lang w:val="en-US"/>
        </w:rPr>
        <w:t xml:space="preserve">France, </w:t>
      </w:r>
      <w:r>
        <w:rPr>
          <w:lang w:val="en-US"/>
        </w:rPr>
        <w:t>art.</w:t>
      </w:r>
      <w:r w:rsidRPr="00F73F61">
        <w:rPr>
          <w:lang w:val="en-US"/>
        </w:rPr>
        <w:t xml:space="preserve"> 1382 of the Civil Code</w:t>
      </w:r>
    </w:p>
    <w:p w14:paraId="0A4815F1" w14:textId="21B36303" w:rsidR="00D419BF" w:rsidRPr="00901BC7" w:rsidRDefault="00D419BF" w:rsidP="00380FCE">
      <w:pPr>
        <w:numPr>
          <w:ilvl w:val="0"/>
          <w:numId w:val="2"/>
        </w:numPr>
        <w:jc w:val="both"/>
        <w:rPr>
          <w:b/>
          <w:bCs/>
          <w:lang w:val="en-US"/>
        </w:rPr>
      </w:pPr>
      <w:r w:rsidRPr="00901BC7">
        <w:rPr>
          <w:b/>
          <w:bCs/>
          <w:lang w:val="en-US"/>
        </w:rPr>
        <w:t>France, art. 809 of the New Code of Civil Procedure</w:t>
      </w:r>
    </w:p>
    <w:p w14:paraId="4C19F61F" w14:textId="77777777" w:rsidR="00A345BC" w:rsidRPr="00A345BC" w:rsidRDefault="00A345BC" w:rsidP="00A345BC">
      <w:pPr>
        <w:jc w:val="both"/>
        <w:rPr>
          <w:b/>
          <w:bCs/>
          <w:lang w:val="en-US"/>
        </w:rPr>
      </w:pPr>
    </w:p>
    <w:p w14:paraId="7DAAC719" w14:textId="77777777" w:rsidR="00A345BC" w:rsidRPr="00A345BC" w:rsidRDefault="00A345BC" w:rsidP="00A345BC">
      <w:pPr>
        <w:jc w:val="both"/>
        <w:rPr>
          <w:b/>
          <w:bCs/>
          <w:lang w:val="en-US"/>
        </w:rPr>
      </w:pPr>
      <w:r w:rsidRPr="00A345BC">
        <w:rPr>
          <w:b/>
          <w:bCs/>
          <w:lang w:val="en-US"/>
        </w:rPr>
        <w:t>CASE SIGNIFICANCE</w:t>
      </w:r>
    </w:p>
    <w:p w14:paraId="1BA50232" w14:textId="77777777" w:rsidR="00A345BC" w:rsidRPr="00A345BC" w:rsidRDefault="00A345BC" w:rsidP="00A345BC">
      <w:pPr>
        <w:jc w:val="both"/>
        <w:rPr>
          <w:b/>
          <w:bCs/>
          <w:lang w:val="en-US"/>
        </w:rPr>
      </w:pPr>
      <w:r w:rsidRPr="00A345BC">
        <w:rPr>
          <w:b/>
          <w:bCs/>
          <w:lang w:val="en-US"/>
        </w:rPr>
        <w:lastRenderedPageBreak/>
        <w:t>The decision establishes a binding or persuasive precedent within its jurisdiction.</w:t>
      </w:r>
    </w:p>
    <w:p w14:paraId="2451F23C" w14:textId="77777777" w:rsidR="00A345BC" w:rsidRPr="00A345BC" w:rsidRDefault="00A345BC" w:rsidP="00A345BC">
      <w:pPr>
        <w:jc w:val="both"/>
        <w:rPr>
          <w:b/>
          <w:bCs/>
          <w:lang w:val="en-US"/>
        </w:rPr>
      </w:pPr>
      <w:r w:rsidRPr="00A345BC">
        <w:rPr>
          <w:b/>
          <w:bCs/>
          <w:lang w:val="en-US"/>
        </w:rPr>
        <w:t>Precedential effect</w:t>
      </w:r>
    </w:p>
    <w:p w14:paraId="0118128E" w14:textId="7360AD13" w:rsidR="00CF09E2" w:rsidRDefault="00CF09E2" w:rsidP="00185B37">
      <w:pPr>
        <w:jc w:val="both"/>
        <w:rPr>
          <w:lang w:val="en-US"/>
        </w:rPr>
      </w:pPr>
    </w:p>
    <w:p w14:paraId="79C467EB" w14:textId="77777777" w:rsidR="00C75651" w:rsidRPr="00185B37" w:rsidRDefault="00C75651" w:rsidP="00185B37">
      <w:pPr>
        <w:jc w:val="both"/>
        <w:rPr>
          <w:lang w:val="en-US"/>
        </w:rPr>
      </w:pPr>
    </w:p>
    <w:p w14:paraId="050FBF21" w14:textId="3AF1DBF4" w:rsidR="00551840" w:rsidRPr="00F671A0" w:rsidRDefault="00551840" w:rsidP="00F671A0">
      <w:pPr>
        <w:jc w:val="both"/>
        <w:rPr>
          <w:lang w:val="en-US"/>
        </w:rPr>
      </w:pPr>
    </w:p>
    <w:p w14:paraId="7EBF2DAF" w14:textId="57103A7E" w:rsidR="009177C2" w:rsidRPr="009177C2" w:rsidRDefault="009177C2" w:rsidP="009177C2">
      <w:pPr>
        <w:jc w:val="both"/>
        <w:rPr>
          <w:lang w:val="en-US"/>
        </w:rPr>
      </w:pPr>
    </w:p>
    <w:p w14:paraId="0B22A603" w14:textId="07488E6F" w:rsidR="0067781F" w:rsidRPr="0067781F" w:rsidRDefault="0067781F" w:rsidP="0067781F">
      <w:pPr>
        <w:jc w:val="both"/>
        <w:rPr>
          <w:lang w:val="en-US"/>
        </w:rPr>
      </w:pPr>
    </w:p>
    <w:p w14:paraId="6A106569" w14:textId="4B478101" w:rsidR="00A1106B" w:rsidRPr="005A692B" w:rsidRDefault="00A1106B" w:rsidP="005A692B">
      <w:pPr>
        <w:jc w:val="both"/>
        <w:rPr>
          <w:lang w:val="en-US"/>
        </w:rPr>
      </w:pPr>
    </w:p>
    <w:p w14:paraId="3AB7F83A" w14:textId="602DB78F" w:rsidR="0035765E" w:rsidRPr="0044323C" w:rsidRDefault="0035765E" w:rsidP="0044323C">
      <w:pPr>
        <w:jc w:val="both"/>
        <w:rPr>
          <w:lang w:val="en-US"/>
        </w:rPr>
      </w:pPr>
    </w:p>
    <w:p w14:paraId="0B6621B5" w14:textId="5A2D09F7" w:rsidR="00D31EE9" w:rsidRPr="00A97E33" w:rsidRDefault="00D31EE9" w:rsidP="00A97E33">
      <w:pPr>
        <w:jc w:val="both"/>
        <w:rPr>
          <w:lang w:val="en-US"/>
        </w:rPr>
      </w:pPr>
    </w:p>
    <w:p w14:paraId="209A68A3" w14:textId="33AA3B5A" w:rsidR="001147F0" w:rsidRPr="001147F0" w:rsidRDefault="001147F0" w:rsidP="001147F0">
      <w:pPr>
        <w:jc w:val="both"/>
        <w:rPr>
          <w:lang w:val="en-US"/>
        </w:rPr>
      </w:pPr>
    </w:p>
    <w:p w14:paraId="2DAA3CE4" w14:textId="5EACF234" w:rsidR="00AD7B63" w:rsidRPr="00AD7B63" w:rsidRDefault="00AD7B63" w:rsidP="00AD7B63">
      <w:pPr>
        <w:jc w:val="both"/>
        <w:rPr>
          <w:lang w:val="en-US"/>
        </w:rPr>
      </w:pPr>
    </w:p>
    <w:p w14:paraId="7E5CC6E1" w14:textId="76EECB32" w:rsidR="004B7C73" w:rsidRDefault="004B7C73" w:rsidP="002962F7">
      <w:pPr>
        <w:jc w:val="both"/>
        <w:rPr>
          <w:lang w:val="en-US"/>
        </w:rPr>
      </w:pPr>
    </w:p>
    <w:p w14:paraId="1DF5F435" w14:textId="77777777" w:rsidR="004B7C73" w:rsidRPr="002962F7" w:rsidRDefault="004B7C73" w:rsidP="002962F7">
      <w:pPr>
        <w:jc w:val="both"/>
        <w:rPr>
          <w:lang w:val="en-US"/>
        </w:rPr>
      </w:pPr>
    </w:p>
    <w:p w14:paraId="29D03678" w14:textId="2ADC3B3F" w:rsidR="00E372F4" w:rsidRPr="00007876" w:rsidRDefault="00E372F4" w:rsidP="00007876">
      <w:pPr>
        <w:jc w:val="both"/>
        <w:rPr>
          <w:lang w:val="en-US"/>
        </w:rPr>
      </w:pPr>
    </w:p>
    <w:p w14:paraId="25AF3FA5" w14:textId="608A18FC" w:rsidR="00724E0A" w:rsidRPr="00961638" w:rsidRDefault="00724E0A" w:rsidP="00961638">
      <w:pPr>
        <w:jc w:val="both"/>
        <w:rPr>
          <w:lang w:val="en-US"/>
        </w:rPr>
      </w:pPr>
    </w:p>
    <w:p w14:paraId="58E592DE" w14:textId="1A26FDAB" w:rsidR="001B5E15" w:rsidRPr="00E83399" w:rsidRDefault="001B5E15" w:rsidP="00E83399">
      <w:pPr>
        <w:jc w:val="both"/>
        <w:rPr>
          <w:lang w:val="en-US"/>
        </w:rPr>
      </w:pPr>
    </w:p>
    <w:p w14:paraId="02695049" w14:textId="27668B8C" w:rsidR="00713DBD" w:rsidRPr="00713DBD" w:rsidRDefault="00713DBD" w:rsidP="00713DBD">
      <w:pPr>
        <w:jc w:val="both"/>
        <w:rPr>
          <w:lang w:val="en-US"/>
        </w:rPr>
      </w:pPr>
    </w:p>
    <w:p w14:paraId="3F398FF3" w14:textId="1D39C30F" w:rsidR="00BE0481" w:rsidRPr="00144F88" w:rsidRDefault="00BE0481" w:rsidP="00144F88">
      <w:pPr>
        <w:jc w:val="both"/>
        <w:rPr>
          <w:lang w:val="en-US"/>
        </w:rPr>
      </w:pPr>
    </w:p>
    <w:p w14:paraId="773E29DE" w14:textId="12F665EC" w:rsidR="00CC67CC" w:rsidRPr="00CC67CC" w:rsidRDefault="00CC67CC" w:rsidP="00CC67CC">
      <w:pPr>
        <w:jc w:val="both"/>
        <w:rPr>
          <w:lang w:val="en-US"/>
        </w:rPr>
      </w:pPr>
    </w:p>
    <w:p w14:paraId="6D61D904" w14:textId="26D91A91" w:rsidR="009649F7" w:rsidRPr="009649F7" w:rsidRDefault="009649F7" w:rsidP="009649F7">
      <w:pPr>
        <w:jc w:val="both"/>
        <w:rPr>
          <w:lang w:val="en-US"/>
        </w:rPr>
      </w:pPr>
    </w:p>
    <w:p w14:paraId="3CC81E24" w14:textId="5DCF6763" w:rsidR="00330382" w:rsidRPr="00330382" w:rsidRDefault="00330382" w:rsidP="00330382">
      <w:pPr>
        <w:jc w:val="both"/>
        <w:rPr>
          <w:lang w:val="en-US"/>
        </w:rPr>
      </w:pPr>
    </w:p>
    <w:p w14:paraId="671AA59D" w14:textId="64391A20" w:rsidR="009A4D4A" w:rsidRPr="00C11182" w:rsidRDefault="009A4D4A" w:rsidP="00C11182">
      <w:pPr>
        <w:jc w:val="both"/>
        <w:rPr>
          <w:lang w:val="en-US"/>
        </w:rPr>
      </w:pPr>
    </w:p>
    <w:p w14:paraId="6DC38060" w14:textId="1A2EA31A" w:rsidR="00982D9C" w:rsidRPr="006B1C9A" w:rsidRDefault="00982D9C" w:rsidP="000D5EB2">
      <w:pPr>
        <w:jc w:val="both"/>
        <w:rPr>
          <w:lang w:val="en-US"/>
        </w:rPr>
      </w:pPr>
    </w:p>
    <w:p w14:paraId="2564E285" w14:textId="6A65BEB6" w:rsidR="0097068B" w:rsidRPr="005205D2" w:rsidRDefault="0097068B" w:rsidP="005205D2">
      <w:pPr>
        <w:jc w:val="both"/>
        <w:rPr>
          <w:lang w:val="en-US"/>
        </w:rPr>
      </w:pPr>
    </w:p>
    <w:p w14:paraId="15FB8063" w14:textId="425BCA48" w:rsidR="007C1289" w:rsidRPr="00713561" w:rsidRDefault="007C1289" w:rsidP="00713561">
      <w:pPr>
        <w:jc w:val="both"/>
        <w:rPr>
          <w:lang w:val="en-US"/>
        </w:rPr>
      </w:pPr>
    </w:p>
    <w:p w14:paraId="2700E53F" w14:textId="679D83C6" w:rsidR="00243B21" w:rsidRPr="00B3375A" w:rsidRDefault="00243B21" w:rsidP="00B3375A">
      <w:pPr>
        <w:jc w:val="both"/>
        <w:rPr>
          <w:lang w:val="en-US"/>
        </w:rPr>
      </w:pPr>
    </w:p>
    <w:p w14:paraId="0C8E71D7" w14:textId="48558A9A" w:rsidR="007962C3" w:rsidRPr="003F4231" w:rsidRDefault="007962C3" w:rsidP="003F4231">
      <w:pPr>
        <w:jc w:val="both"/>
        <w:rPr>
          <w:lang w:val="en-US"/>
        </w:rPr>
      </w:pPr>
    </w:p>
    <w:p w14:paraId="657DC05F" w14:textId="02E431B2" w:rsidR="009450EE" w:rsidRPr="009450EE" w:rsidRDefault="009450EE" w:rsidP="009450EE">
      <w:pPr>
        <w:jc w:val="both"/>
        <w:rPr>
          <w:lang w:val="en-US"/>
        </w:rPr>
      </w:pPr>
    </w:p>
    <w:p w14:paraId="6BDDF9BE" w14:textId="2449FB4B" w:rsidR="007022CB" w:rsidRPr="007022CB" w:rsidRDefault="007022CB" w:rsidP="007022CB">
      <w:pPr>
        <w:jc w:val="both"/>
        <w:rPr>
          <w:lang w:val="en-US"/>
        </w:rPr>
      </w:pPr>
    </w:p>
    <w:p w14:paraId="6E34F405" w14:textId="3DC2D5CD" w:rsidR="00C75583" w:rsidRDefault="00C75583" w:rsidP="00107A97">
      <w:pPr>
        <w:jc w:val="both"/>
        <w:rPr>
          <w:lang w:val="en-US"/>
        </w:rPr>
      </w:pPr>
    </w:p>
    <w:p w14:paraId="1F3C99F4" w14:textId="77777777" w:rsidR="00107A97" w:rsidRPr="00107A97" w:rsidRDefault="00107A97" w:rsidP="00107A97">
      <w:pPr>
        <w:jc w:val="both"/>
        <w:rPr>
          <w:lang w:val="en-US"/>
        </w:rPr>
      </w:pPr>
    </w:p>
    <w:p w14:paraId="78F620B9" w14:textId="71CDDEA9" w:rsidR="005D4043" w:rsidRPr="005D4043" w:rsidRDefault="005D4043" w:rsidP="005D4043">
      <w:pPr>
        <w:jc w:val="both"/>
        <w:rPr>
          <w:lang w:val="en-US"/>
        </w:rPr>
      </w:pPr>
    </w:p>
    <w:p w14:paraId="03536B05" w14:textId="155257C4" w:rsidR="00A8350F" w:rsidRPr="00A8350F" w:rsidRDefault="00A8350F" w:rsidP="00A8350F">
      <w:pPr>
        <w:jc w:val="both"/>
        <w:rPr>
          <w:lang w:val="en-US"/>
        </w:rPr>
      </w:pPr>
    </w:p>
    <w:p w14:paraId="2754CA82" w14:textId="323D41BC" w:rsidR="00470BA5" w:rsidRPr="00C071C8" w:rsidRDefault="00470BA5" w:rsidP="001A4E58">
      <w:pPr>
        <w:jc w:val="both"/>
        <w:rPr>
          <w:lang w:val="en-US"/>
        </w:rPr>
      </w:pPr>
    </w:p>
    <w:p w14:paraId="54E15E5F" w14:textId="33DEE1A5" w:rsidR="007754FC" w:rsidRPr="007754FC" w:rsidRDefault="007754FC" w:rsidP="007754FC">
      <w:pPr>
        <w:jc w:val="both"/>
        <w:rPr>
          <w:lang w:val="en-US"/>
        </w:rPr>
      </w:pPr>
    </w:p>
    <w:p w14:paraId="17BF9175" w14:textId="35C7D43C" w:rsidR="00956613" w:rsidRPr="00956613" w:rsidRDefault="00956613" w:rsidP="00956613">
      <w:pPr>
        <w:rPr>
          <w:b/>
          <w:bCs/>
          <w:lang w:val="en-US"/>
        </w:rPr>
      </w:pPr>
    </w:p>
    <w:p w14:paraId="02A646E4" w14:textId="59FC1BD4" w:rsidR="005B387C" w:rsidRPr="005B387C" w:rsidRDefault="005B387C" w:rsidP="005B387C">
      <w:pPr>
        <w:rPr>
          <w:b/>
          <w:bCs/>
          <w:lang w:val="en-US"/>
        </w:rPr>
      </w:pPr>
    </w:p>
    <w:p w14:paraId="33525C90" w14:textId="5BC9A81C" w:rsidR="005B387C" w:rsidRPr="005B387C" w:rsidRDefault="005B387C" w:rsidP="00E8318A">
      <w:pPr>
        <w:rPr>
          <w:b/>
          <w:bCs/>
          <w:lang w:val="en-US"/>
        </w:rPr>
      </w:pPr>
    </w:p>
    <w:p w14:paraId="5AFA0D29" w14:textId="283A0789" w:rsidR="00E8318A" w:rsidRPr="00E8318A" w:rsidRDefault="00E8318A" w:rsidP="00E8318A">
      <w:pPr>
        <w:rPr>
          <w:b/>
          <w:bCs/>
          <w:lang w:val="en-US"/>
        </w:rPr>
      </w:pPr>
      <w:r>
        <w:rPr>
          <w:b/>
          <w:bCs/>
          <w:lang w:val="en-US"/>
        </w:rPr>
        <w:t xml:space="preserve"> </w:t>
      </w:r>
    </w:p>
    <w:p w14:paraId="3414DBC1" w14:textId="6218CD4D" w:rsidR="00647D88" w:rsidRPr="00647D88" w:rsidRDefault="00647D88">
      <w:pPr>
        <w:rPr>
          <w:b/>
          <w:bCs/>
          <w:lang w:val="en-US"/>
        </w:rPr>
      </w:pPr>
    </w:p>
    <w:sectPr w:rsidR="00647D88" w:rsidRPr="00647D8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683"/>
    <w:multiLevelType w:val="hybridMultilevel"/>
    <w:tmpl w:val="3852EA52"/>
    <w:lvl w:ilvl="0" w:tplc="08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B5621E6"/>
    <w:multiLevelType w:val="multilevel"/>
    <w:tmpl w:val="7BAE22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92638638">
    <w:abstractNumId w:val="1"/>
  </w:num>
  <w:num w:numId="2" w16cid:durableId="373697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CF7"/>
    <w:rsid w:val="000045CD"/>
    <w:rsid w:val="00007876"/>
    <w:rsid w:val="00040B87"/>
    <w:rsid w:val="0006245F"/>
    <w:rsid w:val="000714FD"/>
    <w:rsid w:val="0007417F"/>
    <w:rsid w:val="00080740"/>
    <w:rsid w:val="000A194C"/>
    <w:rsid w:val="000C4E1F"/>
    <w:rsid w:val="000D5EB2"/>
    <w:rsid w:val="000E7437"/>
    <w:rsid w:val="000F19A6"/>
    <w:rsid w:val="000F4E22"/>
    <w:rsid w:val="000F5ADE"/>
    <w:rsid w:val="001073C8"/>
    <w:rsid w:val="00107A97"/>
    <w:rsid w:val="001147F0"/>
    <w:rsid w:val="001163FA"/>
    <w:rsid w:val="0012194D"/>
    <w:rsid w:val="001253A4"/>
    <w:rsid w:val="00140CE0"/>
    <w:rsid w:val="00144F88"/>
    <w:rsid w:val="00151ED6"/>
    <w:rsid w:val="0015429C"/>
    <w:rsid w:val="001565DF"/>
    <w:rsid w:val="00160AE4"/>
    <w:rsid w:val="001711DA"/>
    <w:rsid w:val="00173354"/>
    <w:rsid w:val="00185B37"/>
    <w:rsid w:val="001A4E58"/>
    <w:rsid w:val="001B49F4"/>
    <w:rsid w:val="001B5E15"/>
    <w:rsid w:val="001C6E50"/>
    <w:rsid w:val="001D0F52"/>
    <w:rsid w:val="001D4EF5"/>
    <w:rsid w:val="001D7334"/>
    <w:rsid w:val="001F6EA2"/>
    <w:rsid w:val="00212135"/>
    <w:rsid w:val="002161D6"/>
    <w:rsid w:val="0022778F"/>
    <w:rsid w:val="00232221"/>
    <w:rsid w:val="00236D4F"/>
    <w:rsid w:val="002413A9"/>
    <w:rsid w:val="00242044"/>
    <w:rsid w:val="00243B21"/>
    <w:rsid w:val="00245BEF"/>
    <w:rsid w:val="002541E7"/>
    <w:rsid w:val="00260F62"/>
    <w:rsid w:val="00266AD6"/>
    <w:rsid w:val="00271B5C"/>
    <w:rsid w:val="0027259C"/>
    <w:rsid w:val="002836D3"/>
    <w:rsid w:val="002962F7"/>
    <w:rsid w:val="00297C67"/>
    <w:rsid w:val="002A6394"/>
    <w:rsid w:val="002B0579"/>
    <w:rsid w:val="002D4D8C"/>
    <w:rsid w:val="002F048D"/>
    <w:rsid w:val="002F7F1C"/>
    <w:rsid w:val="00324EAA"/>
    <w:rsid w:val="00325A9F"/>
    <w:rsid w:val="00330382"/>
    <w:rsid w:val="003424AA"/>
    <w:rsid w:val="00345B16"/>
    <w:rsid w:val="0035765E"/>
    <w:rsid w:val="00360764"/>
    <w:rsid w:val="00373506"/>
    <w:rsid w:val="00380F19"/>
    <w:rsid w:val="00380FCE"/>
    <w:rsid w:val="00383A12"/>
    <w:rsid w:val="003B139F"/>
    <w:rsid w:val="003D5AE6"/>
    <w:rsid w:val="003E272B"/>
    <w:rsid w:val="003E58DE"/>
    <w:rsid w:val="003E7E5E"/>
    <w:rsid w:val="003F4231"/>
    <w:rsid w:val="003F4CA7"/>
    <w:rsid w:val="003F6E86"/>
    <w:rsid w:val="00403952"/>
    <w:rsid w:val="004178B7"/>
    <w:rsid w:val="004229C8"/>
    <w:rsid w:val="00440004"/>
    <w:rsid w:val="0044323C"/>
    <w:rsid w:val="00447760"/>
    <w:rsid w:val="00463DB9"/>
    <w:rsid w:val="004700B0"/>
    <w:rsid w:val="00470BA5"/>
    <w:rsid w:val="00471D51"/>
    <w:rsid w:val="00474117"/>
    <w:rsid w:val="00480011"/>
    <w:rsid w:val="00491EF6"/>
    <w:rsid w:val="00495FBD"/>
    <w:rsid w:val="004A76A9"/>
    <w:rsid w:val="004B7AC4"/>
    <w:rsid w:val="004B7C73"/>
    <w:rsid w:val="004C781B"/>
    <w:rsid w:val="004D458C"/>
    <w:rsid w:val="004E7B8D"/>
    <w:rsid w:val="004F2DA1"/>
    <w:rsid w:val="004F33E1"/>
    <w:rsid w:val="005039E6"/>
    <w:rsid w:val="005075F2"/>
    <w:rsid w:val="005205D2"/>
    <w:rsid w:val="00527555"/>
    <w:rsid w:val="00527808"/>
    <w:rsid w:val="0054716C"/>
    <w:rsid w:val="00547C0B"/>
    <w:rsid w:val="00551257"/>
    <w:rsid w:val="00551840"/>
    <w:rsid w:val="00551C99"/>
    <w:rsid w:val="00570E0B"/>
    <w:rsid w:val="005814DE"/>
    <w:rsid w:val="00584C3F"/>
    <w:rsid w:val="00587F13"/>
    <w:rsid w:val="0059014D"/>
    <w:rsid w:val="00593686"/>
    <w:rsid w:val="005948C1"/>
    <w:rsid w:val="005A003F"/>
    <w:rsid w:val="005A221B"/>
    <w:rsid w:val="005A692B"/>
    <w:rsid w:val="005B1111"/>
    <w:rsid w:val="005B387C"/>
    <w:rsid w:val="005B515C"/>
    <w:rsid w:val="005D4043"/>
    <w:rsid w:val="005D7E6F"/>
    <w:rsid w:val="005E05DC"/>
    <w:rsid w:val="005E241A"/>
    <w:rsid w:val="005E4EE4"/>
    <w:rsid w:val="005E62B6"/>
    <w:rsid w:val="005E7F61"/>
    <w:rsid w:val="0060512E"/>
    <w:rsid w:val="00607806"/>
    <w:rsid w:val="0061015D"/>
    <w:rsid w:val="006107C8"/>
    <w:rsid w:val="0061125D"/>
    <w:rsid w:val="006157B6"/>
    <w:rsid w:val="006234EE"/>
    <w:rsid w:val="00631628"/>
    <w:rsid w:val="00636D0B"/>
    <w:rsid w:val="00640815"/>
    <w:rsid w:val="0064241A"/>
    <w:rsid w:val="00647D88"/>
    <w:rsid w:val="00665A87"/>
    <w:rsid w:val="00675868"/>
    <w:rsid w:val="0067781F"/>
    <w:rsid w:val="00690443"/>
    <w:rsid w:val="00691780"/>
    <w:rsid w:val="006A3ACD"/>
    <w:rsid w:val="006A6822"/>
    <w:rsid w:val="006A71AE"/>
    <w:rsid w:val="006B029E"/>
    <w:rsid w:val="006B1C9A"/>
    <w:rsid w:val="006C532D"/>
    <w:rsid w:val="006E72E8"/>
    <w:rsid w:val="0070139F"/>
    <w:rsid w:val="007022CB"/>
    <w:rsid w:val="00713561"/>
    <w:rsid w:val="00713DBD"/>
    <w:rsid w:val="00724E0A"/>
    <w:rsid w:val="00726867"/>
    <w:rsid w:val="007322B6"/>
    <w:rsid w:val="00732D9E"/>
    <w:rsid w:val="00734EDC"/>
    <w:rsid w:val="00747490"/>
    <w:rsid w:val="00753BBB"/>
    <w:rsid w:val="00756FAD"/>
    <w:rsid w:val="007754FC"/>
    <w:rsid w:val="00791D38"/>
    <w:rsid w:val="007962C3"/>
    <w:rsid w:val="007A258E"/>
    <w:rsid w:val="007C1289"/>
    <w:rsid w:val="007D1AD5"/>
    <w:rsid w:val="007D724D"/>
    <w:rsid w:val="007E33D7"/>
    <w:rsid w:val="007E41FD"/>
    <w:rsid w:val="007F0F84"/>
    <w:rsid w:val="00854BA0"/>
    <w:rsid w:val="00855670"/>
    <w:rsid w:val="00873485"/>
    <w:rsid w:val="00887B8E"/>
    <w:rsid w:val="0089582F"/>
    <w:rsid w:val="008A1DDA"/>
    <w:rsid w:val="008A5715"/>
    <w:rsid w:val="008B10C4"/>
    <w:rsid w:val="008D28A0"/>
    <w:rsid w:val="008D46A2"/>
    <w:rsid w:val="008E0C5F"/>
    <w:rsid w:val="008E515A"/>
    <w:rsid w:val="008F1ED9"/>
    <w:rsid w:val="008F41A2"/>
    <w:rsid w:val="00900B79"/>
    <w:rsid w:val="00901BC7"/>
    <w:rsid w:val="00902C71"/>
    <w:rsid w:val="009069E2"/>
    <w:rsid w:val="009177C2"/>
    <w:rsid w:val="00924D2B"/>
    <w:rsid w:val="0093012D"/>
    <w:rsid w:val="009310DE"/>
    <w:rsid w:val="009450EE"/>
    <w:rsid w:val="00950487"/>
    <w:rsid w:val="00956613"/>
    <w:rsid w:val="00961638"/>
    <w:rsid w:val="009649F7"/>
    <w:rsid w:val="0097068B"/>
    <w:rsid w:val="00976984"/>
    <w:rsid w:val="00976ED0"/>
    <w:rsid w:val="00982D9C"/>
    <w:rsid w:val="0098357E"/>
    <w:rsid w:val="00993BAB"/>
    <w:rsid w:val="0099584E"/>
    <w:rsid w:val="009A07C2"/>
    <w:rsid w:val="009A4D4A"/>
    <w:rsid w:val="009C1623"/>
    <w:rsid w:val="009C3CF7"/>
    <w:rsid w:val="009F6571"/>
    <w:rsid w:val="00A019E4"/>
    <w:rsid w:val="00A10749"/>
    <w:rsid w:val="00A1106B"/>
    <w:rsid w:val="00A170FB"/>
    <w:rsid w:val="00A24D96"/>
    <w:rsid w:val="00A3020C"/>
    <w:rsid w:val="00A345BC"/>
    <w:rsid w:val="00A72FBF"/>
    <w:rsid w:val="00A73991"/>
    <w:rsid w:val="00A8350F"/>
    <w:rsid w:val="00A844B1"/>
    <w:rsid w:val="00A91018"/>
    <w:rsid w:val="00A952FB"/>
    <w:rsid w:val="00A97E33"/>
    <w:rsid w:val="00AA150C"/>
    <w:rsid w:val="00AC3D7F"/>
    <w:rsid w:val="00AD1DF7"/>
    <w:rsid w:val="00AD7B63"/>
    <w:rsid w:val="00AE5F62"/>
    <w:rsid w:val="00AF24FD"/>
    <w:rsid w:val="00AF3F0E"/>
    <w:rsid w:val="00AF49BB"/>
    <w:rsid w:val="00AF5CC2"/>
    <w:rsid w:val="00B048BB"/>
    <w:rsid w:val="00B05E92"/>
    <w:rsid w:val="00B115B8"/>
    <w:rsid w:val="00B12AC6"/>
    <w:rsid w:val="00B3375A"/>
    <w:rsid w:val="00B36678"/>
    <w:rsid w:val="00B428E8"/>
    <w:rsid w:val="00B438E4"/>
    <w:rsid w:val="00B50C1C"/>
    <w:rsid w:val="00B53D92"/>
    <w:rsid w:val="00B65ADB"/>
    <w:rsid w:val="00B70BDE"/>
    <w:rsid w:val="00B76E3C"/>
    <w:rsid w:val="00B76F77"/>
    <w:rsid w:val="00B801A5"/>
    <w:rsid w:val="00B82AC1"/>
    <w:rsid w:val="00B9345F"/>
    <w:rsid w:val="00BA1D07"/>
    <w:rsid w:val="00BA4BE1"/>
    <w:rsid w:val="00BA511A"/>
    <w:rsid w:val="00BA5FD3"/>
    <w:rsid w:val="00BB14DF"/>
    <w:rsid w:val="00BB1CCB"/>
    <w:rsid w:val="00BC29B4"/>
    <w:rsid w:val="00BC4DD7"/>
    <w:rsid w:val="00BC6933"/>
    <w:rsid w:val="00BE00FF"/>
    <w:rsid w:val="00BE037F"/>
    <w:rsid w:val="00BE0481"/>
    <w:rsid w:val="00C011BB"/>
    <w:rsid w:val="00C071C8"/>
    <w:rsid w:val="00C11182"/>
    <w:rsid w:val="00C260C0"/>
    <w:rsid w:val="00C270C9"/>
    <w:rsid w:val="00C35767"/>
    <w:rsid w:val="00C41DD4"/>
    <w:rsid w:val="00C55E85"/>
    <w:rsid w:val="00C75583"/>
    <w:rsid w:val="00C75651"/>
    <w:rsid w:val="00C86E9C"/>
    <w:rsid w:val="00C901A3"/>
    <w:rsid w:val="00CA73B5"/>
    <w:rsid w:val="00CB3271"/>
    <w:rsid w:val="00CC01DF"/>
    <w:rsid w:val="00CC67CC"/>
    <w:rsid w:val="00CD1EE9"/>
    <w:rsid w:val="00CD463B"/>
    <w:rsid w:val="00CE4FC6"/>
    <w:rsid w:val="00CF09E2"/>
    <w:rsid w:val="00CF7ED7"/>
    <w:rsid w:val="00D01226"/>
    <w:rsid w:val="00D11D6F"/>
    <w:rsid w:val="00D13802"/>
    <w:rsid w:val="00D16005"/>
    <w:rsid w:val="00D30185"/>
    <w:rsid w:val="00D31EE9"/>
    <w:rsid w:val="00D335CF"/>
    <w:rsid w:val="00D37734"/>
    <w:rsid w:val="00D419BF"/>
    <w:rsid w:val="00D44917"/>
    <w:rsid w:val="00D47354"/>
    <w:rsid w:val="00D63819"/>
    <w:rsid w:val="00D76CBC"/>
    <w:rsid w:val="00D84905"/>
    <w:rsid w:val="00D91B73"/>
    <w:rsid w:val="00D94C34"/>
    <w:rsid w:val="00DB1871"/>
    <w:rsid w:val="00DC1A82"/>
    <w:rsid w:val="00DC5C9B"/>
    <w:rsid w:val="00DD332C"/>
    <w:rsid w:val="00DE5C22"/>
    <w:rsid w:val="00DE6B65"/>
    <w:rsid w:val="00E05F4E"/>
    <w:rsid w:val="00E162E7"/>
    <w:rsid w:val="00E20EBB"/>
    <w:rsid w:val="00E24B4B"/>
    <w:rsid w:val="00E372F4"/>
    <w:rsid w:val="00E777A7"/>
    <w:rsid w:val="00E80936"/>
    <w:rsid w:val="00E8318A"/>
    <w:rsid w:val="00E83399"/>
    <w:rsid w:val="00E848B0"/>
    <w:rsid w:val="00E87CD1"/>
    <w:rsid w:val="00EA7182"/>
    <w:rsid w:val="00EB5228"/>
    <w:rsid w:val="00EC5B06"/>
    <w:rsid w:val="00EE0BCB"/>
    <w:rsid w:val="00EE274B"/>
    <w:rsid w:val="00EE7915"/>
    <w:rsid w:val="00EF34D2"/>
    <w:rsid w:val="00F06BC9"/>
    <w:rsid w:val="00F22818"/>
    <w:rsid w:val="00F34337"/>
    <w:rsid w:val="00F671A0"/>
    <w:rsid w:val="00F71B98"/>
    <w:rsid w:val="00F723D0"/>
    <w:rsid w:val="00F73F61"/>
    <w:rsid w:val="00F812B1"/>
    <w:rsid w:val="00F821C5"/>
    <w:rsid w:val="00F87D92"/>
    <w:rsid w:val="00F9161A"/>
    <w:rsid w:val="00FA3056"/>
    <w:rsid w:val="00FA36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8CC37"/>
  <w15:chartTrackingRefBased/>
  <w15:docId w15:val="{3C015E9F-9120-4FB8-A7A4-3809C631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8318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6307">
      <w:bodyDiv w:val="1"/>
      <w:marLeft w:val="0"/>
      <w:marRight w:val="0"/>
      <w:marTop w:val="0"/>
      <w:marBottom w:val="0"/>
      <w:divBdr>
        <w:top w:val="none" w:sz="0" w:space="0" w:color="auto"/>
        <w:left w:val="none" w:sz="0" w:space="0" w:color="auto"/>
        <w:bottom w:val="none" w:sz="0" w:space="0" w:color="auto"/>
        <w:right w:val="none" w:sz="0" w:space="0" w:color="auto"/>
      </w:divBdr>
    </w:div>
    <w:div w:id="37053837">
      <w:bodyDiv w:val="1"/>
      <w:marLeft w:val="0"/>
      <w:marRight w:val="0"/>
      <w:marTop w:val="0"/>
      <w:marBottom w:val="0"/>
      <w:divBdr>
        <w:top w:val="none" w:sz="0" w:space="0" w:color="auto"/>
        <w:left w:val="none" w:sz="0" w:space="0" w:color="auto"/>
        <w:bottom w:val="none" w:sz="0" w:space="0" w:color="auto"/>
        <w:right w:val="none" w:sz="0" w:space="0" w:color="auto"/>
      </w:divBdr>
    </w:div>
    <w:div w:id="41487449">
      <w:bodyDiv w:val="1"/>
      <w:marLeft w:val="0"/>
      <w:marRight w:val="0"/>
      <w:marTop w:val="0"/>
      <w:marBottom w:val="0"/>
      <w:divBdr>
        <w:top w:val="none" w:sz="0" w:space="0" w:color="auto"/>
        <w:left w:val="none" w:sz="0" w:space="0" w:color="auto"/>
        <w:bottom w:val="none" w:sz="0" w:space="0" w:color="auto"/>
        <w:right w:val="none" w:sz="0" w:space="0" w:color="auto"/>
      </w:divBdr>
    </w:div>
    <w:div w:id="77823875">
      <w:bodyDiv w:val="1"/>
      <w:marLeft w:val="0"/>
      <w:marRight w:val="0"/>
      <w:marTop w:val="0"/>
      <w:marBottom w:val="0"/>
      <w:divBdr>
        <w:top w:val="none" w:sz="0" w:space="0" w:color="auto"/>
        <w:left w:val="none" w:sz="0" w:space="0" w:color="auto"/>
        <w:bottom w:val="none" w:sz="0" w:space="0" w:color="auto"/>
        <w:right w:val="none" w:sz="0" w:space="0" w:color="auto"/>
      </w:divBdr>
    </w:div>
    <w:div w:id="110638026">
      <w:bodyDiv w:val="1"/>
      <w:marLeft w:val="0"/>
      <w:marRight w:val="0"/>
      <w:marTop w:val="0"/>
      <w:marBottom w:val="0"/>
      <w:divBdr>
        <w:top w:val="none" w:sz="0" w:space="0" w:color="auto"/>
        <w:left w:val="none" w:sz="0" w:space="0" w:color="auto"/>
        <w:bottom w:val="none" w:sz="0" w:space="0" w:color="auto"/>
        <w:right w:val="none" w:sz="0" w:space="0" w:color="auto"/>
      </w:divBdr>
    </w:div>
    <w:div w:id="169370791">
      <w:bodyDiv w:val="1"/>
      <w:marLeft w:val="0"/>
      <w:marRight w:val="0"/>
      <w:marTop w:val="0"/>
      <w:marBottom w:val="0"/>
      <w:divBdr>
        <w:top w:val="none" w:sz="0" w:space="0" w:color="auto"/>
        <w:left w:val="none" w:sz="0" w:space="0" w:color="auto"/>
        <w:bottom w:val="none" w:sz="0" w:space="0" w:color="auto"/>
        <w:right w:val="none" w:sz="0" w:space="0" w:color="auto"/>
      </w:divBdr>
    </w:div>
    <w:div w:id="279142133">
      <w:bodyDiv w:val="1"/>
      <w:marLeft w:val="0"/>
      <w:marRight w:val="0"/>
      <w:marTop w:val="0"/>
      <w:marBottom w:val="0"/>
      <w:divBdr>
        <w:top w:val="none" w:sz="0" w:space="0" w:color="auto"/>
        <w:left w:val="none" w:sz="0" w:space="0" w:color="auto"/>
        <w:bottom w:val="none" w:sz="0" w:space="0" w:color="auto"/>
        <w:right w:val="none" w:sz="0" w:space="0" w:color="auto"/>
      </w:divBdr>
    </w:div>
    <w:div w:id="303386801">
      <w:bodyDiv w:val="1"/>
      <w:marLeft w:val="0"/>
      <w:marRight w:val="0"/>
      <w:marTop w:val="0"/>
      <w:marBottom w:val="0"/>
      <w:divBdr>
        <w:top w:val="none" w:sz="0" w:space="0" w:color="auto"/>
        <w:left w:val="none" w:sz="0" w:space="0" w:color="auto"/>
        <w:bottom w:val="none" w:sz="0" w:space="0" w:color="auto"/>
        <w:right w:val="none" w:sz="0" w:space="0" w:color="auto"/>
      </w:divBdr>
    </w:div>
    <w:div w:id="337193977">
      <w:bodyDiv w:val="1"/>
      <w:marLeft w:val="0"/>
      <w:marRight w:val="0"/>
      <w:marTop w:val="0"/>
      <w:marBottom w:val="0"/>
      <w:divBdr>
        <w:top w:val="none" w:sz="0" w:space="0" w:color="auto"/>
        <w:left w:val="none" w:sz="0" w:space="0" w:color="auto"/>
        <w:bottom w:val="none" w:sz="0" w:space="0" w:color="auto"/>
        <w:right w:val="none" w:sz="0" w:space="0" w:color="auto"/>
      </w:divBdr>
    </w:div>
    <w:div w:id="351079433">
      <w:bodyDiv w:val="1"/>
      <w:marLeft w:val="0"/>
      <w:marRight w:val="0"/>
      <w:marTop w:val="0"/>
      <w:marBottom w:val="0"/>
      <w:divBdr>
        <w:top w:val="none" w:sz="0" w:space="0" w:color="auto"/>
        <w:left w:val="none" w:sz="0" w:space="0" w:color="auto"/>
        <w:bottom w:val="none" w:sz="0" w:space="0" w:color="auto"/>
        <w:right w:val="none" w:sz="0" w:space="0" w:color="auto"/>
      </w:divBdr>
    </w:div>
    <w:div w:id="390153779">
      <w:bodyDiv w:val="1"/>
      <w:marLeft w:val="0"/>
      <w:marRight w:val="0"/>
      <w:marTop w:val="0"/>
      <w:marBottom w:val="0"/>
      <w:divBdr>
        <w:top w:val="none" w:sz="0" w:space="0" w:color="auto"/>
        <w:left w:val="none" w:sz="0" w:space="0" w:color="auto"/>
        <w:bottom w:val="none" w:sz="0" w:space="0" w:color="auto"/>
        <w:right w:val="none" w:sz="0" w:space="0" w:color="auto"/>
      </w:divBdr>
    </w:div>
    <w:div w:id="393503012">
      <w:bodyDiv w:val="1"/>
      <w:marLeft w:val="0"/>
      <w:marRight w:val="0"/>
      <w:marTop w:val="0"/>
      <w:marBottom w:val="0"/>
      <w:divBdr>
        <w:top w:val="none" w:sz="0" w:space="0" w:color="auto"/>
        <w:left w:val="none" w:sz="0" w:space="0" w:color="auto"/>
        <w:bottom w:val="none" w:sz="0" w:space="0" w:color="auto"/>
        <w:right w:val="none" w:sz="0" w:space="0" w:color="auto"/>
      </w:divBdr>
    </w:div>
    <w:div w:id="398863230">
      <w:bodyDiv w:val="1"/>
      <w:marLeft w:val="0"/>
      <w:marRight w:val="0"/>
      <w:marTop w:val="0"/>
      <w:marBottom w:val="0"/>
      <w:divBdr>
        <w:top w:val="none" w:sz="0" w:space="0" w:color="auto"/>
        <w:left w:val="none" w:sz="0" w:space="0" w:color="auto"/>
        <w:bottom w:val="none" w:sz="0" w:space="0" w:color="auto"/>
        <w:right w:val="none" w:sz="0" w:space="0" w:color="auto"/>
      </w:divBdr>
    </w:div>
    <w:div w:id="415176381">
      <w:bodyDiv w:val="1"/>
      <w:marLeft w:val="0"/>
      <w:marRight w:val="0"/>
      <w:marTop w:val="0"/>
      <w:marBottom w:val="0"/>
      <w:divBdr>
        <w:top w:val="none" w:sz="0" w:space="0" w:color="auto"/>
        <w:left w:val="none" w:sz="0" w:space="0" w:color="auto"/>
        <w:bottom w:val="none" w:sz="0" w:space="0" w:color="auto"/>
        <w:right w:val="none" w:sz="0" w:space="0" w:color="auto"/>
      </w:divBdr>
    </w:div>
    <w:div w:id="535234533">
      <w:bodyDiv w:val="1"/>
      <w:marLeft w:val="0"/>
      <w:marRight w:val="0"/>
      <w:marTop w:val="0"/>
      <w:marBottom w:val="0"/>
      <w:divBdr>
        <w:top w:val="none" w:sz="0" w:space="0" w:color="auto"/>
        <w:left w:val="none" w:sz="0" w:space="0" w:color="auto"/>
        <w:bottom w:val="none" w:sz="0" w:space="0" w:color="auto"/>
        <w:right w:val="none" w:sz="0" w:space="0" w:color="auto"/>
      </w:divBdr>
    </w:div>
    <w:div w:id="542714191">
      <w:bodyDiv w:val="1"/>
      <w:marLeft w:val="0"/>
      <w:marRight w:val="0"/>
      <w:marTop w:val="0"/>
      <w:marBottom w:val="0"/>
      <w:divBdr>
        <w:top w:val="none" w:sz="0" w:space="0" w:color="auto"/>
        <w:left w:val="none" w:sz="0" w:space="0" w:color="auto"/>
        <w:bottom w:val="none" w:sz="0" w:space="0" w:color="auto"/>
        <w:right w:val="none" w:sz="0" w:space="0" w:color="auto"/>
      </w:divBdr>
    </w:div>
    <w:div w:id="716197643">
      <w:bodyDiv w:val="1"/>
      <w:marLeft w:val="0"/>
      <w:marRight w:val="0"/>
      <w:marTop w:val="0"/>
      <w:marBottom w:val="0"/>
      <w:divBdr>
        <w:top w:val="none" w:sz="0" w:space="0" w:color="auto"/>
        <w:left w:val="none" w:sz="0" w:space="0" w:color="auto"/>
        <w:bottom w:val="none" w:sz="0" w:space="0" w:color="auto"/>
        <w:right w:val="none" w:sz="0" w:space="0" w:color="auto"/>
      </w:divBdr>
    </w:div>
    <w:div w:id="804129467">
      <w:bodyDiv w:val="1"/>
      <w:marLeft w:val="0"/>
      <w:marRight w:val="0"/>
      <w:marTop w:val="0"/>
      <w:marBottom w:val="0"/>
      <w:divBdr>
        <w:top w:val="none" w:sz="0" w:space="0" w:color="auto"/>
        <w:left w:val="none" w:sz="0" w:space="0" w:color="auto"/>
        <w:bottom w:val="none" w:sz="0" w:space="0" w:color="auto"/>
        <w:right w:val="none" w:sz="0" w:space="0" w:color="auto"/>
      </w:divBdr>
    </w:div>
    <w:div w:id="819738361">
      <w:bodyDiv w:val="1"/>
      <w:marLeft w:val="0"/>
      <w:marRight w:val="0"/>
      <w:marTop w:val="0"/>
      <w:marBottom w:val="0"/>
      <w:divBdr>
        <w:top w:val="none" w:sz="0" w:space="0" w:color="auto"/>
        <w:left w:val="none" w:sz="0" w:space="0" w:color="auto"/>
        <w:bottom w:val="none" w:sz="0" w:space="0" w:color="auto"/>
        <w:right w:val="none" w:sz="0" w:space="0" w:color="auto"/>
      </w:divBdr>
    </w:div>
    <w:div w:id="820774105">
      <w:bodyDiv w:val="1"/>
      <w:marLeft w:val="0"/>
      <w:marRight w:val="0"/>
      <w:marTop w:val="0"/>
      <w:marBottom w:val="0"/>
      <w:divBdr>
        <w:top w:val="none" w:sz="0" w:space="0" w:color="auto"/>
        <w:left w:val="none" w:sz="0" w:space="0" w:color="auto"/>
        <w:bottom w:val="none" w:sz="0" w:space="0" w:color="auto"/>
        <w:right w:val="none" w:sz="0" w:space="0" w:color="auto"/>
      </w:divBdr>
    </w:div>
    <w:div w:id="832600238">
      <w:bodyDiv w:val="1"/>
      <w:marLeft w:val="0"/>
      <w:marRight w:val="0"/>
      <w:marTop w:val="0"/>
      <w:marBottom w:val="0"/>
      <w:divBdr>
        <w:top w:val="none" w:sz="0" w:space="0" w:color="auto"/>
        <w:left w:val="none" w:sz="0" w:space="0" w:color="auto"/>
        <w:bottom w:val="none" w:sz="0" w:space="0" w:color="auto"/>
        <w:right w:val="none" w:sz="0" w:space="0" w:color="auto"/>
      </w:divBdr>
    </w:div>
    <w:div w:id="1016924274">
      <w:bodyDiv w:val="1"/>
      <w:marLeft w:val="0"/>
      <w:marRight w:val="0"/>
      <w:marTop w:val="0"/>
      <w:marBottom w:val="0"/>
      <w:divBdr>
        <w:top w:val="none" w:sz="0" w:space="0" w:color="auto"/>
        <w:left w:val="none" w:sz="0" w:space="0" w:color="auto"/>
        <w:bottom w:val="none" w:sz="0" w:space="0" w:color="auto"/>
        <w:right w:val="none" w:sz="0" w:space="0" w:color="auto"/>
      </w:divBdr>
    </w:div>
    <w:div w:id="1062826714">
      <w:bodyDiv w:val="1"/>
      <w:marLeft w:val="0"/>
      <w:marRight w:val="0"/>
      <w:marTop w:val="0"/>
      <w:marBottom w:val="0"/>
      <w:divBdr>
        <w:top w:val="none" w:sz="0" w:space="0" w:color="auto"/>
        <w:left w:val="none" w:sz="0" w:space="0" w:color="auto"/>
        <w:bottom w:val="none" w:sz="0" w:space="0" w:color="auto"/>
        <w:right w:val="none" w:sz="0" w:space="0" w:color="auto"/>
      </w:divBdr>
    </w:div>
    <w:div w:id="1116606554">
      <w:bodyDiv w:val="1"/>
      <w:marLeft w:val="0"/>
      <w:marRight w:val="0"/>
      <w:marTop w:val="0"/>
      <w:marBottom w:val="0"/>
      <w:divBdr>
        <w:top w:val="none" w:sz="0" w:space="0" w:color="auto"/>
        <w:left w:val="none" w:sz="0" w:space="0" w:color="auto"/>
        <w:bottom w:val="none" w:sz="0" w:space="0" w:color="auto"/>
        <w:right w:val="none" w:sz="0" w:space="0" w:color="auto"/>
      </w:divBdr>
    </w:div>
    <w:div w:id="1214000141">
      <w:bodyDiv w:val="1"/>
      <w:marLeft w:val="0"/>
      <w:marRight w:val="0"/>
      <w:marTop w:val="0"/>
      <w:marBottom w:val="0"/>
      <w:divBdr>
        <w:top w:val="none" w:sz="0" w:space="0" w:color="auto"/>
        <w:left w:val="none" w:sz="0" w:space="0" w:color="auto"/>
        <w:bottom w:val="none" w:sz="0" w:space="0" w:color="auto"/>
        <w:right w:val="none" w:sz="0" w:space="0" w:color="auto"/>
      </w:divBdr>
    </w:div>
    <w:div w:id="1344744715">
      <w:bodyDiv w:val="1"/>
      <w:marLeft w:val="0"/>
      <w:marRight w:val="0"/>
      <w:marTop w:val="0"/>
      <w:marBottom w:val="0"/>
      <w:divBdr>
        <w:top w:val="none" w:sz="0" w:space="0" w:color="auto"/>
        <w:left w:val="none" w:sz="0" w:space="0" w:color="auto"/>
        <w:bottom w:val="none" w:sz="0" w:space="0" w:color="auto"/>
        <w:right w:val="none" w:sz="0" w:space="0" w:color="auto"/>
      </w:divBdr>
    </w:div>
    <w:div w:id="1406337803">
      <w:bodyDiv w:val="1"/>
      <w:marLeft w:val="0"/>
      <w:marRight w:val="0"/>
      <w:marTop w:val="0"/>
      <w:marBottom w:val="0"/>
      <w:divBdr>
        <w:top w:val="none" w:sz="0" w:space="0" w:color="auto"/>
        <w:left w:val="none" w:sz="0" w:space="0" w:color="auto"/>
        <w:bottom w:val="none" w:sz="0" w:space="0" w:color="auto"/>
        <w:right w:val="none" w:sz="0" w:space="0" w:color="auto"/>
      </w:divBdr>
    </w:div>
    <w:div w:id="1540242700">
      <w:bodyDiv w:val="1"/>
      <w:marLeft w:val="0"/>
      <w:marRight w:val="0"/>
      <w:marTop w:val="0"/>
      <w:marBottom w:val="0"/>
      <w:divBdr>
        <w:top w:val="none" w:sz="0" w:space="0" w:color="auto"/>
        <w:left w:val="none" w:sz="0" w:space="0" w:color="auto"/>
        <w:bottom w:val="none" w:sz="0" w:space="0" w:color="auto"/>
        <w:right w:val="none" w:sz="0" w:space="0" w:color="auto"/>
      </w:divBdr>
    </w:div>
    <w:div w:id="1629698041">
      <w:bodyDiv w:val="1"/>
      <w:marLeft w:val="0"/>
      <w:marRight w:val="0"/>
      <w:marTop w:val="0"/>
      <w:marBottom w:val="0"/>
      <w:divBdr>
        <w:top w:val="none" w:sz="0" w:space="0" w:color="auto"/>
        <w:left w:val="none" w:sz="0" w:space="0" w:color="auto"/>
        <w:bottom w:val="none" w:sz="0" w:space="0" w:color="auto"/>
        <w:right w:val="none" w:sz="0" w:space="0" w:color="auto"/>
      </w:divBdr>
    </w:div>
    <w:div w:id="1656647897">
      <w:bodyDiv w:val="1"/>
      <w:marLeft w:val="0"/>
      <w:marRight w:val="0"/>
      <w:marTop w:val="0"/>
      <w:marBottom w:val="0"/>
      <w:divBdr>
        <w:top w:val="none" w:sz="0" w:space="0" w:color="auto"/>
        <w:left w:val="none" w:sz="0" w:space="0" w:color="auto"/>
        <w:bottom w:val="none" w:sz="0" w:space="0" w:color="auto"/>
        <w:right w:val="none" w:sz="0" w:space="0" w:color="auto"/>
      </w:divBdr>
    </w:div>
    <w:div w:id="1684355967">
      <w:bodyDiv w:val="1"/>
      <w:marLeft w:val="0"/>
      <w:marRight w:val="0"/>
      <w:marTop w:val="0"/>
      <w:marBottom w:val="0"/>
      <w:divBdr>
        <w:top w:val="none" w:sz="0" w:space="0" w:color="auto"/>
        <w:left w:val="none" w:sz="0" w:space="0" w:color="auto"/>
        <w:bottom w:val="none" w:sz="0" w:space="0" w:color="auto"/>
        <w:right w:val="none" w:sz="0" w:space="0" w:color="auto"/>
      </w:divBdr>
    </w:div>
    <w:div w:id="1712993005">
      <w:bodyDiv w:val="1"/>
      <w:marLeft w:val="0"/>
      <w:marRight w:val="0"/>
      <w:marTop w:val="0"/>
      <w:marBottom w:val="0"/>
      <w:divBdr>
        <w:top w:val="none" w:sz="0" w:space="0" w:color="auto"/>
        <w:left w:val="none" w:sz="0" w:space="0" w:color="auto"/>
        <w:bottom w:val="none" w:sz="0" w:space="0" w:color="auto"/>
        <w:right w:val="none" w:sz="0" w:space="0" w:color="auto"/>
      </w:divBdr>
    </w:div>
    <w:div w:id="1741371136">
      <w:bodyDiv w:val="1"/>
      <w:marLeft w:val="0"/>
      <w:marRight w:val="0"/>
      <w:marTop w:val="0"/>
      <w:marBottom w:val="0"/>
      <w:divBdr>
        <w:top w:val="none" w:sz="0" w:space="0" w:color="auto"/>
        <w:left w:val="none" w:sz="0" w:space="0" w:color="auto"/>
        <w:bottom w:val="none" w:sz="0" w:space="0" w:color="auto"/>
        <w:right w:val="none" w:sz="0" w:space="0" w:color="auto"/>
      </w:divBdr>
    </w:div>
    <w:div w:id="1801604238">
      <w:bodyDiv w:val="1"/>
      <w:marLeft w:val="0"/>
      <w:marRight w:val="0"/>
      <w:marTop w:val="0"/>
      <w:marBottom w:val="0"/>
      <w:divBdr>
        <w:top w:val="none" w:sz="0" w:space="0" w:color="auto"/>
        <w:left w:val="none" w:sz="0" w:space="0" w:color="auto"/>
        <w:bottom w:val="none" w:sz="0" w:space="0" w:color="auto"/>
        <w:right w:val="none" w:sz="0" w:space="0" w:color="auto"/>
      </w:divBdr>
    </w:div>
    <w:div w:id="1853566006">
      <w:bodyDiv w:val="1"/>
      <w:marLeft w:val="0"/>
      <w:marRight w:val="0"/>
      <w:marTop w:val="0"/>
      <w:marBottom w:val="0"/>
      <w:divBdr>
        <w:top w:val="none" w:sz="0" w:space="0" w:color="auto"/>
        <w:left w:val="none" w:sz="0" w:space="0" w:color="auto"/>
        <w:bottom w:val="none" w:sz="0" w:space="0" w:color="auto"/>
        <w:right w:val="none" w:sz="0" w:space="0" w:color="auto"/>
      </w:divBdr>
    </w:div>
    <w:div w:id="1904176613">
      <w:bodyDiv w:val="1"/>
      <w:marLeft w:val="0"/>
      <w:marRight w:val="0"/>
      <w:marTop w:val="0"/>
      <w:marBottom w:val="0"/>
      <w:divBdr>
        <w:top w:val="none" w:sz="0" w:space="0" w:color="auto"/>
        <w:left w:val="none" w:sz="0" w:space="0" w:color="auto"/>
        <w:bottom w:val="none" w:sz="0" w:space="0" w:color="auto"/>
        <w:right w:val="none" w:sz="0" w:space="0" w:color="auto"/>
      </w:divBdr>
    </w:div>
    <w:div w:id="1936474373">
      <w:bodyDiv w:val="1"/>
      <w:marLeft w:val="0"/>
      <w:marRight w:val="0"/>
      <w:marTop w:val="0"/>
      <w:marBottom w:val="0"/>
      <w:divBdr>
        <w:top w:val="none" w:sz="0" w:space="0" w:color="auto"/>
        <w:left w:val="none" w:sz="0" w:space="0" w:color="auto"/>
        <w:bottom w:val="none" w:sz="0" w:space="0" w:color="auto"/>
        <w:right w:val="none" w:sz="0" w:space="0" w:color="auto"/>
      </w:divBdr>
    </w:div>
    <w:div w:id="2001156435">
      <w:bodyDiv w:val="1"/>
      <w:marLeft w:val="0"/>
      <w:marRight w:val="0"/>
      <w:marTop w:val="0"/>
      <w:marBottom w:val="0"/>
      <w:divBdr>
        <w:top w:val="none" w:sz="0" w:space="0" w:color="auto"/>
        <w:left w:val="none" w:sz="0" w:space="0" w:color="auto"/>
        <w:bottom w:val="none" w:sz="0" w:space="0" w:color="auto"/>
        <w:right w:val="none" w:sz="0" w:space="0" w:color="auto"/>
      </w:divBdr>
    </w:div>
    <w:div w:id="2019961276">
      <w:bodyDiv w:val="1"/>
      <w:marLeft w:val="0"/>
      <w:marRight w:val="0"/>
      <w:marTop w:val="0"/>
      <w:marBottom w:val="0"/>
      <w:divBdr>
        <w:top w:val="none" w:sz="0" w:space="0" w:color="auto"/>
        <w:left w:val="none" w:sz="0" w:space="0" w:color="auto"/>
        <w:bottom w:val="none" w:sz="0" w:space="0" w:color="auto"/>
        <w:right w:val="none" w:sz="0" w:space="0" w:color="auto"/>
      </w:divBdr>
    </w:div>
    <w:div w:id="210399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5F987-4BC6-4F8C-86B2-EE2EB3095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8</Pages>
  <Words>2818</Words>
  <Characters>15500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Manuel Ospina Sánchez</dc:creator>
  <cp:keywords/>
  <dc:description/>
  <cp:lastModifiedBy>Juan Manuel Ospina Sánchez</cp:lastModifiedBy>
  <cp:revision>335</cp:revision>
  <dcterms:created xsi:type="dcterms:W3CDTF">2022-05-10T15:13:00Z</dcterms:created>
  <dcterms:modified xsi:type="dcterms:W3CDTF">2022-05-11T21:35:00Z</dcterms:modified>
</cp:coreProperties>
</file>