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4847" w:rsidRDefault="00D75493">
      <w:pPr>
        <w:shd w:val="clear" w:color="auto" w:fill="8EAADB"/>
        <w:spacing w:line="276" w:lineRule="auto"/>
        <w:jc w:val="center"/>
        <w:rPr>
          <w:rFonts w:ascii="Garamond" w:eastAsia="Garamond" w:hAnsi="Garamond" w:cs="Garamond"/>
          <w:b/>
          <w:i/>
          <w:sz w:val="22"/>
          <w:szCs w:val="22"/>
        </w:rPr>
      </w:pPr>
      <w:r>
        <w:rPr>
          <w:rFonts w:ascii="Garamond" w:eastAsia="Garamond" w:hAnsi="Garamond" w:cs="Garamond"/>
          <w:b/>
          <w:i/>
          <w:color w:val="000000"/>
          <w:sz w:val="22"/>
          <w:szCs w:val="22"/>
        </w:rPr>
        <w:t>Case Title: Director of Public Prosecutions v</w:t>
      </w:r>
      <w:r>
        <w:rPr>
          <w:rFonts w:ascii="Garamond" w:eastAsia="Garamond" w:hAnsi="Garamond" w:cs="Garamond"/>
          <w:b/>
          <w:i/>
          <w:sz w:val="22"/>
          <w:szCs w:val="22"/>
        </w:rPr>
        <w:t xml:space="preserve"> </w:t>
      </w:r>
      <w:r>
        <w:rPr>
          <w:rFonts w:ascii="Garamond" w:eastAsia="Garamond" w:hAnsi="Garamond" w:cs="Garamond"/>
          <w:b/>
          <w:i/>
          <w:color w:val="000000"/>
          <w:sz w:val="22"/>
          <w:szCs w:val="22"/>
        </w:rPr>
        <w:t>Ziegler and others</w:t>
      </w:r>
    </w:p>
    <w:p w14:paraId="00000002" w14:textId="77777777" w:rsidR="00414847" w:rsidRDefault="00D75493">
      <w:pPr>
        <w:shd w:val="clear" w:color="auto" w:fill="8EAADB"/>
        <w:spacing w:line="276" w:lineRule="auto"/>
        <w:jc w:val="center"/>
        <w:rPr>
          <w:rFonts w:ascii="Garamond" w:eastAsia="Garamond" w:hAnsi="Garamond" w:cs="Garamond"/>
          <w:b/>
          <w:color w:val="000000"/>
          <w:sz w:val="22"/>
          <w:szCs w:val="22"/>
        </w:rPr>
      </w:pPr>
      <w:r>
        <w:rPr>
          <w:rFonts w:ascii="Garamond" w:eastAsia="Garamond" w:hAnsi="Garamond" w:cs="Garamond"/>
          <w:b/>
          <w:color w:val="000000"/>
          <w:sz w:val="22"/>
          <w:szCs w:val="22"/>
        </w:rPr>
        <w:t xml:space="preserve">Case Analysis </w:t>
      </w:r>
    </w:p>
    <w:p w14:paraId="00000003" w14:textId="77777777" w:rsidR="00414847" w:rsidRDefault="00414847">
      <w:pPr>
        <w:spacing w:line="276" w:lineRule="auto"/>
        <w:jc w:val="center"/>
        <w:rPr>
          <w:rFonts w:ascii="Garamond" w:eastAsia="Garamond" w:hAnsi="Garamond" w:cs="Garamond"/>
          <w:sz w:val="22"/>
          <w:szCs w:val="22"/>
        </w:rPr>
      </w:pPr>
    </w:p>
    <w:p w14:paraId="00000004" w14:textId="77777777" w:rsidR="00414847" w:rsidRDefault="00D75493">
      <w:pPr>
        <w:spacing w:line="276" w:lineRule="auto"/>
        <w:jc w:val="both"/>
        <w:rPr>
          <w:rFonts w:ascii="Garamond" w:eastAsia="Garamond" w:hAnsi="Garamond" w:cs="Garamond"/>
          <w:b/>
          <w:sz w:val="22"/>
          <w:szCs w:val="22"/>
        </w:rPr>
      </w:pPr>
      <w:r>
        <w:rPr>
          <w:rFonts w:ascii="Garamond" w:eastAsia="Garamond" w:hAnsi="Garamond" w:cs="Garamond"/>
          <w:b/>
          <w:i/>
          <w:sz w:val="22"/>
          <w:szCs w:val="22"/>
          <w:u w:val="single"/>
        </w:rPr>
        <w:t>Meta-Data</w:t>
      </w:r>
      <w:r>
        <w:rPr>
          <w:rFonts w:ascii="Garamond" w:eastAsia="Garamond" w:hAnsi="Garamond" w:cs="Garamond"/>
          <w:b/>
          <w:sz w:val="22"/>
          <w:szCs w:val="22"/>
        </w:rPr>
        <w:t xml:space="preserve">: </w:t>
      </w:r>
    </w:p>
    <w:p w14:paraId="00000005" w14:textId="77777777" w:rsidR="00414847" w:rsidRDefault="00D75493">
      <w:pPr>
        <w:numPr>
          <w:ilvl w:val="0"/>
          <w:numId w:val="3"/>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Case Number</w:t>
      </w:r>
      <w:r>
        <w:rPr>
          <w:rFonts w:ascii="Garamond" w:eastAsia="Garamond" w:hAnsi="Garamond" w:cs="Garamond"/>
          <w:color w:val="000000"/>
          <w:sz w:val="22"/>
          <w:szCs w:val="22"/>
        </w:rPr>
        <w:t>: UKSC 2019/0106</w:t>
      </w:r>
    </w:p>
    <w:p w14:paraId="00000006" w14:textId="77777777" w:rsidR="00414847" w:rsidRDefault="00D75493">
      <w:pPr>
        <w:numPr>
          <w:ilvl w:val="0"/>
          <w:numId w:val="3"/>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Date of decision</w:t>
      </w:r>
      <w:r>
        <w:rPr>
          <w:rFonts w:ascii="Garamond" w:eastAsia="Garamond" w:hAnsi="Garamond" w:cs="Garamond"/>
          <w:color w:val="000000"/>
          <w:sz w:val="22"/>
          <w:szCs w:val="22"/>
        </w:rPr>
        <w:t xml:space="preserve">: 25 </w:t>
      </w:r>
      <w:proofErr w:type="gramStart"/>
      <w:r>
        <w:rPr>
          <w:rFonts w:ascii="Garamond" w:eastAsia="Garamond" w:hAnsi="Garamond" w:cs="Garamond"/>
          <w:color w:val="000000"/>
          <w:sz w:val="22"/>
          <w:szCs w:val="22"/>
        </w:rPr>
        <w:t>June,</w:t>
      </w:r>
      <w:proofErr w:type="gramEnd"/>
      <w:r>
        <w:rPr>
          <w:rFonts w:ascii="Garamond" w:eastAsia="Garamond" w:hAnsi="Garamond" w:cs="Garamond"/>
          <w:color w:val="000000"/>
          <w:sz w:val="22"/>
          <w:szCs w:val="22"/>
        </w:rPr>
        <w:t xml:space="preserve"> 2021</w:t>
      </w:r>
    </w:p>
    <w:p w14:paraId="00000007" w14:textId="77777777" w:rsidR="00414847" w:rsidRDefault="00D75493">
      <w:pPr>
        <w:numPr>
          <w:ilvl w:val="0"/>
          <w:numId w:val="3"/>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Featured case</w:t>
      </w:r>
      <w:r>
        <w:rPr>
          <w:rFonts w:ascii="Garamond" w:eastAsia="Garamond" w:hAnsi="Garamond" w:cs="Garamond"/>
          <w:color w:val="000000"/>
          <w:sz w:val="22"/>
          <w:szCs w:val="22"/>
        </w:rPr>
        <w:t>: N/A</w:t>
      </w:r>
    </w:p>
    <w:p w14:paraId="00000008" w14:textId="77777777" w:rsidR="00414847" w:rsidRDefault="00D75493">
      <w:pPr>
        <w:numPr>
          <w:ilvl w:val="0"/>
          <w:numId w:val="3"/>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Region</w:t>
      </w:r>
      <w:r>
        <w:rPr>
          <w:rFonts w:ascii="Garamond" w:eastAsia="Garamond" w:hAnsi="Garamond" w:cs="Garamond"/>
          <w:color w:val="000000"/>
          <w:sz w:val="22"/>
          <w:szCs w:val="22"/>
        </w:rPr>
        <w:t xml:space="preserve">: </w:t>
      </w:r>
      <w:r>
        <w:rPr>
          <w:rFonts w:ascii="Garamond" w:eastAsia="Garamond" w:hAnsi="Garamond" w:cs="Garamond"/>
          <w:sz w:val="22"/>
          <w:szCs w:val="22"/>
        </w:rPr>
        <w:t xml:space="preserve">Central Europe </w:t>
      </w:r>
      <w:r>
        <w:rPr>
          <w:rFonts w:ascii="Garamond" w:eastAsia="Garamond" w:hAnsi="Garamond" w:cs="Garamond"/>
          <w:color w:val="000000"/>
          <w:sz w:val="22"/>
          <w:szCs w:val="22"/>
        </w:rPr>
        <w:t>an</w:t>
      </w:r>
      <w:r>
        <w:rPr>
          <w:rFonts w:ascii="Garamond" w:eastAsia="Garamond" w:hAnsi="Garamond" w:cs="Garamond"/>
          <w:sz w:val="22"/>
          <w:szCs w:val="22"/>
        </w:rPr>
        <w:t xml:space="preserve">d Asia </w:t>
      </w:r>
    </w:p>
    <w:p w14:paraId="00000009" w14:textId="77777777" w:rsidR="00414847" w:rsidRDefault="00D75493">
      <w:pPr>
        <w:numPr>
          <w:ilvl w:val="0"/>
          <w:numId w:val="3"/>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Country</w:t>
      </w:r>
      <w:r>
        <w:rPr>
          <w:rFonts w:ascii="Garamond" w:eastAsia="Garamond" w:hAnsi="Garamond" w:cs="Garamond"/>
          <w:color w:val="000000"/>
          <w:sz w:val="22"/>
          <w:szCs w:val="22"/>
        </w:rPr>
        <w:t xml:space="preserve">: </w:t>
      </w:r>
      <w:r>
        <w:rPr>
          <w:rFonts w:ascii="Garamond" w:eastAsia="Garamond" w:hAnsi="Garamond" w:cs="Garamond"/>
          <w:sz w:val="22"/>
          <w:szCs w:val="22"/>
        </w:rPr>
        <w:t xml:space="preserve">United Kingdom </w:t>
      </w:r>
    </w:p>
    <w:p w14:paraId="0000000A" w14:textId="77777777" w:rsidR="00414847" w:rsidRDefault="00D75493">
      <w:pPr>
        <w:numPr>
          <w:ilvl w:val="0"/>
          <w:numId w:val="3"/>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Type of expression</w:t>
      </w:r>
      <w:r>
        <w:rPr>
          <w:rFonts w:ascii="Garamond" w:eastAsia="Garamond" w:hAnsi="Garamond" w:cs="Garamond"/>
          <w:color w:val="000000"/>
          <w:sz w:val="22"/>
          <w:szCs w:val="22"/>
        </w:rPr>
        <w:t>: Public Assembly</w:t>
      </w:r>
    </w:p>
    <w:p w14:paraId="0000000B" w14:textId="77777777" w:rsidR="00414847" w:rsidRDefault="00D75493">
      <w:pPr>
        <w:numPr>
          <w:ilvl w:val="0"/>
          <w:numId w:val="3"/>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Judicial </w:t>
      </w:r>
      <w:proofErr w:type="spellStart"/>
      <w:proofErr w:type="gramStart"/>
      <w:r>
        <w:rPr>
          <w:rFonts w:ascii="Garamond" w:eastAsia="Garamond" w:hAnsi="Garamond" w:cs="Garamond"/>
          <w:b/>
          <w:color w:val="000000"/>
          <w:sz w:val="22"/>
          <w:szCs w:val="22"/>
        </w:rPr>
        <w:t>Body</w:t>
      </w:r>
      <w:r>
        <w:rPr>
          <w:rFonts w:ascii="Garamond" w:eastAsia="Garamond" w:hAnsi="Garamond" w:cs="Garamond"/>
          <w:color w:val="000000"/>
          <w:sz w:val="22"/>
          <w:szCs w:val="22"/>
        </w:rPr>
        <w:t>:</w:t>
      </w:r>
      <w:r>
        <w:rPr>
          <w:rFonts w:ascii="Garamond" w:eastAsia="Garamond" w:hAnsi="Garamond" w:cs="Garamond"/>
          <w:sz w:val="22"/>
          <w:szCs w:val="22"/>
        </w:rPr>
        <w:t>Supreme</w:t>
      </w:r>
      <w:proofErr w:type="spellEnd"/>
      <w:proofErr w:type="gramEnd"/>
      <w:r>
        <w:rPr>
          <w:rFonts w:ascii="Garamond" w:eastAsia="Garamond" w:hAnsi="Garamond" w:cs="Garamond"/>
          <w:sz w:val="22"/>
          <w:szCs w:val="22"/>
        </w:rPr>
        <w:t xml:space="preserve"> (court of final appeal)</w:t>
      </w:r>
    </w:p>
    <w:p w14:paraId="0000000C" w14:textId="77777777" w:rsidR="00414847" w:rsidRDefault="00D75493">
      <w:pPr>
        <w:numPr>
          <w:ilvl w:val="0"/>
          <w:numId w:val="3"/>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Type of law</w:t>
      </w:r>
      <w:r>
        <w:rPr>
          <w:rFonts w:ascii="Garamond" w:eastAsia="Garamond" w:hAnsi="Garamond" w:cs="Garamond"/>
          <w:color w:val="000000"/>
          <w:sz w:val="22"/>
          <w:szCs w:val="22"/>
        </w:rPr>
        <w:t>: Criminal Law</w:t>
      </w:r>
      <w:r>
        <w:rPr>
          <w:rFonts w:ascii="Garamond" w:eastAsia="Garamond" w:hAnsi="Garamond" w:cs="Garamond"/>
          <w:sz w:val="22"/>
          <w:szCs w:val="22"/>
        </w:rPr>
        <w:t xml:space="preserve">, International/Regional Human Rights Law </w:t>
      </w:r>
    </w:p>
    <w:p w14:paraId="0000000D" w14:textId="77777777" w:rsidR="00414847" w:rsidRDefault="00D75493">
      <w:pPr>
        <w:numPr>
          <w:ilvl w:val="0"/>
          <w:numId w:val="3"/>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Main Themes</w:t>
      </w:r>
      <w:r>
        <w:rPr>
          <w:rFonts w:ascii="Garamond" w:eastAsia="Garamond" w:hAnsi="Garamond" w:cs="Garamond"/>
          <w:color w:val="000000"/>
          <w:sz w:val="22"/>
          <w:szCs w:val="22"/>
        </w:rPr>
        <w:t>: Freedom of Association and Assembly / Protests</w:t>
      </w:r>
    </w:p>
    <w:p w14:paraId="0000000E" w14:textId="77777777" w:rsidR="00414847" w:rsidRDefault="00D75493">
      <w:pPr>
        <w:numPr>
          <w:ilvl w:val="0"/>
          <w:numId w:val="3"/>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Outcome</w:t>
      </w:r>
      <w:r>
        <w:rPr>
          <w:rFonts w:ascii="Garamond" w:eastAsia="Garamond" w:hAnsi="Garamond" w:cs="Garamond"/>
          <w:color w:val="000000"/>
          <w:sz w:val="22"/>
          <w:szCs w:val="22"/>
        </w:rPr>
        <w:t xml:space="preserve">: </w:t>
      </w:r>
      <w:r>
        <w:rPr>
          <w:rFonts w:ascii="Garamond" w:eastAsia="Garamond" w:hAnsi="Garamond" w:cs="Garamond"/>
          <w:color w:val="0E101A"/>
          <w:sz w:val="22"/>
          <w:szCs w:val="22"/>
        </w:rPr>
        <w:t>Overturned Divisional Court´s decisio</w:t>
      </w:r>
      <w:r>
        <w:rPr>
          <w:rFonts w:ascii="Garamond" w:eastAsia="Garamond" w:hAnsi="Garamond" w:cs="Garamond"/>
          <w:color w:val="0E101A"/>
          <w:sz w:val="22"/>
          <w:szCs w:val="22"/>
        </w:rPr>
        <w:t xml:space="preserve">n/ </w:t>
      </w:r>
      <w:proofErr w:type="spellStart"/>
      <w:r>
        <w:rPr>
          <w:rFonts w:ascii="Garamond" w:eastAsia="Garamond" w:hAnsi="Garamond" w:cs="Garamond"/>
          <w:color w:val="0E101A"/>
          <w:sz w:val="22"/>
          <w:szCs w:val="22"/>
        </w:rPr>
        <w:t>Confiremed</w:t>
      </w:r>
      <w:proofErr w:type="spellEnd"/>
      <w:r>
        <w:rPr>
          <w:rFonts w:ascii="Garamond" w:eastAsia="Garamond" w:hAnsi="Garamond" w:cs="Garamond"/>
          <w:color w:val="0E101A"/>
          <w:sz w:val="22"/>
          <w:szCs w:val="22"/>
        </w:rPr>
        <w:t xml:space="preserve"> District Court's ruling </w:t>
      </w:r>
    </w:p>
    <w:p w14:paraId="0000000F" w14:textId="77777777" w:rsidR="00414847" w:rsidRDefault="00D75493">
      <w:pPr>
        <w:numPr>
          <w:ilvl w:val="0"/>
          <w:numId w:val="3"/>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Status</w:t>
      </w:r>
      <w:r>
        <w:rPr>
          <w:rFonts w:ascii="Garamond" w:eastAsia="Garamond" w:hAnsi="Garamond" w:cs="Garamond"/>
          <w:color w:val="000000"/>
          <w:sz w:val="22"/>
          <w:szCs w:val="22"/>
        </w:rPr>
        <w:t xml:space="preserve">:  Closed </w:t>
      </w:r>
    </w:p>
    <w:p w14:paraId="00000010" w14:textId="77777777" w:rsidR="00414847" w:rsidRDefault="00D75493">
      <w:pPr>
        <w:numPr>
          <w:ilvl w:val="0"/>
          <w:numId w:val="3"/>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Tags</w:t>
      </w:r>
      <w:r>
        <w:rPr>
          <w:rFonts w:ascii="Garamond" w:eastAsia="Garamond" w:hAnsi="Garamond" w:cs="Garamond"/>
          <w:color w:val="000000"/>
          <w:sz w:val="22"/>
          <w:szCs w:val="22"/>
        </w:rPr>
        <w:t>: Freedom of Assembly/Protest</w:t>
      </w:r>
    </w:p>
    <w:p w14:paraId="00000011" w14:textId="77777777" w:rsidR="00414847" w:rsidRDefault="00414847">
      <w:pPr>
        <w:spacing w:line="276" w:lineRule="auto"/>
        <w:jc w:val="both"/>
        <w:rPr>
          <w:rFonts w:ascii="Garamond" w:eastAsia="Garamond" w:hAnsi="Garamond" w:cs="Garamond"/>
          <w:sz w:val="22"/>
          <w:szCs w:val="22"/>
        </w:rPr>
      </w:pPr>
    </w:p>
    <w:p w14:paraId="00000012" w14:textId="77777777" w:rsidR="00414847" w:rsidRDefault="00D75493">
      <w:pPr>
        <w:spacing w:line="276" w:lineRule="auto"/>
        <w:jc w:val="both"/>
        <w:rPr>
          <w:rFonts w:ascii="Garamond" w:eastAsia="Garamond" w:hAnsi="Garamond" w:cs="Garamond"/>
          <w:color w:val="000000"/>
          <w:sz w:val="22"/>
          <w:szCs w:val="22"/>
        </w:rPr>
      </w:pPr>
      <w:r>
        <w:rPr>
          <w:rFonts w:ascii="Garamond" w:eastAsia="Garamond" w:hAnsi="Garamond" w:cs="Garamond"/>
          <w:b/>
          <w:i/>
          <w:color w:val="000000"/>
          <w:sz w:val="22"/>
          <w:szCs w:val="22"/>
          <w:u w:val="single"/>
        </w:rPr>
        <w:t>Analysis:</w:t>
      </w:r>
    </w:p>
    <w:p w14:paraId="00000013" w14:textId="77777777" w:rsidR="00414847" w:rsidRDefault="00D75493">
      <w:pPr>
        <w:numPr>
          <w:ilvl w:val="0"/>
          <w:numId w:val="8"/>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Summary and Outcome</w:t>
      </w:r>
      <w:r>
        <w:rPr>
          <w:rFonts w:ascii="Garamond" w:eastAsia="Garamond" w:hAnsi="Garamond" w:cs="Garamond"/>
          <w:color w:val="000000"/>
          <w:sz w:val="22"/>
          <w:szCs w:val="22"/>
        </w:rPr>
        <w:t>:</w:t>
      </w:r>
    </w:p>
    <w:p w14:paraId="00000014" w14:textId="77777777" w:rsidR="00414847" w:rsidRDefault="00D75493">
      <w:pPr>
        <w:pBdr>
          <w:top w:val="nil"/>
          <w:left w:val="nil"/>
          <w:bottom w:val="nil"/>
          <w:right w:val="nil"/>
          <w:between w:val="nil"/>
        </w:pBdr>
        <w:spacing w:line="276" w:lineRule="auto"/>
        <w:ind w:left="360"/>
        <w:jc w:val="both"/>
        <w:rPr>
          <w:rFonts w:ascii="Garamond" w:eastAsia="Garamond" w:hAnsi="Garamond" w:cs="Garamond"/>
          <w:sz w:val="22"/>
          <w:szCs w:val="22"/>
        </w:rPr>
      </w:pPr>
      <w:r>
        <w:rPr>
          <w:rFonts w:ascii="Garamond" w:eastAsia="Garamond" w:hAnsi="Garamond" w:cs="Garamond"/>
          <w:sz w:val="22"/>
          <w:szCs w:val="22"/>
        </w:rPr>
        <w:t xml:space="preserve">The Supreme Court of the United Kingdom confirmed the District Court's decision that the arrest and prosecution of a group of protesters infringed their rights to free speech and assembly under Article 10 and 11 of the European Convention on Human Rights. </w:t>
      </w:r>
      <w:r>
        <w:rPr>
          <w:rFonts w:ascii="Garamond" w:eastAsia="Garamond" w:hAnsi="Garamond" w:cs="Garamond"/>
          <w:sz w:val="22"/>
          <w:szCs w:val="22"/>
        </w:rPr>
        <w:t xml:space="preserve">The case concerned a group of demonstrators apprehended for lying down in the middle of a road on one side of the carriageway, blocking traffic towards an </w:t>
      </w:r>
      <w:proofErr w:type="gramStart"/>
      <w:r>
        <w:rPr>
          <w:rFonts w:ascii="Garamond" w:eastAsia="Garamond" w:hAnsi="Garamond" w:cs="Garamond"/>
          <w:sz w:val="22"/>
          <w:szCs w:val="22"/>
        </w:rPr>
        <w:t>arms</w:t>
      </w:r>
      <w:proofErr w:type="gramEnd"/>
      <w:r>
        <w:rPr>
          <w:rFonts w:ascii="Garamond" w:eastAsia="Garamond" w:hAnsi="Garamond" w:cs="Garamond"/>
          <w:sz w:val="22"/>
          <w:szCs w:val="22"/>
        </w:rPr>
        <w:t xml:space="preserve"> fair venue. The District Judge found the applicants not guilty because he considered they were e</w:t>
      </w:r>
      <w:r>
        <w:rPr>
          <w:rFonts w:ascii="Garamond" w:eastAsia="Garamond" w:hAnsi="Garamond" w:cs="Garamond"/>
          <w:sz w:val="22"/>
          <w:szCs w:val="22"/>
        </w:rPr>
        <w:t xml:space="preserve">xercising their rights to free speech and </w:t>
      </w:r>
      <w:proofErr w:type="gramStart"/>
      <w:r>
        <w:rPr>
          <w:rFonts w:ascii="Garamond" w:eastAsia="Garamond" w:hAnsi="Garamond" w:cs="Garamond"/>
          <w:sz w:val="22"/>
          <w:szCs w:val="22"/>
        </w:rPr>
        <w:t>assembly,</w:t>
      </w:r>
      <w:proofErr w:type="gramEnd"/>
      <w:r>
        <w:rPr>
          <w:rFonts w:ascii="Garamond" w:eastAsia="Garamond" w:hAnsi="Garamond" w:cs="Garamond"/>
          <w:sz w:val="22"/>
          <w:szCs w:val="22"/>
        </w:rPr>
        <w:t xml:space="preserve"> hence they had a lawful excuse. However, the prosecution appealed on a point of law, and the Divisional Court reversed the acquittals. The Supreme Court overturned that decision, and the convictions were </w:t>
      </w:r>
      <w:r>
        <w:rPr>
          <w:rFonts w:ascii="Garamond" w:eastAsia="Garamond" w:hAnsi="Garamond" w:cs="Garamond"/>
          <w:sz w:val="22"/>
          <w:szCs w:val="22"/>
        </w:rPr>
        <w:t>revoked.</w:t>
      </w:r>
    </w:p>
    <w:p w14:paraId="00000015" w14:textId="77777777" w:rsidR="00414847" w:rsidRDefault="00414847">
      <w:pPr>
        <w:spacing w:line="276" w:lineRule="auto"/>
        <w:jc w:val="both"/>
        <w:rPr>
          <w:rFonts w:ascii="Garamond" w:eastAsia="Garamond" w:hAnsi="Garamond" w:cs="Garamond"/>
          <w:sz w:val="22"/>
          <w:szCs w:val="22"/>
        </w:rPr>
      </w:pPr>
    </w:p>
    <w:p w14:paraId="00000016" w14:textId="77777777" w:rsidR="00414847" w:rsidRDefault="00D75493">
      <w:pPr>
        <w:numPr>
          <w:ilvl w:val="0"/>
          <w:numId w:val="7"/>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Facts</w:t>
      </w:r>
      <w:r>
        <w:rPr>
          <w:rFonts w:ascii="Garamond" w:eastAsia="Garamond" w:hAnsi="Garamond" w:cs="Garamond"/>
          <w:color w:val="000000"/>
          <w:sz w:val="22"/>
          <w:szCs w:val="22"/>
        </w:rPr>
        <w:t>:</w:t>
      </w:r>
    </w:p>
    <w:p w14:paraId="00000017" w14:textId="77777777" w:rsidR="00414847" w:rsidRDefault="00D75493">
      <w:pPr>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 In September 2017, the biennial </w:t>
      </w:r>
      <w:proofErr w:type="spellStart"/>
      <w:r>
        <w:rPr>
          <w:rFonts w:ascii="Garamond" w:eastAsia="Garamond" w:hAnsi="Garamond" w:cs="Garamond"/>
          <w:color w:val="0E101A"/>
          <w:sz w:val="22"/>
          <w:szCs w:val="22"/>
        </w:rPr>
        <w:t>Defence</w:t>
      </w:r>
      <w:proofErr w:type="spellEnd"/>
      <w:r>
        <w:rPr>
          <w:rFonts w:ascii="Garamond" w:eastAsia="Garamond" w:hAnsi="Garamond" w:cs="Garamond"/>
          <w:color w:val="0E101A"/>
          <w:sz w:val="22"/>
          <w:szCs w:val="22"/>
        </w:rPr>
        <w:t xml:space="preserve"> and Security International (DSEI) arms fair was held at the Excel Centre in East London. In the days before the fair's opening, Nora Ziegler, Chris Cole, Jo Frew, and Henrietta Cullinan (the appella</w:t>
      </w:r>
      <w:r>
        <w:rPr>
          <w:rFonts w:ascii="Garamond" w:eastAsia="Garamond" w:hAnsi="Garamond" w:cs="Garamond"/>
          <w:color w:val="0E101A"/>
          <w:sz w:val="22"/>
          <w:szCs w:val="22"/>
        </w:rPr>
        <w:t>nts</w:t>
      </w:r>
      <w:proofErr w:type="gramStart"/>
      <w:r>
        <w:rPr>
          <w:rFonts w:ascii="Garamond" w:eastAsia="Garamond" w:hAnsi="Garamond" w:cs="Garamond"/>
          <w:color w:val="0E101A"/>
          <w:sz w:val="22"/>
          <w:szCs w:val="22"/>
        </w:rPr>
        <w:t>),who</w:t>
      </w:r>
      <w:proofErr w:type="gramEnd"/>
      <w:r>
        <w:rPr>
          <w:rFonts w:ascii="Garamond" w:eastAsia="Garamond" w:hAnsi="Garamond" w:cs="Garamond"/>
          <w:color w:val="0E101A"/>
          <w:sz w:val="22"/>
          <w:szCs w:val="22"/>
        </w:rPr>
        <w:t xml:space="preserve"> were strongly opposed to the event, laid down in the middle of one side of an approach road leading to the Excel Centre. They attached themselves to two lockboxes with pipes sticking out from each side. During the demonstration, Police officers ap</w:t>
      </w:r>
      <w:r>
        <w:rPr>
          <w:rFonts w:ascii="Garamond" w:eastAsia="Garamond" w:hAnsi="Garamond" w:cs="Garamond"/>
          <w:color w:val="0E101A"/>
          <w:sz w:val="22"/>
          <w:szCs w:val="22"/>
        </w:rPr>
        <w:t>proached the appellants and went through the "5 stage process" to try and persuade them to remove themselves voluntarily from the road. When the appellants failed to respond, they were arrested. However, it took approximately 90 minutes to successfully rem</w:t>
      </w:r>
      <w:r>
        <w:rPr>
          <w:rFonts w:ascii="Garamond" w:eastAsia="Garamond" w:hAnsi="Garamond" w:cs="Garamond"/>
          <w:color w:val="0E101A"/>
          <w:sz w:val="22"/>
          <w:szCs w:val="22"/>
        </w:rPr>
        <w:t xml:space="preserve">ove the </w:t>
      </w:r>
      <w:proofErr w:type="spellStart"/>
      <w:r>
        <w:rPr>
          <w:rFonts w:ascii="Garamond" w:eastAsia="Garamond" w:hAnsi="Garamond" w:cs="Garamond"/>
          <w:color w:val="0E101A"/>
          <w:sz w:val="22"/>
          <w:szCs w:val="22"/>
        </w:rPr>
        <w:t>demostrators</w:t>
      </w:r>
      <w:proofErr w:type="spellEnd"/>
      <w:r>
        <w:rPr>
          <w:rFonts w:ascii="Garamond" w:eastAsia="Garamond" w:hAnsi="Garamond" w:cs="Garamond"/>
          <w:color w:val="0E101A"/>
          <w:sz w:val="22"/>
          <w:szCs w:val="22"/>
        </w:rPr>
        <w:t xml:space="preserve"> all of them from the road since the lockboxes were intentionally designed to make them hard to disassemble. The demonstrators were charged with </w:t>
      </w:r>
      <w:proofErr w:type="spellStart"/>
      <w:r>
        <w:rPr>
          <w:rFonts w:ascii="Garamond" w:eastAsia="Garamond" w:hAnsi="Garamond" w:cs="Garamond"/>
          <w:color w:val="0E101A"/>
          <w:sz w:val="22"/>
          <w:szCs w:val="22"/>
        </w:rPr>
        <w:t>wilful</w:t>
      </w:r>
      <w:proofErr w:type="spellEnd"/>
      <w:r>
        <w:rPr>
          <w:rFonts w:ascii="Garamond" w:eastAsia="Garamond" w:hAnsi="Garamond" w:cs="Garamond"/>
          <w:color w:val="0E101A"/>
          <w:sz w:val="22"/>
          <w:szCs w:val="22"/>
        </w:rPr>
        <w:t xml:space="preserve"> obstruction of a highway per section 137 of the Highways Act 1980.</w:t>
      </w:r>
    </w:p>
    <w:p w14:paraId="00000018" w14:textId="77777777" w:rsidR="00414847" w:rsidRDefault="00414847">
      <w:pPr>
        <w:spacing w:line="276" w:lineRule="auto"/>
        <w:jc w:val="both"/>
        <w:rPr>
          <w:rFonts w:ascii="Garamond" w:eastAsia="Garamond" w:hAnsi="Garamond" w:cs="Garamond"/>
          <w:color w:val="0E101A"/>
          <w:sz w:val="22"/>
          <w:szCs w:val="22"/>
        </w:rPr>
      </w:pPr>
    </w:p>
    <w:p w14:paraId="00000019" w14:textId="77777777" w:rsidR="00414847" w:rsidRDefault="00D75493">
      <w:pPr>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On 1 and 2 Febru</w:t>
      </w:r>
      <w:r>
        <w:rPr>
          <w:rFonts w:ascii="Garamond" w:eastAsia="Garamond" w:hAnsi="Garamond" w:cs="Garamond"/>
          <w:color w:val="0E101A"/>
          <w:sz w:val="22"/>
          <w:szCs w:val="22"/>
        </w:rPr>
        <w:t>ary 2018, the applicants were tried before District Judge Hamilton at Stratford Magistrates' Court, who dismissed the charges. Taking into consideration the appellants' right to freedom of expression and freedom of peaceful assembly under Articles 10 and 1</w:t>
      </w:r>
      <w:r>
        <w:rPr>
          <w:rFonts w:ascii="Garamond" w:eastAsia="Garamond" w:hAnsi="Garamond" w:cs="Garamond"/>
          <w:color w:val="0E101A"/>
          <w:sz w:val="22"/>
          <w:szCs w:val="22"/>
        </w:rPr>
        <w:t>1 of the ECHR, the District Court found that the prosecution "had failed to prove the requisite the defendants' limited, targeted, and peaceful action, which involved obstruction of the highway, was unreasonable" [para. 4]. As a result, the Director of Pub</w:t>
      </w:r>
      <w:r>
        <w:rPr>
          <w:rFonts w:ascii="Garamond" w:eastAsia="Garamond" w:hAnsi="Garamond" w:cs="Garamond"/>
          <w:color w:val="0E101A"/>
          <w:sz w:val="22"/>
          <w:szCs w:val="22"/>
        </w:rPr>
        <w:t>lic Prosecutions appealed the decision before the Divisional Court by way of case state, a type of appeal that deals with a question of law, not fact.</w:t>
      </w:r>
    </w:p>
    <w:p w14:paraId="0000001A" w14:textId="77777777" w:rsidR="00414847" w:rsidRDefault="00414847">
      <w:pPr>
        <w:spacing w:line="276" w:lineRule="auto"/>
        <w:jc w:val="both"/>
        <w:rPr>
          <w:rFonts w:ascii="Garamond" w:eastAsia="Garamond" w:hAnsi="Garamond" w:cs="Garamond"/>
          <w:color w:val="0E101A"/>
          <w:sz w:val="22"/>
          <w:szCs w:val="22"/>
        </w:rPr>
      </w:pPr>
    </w:p>
    <w:p w14:paraId="0000001B" w14:textId="77777777" w:rsidR="00414847" w:rsidRDefault="00D75493">
      <w:pPr>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On 22 January 2019, the Divisional Court allowed the appeal and sentenced the applicants to conditional </w:t>
      </w:r>
      <w:r>
        <w:rPr>
          <w:rFonts w:ascii="Garamond" w:eastAsia="Garamond" w:hAnsi="Garamond" w:cs="Garamond"/>
          <w:color w:val="0E101A"/>
          <w:sz w:val="22"/>
          <w:szCs w:val="22"/>
        </w:rPr>
        <w:t xml:space="preserve">discharges of 12 months. The Court suggested that the assessment of proportionality in the instant case should have been that set out in </w:t>
      </w:r>
      <w:proofErr w:type="gramStart"/>
      <w:r>
        <w:rPr>
          <w:rFonts w:ascii="Garamond" w:eastAsia="Garamond" w:hAnsi="Garamond" w:cs="Garamond"/>
          <w:i/>
          <w:color w:val="0E101A"/>
          <w:sz w:val="22"/>
          <w:szCs w:val="22"/>
        </w:rPr>
        <w:t>In</w:t>
      </w:r>
      <w:proofErr w:type="gramEnd"/>
      <w:r>
        <w:rPr>
          <w:rFonts w:ascii="Garamond" w:eastAsia="Garamond" w:hAnsi="Garamond" w:cs="Garamond"/>
          <w:i/>
          <w:color w:val="0E101A"/>
          <w:sz w:val="22"/>
          <w:szCs w:val="22"/>
        </w:rPr>
        <w:t xml:space="preserve"> re B (a Child) (Care Proceedings: Threshold Criteria)</w:t>
      </w:r>
      <w:r>
        <w:rPr>
          <w:rFonts w:ascii="Garamond" w:eastAsia="Garamond" w:hAnsi="Garamond" w:cs="Garamond"/>
          <w:color w:val="0E101A"/>
          <w:sz w:val="22"/>
          <w:szCs w:val="22"/>
        </w:rPr>
        <w:t>. The Court held that the District Judge's assessment of propor</w:t>
      </w:r>
      <w:r>
        <w:rPr>
          <w:rFonts w:ascii="Garamond" w:eastAsia="Garamond" w:hAnsi="Garamond" w:cs="Garamond"/>
          <w:color w:val="0E101A"/>
          <w:sz w:val="22"/>
          <w:szCs w:val="22"/>
        </w:rPr>
        <w:t>tionality was erroneous because "there was no "fair balance" struck in these cases between the rights of the individuals to protest and the general interest of the community, including the rights of other members of the public to pass along the highway. Ra</w:t>
      </w:r>
      <w:r>
        <w:rPr>
          <w:rFonts w:ascii="Garamond" w:eastAsia="Garamond" w:hAnsi="Garamond" w:cs="Garamond"/>
          <w:color w:val="0E101A"/>
          <w:sz w:val="22"/>
          <w:szCs w:val="22"/>
        </w:rPr>
        <w:t xml:space="preserve">ther the ability of other members of the public to go about their lawful business was </w:t>
      </w:r>
      <w:r>
        <w:rPr>
          <w:rFonts w:ascii="Garamond" w:eastAsia="Garamond" w:hAnsi="Garamond" w:cs="Garamond"/>
          <w:i/>
          <w:color w:val="0E101A"/>
          <w:sz w:val="22"/>
          <w:szCs w:val="22"/>
        </w:rPr>
        <w:t xml:space="preserve">completely prevented </w:t>
      </w:r>
      <w:r>
        <w:rPr>
          <w:rFonts w:ascii="Garamond" w:eastAsia="Garamond" w:hAnsi="Garamond" w:cs="Garamond"/>
          <w:color w:val="0E101A"/>
          <w:sz w:val="22"/>
          <w:szCs w:val="22"/>
        </w:rPr>
        <w:t xml:space="preserve">by the physical conduct of these defendants for </w:t>
      </w:r>
      <w:r>
        <w:rPr>
          <w:rFonts w:ascii="Garamond" w:eastAsia="Garamond" w:hAnsi="Garamond" w:cs="Garamond"/>
          <w:i/>
          <w:color w:val="0E101A"/>
          <w:sz w:val="22"/>
          <w:szCs w:val="22"/>
        </w:rPr>
        <w:t xml:space="preserve">a significant </w:t>
      </w:r>
      <w:proofErr w:type="gramStart"/>
      <w:r>
        <w:rPr>
          <w:rFonts w:ascii="Garamond" w:eastAsia="Garamond" w:hAnsi="Garamond" w:cs="Garamond"/>
          <w:i/>
          <w:color w:val="0E101A"/>
          <w:sz w:val="22"/>
          <w:szCs w:val="22"/>
        </w:rPr>
        <w:t>period of time</w:t>
      </w:r>
      <w:proofErr w:type="gramEnd"/>
      <w:r>
        <w:rPr>
          <w:rFonts w:ascii="Garamond" w:eastAsia="Garamond" w:hAnsi="Garamond" w:cs="Garamond"/>
          <w:color w:val="0E101A"/>
          <w:sz w:val="22"/>
          <w:szCs w:val="22"/>
        </w:rPr>
        <w:t>. That did not strike a fair balance between the different rights and int</w:t>
      </w:r>
      <w:r>
        <w:rPr>
          <w:rFonts w:ascii="Garamond" w:eastAsia="Garamond" w:hAnsi="Garamond" w:cs="Garamond"/>
          <w:color w:val="0E101A"/>
          <w:sz w:val="22"/>
          <w:szCs w:val="22"/>
        </w:rPr>
        <w:t>erests at stake." [para. 28]</w:t>
      </w:r>
    </w:p>
    <w:p w14:paraId="0000001C" w14:textId="77777777" w:rsidR="00414847" w:rsidRDefault="00414847">
      <w:pPr>
        <w:spacing w:line="276" w:lineRule="auto"/>
        <w:jc w:val="both"/>
        <w:rPr>
          <w:rFonts w:ascii="Garamond" w:eastAsia="Garamond" w:hAnsi="Garamond" w:cs="Garamond"/>
          <w:color w:val="0E101A"/>
          <w:sz w:val="22"/>
          <w:szCs w:val="22"/>
        </w:rPr>
      </w:pPr>
    </w:p>
    <w:p w14:paraId="0000001D" w14:textId="77777777" w:rsidR="00414847" w:rsidRDefault="00D75493">
      <w:pPr>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On 8 March 2019, the Divisional Court dismissed the appellants' application for permission to appeal to the Supreme Court; however, it certified two points of law of </w:t>
      </w:r>
      <w:proofErr w:type="gramStart"/>
      <w:r>
        <w:rPr>
          <w:rFonts w:ascii="Garamond" w:eastAsia="Garamond" w:hAnsi="Garamond" w:cs="Garamond"/>
          <w:color w:val="0E101A"/>
          <w:sz w:val="22"/>
          <w:szCs w:val="22"/>
        </w:rPr>
        <w:t>general public</w:t>
      </w:r>
      <w:proofErr w:type="gramEnd"/>
      <w:r>
        <w:rPr>
          <w:rFonts w:ascii="Garamond" w:eastAsia="Garamond" w:hAnsi="Garamond" w:cs="Garamond"/>
          <w:color w:val="0E101A"/>
          <w:sz w:val="22"/>
          <w:szCs w:val="22"/>
        </w:rPr>
        <w:t xml:space="preserve"> importance for the Supreme Court to analyze. On 3 December 2019, a panel of</w:t>
      </w:r>
      <w:r>
        <w:rPr>
          <w:rFonts w:ascii="Garamond" w:eastAsia="Garamond" w:hAnsi="Garamond" w:cs="Garamond"/>
          <w:color w:val="0E101A"/>
          <w:sz w:val="22"/>
          <w:szCs w:val="22"/>
        </w:rPr>
        <w:t xml:space="preserve"> the Supreme Court composed of Lord Kerr, Lord Hodge, and Lady Arden granted permission to appeal.</w:t>
      </w:r>
    </w:p>
    <w:p w14:paraId="0000001E" w14:textId="77777777" w:rsidR="00414847" w:rsidRDefault="00414847">
      <w:pPr>
        <w:pBdr>
          <w:top w:val="nil"/>
          <w:left w:val="nil"/>
          <w:bottom w:val="nil"/>
          <w:right w:val="nil"/>
          <w:between w:val="nil"/>
        </w:pBdr>
        <w:spacing w:line="276" w:lineRule="auto"/>
        <w:jc w:val="both"/>
        <w:rPr>
          <w:rFonts w:ascii="Garamond" w:eastAsia="Garamond" w:hAnsi="Garamond" w:cs="Garamond"/>
          <w:color w:val="000000"/>
          <w:sz w:val="22"/>
          <w:szCs w:val="22"/>
        </w:rPr>
      </w:pPr>
    </w:p>
    <w:p w14:paraId="0000001F" w14:textId="77777777" w:rsidR="00414847" w:rsidRDefault="00414847">
      <w:pPr>
        <w:pBdr>
          <w:top w:val="nil"/>
          <w:left w:val="nil"/>
          <w:bottom w:val="nil"/>
          <w:right w:val="nil"/>
          <w:between w:val="nil"/>
        </w:pBdr>
        <w:spacing w:line="276" w:lineRule="auto"/>
        <w:ind w:left="360"/>
        <w:jc w:val="both"/>
        <w:rPr>
          <w:rFonts w:ascii="Garamond" w:eastAsia="Garamond" w:hAnsi="Garamond" w:cs="Garamond"/>
          <w:color w:val="000000"/>
          <w:sz w:val="22"/>
          <w:szCs w:val="22"/>
        </w:rPr>
      </w:pPr>
    </w:p>
    <w:p w14:paraId="00000020" w14:textId="77777777" w:rsidR="00414847" w:rsidRDefault="00D75493">
      <w:pPr>
        <w:numPr>
          <w:ilvl w:val="0"/>
          <w:numId w:val="7"/>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Decision Overview</w:t>
      </w:r>
      <w:r>
        <w:rPr>
          <w:rFonts w:ascii="Garamond" w:eastAsia="Garamond" w:hAnsi="Garamond" w:cs="Garamond"/>
          <w:color w:val="000000"/>
          <w:sz w:val="22"/>
          <w:szCs w:val="22"/>
        </w:rPr>
        <w:t xml:space="preserve">: </w:t>
      </w:r>
    </w:p>
    <w:p w14:paraId="00000021" w14:textId="77777777" w:rsidR="00414847" w:rsidRDefault="00D75493">
      <w:pPr>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The main issues before the Supreme Court were: "(1) What is the test to be applied by an appellate court to an assessment of the decisi</w:t>
      </w:r>
      <w:r>
        <w:rPr>
          <w:rFonts w:ascii="Garamond" w:eastAsia="Garamond" w:hAnsi="Garamond" w:cs="Garamond"/>
          <w:color w:val="0E101A"/>
          <w:sz w:val="22"/>
          <w:szCs w:val="22"/>
        </w:rPr>
        <w:t xml:space="preserve">on of the trial court in respect of a statutory </w:t>
      </w:r>
      <w:proofErr w:type="spellStart"/>
      <w:r>
        <w:rPr>
          <w:rFonts w:ascii="Garamond" w:eastAsia="Garamond" w:hAnsi="Garamond" w:cs="Garamond"/>
          <w:color w:val="0E101A"/>
          <w:sz w:val="22"/>
          <w:szCs w:val="22"/>
        </w:rPr>
        <w:t>defen</w:t>
      </w:r>
      <w:proofErr w:type="spellEnd"/>
      <w:r>
        <w:rPr>
          <w:rFonts w:ascii="Garamond" w:eastAsia="Garamond" w:hAnsi="Garamond" w:cs="Garamond"/>
          <w:color w:val="0E101A"/>
          <w:sz w:val="22"/>
          <w:szCs w:val="22"/>
        </w:rPr>
        <w:t>[s]e of "lawful excuse" when Convention rights are engaged in a criminal matter? (2) Is deliberate physically obstructive conduct by protesters capable of constituting a lawful excuse for the purposes of</w:t>
      </w:r>
      <w:r>
        <w:rPr>
          <w:rFonts w:ascii="Garamond" w:eastAsia="Garamond" w:hAnsi="Garamond" w:cs="Garamond"/>
          <w:color w:val="0E101A"/>
          <w:sz w:val="22"/>
          <w:szCs w:val="22"/>
        </w:rPr>
        <w:t xml:space="preserve"> section 137 of the 1980 Act, where the impact of the deliberate obstruction on other highway users is more than </w:t>
      </w:r>
      <w:r>
        <w:rPr>
          <w:rFonts w:ascii="Garamond" w:eastAsia="Garamond" w:hAnsi="Garamond" w:cs="Garamond"/>
          <w:i/>
          <w:color w:val="0E101A"/>
          <w:sz w:val="22"/>
          <w:szCs w:val="22"/>
        </w:rPr>
        <w:t>de minimis</w:t>
      </w:r>
      <w:r>
        <w:rPr>
          <w:rFonts w:ascii="Garamond" w:eastAsia="Garamond" w:hAnsi="Garamond" w:cs="Garamond"/>
          <w:color w:val="0E101A"/>
          <w:sz w:val="22"/>
          <w:szCs w:val="22"/>
        </w:rPr>
        <w:t>, and prevents them, or is capable of preventing them, from passing along the highway?" [para.7]</w:t>
      </w:r>
    </w:p>
    <w:p w14:paraId="00000022" w14:textId="77777777" w:rsidR="00414847" w:rsidRDefault="00414847">
      <w:pPr>
        <w:spacing w:line="276" w:lineRule="auto"/>
        <w:jc w:val="both"/>
        <w:rPr>
          <w:rFonts w:ascii="Garamond" w:eastAsia="Garamond" w:hAnsi="Garamond" w:cs="Garamond"/>
          <w:color w:val="0E101A"/>
          <w:sz w:val="22"/>
          <w:szCs w:val="22"/>
        </w:rPr>
      </w:pPr>
    </w:p>
    <w:p w14:paraId="00000023" w14:textId="77777777" w:rsidR="00414847" w:rsidRDefault="00D75493">
      <w:pPr>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To answer the first certified quest</w:t>
      </w:r>
      <w:r>
        <w:rPr>
          <w:rFonts w:ascii="Garamond" w:eastAsia="Garamond" w:hAnsi="Garamond" w:cs="Garamond"/>
          <w:color w:val="0E101A"/>
          <w:sz w:val="22"/>
          <w:szCs w:val="22"/>
        </w:rPr>
        <w:t>ion, the Supreme Court held that section 137(1) of the 1980 Act must comply with the ECHR. This implies that the trial court should have considered whether the police's interference with the appellants' article 10 and 11 rights by arresting them was propor</w:t>
      </w:r>
      <w:r>
        <w:rPr>
          <w:rFonts w:ascii="Garamond" w:eastAsia="Garamond" w:hAnsi="Garamond" w:cs="Garamond"/>
          <w:color w:val="0E101A"/>
          <w:sz w:val="22"/>
          <w:szCs w:val="22"/>
        </w:rPr>
        <w:t xml:space="preserve">tionate. The appellant would have a defense of lawful excuse to the underlying criminal offense if found disproportionate. The Court referred primarily to its case </w:t>
      </w:r>
      <w:proofErr w:type="gramStart"/>
      <w:r>
        <w:rPr>
          <w:rFonts w:ascii="Garamond" w:eastAsia="Garamond" w:hAnsi="Garamond" w:cs="Garamond"/>
          <w:color w:val="0E101A"/>
          <w:sz w:val="22"/>
          <w:szCs w:val="22"/>
        </w:rPr>
        <w:t xml:space="preserve">of  </w:t>
      </w:r>
      <w:r>
        <w:rPr>
          <w:rFonts w:ascii="Garamond" w:eastAsia="Garamond" w:hAnsi="Garamond" w:cs="Garamond"/>
          <w:i/>
          <w:color w:val="0E101A"/>
          <w:sz w:val="22"/>
          <w:szCs w:val="22"/>
        </w:rPr>
        <w:t>Edwards</w:t>
      </w:r>
      <w:proofErr w:type="gramEnd"/>
      <w:r>
        <w:rPr>
          <w:rFonts w:ascii="Garamond" w:eastAsia="Garamond" w:hAnsi="Garamond" w:cs="Garamond"/>
          <w:i/>
          <w:color w:val="0E101A"/>
          <w:sz w:val="22"/>
          <w:szCs w:val="22"/>
        </w:rPr>
        <w:t xml:space="preserve"> v Bairstow </w:t>
      </w:r>
      <w:r>
        <w:rPr>
          <w:rFonts w:ascii="Garamond" w:eastAsia="Garamond" w:hAnsi="Garamond" w:cs="Garamond"/>
          <w:color w:val="0E101A"/>
          <w:sz w:val="22"/>
          <w:szCs w:val="22"/>
        </w:rPr>
        <w:t>to establish that the test that an appellate court should have applie</w:t>
      </w:r>
      <w:r>
        <w:rPr>
          <w:rFonts w:ascii="Garamond" w:eastAsia="Garamond" w:hAnsi="Garamond" w:cs="Garamond"/>
          <w:color w:val="0E101A"/>
          <w:sz w:val="22"/>
          <w:szCs w:val="22"/>
        </w:rPr>
        <w:t>d the same to appeals on questions of law in a case stated under section 111 of the Magistrates' Courts Act 1980. Said Act establishes that "...Any person who was a party to any proceeding before a magistrates' court or is aggrieved by the conviction, orde</w:t>
      </w:r>
      <w:r>
        <w:rPr>
          <w:rFonts w:ascii="Garamond" w:eastAsia="Garamond" w:hAnsi="Garamond" w:cs="Garamond"/>
          <w:color w:val="0E101A"/>
          <w:sz w:val="22"/>
          <w:szCs w:val="22"/>
        </w:rPr>
        <w:t xml:space="preserve">r, determination or other proceedings of the court may question the proceeding on the ground that it is </w:t>
      </w:r>
      <w:r>
        <w:rPr>
          <w:rFonts w:ascii="Garamond" w:eastAsia="Garamond" w:hAnsi="Garamond" w:cs="Garamond"/>
          <w:i/>
          <w:color w:val="0E101A"/>
          <w:sz w:val="22"/>
          <w:szCs w:val="22"/>
        </w:rPr>
        <w:t xml:space="preserve">wrong in law </w:t>
      </w:r>
      <w:r>
        <w:rPr>
          <w:rFonts w:ascii="Garamond" w:eastAsia="Garamond" w:hAnsi="Garamond" w:cs="Garamond"/>
          <w:color w:val="0E101A"/>
          <w:sz w:val="22"/>
          <w:szCs w:val="22"/>
        </w:rPr>
        <w:t xml:space="preserve">or is in excess of jurisdiction by applying to the justices composing the court to state a case for the opinion of the High Court on </w:t>
      </w:r>
      <w:r>
        <w:rPr>
          <w:rFonts w:ascii="Garamond" w:eastAsia="Garamond" w:hAnsi="Garamond" w:cs="Garamond"/>
          <w:i/>
          <w:color w:val="0E101A"/>
          <w:sz w:val="22"/>
          <w:szCs w:val="22"/>
        </w:rPr>
        <w:t>the qu</w:t>
      </w:r>
      <w:r>
        <w:rPr>
          <w:rFonts w:ascii="Garamond" w:eastAsia="Garamond" w:hAnsi="Garamond" w:cs="Garamond"/>
          <w:i/>
          <w:color w:val="0E101A"/>
          <w:sz w:val="22"/>
          <w:szCs w:val="22"/>
        </w:rPr>
        <w:t xml:space="preserve">estion of law </w:t>
      </w:r>
      <w:r>
        <w:rPr>
          <w:rFonts w:ascii="Garamond" w:eastAsia="Garamond" w:hAnsi="Garamond" w:cs="Garamond"/>
          <w:color w:val="0E101A"/>
          <w:sz w:val="22"/>
          <w:szCs w:val="22"/>
        </w:rPr>
        <w:t xml:space="preserve">or jurisdiction involved” [par.36]. </w:t>
      </w:r>
    </w:p>
    <w:p w14:paraId="00000024" w14:textId="77777777" w:rsidR="00414847" w:rsidRDefault="00414847">
      <w:pPr>
        <w:spacing w:line="276" w:lineRule="auto"/>
        <w:jc w:val="both"/>
        <w:rPr>
          <w:rFonts w:ascii="Garamond" w:eastAsia="Garamond" w:hAnsi="Garamond" w:cs="Garamond"/>
          <w:color w:val="0E101A"/>
          <w:sz w:val="22"/>
          <w:szCs w:val="22"/>
        </w:rPr>
      </w:pPr>
    </w:p>
    <w:p w14:paraId="00000025" w14:textId="77777777" w:rsidR="00414847" w:rsidRDefault="00D75493">
      <w:pPr>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The Supreme Court held that the appellate test for the Divisional Court to apply in appeals by way of case stated was whether the Court’s conclusion was one which was reasonably open to it.  By using this</w:t>
      </w:r>
      <w:r>
        <w:rPr>
          <w:rFonts w:ascii="Garamond" w:eastAsia="Garamond" w:hAnsi="Garamond" w:cs="Garamond"/>
          <w:color w:val="0E101A"/>
          <w:sz w:val="22"/>
          <w:szCs w:val="22"/>
        </w:rPr>
        <w:t xml:space="preserve"> approach, a determination of fact could only be challenged if it is one that no reasonable court could have reached on the facts or if there was an error of law that was essential to the decision. </w:t>
      </w:r>
      <w:proofErr w:type="gramStart"/>
      <w:r>
        <w:rPr>
          <w:rFonts w:ascii="Garamond" w:eastAsia="Garamond" w:hAnsi="Garamond" w:cs="Garamond"/>
          <w:color w:val="0E101A"/>
          <w:sz w:val="22"/>
          <w:szCs w:val="22"/>
        </w:rPr>
        <w:t>Thus</w:t>
      </w:r>
      <w:proofErr w:type="gramEnd"/>
      <w:r>
        <w:rPr>
          <w:rFonts w:ascii="Garamond" w:eastAsia="Garamond" w:hAnsi="Garamond" w:cs="Garamond"/>
          <w:color w:val="0E101A"/>
          <w:sz w:val="22"/>
          <w:szCs w:val="22"/>
        </w:rPr>
        <w:t xml:space="preserve"> the Court considered that the Divisional Court decisi</w:t>
      </w:r>
      <w:r>
        <w:rPr>
          <w:rFonts w:ascii="Garamond" w:eastAsia="Garamond" w:hAnsi="Garamond" w:cs="Garamond"/>
          <w:color w:val="0E101A"/>
          <w:sz w:val="22"/>
          <w:szCs w:val="22"/>
        </w:rPr>
        <w:t xml:space="preserve">on that there was a different appellate test where the appeal raises an assessment of proportionality was incorrect and did it without regard to any relevant authorities. However, the Court highlighted that although "the Divisional Court applied the wrong </w:t>
      </w:r>
      <w:r>
        <w:rPr>
          <w:rFonts w:ascii="Garamond" w:eastAsia="Garamond" w:hAnsi="Garamond" w:cs="Garamond"/>
          <w:color w:val="0E101A"/>
          <w:sz w:val="22"/>
          <w:szCs w:val="22"/>
        </w:rPr>
        <w:t>appellate test, it may therefore have reached a conclusion that was justifiable on the basis that there was an error of law on the face of the case" [para. 54].</w:t>
      </w:r>
    </w:p>
    <w:p w14:paraId="00000026" w14:textId="77777777" w:rsidR="00414847" w:rsidRDefault="00414847">
      <w:pPr>
        <w:spacing w:line="276" w:lineRule="auto"/>
        <w:jc w:val="both"/>
        <w:rPr>
          <w:rFonts w:ascii="Garamond" w:eastAsia="Garamond" w:hAnsi="Garamond" w:cs="Garamond"/>
          <w:color w:val="0E101A"/>
          <w:sz w:val="22"/>
          <w:szCs w:val="22"/>
        </w:rPr>
      </w:pPr>
    </w:p>
    <w:p w14:paraId="00000027" w14:textId="77777777" w:rsidR="00414847" w:rsidRDefault="00D75493">
      <w:pPr>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To answer the second certified question, the Court analyzed if the protesters' deliberate physical obstructive conduct </w:t>
      </w:r>
      <w:proofErr w:type="gramStart"/>
      <w:r>
        <w:rPr>
          <w:rFonts w:ascii="Garamond" w:eastAsia="Garamond" w:hAnsi="Garamond" w:cs="Garamond"/>
          <w:color w:val="0E101A"/>
          <w:sz w:val="22"/>
          <w:szCs w:val="22"/>
        </w:rPr>
        <w:t>was capable of constituting</w:t>
      </w:r>
      <w:proofErr w:type="gramEnd"/>
      <w:r>
        <w:rPr>
          <w:rFonts w:ascii="Garamond" w:eastAsia="Garamond" w:hAnsi="Garamond" w:cs="Garamond"/>
          <w:color w:val="0E101A"/>
          <w:sz w:val="22"/>
          <w:szCs w:val="22"/>
        </w:rPr>
        <w:t xml:space="preserve"> a lawful excuse for section 137 of the Highways Act 1980, even where the impact of the intentional obstructio</w:t>
      </w:r>
      <w:r>
        <w:rPr>
          <w:rFonts w:ascii="Garamond" w:eastAsia="Garamond" w:hAnsi="Garamond" w:cs="Garamond"/>
          <w:color w:val="0E101A"/>
          <w:sz w:val="22"/>
          <w:szCs w:val="22"/>
        </w:rPr>
        <w:t xml:space="preserve">n on other highway users is more than </w:t>
      </w:r>
      <w:r>
        <w:rPr>
          <w:rFonts w:ascii="Garamond" w:eastAsia="Garamond" w:hAnsi="Garamond" w:cs="Garamond"/>
          <w:i/>
          <w:color w:val="0E101A"/>
          <w:sz w:val="22"/>
          <w:szCs w:val="22"/>
        </w:rPr>
        <w:t>de minimis</w:t>
      </w:r>
      <w:r>
        <w:rPr>
          <w:rFonts w:ascii="Garamond" w:eastAsia="Garamond" w:hAnsi="Garamond" w:cs="Garamond"/>
          <w:color w:val="0E101A"/>
          <w:sz w:val="22"/>
          <w:szCs w:val="22"/>
        </w:rPr>
        <w:t xml:space="preserve">. The Court remarked that the issue before the District Judge did not involve the proportionality of the police in arresting the appellants but rather proportionality in the context of the alleged commission </w:t>
      </w:r>
      <w:r>
        <w:rPr>
          <w:rFonts w:ascii="Garamond" w:eastAsia="Garamond" w:hAnsi="Garamond" w:cs="Garamond"/>
          <w:color w:val="0E101A"/>
          <w:sz w:val="22"/>
          <w:szCs w:val="22"/>
        </w:rPr>
        <w:t xml:space="preserve">of an offense under section 137 of the 1980 Act. </w:t>
      </w:r>
    </w:p>
    <w:p w14:paraId="00000028" w14:textId="77777777" w:rsidR="00414847" w:rsidRDefault="00414847">
      <w:pPr>
        <w:spacing w:line="276" w:lineRule="auto"/>
        <w:jc w:val="both"/>
        <w:rPr>
          <w:rFonts w:ascii="Garamond" w:eastAsia="Garamond" w:hAnsi="Garamond" w:cs="Garamond"/>
          <w:color w:val="0E101A"/>
          <w:sz w:val="22"/>
          <w:szCs w:val="22"/>
        </w:rPr>
      </w:pPr>
    </w:p>
    <w:p w14:paraId="00000029" w14:textId="77777777" w:rsidR="00414847" w:rsidRDefault="00D75493">
      <w:pPr>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 xml:space="preserve">The Court referred to the ECtHR cases of </w:t>
      </w:r>
      <w:proofErr w:type="spellStart"/>
      <w:r>
        <w:rPr>
          <w:rFonts w:ascii="Garamond" w:eastAsia="Garamond" w:hAnsi="Garamond" w:cs="Garamond"/>
          <w:i/>
          <w:color w:val="0E101A"/>
          <w:sz w:val="22"/>
          <w:szCs w:val="22"/>
        </w:rPr>
        <w:t>Hashman</w:t>
      </w:r>
      <w:proofErr w:type="spellEnd"/>
      <w:r>
        <w:rPr>
          <w:rFonts w:ascii="Garamond" w:eastAsia="Garamond" w:hAnsi="Garamond" w:cs="Garamond"/>
          <w:i/>
          <w:color w:val="0E101A"/>
          <w:sz w:val="22"/>
          <w:szCs w:val="22"/>
        </w:rPr>
        <w:t xml:space="preserve"> v United Kingdom</w:t>
      </w:r>
      <w:r>
        <w:rPr>
          <w:rFonts w:ascii="Garamond" w:eastAsia="Garamond" w:hAnsi="Garamond" w:cs="Garamond"/>
          <w:color w:val="0E101A"/>
          <w:sz w:val="22"/>
          <w:szCs w:val="22"/>
        </w:rPr>
        <w:t xml:space="preserve">, </w:t>
      </w:r>
      <w:r>
        <w:rPr>
          <w:rFonts w:ascii="Garamond" w:eastAsia="Garamond" w:hAnsi="Garamond" w:cs="Garamond"/>
          <w:i/>
          <w:color w:val="0E101A"/>
          <w:sz w:val="22"/>
          <w:szCs w:val="22"/>
        </w:rPr>
        <w:t>Steel v the United Kingdom</w:t>
      </w:r>
      <w:r>
        <w:rPr>
          <w:rFonts w:ascii="Garamond" w:eastAsia="Garamond" w:hAnsi="Garamond" w:cs="Garamond"/>
          <w:color w:val="0E101A"/>
          <w:sz w:val="22"/>
          <w:szCs w:val="22"/>
        </w:rPr>
        <w:t xml:space="preserve">, </w:t>
      </w:r>
      <w:proofErr w:type="spellStart"/>
      <w:r>
        <w:rPr>
          <w:rFonts w:ascii="Garamond" w:eastAsia="Garamond" w:hAnsi="Garamond" w:cs="Garamond"/>
          <w:i/>
          <w:color w:val="0E101A"/>
          <w:sz w:val="22"/>
          <w:szCs w:val="22"/>
        </w:rPr>
        <w:t>Kudrevičius</w:t>
      </w:r>
      <w:proofErr w:type="spellEnd"/>
      <w:r>
        <w:rPr>
          <w:rFonts w:ascii="Garamond" w:eastAsia="Garamond" w:hAnsi="Garamond" w:cs="Garamond"/>
          <w:i/>
          <w:color w:val="0E101A"/>
          <w:sz w:val="22"/>
          <w:szCs w:val="22"/>
        </w:rPr>
        <w:t xml:space="preserve"> v Lithuania </w:t>
      </w:r>
      <w:proofErr w:type="gramStart"/>
      <w:r>
        <w:rPr>
          <w:rFonts w:ascii="Garamond" w:eastAsia="Garamond" w:hAnsi="Garamond" w:cs="Garamond"/>
          <w:color w:val="0E101A"/>
          <w:sz w:val="22"/>
          <w:szCs w:val="22"/>
        </w:rPr>
        <w:t xml:space="preserve">and  </w:t>
      </w:r>
      <w:proofErr w:type="spellStart"/>
      <w:r>
        <w:rPr>
          <w:rFonts w:ascii="Garamond" w:eastAsia="Garamond" w:hAnsi="Garamond" w:cs="Garamond"/>
          <w:i/>
          <w:color w:val="0E101A"/>
          <w:sz w:val="22"/>
          <w:szCs w:val="22"/>
        </w:rPr>
        <w:t>Primov</w:t>
      </w:r>
      <w:proofErr w:type="spellEnd"/>
      <w:proofErr w:type="gramEnd"/>
      <w:r>
        <w:rPr>
          <w:rFonts w:ascii="Garamond" w:eastAsia="Garamond" w:hAnsi="Garamond" w:cs="Garamond"/>
          <w:i/>
          <w:color w:val="0E101A"/>
          <w:sz w:val="22"/>
          <w:szCs w:val="22"/>
        </w:rPr>
        <w:t xml:space="preserve"> v Russia </w:t>
      </w:r>
      <w:r>
        <w:rPr>
          <w:rFonts w:ascii="Garamond" w:eastAsia="Garamond" w:hAnsi="Garamond" w:cs="Garamond"/>
          <w:color w:val="0E101A"/>
          <w:sz w:val="22"/>
          <w:szCs w:val="22"/>
        </w:rPr>
        <w:t>to highlight that there should be a certain degree of tolerance t</w:t>
      </w:r>
      <w:r>
        <w:rPr>
          <w:rFonts w:ascii="Garamond" w:eastAsia="Garamond" w:hAnsi="Garamond" w:cs="Garamond"/>
          <w:color w:val="0E101A"/>
          <w:sz w:val="22"/>
          <w:szCs w:val="22"/>
        </w:rPr>
        <w:t>o disruption to ordinary life, including disruption of traffic caused by the exercise of the right to freedom of expression or freedom of peaceful assembly. However, the Court stressed that the extent of the disruption and whether it is intentional are rel</w:t>
      </w:r>
      <w:r>
        <w:rPr>
          <w:rFonts w:ascii="Garamond" w:eastAsia="Garamond" w:hAnsi="Garamond" w:cs="Garamond"/>
          <w:color w:val="0E101A"/>
          <w:sz w:val="22"/>
          <w:szCs w:val="22"/>
        </w:rPr>
        <w:t xml:space="preserve">evant factors in assessing proportionality. </w:t>
      </w:r>
    </w:p>
    <w:p w14:paraId="0000002A" w14:textId="77777777" w:rsidR="00414847" w:rsidRDefault="00414847">
      <w:pPr>
        <w:spacing w:line="276" w:lineRule="auto"/>
        <w:jc w:val="both"/>
        <w:rPr>
          <w:rFonts w:ascii="Garamond" w:eastAsia="Garamond" w:hAnsi="Garamond" w:cs="Garamond"/>
          <w:color w:val="0E101A"/>
          <w:sz w:val="22"/>
          <w:szCs w:val="22"/>
        </w:rPr>
      </w:pPr>
    </w:p>
    <w:p w14:paraId="0000002B" w14:textId="77777777" w:rsidR="00414847" w:rsidRDefault="00D75493">
      <w:pPr>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t>According to the Court, the factors relevant to such assessment must include that the plaintiffs' action was intended to be a peaceful gathering and gave rise to no form of disorder; did not involve the commiss</w:t>
      </w:r>
      <w:r>
        <w:rPr>
          <w:rFonts w:ascii="Garamond" w:eastAsia="Garamond" w:hAnsi="Garamond" w:cs="Garamond"/>
          <w:color w:val="0E101A"/>
          <w:sz w:val="22"/>
          <w:szCs w:val="22"/>
        </w:rPr>
        <w:t xml:space="preserve">ion of any offense other than the alleged section 137 offense; was carefully targeted at vehicles heading to the fair and did not obstruct completely the highway; </w:t>
      </w:r>
      <w:proofErr w:type="gramStart"/>
      <w:r>
        <w:rPr>
          <w:rFonts w:ascii="Garamond" w:eastAsia="Garamond" w:hAnsi="Garamond" w:cs="Garamond"/>
          <w:color w:val="0E101A"/>
          <w:sz w:val="22"/>
          <w:szCs w:val="22"/>
        </w:rPr>
        <w:t>and,</w:t>
      </w:r>
      <w:proofErr w:type="gramEnd"/>
      <w:r>
        <w:rPr>
          <w:rFonts w:ascii="Garamond" w:eastAsia="Garamond" w:hAnsi="Garamond" w:cs="Garamond"/>
          <w:color w:val="0E101A"/>
          <w:sz w:val="22"/>
          <w:szCs w:val="22"/>
        </w:rPr>
        <w:t xml:space="preserve"> was of limited duration since the obstruction lasted 90-100 minutes. Additionally, since</w:t>
      </w:r>
      <w:r>
        <w:rPr>
          <w:rFonts w:ascii="Garamond" w:eastAsia="Garamond" w:hAnsi="Garamond" w:cs="Garamond"/>
          <w:color w:val="0E101A"/>
          <w:sz w:val="22"/>
          <w:szCs w:val="22"/>
        </w:rPr>
        <w:t xml:space="preserve"> there were alternative routes available for vehicles making deliveries to the Excel Centre during the demonstration, there was no evidence of any significant disruption caused by the obstruction. Hence, the Court deemed that the proportionality assessment</w:t>
      </w:r>
      <w:r>
        <w:rPr>
          <w:rFonts w:ascii="Garamond" w:eastAsia="Garamond" w:hAnsi="Garamond" w:cs="Garamond"/>
          <w:color w:val="0E101A"/>
          <w:sz w:val="22"/>
          <w:szCs w:val="22"/>
        </w:rPr>
        <w:t xml:space="preserve"> applied by the District Court in favor of the appellants was correct since he considered the relevant facts, and there was no error or flaw in his reasoning to undermine his conclusion. </w:t>
      </w:r>
    </w:p>
    <w:p w14:paraId="0000002C" w14:textId="77777777" w:rsidR="00414847" w:rsidRDefault="00414847">
      <w:pPr>
        <w:spacing w:line="276" w:lineRule="auto"/>
        <w:jc w:val="both"/>
        <w:rPr>
          <w:rFonts w:ascii="Garamond" w:eastAsia="Garamond" w:hAnsi="Garamond" w:cs="Garamond"/>
          <w:color w:val="0E101A"/>
          <w:sz w:val="22"/>
          <w:szCs w:val="22"/>
        </w:rPr>
      </w:pPr>
    </w:p>
    <w:p w14:paraId="0000002D" w14:textId="77777777" w:rsidR="00414847" w:rsidRDefault="00D75493">
      <w:pPr>
        <w:spacing w:line="276" w:lineRule="auto"/>
        <w:jc w:val="both"/>
        <w:rPr>
          <w:rFonts w:ascii="Garamond" w:eastAsia="Garamond" w:hAnsi="Garamond" w:cs="Garamond"/>
          <w:color w:val="0E101A"/>
          <w:sz w:val="22"/>
          <w:szCs w:val="22"/>
        </w:rPr>
      </w:pPr>
      <w:r>
        <w:rPr>
          <w:rFonts w:ascii="Garamond" w:eastAsia="Garamond" w:hAnsi="Garamond" w:cs="Garamond"/>
          <w:color w:val="0E101A"/>
          <w:sz w:val="22"/>
          <w:szCs w:val="22"/>
        </w:rPr>
        <w:lastRenderedPageBreak/>
        <w:t xml:space="preserve">Finally, the Court deemed the lawful exercise of Convention Rights </w:t>
      </w:r>
      <w:r>
        <w:rPr>
          <w:rFonts w:ascii="Garamond" w:eastAsia="Garamond" w:hAnsi="Garamond" w:cs="Garamond"/>
          <w:color w:val="0E101A"/>
          <w:sz w:val="22"/>
          <w:szCs w:val="22"/>
        </w:rPr>
        <w:t>in Articles 10 and 11 meant that the prosecution failed to prove that the defendant's use of the highway was unreasonable. For that reason, the defendants had a "lawful excuse" for the obstruction of the highway, and therefore, could not be considered as a</w:t>
      </w:r>
      <w:r>
        <w:rPr>
          <w:rFonts w:ascii="Garamond" w:eastAsia="Garamond" w:hAnsi="Garamond" w:cs="Garamond"/>
          <w:color w:val="0E101A"/>
          <w:sz w:val="22"/>
          <w:szCs w:val="22"/>
        </w:rPr>
        <w:t xml:space="preserve"> criminal offense. Thus, the Supreme Court overturned the order directing convictions and ordered the dismissal of the charges against the appellants to be restored. </w:t>
      </w:r>
    </w:p>
    <w:p w14:paraId="0000002E" w14:textId="77777777" w:rsidR="00414847" w:rsidRDefault="00414847">
      <w:pPr>
        <w:spacing w:line="276" w:lineRule="auto"/>
        <w:jc w:val="both"/>
        <w:rPr>
          <w:rFonts w:ascii="Garamond" w:eastAsia="Garamond" w:hAnsi="Garamond" w:cs="Garamond"/>
          <w:color w:val="0E101A"/>
          <w:sz w:val="22"/>
          <w:szCs w:val="22"/>
        </w:rPr>
      </w:pPr>
    </w:p>
    <w:p w14:paraId="0000002F" w14:textId="77777777" w:rsidR="00414847" w:rsidRDefault="00414847">
      <w:pPr>
        <w:spacing w:line="276" w:lineRule="auto"/>
        <w:jc w:val="both"/>
        <w:rPr>
          <w:rFonts w:ascii="Garamond" w:eastAsia="Garamond" w:hAnsi="Garamond" w:cs="Garamond"/>
          <w:color w:val="0E101A"/>
          <w:sz w:val="22"/>
          <w:szCs w:val="22"/>
        </w:rPr>
      </w:pPr>
    </w:p>
    <w:p w14:paraId="00000030" w14:textId="77777777" w:rsidR="00414847" w:rsidRDefault="00414847">
      <w:pPr>
        <w:pBdr>
          <w:top w:val="nil"/>
          <w:left w:val="nil"/>
          <w:bottom w:val="nil"/>
          <w:right w:val="nil"/>
          <w:between w:val="nil"/>
        </w:pBdr>
        <w:spacing w:line="276" w:lineRule="auto"/>
        <w:ind w:left="360"/>
        <w:jc w:val="both"/>
        <w:rPr>
          <w:rFonts w:ascii="Garamond" w:eastAsia="Garamond" w:hAnsi="Garamond" w:cs="Garamond"/>
          <w:sz w:val="22"/>
          <w:szCs w:val="22"/>
        </w:rPr>
      </w:pPr>
    </w:p>
    <w:p w14:paraId="00000031" w14:textId="77777777" w:rsidR="00414847" w:rsidRDefault="00D75493">
      <w:pPr>
        <w:pBdr>
          <w:top w:val="nil"/>
          <w:left w:val="nil"/>
          <w:bottom w:val="nil"/>
          <w:right w:val="nil"/>
          <w:between w:val="nil"/>
        </w:pBdr>
        <w:spacing w:line="276" w:lineRule="auto"/>
        <w:ind w:left="360"/>
        <w:jc w:val="both"/>
        <w:rPr>
          <w:rFonts w:ascii="Garamond" w:eastAsia="Garamond" w:hAnsi="Garamond" w:cs="Garamond"/>
          <w:color w:val="000000"/>
          <w:sz w:val="22"/>
          <w:szCs w:val="22"/>
        </w:rPr>
      </w:pPr>
      <w:r>
        <w:rPr>
          <w:rFonts w:ascii="Garamond" w:eastAsia="Garamond" w:hAnsi="Garamond" w:cs="Garamond"/>
          <w:color w:val="000000"/>
          <w:sz w:val="22"/>
          <w:szCs w:val="22"/>
          <w:u w:val="single"/>
        </w:rPr>
        <w:t>Dissenting Opinions of Judges …</w:t>
      </w:r>
      <w:r>
        <w:rPr>
          <w:rFonts w:ascii="Garamond" w:eastAsia="Garamond" w:hAnsi="Garamond" w:cs="Garamond"/>
          <w:color w:val="000000"/>
          <w:sz w:val="22"/>
          <w:szCs w:val="22"/>
        </w:rPr>
        <w:t>:</w:t>
      </w:r>
    </w:p>
    <w:p w14:paraId="00000032" w14:textId="77777777" w:rsidR="00414847" w:rsidRDefault="00D75493">
      <w:pPr>
        <w:pBdr>
          <w:top w:val="nil"/>
          <w:left w:val="nil"/>
          <w:bottom w:val="nil"/>
          <w:right w:val="nil"/>
          <w:between w:val="nil"/>
        </w:pBdr>
        <w:spacing w:line="276" w:lineRule="auto"/>
        <w:ind w:left="360"/>
        <w:jc w:val="both"/>
        <w:rPr>
          <w:rFonts w:ascii="Garamond" w:eastAsia="Garamond" w:hAnsi="Garamond" w:cs="Garamond"/>
          <w:sz w:val="22"/>
          <w:szCs w:val="22"/>
        </w:rPr>
      </w:pPr>
      <w:r>
        <w:rPr>
          <w:rFonts w:ascii="Garamond" w:eastAsia="Garamond" w:hAnsi="Garamond" w:cs="Garamond"/>
          <w:sz w:val="22"/>
          <w:szCs w:val="22"/>
        </w:rPr>
        <w:t>Lord Sales presented a dissenting opinion. Regarding the first certified question, he stated that it was "not coherent to say that an appellate court should apply a different approach in the context of an appeal by way of case stated as compared with other</w:t>
      </w:r>
      <w:r>
        <w:rPr>
          <w:rFonts w:ascii="Garamond" w:eastAsia="Garamond" w:hAnsi="Garamond" w:cs="Garamond"/>
          <w:sz w:val="22"/>
          <w:szCs w:val="22"/>
        </w:rPr>
        <w:t xml:space="preserve"> situations. The legal rule to be applied is the same in each case, so it is difficult to see why the test for error of law on appeal should vary. The fact that an appeal happens to proceed by one procedural route rather than another cannot (...)change the</w:t>
      </w:r>
      <w:r>
        <w:rPr>
          <w:rFonts w:ascii="Garamond" w:eastAsia="Garamond" w:hAnsi="Garamond" w:cs="Garamond"/>
          <w:sz w:val="22"/>
          <w:szCs w:val="22"/>
        </w:rPr>
        <w:t xml:space="preserve"> substantive law or the appellate approach to ensuring that the substantive law has been correctly applied" [para. 154].</w:t>
      </w:r>
    </w:p>
    <w:p w14:paraId="00000033" w14:textId="77777777" w:rsidR="00414847" w:rsidRDefault="00414847">
      <w:pPr>
        <w:pBdr>
          <w:top w:val="nil"/>
          <w:left w:val="nil"/>
          <w:bottom w:val="nil"/>
          <w:right w:val="nil"/>
          <w:between w:val="nil"/>
        </w:pBdr>
        <w:spacing w:line="276" w:lineRule="auto"/>
        <w:ind w:left="360"/>
        <w:jc w:val="both"/>
        <w:rPr>
          <w:rFonts w:ascii="Garamond" w:eastAsia="Garamond" w:hAnsi="Garamond" w:cs="Garamond"/>
          <w:sz w:val="22"/>
          <w:szCs w:val="22"/>
        </w:rPr>
      </w:pPr>
    </w:p>
    <w:p w14:paraId="00000034" w14:textId="77777777" w:rsidR="00414847" w:rsidRDefault="00D75493">
      <w:pPr>
        <w:pBdr>
          <w:top w:val="nil"/>
          <w:left w:val="nil"/>
          <w:bottom w:val="nil"/>
          <w:right w:val="nil"/>
          <w:between w:val="nil"/>
        </w:pBdr>
        <w:spacing w:line="276" w:lineRule="auto"/>
        <w:ind w:left="360"/>
        <w:jc w:val="both"/>
        <w:rPr>
          <w:rFonts w:ascii="Garamond" w:eastAsia="Garamond" w:hAnsi="Garamond" w:cs="Garamond"/>
          <w:sz w:val="22"/>
          <w:szCs w:val="22"/>
        </w:rPr>
      </w:pPr>
      <w:r>
        <w:rPr>
          <w:rFonts w:ascii="Garamond" w:eastAsia="Garamond" w:hAnsi="Garamond" w:cs="Garamond"/>
          <w:sz w:val="22"/>
          <w:szCs w:val="22"/>
        </w:rPr>
        <w:t>Concerning the second question, Lord Sales considered that "the Divisional Court was wrong to simply conclude that the police action w</w:t>
      </w:r>
      <w:r>
        <w:rPr>
          <w:rFonts w:ascii="Garamond" w:eastAsia="Garamond" w:hAnsi="Garamond" w:cs="Garamond"/>
          <w:sz w:val="22"/>
          <w:szCs w:val="22"/>
        </w:rPr>
        <w:t xml:space="preserve">as, in all the circumstances of the case, proportionate" [para.150]. Therefore, he considered that the proper course for the Divisional Court should have been to allow the appeal but to remit the matter to the magistrates' court for further examination of </w:t>
      </w:r>
      <w:r>
        <w:rPr>
          <w:rFonts w:ascii="Garamond" w:eastAsia="Garamond" w:hAnsi="Garamond" w:cs="Garamond"/>
          <w:sz w:val="22"/>
          <w:szCs w:val="22"/>
        </w:rPr>
        <w:t>the facts.</w:t>
      </w:r>
    </w:p>
    <w:p w14:paraId="00000035" w14:textId="77777777" w:rsidR="00414847" w:rsidRDefault="00414847">
      <w:pPr>
        <w:pBdr>
          <w:top w:val="nil"/>
          <w:left w:val="nil"/>
          <w:bottom w:val="nil"/>
          <w:right w:val="nil"/>
          <w:between w:val="nil"/>
        </w:pBdr>
        <w:spacing w:line="276" w:lineRule="auto"/>
        <w:ind w:left="360"/>
        <w:jc w:val="both"/>
        <w:rPr>
          <w:rFonts w:ascii="Garamond" w:eastAsia="Garamond" w:hAnsi="Garamond" w:cs="Garamond"/>
          <w:sz w:val="22"/>
          <w:szCs w:val="22"/>
        </w:rPr>
      </w:pPr>
    </w:p>
    <w:p w14:paraId="00000036" w14:textId="77777777" w:rsidR="00414847" w:rsidRDefault="00414847">
      <w:pPr>
        <w:pBdr>
          <w:top w:val="nil"/>
          <w:left w:val="nil"/>
          <w:bottom w:val="nil"/>
          <w:right w:val="nil"/>
          <w:between w:val="nil"/>
        </w:pBdr>
        <w:spacing w:line="276" w:lineRule="auto"/>
        <w:ind w:left="360"/>
        <w:jc w:val="both"/>
        <w:rPr>
          <w:rFonts w:ascii="Garamond" w:eastAsia="Garamond" w:hAnsi="Garamond" w:cs="Garamond"/>
          <w:sz w:val="22"/>
          <w:szCs w:val="22"/>
        </w:rPr>
      </w:pPr>
    </w:p>
    <w:p w14:paraId="00000037" w14:textId="77777777" w:rsidR="00414847" w:rsidRDefault="00D75493">
      <w:pPr>
        <w:spacing w:line="276" w:lineRule="auto"/>
        <w:jc w:val="both"/>
        <w:rPr>
          <w:rFonts w:ascii="Garamond" w:eastAsia="Garamond" w:hAnsi="Garamond" w:cs="Garamond"/>
          <w:sz w:val="22"/>
          <w:szCs w:val="22"/>
        </w:rPr>
      </w:pPr>
      <w:r>
        <w:rPr>
          <w:rFonts w:ascii="Garamond" w:eastAsia="Garamond" w:hAnsi="Garamond" w:cs="Garamond"/>
          <w:b/>
          <w:i/>
          <w:sz w:val="22"/>
          <w:szCs w:val="22"/>
          <w:u w:val="single"/>
        </w:rPr>
        <w:t>Direction:</w:t>
      </w:r>
    </w:p>
    <w:p w14:paraId="00000038" w14:textId="77777777" w:rsidR="00414847" w:rsidRDefault="00D75493">
      <w:pPr>
        <w:numPr>
          <w:ilvl w:val="0"/>
          <w:numId w:val="7"/>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Outcome</w:t>
      </w:r>
      <w:r>
        <w:rPr>
          <w:rFonts w:ascii="Garamond" w:eastAsia="Garamond" w:hAnsi="Garamond" w:cs="Garamond"/>
          <w:color w:val="000000"/>
          <w:sz w:val="22"/>
          <w:szCs w:val="22"/>
        </w:rPr>
        <w:t>: Expands Expression</w:t>
      </w:r>
    </w:p>
    <w:p w14:paraId="00000039" w14:textId="77777777" w:rsidR="00414847" w:rsidRDefault="00D75493">
      <w:p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sz w:val="22"/>
          <w:szCs w:val="22"/>
        </w:rPr>
        <w:t>The Supreme Court's decision expands the scope of freedom of expression. Through a thorough examination of ECtHR case law, the Supreme Court held that there must be a certain degree of tolerance to disruption to ordinary life, including disruption of traff</w:t>
      </w:r>
      <w:r>
        <w:rPr>
          <w:rFonts w:ascii="Garamond" w:eastAsia="Garamond" w:hAnsi="Garamond" w:cs="Garamond"/>
          <w:sz w:val="22"/>
          <w:szCs w:val="22"/>
        </w:rPr>
        <w:t xml:space="preserve">ic, caused by the exercise of the right to freedom of expression or freedom of peaceful assembly. </w:t>
      </w:r>
    </w:p>
    <w:p w14:paraId="0000003A" w14:textId="77777777" w:rsidR="00414847" w:rsidRDefault="00414847">
      <w:pPr>
        <w:pBdr>
          <w:top w:val="nil"/>
          <w:left w:val="nil"/>
          <w:bottom w:val="nil"/>
          <w:right w:val="nil"/>
          <w:between w:val="nil"/>
        </w:pBdr>
        <w:ind w:left="720"/>
        <w:rPr>
          <w:rFonts w:ascii="Garamond" w:eastAsia="Garamond" w:hAnsi="Garamond" w:cs="Garamond"/>
          <w:color w:val="000000"/>
          <w:sz w:val="22"/>
          <w:szCs w:val="22"/>
        </w:rPr>
      </w:pPr>
    </w:p>
    <w:p w14:paraId="0000003B" w14:textId="77777777" w:rsidR="00414847" w:rsidRDefault="00D75493">
      <w:pPr>
        <w:pBdr>
          <w:top w:val="nil"/>
          <w:left w:val="nil"/>
          <w:bottom w:val="nil"/>
          <w:right w:val="nil"/>
          <w:between w:val="nil"/>
        </w:pBdr>
        <w:spacing w:line="276" w:lineRule="auto"/>
        <w:ind w:left="360"/>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w:t>
      </w:r>
    </w:p>
    <w:p w14:paraId="0000003C" w14:textId="77777777" w:rsidR="00414847" w:rsidRDefault="00D75493">
      <w:pPr>
        <w:spacing w:line="276" w:lineRule="auto"/>
        <w:jc w:val="both"/>
        <w:rPr>
          <w:rFonts w:ascii="Garamond" w:eastAsia="Garamond" w:hAnsi="Garamond" w:cs="Garamond"/>
          <w:sz w:val="22"/>
          <w:szCs w:val="22"/>
        </w:rPr>
      </w:pPr>
      <w:r>
        <w:rPr>
          <w:rFonts w:ascii="Garamond" w:eastAsia="Garamond" w:hAnsi="Garamond" w:cs="Garamond"/>
          <w:b/>
          <w:i/>
          <w:sz w:val="22"/>
          <w:szCs w:val="22"/>
          <w:u w:val="single"/>
        </w:rPr>
        <w:t>Perspective</w:t>
      </w:r>
      <w:r>
        <w:rPr>
          <w:rFonts w:ascii="Garamond" w:eastAsia="Garamond" w:hAnsi="Garamond" w:cs="Garamond"/>
          <w:sz w:val="22"/>
          <w:szCs w:val="22"/>
        </w:rPr>
        <w:t xml:space="preserve">: </w:t>
      </w:r>
    </w:p>
    <w:p w14:paraId="0000003D" w14:textId="77777777" w:rsidR="00414847" w:rsidRDefault="00414847">
      <w:pPr>
        <w:spacing w:line="276" w:lineRule="auto"/>
        <w:jc w:val="both"/>
        <w:rPr>
          <w:rFonts w:ascii="Garamond" w:eastAsia="Garamond" w:hAnsi="Garamond" w:cs="Garamond"/>
          <w:sz w:val="22"/>
          <w:szCs w:val="22"/>
        </w:rPr>
      </w:pPr>
    </w:p>
    <w:p w14:paraId="0000003E" w14:textId="77777777" w:rsidR="00414847" w:rsidRDefault="00D75493">
      <w:pPr>
        <w:numPr>
          <w:ilvl w:val="0"/>
          <w:numId w:val="6"/>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Related International and/or regional laws</w:t>
      </w:r>
      <w:r>
        <w:rPr>
          <w:rFonts w:ascii="Garamond" w:eastAsia="Garamond" w:hAnsi="Garamond" w:cs="Garamond"/>
          <w:color w:val="000000"/>
          <w:sz w:val="22"/>
          <w:szCs w:val="22"/>
        </w:rPr>
        <w:t xml:space="preserve">: </w:t>
      </w:r>
    </w:p>
    <w:p w14:paraId="0000003F" w14:textId="77777777" w:rsidR="00414847" w:rsidRDefault="00D75493">
      <w:pPr>
        <w:pBdr>
          <w:top w:val="nil"/>
          <w:left w:val="nil"/>
          <w:bottom w:val="nil"/>
          <w:right w:val="nil"/>
          <w:between w:val="nil"/>
        </w:pBdr>
        <w:spacing w:line="276" w:lineRule="auto"/>
        <w:ind w:left="501"/>
        <w:jc w:val="both"/>
        <w:rPr>
          <w:rFonts w:ascii="Garamond" w:eastAsia="Garamond" w:hAnsi="Garamond" w:cs="Garamond"/>
          <w:color w:val="000000"/>
          <w:sz w:val="22"/>
          <w:szCs w:val="22"/>
          <w:u w:val="single"/>
        </w:rPr>
      </w:pPr>
      <w:r>
        <w:rPr>
          <w:rFonts w:ascii="Garamond" w:eastAsia="Garamond" w:hAnsi="Garamond" w:cs="Garamond"/>
          <w:b/>
          <w:color w:val="000000"/>
          <w:sz w:val="22"/>
          <w:szCs w:val="22"/>
          <w:u w:val="single"/>
        </w:rPr>
        <w:t>Example:</w:t>
      </w:r>
    </w:p>
    <w:p w14:paraId="00000040" w14:textId="77777777" w:rsidR="00414847" w:rsidRDefault="00D75493">
      <w:pPr>
        <w:numPr>
          <w:ilvl w:val="0"/>
          <w:numId w:val="4"/>
        </w:numPr>
        <w:pBdr>
          <w:top w:val="nil"/>
          <w:left w:val="nil"/>
          <w:bottom w:val="nil"/>
          <w:right w:val="nil"/>
          <w:between w:val="nil"/>
        </w:pBdr>
        <w:spacing w:line="276" w:lineRule="auto"/>
        <w:jc w:val="both"/>
        <w:rPr>
          <w:rFonts w:ascii="Garamond" w:eastAsia="Garamond" w:hAnsi="Garamond" w:cs="Garamond"/>
          <w:color w:val="0E101A"/>
          <w:sz w:val="22"/>
          <w:szCs w:val="22"/>
        </w:rPr>
      </w:pPr>
      <w:hyperlink r:id="rId6">
        <w:r>
          <w:rPr>
            <w:rFonts w:ascii="Garamond" w:eastAsia="Garamond" w:hAnsi="Garamond" w:cs="Garamond"/>
            <w:color w:val="0E101A"/>
            <w:sz w:val="22"/>
            <w:szCs w:val="22"/>
            <w:u w:val="single"/>
          </w:rPr>
          <w:t>ECHR, art. 10</w:t>
        </w:r>
      </w:hyperlink>
      <w:r>
        <w:rPr>
          <w:rFonts w:ascii="Garamond" w:eastAsia="Garamond" w:hAnsi="Garamond" w:cs="Garamond"/>
          <w:color w:val="0E101A"/>
          <w:sz w:val="22"/>
          <w:szCs w:val="22"/>
        </w:rPr>
        <w:t xml:space="preserve"> </w:t>
      </w:r>
    </w:p>
    <w:p w14:paraId="00000041" w14:textId="77777777" w:rsidR="00414847" w:rsidRDefault="00D75493">
      <w:pPr>
        <w:numPr>
          <w:ilvl w:val="0"/>
          <w:numId w:val="4"/>
        </w:numPr>
        <w:spacing w:line="276" w:lineRule="auto"/>
        <w:jc w:val="both"/>
        <w:rPr>
          <w:rFonts w:ascii="Garamond" w:eastAsia="Garamond" w:hAnsi="Garamond" w:cs="Garamond"/>
          <w:color w:val="0E101A"/>
          <w:sz w:val="22"/>
          <w:szCs w:val="22"/>
        </w:rPr>
      </w:pPr>
      <w:hyperlink r:id="rId7">
        <w:r>
          <w:rPr>
            <w:rFonts w:ascii="Garamond" w:eastAsia="Garamond" w:hAnsi="Garamond" w:cs="Garamond"/>
            <w:color w:val="0E101A"/>
            <w:sz w:val="22"/>
            <w:szCs w:val="22"/>
            <w:u w:val="single"/>
          </w:rPr>
          <w:t>ECHR, art. 11</w:t>
        </w:r>
      </w:hyperlink>
    </w:p>
    <w:p w14:paraId="00000042" w14:textId="77777777" w:rsidR="00414847" w:rsidRDefault="00D75493">
      <w:pPr>
        <w:numPr>
          <w:ilvl w:val="0"/>
          <w:numId w:val="4"/>
        </w:numPr>
        <w:pBdr>
          <w:top w:val="nil"/>
          <w:left w:val="nil"/>
          <w:bottom w:val="nil"/>
          <w:right w:val="nil"/>
          <w:between w:val="nil"/>
        </w:pBdr>
        <w:spacing w:line="276" w:lineRule="auto"/>
        <w:jc w:val="both"/>
        <w:rPr>
          <w:rFonts w:ascii="Garamond" w:eastAsia="Garamond" w:hAnsi="Garamond" w:cs="Garamond"/>
          <w:color w:val="0E101A"/>
          <w:sz w:val="22"/>
          <w:szCs w:val="22"/>
        </w:rPr>
      </w:pPr>
      <w:hyperlink r:id="rId8">
        <w:r>
          <w:rPr>
            <w:rFonts w:ascii="Garamond" w:eastAsia="Garamond" w:hAnsi="Garamond" w:cs="Garamond"/>
            <w:color w:val="0E101A"/>
            <w:sz w:val="22"/>
            <w:szCs w:val="22"/>
            <w:highlight w:val="white"/>
            <w:u w:val="single"/>
          </w:rPr>
          <w:t xml:space="preserve">ECtHR, </w:t>
        </w:r>
        <w:proofErr w:type="spellStart"/>
        <w:r>
          <w:rPr>
            <w:rFonts w:ascii="Garamond" w:eastAsia="Garamond" w:hAnsi="Garamond" w:cs="Garamond"/>
            <w:color w:val="0E101A"/>
            <w:sz w:val="22"/>
            <w:szCs w:val="22"/>
            <w:highlight w:val="white"/>
            <w:u w:val="single"/>
          </w:rPr>
          <w:t>Primov</w:t>
        </w:r>
        <w:proofErr w:type="spellEnd"/>
        <w:r>
          <w:rPr>
            <w:rFonts w:ascii="Garamond" w:eastAsia="Garamond" w:hAnsi="Garamond" w:cs="Garamond"/>
            <w:color w:val="0E101A"/>
            <w:sz w:val="22"/>
            <w:szCs w:val="22"/>
            <w:highlight w:val="white"/>
            <w:u w:val="single"/>
          </w:rPr>
          <w:t xml:space="preserve"> v. Russia, App. No. 17391/06 (2014) </w:t>
        </w:r>
      </w:hyperlink>
    </w:p>
    <w:p w14:paraId="00000043" w14:textId="77777777" w:rsidR="00414847" w:rsidRDefault="00D75493">
      <w:pPr>
        <w:numPr>
          <w:ilvl w:val="0"/>
          <w:numId w:val="4"/>
        </w:numPr>
        <w:pBdr>
          <w:top w:val="nil"/>
          <w:left w:val="nil"/>
          <w:bottom w:val="nil"/>
          <w:right w:val="nil"/>
          <w:between w:val="nil"/>
        </w:pBdr>
        <w:spacing w:line="276" w:lineRule="auto"/>
        <w:jc w:val="both"/>
        <w:rPr>
          <w:rFonts w:ascii="Garamond" w:eastAsia="Garamond" w:hAnsi="Garamond" w:cs="Garamond"/>
          <w:color w:val="0E101A"/>
          <w:sz w:val="22"/>
          <w:szCs w:val="22"/>
        </w:rPr>
      </w:pPr>
      <w:hyperlink r:id="rId9">
        <w:r>
          <w:rPr>
            <w:rFonts w:ascii="Garamond" w:eastAsia="Garamond" w:hAnsi="Garamond" w:cs="Garamond"/>
            <w:color w:val="0E101A"/>
            <w:sz w:val="22"/>
            <w:szCs w:val="22"/>
            <w:highlight w:val="white"/>
            <w:u w:val="single"/>
          </w:rPr>
          <w:t xml:space="preserve">ECtHR, </w:t>
        </w:r>
        <w:proofErr w:type="spellStart"/>
        <w:r>
          <w:rPr>
            <w:rFonts w:ascii="Garamond" w:eastAsia="Garamond" w:hAnsi="Garamond" w:cs="Garamond"/>
            <w:color w:val="0E101A"/>
            <w:sz w:val="22"/>
            <w:szCs w:val="22"/>
            <w:highlight w:val="white"/>
            <w:u w:val="single"/>
          </w:rPr>
          <w:t>Kudrevičius</w:t>
        </w:r>
        <w:proofErr w:type="spellEnd"/>
        <w:r>
          <w:rPr>
            <w:rFonts w:ascii="Garamond" w:eastAsia="Garamond" w:hAnsi="Garamond" w:cs="Garamond"/>
            <w:color w:val="0E101A"/>
            <w:sz w:val="22"/>
            <w:szCs w:val="22"/>
            <w:highlight w:val="white"/>
            <w:u w:val="single"/>
          </w:rPr>
          <w:t xml:space="preserve"> and others v. Lithuania, App. No. 37553/05 (2015)</w:t>
        </w:r>
      </w:hyperlink>
    </w:p>
    <w:p w14:paraId="00000044" w14:textId="77777777" w:rsidR="00414847" w:rsidRDefault="00D75493">
      <w:pPr>
        <w:numPr>
          <w:ilvl w:val="0"/>
          <w:numId w:val="4"/>
        </w:numPr>
        <w:pBdr>
          <w:top w:val="nil"/>
          <w:left w:val="nil"/>
          <w:bottom w:val="nil"/>
          <w:right w:val="nil"/>
          <w:between w:val="nil"/>
        </w:pBdr>
        <w:spacing w:line="276" w:lineRule="auto"/>
        <w:jc w:val="both"/>
        <w:rPr>
          <w:rFonts w:ascii="Garamond" w:eastAsia="Garamond" w:hAnsi="Garamond" w:cs="Garamond"/>
          <w:color w:val="0E101A"/>
          <w:sz w:val="22"/>
          <w:szCs w:val="22"/>
        </w:rPr>
      </w:pPr>
      <w:hyperlink r:id="rId10">
        <w:r>
          <w:rPr>
            <w:rFonts w:ascii="Garamond" w:eastAsia="Garamond" w:hAnsi="Garamond" w:cs="Garamond"/>
            <w:color w:val="0E101A"/>
            <w:sz w:val="22"/>
            <w:szCs w:val="22"/>
            <w:highlight w:val="white"/>
            <w:u w:val="single"/>
          </w:rPr>
          <w:t>ECtHR, Steel v. United Kingdom, App. No. 67/1997/851/1058 (1998)</w:t>
        </w:r>
      </w:hyperlink>
    </w:p>
    <w:p w14:paraId="00000045" w14:textId="77777777" w:rsidR="00414847" w:rsidRDefault="00D75493">
      <w:pPr>
        <w:numPr>
          <w:ilvl w:val="0"/>
          <w:numId w:val="4"/>
        </w:numPr>
        <w:pBdr>
          <w:top w:val="nil"/>
          <w:left w:val="nil"/>
          <w:bottom w:val="nil"/>
          <w:right w:val="nil"/>
          <w:between w:val="nil"/>
        </w:pBdr>
        <w:spacing w:line="276" w:lineRule="auto"/>
        <w:jc w:val="both"/>
        <w:rPr>
          <w:rFonts w:ascii="Garamond" w:eastAsia="Garamond" w:hAnsi="Garamond" w:cs="Garamond"/>
          <w:color w:val="0E101A"/>
          <w:sz w:val="22"/>
          <w:szCs w:val="22"/>
        </w:rPr>
      </w:pPr>
      <w:hyperlink r:id="rId11">
        <w:r>
          <w:rPr>
            <w:rFonts w:ascii="Garamond" w:eastAsia="Garamond" w:hAnsi="Garamond" w:cs="Garamond"/>
            <w:color w:val="0E101A"/>
            <w:sz w:val="22"/>
            <w:szCs w:val="22"/>
            <w:highlight w:val="white"/>
            <w:u w:val="single"/>
          </w:rPr>
          <w:t xml:space="preserve"> ECtHR, </w:t>
        </w:r>
        <w:proofErr w:type="spellStart"/>
        <w:r>
          <w:rPr>
            <w:rFonts w:ascii="Garamond" w:eastAsia="Garamond" w:hAnsi="Garamond" w:cs="Garamond"/>
            <w:color w:val="0E101A"/>
            <w:sz w:val="22"/>
            <w:szCs w:val="22"/>
            <w:highlight w:val="white"/>
            <w:u w:val="single"/>
          </w:rPr>
          <w:t>Lashmankin</w:t>
        </w:r>
        <w:proofErr w:type="spellEnd"/>
        <w:r>
          <w:rPr>
            <w:rFonts w:ascii="Garamond" w:eastAsia="Garamond" w:hAnsi="Garamond" w:cs="Garamond"/>
            <w:color w:val="0E101A"/>
            <w:sz w:val="22"/>
            <w:szCs w:val="22"/>
            <w:highlight w:val="white"/>
            <w:u w:val="single"/>
          </w:rPr>
          <w:t xml:space="preserve"> v Russia, App. No. </w:t>
        </w:r>
        <w:r>
          <w:rPr>
            <w:rFonts w:ascii="Garamond" w:eastAsia="Garamond" w:hAnsi="Garamond" w:cs="Garamond"/>
            <w:color w:val="0E101A"/>
            <w:sz w:val="22"/>
            <w:szCs w:val="22"/>
            <w:highlight w:val="white"/>
            <w:u w:val="single"/>
          </w:rPr>
          <w:t>57818/09 (2017)</w:t>
        </w:r>
      </w:hyperlink>
    </w:p>
    <w:p w14:paraId="00000046" w14:textId="77777777" w:rsidR="00414847" w:rsidRDefault="00D75493">
      <w:pPr>
        <w:numPr>
          <w:ilvl w:val="0"/>
          <w:numId w:val="4"/>
        </w:numPr>
        <w:pBdr>
          <w:top w:val="nil"/>
          <w:left w:val="nil"/>
          <w:bottom w:val="nil"/>
          <w:right w:val="nil"/>
          <w:between w:val="nil"/>
        </w:pBdr>
        <w:spacing w:line="276" w:lineRule="auto"/>
        <w:jc w:val="both"/>
        <w:rPr>
          <w:rFonts w:ascii="Garamond" w:eastAsia="Garamond" w:hAnsi="Garamond" w:cs="Garamond"/>
          <w:color w:val="0E101A"/>
          <w:sz w:val="22"/>
          <w:szCs w:val="22"/>
        </w:rPr>
      </w:pPr>
      <w:hyperlink r:id="rId12">
        <w:r>
          <w:rPr>
            <w:rFonts w:ascii="Garamond" w:eastAsia="Garamond" w:hAnsi="Garamond" w:cs="Garamond"/>
            <w:color w:val="0E101A"/>
            <w:sz w:val="22"/>
            <w:szCs w:val="22"/>
            <w:highlight w:val="white"/>
            <w:u w:val="single"/>
          </w:rPr>
          <w:t xml:space="preserve">ECtHR, </w:t>
        </w:r>
        <w:proofErr w:type="spellStart"/>
        <w:r>
          <w:rPr>
            <w:rFonts w:ascii="Garamond" w:eastAsia="Garamond" w:hAnsi="Garamond" w:cs="Garamond"/>
            <w:color w:val="0E101A"/>
            <w:sz w:val="22"/>
            <w:szCs w:val="22"/>
            <w:highlight w:val="white"/>
            <w:u w:val="single"/>
          </w:rPr>
          <w:t>Hashman</w:t>
        </w:r>
        <w:proofErr w:type="spellEnd"/>
        <w:r>
          <w:rPr>
            <w:rFonts w:ascii="Garamond" w:eastAsia="Garamond" w:hAnsi="Garamond" w:cs="Garamond"/>
            <w:color w:val="0E101A"/>
            <w:sz w:val="22"/>
            <w:szCs w:val="22"/>
            <w:highlight w:val="white"/>
            <w:u w:val="single"/>
          </w:rPr>
          <w:t xml:space="preserve"> v United Kingdom, App. No. 25594/94 (1999)</w:t>
        </w:r>
      </w:hyperlink>
    </w:p>
    <w:p w14:paraId="00000047" w14:textId="77777777" w:rsidR="00414847" w:rsidRDefault="00D75493">
      <w:pPr>
        <w:numPr>
          <w:ilvl w:val="0"/>
          <w:numId w:val="4"/>
        </w:numPr>
        <w:pBdr>
          <w:top w:val="nil"/>
          <w:left w:val="nil"/>
          <w:bottom w:val="nil"/>
          <w:right w:val="nil"/>
          <w:between w:val="nil"/>
        </w:pBdr>
        <w:spacing w:line="276" w:lineRule="auto"/>
        <w:jc w:val="both"/>
        <w:rPr>
          <w:rFonts w:ascii="Garamond" w:eastAsia="Garamond" w:hAnsi="Garamond" w:cs="Garamond"/>
          <w:color w:val="0E101A"/>
          <w:sz w:val="22"/>
          <w:szCs w:val="22"/>
        </w:rPr>
      </w:pPr>
      <w:hyperlink r:id="rId13">
        <w:r>
          <w:rPr>
            <w:rFonts w:ascii="Garamond" w:eastAsia="Garamond" w:hAnsi="Garamond" w:cs="Garamond"/>
            <w:color w:val="0E101A"/>
            <w:sz w:val="22"/>
            <w:szCs w:val="22"/>
            <w:highlight w:val="white"/>
            <w:u w:val="single"/>
          </w:rPr>
          <w:t xml:space="preserve">ECtHR, </w:t>
        </w:r>
        <w:proofErr w:type="spellStart"/>
        <w:r>
          <w:rPr>
            <w:rFonts w:ascii="Garamond" w:eastAsia="Garamond" w:hAnsi="Garamond" w:cs="Garamond"/>
            <w:color w:val="0E101A"/>
            <w:sz w:val="22"/>
            <w:szCs w:val="22"/>
            <w:highlight w:val="white"/>
            <w:u w:val="single"/>
          </w:rPr>
          <w:t>Sáska</w:t>
        </w:r>
        <w:proofErr w:type="spellEnd"/>
        <w:r>
          <w:rPr>
            <w:rFonts w:ascii="Garamond" w:eastAsia="Garamond" w:hAnsi="Garamond" w:cs="Garamond"/>
            <w:color w:val="0E101A"/>
            <w:sz w:val="22"/>
            <w:szCs w:val="22"/>
            <w:highlight w:val="white"/>
            <w:u w:val="single"/>
          </w:rPr>
          <w:t xml:space="preserve"> v. Hungary, App. No. 58050/08 (2012)</w:t>
        </w:r>
      </w:hyperlink>
    </w:p>
    <w:p w14:paraId="00000048" w14:textId="77777777" w:rsidR="00414847" w:rsidRDefault="00D75493">
      <w:pPr>
        <w:numPr>
          <w:ilvl w:val="0"/>
          <w:numId w:val="4"/>
        </w:numPr>
        <w:pBdr>
          <w:top w:val="nil"/>
          <w:left w:val="nil"/>
          <w:bottom w:val="nil"/>
          <w:right w:val="nil"/>
          <w:between w:val="nil"/>
        </w:pBdr>
        <w:spacing w:line="276" w:lineRule="auto"/>
        <w:jc w:val="both"/>
        <w:rPr>
          <w:rFonts w:ascii="Garamond" w:eastAsia="Garamond" w:hAnsi="Garamond" w:cs="Garamond"/>
          <w:color w:val="0E101A"/>
          <w:sz w:val="22"/>
          <w:szCs w:val="22"/>
        </w:rPr>
      </w:pPr>
      <w:hyperlink r:id="rId14" w:anchor="%7B%22itemid%22:%5B%22001-83580%22%5D%7D">
        <w:r>
          <w:rPr>
            <w:rFonts w:ascii="Garamond" w:eastAsia="Garamond" w:hAnsi="Garamond" w:cs="Garamond"/>
            <w:color w:val="0E101A"/>
            <w:sz w:val="22"/>
            <w:szCs w:val="22"/>
            <w:highlight w:val="white"/>
            <w:u w:val="single"/>
          </w:rPr>
          <w:t xml:space="preserve">ECtHR, </w:t>
        </w:r>
        <w:proofErr w:type="spellStart"/>
        <w:r>
          <w:rPr>
            <w:rFonts w:ascii="Garamond" w:eastAsia="Garamond" w:hAnsi="Garamond" w:cs="Garamond"/>
            <w:color w:val="0E101A"/>
            <w:sz w:val="22"/>
            <w:szCs w:val="22"/>
            <w:highlight w:val="white"/>
            <w:u w:val="single"/>
          </w:rPr>
          <w:t>Balçık</w:t>
        </w:r>
        <w:proofErr w:type="spellEnd"/>
        <w:r>
          <w:rPr>
            <w:rFonts w:ascii="Garamond" w:eastAsia="Garamond" w:hAnsi="Garamond" w:cs="Garamond"/>
            <w:color w:val="0E101A"/>
            <w:sz w:val="22"/>
            <w:szCs w:val="22"/>
            <w:highlight w:val="white"/>
            <w:u w:val="single"/>
          </w:rPr>
          <w:t xml:space="preserve"> v. Turkey, App. No. 25/02 (2007)</w:t>
        </w:r>
      </w:hyperlink>
    </w:p>
    <w:p w14:paraId="00000049" w14:textId="77777777" w:rsidR="00414847" w:rsidRDefault="00D75493">
      <w:pPr>
        <w:numPr>
          <w:ilvl w:val="0"/>
          <w:numId w:val="4"/>
        </w:numPr>
        <w:pBdr>
          <w:top w:val="nil"/>
          <w:left w:val="nil"/>
          <w:bottom w:val="nil"/>
          <w:right w:val="nil"/>
          <w:between w:val="nil"/>
        </w:pBdr>
        <w:spacing w:line="276" w:lineRule="auto"/>
        <w:jc w:val="both"/>
        <w:rPr>
          <w:rFonts w:ascii="Garamond" w:eastAsia="Garamond" w:hAnsi="Garamond" w:cs="Garamond"/>
          <w:color w:val="0E101A"/>
          <w:sz w:val="22"/>
          <w:szCs w:val="22"/>
        </w:rPr>
      </w:pPr>
      <w:hyperlink r:id="rId15" w:anchor="%7B%22itemid%22:%5B%22001-88775%22%5D%7D">
        <w:r>
          <w:rPr>
            <w:rFonts w:ascii="Garamond" w:eastAsia="Garamond" w:hAnsi="Garamond" w:cs="Garamond"/>
            <w:color w:val="0E101A"/>
            <w:sz w:val="22"/>
            <w:szCs w:val="22"/>
            <w:highlight w:val="white"/>
            <w:u w:val="single"/>
          </w:rPr>
          <w:t>ECtHR, Molnar v Hungary, App. No. 10346/05 (2008)</w:t>
        </w:r>
      </w:hyperlink>
    </w:p>
    <w:p w14:paraId="0000004A" w14:textId="77777777" w:rsidR="00414847" w:rsidRDefault="00414847">
      <w:pPr>
        <w:pBdr>
          <w:top w:val="nil"/>
          <w:left w:val="nil"/>
          <w:bottom w:val="nil"/>
          <w:right w:val="nil"/>
          <w:between w:val="nil"/>
        </w:pBdr>
        <w:spacing w:line="276" w:lineRule="auto"/>
        <w:ind w:left="720"/>
        <w:jc w:val="both"/>
        <w:rPr>
          <w:rFonts w:ascii="Garamond" w:eastAsia="Garamond" w:hAnsi="Garamond" w:cs="Garamond"/>
          <w:b/>
          <w:sz w:val="22"/>
          <w:szCs w:val="22"/>
          <w:highlight w:val="white"/>
        </w:rPr>
      </w:pPr>
    </w:p>
    <w:p w14:paraId="0000004B" w14:textId="77777777" w:rsidR="00414847" w:rsidRDefault="00414847">
      <w:pPr>
        <w:spacing w:line="276" w:lineRule="auto"/>
        <w:jc w:val="both"/>
        <w:rPr>
          <w:rFonts w:ascii="Garamond" w:eastAsia="Garamond" w:hAnsi="Garamond" w:cs="Garamond"/>
          <w:sz w:val="22"/>
          <w:szCs w:val="22"/>
        </w:rPr>
      </w:pPr>
    </w:p>
    <w:p w14:paraId="0000004C" w14:textId="77777777" w:rsidR="00414847" w:rsidRDefault="00D75493">
      <w:pPr>
        <w:numPr>
          <w:ilvl w:val="0"/>
          <w:numId w:val="6"/>
        </w:numPr>
        <w:pBdr>
          <w:top w:val="nil"/>
          <w:left w:val="nil"/>
          <w:bottom w:val="nil"/>
          <w:right w:val="nil"/>
          <w:between w:val="nil"/>
        </w:pBdr>
        <w:spacing w:line="276" w:lineRule="auto"/>
        <w:jc w:val="both"/>
        <w:rPr>
          <w:rFonts w:ascii="Garamond" w:eastAsia="Garamond" w:hAnsi="Garamond" w:cs="Garamond"/>
          <w:color w:val="0E101A"/>
          <w:sz w:val="22"/>
          <w:szCs w:val="22"/>
        </w:rPr>
      </w:pPr>
      <w:r>
        <w:rPr>
          <w:rFonts w:ascii="Garamond" w:eastAsia="Garamond" w:hAnsi="Garamond" w:cs="Garamond"/>
          <w:b/>
          <w:color w:val="0E101A"/>
          <w:sz w:val="22"/>
          <w:szCs w:val="22"/>
        </w:rPr>
        <w:t>National law or jurisprudence</w:t>
      </w:r>
      <w:r>
        <w:rPr>
          <w:rFonts w:ascii="Garamond" w:eastAsia="Garamond" w:hAnsi="Garamond" w:cs="Garamond"/>
          <w:color w:val="0E101A"/>
          <w:sz w:val="22"/>
          <w:szCs w:val="22"/>
        </w:rPr>
        <w:t>:</w:t>
      </w:r>
    </w:p>
    <w:p w14:paraId="0000004D" w14:textId="77777777" w:rsidR="00414847" w:rsidRDefault="00D75493">
      <w:pPr>
        <w:numPr>
          <w:ilvl w:val="0"/>
          <w:numId w:val="6"/>
        </w:numPr>
        <w:pBdr>
          <w:top w:val="nil"/>
          <w:left w:val="nil"/>
          <w:bottom w:val="nil"/>
          <w:right w:val="nil"/>
          <w:between w:val="nil"/>
        </w:pBdr>
        <w:spacing w:line="276" w:lineRule="auto"/>
        <w:jc w:val="both"/>
        <w:rPr>
          <w:rFonts w:ascii="Garamond" w:eastAsia="Garamond" w:hAnsi="Garamond" w:cs="Garamond"/>
          <w:color w:val="0E101A"/>
          <w:sz w:val="22"/>
          <w:szCs w:val="22"/>
        </w:rPr>
      </w:pPr>
      <w:hyperlink r:id="rId16">
        <w:r>
          <w:rPr>
            <w:rFonts w:ascii="Garamond" w:eastAsia="Garamond" w:hAnsi="Garamond" w:cs="Garamond"/>
            <w:color w:val="0E101A"/>
            <w:sz w:val="22"/>
            <w:szCs w:val="22"/>
            <w:u w:val="single"/>
          </w:rPr>
          <w:t xml:space="preserve">U.K, Human Rights Act 1998, Section 3 </w:t>
        </w:r>
      </w:hyperlink>
    </w:p>
    <w:p w14:paraId="0000004E" w14:textId="77777777" w:rsidR="00414847" w:rsidRDefault="00D75493">
      <w:pPr>
        <w:numPr>
          <w:ilvl w:val="0"/>
          <w:numId w:val="6"/>
        </w:numPr>
        <w:spacing w:line="276" w:lineRule="auto"/>
        <w:jc w:val="both"/>
        <w:rPr>
          <w:rFonts w:ascii="Garamond" w:eastAsia="Garamond" w:hAnsi="Garamond" w:cs="Garamond"/>
          <w:color w:val="0E101A"/>
          <w:sz w:val="22"/>
          <w:szCs w:val="22"/>
        </w:rPr>
      </w:pPr>
      <w:hyperlink r:id="rId17">
        <w:r>
          <w:rPr>
            <w:rFonts w:ascii="Garamond" w:eastAsia="Garamond" w:hAnsi="Garamond" w:cs="Garamond"/>
            <w:color w:val="0E101A"/>
            <w:sz w:val="22"/>
            <w:szCs w:val="22"/>
            <w:u w:val="single"/>
          </w:rPr>
          <w:t xml:space="preserve">U.K, Human Rights Act 1998, Section 6 </w:t>
        </w:r>
      </w:hyperlink>
    </w:p>
    <w:p w14:paraId="0000004F" w14:textId="77777777" w:rsidR="00414847" w:rsidRDefault="00D75493">
      <w:pPr>
        <w:numPr>
          <w:ilvl w:val="0"/>
          <w:numId w:val="6"/>
        </w:numPr>
        <w:pBdr>
          <w:top w:val="nil"/>
          <w:left w:val="nil"/>
          <w:bottom w:val="nil"/>
          <w:right w:val="nil"/>
          <w:between w:val="nil"/>
        </w:pBdr>
        <w:spacing w:line="276" w:lineRule="auto"/>
        <w:jc w:val="both"/>
        <w:rPr>
          <w:rFonts w:ascii="Garamond" w:eastAsia="Garamond" w:hAnsi="Garamond" w:cs="Garamond"/>
          <w:color w:val="0E101A"/>
          <w:sz w:val="22"/>
          <w:szCs w:val="22"/>
        </w:rPr>
      </w:pPr>
      <w:hyperlink r:id="rId18" w:anchor=":~:text=137%20Penalty%20for%20wilful%20obstruction.&amp;text=(1)If%20a%20person%2C,3%20on%20the%20standard%20scale%5D.">
        <w:proofErr w:type="spellStart"/>
        <w:r>
          <w:rPr>
            <w:rFonts w:ascii="Garamond" w:eastAsia="Garamond" w:hAnsi="Garamond" w:cs="Garamond"/>
            <w:color w:val="0E101A"/>
            <w:sz w:val="22"/>
            <w:szCs w:val="22"/>
            <w:u w:val="single"/>
          </w:rPr>
          <w:t>U.K.,Highways</w:t>
        </w:r>
        <w:proofErr w:type="spellEnd"/>
        <w:r>
          <w:rPr>
            <w:rFonts w:ascii="Garamond" w:eastAsia="Garamond" w:hAnsi="Garamond" w:cs="Garamond"/>
            <w:color w:val="0E101A"/>
            <w:sz w:val="22"/>
            <w:szCs w:val="22"/>
            <w:u w:val="single"/>
          </w:rPr>
          <w:t xml:space="preserve"> Act 1980</w:t>
        </w:r>
      </w:hyperlink>
      <w:hyperlink r:id="rId19" w:anchor=":~:text=137%20Penalty%20for%20wilful%20obstruction.&amp;text=(1)If%20a%20person%2C,3%20on%20the%20standard%20scale%5D.">
        <w:r>
          <w:rPr>
            <w:rFonts w:ascii="Garamond" w:eastAsia="Garamond" w:hAnsi="Garamond" w:cs="Garamond"/>
            <w:color w:val="0E101A"/>
            <w:sz w:val="22"/>
            <w:szCs w:val="22"/>
          </w:rPr>
          <w:t>,</w:t>
        </w:r>
      </w:hyperlink>
      <w:hyperlink r:id="rId20" w:anchor=":~:text=137%20Penalty%20for%20wilful%20obstruction.&amp;text=(1)If%20a%20person%2C,3%20on%20the%20standard%20scale%5D.">
        <w:r>
          <w:rPr>
            <w:rFonts w:ascii="Garamond" w:eastAsia="Garamond" w:hAnsi="Garamond" w:cs="Garamond"/>
            <w:color w:val="0E101A"/>
            <w:sz w:val="22"/>
            <w:szCs w:val="22"/>
            <w:u w:val="single"/>
          </w:rPr>
          <w:t xml:space="preserve"> Section 137</w:t>
        </w:r>
      </w:hyperlink>
    </w:p>
    <w:p w14:paraId="00000050" w14:textId="77777777" w:rsidR="00414847" w:rsidRDefault="00D75493">
      <w:pPr>
        <w:numPr>
          <w:ilvl w:val="0"/>
          <w:numId w:val="6"/>
        </w:numPr>
        <w:pBdr>
          <w:top w:val="nil"/>
          <w:left w:val="nil"/>
          <w:bottom w:val="nil"/>
          <w:right w:val="nil"/>
          <w:between w:val="nil"/>
        </w:pBdr>
        <w:spacing w:line="276" w:lineRule="auto"/>
        <w:jc w:val="both"/>
        <w:rPr>
          <w:rFonts w:ascii="Garamond" w:eastAsia="Garamond" w:hAnsi="Garamond" w:cs="Garamond"/>
          <w:color w:val="0E101A"/>
          <w:sz w:val="22"/>
          <w:szCs w:val="22"/>
        </w:rPr>
      </w:pPr>
      <w:hyperlink r:id="rId21">
        <w:r>
          <w:rPr>
            <w:rFonts w:ascii="Garamond" w:eastAsia="Garamond" w:hAnsi="Garamond" w:cs="Garamond"/>
            <w:color w:val="0E101A"/>
            <w:sz w:val="22"/>
            <w:szCs w:val="22"/>
            <w:u w:val="single"/>
          </w:rPr>
          <w:t xml:space="preserve">U.K.  Magistrates’ Courts Act 1980, Section 111(1) </w:t>
        </w:r>
      </w:hyperlink>
    </w:p>
    <w:p w14:paraId="00000051" w14:textId="77777777" w:rsidR="00414847" w:rsidRDefault="00D75493">
      <w:pPr>
        <w:numPr>
          <w:ilvl w:val="0"/>
          <w:numId w:val="6"/>
        </w:numPr>
        <w:pBdr>
          <w:top w:val="nil"/>
          <w:left w:val="nil"/>
          <w:bottom w:val="nil"/>
          <w:right w:val="nil"/>
          <w:between w:val="nil"/>
        </w:pBdr>
        <w:spacing w:line="276" w:lineRule="auto"/>
        <w:jc w:val="both"/>
        <w:rPr>
          <w:rFonts w:ascii="Garamond" w:eastAsia="Garamond" w:hAnsi="Garamond" w:cs="Garamond"/>
          <w:color w:val="0E101A"/>
          <w:sz w:val="22"/>
          <w:szCs w:val="22"/>
        </w:rPr>
      </w:pPr>
      <w:hyperlink r:id="rId22">
        <w:proofErr w:type="spellStart"/>
        <w:r>
          <w:rPr>
            <w:rFonts w:ascii="Garamond" w:eastAsia="Garamond" w:hAnsi="Garamond" w:cs="Garamond"/>
            <w:color w:val="0E101A"/>
            <w:sz w:val="22"/>
            <w:szCs w:val="22"/>
            <w:u w:val="single"/>
          </w:rPr>
          <w:t>U.</w:t>
        </w:r>
        <w:proofErr w:type="gramStart"/>
        <w:r>
          <w:rPr>
            <w:rFonts w:ascii="Garamond" w:eastAsia="Garamond" w:hAnsi="Garamond" w:cs="Garamond"/>
            <w:color w:val="0E101A"/>
            <w:sz w:val="22"/>
            <w:szCs w:val="22"/>
            <w:u w:val="single"/>
          </w:rPr>
          <w:t>K.Supreme</w:t>
        </w:r>
        <w:proofErr w:type="spellEnd"/>
        <w:proofErr w:type="gramEnd"/>
        <w:r>
          <w:rPr>
            <w:rFonts w:ascii="Garamond" w:eastAsia="Garamond" w:hAnsi="Garamond" w:cs="Garamond"/>
            <w:color w:val="0E101A"/>
            <w:sz w:val="22"/>
            <w:szCs w:val="22"/>
            <w:u w:val="single"/>
          </w:rPr>
          <w:t xml:space="preserve"> Court of Justice, In the matter of B (a child) [2013] UKSC 33</w:t>
        </w:r>
      </w:hyperlink>
    </w:p>
    <w:p w14:paraId="00000052" w14:textId="77777777" w:rsidR="00414847" w:rsidRDefault="00D75493">
      <w:pPr>
        <w:widowControl w:val="0"/>
        <w:numPr>
          <w:ilvl w:val="0"/>
          <w:numId w:val="6"/>
        </w:numPr>
        <w:spacing w:line="229" w:lineRule="auto"/>
        <w:ind w:right="-2"/>
        <w:jc w:val="both"/>
        <w:rPr>
          <w:rFonts w:ascii="Garamond" w:eastAsia="Garamond" w:hAnsi="Garamond" w:cs="Garamond"/>
          <w:color w:val="0E101A"/>
          <w:sz w:val="22"/>
          <w:szCs w:val="22"/>
        </w:rPr>
      </w:pPr>
      <w:hyperlink r:id="rId23">
        <w:proofErr w:type="spellStart"/>
        <w:r>
          <w:rPr>
            <w:rFonts w:ascii="Garamond" w:eastAsia="Garamond" w:hAnsi="Garamond" w:cs="Garamond"/>
            <w:color w:val="0E101A"/>
            <w:sz w:val="22"/>
            <w:szCs w:val="22"/>
            <w:u w:val="single"/>
          </w:rPr>
          <w:t>U.</w:t>
        </w:r>
        <w:proofErr w:type="gramStart"/>
        <w:r>
          <w:rPr>
            <w:rFonts w:ascii="Garamond" w:eastAsia="Garamond" w:hAnsi="Garamond" w:cs="Garamond"/>
            <w:color w:val="0E101A"/>
            <w:sz w:val="22"/>
            <w:szCs w:val="22"/>
            <w:u w:val="single"/>
          </w:rPr>
          <w:t>K.Supreme</w:t>
        </w:r>
        <w:proofErr w:type="spellEnd"/>
        <w:proofErr w:type="gramEnd"/>
        <w:r>
          <w:rPr>
            <w:rFonts w:ascii="Garamond" w:eastAsia="Garamond" w:hAnsi="Garamond" w:cs="Garamond"/>
            <w:color w:val="0E101A"/>
            <w:sz w:val="22"/>
            <w:szCs w:val="22"/>
            <w:u w:val="single"/>
          </w:rPr>
          <w:t xml:space="preserve"> Court of </w:t>
        </w:r>
        <w:proofErr w:type="spellStart"/>
        <w:r>
          <w:rPr>
            <w:rFonts w:ascii="Garamond" w:eastAsia="Garamond" w:hAnsi="Garamond" w:cs="Garamond"/>
            <w:color w:val="0E101A"/>
            <w:sz w:val="22"/>
            <w:szCs w:val="22"/>
            <w:u w:val="single"/>
          </w:rPr>
          <w:t>Justice,Love</w:t>
        </w:r>
        <w:proofErr w:type="spellEnd"/>
        <w:r>
          <w:rPr>
            <w:rFonts w:ascii="Garamond" w:eastAsia="Garamond" w:hAnsi="Garamond" w:cs="Garamond"/>
            <w:color w:val="0E101A"/>
            <w:sz w:val="22"/>
            <w:szCs w:val="22"/>
            <w:u w:val="single"/>
          </w:rPr>
          <w:t xml:space="preserve"> v Government of th</w:t>
        </w:r>
        <w:r>
          <w:rPr>
            <w:rFonts w:ascii="Garamond" w:eastAsia="Garamond" w:hAnsi="Garamond" w:cs="Garamond"/>
            <w:color w:val="0E101A"/>
            <w:sz w:val="22"/>
            <w:szCs w:val="22"/>
            <w:u w:val="single"/>
          </w:rPr>
          <w:t>e United States [2018] EWHC 172</w:t>
        </w:r>
      </w:hyperlink>
    </w:p>
    <w:p w14:paraId="00000053" w14:textId="77777777" w:rsidR="00414847" w:rsidRDefault="00D75493">
      <w:pPr>
        <w:widowControl w:val="0"/>
        <w:numPr>
          <w:ilvl w:val="0"/>
          <w:numId w:val="6"/>
        </w:numPr>
        <w:spacing w:line="229" w:lineRule="auto"/>
        <w:ind w:right="-2"/>
        <w:jc w:val="both"/>
        <w:rPr>
          <w:rFonts w:ascii="Garamond" w:eastAsia="Garamond" w:hAnsi="Garamond" w:cs="Garamond"/>
          <w:color w:val="0E101A"/>
          <w:sz w:val="22"/>
          <w:szCs w:val="22"/>
        </w:rPr>
      </w:pPr>
      <w:hyperlink r:id="rId24">
        <w:r>
          <w:rPr>
            <w:rFonts w:ascii="Garamond" w:eastAsia="Garamond" w:hAnsi="Garamond" w:cs="Garamond"/>
            <w:color w:val="0E101A"/>
            <w:sz w:val="22"/>
            <w:szCs w:val="22"/>
            <w:u w:val="single"/>
          </w:rPr>
          <w:t>U.K., Supreme Court of Justice, R (R) v Chief Constable of Greater Manchester Police [2018] UKSC 47; [2018] 1 WLR 4079</w:t>
        </w:r>
      </w:hyperlink>
    </w:p>
    <w:p w14:paraId="00000054" w14:textId="77777777" w:rsidR="00414847" w:rsidRDefault="00D75493">
      <w:pPr>
        <w:widowControl w:val="0"/>
        <w:numPr>
          <w:ilvl w:val="0"/>
          <w:numId w:val="6"/>
        </w:numPr>
        <w:spacing w:line="229" w:lineRule="auto"/>
        <w:ind w:right="-2"/>
        <w:jc w:val="both"/>
        <w:rPr>
          <w:rFonts w:ascii="Garamond" w:eastAsia="Garamond" w:hAnsi="Garamond" w:cs="Garamond"/>
          <w:color w:val="0E101A"/>
          <w:sz w:val="22"/>
          <w:szCs w:val="22"/>
        </w:rPr>
      </w:pPr>
      <w:hyperlink r:id="rId25">
        <w:r>
          <w:rPr>
            <w:rFonts w:ascii="Garamond" w:eastAsia="Garamond" w:hAnsi="Garamond" w:cs="Garamond"/>
            <w:color w:val="0E101A"/>
            <w:sz w:val="22"/>
            <w:szCs w:val="22"/>
            <w:u w:val="single"/>
          </w:rPr>
          <w:t xml:space="preserve">UK. Supreme Court of </w:t>
        </w:r>
        <w:proofErr w:type="gramStart"/>
        <w:r>
          <w:rPr>
            <w:rFonts w:ascii="Garamond" w:eastAsia="Garamond" w:hAnsi="Garamond" w:cs="Garamond"/>
            <w:color w:val="0E101A"/>
            <w:sz w:val="22"/>
            <w:szCs w:val="22"/>
            <w:u w:val="single"/>
          </w:rPr>
          <w:t>Justice,  R</w:t>
        </w:r>
        <w:proofErr w:type="gramEnd"/>
        <w:r>
          <w:rPr>
            <w:rFonts w:ascii="Garamond" w:eastAsia="Garamond" w:hAnsi="Garamond" w:cs="Garamond"/>
            <w:color w:val="0E101A"/>
            <w:sz w:val="22"/>
            <w:szCs w:val="22"/>
            <w:u w:val="single"/>
          </w:rPr>
          <w:t xml:space="preserve"> (Z) v Hackney London Borough Council [2019]</w:t>
        </w:r>
      </w:hyperlink>
    </w:p>
    <w:p w14:paraId="00000055" w14:textId="77777777" w:rsidR="00414847" w:rsidRDefault="00D75493">
      <w:pPr>
        <w:widowControl w:val="0"/>
        <w:numPr>
          <w:ilvl w:val="0"/>
          <w:numId w:val="6"/>
        </w:numPr>
        <w:spacing w:line="229" w:lineRule="auto"/>
        <w:ind w:right="-2"/>
        <w:jc w:val="both"/>
        <w:rPr>
          <w:rFonts w:ascii="Garamond" w:eastAsia="Garamond" w:hAnsi="Garamond" w:cs="Garamond"/>
          <w:color w:val="0E101A"/>
          <w:sz w:val="22"/>
          <w:szCs w:val="22"/>
        </w:rPr>
      </w:pPr>
      <w:hyperlink r:id="rId26">
        <w:r>
          <w:rPr>
            <w:rFonts w:ascii="Garamond" w:eastAsia="Garamond" w:hAnsi="Garamond" w:cs="Garamond"/>
            <w:color w:val="0E101A"/>
            <w:sz w:val="22"/>
            <w:szCs w:val="22"/>
            <w:u w:val="single"/>
          </w:rPr>
          <w:t>EWCA Civ 1099; [2019] PTSR 2272</w:t>
        </w:r>
      </w:hyperlink>
    </w:p>
    <w:p w14:paraId="00000056" w14:textId="77777777" w:rsidR="00414847" w:rsidRDefault="00D75493">
      <w:pPr>
        <w:widowControl w:val="0"/>
        <w:numPr>
          <w:ilvl w:val="0"/>
          <w:numId w:val="6"/>
        </w:numPr>
        <w:spacing w:line="229" w:lineRule="auto"/>
        <w:ind w:right="-2"/>
        <w:jc w:val="both"/>
        <w:rPr>
          <w:rFonts w:ascii="Garamond" w:eastAsia="Garamond" w:hAnsi="Garamond" w:cs="Garamond"/>
          <w:color w:val="0E101A"/>
          <w:sz w:val="22"/>
          <w:szCs w:val="22"/>
        </w:rPr>
      </w:pPr>
      <w:hyperlink r:id="rId27">
        <w:r>
          <w:rPr>
            <w:rFonts w:ascii="Garamond" w:eastAsia="Garamond" w:hAnsi="Garamond" w:cs="Garamond"/>
            <w:color w:val="0E101A"/>
            <w:sz w:val="22"/>
            <w:szCs w:val="22"/>
            <w:u w:val="single"/>
          </w:rPr>
          <w:t xml:space="preserve">U.K. Supreme Court of </w:t>
        </w:r>
        <w:proofErr w:type="spellStart"/>
        <w:proofErr w:type="gramStart"/>
        <w:r>
          <w:rPr>
            <w:rFonts w:ascii="Garamond" w:eastAsia="Garamond" w:hAnsi="Garamond" w:cs="Garamond"/>
            <w:color w:val="0E101A"/>
            <w:sz w:val="22"/>
            <w:szCs w:val="22"/>
            <w:u w:val="single"/>
          </w:rPr>
          <w:t>Justice,DB</w:t>
        </w:r>
        <w:proofErr w:type="spellEnd"/>
        <w:proofErr w:type="gramEnd"/>
        <w:r>
          <w:rPr>
            <w:rFonts w:ascii="Garamond" w:eastAsia="Garamond" w:hAnsi="Garamond" w:cs="Garamond"/>
            <w:color w:val="0E101A"/>
            <w:sz w:val="22"/>
            <w:szCs w:val="22"/>
            <w:u w:val="single"/>
          </w:rPr>
          <w:t xml:space="preserve"> v Chief Constable of the Police Service of Northern Ireland [2017] UKSC 7; [2017] 3 LRC</w:t>
        </w:r>
      </w:hyperlink>
    </w:p>
    <w:p w14:paraId="00000057" w14:textId="77777777" w:rsidR="00414847" w:rsidRDefault="00D75493">
      <w:pPr>
        <w:widowControl w:val="0"/>
        <w:numPr>
          <w:ilvl w:val="0"/>
          <w:numId w:val="6"/>
        </w:numPr>
        <w:spacing w:line="229" w:lineRule="auto"/>
        <w:ind w:right="-2"/>
        <w:jc w:val="both"/>
        <w:rPr>
          <w:rFonts w:ascii="Garamond" w:eastAsia="Garamond" w:hAnsi="Garamond" w:cs="Garamond"/>
          <w:sz w:val="22"/>
          <w:szCs w:val="22"/>
        </w:rPr>
      </w:pPr>
      <w:r>
        <w:rPr>
          <w:rFonts w:ascii="Garamond" w:eastAsia="Garamond" w:hAnsi="Garamond" w:cs="Garamond"/>
          <w:sz w:val="22"/>
          <w:szCs w:val="22"/>
        </w:rPr>
        <w:t>U.K., Queen's Bench Division (Administrative Court</w:t>
      </w:r>
      <w:proofErr w:type="gramStart"/>
      <w:r>
        <w:rPr>
          <w:rFonts w:ascii="Garamond" w:eastAsia="Garamond" w:hAnsi="Garamond" w:cs="Garamond"/>
          <w:sz w:val="22"/>
          <w:szCs w:val="22"/>
        </w:rPr>
        <w:t>),Oladimeji</w:t>
      </w:r>
      <w:proofErr w:type="gramEnd"/>
      <w:r>
        <w:rPr>
          <w:rFonts w:ascii="Garamond" w:eastAsia="Garamond" w:hAnsi="Garamond" w:cs="Garamond"/>
          <w:sz w:val="22"/>
          <w:szCs w:val="22"/>
        </w:rPr>
        <w:t xml:space="preserve"> v Director of Public Prosecutions</w:t>
      </w:r>
      <w:r>
        <w:rPr>
          <w:rFonts w:ascii="Garamond" w:eastAsia="Garamond" w:hAnsi="Garamond" w:cs="Garamond"/>
          <w:sz w:val="22"/>
          <w:szCs w:val="22"/>
        </w:rPr>
        <w:t xml:space="preserve"> [2006] EWHC 1199</w:t>
      </w:r>
    </w:p>
    <w:p w14:paraId="00000058" w14:textId="77777777" w:rsidR="00414847" w:rsidRDefault="00D75493">
      <w:pPr>
        <w:widowControl w:val="0"/>
        <w:numPr>
          <w:ilvl w:val="0"/>
          <w:numId w:val="6"/>
        </w:numPr>
        <w:spacing w:line="229" w:lineRule="auto"/>
        <w:ind w:right="-2"/>
        <w:jc w:val="both"/>
        <w:rPr>
          <w:rFonts w:ascii="Garamond" w:eastAsia="Garamond" w:hAnsi="Garamond" w:cs="Garamond"/>
          <w:sz w:val="22"/>
          <w:szCs w:val="22"/>
        </w:rPr>
      </w:pPr>
      <w:proofErr w:type="spellStart"/>
      <w:r>
        <w:rPr>
          <w:rFonts w:ascii="Garamond" w:eastAsia="Garamond" w:hAnsi="Garamond" w:cs="Garamond"/>
          <w:sz w:val="22"/>
          <w:szCs w:val="22"/>
        </w:rPr>
        <w:t>U.</w:t>
      </w:r>
      <w:proofErr w:type="gramStart"/>
      <w:r>
        <w:rPr>
          <w:rFonts w:ascii="Garamond" w:eastAsia="Garamond" w:hAnsi="Garamond" w:cs="Garamond"/>
          <w:sz w:val="22"/>
          <w:szCs w:val="22"/>
        </w:rPr>
        <w:t>K.Queen's</w:t>
      </w:r>
      <w:proofErr w:type="spellEnd"/>
      <w:proofErr w:type="gramEnd"/>
      <w:r>
        <w:rPr>
          <w:rFonts w:ascii="Garamond" w:eastAsia="Garamond" w:hAnsi="Garamond" w:cs="Garamond"/>
          <w:sz w:val="22"/>
          <w:szCs w:val="22"/>
        </w:rPr>
        <w:t xml:space="preserve"> Bench Division (Administrative Court), H v Director of Public Prosecutions [2007] EWHC 2191</w:t>
      </w:r>
    </w:p>
    <w:p w14:paraId="00000059" w14:textId="77777777" w:rsidR="00414847" w:rsidRDefault="00D75493">
      <w:pPr>
        <w:widowControl w:val="0"/>
        <w:numPr>
          <w:ilvl w:val="0"/>
          <w:numId w:val="6"/>
        </w:numPr>
        <w:spacing w:line="229" w:lineRule="auto"/>
        <w:ind w:right="-2"/>
        <w:jc w:val="both"/>
        <w:rPr>
          <w:rFonts w:ascii="Garamond" w:eastAsia="Garamond" w:hAnsi="Garamond" w:cs="Garamond"/>
          <w:sz w:val="22"/>
          <w:szCs w:val="22"/>
        </w:rPr>
      </w:pPr>
      <w:proofErr w:type="spellStart"/>
      <w:proofErr w:type="gramStart"/>
      <w:r>
        <w:rPr>
          <w:rFonts w:ascii="Garamond" w:eastAsia="Garamond" w:hAnsi="Garamond" w:cs="Garamond"/>
          <w:sz w:val="22"/>
          <w:szCs w:val="22"/>
        </w:rPr>
        <w:t>U.K.,Queen's</w:t>
      </w:r>
      <w:proofErr w:type="spellEnd"/>
      <w:proofErr w:type="gramEnd"/>
      <w:r>
        <w:rPr>
          <w:rFonts w:ascii="Garamond" w:eastAsia="Garamond" w:hAnsi="Garamond" w:cs="Garamond"/>
          <w:sz w:val="22"/>
          <w:szCs w:val="22"/>
        </w:rPr>
        <w:t xml:space="preserve"> Bench Division (Administrative Court), Garry v Crown Prosecution Service [2019] EWHC 636 </w:t>
      </w:r>
    </w:p>
    <w:p w14:paraId="0000005A" w14:textId="77777777" w:rsidR="00414847" w:rsidRDefault="00D75493">
      <w:pPr>
        <w:widowControl w:val="0"/>
        <w:numPr>
          <w:ilvl w:val="0"/>
          <w:numId w:val="6"/>
        </w:numPr>
        <w:spacing w:line="229" w:lineRule="auto"/>
        <w:ind w:right="-2"/>
        <w:jc w:val="both"/>
        <w:rPr>
          <w:rFonts w:ascii="Garamond" w:eastAsia="Garamond" w:hAnsi="Garamond" w:cs="Garamond"/>
          <w:sz w:val="22"/>
          <w:szCs w:val="22"/>
        </w:rPr>
      </w:pPr>
      <w:proofErr w:type="spellStart"/>
      <w:r>
        <w:rPr>
          <w:rFonts w:ascii="Garamond" w:eastAsia="Garamond" w:hAnsi="Garamond" w:cs="Garamond"/>
          <w:sz w:val="22"/>
          <w:szCs w:val="22"/>
        </w:rPr>
        <w:t>U.</w:t>
      </w:r>
      <w:proofErr w:type="gramStart"/>
      <w:r>
        <w:rPr>
          <w:rFonts w:ascii="Garamond" w:eastAsia="Garamond" w:hAnsi="Garamond" w:cs="Garamond"/>
          <w:sz w:val="22"/>
          <w:szCs w:val="22"/>
        </w:rPr>
        <w:t>K.Queen's</w:t>
      </w:r>
      <w:proofErr w:type="spellEnd"/>
      <w:proofErr w:type="gramEnd"/>
      <w:r>
        <w:rPr>
          <w:rFonts w:ascii="Garamond" w:eastAsia="Garamond" w:hAnsi="Garamond" w:cs="Garamond"/>
          <w:sz w:val="22"/>
          <w:szCs w:val="22"/>
        </w:rPr>
        <w:t xml:space="preserve"> Bench Division (Administrative Court),Norwood v Director of Public Prosecutions [2003] EWHC 1564</w:t>
      </w:r>
    </w:p>
    <w:p w14:paraId="0000005B" w14:textId="77777777" w:rsidR="00414847" w:rsidRDefault="00D75493">
      <w:pPr>
        <w:widowControl w:val="0"/>
        <w:numPr>
          <w:ilvl w:val="0"/>
          <w:numId w:val="6"/>
        </w:numPr>
        <w:spacing w:line="229" w:lineRule="auto"/>
        <w:ind w:right="-2"/>
        <w:jc w:val="both"/>
        <w:rPr>
          <w:rFonts w:ascii="Garamond" w:eastAsia="Garamond" w:hAnsi="Garamond" w:cs="Garamond"/>
          <w:sz w:val="22"/>
          <w:szCs w:val="22"/>
        </w:rPr>
      </w:pPr>
      <w:proofErr w:type="spellStart"/>
      <w:r>
        <w:rPr>
          <w:rFonts w:ascii="Garamond" w:eastAsia="Garamond" w:hAnsi="Garamond" w:cs="Garamond"/>
          <w:sz w:val="22"/>
          <w:szCs w:val="22"/>
        </w:rPr>
        <w:t>U.</w:t>
      </w:r>
      <w:proofErr w:type="gramStart"/>
      <w:r>
        <w:rPr>
          <w:rFonts w:ascii="Garamond" w:eastAsia="Garamond" w:hAnsi="Garamond" w:cs="Garamond"/>
          <w:sz w:val="22"/>
          <w:szCs w:val="22"/>
        </w:rPr>
        <w:t>K.Queen's</w:t>
      </w:r>
      <w:proofErr w:type="spellEnd"/>
      <w:proofErr w:type="gramEnd"/>
      <w:r>
        <w:rPr>
          <w:rFonts w:ascii="Garamond" w:eastAsia="Garamond" w:hAnsi="Garamond" w:cs="Garamond"/>
          <w:sz w:val="22"/>
          <w:szCs w:val="22"/>
        </w:rPr>
        <w:t xml:space="preserve"> Bench Division, Hammond v Director of Public Prosecutions [2004] EWHC 69</w:t>
      </w:r>
    </w:p>
    <w:p w14:paraId="0000005C" w14:textId="77777777" w:rsidR="00414847" w:rsidRDefault="00D75493">
      <w:pPr>
        <w:widowControl w:val="0"/>
        <w:numPr>
          <w:ilvl w:val="0"/>
          <w:numId w:val="6"/>
        </w:numPr>
        <w:spacing w:line="229" w:lineRule="auto"/>
        <w:ind w:right="-2"/>
        <w:jc w:val="both"/>
        <w:rPr>
          <w:rFonts w:ascii="Garamond" w:eastAsia="Garamond" w:hAnsi="Garamond" w:cs="Garamond"/>
          <w:sz w:val="22"/>
          <w:szCs w:val="22"/>
        </w:rPr>
      </w:pPr>
      <w:r>
        <w:rPr>
          <w:rFonts w:ascii="Garamond" w:eastAsia="Garamond" w:hAnsi="Garamond" w:cs="Garamond"/>
          <w:sz w:val="22"/>
          <w:szCs w:val="22"/>
        </w:rPr>
        <w:t>U.K, Queen's Bench Division (Administrative Court), Gough v Di</w:t>
      </w:r>
      <w:r>
        <w:rPr>
          <w:rFonts w:ascii="Garamond" w:eastAsia="Garamond" w:hAnsi="Garamond" w:cs="Garamond"/>
          <w:sz w:val="22"/>
          <w:szCs w:val="22"/>
        </w:rPr>
        <w:t>rector of Public Prosecutions [2013] EWHC 3267</w:t>
      </w:r>
    </w:p>
    <w:p w14:paraId="0000005D" w14:textId="77777777" w:rsidR="00414847" w:rsidRDefault="00D75493">
      <w:pPr>
        <w:widowControl w:val="0"/>
        <w:numPr>
          <w:ilvl w:val="0"/>
          <w:numId w:val="6"/>
        </w:numPr>
        <w:spacing w:line="229" w:lineRule="auto"/>
        <w:ind w:right="-2"/>
        <w:jc w:val="both"/>
        <w:rPr>
          <w:rFonts w:ascii="Garamond" w:eastAsia="Garamond" w:hAnsi="Garamond" w:cs="Garamond"/>
          <w:sz w:val="22"/>
          <w:szCs w:val="22"/>
        </w:rPr>
      </w:pPr>
      <w:r>
        <w:rPr>
          <w:rFonts w:ascii="Garamond" w:eastAsia="Garamond" w:hAnsi="Garamond" w:cs="Garamond"/>
          <w:sz w:val="22"/>
          <w:szCs w:val="22"/>
        </w:rPr>
        <w:t>U.K, Queen's Bench Division (Administrative Court), Abdul v Director of Public Prosecutions [2011] EWHC 247</w:t>
      </w:r>
    </w:p>
    <w:p w14:paraId="0000005E" w14:textId="77777777" w:rsidR="00414847" w:rsidRDefault="00D75493">
      <w:pPr>
        <w:widowControl w:val="0"/>
        <w:numPr>
          <w:ilvl w:val="0"/>
          <w:numId w:val="6"/>
        </w:numPr>
        <w:spacing w:line="229" w:lineRule="auto"/>
        <w:ind w:right="-2"/>
        <w:jc w:val="both"/>
        <w:rPr>
          <w:rFonts w:ascii="Garamond" w:eastAsia="Garamond" w:hAnsi="Garamond" w:cs="Garamond"/>
          <w:sz w:val="22"/>
          <w:szCs w:val="22"/>
        </w:rPr>
      </w:pPr>
      <w:r>
        <w:rPr>
          <w:rFonts w:ascii="Garamond" w:eastAsia="Garamond" w:hAnsi="Garamond" w:cs="Garamond"/>
          <w:sz w:val="22"/>
          <w:szCs w:val="22"/>
        </w:rPr>
        <w:t>U.K. House of Lords, Edwards v Bairstow [1956] AC 14</w:t>
      </w:r>
    </w:p>
    <w:p w14:paraId="0000005F" w14:textId="77777777" w:rsidR="00414847" w:rsidRDefault="00D75493">
      <w:pPr>
        <w:widowControl w:val="0"/>
        <w:numPr>
          <w:ilvl w:val="0"/>
          <w:numId w:val="6"/>
        </w:numPr>
        <w:spacing w:line="229" w:lineRule="auto"/>
        <w:ind w:right="-2"/>
        <w:jc w:val="both"/>
        <w:rPr>
          <w:rFonts w:ascii="Garamond" w:eastAsia="Garamond" w:hAnsi="Garamond" w:cs="Garamond"/>
          <w:sz w:val="22"/>
          <w:szCs w:val="22"/>
        </w:rPr>
      </w:pPr>
      <w:r>
        <w:rPr>
          <w:rFonts w:ascii="Garamond" w:eastAsia="Garamond" w:hAnsi="Garamond" w:cs="Garamond"/>
          <w:sz w:val="22"/>
          <w:szCs w:val="22"/>
        </w:rPr>
        <w:t>U.K., House of Lords, Pioneer Shipping Ltd v BTP</w:t>
      </w:r>
      <w:r>
        <w:rPr>
          <w:rFonts w:ascii="Garamond" w:eastAsia="Garamond" w:hAnsi="Garamond" w:cs="Garamond"/>
          <w:sz w:val="22"/>
          <w:szCs w:val="22"/>
        </w:rPr>
        <w:t xml:space="preserve"> </w:t>
      </w:r>
      <w:proofErr w:type="spellStart"/>
      <w:r>
        <w:rPr>
          <w:rFonts w:ascii="Garamond" w:eastAsia="Garamond" w:hAnsi="Garamond" w:cs="Garamond"/>
          <w:sz w:val="22"/>
          <w:szCs w:val="22"/>
        </w:rPr>
        <w:t>Tioxide</w:t>
      </w:r>
      <w:proofErr w:type="spellEnd"/>
      <w:r>
        <w:rPr>
          <w:rFonts w:ascii="Garamond" w:eastAsia="Garamond" w:hAnsi="Garamond" w:cs="Garamond"/>
          <w:sz w:val="22"/>
          <w:szCs w:val="22"/>
        </w:rPr>
        <w:t xml:space="preserve"> Ltd (The </w:t>
      </w:r>
      <w:proofErr w:type="spellStart"/>
      <w:r>
        <w:rPr>
          <w:rFonts w:ascii="Garamond" w:eastAsia="Garamond" w:hAnsi="Garamond" w:cs="Garamond"/>
          <w:sz w:val="22"/>
          <w:szCs w:val="22"/>
        </w:rPr>
        <w:t>Nema</w:t>
      </w:r>
      <w:proofErr w:type="spellEnd"/>
      <w:r>
        <w:rPr>
          <w:rFonts w:ascii="Garamond" w:eastAsia="Garamond" w:hAnsi="Garamond" w:cs="Garamond"/>
          <w:sz w:val="22"/>
          <w:szCs w:val="22"/>
        </w:rPr>
        <w:t>) [1982] AC 724</w:t>
      </w:r>
    </w:p>
    <w:p w14:paraId="00000060" w14:textId="77777777" w:rsidR="00414847" w:rsidRDefault="00D75493">
      <w:pPr>
        <w:widowControl w:val="0"/>
        <w:numPr>
          <w:ilvl w:val="0"/>
          <w:numId w:val="6"/>
        </w:numPr>
        <w:spacing w:line="229" w:lineRule="auto"/>
        <w:ind w:right="-2"/>
        <w:jc w:val="both"/>
        <w:rPr>
          <w:rFonts w:ascii="Garamond" w:eastAsia="Garamond" w:hAnsi="Garamond" w:cs="Garamond"/>
          <w:sz w:val="22"/>
          <w:szCs w:val="22"/>
        </w:rPr>
      </w:pPr>
      <w:r>
        <w:rPr>
          <w:rFonts w:ascii="Garamond" w:eastAsia="Garamond" w:hAnsi="Garamond" w:cs="Garamond"/>
          <w:sz w:val="22"/>
          <w:szCs w:val="22"/>
        </w:rPr>
        <w:t>U.K., House of Lords, D’Souza v Director of Public Prosecutions [1992] 1 WLR 1073 t</w:t>
      </w:r>
    </w:p>
    <w:p w14:paraId="00000061" w14:textId="77777777" w:rsidR="00414847" w:rsidRDefault="00D75493">
      <w:pPr>
        <w:widowControl w:val="0"/>
        <w:numPr>
          <w:ilvl w:val="0"/>
          <w:numId w:val="6"/>
        </w:numPr>
        <w:spacing w:line="229" w:lineRule="auto"/>
        <w:ind w:right="-2"/>
        <w:jc w:val="both"/>
        <w:rPr>
          <w:rFonts w:ascii="Garamond" w:eastAsia="Garamond" w:hAnsi="Garamond" w:cs="Garamond"/>
          <w:sz w:val="22"/>
          <w:szCs w:val="22"/>
        </w:rPr>
      </w:pPr>
      <w:r>
        <w:rPr>
          <w:rFonts w:ascii="Garamond" w:eastAsia="Garamond" w:hAnsi="Garamond" w:cs="Garamond"/>
          <w:sz w:val="22"/>
          <w:szCs w:val="22"/>
        </w:rPr>
        <w:t xml:space="preserve">U.K. Divisional Court, </w:t>
      </w:r>
      <w:r>
        <w:rPr>
          <w:rFonts w:ascii="Garamond" w:eastAsia="Garamond" w:hAnsi="Garamond" w:cs="Garamond"/>
          <w:i/>
          <w:sz w:val="22"/>
          <w:szCs w:val="22"/>
        </w:rPr>
        <w:t xml:space="preserve">Nagy v Weston </w:t>
      </w:r>
      <w:r>
        <w:rPr>
          <w:rFonts w:ascii="Garamond" w:eastAsia="Garamond" w:hAnsi="Garamond" w:cs="Garamond"/>
          <w:sz w:val="22"/>
          <w:szCs w:val="22"/>
        </w:rPr>
        <w:t>[1965] 1 WLR 280</w:t>
      </w:r>
    </w:p>
    <w:p w14:paraId="00000062" w14:textId="77777777" w:rsidR="00414847" w:rsidRDefault="00D75493">
      <w:pPr>
        <w:widowControl w:val="0"/>
        <w:numPr>
          <w:ilvl w:val="0"/>
          <w:numId w:val="6"/>
        </w:numPr>
        <w:spacing w:line="229" w:lineRule="auto"/>
        <w:ind w:right="-2"/>
        <w:jc w:val="both"/>
        <w:rPr>
          <w:rFonts w:ascii="Garamond" w:eastAsia="Garamond" w:hAnsi="Garamond" w:cs="Garamond"/>
          <w:sz w:val="22"/>
          <w:szCs w:val="22"/>
        </w:rPr>
      </w:pPr>
      <w:r>
        <w:rPr>
          <w:rFonts w:ascii="Garamond" w:eastAsia="Garamond" w:hAnsi="Garamond" w:cs="Garamond"/>
          <w:sz w:val="22"/>
          <w:szCs w:val="22"/>
        </w:rPr>
        <w:t xml:space="preserve">U.K. Court of Appeal, City of London </w:t>
      </w:r>
      <w:proofErr w:type="spellStart"/>
      <w:r>
        <w:rPr>
          <w:rFonts w:ascii="Garamond" w:eastAsia="Garamond" w:hAnsi="Garamond" w:cs="Garamond"/>
          <w:sz w:val="22"/>
          <w:szCs w:val="22"/>
        </w:rPr>
        <w:t>Corpn</w:t>
      </w:r>
      <w:proofErr w:type="spellEnd"/>
      <w:r>
        <w:rPr>
          <w:rFonts w:ascii="Garamond" w:eastAsia="Garamond" w:hAnsi="Garamond" w:cs="Garamond"/>
          <w:sz w:val="22"/>
          <w:szCs w:val="22"/>
        </w:rPr>
        <w:t xml:space="preserve"> </w:t>
      </w:r>
      <w:proofErr w:type="gramStart"/>
      <w:r>
        <w:rPr>
          <w:rFonts w:ascii="Garamond" w:eastAsia="Garamond" w:hAnsi="Garamond" w:cs="Garamond"/>
          <w:sz w:val="22"/>
          <w:szCs w:val="22"/>
        </w:rPr>
        <w:t xml:space="preserve">v  </w:t>
      </w:r>
      <w:proofErr w:type="spellStart"/>
      <w:r>
        <w:rPr>
          <w:rFonts w:ascii="Garamond" w:eastAsia="Garamond" w:hAnsi="Garamond" w:cs="Garamond"/>
          <w:sz w:val="22"/>
          <w:szCs w:val="22"/>
        </w:rPr>
        <w:t>Samede</w:t>
      </w:r>
      <w:proofErr w:type="spellEnd"/>
      <w:proofErr w:type="gramEnd"/>
      <w:r>
        <w:rPr>
          <w:rFonts w:ascii="Garamond" w:eastAsia="Garamond" w:hAnsi="Garamond" w:cs="Garamond"/>
          <w:sz w:val="22"/>
          <w:szCs w:val="22"/>
        </w:rPr>
        <w:t xml:space="preserve"> [2012] EWCA Civ 160</w:t>
      </w:r>
    </w:p>
    <w:p w14:paraId="00000063" w14:textId="77777777" w:rsidR="00414847" w:rsidRDefault="00D75493">
      <w:pPr>
        <w:widowControl w:val="0"/>
        <w:numPr>
          <w:ilvl w:val="0"/>
          <w:numId w:val="6"/>
        </w:numPr>
        <w:spacing w:line="229" w:lineRule="auto"/>
        <w:ind w:right="-2"/>
        <w:jc w:val="both"/>
        <w:rPr>
          <w:rFonts w:ascii="Garamond" w:eastAsia="Garamond" w:hAnsi="Garamond" w:cs="Garamond"/>
          <w:sz w:val="22"/>
          <w:szCs w:val="22"/>
        </w:rPr>
      </w:pPr>
      <w:r>
        <w:rPr>
          <w:rFonts w:ascii="Garamond" w:eastAsia="Garamond" w:hAnsi="Garamond" w:cs="Garamond"/>
          <w:sz w:val="22"/>
          <w:szCs w:val="22"/>
        </w:rPr>
        <w:t xml:space="preserve">U.K. Court of Appeal (Civil Division), New Windsor </w:t>
      </w:r>
      <w:proofErr w:type="spellStart"/>
      <w:r>
        <w:rPr>
          <w:rFonts w:ascii="Garamond" w:eastAsia="Garamond" w:hAnsi="Garamond" w:cs="Garamond"/>
          <w:sz w:val="22"/>
          <w:szCs w:val="22"/>
        </w:rPr>
        <w:t>Corpn</w:t>
      </w:r>
      <w:proofErr w:type="spellEnd"/>
      <w:r>
        <w:rPr>
          <w:rFonts w:ascii="Garamond" w:eastAsia="Garamond" w:hAnsi="Garamond" w:cs="Garamond"/>
          <w:sz w:val="22"/>
          <w:szCs w:val="22"/>
        </w:rPr>
        <w:t xml:space="preserve"> v Mellor [1974] 1 WLR 1504</w:t>
      </w:r>
    </w:p>
    <w:p w14:paraId="00000064" w14:textId="77777777" w:rsidR="00414847" w:rsidRDefault="00D75493">
      <w:pPr>
        <w:widowControl w:val="0"/>
        <w:numPr>
          <w:ilvl w:val="0"/>
          <w:numId w:val="6"/>
        </w:numPr>
        <w:spacing w:line="229" w:lineRule="auto"/>
        <w:ind w:right="-2"/>
        <w:jc w:val="both"/>
        <w:rPr>
          <w:rFonts w:ascii="Garamond" w:eastAsia="Garamond" w:hAnsi="Garamond" w:cs="Garamond"/>
          <w:sz w:val="22"/>
          <w:szCs w:val="22"/>
        </w:rPr>
      </w:pPr>
      <w:proofErr w:type="spellStart"/>
      <w:proofErr w:type="gramStart"/>
      <w:r>
        <w:rPr>
          <w:rFonts w:ascii="Garamond" w:eastAsia="Garamond" w:hAnsi="Garamond" w:cs="Garamond"/>
          <w:sz w:val="22"/>
          <w:szCs w:val="22"/>
        </w:rPr>
        <w:t>U.K.,King's</w:t>
      </w:r>
      <w:proofErr w:type="spellEnd"/>
      <w:proofErr w:type="gramEnd"/>
      <w:r>
        <w:rPr>
          <w:rFonts w:ascii="Garamond" w:eastAsia="Garamond" w:hAnsi="Garamond" w:cs="Garamond"/>
          <w:sz w:val="22"/>
          <w:szCs w:val="22"/>
        </w:rPr>
        <w:t xml:space="preserve"> Bench Division,  Bracegirdle v Oxley and </w:t>
      </w:r>
      <w:proofErr w:type="spellStart"/>
      <w:r>
        <w:rPr>
          <w:rFonts w:ascii="Garamond" w:eastAsia="Garamond" w:hAnsi="Garamond" w:cs="Garamond"/>
          <w:sz w:val="22"/>
          <w:szCs w:val="22"/>
        </w:rPr>
        <w:t>Cobley</w:t>
      </w:r>
      <w:proofErr w:type="spellEnd"/>
      <w:r>
        <w:rPr>
          <w:rFonts w:ascii="Garamond" w:eastAsia="Garamond" w:hAnsi="Garamond" w:cs="Garamond"/>
          <w:sz w:val="22"/>
          <w:szCs w:val="22"/>
        </w:rPr>
        <w:t xml:space="preserve"> [1947] KB 349, 353</w:t>
      </w:r>
    </w:p>
    <w:p w14:paraId="00000065" w14:textId="77777777" w:rsidR="00414847" w:rsidRDefault="00D75493">
      <w:pPr>
        <w:widowControl w:val="0"/>
        <w:numPr>
          <w:ilvl w:val="0"/>
          <w:numId w:val="6"/>
        </w:numPr>
        <w:spacing w:line="229" w:lineRule="auto"/>
        <w:ind w:right="-2"/>
        <w:jc w:val="both"/>
        <w:rPr>
          <w:rFonts w:ascii="Garamond" w:eastAsia="Garamond" w:hAnsi="Garamond" w:cs="Garamond"/>
          <w:sz w:val="22"/>
          <w:szCs w:val="22"/>
        </w:rPr>
      </w:pPr>
      <w:r>
        <w:rPr>
          <w:rFonts w:ascii="Garamond" w:eastAsia="Garamond" w:hAnsi="Garamond" w:cs="Garamond"/>
          <w:sz w:val="22"/>
          <w:szCs w:val="22"/>
        </w:rPr>
        <w:t xml:space="preserve">U.K. R v </w:t>
      </w:r>
      <w:proofErr w:type="gramStart"/>
      <w:r>
        <w:rPr>
          <w:rFonts w:ascii="Garamond" w:eastAsia="Garamond" w:hAnsi="Garamond" w:cs="Garamond"/>
          <w:sz w:val="22"/>
          <w:szCs w:val="22"/>
        </w:rPr>
        <w:t>North West</w:t>
      </w:r>
      <w:proofErr w:type="gramEnd"/>
      <w:r>
        <w:rPr>
          <w:rFonts w:ascii="Garamond" w:eastAsia="Garamond" w:hAnsi="Garamond" w:cs="Garamond"/>
          <w:sz w:val="22"/>
          <w:szCs w:val="22"/>
        </w:rPr>
        <w:t xml:space="preserve"> </w:t>
      </w:r>
      <w:r>
        <w:rPr>
          <w:rFonts w:ascii="Garamond" w:eastAsia="Garamond" w:hAnsi="Garamond" w:cs="Garamond"/>
          <w:sz w:val="22"/>
          <w:szCs w:val="22"/>
        </w:rPr>
        <w:t>Suffolk Magistrates’ Court [1998] Env LR 9, 18-19</w:t>
      </w:r>
    </w:p>
    <w:p w14:paraId="00000066" w14:textId="77777777" w:rsidR="00414847" w:rsidRDefault="00414847">
      <w:pPr>
        <w:widowControl w:val="0"/>
        <w:spacing w:before="527" w:line="229" w:lineRule="auto"/>
        <w:ind w:left="360" w:right="-2"/>
        <w:jc w:val="both"/>
        <w:rPr>
          <w:rFonts w:ascii="Garamond" w:eastAsia="Garamond" w:hAnsi="Garamond" w:cs="Garamond"/>
          <w:sz w:val="22"/>
          <w:szCs w:val="22"/>
        </w:rPr>
      </w:pPr>
    </w:p>
    <w:p w14:paraId="00000067" w14:textId="77777777" w:rsidR="00414847" w:rsidRDefault="00414847">
      <w:pPr>
        <w:pBdr>
          <w:top w:val="nil"/>
          <w:left w:val="nil"/>
          <w:bottom w:val="nil"/>
          <w:right w:val="nil"/>
          <w:between w:val="nil"/>
        </w:pBdr>
        <w:spacing w:line="276" w:lineRule="auto"/>
        <w:ind w:left="360"/>
        <w:jc w:val="both"/>
        <w:rPr>
          <w:rFonts w:ascii="Garamond" w:eastAsia="Garamond" w:hAnsi="Garamond" w:cs="Garamond"/>
          <w:sz w:val="22"/>
          <w:szCs w:val="22"/>
        </w:rPr>
      </w:pPr>
    </w:p>
    <w:p w14:paraId="00000068" w14:textId="77777777" w:rsidR="00414847" w:rsidRDefault="00D75493">
      <w:pPr>
        <w:pBdr>
          <w:top w:val="nil"/>
          <w:left w:val="nil"/>
          <w:bottom w:val="nil"/>
          <w:right w:val="nil"/>
          <w:between w:val="nil"/>
        </w:pBdr>
        <w:spacing w:line="276" w:lineRule="auto"/>
        <w:ind w:left="360"/>
        <w:jc w:val="both"/>
        <w:rPr>
          <w:rFonts w:ascii="Garamond" w:eastAsia="Garamond" w:hAnsi="Garamond" w:cs="Garamond"/>
          <w:color w:val="000000"/>
          <w:sz w:val="22"/>
          <w:szCs w:val="22"/>
        </w:rPr>
      </w:pPr>
      <w:r>
        <w:rPr>
          <w:rFonts w:ascii="Garamond" w:eastAsia="Garamond" w:hAnsi="Garamond" w:cs="Garamond"/>
          <w:b/>
          <w:color w:val="000000"/>
          <w:sz w:val="22"/>
          <w:szCs w:val="22"/>
        </w:rPr>
        <w:t>Other national law or jurisprudence</w:t>
      </w:r>
      <w:r>
        <w:rPr>
          <w:rFonts w:ascii="Garamond" w:eastAsia="Garamond" w:hAnsi="Garamond" w:cs="Garamond"/>
          <w:color w:val="000000"/>
          <w:sz w:val="22"/>
          <w:szCs w:val="22"/>
        </w:rPr>
        <w:t xml:space="preserve">: </w:t>
      </w:r>
    </w:p>
    <w:p w14:paraId="00000069" w14:textId="77777777" w:rsidR="00414847" w:rsidRDefault="00D75493">
      <w:pPr>
        <w:numPr>
          <w:ilvl w:val="0"/>
          <w:numId w:val="2"/>
        </w:numPr>
        <w:pBdr>
          <w:top w:val="nil"/>
          <w:left w:val="nil"/>
          <w:bottom w:val="nil"/>
          <w:right w:val="nil"/>
          <w:between w:val="nil"/>
        </w:pBdr>
        <w:spacing w:line="276" w:lineRule="auto"/>
        <w:jc w:val="both"/>
        <w:rPr>
          <w:color w:val="000000"/>
          <w:sz w:val="22"/>
          <w:szCs w:val="22"/>
        </w:rPr>
      </w:pPr>
      <w:r>
        <w:rPr>
          <w:rFonts w:ascii="Garamond" w:eastAsia="Garamond" w:hAnsi="Garamond" w:cs="Garamond"/>
          <w:b/>
          <w:sz w:val="22"/>
          <w:szCs w:val="22"/>
        </w:rPr>
        <w:t>N/A</w:t>
      </w:r>
    </w:p>
    <w:p w14:paraId="0000006A" w14:textId="77777777" w:rsidR="00414847" w:rsidRDefault="00414847">
      <w:pPr>
        <w:spacing w:line="276" w:lineRule="auto"/>
        <w:jc w:val="both"/>
        <w:rPr>
          <w:rFonts w:ascii="Garamond" w:eastAsia="Garamond" w:hAnsi="Garamond" w:cs="Garamond"/>
          <w:sz w:val="22"/>
          <w:szCs w:val="22"/>
        </w:rPr>
      </w:pPr>
    </w:p>
    <w:p w14:paraId="0000006B" w14:textId="77777777" w:rsidR="00414847" w:rsidRDefault="00D75493">
      <w:pPr>
        <w:spacing w:line="276" w:lineRule="auto"/>
        <w:jc w:val="both"/>
        <w:rPr>
          <w:rFonts w:ascii="Garamond" w:eastAsia="Garamond" w:hAnsi="Garamond" w:cs="Garamond"/>
          <w:sz w:val="22"/>
          <w:szCs w:val="22"/>
        </w:rPr>
      </w:pPr>
      <w:r>
        <w:rPr>
          <w:rFonts w:ascii="Garamond" w:eastAsia="Garamond" w:hAnsi="Garamond" w:cs="Garamond"/>
          <w:b/>
          <w:i/>
          <w:sz w:val="22"/>
          <w:szCs w:val="22"/>
          <w:u w:val="single"/>
        </w:rPr>
        <w:t>Significance</w:t>
      </w:r>
      <w:r>
        <w:rPr>
          <w:rFonts w:ascii="Garamond" w:eastAsia="Garamond" w:hAnsi="Garamond" w:cs="Garamond"/>
          <w:sz w:val="22"/>
          <w:szCs w:val="22"/>
        </w:rPr>
        <w:t xml:space="preserve">: </w:t>
      </w:r>
    </w:p>
    <w:p w14:paraId="0000006C" w14:textId="77777777" w:rsidR="00414847" w:rsidRDefault="00D75493">
      <w:pPr>
        <w:numPr>
          <w:ilvl w:val="0"/>
          <w:numId w:val="5"/>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The decision establishes a binding or persuasive precedent within its jurisdiction.</w:t>
      </w:r>
    </w:p>
    <w:p w14:paraId="0000006D" w14:textId="77777777" w:rsidR="00414847" w:rsidRDefault="00414847">
      <w:pPr>
        <w:spacing w:line="276" w:lineRule="auto"/>
        <w:jc w:val="both"/>
        <w:rPr>
          <w:rFonts w:ascii="Garamond" w:eastAsia="Garamond" w:hAnsi="Garamond" w:cs="Garamond"/>
          <w:sz w:val="22"/>
          <w:szCs w:val="22"/>
        </w:rPr>
      </w:pPr>
    </w:p>
    <w:p w14:paraId="0000006E" w14:textId="77777777" w:rsidR="00414847" w:rsidRDefault="00D75493">
      <w:pPr>
        <w:numPr>
          <w:ilvl w:val="0"/>
          <w:numId w:val="5"/>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Related Cases</w:t>
      </w:r>
      <w:r>
        <w:rPr>
          <w:rFonts w:ascii="Garamond" w:eastAsia="Garamond" w:hAnsi="Garamond" w:cs="Garamond"/>
          <w:color w:val="000000"/>
          <w:sz w:val="22"/>
          <w:szCs w:val="22"/>
        </w:rPr>
        <w:t>: Self-generated</w:t>
      </w:r>
    </w:p>
    <w:p w14:paraId="0000006F" w14:textId="77777777" w:rsidR="00414847" w:rsidRDefault="00414847">
      <w:pPr>
        <w:pBdr>
          <w:top w:val="nil"/>
          <w:left w:val="nil"/>
          <w:bottom w:val="nil"/>
          <w:right w:val="nil"/>
          <w:between w:val="nil"/>
        </w:pBdr>
        <w:spacing w:line="276" w:lineRule="auto"/>
        <w:ind w:left="360"/>
        <w:jc w:val="both"/>
        <w:rPr>
          <w:rFonts w:ascii="Garamond" w:eastAsia="Garamond" w:hAnsi="Garamond" w:cs="Garamond"/>
          <w:color w:val="000000"/>
          <w:sz w:val="22"/>
          <w:szCs w:val="22"/>
        </w:rPr>
      </w:pPr>
    </w:p>
    <w:p w14:paraId="00000070" w14:textId="77777777" w:rsidR="00414847" w:rsidRDefault="00D75493">
      <w:pPr>
        <w:numPr>
          <w:ilvl w:val="0"/>
          <w:numId w:val="5"/>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Date updated</w:t>
      </w:r>
      <w:r>
        <w:rPr>
          <w:rFonts w:ascii="Garamond" w:eastAsia="Garamond" w:hAnsi="Garamond" w:cs="Garamond"/>
          <w:color w:val="000000"/>
          <w:sz w:val="22"/>
          <w:szCs w:val="22"/>
        </w:rPr>
        <w:t>: N/A</w:t>
      </w:r>
    </w:p>
    <w:p w14:paraId="00000071" w14:textId="77777777" w:rsidR="00414847" w:rsidRDefault="00414847">
      <w:pPr>
        <w:spacing w:line="276" w:lineRule="auto"/>
        <w:jc w:val="both"/>
        <w:rPr>
          <w:rFonts w:ascii="Garamond" w:eastAsia="Garamond" w:hAnsi="Garamond" w:cs="Garamond"/>
          <w:sz w:val="22"/>
          <w:szCs w:val="22"/>
        </w:rPr>
      </w:pPr>
    </w:p>
    <w:p w14:paraId="00000072" w14:textId="77777777" w:rsidR="00414847" w:rsidRDefault="00D75493">
      <w:pPr>
        <w:spacing w:line="276" w:lineRule="auto"/>
        <w:jc w:val="both"/>
        <w:rPr>
          <w:rFonts w:ascii="Garamond" w:eastAsia="Garamond" w:hAnsi="Garamond" w:cs="Garamond"/>
          <w:sz w:val="22"/>
          <w:szCs w:val="22"/>
        </w:rPr>
      </w:pPr>
      <w:r>
        <w:rPr>
          <w:rFonts w:ascii="Garamond" w:eastAsia="Garamond" w:hAnsi="Garamond" w:cs="Garamond"/>
          <w:b/>
          <w:i/>
          <w:sz w:val="22"/>
          <w:szCs w:val="22"/>
          <w:u w:val="single"/>
        </w:rPr>
        <w:t>Docs</w:t>
      </w:r>
      <w:r>
        <w:rPr>
          <w:rFonts w:ascii="Garamond" w:eastAsia="Garamond" w:hAnsi="Garamond" w:cs="Garamond"/>
          <w:sz w:val="22"/>
          <w:szCs w:val="22"/>
        </w:rPr>
        <w:t xml:space="preserve">: </w:t>
      </w:r>
    </w:p>
    <w:p w14:paraId="00000073" w14:textId="77777777" w:rsidR="00414847" w:rsidRDefault="00D75493">
      <w:pPr>
        <w:numPr>
          <w:ilvl w:val="0"/>
          <w:numId w:val="1"/>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Official Case Documents</w:t>
      </w:r>
      <w:r>
        <w:rPr>
          <w:rFonts w:ascii="Garamond" w:eastAsia="Garamond" w:hAnsi="Garamond" w:cs="Garamond"/>
          <w:color w:val="000000"/>
          <w:sz w:val="22"/>
          <w:szCs w:val="22"/>
        </w:rPr>
        <w:t xml:space="preserve">: </w:t>
      </w:r>
    </w:p>
    <w:p w14:paraId="00000074" w14:textId="77777777" w:rsidR="00414847" w:rsidRDefault="00D75493">
      <w:pPr>
        <w:pBdr>
          <w:top w:val="nil"/>
          <w:left w:val="nil"/>
          <w:bottom w:val="nil"/>
          <w:right w:val="nil"/>
          <w:between w:val="nil"/>
        </w:pBdr>
        <w:spacing w:line="276" w:lineRule="auto"/>
        <w:ind w:left="360"/>
        <w:jc w:val="both"/>
        <w:rPr>
          <w:rFonts w:ascii="Garamond" w:eastAsia="Garamond" w:hAnsi="Garamond" w:cs="Garamond"/>
          <w:b/>
          <w:color w:val="000000"/>
          <w:sz w:val="22"/>
          <w:szCs w:val="22"/>
        </w:rPr>
      </w:pPr>
      <w:r>
        <w:rPr>
          <w:rFonts w:ascii="Garamond" w:eastAsia="Garamond" w:hAnsi="Garamond" w:cs="Garamond"/>
          <w:b/>
          <w:color w:val="000000"/>
          <w:sz w:val="22"/>
          <w:szCs w:val="22"/>
        </w:rPr>
        <w:t>Examples:</w:t>
      </w:r>
    </w:p>
    <w:p w14:paraId="00000075" w14:textId="77777777" w:rsidR="00414847" w:rsidRDefault="00D75493">
      <w:pPr>
        <w:pBdr>
          <w:top w:val="nil"/>
          <w:left w:val="nil"/>
          <w:bottom w:val="nil"/>
          <w:right w:val="nil"/>
          <w:between w:val="nil"/>
        </w:pBdr>
        <w:spacing w:line="276" w:lineRule="auto"/>
        <w:ind w:left="360"/>
        <w:jc w:val="both"/>
        <w:rPr>
          <w:rFonts w:ascii="Garamond" w:eastAsia="Garamond" w:hAnsi="Garamond" w:cs="Garamond"/>
          <w:sz w:val="22"/>
          <w:szCs w:val="22"/>
        </w:rPr>
      </w:pPr>
      <w:r>
        <w:rPr>
          <w:rFonts w:ascii="Garamond" w:eastAsia="Garamond" w:hAnsi="Garamond" w:cs="Garamond"/>
          <w:color w:val="000000"/>
          <w:sz w:val="22"/>
          <w:szCs w:val="22"/>
        </w:rPr>
        <w:t xml:space="preserve">Judgment (in English): </w:t>
      </w:r>
      <w:hyperlink r:id="rId28">
        <w:r>
          <w:rPr>
            <w:rFonts w:ascii="Garamond" w:eastAsia="Garamond" w:hAnsi="Garamond" w:cs="Garamond"/>
            <w:color w:val="1155CC"/>
            <w:sz w:val="22"/>
            <w:szCs w:val="22"/>
            <w:u w:val="single"/>
          </w:rPr>
          <w:t>https://www.supremecourt.uk/cases/uksc-2019-0106.html</w:t>
        </w:r>
      </w:hyperlink>
    </w:p>
    <w:p w14:paraId="00000076" w14:textId="77777777" w:rsidR="00414847" w:rsidRDefault="00D75493">
      <w:pPr>
        <w:pBdr>
          <w:top w:val="nil"/>
          <w:left w:val="nil"/>
          <w:bottom w:val="nil"/>
          <w:right w:val="nil"/>
          <w:between w:val="nil"/>
        </w:pBdr>
        <w:spacing w:line="276" w:lineRule="auto"/>
        <w:ind w:left="360"/>
        <w:jc w:val="both"/>
        <w:rPr>
          <w:rFonts w:ascii="Garamond" w:eastAsia="Garamond" w:hAnsi="Garamond" w:cs="Garamond"/>
          <w:sz w:val="22"/>
          <w:szCs w:val="22"/>
        </w:rPr>
      </w:pPr>
      <w:r>
        <w:rPr>
          <w:rFonts w:ascii="Garamond" w:eastAsia="Garamond" w:hAnsi="Garamond" w:cs="Garamond"/>
          <w:sz w:val="22"/>
          <w:szCs w:val="22"/>
        </w:rPr>
        <w:t xml:space="preserve">Press release: </w:t>
      </w:r>
      <w:hyperlink r:id="rId29">
        <w:r>
          <w:rPr>
            <w:rFonts w:ascii="Garamond" w:eastAsia="Garamond" w:hAnsi="Garamond" w:cs="Garamond"/>
            <w:color w:val="1155CC"/>
            <w:sz w:val="22"/>
            <w:szCs w:val="22"/>
            <w:u w:val="single"/>
          </w:rPr>
          <w:t>https://www.supremecourt.uk/press-summary/uksc-2019-0106.html</w:t>
        </w:r>
      </w:hyperlink>
    </w:p>
    <w:p w14:paraId="00000077" w14:textId="77777777" w:rsidR="00414847" w:rsidRDefault="00414847">
      <w:pPr>
        <w:pBdr>
          <w:top w:val="nil"/>
          <w:left w:val="nil"/>
          <w:bottom w:val="nil"/>
          <w:right w:val="nil"/>
          <w:between w:val="nil"/>
        </w:pBdr>
        <w:spacing w:line="276" w:lineRule="auto"/>
        <w:ind w:left="360"/>
        <w:jc w:val="both"/>
        <w:rPr>
          <w:rFonts w:ascii="Garamond" w:eastAsia="Garamond" w:hAnsi="Garamond" w:cs="Garamond"/>
          <w:sz w:val="22"/>
          <w:szCs w:val="22"/>
        </w:rPr>
      </w:pPr>
    </w:p>
    <w:p w14:paraId="00000078" w14:textId="77777777" w:rsidR="00414847" w:rsidRDefault="00D75493">
      <w:pPr>
        <w:numPr>
          <w:ilvl w:val="0"/>
          <w:numId w:val="9"/>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Reports, Analysis, and News Articles</w:t>
      </w:r>
      <w:r>
        <w:rPr>
          <w:rFonts w:ascii="Garamond" w:eastAsia="Garamond" w:hAnsi="Garamond" w:cs="Garamond"/>
          <w:color w:val="000000"/>
          <w:sz w:val="22"/>
          <w:szCs w:val="22"/>
        </w:rPr>
        <w:t>:</w:t>
      </w:r>
    </w:p>
    <w:p w14:paraId="00000079" w14:textId="77777777" w:rsidR="00414847" w:rsidRDefault="00D75493">
      <w:pPr>
        <w:numPr>
          <w:ilvl w:val="1"/>
          <w:numId w:val="9"/>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Raj </w:t>
      </w:r>
      <w:proofErr w:type="spellStart"/>
      <w:r>
        <w:rPr>
          <w:rFonts w:ascii="Garamond" w:eastAsia="Garamond" w:hAnsi="Garamond" w:cs="Garamond"/>
          <w:color w:val="000000"/>
          <w:sz w:val="22"/>
          <w:szCs w:val="22"/>
        </w:rPr>
        <w:t>C</w:t>
      </w:r>
      <w:r>
        <w:rPr>
          <w:rFonts w:ascii="Garamond" w:eastAsia="Garamond" w:hAnsi="Garamond" w:cs="Garamond"/>
          <w:sz w:val="22"/>
          <w:szCs w:val="22"/>
        </w:rPr>
        <w:t>hada</w:t>
      </w:r>
      <w:proofErr w:type="spellEnd"/>
      <w:r>
        <w:rPr>
          <w:rFonts w:ascii="Garamond" w:eastAsia="Garamond" w:hAnsi="Garamond" w:cs="Garamond"/>
          <w:sz w:val="22"/>
          <w:szCs w:val="22"/>
        </w:rPr>
        <w:t xml:space="preserve">, </w:t>
      </w:r>
      <w:hyperlink r:id="rId30">
        <w:r>
          <w:rPr>
            <w:rFonts w:ascii="Garamond" w:eastAsia="Garamond" w:hAnsi="Garamond" w:cs="Garamond"/>
            <w:color w:val="1155CC"/>
            <w:sz w:val="22"/>
            <w:szCs w:val="22"/>
            <w:u w:val="single"/>
          </w:rPr>
          <w:t>DIRECTOR OF PUBLIC PROSECUTIONS V ZIEGLER AND OTHERS [2021] – AN OVERVIEW</w:t>
        </w:r>
      </w:hyperlink>
      <w:r>
        <w:rPr>
          <w:rFonts w:ascii="Garamond" w:eastAsia="Garamond" w:hAnsi="Garamond" w:cs="Garamond"/>
          <w:sz w:val="22"/>
          <w:szCs w:val="22"/>
        </w:rPr>
        <w:t>. Hodge Jones &amp; Allen, June 25, 2021</w:t>
      </w:r>
    </w:p>
    <w:p w14:paraId="0000007A" w14:textId="77777777" w:rsidR="00414847" w:rsidRDefault="00D75493">
      <w:pPr>
        <w:numPr>
          <w:ilvl w:val="1"/>
          <w:numId w:val="9"/>
        </w:numPr>
        <w:pBdr>
          <w:top w:val="nil"/>
          <w:left w:val="nil"/>
          <w:bottom w:val="nil"/>
          <w:right w:val="nil"/>
          <w:between w:val="nil"/>
        </w:pBdr>
        <w:spacing w:line="276" w:lineRule="auto"/>
        <w:jc w:val="both"/>
        <w:rPr>
          <w:rFonts w:ascii="Garamond" w:eastAsia="Garamond" w:hAnsi="Garamond" w:cs="Garamond"/>
          <w:color w:val="000000"/>
          <w:sz w:val="22"/>
          <w:szCs w:val="22"/>
        </w:rPr>
      </w:pPr>
      <w:r>
        <w:rPr>
          <w:rFonts w:ascii="Garamond" w:eastAsia="Garamond" w:hAnsi="Garamond" w:cs="Garamond"/>
          <w:sz w:val="22"/>
          <w:szCs w:val="22"/>
        </w:rPr>
        <w:t xml:space="preserve">Chris Brain, </w:t>
      </w:r>
      <w:hyperlink r:id="rId31">
        <w:r>
          <w:rPr>
            <w:rFonts w:ascii="Garamond" w:eastAsia="Garamond" w:hAnsi="Garamond" w:cs="Garamond"/>
            <w:color w:val="1155CC"/>
            <w:sz w:val="22"/>
            <w:szCs w:val="22"/>
            <w:u w:val="single"/>
          </w:rPr>
          <w:t>England and Wales: Supreme Court Clarifies Relationship Between Criminal Law and European Convention</w:t>
        </w:r>
      </w:hyperlink>
      <w:r>
        <w:rPr>
          <w:rFonts w:ascii="Garamond" w:eastAsia="Garamond" w:hAnsi="Garamond" w:cs="Garamond"/>
          <w:sz w:val="22"/>
          <w:szCs w:val="22"/>
        </w:rPr>
        <w:t>, Library of Congress US, 2021</w:t>
      </w:r>
    </w:p>
    <w:p w14:paraId="0000007B" w14:textId="77777777" w:rsidR="00414847" w:rsidRDefault="00D75493">
      <w:pPr>
        <w:numPr>
          <w:ilvl w:val="1"/>
          <w:numId w:val="9"/>
        </w:numPr>
        <w:pBdr>
          <w:top w:val="nil"/>
          <w:left w:val="nil"/>
          <w:bottom w:val="nil"/>
          <w:right w:val="nil"/>
          <w:between w:val="nil"/>
        </w:pBdr>
        <w:spacing w:line="276" w:lineRule="auto"/>
        <w:jc w:val="both"/>
        <w:rPr>
          <w:rFonts w:ascii="Garamond" w:eastAsia="Garamond" w:hAnsi="Garamond" w:cs="Garamond"/>
          <w:sz w:val="22"/>
          <w:szCs w:val="22"/>
        </w:rPr>
      </w:pPr>
      <w:r>
        <w:rPr>
          <w:rFonts w:ascii="Garamond" w:eastAsia="Garamond" w:hAnsi="Garamond" w:cs="Garamond"/>
          <w:sz w:val="22"/>
          <w:szCs w:val="22"/>
        </w:rPr>
        <w:t>Peter Cruick</w:t>
      </w:r>
      <w:r>
        <w:rPr>
          <w:rFonts w:ascii="Garamond" w:eastAsia="Garamond" w:hAnsi="Garamond" w:cs="Garamond"/>
          <w:sz w:val="22"/>
          <w:szCs w:val="22"/>
        </w:rPr>
        <w:t xml:space="preserve">shank, </w:t>
      </w:r>
      <w:hyperlink r:id="rId32">
        <w:r>
          <w:rPr>
            <w:rFonts w:ascii="Garamond" w:eastAsia="Garamond" w:hAnsi="Garamond" w:cs="Garamond"/>
            <w:color w:val="1155CC"/>
            <w:sz w:val="22"/>
            <w:szCs w:val="22"/>
            <w:u w:val="single"/>
          </w:rPr>
          <w:t xml:space="preserve">What about the merits? – Ziegler and </w:t>
        </w:r>
        <w:proofErr w:type="spellStart"/>
        <w:r>
          <w:rPr>
            <w:rFonts w:ascii="Garamond" w:eastAsia="Garamond" w:hAnsi="Garamond" w:cs="Garamond"/>
            <w:color w:val="1155CC"/>
            <w:sz w:val="22"/>
            <w:szCs w:val="22"/>
            <w:u w:val="single"/>
          </w:rPr>
          <w:t>defences</w:t>
        </w:r>
        <w:proofErr w:type="spellEnd"/>
        <w:r>
          <w:rPr>
            <w:rFonts w:ascii="Garamond" w:eastAsia="Garamond" w:hAnsi="Garamond" w:cs="Garamond"/>
            <w:color w:val="1155CC"/>
            <w:sz w:val="22"/>
            <w:szCs w:val="22"/>
            <w:u w:val="single"/>
          </w:rPr>
          <w:t xml:space="preserve"> to protest </w:t>
        </w:r>
        <w:proofErr w:type="spellStart"/>
        <w:r>
          <w:rPr>
            <w:rFonts w:ascii="Garamond" w:eastAsia="Garamond" w:hAnsi="Garamond" w:cs="Garamond"/>
            <w:color w:val="1155CC"/>
            <w:sz w:val="22"/>
            <w:szCs w:val="22"/>
            <w:u w:val="single"/>
          </w:rPr>
          <w:t>action</w:t>
        </w:r>
      </w:hyperlink>
      <w:r>
        <w:rPr>
          <w:rFonts w:ascii="Garamond" w:eastAsia="Garamond" w:hAnsi="Garamond" w:cs="Garamond"/>
          <w:sz w:val="22"/>
          <w:szCs w:val="22"/>
        </w:rPr>
        <w:t>,Garden</w:t>
      </w:r>
      <w:proofErr w:type="spellEnd"/>
      <w:r>
        <w:rPr>
          <w:rFonts w:ascii="Garamond" w:eastAsia="Garamond" w:hAnsi="Garamond" w:cs="Garamond"/>
          <w:sz w:val="22"/>
          <w:szCs w:val="22"/>
        </w:rPr>
        <w:t xml:space="preserve"> Court North Chambers. October 11, 2021</w:t>
      </w:r>
    </w:p>
    <w:p w14:paraId="0000007C" w14:textId="77777777" w:rsidR="00414847" w:rsidRDefault="00D75493">
      <w:pPr>
        <w:numPr>
          <w:ilvl w:val="1"/>
          <w:numId w:val="9"/>
        </w:numPr>
        <w:pBdr>
          <w:top w:val="nil"/>
          <w:left w:val="nil"/>
          <w:bottom w:val="nil"/>
          <w:right w:val="nil"/>
          <w:between w:val="nil"/>
        </w:pBdr>
        <w:spacing w:line="276" w:lineRule="auto"/>
        <w:jc w:val="both"/>
        <w:rPr>
          <w:rFonts w:ascii="Garamond" w:eastAsia="Garamond" w:hAnsi="Garamond" w:cs="Garamond"/>
          <w:sz w:val="22"/>
          <w:szCs w:val="22"/>
        </w:rPr>
      </w:pPr>
      <w:r>
        <w:rPr>
          <w:rFonts w:ascii="Garamond" w:eastAsia="Garamond" w:hAnsi="Garamond" w:cs="Garamond"/>
          <w:sz w:val="22"/>
          <w:szCs w:val="22"/>
        </w:rPr>
        <w:t xml:space="preserve">Max </w:t>
      </w:r>
      <w:proofErr w:type="spellStart"/>
      <w:r>
        <w:rPr>
          <w:rFonts w:ascii="Garamond" w:eastAsia="Garamond" w:hAnsi="Garamond" w:cs="Garamond"/>
          <w:sz w:val="22"/>
          <w:szCs w:val="22"/>
        </w:rPr>
        <w:t>McGiffen</w:t>
      </w:r>
      <w:proofErr w:type="spellEnd"/>
      <w:r>
        <w:rPr>
          <w:rFonts w:ascii="Garamond" w:eastAsia="Garamond" w:hAnsi="Garamond" w:cs="Garamond"/>
          <w:sz w:val="22"/>
          <w:szCs w:val="22"/>
        </w:rPr>
        <w:t xml:space="preserve">, </w:t>
      </w:r>
      <w:hyperlink r:id="rId33">
        <w:r>
          <w:rPr>
            <w:rFonts w:ascii="Garamond" w:eastAsia="Garamond" w:hAnsi="Garamond" w:cs="Garamond"/>
            <w:color w:val="1155CC"/>
            <w:sz w:val="22"/>
            <w:szCs w:val="22"/>
            <w:u w:val="single"/>
          </w:rPr>
          <w:t>Kieron Spoors: A Case Note and Analysis – Director of Public Prosecutions v Ziegler and others [2021] UKSC</w:t>
        </w:r>
        <w:r>
          <w:rPr>
            <w:rFonts w:ascii="Garamond" w:eastAsia="Garamond" w:hAnsi="Garamond" w:cs="Garamond"/>
            <w:color w:val="1155CC"/>
            <w:sz w:val="22"/>
            <w:szCs w:val="22"/>
            <w:u w:val="single"/>
          </w:rPr>
          <w:t xml:space="preserve"> 23,</w:t>
        </w:r>
      </w:hyperlink>
      <w:r>
        <w:rPr>
          <w:rFonts w:ascii="Garamond" w:eastAsia="Garamond" w:hAnsi="Garamond" w:cs="Garamond"/>
          <w:sz w:val="22"/>
          <w:szCs w:val="22"/>
        </w:rPr>
        <w:t xml:space="preserve"> UK Public Law Blog. January 28, 2022. </w:t>
      </w:r>
    </w:p>
    <w:p w14:paraId="0000007D" w14:textId="77777777" w:rsidR="00414847" w:rsidRDefault="00414847">
      <w:pPr>
        <w:pBdr>
          <w:top w:val="nil"/>
          <w:left w:val="nil"/>
          <w:bottom w:val="nil"/>
          <w:right w:val="nil"/>
          <w:between w:val="nil"/>
        </w:pBdr>
        <w:spacing w:line="276" w:lineRule="auto"/>
        <w:ind w:left="1080"/>
        <w:jc w:val="both"/>
        <w:rPr>
          <w:rFonts w:ascii="Garamond" w:eastAsia="Garamond" w:hAnsi="Garamond" w:cs="Garamond"/>
          <w:sz w:val="22"/>
          <w:szCs w:val="22"/>
        </w:rPr>
      </w:pPr>
    </w:p>
    <w:p w14:paraId="0000007E" w14:textId="77777777" w:rsidR="00414847" w:rsidRDefault="00414847">
      <w:pPr>
        <w:pBdr>
          <w:top w:val="nil"/>
          <w:left w:val="nil"/>
          <w:bottom w:val="nil"/>
          <w:right w:val="nil"/>
          <w:between w:val="nil"/>
        </w:pBdr>
        <w:spacing w:line="276" w:lineRule="auto"/>
        <w:jc w:val="both"/>
        <w:rPr>
          <w:rFonts w:ascii="Garamond" w:eastAsia="Garamond" w:hAnsi="Garamond" w:cs="Garamond"/>
          <w:sz w:val="22"/>
          <w:szCs w:val="22"/>
        </w:rPr>
      </w:pPr>
    </w:p>
    <w:p w14:paraId="0000007F" w14:textId="77777777" w:rsidR="00414847" w:rsidRDefault="00414847">
      <w:pPr>
        <w:pBdr>
          <w:top w:val="nil"/>
          <w:left w:val="nil"/>
          <w:bottom w:val="nil"/>
          <w:right w:val="nil"/>
          <w:between w:val="nil"/>
        </w:pBdr>
        <w:spacing w:line="276" w:lineRule="auto"/>
        <w:ind w:left="360"/>
        <w:jc w:val="both"/>
        <w:rPr>
          <w:rFonts w:ascii="Garamond" w:eastAsia="Garamond" w:hAnsi="Garamond" w:cs="Garamond"/>
          <w:color w:val="000000"/>
          <w:sz w:val="22"/>
          <w:szCs w:val="22"/>
        </w:rPr>
      </w:pPr>
    </w:p>
    <w:p w14:paraId="00000080" w14:textId="77777777" w:rsidR="00414847" w:rsidRDefault="00414847">
      <w:pPr>
        <w:rPr>
          <w:sz w:val="44"/>
          <w:szCs w:val="44"/>
        </w:rPr>
      </w:pPr>
    </w:p>
    <w:sectPr w:rsidR="00414847">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7743"/>
    <w:multiLevelType w:val="multilevel"/>
    <w:tmpl w:val="1DB287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81F5701"/>
    <w:multiLevelType w:val="multilevel"/>
    <w:tmpl w:val="0D92F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8A49F0"/>
    <w:multiLevelType w:val="multilevel"/>
    <w:tmpl w:val="892A77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B653753"/>
    <w:multiLevelType w:val="multilevel"/>
    <w:tmpl w:val="5860E95A"/>
    <w:lvl w:ilvl="0">
      <w:start w:val="28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902BB5"/>
    <w:multiLevelType w:val="multilevel"/>
    <w:tmpl w:val="E7EE4C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5F117C4"/>
    <w:multiLevelType w:val="multilevel"/>
    <w:tmpl w:val="BF1C1E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C012486"/>
    <w:multiLevelType w:val="multilevel"/>
    <w:tmpl w:val="CDF81B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DDD103A"/>
    <w:multiLevelType w:val="multilevel"/>
    <w:tmpl w:val="453C76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14253E0"/>
    <w:multiLevelType w:val="multilevel"/>
    <w:tmpl w:val="1662E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3"/>
  </w:num>
  <w:num w:numId="3">
    <w:abstractNumId w:val="6"/>
  </w:num>
  <w:num w:numId="4">
    <w:abstractNumId w:val="1"/>
  </w:num>
  <w:num w:numId="5">
    <w:abstractNumId w:val="5"/>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47"/>
    <w:rsid w:val="00414847"/>
    <w:rsid w:val="00D7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0A810A9-FC1C-684C-A91F-EB8899C8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B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B2804"/>
    <w:pPr>
      <w:ind w:left="720"/>
      <w:contextualSpacing/>
    </w:pPr>
  </w:style>
  <w:style w:type="character" w:styleId="Hyperlink">
    <w:name w:val="Hyperlink"/>
    <w:basedOn w:val="DefaultParagraphFont"/>
    <w:uiPriority w:val="99"/>
    <w:unhideWhenUsed/>
    <w:rsid w:val="00BB2804"/>
    <w:rPr>
      <w:color w:val="0563C1" w:themeColor="hyperlink"/>
      <w:u w:val="single"/>
    </w:rPr>
  </w:style>
  <w:style w:type="character" w:styleId="UnresolvedMention">
    <w:name w:val="Unresolved Mention"/>
    <w:basedOn w:val="DefaultParagraphFont"/>
    <w:uiPriority w:val="99"/>
    <w:semiHidden/>
    <w:unhideWhenUsed/>
    <w:rsid w:val="009223B6"/>
    <w:rPr>
      <w:color w:val="605E5C"/>
      <w:shd w:val="clear" w:color="auto" w:fill="E1DFDD"/>
    </w:rPr>
  </w:style>
  <w:style w:type="paragraph" w:styleId="NormalWeb">
    <w:name w:val="Normal (Web)"/>
    <w:basedOn w:val="Normal"/>
    <w:uiPriority w:val="99"/>
    <w:unhideWhenUsed/>
    <w:rsid w:val="00CD2DD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D7FAA"/>
    <w:rPr>
      <w:color w:val="954F72" w:themeColor="followedHyperlink"/>
      <w:u w:val="single"/>
    </w:rPr>
  </w:style>
  <w:style w:type="character" w:styleId="Emphasis">
    <w:name w:val="Emphasis"/>
    <w:basedOn w:val="DefaultParagraphFont"/>
    <w:uiPriority w:val="20"/>
    <w:qFormat/>
    <w:rsid w:val="00AB29C4"/>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hudoc.echr.coe.int/app/conversion/pdf/?library=ECHR&amp;id=001-114769&amp;filename=001-114769.pdf" TargetMode="External"/><Relationship Id="rId18" Type="http://schemas.openxmlformats.org/officeDocument/2006/relationships/hyperlink" Target="https://www.legislation.gov.uk/ukpga/1980/66/section/137" TargetMode="External"/><Relationship Id="rId26" Type="http://schemas.openxmlformats.org/officeDocument/2006/relationships/hyperlink" Target="https://www.supremecourt.uk/cases/uksc-2019-0162.html" TargetMode="External"/><Relationship Id="rId3" Type="http://schemas.openxmlformats.org/officeDocument/2006/relationships/styles" Target="styles.xml"/><Relationship Id="rId21" Type="http://schemas.openxmlformats.org/officeDocument/2006/relationships/hyperlink" Target="https://www.legislation.gov.uk/ukpga/1980/43/contents" TargetMode="External"/><Relationship Id="rId34" Type="http://schemas.openxmlformats.org/officeDocument/2006/relationships/fontTable" Target="fontTable.xml"/><Relationship Id="rId7" Type="http://schemas.openxmlformats.org/officeDocument/2006/relationships/hyperlink" Target="https://www.echr.coe.int/Documents/Convention_ENG.pdf" TargetMode="External"/><Relationship Id="rId12" Type="http://schemas.openxmlformats.org/officeDocument/2006/relationships/hyperlink" Target="https://globalfreedomofexpression.columbia.edu/cases/hashman-v-the-united-kingdom/" TargetMode="External"/><Relationship Id="rId17" Type="http://schemas.openxmlformats.org/officeDocument/2006/relationships/hyperlink" Target="https://www.legislation.gov.uk/ukpga/1998/42/contents" TargetMode="External"/><Relationship Id="rId25" Type="http://schemas.openxmlformats.org/officeDocument/2006/relationships/hyperlink" Target="https://www.supremecourt.uk/cases/uksc-2019-0162.html" TargetMode="External"/><Relationship Id="rId33" Type="http://schemas.openxmlformats.org/officeDocument/2006/relationships/hyperlink" Target="https://ukpubliclawblog.com/2022/01/18/kieron-spoors-a-case-note-and-analysis-director-of-public-prosecutions-v-ziegler-and-others-2021-uksc-23/" TargetMode="External"/><Relationship Id="rId2" Type="http://schemas.openxmlformats.org/officeDocument/2006/relationships/numbering" Target="numbering.xml"/><Relationship Id="rId16" Type="http://schemas.openxmlformats.org/officeDocument/2006/relationships/hyperlink" Target="https://www.legislation.gov.uk/ukpga/1998/42/contents" TargetMode="External"/><Relationship Id="rId20" Type="http://schemas.openxmlformats.org/officeDocument/2006/relationships/hyperlink" Target="https://www.legislation.gov.uk/ukpga/1980/66/section/137" TargetMode="External"/><Relationship Id="rId29" Type="http://schemas.openxmlformats.org/officeDocument/2006/relationships/hyperlink" Target="https://www.supremecourt.uk/press-summary/uksc-2019-0106.html" TargetMode="External"/><Relationship Id="rId1" Type="http://schemas.openxmlformats.org/officeDocument/2006/relationships/customXml" Target="../customXml/item1.xml"/><Relationship Id="rId6" Type="http://schemas.openxmlformats.org/officeDocument/2006/relationships/hyperlink" Target="https://www.echr.coe.int/Documents/Convention_ENG.pdf" TargetMode="External"/><Relationship Id="rId11" Type="http://schemas.openxmlformats.org/officeDocument/2006/relationships/hyperlink" Target="https://globalfreedomofexpression.columbia.edu/cases/lashmankin-v-russia/" TargetMode="External"/><Relationship Id="rId24" Type="http://schemas.openxmlformats.org/officeDocument/2006/relationships/hyperlink" Target="https://www.supremecourt.uk/cases/uksc-2016-0144.html" TargetMode="External"/><Relationship Id="rId32" Type="http://schemas.openxmlformats.org/officeDocument/2006/relationships/hyperlink" Target="https://www.gcnchambers.co.uk/what-about-the-merits-ziegler-and-defences-to-protest-action/" TargetMode="External"/><Relationship Id="rId5" Type="http://schemas.openxmlformats.org/officeDocument/2006/relationships/webSettings" Target="webSettings.xml"/><Relationship Id="rId15" Type="http://schemas.openxmlformats.org/officeDocument/2006/relationships/hyperlink" Target="https://hudoc.echr.coe.int/rus" TargetMode="External"/><Relationship Id="rId23" Type="http://schemas.openxmlformats.org/officeDocument/2006/relationships/hyperlink" Target="https://www.judiciary.uk/wp-content/uploads/2018/02/lauri-love-v-usa.pdf" TargetMode="External"/><Relationship Id="rId28" Type="http://schemas.openxmlformats.org/officeDocument/2006/relationships/hyperlink" Target="https://www.supremecourt.uk/cases/uksc-2019-0106.html" TargetMode="External"/><Relationship Id="rId10" Type="http://schemas.openxmlformats.org/officeDocument/2006/relationships/hyperlink" Target="https://hudoc.echr.coe.int/rus?i=001-58240" TargetMode="External"/><Relationship Id="rId19" Type="http://schemas.openxmlformats.org/officeDocument/2006/relationships/hyperlink" Target="https://www.legislation.gov.uk/ukpga/1980/66/section/137" TargetMode="External"/><Relationship Id="rId31" Type="http://schemas.openxmlformats.org/officeDocument/2006/relationships/hyperlink" Target="https://www.loc.gov/item/global-legal-monitor/2021-07-14/england-and-wales-supreme-court-clarifies-relationship-between-criminal-law-and-european-convention-rights-to-freedom-of-expression-and-peaceful-assembly/" TargetMode="External"/><Relationship Id="rId4" Type="http://schemas.openxmlformats.org/officeDocument/2006/relationships/settings" Target="settings.xml"/><Relationship Id="rId9" Type="http://schemas.openxmlformats.org/officeDocument/2006/relationships/hyperlink" Target="https://globalfreedomofexpression.columbia.edu/cases/kudrevicius-others-v-lithuania/" TargetMode="External"/><Relationship Id="rId14" Type="http://schemas.openxmlformats.org/officeDocument/2006/relationships/hyperlink" Target="https://hudoc.echr.coe.int/eng" TargetMode="External"/><Relationship Id="rId22" Type="http://schemas.openxmlformats.org/officeDocument/2006/relationships/hyperlink" Target="https://www.supremecourt.uk/cases/docs/uksc-2013-0022-press-summary.pdf" TargetMode="External"/><Relationship Id="rId27" Type="http://schemas.openxmlformats.org/officeDocument/2006/relationships/hyperlink" Target="https://www.supremecourt.uk/cases/uksc-2014-0231.html" TargetMode="External"/><Relationship Id="rId30" Type="http://schemas.openxmlformats.org/officeDocument/2006/relationships/hyperlink" Target="https://www.hja.net/expert-comments/opinion/falsely-accused-of-crime/director-of-public-prosecutions-v-ziegler-and-others-2021-an-overview/" TargetMode="External"/><Relationship Id="rId35" Type="http://schemas.openxmlformats.org/officeDocument/2006/relationships/theme" Target="theme/theme1.xml"/><Relationship Id="rId8" Type="http://schemas.openxmlformats.org/officeDocument/2006/relationships/hyperlink" Target="https://globalfreedomofexpression.columbia.edu/cases/primov-v-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9rKjH9lwL1KdHTMlqrrxvhS6BA==">AMUW2mVxCmqx77uGrO7Q8yeBTgcDJKnjK8NophLnx+xyBN/XFj0VDnEtspd8r7zVVdTe58wYa8bxUCEEkyZzlQ88638qhqu4OCN5m0vGiSF4Fqu/F33wwIM=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2603</Words>
  <Characters>14842</Characters>
  <Application>Microsoft Office Word</Application>
  <DocSecurity>0</DocSecurity>
  <Lines>123</Lines>
  <Paragraphs>34</Paragraphs>
  <ScaleCrop>false</ScaleCrop>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Sanskriti Sanghi</dc:creator>
  <cp:lastModifiedBy>hawley johnson</cp:lastModifiedBy>
  <cp:revision>2</cp:revision>
  <dcterms:created xsi:type="dcterms:W3CDTF">2022-02-10T22:24:00Z</dcterms:created>
  <dcterms:modified xsi:type="dcterms:W3CDTF">2022-02-10T22:24:00Z</dcterms:modified>
</cp:coreProperties>
</file>