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70A0" w:rsidRDefault="007D3A82">
      <w:pPr>
        <w:shd w:val="clear" w:color="auto" w:fill="8EAADB"/>
        <w:spacing w:line="276" w:lineRule="auto"/>
        <w:jc w:val="center"/>
        <w:rPr>
          <w:rFonts w:ascii="Garamond" w:eastAsia="Garamond" w:hAnsi="Garamond" w:cs="Garamond"/>
          <w:b/>
          <w:i/>
          <w:sz w:val="22"/>
          <w:szCs w:val="22"/>
        </w:rPr>
      </w:pPr>
      <w:r>
        <w:rPr>
          <w:rFonts w:ascii="Garamond" w:eastAsia="Garamond" w:hAnsi="Garamond" w:cs="Garamond"/>
          <w:b/>
          <w:i/>
          <w:color w:val="000000"/>
          <w:sz w:val="22"/>
          <w:szCs w:val="22"/>
        </w:rPr>
        <w:t xml:space="preserve">Case Title: </w:t>
      </w:r>
      <w:r>
        <w:rPr>
          <w:rFonts w:ascii="Garamond" w:eastAsia="Garamond" w:hAnsi="Garamond" w:cs="Garamond"/>
          <w:b/>
          <w:i/>
          <w:sz w:val="22"/>
          <w:szCs w:val="22"/>
        </w:rPr>
        <w:t xml:space="preserve"> </w:t>
      </w:r>
      <w:r>
        <w:rPr>
          <w:rFonts w:ascii="Garamond" w:eastAsia="Garamond" w:hAnsi="Garamond" w:cs="Garamond"/>
          <w:b/>
          <w:i/>
          <w:color w:val="0E101A"/>
          <w:sz w:val="22"/>
          <w:szCs w:val="22"/>
        </w:rPr>
        <w:t>Feldek v. Slovakia</w:t>
      </w:r>
    </w:p>
    <w:p w14:paraId="00000002" w14:textId="77777777" w:rsidR="006E70A0" w:rsidRDefault="007D3A82">
      <w:pPr>
        <w:shd w:val="clear" w:color="auto" w:fill="8EAADB"/>
        <w:spacing w:line="276" w:lineRule="auto"/>
        <w:jc w:val="center"/>
        <w:rPr>
          <w:rFonts w:ascii="Garamond" w:eastAsia="Garamond" w:hAnsi="Garamond" w:cs="Garamond"/>
          <w:b/>
          <w:color w:val="000000"/>
          <w:sz w:val="22"/>
          <w:szCs w:val="22"/>
        </w:rPr>
      </w:pPr>
      <w:r>
        <w:rPr>
          <w:rFonts w:ascii="Garamond" w:eastAsia="Garamond" w:hAnsi="Garamond" w:cs="Garamond"/>
          <w:b/>
          <w:color w:val="000000"/>
          <w:sz w:val="22"/>
          <w:szCs w:val="22"/>
        </w:rPr>
        <w:t xml:space="preserve">Case Analysis </w:t>
      </w:r>
    </w:p>
    <w:p w14:paraId="00000003" w14:textId="77777777" w:rsidR="006E70A0" w:rsidRDefault="006E70A0">
      <w:pPr>
        <w:spacing w:line="276" w:lineRule="auto"/>
        <w:jc w:val="center"/>
        <w:rPr>
          <w:rFonts w:ascii="Garamond" w:eastAsia="Garamond" w:hAnsi="Garamond" w:cs="Garamond"/>
          <w:sz w:val="22"/>
          <w:szCs w:val="22"/>
        </w:rPr>
      </w:pPr>
    </w:p>
    <w:p w14:paraId="00000004" w14:textId="77777777" w:rsidR="006E70A0" w:rsidRDefault="007D3A82">
      <w:pPr>
        <w:spacing w:line="276" w:lineRule="auto"/>
        <w:jc w:val="both"/>
        <w:rPr>
          <w:rFonts w:ascii="Garamond" w:eastAsia="Garamond" w:hAnsi="Garamond" w:cs="Garamond"/>
          <w:b/>
          <w:sz w:val="22"/>
          <w:szCs w:val="22"/>
        </w:rPr>
      </w:pPr>
      <w:r>
        <w:rPr>
          <w:rFonts w:ascii="Garamond" w:eastAsia="Garamond" w:hAnsi="Garamond" w:cs="Garamond"/>
          <w:b/>
          <w:i/>
          <w:sz w:val="22"/>
          <w:szCs w:val="22"/>
          <w:u w:val="single"/>
        </w:rPr>
        <w:t>Meta-Data</w:t>
      </w:r>
      <w:r>
        <w:rPr>
          <w:rFonts w:ascii="Garamond" w:eastAsia="Garamond" w:hAnsi="Garamond" w:cs="Garamond"/>
          <w:b/>
          <w:sz w:val="22"/>
          <w:szCs w:val="22"/>
        </w:rPr>
        <w:t xml:space="preserve">: </w:t>
      </w:r>
    </w:p>
    <w:p w14:paraId="00000005"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Case Number</w:t>
      </w:r>
      <w:r>
        <w:rPr>
          <w:rFonts w:ascii="Garamond" w:eastAsia="Garamond" w:hAnsi="Garamond" w:cs="Garamond"/>
          <w:color w:val="000000"/>
          <w:sz w:val="22"/>
          <w:szCs w:val="22"/>
        </w:rPr>
        <w:t>:</w:t>
      </w:r>
      <w:r>
        <w:rPr>
          <w:rFonts w:ascii="Garamond" w:eastAsia="Garamond" w:hAnsi="Garamond" w:cs="Garamond"/>
          <w:sz w:val="22"/>
          <w:szCs w:val="22"/>
        </w:rPr>
        <w:t xml:space="preserve"> </w:t>
      </w:r>
      <w:r>
        <w:rPr>
          <w:rFonts w:ascii="Garamond" w:eastAsia="Garamond" w:hAnsi="Garamond" w:cs="Garamond"/>
          <w:color w:val="000000"/>
          <w:sz w:val="22"/>
          <w:szCs w:val="22"/>
        </w:rPr>
        <w:t xml:space="preserve">Application no. </w:t>
      </w:r>
      <w:r>
        <w:rPr>
          <w:rFonts w:ascii="Garamond" w:eastAsia="Garamond" w:hAnsi="Garamond" w:cs="Garamond"/>
          <w:sz w:val="22"/>
          <w:szCs w:val="22"/>
        </w:rPr>
        <w:t>29032/95</w:t>
      </w:r>
    </w:p>
    <w:p w14:paraId="00000006"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Date of decision</w:t>
      </w:r>
      <w:r>
        <w:rPr>
          <w:rFonts w:ascii="Garamond" w:eastAsia="Garamond" w:hAnsi="Garamond" w:cs="Garamond"/>
          <w:color w:val="000000"/>
          <w:sz w:val="22"/>
          <w:szCs w:val="22"/>
        </w:rPr>
        <w:t xml:space="preserve">:  </w:t>
      </w:r>
      <w:r>
        <w:rPr>
          <w:rFonts w:ascii="Garamond" w:eastAsia="Garamond" w:hAnsi="Garamond" w:cs="Garamond"/>
          <w:sz w:val="22"/>
          <w:szCs w:val="22"/>
        </w:rPr>
        <w:t xml:space="preserve">July </w:t>
      </w:r>
      <w:r>
        <w:rPr>
          <w:rFonts w:ascii="Garamond" w:eastAsia="Garamond" w:hAnsi="Garamond" w:cs="Garamond"/>
          <w:color w:val="000000"/>
          <w:sz w:val="22"/>
          <w:szCs w:val="22"/>
        </w:rPr>
        <w:t>1</w:t>
      </w:r>
      <w:r>
        <w:rPr>
          <w:rFonts w:ascii="Garamond" w:eastAsia="Garamond" w:hAnsi="Garamond" w:cs="Garamond"/>
          <w:sz w:val="22"/>
          <w:szCs w:val="22"/>
        </w:rPr>
        <w:t>2</w:t>
      </w:r>
      <w:r>
        <w:rPr>
          <w:rFonts w:ascii="Garamond" w:eastAsia="Garamond" w:hAnsi="Garamond" w:cs="Garamond"/>
          <w:color w:val="000000"/>
          <w:sz w:val="22"/>
          <w:szCs w:val="22"/>
        </w:rPr>
        <w:t>, 20</w:t>
      </w:r>
      <w:r>
        <w:rPr>
          <w:rFonts w:ascii="Garamond" w:eastAsia="Garamond" w:hAnsi="Garamond" w:cs="Garamond"/>
          <w:sz w:val="22"/>
          <w:szCs w:val="22"/>
        </w:rPr>
        <w:t>01</w:t>
      </w:r>
      <w:r>
        <w:rPr>
          <w:rFonts w:ascii="Garamond" w:eastAsia="Garamond" w:hAnsi="Garamond" w:cs="Garamond"/>
          <w:color w:val="000000"/>
          <w:sz w:val="22"/>
          <w:szCs w:val="22"/>
        </w:rPr>
        <w:t xml:space="preserve"> </w:t>
      </w:r>
    </w:p>
    <w:p w14:paraId="00000007"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Featured case</w:t>
      </w:r>
      <w:r>
        <w:rPr>
          <w:rFonts w:ascii="Garamond" w:eastAsia="Garamond" w:hAnsi="Garamond" w:cs="Garamond"/>
          <w:color w:val="000000"/>
          <w:sz w:val="22"/>
          <w:szCs w:val="22"/>
        </w:rPr>
        <w:t>: N/A</w:t>
      </w:r>
    </w:p>
    <w:p w14:paraId="00000008"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Region</w:t>
      </w:r>
      <w:r>
        <w:rPr>
          <w:rFonts w:ascii="Garamond" w:eastAsia="Garamond" w:hAnsi="Garamond" w:cs="Garamond"/>
          <w:color w:val="000000"/>
          <w:sz w:val="22"/>
          <w:szCs w:val="22"/>
        </w:rPr>
        <w:t>:</w:t>
      </w:r>
      <w:r>
        <w:rPr>
          <w:rFonts w:ascii="Garamond" w:eastAsia="Garamond" w:hAnsi="Garamond" w:cs="Garamond"/>
          <w:sz w:val="22"/>
          <w:szCs w:val="22"/>
        </w:rPr>
        <w:t xml:space="preserve"> Central Europe and Asia </w:t>
      </w:r>
    </w:p>
    <w:p w14:paraId="00000009"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Country</w:t>
      </w:r>
      <w:r>
        <w:rPr>
          <w:rFonts w:ascii="Garamond" w:eastAsia="Garamond" w:hAnsi="Garamond" w:cs="Garamond"/>
          <w:color w:val="000000"/>
          <w:sz w:val="22"/>
          <w:szCs w:val="22"/>
        </w:rPr>
        <w:t xml:space="preserve">: </w:t>
      </w:r>
      <w:r>
        <w:rPr>
          <w:rFonts w:ascii="Garamond" w:eastAsia="Garamond" w:hAnsi="Garamond" w:cs="Garamond"/>
          <w:sz w:val="22"/>
          <w:szCs w:val="22"/>
        </w:rPr>
        <w:t xml:space="preserve"> Slovakia</w:t>
      </w:r>
    </w:p>
    <w:p w14:paraId="0000000A"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Type of expression</w:t>
      </w:r>
      <w:r>
        <w:rPr>
          <w:rFonts w:ascii="Garamond" w:eastAsia="Garamond" w:hAnsi="Garamond" w:cs="Garamond"/>
          <w:color w:val="000000"/>
          <w:sz w:val="22"/>
          <w:szCs w:val="22"/>
        </w:rPr>
        <w:t xml:space="preserve">: </w:t>
      </w:r>
      <w:r>
        <w:rPr>
          <w:rFonts w:ascii="Garamond" w:eastAsia="Garamond" w:hAnsi="Garamond" w:cs="Garamond"/>
          <w:sz w:val="22"/>
          <w:szCs w:val="22"/>
        </w:rPr>
        <w:t xml:space="preserve">Political Speech, </w:t>
      </w:r>
    </w:p>
    <w:p w14:paraId="0000000B"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Judicial Body</w:t>
      </w:r>
      <w:r>
        <w:rPr>
          <w:rFonts w:ascii="Garamond" w:eastAsia="Garamond" w:hAnsi="Garamond" w:cs="Garamond"/>
          <w:color w:val="000000"/>
          <w:sz w:val="22"/>
          <w:szCs w:val="22"/>
        </w:rPr>
        <w:t xml:space="preserve">: ECtHR, </w:t>
      </w:r>
      <w:r>
        <w:rPr>
          <w:rFonts w:ascii="Garamond" w:eastAsia="Garamond" w:hAnsi="Garamond" w:cs="Garamond"/>
          <w:sz w:val="22"/>
          <w:szCs w:val="22"/>
        </w:rPr>
        <w:t xml:space="preserve">Second Section </w:t>
      </w:r>
    </w:p>
    <w:p w14:paraId="0000000C"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Type of law</w:t>
      </w:r>
      <w:r>
        <w:rPr>
          <w:rFonts w:ascii="Garamond" w:eastAsia="Garamond" w:hAnsi="Garamond" w:cs="Garamond"/>
          <w:color w:val="000000"/>
          <w:sz w:val="22"/>
          <w:szCs w:val="22"/>
        </w:rPr>
        <w:t xml:space="preserve">: </w:t>
      </w:r>
      <w:r>
        <w:rPr>
          <w:rFonts w:ascii="Garamond" w:eastAsia="Garamond" w:hAnsi="Garamond" w:cs="Garamond"/>
          <w:sz w:val="22"/>
          <w:szCs w:val="22"/>
        </w:rPr>
        <w:t xml:space="preserve">Civil Law, Human Rights </w:t>
      </w:r>
    </w:p>
    <w:p w14:paraId="0000000D"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Main Themes</w:t>
      </w:r>
      <w:r>
        <w:rPr>
          <w:rFonts w:ascii="Garamond" w:eastAsia="Garamond" w:hAnsi="Garamond" w:cs="Garamond"/>
          <w:color w:val="000000"/>
          <w:sz w:val="22"/>
          <w:szCs w:val="22"/>
        </w:rPr>
        <w:t xml:space="preserve">: </w:t>
      </w:r>
      <w:r>
        <w:rPr>
          <w:rFonts w:ascii="Garamond" w:eastAsia="Garamond" w:hAnsi="Garamond" w:cs="Garamond"/>
          <w:sz w:val="22"/>
          <w:szCs w:val="22"/>
        </w:rPr>
        <w:t xml:space="preserve">Defamation/Reputation, Political Speech </w:t>
      </w:r>
    </w:p>
    <w:p w14:paraId="0000000E"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Outcome</w:t>
      </w:r>
      <w:r>
        <w:rPr>
          <w:rFonts w:ascii="Garamond" w:eastAsia="Garamond" w:hAnsi="Garamond" w:cs="Garamond"/>
          <w:color w:val="000000"/>
          <w:sz w:val="22"/>
          <w:szCs w:val="22"/>
        </w:rPr>
        <w:t>: Violation of Art. 10</w:t>
      </w:r>
    </w:p>
    <w:p w14:paraId="0000000F"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Status</w:t>
      </w:r>
      <w:r>
        <w:rPr>
          <w:rFonts w:ascii="Garamond" w:eastAsia="Garamond" w:hAnsi="Garamond" w:cs="Garamond"/>
          <w:color w:val="000000"/>
          <w:sz w:val="22"/>
          <w:szCs w:val="22"/>
        </w:rPr>
        <w:t>:  Closed</w:t>
      </w:r>
    </w:p>
    <w:p w14:paraId="00000010" w14:textId="77777777" w:rsidR="006E70A0" w:rsidRDefault="007D3A82">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Tags</w:t>
      </w:r>
      <w:r>
        <w:rPr>
          <w:rFonts w:ascii="Garamond" w:eastAsia="Garamond" w:hAnsi="Garamond" w:cs="Garamond"/>
          <w:color w:val="000000"/>
          <w:sz w:val="22"/>
          <w:szCs w:val="22"/>
        </w:rPr>
        <w:t xml:space="preserve">: </w:t>
      </w:r>
    </w:p>
    <w:p w14:paraId="00000011" w14:textId="77777777" w:rsidR="006E70A0" w:rsidRDefault="007D3A82">
      <w:pPr>
        <w:spacing w:line="276" w:lineRule="auto"/>
        <w:jc w:val="both"/>
        <w:rPr>
          <w:rFonts w:ascii="Garamond" w:eastAsia="Garamond" w:hAnsi="Garamond" w:cs="Garamond"/>
          <w:color w:val="000000"/>
          <w:sz w:val="22"/>
          <w:szCs w:val="22"/>
        </w:rPr>
      </w:pPr>
      <w:r>
        <w:rPr>
          <w:rFonts w:ascii="Garamond" w:eastAsia="Garamond" w:hAnsi="Garamond" w:cs="Garamond"/>
          <w:b/>
          <w:i/>
          <w:color w:val="000000"/>
          <w:sz w:val="22"/>
          <w:szCs w:val="22"/>
          <w:u w:val="single"/>
        </w:rPr>
        <w:t>Analysis:</w:t>
      </w:r>
    </w:p>
    <w:p w14:paraId="00000012" w14:textId="77777777" w:rsidR="006E70A0" w:rsidRDefault="007D3A82">
      <w:pPr>
        <w:numPr>
          <w:ilvl w:val="0"/>
          <w:numId w:val="2"/>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Summary and Outcome</w:t>
      </w:r>
      <w:r>
        <w:rPr>
          <w:rFonts w:ascii="Garamond" w:eastAsia="Garamond" w:hAnsi="Garamond" w:cs="Garamond"/>
          <w:color w:val="000000"/>
          <w:sz w:val="22"/>
          <w:szCs w:val="22"/>
        </w:rPr>
        <w:t>:</w:t>
      </w:r>
    </w:p>
    <w:p w14:paraId="00000013" w14:textId="77777777" w:rsidR="006E70A0" w:rsidRDefault="007D3A82">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highlight w:val="white"/>
        </w:rPr>
        <w:t>In a judgment of 12 July 2001, the Secon Section of the European Court of Human Rights decided, by five votes to two, that the Slovak Republic Supreme Court´s conviction of a publicist for a statement referring to the fascist past of the Slovak Minister of</w:t>
      </w:r>
      <w:r>
        <w:rPr>
          <w:rFonts w:ascii="Garamond" w:eastAsia="Garamond" w:hAnsi="Garamond" w:cs="Garamond"/>
          <w:color w:val="0E101A"/>
          <w:sz w:val="22"/>
          <w:szCs w:val="22"/>
          <w:highlight w:val="white"/>
        </w:rPr>
        <w:t xml:space="preserve"> Culture and Education, was a violation of Article 10 of the ECHR. </w:t>
      </w:r>
      <w:r>
        <w:rPr>
          <w:rFonts w:ascii="Garamond" w:eastAsia="Garamond" w:hAnsi="Garamond" w:cs="Garamond"/>
          <w:color w:val="0E101A"/>
          <w:sz w:val="22"/>
          <w:szCs w:val="22"/>
        </w:rPr>
        <w:t>The Court concluded that the Slovak Court had not convincingly established any pressing social need for protecting the personal right of a public figure above the applicant's right to freed</w:t>
      </w:r>
      <w:r>
        <w:rPr>
          <w:rFonts w:ascii="Garamond" w:eastAsia="Garamond" w:hAnsi="Garamond" w:cs="Garamond"/>
          <w:color w:val="0E101A"/>
          <w:sz w:val="22"/>
          <w:szCs w:val="22"/>
        </w:rPr>
        <w:t xml:space="preserve">om of expression and the general interest of promoting this freedom when issues of public interest are concerned. </w:t>
      </w:r>
    </w:p>
    <w:p w14:paraId="00000014" w14:textId="77777777" w:rsidR="006E70A0" w:rsidRDefault="006E70A0">
      <w:pPr>
        <w:spacing w:line="276" w:lineRule="auto"/>
        <w:jc w:val="both"/>
        <w:rPr>
          <w:rFonts w:ascii="Garamond" w:eastAsia="Garamond" w:hAnsi="Garamond" w:cs="Garamond"/>
          <w:color w:val="0E101A"/>
          <w:sz w:val="22"/>
          <w:szCs w:val="22"/>
        </w:rPr>
      </w:pPr>
    </w:p>
    <w:p w14:paraId="00000015" w14:textId="77777777" w:rsidR="006E70A0" w:rsidRDefault="007D3A82">
      <w:pPr>
        <w:spacing w:line="276" w:lineRule="auto"/>
        <w:jc w:val="both"/>
        <w:rPr>
          <w:rFonts w:ascii="Garamond" w:eastAsia="Garamond" w:hAnsi="Garamond" w:cs="Garamond"/>
          <w:b/>
          <w:color w:val="000000"/>
          <w:sz w:val="22"/>
          <w:szCs w:val="22"/>
        </w:rPr>
      </w:pPr>
      <w:r>
        <w:rPr>
          <w:rFonts w:ascii="Garamond" w:eastAsia="Garamond" w:hAnsi="Garamond" w:cs="Garamond"/>
          <w:b/>
          <w:color w:val="000000"/>
          <w:sz w:val="22"/>
          <w:szCs w:val="22"/>
        </w:rPr>
        <w:t>Facts:</w:t>
      </w:r>
    </w:p>
    <w:p w14:paraId="00000016" w14:textId="77777777" w:rsidR="006E70A0" w:rsidRDefault="007D3A82">
      <w:p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 xml:space="preserve">The applicant, Mr. Lubomír Feldek, was a Slovakian poet, writer, and publicist, who later acquired Chezch nationality. In July 1992, </w:t>
      </w:r>
      <w:r>
        <w:rPr>
          <w:rFonts w:ascii="Garamond" w:eastAsia="Garamond" w:hAnsi="Garamond" w:cs="Garamond"/>
          <w:sz w:val="22"/>
          <w:szCs w:val="22"/>
        </w:rPr>
        <w:t>several Slovakian newspapers published a statement, which the applicant had distributed to the Public Information Service, entitled "For a better picture of Slovakia-without a fascist past". In the publication, Mr. Feldek expressed his concern about Drusan</w:t>
      </w:r>
      <w:r>
        <w:rPr>
          <w:rFonts w:ascii="Garamond" w:eastAsia="Garamond" w:hAnsi="Garamond" w:cs="Garamond"/>
          <w:sz w:val="22"/>
          <w:szCs w:val="22"/>
        </w:rPr>
        <w:t xml:space="preserve"> Slobodnik's fascist past, who at the time, was Minister for Culture and Education of the Slovak Republic. The statement was published shortly after the appointment of a new Government, following the parliamentary elections, and after adopting the declarat</w:t>
      </w:r>
      <w:r>
        <w:rPr>
          <w:rFonts w:ascii="Garamond" w:eastAsia="Garamond" w:hAnsi="Garamond" w:cs="Garamond"/>
          <w:sz w:val="22"/>
          <w:szCs w:val="22"/>
        </w:rPr>
        <w:t xml:space="preserve">ion of Slovakia's sovereignty. A month </w:t>
      </w:r>
      <w:proofErr w:type="gramStart"/>
      <w:r>
        <w:rPr>
          <w:rFonts w:ascii="Garamond" w:eastAsia="Garamond" w:hAnsi="Garamond" w:cs="Garamond"/>
          <w:sz w:val="22"/>
          <w:szCs w:val="22"/>
        </w:rPr>
        <w:t>later,  in</w:t>
      </w:r>
      <w:proofErr w:type="gramEnd"/>
      <w:r>
        <w:rPr>
          <w:rFonts w:ascii="Garamond" w:eastAsia="Garamond" w:hAnsi="Garamond" w:cs="Garamond"/>
          <w:sz w:val="22"/>
          <w:szCs w:val="22"/>
        </w:rPr>
        <w:t xml:space="preserve"> an interview,  Mr. Feldek stated: "... when I speak of the fascist past [of Mr. Slobodník], I do not characterize him, I only think that the fact that he attended a terrorist training course organized by th</w:t>
      </w:r>
      <w:r>
        <w:rPr>
          <w:rFonts w:ascii="Garamond" w:eastAsia="Garamond" w:hAnsi="Garamond" w:cs="Garamond"/>
          <w:sz w:val="22"/>
          <w:szCs w:val="22"/>
        </w:rPr>
        <w:t xml:space="preserve">e SS falls within the term 'fascist past'. I consider that such a person has nothing to do in the government of a democratic State ..." [para.13]. As a result, </w:t>
      </w:r>
      <w:proofErr w:type="gramStart"/>
      <w:r>
        <w:rPr>
          <w:rFonts w:ascii="Garamond" w:eastAsia="Garamond" w:hAnsi="Garamond" w:cs="Garamond"/>
          <w:sz w:val="22"/>
          <w:szCs w:val="22"/>
        </w:rPr>
        <w:t>in  September</w:t>
      </w:r>
      <w:proofErr w:type="gramEnd"/>
      <w:r>
        <w:rPr>
          <w:rFonts w:ascii="Garamond" w:eastAsia="Garamond" w:hAnsi="Garamond" w:cs="Garamond"/>
          <w:sz w:val="22"/>
          <w:szCs w:val="22"/>
        </w:rPr>
        <w:t xml:space="preserve"> 1992,  Mr. Slobodník sued the applicant for defamation. </w:t>
      </w:r>
    </w:p>
    <w:p w14:paraId="00000017" w14:textId="77777777" w:rsidR="006E70A0" w:rsidRDefault="006E70A0">
      <w:pPr>
        <w:pBdr>
          <w:top w:val="nil"/>
          <w:left w:val="nil"/>
          <w:bottom w:val="nil"/>
          <w:right w:val="nil"/>
          <w:between w:val="nil"/>
        </w:pBdr>
        <w:spacing w:line="276" w:lineRule="auto"/>
        <w:jc w:val="both"/>
        <w:rPr>
          <w:rFonts w:ascii="Garamond" w:eastAsia="Garamond" w:hAnsi="Garamond" w:cs="Garamond"/>
          <w:sz w:val="22"/>
          <w:szCs w:val="22"/>
        </w:rPr>
      </w:pPr>
    </w:p>
    <w:p w14:paraId="00000018" w14:textId="77777777" w:rsidR="006E70A0" w:rsidRDefault="007D3A82">
      <w:p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In October of the same year, the Bratislava City Court dismissed the plaintiff's action. The City Court held that Mr. Feldek had expressed his opinion based on information which Mr. Slobodník himself had commented and given interviews on the issue, both in</w:t>
      </w:r>
      <w:r>
        <w:rPr>
          <w:rFonts w:ascii="Garamond" w:eastAsia="Garamond" w:hAnsi="Garamond" w:cs="Garamond"/>
          <w:sz w:val="22"/>
          <w:szCs w:val="22"/>
        </w:rPr>
        <w:t xml:space="preserve"> Slovakia and abroad. Likewise, the City Court stated that the statement concerned a public figure who was inevitably exposed to scrutiny and sometimes also to criticism by other members of society. Therefore, the comments made by the applicant were protec</w:t>
      </w:r>
      <w:r>
        <w:rPr>
          <w:rFonts w:ascii="Garamond" w:eastAsia="Garamond" w:hAnsi="Garamond" w:cs="Garamond"/>
          <w:sz w:val="22"/>
          <w:szCs w:val="22"/>
        </w:rPr>
        <w:t>ted by the right to freedom of expression and had not unjustifiably interfered with the plaintiff's personality rights.</w:t>
      </w:r>
    </w:p>
    <w:p w14:paraId="00000019" w14:textId="77777777" w:rsidR="006E70A0" w:rsidRDefault="006E70A0">
      <w:pPr>
        <w:pBdr>
          <w:top w:val="nil"/>
          <w:left w:val="nil"/>
          <w:bottom w:val="nil"/>
          <w:right w:val="nil"/>
          <w:between w:val="nil"/>
        </w:pBdr>
        <w:spacing w:line="276" w:lineRule="auto"/>
        <w:jc w:val="both"/>
        <w:rPr>
          <w:rFonts w:ascii="Garamond" w:eastAsia="Garamond" w:hAnsi="Garamond" w:cs="Garamond"/>
          <w:sz w:val="22"/>
          <w:szCs w:val="22"/>
        </w:rPr>
      </w:pPr>
    </w:p>
    <w:p w14:paraId="0000001A" w14:textId="77777777" w:rsidR="006E70A0" w:rsidRDefault="007D3A82">
      <w:p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Mr. Slobodník appealed to the Supreme Court, alleging that the applicant had not proved that he had a "fascist past", and that the City</w:t>
      </w:r>
      <w:r>
        <w:rPr>
          <w:rFonts w:ascii="Garamond" w:eastAsia="Garamond" w:hAnsi="Garamond" w:cs="Garamond"/>
          <w:sz w:val="22"/>
          <w:szCs w:val="22"/>
        </w:rPr>
        <w:t xml:space="preserve"> Court had not established the meaning of that term. On 23 March 1994, The Supreme Court deemed that the applicant had infringed the plaintiff's personality rights, reversing the lower instance ruling. As a result, Mr. Feldek filed an appeal on points of l</w:t>
      </w:r>
      <w:r>
        <w:rPr>
          <w:rFonts w:ascii="Garamond" w:eastAsia="Garamond" w:hAnsi="Garamond" w:cs="Garamond"/>
          <w:sz w:val="22"/>
          <w:szCs w:val="22"/>
        </w:rPr>
        <w:t xml:space="preserve">aw alleging a violation of his rights under Article 10 of the Convention. </w:t>
      </w:r>
    </w:p>
    <w:p w14:paraId="0000001B" w14:textId="77777777" w:rsidR="006E70A0" w:rsidRDefault="006E70A0">
      <w:pPr>
        <w:pBdr>
          <w:top w:val="nil"/>
          <w:left w:val="nil"/>
          <w:bottom w:val="nil"/>
          <w:right w:val="nil"/>
          <w:between w:val="nil"/>
        </w:pBdr>
        <w:spacing w:line="276" w:lineRule="auto"/>
        <w:jc w:val="both"/>
        <w:rPr>
          <w:rFonts w:ascii="Garamond" w:eastAsia="Garamond" w:hAnsi="Garamond" w:cs="Garamond"/>
          <w:sz w:val="22"/>
          <w:szCs w:val="22"/>
        </w:rPr>
      </w:pPr>
    </w:p>
    <w:p w14:paraId="0000001C" w14:textId="77777777" w:rsidR="006E70A0" w:rsidRDefault="007D3A82">
      <w:p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On 25 May 1995, a different Chamber of the Supreme Court sitting as a Court of Cassation upheld part of the appeal judgment of the Supreme Court. The court of cassation did not sha</w:t>
      </w:r>
      <w:r>
        <w:rPr>
          <w:rFonts w:ascii="Garamond" w:eastAsia="Garamond" w:hAnsi="Garamond" w:cs="Garamond"/>
          <w:sz w:val="22"/>
          <w:szCs w:val="22"/>
        </w:rPr>
        <w:t xml:space="preserve">re Mr. Feldek's view that Mr. Slobodník should be required to prove that his allegations were untrue. It further considered the applicant's argument that his statement was a </w:t>
      </w:r>
      <w:r>
        <w:rPr>
          <w:rFonts w:ascii="Garamond" w:eastAsia="Garamond" w:hAnsi="Garamond" w:cs="Garamond"/>
          <w:sz w:val="22"/>
          <w:szCs w:val="22"/>
        </w:rPr>
        <w:lastRenderedPageBreak/>
        <w:t xml:space="preserve">value judgment. The Court of Cassation held the latter could have been accepted </w:t>
      </w:r>
      <w:proofErr w:type="gramStart"/>
      <w:r>
        <w:rPr>
          <w:rFonts w:ascii="Garamond" w:eastAsia="Garamond" w:hAnsi="Garamond" w:cs="Garamond"/>
          <w:sz w:val="22"/>
          <w:szCs w:val="22"/>
        </w:rPr>
        <w:t>if</w:t>
      </w:r>
      <w:r>
        <w:rPr>
          <w:rFonts w:ascii="Garamond" w:eastAsia="Garamond" w:hAnsi="Garamond" w:cs="Garamond"/>
          <w:sz w:val="22"/>
          <w:szCs w:val="22"/>
        </w:rPr>
        <w:t xml:space="preserve">  Mr.</w:t>
      </w:r>
      <w:proofErr w:type="gramEnd"/>
      <w:r>
        <w:rPr>
          <w:rFonts w:ascii="Garamond" w:eastAsia="Garamond" w:hAnsi="Garamond" w:cs="Garamond"/>
          <w:sz w:val="22"/>
          <w:szCs w:val="22"/>
        </w:rPr>
        <w:t xml:space="preserve"> Feldek had expressly referred in his declaration to the particular facts on which such a value judgment was based. The remainder of the case was sent back to the City Court.</w:t>
      </w:r>
    </w:p>
    <w:p w14:paraId="0000001D" w14:textId="77777777" w:rsidR="006E70A0" w:rsidRDefault="006E70A0">
      <w:pPr>
        <w:pBdr>
          <w:top w:val="nil"/>
          <w:left w:val="nil"/>
          <w:bottom w:val="nil"/>
          <w:right w:val="nil"/>
          <w:between w:val="nil"/>
        </w:pBdr>
        <w:spacing w:line="276" w:lineRule="auto"/>
        <w:jc w:val="both"/>
        <w:rPr>
          <w:rFonts w:ascii="Garamond" w:eastAsia="Garamond" w:hAnsi="Garamond" w:cs="Garamond"/>
          <w:sz w:val="22"/>
          <w:szCs w:val="22"/>
        </w:rPr>
      </w:pPr>
    </w:p>
    <w:p w14:paraId="0000001E" w14:textId="77777777" w:rsidR="006E70A0" w:rsidRDefault="007D3A82">
      <w:p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On 11 September 1995, Mr. Feldek lodged an application to the ECtHR, and in</w:t>
      </w:r>
      <w:r>
        <w:rPr>
          <w:rFonts w:ascii="Garamond" w:eastAsia="Garamond" w:hAnsi="Garamond" w:cs="Garamond"/>
          <w:sz w:val="22"/>
          <w:szCs w:val="22"/>
        </w:rPr>
        <w:t xml:space="preserve"> June 2000, the case was allocated to the Second Section of the Court. </w:t>
      </w:r>
    </w:p>
    <w:p w14:paraId="0000001F" w14:textId="77777777" w:rsidR="006E70A0" w:rsidRDefault="006E70A0">
      <w:pPr>
        <w:pBdr>
          <w:top w:val="nil"/>
          <w:left w:val="nil"/>
          <w:bottom w:val="nil"/>
          <w:right w:val="nil"/>
          <w:between w:val="nil"/>
        </w:pBdr>
        <w:spacing w:line="276" w:lineRule="auto"/>
        <w:jc w:val="both"/>
        <w:rPr>
          <w:rFonts w:ascii="Garamond" w:eastAsia="Garamond" w:hAnsi="Garamond" w:cs="Garamond"/>
          <w:sz w:val="22"/>
          <w:szCs w:val="22"/>
        </w:rPr>
      </w:pPr>
    </w:p>
    <w:p w14:paraId="00000020" w14:textId="77777777" w:rsidR="006E70A0" w:rsidRDefault="007D3A82">
      <w:p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In April 1996, the City Court dismissed the claim for non-pecuniary damage and ordered the applicant to pay costs totaling 1,750 SKK. Posteriorly, The Supreme Court overturned the fir</w:t>
      </w:r>
      <w:r>
        <w:rPr>
          <w:rFonts w:ascii="Garamond" w:eastAsia="Garamond" w:hAnsi="Garamond" w:cs="Garamond"/>
          <w:sz w:val="22"/>
          <w:szCs w:val="22"/>
        </w:rPr>
        <w:t>st instance judgment as to the costs and held that neither party was entitled to have the expenses reimbursed and ordered that each of the parties pay half of the expenses in advance. Mr. Slobodníks filed an appeal on points of law regarding this decision.</w:t>
      </w:r>
      <w:r>
        <w:rPr>
          <w:rFonts w:ascii="Garamond" w:eastAsia="Garamond" w:hAnsi="Garamond" w:cs="Garamond"/>
          <w:sz w:val="22"/>
          <w:szCs w:val="22"/>
        </w:rPr>
        <w:t xml:space="preserve"> </w:t>
      </w:r>
    </w:p>
    <w:p w14:paraId="00000021" w14:textId="77777777" w:rsidR="006E70A0" w:rsidRDefault="006E70A0">
      <w:pPr>
        <w:pBdr>
          <w:top w:val="nil"/>
          <w:left w:val="nil"/>
          <w:bottom w:val="nil"/>
          <w:right w:val="nil"/>
          <w:between w:val="nil"/>
        </w:pBdr>
        <w:spacing w:line="276" w:lineRule="auto"/>
        <w:jc w:val="both"/>
        <w:rPr>
          <w:rFonts w:ascii="Garamond" w:eastAsia="Garamond" w:hAnsi="Garamond" w:cs="Garamond"/>
          <w:sz w:val="22"/>
          <w:szCs w:val="22"/>
        </w:rPr>
      </w:pPr>
    </w:p>
    <w:p w14:paraId="00000022" w14:textId="77777777" w:rsidR="006E70A0" w:rsidRDefault="006E70A0">
      <w:pPr>
        <w:pBdr>
          <w:top w:val="nil"/>
          <w:left w:val="nil"/>
          <w:bottom w:val="nil"/>
          <w:right w:val="nil"/>
          <w:between w:val="nil"/>
        </w:pBdr>
        <w:spacing w:line="276" w:lineRule="auto"/>
        <w:jc w:val="both"/>
        <w:rPr>
          <w:rFonts w:ascii="Garamond" w:eastAsia="Garamond" w:hAnsi="Garamond" w:cs="Garamond"/>
          <w:sz w:val="22"/>
          <w:szCs w:val="22"/>
        </w:rPr>
      </w:pPr>
    </w:p>
    <w:p w14:paraId="00000023" w14:textId="77777777" w:rsidR="006E70A0" w:rsidRDefault="007D3A82">
      <w:pPr>
        <w:numPr>
          <w:ilvl w:val="0"/>
          <w:numId w:val="1"/>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Decision Overview</w:t>
      </w:r>
      <w:r>
        <w:rPr>
          <w:rFonts w:ascii="Garamond" w:eastAsia="Garamond" w:hAnsi="Garamond" w:cs="Garamond"/>
          <w:color w:val="000000"/>
          <w:sz w:val="22"/>
          <w:szCs w:val="22"/>
        </w:rPr>
        <w:t xml:space="preserve">: </w:t>
      </w:r>
    </w:p>
    <w:p w14:paraId="00000024" w14:textId="77777777" w:rsidR="006E70A0" w:rsidRDefault="007D3A82">
      <w:pPr>
        <w:shd w:val="clear" w:color="auto" w:fill="FFFFFF"/>
        <w:spacing w:line="276" w:lineRule="auto"/>
        <w:jc w:val="both"/>
        <w:rPr>
          <w:rFonts w:ascii="Garamond" w:eastAsia="Garamond" w:hAnsi="Garamond" w:cs="Garamond"/>
          <w:color w:val="0E101A"/>
        </w:rPr>
      </w:pPr>
      <w:r>
        <w:rPr>
          <w:rFonts w:ascii="Garamond" w:eastAsia="Garamond" w:hAnsi="Garamond" w:cs="Garamond"/>
          <w:color w:val="0E101A"/>
        </w:rPr>
        <w:t>In the present case, the main issue for the Second Section of the ECtHR to analyze relied upon whether the interference with Mr. Feldek's right to freedom of expression was proportionate to the legitimate aim pursued and whether the reasons given by the na</w:t>
      </w:r>
      <w:r>
        <w:rPr>
          <w:rFonts w:ascii="Garamond" w:eastAsia="Garamond" w:hAnsi="Garamond" w:cs="Garamond"/>
          <w:color w:val="0E101A"/>
        </w:rPr>
        <w:t xml:space="preserve">tional courts to justify it were relevant and sufficient. </w:t>
      </w:r>
    </w:p>
    <w:p w14:paraId="00000025" w14:textId="77777777" w:rsidR="006E70A0" w:rsidRDefault="006E70A0">
      <w:pPr>
        <w:shd w:val="clear" w:color="auto" w:fill="FFFFFF"/>
        <w:spacing w:line="276" w:lineRule="auto"/>
        <w:jc w:val="both"/>
        <w:rPr>
          <w:rFonts w:ascii="Garamond" w:eastAsia="Garamond" w:hAnsi="Garamond" w:cs="Garamond"/>
          <w:color w:val="0E101A"/>
        </w:rPr>
      </w:pPr>
    </w:p>
    <w:p w14:paraId="00000026" w14:textId="77777777" w:rsidR="006E70A0" w:rsidRDefault="007D3A82">
      <w:pPr>
        <w:shd w:val="clear" w:color="auto" w:fill="FFFFFF"/>
        <w:spacing w:line="276" w:lineRule="auto"/>
        <w:jc w:val="both"/>
        <w:rPr>
          <w:rFonts w:ascii="Garamond" w:eastAsia="Garamond" w:hAnsi="Garamond" w:cs="Garamond"/>
          <w:color w:val="0E101A"/>
        </w:rPr>
      </w:pPr>
      <w:r>
        <w:rPr>
          <w:rFonts w:ascii="Garamond" w:eastAsia="Garamond" w:hAnsi="Garamond" w:cs="Garamond"/>
          <w:color w:val="0E101A"/>
        </w:rPr>
        <w:t>Mr. Feldek argued that the Slovakian courts violated his right to freedom of expression and thought by declaring his statement defamatory. He also complained that he had been discriminated against</w:t>
      </w:r>
      <w:r>
        <w:rPr>
          <w:rFonts w:ascii="Garamond" w:eastAsia="Garamond" w:hAnsi="Garamond" w:cs="Garamond"/>
          <w:color w:val="0E101A"/>
        </w:rPr>
        <w:t xml:space="preserve"> for his political opinion. He relied on Articles 9, 10, and 41 of the ECHR. The applicant maintained that the interference had not been "necessary in the democratic society" given that the domestic courts had failed to respect the principle of proportiona</w:t>
      </w:r>
      <w:r>
        <w:rPr>
          <w:rFonts w:ascii="Garamond" w:eastAsia="Garamond" w:hAnsi="Garamond" w:cs="Garamond"/>
          <w:color w:val="0E101A"/>
        </w:rPr>
        <w:t xml:space="preserve">lity </w:t>
      </w:r>
      <w:proofErr w:type="gramStart"/>
      <w:r>
        <w:rPr>
          <w:rFonts w:ascii="Garamond" w:eastAsia="Garamond" w:hAnsi="Garamond" w:cs="Garamond"/>
          <w:color w:val="0E101A"/>
        </w:rPr>
        <w:t>in light of</w:t>
      </w:r>
      <w:proofErr w:type="gramEnd"/>
      <w:r>
        <w:rPr>
          <w:rFonts w:ascii="Garamond" w:eastAsia="Garamond" w:hAnsi="Garamond" w:cs="Garamond"/>
          <w:color w:val="0E101A"/>
        </w:rPr>
        <w:t xml:space="preserve"> the restriction of his right to freedom of expression.  </w:t>
      </w:r>
    </w:p>
    <w:p w14:paraId="00000027" w14:textId="77777777" w:rsidR="006E70A0" w:rsidRDefault="006E70A0">
      <w:pPr>
        <w:shd w:val="clear" w:color="auto" w:fill="FFFFFF"/>
        <w:spacing w:line="276" w:lineRule="auto"/>
        <w:jc w:val="both"/>
        <w:rPr>
          <w:rFonts w:ascii="Garamond" w:eastAsia="Garamond" w:hAnsi="Garamond" w:cs="Garamond"/>
          <w:color w:val="0E101A"/>
        </w:rPr>
      </w:pPr>
    </w:p>
    <w:p w14:paraId="00000028" w14:textId="77777777" w:rsidR="006E70A0" w:rsidRDefault="007D3A82">
      <w:pPr>
        <w:shd w:val="clear" w:color="auto" w:fill="FFFFFF"/>
        <w:spacing w:line="276" w:lineRule="auto"/>
        <w:jc w:val="both"/>
        <w:rPr>
          <w:rFonts w:ascii="Garamond" w:eastAsia="Garamond" w:hAnsi="Garamond" w:cs="Garamond"/>
          <w:color w:val="0E101A"/>
        </w:rPr>
      </w:pPr>
      <w:r>
        <w:rPr>
          <w:rFonts w:ascii="Garamond" w:eastAsia="Garamond" w:hAnsi="Garamond" w:cs="Garamond"/>
          <w:color w:val="0E101A"/>
        </w:rPr>
        <w:t xml:space="preserve">The Government disagreed and maintained that the interference was prescribed by law, specifically in Article 11 of the Slovakian Civil Code. Additionally, the State argued that the </w:t>
      </w:r>
      <w:r>
        <w:rPr>
          <w:rFonts w:ascii="Garamond" w:eastAsia="Garamond" w:hAnsi="Garamond" w:cs="Garamond"/>
          <w:color w:val="0E101A"/>
        </w:rPr>
        <w:t>interference was proportionate to the legitimate aim pursued and that the reasons adduced by the domestic courts were sufficient and relevant. "In their view, labeling a politician as a person with a fascist past could seriously impact the reputation of th</w:t>
      </w:r>
      <w:r>
        <w:rPr>
          <w:rFonts w:ascii="Garamond" w:eastAsia="Garamond" w:hAnsi="Garamond" w:cs="Garamond"/>
          <w:color w:val="0E101A"/>
        </w:rPr>
        <w:t xml:space="preserve">e person concerned" [parra.64]. </w:t>
      </w:r>
    </w:p>
    <w:p w14:paraId="00000029" w14:textId="77777777" w:rsidR="006E70A0" w:rsidRDefault="006E70A0">
      <w:pPr>
        <w:shd w:val="clear" w:color="auto" w:fill="FFFFFF"/>
        <w:spacing w:line="276" w:lineRule="auto"/>
        <w:jc w:val="both"/>
        <w:rPr>
          <w:rFonts w:ascii="Garamond" w:eastAsia="Garamond" w:hAnsi="Garamond" w:cs="Garamond"/>
          <w:color w:val="0E101A"/>
        </w:rPr>
      </w:pPr>
    </w:p>
    <w:p w14:paraId="0000002A" w14:textId="77777777" w:rsidR="006E70A0" w:rsidRDefault="007D3A82">
      <w:pPr>
        <w:shd w:val="clear" w:color="auto" w:fill="FFFFFF"/>
        <w:spacing w:line="276" w:lineRule="auto"/>
        <w:jc w:val="both"/>
        <w:rPr>
          <w:rFonts w:ascii="Garamond" w:eastAsia="Garamond" w:hAnsi="Garamond" w:cs="Garamond"/>
          <w:color w:val="0E101A"/>
        </w:rPr>
      </w:pPr>
      <w:r>
        <w:rPr>
          <w:rFonts w:ascii="Garamond" w:eastAsia="Garamond" w:hAnsi="Garamond" w:cs="Garamond"/>
          <w:color w:val="0E101A"/>
        </w:rPr>
        <w:t xml:space="preserve">The ECtHR started the analysis of the case by stating that the test of "necessity in a democratic society" required the Court to determine whether the "interference" complained of corresponded to a "pressing social need", </w:t>
      </w:r>
      <w:r>
        <w:rPr>
          <w:rFonts w:ascii="Garamond" w:eastAsia="Garamond" w:hAnsi="Garamond" w:cs="Garamond"/>
          <w:color w:val="0E101A"/>
        </w:rPr>
        <w:t>whether it was proportionate to the legitimate aim pursued and whether the reasons given by the national authorities to justify it are relevant and sufficient. When assessing whether such a "need" exists and what measures should be adopted to deal with it,</w:t>
      </w:r>
      <w:r>
        <w:rPr>
          <w:rFonts w:ascii="Garamond" w:eastAsia="Garamond" w:hAnsi="Garamond" w:cs="Garamond"/>
          <w:color w:val="0E101A"/>
        </w:rPr>
        <w:t xml:space="preserve"> the Court emphasized that the national authorities are left with a certain margin of appreciation. </w:t>
      </w:r>
    </w:p>
    <w:p w14:paraId="0000002B" w14:textId="77777777" w:rsidR="006E70A0" w:rsidRDefault="006E70A0">
      <w:pPr>
        <w:shd w:val="clear" w:color="auto" w:fill="FFFFFF"/>
        <w:spacing w:line="276" w:lineRule="auto"/>
        <w:jc w:val="both"/>
        <w:rPr>
          <w:rFonts w:ascii="Garamond" w:eastAsia="Garamond" w:hAnsi="Garamond" w:cs="Garamond"/>
          <w:color w:val="0E101A"/>
        </w:rPr>
      </w:pPr>
    </w:p>
    <w:p w14:paraId="0000002C" w14:textId="77777777" w:rsidR="006E70A0" w:rsidRDefault="007D3A82">
      <w:pPr>
        <w:shd w:val="clear" w:color="auto" w:fill="FFFFFF"/>
        <w:spacing w:line="276" w:lineRule="auto"/>
        <w:jc w:val="both"/>
        <w:rPr>
          <w:rFonts w:ascii="Garamond" w:eastAsia="Garamond" w:hAnsi="Garamond" w:cs="Garamond"/>
          <w:color w:val="0E101A"/>
        </w:rPr>
      </w:pPr>
      <w:r>
        <w:rPr>
          <w:rFonts w:ascii="Garamond" w:eastAsia="Garamond" w:hAnsi="Garamond" w:cs="Garamond"/>
          <w:color w:val="0E101A"/>
        </w:rPr>
        <w:t>First, the ECtHR held the interference complained, the Court deemed it had a legal basis, namely Articles 11 and 13 of the Slovakian Civil Code. Hence the</w:t>
      </w:r>
      <w:r>
        <w:rPr>
          <w:rFonts w:ascii="Garamond" w:eastAsia="Garamond" w:hAnsi="Garamond" w:cs="Garamond"/>
          <w:color w:val="0E101A"/>
        </w:rPr>
        <w:t xml:space="preserve"> Court considered that interference was "prescribed by law" within the meaning of Article 10 § 2 of the Convention. Then the Court found that the Slovakian courts were consistent with the aim of protecting the personality rights of the plaintiff, who consi</w:t>
      </w:r>
      <w:r>
        <w:rPr>
          <w:rFonts w:ascii="Garamond" w:eastAsia="Garamond" w:hAnsi="Garamond" w:cs="Garamond"/>
          <w:color w:val="0E101A"/>
        </w:rPr>
        <w:t xml:space="preserve">dered himself affected by the applicant's statement. </w:t>
      </w:r>
    </w:p>
    <w:p w14:paraId="0000002D" w14:textId="77777777" w:rsidR="006E70A0" w:rsidRDefault="006E70A0">
      <w:pPr>
        <w:shd w:val="clear" w:color="auto" w:fill="FFFFFF"/>
        <w:spacing w:line="276" w:lineRule="auto"/>
        <w:jc w:val="both"/>
        <w:rPr>
          <w:rFonts w:ascii="Garamond" w:eastAsia="Garamond" w:hAnsi="Garamond" w:cs="Garamond"/>
          <w:color w:val="0E101A"/>
        </w:rPr>
      </w:pPr>
    </w:p>
    <w:p w14:paraId="0000002E" w14:textId="77777777" w:rsidR="006E70A0" w:rsidRDefault="007D3A82">
      <w:pPr>
        <w:shd w:val="clear" w:color="auto" w:fill="FFFFFF"/>
        <w:spacing w:line="276" w:lineRule="auto"/>
        <w:jc w:val="both"/>
        <w:rPr>
          <w:rFonts w:ascii="Garamond" w:eastAsia="Garamond" w:hAnsi="Garamond" w:cs="Garamond"/>
          <w:color w:val="0E101A"/>
        </w:rPr>
      </w:pPr>
      <w:r>
        <w:rPr>
          <w:rFonts w:ascii="Garamond" w:eastAsia="Garamond" w:hAnsi="Garamond" w:cs="Garamond"/>
          <w:color w:val="0E101A"/>
        </w:rPr>
        <w:t xml:space="preserve"> To determine the necessity of the interference, the Court remarked on the distinction between statements of facts and value judgments. According to the Court, facts can be demonstrated, whereas value </w:t>
      </w:r>
      <w:r>
        <w:rPr>
          <w:rFonts w:ascii="Garamond" w:eastAsia="Garamond" w:hAnsi="Garamond" w:cs="Garamond"/>
          <w:color w:val="0E101A"/>
        </w:rPr>
        <w:t xml:space="preserve">judgments are not susceptible to proof. Further, the Court stressed that the requirement to prove the truth of a value judgment is an impossible task to fulfill and infringes freedom of opinion itself. The Court referred to its case of </w:t>
      </w:r>
      <w:r>
        <w:rPr>
          <w:rFonts w:ascii="Garamond" w:eastAsia="Garamond" w:hAnsi="Garamond" w:cs="Garamond"/>
          <w:i/>
          <w:color w:val="0E101A"/>
        </w:rPr>
        <w:t xml:space="preserve">De Haes and Gijsels </w:t>
      </w:r>
      <w:r>
        <w:rPr>
          <w:rFonts w:ascii="Garamond" w:eastAsia="Garamond" w:hAnsi="Garamond" w:cs="Garamond"/>
          <w:i/>
          <w:color w:val="0E101A"/>
        </w:rPr>
        <w:t>v. Belgium</w:t>
      </w:r>
      <w:r>
        <w:rPr>
          <w:rFonts w:ascii="Garamond" w:eastAsia="Garamond" w:hAnsi="Garamond" w:cs="Garamond"/>
          <w:color w:val="0E101A"/>
        </w:rPr>
        <w:t xml:space="preserve"> to highlight that "the proportionality of an interference may depend on whether there exists a </w:t>
      </w:r>
      <w:r>
        <w:rPr>
          <w:rFonts w:ascii="Garamond" w:eastAsia="Garamond" w:hAnsi="Garamond" w:cs="Garamond"/>
          <w:color w:val="0E101A"/>
        </w:rPr>
        <w:lastRenderedPageBreak/>
        <w:t>sufficient factual basis for the impugned statement, since even a value judgment without any factual basis to support it may be excessive" [parra. 76]</w:t>
      </w:r>
      <w:r>
        <w:rPr>
          <w:rFonts w:ascii="Garamond" w:eastAsia="Garamond" w:hAnsi="Garamond" w:cs="Garamond"/>
          <w:color w:val="0E101A"/>
        </w:rPr>
        <w:t xml:space="preserve">. </w:t>
      </w:r>
    </w:p>
    <w:p w14:paraId="0000002F" w14:textId="77777777" w:rsidR="006E70A0" w:rsidRDefault="006E70A0">
      <w:pPr>
        <w:shd w:val="clear" w:color="auto" w:fill="FFFFFF"/>
        <w:spacing w:line="276" w:lineRule="auto"/>
        <w:jc w:val="both"/>
        <w:rPr>
          <w:rFonts w:ascii="Garamond" w:eastAsia="Garamond" w:hAnsi="Garamond" w:cs="Garamond"/>
          <w:color w:val="0E101A"/>
        </w:rPr>
      </w:pPr>
    </w:p>
    <w:p w14:paraId="00000030" w14:textId="77777777" w:rsidR="006E70A0" w:rsidRDefault="007D3A82">
      <w:pPr>
        <w:shd w:val="clear" w:color="auto" w:fill="FFFFFF"/>
        <w:spacing w:line="276" w:lineRule="auto"/>
        <w:jc w:val="both"/>
        <w:rPr>
          <w:rFonts w:ascii="Garamond" w:eastAsia="Garamond" w:hAnsi="Garamond" w:cs="Garamond"/>
          <w:color w:val="0E101A"/>
        </w:rPr>
      </w:pPr>
      <w:r>
        <w:rPr>
          <w:rFonts w:ascii="Garamond" w:eastAsia="Garamond" w:hAnsi="Garamond" w:cs="Garamond"/>
          <w:color w:val="0E101A"/>
        </w:rPr>
        <w:t xml:space="preserve">The Court found that the applicant's statement was a value judgment, hence its truthfulness was not susceptible of proof. The Court noted that the applicant's declarations were made and published as part of a political debate on matters of general and </w:t>
      </w:r>
      <w:r>
        <w:rPr>
          <w:rFonts w:ascii="Garamond" w:eastAsia="Garamond" w:hAnsi="Garamond" w:cs="Garamond"/>
          <w:color w:val="0E101A"/>
        </w:rPr>
        <w:t>public concern relating to the history of Slovakia, which could potentially have repercussions on its future democratic development. More, the Court held that the value judgment made by the applicant was based on information previously published by Mr. Slo</w:t>
      </w:r>
      <w:r>
        <w:rPr>
          <w:rFonts w:ascii="Garamond" w:eastAsia="Garamond" w:hAnsi="Garamond" w:cs="Garamond"/>
          <w:color w:val="0E101A"/>
        </w:rPr>
        <w:t xml:space="preserve">bodník himself and by the press before the publication of Mr. Feldek's statement; hence, it was already known to the broader public. </w:t>
      </w:r>
    </w:p>
    <w:p w14:paraId="00000031" w14:textId="77777777" w:rsidR="006E70A0" w:rsidRDefault="006E70A0">
      <w:pPr>
        <w:shd w:val="clear" w:color="auto" w:fill="FFFFFF"/>
        <w:spacing w:line="276" w:lineRule="auto"/>
        <w:jc w:val="both"/>
        <w:rPr>
          <w:rFonts w:ascii="Garamond" w:eastAsia="Garamond" w:hAnsi="Garamond" w:cs="Garamond"/>
          <w:color w:val="0E101A"/>
        </w:rPr>
      </w:pPr>
    </w:p>
    <w:p w14:paraId="00000032" w14:textId="77777777" w:rsidR="006E70A0" w:rsidRDefault="007D3A82">
      <w:pPr>
        <w:shd w:val="clear" w:color="auto" w:fill="FFFFFF"/>
        <w:spacing w:line="276" w:lineRule="auto"/>
        <w:jc w:val="both"/>
        <w:rPr>
          <w:rFonts w:ascii="Garamond" w:eastAsia="Garamond" w:hAnsi="Garamond" w:cs="Garamond"/>
          <w:color w:val="0E101A"/>
        </w:rPr>
      </w:pPr>
      <w:r>
        <w:rPr>
          <w:rFonts w:ascii="Garamond" w:eastAsia="Garamond" w:hAnsi="Garamond" w:cs="Garamond"/>
          <w:color w:val="0E101A"/>
        </w:rPr>
        <w:t>Additionally, the ECtHR considered that the Court of cassation had not convincingly established any pressing social need to protect a public figure's rights above the applicant's right to freedom of expression. In particular, the ECtHR held that domestic c</w:t>
      </w:r>
      <w:r>
        <w:rPr>
          <w:rFonts w:ascii="Garamond" w:eastAsia="Garamond" w:hAnsi="Garamond" w:cs="Garamond"/>
          <w:color w:val="0E101A"/>
        </w:rPr>
        <w:t>ourts' decisions did not reflect that the applicant's statement had affected Mr. Slobodník's political career or his professional and private life. Therefore, determined that the national authorities failed to strike a fair balance between the relevant int</w:t>
      </w:r>
      <w:r>
        <w:rPr>
          <w:rFonts w:ascii="Garamond" w:eastAsia="Garamond" w:hAnsi="Garamond" w:cs="Garamond"/>
          <w:color w:val="0E101A"/>
        </w:rPr>
        <w:t>erests. As a result, the ECtHR concluded that the interference of Mr. Feldek's right to freedom of expression was not "necessary in a democratic society" within the meaning of Article 10 § 2 and, thus, held that there had been a violation of Article 10.</w:t>
      </w:r>
    </w:p>
    <w:p w14:paraId="00000033" w14:textId="77777777" w:rsidR="006E70A0" w:rsidRDefault="006E70A0">
      <w:pPr>
        <w:shd w:val="clear" w:color="auto" w:fill="FFFFFF"/>
        <w:spacing w:line="276" w:lineRule="auto"/>
        <w:jc w:val="both"/>
        <w:rPr>
          <w:rFonts w:ascii="Garamond" w:eastAsia="Garamond" w:hAnsi="Garamond" w:cs="Garamond"/>
          <w:color w:val="0E101A"/>
        </w:rPr>
      </w:pPr>
    </w:p>
    <w:p w14:paraId="00000034" w14:textId="77777777" w:rsidR="006E70A0" w:rsidRDefault="006E70A0">
      <w:pPr>
        <w:spacing w:line="276" w:lineRule="auto"/>
        <w:jc w:val="both"/>
        <w:rPr>
          <w:rFonts w:ascii="Garamond" w:eastAsia="Garamond" w:hAnsi="Garamond" w:cs="Garamond"/>
          <w:color w:val="0E101A"/>
        </w:rPr>
      </w:pPr>
    </w:p>
    <w:p w14:paraId="00000035" w14:textId="77777777" w:rsidR="006E70A0" w:rsidRDefault="007D3A82">
      <w:pPr>
        <w:spacing w:line="276" w:lineRule="auto"/>
        <w:jc w:val="both"/>
        <w:rPr>
          <w:rFonts w:ascii="Garamond" w:eastAsia="Garamond" w:hAnsi="Garamond" w:cs="Garamond"/>
          <w:color w:val="0E101A"/>
        </w:rPr>
      </w:pPr>
      <w:r>
        <w:rPr>
          <w:rFonts w:ascii="Garamond" w:eastAsia="Garamond" w:hAnsi="Garamond" w:cs="Garamond"/>
          <w:color w:val="0E101A"/>
        </w:rPr>
        <w:t>Regarding the applicant's claim that his right to freedom of thought had been violated, the Court deemed that the impugned measure constituted an interference with the applicant's exercise of his freedom of expression and that no separate issue arises conc</w:t>
      </w:r>
      <w:r>
        <w:rPr>
          <w:rFonts w:ascii="Garamond" w:eastAsia="Garamond" w:hAnsi="Garamond" w:cs="Garamond"/>
          <w:color w:val="0E101A"/>
        </w:rPr>
        <w:t>erning Article 9. Concerning the applicant's claim that he had been discriminated against based on his political opinion, the Court found no indication that the measure complained of could be attributed to a difference in treatment based on the applicant's</w:t>
      </w:r>
      <w:r>
        <w:rPr>
          <w:rFonts w:ascii="Garamond" w:eastAsia="Garamond" w:hAnsi="Garamond" w:cs="Garamond"/>
          <w:color w:val="0E101A"/>
        </w:rPr>
        <w:t xml:space="preserve"> political opinion. Thus, the Court concluded that there had been no violation of Article 14 of the Convention.</w:t>
      </w:r>
    </w:p>
    <w:p w14:paraId="00000036" w14:textId="77777777" w:rsidR="006E70A0" w:rsidRDefault="006E70A0">
      <w:pPr>
        <w:spacing w:line="276" w:lineRule="auto"/>
        <w:jc w:val="both"/>
        <w:rPr>
          <w:rFonts w:ascii="Garamond" w:eastAsia="Garamond" w:hAnsi="Garamond" w:cs="Garamond"/>
        </w:rPr>
      </w:pPr>
    </w:p>
    <w:p w14:paraId="00000037" w14:textId="77777777" w:rsidR="006E70A0" w:rsidRDefault="007D3A82">
      <w:pPr>
        <w:spacing w:line="276" w:lineRule="auto"/>
        <w:jc w:val="both"/>
        <w:rPr>
          <w:rFonts w:ascii="Garamond" w:eastAsia="Garamond" w:hAnsi="Garamond" w:cs="Garamond"/>
          <w:color w:val="0E101A"/>
        </w:rPr>
      </w:pPr>
      <w:r>
        <w:rPr>
          <w:rFonts w:ascii="Garamond" w:eastAsia="Garamond" w:hAnsi="Garamond" w:cs="Garamond"/>
          <w:color w:val="0E101A"/>
        </w:rPr>
        <w:t>Finally, based on Article 41 of the ECHR, the Court awarded Mr. Feldek 65,000 Slovakian korunas (SKK) for non-pecuniary damage and SKK 500,000 for legal costs and expenses.</w:t>
      </w:r>
    </w:p>
    <w:p w14:paraId="00000038" w14:textId="77777777" w:rsidR="006E70A0" w:rsidRDefault="006E70A0">
      <w:pPr>
        <w:spacing w:line="276" w:lineRule="auto"/>
        <w:jc w:val="both"/>
        <w:rPr>
          <w:rFonts w:ascii="Arial" w:eastAsia="Arial" w:hAnsi="Arial" w:cs="Arial"/>
          <w:color w:val="0E101A"/>
          <w:highlight w:val="white"/>
        </w:rPr>
      </w:pPr>
    </w:p>
    <w:p w14:paraId="00000039" w14:textId="77777777" w:rsidR="006E70A0" w:rsidRDefault="006E70A0">
      <w:pPr>
        <w:spacing w:line="276" w:lineRule="auto"/>
        <w:jc w:val="both"/>
      </w:pPr>
    </w:p>
    <w:p w14:paraId="0000003A" w14:textId="77777777" w:rsidR="006E70A0" w:rsidRDefault="007D3A82">
      <w:pPr>
        <w:shd w:val="clear" w:color="auto" w:fill="FFFFFF"/>
        <w:spacing w:line="276" w:lineRule="auto"/>
        <w:jc w:val="both"/>
        <w:rPr>
          <w:rFonts w:ascii="Garamond" w:eastAsia="Garamond" w:hAnsi="Garamond" w:cs="Garamond"/>
          <w:sz w:val="22"/>
          <w:szCs w:val="22"/>
        </w:rPr>
      </w:pPr>
      <w:r>
        <w:rPr>
          <w:rFonts w:ascii="Arial" w:eastAsia="Arial" w:hAnsi="Arial" w:cs="Arial"/>
        </w:rPr>
        <w:t xml:space="preserve"> </w:t>
      </w:r>
    </w:p>
    <w:p w14:paraId="0000003B" w14:textId="77777777" w:rsidR="006E70A0" w:rsidRDefault="007D3A82">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u w:val="single"/>
        </w:rPr>
        <w:t>Dissenting Opinions of Judges …</w:t>
      </w:r>
      <w:r>
        <w:rPr>
          <w:rFonts w:ascii="Garamond" w:eastAsia="Garamond" w:hAnsi="Garamond" w:cs="Garamond"/>
          <w:color w:val="000000"/>
          <w:sz w:val="22"/>
          <w:szCs w:val="22"/>
        </w:rPr>
        <w:t>:</w:t>
      </w:r>
    </w:p>
    <w:p w14:paraId="0000003C" w14:textId="77777777" w:rsidR="006E70A0" w:rsidRDefault="006E70A0">
      <w:pPr>
        <w:pBdr>
          <w:top w:val="nil"/>
          <w:left w:val="nil"/>
          <w:bottom w:val="nil"/>
          <w:right w:val="nil"/>
          <w:between w:val="nil"/>
        </w:pBdr>
        <w:spacing w:line="276" w:lineRule="auto"/>
        <w:jc w:val="both"/>
        <w:rPr>
          <w:rFonts w:ascii="Garamond" w:eastAsia="Garamond" w:hAnsi="Garamond" w:cs="Garamond"/>
          <w:sz w:val="22"/>
          <w:szCs w:val="22"/>
        </w:rPr>
      </w:pPr>
    </w:p>
    <w:p w14:paraId="0000003D" w14:textId="77777777" w:rsidR="006E70A0" w:rsidRDefault="007D3A82">
      <w:pPr>
        <w:spacing w:line="276" w:lineRule="auto"/>
        <w:jc w:val="both"/>
        <w:rPr>
          <w:rFonts w:ascii="Garamond" w:eastAsia="Garamond" w:hAnsi="Garamond" w:cs="Garamond"/>
          <w:sz w:val="22"/>
          <w:szCs w:val="22"/>
        </w:rPr>
      </w:pPr>
      <w:r>
        <w:rPr>
          <w:rFonts w:ascii="Garamond" w:eastAsia="Garamond" w:hAnsi="Garamond" w:cs="Garamond"/>
          <w:sz w:val="22"/>
          <w:szCs w:val="22"/>
        </w:rPr>
        <w:t>Judges Fischbach and Lorenzen presented a dis</w:t>
      </w:r>
      <w:r>
        <w:rPr>
          <w:rFonts w:ascii="Garamond" w:eastAsia="Garamond" w:hAnsi="Garamond" w:cs="Garamond"/>
          <w:sz w:val="22"/>
          <w:szCs w:val="22"/>
        </w:rPr>
        <w:t>senting opinion in which they regarded the domestic courts had applied their discretion based on a proper assessment of the facts. Similarly, they considered that there was no indication that the applicant was deprived of an effective opportunity to adduce</w:t>
      </w:r>
      <w:r>
        <w:rPr>
          <w:rFonts w:ascii="Garamond" w:eastAsia="Garamond" w:hAnsi="Garamond" w:cs="Garamond"/>
          <w:sz w:val="22"/>
          <w:szCs w:val="22"/>
        </w:rPr>
        <w:t xml:space="preserve"> evidence supporting his statement and thereby showed that it constituted a fair decision. Hence, they believed that the standards applied were compatible with the principles embodied in Article 10 of the ECHR. </w:t>
      </w:r>
    </w:p>
    <w:p w14:paraId="0000003E" w14:textId="77777777" w:rsidR="006E70A0" w:rsidRDefault="006E70A0">
      <w:pPr>
        <w:spacing w:line="276" w:lineRule="auto"/>
        <w:jc w:val="both"/>
        <w:rPr>
          <w:rFonts w:ascii="Garamond" w:eastAsia="Garamond" w:hAnsi="Garamond" w:cs="Garamond"/>
          <w:sz w:val="22"/>
          <w:szCs w:val="22"/>
        </w:rPr>
      </w:pPr>
    </w:p>
    <w:p w14:paraId="0000003F" w14:textId="77777777" w:rsidR="006E70A0" w:rsidRDefault="007D3A82">
      <w:pPr>
        <w:spacing w:line="276" w:lineRule="auto"/>
        <w:jc w:val="both"/>
        <w:rPr>
          <w:rFonts w:ascii="Garamond" w:eastAsia="Garamond" w:hAnsi="Garamond" w:cs="Garamond"/>
          <w:sz w:val="22"/>
          <w:szCs w:val="22"/>
        </w:rPr>
      </w:pPr>
      <w:r>
        <w:rPr>
          <w:rFonts w:ascii="Garamond" w:eastAsia="Garamond" w:hAnsi="Garamond" w:cs="Garamond"/>
          <w:b/>
          <w:i/>
          <w:sz w:val="22"/>
          <w:szCs w:val="22"/>
          <w:u w:val="single"/>
        </w:rPr>
        <w:t>Direction:</w:t>
      </w:r>
    </w:p>
    <w:p w14:paraId="00000040" w14:textId="77777777" w:rsidR="006E70A0" w:rsidRDefault="007D3A82">
      <w:pPr>
        <w:numPr>
          <w:ilvl w:val="0"/>
          <w:numId w:val="1"/>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Outcome</w:t>
      </w:r>
      <w:r>
        <w:rPr>
          <w:rFonts w:ascii="Garamond" w:eastAsia="Garamond" w:hAnsi="Garamond" w:cs="Garamond"/>
          <w:color w:val="000000"/>
          <w:sz w:val="22"/>
          <w:szCs w:val="22"/>
        </w:rPr>
        <w:t>: Expands Expression</w:t>
      </w:r>
    </w:p>
    <w:p w14:paraId="00000041" w14:textId="77777777" w:rsidR="006E70A0" w:rsidRDefault="007D3A82">
      <w:pPr>
        <w:pBdr>
          <w:top w:val="nil"/>
          <w:left w:val="nil"/>
          <w:bottom w:val="nil"/>
          <w:right w:val="nil"/>
          <w:between w:val="nil"/>
        </w:pBdr>
        <w:ind w:left="720"/>
        <w:rPr>
          <w:rFonts w:ascii="Garamond" w:eastAsia="Garamond" w:hAnsi="Garamond" w:cs="Garamond"/>
          <w:sz w:val="22"/>
          <w:szCs w:val="22"/>
        </w:rPr>
      </w:pPr>
      <w:r>
        <w:rPr>
          <w:rFonts w:ascii="Garamond" w:eastAsia="Garamond" w:hAnsi="Garamond" w:cs="Garamond"/>
          <w:sz w:val="22"/>
          <w:szCs w:val="22"/>
        </w:rPr>
        <w:t>The ECtHR decision expands freedom of expression by emphasizing the promotion of free political debate is an essential feature in a democratic society. Likewise, the Court underlined that allowing broad restrictions on political speech</w:t>
      </w:r>
      <w:r>
        <w:rPr>
          <w:rFonts w:ascii="Garamond" w:eastAsia="Garamond" w:hAnsi="Garamond" w:cs="Garamond"/>
          <w:sz w:val="22"/>
          <w:szCs w:val="22"/>
        </w:rPr>
        <w:t xml:space="preserve"> in individual cases would undoubtedly affect freedom of expression. </w:t>
      </w:r>
    </w:p>
    <w:p w14:paraId="00000042" w14:textId="77777777" w:rsidR="006E70A0" w:rsidRDefault="006E70A0">
      <w:pPr>
        <w:pBdr>
          <w:top w:val="nil"/>
          <w:left w:val="nil"/>
          <w:bottom w:val="nil"/>
          <w:right w:val="nil"/>
          <w:between w:val="nil"/>
        </w:pBdr>
        <w:rPr>
          <w:rFonts w:ascii="Garamond" w:eastAsia="Garamond" w:hAnsi="Garamond" w:cs="Garamond"/>
          <w:sz w:val="22"/>
          <w:szCs w:val="22"/>
        </w:rPr>
      </w:pPr>
    </w:p>
    <w:p w14:paraId="00000043" w14:textId="77777777" w:rsidR="006E70A0" w:rsidRDefault="006E70A0">
      <w:pPr>
        <w:pBdr>
          <w:top w:val="nil"/>
          <w:left w:val="nil"/>
          <w:bottom w:val="nil"/>
          <w:right w:val="nil"/>
          <w:between w:val="nil"/>
        </w:pBdr>
        <w:rPr>
          <w:rFonts w:ascii="Garamond" w:eastAsia="Garamond" w:hAnsi="Garamond" w:cs="Garamond"/>
          <w:b/>
          <w:i/>
          <w:sz w:val="22"/>
          <w:szCs w:val="22"/>
          <w:u w:val="single"/>
        </w:rPr>
      </w:pPr>
    </w:p>
    <w:p w14:paraId="00000044" w14:textId="77777777" w:rsidR="006E70A0" w:rsidRDefault="007D3A82">
      <w:pPr>
        <w:pBdr>
          <w:top w:val="nil"/>
          <w:left w:val="nil"/>
          <w:bottom w:val="nil"/>
          <w:right w:val="nil"/>
          <w:between w:val="nil"/>
        </w:pBdr>
        <w:rPr>
          <w:rFonts w:ascii="Garamond" w:eastAsia="Garamond" w:hAnsi="Garamond" w:cs="Garamond"/>
          <w:sz w:val="22"/>
          <w:szCs w:val="22"/>
        </w:rPr>
      </w:pPr>
      <w:r>
        <w:rPr>
          <w:rFonts w:ascii="Garamond" w:eastAsia="Garamond" w:hAnsi="Garamond" w:cs="Garamond"/>
          <w:b/>
          <w:i/>
          <w:sz w:val="22"/>
          <w:szCs w:val="22"/>
          <w:u w:val="single"/>
        </w:rPr>
        <w:t>Perspective</w:t>
      </w:r>
      <w:r>
        <w:rPr>
          <w:rFonts w:ascii="Garamond" w:eastAsia="Garamond" w:hAnsi="Garamond" w:cs="Garamond"/>
          <w:sz w:val="22"/>
          <w:szCs w:val="22"/>
        </w:rPr>
        <w:t xml:space="preserve">: </w:t>
      </w:r>
    </w:p>
    <w:p w14:paraId="00000045" w14:textId="77777777" w:rsidR="006E70A0" w:rsidRDefault="006E70A0">
      <w:pPr>
        <w:spacing w:line="276" w:lineRule="auto"/>
        <w:jc w:val="both"/>
        <w:rPr>
          <w:rFonts w:ascii="Garamond" w:eastAsia="Garamond" w:hAnsi="Garamond" w:cs="Garamond"/>
          <w:sz w:val="22"/>
          <w:szCs w:val="22"/>
        </w:rPr>
      </w:pPr>
    </w:p>
    <w:p w14:paraId="00000046" w14:textId="77777777" w:rsidR="006E70A0" w:rsidRDefault="007D3A82">
      <w:pPr>
        <w:numPr>
          <w:ilvl w:val="0"/>
          <w:numId w:val="9"/>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Related International and/or regional laws</w:t>
      </w:r>
      <w:r>
        <w:rPr>
          <w:rFonts w:ascii="Garamond" w:eastAsia="Garamond" w:hAnsi="Garamond" w:cs="Garamond"/>
          <w:color w:val="000000"/>
          <w:sz w:val="22"/>
          <w:szCs w:val="22"/>
        </w:rPr>
        <w:t xml:space="preserve">: </w:t>
      </w:r>
    </w:p>
    <w:p w14:paraId="00000047" w14:textId="77777777" w:rsidR="006E70A0" w:rsidRDefault="006E70A0">
      <w:pPr>
        <w:pBdr>
          <w:top w:val="nil"/>
          <w:left w:val="nil"/>
          <w:bottom w:val="nil"/>
          <w:right w:val="nil"/>
          <w:between w:val="nil"/>
        </w:pBdr>
        <w:spacing w:line="276" w:lineRule="auto"/>
        <w:ind w:left="501"/>
        <w:jc w:val="both"/>
        <w:rPr>
          <w:rFonts w:ascii="Garamond" w:eastAsia="Garamond" w:hAnsi="Garamond" w:cs="Garamond"/>
          <w:color w:val="000000"/>
          <w:sz w:val="22"/>
          <w:szCs w:val="22"/>
          <w:u w:val="single"/>
        </w:rPr>
      </w:pPr>
    </w:p>
    <w:p w14:paraId="00000048" w14:textId="77777777" w:rsidR="006E70A0" w:rsidRDefault="007D3A82">
      <w:pPr>
        <w:numPr>
          <w:ilvl w:val="0"/>
          <w:numId w:val="7"/>
        </w:numPr>
        <w:pBdr>
          <w:top w:val="nil"/>
          <w:left w:val="nil"/>
          <w:bottom w:val="nil"/>
          <w:right w:val="nil"/>
          <w:between w:val="nil"/>
        </w:pBdr>
        <w:spacing w:line="276" w:lineRule="auto"/>
        <w:jc w:val="both"/>
        <w:rPr>
          <w:rFonts w:ascii="Garamond" w:eastAsia="Garamond" w:hAnsi="Garamond" w:cs="Garamond"/>
          <w:b/>
          <w:color w:val="0563C1"/>
        </w:rPr>
      </w:pPr>
      <w:hyperlink r:id="rId8">
        <w:r>
          <w:rPr>
            <w:rFonts w:ascii="Garamond" w:eastAsia="Garamond" w:hAnsi="Garamond" w:cs="Garamond"/>
            <w:b/>
            <w:color w:val="0563C1"/>
            <w:u w:val="single"/>
          </w:rPr>
          <w:t xml:space="preserve">ECHR, art. </w:t>
        </w:r>
      </w:hyperlink>
      <w:hyperlink r:id="rId9">
        <w:r>
          <w:rPr>
            <w:rFonts w:ascii="Garamond" w:eastAsia="Garamond" w:hAnsi="Garamond" w:cs="Garamond"/>
            <w:b/>
            <w:color w:val="0563C1"/>
            <w:u w:val="single"/>
          </w:rPr>
          <w:t>9</w:t>
        </w:r>
      </w:hyperlink>
      <w:r>
        <w:rPr>
          <w:rFonts w:ascii="Garamond" w:eastAsia="Garamond" w:hAnsi="Garamond" w:cs="Garamond"/>
          <w:b/>
          <w:color w:val="0563C1"/>
        </w:rPr>
        <w:t xml:space="preserve"> </w:t>
      </w:r>
    </w:p>
    <w:p w14:paraId="00000049" w14:textId="77777777" w:rsidR="006E70A0" w:rsidRDefault="007D3A82">
      <w:pPr>
        <w:numPr>
          <w:ilvl w:val="0"/>
          <w:numId w:val="7"/>
        </w:numPr>
        <w:spacing w:line="276" w:lineRule="auto"/>
        <w:jc w:val="both"/>
        <w:rPr>
          <w:rFonts w:ascii="Garamond" w:eastAsia="Garamond" w:hAnsi="Garamond" w:cs="Garamond"/>
          <w:b/>
          <w:color w:val="0563C1"/>
        </w:rPr>
      </w:pPr>
      <w:hyperlink r:id="rId10">
        <w:r>
          <w:rPr>
            <w:rFonts w:ascii="Garamond" w:eastAsia="Garamond" w:hAnsi="Garamond" w:cs="Garamond"/>
            <w:b/>
            <w:color w:val="0563C1"/>
            <w:u w:val="single"/>
          </w:rPr>
          <w:t>ECHR, art. 10</w:t>
        </w:r>
      </w:hyperlink>
      <w:r>
        <w:rPr>
          <w:rFonts w:ascii="Garamond" w:eastAsia="Garamond" w:hAnsi="Garamond" w:cs="Garamond"/>
          <w:b/>
          <w:color w:val="0563C1"/>
        </w:rPr>
        <w:t xml:space="preserve"> </w:t>
      </w:r>
    </w:p>
    <w:p w14:paraId="0000004A" w14:textId="77777777" w:rsidR="006E70A0" w:rsidRDefault="007D3A82">
      <w:pPr>
        <w:numPr>
          <w:ilvl w:val="0"/>
          <w:numId w:val="7"/>
        </w:numPr>
        <w:spacing w:line="276" w:lineRule="auto"/>
        <w:jc w:val="both"/>
        <w:rPr>
          <w:rFonts w:ascii="Garamond" w:eastAsia="Garamond" w:hAnsi="Garamond" w:cs="Garamond"/>
          <w:b/>
          <w:color w:val="0563C1"/>
        </w:rPr>
      </w:pPr>
      <w:hyperlink r:id="rId11">
        <w:r>
          <w:rPr>
            <w:rFonts w:ascii="Garamond" w:eastAsia="Garamond" w:hAnsi="Garamond" w:cs="Garamond"/>
            <w:b/>
            <w:color w:val="0563C1"/>
            <w:u w:val="single"/>
          </w:rPr>
          <w:t>ECHR, art. 14</w:t>
        </w:r>
      </w:hyperlink>
      <w:r>
        <w:rPr>
          <w:rFonts w:ascii="Garamond" w:eastAsia="Garamond" w:hAnsi="Garamond" w:cs="Garamond"/>
          <w:b/>
          <w:color w:val="0563C1"/>
        </w:rPr>
        <w:t xml:space="preserve"> </w:t>
      </w:r>
    </w:p>
    <w:p w14:paraId="0000004B" w14:textId="77777777" w:rsidR="006E70A0" w:rsidRDefault="007D3A82">
      <w:pPr>
        <w:numPr>
          <w:ilvl w:val="0"/>
          <w:numId w:val="7"/>
        </w:numPr>
        <w:spacing w:line="276" w:lineRule="auto"/>
        <w:jc w:val="both"/>
        <w:rPr>
          <w:rFonts w:ascii="Garamond" w:eastAsia="Garamond" w:hAnsi="Garamond" w:cs="Garamond"/>
          <w:b/>
          <w:color w:val="0563C1"/>
        </w:rPr>
      </w:pPr>
      <w:hyperlink r:id="rId12">
        <w:r>
          <w:rPr>
            <w:rFonts w:ascii="Garamond" w:eastAsia="Garamond" w:hAnsi="Garamond" w:cs="Garamond"/>
            <w:b/>
            <w:color w:val="1155CC"/>
            <w:u w:val="single"/>
          </w:rPr>
          <w:t>ECHR, art. 40</w:t>
        </w:r>
      </w:hyperlink>
    </w:p>
    <w:p w14:paraId="0000004C" w14:textId="77777777" w:rsidR="006E70A0" w:rsidRDefault="007D3A82">
      <w:pPr>
        <w:numPr>
          <w:ilvl w:val="0"/>
          <w:numId w:val="7"/>
        </w:numPr>
        <w:spacing w:line="276" w:lineRule="auto"/>
        <w:jc w:val="both"/>
        <w:rPr>
          <w:rFonts w:ascii="Garamond" w:eastAsia="Garamond" w:hAnsi="Garamond" w:cs="Garamond"/>
          <w:b/>
          <w:color w:val="0563C1"/>
        </w:rPr>
      </w:pPr>
      <w:hyperlink r:id="rId13">
        <w:proofErr w:type="gramStart"/>
        <w:r>
          <w:rPr>
            <w:rFonts w:ascii="Garamond" w:eastAsia="Garamond" w:hAnsi="Garamond" w:cs="Garamond"/>
            <w:b/>
            <w:color w:val="1155CC"/>
            <w:u w:val="single"/>
          </w:rPr>
          <w:t>ECtHR,De</w:t>
        </w:r>
        <w:proofErr w:type="gramEnd"/>
        <w:r>
          <w:rPr>
            <w:rFonts w:ascii="Garamond" w:eastAsia="Garamond" w:hAnsi="Garamond" w:cs="Garamond"/>
            <w:b/>
            <w:color w:val="1155CC"/>
            <w:u w:val="single"/>
          </w:rPr>
          <w:t xml:space="preserve"> Haes and Gijsels v. </w:t>
        </w:r>
        <w:r>
          <w:rPr>
            <w:rFonts w:ascii="Garamond" w:eastAsia="Garamond" w:hAnsi="Garamond" w:cs="Garamond"/>
            <w:b/>
            <w:color w:val="1155CC"/>
            <w:u w:val="single"/>
          </w:rPr>
          <w:t>Belgium, App.No. 19983/92 (1997)</w:t>
        </w:r>
      </w:hyperlink>
    </w:p>
    <w:p w14:paraId="0000004D" w14:textId="77777777" w:rsidR="006E70A0" w:rsidRDefault="007D3A82">
      <w:pPr>
        <w:numPr>
          <w:ilvl w:val="0"/>
          <w:numId w:val="7"/>
        </w:numPr>
        <w:spacing w:line="276" w:lineRule="auto"/>
        <w:jc w:val="both"/>
        <w:rPr>
          <w:rFonts w:ascii="Garamond" w:eastAsia="Garamond" w:hAnsi="Garamond" w:cs="Garamond"/>
          <w:b/>
          <w:color w:val="0563C1"/>
        </w:rPr>
      </w:pPr>
      <w:hyperlink r:id="rId14">
        <w:proofErr w:type="gramStart"/>
        <w:r>
          <w:rPr>
            <w:rFonts w:ascii="Garamond" w:eastAsia="Garamond" w:hAnsi="Garamond" w:cs="Garamond"/>
            <w:b/>
            <w:color w:val="1155CC"/>
            <w:u w:val="single"/>
          </w:rPr>
          <w:t>ECtHR,Lingens</w:t>
        </w:r>
        <w:proofErr w:type="gramEnd"/>
        <w:r>
          <w:rPr>
            <w:rFonts w:ascii="Garamond" w:eastAsia="Garamond" w:hAnsi="Garamond" w:cs="Garamond"/>
            <w:b/>
            <w:color w:val="1155CC"/>
            <w:u w:val="single"/>
          </w:rPr>
          <w:t xml:space="preserve"> v. Austria, App.No. 9815/82 (1986)</w:t>
        </w:r>
      </w:hyperlink>
    </w:p>
    <w:p w14:paraId="0000004E" w14:textId="77777777" w:rsidR="006E70A0" w:rsidRDefault="007D3A82">
      <w:pPr>
        <w:numPr>
          <w:ilvl w:val="0"/>
          <w:numId w:val="7"/>
        </w:numPr>
        <w:spacing w:line="276" w:lineRule="auto"/>
        <w:jc w:val="both"/>
        <w:rPr>
          <w:rFonts w:ascii="Garamond" w:eastAsia="Garamond" w:hAnsi="Garamond" w:cs="Garamond"/>
          <w:b/>
          <w:color w:val="0563C1"/>
        </w:rPr>
      </w:pPr>
      <w:hyperlink r:id="rId15">
        <w:proofErr w:type="gramStart"/>
        <w:r>
          <w:rPr>
            <w:rFonts w:ascii="Garamond" w:eastAsia="Garamond" w:hAnsi="Garamond" w:cs="Garamond"/>
            <w:b/>
            <w:color w:val="1155CC"/>
            <w:u w:val="single"/>
          </w:rPr>
          <w:t>ECtHR,Nilsen</w:t>
        </w:r>
        <w:proofErr w:type="gramEnd"/>
        <w:r>
          <w:rPr>
            <w:rFonts w:ascii="Garamond" w:eastAsia="Garamond" w:hAnsi="Garamond" w:cs="Garamond"/>
            <w:b/>
            <w:color w:val="1155CC"/>
            <w:u w:val="single"/>
          </w:rPr>
          <w:t xml:space="preserve"> and Johnsen v. Norway [GC], App.No. 23118/93 (1993)</w:t>
        </w:r>
      </w:hyperlink>
    </w:p>
    <w:p w14:paraId="0000004F" w14:textId="77777777" w:rsidR="006E70A0" w:rsidRDefault="007D3A82">
      <w:pPr>
        <w:numPr>
          <w:ilvl w:val="0"/>
          <w:numId w:val="7"/>
        </w:numPr>
        <w:spacing w:line="276" w:lineRule="auto"/>
        <w:jc w:val="both"/>
        <w:rPr>
          <w:rFonts w:ascii="Garamond" w:eastAsia="Garamond" w:hAnsi="Garamond" w:cs="Garamond"/>
          <w:b/>
          <w:color w:val="0563C1"/>
        </w:rPr>
      </w:pPr>
      <w:hyperlink r:id="rId16">
        <w:proofErr w:type="gramStart"/>
        <w:r>
          <w:rPr>
            <w:rFonts w:ascii="Garamond" w:eastAsia="Garamond" w:hAnsi="Garamond" w:cs="Garamond"/>
            <w:b/>
            <w:color w:val="1155CC"/>
            <w:u w:val="single"/>
          </w:rPr>
          <w:t>ECtHR,Prager</w:t>
        </w:r>
        <w:proofErr w:type="gramEnd"/>
        <w:r>
          <w:rPr>
            <w:rFonts w:ascii="Garamond" w:eastAsia="Garamond" w:hAnsi="Garamond" w:cs="Garamond"/>
            <w:b/>
            <w:color w:val="1155CC"/>
            <w:u w:val="single"/>
          </w:rPr>
          <w:t xml:space="preserve"> and Oberschlick v. Austria, App.No. 15974/90 (1995)</w:t>
        </w:r>
      </w:hyperlink>
    </w:p>
    <w:p w14:paraId="00000050" w14:textId="77777777" w:rsidR="006E70A0" w:rsidRDefault="007D3A82">
      <w:pPr>
        <w:numPr>
          <w:ilvl w:val="0"/>
          <w:numId w:val="7"/>
        </w:numPr>
        <w:shd w:val="clear" w:color="auto" w:fill="FFFFFF"/>
        <w:spacing w:line="276" w:lineRule="auto"/>
        <w:ind w:right="-220"/>
        <w:jc w:val="both"/>
        <w:rPr>
          <w:rFonts w:ascii="Garamond" w:eastAsia="Garamond" w:hAnsi="Garamond" w:cs="Garamond"/>
          <w:b/>
          <w:color w:val="0563C1"/>
        </w:rPr>
      </w:pPr>
      <w:hyperlink r:id="rId17">
        <w:r>
          <w:rPr>
            <w:rFonts w:ascii="Garamond" w:eastAsia="Garamond" w:hAnsi="Garamond" w:cs="Garamond"/>
            <w:b/>
            <w:color w:val="1155CC"/>
            <w:u w:val="single"/>
          </w:rPr>
          <w:t>ECtHR, Incal v. Turkey, App.No. 41/1997/825/1031 (1998)</w:t>
        </w:r>
      </w:hyperlink>
    </w:p>
    <w:p w14:paraId="00000051" w14:textId="77777777" w:rsidR="006E70A0" w:rsidRDefault="007D3A82">
      <w:pPr>
        <w:numPr>
          <w:ilvl w:val="0"/>
          <w:numId w:val="7"/>
        </w:numPr>
        <w:shd w:val="clear" w:color="auto" w:fill="FFFFFF"/>
        <w:spacing w:line="276" w:lineRule="auto"/>
        <w:ind w:right="-220"/>
        <w:jc w:val="both"/>
        <w:rPr>
          <w:rFonts w:ascii="Garamond" w:eastAsia="Garamond" w:hAnsi="Garamond" w:cs="Garamond"/>
          <w:b/>
          <w:color w:val="0563C1"/>
        </w:rPr>
      </w:pPr>
      <w:hyperlink r:id="rId18" w:anchor="%7B%22fulltext%22:%5B%22Jecius%20v.%20Lithuania%22%5D,%22documentcollectionid2%22:%5B%22GRANDCHAMBER%22,%22CHAMBER%22%5D%7D">
        <w:r>
          <w:rPr>
            <w:rFonts w:ascii="Garamond" w:eastAsia="Garamond" w:hAnsi="Garamond" w:cs="Garamond"/>
            <w:b/>
            <w:color w:val="1155CC"/>
            <w:u w:val="single"/>
          </w:rPr>
          <w:t>ECtHR, Jecius v. Lith</w:t>
        </w:r>
        <w:r>
          <w:rPr>
            <w:rFonts w:ascii="Garamond" w:eastAsia="Garamond" w:hAnsi="Garamond" w:cs="Garamond"/>
            <w:b/>
            <w:color w:val="1155CC"/>
            <w:u w:val="single"/>
          </w:rPr>
          <w:t xml:space="preserve">uania, App. No. 34578/97 (2000) </w:t>
        </w:r>
      </w:hyperlink>
    </w:p>
    <w:p w14:paraId="00000052" w14:textId="77777777" w:rsidR="006E70A0" w:rsidRDefault="007D3A82">
      <w:pPr>
        <w:numPr>
          <w:ilvl w:val="0"/>
          <w:numId w:val="7"/>
        </w:numPr>
        <w:shd w:val="clear" w:color="auto" w:fill="FFFFFF"/>
        <w:spacing w:line="276" w:lineRule="auto"/>
        <w:ind w:right="-220"/>
        <w:jc w:val="both"/>
        <w:rPr>
          <w:rFonts w:ascii="Garamond" w:eastAsia="Garamond" w:hAnsi="Garamond" w:cs="Garamond"/>
          <w:b/>
          <w:color w:val="0563C1"/>
        </w:rPr>
      </w:pPr>
      <w:hyperlink r:id="rId19">
        <w:r>
          <w:rPr>
            <w:rFonts w:ascii="Garamond" w:eastAsia="Garamond" w:hAnsi="Garamond" w:cs="Garamond"/>
            <w:b/>
            <w:color w:val="1155CC"/>
            <w:u w:val="single"/>
          </w:rPr>
          <w:t>ECtHR, Jerusalem v. Austria, no. 26958/95 (2001)</w:t>
        </w:r>
      </w:hyperlink>
    </w:p>
    <w:p w14:paraId="00000053" w14:textId="77777777" w:rsidR="006E70A0" w:rsidRDefault="007D3A82">
      <w:pPr>
        <w:numPr>
          <w:ilvl w:val="0"/>
          <w:numId w:val="7"/>
        </w:numPr>
        <w:shd w:val="clear" w:color="auto" w:fill="FFFFFF"/>
        <w:spacing w:line="276" w:lineRule="auto"/>
        <w:ind w:right="-220"/>
        <w:jc w:val="both"/>
        <w:rPr>
          <w:rFonts w:ascii="Garamond" w:eastAsia="Garamond" w:hAnsi="Garamond" w:cs="Garamond"/>
          <w:b/>
          <w:color w:val="0563C1"/>
        </w:rPr>
      </w:pPr>
      <w:hyperlink r:id="rId20">
        <w:r>
          <w:rPr>
            <w:rFonts w:ascii="Garamond" w:eastAsia="Garamond" w:hAnsi="Garamond" w:cs="Garamond"/>
            <w:b/>
            <w:color w:val="1155CC"/>
            <w:u w:val="single"/>
          </w:rPr>
          <w:t xml:space="preserve">ECtHR, Lehideux and Isorni v. France, App.No. 24662/94 (1998) </w:t>
        </w:r>
      </w:hyperlink>
    </w:p>
    <w:p w14:paraId="00000054" w14:textId="77777777" w:rsidR="006E70A0" w:rsidRDefault="007D3A82">
      <w:pPr>
        <w:numPr>
          <w:ilvl w:val="0"/>
          <w:numId w:val="7"/>
        </w:numPr>
        <w:shd w:val="clear" w:color="auto" w:fill="FFFFFF"/>
        <w:spacing w:line="276" w:lineRule="auto"/>
        <w:ind w:right="-220"/>
        <w:jc w:val="both"/>
        <w:rPr>
          <w:rFonts w:ascii="Garamond" w:eastAsia="Garamond" w:hAnsi="Garamond" w:cs="Garamond"/>
          <w:b/>
          <w:color w:val="0563C1"/>
        </w:rPr>
      </w:pPr>
      <w:hyperlink r:id="rId21" w:anchor="%7B%22appno%22:%5B%2225390/94%22%5D%7D">
        <w:r>
          <w:rPr>
            <w:rFonts w:ascii="Garamond" w:eastAsia="Garamond" w:hAnsi="Garamond" w:cs="Garamond"/>
            <w:b/>
            <w:color w:val="1155CC"/>
            <w:u w:val="single"/>
          </w:rPr>
          <w:t>ECtHR, Rekvényi v. Hungary [GC</w:t>
        </w:r>
        <w:proofErr w:type="gramStart"/>
        <w:r>
          <w:rPr>
            <w:rFonts w:ascii="Garamond" w:eastAsia="Garamond" w:hAnsi="Garamond" w:cs="Garamond"/>
            <w:b/>
            <w:color w:val="1155CC"/>
            <w:u w:val="single"/>
          </w:rPr>
          <w:t>],App.</w:t>
        </w:r>
        <w:proofErr w:type="gramEnd"/>
        <w:r>
          <w:rPr>
            <w:rFonts w:ascii="Garamond" w:eastAsia="Garamond" w:hAnsi="Garamond" w:cs="Garamond"/>
            <w:b/>
            <w:color w:val="1155CC"/>
            <w:u w:val="single"/>
          </w:rPr>
          <w:t xml:space="preserve"> No. 25390/94 (1999)</w:t>
        </w:r>
      </w:hyperlink>
    </w:p>
    <w:p w14:paraId="00000055" w14:textId="77777777" w:rsidR="006E70A0" w:rsidRDefault="007D3A82">
      <w:pPr>
        <w:numPr>
          <w:ilvl w:val="0"/>
          <w:numId w:val="7"/>
        </w:numPr>
        <w:shd w:val="clear" w:color="auto" w:fill="FFFFFF"/>
        <w:spacing w:line="276" w:lineRule="auto"/>
        <w:ind w:right="-220"/>
        <w:jc w:val="both"/>
        <w:rPr>
          <w:rFonts w:ascii="Garamond" w:eastAsia="Garamond" w:hAnsi="Garamond" w:cs="Garamond"/>
          <w:b/>
          <w:color w:val="0563C1"/>
        </w:rPr>
      </w:pPr>
      <w:hyperlink r:id="rId22">
        <w:r>
          <w:rPr>
            <w:rFonts w:ascii="Garamond" w:eastAsia="Garamond" w:hAnsi="Garamond" w:cs="Garamond"/>
            <w:b/>
            <w:color w:val="1155CC"/>
            <w:u w:val="single"/>
          </w:rPr>
          <w:t>ECtHR, Sürek v. Turkey (No. 1) [GC], App. No. 26682/95 (1999)</w:t>
        </w:r>
      </w:hyperlink>
    </w:p>
    <w:p w14:paraId="00000056" w14:textId="77777777" w:rsidR="006E70A0" w:rsidRDefault="007D3A82">
      <w:pPr>
        <w:numPr>
          <w:ilvl w:val="0"/>
          <w:numId w:val="7"/>
        </w:numPr>
        <w:shd w:val="clear" w:color="auto" w:fill="FFFFFF"/>
        <w:spacing w:line="276" w:lineRule="auto"/>
        <w:ind w:right="-220"/>
        <w:jc w:val="both"/>
        <w:rPr>
          <w:rFonts w:ascii="Garamond" w:eastAsia="Garamond" w:hAnsi="Garamond" w:cs="Garamond"/>
          <w:b/>
          <w:color w:val="0563C1"/>
        </w:rPr>
      </w:pPr>
      <w:hyperlink r:id="rId23">
        <w:r>
          <w:rPr>
            <w:rFonts w:ascii="Garamond" w:eastAsia="Garamond" w:hAnsi="Garamond" w:cs="Garamond"/>
            <w:b/>
            <w:color w:val="1155CC"/>
            <w:u w:val="single"/>
          </w:rPr>
          <w:t>ECtHR, Thoma v. Lux</w:t>
        </w:r>
        <w:r>
          <w:rPr>
            <w:rFonts w:ascii="Garamond" w:eastAsia="Garamond" w:hAnsi="Garamond" w:cs="Garamond"/>
            <w:b/>
            <w:color w:val="1155CC"/>
            <w:u w:val="single"/>
          </w:rPr>
          <w:t>embourg, No. 38432/97 (2001)</w:t>
        </w:r>
      </w:hyperlink>
    </w:p>
    <w:p w14:paraId="00000057" w14:textId="77777777" w:rsidR="006E70A0" w:rsidRDefault="007D3A82">
      <w:pPr>
        <w:numPr>
          <w:ilvl w:val="0"/>
          <w:numId w:val="7"/>
        </w:numPr>
        <w:shd w:val="clear" w:color="auto" w:fill="FFFFFF"/>
        <w:spacing w:line="276" w:lineRule="auto"/>
        <w:ind w:right="-220"/>
        <w:jc w:val="both"/>
        <w:rPr>
          <w:rFonts w:ascii="Garamond" w:eastAsia="Garamond" w:hAnsi="Garamond" w:cs="Garamond"/>
          <w:b/>
          <w:color w:val="0563C1"/>
        </w:rPr>
      </w:pPr>
      <w:hyperlink r:id="rId24">
        <w:r>
          <w:rPr>
            <w:rFonts w:ascii="Garamond" w:eastAsia="Garamond" w:hAnsi="Garamond" w:cs="Garamond"/>
            <w:b/>
            <w:color w:val="1155CC"/>
            <w:u w:val="single"/>
          </w:rPr>
          <w:t>ECtHR, Vogt v. Germany of 26, App.No.17851/91 (1995)</w:t>
        </w:r>
      </w:hyperlink>
    </w:p>
    <w:p w14:paraId="00000058" w14:textId="77777777" w:rsidR="006E70A0" w:rsidRDefault="006E70A0">
      <w:pPr>
        <w:shd w:val="clear" w:color="auto" w:fill="FFFFFF"/>
        <w:spacing w:line="276" w:lineRule="auto"/>
        <w:ind w:right="-220"/>
        <w:jc w:val="both"/>
        <w:rPr>
          <w:rFonts w:ascii="Arial" w:eastAsia="Arial" w:hAnsi="Arial" w:cs="Arial"/>
          <w:b/>
          <w:color w:val="0563C1"/>
          <w:sz w:val="17"/>
          <w:szCs w:val="17"/>
        </w:rPr>
      </w:pPr>
    </w:p>
    <w:p w14:paraId="00000059" w14:textId="77777777" w:rsidR="006E70A0" w:rsidRDefault="006E70A0">
      <w:pPr>
        <w:spacing w:line="276" w:lineRule="auto"/>
        <w:jc w:val="both"/>
        <w:rPr>
          <w:rFonts w:ascii="Garamond" w:eastAsia="Garamond" w:hAnsi="Garamond" w:cs="Garamond"/>
          <w:sz w:val="22"/>
          <w:szCs w:val="22"/>
        </w:rPr>
      </w:pPr>
    </w:p>
    <w:p w14:paraId="0000005A" w14:textId="77777777" w:rsidR="006E70A0" w:rsidRDefault="007D3A82">
      <w:pPr>
        <w:numPr>
          <w:ilvl w:val="0"/>
          <w:numId w:val="9"/>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National law or jurisprudence</w:t>
      </w:r>
      <w:r>
        <w:rPr>
          <w:rFonts w:ascii="Garamond" w:eastAsia="Garamond" w:hAnsi="Garamond" w:cs="Garamond"/>
          <w:color w:val="000000"/>
          <w:sz w:val="22"/>
          <w:szCs w:val="22"/>
        </w:rPr>
        <w:t>:</w:t>
      </w:r>
    </w:p>
    <w:p w14:paraId="0000005B" w14:textId="77777777" w:rsidR="006E70A0" w:rsidRDefault="007D3A82">
      <w:pPr>
        <w:numPr>
          <w:ilvl w:val="1"/>
          <w:numId w:val="9"/>
        </w:num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 xml:space="preserve">Slovakia, </w:t>
      </w:r>
      <w:r>
        <w:rPr>
          <w:rFonts w:ascii="Garamond" w:eastAsia="Garamond" w:hAnsi="Garamond" w:cs="Garamond"/>
          <w:sz w:val="22"/>
          <w:szCs w:val="22"/>
        </w:rPr>
        <w:t>Civil Code, Articles 11 and 13(1)</w:t>
      </w:r>
    </w:p>
    <w:p w14:paraId="0000005C" w14:textId="77777777" w:rsidR="006E70A0" w:rsidRDefault="006E70A0">
      <w:pPr>
        <w:pBdr>
          <w:top w:val="nil"/>
          <w:left w:val="nil"/>
          <w:bottom w:val="nil"/>
          <w:right w:val="nil"/>
          <w:between w:val="nil"/>
        </w:pBdr>
        <w:spacing w:line="276" w:lineRule="auto"/>
        <w:ind w:left="1080"/>
        <w:jc w:val="both"/>
        <w:rPr>
          <w:rFonts w:ascii="Garamond" w:eastAsia="Garamond" w:hAnsi="Garamond" w:cs="Garamond"/>
          <w:sz w:val="22"/>
          <w:szCs w:val="22"/>
        </w:rPr>
      </w:pPr>
    </w:p>
    <w:p w14:paraId="0000005D" w14:textId="77777777" w:rsidR="006E70A0" w:rsidRDefault="006E70A0">
      <w:pPr>
        <w:pBdr>
          <w:top w:val="nil"/>
          <w:left w:val="nil"/>
          <w:bottom w:val="nil"/>
          <w:right w:val="nil"/>
          <w:between w:val="nil"/>
        </w:pBdr>
        <w:spacing w:line="276" w:lineRule="auto"/>
        <w:ind w:left="360"/>
        <w:jc w:val="both"/>
        <w:rPr>
          <w:rFonts w:ascii="Garamond" w:eastAsia="Garamond" w:hAnsi="Garamond" w:cs="Garamond"/>
          <w:sz w:val="22"/>
          <w:szCs w:val="22"/>
        </w:rPr>
      </w:pPr>
    </w:p>
    <w:p w14:paraId="0000005E" w14:textId="77777777" w:rsidR="006E70A0" w:rsidRDefault="007D3A82">
      <w:pPr>
        <w:pBdr>
          <w:top w:val="nil"/>
          <w:left w:val="nil"/>
          <w:bottom w:val="nil"/>
          <w:right w:val="nil"/>
          <w:between w:val="nil"/>
        </w:pBdr>
        <w:spacing w:line="276" w:lineRule="auto"/>
        <w:ind w:left="360"/>
        <w:jc w:val="both"/>
        <w:rPr>
          <w:rFonts w:ascii="Garamond" w:eastAsia="Garamond" w:hAnsi="Garamond" w:cs="Garamond"/>
          <w:color w:val="000000"/>
          <w:sz w:val="22"/>
          <w:szCs w:val="22"/>
        </w:rPr>
      </w:pPr>
      <w:r>
        <w:rPr>
          <w:rFonts w:ascii="Garamond" w:eastAsia="Garamond" w:hAnsi="Garamond" w:cs="Garamond"/>
          <w:b/>
          <w:color w:val="000000"/>
          <w:sz w:val="22"/>
          <w:szCs w:val="22"/>
        </w:rPr>
        <w:t>Other national law or jurisprudence</w:t>
      </w:r>
      <w:r>
        <w:rPr>
          <w:rFonts w:ascii="Garamond" w:eastAsia="Garamond" w:hAnsi="Garamond" w:cs="Garamond"/>
          <w:color w:val="000000"/>
          <w:sz w:val="22"/>
          <w:szCs w:val="22"/>
        </w:rPr>
        <w:t xml:space="preserve">: </w:t>
      </w:r>
    </w:p>
    <w:p w14:paraId="0000005F" w14:textId="77777777" w:rsidR="006E70A0" w:rsidRDefault="007D3A82">
      <w:pPr>
        <w:numPr>
          <w:ilvl w:val="0"/>
          <w:numId w:val="5"/>
        </w:numPr>
        <w:pBdr>
          <w:top w:val="nil"/>
          <w:left w:val="nil"/>
          <w:bottom w:val="nil"/>
          <w:right w:val="nil"/>
          <w:between w:val="nil"/>
        </w:pBdr>
        <w:spacing w:line="276" w:lineRule="auto"/>
        <w:jc w:val="both"/>
        <w:rPr>
          <w:color w:val="000000"/>
          <w:sz w:val="22"/>
          <w:szCs w:val="22"/>
        </w:rPr>
      </w:pPr>
      <w:r>
        <w:rPr>
          <w:rFonts w:ascii="Garamond" w:eastAsia="Garamond" w:hAnsi="Garamond" w:cs="Garamond"/>
          <w:b/>
          <w:sz w:val="22"/>
          <w:szCs w:val="22"/>
        </w:rPr>
        <w:t>N/A</w:t>
      </w:r>
    </w:p>
    <w:p w14:paraId="00000060" w14:textId="77777777" w:rsidR="006E70A0" w:rsidRDefault="006E70A0">
      <w:pPr>
        <w:spacing w:line="276" w:lineRule="auto"/>
        <w:jc w:val="both"/>
        <w:rPr>
          <w:rFonts w:ascii="Garamond" w:eastAsia="Garamond" w:hAnsi="Garamond" w:cs="Garamond"/>
          <w:sz w:val="22"/>
          <w:szCs w:val="22"/>
        </w:rPr>
      </w:pPr>
    </w:p>
    <w:p w14:paraId="00000061" w14:textId="77777777" w:rsidR="006E70A0" w:rsidRDefault="007D3A82">
      <w:pPr>
        <w:spacing w:line="276" w:lineRule="auto"/>
        <w:jc w:val="both"/>
        <w:rPr>
          <w:rFonts w:ascii="Garamond" w:eastAsia="Garamond" w:hAnsi="Garamond" w:cs="Garamond"/>
          <w:sz w:val="22"/>
          <w:szCs w:val="22"/>
        </w:rPr>
      </w:pPr>
      <w:r>
        <w:rPr>
          <w:rFonts w:ascii="Garamond" w:eastAsia="Garamond" w:hAnsi="Garamond" w:cs="Garamond"/>
          <w:b/>
          <w:i/>
          <w:sz w:val="22"/>
          <w:szCs w:val="22"/>
          <w:u w:val="single"/>
        </w:rPr>
        <w:t>Significance</w:t>
      </w:r>
      <w:r>
        <w:rPr>
          <w:rFonts w:ascii="Garamond" w:eastAsia="Garamond" w:hAnsi="Garamond" w:cs="Garamond"/>
          <w:sz w:val="22"/>
          <w:szCs w:val="22"/>
        </w:rPr>
        <w:t xml:space="preserve">: </w:t>
      </w:r>
    </w:p>
    <w:p w14:paraId="00000062" w14:textId="77777777" w:rsidR="006E70A0" w:rsidRDefault="007D3A82">
      <w:pPr>
        <w:numPr>
          <w:ilvl w:val="0"/>
          <w:numId w:val="8"/>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The decision establishes a binding or persuasive precedent within its jurisdiction.</w:t>
      </w:r>
    </w:p>
    <w:p w14:paraId="00000063" w14:textId="77777777" w:rsidR="006E70A0" w:rsidRDefault="006E70A0">
      <w:pPr>
        <w:spacing w:line="276" w:lineRule="auto"/>
        <w:jc w:val="both"/>
        <w:rPr>
          <w:rFonts w:ascii="Garamond" w:eastAsia="Garamond" w:hAnsi="Garamond" w:cs="Garamond"/>
          <w:sz w:val="22"/>
          <w:szCs w:val="22"/>
        </w:rPr>
      </w:pPr>
    </w:p>
    <w:p w14:paraId="00000064" w14:textId="77777777" w:rsidR="006E70A0" w:rsidRDefault="007D3A82">
      <w:pPr>
        <w:numPr>
          <w:ilvl w:val="0"/>
          <w:numId w:val="8"/>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Related Cases</w:t>
      </w:r>
      <w:r>
        <w:rPr>
          <w:rFonts w:ascii="Garamond" w:eastAsia="Garamond" w:hAnsi="Garamond" w:cs="Garamond"/>
          <w:color w:val="000000"/>
          <w:sz w:val="22"/>
          <w:szCs w:val="22"/>
        </w:rPr>
        <w:t>: Self-generated</w:t>
      </w:r>
    </w:p>
    <w:p w14:paraId="00000065" w14:textId="77777777" w:rsidR="006E70A0" w:rsidRDefault="006E70A0">
      <w:pPr>
        <w:pBdr>
          <w:top w:val="nil"/>
          <w:left w:val="nil"/>
          <w:bottom w:val="nil"/>
          <w:right w:val="nil"/>
          <w:between w:val="nil"/>
        </w:pBdr>
        <w:spacing w:line="276" w:lineRule="auto"/>
        <w:ind w:left="360"/>
        <w:jc w:val="both"/>
        <w:rPr>
          <w:rFonts w:ascii="Garamond" w:eastAsia="Garamond" w:hAnsi="Garamond" w:cs="Garamond"/>
          <w:color w:val="000000"/>
          <w:sz w:val="22"/>
          <w:szCs w:val="22"/>
        </w:rPr>
      </w:pPr>
    </w:p>
    <w:p w14:paraId="00000066" w14:textId="77777777" w:rsidR="006E70A0" w:rsidRDefault="007D3A82">
      <w:pPr>
        <w:numPr>
          <w:ilvl w:val="0"/>
          <w:numId w:val="8"/>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Date updated</w:t>
      </w:r>
      <w:r>
        <w:rPr>
          <w:rFonts w:ascii="Garamond" w:eastAsia="Garamond" w:hAnsi="Garamond" w:cs="Garamond"/>
          <w:color w:val="000000"/>
          <w:sz w:val="22"/>
          <w:szCs w:val="22"/>
        </w:rPr>
        <w:t>: N/A</w:t>
      </w:r>
    </w:p>
    <w:p w14:paraId="00000067" w14:textId="77777777" w:rsidR="006E70A0" w:rsidRDefault="006E70A0">
      <w:pPr>
        <w:spacing w:line="276" w:lineRule="auto"/>
        <w:jc w:val="both"/>
        <w:rPr>
          <w:rFonts w:ascii="Garamond" w:eastAsia="Garamond" w:hAnsi="Garamond" w:cs="Garamond"/>
          <w:sz w:val="22"/>
          <w:szCs w:val="22"/>
        </w:rPr>
      </w:pPr>
    </w:p>
    <w:p w14:paraId="00000068" w14:textId="77777777" w:rsidR="006E70A0" w:rsidRDefault="007D3A82">
      <w:pPr>
        <w:spacing w:line="276" w:lineRule="auto"/>
        <w:jc w:val="both"/>
        <w:rPr>
          <w:rFonts w:ascii="Garamond" w:eastAsia="Garamond" w:hAnsi="Garamond" w:cs="Garamond"/>
          <w:sz w:val="22"/>
          <w:szCs w:val="22"/>
        </w:rPr>
      </w:pPr>
      <w:r>
        <w:rPr>
          <w:rFonts w:ascii="Garamond" w:eastAsia="Garamond" w:hAnsi="Garamond" w:cs="Garamond"/>
          <w:b/>
          <w:i/>
          <w:sz w:val="22"/>
          <w:szCs w:val="22"/>
          <w:u w:val="single"/>
        </w:rPr>
        <w:t>Docs</w:t>
      </w:r>
      <w:r>
        <w:rPr>
          <w:rFonts w:ascii="Garamond" w:eastAsia="Garamond" w:hAnsi="Garamond" w:cs="Garamond"/>
          <w:sz w:val="22"/>
          <w:szCs w:val="22"/>
        </w:rPr>
        <w:t xml:space="preserve">: </w:t>
      </w:r>
    </w:p>
    <w:p w14:paraId="00000069" w14:textId="77777777" w:rsidR="006E70A0" w:rsidRDefault="007D3A82">
      <w:pPr>
        <w:numPr>
          <w:ilvl w:val="0"/>
          <w:numId w:val="4"/>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Official Case Documents</w:t>
      </w:r>
      <w:r>
        <w:rPr>
          <w:rFonts w:ascii="Garamond" w:eastAsia="Garamond" w:hAnsi="Garamond" w:cs="Garamond"/>
          <w:color w:val="000000"/>
          <w:sz w:val="22"/>
          <w:szCs w:val="22"/>
        </w:rPr>
        <w:t xml:space="preserve">: </w:t>
      </w:r>
    </w:p>
    <w:p w14:paraId="0000006A" w14:textId="77777777" w:rsidR="006E70A0" w:rsidRDefault="007D3A82">
      <w:pPr>
        <w:pBdr>
          <w:top w:val="nil"/>
          <w:left w:val="nil"/>
          <w:bottom w:val="nil"/>
          <w:right w:val="nil"/>
          <w:between w:val="nil"/>
        </w:pBdr>
        <w:spacing w:line="276" w:lineRule="auto"/>
        <w:ind w:left="360"/>
        <w:jc w:val="both"/>
        <w:rPr>
          <w:rFonts w:ascii="Garamond" w:eastAsia="Garamond" w:hAnsi="Garamond" w:cs="Garamond"/>
          <w:b/>
          <w:color w:val="000000"/>
          <w:sz w:val="22"/>
          <w:szCs w:val="22"/>
        </w:rPr>
      </w:pPr>
      <w:r>
        <w:rPr>
          <w:rFonts w:ascii="Garamond" w:eastAsia="Garamond" w:hAnsi="Garamond" w:cs="Garamond"/>
          <w:b/>
          <w:color w:val="000000"/>
          <w:sz w:val="22"/>
          <w:szCs w:val="22"/>
        </w:rPr>
        <w:t>Examples:</w:t>
      </w:r>
    </w:p>
    <w:p w14:paraId="0000006B" w14:textId="77777777" w:rsidR="006E70A0" w:rsidRDefault="007D3A82">
      <w:pPr>
        <w:pBdr>
          <w:top w:val="nil"/>
          <w:left w:val="nil"/>
          <w:bottom w:val="nil"/>
          <w:right w:val="nil"/>
          <w:between w:val="nil"/>
        </w:pBdr>
        <w:spacing w:line="276" w:lineRule="auto"/>
        <w:ind w:left="360"/>
        <w:jc w:val="both"/>
        <w:rPr>
          <w:rFonts w:ascii="Garamond" w:eastAsia="Garamond" w:hAnsi="Garamond" w:cs="Garamond"/>
          <w:sz w:val="22"/>
          <w:szCs w:val="22"/>
        </w:rPr>
      </w:pPr>
      <w:r>
        <w:rPr>
          <w:rFonts w:ascii="Garamond" w:eastAsia="Garamond" w:hAnsi="Garamond" w:cs="Garamond"/>
          <w:color w:val="000000"/>
          <w:sz w:val="22"/>
          <w:szCs w:val="22"/>
        </w:rPr>
        <w:t>Judgment (in English): https://hudoc.echr.coe.int/eng?i=001-59588</w:t>
      </w:r>
    </w:p>
    <w:p w14:paraId="0000006C" w14:textId="77777777" w:rsidR="006E70A0" w:rsidRDefault="007D3A82">
      <w:pPr>
        <w:pBdr>
          <w:top w:val="nil"/>
          <w:left w:val="nil"/>
          <w:bottom w:val="nil"/>
          <w:right w:val="nil"/>
          <w:between w:val="nil"/>
        </w:pBdr>
        <w:spacing w:line="276" w:lineRule="auto"/>
        <w:ind w:left="360"/>
        <w:jc w:val="both"/>
        <w:rPr>
          <w:rFonts w:ascii="Garamond" w:eastAsia="Garamond" w:hAnsi="Garamond" w:cs="Garamond"/>
          <w:sz w:val="22"/>
          <w:szCs w:val="22"/>
        </w:rPr>
      </w:pPr>
      <w:r>
        <w:rPr>
          <w:rFonts w:ascii="Garamond" w:eastAsia="Garamond" w:hAnsi="Garamond" w:cs="Garamond"/>
          <w:sz w:val="22"/>
          <w:szCs w:val="22"/>
        </w:rPr>
        <w:t>Press release: https://hudoc.echr.coe.int/eng?i=003-68357-68825</w:t>
      </w:r>
    </w:p>
    <w:p w14:paraId="0000006D" w14:textId="77777777" w:rsidR="006E70A0" w:rsidRDefault="007D3A82">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Reports, Analysis, and News Articles</w:t>
      </w:r>
      <w:r>
        <w:rPr>
          <w:rFonts w:ascii="Garamond" w:eastAsia="Garamond" w:hAnsi="Garamond" w:cs="Garamond"/>
          <w:color w:val="000000"/>
          <w:sz w:val="22"/>
          <w:szCs w:val="22"/>
        </w:rPr>
        <w:t>:</w:t>
      </w:r>
    </w:p>
    <w:p w14:paraId="0000006E" w14:textId="77777777" w:rsidR="006E70A0" w:rsidRDefault="006E70A0">
      <w:pPr>
        <w:pBdr>
          <w:top w:val="nil"/>
          <w:left w:val="nil"/>
          <w:bottom w:val="nil"/>
          <w:right w:val="nil"/>
          <w:between w:val="nil"/>
        </w:pBdr>
        <w:spacing w:line="276" w:lineRule="auto"/>
        <w:ind w:left="1080"/>
        <w:jc w:val="both"/>
        <w:rPr>
          <w:rFonts w:ascii="Garamond" w:eastAsia="Garamond" w:hAnsi="Garamond" w:cs="Garamond"/>
          <w:sz w:val="22"/>
          <w:szCs w:val="22"/>
        </w:rPr>
      </w:pPr>
    </w:p>
    <w:sectPr w:rsidR="006E70A0">
      <w:headerReference w:type="default" r:id="rId2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A57C" w14:textId="77777777" w:rsidR="00000000" w:rsidRDefault="007D3A82">
      <w:r>
        <w:separator/>
      </w:r>
    </w:p>
  </w:endnote>
  <w:endnote w:type="continuationSeparator" w:id="0">
    <w:p w14:paraId="73BD4901" w14:textId="77777777" w:rsidR="00000000" w:rsidRDefault="007D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4331" w14:textId="77777777" w:rsidR="00000000" w:rsidRDefault="007D3A82">
      <w:r>
        <w:separator/>
      </w:r>
    </w:p>
  </w:footnote>
  <w:footnote w:type="continuationSeparator" w:id="0">
    <w:p w14:paraId="5C7B0DF9" w14:textId="77777777" w:rsidR="00000000" w:rsidRDefault="007D3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7777777" w:rsidR="006E70A0" w:rsidRDefault="006E70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347"/>
    <w:multiLevelType w:val="multilevel"/>
    <w:tmpl w:val="5D88C6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0102F63"/>
    <w:multiLevelType w:val="multilevel"/>
    <w:tmpl w:val="248436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DBE111F"/>
    <w:multiLevelType w:val="multilevel"/>
    <w:tmpl w:val="0B2AB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5B22630"/>
    <w:multiLevelType w:val="multilevel"/>
    <w:tmpl w:val="834C9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F56F6E"/>
    <w:multiLevelType w:val="multilevel"/>
    <w:tmpl w:val="1A58FA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A1265F8"/>
    <w:multiLevelType w:val="multilevel"/>
    <w:tmpl w:val="4ECEBC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92B06B1"/>
    <w:multiLevelType w:val="multilevel"/>
    <w:tmpl w:val="A3EE76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E41208B"/>
    <w:multiLevelType w:val="multilevel"/>
    <w:tmpl w:val="6A500A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4831A00"/>
    <w:multiLevelType w:val="multilevel"/>
    <w:tmpl w:val="63541FB8"/>
    <w:lvl w:ilvl="0">
      <w:start w:val="28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7"/>
  </w:num>
  <w:num w:numId="4">
    <w:abstractNumId w:val="0"/>
  </w:num>
  <w:num w:numId="5">
    <w:abstractNumId w:val="8"/>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A0"/>
    <w:rsid w:val="006E70A0"/>
    <w:rsid w:val="007D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64B55DF-B8D9-4849-A90D-768F0EF2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B2804"/>
    <w:pPr>
      <w:ind w:left="720"/>
      <w:contextualSpacing/>
    </w:pPr>
  </w:style>
  <w:style w:type="character" w:styleId="Hyperlink">
    <w:name w:val="Hyperlink"/>
    <w:basedOn w:val="DefaultParagraphFont"/>
    <w:uiPriority w:val="99"/>
    <w:unhideWhenUsed/>
    <w:rsid w:val="00BB2804"/>
    <w:rPr>
      <w:color w:val="0563C1" w:themeColor="hyperlink"/>
      <w:u w:val="single"/>
    </w:rPr>
  </w:style>
  <w:style w:type="character" w:styleId="UnresolvedMention">
    <w:name w:val="Unresolved Mention"/>
    <w:basedOn w:val="DefaultParagraphFont"/>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D7FAA"/>
    <w:rPr>
      <w:color w:val="954F72" w:themeColor="followedHyperlink"/>
      <w:u w:val="single"/>
    </w:rPr>
  </w:style>
  <w:style w:type="character" w:styleId="Emphasis">
    <w:name w:val="Emphasis"/>
    <w:basedOn w:val="DefaultParagraphFont"/>
    <w:uiPriority w:val="20"/>
    <w:qFormat/>
    <w:rsid w:val="00AB29C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hr.coe.int/Documents/Convention_ENG.pdf" TargetMode="External"/><Relationship Id="rId13" Type="http://schemas.openxmlformats.org/officeDocument/2006/relationships/hyperlink" Target="https://hudoc.echr.coe.int/eng?i=001-58015" TargetMode="External"/><Relationship Id="rId18" Type="http://schemas.openxmlformats.org/officeDocument/2006/relationships/hyperlink" Target="https://hudoc.echr.coe.int/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udoc.echr.coe.int/eng" TargetMode="External"/><Relationship Id="rId7" Type="http://schemas.openxmlformats.org/officeDocument/2006/relationships/endnotes" Target="endnotes.xml"/><Relationship Id="rId12" Type="http://schemas.openxmlformats.org/officeDocument/2006/relationships/hyperlink" Target="https://www.echr.coe.int/Documents/Convention_ENG.pdf" TargetMode="External"/><Relationship Id="rId17" Type="http://schemas.openxmlformats.org/officeDocument/2006/relationships/hyperlink" Target="https://globalfreedomofexpression.columbia.edu/cases/incal-v-turke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udoc.echr.coe.int/eng?i=001-57926" TargetMode="External"/><Relationship Id="rId20" Type="http://schemas.openxmlformats.org/officeDocument/2006/relationships/hyperlink" Target="https://globalfreedomofexpression.columbia.edu/cases/lehideux-and-isorni-v-fr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hr.coe.int/Documents/Convention_ENG.pdf" TargetMode="External"/><Relationship Id="rId24" Type="http://schemas.openxmlformats.org/officeDocument/2006/relationships/hyperlink" Target="https://globalfreedomofexpression.columbia.edu/cases/vogt-v-germany/" TargetMode="External"/><Relationship Id="rId5" Type="http://schemas.openxmlformats.org/officeDocument/2006/relationships/webSettings" Target="webSettings.xml"/><Relationship Id="rId15" Type="http://schemas.openxmlformats.org/officeDocument/2006/relationships/hyperlink" Target="https://globalfreedomofexpression.columbia.edu/cases/nilsen-v-norway/" TargetMode="External"/><Relationship Id="rId23" Type="http://schemas.openxmlformats.org/officeDocument/2006/relationships/hyperlink" Target="https://globalfreedomofexpression.columbia.edu/laws/ecthr-thoma-v-luxembourg-no-3843297-2001/" TargetMode="External"/><Relationship Id="rId10" Type="http://schemas.openxmlformats.org/officeDocument/2006/relationships/hyperlink" Target="https://www.echr.coe.int/Documents/Convention_ENG.pdf" TargetMode="External"/><Relationship Id="rId19" Type="http://schemas.openxmlformats.org/officeDocument/2006/relationships/hyperlink" Target="https://globalfreedomofexpression.columbia.edu/laws/ecthr-jerusalem-v-austria-no-2695895-2001/" TargetMode="External"/><Relationship Id="rId4" Type="http://schemas.openxmlformats.org/officeDocument/2006/relationships/settings" Target="settings.xml"/><Relationship Id="rId9" Type="http://schemas.openxmlformats.org/officeDocument/2006/relationships/hyperlink" Target="https://www.echr.coe.int/Documents/Convention_ENG.pdf" TargetMode="External"/><Relationship Id="rId14" Type="http://schemas.openxmlformats.org/officeDocument/2006/relationships/hyperlink" Target="https://globalfreedomofexpression.columbia.edu/cases/lingens-v-austria/" TargetMode="External"/><Relationship Id="rId22" Type="http://schemas.openxmlformats.org/officeDocument/2006/relationships/hyperlink" Target="https://hudoc.echr.coe.int/eng?i=001-5827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MLUmmaef51oM1HHG1zJoWXVIg==">AMUW2mU94Kv9aT8hjzdhccz6Nd3hGofo/DaaKfopnIvKfZDAIQJ+Xln+/Z6ftV69maGm6yungm2vE9VOs9VvaCz+htiEp3N2joFRZdaSn+lcKvO6Gmw3LfE=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2019</Words>
  <Characters>11511</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Sanskriti Sanghi</dc:creator>
  <cp:lastModifiedBy>hawley johnson</cp:lastModifiedBy>
  <cp:revision>2</cp:revision>
  <dcterms:created xsi:type="dcterms:W3CDTF">2022-02-19T18:54:00Z</dcterms:created>
  <dcterms:modified xsi:type="dcterms:W3CDTF">2022-02-19T18:54:00Z</dcterms:modified>
</cp:coreProperties>
</file>