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5A35" w:rsidRDefault="009C5A35">
      <w:pPr>
        <w:rPr>
          <w:rFonts w:ascii="Verdana" w:eastAsia="Verdana" w:hAnsi="Verdana" w:cs="Verdana"/>
          <w:color w:val="333333"/>
          <w:sz w:val="17"/>
          <w:szCs w:val="17"/>
          <w:highlight w:val="white"/>
        </w:rPr>
      </w:pPr>
    </w:p>
    <w:p w14:paraId="00000002" w14:textId="77777777" w:rsidR="009C5A35" w:rsidRDefault="009C5A35">
      <w:pPr>
        <w:rPr>
          <w:rFonts w:ascii="Verdana" w:eastAsia="Verdana" w:hAnsi="Verdana" w:cs="Verdana"/>
          <w:color w:val="333333"/>
          <w:sz w:val="17"/>
          <w:szCs w:val="17"/>
          <w:highlight w:val="white"/>
        </w:rPr>
      </w:pPr>
    </w:p>
    <w:p w14:paraId="00000003"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Case Information</w:t>
      </w:r>
    </w:p>
    <w:p w14:paraId="00000004" w14:textId="06F2380C" w:rsidR="009C5A35" w:rsidRDefault="00FA28E3">
      <w:pPr>
        <w:numPr>
          <w:ilvl w:val="0"/>
          <w:numId w:val="6"/>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 xml:space="preserve">Case Title: </w:t>
      </w:r>
      <w:r w:rsidR="0080032C">
        <w:rPr>
          <w:rFonts w:ascii="Trebuchet MS" w:eastAsia="Trebuchet MS" w:hAnsi="Trebuchet MS" w:cs="Trebuchet MS"/>
          <w:color w:val="333333"/>
          <w:sz w:val="17"/>
          <w:szCs w:val="17"/>
          <w:highlight w:val="white"/>
        </w:rPr>
        <w:t>São Paulo subway facial recognition case</w:t>
      </w:r>
    </w:p>
    <w:p w14:paraId="00000005"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06" w14:textId="77777777" w:rsidR="009C5A35" w:rsidRDefault="00FA28E3">
      <w:pPr>
        <w:numPr>
          <w:ilvl w:val="0"/>
          <w:numId w:val="3"/>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Meta Data</w:t>
      </w:r>
    </w:p>
    <w:p w14:paraId="00000007"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08" w14:textId="2B7D7611"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Case Number</w:t>
      </w:r>
      <w:r>
        <w:rPr>
          <w:rFonts w:ascii="Verdana" w:eastAsia="Verdana" w:hAnsi="Verdana" w:cs="Verdana"/>
          <w:color w:val="333333"/>
          <w:sz w:val="17"/>
          <w:szCs w:val="17"/>
          <w:highlight w:val="white"/>
        </w:rPr>
        <w:t xml:space="preserve">: </w:t>
      </w:r>
      <w:r w:rsidR="0080032C" w:rsidRPr="0080032C">
        <w:rPr>
          <w:rFonts w:ascii="Verdana" w:eastAsia="Verdana" w:hAnsi="Verdana" w:cs="Verdana"/>
          <w:color w:val="333333"/>
          <w:sz w:val="17"/>
          <w:szCs w:val="17"/>
        </w:rPr>
        <w:t>1090663-42.2018.8.26.0100</w:t>
      </w:r>
    </w:p>
    <w:p w14:paraId="2E828440" w14:textId="461D08A6" w:rsidR="000E5804" w:rsidRPr="000E5804" w:rsidRDefault="00FA28E3" w:rsidP="000E5804">
      <w:pPr>
        <w:numPr>
          <w:ilvl w:val="0"/>
          <w:numId w:val="7"/>
        </w:numPr>
        <w:jc w:val="both"/>
        <w:rPr>
          <w:rFonts w:ascii="Verdana" w:eastAsia="Verdana" w:hAnsi="Verdana" w:cs="Verdana"/>
          <w:color w:val="333333"/>
          <w:sz w:val="17"/>
          <w:szCs w:val="17"/>
          <w:highlight w:val="white"/>
          <w:lang w:val="en-US"/>
        </w:rPr>
      </w:pPr>
      <w:r>
        <w:rPr>
          <w:rFonts w:ascii="Verdana" w:eastAsia="Verdana" w:hAnsi="Verdana" w:cs="Verdana"/>
          <w:b/>
          <w:color w:val="333333"/>
          <w:sz w:val="17"/>
          <w:szCs w:val="17"/>
          <w:highlight w:val="white"/>
        </w:rPr>
        <w:t>Corresponding Law Reference</w:t>
      </w:r>
      <w:r>
        <w:rPr>
          <w:rFonts w:ascii="Verdana" w:eastAsia="Verdana" w:hAnsi="Verdana" w:cs="Verdana"/>
          <w:color w:val="333333"/>
          <w:sz w:val="17"/>
          <w:szCs w:val="17"/>
          <w:highlight w:val="white"/>
        </w:rPr>
        <w:t xml:space="preserve">: Brazil, </w:t>
      </w:r>
      <w:r w:rsidR="0080032C">
        <w:rPr>
          <w:rFonts w:ascii="Verdana" w:eastAsia="Verdana" w:hAnsi="Verdana" w:cs="Verdana"/>
          <w:color w:val="333333"/>
          <w:sz w:val="17"/>
          <w:szCs w:val="17"/>
          <w:highlight w:val="white"/>
        </w:rPr>
        <w:t>37</w:t>
      </w:r>
      <w:r w:rsidR="00F21D55" w:rsidRPr="000E5804">
        <w:rPr>
          <w:rFonts w:ascii="Verdana" w:eastAsia="Verdana" w:hAnsi="Verdana" w:cs="Verdana"/>
          <w:color w:val="333333"/>
          <w:sz w:val="17"/>
          <w:szCs w:val="17"/>
          <w:highlight w:val="white"/>
          <w:vertAlign w:val="superscript"/>
        </w:rPr>
        <w:t>th</w:t>
      </w:r>
      <w:r w:rsidR="00F21D55">
        <w:rPr>
          <w:rFonts w:ascii="Verdana" w:eastAsia="Verdana" w:hAnsi="Verdana" w:cs="Verdana"/>
          <w:color w:val="333333"/>
          <w:sz w:val="17"/>
          <w:szCs w:val="17"/>
          <w:highlight w:val="white"/>
        </w:rPr>
        <w:t xml:space="preserve"> Civil Court, São Paulo, State of São Paulo, </w:t>
      </w:r>
      <w:r w:rsidR="000E5804">
        <w:rPr>
          <w:rFonts w:ascii="Verdana" w:eastAsia="Verdana" w:hAnsi="Verdana" w:cs="Verdana"/>
          <w:color w:val="333333"/>
          <w:sz w:val="17"/>
          <w:szCs w:val="17"/>
          <w:highlight w:val="white"/>
        </w:rPr>
        <w:t xml:space="preserve">case no. </w:t>
      </w:r>
      <w:r w:rsidR="0080032C" w:rsidRPr="0080032C">
        <w:rPr>
          <w:rFonts w:ascii="Verdana" w:eastAsia="Verdana" w:hAnsi="Verdana" w:cs="Verdana"/>
          <w:color w:val="333333"/>
          <w:sz w:val="17"/>
          <w:szCs w:val="17"/>
        </w:rPr>
        <w:t>1090663-42.2018.8.26.0100</w:t>
      </w:r>
    </w:p>
    <w:p w14:paraId="0000000A" w14:textId="044D769B"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Date of Decision</w:t>
      </w:r>
      <w:r>
        <w:rPr>
          <w:rFonts w:ascii="Verdana" w:eastAsia="Verdana" w:hAnsi="Verdana" w:cs="Verdana"/>
          <w:color w:val="333333"/>
          <w:sz w:val="17"/>
          <w:szCs w:val="17"/>
          <w:highlight w:val="white"/>
        </w:rPr>
        <w:t xml:space="preserve">: </w:t>
      </w:r>
      <w:r w:rsidR="0080032C">
        <w:rPr>
          <w:rFonts w:ascii="Trebuchet MS" w:eastAsia="Trebuchet MS" w:hAnsi="Trebuchet MS" w:cs="Trebuchet MS"/>
          <w:color w:val="333333"/>
          <w:sz w:val="17"/>
          <w:szCs w:val="17"/>
          <w:highlight w:val="white"/>
        </w:rPr>
        <w:t>05</w:t>
      </w:r>
      <w:r w:rsidR="000E5804">
        <w:rPr>
          <w:rFonts w:ascii="Trebuchet MS" w:eastAsia="Trebuchet MS" w:hAnsi="Trebuchet MS" w:cs="Trebuchet MS"/>
          <w:color w:val="333333"/>
          <w:sz w:val="17"/>
          <w:szCs w:val="17"/>
          <w:highlight w:val="white"/>
        </w:rPr>
        <w:t>-</w:t>
      </w:r>
      <w:r w:rsidR="0080032C">
        <w:rPr>
          <w:rFonts w:ascii="Trebuchet MS" w:eastAsia="Trebuchet MS" w:hAnsi="Trebuchet MS" w:cs="Trebuchet MS"/>
          <w:color w:val="333333"/>
          <w:sz w:val="17"/>
          <w:szCs w:val="17"/>
          <w:highlight w:val="white"/>
        </w:rPr>
        <w:t>07</w:t>
      </w:r>
      <w:r w:rsidR="000E5804">
        <w:rPr>
          <w:rFonts w:ascii="Trebuchet MS" w:eastAsia="Trebuchet MS" w:hAnsi="Trebuchet MS" w:cs="Trebuchet MS"/>
          <w:color w:val="333333"/>
          <w:sz w:val="17"/>
          <w:szCs w:val="17"/>
          <w:highlight w:val="white"/>
        </w:rPr>
        <w:t>-2021</w:t>
      </w:r>
    </w:p>
    <w:p w14:paraId="0000000B"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Featured Case</w:t>
      </w:r>
      <w:r>
        <w:rPr>
          <w:rFonts w:ascii="Verdana" w:eastAsia="Verdana" w:hAnsi="Verdana" w:cs="Verdana"/>
          <w:color w:val="333333"/>
          <w:sz w:val="17"/>
          <w:szCs w:val="17"/>
          <w:highlight w:val="white"/>
        </w:rPr>
        <w:t>: n/a</w:t>
      </w:r>
    </w:p>
    <w:p w14:paraId="0000000C"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Region</w:t>
      </w:r>
      <w:r>
        <w:rPr>
          <w:rFonts w:ascii="Verdana" w:eastAsia="Verdana" w:hAnsi="Verdana" w:cs="Verdana"/>
          <w:color w:val="333333"/>
          <w:sz w:val="17"/>
          <w:szCs w:val="17"/>
          <w:highlight w:val="white"/>
        </w:rPr>
        <w:t>: Latin-America and Caribbean</w:t>
      </w:r>
    </w:p>
    <w:p w14:paraId="0000000D"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Country</w:t>
      </w:r>
      <w:r>
        <w:rPr>
          <w:rFonts w:ascii="Verdana" w:eastAsia="Verdana" w:hAnsi="Verdana" w:cs="Verdana"/>
          <w:color w:val="333333"/>
          <w:sz w:val="17"/>
          <w:szCs w:val="17"/>
          <w:highlight w:val="white"/>
        </w:rPr>
        <w:t>: Brazil</w:t>
      </w:r>
    </w:p>
    <w:p w14:paraId="0000000E" w14:textId="2ACBC558"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Mode of Expression</w:t>
      </w:r>
      <w:r>
        <w:rPr>
          <w:rFonts w:ascii="Verdana" w:eastAsia="Verdana" w:hAnsi="Verdana" w:cs="Verdana"/>
          <w:color w:val="333333"/>
          <w:sz w:val="17"/>
          <w:szCs w:val="17"/>
          <w:highlight w:val="white"/>
        </w:rPr>
        <w:t xml:space="preserve">: </w:t>
      </w:r>
    </w:p>
    <w:p w14:paraId="0000000F" w14:textId="2A654D1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Judicial Body</w:t>
      </w:r>
      <w:r>
        <w:rPr>
          <w:rFonts w:ascii="Verdana" w:eastAsia="Verdana" w:hAnsi="Verdana" w:cs="Verdana"/>
          <w:color w:val="333333"/>
          <w:sz w:val="17"/>
          <w:szCs w:val="17"/>
          <w:highlight w:val="white"/>
        </w:rPr>
        <w:t xml:space="preserve">: </w:t>
      </w:r>
      <w:r w:rsidR="0080032C">
        <w:rPr>
          <w:rFonts w:ascii="Verdana" w:eastAsia="Verdana" w:hAnsi="Verdana" w:cs="Verdana"/>
          <w:color w:val="333333"/>
          <w:sz w:val="17"/>
          <w:szCs w:val="17"/>
          <w:highlight w:val="white"/>
        </w:rPr>
        <w:t>37</w:t>
      </w:r>
      <w:r w:rsidR="000E5804" w:rsidRPr="000E5804">
        <w:rPr>
          <w:rFonts w:ascii="Verdana" w:eastAsia="Verdana" w:hAnsi="Verdana" w:cs="Verdana"/>
          <w:color w:val="333333"/>
          <w:sz w:val="17"/>
          <w:szCs w:val="17"/>
          <w:highlight w:val="white"/>
          <w:vertAlign w:val="superscript"/>
        </w:rPr>
        <w:t>th</w:t>
      </w:r>
      <w:r w:rsidR="000E5804">
        <w:rPr>
          <w:rFonts w:ascii="Verdana" w:eastAsia="Verdana" w:hAnsi="Verdana" w:cs="Verdana"/>
          <w:color w:val="333333"/>
          <w:sz w:val="17"/>
          <w:szCs w:val="17"/>
          <w:highlight w:val="white"/>
        </w:rPr>
        <w:t xml:space="preserve"> Civil Court, São Paulo, State of São Paulo </w:t>
      </w:r>
      <w:r>
        <w:rPr>
          <w:rFonts w:ascii="Verdana" w:eastAsia="Verdana" w:hAnsi="Verdana" w:cs="Verdana"/>
          <w:color w:val="333333"/>
          <w:sz w:val="17"/>
          <w:szCs w:val="17"/>
          <w:highlight w:val="white"/>
        </w:rPr>
        <w:t>(</w:t>
      </w:r>
      <w:r w:rsidR="000E5804">
        <w:rPr>
          <w:rFonts w:ascii="Verdana" w:eastAsia="Verdana" w:hAnsi="Verdana" w:cs="Verdana"/>
          <w:color w:val="333333"/>
          <w:sz w:val="17"/>
          <w:szCs w:val="17"/>
          <w:highlight w:val="white"/>
        </w:rPr>
        <w:t>First Instance Court</w:t>
      </w:r>
      <w:proofErr w:type="gramStart"/>
      <w:r>
        <w:rPr>
          <w:rFonts w:ascii="Verdana" w:eastAsia="Verdana" w:hAnsi="Verdana" w:cs="Verdana"/>
          <w:color w:val="333333"/>
          <w:sz w:val="17"/>
          <w:szCs w:val="17"/>
          <w:highlight w:val="white"/>
        </w:rPr>
        <w:t>);</w:t>
      </w:r>
      <w:proofErr w:type="gramEnd"/>
    </w:p>
    <w:p w14:paraId="00000010" w14:textId="100CEF5D"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Type of Law</w:t>
      </w:r>
      <w:r>
        <w:rPr>
          <w:rFonts w:ascii="Verdana" w:eastAsia="Verdana" w:hAnsi="Verdana" w:cs="Verdana"/>
          <w:color w:val="333333"/>
          <w:sz w:val="17"/>
          <w:szCs w:val="17"/>
          <w:highlight w:val="white"/>
        </w:rPr>
        <w:t xml:space="preserve">: </w:t>
      </w:r>
      <w:r w:rsidR="0061617F">
        <w:rPr>
          <w:rFonts w:ascii="Verdana" w:eastAsia="Verdana" w:hAnsi="Verdana" w:cs="Verdana"/>
          <w:color w:val="333333"/>
          <w:sz w:val="17"/>
          <w:szCs w:val="17"/>
          <w:highlight w:val="white"/>
        </w:rPr>
        <w:t>Privacy</w:t>
      </w:r>
    </w:p>
    <w:p w14:paraId="00000011" w14:textId="0B4B3311"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Main Theme</w:t>
      </w:r>
      <w:r>
        <w:rPr>
          <w:rFonts w:ascii="Verdana" w:eastAsia="Verdana" w:hAnsi="Verdana" w:cs="Verdana"/>
          <w:color w:val="333333"/>
          <w:sz w:val="17"/>
          <w:szCs w:val="17"/>
          <w:highlight w:val="white"/>
        </w:rPr>
        <w:t xml:space="preserve">: </w:t>
      </w:r>
      <w:r w:rsidR="0061617F">
        <w:rPr>
          <w:rFonts w:ascii="Verdana" w:eastAsia="Verdana" w:hAnsi="Verdana" w:cs="Verdana"/>
          <w:color w:val="333333"/>
          <w:sz w:val="17"/>
          <w:szCs w:val="17"/>
          <w:highlight w:val="white"/>
        </w:rPr>
        <w:t>Privacy, Data Protection</w:t>
      </w:r>
    </w:p>
    <w:p w14:paraId="00000012" w14:textId="1F25C71F"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Outcome</w:t>
      </w:r>
      <w:r>
        <w:rPr>
          <w:rFonts w:ascii="Verdana" w:eastAsia="Verdana" w:hAnsi="Verdana" w:cs="Verdana"/>
          <w:color w:val="333333"/>
          <w:sz w:val="17"/>
          <w:szCs w:val="17"/>
          <w:highlight w:val="white"/>
        </w:rPr>
        <w:t xml:space="preserve">: </w:t>
      </w:r>
      <w:r w:rsidR="0061617F">
        <w:rPr>
          <w:rFonts w:ascii="Verdana" w:eastAsia="Verdana" w:hAnsi="Verdana" w:cs="Verdana"/>
          <w:color w:val="333333"/>
          <w:sz w:val="17"/>
          <w:szCs w:val="17"/>
          <w:highlight w:val="white"/>
        </w:rPr>
        <w:t xml:space="preserve">judgement </w:t>
      </w:r>
      <w:r w:rsidR="0080032C">
        <w:rPr>
          <w:rFonts w:ascii="Verdana" w:eastAsia="Verdana" w:hAnsi="Verdana" w:cs="Verdana"/>
          <w:color w:val="333333"/>
          <w:sz w:val="17"/>
          <w:szCs w:val="17"/>
          <w:highlight w:val="white"/>
        </w:rPr>
        <w:t xml:space="preserve">against subway operator </w:t>
      </w:r>
      <w:proofErr w:type="gramStart"/>
      <w:r w:rsidR="0080032C">
        <w:rPr>
          <w:rFonts w:ascii="Verdana" w:eastAsia="Verdana" w:hAnsi="Verdana" w:cs="Verdana"/>
          <w:color w:val="333333"/>
          <w:sz w:val="17"/>
          <w:szCs w:val="17"/>
          <w:highlight w:val="white"/>
        </w:rPr>
        <w:t>entered</w:t>
      </w:r>
      <w:r>
        <w:rPr>
          <w:rFonts w:ascii="Verdana" w:eastAsia="Verdana" w:hAnsi="Verdana" w:cs="Verdana"/>
          <w:color w:val="333333"/>
          <w:sz w:val="17"/>
          <w:szCs w:val="17"/>
          <w:highlight w:val="white"/>
        </w:rPr>
        <w:t>;</w:t>
      </w:r>
      <w:proofErr w:type="gramEnd"/>
    </w:p>
    <w:p w14:paraId="00000013" w14:textId="6BB497F1"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Status</w:t>
      </w:r>
      <w:r>
        <w:rPr>
          <w:rFonts w:ascii="Verdana" w:eastAsia="Verdana" w:hAnsi="Verdana" w:cs="Verdana"/>
          <w:color w:val="333333"/>
          <w:sz w:val="17"/>
          <w:szCs w:val="17"/>
          <w:highlight w:val="white"/>
        </w:rPr>
        <w:t xml:space="preserve">: </w:t>
      </w:r>
      <w:r w:rsidR="0061617F">
        <w:rPr>
          <w:rFonts w:ascii="Verdana" w:eastAsia="Verdana" w:hAnsi="Verdana" w:cs="Verdana"/>
          <w:color w:val="333333"/>
          <w:sz w:val="17"/>
          <w:szCs w:val="17"/>
          <w:highlight w:val="white"/>
        </w:rPr>
        <w:t>on appeal</w:t>
      </w:r>
    </w:p>
    <w:p w14:paraId="00000014" w14:textId="5872F4CB"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Tags</w:t>
      </w:r>
      <w:r>
        <w:rPr>
          <w:rFonts w:ascii="Verdana" w:eastAsia="Verdana" w:hAnsi="Verdana" w:cs="Verdana"/>
          <w:color w:val="333333"/>
          <w:sz w:val="17"/>
          <w:szCs w:val="17"/>
          <w:highlight w:val="white"/>
        </w:rPr>
        <w:t xml:space="preserve">: </w:t>
      </w:r>
      <w:r w:rsidR="0061617F">
        <w:rPr>
          <w:rFonts w:ascii="Verdana" w:eastAsia="Verdana" w:hAnsi="Verdana" w:cs="Verdana"/>
          <w:color w:val="333333"/>
          <w:sz w:val="17"/>
          <w:szCs w:val="17"/>
          <w:highlight w:val="white"/>
        </w:rPr>
        <w:t>Data Protection</w:t>
      </w:r>
      <w:r>
        <w:rPr>
          <w:rFonts w:ascii="Verdana" w:eastAsia="Verdana" w:hAnsi="Verdana" w:cs="Verdana"/>
          <w:color w:val="333333"/>
          <w:sz w:val="17"/>
          <w:szCs w:val="17"/>
          <w:highlight w:val="white"/>
        </w:rPr>
        <w:t>.</w:t>
      </w:r>
    </w:p>
    <w:p w14:paraId="00000015" w14:textId="77777777" w:rsidR="009C5A35" w:rsidRDefault="00FA28E3">
      <w:pPr>
        <w:numPr>
          <w:ilvl w:val="0"/>
          <w:numId w:val="7"/>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Excerpt</w:t>
      </w:r>
      <w:r>
        <w:rPr>
          <w:rFonts w:ascii="Verdana" w:eastAsia="Verdana" w:hAnsi="Verdana" w:cs="Verdana"/>
          <w:color w:val="333333"/>
          <w:sz w:val="17"/>
          <w:szCs w:val="17"/>
          <w:highlight w:val="white"/>
        </w:rPr>
        <w:t>:</w:t>
      </w:r>
    </w:p>
    <w:p w14:paraId="00000016"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17"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 xml:space="preserve">Case Tracking -  </w:t>
      </w:r>
    </w:p>
    <w:p w14:paraId="00000019" w14:textId="71E7B8BF" w:rsidR="009C5A35" w:rsidRDefault="00452D65">
      <w:pPr>
        <w:spacing w:before="240" w:after="240"/>
        <w:jc w:val="both"/>
        <w:rPr>
          <w:rFonts w:ascii="Verdana" w:eastAsia="Verdana" w:hAnsi="Verdana" w:cs="Verdana"/>
          <w:color w:val="333333"/>
          <w:sz w:val="17"/>
          <w:szCs w:val="17"/>
          <w:highlight w:val="white"/>
        </w:rPr>
      </w:pPr>
      <w:r w:rsidRPr="00452D65">
        <w:rPr>
          <w:rFonts w:ascii="Verdana" w:eastAsia="Verdana" w:hAnsi="Verdana" w:cs="Verdana"/>
          <w:color w:val="1155CC"/>
          <w:sz w:val="17"/>
          <w:szCs w:val="17"/>
          <w:u w:val="single"/>
        </w:rPr>
        <w:t>https://esaj.tjsp.jus.br/cpopg/show.do?processo.codigo=2S000WSPS0000&amp;processo.foro=100&amp;processo.numero=1090663-42.2018.8.26.0100</w:t>
      </w:r>
      <w:r w:rsidR="00FA28E3">
        <w:rPr>
          <w:rFonts w:ascii="Verdana" w:eastAsia="Verdana" w:hAnsi="Verdana" w:cs="Verdana"/>
          <w:color w:val="333333"/>
          <w:sz w:val="17"/>
          <w:szCs w:val="17"/>
          <w:highlight w:val="white"/>
        </w:rPr>
        <w:t xml:space="preserve"> </w:t>
      </w:r>
    </w:p>
    <w:p w14:paraId="0000001A"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Case Analysis</w:t>
      </w:r>
    </w:p>
    <w:p w14:paraId="0000001B" w14:textId="77777777" w:rsidR="009C5A35" w:rsidRDefault="00FA28E3">
      <w:pPr>
        <w:numPr>
          <w:ilvl w:val="0"/>
          <w:numId w:val="8"/>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Summary and Outcome</w:t>
      </w:r>
    </w:p>
    <w:p w14:paraId="716FC47E" w14:textId="38290520" w:rsidR="00452D65" w:rsidRPr="00452D65" w:rsidRDefault="00FA28E3" w:rsidP="004600B5">
      <w:pPr>
        <w:numPr>
          <w:ilvl w:val="1"/>
          <w:numId w:val="8"/>
        </w:numPr>
        <w:jc w:val="both"/>
        <w:rPr>
          <w:rFonts w:ascii="Verdana" w:eastAsia="Verdana" w:hAnsi="Verdana" w:cs="Verdana"/>
          <w:color w:val="333333"/>
          <w:sz w:val="17"/>
          <w:szCs w:val="17"/>
          <w:highlight w:val="white"/>
          <w:lang w:val="en-US"/>
        </w:rPr>
      </w:pPr>
      <w:r>
        <w:rPr>
          <w:rFonts w:ascii="Verdana" w:eastAsia="Verdana" w:hAnsi="Verdana" w:cs="Verdana"/>
          <w:b/>
          <w:color w:val="333333"/>
          <w:sz w:val="17"/>
          <w:szCs w:val="17"/>
          <w:highlight w:val="white"/>
        </w:rPr>
        <w:t>Summary</w:t>
      </w:r>
      <w:r>
        <w:rPr>
          <w:rFonts w:ascii="Verdana" w:eastAsia="Verdana" w:hAnsi="Verdana" w:cs="Verdana"/>
          <w:color w:val="333333"/>
          <w:sz w:val="17"/>
          <w:szCs w:val="17"/>
          <w:highlight w:val="white"/>
        </w:rPr>
        <w:t xml:space="preserve">: </w:t>
      </w:r>
      <w:r w:rsidR="00452D65">
        <w:rPr>
          <w:rFonts w:ascii="Verdana" w:eastAsia="Verdana" w:hAnsi="Verdana" w:cs="Verdana"/>
          <w:color w:val="333333"/>
          <w:sz w:val="17"/>
          <w:szCs w:val="17"/>
          <w:highlight w:val="white"/>
        </w:rPr>
        <w:t xml:space="preserve">The operator of a subway line in São Paulo </w:t>
      </w:r>
      <w:r w:rsidR="009F7D7D">
        <w:rPr>
          <w:rFonts w:ascii="Verdana" w:eastAsia="Verdana" w:hAnsi="Verdana" w:cs="Verdana"/>
          <w:color w:val="333333"/>
          <w:sz w:val="17"/>
          <w:szCs w:val="17"/>
          <w:highlight w:val="white"/>
        </w:rPr>
        <w:t>deployed</w:t>
      </w:r>
      <w:r w:rsidR="00452D65">
        <w:rPr>
          <w:rFonts w:ascii="Verdana" w:eastAsia="Verdana" w:hAnsi="Verdana" w:cs="Verdana"/>
          <w:color w:val="333333"/>
          <w:sz w:val="17"/>
          <w:szCs w:val="17"/>
          <w:highlight w:val="white"/>
        </w:rPr>
        <w:t xml:space="preserve"> </w:t>
      </w:r>
      <w:r w:rsidR="00457222">
        <w:rPr>
          <w:rFonts w:ascii="Verdana" w:eastAsia="Verdana" w:hAnsi="Verdana" w:cs="Verdana"/>
          <w:color w:val="333333"/>
          <w:sz w:val="17"/>
          <w:szCs w:val="17"/>
          <w:highlight w:val="white"/>
        </w:rPr>
        <w:t xml:space="preserve">interactive doors to display advertisements, equipped with cameras using </w:t>
      </w:r>
      <w:r w:rsidR="00C526FD">
        <w:rPr>
          <w:rFonts w:ascii="Verdana" w:eastAsia="Verdana" w:hAnsi="Verdana" w:cs="Verdana"/>
          <w:color w:val="333333"/>
          <w:sz w:val="17"/>
          <w:szCs w:val="17"/>
          <w:highlight w:val="white"/>
        </w:rPr>
        <w:t xml:space="preserve">facial recognition technology to infer demographics and emotional reaction from riders. A consumer rights organization </w:t>
      </w:r>
      <w:r w:rsidR="005E54D5">
        <w:rPr>
          <w:rFonts w:ascii="Verdana" w:eastAsia="Verdana" w:hAnsi="Verdana" w:cs="Verdana"/>
          <w:color w:val="333333"/>
          <w:sz w:val="17"/>
          <w:szCs w:val="17"/>
          <w:highlight w:val="white"/>
        </w:rPr>
        <w:t>and the public defenders’ office filed a class action.</w:t>
      </w:r>
    </w:p>
    <w:p w14:paraId="0000001D" w14:textId="003F0C04" w:rsidR="009C5A35" w:rsidRDefault="00FA28E3">
      <w:pPr>
        <w:numPr>
          <w:ilvl w:val="1"/>
          <w:numId w:val="8"/>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Outcome</w:t>
      </w:r>
      <w:r>
        <w:rPr>
          <w:rFonts w:ascii="Verdana" w:eastAsia="Verdana" w:hAnsi="Verdana" w:cs="Verdana"/>
          <w:color w:val="333333"/>
          <w:sz w:val="17"/>
          <w:szCs w:val="17"/>
          <w:highlight w:val="white"/>
        </w:rPr>
        <w:t xml:space="preserve">: </w:t>
      </w:r>
      <w:r w:rsidR="005E54D5">
        <w:rPr>
          <w:rFonts w:ascii="Verdana" w:eastAsia="Verdana" w:hAnsi="Verdana" w:cs="Verdana"/>
          <w:color w:val="333333"/>
          <w:sz w:val="17"/>
          <w:szCs w:val="17"/>
          <w:highlight w:val="white"/>
          <w:lang w:val="en-US"/>
        </w:rPr>
        <w:t xml:space="preserve">A trial court ruled that the subway operator could not use the </w:t>
      </w:r>
      <w:r w:rsidR="00457222">
        <w:rPr>
          <w:rFonts w:ascii="Verdana" w:eastAsia="Verdana" w:hAnsi="Verdana" w:cs="Verdana"/>
          <w:color w:val="333333"/>
          <w:sz w:val="17"/>
          <w:szCs w:val="17"/>
          <w:highlight w:val="white"/>
          <w:lang w:val="en-US"/>
        </w:rPr>
        <w:t xml:space="preserve">data without consent from </w:t>
      </w:r>
      <w:proofErr w:type="gramStart"/>
      <w:r w:rsidR="00457222">
        <w:rPr>
          <w:rFonts w:ascii="Verdana" w:eastAsia="Verdana" w:hAnsi="Verdana" w:cs="Verdana"/>
          <w:color w:val="333333"/>
          <w:sz w:val="17"/>
          <w:szCs w:val="17"/>
          <w:highlight w:val="white"/>
          <w:lang w:val="en-US"/>
        </w:rPr>
        <w:t>riders, and</w:t>
      </w:r>
      <w:proofErr w:type="gramEnd"/>
      <w:r w:rsidR="00457222">
        <w:rPr>
          <w:rFonts w:ascii="Verdana" w:eastAsia="Verdana" w:hAnsi="Verdana" w:cs="Verdana"/>
          <w:color w:val="333333"/>
          <w:sz w:val="17"/>
          <w:szCs w:val="17"/>
          <w:highlight w:val="white"/>
          <w:lang w:val="en-US"/>
        </w:rPr>
        <w:t xml:space="preserve"> ordered it to cease using the equipment. It also awarded damages for non-economic harm.</w:t>
      </w:r>
    </w:p>
    <w:p w14:paraId="0000001F" w14:textId="77777777" w:rsidR="009C5A35" w:rsidRDefault="00FA28E3">
      <w:pPr>
        <w:numPr>
          <w:ilvl w:val="0"/>
          <w:numId w:val="14"/>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Facts</w:t>
      </w:r>
    </w:p>
    <w:p w14:paraId="00000020" w14:textId="77777777" w:rsidR="009C5A35" w:rsidRDefault="00FA28E3">
      <w:pPr>
        <w:numPr>
          <w:ilvl w:val="1"/>
          <w:numId w:val="14"/>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Facts giving rise to cause of action</w:t>
      </w:r>
    </w:p>
    <w:p w14:paraId="44CCAF32" w14:textId="6E9D15AE" w:rsidR="009F7D7D" w:rsidRDefault="009F7D7D">
      <w:pPr>
        <w:spacing w:before="240" w:after="240"/>
        <w:ind w:left="560" w:firstLine="70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lastRenderedPageBreak/>
        <w:t xml:space="preserve">In 2018, </w:t>
      </w:r>
      <w:proofErr w:type="spellStart"/>
      <w:r>
        <w:rPr>
          <w:rFonts w:ascii="Verdana" w:eastAsia="Verdana" w:hAnsi="Verdana" w:cs="Verdana"/>
          <w:color w:val="333333"/>
          <w:sz w:val="17"/>
          <w:szCs w:val="17"/>
          <w:highlight w:val="white"/>
        </w:rPr>
        <w:t>ViaQuatro</w:t>
      </w:r>
      <w:proofErr w:type="spellEnd"/>
      <w:r>
        <w:rPr>
          <w:rFonts w:ascii="Verdana" w:eastAsia="Verdana" w:hAnsi="Verdana" w:cs="Verdana"/>
          <w:color w:val="333333"/>
          <w:sz w:val="17"/>
          <w:szCs w:val="17"/>
          <w:highlight w:val="white"/>
        </w:rPr>
        <w:t>, the operator for one of São Paulo’s subway lines, deployed interactive doors at its stations. It planned to use them to display personalized advertisements to riders, gauging demographics information and emotional reaction through cameras equipped with facial recognition technology. I</w:t>
      </w:r>
      <w:r w:rsidR="00E57731">
        <w:rPr>
          <w:rFonts w:ascii="Verdana" w:eastAsia="Verdana" w:hAnsi="Verdana" w:cs="Verdana"/>
          <w:color w:val="333333"/>
          <w:sz w:val="17"/>
          <w:szCs w:val="17"/>
          <w:highlight w:val="white"/>
        </w:rPr>
        <w:t xml:space="preserve">dec (Instituto </w:t>
      </w:r>
      <w:proofErr w:type="spellStart"/>
      <w:r w:rsidR="00E57731">
        <w:rPr>
          <w:rFonts w:ascii="Verdana" w:eastAsia="Verdana" w:hAnsi="Verdana" w:cs="Verdana"/>
          <w:color w:val="333333"/>
          <w:sz w:val="17"/>
          <w:szCs w:val="17"/>
          <w:highlight w:val="white"/>
        </w:rPr>
        <w:t>Brasileiro</w:t>
      </w:r>
      <w:proofErr w:type="spellEnd"/>
      <w:r w:rsidR="00E57731">
        <w:rPr>
          <w:rFonts w:ascii="Verdana" w:eastAsia="Verdana" w:hAnsi="Verdana" w:cs="Verdana"/>
          <w:color w:val="333333"/>
          <w:sz w:val="17"/>
          <w:szCs w:val="17"/>
          <w:highlight w:val="white"/>
        </w:rPr>
        <w:t xml:space="preserve"> de </w:t>
      </w:r>
      <w:proofErr w:type="spellStart"/>
      <w:r w:rsidR="00E57731">
        <w:rPr>
          <w:rFonts w:ascii="Verdana" w:eastAsia="Verdana" w:hAnsi="Verdana" w:cs="Verdana"/>
          <w:color w:val="333333"/>
          <w:sz w:val="17"/>
          <w:szCs w:val="17"/>
          <w:highlight w:val="white"/>
        </w:rPr>
        <w:t>Defesa</w:t>
      </w:r>
      <w:proofErr w:type="spellEnd"/>
      <w:r w:rsidR="00E57731">
        <w:rPr>
          <w:rFonts w:ascii="Verdana" w:eastAsia="Verdana" w:hAnsi="Verdana" w:cs="Verdana"/>
          <w:color w:val="333333"/>
          <w:sz w:val="17"/>
          <w:szCs w:val="17"/>
          <w:highlight w:val="white"/>
        </w:rPr>
        <w:t xml:space="preserve"> do </w:t>
      </w:r>
      <w:proofErr w:type="spellStart"/>
      <w:r w:rsidR="00E57731">
        <w:rPr>
          <w:rFonts w:ascii="Verdana" w:eastAsia="Verdana" w:hAnsi="Verdana" w:cs="Verdana"/>
          <w:color w:val="333333"/>
          <w:sz w:val="17"/>
          <w:szCs w:val="17"/>
          <w:highlight w:val="white"/>
        </w:rPr>
        <w:t>Consumidor</w:t>
      </w:r>
      <w:proofErr w:type="spellEnd"/>
      <w:r w:rsidR="00E57731">
        <w:rPr>
          <w:rFonts w:ascii="Verdana" w:eastAsia="Verdana" w:hAnsi="Verdana" w:cs="Verdana"/>
          <w:color w:val="333333"/>
          <w:sz w:val="17"/>
          <w:szCs w:val="17"/>
          <w:highlight w:val="white"/>
        </w:rPr>
        <w:t xml:space="preserve">), a consumer rights organization, and the public defenders’ office filed a class action suit seeking </w:t>
      </w:r>
      <w:r w:rsidR="00B45676">
        <w:rPr>
          <w:rFonts w:ascii="Verdana" w:eastAsia="Verdana" w:hAnsi="Verdana" w:cs="Verdana"/>
          <w:color w:val="333333"/>
          <w:sz w:val="17"/>
          <w:szCs w:val="17"/>
          <w:highlight w:val="white"/>
        </w:rPr>
        <w:t xml:space="preserve">100 million Brazilian reais in damages and an order against the use of the equipment by </w:t>
      </w:r>
      <w:proofErr w:type="spellStart"/>
      <w:r w:rsidR="00B45676">
        <w:rPr>
          <w:rFonts w:ascii="Verdana" w:eastAsia="Verdana" w:hAnsi="Verdana" w:cs="Verdana"/>
          <w:color w:val="333333"/>
          <w:sz w:val="17"/>
          <w:szCs w:val="17"/>
          <w:highlight w:val="white"/>
        </w:rPr>
        <w:t>ViaQuatro</w:t>
      </w:r>
      <w:proofErr w:type="spellEnd"/>
      <w:r w:rsidR="00B45676">
        <w:rPr>
          <w:rFonts w:ascii="Verdana" w:eastAsia="Verdana" w:hAnsi="Verdana" w:cs="Verdana"/>
          <w:color w:val="333333"/>
          <w:sz w:val="17"/>
          <w:szCs w:val="17"/>
          <w:highlight w:val="white"/>
        </w:rPr>
        <w:t>.</w:t>
      </w:r>
    </w:p>
    <w:p w14:paraId="00000024" w14:textId="77777777" w:rsidR="009C5A35" w:rsidRDefault="00FA28E3">
      <w:pPr>
        <w:numPr>
          <w:ilvl w:val="0"/>
          <w:numId w:val="2"/>
        </w:numPr>
        <w:jc w:val="both"/>
        <w:rPr>
          <w:rFonts w:ascii="Verdana" w:eastAsia="Verdana" w:hAnsi="Verdana" w:cs="Verdana"/>
          <w:color w:val="333333"/>
          <w:sz w:val="17"/>
          <w:szCs w:val="17"/>
        </w:rPr>
      </w:pPr>
      <w:r>
        <w:rPr>
          <w:rFonts w:ascii="Verdana" w:eastAsia="Verdana" w:hAnsi="Verdana" w:cs="Verdana"/>
          <w:b/>
          <w:color w:val="333333"/>
          <w:sz w:val="17"/>
          <w:szCs w:val="17"/>
        </w:rPr>
        <w:t>Cause of action or law at issue</w:t>
      </w:r>
    </w:p>
    <w:p w14:paraId="00000025" w14:textId="45A3C846" w:rsidR="009C5A35" w:rsidRPr="00903F44" w:rsidRDefault="00FA28E3" w:rsidP="0024282B">
      <w:pPr>
        <w:numPr>
          <w:ilvl w:val="0"/>
          <w:numId w:val="18"/>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Procedural history</w:t>
      </w:r>
    </w:p>
    <w:p w14:paraId="00000026" w14:textId="77777777" w:rsidR="009C5A35" w:rsidRDefault="00FA28E3">
      <w:pPr>
        <w:numPr>
          <w:ilvl w:val="0"/>
          <w:numId w:val="19"/>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Decision Overview</w:t>
      </w:r>
    </w:p>
    <w:p w14:paraId="00000027" w14:textId="26E73FBE" w:rsidR="009C5A35" w:rsidRPr="008108CA" w:rsidRDefault="00FA28E3">
      <w:pPr>
        <w:numPr>
          <w:ilvl w:val="1"/>
          <w:numId w:val="19"/>
        </w:numPr>
        <w:jc w:val="both"/>
        <w:rPr>
          <w:rFonts w:ascii="Verdana" w:eastAsia="Verdana" w:hAnsi="Verdana" w:cs="Verdana"/>
          <w:color w:val="333333"/>
          <w:sz w:val="17"/>
          <w:szCs w:val="17"/>
        </w:rPr>
      </w:pPr>
      <w:r>
        <w:rPr>
          <w:rFonts w:ascii="Verdana" w:eastAsia="Verdana" w:hAnsi="Verdana" w:cs="Verdana"/>
          <w:b/>
          <w:color w:val="333333"/>
          <w:sz w:val="17"/>
          <w:szCs w:val="17"/>
        </w:rPr>
        <w:t>Deciding judge &amp; type of opinion</w:t>
      </w:r>
    </w:p>
    <w:p w14:paraId="10851E57" w14:textId="2DBA534E" w:rsidR="008108CA" w:rsidRPr="008108CA" w:rsidRDefault="008108CA" w:rsidP="008108CA">
      <w:pPr>
        <w:ind w:left="1080"/>
        <w:jc w:val="both"/>
        <w:rPr>
          <w:rFonts w:ascii="Verdana" w:eastAsia="Verdana" w:hAnsi="Verdana" w:cs="Verdana"/>
          <w:bCs/>
          <w:color w:val="333333"/>
          <w:sz w:val="17"/>
          <w:szCs w:val="17"/>
        </w:rPr>
      </w:pPr>
      <w:r w:rsidRPr="008108CA">
        <w:rPr>
          <w:rFonts w:ascii="Verdana" w:eastAsia="Verdana" w:hAnsi="Verdana" w:cs="Verdana"/>
          <w:bCs/>
          <w:color w:val="333333"/>
          <w:sz w:val="17"/>
          <w:szCs w:val="17"/>
        </w:rPr>
        <w:t xml:space="preserve">Judge </w:t>
      </w:r>
      <w:proofErr w:type="spellStart"/>
      <w:r w:rsidR="00EA6148">
        <w:rPr>
          <w:rFonts w:ascii="Verdana" w:eastAsia="Verdana" w:hAnsi="Verdana" w:cs="Verdana"/>
          <w:bCs/>
          <w:color w:val="333333"/>
          <w:sz w:val="17"/>
          <w:szCs w:val="17"/>
        </w:rPr>
        <w:t>Patrícia</w:t>
      </w:r>
      <w:proofErr w:type="spellEnd"/>
      <w:r w:rsidR="00EA6148">
        <w:rPr>
          <w:rFonts w:ascii="Verdana" w:eastAsia="Verdana" w:hAnsi="Verdana" w:cs="Verdana"/>
          <w:bCs/>
          <w:color w:val="333333"/>
          <w:sz w:val="17"/>
          <w:szCs w:val="17"/>
        </w:rPr>
        <w:t xml:space="preserve"> Martins </w:t>
      </w:r>
      <w:proofErr w:type="spellStart"/>
      <w:r w:rsidR="00EA6148">
        <w:rPr>
          <w:rFonts w:ascii="Verdana" w:eastAsia="Verdana" w:hAnsi="Verdana" w:cs="Verdana"/>
          <w:bCs/>
          <w:color w:val="333333"/>
          <w:sz w:val="17"/>
          <w:szCs w:val="17"/>
        </w:rPr>
        <w:t>Conceição</w:t>
      </w:r>
      <w:proofErr w:type="spellEnd"/>
      <w:r w:rsidR="00EA6148">
        <w:rPr>
          <w:rFonts w:ascii="Verdana" w:eastAsia="Verdana" w:hAnsi="Verdana" w:cs="Verdana"/>
          <w:bCs/>
          <w:color w:val="333333"/>
          <w:sz w:val="17"/>
          <w:szCs w:val="17"/>
        </w:rPr>
        <w:t xml:space="preserve"> </w:t>
      </w:r>
      <w:r w:rsidR="00E81F5C">
        <w:rPr>
          <w:rFonts w:ascii="Verdana" w:eastAsia="Verdana" w:hAnsi="Verdana" w:cs="Verdana"/>
          <w:bCs/>
          <w:color w:val="333333"/>
          <w:sz w:val="17"/>
          <w:szCs w:val="17"/>
        </w:rPr>
        <w:t xml:space="preserve">entered the judgement </w:t>
      </w:r>
      <w:r w:rsidR="00EA6148">
        <w:rPr>
          <w:rFonts w:ascii="Verdana" w:eastAsia="Verdana" w:hAnsi="Verdana" w:cs="Verdana"/>
          <w:bCs/>
          <w:color w:val="333333"/>
          <w:sz w:val="17"/>
          <w:szCs w:val="17"/>
        </w:rPr>
        <w:t>on the class action</w:t>
      </w:r>
      <w:r w:rsidR="00E81F5C">
        <w:rPr>
          <w:rFonts w:ascii="Verdana" w:eastAsia="Verdana" w:hAnsi="Verdana" w:cs="Verdana"/>
          <w:bCs/>
          <w:color w:val="333333"/>
          <w:sz w:val="17"/>
          <w:szCs w:val="17"/>
        </w:rPr>
        <w:t>.</w:t>
      </w:r>
    </w:p>
    <w:p w14:paraId="00000028" w14:textId="77777777" w:rsidR="009C5A35" w:rsidRDefault="00FA28E3" w:rsidP="00E81F5C">
      <w:pPr>
        <w:numPr>
          <w:ilvl w:val="1"/>
          <w:numId w:val="19"/>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 xml:space="preserve">Issue </w:t>
      </w:r>
      <w:r w:rsidRPr="00E81F5C">
        <w:rPr>
          <w:rFonts w:ascii="Verdana" w:eastAsia="Verdana" w:hAnsi="Verdana" w:cs="Verdana"/>
          <w:b/>
          <w:color w:val="333333"/>
          <w:sz w:val="17"/>
          <w:szCs w:val="17"/>
        </w:rPr>
        <w:t>statement</w:t>
      </w:r>
    </w:p>
    <w:p w14:paraId="63CA23B3" w14:textId="5BDF5F4B" w:rsidR="00EA6148" w:rsidRDefault="00E81F5C" w:rsidP="00E81F5C">
      <w:pPr>
        <w:ind w:left="108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At issue before the trial court was whether the </w:t>
      </w:r>
      <w:r w:rsidR="00EA6148">
        <w:rPr>
          <w:rFonts w:ascii="Verdana" w:eastAsia="Verdana" w:hAnsi="Verdana" w:cs="Verdana"/>
          <w:color w:val="333333"/>
          <w:sz w:val="17"/>
          <w:szCs w:val="17"/>
          <w:highlight w:val="white"/>
        </w:rPr>
        <w:t xml:space="preserve">use of facial recognition technology absent consent from riders was legal. </w:t>
      </w:r>
    </w:p>
    <w:p w14:paraId="0000002B" w14:textId="77777777" w:rsidR="009C5A35" w:rsidRDefault="00FA28E3">
      <w:pPr>
        <w:numPr>
          <w:ilvl w:val="1"/>
          <w:numId w:val="17"/>
        </w:numPr>
        <w:spacing w:after="24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Court’s rulings &amp; legal grounds</w:t>
      </w:r>
    </w:p>
    <w:p w14:paraId="7E78191D" w14:textId="79482B13" w:rsidR="005E1DCF" w:rsidRDefault="00633CF2">
      <w:pPr>
        <w:spacing w:before="240" w:after="240"/>
        <w:ind w:left="560" w:firstLine="700"/>
        <w:jc w:val="both"/>
        <w:rPr>
          <w:rFonts w:ascii="Verdana" w:eastAsia="Verdana" w:hAnsi="Verdana" w:cs="Verdana"/>
          <w:bCs/>
          <w:color w:val="333333"/>
          <w:sz w:val="17"/>
          <w:szCs w:val="17"/>
        </w:rPr>
      </w:pPr>
      <w:r>
        <w:rPr>
          <w:rFonts w:ascii="Verdana" w:eastAsia="Verdana" w:hAnsi="Verdana" w:cs="Verdana"/>
          <w:color w:val="333333"/>
          <w:sz w:val="17"/>
          <w:szCs w:val="17"/>
          <w:highlight w:val="white"/>
        </w:rPr>
        <w:t xml:space="preserve">On </w:t>
      </w:r>
      <w:r w:rsidR="00EA6148">
        <w:rPr>
          <w:rFonts w:ascii="Verdana" w:eastAsia="Verdana" w:hAnsi="Verdana" w:cs="Verdana"/>
          <w:color w:val="333333"/>
          <w:sz w:val="17"/>
          <w:szCs w:val="17"/>
          <w:highlight w:val="white"/>
        </w:rPr>
        <w:t>May</w:t>
      </w:r>
      <w:r>
        <w:rPr>
          <w:rFonts w:ascii="Verdana" w:eastAsia="Verdana" w:hAnsi="Verdana" w:cs="Verdana"/>
          <w:color w:val="333333"/>
          <w:sz w:val="17"/>
          <w:szCs w:val="17"/>
          <w:highlight w:val="white"/>
        </w:rPr>
        <w:t xml:space="preserve"> </w:t>
      </w:r>
      <w:r w:rsidR="00EA6148">
        <w:rPr>
          <w:rFonts w:ascii="Verdana" w:eastAsia="Verdana" w:hAnsi="Verdana" w:cs="Verdana"/>
          <w:color w:val="333333"/>
          <w:sz w:val="17"/>
          <w:szCs w:val="17"/>
          <w:highlight w:val="white"/>
        </w:rPr>
        <w:t>7</w:t>
      </w:r>
      <w:r>
        <w:rPr>
          <w:rFonts w:ascii="Verdana" w:eastAsia="Verdana" w:hAnsi="Verdana" w:cs="Verdana"/>
          <w:color w:val="333333"/>
          <w:sz w:val="17"/>
          <w:szCs w:val="17"/>
          <w:highlight w:val="white"/>
        </w:rPr>
        <w:t xml:space="preserve">, 2021, judgement </w:t>
      </w:r>
      <w:r w:rsidR="00E40824">
        <w:rPr>
          <w:rFonts w:ascii="Verdana" w:eastAsia="Verdana" w:hAnsi="Verdana" w:cs="Verdana"/>
          <w:bCs/>
          <w:color w:val="333333"/>
          <w:sz w:val="17"/>
          <w:szCs w:val="17"/>
        </w:rPr>
        <w:t>was entered</w:t>
      </w:r>
      <w:r w:rsidR="00E40824">
        <w:rPr>
          <w:rFonts w:ascii="Verdana" w:eastAsia="Verdana" w:hAnsi="Verdana" w:cs="Verdana"/>
          <w:color w:val="333333"/>
          <w:sz w:val="17"/>
          <w:szCs w:val="17"/>
          <w:highlight w:val="white"/>
        </w:rPr>
        <w:t xml:space="preserve"> </w:t>
      </w:r>
      <w:r>
        <w:rPr>
          <w:rFonts w:ascii="Verdana" w:eastAsia="Verdana" w:hAnsi="Verdana" w:cs="Verdana"/>
          <w:color w:val="333333"/>
          <w:sz w:val="17"/>
          <w:szCs w:val="17"/>
          <w:highlight w:val="white"/>
        </w:rPr>
        <w:t xml:space="preserve">against </w:t>
      </w:r>
      <w:proofErr w:type="spellStart"/>
      <w:r w:rsidR="00EA6148">
        <w:rPr>
          <w:rFonts w:ascii="Verdana" w:eastAsia="Verdana" w:hAnsi="Verdana" w:cs="Verdana"/>
          <w:bCs/>
          <w:color w:val="333333"/>
          <w:sz w:val="17"/>
          <w:szCs w:val="17"/>
        </w:rPr>
        <w:t>ViaQuatro</w:t>
      </w:r>
      <w:proofErr w:type="spellEnd"/>
      <w:r>
        <w:rPr>
          <w:rFonts w:ascii="Verdana" w:eastAsia="Verdana" w:hAnsi="Verdana" w:cs="Verdana"/>
          <w:bCs/>
          <w:color w:val="333333"/>
          <w:sz w:val="17"/>
          <w:szCs w:val="17"/>
        </w:rPr>
        <w:t xml:space="preserve">. </w:t>
      </w:r>
      <w:r w:rsidR="00EA6148">
        <w:rPr>
          <w:rFonts w:ascii="Verdana" w:eastAsia="Verdana" w:hAnsi="Verdana" w:cs="Verdana"/>
          <w:bCs/>
          <w:color w:val="333333"/>
          <w:sz w:val="17"/>
          <w:szCs w:val="17"/>
        </w:rPr>
        <w:t xml:space="preserve">It had argued there was no processing of personal data, </w:t>
      </w:r>
      <w:r w:rsidR="008926EB">
        <w:rPr>
          <w:rFonts w:ascii="Verdana" w:eastAsia="Verdana" w:hAnsi="Verdana" w:cs="Verdana"/>
          <w:bCs/>
          <w:color w:val="333333"/>
          <w:sz w:val="17"/>
          <w:szCs w:val="17"/>
        </w:rPr>
        <w:t>because riders were never identified individually</w:t>
      </w:r>
      <w:r w:rsidR="00B94442">
        <w:rPr>
          <w:rFonts w:ascii="Verdana" w:eastAsia="Verdana" w:hAnsi="Verdana" w:cs="Verdana"/>
          <w:bCs/>
          <w:color w:val="333333"/>
          <w:sz w:val="17"/>
          <w:szCs w:val="17"/>
        </w:rPr>
        <w:t>, and that no face recognition was implicated by the equipment, but rather only “face detection”</w:t>
      </w:r>
      <w:r w:rsidR="008926EB">
        <w:rPr>
          <w:rFonts w:ascii="Verdana" w:eastAsia="Verdana" w:hAnsi="Verdana" w:cs="Verdana"/>
          <w:bCs/>
          <w:color w:val="333333"/>
          <w:sz w:val="17"/>
          <w:szCs w:val="17"/>
        </w:rPr>
        <w:t xml:space="preserve">. The court found </w:t>
      </w:r>
      <w:proofErr w:type="spellStart"/>
      <w:r w:rsidR="008926EB">
        <w:rPr>
          <w:rFonts w:ascii="Verdana" w:eastAsia="Verdana" w:hAnsi="Verdana" w:cs="Verdana"/>
          <w:bCs/>
          <w:color w:val="333333"/>
          <w:sz w:val="17"/>
          <w:szCs w:val="17"/>
        </w:rPr>
        <w:t>ViaQuatro</w:t>
      </w:r>
      <w:proofErr w:type="spellEnd"/>
      <w:r w:rsidR="008926EB">
        <w:rPr>
          <w:rFonts w:ascii="Verdana" w:eastAsia="Verdana" w:hAnsi="Verdana" w:cs="Verdana"/>
          <w:bCs/>
          <w:color w:val="333333"/>
          <w:sz w:val="17"/>
          <w:szCs w:val="17"/>
        </w:rPr>
        <w:t xml:space="preserve"> had not made a showing that this was the case, and the burden of proof fell with the defendant, who failed to provide the court with evidence </w:t>
      </w:r>
      <w:r w:rsidR="005E1DCF">
        <w:rPr>
          <w:rFonts w:ascii="Verdana" w:eastAsia="Verdana" w:hAnsi="Verdana" w:cs="Verdana"/>
          <w:bCs/>
          <w:color w:val="333333"/>
          <w:sz w:val="17"/>
          <w:szCs w:val="17"/>
        </w:rPr>
        <w:t>supporting</w:t>
      </w:r>
      <w:r w:rsidR="008926EB">
        <w:rPr>
          <w:rFonts w:ascii="Verdana" w:eastAsia="Verdana" w:hAnsi="Verdana" w:cs="Verdana"/>
          <w:bCs/>
          <w:color w:val="333333"/>
          <w:sz w:val="17"/>
          <w:szCs w:val="17"/>
        </w:rPr>
        <w:t xml:space="preserve"> the claim, particularly expert evidence.</w:t>
      </w:r>
    </w:p>
    <w:p w14:paraId="60A96FF0" w14:textId="20E8DC92" w:rsidR="00B94442" w:rsidRDefault="00B94442">
      <w:pPr>
        <w:spacing w:before="240" w:after="240"/>
        <w:ind w:left="560" w:firstLine="700"/>
        <w:jc w:val="both"/>
        <w:rPr>
          <w:rFonts w:ascii="Verdana" w:eastAsia="Verdana" w:hAnsi="Verdana" w:cs="Verdana"/>
          <w:bCs/>
          <w:color w:val="333333"/>
          <w:sz w:val="17"/>
          <w:szCs w:val="17"/>
        </w:rPr>
      </w:pPr>
      <w:r>
        <w:rPr>
          <w:rFonts w:ascii="Verdana" w:eastAsia="Verdana" w:hAnsi="Verdana" w:cs="Verdana"/>
          <w:bCs/>
          <w:color w:val="333333"/>
          <w:sz w:val="17"/>
          <w:szCs w:val="17"/>
        </w:rPr>
        <w:t xml:space="preserve">It further stated that even “face detection” </w:t>
      </w:r>
      <w:r w:rsidR="00284650">
        <w:rPr>
          <w:rFonts w:ascii="Verdana" w:eastAsia="Verdana" w:hAnsi="Verdana" w:cs="Verdana"/>
          <w:bCs/>
          <w:color w:val="333333"/>
          <w:sz w:val="17"/>
          <w:szCs w:val="17"/>
        </w:rPr>
        <w:t xml:space="preserve">as described by </w:t>
      </w:r>
      <w:proofErr w:type="spellStart"/>
      <w:r w:rsidR="00284650">
        <w:rPr>
          <w:rFonts w:ascii="Verdana" w:eastAsia="Verdana" w:hAnsi="Verdana" w:cs="Verdana"/>
          <w:bCs/>
          <w:color w:val="333333"/>
          <w:sz w:val="17"/>
          <w:szCs w:val="17"/>
        </w:rPr>
        <w:t>ViaQuatro</w:t>
      </w:r>
      <w:proofErr w:type="spellEnd"/>
      <w:r w:rsidR="00284650">
        <w:rPr>
          <w:rFonts w:ascii="Verdana" w:eastAsia="Verdana" w:hAnsi="Verdana" w:cs="Verdana"/>
          <w:bCs/>
          <w:color w:val="333333"/>
          <w:sz w:val="17"/>
          <w:szCs w:val="17"/>
        </w:rPr>
        <w:t xml:space="preserve"> “would seemingly implicate the concept of biometric data” under the General Data Protection Law, the processing of which likely required consent from data subjects.</w:t>
      </w:r>
      <w:r w:rsidR="008119AF">
        <w:rPr>
          <w:rFonts w:ascii="Verdana" w:eastAsia="Verdana" w:hAnsi="Verdana" w:cs="Verdana"/>
          <w:bCs/>
          <w:color w:val="333333"/>
          <w:sz w:val="17"/>
          <w:szCs w:val="17"/>
        </w:rPr>
        <w:t xml:space="preserve"> The court made special reference to provisions on the processing of data on children and adolescents.</w:t>
      </w:r>
      <w:r w:rsidR="00284650">
        <w:rPr>
          <w:rFonts w:ascii="Verdana" w:eastAsia="Verdana" w:hAnsi="Verdana" w:cs="Verdana"/>
          <w:bCs/>
          <w:color w:val="333333"/>
          <w:sz w:val="17"/>
          <w:szCs w:val="17"/>
        </w:rPr>
        <w:t xml:space="preserve"> It </w:t>
      </w:r>
      <w:r w:rsidR="008119AF">
        <w:rPr>
          <w:rFonts w:ascii="Verdana" w:eastAsia="Verdana" w:hAnsi="Verdana" w:cs="Verdana"/>
          <w:bCs/>
          <w:color w:val="333333"/>
          <w:sz w:val="17"/>
          <w:szCs w:val="17"/>
        </w:rPr>
        <w:t xml:space="preserve">concluded </w:t>
      </w:r>
      <w:proofErr w:type="spellStart"/>
      <w:r w:rsidR="008119AF">
        <w:rPr>
          <w:rFonts w:ascii="Verdana" w:eastAsia="Verdana" w:hAnsi="Verdana" w:cs="Verdana"/>
          <w:bCs/>
          <w:color w:val="333333"/>
          <w:sz w:val="17"/>
          <w:szCs w:val="17"/>
        </w:rPr>
        <w:t>ViaQuatro</w:t>
      </w:r>
      <w:proofErr w:type="spellEnd"/>
      <w:r w:rsidR="008119AF">
        <w:rPr>
          <w:rFonts w:ascii="Verdana" w:eastAsia="Verdana" w:hAnsi="Verdana" w:cs="Verdana"/>
          <w:bCs/>
          <w:color w:val="333333"/>
          <w:sz w:val="17"/>
          <w:szCs w:val="17"/>
        </w:rPr>
        <w:t xml:space="preserve"> had “unequivocally violated” </w:t>
      </w:r>
      <w:r w:rsidR="00284650">
        <w:rPr>
          <w:rFonts w:ascii="Verdana" w:eastAsia="Verdana" w:hAnsi="Verdana" w:cs="Verdana"/>
          <w:bCs/>
          <w:color w:val="333333"/>
          <w:sz w:val="17"/>
          <w:szCs w:val="17"/>
        </w:rPr>
        <w:t>the right to the protection of one’s image</w:t>
      </w:r>
      <w:r w:rsidR="008119AF">
        <w:rPr>
          <w:rFonts w:ascii="Verdana" w:eastAsia="Verdana" w:hAnsi="Verdana" w:cs="Verdana"/>
          <w:bCs/>
          <w:color w:val="333333"/>
          <w:sz w:val="17"/>
          <w:szCs w:val="17"/>
        </w:rPr>
        <w:t>, data protection requirements for the processing of sensitive data, and consumers’ right to information</w:t>
      </w:r>
      <w:r w:rsidR="00FD7F41">
        <w:rPr>
          <w:rFonts w:ascii="Verdana" w:eastAsia="Verdana" w:hAnsi="Verdana" w:cs="Verdana"/>
          <w:bCs/>
          <w:color w:val="333333"/>
          <w:sz w:val="17"/>
          <w:szCs w:val="17"/>
        </w:rPr>
        <w:t>.</w:t>
      </w:r>
    </w:p>
    <w:p w14:paraId="00000034" w14:textId="57F9D562" w:rsidR="009C5A35" w:rsidRPr="00FA5850" w:rsidRDefault="00FA28E3">
      <w:pPr>
        <w:numPr>
          <w:ilvl w:val="1"/>
          <w:numId w:val="15"/>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Concluding statement</w:t>
      </w:r>
    </w:p>
    <w:p w14:paraId="59191EC5" w14:textId="33BE446F" w:rsidR="00490C1A" w:rsidRDefault="00490C1A" w:rsidP="00490C1A">
      <w:pPr>
        <w:spacing w:before="240" w:after="240"/>
        <w:ind w:left="560" w:firstLine="700"/>
        <w:jc w:val="both"/>
        <w:rPr>
          <w:rFonts w:ascii="Verdana" w:eastAsia="Verdana" w:hAnsi="Verdana" w:cs="Verdana"/>
          <w:bCs/>
          <w:color w:val="333333"/>
          <w:sz w:val="17"/>
          <w:szCs w:val="17"/>
        </w:rPr>
      </w:pPr>
      <w:proofErr w:type="spellStart"/>
      <w:r>
        <w:rPr>
          <w:rFonts w:ascii="Verdana" w:eastAsia="Verdana" w:hAnsi="Verdana" w:cs="Verdana"/>
          <w:bCs/>
          <w:color w:val="333333"/>
          <w:sz w:val="17"/>
          <w:szCs w:val="17"/>
        </w:rPr>
        <w:t>ViaQuatro</w:t>
      </w:r>
      <w:proofErr w:type="spellEnd"/>
      <w:r>
        <w:rPr>
          <w:rFonts w:ascii="Verdana" w:eastAsia="Verdana" w:hAnsi="Verdana" w:cs="Verdana"/>
          <w:bCs/>
          <w:color w:val="333333"/>
          <w:sz w:val="17"/>
          <w:szCs w:val="17"/>
        </w:rPr>
        <w:t xml:space="preserve"> was ordered not to use the interactive doors without securing prior consent from riders. The court also awarded 100,000 Brazilian reais in damages for collective harm arising from the unlawful data processing— less than the 100 million Brazilian reais the claimants had sought. It also rejected awarding damages for non-economic harm to riders themselves, ruling that this would entirely overlap with the damages for collective harm.</w:t>
      </w:r>
    </w:p>
    <w:p w14:paraId="267BFBFA" w14:textId="77777777" w:rsidR="00FA5850" w:rsidRDefault="00FA5850" w:rsidP="00FA5850">
      <w:pPr>
        <w:jc w:val="both"/>
        <w:rPr>
          <w:rFonts w:ascii="Verdana" w:eastAsia="Verdana" w:hAnsi="Verdana" w:cs="Verdana"/>
          <w:color w:val="333333"/>
          <w:sz w:val="17"/>
          <w:szCs w:val="17"/>
          <w:highlight w:val="white"/>
        </w:rPr>
      </w:pPr>
    </w:p>
    <w:p w14:paraId="00000035" w14:textId="77777777" w:rsidR="009C5A35" w:rsidRDefault="00FA28E3">
      <w:pPr>
        <w:numPr>
          <w:ilvl w:val="1"/>
          <w:numId w:val="20"/>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Dissenting or Concurring opinions</w:t>
      </w:r>
    </w:p>
    <w:p w14:paraId="00000036"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37"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Direction</w:t>
      </w:r>
    </w:p>
    <w:p w14:paraId="00000038" w14:textId="5102E235" w:rsidR="009C5A35" w:rsidRDefault="00FA28E3">
      <w:pPr>
        <w:numPr>
          <w:ilvl w:val="0"/>
          <w:numId w:val="10"/>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Decision Direction</w:t>
      </w:r>
      <w:r>
        <w:rPr>
          <w:rFonts w:ascii="Verdana" w:eastAsia="Verdana" w:hAnsi="Verdana" w:cs="Verdana"/>
          <w:color w:val="333333"/>
          <w:sz w:val="17"/>
          <w:szCs w:val="17"/>
          <w:highlight w:val="white"/>
        </w:rPr>
        <w:t xml:space="preserve">: </w:t>
      </w:r>
      <w:r w:rsidR="00490C1A">
        <w:rPr>
          <w:rFonts w:ascii="Verdana" w:eastAsia="Verdana" w:hAnsi="Verdana" w:cs="Verdana"/>
          <w:color w:val="333333"/>
          <w:sz w:val="17"/>
          <w:szCs w:val="17"/>
          <w:highlight w:val="white"/>
        </w:rPr>
        <w:t xml:space="preserve">expands </w:t>
      </w:r>
      <w:proofErr w:type="gramStart"/>
      <w:r w:rsidR="00490C1A">
        <w:rPr>
          <w:rFonts w:ascii="Verdana" w:eastAsia="Verdana" w:hAnsi="Verdana" w:cs="Verdana"/>
          <w:color w:val="333333"/>
          <w:sz w:val="17"/>
          <w:szCs w:val="17"/>
          <w:highlight w:val="white"/>
        </w:rPr>
        <w:t>expression</w:t>
      </w:r>
      <w:r>
        <w:rPr>
          <w:rFonts w:ascii="Verdana" w:eastAsia="Verdana" w:hAnsi="Verdana" w:cs="Verdana"/>
          <w:color w:val="333333"/>
          <w:sz w:val="17"/>
          <w:szCs w:val="17"/>
          <w:highlight w:val="white"/>
        </w:rPr>
        <w:t>;</w:t>
      </w:r>
      <w:proofErr w:type="gramEnd"/>
    </w:p>
    <w:p w14:paraId="64787D63" w14:textId="7E3243AB" w:rsidR="00490C1A" w:rsidRDefault="00FA28E3">
      <w:pPr>
        <w:numPr>
          <w:ilvl w:val="0"/>
          <w:numId w:val="10"/>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rPr>
        <w:t>Information</w:t>
      </w:r>
      <w:r>
        <w:rPr>
          <w:rFonts w:ascii="Verdana" w:eastAsia="Verdana" w:hAnsi="Verdana" w:cs="Verdana"/>
          <w:color w:val="333333"/>
          <w:sz w:val="17"/>
          <w:szCs w:val="17"/>
          <w:highlight w:val="white"/>
        </w:rPr>
        <w:t>:</w:t>
      </w:r>
      <w:r w:rsidR="00FA5850">
        <w:rPr>
          <w:rFonts w:ascii="Verdana" w:eastAsia="Verdana" w:hAnsi="Verdana" w:cs="Verdana"/>
          <w:color w:val="333333"/>
          <w:sz w:val="17"/>
          <w:szCs w:val="17"/>
          <w:highlight w:val="white"/>
        </w:rPr>
        <w:t xml:space="preserve"> </w:t>
      </w:r>
      <w:r w:rsidR="00490C1A">
        <w:rPr>
          <w:rFonts w:ascii="Verdana" w:eastAsia="Verdana" w:hAnsi="Verdana" w:cs="Verdana"/>
          <w:color w:val="333333"/>
          <w:sz w:val="17"/>
          <w:szCs w:val="17"/>
          <w:highlight w:val="white"/>
        </w:rPr>
        <w:t xml:space="preserve">The court rebuffed </w:t>
      </w:r>
      <w:r w:rsidR="000369D0">
        <w:rPr>
          <w:rFonts w:ascii="Verdana" w:eastAsia="Verdana" w:hAnsi="Verdana" w:cs="Verdana"/>
          <w:color w:val="333333"/>
          <w:sz w:val="17"/>
          <w:szCs w:val="17"/>
          <w:highlight w:val="white"/>
        </w:rPr>
        <w:t>the use of facial recognition technology, which has been repeatedly denounced as having chilling effects for speech.</w:t>
      </w:r>
    </w:p>
    <w:p w14:paraId="0000003A"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3B"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lastRenderedPageBreak/>
        <w:t>Perspective</w:t>
      </w:r>
    </w:p>
    <w:p w14:paraId="0000003C" w14:textId="77777777" w:rsidR="009C5A35" w:rsidRDefault="00FA28E3">
      <w:pPr>
        <w:numPr>
          <w:ilvl w:val="0"/>
          <w:numId w:val="4"/>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Global Perspective:</w:t>
      </w:r>
    </w:p>
    <w:p w14:paraId="0000003D" w14:textId="77777777" w:rsidR="009C5A35" w:rsidRDefault="00FA28E3">
      <w:pPr>
        <w:numPr>
          <w:ilvl w:val="0"/>
          <w:numId w:val="4"/>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International, Regional, and National Laws or Cases</w:t>
      </w:r>
      <w:r>
        <w:rPr>
          <w:rFonts w:ascii="Verdana" w:eastAsia="Verdana" w:hAnsi="Verdana" w:cs="Verdana"/>
          <w:color w:val="333333"/>
          <w:sz w:val="17"/>
          <w:szCs w:val="17"/>
          <w:highlight w:val="white"/>
        </w:rPr>
        <w:t xml:space="preserve"> </w:t>
      </w:r>
    </w:p>
    <w:p w14:paraId="0000003E" w14:textId="77777777" w:rsidR="009C5A35" w:rsidRDefault="00FA28E3">
      <w:pPr>
        <w:numPr>
          <w:ilvl w:val="0"/>
          <w:numId w:val="12"/>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Other National Standards, Law or Jurisprudence</w:t>
      </w:r>
    </w:p>
    <w:p w14:paraId="0000003F" w14:textId="77777777" w:rsidR="009C5A35" w:rsidRDefault="00FA28E3">
      <w:pPr>
        <w:numPr>
          <w:ilvl w:val="0"/>
          <w:numId w:val="12"/>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General Notes</w:t>
      </w:r>
      <w:r>
        <w:rPr>
          <w:rFonts w:ascii="Verdana" w:eastAsia="Verdana" w:hAnsi="Verdana" w:cs="Verdana"/>
          <w:color w:val="333333"/>
          <w:sz w:val="17"/>
          <w:szCs w:val="17"/>
          <w:highlight w:val="white"/>
        </w:rPr>
        <w:t>:</w:t>
      </w:r>
    </w:p>
    <w:p w14:paraId="00000040"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41"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Significance</w:t>
      </w:r>
    </w:p>
    <w:p w14:paraId="00000042" w14:textId="77777777" w:rsidR="009C5A35" w:rsidRDefault="00FA28E3">
      <w:pPr>
        <w:numPr>
          <w:ilvl w:val="0"/>
          <w:numId w:val="1"/>
        </w:numPr>
        <w:spacing w:after="480"/>
        <w:jc w:val="both"/>
        <w:rPr>
          <w:rFonts w:ascii="Verdana" w:eastAsia="Verdana" w:hAnsi="Verdana" w:cs="Verdana"/>
          <w:color w:val="333333"/>
          <w:sz w:val="17"/>
          <w:szCs w:val="17"/>
        </w:rPr>
      </w:pPr>
      <w:r>
        <w:rPr>
          <w:rFonts w:ascii="Verdana" w:eastAsia="Verdana" w:hAnsi="Verdana" w:cs="Verdana"/>
          <w:b/>
          <w:color w:val="333333"/>
          <w:sz w:val="17"/>
          <w:szCs w:val="17"/>
        </w:rPr>
        <w:t>Case significance</w:t>
      </w:r>
    </w:p>
    <w:p w14:paraId="60E9073E" w14:textId="37AB7802" w:rsidR="000369D0" w:rsidRDefault="000369D0">
      <w:pPr>
        <w:spacing w:before="240" w:after="240"/>
        <w:ind w:left="72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The case </w:t>
      </w:r>
      <w:r w:rsidR="00904CA4">
        <w:rPr>
          <w:rFonts w:ascii="Verdana" w:eastAsia="Verdana" w:hAnsi="Verdana" w:cs="Verdana"/>
          <w:color w:val="333333"/>
          <w:sz w:val="17"/>
          <w:szCs w:val="17"/>
          <w:highlight w:val="white"/>
        </w:rPr>
        <w:t>is significant if nothing else on account of the impressive figure of impacted individuals —a</w:t>
      </w:r>
      <w:r>
        <w:rPr>
          <w:rFonts w:ascii="Verdana" w:eastAsia="Verdana" w:hAnsi="Verdana" w:cs="Verdana"/>
          <w:color w:val="333333"/>
          <w:sz w:val="17"/>
          <w:szCs w:val="17"/>
          <w:highlight w:val="white"/>
        </w:rPr>
        <w:t xml:space="preserve">bout 800,000 riders use </w:t>
      </w:r>
      <w:r w:rsidR="00904CA4">
        <w:rPr>
          <w:rFonts w:ascii="Verdana" w:eastAsia="Verdana" w:hAnsi="Verdana" w:cs="Verdana"/>
          <w:color w:val="333333"/>
          <w:sz w:val="17"/>
          <w:szCs w:val="17"/>
          <w:highlight w:val="white"/>
        </w:rPr>
        <w:t xml:space="preserve">the subway line operated by </w:t>
      </w:r>
      <w:proofErr w:type="spellStart"/>
      <w:r>
        <w:rPr>
          <w:rFonts w:ascii="Verdana" w:eastAsia="Verdana" w:hAnsi="Verdana" w:cs="Verdana"/>
          <w:color w:val="333333"/>
          <w:sz w:val="17"/>
          <w:szCs w:val="17"/>
          <w:highlight w:val="white"/>
        </w:rPr>
        <w:t>ViaQuatro</w:t>
      </w:r>
      <w:proofErr w:type="spellEnd"/>
      <w:r>
        <w:rPr>
          <w:rFonts w:ascii="Verdana" w:eastAsia="Verdana" w:hAnsi="Verdana" w:cs="Verdana"/>
          <w:color w:val="333333"/>
          <w:sz w:val="17"/>
          <w:szCs w:val="17"/>
          <w:highlight w:val="white"/>
        </w:rPr>
        <w:t xml:space="preserve"> daily</w:t>
      </w:r>
      <w:r w:rsidR="00904CA4">
        <w:rPr>
          <w:rFonts w:ascii="Verdana" w:eastAsia="Verdana" w:hAnsi="Verdana" w:cs="Verdana"/>
          <w:color w:val="333333"/>
          <w:sz w:val="17"/>
          <w:szCs w:val="17"/>
          <w:highlight w:val="white"/>
        </w:rPr>
        <w:t>. It also</w:t>
      </w:r>
      <w:r>
        <w:rPr>
          <w:rFonts w:ascii="Verdana" w:eastAsia="Verdana" w:hAnsi="Verdana" w:cs="Verdana"/>
          <w:color w:val="333333"/>
          <w:sz w:val="17"/>
          <w:szCs w:val="17"/>
          <w:highlight w:val="white"/>
        </w:rPr>
        <w:t xml:space="preserve"> </w:t>
      </w:r>
      <w:r w:rsidR="00904CA4">
        <w:rPr>
          <w:rFonts w:ascii="Verdana" w:eastAsia="Verdana" w:hAnsi="Verdana" w:cs="Verdana"/>
          <w:color w:val="333333"/>
          <w:sz w:val="17"/>
          <w:szCs w:val="17"/>
          <w:highlight w:val="white"/>
        </w:rPr>
        <w:t>marked the first time a court ruled on the processing of biometric data by public transportation.</w:t>
      </w:r>
    </w:p>
    <w:p w14:paraId="00000045" w14:textId="77777777" w:rsidR="009C5A35" w:rsidRDefault="00FA28E3">
      <w:pPr>
        <w:spacing w:before="240" w:after="240"/>
        <w:ind w:left="360"/>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2.</w:t>
      </w:r>
      <w:r>
        <w:rPr>
          <w:rFonts w:ascii="Verdana" w:eastAsia="Verdana" w:hAnsi="Verdana" w:cs="Verdana"/>
          <w:color w:val="333333"/>
          <w:sz w:val="14"/>
          <w:szCs w:val="14"/>
          <w:highlight w:val="white"/>
        </w:rPr>
        <w:t xml:space="preserve">    </w:t>
      </w:r>
      <w:r>
        <w:rPr>
          <w:rFonts w:ascii="Verdana" w:eastAsia="Verdana" w:hAnsi="Verdana" w:cs="Verdana"/>
          <w:color w:val="333333"/>
          <w:sz w:val="17"/>
          <w:szCs w:val="17"/>
          <w:highlight w:val="white"/>
        </w:rPr>
        <w:t>Precedential Effect</w:t>
      </w:r>
    </w:p>
    <w:p w14:paraId="00000046" w14:textId="77777777" w:rsidR="009C5A35" w:rsidRDefault="00FA28E3">
      <w:pPr>
        <w:numPr>
          <w:ilvl w:val="0"/>
          <w:numId w:val="16"/>
        </w:numPr>
        <w:spacing w:after="240"/>
        <w:jc w:val="both"/>
        <w:rPr>
          <w:rFonts w:ascii="Verdana" w:eastAsia="Verdana" w:hAnsi="Verdana" w:cs="Verdana"/>
          <w:color w:val="333333"/>
          <w:sz w:val="17"/>
          <w:szCs w:val="17"/>
          <w:highlight w:val="white"/>
        </w:rPr>
      </w:pPr>
      <w:r>
        <w:rPr>
          <w:rFonts w:ascii="Verdana" w:eastAsia="Verdana" w:hAnsi="Verdana" w:cs="Verdana"/>
          <w:b/>
          <w:color w:val="333333"/>
          <w:sz w:val="17"/>
          <w:szCs w:val="17"/>
        </w:rPr>
        <w:t xml:space="preserve">Persuasive </w:t>
      </w:r>
      <w:r>
        <w:rPr>
          <w:rFonts w:ascii="Verdana" w:eastAsia="Verdana" w:hAnsi="Verdana" w:cs="Verdana"/>
          <w:b/>
          <w:color w:val="333333"/>
          <w:sz w:val="17"/>
          <w:szCs w:val="17"/>
          <w:highlight w:val="white"/>
        </w:rPr>
        <w:t>Effect</w:t>
      </w:r>
    </w:p>
    <w:p w14:paraId="3277D6E0" w14:textId="02B2F3AF" w:rsidR="00904CA4" w:rsidRDefault="00904CA4">
      <w:pPr>
        <w:spacing w:before="240" w:after="240"/>
        <w:ind w:left="72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Although nonbinding, the ruling can be a leading case on the use of facial recognition technology.</w:t>
      </w:r>
    </w:p>
    <w:p w14:paraId="00000048" w14:textId="77777777" w:rsidR="009C5A35" w:rsidRDefault="00FA28E3">
      <w:pPr>
        <w:numPr>
          <w:ilvl w:val="0"/>
          <w:numId w:val="13"/>
        </w:numPr>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Related Cases</w:t>
      </w:r>
    </w:p>
    <w:p w14:paraId="00000049" w14:textId="77777777" w:rsidR="009C5A35" w:rsidRDefault="00FA28E3">
      <w:pPr>
        <w:numPr>
          <w:ilvl w:val="0"/>
          <w:numId w:val="13"/>
        </w:numPr>
        <w:spacing w:after="48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Additional Citations</w:t>
      </w:r>
    </w:p>
    <w:p w14:paraId="0000004A"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4B"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Documents</w:t>
      </w:r>
    </w:p>
    <w:p w14:paraId="0000004C" w14:textId="77777777" w:rsidR="009C5A35" w:rsidRDefault="00FA28E3">
      <w:pPr>
        <w:numPr>
          <w:ilvl w:val="0"/>
          <w:numId w:val="11"/>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Official Case Documents</w:t>
      </w:r>
    </w:p>
    <w:p w14:paraId="0000004D"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Orders:</w:t>
      </w:r>
    </w:p>
    <w:p w14:paraId="00000051" w14:textId="79803043" w:rsidR="009C5A35" w:rsidRDefault="00DC296F">
      <w:pPr>
        <w:spacing w:before="240" w:after="240"/>
        <w:jc w:val="both"/>
      </w:pPr>
      <w:hyperlink r:id="rId5" w:history="1">
        <w:r w:rsidRPr="006745B2">
          <w:rPr>
            <w:rStyle w:val="Hyperlink"/>
          </w:rPr>
          <w:t>https://www.internetlab.org.br/wp-content/uploads/2021/05/sentenca-reconhecimento-facial-1.pdf</w:t>
        </w:r>
      </w:hyperlink>
    </w:p>
    <w:p w14:paraId="00000054" w14:textId="4D28B858" w:rsidR="009C5A35" w:rsidRDefault="009C5A35" w:rsidP="00DC296F">
      <w:pPr>
        <w:spacing w:before="240" w:after="240"/>
        <w:jc w:val="both"/>
        <w:rPr>
          <w:rFonts w:ascii="Verdana" w:eastAsia="Verdana" w:hAnsi="Verdana" w:cs="Verdana"/>
          <w:color w:val="333333"/>
          <w:sz w:val="17"/>
          <w:szCs w:val="17"/>
          <w:highlight w:val="white"/>
        </w:rPr>
      </w:pPr>
    </w:p>
    <w:p w14:paraId="00000055" w14:textId="77777777" w:rsidR="009C5A35" w:rsidRDefault="00FA28E3">
      <w:pPr>
        <w:numPr>
          <w:ilvl w:val="0"/>
          <w:numId w:val="5"/>
        </w:numPr>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Amicus Briefs and Other Legal Authorities</w:t>
      </w:r>
    </w:p>
    <w:p w14:paraId="00000056" w14:textId="77777777" w:rsidR="009C5A35" w:rsidRDefault="00FA28E3">
      <w:pPr>
        <w:numPr>
          <w:ilvl w:val="0"/>
          <w:numId w:val="5"/>
        </w:numPr>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Reports, Analysis and News Articles</w:t>
      </w:r>
    </w:p>
    <w:p w14:paraId="00000057" w14:textId="77777777" w:rsidR="009C5A35" w:rsidRDefault="00FA28E3">
      <w:pPr>
        <w:numPr>
          <w:ilvl w:val="0"/>
          <w:numId w:val="5"/>
        </w:numPr>
        <w:spacing w:after="48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Relevant Materials in Foreign Languages</w:t>
      </w:r>
    </w:p>
    <w:p w14:paraId="00000058" w14:textId="77777777" w:rsidR="009C5A35" w:rsidRDefault="009C5A35">
      <w:pPr>
        <w:rPr>
          <w:rFonts w:ascii="Verdana" w:eastAsia="Verdana" w:hAnsi="Verdana" w:cs="Verdana"/>
          <w:color w:val="333333"/>
          <w:sz w:val="17"/>
          <w:szCs w:val="17"/>
          <w:highlight w:val="white"/>
        </w:rPr>
      </w:pPr>
    </w:p>
    <w:p w14:paraId="00000059" w14:textId="77777777" w:rsidR="009C5A35" w:rsidRDefault="009C5A35">
      <w:pPr>
        <w:rPr>
          <w:rFonts w:ascii="Verdana" w:eastAsia="Verdana" w:hAnsi="Verdana" w:cs="Verdana"/>
          <w:color w:val="333333"/>
          <w:sz w:val="17"/>
          <w:szCs w:val="17"/>
          <w:highlight w:val="white"/>
        </w:rPr>
      </w:pPr>
    </w:p>
    <w:p w14:paraId="0000005A" w14:textId="77777777" w:rsidR="009C5A35" w:rsidRDefault="009C5A35"/>
    <w:sectPr w:rsidR="009C5A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210"/>
    <w:multiLevelType w:val="multilevel"/>
    <w:tmpl w:val="D83629BC"/>
    <w:lvl w:ilvl="0">
      <w:start w:val="3"/>
      <w:numFmt w:val="decimal"/>
      <w:lvlText w:val="%1."/>
      <w:lvlJc w:val="left"/>
      <w:pPr>
        <w:ind w:left="720" w:hanging="360"/>
      </w:pPr>
      <w:rPr>
        <w:u w:val="none"/>
      </w:rPr>
    </w:lvl>
    <w:lvl w:ilvl="1">
      <w:start w:val="7"/>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AD12D8"/>
    <w:multiLevelType w:val="multilevel"/>
    <w:tmpl w:val="458A0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8431D59"/>
    <w:multiLevelType w:val="multilevel"/>
    <w:tmpl w:val="4D729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C2E7893"/>
    <w:multiLevelType w:val="multilevel"/>
    <w:tmpl w:val="06DC9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6A382D"/>
    <w:multiLevelType w:val="multilevel"/>
    <w:tmpl w:val="9F5AEA70"/>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E9C2EC0"/>
    <w:multiLevelType w:val="multilevel"/>
    <w:tmpl w:val="5214294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7F01931"/>
    <w:multiLevelType w:val="multilevel"/>
    <w:tmpl w:val="2B56C8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C3E3476"/>
    <w:multiLevelType w:val="multilevel"/>
    <w:tmpl w:val="A3268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D6F3BD3"/>
    <w:multiLevelType w:val="multilevel"/>
    <w:tmpl w:val="B73E580E"/>
    <w:lvl w:ilvl="0">
      <w:start w:val="3"/>
      <w:numFmt w:val="decimal"/>
      <w:lvlText w:val="%1."/>
      <w:lvlJc w:val="left"/>
      <w:pPr>
        <w:ind w:left="720" w:hanging="360"/>
      </w:pPr>
      <w:rPr>
        <w:u w:val="none"/>
      </w:rPr>
    </w:lvl>
    <w:lvl w:ilvl="1">
      <w:start w:val="6"/>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43F1136"/>
    <w:multiLevelType w:val="multilevel"/>
    <w:tmpl w:val="0CF0D33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5DD1494"/>
    <w:multiLevelType w:val="multilevel"/>
    <w:tmpl w:val="610EAA74"/>
    <w:lvl w:ilvl="0">
      <w:start w:val="3"/>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10A6EA3"/>
    <w:multiLevelType w:val="multilevel"/>
    <w:tmpl w:val="5820467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2A610C8"/>
    <w:multiLevelType w:val="multilevel"/>
    <w:tmpl w:val="1B1ED1F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40C491F"/>
    <w:multiLevelType w:val="multilevel"/>
    <w:tmpl w:val="D0AAC18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D267770"/>
    <w:multiLevelType w:val="multilevel"/>
    <w:tmpl w:val="D10A1E3A"/>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9B95DD4"/>
    <w:multiLevelType w:val="multilevel"/>
    <w:tmpl w:val="95C04E78"/>
    <w:lvl w:ilvl="0">
      <w:start w:val="3"/>
      <w:numFmt w:val="decimal"/>
      <w:lvlText w:val="%1."/>
      <w:lvlJc w:val="left"/>
      <w:pPr>
        <w:ind w:left="720" w:hanging="360"/>
      </w:pPr>
      <w:rPr>
        <w:u w:val="none"/>
      </w:rPr>
    </w:lvl>
    <w:lvl w:ilvl="1">
      <w:start w:val="5"/>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C18585F"/>
    <w:multiLevelType w:val="multilevel"/>
    <w:tmpl w:val="FA483CE6"/>
    <w:lvl w:ilvl="0">
      <w:start w:val="2"/>
      <w:numFmt w:val="decimal"/>
      <w:lvlText w:val="%1."/>
      <w:lvlJc w:val="left"/>
      <w:pPr>
        <w:ind w:left="720" w:hanging="360"/>
      </w:pPr>
      <w:rPr>
        <w:u w:val="none"/>
      </w:rPr>
    </w:lvl>
    <w:lvl w:ilvl="1">
      <w:start w:val="3"/>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97D2221"/>
    <w:multiLevelType w:val="multilevel"/>
    <w:tmpl w:val="1616CC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AA931FC"/>
    <w:multiLevelType w:val="multilevel"/>
    <w:tmpl w:val="7A28B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BBF5947"/>
    <w:multiLevelType w:val="multilevel"/>
    <w:tmpl w:val="7AD24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8"/>
  </w:num>
  <w:num w:numId="2">
    <w:abstractNumId w:val="6"/>
  </w:num>
  <w:num w:numId="3">
    <w:abstractNumId w:val="17"/>
  </w:num>
  <w:num w:numId="4">
    <w:abstractNumId w:val="2"/>
  </w:num>
  <w:num w:numId="5">
    <w:abstractNumId w:val="5"/>
  </w:num>
  <w:num w:numId="6">
    <w:abstractNumId w:val="7"/>
  </w:num>
  <w:num w:numId="7">
    <w:abstractNumId w:val="1"/>
  </w:num>
  <w:num w:numId="8">
    <w:abstractNumId w:val="9"/>
  </w:num>
  <w:num w:numId="9">
    <w:abstractNumId w:val="10"/>
  </w:num>
  <w:num w:numId="10">
    <w:abstractNumId w:val="19"/>
  </w:num>
  <w:num w:numId="11">
    <w:abstractNumId w:val="3"/>
  </w:num>
  <w:num w:numId="12">
    <w:abstractNumId w:val="11"/>
  </w:num>
  <w:num w:numId="13">
    <w:abstractNumId w:val="13"/>
  </w:num>
  <w:num w:numId="14">
    <w:abstractNumId w:val="4"/>
  </w:num>
  <w:num w:numId="15">
    <w:abstractNumId w:val="8"/>
  </w:num>
  <w:num w:numId="16">
    <w:abstractNumId w:val="12"/>
  </w:num>
  <w:num w:numId="17">
    <w:abstractNumId w:val="15"/>
  </w:num>
  <w:num w:numId="18">
    <w:abstractNumId w:val="1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35"/>
    <w:rsid w:val="000369D0"/>
    <w:rsid w:val="000E5804"/>
    <w:rsid w:val="0015396F"/>
    <w:rsid w:val="001A2AA9"/>
    <w:rsid w:val="001A658F"/>
    <w:rsid w:val="0024282B"/>
    <w:rsid w:val="00244239"/>
    <w:rsid w:val="00284650"/>
    <w:rsid w:val="003B1880"/>
    <w:rsid w:val="004040B9"/>
    <w:rsid w:val="00452C8E"/>
    <w:rsid w:val="00452D65"/>
    <w:rsid w:val="00457222"/>
    <w:rsid w:val="004600B5"/>
    <w:rsid w:val="00490C1A"/>
    <w:rsid w:val="00576DDA"/>
    <w:rsid w:val="00577717"/>
    <w:rsid w:val="005E1DCF"/>
    <w:rsid w:val="005E54D5"/>
    <w:rsid w:val="0061617F"/>
    <w:rsid w:val="00633CF2"/>
    <w:rsid w:val="00695F01"/>
    <w:rsid w:val="0080032C"/>
    <w:rsid w:val="00803B1C"/>
    <w:rsid w:val="008108CA"/>
    <w:rsid w:val="008119AF"/>
    <w:rsid w:val="008206DF"/>
    <w:rsid w:val="00837740"/>
    <w:rsid w:val="008926EB"/>
    <w:rsid w:val="00903F44"/>
    <w:rsid w:val="00904CA4"/>
    <w:rsid w:val="009C5A35"/>
    <w:rsid w:val="009F3EDD"/>
    <w:rsid w:val="009F7D7D"/>
    <w:rsid w:val="00A508F8"/>
    <w:rsid w:val="00A54669"/>
    <w:rsid w:val="00A608EF"/>
    <w:rsid w:val="00A67637"/>
    <w:rsid w:val="00B30EA6"/>
    <w:rsid w:val="00B45676"/>
    <w:rsid w:val="00B94442"/>
    <w:rsid w:val="00BE2CD2"/>
    <w:rsid w:val="00C526FD"/>
    <w:rsid w:val="00D4176A"/>
    <w:rsid w:val="00D455AA"/>
    <w:rsid w:val="00D60223"/>
    <w:rsid w:val="00D661F8"/>
    <w:rsid w:val="00DC296F"/>
    <w:rsid w:val="00E40824"/>
    <w:rsid w:val="00E57731"/>
    <w:rsid w:val="00E81F5C"/>
    <w:rsid w:val="00EA6148"/>
    <w:rsid w:val="00EF213D"/>
    <w:rsid w:val="00F21D55"/>
    <w:rsid w:val="00F92FDE"/>
    <w:rsid w:val="00FA28E3"/>
    <w:rsid w:val="00FA5850"/>
    <w:rsid w:val="00FD7F41"/>
    <w:rsid w:val="00FE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5ABC7"/>
  <w15:docId w15:val="{A46F16A2-A58A-EA43-B315-D9AF5E92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E5804"/>
    <w:rPr>
      <w:rFonts w:ascii="Times New Roman" w:hAnsi="Times New Roman" w:cs="Times New Roman"/>
      <w:sz w:val="24"/>
      <w:szCs w:val="24"/>
    </w:rPr>
  </w:style>
  <w:style w:type="paragraph" w:styleId="ListParagraph">
    <w:name w:val="List Paragraph"/>
    <w:basedOn w:val="Normal"/>
    <w:uiPriority w:val="34"/>
    <w:qFormat/>
    <w:rsid w:val="00FA5850"/>
    <w:pPr>
      <w:ind w:left="720"/>
      <w:contextualSpacing/>
    </w:pPr>
  </w:style>
  <w:style w:type="character" w:styleId="Hyperlink">
    <w:name w:val="Hyperlink"/>
    <w:basedOn w:val="DefaultParagraphFont"/>
    <w:uiPriority w:val="99"/>
    <w:unhideWhenUsed/>
    <w:rsid w:val="00837740"/>
    <w:rPr>
      <w:color w:val="0000FF" w:themeColor="hyperlink"/>
      <w:u w:val="single"/>
    </w:rPr>
  </w:style>
  <w:style w:type="character" w:styleId="UnresolvedMention">
    <w:name w:val="Unresolved Mention"/>
    <w:basedOn w:val="DefaultParagraphFont"/>
    <w:uiPriority w:val="99"/>
    <w:semiHidden/>
    <w:unhideWhenUsed/>
    <w:rsid w:val="0083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3586">
      <w:bodyDiv w:val="1"/>
      <w:marLeft w:val="0"/>
      <w:marRight w:val="0"/>
      <w:marTop w:val="0"/>
      <w:marBottom w:val="0"/>
      <w:divBdr>
        <w:top w:val="none" w:sz="0" w:space="0" w:color="auto"/>
        <w:left w:val="none" w:sz="0" w:space="0" w:color="auto"/>
        <w:bottom w:val="none" w:sz="0" w:space="0" w:color="auto"/>
        <w:right w:val="none" w:sz="0" w:space="0" w:color="auto"/>
      </w:divBdr>
    </w:div>
    <w:div w:id="1284119900">
      <w:bodyDiv w:val="1"/>
      <w:marLeft w:val="0"/>
      <w:marRight w:val="0"/>
      <w:marTop w:val="0"/>
      <w:marBottom w:val="0"/>
      <w:divBdr>
        <w:top w:val="none" w:sz="0" w:space="0" w:color="auto"/>
        <w:left w:val="none" w:sz="0" w:space="0" w:color="auto"/>
        <w:bottom w:val="none" w:sz="0" w:space="0" w:color="auto"/>
        <w:right w:val="none" w:sz="0" w:space="0" w:color="auto"/>
      </w:divBdr>
      <w:divsChild>
        <w:div w:id="1547840707">
          <w:marLeft w:val="0"/>
          <w:marRight w:val="0"/>
          <w:marTop w:val="0"/>
          <w:marBottom w:val="0"/>
          <w:divBdr>
            <w:top w:val="none" w:sz="0" w:space="0" w:color="auto"/>
            <w:left w:val="none" w:sz="0" w:space="0" w:color="auto"/>
            <w:bottom w:val="none" w:sz="0" w:space="0" w:color="auto"/>
            <w:right w:val="none" w:sz="0" w:space="0" w:color="auto"/>
          </w:divBdr>
          <w:divsChild>
            <w:div w:id="1013846593">
              <w:marLeft w:val="0"/>
              <w:marRight w:val="0"/>
              <w:marTop w:val="0"/>
              <w:marBottom w:val="0"/>
              <w:divBdr>
                <w:top w:val="none" w:sz="0" w:space="0" w:color="auto"/>
                <w:left w:val="none" w:sz="0" w:space="0" w:color="auto"/>
                <w:bottom w:val="none" w:sz="0" w:space="0" w:color="auto"/>
                <w:right w:val="none" w:sz="0" w:space="0" w:color="auto"/>
              </w:divBdr>
              <w:divsChild>
                <w:div w:id="1226601592">
                  <w:marLeft w:val="0"/>
                  <w:marRight w:val="0"/>
                  <w:marTop w:val="0"/>
                  <w:marBottom w:val="0"/>
                  <w:divBdr>
                    <w:top w:val="none" w:sz="0" w:space="0" w:color="auto"/>
                    <w:left w:val="none" w:sz="0" w:space="0" w:color="auto"/>
                    <w:bottom w:val="none" w:sz="0" w:space="0" w:color="auto"/>
                    <w:right w:val="none" w:sz="0" w:space="0" w:color="auto"/>
                  </w:divBdr>
                  <w:divsChild>
                    <w:div w:id="1077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3870">
      <w:bodyDiv w:val="1"/>
      <w:marLeft w:val="0"/>
      <w:marRight w:val="0"/>
      <w:marTop w:val="0"/>
      <w:marBottom w:val="0"/>
      <w:divBdr>
        <w:top w:val="none" w:sz="0" w:space="0" w:color="auto"/>
        <w:left w:val="none" w:sz="0" w:space="0" w:color="auto"/>
        <w:bottom w:val="none" w:sz="0" w:space="0" w:color="auto"/>
        <w:right w:val="none" w:sz="0" w:space="0" w:color="auto"/>
      </w:divBdr>
    </w:div>
    <w:div w:id="1961302776">
      <w:bodyDiv w:val="1"/>
      <w:marLeft w:val="0"/>
      <w:marRight w:val="0"/>
      <w:marTop w:val="0"/>
      <w:marBottom w:val="0"/>
      <w:divBdr>
        <w:top w:val="none" w:sz="0" w:space="0" w:color="auto"/>
        <w:left w:val="none" w:sz="0" w:space="0" w:color="auto"/>
        <w:bottom w:val="none" w:sz="0" w:space="0" w:color="auto"/>
        <w:right w:val="none" w:sz="0" w:space="0" w:color="auto"/>
      </w:divBdr>
      <w:divsChild>
        <w:div w:id="1972636929">
          <w:marLeft w:val="0"/>
          <w:marRight w:val="0"/>
          <w:marTop w:val="0"/>
          <w:marBottom w:val="0"/>
          <w:divBdr>
            <w:top w:val="none" w:sz="0" w:space="0" w:color="auto"/>
            <w:left w:val="none" w:sz="0" w:space="0" w:color="auto"/>
            <w:bottom w:val="none" w:sz="0" w:space="0" w:color="auto"/>
            <w:right w:val="none" w:sz="0" w:space="0" w:color="auto"/>
          </w:divBdr>
          <w:divsChild>
            <w:div w:id="1940600939">
              <w:marLeft w:val="0"/>
              <w:marRight w:val="0"/>
              <w:marTop w:val="0"/>
              <w:marBottom w:val="0"/>
              <w:divBdr>
                <w:top w:val="none" w:sz="0" w:space="0" w:color="auto"/>
                <w:left w:val="none" w:sz="0" w:space="0" w:color="auto"/>
                <w:bottom w:val="none" w:sz="0" w:space="0" w:color="auto"/>
                <w:right w:val="none" w:sz="0" w:space="0" w:color="auto"/>
              </w:divBdr>
              <w:divsChild>
                <w:div w:id="743450826">
                  <w:marLeft w:val="0"/>
                  <w:marRight w:val="0"/>
                  <w:marTop w:val="0"/>
                  <w:marBottom w:val="0"/>
                  <w:divBdr>
                    <w:top w:val="none" w:sz="0" w:space="0" w:color="auto"/>
                    <w:left w:val="none" w:sz="0" w:space="0" w:color="auto"/>
                    <w:bottom w:val="none" w:sz="0" w:space="0" w:color="auto"/>
                    <w:right w:val="none" w:sz="0" w:space="0" w:color="auto"/>
                  </w:divBdr>
                  <w:divsChild>
                    <w:div w:id="8342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rnetlab.org.br/wp-content/uploads/2021/05/sentenca-reconhecimento-facial-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 Monteiro, Artur Pericles</dc:creator>
  <cp:keywords/>
  <dc:description/>
  <cp:lastModifiedBy>Lima Monteiro, Artur Pericles</cp:lastModifiedBy>
  <cp:revision>3</cp:revision>
  <dcterms:created xsi:type="dcterms:W3CDTF">2021-12-17T21:24:00Z</dcterms:created>
  <dcterms:modified xsi:type="dcterms:W3CDTF">2021-12-21T02:11:00Z</dcterms:modified>
</cp:coreProperties>
</file>