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BAB3F" w14:textId="1F0FB0EE" w:rsidR="00F479C4" w:rsidRPr="00A86410" w:rsidRDefault="00F479C4" w:rsidP="00293EFC">
      <w:pPr>
        <w:shd w:val="clear" w:color="auto" w:fill="8EAADB" w:themeFill="accent1" w:themeFillTint="99"/>
        <w:spacing w:line="276" w:lineRule="auto"/>
        <w:jc w:val="center"/>
        <w:rPr>
          <w:rFonts w:ascii="Garamond" w:hAnsi="Garamond"/>
          <w:b/>
          <w:bCs/>
          <w:color w:val="000000" w:themeColor="text1"/>
          <w:sz w:val="22"/>
          <w:szCs w:val="22"/>
          <w:lang w:val="en-US"/>
        </w:rPr>
      </w:pPr>
      <w:r w:rsidRPr="00A86410">
        <w:rPr>
          <w:rFonts w:ascii="Garamond" w:hAnsi="Garamond"/>
          <w:b/>
          <w:bCs/>
          <w:i/>
          <w:iCs/>
          <w:color w:val="000000" w:themeColor="text1"/>
          <w:sz w:val="22"/>
          <w:szCs w:val="22"/>
          <w:lang w:val="en-US"/>
        </w:rPr>
        <w:t xml:space="preserve">Vereinigung Bildender Künstler v. Austria </w:t>
      </w:r>
      <w:r w:rsidRPr="00A86410">
        <w:rPr>
          <w:rFonts w:ascii="Garamond" w:hAnsi="Garamond"/>
          <w:b/>
          <w:bCs/>
          <w:color w:val="000000" w:themeColor="text1"/>
          <w:sz w:val="22"/>
          <w:szCs w:val="22"/>
          <w:lang w:val="en-US"/>
        </w:rPr>
        <w:t>(ECtHR) | Columbia Global Freedom of Expression</w:t>
      </w:r>
    </w:p>
    <w:p w14:paraId="621571D1" w14:textId="4966BE76" w:rsidR="00F479C4" w:rsidRPr="00A86410" w:rsidRDefault="00F479C4" w:rsidP="00293EFC">
      <w:pPr>
        <w:shd w:val="clear" w:color="auto" w:fill="8EAADB" w:themeFill="accent1" w:themeFillTint="99"/>
        <w:spacing w:line="276" w:lineRule="auto"/>
        <w:jc w:val="center"/>
        <w:rPr>
          <w:rFonts w:ascii="Garamond" w:hAnsi="Garamond"/>
          <w:b/>
          <w:bCs/>
          <w:color w:val="000000" w:themeColor="text1"/>
          <w:sz w:val="22"/>
          <w:szCs w:val="22"/>
          <w:lang w:val="en-US"/>
        </w:rPr>
      </w:pPr>
      <w:r w:rsidRPr="00A86410">
        <w:rPr>
          <w:rFonts w:ascii="Garamond" w:hAnsi="Garamond"/>
          <w:b/>
          <w:bCs/>
          <w:color w:val="000000" w:themeColor="text1"/>
          <w:sz w:val="22"/>
          <w:szCs w:val="22"/>
          <w:lang w:val="en-US"/>
        </w:rPr>
        <w:t>Case Analysis #4</w:t>
      </w:r>
    </w:p>
    <w:p w14:paraId="6BBC4859" w14:textId="77777777" w:rsidR="00F479C4" w:rsidRPr="00A86410" w:rsidRDefault="00F479C4" w:rsidP="00293EFC">
      <w:pPr>
        <w:spacing w:line="276" w:lineRule="auto"/>
        <w:jc w:val="center"/>
        <w:rPr>
          <w:rFonts w:ascii="Garamond" w:hAnsi="Garamond"/>
          <w:sz w:val="22"/>
          <w:szCs w:val="22"/>
          <w:lang w:val="en-US"/>
        </w:rPr>
      </w:pPr>
    </w:p>
    <w:p w14:paraId="31306DFA" w14:textId="77777777" w:rsidR="00F479C4" w:rsidRPr="00A86410" w:rsidRDefault="00F479C4" w:rsidP="00293EFC">
      <w:pPr>
        <w:spacing w:line="276" w:lineRule="auto"/>
        <w:jc w:val="both"/>
        <w:rPr>
          <w:rFonts w:ascii="Garamond" w:hAnsi="Garamond"/>
          <w:b/>
          <w:bCs/>
          <w:sz w:val="22"/>
          <w:szCs w:val="22"/>
          <w:lang w:val="en-US"/>
        </w:rPr>
      </w:pPr>
      <w:r w:rsidRPr="00A86410">
        <w:rPr>
          <w:rFonts w:ascii="Garamond" w:hAnsi="Garamond"/>
          <w:b/>
          <w:bCs/>
          <w:i/>
          <w:iCs/>
          <w:sz w:val="22"/>
          <w:szCs w:val="22"/>
          <w:u w:val="single"/>
          <w:lang w:val="en-US"/>
        </w:rPr>
        <w:t>Meta-Data</w:t>
      </w:r>
      <w:r w:rsidRPr="00A86410">
        <w:rPr>
          <w:rFonts w:ascii="Garamond" w:hAnsi="Garamond"/>
          <w:b/>
          <w:bCs/>
          <w:sz w:val="22"/>
          <w:szCs w:val="22"/>
          <w:lang w:val="en-US"/>
        </w:rPr>
        <w:t xml:space="preserve">: </w:t>
      </w:r>
    </w:p>
    <w:p w14:paraId="29F7DC2D" w14:textId="273C6909" w:rsidR="00F479C4" w:rsidRPr="00A86410" w:rsidRDefault="00F479C4" w:rsidP="00293EFC">
      <w:pPr>
        <w:pStyle w:val="ListParagraph"/>
        <w:numPr>
          <w:ilvl w:val="0"/>
          <w:numId w:val="1"/>
        </w:numPr>
        <w:spacing w:line="276" w:lineRule="auto"/>
        <w:jc w:val="both"/>
        <w:rPr>
          <w:rFonts w:ascii="Garamond" w:hAnsi="Garamond"/>
          <w:sz w:val="22"/>
          <w:szCs w:val="22"/>
          <w:lang w:val="en-US"/>
        </w:rPr>
      </w:pPr>
      <w:r w:rsidRPr="00A86410">
        <w:rPr>
          <w:rFonts w:ascii="Garamond" w:hAnsi="Garamond"/>
          <w:b/>
          <w:bCs/>
          <w:sz w:val="22"/>
          <w:szCs w:val="22"/>
          <w:lang w:val="en-US"/>
        </w:rPr>
        <w:t>Case Number</w:t>
      </w:r>
      <w:r w:rsidRPr="00A86410">
        <w:rPr>
          <w:rFonts w:ascii="Garamond" w:hAnsi="Garamond"/>
          <w:sz w:val="22"/>
          <w:szCs w:val="22"/>
          <w:lang w:val="en-US"/>
        </w:rPr>
        <w:t xml:space="preserve">: No. </w:t>
      </w:r>
      <w:r w:rsidR="00EE45A2" w:rsidRPr="00A86410">
        <w:rPr>
          <w:rFonts w:ascii="Garamond" w:hAnsi="Garamond"/>
          <w:sz w:val="22"/>
          <w:szCs w:val="22"/>
          <w:lang w:val="en-US"/>
        </w:rPr>
        <w:t>68354/01</w:t>
      </w:r>
    </w:p>
    <w:p w14:paraId="24C66159" w14:textId="3A5866CC" w:rsidR="00F479C4" w:rsidRPr="00A86410" w:rsidRDefault="00F479C4" w:rsidP="00293EFC">
      <w:pPr>
        <w:pStyle w:val="ListParagraph"/>
        <w:numPr>
          <w:ilvl w:val="0"/>
          <w:numId w:val="1"/>
        </w:numPr>
        <w:spacing w:line="276" w:lineRule="auto"/>
        <w:jc w:val="both"/>
        <w:rPr>
          <w:rFonts w:ascii="Garamond" w:hAnsi="Garamond"/>
          <w:sz w:val="22"/>
          <w:szCs w:val="22"/>
          <w:lang w:val="en-US"/>
        </w:rPr>
      </w:pPr>
      <w:r w:rsidRPr="00A86410">
        <w:rPr>
          <w:rFonts w:ascii="Garamond" w:hAnsi="Garamond"/>
          <w:b/>
          <w:bCs/>
          <w:sz w:val="22"/>
          <w:szCs w:val="22"/>
          <w:lang w:val="en-US"/>
        </w:rPr>
        <w:t>Corresponding Law Reference</w:t>
      </w:r>
      <w:r w:rsidRPr="00A86410">
        <w:rPr>
          <w:rFonts w:ascii="Garamond" w:hAnsi="Garamond"/>
          <w:sz w:val="22"/>
          <w:szCs w:val="22"/>
          <w:lang w:val="en-US"/>
        </w:rPr>
        <w:t xml:space="preserve">: ECtHR, </w:t>
      </w:r>
      <w:r w:rsidR="00843569" w:rsidRPr="00A86410">
        <w:rPr>
          <w:rFonts w:ascii="Garamond" w:hAnsi="Garamond"/>
          <w:sz w:val="22"/>
          <w:szCs w:val="22"/>
          <w:lang w:val="en-US"/>
        </w:rPr>
        <w:t>Vereinigung Bildender Künstler v. Austria</w:t>
      </w:r>
      <w:r w:rsidRPr="00A86410">
        <w:rPr>
          <w:rFonts w:ascii="Garamond" w:hAnsi="Garamond"/>
          <w:sz w:val="22"/>
          <w:szCs w:val="22"/>
          <w:lang w:val="en-US"/>
        </w:rPr>
        <w:t xml:space="preserve">, App. No. </w:t>
      </w:r>
      <w:r w:rsidR="00843569" w:rsidRPr="00A86410">
        <w:rPr>
          <w:rFonts w:ascii="Garamond" w:hAnsi="Garamond"/>
          <w:sz w:val="22"/>
          <w:szCs w:val="22"/>
          <w:lang w:val="en-US"/>
        </w:rPr>
        <w:t>68354/01</w:t>
      </w:r>
      <w:r w:rsidRPr="00A86410">
        <w:rPr>
          <w:rFonts w:ascii="Garamond" w:hAnsi="Garamond"/>
          <w:sz w:val="22"/>
          <w:szCs w:val="22"/>
          <w:lang w:val="en-US"/>
        </w:rPr>
        <w:t xml:space="preserve"> (20</w:t>
      </w:r>
      <w:r w:rsidR="00843569" w:rsidRPr="00A86410">
        <w:rPr>
          <w:rFonts w:ascii="Garamond" w:hAnsi="Garamond"/>
          <w:sz w:val="22"/>
          <w:szCs w:val="22"/>
          <w:lang w:val="en-US"/>
        </w:rPr>
        <w:t>07</w:t>
      </w:r>
      <w:r w:rsidRPr="00A86410">
        <w:rPr>
          <w:rFonts w:ascii="Garamond" w:hAnsi="Garamond"/>
          <w:sz w:val="22"/>
          <w:szCs w:val="22"/>
          <w:lang w:val="en-US"/>
        </w:rPr>
        <w:t xml:space="preserve">) </w:t>
      </w:r>
    </w:p>
    <w:p w14:paraId="6991533E" w14:textId="0239B5E3" w:rsidR="00F479C4" w:rsidRPr="00A86410" w:rsidRDefault="00F479C4" w:rsidP="00293EFC">
      <w:pPr>
        <w:pStyle w:val="ListParagraph"/>
        <w:numPr>
          <w:ilvl w:val="0"/>
          <w:numId w:val="1"/>
        </w:numPr>
        <w:spacing w:line="276" w:lineRule="auto"/>
        <w:jc w:val="both"/>
        <w:rPr>
          <w:rFonts w:ascii="Garamond" w:hAnsi="Garamond"/>
          <w:sz w:val="22"/>
          <w:szCs w:val="22"/>
          <w:lang w:val="en-US"/>
        </w:rPr>
      </w:pPr>
      <w:r w:rsidRPr="00A86410">
        <w:rPr>
          <w:rFonts w:ascii="Garamond" w:hAnsi="Garamond"/>
          <w:b/>
          <w:bCs/>
          <w:sz w:val="22"/>
          <w:szCs w:val="22"/>
          <w:lang w:val="en-US"/>
        </w:rPr>
        <w:t>Date of decision</w:t>
      </w:r>
      <w:r w:rsidRPr="00A86410">
        <w:rPr>
          <w:rFonts w:ascii="Garamond" w:hAnsi="Garamond"/>
          <w:sz w:val="22"/>
          <w:szCs w:val="22"/>
          <w:lang w:val="en-US"/>
        </w:rPr>
        <w:t xml:space="preserve">: </w:t>
      </w:r>
      <w:r w:rsidR="006943BC" w:rsidRPr="00A86410">
        <w:rPr>
          <w:rFonts w:ascii="Garamond" w:hAnsi="Garamond"/>
          <w:sz w:val="22"/>
          <w:szCs w:val="22"/>
          <w:lang w:val="en-US"/>
        </w:rPr>
        <w:t>April 25, 2007</w:t>
      </w:r>
      <w:r w:rsidRPr="00A86410">
        <w:rPr>
          <w:rFonts w:ascii="Garamond" w:hAnsi="Garamond"/>
          <w:sz w:val="22"/>
          <w:szCs w:val="22"/>
          <w:lang w:val="en-US"/>
        </w:rPr>
        <w:t xml:space="preserve"> </w:t>
      </w:r>
    </w:p>
    <w:p w14:paraId="07336F68" w14:textId="2FB2F52B" w:rsidR="00F479C4" w:rsidRPr="00A86410" w:rsidRDefault="00F479C4" w:rsidP="00293EFC">
      <w:pPr>
        <w:pStyle w:val="ListParagraph"/>
        <w:numPr>
          <w:ilvl w:val="0"/>
          <w:numId w:val="1"/>
        </w:numPr>
        <w:spacing w:line="276" w:lineRule="auto"/>
        <w:jc w:val="both"/>
        <w:rPr>
          <w:rFonts w:ascii="Garamond" w:hAnsi="Garamond"/>
          <w:sz w:val="22"/>
          <w:szCs w:val="22"/>
          <w:lang w:val="en-US"/>
        </w:rPr>
      </w:pPr>
      <w:r w:rsidRPr="00A86410">
        <w:rPr>
          <w:rFonts w:ascii="Garamond" w:hAnsi="Garamond"/>
          <w:b/>
          <w:bCs/>
          <w:sz w:val="22"/>
          <w:szCs w:val="22"/>
          <w:lang w:val="en-US"/>
        </w:rPr>
        <w:t>Featured case</w:t>
      </w:r>
      <w:r w:rsidRPr="00A86410">
        <w:rPr>
          <w:rFonts w:ascii="Garamond" w:hAnsi="Garamond"/>
          <w:sz w:val="22"/>
          <w:szCs w:val="22"/>
          <w:lang w:val="en-US"/>
        </w:rPr>
        <w:t xml:space="preserve">: </w:t>
      </w:r>
      <w:r w:rsidR="004326A2" w:rsidRPr="00A86410">
        <w:rPr>
          <w:rFonts w:ascii="Garamond" w:hAnsi="Garamond"/>
          <w:sz w:val="22"/>
          <w:szCs w:val="22"/>
          <w:lang w:val="en-US"/>
        </w:rPr>
        <w:t>N/A</w:t>
      </w:r>
    </w:p>
    <w:p w14:paraId="5B45A240" w14:textId="77777777" w:rsidR="00F479C4" w:rsidRPr="00A86410" w:rsidRDefault="00F479C4" w:rsidP="00293EFC">
      <w:pPr>
        <w:pStyle w:val="ListParagraph"/>
        <w:numPr>
          <w:ilvl w:val="0"/>
          <w:numId w:val="1"/>
        </w:numPr>
        <w:spacing w:line="276" w:lineRule="auto"/>
        <w:jc w:val="both"/>
        <w:rPr>
          <w:rFonts w:ascii="Garamond" w:hAnsi="Garamond"/>
          <w:sz w:val="22"/>
          <w:szCs w:val="22"/>
          <w:lang w:val="en-US"/>
        </w:rPr>
      </w:pPr>
      <w:r w:rsidRPr="00A86410">
        <w:rPr>
          <w:rFonts w:ascii="Garamond" w:hAnsi="Garamond"/>
          <w:b/>
          <w:bCs/>
          <w:sz w:val="22"/>
          <w:szCs w:val="22"/>
          <w:lang w:val="en-US"/>
        </w:rPr>
        <w:t>Region</w:t>
      </w:r>
      <w:r w:rsidRPr="00A86410">
        <w:rPr>
          <w:rFonts w:ascii="Garamond" w:hAnsi="Garamond"/>
          <w:sz w:val="22"/>
          <w:szCs w:val="22"/>
          <w:lang w:val="en-US"/>
        </w:rPr>
        <w:t xml:space="preserve">: Europe and Central Asia </w:t>
      </w:r>
    </w:p>
    <w:p w14:paraId="196E574E" w14:textId="2B339687" w:rsidR="00F479C4" w:rsidRPr="00A86410" w:rsidRDefault="00F479C4" w:rsidP="00293EFC">
      <w:pPr>
        <w:pStyle w:val="ListParagraph"/>
        <w:numPr>
          <w:ilvl w:val="0"/>
          <w:numId w:val="1"/>
        </w:numPr>
        <w:spacing w:line="276" w:lineRule="auto"/>
        <w:jc w:val="both"/>
        <w:rPr>
          <w:rFonts w:ascii="Garamond" w:hAnsi="Garamond"/>
          <w:sz w:val="22"/>
          <w:szCs w:val="22"/>
          <w:lang w:val="en-US"/>
        </w:rPr>
      </w:pPr>
      <w:r w:rsidRPr="00A86410">
        <w:rPr>
          <w:rFonts w:ascii="Garamond" w:hAnsi="Garamond"/>
          <w:b/>
          <w:bCs/>
          <w:sz w:val="22"/>
          <w:szCs w:val="22"/>
          <w:lang w:val="en-US"/>
        </w:rPr>
        <w:t>Country</w:t>
      </w:r>
      <w:r w:rsidRPr="00A86410">
        <w:rPr>
          <w:rFonts w:ascii="Garamond" w:hAnsi="Garamond"/>
          <w:sz w:val="22"/>
          <w:szCs w:val="22"/>
          <w:lang w:val="en-US"/>
        </w:rPr>
        <w:t xml:space="preserve">: </w:t>
      </w:r>
      <w:r w:rsidR="00D13F4D" w:rsidRPr="00A86410">
        <w:rPr>
          <w:rFonts w:ascii="Garamond" w:hAnsi="Garamond"/>
          <w:sz w:val="22"/>
          <w:szCs w:val="22"/>
          <w:lang w:val="en-US"/>
        </w:rPr>
        <w:t>Austria</w:t>
      </w:r>
      <w:r w:rsidRPr="00A86410">
        <w:rPr>
          <w:rFonts w:ascii="Garamond" w:hAnsi="Garamond"/>
          <w:sz w:val="22"/>
          <w:szCs w:val="22"/>
          <w:lang w:val="en-US"/>
        </w:rPr>
        <w:t xml:space="preserve"> </w:t>
      </w:r>
    </w:p>
    <w:p w14:paraId="39180DF3" w14:textId="44B8D2CF" w:rsidR="00F479C4" w:rsidRPr="00A86410" w:rsidRDefault="00F479C4" w:rsidP="00293EFC">
      <w:pPr>
        <w:pStyle w:val="ListParagraph"/>
        <w:numPr>
          <w:ilvl w:val="0"/>
          <w:numId w:val="1"/>
        </w:numPr>
        <w:spacing w:line="276" w:lineRule="auto"/>
        <w:jc w:val="both"/>
        <w:rPr>
          <w:rFonts w:ascii="Garamond" w:hAnsi="Garamond"/>
          <w:sz w:val="22"/>
          <w:szCs w:val="22"/>
          <w:lang w:val="en-US"/>
        </w:rPr>
      </w:pPr>
      <w:r w:rsidRPr="00A86410">
        <w:rPr>
          <w:rFonts w:ascii="Garamond" w:hAnsi="Garamond"/>
          <w:b/>
          <w:bCs/>
          <w:sz w:val="22"/>
          <w:szCs w:val="22"/>
          <w:lang w:val="en-US"/>
        </w:rPr>
        <w:t>Type of expression</w:t>
      </w:r>
      <w:r w:rsidRPr="00A86410">
        <w:rPr>
          <w:rFonts w:ascii="Garamond" w:hAnsi="Garamond"/>
          <w:sz w:val="22"/>
          <w:szCs w:val="22"/>
          <w:lang w:val="en-US"/>
        </w:rPr>
        <w:t xml:space="preserve">: </w:t>
      </w:r>
      <w:r w:rsidR="00D57683" w:rsidRPr="00A86410">
        <w:rPr>
          <w:rFonts w:ascii="Garamond" w:hAnsi="Garamond"/>
          <w:sz w:val="22"/>
          <w:szCs w:val="22"/>
          <w:lang w:val="en-US"/>
        </w:rPr>
        <w:t>Non-verbal Expression (Painting)</w:t>
      </w:r>
    </w:p>
    <w:p w14:paraId="6ADBE91C" w14:textId="77777777" w:rsidR="00F479C4" w:rsidRPr="00A86410" w:rsidRDefault="00F479C4" w:rsidP="00293EFC">
      <w:pPr>
        <w:pStyle w:val="ListParagraph"/>
        <w:numPr>
          <w:ilvl w:val="0"/>
          <w:numId w:val="1"/>
        </w:numPr>
        <w:spacing w:line="276" w:lineRule="auto"/>
        <w:jc w:val="both"/>
        <w:rPr>
          <w:rFonts w:ascii="Garamond" w:hAnsi="Garamond"/>
          <w:sz w:val="22"/>
          <w:szCs w:val="22"/>
          <w:lang w:val="en-US"/>
        </w:rPr>
      </w:pPr>
      <w:r w:rsidRPr="00A86410">
        <w:rPr>
          <w:rFonts w:ascii="Garamond" w:hAnsi="Garamond"/>
          <w:b/>
          <w:bCs/>
          <w:sz w:val="22"/>
          <w:szCs w:val="22"/>
          <w:lang w:val="en-US"/>
        </w:rPr>
        <w:t>Judicial Body</w:t>
      </w:r>
      <w:r w:rsidRPr="00A86410">
        <w:rPr>
          <w:rFonts w:ascii="Garamond" w:hAnsi="Garamond"/>
          <w:sz w:val="22"/>
          <w:szCs w:val="22"/>
          <w:lang w:val="en-US"/>
        </w:rPr>
        <w:t xml:space="preserve">: European Court of Human Rights (ECtHR) </w:t>
      </w:r>
    </w:p>
    <w:p w14:paraId="118ABC1A" w14:textId="77777777" w:rsidR="00F479C4" w:rsidRPr="00A86410" w:rsidRDefault="00F479C4" w:rsidP="00293EFC">
      <w:pPr>
        <w:pStyle w:val="ListParagraph"/>
        <w:numPr>
          <w:ilvl w:val="0"/>
          <w:numId w:val="1"/>
        </w:numPr>
        <w:spacing w:line="276" w:lineRule="auto"/>
        <w:jc w:val="both"/>
        <w:rPr>
          <w:rFonts w:ascii="Garamond" w:hAnsi="Garamond"/>
          <w:sz w:val="22"/>
          <w:szCs w:val="22"/>
          <w:lang w:val="en-US"/>
        </w:rPr>
      </w:pPr>
      <w:r w:rsidRPr="00A86410">
        <w:rPr>
          <w:rFonts w:ascii="Garamond" w:hAnsi="Garamond"/>
          <w:b/>
          <w:bCs/>
          <w:sz w:val="22"/>
          <w:szCs w:val="22"/>
          <w:lang w:val="en-US"/>
        </w:rPr>
        <w:t>Type of law</w:t>
      </w:r>
      <w:r w:rsidRPr="00A86410">
        <w:rPr>
          <w:rFonts w:ascii="Garamond" w:hAnsi="Garamond"/>
          <w:sz w:val="22"/>
          <w:szCs w:val="22"/>
          <w:lang w:val="en-US"/>
        </w:rPr>
        <w:t xml:space="preserve">: International/Regional Human Rights Law </w:t>
      </w:r>
    </w:p>
    <w:p w14:paraId="125EFEB3" w14:textId="1126FC76" w:rsidR="00F479C4" w:rsidRPr="00A86410" w:rsidRDefault="00F479C4" w:rsidP="00293EFC">
      <w:pPr>
        <w:pStyle w:val="ListParagraph"/>
        <w:numPr>
          <w:ilvl w:val="0"/>
          <w:numId w:val="1"/>
        </w:numPr>
        <w:spacing w:line="276" w:lineRule="auto"/>
        <w:jc w:val="both"/>
        <w:rPr>
          <w:rFonts w:ascii="Garamond" w:hAnsi="Garamond"/>
          <w:sz w:val="22"/>
          <w:szCs w:val="22"/>
          <w:lang w:val="en-US"/>
        </w:rPr>
      </w:pPr>
      <w:r w:rsidRPr="00A86410">
        <w:rPr>
          <w:rFonts w:ascii="Garamond" w:hAnsi="Garamond"/>
          <w:b/>
          <w:bCs/>
          <w:sz w:val="22"/>
          <w:szCs w:val="22"/>
          <w:lang w:val="en-US"/>
        </w:rPr>
        <w:t>Main Themes</w:t>
      </w:r>
      <w:r w:rsidRPr="00A86410">
        <w:rPr>
          <w:rFonts w:ascii="Garamond" w:hAnsi="Garamond"/>
          <w:sz w:val="22"/>
          <w:szCs w:val="22"/>
          <w:lang w:val="en-US"/>
        </w:rPr>
        <w:t xml:space="preserve">: </w:t>
      </w:r>
      <w:r w:rsidR="009C08FC" w:rsidRPr="00A86410">
        <w:rPr>
          <w:rFonts w:ascii="Garamond" w:hAnsi="Garamond"/>
          <w:sz w:val="22"/>
          <w:szCs w:val="22"/>
          <w:lang w:val="en-US"/>
        </w:rPr>
        <w:t>Artistic Expression</w:t>
      </w:r>
      <w:r w:rsidRPr="00A86410">
        <w:rPr>
          <w:rFonts w:ascii="Garamond" w:hAnsi="Garamond"/>
          <w:sz w:val="22"/>
          <w:szCs w:val="22"/>
          <w:lang w:val="en-US"/>
        </w:rPr>
        <w:t>, Defamation/Reputation</w:t>
      </w:r>
      <w:r w:rsidR="009F34C6" w:rsidRPr="00A86410">
        <w:rPr>
          <w:rFonts w:ascii="Garamond" w:hAnsi="Garamond"/>
          <w:sz w:val="22"/>
          <w:szCs w:val="22"/>
          <w:lang w:val="en-US"/>
        </w:rPr>
        <w:t>, Political Expression</w:t>
      </w:r>
    </w:p>
    <w:p w14:paraId="615DD6EB" w14:textId="77777777" w:rsidR="00F479C4" w:rsidRPr="00A86410" w:rsidRDefault="00F479C4" w:rsidP="00293EFC">
      <w:pPr>
        <w:pStyle w:val="ListParagraph"/>
        <w:numPr>
          <w:ilvl w:val="0"/>
          <w:numId w:val="1"/>
        </w:numPr>
        <w:spacing w:line="276" w:lineRule="auto"/>
        <w:jc w:val="both"/>
        <w:rPr>
          <w:rFonts w:ascii="Garamond" w:hAnsi="Garamond"/>
          <w:sz w:val="22"/>
          <w:szCs w:val="22"/>
          <w:lang w:val="en-US"/>
        </w:rPr>
      </w:pPr>
      <w:r w:rsidRPr="00A86410">
        <w:rPr>
          <w:rFonts w:ascii="Garamond" w:hAnsi="Garamond"/>
          <w:b/>
          <w:bCs/>
          <w:sz w:val="22"/>
          <w:szCs w:val="22"/>
          <w:lang w:val="en-US"/>
        </w:rPr>
        <w:t>Outcome</w:t>
      </w:r>
      <w:r w:rsidRPr="00A86410">
        <w:rPr>
          <w:rFonts w:ascii="Garamond" w:hAnsi="Garamond"/>
          <w:sz w:val="22"/>
          <w:szCs w:val="22"/>
          <w:lang w:val="en-US"/>
        </w:rPr>
        <w:t>: ECtHR, Article 10 violation</w:t>
      </w:r>
      <w:r w:rsidRPr="00A86410">
        <w:rPr>
          <w:rFonts w:ascii="Garamond" w:hAnsi="Garamond"/>
          <w:b/>
          <w:bCs/>
          <w:sz w:val="22"/>
          <w:szCs w:val="22"/>
          <w:lang w:val="en-US"/>
        </w:rPr>
        <w:t xml:space="preserve"> </w:t>
      </w:r>
    </w:p>
    <w:p w14:paraId="680AD08F" w14:textId="77777777" w:rsidR="00F479C4" w:rsidRPr="00A86410" w:rsidRDefault="00F479C4" w:rsidP="00293EFC">
      <w:pPr>
        <w:pStyle w:val="ListParagraph"/>
        <w:numPr>
          <w:ilvl w:val="0"/>
          <w:numId w:val="1"/>
        </w:numPr>
        <w:spacing w:line="276" w:lineRule="auto"/>
        <w:jc w:val="both"/>
        <w:rPr>
          <w:rFonts w:ascii="Garamond" w:hAnsi="Garamond"/>
          <w:sz w:val="22"/>
          <w:szCs w:val="22"/>
          <w:lang w:val="en-US"/>
        </w:rPr>
      </w:pPr>
      <w:r w:rsidRPr="00A86410">
        <w:rPr>
          <w:rFonts w:ascii="Garamond" w:hAnsi="Garamond"/>
          <w:b/>
          <w:bCs/>
          <w:sz w:val="22"/>
          <w:szCs w:val="22"/>
          <w:lang w:val="en-US"/>
        </w:rPr>
        <w:t>Status</w:t>
      </w:r>
      <w:r w:rsidRPr="00A86410">
        <w:rPr>
          <w:rFonts w:ascii="Garamond" w:hAnsi="Garamond"/>
          <w:sz w:val="22"/>
          <w:szCs w:val="22"/>
          <w:lang w:val="en-US"/>
        </w:rPr>
        <w:t xml:space="preserve">: Closed </w:t>
      </w:r>
    </w:p>
    <w:p w14:paraId="69898E4D" w14:textId="55AF0949" w:rsidR="00F479C4" w:rsidRPr="00A86410" w:rsidRDefault="00F479C4" w:rsidP="00293EFC">
      <w:pPr>
        <w:pStyle w:val="ListParagraph"/>
        <w:numPr>
          <w:ilvl w:val="0"/>
          <w:numId w:val="1"/>
        </w:numPr>
        <w:spacing w:line="276" w:lineRule="auto"/>
        <w:jc w:val="both"/>
        <w:rPr>
          <w:rFonts w:ascii="Garamond" w:hAnsi="Garamond"/>
          <w:sz w:val="22"/>
          <w:szCs w:val="22"/>
          <w:lang w:val="en-US"/>
        </w:rPr>
      </w:pPr>
      <w:r w:rsidRPr="00A86410">
        <w:rPr>
          <w:rFonts w:ascii="Garamond" w:hAnsi="Garamond"/>
          <w:b/>
          <w:bCs/>
          <w:sz w:val="22"/>
          <w:szCs w:val="22"/>
          <w:lang w:val="en-US"/>
        </w:rPr>
        <w:t>Tags</w:t>
      </w:r>
      <w:r w:rsidRPr="00A86410">
        <w:rPr>
          <w:rFonts w:ascii="Garamond" w:hAnsi="Garamond"/>
          <w:sz w:val="22"/>
          <w:szCs w:val="22"/>
          <w:lang w:val="en-US"/>
        </w:rPr>
        <w:t xml:space="preserve">: </w:t>
      </w:r>
      <w:r w:rsidR="00CF6E7A" w:rsidRPr="00A86410">
        <w:rPr>
          <w:rFonts w:ascii="Garamond" w:hAnsi="Garamond"/>
          <w:sz w:val="22"/>
          <w:szCs w:val="22"/>
          <w:lang w:val="en-US"/>
        </w:rPr>
        <w:t xml:space="preserve">Satire, Art, </w:t>
      </w:r>
      <w:r w:rsidR="0073544D" w:rsidRPr="00A86410">
        <w:rPr>
          <w:rFonts w:ascii="Garamond" w:hAnsi="Garamond"/>
          <w:sz w:val="22"/>
          <w:szCs w:val="22"/>
          <w:lang w:val="en-US"/>
        </w:rPr>
        <w:t xml:space="preserve">Public figures </w:t>
      </w:r>
    </w:p>
    <w:p w14:paraId="19BC90F5" w14:textId="77777777" w:rsidR="00515BE4" w:rsidRPr="00A86410" w:rsidRDefault="00515BE4" w:rsidP="00293EFC">
      <w:pPr>
        <w:pStyle w:val="ListParagraph"/>
        <w:spacing w:line="276" w:lineRule="auto"/>
        <w:ind w:left="360"/>
        <w:jc w:val="both"/>
        <w:rPr>
          <w:rFonts w:ascii="Garamond" w:hAnsi="Garamond"/>
          <w:sz w:val="22"/>
          <w:szCs w:val="22"/>
          <w:lang w:val="en-US"/>
        </w:rPr>
      </w:pPr>
    </w:p>
    <w:p w14:paraId="5D251B4E" w14:textId="77777777" w:rsidR="00F479C4" w:rsidRPr="00A86410" w:rsidRDefault="00F479C4" w:rsidP="00293EFC">
      <w:pPr>
        <w:spacing w:line="276" w:lineRule="auto"/>
        <w:jc w:val="both"/>
        <w:rPr>
          <w:rFonts w:ascii="Garamond" w:hAnsi="Garamond"/>
          <w:color w:val="000000" w:themeColor="text1"/>
          <w:sz w:val="22"/>
          <w:szCs w:val="22"/>
          <w:lang w:val="en-US"/>
        </w:rPr>
      </w:pPr>
      <w:r w:rsidRPr="00A86410">
        <w:rPr>
          <w:rFonts w:ascii="Garamond" w:hAnsi="Garamond"/>
          <w:b/>
          <w:bCs/>
          <w:i/>
          <w:iCs/>
          <w:color w:val="000000" w:themeColor="text1"/>
          <w:sz w:val="22"/>
          <w:szCs w:val="22"/>
          <w:u w:val="single"/>
          <w:lang w:val="en-US"/>
        </w:rPr>
        <w:t>Analysis:</w:t>
      </w:r>
    </w:p>
    <w:p w14:paraId="73956F6D" w14:textId="77777777" w:rsidR="00F479C4" w:rsidRPr="00EB5010" w:rsidRDefault="00F479C4" w:rsidP="00293EFC">
      <w:pPr>
        <w:pStyle w:val="ListParagraph"/>
        <w:numPr>
          <w:ilvl w:val="0"/>
          <w:numId w:val="5"/>
        </w:numPr>
        <w:spacing w:line="276" w:lineRule="auto"/>
        <w:jc w:val="both"/>
        <w:rPr>
          <w:rFonts w:ascii="Garamond" w:hAnsi="Garamond"/>
          <w:sz w:val="22"/>
          <w:szCs w:val="22"/>
          <w:lang w:val="en-US"/>
        </w:rPr>
      </w:pPr>
      <w:r w:rsidRPr="00EB5010">
        <w:rPr>
          <w:rFonts w:ascii="Garamond" w:hAnsi="Garamond"/>
          <w:b/>
          <w:bCs/>
          <w:sz w:val="22"/>
          <w:szCs w:val="22"/>
          <w:lang w:val="en-US"/>
        </w:rPr>
        <w:t>Summary and Outcome</w:t>
      </w:r>
      <w:r w:rsidRPr="00EB5010">
        <w:rPr>
          <w:rFonts w:ascii="Garamond" w:hAnsi="Garamond"/>
          <w:sz w:val="22"/>
          <w:szCs w:val="22"/>
          <w:lang w:val="en-US"/>
        </w:rPr>
        <w:t>:</w:t>
      </w:r>
    </w:p>
    <w:p w14:paraId="5EC82CDB" w14:textId="5382FFEB" w:rsidR="009447CC" w:rsidRPr="00353012" w:rsidRDefault="00EB5010" w:rsidP="00353012">
      <w:pPr>
        <w:pStyle w:val="ListParagraph"/>
        <w:spacing w:line="276" w:lineRule="auto"/>
        <w:ind w:left="360"/>
        <w:jc w:val="both"/>
        <w:rPr>
          <w:rFonts w:ascii="Garamond" w:hAnsi="Garamond"/>
          <w:sz w:val="22"/>
          <w:szCs w:val="22"/>
        </w:rPr>
      </w:pPr>
      <w:r>
        <w:rPr>
          <w:rFonts w:ascii="Garamond" w:hAnsi="Garamond"/>
          <w:sz w:val="22"/>
          <w:szCs w:val="22"/>
          <w:lang w:val="en-US"/>
        </w:rPr>
        <w:t>The European Court of Human Rights (ECtHR – First Section)</w:t>
      </w:r>
      <w:r w:rsidR="00316708">
        <w:rPr>
          <w:rFonts w:ascii="Garamond" w:hAnsi="Garamond"/>
          <w:sz w:val="22"/>
          <w:szCs w:val="22"/>
          <w:lang w:val="en-US"/>
        </w:rPr>
        <w:t xml:space="preserve"> held, by four votes to three, </w:t>
      </w:r>
      <w:r w:rsidR="00803E19">
        <w:rPr>
          <w:rFonts w:ascii="Garamond" w:hAnsi="Garamond"/>
          <w:sz w:val="22"/>
          <w:szCs w:val="22"/>
          <w:lang w:val="en-US"/>
        </w:rPr>
        <w:t xml:space="preserve">that the applicant’s right under </w:t>
      </w:r>
      <w:r w:rsidR="00803E19" w:rsidRPr="00A86410">
        <w:rPr>
          <w:rFonts w:ascii="Garamond" w:hAnsi="Garamond"/>
          <w:sz w:val="22"/>
          <w:szCs w:val="22"/>
          <w:lang w:val="en-US"/>
        </w:rPr>
        <w:t>Article 10 of the European Convention for the Protection of Human Rights and Fundamental Freedoms</w:t>
      </w:r>
      <w:r w:rsidR="006D534F">
        <w:rPr>
          <w:rFonts w:ascii="Garamond" w:hAnsi="Garamond"/>
          <w:sz w:val="22"/>
          <w:szCs w:val="22"/>
          <w:lang w:val="en-US"/>
        </w:rPr>
        <w:t xml:space="preserve"> </w:t>
      </w:r>
      <w:r w:rsidR="006D534F">
        <w:rPr>
          <w:rFonts w:ascii="Garamond" w:hAnsi="Garamond"/>
          <w:sz w:val="22"/>
          <w:szCs w:val="22"/>
          <w:lang w:val="en-US"/>
        </w:rPr>
        <w:t>(the “Convention”)</w:t>
      </w:r>
      <w:r w:rsidR="00803E19" w:rsidRPr="00A86410">
        <w:rPr>
          <w:rFonts w:ascii="Garamond" w:hAnsi="Garamond"/>
          <w:sz w:val="22"/>
          <w:szCs w:val="22"/>
          <w:lang w:val="en-US"/>
        </w:rPr>
        <w:t xml:space="preserve"> had been violated</w:t>
      </w:r>
      <w:r w:rsidR="006D534F">
        <w:rPr>
          <w:rFonts w:ascii="Garamond" w:hAnsi="Garamond"/>
          <w:sz w:val="22"/>
          <w:szCs w:val="22"/>
          <w:lang w:val="en-US"/>
        </w:rPr>
        <w:t xml:space="preserve">. </w:t>
      </w:r>
      <w:r w:rsidR="00FA08EC">
        <w:rPr>
          <w:rFonts w:ascii="Garamond" w:hAnsi="Garamond"/>
          <w:sz w:val="22"/>
          <w:szCs w:val="22"/>
          <w:lang w:val="en-US"/>
        </w:rPr>
        <w:t xml:space="preserve">The claim before the ECtHR </w:t>
      </w:r>
      <w:r w:rsidR="00B35B1C">
        <w:rPr>
          <w:rFonts w:ascii="Garamond" w:hAnsi="Garamond"/>
          <w:sz w:val="22"/>
          <w:szCs w:val="22"/>
          <w:lang w:val="en-US"/>
        </w:rPr>
        <w:t xml:space="preserve">had arisen out of the grant of an injunction by the Austrian domestic courts </w:t>
      </w:r>
      <w:r w:rsidR="00524B9F">
        <w:rPr>
          <w:rFonts w:ascii="Garamond" w:hAnsi="Garamond"/>
          <w:sz w:val="22"/>
          <w:szCs w:val="22"/>
          <w:lang w:val="en-US"/>
        </w:rPr>
        <w:t>prohibiting</w:t>
      </w:r>
      <w:r w:rsidR="00B35B1C">
        <w:rPr>
          <w:rFonts w:ascii="Garamond" w:hAnsi="Garamond"/>
          <w:sz w:val="22"/>
          <w:szCs w:val="22"/>
          <w:lang w:val="en-US"/>
        </w:rPr>
        <w:t xml:space="preserve"> </w:t>
      </w:r>
      <w:r w:rsidR="00B35B1C" w:rsidRPr="00A86410">
        <w:rPr>
          <w:rFonts w:ascii="Garamond" w:hAnsi="Garamond"/>
          <w:sz w:val="22"/>
          <w:szCs w:val="22"/>
          <w:lang w:val="en-US"/>
        </w:rPr>
        <w:t>Vereinigung Bildender Ku</w:t>
      </w:r>
      <w:r w:rsidR="00B35B1C" w:rsidRPr="00A86410">
        <w:rPr>
          <w:rFonts w:ascii="Times New Roman" w:hAnsi="Times New Roman" w:cs="Times New Roman"/>
          <w:sz w:val="22"/>
          <w:szCs w:val="22"/>
          <w:lang w:val="en-US"/>
        </w:rPr>
        <w:t>̈</w:t>
      </w:r>
      <w:r w:rsidR="00B35B1C" w:rsidRPr="00A86410">
        <w:rPr>
          <w:rFonts w:ascii="Garamond" w:hAnsi="Garamond"/>
          <w:sz w:val="22"/>
          <w:szCs w:val="22"/>
          <w:lang w:val="en-US"/>
        </w:rPr>
        <w:t>nstler Wiener Secession (the “applicant”)</w:t>
      </w:r>
      <w:r w:rsidR="00524B9F">
        <w:rPr>
          <w:rFonts w:ascii="Garamond" w:hAnsi="Garamond"/>
          <w:sz w:val="22"/>
          <w:szCs w:val="22"/>
          <w:lang w:val="en-US"/>
        </w:rPr>
        <w:t xml:space="preserve"> from exhibiting a painting entitled ‘Apocalypse’ created by the Austrian painter </w:t>
      </w:r>
      <w:r w:rsidR="00524B9F" w:rsidRPr="00A86410">
        <w:rPr>
          <w:rFonts w:ascii="Garamond" w:hAnsi="Garamond"/>
          <w:sz w:val="22"/>
          <w:szCs w:val="22"/>
          <w:lang w:val="en-US"/>
        </w:rPr>
        <w:t>Otto Mu</w:t>
      </w:r>
      <w:r w:rsidR="00524B9F" w:rsidRPr="00A86410">
        <w:rPr>
          <w:rFonts w:ascii="Times New Roman" w:hAnsi="Times New Roman" w:cs="Times New Roman"/>
          <w:sz w:val="22"/>
          <w:szCs w:val="22"/>
          <w:lang w:val="en-US"/>
        </w:rPr>
        <w:t>̈</w:t>
      </w:r>
      <w:r w:rsidR="00524B9F" w:rsidRPr="00A86410">
        <w:rPr>
          <w:rFonts w:ascii="Garamond" w:hAnsi="Garamond"/>
          <w:sz w:val="22"/>
          <w:szCs w:val="22"/>
          <w:lang w:val="en-US"/>
        </w:rPr>
        <w:t>hl</w:t>
      </w:r>
      <w:r w:rsidR="00524B9F">
        <w:rPr>
          <w:rFonts w:ascii="Garamond" w:hAnsi="Garamond"/>
          <w:sz w:val="22"/>
          <w:szCs w:val="22"/>
          <w:lang w:val="en-US"/>
        </w:rPr>
        <w:t xml:space="preserve">. </w:t>
      </w:r>
      <w:r w:rsidR="00B042EA">
        <w:rPr>
          <w:rFonts w:ascii="Garamond" w:hAnsi="Garamond"/>
          <w:sz w:val="22"/>
          <w:szCs w:val="22"/>
          <w:lang w:val="en-US"/>
        </w:rPr>
        <w:t xml:space="preserve">The painting </w:t>
      </w:r>
      <w:r w:rsidR="006D501A">
        <w:rPr>
          <w:rFonts w:ascii="Garamond" w:hAnsi="Garamond"/>
          <w:sz w:val="22"/>
          <w:szCs w:val="22"/>
          <w:lang w:val="en-US"/>
        </w:rPr>
        <w:t>portrayed</w:t>
      </w:r>
      <w:r w:rsidR="007327E3">
        <w:rPr>
          <w:rFonts w:ascii="Garamond" w:hAnsi="Garamond"/>
          <w:sz w:val="22"/>
          <w:szCs w:val="22"/>
          <w:lang w:val="en-US"/>
        </w:rPr>
        <w:t xml:space="preserve"> 34 </w:t>
      </w:r>
      <w:r w:rsidR="00F164F1">
        <w:rPr>
          <w:rFonts w:ascii="Garamond" w:hAnsi="Garamond"/>
          <w:sz w:val="22"/>
          <w:szCs w:val="22"/>
          <w:lang w:val="en-US"/>
        </w:rPr>
        <w:t>public figures</w:t>
      </w:r>
      <w:r w:rsidR="0001537B">
        <w:rPr>
          <w:rFonts w:ascii="Garamond" w:hAnsi="Garamond"/>
          <w:sz w:val="22"/>
          <w:szCs w:val="22"/>
          <w:lang w:val="en-US"/>
        </w:rPr>
        <w:t xml:space="preserve"> </w:t>
      </w:r>
      <w:r w:rsidR="007327E3">
        <w:rPr>
          <w:rFonts w:ascii="Garamond" w:hAnsi="Garamond"/>
          <w:sz w:val="22"/>
          <w:szCs w:val="22"/>
          <w:lang w:val="en-US"/>
        </w:rPr>
        <w:t xml:space="preserve">naked and </w:t>
      </w:r>
      <w:r w:rsidR="006D501A">
        <w:rPr>
          <w:rFonts w:ascii="Garamond" w:hAnsi="Garamond"/>
          <w:sz w:val="22"/>
          <w:szCs w:val="22"/>
          <w:lang w:val="en-US"/>
        </w:rPr>
        <w:t>involved in various sexual activities</w:t>
      </w:r>
      <w:r w:rsidR="00B524DA">
        <w:rPr>
          <w:rFonts w:ascii="Garamond" w:hAnsi="Garamond"/>
          <w:sz w:val="22"/>
          <w:szCs w:val="22"/>
          <w:lang w:val="en-US"/>
        </w:rPr>
        <w:t xml:space="preserve">. </w:t>
      </w:r>
      <w:r w:rsidR="003519D8" w:rsidRPr="00B90228">
        <w:rPr>
          <w:rFonts w:ascii="Garamond" w:hAnsi="Garamond"/>
          <w:sz w:val="22"/>
          <w:szCs w:val="22"/>
          <w:lang w:val="en-US"/>
        </w:rPr>
        <w:t>Meischberger</w:t>
      </w:r>
      <w:r w:rsidR="003519D8">
        <w:rPr>
          <w:rFonts w:ascii="Garamond" w:hAnsi="Garamond"/>
          <w:sz w:val="22"/>
          <w:szCs w:val="22"/>
          <w:lang w:val="en-US"/>
        </w:rPr>
        <w:t xml:space="preserve">, </w:t>
      </w:r>
      <w:r w:rsidR="003519D8" w:rsidRPr="00B90228">
        <w:rPr>
          <w:rFonts w:ascii="Garamond" w:hAnsi="Garamond"/>
          <w:sz w:val="22"/>
          <w:szCs w:val="22"/>
          <w:lang w:val="en-US"/>
        </w:rPr>
        <w:t>member of the National Assembly</w:t>
      </w:r>
      <w:r w:rsidR="003519D8">
        <w:rPr>
          <w:rFonts w:ascii="Garamond" w:hAnsi="Garamond"/>
          <w:sz w:val="22"/>
          <w:szCs w:val="22"/>
          <w:lang w:val="en-US"/>
        </w:rPr>
        <w:t xml:space="preserve"> and </w:t>
      </w:r>
      <w:r w:rsidR="003519D8" w:rsidRPr="00B90228">
        <w:rPr>
          <w:rFonts w:ascii="Garamond" w:hAnsi="Garamond"/>
          <w:sz w:val="22"/>
          <w:szCs w:val="22"/>
          <w:lang w:val="en-US"/>
        </w:rPr>
        <w:t xml:space="preserve">former general secretary of </w:t>
      </w:r>
      <w:r w:rsidR="003519D8">
        <w:rPr>
          <w:rFonts w:ascii="Garamond" w:hAnsi="Garamond"/>
          <w:sz w:val="22"/>
          <w:szCs w:val="22"/>
          <w:lang w:val="en-US"/>
        </w:rPr>
        <w:t xml:space="preserve">the FPO, filed for the injunction before the Austrian domestic court of first instance </w:t>
      </w:r>
      <w:r w:rsidR="00EE2572">
        <w:rPr>
          <w:rFonts w:ascii="Garamond" w:hAnsi="Garamond"/>
          <w:sz w:val="22"/>
          <w:szCs w:val="22"/>
          <w:lang w:val="en-US"/>
        </w:rPr>
        <w:t>on the claim</w:t>
      </w:r>
      <w:r w:rsidR="00D93929">
        <w:rPr>
          <w:rFonts w:ascii="Garamond" w:hAnsi="Garamond"/>
          <w:sz w:val="22"/>
          <w:szCs w:val="22"/>
          <w:lang w:val="en-US"/>
        </w:rPr>
        <w:t xml:space="preserve"> that </w:t>
      </w:r>
      <w:r w:rsidR="00CB0764">
        <w:rPr>
          <w:rFonts w:ascii="Garamond" w:hAnsi="Garamond"/>
          <w:sz w:val="22"/>
          <w:szCs w:val="22"/>
          <w:lang w:val="en-US"/>
        </w:rPr>
        <w:t>his</w:t>
      </w:r>
      <w:r w:rsidR="003164BD">
        <w:rPr>
          <w:rFonts w:ascii="Garamond" w:hAnsi="Garamond"/>
          <w:sz w:val="22"/>
          <w:szCs w:val="22"/>
          <w:lang w:val="en-US"/>
        </w:rPr>
        <w:t xml:space="preserve"> depiction</w:t>
      </w:r>
      <w:r w:rsidR="00E83409">
        <w:rPr>
          <w:rFonts w:ascii="Garamond" w:hAnsi="Garamond"/>
          <w:sz w:val="22"/>
          <w:szCs w:val="22"/>
          <w:lang w:val="en-US"/>
        </w:rPr>
        <w:t xml:space="preserve"> in the painting</w:t>
      </w:r>
      <w:r w:rsidR="00B11AB6">
        <w:rPr>
          <w:rFonts w:ascii="Garamond" w:hAnsi="Garamond"/>
          <w:sz w:val="22"/>
          <w:szCs w:val="22"/>
          <w:lang w:val="en-US"/>
        </w:rPr>
        <w:t xml:space="preserve"> </w:t>
      </w:r>
      <w:r w:rsidR="00D93929">
        <w:rPr>
          <w:rFonts w:ascii="Garamond" w:hAnsi="Garamond"/>
          <w:sz w:val="22"/>
          <w:szCs w:val="22"/>
          <w:lang w:val="en-US"/>
        </w:rPr>
        <w:t xml:space="preserve">debased him and his public standing. </w:t>
      </w:r>
      <w:r w:rsidR="00B6373A">
        <w:rPr>
          <w:rFonts w:ascii="Garamond" w:hAnsi="Garamond"/>
          <w:sz w:val="22"/>
          <w:szCs w:val="22"/>
          <w:lang w:val="en-US"/>
        </w:rPr>
        <w:t>The ECtHR</w:t>
      </w:r>
      <w:r w:rsidR="00A45F2C">
        <w:rPr>
          <w:rFonts w:ascii="Garamond" w:hAnsi="Garamond"/>
          <w:sz w:val="22"/>
          <w:szCs w:val="22"/>
          <w:lang w:val="en-US"/>
        </w:rPr>
        <w:t xml:space="preserve">, in its decision, </w:t>
      </w:r>
      <w:r w:rsidR="00F13CB3">
        <w:rPr>
          <w:rFonts w:ascii="Garamond" w:hAnsi="Garamond"/>
          <w:sz w:val="22"/>
          <w:szCs w:val="22"/>
          <w:lang w:val="en-US"/>
        </w:rPr>
        <w:t>established at the outset the legally permissible nature of the interference</w:t>
      </w:r>
      <w:r w:rsidR="00CE2C09">
        <w:rPr>
          <w:rFonts w:ascii="Garamond" w:hAnsi="Garamond"/>
          <w:sz w:val="22"/>
          <w:szCs w:val="22"/>
          <w:lang w:val="en-US"/>
        </w:rPr>
        <w:t xml:space="preserve"> </w:t>
      </w:r>
      <w:r w:rsidR="00F13CB3">
        <w:rPr>
          <w:rFonts w:ascii="Garamond" w:hAnsi="Garamond"/>
          <w:sz w:val="22"/>
          <w:szCs w:val="22"/>
          <w:lang w:val="en-US"/>
        </w:rPr>
        <w:t>with the applicant’s freedom of expression</w:t>
      </w:r>
      <w:r w:rsidR="004D21A5">
        <w:rPr>
          <w:rFonts w:ascii="Garamond" w:hAnsi="Garamond"/>
          <w:sz w:val="22"/>
          <w:szCs w:val="22"/>
          <w:lang w:val="en-US"/>
        </w:rPr>
        <w:t xml:space="preserve"> </w:t>
      </w:r>
      <w:r w:rsidR="007B783D">
        <w:rPr>
          <w:rFonts w:ascii="Garamond" w:hAnsi="Garamond"/>
          <w:sz w:val="22"/>
          <w:szCs w:val="22"/>
          <w:lang w:val="en-US"/>
        </w:rPr>
        <w:t>as well as the legitimate aim of protecting the rights of others pursed by the interference</w:t>
      </w:r>
      <w:r w:rsidR="007F33BE">
        <w:rPr>
          <w:rFonts w:ascii="Garamond" w:hAnsi="Garamond"/>
          <w:sz w:val="22"/>
          <w:szCs w:val="22"/>
          <w:lang w:val="en-US"/>
        </w:rPr>
        <w:t xml:space="preserve">. On an assessment of the necessity of the interference, </w:t>
      </w:r>
      <w:r w:rsidR="009447CC">
        <w:rPr>
          <w:rFonts w:ascii="Garamond" w:hAnsi="Garamond"/>
          <w:sz w:val="22"/>
          <w:szCs w:val="22"/>
          <w:lang w:val="en-US"/>
        </w:rPr>
        <w:t xml:space="preserve">the Court found the injunction granted to be disproportionate to the </w:t>
      </w:r>
      <w:r w:rsidR="009447CC">
        <w:rPr>
          <w:rFonts w:ascii="Garamond" w:hAnsi="Garamond"/>
          <w:sz w:val="22"/>
          <w:szCs w:val="22"/>
        </w:rPr>
        <w:t>legitimate aim pursued</w:t>
      </w:r>
      <w:r w:rsidR="00353012">
        <w:rPr>
          <w:rFonts w:ascii="Garamond" w:hAnsi="Garamond"/>
          <w:sz w:val="22"/>
          <w:szCs w:val="22"/>
        </w:rPr>
        <w:t xml:space="preserve">, </w:t>
      </w:r>
      <w:r w:rsidR="009447CC" w:rsidRPr="00353012">
        <w:rPr>
          <w:rFonts w:ascii="Garamond" w:hAnsi="Garamond"/>
          <w:sz w:val="22"/>
          <w:szCs w:val="22"/>
        </w:rPr>
        <w:t>and concluded that the applicant’s right under Article 10 of the Convention had been violated</w:t>
      </w:r>
      <w:r w:rsidR="00997D6E" w:rsidRPr="00353012">
        <w:rPr>
          <w:rFonts w:ascii="Garamond" w:hAnsi="Garamond"/>
          <w:sz w:val="22"/>
          <w:szCs w:val="22"/>
        </w:rPr>
        <w:t>.</w:t>
      </w:r>
      <w:r w:rsidR="00353012">
        <w:rPr>
          <w:rFonts w:ascii="Garamond" w:hAnsi="Garamond"/>
          <w:sz w:val="22"/>
          <w:szCs w:val="22"/>
        </w:rPr>
        <w:t xml:space="preserve"> The Court reasoned that </w:t>
      </w:r>
      <w:r w:rsidR="00CB0324">
        <w:rPr>
          <w:rFonts w:ascii="Garamond" w:hAnsi="Garamond"/>
          <w:sz w:val="22"/>
          <w:szCs w:val="22"/>
        </w:rPr>
        <w:t>the painting was satirical, and reflective not of reality but rather of a counter-attack against the FPO</w:t>
      </w:r>
      <w:r w:rsidR="001E61A8">
        <w:rPr>
          <w:rFonts w:ascii="Garamond" w:hAnsi="Garamond"/>
          <w:sz w:val="22"/>
          <w:szCs w:val="22"/>
        </w:rPr>
        <w:t xml:space="preserve"> </w:t>
      </w:r>
      <w:r w:rsidR="00AA20D3">
        <w:rPr>
          <w:rFonts w:ascii="Garamond" w:hAnsi="Garamond"/>
          <w:sz w:val="22"/>
          <w:szCs w:val="22"/>
        </w:rPr>
        <w:t xml:space="preserve">whose </w:t>
      </w:r>
      <w:r w:rsidR="00AC0982">
        <w:rPr>
          <w:rFonts w:ascii="Garamond" w:hAnsi="Garamond"/>
          <w:sz w:val="22"/>
          <w:szCs w:val="22"/>
        </w:rPr>
        <w:t xml:space="preserve">members had </w:t>
      </w:r>
      <w:r w:rsidR="001E61A8">
        <w:rPr>
          <w:rFonts w:ascii="Garamond" w:hAnsi="Garamond"/>
          <w:sz w:val="22"/>
          <w:szCs w:val="22"/>
        </w:rPr>
        <w:t>been critical of</w:t>
      </w:r>
      <w:r w:rsidR="00AC0982">
        <w:rPr>
          <w:rFonts w:ascii="Garamond" w:hAnsi="Garamond"/>
          <w:sz w:val="22"/>
          <w:szCs w:val="22"/>
        </w:rPr>
        <w:t xml:space="preserve"> </w:t>
      </w:r>
      <w:r w:rsidR="00AC0982" w:rsidRPr="00A86410">
        <w:rPr>
          <w:rFonts w:ascii="Garamond" w:hAnsi="Garamond"/>
          <w:sz w:val="22"/>
          <w:szCs w:val="22"/>
          <w:lang w:val="en-US"/>
        </w:rPr>
        <w:t>Mu</w:t>
      </w:r>
      <w:r w:rsidR="00AC0982" w:rsidRPr="00A86410">
        <w:rPr>
          <w:rFonts w:ascii="Times New Roman" w:hAnsi="Times New Roman" w:cs="Times New Roman"/>
          <w:sz w:val="22"/>
          <w:szCs w:val="22"/>
          <w:lang w:val="en-US"/>
        </w:rPr>
        <w:t>̈</w:t>
      </w:r>
      <w:r w:rsidR="00AC0982" w:rsidRPr="00A86410">
        <w:rPr>
          <w:rFonts w:ascii="Garamond" w:hAnsi="Garamond"/>
          <w:sz w:val="22"/>
          <w:szCs w:val="22"/>
          <w:lang w:val="en-US"/>
        </w:rPr>
        <w:t>hl</w:t>
      </w:r>
      <w:r w:rsidR="00AC0982">
        <w:rPr>
          <w:rFonts w:ascii="Garamond" w:hAnsi="Garamond"/>
          <w:sz w:val="22"/>
          <w:szCs w:val="22"/>
          <w:lang w:val="en-US"/>
        </w:rPr>
        <w:t xml:space="preserve">’s work. </w:t>
      </w:r>
      <w:r w:rsidR="006C0520">
        <w:rPr>
          <w:rFonts w:ascii="Garamond" w:hAnsi="Garamond"/>
          <w:sz w:val="22"/>
          <w:szCs w:val="22"/>
        </w:rPr>
        <w:t xml:space="preserve">The Court also </w:t>
      </w:r>
      <w:r w:rsidR="0062763B">
        <w:rPr>
          <w:rFonts w:ascii="Garamond" w:hAnsi="Garamond"/>
          <w:sz w:val="22"/>
          <w:szCs w:val="22"/>
        </w:rPr>
        <w:t xml:space="preserve">noted </w:t>
      </w:r>
      <w:r w:rsidR="008010B0">
        <w:rPr>
          <w:rFonts w:ascii="Garamond" w:hAnsi="Garamond"/>
          <w:sz w:val="22"/>
          <w:szCs w:val="22"/>
        </w:rPr>
        <w:t xml:space="preserve">that </w:t>
      </w:r>
      <w:r w:rsidR="008010B0" w:rsidRPr="00941860">
        <w:rPr>
          <w:rFonts w:ascii="Garamond" w:hAnsi="Garamond"/>
          <w:sz w:val="22"/>
          <w:szCs w:val="22"/>
        </w:rPr>
        <w:t>Meischberger</w:t>
      </w:r>
      <w:r w:rsidR="008010B0">
        <w:rPr>
          <w:rFonts w:ascii="Garamond" w:hAnsi="Garamond"/>
          <w:sz w:val="22"/>
          <w:szCs w:val="22"/>
        </w:rPr>
        <w:t xml:space="preserve"> was a relatively less significant public figure among those depicted, and</w:t>
      </w:r>
      <w:r w:rsidR="001A57D8">
        <w:rPr>
          <w:rFonts w:ascii="Garamond" w:hAnsi="Garamond"/>
          <w:sz w:val="22"/>
          <w:szCs w:val="22"/>
        </w:rPr>
        <w:t xml:space="preserve"> that post a vandalization incident of </w:t>
      </w:r>
      <w:r w:rsidR="001A57D8">
        <w:rPr>
          <w:rFonts w:ascii="Garamond" w:hAnsi="Garamond"/>
          <w:sz w:val="22"/>
          <w:szCs w:val="22"/>
        </w:rPr>
        <w:t>June 12, 1998</w:t>
      </w:r>
      <w:r w:rsidR="001A57D8">
        <w:rPr>
          <w:rFonts w:ascii="Garamond" w:hAnsi="Garamond"/>
          <w:sz w:val="22"/>
          <w:szCs w:val="22"/>
        </w:rPr>
        <w:t>, his depiction was further diminished</w:t>
      </w:r>
      <w:r w:rsidR="006D0F50">
        <w:rPr>
          <w:rFonts w:ascii="Garamond" w:hAnsi="Garamond"/>
          <w:sz w:val="22"/>
          <w:szCs w:val="22"/>
        </w:rPr>
        <w:t xml:space="preserve">, if not entirely eclipsed. </w:t>
      </w:r>
      <w:r w:rsidR="00F346C0">
        <w:rPr>
          <w:rFonts w:ascii="Garamond" w:hAnsi="Garamond"/>
          <w:sz w:val="22"/>
          <w:szCs w:val="22"/>
        </w:rPr>
        <w:t xml:space="preserve">Lastly, the Court </w:t>
      </w:r>
      <w:r w:rsidR="002A2052">
        <w:rPr>
          <w:rFonts w:ascii="Garamond" w:hAnsi="Garamond"/>
          <w:sz w:val="22"/>
          <w:szCs w:val="22"/>
        </w:rPr>
        <w:t>drew attention to</w:t>
      </w:r>
      <w:r w:rsidR="00F346C0">
        <w:rPr>
          <w:rFonts w:ascii="Garamond" w:hAnsi="Garamond"/>
          <w:sz w:val="22"/>
          <w:szCs w:val="22"/>
        </w:rPr>
        <w:t xml:space="preserve"> the</w:t>
      </w:r>
      <w:r w:rsidR="00DA6B6E">
        <w:rPr>
          <w:rFonts w:ascii="Garamond" w:hAnsi="Garamond"/>
          <w:sz w:val="22"/>
          <w:szCs w:val="22"/>
        </w:rPr>
        <w:t xml:space="preserve"> adverse</w:t>
      </w:r>
      <w:r w:rsidR="00F346C0">
        <w:rPr>
          <w:rFonts w:ascii="Garamond" w:hAnsi="Garamond"/>
          <w:sz w:val="22"/>
          <w:szCs w:val="22"/>
        </w:rPr>
        <w:t xml:space="preserve"> implication</w:t>
      </w:r>
      <w:r w:rsidR="00154FE9">
        <w:rPr>
          <w:rFonts w:ascii="Garamond" w:hAnsi="Garamond"/>
          <w:sz w:val="22"/>
          <w:szCs w:val="22"/>
        </w:rPr>
        <w:t xml:space="preserve">s of an injunction unlimited in time and space, as granted against the applicant in the present case. </w:t>
      </w:r>
    </w:p>
    <w:p w14:paraId="3231A3CF" w14:textId="77777777" w:rsidR="00F479C4" w:rsidRPr="009447CC" w:rsidRDefault="00F479C4" w:rsidP="009447CC">
      <w:pPr>
        <w:spacing w:line="276" w:lineRule="auto"/>
        <w:jc w:val="both"/>
        <w:rPr>
          <w:rFonts w:ascii="Garamond" w:hAnsi="Garamond"/>
          <w:sz w:val="22"/>
          <w:szCs w:val="22"/>
          <w:lang w:val="en-US"/>
        </w:rPr>
      </w:pPr>
    </w:p>
    <w:p w14:paraId="35660D93" w14:textId="77777777" w:rsidR="00F479C4" w:rsidRPr="00A86410" w:rsidRDefault="00F479C4" w:rsidP="00293EFC">
      <w:pPr>
        <w:pStyle w:val="ListParagraph"/>
        <w:numPr>
          <w:ilvl w:val="0"/>
          <w:numId w:val="4"/>
        </w:numPr>
        <w:spacing w:line="276" w:lineRule="auto"/>
        <w:jc w:val="both"/>
        <w:rPr>
          <w:rFonts w:ascii="Garamond" w:hAnsi="Garamond"/>
          <w:sz w:val="22"/>
          <w:szCs w:val="22"/>
          <w:lang w:val="en-US"/>
        </w:rPr>
      </w:pPr>
      <w:r w:rsidRPr="00A86410">
        <w:rPr>
          <w:rFonts w:ascii="Garamond" w:hAnsi="Garamond"/>
          <w:b/>
          <w:bCs/>
          <w:sz w:val="22"/>
          <w:szCs w:val="22"/>
          <w:lang w:val="en-US"/>
        </w:rPr>
        <w:t>Facts</w:t>
      </w:r>
      <w:r w:rsidRPr="00A86410">
        <w:rPr>
          <w:rFonts w:ascii="Garamond" w:hAnsi="Garamond"/>
          <w:sz w:val="22"/>
          <w:szCs w:val="22"/>
          <w:lang w:val="en-US"/>
        </w:rPr>
        <w:t>:</w:t>
      </w:r>
    </w:p>
    <w:p w14:paraId="4A725FFD" w14:textId="6CADDAB1" w:rsidR="00C3732B" w:rsidRPr="00C3732B" w:rsidRDefault="00270861" w:rsidP="00293EFC">
      <w:pPr>
        <w:pStyle w:val="ListParagraph"/>
        <w:spacing w:line="276" w:lineRule="auto"/>
        <w:ind w:left="360"/>
        <w:jc w:val="both"/>
        <w:rPr>
          <w:rFonts w:ascii="Garamond" w:hAnsi="Garamond"/>
          <w:sz w:val="22"/>
          <w:szCs w:val="22"/>
          <w:lang w:val="en-US"/>
        </w:rPr>
      </w:pPr>
      <w:r w:rsidRPr="00A86410">
        <w:rPr>
          <w:rFonts w:ascii="Garamond" w:hAnsi="Garamond"/>
          <w:sz w:val="22"/>
          <w:szCs w:val="22"/>
          <w:lang w:val="en-US"/>
        </w:rPr>
        <w:t>Vereinigung Bildender Ku</w:t>
      </w:r>
      <w:r w:rsidRPr="00A86410">
        <w:rPr>
          <w:rFonts w:ascii="Times New Roman" w:hAnsi="Times New Roman" w:cs="Times New Roman"/>
          <w:sz w:val="22"/>
          <w:szCs w:val="22"/>
          <w:lang w:val="en-US"/>
        </w:rPr>
        <w:t>̈</w:t>
      </w:r>
      <w:r w:rsidRPr="00A86410">
        <w:rPr>
          <w:rFonts w:ascii="Garamond" w:hAnsi="Garamond"/>
          <w:sz w:val="22"/>
          <w:szCs w:val="22"/>
          <w:lang w:val="en-US"/>
        </w:rPr>
        <w:t>nstler Wiener Secession (the “applicant”) is an association of artist</w:t>
      </w:r>
      <w:r w:rsidR="008F0B27" w:rsidRPr="00A86410">
        <w:rPr>
          <w:rFonts w:ascii="Garamond" w:hAnsi="Garamond"/>
          <w:sz w:val="22"/>
          <w:szCs w:val="22"/>
          <w:lang w:val="en-US"/>
        </w:rPr>
        <w:t>s. As part of the celebrations of their 100</w:t>
      </w:r>
      <w:r w:rsidR="008F0B27" w:rsidRPr="00A86410">
        <w:rPr>
          <w:rFonts w:ascii="Garamond" w:hAnsi="Garamond"/>
          <w:sz w:val="22"/>
          <w:szCs w:val="22"/>
          <w:vertAlign w:val="superscript"/>
          <w:lang w:val="en-US"/>
        </w:rPr>
        <w:t>th</w:t>
      </w:r>
      <w:r w:rsidR="008F0B27" w:rsidRPr="00A86410">
        <w:rPr>
          <w:rFonts w:ascii="Garamond" w:hAnsi="Garamond"/>
          <w:sz w:val="22"/>
          <w:szCs w:val="22"/>
          <w:lang w:val="en-US"/>
        </w:rPr>
        <w:t xml:space="preserve"> anniversary, </w:t>
      </w:r>
      <w:r w:rsidR="000A7A22" w:rsidRPr="00A86410">
        <w:rPr>
          <w:rFonts w:ascii="Garamond" w:hAnsi="Garamond"/>
          <w:sz w:val="22"/>
          <w:szCs w:val="22"/>
          <w:lang w:val="en-US"/>
        </w:rPr>
        <w:t>the applicant organized an exhibition at an independent gallery ‘The Secession’ between April 03 and June 21</w:t>
      </w:r>
      <w:r w:rsidR="002A2482">
        <w:rPr>
          <w:rFonts w:ascii="Garamond" w:hAnsi="Garamond"/>
          <w:sz w:val="22"/>
          <w:szCs w:val="22"/>
          <w:lang w:val="en-US"/>
        </w:rPr>
        <w:t xml:space="preserve">, </w:t>
      </w:r>
      <w:r w:rsidR="000A7A22" w:rsidRPr="00A86410">
        <w:rPr>
          <w:rFonts w:ascii="Garamond" w:hAnsi="Garamond"/>
          <w:sz w:val="22"/>
          <w:szCs w:val="22"/>
          <w:lang w:val="en-US"/>
        </w:rPr>
        <w:t xml:space="preserve">1998. </w:t>
      </w:r>
      <w:r w:rsidR="00726CBC" w:rsidRPr="00A86410">
        <w:rPr>
          <w:rFonts w:ascii="Garamond" w:hAnsi="Garamond"/>
          <w:sz w:val="22"/>
          <w:szCs w:val="22"/>
          <w:lang w:val="en-US"/>
        </w:rPr>
        <w:t xml:space="preserve">The theme of the exhibition was ‘The Century of Artistic Freedom’. Among the works of art on display was </w:t>
      </w:r>
      <w:r w:rsidR="00B90228">
        <w:rPr>
          <w:rFonts w:ascii="Garamond" w:hAnsi="Garamond"/>
          <w:sz w:val="22"/>
          <w:szCs w:val="22"/>
          <w:lang w:val="en-US"/>
        </w:rPr>
        <w:t>a</w:t>
      </w:r>
      <w:r w:rsidR="00726CBC" w:rsidRPr="00A86410">
        <w:rPr>
          <w:rFonts w:ascii="Garamond" w:hAnsi="Garamond"/>
          <w:sz w:val="22"/>
          <w:szCs w:val="22"/>
          <w:lang w:val="en-US"/>
        </w:rPr>
        <w:t xml:space="preserve"> </w:t>
      </w:r>
      <w:hyperlink r:id="rId5" w:history="1">
        <w:r w:rsidR="00726CBC" w:rsidRPr="00A86410">
          <w:rPr>
            <w:rStyle w:val="Hyperlink"/>
            <w:rFonts w:ascii="Garamond" w:hAnsi="Garamond"/>
            <w:sz w:val="22"/>
            <w:szCs w:val="22"/>
            <w:lang w:val="en-US"/>
          </w:rPr>
          <w:t>painting</w:t>
        </w:r>
      </w:hyperlink>
      <w:r w:rsidR="00726CBC" w:rsidRPr="00A86410">
        <w:rPr>
          <w:rFonts w:ascii="Garamond" w:hAnsi="Garamond"/>
          <w:sz w:val="22"/>
          <w:szCs w:val="22"/>
          <w:lang w:val="en-US"/>
        </w:rPr>
        <w:t xml:space="preserve"> titled ‘Apocalypse’, the creator of which was the Austrian painter Otto Mu</w:t>
      </w:r>
      <w:r w:rsidR="00726CBC" w:rsidRPr="00A86410">
        <w:rPr>
          <w:rFonts w:ascii="Times New Roman" w:hAnsi="Times New Roman" w:cs="Times New Roman"/>
          <w:sz w:val="22"/>
          <w:szCs w:val="22"/>
          <w:lang w:val="en-US"/>
        </w:rPr>
        <w:t>̈</w:t>
      </w:r>
      <w:r w:rsidR="00726CBC" w:rsidRPr="00A86410">
        <w:rPr>
          <w:rFonts w:ascii="Garamond" w:hAnsi="Garamond"/>
          <w:sz w:val="22"/>
          <w:szCs w:val="22"/>
          <w:lang w:val="en-US"/>
        </w:rPr>
        <w:t>hl.</w:t>
      </w:r>
      <w:r w:rsidR="00B90228">
        <w:rPr>
          <w:rFonts w:ascii="Garamond" w:hAnsi="Garamond"/>
          <w:sz w:val="22"/>
          <w:szCs w:val="22"/>
          <w:lang w:val="en-US"/>
        </w:rPr>
        <w:t xml:space="preserve"> </w:t>
      </w:r>
      <w:r w:rsidR="00A86410" w:rsidRPr="00B90228">
        <w:rPr>
          <w:rFonts w:ascii="Garamond" w:hAnsi="Garamond"/>
          <w:sz w:val="22"/>
          <w:szCs w:val="22"/>
          <w:lang w:val="en-US"/>
        </w:rPr>
        <w:t>The painting depicted 34 public figures</w:t>
      </w:r>
      <w:r w:rsidR="006515B4" w:rsidRPr="00B90228">
        <w:rPr>
          <w:rFonts w:ascii="Garamond" w:hAnsi="Garamond"/>
          <w:sz w:val="22"/>
          <w:szCs w:val="22"/>
          <w:lang w:val="en-US"/>
        </w:rPr>
        <w:t xml:space="preserve"> – such as Mother Teresa, </w:t>
      </w:r>
      <w:proofErr w:type="spellStart"/>
      <w:r w:rsidR="006515B4" w:rsidRPr="00B90228">
        <w:rPr>
          <w:rFonts w:ascii="Garamond" w:hAnsi="Garamond"/>
          <w:sz w:val="22"/>
          <w:szCs w:val="22"/>
          <w:lang w:val="en-US"/>
        </w:rPr>
        <w:t>Jörg</w:t>
      </w:r>
      <w:proofErr w:type="spellEnd"/>
      <w:r w:rsidR="006515B4" w:rsidRPr="00B90228">
        <w:rPr>
          <w:rFonts w:ascii="Garamond" w:hAnsi="Garamond"/>
          <w:sz w:val="22"/>
          <w:szCs w:val="22"/>
          <w:lang w:val="en-US"/>
        </w:rPr>
        <w:t xml:space="preserve"> Haider (Former head of the Austrian Freedom Party), Hermann </w:t>
      </w:r>
      <w:proofErr w:type="spellStart"/>
      <w:r w:rsidR="006515B4" w:rsidRPr="00B90228">
        <w:rPr>
          <w:rFonts w:ascii="Garamond" w:hAnsi="Garamond"/>
          <w:sz w:val="22"/>
          <w:szCs w:val="22"/>
          <w:lang w:val="en-US"/>
        </w:rPr>
        <w:t>Groer</w:t>
      </w:r>
      <w:proofErr w:type="spellEnd"/>
      <w:r w:rsidR="006515B4" w:rsidRPr="00B90228">
        <w:rPr>
          <w:rFonts w:ascii="Garamond" w:hAnsi="Garamond"/>
          <w:sz w:val="22"/>
          <w:szCs w:val="22"/>
          <w:lang w:val="en-US"/>
        </w:rPr>
        <w:t xml:space="preserve"> (the Austrian cardinal) –</w:t>
      </w:r>
      <w:r w:rsidR="00A86410" w:rsidRPr="00B90228">
        <w:rPr>
          <w:rFonts w:ascii="Garamond" w:hAnsi="Garamond"/>
          <w:sz w:val="22"/>
          <w:szCs w:val="22"/>
          <w:lang w:val="en-US"/>
        </w:rPr>
        <w:t xml:space="preserve"> nude and involved in sexual activities. </w:t>
      </w:r>
      <w:r w:rsidR="0011381B" w:rsidRPr="00B90228">
        <w:rPr>
          <w:rFonts w:ascii="Garamond" w:hAnsi="Garamond"/>
          <w:sz w:val="22"/>
          <w:szCs w:val="22"/>
          <w:lang w:val="en-US"/>
        </w:rPr>
        <w:t>While the</w:t>
      </w:r>
      <w:r w:rsidR="00A86410" w:rsidRPr="00B90228">
        <w:rPr>
          <w:rFonts w:ascii="Garamond" w:hAnsi="Garamond"/>
          <w:sz w:val="22"/>
          <w:szCs w:val="22"/>
          <w:lang w:val="en-US"/>
        </w:rPr>
        <w:t xml:space="preserve"> bodies of the figures had been painted by Mu</w:t>
      </w:r>
      <w:r w:rsidR="00A86410" w:rsidRPr="00B90228">
        <w:rPr>
          <w:rFonts w:ascii="Times New Roman" w:hAnsi="Times New Roman" w:cs="Times New Roman"/>
          <w:sz w:val="22"/>
          <w:szCs w:val="22"/>
          <w:lang w:val="en-US"/>
        </w:rPr>
        <w:t>̈</w:t>
      </w:r>
      <w:r w:rsidR="00A86410" w:rsidRPr="00B90228">
        <w:rPr>
          <w:rFonts w:ascii="Garamond" w:hAnsi="Garamond"/>
          <w:sz w:val="22"/>
          <w:szCs w:val="22"/>
          <w:lang w:val="en-US"/>
        </w:rPr>
        <w:t xml:space="preserve">hl, the faces </w:t>
      </w:r>
      <w:r w:rsidR="00654B26" w:rsidRPr="00B90228">
        <w:rPr>
          <w:rFonts w:ascii="Garamond" w:hAnsi="Garamond"/>
          <w:sz w:val="22"/>
          <w:szCs w:val="22"/>
          <w:lang w:val="en-US"/>
        </w:rPr>
        <w:t>were photographs blown-up from newspapers</w:t>
      </w:r>
      <w:r w:rsidR="00F43A48">
        <w:rPr>
          <w:rFonts w:ascii="Garamond" w:hAnsi="Garamond"/>
          <w:sz w:val="22"/>
          <w:szCs w:val="22"/>
          <w:lang w:val="en-US"/>
        </w:rPr>
        <w:t xml:space="preserve"> </w:t>
      </w:r>
      <w:r w:rsidR="00AF073D">
        <w:rPr>
          <w:rFonts w:ascii="Garamond" w:hAnsi="Garamond"/>
          <w:sz w:val="22"/>
          <w:szCs w:val="22"/>
          <w:lang w:val="en-US"/>
        </w:rPr>
        <w:t>with</w:t>
      </w:r>
      <w:r w:rsidR="00383745">
        <w:rPr>
          <w:rFonts w:ascii="Garamond" w:hAnsi="Garamond"/>
          <w:sz w:val="22"/>
          <w:szCs w:val="22"/>
          <w:lang w:val="en-US"/>
        </w:rPr>
        <w:t xml:space="preserve"> the eyes of some of the figures </w:t>
      </w:r>
      <w:r w:rsidR="00F43A48">
        <w:rPr>
          <w:rFonts w:ascii="Garamond" w:hAnsi="Garamond"/>
          <w:sz w:val="22"/>
          <w:szCs w:val="22"/>
          <w:lang w:val="en-US"/>
        </w:rPr>
        <w:t>covered by</w:t>
      </w:r>
      <w:r w:rsidR="00AF073D">
        <w:rPr>
          <w:rFonts w:ascii="Garamond" w:hAnsi="Garamond"/>
          <w:sz w:val="22"/>
          <w:szCs w:val="22"/>
          <w:lang w:val="en-US"/>
        </w:rPr>
        <w:t xml:space="preserve"> black bars. </w:t>
      </w:r>
      <w:r w:rsidR="00FB7AC9" w:rsidRPr="00B90228">
        <w:rPr>
          <w:rFonts w:ascii="Garamond" w:hAnsi="Garamond"/>
          <w:sz w:val="22"/>
          <w:szCs w:val="22"/>
          <w:lang w:val="en-US"/>
        </w:rPr>
        <w:t>One of the figures depicted in the painting was Meischberger</w:t>
      </w:r>
      <w:r w:rsidR="00105513" w:rsidRPr="00B90228">
        <w:rPr>
          <w:rFonts w:ascii="Garamond" w:hAnsi="Garamond"/>
          <w:sz w:val="22"/>
          <w:szCs w:val="22"/>
          <w:lang w:val="en-US"/>
        </w:rPr>
        <w:t>, who was a member of the National Assembly at the time the painting was exhibited</w:t>
      </w:r>
      <w:r w:rsidR="00D44F84" w:rsidRPr="00B90228">
        <w:rPr>
          <w:rFonts w:ascii="Garamond" w:hAnsi="Garamond"/>
          <w:sz w:val="22"/>
          <w:szCs w:val="22"/>
          <w:lang w:val="en-US"/>
        </w:rPr>
        <w:t>, a post he held until 1999, and</w:t>
      </w:r>
      <w:r w:rsidR="00105513" w:rsidRPr="00B90228">
        <w:rPr>
          <w:rFonts w:ascii="Garamond" w:hAnsi="Garamond"/>
          <w:sz w:val="22"/>
          <w:szCs w:val="22"/>
          <w:lang w:val="en-US"/>
        </w:rPr>
        <w:t xml:space="preserve"> who had served as a former general secretary of the FPO until 1995</w:t>
      </w:r>
      <w:r w:rsidR="00D44F84" w:rsidRPr="00B90228">
        <w:rPr>
          <w:rFonts w:ascii="Garamond" w:hAnsi="Garamond"/>
          <w:sz w:val="22"/>
          <w:szCs w:val="22"/>
          <w:lang w:val="en-US"/>
        </w:rPr>
        <w:t>. In the painting, Meischberger was holding Haider’s penis, was being touched by two other FPO politicians, and was ejaculating on Mother T</w:t>
      </w:r>
      <w:r w:rsidR="00B90228" w:rsidRPr="00B90228">
        <w:rPr>
          <w:rFonts w:ascii="Garamond" w:hAnsi="Garamond"/>
          <w:sz w:val="22"/>
          <w:szCs w:val="22"/>
          <w:lang w:val="en-US"/>
        </w:rPr>
        <w:t xml:space="preserve">eresa. </w:t>
      </w:r>
      <w:r w:rsidR="0007441D">
        <w:rPr>
          <w:rFonts w:ascii="Garamond" w:hAnsi="Garamond"/>
          <w:sz w:val="22"/>
          <w:szCs w:val="22"/>
          <w:lang w:val="en-US"/>
        </w:rPr>
        <w:t xml:space="preserve">On June 11, 1998, an Austrian newspaper </w:t>
      </w:r>
      <w:proofErr w:type="spellStart"/>
      <w:r w:rsidR="0007441D" w:rsidRPr="00F91845">
        <w:rPr>
          <w:rFonts w:ascii="Garamond" w:hAnsi="Garamond"/>
          <w:i/>
          <w:iCs/>
          <w:sz w:val="22"/>
          <w:szCs w:val="22"/>
          <w:lang w:val="en-US"/>
        </w:rPr>
        <w:t>Täglich</w:t>
      </w:r>
      <w:proofErr w:type="spellEnd"/>
      <w:r w:rsidR="0007441D" w:rsidRPr="00F91845">
        <w:rPr>
          <w:rFonts w:ascii="Garamond" w:hAnsi="Garamond"/>
          <w:i/>
          <w:iCs/>
          <w:sz w:val="22"/>
          <w:szCs w:val="22"/>
          <w:lang w:val="en-US"/>
        </w:rPr>
        <w:t xml:space="preserve"> </w:t>
      </w:r>
      <w:proofErr w:type="spellStart"/>
      <w:r w:rsidR="0007441D" w:rsidRPr="00F91845">
        <w:rPr>
          <w:rFonts w:ascii="Garamond" w:hAnsi="Garamond"/>
          <w:i/>
          <w:iCs/>
          <w:sz w:val="22"/>
          <w:szCs w:val="22"/>
          <w:lang w:val="en-US"/>
        </w:rPr>
        <w:t>Alles</w:t>
      </w:r>
      <w:proofErr w:type="spellEnd"/>
      <w:r w:rsidR="00F91845">
        <w:rPr>
          <w:rFonts w:ascii="Garamond" w:hAnsi="Garamond"/>
          <w:sz w:val="22"/>
          <w:szCs w:val="22"/>
          <w:lang w:val="en-US"/>
        </w:rPr>
        <w:t xml:space="preserve"> expressed its anger at the portrayal of “</w:t>
      </w:r>
      <w:r w:rsidR="00F91845" w:rsidRPr="00F91845">
        <w:rPr>
          <w:rFonts w:ascii="Garamond" w:hAnsi="Garamond"/>
          <w:i/>
          <w:iCs/>
          <w:sz w:val="22"/>
          <w:szCs w:val="22"/>
          <w:lang w:val="en-US"/>
        </w:rPr>
        <w:t xml:space="preserve">group sexual situations with Bishop </w:t>
      </w:r>
      <w:proofErr w:type="spellStart"/>
      <w:r w:rsidR="00F91845" w:rsidRPr="00F91845">
        <w:rPr>
          <w:rFonts w:ascii="Garamond" w:hAnsi="Garamond"/>
          <w:i/>
          <w:iCs/>
          <w:sz w:val="22"/>
          <w:szCs w:val="22"/>
          <w:lang w:val="en-US"/>
        </w:rPr>
        <w:t>Groer</w:t>
      </w:r>
      <w:proofErr w:type="spellEnd"/>
      <w:r w:rsidR="00F91845" w:rsidRPr="00F91845">
        <w:rPr>
          <w:rFonts w:ascii="Garamond" w:hAnsi="Garamond"/>
          <w:i/>
          <w:iCs/>
          <w:sz w:val="22"/>
          <w:szCs w:val="22"/>
          <w:lang w:val="en-US"/>
        </w:rPr>
        <w:t xml:space="preserve"> and Mother Teresa</w:t>
      </w:r>
      <w:r w:rsidR="00F91845">
        <w:rPr>
          <w:rFonts w:ascii="Garamond" w:hAnsi="Garamond"/>
          <w:sz w:val="22"/>
          <w:szCs w:val="22"/>
          <w:lang w:val="en-US"/>
        </w:rPr>
        <w:t>” [</w:t>
      </w:r>
      <w:r w:rsidR="00CE6715">
        <w:rPr>
          <w:rFonts w:ascii="Garamond" w:hAnsi="Garamond"/>
          <w:sz w:val="22"/>
          <w:szCs w:val="22"/>
          <w:lang w:val="en-US"/>
        </w:rPr>
        <w:t>p</w:t>
      </w:r>
      <w:r w:rsidR="00F91845">
        <w:rPr>
          <w:rFonts w:ascii="Garamond" w:hAnsi="Garamond"/>
          <w:sz w:val="22"/>
          <w:szCs w:val="22"/>
          <w:lang w:val="en-US"/>
        </w:rPr>
        <w:t xml:space="preserve">ara 10]. </w:t>
      </w:r>
      <w:r w:rsidR="00462A83" w:rsidRPr="00F91845">
        <w:rPr>
          <w:rFonts w:ascii="Garamond" w:hAnsi="Garamond"/>
          <w:sz w:val="22"/>
          <w:szCs w:val="22"/>
          <w:lang w:val="en-US"/>
        </w:rPr>
        <w:t xml:space="preserve">The </w:t>
      </w:r>
      <w:r w:rsidR="008F78F0" w:rsidRPr="00F91845">
        <w:rPr>
          <w:rFonts w:ascii="Garamond" w:hAnsi="Garamond"/>
          <w:sz w:val="22"/>
          <w:szCs w:val="22"/>
          <w:lang w:val="en-US"/>
        </w:rPr>
        <w:t xml:space="preserve">exhibition was open to the public, </w:t>
      </w:r>
      <w:r w:rsidR="008F3994" w:rsidRPr="00F91845">
        <w:rPr>
          <w:rFonts w:ascii="Garamond" w:hAnsi="Garamond"/>
          <w:sz w:val="22"/>
          <w:szCs w:val="22"/>
          <w:lang w:val="en-US"/>
        </w:rPr>
        <w:t xml:space="preserve">and </w:t>
      </w:r>
      <w:r w:rsidR="00574174" w:rsidRPr="00F91845">
        <w:rPr>
          <w:rFonts w:ascii="Garamond" w:hAnsi="Garamond"/>
          <w:sz w:val="22"/>
          <w:szCs w:val="22"/>
          <w:lang w:val="en-US"/>
        </w:rPr>
        <w:t>on June 12</w:t>
      </w:r>
      <w:r w:rsidR="006C2D70">
        <w:rPr>
          <w:rFonts w:ascii="Garamond" w:hAnsi="Garamond"/>
          <w:sz w:val="22"/>
          <w:szCs w:val="22"/>
          <w:lang w:val="en-US"/>
        </w:rPr>
        <w:t xml:space="preserve">, </w:t>
      </w:r>
      <w:r w:rsidR="00574174" w:rsidRPr="00F91845">
        <w:rPr>
          <w:rFonts w:ascii="Garamond" w:hAnsi="Garamond"/>
          <w:sz w:val="22"/>
          <w:szCs w:val="22"/>
          <w:lang w:val="en-US"/>
        </w:rPr>
        <w:t>1998</w:t>
      </w:r>
      <w:r w:rsidR="008F3994" w:rsidRPr="00F91845">
        <w:rPr>
          <w:rFonts w:ascii="Garamond" w:hAnsi="Garamond"/>
          <w:sz w:val="22"/>
          <w:szCs w:val="22"/>
          <w:lang w:val="en-US"/>
        </w:rPr>
        <w:t xml:space="preserve"> </w:t>
      </w:r>
      <w:r w:rsidR="00AA3F42" w:rsidRPr="00F91845">
        <w:rPr>
          <w:rFonts w:ascii="Garamond" w:hAnsi="Garamond"/>
          <w:sz w:val="22"/>
          <w:szCs w:val="22"/>
          <w:lang w:val="en-US"/>
        </w:rPr>
        <w:t xml:space="preserve">the </w:t>
      </w:r>
      <w:r w:rsidR="008F3994" w:rsidRPr="00F91845">
        <w:rPr>
          <w:rFonts w:ascii="Garamond" w:hAnsi="Garamond"/>
          <w:sz w:val="22"/>
          <w:szCs w:val="22"/>
          <w:lang w:val="en-US"/>
        </w:rPr>
        <w:t>painting was</w:t>
      </w:r>
      <w:r w:rsidR="008F78F0" w:rsidRPr="00F91845">
        <w:rPr>
          <w:rFonts w:ascii="Garamond" w:hAnsi="Garamond"/>
          <w:sz w:val="22"/>
          <w:szCs w:val="22"/>
          <w:lang w:val="en-US"/>
        </w:rPr>
        <w:t xml:space="preserve"> </w:t>
      </w:r>
      <w:r w:rsidR="00582620" w:rsidRPr="00F91845">
        <w:rPr>
          <w:rFonts w:ascii="Garamond" w:hAnsi="Garamond"/>
          <w:sz w:val="22"/>
          <w:szCs w:val="22"/>
          <w:lang w:val="en-US"/>
        </w:rPr>
        <w:t xml:space="preserve">vandalized with red paint by a visitor to the exhibition, </w:t>
      </w:r>
      <w:r w:rsidR="00D94D6F" w:rsidRPr="00F91845">
        <w:rPr>
          <w:rFonts w:ascii="Garamond" w:hAnsi="Garamond"/>
          <w:sz w:val="22"/>
          <w:szCs w:val="22"/>
          <w:lang w:val="en-US"/>
        </w:rPr>
        <w:t>resulting in the part</w:t>
      </w:r>
      <w:r w:rsidR="00582620" w:rsidRPr="00F91845">
        <w:rPr>
          <w:rFonts w:ascii="Garamond" w:hAnsi="Garamond"/>
          <w:sz w:val="22"/>
          <w:szCs w:val="22"/>
          <w:lang w:val="en-US"/>
        </w:rPr>
        <w:t xml:space="preserve"> </w:t>
      </w:r>
      <w:r w:rsidR="00582620" w:rsidRPr="00F91845">
        <w:rPr>
          <w:rFonts w:ascii="Garamond" w:hAnsi="Garamond"/>
          <w:sz w:val="22"/>
          <w:szCs w:val="22"/>
          <w:lang w:val="en-US"/>
        </w:rPr>
        <w:lastRenderedPageBreak/>
        <w:t xml:space="preserve">depicting Meischberger </w:t>
      </w:r>
      <w:r w:rsidR="00DF4B1F" w:rsidRPr="00F91845">
        <w:rPr>
          <w:rFonts w:ascii="Garamond" w:hAnsi="Garamond"/>
          <w:sz w:val="22"/>
          <w:szCs w:val="22"/>
          <w:lang w:val="en-US"/>
        </w:rPr>
        <w:t>being obscured.</w:t>
      </w:r>
      <w:r w:rsidR="00582620" w:rsidRPr="00F91845">
        <w:rPr>
          <w:rFonts w:ascii="Garamond" w:hAnsi="Garamond"/>
          <w:sz w:val="22"/>
          <w:szCs w:val="22"/>
          <w:lang w:val="en-US"/>
        </w:rPr>
        <w:t xml:space="preserve"> </w:t>
      </w:r>
      <w:r w:rsidR="00306EB9">
        <w:rPr>
          <w:rFonts w:ascii="Garamond" w:hAnsi="Garamond"/>
          <w:sz w:val="22"/>
          <w:szCs w:val="22"/>
          <w:lang w:val="en-US"/>
        </w:rPr>
        <w:t xml:space="preserve">This event was covered by several Austrian newspapers, accompanied by photographs of the painting. </w:t>
      </w:r>
    </w:p>
    <w:p w14:paraId="46CDB09E" w14:textId="77777777" w:rsidR="00BC7B07" w:rsidRDefault="00BC7B07" w:rsidP="00293EFC">
      <w:pPr>
        <w:pStyle w:val="ListParagraph"/>
        <w:spacing w:line="276" w:lineRule="auto"/>
        <w:ind w:left="360"/>
        <w:jc w:val="both"/>
        <w:rPr>
          <w:rFonts w:ascii="Garamond" w:hAnsi="Garamond"/>
          <w:sz w:val="22"/>
          <w:szCs w:val="22"/>
          <w:lang w:val="en-US"/>
        </w:rPr>
      </w:pPr>
    </w:p>
    <w:p w14:paraId="015F00BA" w14:textId="78D2ED75" w:rsidR="00AA5AE2" w:rsidRDefault="00723BA2" w:rsidP="00293EFC">
      <w:pPr>
        <w:pStyle w:val="ListParagraph"/>
        <w:spacing w:line="276" w:lineRule="auto"/>
        <w:ind w:left="360"/>
        <w:jc w:val="both"/>
        <w:rPr>
          <w:rFonts w:ascii="Garamond" w:hAnsi="Garamond"/>
          <w:sz w:val="22"/>
          <w:szCs w:val="22"/>
          <w:lang w:val="en-US"/>
        </w:rPr>
      </w:pPr>
      <w:r w:rsidRPr="00BC7B07">
        <w:rPr>
          <w:rFonts w:ascii="Garamond" w:hAnsi="Garamond"/>
          <w:sz w:val="22"/>
          <w:szCs w:val="22"/>
          <w:lang w:val="en-US"/>
        </w:rPr>
        <w:t>On June 22</w:t>
      </w:r>
      <w:r w:rsidR="006C2D70">
        <w:rPr>
          <w:rFonts w:ascii="Garamond" w:hAnsi="Garamond"/>
          <w:sz w:val="22"/>
          <w:szCs w:val="22"/>
          <w:lang w:val="en-US"/>
        </w:rPr>
        <w:t xml:space="preserve">, </w:t>
      </w:r>
      <w:r w:rsidRPr="00BC7B07">
        <w:rPr>
          <w:rFonts w:ascii="Garamond" w:hAnsi="Garamond"/>
          <w:sz w:val="22"/>
          <w:szCs w:val="22"/>
          <w:lang w:val="en-US"/>
        </w:rPr>
        <w:t>1998, Meischberger instituted proceedings against the applicant pursuant to Section 78 of the Copyright Act</w:t>
      </w:r>
      <w:r w:rsidR="00A50F72">
        <w:rPr>
          <w:rFonts w:ascii="Garamond" w:hAnsi="Garamond"/>
          <w:sz w:val="22"/>
          <w:szCs w:val="22"/>
          <w:lang w:val="en-US"/>
        </w:rPr>
        <w:t xml:space="preserve"> (</w:t>
      </w:r>
      <w:proofErr w:type="spellStart"/>
      <w:r w:rsidR="00A50F72" w:rsidRPr="00A50F72">
        <w:rPr>
          <w:rFonts w:ascii="Garamond" w:hAnsi="Garamond"/>
          <w:i/>
          <w:iCs/>
          <w:sz w:val="22"/>
          <w:szCs w:val="22"/>
        </w:rPr>
        <w:t>Urheberrechtsgesetz</w:t>
      </w:r>
      <w:proofErr w:type="spellEnd"/>
      <w:r w:rsidR="00A50F72">
        <w:rPr>
          <w:rFonts w:ascii="Garamond" w:hAnsi="Garamond"/>
          <w:sz w:val="22"/>
          <w:szCs w:val="22"/>
        </w:rPr>
        <w:t>)</w:t>
      </w:r>
      <w:r w:rsidRPr="00A50F72">
        <w:rPr>
          <w:rFonts w:ascii="Garamond" w:hAnsi="Garamond"/>
          <w:sz w:val="22"/>
          <w:szCs w:val="22"/>
          <w:lang w:val="en-US"/>
        </w:rPr>
        <w:t>, seeking the relief of an injunction to prohibit the exhibition and publication of the painting. He also sought compensation</w:t>
      </w:r>
      <w:r w:rsidR="004B1D57">
        <w:rPr>
          <w:rFonts w:ascii="Garamond" w:hAnsi="Garamond"/>
          <w:sz w:val="22"/>
          <w:szCs w:val="22"/>
          <w:lang w:val="en-US"/>
        </w:rPr>
        <w:t xml:space="preserve"> of 20,000 Austrian shillings (“ATS”)</w:t>
      </w:r>
      <w:r w:rsidRPr="00A50F72">
        <w:rPr>
          <w:rFonts w:ascii="Garamond" w:hAnsi="Garamond"/>
          <w:sz w:val="22"/>
          <w:szCs w:val="22"/>
          <w:lang w:val="en-US"/>
        </w:rPr>
        <w:t xml:space="preserve">. Meischberger contended that the painting </w:t>
      </w:r>
      <w:r w:rsidR="00292565">
        <w:rPr>
          <w:rFonts w:ascii="Garamond" w:hAnsi="Garamond"/>
          <w:sz w:val="22"/>
          <w:szCs w:val="22"/>
          <w:lang w:val="en-US"/>
        </w:rPr>
        <w:t>made a statement about his “</w:t>
      </w:r>
      <w:r w:rsidR="00292565" w:rsidRPr="00B35D11">
        <w:rPr>
          <w:rFonts w:ascii="Garamond" w:hAnsi="Garamond"/>
          <w:i/>
          <w:iCs/>
          <w:sz w:val="22"/>
          <w:szCs w:val="22"/>
          <w:lang w:val="en-US"/>
        </w:rPr>
        <w:t>allegedly loose sexual life</w:t>
      </w:r>
      <w:r w:rsidR="00292565">
        <w:rPr>
          <w:rFonts w:ascii="Garamond" w:hAnsi="Garamond"/>
          <w:sz w:val="22"/>
          <w:szCs w:val="22"/>
          <w:lang w:val="en-US"/>
        </w:rPr>
        <w:t>” [</w:t>
      </w:r>
      <w:r w:rsidR="00CE6715">
        <w:rPr>
          <w:rFonts w:ascii="Garamond" w:hAnsi="Garamond"/>
          <w:sz w:val="22"/>
          <w:szCs w:val="22"/>
          <w:lang w:val="en-US"/>
        </w:rPr>
        <w:t>p</w:t>
      </w:r>
      <w:r w:rsidR="00292565">
        <w:rPr>
          <w:rFonts w:ascii="Garamond" w:hAnsi="Garamond"/>
          <w:sz w:val="22"/>
          <w:szCs w:val="22"/>
          <w:lang w:val="en-US"/>
        </w:rPr>
        <w:t>ara 13]</w:t>
      </w:r>
      <w:r w:rsidRPr="00A50F72">
        <w:rPr>
          <w:rFonts w:ascii="Garamond" w:hAnsi="Garamond"/>
          <w:sz w:val="22"/>
          <w:szCs w:val="22"/>
          <w:lang w:val="en-US"/>
        </w:rPr>
        <w:t xml:space="preserve"> and debased his political activities</w:t>
      </w:r>
      <w:r w:rsidR="00AF073D">
        <w:rPr>
          <w:rFonts w:ascii="Garamond" w:hAnsi="Garamond"/>
          <w:sz w:val="22"/>
          <w:szCs w:val="22"/>
          <w:lang w:val="en-US"/>
        </w:rPr>
        <w:t xml:space="preserve">. </w:t>
      </w:r>
      <w:r w:rsidR="006D503F">
        <w:rPr>
          <w:rFonts w:ascii="Garamond" w:hAnsi="Garamond"/>
          <w:sz w:val="22"/>
          <w:szCs w:val="22"/>
          <w:lang w:val="en-US"/>
        </w:rPr>
        <w:t>He argued that neither the black bars nor the red paint marring the painting as a result of the incident on June 12</w:t>
      </w:r>
      <w:r w:rsidR="00A72533">
        <w:rPr>
          <w:rFonts w:ascii="Garamond" w:hAnsi="Garamond"/>
          <w:sz w:val="22"/>
          <w:szCs w:val="22"/>
          <w:lang w:val="en-US"/>
        </w:rPr>
        <w:t xml:space="preserve">, </w:t>
      </w:r>
      <w:r w:rsidR="006D503F">
        <w:rPr>
          <w:rFonts w:ascii="Garamond" w:hAnsi="Garamond"/>
          <w:sz w:val="22"/>
          <w:szCs w:val="22"/>
          <w:lang w:val="en-US"/>
        </w:rPr>
        <w:t>1998 prevented</w:t>
      </w:r>
      <w:r w:rsidR="006D503F" w:rsidRPr="006D503F">
        <w:rPr>
          <w:rFonts w:ascii="Garamond" w:hAnsi="Garamond"/>
          <w:sz w:val="22"/>
          <w:szCs w:val="22"/>
          <w:lang w:val="en-US"/>
        </w:rPr>
        <w:t xml:space="preserve"> him from being recognized</w:t>
      </w:r>
      <w:r w:rsidR="006D503F">
        <w:rPr>
          <w:rFonts w:ascii="Garamond" w:hAnsi="Garamond"/>
          <w:sz w:val="22"/>
          <w:szCs w:val="22"/>
          <w:lang w:val="en-US"/>
        </w:rPr>
        <w:t>, and that the incident had only further publicized the painting.</w:t>
      </w:r>
      <w:r w:rsidR="00F40648">
        <w:rPr>
          <w:rFonts w:ascii="Garamond" w:hAnsi="Garamond"/>
          <w:sz w:val="22"/>
          <w:szCs w:val="22"/>
          <w:lang w:val="en-US"/>
        </w:rPr>
        <w:t xml:space="preserve"> The grant of an injunction, he argued, would also prevent the recurrence of such debasement</w:t>
      </w:r>
      <w:r w:rsidR="00291DD7">
        <w:rPr>
          <w:rFonts w:ascii="Garamond" w:hAnsi="Garamond"/>
          <w:sz w:val="22"/>
          <w:szCs w:val="22"/>
          <w:lang w:val="en-US"/>
        </w:rPr>
        <w:t xml:space="preserve"> </w:t>
      </w:r>
      <w:r w:rsidR="00F40648">
        <w:rPr>
          <w:rFonts w:ascii="Garamond" w:hAnsi="Garamond"/>
          <w:sz w:val="22"/>
          <w:szCs w:val="22"/>
          <w:lang w:val="en-US"/>
        </w:rPr>
        <w:t xml:space="preserve">at other exhibitions the painting was slated to be showcased at. </w:t>
      </w:r>
      <w:r w:rsidR="00693983" w:rsidRPr="00693983">
        <w:rPr>
          <w:rFonts w:ascii="Garamond" w:hAnsi="Garamond"/>
          <w:sz w:val="22"/>
          <w:szCs w:val="22"/>
          <w:lang w:val="en-US"/>
        </w:rPr>
        <w:t>Meischberger</w:t>
      </w:r>
      <w:r w:rsidR="00693983">
        <w:rPr>
          <w:rFonts w:ascii="Garamond" w:hAnsi="Garamond"/>
          <w:sz w:val="22"/>
          <w:szCs w:val="22"/>
          <w:lang w:val="en-US"/>
        </w:rPr>
        <w:t>’s action was dismissed by the Vienna Commercial Court on August 6</w:t>
      </w:r>
      <w:r w:rsidR="00A72533">
        <w:rPr>
          <w:rFonts w:ascii="Garamond" w:hAnsi="Garamond"/>
          <w:sz w:val="22"/>
          <w:szCs w:val="22"/>
          <w:lang w:val="en-US"/>
        </w:rPr>
        <w:t xml:space="preserve">, </w:t>
      </w:r>
      <w:r w:rsidR="00693983">
        <w:rPr>
          <w:rFonts w:ascii="Garamond" w:hAnsi="Garamond"/>
          <w:sz w:val="22"/>
          <w:szCs w:val="22"/>
          <w:lang w:val="en-US"/>
        </w:rPr>
        <w:t>1999</w:t>
      </w:r>
      <w:r w:rsidR="00E07E5D">
        <w:rPr>
          <w:rFonts w:ascii="Garamond" w:hAnsi="Garamond"/>
          <w:sz w:val="22"/>
          <w:szCs w:val="22"/>
          <w:lang w:val="en-US"/>
        </w:rPr>
        <w:t>. The Court reasoned that the painting was akin to a comic strip</w:t>
      </w:r>
      <w:r w:rsidR="009347B8">
        <w:rPr>
          <w:rFonts w:ascii="Garamond" w:hAnsi="Garamond"/>
          <w:sz w:val="22"/>
          <w:szCs w:val="22"/>
          <w:lang w:val="en-US"/>
        </w:rPr>
        <w:t xml:space="preserve"> and was obviously not representative of reality. It could, therefore, not be considered to have detrimentally impacted </w:t>
      </w:r>
      <w:r w:rsidR="009347B8" w:rsidRPr="009347B8">
        <w:rPr>
          <w:rFonts w:ascii="Garamond" w:hAnsi="Garamond"/>
          <w:sz w:val="22"/>
          <w:szCs w:val="22"/>
          <w:lang w:val="en-US"/>
        </w:rPr>
        <w:t>Meischberge</w:t>
      </w:r>
      <w:r w:rsidR="009347B8">
        <w:rPr>
          <w:rFonts w:ascii="Garamond" w:hAnsi="Garamond"/>
          <w:sz w:val="22"/>
          <w:szCs w:val="22"/>
          <w:lang w:val="en-US"/>
        </w:rPr>
        <w:t xml:space="preserve">r or have revealed information about his private life. The Court further reasoned that while a painting which depicted its subject in a sexual or intimate position could have a degrading effect regardless of its representation of reality, to determine whether the freedom of expression of the creator should be curtailed, a balancing of interests had to be undertaken. The Court found that in the balance between the applicant’s right to freedom of artistic expression and </w:t>
      </w:r>
      <w:r w:rsidR="009347B8" w:rsidRPr="009347B8">
        <w:rPr>
          <w:rFonts w:ascii="Garamond" w:hAnsi="Garamond"/>
          <w:sz w:val="22"/>
          <w:szCs w:val="22"/>
          <w:lang w:val="en-US"/>
        </w:rPr>
        <w:t>Meischberger</w:t>
      </w:r>
      <w:r w:rsidR="009347B8">
        <w:rPr>
          <w:rFonts w:ascii="Garamond" w:hAnsi="Garamond"/>
          <w:sz w:val="22"/>
          <w:szCs w:val="22"/>
          <w:lang w:val="en-US"/>
        </w:rPr>
        <w:t>’s personal interests, the former outweighed the latter due to the exhibition’s celebration of the “</w:t>
      </w:r>
      <w:r w:rsidR="009347B8" w:rsidRPr="009347B8">
        <w:rPr>
          <w:rFonts w:ascii="Garamond" w:hAnsi="Garamond"/>
          <w:i/>
          <w:iCs/>
          <w:sz w:val="22"/>
          <w:szCs w:val="22"/>
          <w:lang w:val="en-US"/>
        </w:rPr>
        <w:t xml:space="preserve">artistic spectrum </w:t>
      </w:r>
      <w:r w:rsidR="009347B8" w:rsidRPr="00E765A7">
        <w:rPr>
          <w:rFonts w:ascii="Garamond" w:hAnsi="Garamond"/>
          <w:sz w:val="22"/>
          <w:szCs w:val="22"/>
          <w:lang w:val="en-US"/>
        </w:rPr>
        <w:t>[of the applicant]</w:t>
      </w:r>
      <w:r w:rsidR="009347B8" w:rsidRPr="009347B8">
        <w:rPr>
          <w:rFonts w:ascii="Garamond" w:hAnsi="Garamond"/>
          <w:i/>
          <w:iCs/>
          <w:sz w:val="22"/>
          <w:szCs w:val="22"/>
          <w:lang w:val="en-US"/>
        </w:rPr>
        <w:t xml:space="preserve"> over the last hundred years</w:t>
      </w:r>
      <w:r w:rsidR="009347B8" w:rsidRPr="009347B8">
        <w:rPr>
          <w:rFonts w:ascii="Garamond" w:hAnsi="Garamond"/>
          <w:sz w:val="22"/>
          <w:szCs w:val="22"/>
          <w:lang w:val="en-US"/>
        </w:rPr>
        <w:t>”</w:t>
      </w:r>
      <w:r w:rsidR="009347B8">
        <w:rPr>
          <w:rFonts w:ascii="Garamond" w:hAnsi="Garamond"/>
          <w:sz w:val="22"/>
          <w:szCs w:val="22"/>
          <w:lang w:val="en-US"/>
        </w:rPr>
        <w:t xml:space="preserve"> [</w:t>
      </w:r>
      <w:r w:rsidR="00CE6715">
        <w:rPr>
          <w:rFonts w:ascii="Garamond" w:hAnsi="Garamond"/>
          <w:sz w:val="22"/>
          <w:szCs w:val="22"/>
          <w:lang w:val="en-US"/>
        </w:rPr>
        <w:t>pa</w:t>
      </w:r>
      <w:r w:rsidR="009347B8">
        <w:rPr>
          <w:rFonts w:ascii="Garamond" w:hAnsi="Garamond"/>
          <w:sz w:val="22"/>
          <w:szCs w:val="22"/>
          <w:lang w:val="en-US"/>
        </w:rPr>
        <w:t>ra 14]</w:t>
      </w:r>
      <w:r w:rsidR="00B36C23">
        <w:rPr>
          <w:rFonts w:ascii="Garamond" w:hAnsi="Garamond"/>
          <w:sz w:val="22"/>
          <w:szCs w:val="22"/>
          <w:lang w:val="en-US"/>
        </w:rPr>
        <w:t xml:space="preserve">, a spectrum inclusive of the works of </w:t>
      </w:r>
      <w:r w:rsidR="00B36C23" w:rsidRPr="00B36C23">
        <w:rPr>
          <w:rFonts w:ascii="Garamond" w:hAnsi="Garamond"/>
          <w:sz w:val="22"/>
          <w:szCs w:val="22"/>
          <w:lang w:val="en-US"/>
        </w:rPr>
        <w:t>Mu</w:t>
      </w:r>
      <w:r w:rsidR="00B36C23" w:rsidRPr="00B36C23">
        <w:rPr>
          <w:rFonts w:ascii="Times New Roman" w:hAnsi="Times New Roman" w:cs="Times New Roman"/>
          <w:sz w:val="22"/>
          <w:szCs w:val="22"/>
          <w:lang w:val="en-US"/>
        </w:rPr>
        <w:t>̈</w:t>
      </w:r>
      <w:r w:rsidR="00B36C23" w:rsidRPr="00B36C23">
        <w:rPr>
          <w:rFonts w:ascii="Garamond" w:hAnsi="Garamond"/>
          <w:sz w:val="22"/>
          <w:szCs w:val="22"/>
          <w:lang w:val="en-US"/>
        </w:rPr>
        <w:t>hl</w:t>
      </w:r>
      <w:r w:rsidR="00B36C23">
        <w:rPr>
          <w:rFonts w:ascii="Garamond" w:hAnsi="Garamond"/>
          <w:sz w:val="22"/>
          <w:szCs w:val="22"/>
          <w:lang w:val="en-US"/>
        </w:rPr>
        <w:t>.</w:t>
      </w:r>
      <w:r w:rsidR="00F5170B">
        <w:rPr>
          <w:rFonts w:ascii="Garamond" w:hAnsi="Garamond"/>
          <w:sz w:val="22"/>
          <w:szCs w:val="22"/>
          <w:lang w:val="en-US"/>
        </w:rPr>
        <w:t xml:space="preserve"> It was also noted </w:t>
      </w:r>
      <w:r w:rsidR="003105D0">
        <w:rPr>
          <w:rFonts w:ascii="Garamond" w:hAnsi="Garamond"/>
          <w:sz w:val="22"/>
          <w:szCs w:val="22"/>
          <w:lang w:val="en-US"/>
        </w:rPr>
        <w:t xml:space="preserve">that the painting itself was to be </w:t>
      </w:r>
      <w:r w:rsidR="003105D0" w:rsidRPr="00EB5222">
        <w:rPr>
          <w:rFonts w:ascii="Garamond" w:hAnsi="Garamond"/>
          <w:sz w:val="22"/>
          <w:szCs w:val="22"/>
          <w:lang w:val="en-US"/>
        </w:rPr>
        <w:t>understood to be a “</w:t>
      </w:r>
      <w:r w:rsidR="003105D0" w:rsidRPr="00EB5222">
        <w:rPr>
          <w:rFonts w:ascii="Garamond" w:hAnsi="Garamond"/>
          <w:i/>
          <w:iCs/>
          <w:sz w:val="22"/>
          <w:szCs w:val="22"/>
          <w:lang w:val="en-US"/>
        </w:rPr>
        <w:t>counter-attack</w:t>
      </w:r>
      <w:r w:rsidR="003105D0" w:rsidRPr="00EB5222">
        <w:rPr>
          <w:rFonts w:ascii="Garamond" w:hAnsi="Garamond"/>
          <w:sz w:val="22"/>
          <w:szCs w:val="22"/>
          <w:lang w:val="en-US"/>
        </w:rPr>
        <w:t>” [</w:t>
      </w:r>
      <w:r w:rsidR="00CE6715">
        <w:rPr>
          <w:rFonts w:ascii="Garamond" w:hAnsi="Garamond"/>
          <w:sz w:val="22"/>
          <w:szCs w:val="22"/>
          <w:lang w:val="en-US"/>
        </w:rPr>
        <w:t>p</w:t>
      </w:r>
      <w:r w:rsidR="003105D0" w:rsidRPr="00EB5222">
        <w:rPr>
          <w:rFonts w:ascii="Garamond" w:hAnsi="Garamond"/>
          <w:sz w:val="22"/>
          <w:szCs w:val="22"/>
          <w:lang w:val="en-US"/>
        </w:rPr>
        <w:t>ara 15] as it depicted several other figures who had criticized Mu</w:t>
      </w:r>
      <w:r w:rsidR="003105D0" w:rsidRPr="00EB5222">
        <w:rPr>
          <w:rFonts w:ascii="Times New Roman" w:hAnsi="Times New Roman" w:cs="Times New Roman"/>
          <w:sz w:val="22"/>
          <w:szCs w:val="22"/>
          <w:lang w:val="en-US"/>
        </w:rPr>
        <w:t>̈</w:t>
      </w:r>
      <w:r w:rsidR="003105D0" w:rsidRPr="00EB5222">
        <w:rPr>
          <w:rFonts w:ascii="Garamond" w:hAnsi="Garamond"/>
          <w:sz w:val="22"/>
          <w:szCs w:val="22"/>
          <w:lang w:val="en-US"/>
        </w:rPr>
        <w:t>hl’s wor</w:t>
      </w:r>
      <w:r w:rsidR="003105D0">
        <w:rPr>
          <w:rFonts w:ascii="Garamond" w:hAnsi="Garamond"/>
          <w:sz w:val="22"/>
          <w:szCs w:val="22"/>
          <w:lang w:val="en-US"/>
        </w:rPr>
        <w:t xml:space="preserve">k, and that the </w:t>
      </w:r>
      <w:r w:rsidR="00EB5222" w:rsidRPr="003105D0">
        <w:rPr>
          <w:rFonts w:ascii="Garamond" w:hAnsi="Garamond"/>
          <w:sz w:val="22"/>
          <w:szCs w:val="22"/>
          <w:lang w:val="en-US"/>
        </w:rPr>
        <w:t xml:space="preserve">depiction of Meischberger was only </w:t>
      </w:r>
      <w:r w:rsidR="003105D0">
        <w:rPr>
          <w:rFonts w:ascii="Garamond" w:hAnsi="Garamond"/>
          <w:sz w:val="22"/>
          <w:szCs w:val="22"/>
          <w:lang w:val="en-US"/>
        </w:rPr>
        <w:t xml:space="preserve">a small </w:t>
      </w:r>
      <w:r w:rsidR="00EB5222" w:rsidRPr="003105D0">
        <w:rPr>
          <w:rFonts w:ascii="Garamond" w:hAnsi="Garamond"/>
          <w:sz w:val="22"/>
          <w:szCs w:val="22"/>
          <w:lang w:val="en-US"/>
        </w:rPr>
        <w:t xml:space="preserve">part of </w:t>
      </w:r>
      <w:r w:rsidR="001F65EB">
        <w:rPr>
          <w:rFonts w:ascii="Garamond" w:hAnsi="Garamond"/>
          <w:sz w:val="22"/>
          <w:szCs w:val="22"/>
          <w:lang w:val="en-US"/>
        </w:rPr>
        <w:t xml:space="preserve">the painting which was not striking and </w:t>
      </w:r>
      <w:r w:rsidR="00F56957" w:rsidRPr="003105D0">
        <w:rPr>
          <w:rFonts w:ascii="Garamond" w:hAnsi="Garamond"/>
          <w:sz w:val="22"/>
          <w:szCs w:val="22"/>
          <w:lang w:val="en-US"/>
        </w:rPr>
        <w:t>that he was unrecognizable as a result of the incident of June 12</w:t>
      </w:r>
      <w:r w:rsidR="00A72533">
        <w:rPr>
          <w:rFonts w:ascii="Garamond" w:hAnsi="Garamond"/>
          <w:sz w:val="22"/>
          <w:szCs w:val="22"/>
          <w:lang w:val="en-US"/>
        </w:rPr>
        <w:t xml:space="preserve">, </w:t>
      </w:r>
      <w:r w:rsidR="00F56957" w:rsidRPr="003105D0">
        <w:rPr>
          <w:rFonts w:ascii="Garamond" w:hAnsi="Garamond"/>
          <w:sz w:val="22"/>
          <w:szCs w:val="22"/>
          <w:lang w:val="en-US"/>
        </w:rPr>
        <w:t>1998</w:t>
      </w:r>
      <w:r w:rsidR="001F65EB">
        <w:rPr>
          <w:rFonts w:ascii="Garamond" w:hAnsi="Garamond"/>
          <w:sz w:val="22"/>
          <w:szCs w:val="22"/>
          <w:lang w:val="en-US"/>
        </w:rPr>
        <w:t xml:space="preserve">. </w:t>
      </w:r>
      <w:r w:rsidR="00405253">
        <w:rPr>
          <w:rFonts w:ascii="Garamond" w:hAnsi="Garamond"/>
          <w:sz w:val="22"/>
          <w:szCs w:val="22"/>
          <w:lang w:val="en-US"/>
        </w:rPr>
        <w:t>T</w:t>
      </w:r>
      <w:r w:rsidR="000C69FB" w:rsidRPr="00405253">
        <w:rPr>
          <w:rFonts w:ascii="Garamond" w:hAnsi="Garamond"/>
          <w:sz w:val="22"/>
          <w:szCs w:val="22"/>
          <w:lang w:val="en-US"/>
        </w:rPr>
        <w:t xml:space="preserve">he Court further noted that the intention of the applicant was to close down the exhibition instead of showcasing it at other locations as planned.  </w:t>
      </w:r>
    </w:p>
    <w:p w14:paraId="69B5116F" w14:textId="626AB7C6" w:rsidR="00D456F3" w:rsidRDefault="00D456F3" w:rsidP="00293EFC">
      <w:pPr>
        <w:pStyle w:val="ListParagraph"/>
        <w:spacing w:line="276" w:lineRule="auto"/>
        <w:ind w:left="360"/>
        <w:jc w:val="both"/>
        <w:rPr>
          <w:rFonts w:ascii="Garamond" w:hAnsi="Garamond"/>
          <w:sz w:val="22"/>
          <w:szCs w:val="22"/>
          <w:lang w:val="en-US"/>
        </w:rPr>
      </w:pPr>
    </w:p>
    <w:p w14:paraId="331908B6" w14:textId="5308ECDC" w:rsidR="00D456F3" w:rsidRDefault="003C18C6" w:rsidP="00293EFC">
      <w:pPr>
        <w:pStyle w:val="ListParagraph"/>
        <w:spacing w:line="276" w:lineRule="auto"/>
        <w:ind w:left="360"/>
        <w:jc w:val="both"/>
        <w:rPr>
          <w:rFonts w:ascii="Garamond" w:hAnsi="Garamond"/>
          <w:sz w:val="22"/>
          <w:szCs w:val="22"/>
          <w:lang w:val="en-US"/>
        </w:rPr>
      </w:pPr>
      <w:r>
        <w:rPr>
          <w:rFonts w:ascii="Garamond" w:hAnsi="Garamond"/>
          <w:sz w:val="22"/>
          <w:szCs w:val="22"/>
          <w:lang w:val="en-US"/>
        </w:rPr>
        <w:t xml:space="preserve">The Vienna Court of Appeal granted an appeal filed by </w:t>
      </w:r>
      <w:r w:rsidRPr="003C18C6">
        <w:rPr>
          <w:rFonts w:ascii="Garamond" w:hAnsi="Garamond"/>
          <w:sz w:val="22"/>
          <w:szCs w:val="22"/>
          <w:lang w:val="en-US"/>
        </w:rPr>
        <w:t>Meischberger</w:t>
      </w:r>
      <w:r>
        <w:rPr>
          <w:rFonts w:ascii="Garamond" w:hAnsi="Garamond"/>
          <w:sz w:val="22"/>
          <w:szCs w:val="22"/>
          <w:lang w:val="en-US"/>
        </w:rPr>
        <w:t xml:space="preserve"> on points of law as well as fact on February 24</w:t>
      </w:r>
      <w:r w:rsidR="007F4C83">
        <w:rPr>
          <w:rFonts w:ascii="Garamond" w:hAnsi="Garamond"/>
          <w:sz w:val="22"/>
          <w:szCs w:val="22"/>
          <w:lang w:val="en-US"/>
        </w:rPr>
        <w:t xml:space="preserve">, </w:t>
      </w:r>
      <w:r>
        <w:rPr>
          <w:rFonts w:ascii="Garamond" w:hAnsi="Garamond"/>
          <w:sz w:val="22"/>
          <w:szCs w:val="22"/>
          <w:lang w:val="en-US"/>
        </w:rPr>
        <w:t xml:space="preserve">2000. </w:t>
      </w:r>
      <w:r w:rsidR="00255EF4">
        <w:rPr>
          <w:rFonts w:ascii="Garamond" w:hAnsi="Garamond"/>
          <w:sz w:val="22"/>
          <w:szCs w:val="22"/>
          <w:lang w:val="en-US"/>
        </w:rPr>
        <w:t xml:space="preserve">The Court issued an injunction in favour of </w:t>
      </w:r>
      <w:r w:rsidR="00255EF4" w:rsidRPr="00255EF4">
        <w:rPr>
          <w:rFonts w:ascii="Garamond" w:hAnsi="Garamond"/>
          <w:sz w:val="22"/>
          <w:szCs w:val="22"/>
          <w:lang w:val="en-US"/>
        </w:rPr>
        <w:t>Meischberge</w:t>
      </w:r>
      <w:r w:rsidR="00F83685">
        <w:rPr>
          <w:rFonts w:ascii="Garamond" w:hAnsi="Garamond"/>
          <w:sz w:val="22"/>
          <w:szCs w:val="22"/>
          <w:lang w:val="en-US"/>
        </w:rPr>
        <w:t xml:space="preserve">r, </w:t>
      </w:r>
      <w:r w:rsidR="0046742D">
        <w:rPr>
          <w:rFonts w:ascii="Garamond" w:hAnsi="Garamond"/>
          <w:sz w:val="22"/>
          <w:szCs w:val="22"/>
          <w:lang w:val="en-US"/>
        </w:rPr>
        <w:t>and also ordered the applicant to pay him legal costs and 20,000 ATS with 4% interest (</w:t>
      </w:r>
      <w:proofErr w:type="spellStart"/>
      <w:r w:rsidR="0046742D">
        <w:rPr>
          <w:rFonts w:ascii="Garamond" w:hAnsi="Garamond"/>
          <w:sz w:val="22"/>
          <w:szCs w:val="22"/>
          <w:lang w:val="en-US"/>
        </w:rPr>
        <w:t>w.e.f</w:t>
      </w:r>
      <w:proofErr w:type="spellEnd"/>
      <w:r w:rsidR="0046742D">
        <w:rPr>
          <w:rFonts w:ascii="Garamond" w:hAnsi="Garamond"/>
          <w:sz w:val="22"/>
          <w:szCs w:val="22"/>
          <w:lang w:val="en-US"/>
        </w:rPr>
        <w:t xml:space="preserve"> July 8</w:t>
      </w:r>
      <w:r w:rsidR="007F4C83">
        <w:rPr>
          <w:rFonts w:ascii="Garamond" w:hAnsi="Garamond"/>
          <w:sz w:val="22"/>
          <w:szCs w:val="22"/>
          <w:lang w:val="en-US"/>
        </w:rPr>
        <w:t xml:space="preserve">, </w:t>
      </w:r>
      <w:r w:rsidR="0046742D">
        <w:rPr>
          <w:rFonts w:ascii="Garamond" w:hAnsi="Garamond"/>
          <w:sz w:val="22"/>
          <w:szCs w:val="22"/>
          <w:lang w:val="en-US"/>
        </w:rPr>
        <w:t>1998) as compensation.</w:t>
      </w:r>
      <w:r w:rsidR="00242A7A">
        <w:rPr>
          <w:rFonts w:ascii="Garamond" w:hAnsi="Garamond"/>
          <w:sz w:val="22"/>
          <w:szCs w:val="22"/>
          <w:lang w:val="en-US"/>
        </w:rPr>
        <w:t xml:space="preserve"> </w:t>
      </w:r>
      <w:r w:rsidR="000F4727">
        <w:rPr>
          <w:rFonts w:ascii="Garamond" w:hAnsi="Garamond"/>
          <w:sz w:val="22"/>
          <w:szCs w:val="22"/>
          <w:lang w:val="en-US"/>
        </w:rPr>
        <w:t xml:space="preserve">The Court also permitted </w:t>
      </w:r>
      <w:r w:rsidR="000F4727" w:rsidRPr="009A0005">
        <w:rPr>
          <w:rFonts w:ascii="Garamond" w:hAnsi="Garamond"/>
          <w:sz w:val="22"/>
          <w:szCs w:val="22"/>
          <w:lang w:val="en-US"/>
        </w:rPr>
        <w:t>Meischberger</w:t>
      </w:r>
      <w:r w:rsidR="000F4727">
        <w:rPr>
          <w:rFonts w:ascii="Garamond" w:hAnsi="Garamond"/>
          <w:sz w:val="22"/>
          <w:szCs w:val="22"/>
          <w:lang w:val="en-US"/>
        </w:rPr>
        <w:t xml:space="preserve"> to publish extracts of the judgment in two Austrian newspapers. </w:t>
      </w:r>
      <w:r w:rsidR="00242A7A">
        <w:rPr>
          <w:rFonts w:ascii="Garamond" w:hAnsi="Garamond"/>
          <w:sz w:val="22"/>
          <w:szCs w:val="22"/>
          <w:lang w:val="en-US"/>
        </w:rPr>
        <w:t xml:space="preserve">The Court reasoned that it would have to conclude that the limits of artistic freedom had </w:t>
      </w:r>
      <w:r w:rsidR="00E307C8">
        <w:rPr>
          <w:rFonts w:ascii="Garamond" w:hAnsi="Garamond"/>
          <w:sz w:val="22"/>
          <w:szCs w:val="22"/>
          <w:lang w:val="en-US"/>
        </w:rPr>
        <w:t xml:space="preserve">been exceeded in cases where it was unclear whether the painting was aimed at being satirical or exaggerated. Applying this measure, the Court concluded that the painting by </w:t>
      </w:r>
      <w:r w:rsidR="00E307C8" w:rsidRPr="00E307C8">
        <w:rPr>
          <w:rFonts w:ascii="Garamond" w:hAnsi="Garamond"/>
          <w:sz w:val="22"/>
          <w:szCs w:val="22"/>
          <w:lang w:val="en-US"/>
        </w:rPr>
        <w:t>Mu</w:t>
      </w:r>
      <w:r w:rsidR="00E307C8" w:rsidRPr="00E307C8">
        <w:rPr>
          <w:rFonts w:ascii="Times New Roman" w:hAnsi="Times New Roman" w:cs="Times New Roman"/>
          <w:sz w:val="22"/>
          <w:szCs w:val="22"/>
          <w:lang w:val="en-US"/>
        </w:rPr>
        <w:t>̈</w:t>
      </w:r>
      <w:r w:rsidR="00E307C8" w:rsidRPr="00E307C8">
        <w:rPr>
          <w:rFonts w:ascii="Garamond" w:hAnsi="Garamond"/>
          <w:sz w:val="22"/>
          <w:szCs w:val="22"/>
          <w:lang w:val="en-US"/>
        </w:rPr>
        <w:t>hl</w:t>
      </w:r>
      <w:r w:rsidR="00E307C8">
        <w:rPr>
          <w:rFonts w:ascii="Garamond" w:hAnsi="Garamond"/>
          <w:sz w:val="22"/>
          <w:szCs w:val="22"/>
          <w:lang w:val="en-US"/>
        </w:rPr>
        <w:t xml:space="preserve"> </w:t>
      </w:r>
      <w:r w:rsidR="00083A7B">
        <w:rPr>
          <w:rFonts w:ascii="Garamond" w:hAnsi="Garamond"/>
          <w:sz w:val="22"/>
          <w:szCs w:val="22"/>
          <w:lang w:val="en-US"/>
        </w:rPr>
        <w:t>was not covered by the scope of Article 10</w:t>
      </w:r>
      <w:r w:rsidR="00EE41ED">
        <w:rPr>
          <w:rFonts w:ascii="Garamond" w:hAnsi="Garamond"/>
          <w:sz w:val="22"/>
          <w:szCs w:val="22"/>
          <w:lang w:val="en-US"/>
        </w:rPr>
        <w:t xml:space="preserve"> as it </w:t>
      </w:r>
      <w:r w:rsidR="00E307C8">
        <w:rPr>
          <w:rFonts w:ascii="Garamond" w:hAnsi="Garamond"/>
          <w:sz w:val="22"/>
          <w:szCs w:val="22"/>
          <w:lang w:val="en-US"/>
        </w:rPr>
        <w:t>was “</w:t>
      </w:r>
      <w:r w:rsidR="00E307C8" w:rsidRPr="00621FF7">
        <w:rPr>
          <w:rFonts w:ascii="Garamond" w:hAnsi="Garamond"/>
          <w:i/>
          <w:iCs/>
          <w:sz w:val="22"/>
          <w:szCs w:val="22"/>
          <w:lang w:val="en-US"/>
        </w:rPr>
        <w:t>not intended to be a parable or even an exaggerated criticism conveying a basic message</w:t>
      </w:r>
      <w:r w:rsidR="00E307C8">
        <w:rPr>
          <w:rFonts w:ascii="Garamond" w:hAnsi="Garamond"/>
          <w:sz w:val="22"/>
          <w:szCs w:val="22"/>
          <w:lang w:val="en-US"/>
        </w:rPr>
        <w:t xml:space="preserve">” </w:t>
      </w:r>
      <w:r w:rsidR="00246243">
        <w:rPr>
          <w:rFonts w:ascii="Garamond" w:hAnsi="Garamond"/>
          <w:sz w:val="22"/>
          <w:szCs w:val="22"/>
          <w:lang w:val="en-US"/>
        </w:rPr>
        <w:t>[</w:t>
      </w:r>
      <w:r w:rsidR="00CE6715">
        <w:rPr>
          <w:rFonts w:ascii="Garamond" w:hAnsi="Garamond"/>
          <w:sz w:val="22"/>
          <w:szCs w:val="22"/>
          <w:lang w:val="en-US"/>
        </w:rPr>
        <w:t>p</w:t>
      </w:r>
      <w:r w:rsidR="00246243">
        <w:rPr>
          <w:rFonts w:ascii="Garamond" w:hAnsi="Garamond"/>
          <w:sz w:val="22"/>
          <w:szCs w:val="22"/>
          <w:lang w:val="en-US"/>
        </w:rPr>
        <w:t>ara 16</w:t>
      </w:r>
      <w:r w:rsidR="0074696F">
        <w:rPr>
          <w:rFonts w:ascii="Garamond" w:hAnsi="Garamond"/>
          <w:sz w:val="22"/>
          <w:szCs w:val="22"/>
          <w:lang w:val="en-US"/>
        </w:rPr>
        <w:t>]</w:t>
      </w:r>
      <w:r w:rsidR="003E461F">
        <w:rPr>
          <w:rFonts w:ascii="Garamond" w:hAnsi="Garamond"/>
          <w:sz w:val="22"/>
          <w:szCs w:val="22"/>
          <w:lang w:val="en-US"/>
        </w:rPr>
        <w:t xml:space="preserve">. The Court observed that </w:t>
      </w:r>
      <w:r w:rsidR="003E461F" w:rsidRPr="009A0005">
        <w:rPr>
          <w:rFonts w:ascii="Garamond" w:hAnsi="Garamond"/>
          <w:sz w:val="22"/>
          <w:szCs w:val="22"/>
          <w:lang w:val="en-US"/>
        </w:rPr>
        <w:t>Meischberger</w:t>
      </w:r>
      <w:r w:rsidR="003E461F">
        <w:rPr>
          <w:rFonts w:ascii="Garamond" w:hAnsi="Garamond"/>
          <w:sz w:val="22"/>
          <w:szCs w:val="22"/>
          <w:lang w:val="en-US"/>
        </w:rPr>
        <w:t>’s depiction was only partially marred by the red paint, as a result of which he was still recognizable, and that this depiction debased his public image and standing.</w:t>
      </w:r>
      <w:r w:rsidR="000F4727">
        <w:rPr>
          <w:rFonts w:ascii="Garamond" w:hAnsi="Garamond"/>
          <w:sz w:val="22"/>
          <w:szCs w:val="22"/>
          <w:lang w:val="en-US"/>
        </w:rPr>
        <w:t xml:space="preserve"> </w:t>
      </w:r>
      <w:r w:rsidR="00EE41ED" w:rsidRPr="000F4727">
        <w:rPr>
          <w:rFonts w:ascii="Garamond" w:hAnsi="Garamond"/>
          <w:sz w:val="22"/>
          <w:szCs w:val="22"/>
          <w:lang w:val="en-US"/>
        </w:rPr>
        <w:t>The Court went on to add that its exhibition could not also be justified under Article 17a of the Basic Law (</w:t>
      </w:r>
      <w:proofErr w:type="spellStart"/>
      <w:r w:rsidR="00EE41ED" w:rsidRPr="000F4727">
        <w:rPr>
          <w:rFonts w:ascii="Garamond" w:hAnsi="Garamond"/>
          <w:i/>
          <w:iCs/>
          <w:sz w:val="22"/>
          <w:szCs w:val="22"/>
          <w:lang w:val="en-US"/>
        </w:rPr>
        <w:t>Staatsgrundsgesetz</w:t>
      </w:r>
      <w:proofErr w:type="spellEnd"/>
      <w:r w:rsidR="00EE41ED" w:rsidRPr="000F4727">
        <w:rPr>
          <w:rFonts w:ascii="Garamond" w:hAnsi="Garamond"/>
          <w:sz w:val="22"/>
          <w:szCs w:val="22"/>
          <w:lang w:val="en-US"/>
        </w:rPr>
        <w:t>)</w:t>
      </w:r>
      <w:r w:rsidR="00D71275" w:rsidRPr="000F4727">
        <w:rPr>
          <w:rFonts w:ascii="Garamond" w:hAnsi="Garamond"/>
          <w:sz w:val="22"/>
          <w:szCs w:val="22"/>
          <w:lang w:val="en-US"/>
        </w:rPr>
        <w:t xml:space="preserve"> protecting artistic freedom, and that in the absence of an injunction there would be a risk of recurrence. </w:t>
      </w:r>
      <w:r w:rsidR="00EF23DD">
        <w:rPr>
          <w:rFonts w:ascii="Garamond" w:hAnsi="Garamond"/>
          <w:sz w:val="22"/>
          <w:szCs w:val="22"/>
          <w:lang w:val="en-US"/>
        </w:rPr>
        <w:t>An appeal subsequently filed by the applicant before the Supreme Court was rejected on July 18</w:t>
      </w:r>
      <w:r w:rsidR="007F4C83">
        <w:rPr>
          <w:rFonts w:ascii="Garamond" w:hAnsi="Garamond"/>
          <w:sz w:val="22"/>
          <w:szCs w:val="22"/>
          <w:lang w:val="en-US"/>
        </w:rPr>
        <w:t xml:space="preserve">, </w:t>
      </w:r>
      <w:r w:rsidR="00EF23DD">
        <w:rPr>
          <w:rFonts w:ascii="Garamond" w:hAnsi="Garamond"/>
          <w:sz w:val="22"/>
          <w:szCs w:val="22"/>
          <w:lang w:val="en-US"/>
        </w:rPr>
        <w:t xml:space="preserve">2000 on the grounds that the claim did not pertain to a legal question of considerable interest. </w:t>
      </w:r>
      <w:r w:rsidR="00286D0D">
        <w:rPr>
          <w:rFonts w:ascii="Garamond" w:hAnsi="Garamond"/>
          <w:sz w:val="22"/>
          <w:szCs w:val="22"/>
          <w:lang w:val="en-US"/>
        </w:rPr>
        <w:t xml:space="preserve">The Court observed that the Court of Appeal had not negated that the painting was covered by Article 17a of the Basic Law, but rather considered </w:t>
      </w:r>
      <w:r w:rsidR="00286D0D" w:rsidRPr="00286D0D">
        <w:rPr>
          <w:rFonts w:ascii="Garamond" w:hAnsi="Garamond"/>
          <w:sz w:val="22"/>
          <w:szCs w:val="22"/>
          <w:lang w:val="en-US"/>
        </w:rPr>
        <w:t>Meischberger</w:t>
      </w:r>
      <w:r w:rsidR="00286D0D">
        <w:rPr>
          <w:rFonts w:ascii="Garamond" w:hAnsi="Garamond"/>
          <w:sz w:val="22"/>
          <w:szCs w:val="22"/>
          <w:lang w:val="en-US"/>
        </w:rPr>
        <w:t xml:space="preserve">’s personal interests to outweigh the applicant’s artistic freedom due to the degrading nature of the depiction. </w:t>
      </w:r>
      <w:r w:rsidR="00662E84">
        <w:rPr>
          <w:rFonts w:ascii="Garamond" w:hAnsi="Garamond"/>
          <w:sz w:val="22"/>
          <w:szCs w:val="22"/>
          <w:lang w:val="en-US"/>
        </w:rPr>
        <w:t xml:space="preserve">The Court added that there was no requirement for intervention and rectification as the Court of Appeal had not taken a stance contradictory to the documents in the court file with regards to the question about the recognizability of </w:t>
      </w:r>
      <w:r w:rsidR="00662E84" w:rsidRPr="00662E84">
        <w:rPr>
          <w:rFonts w:ascii="Garamond" w:hAnsi="Garamond"/>
          <w:sz w:val="22"/>
          <w:szCs w:val="22"/>
          <w:lang w:val="en-US"/>
        </w:rPr>
        <w:t>Meischberger</w:t>
      </w:r>
      <w:r w:rsidR="00662E84">
        <w:rPr>
          <w:rFonts w:ascii="Garamond" w:hAnsi="Garamond"/>
          <w:sz w:val="22"/>
          <w:szCs w:val="22"/>
          <w:lang w:val="en-US"/>
        </w:rPr>
        <w:t xml:space="preserve">. </w:t>
      </w:r>
    </w:p>
    <w:p w14:paraId="024117B4" w14:textId="163713DC" w:rsidR="00BE7CA7" w:rsidRDefault="00BE7CA7" w:rsidP="00293EFC">
      <w:pPr>
        <w:pStyle w:val="ListParagraph"/>
        <w:spacing w:line="276" w:lineRule="auto"/>
        <w:ind w:left="360"/>
        <w:jc w:val="both"/>
        <w:rPr>
          <w:rFonts w:ascii="Garamond" w:hAnsi="Garamond"/>
          <w:sz w:val="22"/>
          <w:szCs w:val="22"/>
          <w:lang w:val="en-US"/>
        </w:rPr>
      </w:pPr>
    </w:p>
    <w:p w14:paraId="5A018CA1" w14:textId="2ADBFEC5" w:rsidR="00BE7CA7" w:rsidRDefault="00BE7CA7" w:rsidP="00293EFC">
      <w:pPr>
        <w:pStyle w:val="ListParagraph"/>
        <w:spacing w:line="276" w:lineRule="auto"/>
        <w:ind w:left="360"/>
        <w:jc w:val="both"/>
        <w:rPr>
          <w:rFonts w:ascii="Garamond" w:hAnsi="Garamond"/>
          <w:sz w:val="22"/>
          <w:szCs w:val="22"/>
          <w:lang w:val="en-US"/>
        </w:rPr>
      </w:pPr>
      <w:r>
        <w:rPr>
          <w:rFonts w:ascii="Garamond" w:hAnsi="Garamond"/>
          <w:sz w:val="22"/>
          <w:szCs w:val="22"/>
          <w:lang w:val="en-US"/>
        </w:rPr>
        <w:t>On March 12</w:t>
      </w:r>
      <w:r w:rsidR="002C454F">
        <w:rPr>
          <w:rFonts w:ascii="Garamond" w:hAnsi="Garamond"/>
          <w:sz w:val="22"/>
          <w:szCs w:val="22"/>
          <w:lang w:val="en-US"/>
        </w:rPr>
        <w:t xml:space="preserve">, </w:t>
      </w:r>
      <w:r>
        <w:rPr>
          <w:rFonts w:ascii="Garamond" w:hAnsi="Garamond"/>
          <w:sz w:val="22"/>
          <w:szCs w:val="22"/>
          <w:lang w:val="en-US"/>
        </w:rPr>
        <w:t xml:space="preserve">2001, the applicant </w:t>
      </w:r>
      <w:r w:rsidR="003A6DBD">
        <w:rPr>
          <w:rFonts w:ascii="Garamond" w:hAnsi="Garamond"/>
          <w:sz w:val="22"/>
          <w:szCs w:val="22"/>
          <w:lang w:val="en-US"/>
        </w:rPr>
        <w:t>lodged</w:t>
      </w:r>
      <w:r>
        <w:rPr>
          <w:rFonts w:ascii="Garamond" w:hAnsi="Garamond"/>
          <w:sz w:val="22"/>
          <w:szCs w:val="22"/>
          <w:lang w:val="en-US"/>
        </w:rPr>
        <w:t xml:space="preserve"> an </w:t>
      </w:r>
      <w:r w:rsidR="003A6DBD">
        <w:rPr>
          <w:rFonts w:ascii="Garamond" w:hAnsi="Garamond"/>
          <w:sz w:val="22"/>
          <w:szCs w:val="22"/>
          <w:lang w:val="en-US"/>
        </w:rPr>
        <w:t xml:space="preserve">application before the ECtHR against </w:t>
      </w:r>
      <w:r w:rsidR="003A6DBD" w:rsidRPr="00D1664A">
        <w:rPr>
          <w:rFonts w:ascii="Garamond" w:hAnsi="Garamond"/>
          <w:sz w:val="22"/>
          <w:szCs w:val="22"/>
          <w:lang w:val="en-US"/>
        </w:rPr>
        <w:t>the Republic of Austria</w:t>
      </w:r>
      <w:r w:rsidR="000B1B03">
        <w:rPr>
          <w:rFonts w:ascii="Garamond" w:hAnsi="Garamond"/>
          <w:sz w:val="22"/>
          <w:szCs w:val="22"/>
          <w:lang w:val="en-US"/>
        </w:rPr>
        <w:t xml:space="preserve"> (the “defendant”)</w:t>
      </w:r>
      <w:r w:rsidR="00CD6FE3">
        <w:rPr>
          <w:rFonts w:ascii="Garamond" w:hAnsi="Garamond"/>
          <w:sz w:val="22"/>
          <w:szCs w:val="22"/>
          <w:lang w:val="en-US"/>
        </w:rPr>
        <w:t xml:space="preserve">, alleging that the decision of the Austrian domestic courts to forbid exhibition of the painting had resulted in a breach of their right to freedom of expression under Article 10 of </w:t>
      </w:r>
      <w:r w:rsidR="00803E19">
        <w:rPr>
          <w:rFonts w:ascii="Garamond" w:hAnsi="Garamond"/>
          <w:sz w:val="22"/>
          <w:szCs w:val="22"/>
          <w:lang w:val="en-US"/>
        </w:rPr>
        <w:t>the Convention.</w:t>
      </w:r>
    </w:p>
    <w:p w14:paraId="5AC35CA1" w14:textId="13C562A9" w:rsidR="00CD6FE3" w:rsidRDefault="00CD6FE3" w:rsidP="00293EFC">
      <w:pPr>
        <w:pStyle w:val="ListParagraph"/>
        <w:spacing w:line="276" w:lineRule="auto"/>
        <w:ind w:left="360"/>
        <w:jc w:val="both"/>
        <w:rPr>
          <w:rFonts w:ascii="Garamond" w:hAnsi="Garamond"/>
          <w:sz w:val="22"/>
          <w:szCs w:val="22"/>
          <w:lang w:val="en-US"/>
        </w:rPr>
      </w:pPr>
    </w:p>
    <w:p w14:paraId="3931BDEB" w14:textId="7A5DED1A" w:rsidR="00F479C4" w:rsidRPr="00BE6EE8" w:rsidRDefault="00F479C4" w:rsidP="00293EFC">
      <w:pPr>
        <w:pStyle w:val="ListParagraph"/>
        <w:numPr>
          <w:ilvl w:val="0"/>
          <w:numId w:val="4"/>
        </w:numPr>
        <w:spacing w:line="276" w:lineRule="auto"/>
        <w:jc w:val="both"/>
        <w:rPr>
          <w:rFonts w:ascii="Garamond" w:hAnsi="Garamond"/>
          <w:sz w:val="22"/>
          <w:szCs w:val="22"/>
          <w:lang w:val="en-US"/>
        </w:rPr>
      </w:pPr>
      <w:r w:rsidRPr="00BE6EE8">
        <w:rPr>
          <w:rFonts w:ascii="Garamond" w:hAnsi="Garamond"/>
          <w:b/>
          <w:bCs/>
          <w:sz w:val="22"/>
          <w:szCs w:val="22"/>
          <w:lang w:val="en-US"/>
        </w:rPr>
        <w:t>Decision Overview</w:t>
      </w:r>
      <w:r w:rsidRPr="00BE6EE8">
        <w:rPr>
          <w:rFonts w:ascii="Garamond" w:hAnsi="Garamond"/>
          <w:sz w:val="22"/>
          <w:szCs w:val="22"/>
          <w:lang w:val="en-US"/>
        </w:rPr>
        <w:t xml:space="preserve">: </w:t>
      </w:r>
    </w:p>
    <w:p w14:paraId="6A905914" w14:textId="16A4FFF1" w:rsidR="00F63B60" w:rsidRDefault="00617413" w:rsidP="00293EFC">
      <w:pPr>
        <w:pStyle w:val="ListParagraph"/>
        <w:spacing w:line="276" w:lineRule="auto"/>
        <w:ind w:left="360"/>
        <w:jc w:val="both"/>
        <w:rPr>
          <w:rFonts w:ascii="Garamond" w:hAnsi="Garamond"/>
          <w:sz w:val="22"/>
          <w:szCs w:val="22"/>
          <w:lang w:val="en-US"/>
        </w:rPr>
      </w:pPr>
      <w:r w:rsidRPr="00617413">
        <w:rPr>
          <w:rFonts w:ascii="Garamond" w:hAnsi="Garamond"/>
          <w:sz w:val="22"/>
          <w:szCs w:val="22"/>
          <w:lang w:val="en-US"/>
        </w:rPr>
        <w:t>O</w:t>
      </w:r>
      <w:r>
        <w:rPr>
          <w:rFonts w:ascii="Garamond" w:hAnsi="Garamond"/>
          <w:sz w:val="22"/>
          <w:szCs w:val="22"/>
          <w:lang w:val="en-US"/>
        </w:rPr>
        <w:t>n April 25, 2007 the Court held, by four votes to three, that the applicant’s right to freedom of expression under Article 10 of the Convention had been violated.</w:t>
      </w:r>
    </w:p>
    <w:p w14:paraId="52FB7D8B" w14:textId="150C11CB" w:rsidR="00E22322" w:rsidRDefault="00E22322" w:rsidP="00293EFC">
      <w:pPr>
        <w:pStyle w:val="ListParagraph"/>
        <w:spacing w:line="276" w:lineRule="auto"/>
        <w:ind w:left="360"/>
        <w:jc w:val="both"/>
        <w:rPr>
          <w:rFonts w:ascii="Garamond" w:hAnsi="Garamond"/>
          <w:sz w:val="22"/>
          <w:szCs w:val="22"/>
          <w:lang w:val="en-US"/>
        </w:rPr>
      </w:pPr>
    </w:p>
    <w:p w14:paraId="0B13597D" w14:textId="509BE7AD" w:rsidR="00E22322" w:rsidRPr="00E22322" w:rsidRDefault="00E22322" w:rsidP="00293EFC">
      <w:pPr>
        <w:pStyle w:val="ListParagraph"/>
        <w:spacing w:line="276" w:lineRule="auto"/>
        <w:ind w:left="360"/>
        <w:jc w:val="both"/>
        <w:rPr>
          <w:rFonts w:ascii="Garamond" w:hAnsi="Garamond"/>
          <w:sz w:val="22"/>
          <w:szCs w:val="22"/>
          <w:lang w:val="en-US"/>
        </w:rPr>
      </w:pPr>
      <w:r>
        <w:rPr>
          <w:rFonts w:ascii="Garamond" w:hAnsi="Garamond"/>
          <w:i/>
          <w:iCs/>
          <w:sz w:val="22"/>
          <w:szCs w:val="22"/>
          <w:lang w:val="en-US"/>
        </w:rPr>
        <w:t>Parties’ Submissions</w:t>
      </w:r>
    </w:p>
    <w:p w14:paraId="7C30E639" w14:textId="7AFD184F" w:rsidR="0087539C" w:rsidRDefault="0087539C" w:rsidP="00293EFC">
      <w:pPr>
        <w:pStyle w:val="ListParagraph"/>
        <w:spacing w:line="276" w:lineRule="auto"/>
        <w:ind w:left="360"/>
        <w:jc w:val="both"/>
        <w:rPr>
          <w:rFonts w:ascii="Garamond" w:hAnsi="Garamond"/>
          <w:sz w:val="22"/>
          <w:szCs w:val="22"/>
          <w:lang w:val="en-US"/>
        </w:rPr>
      </w:pPr>
    </w:p>
    <w:p w14:paraId="0470921D" w14:textId="6D7F7540" w:rsidR="00BE6787" w:rsidRDefault="00CA6A28" w:rsidP="00293EFC">
      <w:pPr>
        <w:pStyle w:val="ListParagraph"/>
        <w:spacing w:line="276" w:lineRule="auto"/>
        <w:ind w:left="360"/>
        <w:jc w:val="both"/>
        <w:rPr>
          <w:rFonts w:ascii="Garamond" w:hAnsi="Garamond"/>
          <w:sz w:val="22"/>
          <w:szCs w:val="22"/>
          <w:lang w:val="en-US"/>
        </w:rPr>
      </w:pPr>
      <w:r>
        <w:rPr>
          <w:rFonts w:ascii="Garamond" w:hAnsi="Garamond"/>
          <w:sz w:val="22"/>
          <w:szCs w:val="22"/>
          <w:lang w:val="en-US"/>
        </w:rPr>
        <w:lastRenderedPageBreak/>
        <w:t xml:space="preserve">The applicant </w:t>
      </w:r>
      <w:r w:rsidR="003B3FD4">
        <w:rPr>
          <w:rFonts w:ascii="Garamond" w:hAnsi="Garamond"/>
          <w:sz w:val="22"/>
          <w:szCs w:val="22"/>
          <w:lang w:val="en-US"/>
        </w:rPr>
        <w:t xml:space="preserve">submitted that while the interference with the applicant’s right to freedom of expression was prescribed by the law, it had neither been necessary nor proportionate. </w:t>
      </w:r>
      <w:r w:rsidR="00BE6787">
        <w:rPr>
          <w:rFonts w:ascii="Garamond" w:hAnsi="Garamond"/>
          <w:sz w:val="22"/>
          <w:szCs w:val="22"/>
          <w:lang w:val="en-US"/>
        </w:rPr>
        <w:t xml:space="preserve">In pursuance of this contention, the applicant submitted that while the Austrian domestic courts had </w:t>
      </w:r>
      <w:r w:rsidR="00774D6A">
        <w:rPr>
          <w:rFonts w:ascii="Garamond" w:hAnsi="Garamond"/>
          <w:sz w:val="22"/>
          <w:szCs w:val="22"/>
          <w:lang w:val="en-US"/>
        </w:rPr>
        <w:t xml:space="preserve">decided that </w:t>
      </w:r>
      <w:r w:rsidR="00774D6A" w:rsidRPr="00774D6A">
        <w:rPr>
          <w:rFonts w:ascii="Garamond" w:hAnsi="Garamond"/>
          <w:sz w:val="22"/>
          <w:szCs w:val="22"/>
          <w:lang w:val="en-US"/>
        </w:rPr>
        <w:t>Meischberger</w:t>
      </w:r>
      <w:r w:rsidR="00774D6A">
        <w:rPr>
          <w:rFonts w:ascii="Garamond" w:hAnsi="Garamond"/>
          <w:sz w:val="22"/>
          <w:szCs w:val="22"/>
          <w:lang w:val="en-US"/>
        </w:rPr>
        <w:t xml:space="preserve">’s personal interests were to prevail and be protected pursuant to Section 78 of the Copyright Act, no claim to any such personal interest worth protecting could be established. </w:t>
      </w:r>
      <w:r w:rsidR="003B3FD4" w:rsidRPr="005074CF">
        <w:rPr>
          <w:rFonts w:ascii="Garamond" w:hAnsi="Garamond"/>
          <w:sz w:val="22"/>
          <w:szCs w:val="22"/>
          <w:lang w:val="en-US"/>
        </w:rPr>
        <w:t xml:space="preserve">The applicant </w:t>
      </w:r>
      <w:r w:rsidR="00770537">
        <w:rPr>
          <w:rFonts w:ascii="Garamond" w:hAnsi="Garamond"/>
          <w:sz w:val="22"/>
          <w:szCs w:val="22"/>
          <w:lang w:val="en-US"/>
        </w:rPr>
        <w:t>substantiated this submission by arguing</w:t>
      </w:r>
      <w:r w:rsidR="003B3FD4" w:rsidRPr="005074CF">
        <w:rPr>
          <w:rFonts w:ascii="Garamond" w:hAnsi="Garamond"/>
          <w:sz w:val="22"/>
          <w:szCs w:val="22"/>
          <w:lang w:val="en-US"/>
        </w:rPr>
        <w:t xml:space="preserve"> that the painting was not</w:t>
      </w:r>
      <w:r w:rsidR="00851DC7" w:rsidRPr="005074CF">
        <w:rPr>
          <w:rFonts w:ascii="Garamond" w:hAnsi="Garamond"/>
          <w:sz w:val="22"/>
          <w:szCs w:val="22"/>
          <w:lang w:val="en-US"/>
        </w:rPr>
        <w:t xml:space="preserve"> a factual representation of Meischberger’s actual conduct</w:t>
      </w:r>
      <w:r w:rsidR="009168F2" w:rsidRPr="005074CF">
        <w:rPr>
          <w:rFonts w:ascii="Garamond" w:hAnsi="Garamond"/>
          <w:sz w:val="22"/>
          <w:szCs w:val="22"/>
          <w:lang w:val="en-US"/>
        </w:rPr>
        <w:t>, nor did it state or suggest so</w:t>
      </w:r>
      <w:r w:rsidR="00722479" w:rsidRPr="005074CF">
        <w:rPr>
          <w:rFonts w:ascii="Garamond" w:hAnsi="Garamond"/>
          <w:sz w:val="22"/>
          <w:szCs w:val="22"/>
          <w:lang w:val="en-US"/>
        </w:rPr>
        <w:t>. Rather, the painting was an allegorical representation of Mu</w:t>
      </w:r>
      <w:r w:rsidR="00722479" w:rsidRPr="005074CF">
        <w:rPr>
          <w:rFonts w:ascii="Times New Roman" w:hAnsi="Times New Roman" w:cs="Times New Roman"/>
          <w:sz w:val="22"/>
          <w:szCs w:val="22"/>
          <w:lang w:val="en-US"/>
        </w:rPr>
        <w:t>̈</w:t>
      </w:r>
      <w:r w:rsidR="00722479" w:rsidRPr="005074CF">
        <w:rPr>
          <w:rFonts w:ascii="Garamond" w:hAnsi="Garamond"/>
          <w:sz w:val="22"/>
          <w:szCs w:val="22"/>
          <w:lang w:val="en-US"/>
        </w:rPr>
        <w:t>hl’s personal histor</w:t>
      </w:r>
      <w:r w:rsidR="00141EB9" w:rsidRPr="005074CF">
        <w:rPr>
          <w:rFonts w:ascii="Garamond" w:hAnsi="Garamond"/>
          <w:sz w:val="22"/>
          <w:szCs w:val="22"/>
          <w:lang w:val="en-US"/>
        </w:rPr>
        <w:t xml:space="preserve">y, </w:t>
      </w:r>
      <w:r w:rsidR="00722479" w:rsidRPr="005074CF">
        <w:rPr>
          <w:rFonts w:ascii="Garamond" w:hAnsi="Garamond"/>
          <w:sz w:val="22"/>
          <w:szCs w:val="22"/>
          <w:lang w:val="en-US"/>
        </w:rPr>
        <w:t>reflective of the artist’s “</w:t>
      </w:r>
      <w:r w:rsidR="00722479" w:rsidRPr="005074CF">
        <w:rPr>
          <w:rFonts w:ascii="Garamond" w:hAnsi="Garamond"/>
          <w:i/>
          <w:iCs/>
          <w:sz w:val="22"/>
          <w:szCs w:val="22"/>
          <w:lang w:val="en-US"/>
        </w:rPr>
        <w:t>conception of the interrelation between power and sexuality</w:t>
      </w:r>
      <w:r w:rsidR="00722479" w:rsidRPr="005074CF">
        <w:rPr>
          <w:rFonts w:ascii="Garamond" w:hAnsi="Garamond"/>
          <w:sz w:val="22"/>
          <w:szCs w:val="22"/>
          <w:lang w:val="en-US"/>
        </w:rPr>
        <w:t>” [</w:t>
      </w:r>
      <w:r w:rsidR="00CE6715">
        <w:rPr>
          <w:rFonts w:ascii="Garamond" w:hAnsi="Garamond"/>
          <w:sz w:val="22"/>
          <w:szCs w:val="22"/>
          <w:lang w:val="en-US"/>
        </w:rPr>
        <w:t>p</w:t>
      </w:r>
      <w:r w:rsidR="00722479" w:rsidRPr="005074CF">
        <w:rPr>
          <w:rFonts w:ascii="Garamond" w:hAnsi="Garamond"/>
          <w:sz w:val="22"/>
          <w:szCs w:val="22"/>
          <w:lang w:val="en-US"/>
        </w:rPr>
        <w:t>ara 24]</w:t>
      </w:r>
      <w:r w:rsidR="00141EB9" w:rsidRPr="005074CF">
        <w:rPr>
          <w:rFonts w:ascii="Garamond" w:hAnsi="Garamond"/>
          <w:sz w:val="22"/>
          <w:szCs w:val="22"/>
          <w:lang w:val="en-US"/>
        </w:rPr>
        <w:t>.</w:t>
      </w:r>
      <w:r w:rsidR="005030E4" w:rsidRPr="005074CF">
        <w:rPr>
          <w:rFonts w:ascii="Garamond" w:hAnsi="Garamond"/>
          <w:sz w:val="22"/>
          <w:szCs w:val="22"/>
          <w:lang w:val="en-US"/>
        </w:rPr>
        <w:t xml:space="preserve"> It was argued that the FPO party had been critical of Mu</w:t>
      </w:r>
      <w:r w:rsidR="005030E4" w:rsidRPr="005074CF">
        <w:rPr>
          <w:rFonts w:ascii="Times New Roman" w:hAnsi="Times New Roman" w:cs="Times New Roman"/>
          <w:sz w:val="22"/>
          <w:szCs w:val="22"/>
          <w:lang w:val="en-US"/>
        </w:rPr>
        <w:t>̈</w:t>
      </w:r>
      <w:r w:rsidR="005030E4" w:rsidRPr="005074CF">
        <w:rPr>
          <w:rFonts w:ascii="Garamond" w:hAnsi="Garamond"/>
          <w:sz w:val="22"/>
          <w:szCs w:val="22"/>
          <w:lang w:val="en-US"/>
        </w:rPr>
        <w:t>hl’s work</w:t>
      </w:r>
      <w:r w:rsidR="00BE3A1B" w:rsidRPr="005074CF">
        <w:rPr>
          <w:rFonts w:ascii="Garamond" w:hAnsi="Garamond"/>
          <w:sz w:val="22"/>
          <w:szCs w:val="22"/>
          <w:lang w:val="en-US"/>
        </w:rPr>
        <w:t xml:space="preserve">, and given that Meischberger had been a key figure in the history of the FPO, </w:t>
      </w:r>
      <w:r w:rsidR="00BE6787" w:rsidRPr="005074CF">
        <w:rPr>
          <w:rFonts w:ascii="Garamond" w:hAnsi="Garamond"/>
          <w:sz w:val="22"/>
          <w:szCs w:val="22"/>
          <w:lang w:val="en-US"/>
        </w:rPr>
        <w:t xml:space="preserve">had been depicted alongside other three other members of the FPO as an allegory for the political party. </w:t>
      </w:r>
      <w:r w:rsidR="00582724">
        <w:rPr>
          <w:rFonts w:ascii="Garamond" w:hAnsi="Garamond"/>
          <w:sz w:val="22"/>
          <w:szCs w:val="22"/>
          <w:lang w:val="en-US"/>
        </w:rPr>
        <w:t>It was further argued</w:t>
      </w:r>
      <w:r w:rsidR="00081701">
        <w:rPr>
          <w:rFonts w:ascii="Garamond" w:hAnsi="Garamond"/>
          <w:sz w:val="22"/>
          <w:szCs w:val="22"/>
          <w:lang w:val="en-US"/>
        </w:rPr>
        <w:t xml:space="preserve"> </w:t>
      </w:r>
      <w:r w:rsidR="00081701" w:rsidRPr="00582724">
        <w:rPr>
          <w:rFonts w:ascii="Garamond" w:hAnsi="Garamond"/>
          <w:sz w:val="22"/>
          <w:szCs w:val="22"/>
          <w:lang w:val="en-US"/>
        </w:rPr>
        <w:t>Meischberger</w:t>
      </w:r>
      <w:r w:rsidR="00081701">
        <w:rPr>
          <w:rFonts w:ascii="Garamond" w:hAnsi="Garamond"/>
          <w:sz w:val="22"/>
          <w:szCs w:val="22"/>
          <w:lang w:val="en-US"/>
        </w:rPr>
        <w:t xml:space="preserve"> was interested in discrediting the artist’s work rather than protecting his personal interests </w:t>
      </w:r>
      <w:r w:rsidR="00307407">
        <w:rPr>
          <w:rFonts w:ascii="Garamond" w:hAnsi="Garamond"/>
          <w:sz w:val="22"/>
          <w:szCs w:val="22"/>
          <w:lang w:val="en-US"/>
        </w:rPr>
        <w:t xml:space="preserve">as he had </w:t>
      </w:r>
      <w:r w:rsidR="00582724" w:rsidRPr="00307407">
        <w:rPr>
          <w:rFonts w:ascii="Garamond" w:hAnsi="Garamond"/>
          <w:sz w:val="22"/>
          <w:szCs w:val="22"/>
          <w:lang w:val="en-US"/>
        </w:rPr>
        <w:t xml:space="preserve">only initiated legal proceedings </w:t>
      </w:r>
      <w:r w:rsidR="00250379" w:rsidRPr="00307407">
        <w:rPr>
          <w:rFonts w:ascii="Garamond" w:hAnsi="Garamond"/>
          <w:sz w:val="22"/>
          <w:szCs w:val="22"/>
          <w:lang w:val="en-US"/>
        </w:rPr>
        <w:t>after the partial damage to the painting</w:t>
      </w:r>
      <w:r w:rsidR="00A70305">
        <w:rPr>
          <w:rFonts w:ascii="Garamond" w:hAnsi="Garamond"/>
          <w:sz w:val="22"/>
          <w:szCs w:val="22"/>
          <w:lang w:val="en-US"/>
        </w:rPr>
        <w:t xml:space="preserve"> and its publicization.</w:t>
      </w:r>
      <w:r w:rsidR="00F86F97">
        <w:rPr>
          <w:rFonts w:ascii="Garamond" w:hAnsi="Garamond"/>
          <w:sz w:val="22"/>
          <w:szCs w:val="22"/>
          <w:lang w:val="en-US"/>
        </w:rPr>
        <w:t xml:space="preserve"> The applicant submitted that</w:t>
      </w:r>
      <w:r w:rsidR="00A835C7">
        <w:rPr>
          <w:rFonts w:ascii="Garamond" w:hAnsi="Garamond"/>
          <w:sz w:val="22"/>
          <w:szCs w:val="22"/>
          <w:lang w:val="en-US"/>
        </w:rPr>
        <w:t xml:space="preserve"> the painting was protected under Article 10 of the Convention as</w:t>
      </w:r>
      <w:r w:rsidR="00F86F97">
        <w:rPr>
          <w:rFonts w:ascii="Garamond" w:hAnsi="Garamond"/>
          <w:sz w:val="22"/>
          <w:szCs w:val="22"/>
          <w:lang w:val="en-US"/>
        </w:rPr>
        <w:t xml:space="preserve"> “</w:t>
      </w:r>
      <w:r w:rsidR="00F86F97" w:rsidRPr="00666AF3">
        <w:rPr>
          <w:rFonts w:ascii="Garamond" w:hAnsi="Garamond"/>
          <w:i/>
          <w:iCs/>
          <w:sz w:val="22"/>
          <w:szCs w:val="22"/>
          <w:lang w:val="en-US"/>
        </w:rPr>
        <w:t>the public exhibition of a painting contributed to a debate between the artist, the exhibitor and the public</w:t>
      </w:r>
      <w:r w:rsidR="00666AF3">
        <w:rPr>
          <w:rFonts w:ascii="Garamond" w:hAnsi="Garamond"/>
          <w:sz w:val="22"/>
          <w:szCs w:val="22"/>
          <w:lang w:val="en-US"/>
        </w:rPr>
        <w:t xml:space="preserve">” </w:t>
      </w:r>
      <w:r w:rsidR="00CE6715">
        <w:rPr>
          <w:rFonts w:ascii="Garamond" w:hAnsi="Garamond"/>
          <w:sz w:val="22"/>
          <w:szCs w:val="22"/>
          <w:lang w:val="en-US"/>
        </w:rPr>
        <w:t>[p</w:t>
      </w:r>
      <w:r w:rsidR="00666AF3">
        <w:rPr>
          <w:rFonts w:ascii="Garamond" w:hAnsi="Garamond"/>
          <w:sz w:val="22"/>
          <w:szCs w:val="22"/>
          <w:lang w:val="en-US"/>
        </w:rPr>
        <w:t>ara 24]</w:t>
      </w:r>
      <w:r w:rsidR="004C47D5">
        <w:rPr>
          <w:rFonts w:ascii="Garamond" w:hAnsi="Garamond"/>
          <w:sz w:val="22"/>
          <w:szCs w:val="22"/>
          <w:lang w:val="en-US"/>
        </w:rPr>
        <w:t>, and that the interference</w:t>
      </w:r>
      <w:r w:rsidR="00C27A3A">
        <w:rPr>
          <w:rFonts w:ascii="Garamond" w:hAnsi="Garamond"/>
          <w:sz w:val="22"/>
          <w:szCs w:val="22"/>
          <w:lang w:val="en-US"/>
        </w:rPr>
        <w:t xml:space="preserve"> by the domestic courts</w:t>
      </w:r>
      <w:r w:rsidR="004C47D5">
        <w:rPr>
          <w:rFonts w:ascii="Garamond" w:hAnsi="Garamond"/>
          <w:sz w:val="22"/>
          <w:szCs w:val="22"/>
          <w:lang w:val="en-US"/>
        </w:rPr>
        <w:t xml:space="preserve"> by way of</w:t>
      </w:r>
      <w:r w:rsidR="0081277F">
        <w:rPr>
          <w:rFonts w:ascii="Garamond" w:hAnsi="Garamond"/>
          <w:sz w:val="22"/>
          <w:szCs w:val="22"/>
          <w:lang w:val="en-US"/>
        </w:rPr>
        <w:t xml:space="preserve"> the</w:t>
      </w:r>
      <w:r w:rsidR="004C47D5">
        <w:rPr>
          <w:rFonts w:ascii="Garamond" w:hAnsi="Garamond"/>
          <w:sz w:val="22"/>
          <w:szCs w:val="22"/>
          <w:lang w:val="en-US"/>
        </w:rPr>
        <w:t xml:space="preserve"> injunction </w:t>
      </w:r>
      <w:r w:rsidR="000D2E1C">
        <w:rPr>
          <w:rFonts w:ascii="Garamond" w:hAnsi="Garamond"/>
          <w:sz w:val="22"/>
          <w:szCs w:val="22"/>
          <w:lang w:val="en-US"/>
        </w:rPr>
        <w:t>was “</w:t>
      </w:r>
      <w:r w:rsidR="000D2E1C" w:rsidRPr="00076F85">
        <w:rPr>
          <w:rFonts w:ascii="Garamond" w:hAnsi="Garamond"/>
          <w:i/>
          <w:iCs/>
          <w:sz w:val="22"/>
          <w:szCs w:val="22"/>
          <w:lang w:val="en-US"/>
        </w:rPr>
        <w:t>equivalent to the deletion of the painting from the collective memory</w:t>
      </w:r>
      <w:r w:rsidR="000D2E1C">
        <w:rPr>
          <w:rFonts w:ascii="Garamond" w:hAnsi="Garamond"/>
          <w:sz w:val="22"/>
          <w:szCs w:val="22"/>
          <w:lang w:val="en-US"/>
        </w:rPr>
        <w:t>” [</w:t>
      </w:r>
      <w:r w:rsidR="00CE6715">
        <w:rPr>
          <w:rFonts w:ascii="Garamond" w:hAnsi="Garamond"/>
          <w:sz w:val="22"/>
          <w:szCs w:val="22"/>
          <w:lang w:val="en-US"/>
        </w:rPr>
        <w:t>p</w:t>
      </w:r>
      <w:r w:rsidR="000D2E1C">
        <w:rPr>
          <w:rFonts w:ascii="Garamond" w:hAnsi="Garamond"/>
          <w:sz w:val="22"/>
          <w:szCs w:val="22"/>
          <w:lang w:val="en-US"/>
        </w:rPr>
        <w:t xml:space="preserve">ara 25]. </w:t>
      </w:r>
    </w:p>
    <w:p w14:paraId="2154D790" w14:textId="4EDE6DBA" w:rsidR="0002404F" w:rsidRDefault="0002404F" w:rsidP="00293EFC">
      <w:pPr>
        <w:pStyle w:val="ListParagraph"/>
        <w:spacing w:line="276" w:lineRule="auto"/>
        <w:ind w:left="360"/>
        <w:jc w:val="both"/>
        <w:rPr>
          <w:rFonts w:ascii="Garamond" w:hAnsi="Garamond"/>
          <w:sz w:val="22"/>
          <w:szCs w:val="22"/>
          <w:lang w:val="en-US"/>
        </w:rPr>
      </w:pPr>
    </w:p>
    <w:p w14:paraId="46245E2C" w14:textId="0D36CEB4" w:rsidR="0002404F" w:rsidRDefault="0002404F" w:rsidP="00293EFC">
      <w:pPr>
        <w:pStyle w:val="ListParagraph"/>
        <w:spacing w:line="276" w:lineRule="auto"/>
        <w:ind w:left="360"/>
        <w:jc w:val="both"/>
        <w:rPr>
          <w:rFonts w:ascii="Garamond" w:hAnsi="Garamond"/>
          <w:sz w:val="22"/>
          <w:szCs w:val="22"/>
        </w:rPr>
      </w:pPr>
      <w:r>
        <w:rPr>
          <w:rFonts w:ascii="Garamond" w:hAnsi="Garamond"/>
          <w:sz w:val="22"/>
          <w:szCs w:val="22"/>
          <w:lang w:val="en-US"/>
        </w:rPr>
        <w:t>Conversely, the defendant</w:t>
      </w:r>
      <w:r w:rsidR="002864FD">
        <w:rPr>
          <w:rFonts w:ascii="Garamond" w:hAnsi="Garamond"/>
          <w:sz w:val="22"/>
          <w:szCs w:val="22"/>
          <w:lang w:val="en-US"/>
        </w:rPr>
        <w:t>, in its submissions,</w:t>
      </w:r>
      <w:r w:rsidR="002D63E5">
        <w:rPr>
          <w:rFonts w:ascii="Garamond" w:hAnsi="Garamond"/>
          <w:sz w:val="22"/>
          <w:szCs w:val="22"/>
          <w:lang w:val="en-US"/>
        </w:rPr>
        <w:t xml:space="preserve"> </w:t>
      </w:r>
      <w:r w:rsidR="002864FD" w:rsidRPr="002D63E5">
        <w:rPr>
          <w:rFonts w:ascii="Garamond" w:hAnsi="Garamond"/>
          <w:sz w:val="22"/>
          <w:szCs w:val="22"/>
          <w:lang w:val="en-US"/>
        </w:rPr>
        <w:t xml:space="preserve">argued that the injunction did not interfere with the applicant’s rights </w:t>
      </w:r>
      <w:r w:rsidR="00364F8D" w:rsidRPr="002D63E5">
        <w:rPr>
          <w:rFonts w:ascii="Garamond" w:hAnsi="Garamond"/>
          <w:sz w:val="22"/>
          <w:szCs w:val="22"/>
          <w:lang w:val="en-US"/>
        </w:rPr>
        <w:t>under</w:t>
      </w:r>
      <w:r w:rsidR="002864FD" w:rsidRPr="002D63E5">
        <w:rPr>
          <w:rFonts w:ascii="Garamond" w:hAnsi="Garamond"/>
          <w:sz w:val="22"/>
          <w:szCs w:val="22"/>
          <w:lang w:val="en-US"/>
        </w:rPr>
        <w:t xml:space="preserve"> Article 10 of the Convention</w:t>
      </w:r>
      <w:r w:rsidR="008B12F3">
        <w:rPr>
          <w:rFonts w:ascii="Garamond" w:hAnsi="Garamond"/>
          <w:sz w:val="22"/>
          <w:szCs w:val="22"/>
          <w:lang w:val="en-US"/>
        </w:rPr>
        <w:t xml:space="preserve"> as the provision did not protect artistic freedom as such, but only conferred certain protections on artists intending to contribute to a public discussion through their work</w:t>
      </w:r>
      <w:r w:rsidR="00B445E3">
        <w:rPr>
          <w:rFonts w:ascii="Garamond" w:hAnsi="Garamond"/>
          <w:sz w:val="22"/>
          <w:szCs w:val="22"/>
          <w:lang w:val="en-US"/>
        </w:rPr>
        <w:t>. The defendant argued that the depiction of public figures in</w:t>
      </w:r>
      <w:r w:rsidR="00585D93">
        <w:rPr>
          <w:rFonts w:ascii="Garamond" w:hAnsi="Garamond"/>
          <w:sz w:val="22"/>
          <w:szCs w:val="22"/>
          <w:lang w:val="en-US"/>
        </w:rPr>
        <w:t xml:space="preserve"> “</w:t>
      </w:r>
      <w:r w:rsidR="00B445E3" w:rsidRPr="00585D93">
        <w:rPr>
          <w:rFonts w:ascii="Garamond" w:hAnsi="Garamond"/>
          <w:i/>
          <w:iCs/>
          <w:sz w:val="22"/>
          <w:szCs w:val="22"/>
          <w:lang w:val="en-US"/>
        </w:rPr>
        <w:t>group sexual situations</w:t>
      </w:r>
      <w:r w:rsidR="00585D93">
        <w:rPr>
          <w:rFonts w:ascii="Garamond" w:hAnsi="Garamond"/>
          <w:sz w:val="22"/>
          <w:szCs w:val="22"/>
          <w:lang w:val="en-US"/>
        </w:rPr>
        <w:t>”</w:t>
      </w:r>
      <w:r w:rsidR="00B445E3">
        <w:rPr>
          <w:rFonts w:ascii="Garamond" w:hAnsi="Garamond"/>
          <w:sz w:val="22"/>
          <w:szCs w:val="22"/>
          <w:lang w:val="en-US"/>
        </w:rPr>
        <w:t xml:space="preserve"> [</w:t>
      </w:r>
      <w:r w:rsidR="00FD1824">
        <w:rPr>
          <w:rFonts w:ascii="Garamond" w:hAnsi="Garamond"/>
          <w:sz w:val="22"/>
          <w:szCs w:val="22"/>
          <w:lang w:val="en-US"/>
        </w:rPr>
        <w:t>p</w:t>
      </w:r>
      <w:r w:rsidR="00B445E3">
        <w:rPr>
          <w:rFonts w:ascii="Garamond" w:hAnsi="Garamond"/>
          <w:sz w:val="22"/>
          <w:szCs w:val="22"/>
          <w:lang w:val="en-US"/>
        </w:rPr>
        <w:t xml:space="preserve">ara 22] </w:t>
      </w:r>
      <w:r w:rsidR="007075F6">
        <w:rPr>
          <w:rFonts w:ascii="Garamond" w:hAnsi="Garamond"/>
          <w:sz w:val="22"/>
          <w:szCs w:val="22"/>
          <w:lang w:val="en-US"/>
        </w:rPr>
        <w:t xml:space="preserve">in </w:t>
      </w:r>
      <w:r w:rsidR="007075F6" w:rsidRPr="005074CF">
        <w:rPr>
          <w:rFonts w:ascii="Garamond" w:hAnsi="Garamond"/>
          <w:sz w:val="22"/>
          <w:szCs w:val="22"/>
          <w:lang w:val="en-US"/>
        </w:rPr>
        <w:t>Mu</w:t>
      </w:r>
      <w:r w:rsidR="007075F6" w:rsidRPr="005074CF">
        <w:rPr>
          <w:rFonts w:ascii="Times New Roman" w:hAnsi="Times New Roman" w:cs="Times New Roman"/>
          <w:sz w:val="22"/>
          <w:szCs w:val="22"/>
          <w:lang w:val="en-US"/>
        </w:rPr>
        <w:t>̈</w:t>
      </w:r>
      <w:r w:rsidR="007075F6" w:rsidRPr="005074CF">
        <w:rPr>
          <w:rFonts w:ascii="Garamond" w:hAnsi="Garamond"/>
          <w:sz w:val="22"/>
          <w:szCs w:val="22"/>
          <w:lang w:val="en-US"/>
        </w:rPr>
        <w:t>hl’s</w:t>
      </w:r>
      <w:r w:rsidR="007075F6">
        <w:rPr>
          <w:rFonts w:ascii="Garamond" w:hAnsi="Garamond"/>
          <w:sz w:val="22"/>
          <w:szCs w:val="22"/>
          <w:lang w:val="en-US"/>
        </w:rPr>
        <w:t xml:space="preserve"> painting</w:t>
      </w:r>
      <w:r w:rsidR="00336248">
        <w:rPr>
          <w:rFonts w:ascii="Garamond" w:hAnsi="Garamond"/>
          <w:sz w:val="22"/>
          <w:szCs w:val="22"/>
          <w:lang w:val="en-US"/>
        </w:rPr>
        <w:t xml:space="preserve"> could </w:t>
      </w:r>
      <w:r w:rsidR="007075F6">
        <w:rPr>
          <w:rFonts w:ascii="Garamond" w:hAnsi="Garamond"/>
          <w:sz w:val="22"/>
          <w:szCs w:val="22"/>
          <w:lang w:val="en-US"/>
        </w:rPr>
        <w:t>hardly</w:t>
      </w:r>
      <w:r w:rsidR="00336248">
        <w:rPr>
          <w:rFonts w:ascii="Garamond" w:hAnsi="Garamond"/>
          <w:sz w:val="22"/>
          <w:szCs w:val="22"/>
          <w:lang w:val="en-US"/>
        </w:rPr>
        <w:t xml:space="preserve"> be considered to be making such a contribution.</w:t>
      </w:r>
      <w:r w:rsidR="00F82CFA">
        <w:rPr>
          <w:rFonts w:ascii="Garamond" w:hAnsi="Garamond"/>
          <w:sz w:val="22"/>
          <w:szCs w:val="22"/>
          <w:lang w:val="en-US"/>
        </w:rPr>
        <w:t xml:space="preserve"> The defendant also presented an </w:t>
      </w:r>
      <w:r w:rsidR="00F82CFA" w:rsidRPr="002D1343">
        <w:rPr>
          <w:rFonts w:ascii="Garamond" w:hAnsi="Garamond"/>
          <w:i/>
          <w:iCs/>
          <w:sz w:val="22"/>
          <w:szCs w:val="22"/>
          <w:lang w:val="en-US"/>
        </w:rPr>
        <w:t>arguendo</w:t>
      </w:r>
      <w:r w:rsidR="00F82CFA">
        <w:rPr>
          <w:rFonts w:ascii="Garamond" w:hAnsi="Garamond"/>
          <w:sz w:val="22"/>
          <w:szCs w:val="22"/>
          <w:lang w:val="en-US"/>
        </w:rPr>
        <w:t xml:space="preserve"> in its submission. </w:t>
      </w:r>
      <w:r w:rsidR="00045535">
        <w:rPr>
          <w:rFonts w:ascii="Garamond" w:hAnsi="Garamond"/>
          <w:sz w:val="22"/>
          <w:szCs w:val="22"/>
          <w:lang w:val="en-US"/>
        </w:rPr>
        <w:t xml:space="preserve">It argued </w:t>
      </w:r>
      <w:r w:rsidR="00FB7248">
        <w:rPr>
          <w:rFonts w:ascii="Garamond" w:hAnsi="Garamond"/>
          <w:sz w:val="22"/>
          <w:szCs w:val="22"/>
          <w:lang w:val="en-US"/>
        </w:rPr>
        <w:t xml:space="preserve">that even if the applicant’s rights could be considered to have been interfered with, the interference was lawful </w:t>
      </w:r>
      <w:r w:rsidR="009D1A89">
        <w:rPr>
          <w:rFonts w:ascii="Garamond" w:hAnsi="Garamond"/>
          <w:sz w:val="22"/>
          <w:szCs w:val="22"/>
          <w:lang w:val="en-US"/>
        </w:rPr>
        <w:t xml:space="preserve">and in pursuance of the legitimate aim </w:t>
      </w:r>
      <w:r w:rsidR="00912482">
        <w:rPr>
          <w:rFonts w:ascii="Garamond" w:hAnsi="Garamond"/>
          <w:sz w:val="22"/>
          <w:szCs w:val="22"/>
          <w:lang w:val="en-US"/>
        </w:rPr>
        <w:t>of protecting the reputation and rights of others as well as their morals.</w:t>
      </w:r>
      <w:r w:rsidR="007469CD">
        <w:rPr>
          <w:rFonts w:ascii="Garamond" w:hAnsi="Garamond"/>
          <w:sz w:val="22"/>
          <w:szCs w:val="22"/>
          <w:lang w:val="en-US"/>
        </w:rPr>
        <w:t xml:space="preserve"> The defendant </w:t>
      </w:r>
      <w:r w:rsidR="00C82D85">
        <w:rPr>
          <w:rFonts w:ascii="Garamond" w:hAnsi="Garamond"/>
          <w:sz w:val="22"/>
          <w:szCs w:val="22"/>
          <w:lang w:val="en-US"/>
        </w:rPr>
        <w:t xml:space="preserve">furthermore </w:t>
      </w:r>
      <w:r w:rsidR="007469CD">
        <w:rPr>
          <w:rFonts w:ascii="Garamond" w:hAnsi="Garamond"/>
          <w:sz w:val="22"/>
          <w:szCs w:val="22"/>
          <w:lang w:val="en-US"/>
        </w:rPr>
        <w:t xml:space="preserve">argued that the interference was proportional, and that </w:t>
      </w:r>
      <w:r w:rsidR="007469CD" w:rsidRPr="007469CD">
        <w:rPr>
          <w:rFonts w:ascii="Garamond" w:hAnsi="Garamond"/>
          <w:sz w:val="22"/>
          <w:szCs w:val="22"/>
        </w:rPr>
        <w:t>Meischberger</w:t>
      </w:r>
      <w:r w:rsidR="007469CD">
        <w:rPr>
          <w:rFonts w:ascii="Garamond" w:hAnsi="Garamond"/>
          <w:sz w:val="22"/>
          <w:szCs w:val="22"/>
        </w:rPr>
        <w:t>’s personal interests outweighed the applicant’s interests in exhibiting the painting</w:t>
      </w:r>
      <w:r w:rsidR="00A173D9">
        <w:rPr>
          <w:rFonts w:ascii="Garamond" w:hAnsi="Garamond"/>
          <w:sz w:val="22"/>
          <w:szCs w:val="22"/>
        </w:rPr>
        <w:t>,</w:t>
      </w:r>
      <w:r w:rsidR="007469CD">
        <w:rPr>
          <w:rFonts w:ascii="Garamond" w:hAnsi="Garamond"/>
          <w:sz w:val="22"/>
          <w:szCs w:val="22"/>
        </w:rPr>
        <w:t xml:space="preserve"> as the exhibition had drawn media attention primarily due to the </w:t>
      </w:r>
      <w:r w:rsidR="005B0E86">
        <w:rPr>
          <w:rFonts w:ascii="Garamond" w:hAnsi="Garamond"/>
          <w:sz w:val="22"/>
          <w:szCs w:val="22"/>
        </w:rPr>
        <w:t xml:space="preserve">painting. </w:t>
      </w:r>
      <w:r w:rsidR="0031585C">
        <w:rPr>
          <w:rFonts w:ascii="Garamond" w:hAnsi="Garamond"/>
          <w:sz w:val="22"/>
          <w:szCs w:val="22"/>
        </w:rPr>
        <w:t>It was argued that the interest of the media had only intensified after the incident of June 12, 1998</w:t>
      </w:r>
      <w:r w:rsidR="00AA4749">
        <w:rPr>
          <w:rFonts w:ascii="Garamond" w:hAnsi="Garamond"/>
          <w:sz w:val="22"/>
          <w:szCs w:val="22"/>
        </w:rPr>
        <w:t xml:space="preserve">, and the debasing nature of the representation of </w:t>
      </w:r>
      <w:r w:rsidR="00AA4749" w:rsidRPr="00AA4749">
        <w:rPr>
          <w:rFonts w:ascii="Garamond" w:hAnsi="Garamond"/>
          <w:sz w:val="22"/>
          <w:szCs w:val="22"/>
        </w:rPr>
        <w:t>Meischberger</w:t>
      </w:r>
      <w:r w:rsidR="00AA4749">
        <w:rPr>
          <w:rFonts w:ascii="Garamond" w:hAnsi="Garamond"/>
          <w:sz w:val="22"/>
          <w:szCs w:val="22"/>
        </w:rPr>
        <w:t xml:space="preserve"> was subsequently made known to the general public and not only the visitors of the exhibition</w:t>
      </w:r>
      <w:r w:rsidR="0029380C">
        <w:rPr>
          <w:rFonts w:ascii="Garamond" w:hAnsi="Garamond"/>
          <w:sz w:val="22"/>
          <w:szCs w:val="22"/>
        </w:rPr>
        <w:t xml:space="preserve"> </w:t>
      </w:r>
      <w:r w:rsidR="009812BA">
        <w:rPr>
          <w:rFonts w:ascii="Garamond" w:hAnsi="Garamond"/>
          <w:sz w:val="22"/>
          <w:szCs w:val="22"/>
        </w:rPr>
        <w:t xml:space="preserve">due to </w:t>
      </w:r>
      <w:r w:rsidR="00304A1B">
        <w:rPr>
          <w:rFonts w:ascii="Garamond" w:hAnsi="Garamond"/>
          <w:sz w:val="22"/>
          <w:szCs w:val="22"/>
        </w:rPr>
        <w:t>reportage</w:t>
      </w:r>
      <w:r w:rsidR="009812BA">
        <w:rPr>
          <w:rFonts w:ascii="Garamond" w:hAnsi="Garamond"/>
          <w:sz w:val="22"/>
          <w:szCs w:val="22"/>
        </w:rPr>
        <w:t xml:space="preserve"> about it</w:t>
      </w:r>
      <w:r w:rsidR="0029380C">
        <w:rPr>
          <w:rFonts w:ascii="Garamond" w:hAnsi="Garamond"/>
          <w:sz w:val="22"/>
          <w:szCs w:val="22"/>
        </w:rPr>
        <w:t xml:space="preserve"> in almost all the Austrian newspapers and television. </w:t>
      </w:r>
      <w:r w:rsidR="00F52170">
        <w:rPr>
          <w:rFonts w:ascii="Garamond" w:hAnsi="Garamond"/>
          <w:sz w:val="22"/>
          <w:szCs w:val="22"/>
        </w:rPr>
        <w:t xml:space="preserve">The defendant </w:t>
      </w:r>
      <w:r w:rsidR="00C67050">
        <w:rPr>
          <w:rFonts w:ascii="Garamond" w:hAnsi="Garamond"/>
          <w:sz w:val="22"/>
          <w:szCs w:val="22"/>
        </w:rPr>
        <w:t xml:space="preserve">supplemented this </w:t>
      </w:r>
      <w:r w:rsidR="0075382C">
        <w:rPr>
          <w:rFonts w:ascii="Garamond" w:hAnsi="Garamond"/>
          <w:sz w:val="22"/>
          <w:szCs w:val="22"/>
        </w:rPr>
        <w:t>submission</w:t>
      </w:r>
      <w:r w:rsidR="00C67050">
        <w:rPr>
          <w:rFonts w:ascii="Garamond" w:hAnsi="Garamond"/>
          <w:sz w:val="22"/>
          <w:szCs w:val="22"/>
        </w:rPr>
        <w:t xml:space="preserve"> by arguing</w:t>
      </w:r>
      <w:r w:rsidR="00256F4A">
        <w:rPr>
          <w:rFonts w:ascii="Garamond" w:hAnsi="Garamond"/>
          <w:sz w:val="22"/>
          <w:szCs w:val="22"/>
        </w:rPr>
        <w:t xml:space="preserve"> that it was irrelevant to consider whether </w:t>
      </w:r>
      <w:r w:rsidR="00256F4A" w:rsidRPr="00256F4A">
        <w:rPr>
          <w:rFonts w:ascii="Garamond" w:hAnsi="Garamond"/>
          <w:sz w:val="22"/>
          <w:szCs w:val="22"/>
        </w:rPr>
        <w:t>Meischberger</w:t>
      </w:r>
      <w:r w:rsidR="00256F4A">
        <w:rPr>
          <w:rFonts w:ascii="Garamond" w:hAnsi="Garamond"/>
          <w:sz w:val="22"/>
          <w:szCs w:val="22"/>
        </w:rPr>
        <w:t xml:space="preserve"> was a subject of public interest at the time when these events occurred as the painting could not be considered to form part of a public discussion of general interest, nor could it be seen as relating to </w:t>
      </w:r>
      <w:r w:rsidR="00256F4A" w:rsidRPr="00256F4A">
        <w:rPr>
          <w:rFonts w:ascii="Garamond" w:hAnsi="Garamond"/>
          <w:sz w:val="22"/>
          <w:szCs w:val="22"/>
        </w:rPr>
        <w:t>Meischberger</w:t>
      </w:r>
      <w:r w:rsidR="00256F4A">
        <w:rPr>
          <w:rFonts w:ascii="Garamond" w:hAnsi="Garamond"/>
          <w:sz w:val="22"/>
          <w:szCs w:val="22"/>
        </w:rPr>
        <w:t xml:space="preserve"> in his capacity as a public figure. </w:t>
      </w:r>
      <w:r w:rsidR="000A0865">
        <w:rPr>
          <w:rFonts w:ascii="Garamond" w:hAnsi="Garamond"/>
          <w:sz w:val="22"/>
          <w:szCs w:val="22"/>
        </w:rPr>
        <w:t xml:space="preserve">The defendant added that the injunction curtailed only the applicant from exhibiting the painting, and not the artist or his manager.  </w:t>
      </w:r>
    </w:p>
    <w:p w14:paraId="0AA483C5" w14:textId="645FCEC4" w:rsidR="000A302F" w:rsidRDefault="000A302F" w:rsidP="00293EFC">
      <w:pPr>
        <w:pStyle w:val="ListParagraph"/>
        <w:spacing w:line="276" w:lineRule="auto"/>
        <w:ind w:left="360"/>
        <w:jc w:val="both"/>
        <w:rPr>
          <w:rFonts w:ascii="Garamond" w:hAnsi="Garamond"/>
          <w:sz w:val="22"/>
          <w:szCs w:val="22"/>
        </w:rPr>
      </w:pPr>
    </w:p>
    <w:p w14:paraId="48AB30B9" w14:textId="37342DD0" w:rsidR="000A302F" w:rsidRDefault="000A302F" w:rsidP="00293EFC">
      <w:pPr>
        <w:pStyle w:val="ListParagraph"/>
        <w:spacing w:line="276" w:lineRule="auto"/>
        <w:ind w:left="360"/>
        <w:jc w:val="both"/>
        <w:rPr>
          <w:rFonts w:ascii="Garamond" w:hAnsi="Garamond"/>
          <w:i/>
          <w:iCs/>
          <w:sz w:val="22"/>
          <w:szCs w:val="22"/>
        </w:rPr>
      </w:pPr>
      <w:r>
        <w:rPr>
          <w:rFonts w:ascii="Garamond" w:hAnsi="Garamond"/>
          <w:i/>
          <w:iCs/>
          <w:sz w:val="22"/>
          <w:szCs w:val="22"/>
        </w:rPr>
        <w:t>General Principles</w:t>
      </w:r>
    </w:p>
    <w:p w14:paraId="67CE673E" w14:textId="77777777" w:rsidR="00F72E52" w:rsidRPr="00F72E52" w:rsidRDefault="00F72E52" w:rsidP="00293EFC">
      <w:pPr>
        <w:pStyle w:val="ListParagraph"/>
        <w:spacing w:line="276" w:lineRule="auto"/>
        <w:ind w:left="360"/>
        <w:jc w:val="both"/>
        <w:rPr>
          <w:rFonts w:ascii="Garamond" w:hAnsi="Garamond"/>
          <w:sz w:val="22"/>
          <w:szCs w:val="22"/>
        </w:rPr>
      </w:pPr>
    </w:p>
    <w:p w14:paraId="40B2E6CE" w14:textId="18243EA4" w:rsidR="000A302F" w:rsidRDefault="00066A48" w:rsidP="00C86F49">
      <w:pPr>
        <w:pStyle w:val="ListParagraph"/>
        <w:spacing w:line="276" w:lineRule="auto"/>
        <w:ind w:left="360"/>
        <w:jc w:val="both"/>
        <w:rPr>
          <w:rFonts w:ascii="Garamond" w:hAnsi="Garamond"/>
          <w:sz w:val="22"/>
          <w:szCs w:val="22"/>
        </w:rPr>
      </w:pPr>
      <w:r>
        <w:rPr>
          <w:rFonts w:ascii="Garamond" w:hAnsi="Garamond"/>
          <w:sz w:val="22"/>
          <w:szCs w:val="22"/>
        </w:rPr>
        <w:t>The Court</w:t>
      </w:r>
      <w:r w:rsidR="004161F0">
        <w:rPr>
          <w:rFonts w:ascii="Garamond" w:hAnsi="Garamond"/>
          <w:sz w:val="22"/>
          <w:szCs w:val="22"/>
        </w:rPr>
        <w:t xml:space="preserve"> noted that States </w:t>
      </w:r>
      <w:r w:rsidR="00876A43">
        <w:rPr>
          <w:rFonts w:ascii="Garamond" w:hAnsi="Garamond"/>
          <w:sz w:val="22"/>
          <w:szCs w:val="22"/>
        </w:rPr>
        <w:t>are</w:t>
      </w:r>
      <w:r w:rsidR="004161F0">
        <w:rPr>
          <w:rFonts w:ascii="Garamond" w:hAnsi="Garamond"/>
          <w:sz w:val="22"/>
          <w:szCs w:val="22"/>
        </w:rPr>
        <w:t xml:space="preserve"> obligated not to encroach unduly on the freedom of expression</w:t>
      </w:r>
      <w:r w:rsidR="000E788D">
        <w:rPr>
          <w:rFonts w:ascii="Garamond" w:hAnsi="Garamond"/>
          <w:sz w:val="22"/>
          <w:szCs w:val="22"/>
        </w:rPr>
        <w:t xml:space="preserve"> as</w:t>
      </w:r>
      <w:r w:rsidR="00876A43">
        <w:rPr>
          <w:rFonts w:ascii="Garamond" w:hAnsi="Garamond"/>
          <w:sz w:val="22"/>
          <w:szCs w:val="22"/>
        </w:rPr>
        <w:t xml:space="preserve"> democratic societies are founded</w:t>
      </w:r>
      <w:r w:rsidR="003519CE">
        <w:rPr>
          <w:rFonts w:ascii="Garamond" w:hAnsi="Garamond"/>
          <w:sz w:val="22"/>
          <w:szCs w:val="22"/>
        </w:rPr>
        <w:t xml:space="preserve"> upon certain principles </w:t>
      </w:r>
      <w:r w:rsidR="003519CE" w:rsidRPr="00691395">
        <w:rPr>
          <w:rFonts w:ascii="Garamond" w:hAnsi="Garamond"/>
          <w:sz w:val="22"/>
          <w:szCs w:val="22"/>
        </w:rPr>
        <w:t xml:space="preserve">of which the freedom of expression is </w:t>
      </w:r>
      <w:r w:rsidR="00646D64">
        <w:rPr>
          <w:rFonts w:ascii="Garamond" w:hAnsi="Garamond"/>
          <w:sz w:val="22"/>
          <w:szCs w:val="22"/>
        </w:rPr>
        <w:t>an essential one</w:t>
      </w:r>
      <w:r w:rsidR="00EB2574">
        <w:rPr>
          <w:rFonts w:ascii="Garamond" w:hAnsi="Garamond"/>
          <w:sz w:val="22"/>
          <w:szCs w:val="22"/>
        </w:rPr>
        <w:t xml:space="preserve"> as it fosters the society’s progress and yields self-fulfilments for individuals.</w:t>
      </w:r>
      <w:r w:rsidR="00BD7AF9">
        <w:rPr>
          <w:rFonts w:ascii="Garamond" w:hAnsi="Garamond"/>
          <w:sz w:val="22"/>
          <w:szCs w:val="22"/>
        </w:rPr>
        <w:t xml:space="preserve"> </w:t>
      </w:r>
      <w:r w:rsidR="000F4B07">
        <w:rPr>
          <w:rFonts w:ascii="Garamond" w:hAnsi="Garamond"/>
          <w:sz w:val="22"/>
          <w:szCs w:val="22"/>
        </w:rPr>
        <w:t xml:space="preserve">It observed </w:t>
      </w:r>
      <w:r w:rsidR="00EC4247">
        <w:rPr>
          <w:rFonts w:ascii="Garamond" w:hAnsi="Garamond"/>
          <w:sz w:val="22"/>
          <w:szCs w:val="22"/>
        </w:rPr>
        <w:t>the production and distribution of works of art as forms of expression are contributory to essential exchanges in democratic societies</w:t>
      </w:r>
      <w:r w:rsidR="00FC7507">
        <w:rPr>
          <w:rFonts w:ascii="Garamond" w:hAnsi="Garamond"/>
          <w:sz w:val="22"/>
          <w:szCs w:val="22"/>
        </w:rPr>
        <w:t xml:space="preserve">, and that the </w:t>
      </w:r>
      <w:r w:rsidR="00673D41" w:rsidRPr="00FC7507">
        <w:rPr>
          <w:rFonts w:ascii="Garamond" w:hAnsi="Garamond"/>
          <w:sz w:val="22"/>
          <w:szCs w:val="22"/>
        </w:rPr>
        <w:t>right</w:t>
      </w:r>
      <w:r w:rsidR="00FC7507">
        <w:rPr>
          <w:rFonts w:ascii="Garamond" w:hAnsi="Garamond"/>
          <w:sz w:val="22"/>
          <w:szCs w:val="22"/>
        </w:rPr>
        <w:t xml:space="preserve"> to freedom of expression</w:t>
      </w:r>
      <w:r w:rsidR="00673D41" w:rsidRPr="00FC7507">
        <w:rPr>
          <w:rFonts w:ascii="Garamond" w:hAnsi="Garamond"/>
          <w:sz w:val="22"/>
          <w:szCs w:val="22"/>
        </w:rPr>
        <w:t xml:space="preserve"> extends to “ideas” and “information” which “</w:t>
      </w:r>
      <w:r w:rsidR="00673D41" w:rsidRPr="00FC7507">
        <w:rPr>
          <w:rFonts w:ascii="Garamond" w:hAnsi="Garamond"/>
          <w:i/>
          <w:iCs/>
          <w:sz w:val="22"/>
          <w:szCs w:val="22"/>
        </w:rPr>
        <w:t>offend, shock, or disturb the State or any section of the population</w:t>
      </w:r>
      <w:r w:rsidR="00673D41" w:rsidRPr="00FC7507">
        <w:rPr>
          <w:rFonts w:ascii="Garamond" w:hAnsi="Garamond"/>
          <w:sz w:val="22"/>
          <w:szCs w:val="22"/>
        </w:rPr>
        <w:t>” as “</w:t>
      </w:r>
      <w:r w:rsidR="00673D41" w:rsidRPr="00FC7507">
        <w:rPr>
          <w:rFonts w:ascii="Garamond" w:hAnsi="Garamond"/>
          <w:i/>
          <w:iCs/>
          <w:sz w:val="22"/>
          <w:szCs w:val="22"/>
        </w:rPr>
        <w:t>such are the demands of that pluralism, tolerance and broadmindedness without which there is no “democratic society</w:t>
      </w:r>
      <w:r w:rsidR="00673D41" w:rsidRPr="00FC7507">
        <w:rPr>
          <w:rFonts w:ascii="Garamond" w:hAnsi="Garamond"/>
          <w:sz w:val="22"/>
          <w:szCs w:val="22"/>
        </w:rPr>
        <w:t>”” [para 26].</w:t>
      </w:r>
      <w:r w:rsidR="00492467" w:rsidRPr="00FC7507">
        <w:rPr>
          <w:rFonts w:ascii="Garamond" w:hAnsi="Garamond"/>
          <w:sz w:val="22"/>
          <w:szCs w:val="22"/>
        </w:rPr>
        <w:t xml:space="preserve"> </w:t>
      </w:r>
      <w:r w:rsidR="00FC7507">
        <w:rPr>
          <w:rFonts w:ascii="Garamond" w:hAnsi="Garamond"/>
          <w:sz w:val="22"/>
          <w:szCs w:val="22"/>
        </w:rPr>
        <w:t xml:space="preserve">While reiterating the essentiality of the </w:t>
      </w:r>
      <w:r w:rsidR="007C228A">
        <w:rPr>
          <w:rFonts w:ascii="Garamond" w:hAnsi="Garamond"/>
          <w:sz w:val="22"/>
          <w:szCs w:val="22"/>
        </w:rPr>
        <w:t>right</w:t>
      </w:r>
      <w:r w:rsidR="00D56D54">
        <w:rPr>
          <w:rFonts w:ascii="Garamond" w:hAnsi="Garamond"/>
          <w:sz w:val="22"/>
          <w:szCs w:val="22"/>
        </w:rPr>
        <w:t xml:space="preserve"> as secured by paragraph 1 of Article 10 of the Convention,</w:t>
      </w:r>
      <w:r w:rsidR="007C228A">
        <w:rPr>
          <w:rFonts w:ascii="Garamond" w:hAnsi="Garamond"/>
          <w:sz w:val="22"/>
          <w:szCs w:val="22"/>
        </w:rPr>
        <w:t xml:space="preserve"> the Court </w:t>
      </w:r>
      <w:r w:rsidR="00D56D54">
        <w:rPr>
          <w:rFonts w:ascii="Garamond" w:hAnsi="Garamond"/>
          <w:sz w:val="22"/>
          <w:szCs w:val="22"/>
        </w:rPr>
        <w:t xml:space="preserve">made sure to convey the fettered nature of the </w:t>
      </w:r>
      <w:r w:rsidR="00AA7CB4">
        <w:rPr>
          <w:rFonts w:ascii="Garamond" w:hAnsi="Garamond"/>
          <w:sz w:val="22"/>
          <w:szCs w:val="22"/>
        </w:rPr>
        <w:t>right</w:t>
      </w:r>
      <w:r w:rsidR="00D56D54">
        <w:rPr>
          <w:rFonts w:ascii="Garamond" w:hAnsi="Garamond"/>
          <w:sz w:val="22"/>
          <w:szCs w:val="22"/>
        </w:rPr>
        <w:t xml:space="preserve"> pursuant to paragraph 2 of Article 10</w:t>
      </w:r>
      <w:r w:rsidR="00AA7CB4">
        <w:rPr>
          <w:rFonts w:ascii="Garamond" w:hAnsi="Garamond"/>
          <w:sz w:val="22"/>
          <w:szCs w:val="22"/>
        </w:rPr>
        <w:t xml:space="preserve">. </w:t>
      </w:r>
      <w:r w:rsidR="00A360E9">
        <w:rPr>
          <w:rFonts w:ascii="Garamond" w:hAnsi="Garamond"/>
          <w:sz w:val="22"/>
          <w:szCs w:val="22"/>
        </w:rPr>
        <w:t xml:space="preserve">The </w:t>
      </w:r>
      <w:r w:rsidR="00986659">
        <w:rPr>
          <w:rFonts w:ascii="Garamond" w:hAnsi="Garamond"/>
          <w:sz w:val="22"/>
          <w:szCs w:val="22"/>
        </w:rPr>
        <w:t xml:space="preserve">Court </w:t>
      </w:r>
      <w:r w:rsidR="004502A5">
        <w:rPr>
          <w:rFonts w:ascii="Garamond" w:hAnsi="Garamond"/>
          <w:sz w:val="22"/>
          <w:szCs w:val="22"/>
        </w:rPr>
        <w:t>noted that creators and artists could</w:t>
      </w:r>
      <w:r w:rsidR="00BD5AC0">
        <w:rPr>
          <w:rFonts w:ascii="Garamond" w:hAnsi="Garamond"/>
          <w:sz w:val="22"/>
          <w:szCs w:val="22"/>
        </w:rPr>
        <w:t xml:space="preserve"> consequently</w:t>
      </w:r>
      <w:r w:rsidR="004502A5">
        <w:rPr>
          <w:rFonts w:ascii="Garamond" w:hAnsi="Garamond"/>
          <w:sz w:val="22"/>
          <w:szCs w:val="22"/>
        </w:rPr>
        <w:t xml:space="preserve"> be restrained as per paragraph 2 of Article 10 </w:t>
      </w:r>
      <w:r w:rsidR="00AA11AD">
        <w:rPr>
          <w:rFonts w:ascii="Garamond" w:hAnsi="Garamond"/>
          <w:sz w:val="22"/>
          <w:szCs w:val="22"/>
        </w:rPr>
        <w:t>as the right was enjoyed and exercised in accordance with “certain duties and responsibilities”</w:t>
      </w:r>
      <w:r w:rsidR="00C60BFA">
        <w:rPr>
          <w:rFonts w:ascii="Garamond" w:hAnsi="Garamond"/>
          <w:sz w:val="22"/>
          <w:szCs w:val="22"/>
        </w:rPr>
        <w:t>, the specific scope of which were defined by the circumstances and the means</w:t>
      </w:r>
      <w:r w:rsidR="00592129">
        <w:rPr>
          <w:rFonts w:ascii="Garamond" w:hAnsi="Garamond"/>
          <w:sz w:val="22"/>
          <w:szCs w:val="22"/>
        </w:rPr>
        <w:t xml:space="preserve"> used by them</w:t>
      </w:r>
      <w:r w:rsidR="00201367">
        <w:rPr>
          <w:rFonts w:ascii="Garamond" w:hAnsi="Garamond"/>
          <w:sz w:val="22"/>
          <w:szCs w:val="22"/>
        </w:rPr>
        <w:t xml:space="preserve"> (</w:t>
      </w:r>
      <w:proofErr w:type="spellStart"/>
      <w:r w:rsidR="00E93751">
        <w:rPr>
          <w:rFonts w:ascii="Garamond" w:hAnsi="Garamond"/>
          <w:i/>
          <w:iCs/>
          <w:sz w:val="22"/>
          <w:szCs w:val="22"/>
        </w:rPr>
        <w:fldChar w:fldCharType="begin"/>
      </w:r>
      <w:r w:rsidR="00E93751">
        <w:rPr>
          <w:rFonts w:ascii="Garamond" w:hAnsi="Garamond"/>
          <w:i/>
          <w:iCs/>
          <w:sz w:val="22"/>
          <w:szCs w:val="22"/>
        </w:rPr>
        <w:instrText xml:space="preserve"> HYPERLINK "https://hudoc.echr.coe.int/eng" \l "{\"fulltext\":[\"Müller%20and%20Others%20v.%20Switzerland\"],\"documentcollectionid2\":[\"GRANDCHAMBER\",\"CHAMBER\"],\"itemid\":[\"001-57487\"]}" </w:instrText>
      </w:r>
      <w:r w:rsidR="00E93751">
        <w:rPr>
          <w:rFonts w:ascii="Garamond" w:hAnsi="Garamond"/>
          <w:i/>
          <w:iCs/>
          <w:sz w:val="22"/>
          <w:szCs w:val="22"/>
        </w:rPr>
        <w:fldChar w:fldCharType="separate"/>
      </w:r>
      <w:r w:rsidR="00E93751" w:rsidRPr="00E93751">
        <w:rPr>
          <w:rStyle w:val="Hyperlink"/>
          <w:rFonts w:ascii="Garamond" w:hAnsi="Garamond"/>
          <w:i/>
          <w:iCs/>
          <w:sz w:val="22"/>
          <w:szCs w:val="22"/>
        </w:rPr>
        <w:t>Mu</w:t>
      </w:r>
      <w:r w:rsidR="00E93751" w:rsidRPr="00E93751">
        <w:rPr>
          <w:rStyle w:val="Hyperlink"/>
          <w:rFonts w:ascii="Times New Roman" w:hAnsi="Times New Roman" w:cs="Times New Roman"/>
          <w:i/>
          <w:iCs/>
          <w:sz w:val="22"/>
          <w:szCs w:val="22"/>
        </w:rPr>
        <w:t>̈</w:t>
      </w:r>
      <w:r w:rsidR="00E93751" w:rsidRPr="00E93751">
        <w:rPr>
          <w:rStyle w:val="Hyperlink"/>
          <w:rFonts w:ascii="Garamond" w:hAnsi="Garamond"/>
          <w:i/>
          <w:iCs/>
          <w:sz w:val="22"/>
          <w:szCs w:val="22"/>
        </w:rPr>
        <w:t>ller</w:t>
      </w:r>
      <w:proofErr w:type="spellEnd"/>
      <w:r w:rsidR="00E93751" w:rsidRPr="00E93751">
        <w:rPr>
          <w:rStyle w:val="Hyperlink"/>
          <w:rFonts w:ascii="Garamond" w:hAnsi="Garamond"/>
          <w:i/>
          <w:iCs/>
          <w:sz w:val="22"/>
          <w:szCs w:val="22"/>
        </w:rPr>
        <w:t xml:space="preserve"> and Others v. Switzerland</w:t>
      </w:r>
      <w:r w:rsidR="00E93751" w:rsidRPr="00E93751">
        <w:rPr>
          <w:rStyle w:val="Hyperlink"/>
          <w:rFonts w:ascii="Garamond" w:hAnsi="Garamond"/>
          <w:sz w:val="22"/>
          <w:szCs w:val="22"/>
        </w:rPr>
        <w:t xml:space="preserve"> [1998] 10737/84</w:t>
      </w:r>
      <w:r w:rsidR="00E93751">
        <w:rPr>
          <w:rFonts w:ascii="Garamond" w:hAnsi="Garamond"/>
          <w:i/>
          <w:iCs/>
          <w:sz w:val="22"/>
          <w:szCs w:val="22"/>
        </w:rPr>
        <w:fldChar w:fldCharType="end"/>
      </w:r>
      <w:r w:rsidR="00E93751">
        <w:rPr>
          <w:rFonts w:ascii="Garamond" w:hAnsi="Garamond"/>
          <w:sz w:val="22"/>
          <w:szCs w:val="22"/>
        </w:rPr>
        <w:t xml:space="preserve">).  </w:t>
      </w:r>
    </w:p>
    <w:p w14:paraId="7957EDFA" w14:textId="3D517A98" w:rsidR="004C2D06" w:rsidRDefault="004C2D06" w:rsidP="00293EFC">
      <w:pPr>
        <w:pStyle w:val="ListParagraph"/>
        <w:spacing w:line="276" w:lineRule="auto"/>
        <w:ind w:left="360"/>
        <w:jc w:val="both"/>
        <w:rPr>
          <w:rFonts w:ascii="Garamond" w:hAnsi="Garamond"/>
          <w:sz w:val="22"/>
          <w:szCs w:val="22"/>
        </w:rPr>
      </w:pPr>
    </w:p>
    <w:p w14:paraId="79D8ECE9" w14:textId="7DA676C1" w:rsidR="004C2D06" w:rsidRDefault="004C2D06" w:rsidP="00293EFC">
      <w:pPr>
        <w:pStyle w:val="ListParagraph"/>
        <w:spacing w:line="276" w:lineRule="auto"/>
        <w:ind w:left="360"/>
        <w:jc w:val="both"/>
        <w:rPr>
          <w:rFonts w:ascii="Garamond" w:hAnsi="Garamond"/>
          <w:sz w:val="22"/>
          <w:szCs w:val="22"/>
        </w:rPr>
      </w:pPr>
      <w:r>
        <w:rPr>
          <w:rFonts w:ascii="Garamond" w:hAnsi="Garamond"/>
          <w:i/>
          <w:iCs/>
          <w:sz w:val="22"/>
          <w:szCs w:val="22"/>
        </w:rPr>
        <w:t>The Court’s findings</w:t>
      </w:r>
    </w:p>
    <w:p w14:paraId="5284CE58" w14:textId="5FEE2E8E" w:rsidR="001207BB" w:rsidRDefault="001207BB" w:rsidP="00293EFC">
      <w:pPr>
        <w:pStyle w:val="ListParagraph"/>
        <w:spacing w:line="276" w:lineRule="auto"/>
        <w:ind w:left="360"/>
        <w:jc w:val="both"/>
        <w:rPr>
          <w:rFonts w:ascii="Garamond" w:hAnsi="Garamond"/>
          <w:sz w:val="22"/>
          <w:szCs w:val="22"/>
          <w:lang w:val="en-US"/>
        </w:rPr>
      </w:pPr>
    </w:p>
    <w:p w14:paraId="4F7CF519" w14:textId="3B8E0D4C" w:rsidR="001B195B" w:rsidRDefault="00C56AD1" w:rsidP="00E70CA7">
      <w:pPr>
        <w:pStyle w:val="ListParagraph"/>
        <w:spacing w:line="276" w:lineRule="auto"/>
        <w:ind w:left="360"/>
        <w:jc w:val="both"/>
        <w:rPr>
          <w:rFonts w:ascii="Garamond" w:hAnsi="Garamond"/>
          <w:sz w:val="22"/>
          <w:szCs w:val="22"/>
          <w:lang w:val="en-US"/>
        </w:rPr>
      </w:pPr>
      <w:r>
        <w:rPr>
          <w:rFonts w:ascii="Garamond" w:hAnsi="Garamond"/>
          <w:sz w:val="22"/>
          <w:szCs w:val="22"/>
          <w:lang w:val="en-US"/>
        </w:rPr>
        <w:t>The</w:t>
      </w:r>
      <w:r w:rsidR="00502CC3">
        <w:rPr>
          <w:rFonts w:ascii="Garamond" w:hAnsi="Garamond"/>
          <w:sz w:val="22"/>
          <w:szCs w:val="22"/>
          <w:lang w:val="en-US"/>
        </w:rPr>
        <w:t xml:space="preserve"> Court noted that the grant of the injunction by the Austrian domestic courts which resulted in the prohibition of the exhibition of the painting ‘Apocalypse’ by </w:t>
      </w:r>
      <w:r w:rsidR="00502CC3" w:rsidRPr="00985621">
        <w:rPr>
          <w:rFonts w:ascii="Garamond" w:hAnsi="Garamond"/>
          <w:sz w:val="22"/>
          <w:szCs w:val="22"/>
        </w:rPr>
        <w:t>Mu</w:t>
      </w:r>
      <w:r w:rsidR="00502CC3" w:rsidRPr="00985621">
        <w:rPr>
          <w:rFonts w:ascii="Times New Roman" w:hAnsi="Times New Roman" w:cs="Times New Roman"/>
          <w:sz w:val="22"/>
          <w:szCs w:val="22"/>
        </w:rPr>
        <w:t>̈</w:t>
      </w:r>
      <w:r w:rsidR="00502CC3" w:rsidRPr="00985621">
        <w:rPr>
          <w:rFonts w:ascii="Garamond" w:hAnsi="Garamond"/>
          <w:sz w:val="22"/>
          <w:szCs w:val="22"/>
        </w:rPr>
        <w:t>hl</w:t>
      </w:r>
      <w:r w:rsidR="00502CC3">
        <w:rPr>
          <w:rFonts w:ascii="Garamond" w:hAnsi="Garamond"/>
          <w:sz w:val="22"/>
          <w:szCs w:val="22"/>
        </w:rPr>
        <w:t xml:space="preserve"> interfered with the applicant’s right to freedom of expression. The Court found that it was </w:t>
      </w:r>
      <w:r w:rsidR="00526682" w:rsidRPr="00502CC3">
        <w:rPr>
          <w:rFonts w:ascii="Garamond" w:hAnsi="Garamond"/>
          <w:sz w:val="22"/>
          <w:szCs w:val="22"/>
          <w:lang w:val="en-US"/>
        </w:rPr>
        <w:t>undisputed</w:t>
      </w:r>
      <w:r w:rsidR="00502CC3" w:rsidRPr="00502CC3">
        <w:rPr>
          <w:rFonts w:ascii="Garamond" w:hAnsi="Garamond"/>
          <w:sz w:val="22"/>
          <w:szCs w:val="22"/>
          <w:lang w:val="en-US"/>
        </w:rPr>
        <w:t xml:space="preserve"> that the interference with the applicant’s right </w:t>
      </w:r>
      <w:r w:rsidR="00502CC3">
        <w:rPr>
          <w:rFonts w:ascii="Garamond" w:hAnsi="Garamond"/>
          <w:sz w:val="22"/>
          <w:szCs w:val="22"/>
          <w:lang w:val="en-US"/>
        </w:rPr>
        <w:t xml:space="preserve">was prescribed by law </w:t>
      </w:r>
      <w:r w:rsidR="0028329B">
        <w:rPr>
          <w:rFonts w:ascii="Garamond" w:hAnsi="Garamond"/>
          <w:sz w:val="22"/>
          <w:szCs w:val="22"/>
          <w:lang w:val="en-US"/>
        </w:rPr>
        <w:t>under</w:t>
      </w:r>
      <w:r w:rsidR="0018212B">
        <w:rPr>
          <w:rFonts w:ascii="Garamond" w:hAnsi="Garamond"/>
          <w:sz w:val="22"/>
          <w:szCs w:val="22"/>
          <w:lang w:val="en-US"/>
        </w:rPr>
        <w:t xml:space="preserve"> Section 78 of the Copyright Act</w:t>
      </w:r>
      <w:r w:rsidR="008C49E1">
        <w:rPr>
          <w:rFonts w:ascii="Garamond" w:hAnsi="Garamond"/>
          <w:sz w:val="22"/>
          <w:szCs w:val="22"/>
          <w:lang w:val="en-US"/>
        </w:rPr>
        <w:t xml:space="preserve">. The Court </w:t>
      </w:r>
      <w:r w:rsidR="00433264">
        <w:rPr>
          <w:rFonts w:ascii="Garamond" w:hAnsi="Garamond"/>
          <w:sz w:val="22"/>
          <w:szCs w:val="22"/>
          <w:lang w:val="en-US"/>
        </w:rPr>
        <w:t>also accepted that the interference had pursued the legitimate aim of protecting the rights of others</w:t>
      </w:r>
      <w:r w:rsidR="00937E57">
        <w:rPr>
          <w:rFonts w:ascii="Garamond" w:hAnsi="Garamond"/>
          <w:sz w:val="22"/>
          <w:szCs w:val="22"/>
          <w:lang w:val="en-US"/>
        </w:rPr>
        <w:t xml:space="preserve">, as the domestic courts had injuncted the applicant from exhibiting the painting due to its debasement </w:t>
      </w:r>
      <w:r w:rsidR="00937E57">
        <w:rPr>
          <w:rFonts w:ascii="Garamond" w:hAnsi="Garamond"/>
          <w:sz w:val="22"/>
          <w:szCs w:val="22"/>
          <w:lang w:val="en-US"/>
        </w:rPr>
        <w:lastRenderedPageBreak/>
        <w:t xml:space="preserve">of </w:t>
      </w:r>
      <w:r w:rsidR="00937E57" w:rsidRPr="00937E57">
        <w:rPr>
          <w:rFonts w:ascii="Garamond" w:hAnsi="Garamond"/>
          <w:sz w:val="22"/>
          <w:szCs w:val="22"/>
          <w:lang w:val="en-US"/>
        </w:rPr>
        <w:t>Meischberger</w:t>
      </w:r>
      <w:r w:rsidR="00937E57">
        <w:rPr>
          <w:rFonts w:ascii="Garamond" w:hAnsi="Garamond"/>
          <w:sz w:val="22"/>
          <w:szCs w:val="22"/>
          <w:lang w:val="en-US"/>
        </w:rPr>
        <w:t>’s public standing</w:t>
      </w:r>
      <w:r w:rsidR="000062B0">
        <w:rPr>
          <w:rFonts w:ascii="Garamond" w:hAnsi="Garamond"/>
          <w:sz w:val="22"/>
          <w:szCs w:val="22"/>
          <w:lang w:val="en-US"/>
        </w:rPr>
        <w:t>, basing their decisions on Section 78 of the Copyright Act</w:t>
      </w:r>
      <w:r w:rsidR="00E70CA7">
        <w:rPr>
          <w:rFonts w:ascii="Garamond" w:hAnsi="Garamond"/>
          <w:sz w:val="22"/>
          <w:szCs w:val="22"/>
          <w:lang w:val="en-US"/>
        </w:rPr>
        <w:t xml:space="preserve">. The Court observed </w:t>
      </w:r>
      <w:r w:rsidR="000062B0">
        <w:rPr>
          <w:rFonts w:ascii="Garamond" w:hAnsi="Garamond"/>
          <w:sz w:val="22"/>
          <w:szCs w:val="22"/>
          <w:lang w:val="en-US"/>
        </w:rPr>
        <w:t xml:space="preserve">that the provision </w:t>
      </w:r>
      <w:r w:rsidR="00BF7B0C" w:rsidRPr="00E70CA7">
        <w:rPr>
          <w:rFonts w:ascii="Garamond" w:hAnsi="Garamond"/>
          <w:sz w:val="22"/>
          <w:szCs w:val="22"/>
          <w:lang w:val="en-US"/>
        </w:rPr>
        <w:t xml:space="preserve">offered a remedy </w:t>
      </w:r>
      <w:r w:rsidR="00287CA8" w:rsidRPr="00E70CA7">
        <w:rPr>
          <w:rFonts w:ascii="Garamond" w:hAnsi="Garamond"/>
          <w:sz w:val="22"/>
          <w:szCs w:val="22"/>
          <w:lang w:val="en-US"/>
        </w:rPr>
        <w:t>against the publication of an individual’s picture where the publication was violative of the legitimate interests of the individual concerned</w:t>
      </w:r>
      <w:r w:rsidR="005D166A">
        <w:rPr>
          <w:rFonts w:ascii="Garamond" w:hAnsi="Garamond"/>
          <w:sz w:val="22"/>
          <w:szCs w:val="22"/>
          <w:lang w:val="en-US"/>
        </w:rPr>
        <w:t xml:space="preserve">. </w:t>
      </w:r>
      <w:r w:rsidR="00FD1C3A">
        <w:rPr>
          <w:rFonts w:ascii="Garamond" w:hAnsi="Garamond"/>
          <w:sz w:val="22"/>
          <w:szCs w:val="22"/>
          <w:lang w:val="en-US"/>
        </w:rPr>
        <w:t xml:space="preserve">Though the defendant had also submitted that the interference pursued the legitimate aim of protecting public morals, the Court rejected this argument as it did not find mention in either the stature or the terms of the domestic courts’ decisions. </w:t>
      </w:r>
    </w:p>
    <w:p w14:paraId="7440A391" w14:textId="6ECFF9AB" w:rsidR="008E5ECE" w:rsidRDefault="008E5ECE" w:rsidP="00E70CA7">
      <w:pPr>
        <w:pStyle w:val="ListParagraph"/>
        <w:spacing w:line="276" w:lineRule="auto"/>
        <w:ind w:left="360"/>
        <w:jc w:val="both"/>
        <w:rPr>
          <w:rFonts w:ascii="Garamond" w:hAnsi="Garamond"/>
          <w:sz w:val="22"/>
          <w:szCs w:val="22"/>
          <w:lang w:val="en-US"/>
        </w:rPr>
      </w:pPr>
    </w:p>
    <w:p w14:paraId="3BAA0909" w14:textId="731E2CF8" w:rsidR="008E5ECE" w:rsidRDefault="00C94F62" w:rsidP="00540478">
      <w:pPr>
        <w:pStyle w:val="ListParagraph"/>
        <w:spacing w:line="276" w:lineRule="auto"/>
        <w:ind w:left="360"/>
        <w:jc w:val="both"/>
        <w:rPr>
          <w:rFonts w:ascii="Garamond" w:hAnsi="Garamond"/>
          <w:sz w:val="22"/>
          <w:szCs w:val="22"/>
        </w:rPr>
      </w:pPr>
      <w:r>
        <w:rPr>
          <w:rFonts w:ascii="Garamond" w:hAnsi="Garamond"/>
          <w:sz w:val="22"/>
          <w:szCs w:val="22"/>
          <w:lang w:val="en-US"/>
        </w:rPr>
        <w:t xml:space="preserve">Having established that the interference was legally permissible and pursued a legitimate aim, the Court </w:t>
      </w:r>
      <w:r w:rsidR="00820553">
        <w:rPr>
          <w:rFonts w:ascii="Garamond" w:hAnsi="Garamond"/>
          <w:sz w:val="22"/>
          <w:szCs w:val="22"/>
          <w:lang w:val="en-US"/>
        </w:rPr>
        <w:t xml:space="preserve">engaged in an assessment of the necessity of the interference. </w:t>
      </w:r>
      <w:r w:rsidR="00E336F7">
        <w:rPr>
          <w:rFonts w:ascii="Garamond" w:hAnsi="Garamond"/>
          <w:sz w:val="22"/>
          <w:szCs w:val="22"/>
          <w:lang w:val="en-US"/>
        </w:rPr>
        <w:t>Firstly, the</w:t>
      </w:r>
      <w:r w:rsidR="00B60972">
        <w:rPr>
          <w:rFonts w:ascii="Garamond" w:hAnsi="Garamond"/>
          <w:sz w:val="22"/>
          <w:szCs w:val="22"/>
          <w:lang w:val="en-US"/>
        </w:rPr>
        <w:t xml:space="preserve"> Court observed that while </w:t>
      </w:r>
      <w:r w:rsidR="00191BEB" w:rsidRPr="00985621">
        <w:rPr>
          <w:rFonts w:ascii="Garamond" w:hAnsi="Garamond"/>
          <w:sz w:val="22"/>
          <w:szCs w:val="22"/>
        </w:rPr>
        <w:t>Mu</w:t>
      </w:r>
      <w:r w:rsidR="00191BEB" w:rsidRPr="00985621">
        <w:rPr>
          <w:rFonts w:ascii="Times New Roman" w:hAnsi="Times New Roman" w:cs="Times New Roman"/>
          <w:sz w:val="22"/>
          <w:szCs w:val="22"/>
        </w:rPr>
        <w:t>̈</w:t>
      </w:r>
      <w:r w:rsidR="00191BEB" w:rsidRPr="00985621">
        <w:rPr>
          <w:rFonts w:ascii="Garamond" w:hAnsi="Garamond"/>
          <w:sz w:val="22"/>
          <w:szCs w:val="22"/>
        </w:rPr>
        <w:t>hl</w:t>
      </w:r>
      <w:r w:rsidR="00191BEB">
        <w:rPr>
          <w:rFonts w:ascii="Garamond" w:hAnsi="Garamond"/>
          <w:sz w:val="22"/>
          <w:szCs w:val="22"/>
        </w:rPr>
        <w:t>’s</w:t>
      </w:r>
      <w:r w:rsidR="00B60972">
        <w:rPr>
          <w:rFonts w:ascii="Garamond" w:hAnsi="Garamond"/>
          <w:sz w:val="22"/>
          <w:szCs w:val="22"/>
          <w:lang w:val="en-US"/>
        </w:rPr>
        <w:t xml:space="preserve"> depiction of a naked </w:t>
      </w:r>
      <w:r w:rsidR="00B60972" w:rsidRPr="00985621">
        <w:rPr>
          <w:rFonts w:ascii="Garamond" w:hAnsi="Garamond"/>
          <w:sz w:val="22"/>
          <w:szCs w:val="22"/>
        </w:rPr>
        <w:t>Meischberger</w:t>
      </w:r>
      <w:r w:rsidR="00D22FB1">
        <w:rPr>
          <w:rFonts w:ascii="Garamond" w:hAnsi="Garamond"/>
          <w:sz w:val="22"/>
          <w:szCs w:val="22"/>
        </w:rPr>
        <w:t>,</w:t>
      </w:r>
      <w:r w:rsidR="00B60972">
        <w:rPr>
          <w:rFonts w:ascii="Garamond" w:hAnsi="Garamond"/>
          <w:sz w:val="22"/>
          <w:szCs w:val="22"/>
        </w:rPr>
        <w:t xml:space="preserve"> involved in sexual activities, was a “</w:t>
      </w:r>
      <w:r w:rsidR="00B60972" w:rsidRPr="00B60972">
        <w:rPr>
          <w:rFonts w:ascii="Garamond" w:hAnsi="Garamond"/>
          <w:i/>
          <w:iCs/>
          <w:sz w:val="22"/>
          <w:szCs w:val="22"/>
        </w:rPr>
        <w:t>somewhat outrageous</w:t>
      </w:r>
      <w:r w:rsidR="00B60972">
        <w:rPr>
          <w:rFonts w:ascii="Garamond" w:hAnsi="Garamond"/>
          <w:sz w:val="22"/>
          <w:szCs w:val="22"/>
        </w:rPr>
        <w:t>” [para 32] one</w:t>
      </w:r>
      <w:r w:rsidR="00191BEB">
        <w:rPr>
          <w:rFonts w:ascii="Garamond" w:hAnsi="Garamond"/>
          <w:sz w:val="22"/>
          <w:szCs w:val="22"/>
        </w:rPr>
        <w:t xml:space="preserve">, </w:t>
      </w:r>
      <w:r w:rsidR="00A300BB">
        <w:rPr>
          <w:rFonts w:ascii="Garamond" w:hAnsi="Garamond"/>
          <w:sz w:val="22"/>
          <w:szCs w:val="22"/>
        </w:rPr>
        <w:t>it was obvious to the Court that the painting was not reflective or suggestive of reality</w:t>
      </w:r>
      <w:r w:rsidR="00D22FB1">
        <w:rPr>
          <w:rFonts w:ascii="Garamond" w:hAnsi="Garamond"/>
          <w:sz w:val="22"/>
          <w:szCs w:val="22"/>
        </w:rPr>
        <w:t>. The Court noted that neither had the defendant negated so in their submissions nor had</w:t>
      </w:r>
      <w:r w:rsidR="00CA017A">
        <w:rPr>
          <w:rFonts w:ascii="Garamond" w:hAnsi="Garamond"/>
          <w:sz w:val="22"/>
          <w:szCs w:val="22"/>
        </w:rPr>
        <w:t xml:space="preserve"> the domestic courts deviated from this understanding. </w:t>
      </w:r>
      <w:r w:rsidR="006E6A96">
        <w:rPr>
          <w:rFonts w:ascii="Garamond" w:hAnsi="Garamond"/>
          <w:sz w:val="22"/>
          <w:szCs w:val="22"/>
        </w:rPr>
        <w:t>Emphasis was placed on the</w:t>
      </w:r>
      <w:r w:rsidR="00A300BB" w:rsidRPr="00540478">
        <w:rPr>
          <w:rFonts w:ascii="Garamond" w:hAnsi="Garamond"/>
          <w:sz w:val="22"/>
          <w:szCs w:val="22"/>
        </w:rPr>
        <w:t xml:space="preserve"> painting’s use of only photos of the heads of the figures with eyes hidden behind black bars and the exaggerated and unrealistic representation of the bodies</w:t>
      </w:r>
      <w:r w:rsidR="00A72372">
        <w:rPr>
          <w:rFonts w:ascii="Garamond" w:hAnsi="Garamond"/>
          <w:sz w:val="22"/>
          <w:szCs w:val="22"/>
        </w:rPr>
        <w:t xml:space="preserve">. </w:t>
      </w:r>
      <w:r w:rsidR="00BA3D94">
        <w:rPr>
          <w:rFonts w:ascii="Garamond" w:hAnsi="Garamond"/>
          <w:sz w:val="22"/>
          <w:szCs w:val="22"/>
        </w:rPr>
        <w:t>The portrayal of the figures in the ‘Apocalypse’ was determined to be a “</w:t>
      </w:r>
      <w:r w:rsidR="00BA3D94" w:rsidRPr="00BA3D94">
        <w:rPr>
          <w:rFonts w:ascii="Garamond" w:hAnsi="Garamond"/>
          <w:i/>
          <w:iCs/>
          <w:sz w:val="22"/>
          <w:szCs w:val="22"/>
        </w:rPr>
        <w:t>caricature of the persons concerned using satirical elements</w:t>
      </w:r>
      <w:r w:rsidR="00BA3D94">
        <w:rPr>
          <w:rFonts w:ascii="Garamond" w:hAnsi="Garamond"/>
          <w:sz w:val="22"/>
          <w:szCs w:val="22"/>
        </w:rPr>
        <w:t>” [para 33]</w:t>
      </w:r>
      <w:r w:rsidR="00E336F7">
        <w:rPr>
          <w:rFonts w:ascii="Garamond" w:hAnsi="Garamond"/>
          <w:sz w:val="22"/>
          <w:szCs w:val="22"/>
        </w:rPr>
        <w:t xml:space="preserve">. The Court </w:t>
      </w:r>
      <w:r w:rsidR="00AA6183">
        <w:rPr>
          <w:rFonts w:ascii="Garamond" w:hAnsi="Garamond"/>
          <w:sz w:val="22"/>
          <w:szCs w:val="22"/>
        </w:rPr>
        <w:t xml:space="preserve">stipulated that any interference with an artist’s right to freedom of expression must be carefully examined </w:t>
      </w:r>
      <w:r w:rsidR="007359F0">
        <w:rPr>
          <w:rFonts w:ascii="Garamond" w:hAnsi="Garamond"/>
          <w:sz w:val="22"/>
          <w:szCs w:val="22"/>
        </w:rPr>
        <w:t>as “</w:t>
      </w:r>
      <w:r w:rsidR="007359F0" w:rsidRPr="007359F0">
        <w:rPr>
          <w:rFonts w:ascii="Garamond" w:hAnsi="Garamond"/>
          <w:i/>
          <w:iCs/>
          <w:sz w:val="22"/>
          <w:szCs w:val="22"/>
        </w:rPr>
        <w:t>satire is a form of artistic expression and social commentary and, by its inherent features of exaggeration and distortion of reality, naturally aims to provoke and agitate</w:t>
      </w:r>
      <w:r w:rsidR="007359F0">
        <w:rPr>
          <w:rFonts w:ascii="Garamond" w:hAnsi="Garamond"/>
          <w:sz w:val="22"/>
          <w:szCs w:val="22"/>
        </w:rPr>
        <w:t>” [para 33].</w:t>
      </w:r>
    </w:p>
    <w:p w14:paraId="67B027A5" w14:textId="6BEDC107" w:rsidR="00334608" w:rsidRDefault="00334608" w:rsidP="00540478">
      <w:pPr>
        <w:pStyle w:val="ListParagraph"/>
        <w:spacing w:line="276" w:lineRule="auto"/>
        <w:ind w:left="360"/>
        <w:jc w:val="both"/>
        <w:rPr>
          <w:rFonts w:ascii="Garamond" w:hAnsi="Garamond"/>
          <w:sz w:val="22"/>
          <w:szCs w:val="22"/>
        </w:rPr>
      </w:pPr>
    </w:p>
    <w:p w14:paraId="44679EDF" w14:textId="2DC001C9" w:rsidR="00196146" w:rsidRDefault="00E670EC" w:rsidP="008A6798">
      <w:pPr>
        <w:pStyle w:val="ListParagraph"/>
        <w:spacing w:line="276" w:lineRule="auto"/>
        <w:ind w:left="360"/>
        <w:jc w:val="both"/>
        <w:rPr>
          <w:rFonts w:ascii="Garamond" w:hAnsi="Garamond"/>
          <w:sz w:val="22"/>
          <w:szCs w:val="22"/>
        </w:rPr>
      </w:pPr>
      <w:r>
        <w:rPr>
          <w:rFonts w:ascii="Garamond" w:hAnsi="Garamond"/>
          <w:sz w:val="22"/>
          <w:szCs w:val="22"/>
        </w:rPr>
        <w:t>Secondly, by</w:t>
      </w:r>
      <w:r w:rsidR="00941860">
        <w:rPr>
          <w:rFonts w:ascii="Garamond" w:hAnsi="Garamond"/>
          <w:sz w:val="22"/>
          <w:szCs w:val="22"/>
        </w:rPr>
        <w:t xml:space="preserve"> relying on </w:t>
      </w:r>
      <w:hyperlink r:id="rId6" w:anchor="{&quot;fulltext&quot;:[&quot;Lingens%20v.%20Austria&quot;],&quot;documentcollectionid2&quot;:[&quot;GRANDCHAMBER&quot;,&quot;CHAMBER&quot;],&quot;itemid&quot;:[&quot;001-57523&quot;]}" w:history="1">
        <w:proofErr w:type="spellStart"/>
        <w:r w:rsidR="00941860" w:rsidRPr="00941860">
          <w:rPr>
            <w:rStyle w:val="Hyperlink"/>
            <w:rFonts w:ascii="Garamond" w:hAnsi="Garamond"/>
            <w:i/>
            <w:iCs/>
            <w:sz w:val="22"/>
            <w:szCs w:val="22"/>
          </w:rPr>
          <w:t>Lingens</w:t>
        </w:r>
        <w:proofErr w:type="spellEnd"/>
        <w:r w:rsidR="00941860" w:rsidRPr="00941860">
          <w:rPr>
            <w:rStyle w:val="Hyperlink"/>
            <w:rFonts w:ascii="Garamond" w:hAnsi="Garamond"/>
            <w:i/>
            <w:iCs/>
            <w:sz w:val="22"/>
            <w:szCs w:val="22"/>
          </w:rPr>
          <w:t xml:space="preserve"> v. Austria</w:t>
        </w:r>
        <w:r w:rsidR="00941860" w:rsidRPr="00941860">
          <w:rPr>
            <w:rStyle w:val="Hyperlink"/>
            <w:rFonts w:ascii="Garamond" w:hAnsi="Garamond"/>
            <w:sz w:val="22"/>
            <w:szCs w:val="22"/>
          </w:rPr>
          <w:t xml:space="preserve"> [1986] 9815/82</w:t>
        </w:r>
      </w:hyperlink>
      <w:r w:rsidR="00941860">
        <w:rPr>
          <w:rFonts w:ascii="Garamond" w:hAnsi="Garamond"/>
          <w:sz w:val="22"/>
          <w:szCs w:val="22"/>
        </w:rPr>
        <w:t xml:space="preserve">, the Court noted that </w:t>
      </w:r>
      <w:r w:rsidR="00334608" w:rsidRPr="00941860">
        <w:rPr>
          <w:rFonts w:ascii="Garamond" w:hAnsi="Garamond"/>
          <w:sz w:val="22"/>
          <w:szCs w:val="22"/>
        </w:rPr>
        <w:t xml:space="preserve">given that the depiction of </w:t>
      </w:r>
      <w:r w:rsidR="00334608" w:rsidRPr="00941860">
        <w:rPr>
          <w:rFonts w:ascii="Garamond" w:hAnsi="Garamond"/>
          <w:sz w:val="22"/>
          <w:szCs w:val="22"/>
        </w:rPr>
        <w:t>Meischberger</w:t>
      </w:r>
      <w:r w:rsidR="00334608" w:rsidRPr="00941860">
        <w:rPr>
          <w:rFonts w:ascii="Garamond" w:hAnsi="Garamond"/>
          <w:sz w:val="22"/>
          <w:szCs w:val="22"/>
        </w:rPr>
        <w:t xml:space="preserve"> pertained to his public standi</w:t>
      </w:r>
      <w:r w:rsidR="00941860" w:rsidRPr="00941860">
        <w:rPr>
          <w:rFonts w:ascii="Garamond" w:hAnsi="Garamond"/>
          <w:sz w:val="22"/>
          <w:szCs w:val="22"/>
        </w:rPr>
        <w:t xml:space="preserve">ng as a politician of the FPO and not to his private life, </w:t>
      </w:r>
      <w:r w:rsidR="004F53FD" w:rsidRPr="00941860">
        <w:rPr>
          <w:rFonts w:ascii="Garamond" w:hAnsi="Garamond"/>
          <w:sz w:val="22"/>
          <w:szCs w:val="22"/>
        </w:rPr>
        <w:t>Meischberger</w:t>
      </w:r>
      <w:r w:rsidR="004F53FD">
        <w:rPr>
          <w:rFonts w:ascii="Garamond" w:hAnsi="Garamond"/>
          <w:sz w:val="22"/>
          <w:szCs w:val="22"/>
        </w:rPr>
        <w:t xml:space="preserve"> had to be more tolerant of criticism</w:t>
      </w:r>
      <w:r w:rsidR="000646DB">
        <w:rPr>
          <w:rFonts w:ascii="Garamond" w:hAnsi="Garamond"/>
          <w:sz w:val="22"/>
          <w:szCs w:val="22"/>
        </w:rPr>
        <w:t xml:space="preserve"> [para 34].</w:t>
      </w:r>
      <w:r w:rsidR="00A63DEF">
        <w:rPr>
          <w:rFonts w:ascii="Garamond" w:hAnsi="Garamond"/>
          <w:sz w:val="22"/>
          <w:szCs w:val="22"/>
        </w:rPr>
        <w:t xml:space="preserve"> </w:t>
      </w:r>
      <w:r w:rsidR="00EF71A9">
        <w:rPr>
          <w:rFonts w:ascii="Garamond" w:hAnsi="Garamond"/>
          <w:sz w:val="22"/>
          <w:szCs w:val="22"/>
        </w:rPr>
        <w:t xml:space="preserve">Echoing the domestic court of first instance, the Court observed that the painting could </w:t>
      </w:r>
      <w:r w:rsidR="00CA149B">
        <w:rPr>
          <w:rFonts w:ascii="Garamond" w:hAnsi="Garamond"/>
          <w:sz w:val="22"/>
          <w:szCs w:val="22"/>
        </w:rPr>
        <w:t>rather be</w:t>
      </w:r>
      <w:r w:rsidR="00EF71A9">
        <w:rPr>
          <w:rFonts w:ascii="Garamond" w:hAnsi="Garamond"/>
          <w:sz w:val="22"/>
          <w:szCs w:val="22"/>
        </w:rPr>
        <w:t xml:space="preserve"> understood to be a counter-attack against the FPO as its members had been scathingly critical of </w:t>
      </w:r>
      <w:r w:rsidR="00EF71A9" w:rsidRPr="00985621">
        <w:rPr>
          <w:rFonts w:ascii="Garamond" w:hAnsi="Garamond"/>
          <w:sz w:val="22"/>
          <w:szCs w:val="22"/>
        </w:rPr>
        <w:t>Mu</w:t>
      </w:r>
      <w:r w:rsidR="00EF71A9" w:rsidRPr="00985621">
        <w:rPr>
          <w:rFonts w:ascii="Times New Roman" w:hAnsi="Times New Roman" w:cs="Times New Roman"/>
          <w:sz w:val="22"/>
          <w:szCs w:val="22"/>
        </w:rPr>
        <w:t>̈</w:t>
      </w:r>
      <w:r w:rsidR="00EF71A9" w:rsidRPr="00985621">
        <w:rPr>
          <w:rFonts w:ascii="Garamond" w:hAnsi="Garamond"/>
          <w:sz w:val="22"/>
          <w:szCs w:val="22"/>
        </w:rPr>
        <w:t>hl</w:t>
      </w:r>
      <w:r w:rsidR="00EF71A9">
        <w:rPr>
          <w:rFonts w:ascii="Garamond" w:hAnsi="Garamond"/>
          <w:sz w:val="22"/>
          <w:szCs w:val="22"/>
        </w:rPr>
        <w:t xml:space="preserve">’s work. </w:t>
      </w:r>
      <w:r w:rsidR="00330330">
        <w:rPr>
          <w:rFonts w:ascii="Garamond" w:hAnsi="Garamond"/>
          <w:sz w:val="22"/>
          <w:szCs w:val="22"/>
        </w:rPr>
        <w:t>Furthermo</w:t>
      </w:r>
      <w:r w:rsidR="00A0191C">
        <w:rPr>
          <w:rFonts w:ascii="Garamond" w:hAnsi="Garamond"/>
          <w:sz w:val="22"/>
          <w:szCs w:val="22"/>
        </w:rPr>
        <w:t xml:space="preserve">re, per the Court, </w:t>
      </w:r>
      <w:r w:rsidR="00A0191C" w:rsidRPr="00941860">
        <w:rPr>
          <w:rFonts w:ascii="Garamond" w:hAnsi="Garamond"/>
          <w:sz w:val="22"/>
          <w:szCs w:val="22"/>
        </w:rPr>
        <w:t>Meischberger</w:t>
      </w:r>
      <w:r w:rsidR="00A0191C">
        <w:rPr>
          <w:rFonts w:ascii="Garamond" w:hAnsi="Garamond"/>
          <w:sz w:val="22"/>
          <w:szCs w:val="22"/>
        </w:rPr>
        <w:t xml:space="preserve"> was one of lesser-known and scantly remembered figures depicted in the painting vis-à-vis some of the other 33 figures </w:t>
      </w:r>
      <w:r w:rsidR="00D64E7F">
        <w:rPr>
          <w:rFonts w:ascii="Garamond" w:hAnsi="Garamond"/>
          <w:sz w:val="22"/>
          <w:szCs w:val="22"/>
        </w:rPr>
        <w:t xml:space="preserve">who were </w:t>
      </w:r>
      <w:r w:rsidR="00A0191C">
        <w:rPr>
          <w:rFonts w:ascii="Garamond" w:hAnsi="Garamond"/>
          <w:sz w:val="22"/>
          <w:szCs w:val="22"/>
        </w:rPr>
        <w:t>more well-known to the Austrian public</w:t>
      </w:r>
      <w:r w:rsidR="007266D0">
        <w:rPr>
          <w:rFonts w:ascii="Garamond" w:hAnsi="Garamond"/>
          <w:sz w:val="22"/>
          <w:szCs w:val="22"/>
        </w:rPr>
        <w:t xml:space="preserve"> [para 35]. </w:t>
      </w:r>
      <w:r w:rsidR="0098767E">
        <w:rPr>
          <w:rFonts w:ascii="Garamond" w:hAnsi="Garamond"/>
          <w:sz w:val="22"/>
          <w:szCs w:val="22"/>
        </w:rPr>
        <w:t xml:space="preserve">The Court also observed </w:t>
      </w:r>
      <w:r w:rsidR="00090006">
        <w:rPr>
          <w:rFonts w:ascii="Garamond" w:hAnsi="Garamond"/>
          <w:sz w:val="22"/>
          <w:szCs w:val="22"/>
        </w:rPr>
        <w:t>that post the</w:t>
      </w:r>
      <w:r w:rsidR="00B14761">
        <w:rPr>
          <w:rFonts w:ascii="Garamond" w:hAnsi="Garamond"/>
          <w:sz w:val="22"/>
          <w:szCs w:val="22"/>
        </w:rPr>
        <w:t xml:space="preserve"> vandalization</w:t>
      </w:r>
      <w:r w:rsidR="00090006">
        <w:rPr>
          <w:rFonts w:ascii="Garamond" w:hAnsi="Garamond"/>
          <w:sz w:val="22"/>
          <w:szCs w:val="22"/>
        </w:rPr>
        <w:t xml:space="preserve"> incident </w:t>
      </w:r>
      <w:r w:rsidR="00B14761">
        <w:rPr>
          <w:rFonts w:ascii="Garamond" w:hAnsi="Garamond"/>
          <w:sz w:val="22"/>
          <w:szCs w:val="22"/>
        </w:rPr>
        <w:t>of</w:t>
      </w:r>
      <w:r w:rsidR="00090006">
        <w:rPr>
          <w:rFonts w:ascii="Garamond" w:hAnsi="Garamond"/>
          <w:sz w:val="22"/>
          <w:szCs w:val="22"/>
        </w:rPr>
        <w:t xml:space="preserve"> June 12, 1998, </w:t>
      </w:r>
      <w:r w:rsidR="00F14B6E" w:rsidRPr="00985621">
        <w:rPr>
          <w:rFonts w:ascii="Garamond" w:hAnsi="Garamond"/>
          <w:sz w:val="22"/>
          <w:szCs w:val="22"/>
        </w:rPr>
        <w:t>Meischberger</w:t>
      </w:r>
      <w:r w:rsidR="00F14B6E">
        <w:rPr>
          <w:rFonts w:ascii="Garamond" w:hAnsi="Garamond"/>
          <w:sz w:val="22"/>
          <w:szCs w:val="22"/>
        </w:rPr>
        <w:t>’s depiction was “</w:t>
      </w:r>
      <w:r w:rsidR="00F14B6E" w:rsidRPr="00F14B6E">
        <w:rPr>
          <w:rFonts w:ascii="Garamond" w:hAnsi="Garamond"/>
          <w:i/>
          <w:iCs/>
          <w:sz w:val="22"/>
          <w:szCs w:val="22"/>
        </w:rPr>
        <w:t xml:space="preserve">certainly </w:t>
      </w:r>
      <w:r w:rsidR="00F14B6E" w:rsidRPr="00F14B6E">
        <w:rPr>
          <w:rFonts w:ascii="Garamond" w:hAnsi="Garamond"/>
          <w:i/>
          <w:iCs/>
          <w:sz w:val="22"/>
          <w:szCs w:val="22"/>
        </w:rPr>
        <w:t>diminished, if not totally eclipsed</w:t>
      </w:r>
      <w:r w:rsidR="00F14B6E">
        <w:rPr>
          <w:rFonts w:ascii="Garamond" w:hAnsi="Garamond"/>
          <w:sz w:val="22"/>
          <w:szCs w:val="22"/>
        </w:rPr>
        <w:t>” [para 36]</w:t>
      </w:r>
      <w:r w:rsidR="00DC0CCD">
        <w:rPr>
          <w:rFonts w:ascii="Garamond" w:hAnsi="Garamond"/>
          <w:sz w:val="22"/>
          <w:szCs w:val="22"/>
        </w:rPr>
        <w:t xml:space="preserve"> by the portrayals of these other more prominent figures. </w:t>
      </w:r>
      <w:r w:rsidR="00FF5437" w:rsidRPr="00C16564">
        <w:rPr>
          <w:rFonts w:ascii="Garamond" w:hAnsi="Garamond"/>
          <w:sz w:val="22"/>
          <w:szCs w:val="22"/>
        </w:rPr>
        <w:t xml:space="preserve">Thirdly, </w:t>
      </w:r>
      <w:r w:rsidR="00B57DA2">
        <w:rPr>
          <w:rFonts w:ascii="Garamond" w:hAnsi="Garamond"/>
          <w:sz w:val="22"/>
          <w:szCs w:val="22"/>
        </w:rPr>
        <w:t xml:space="preserve">the Court highlighted that the injunction granted in favour of </w:t>
      </w:r>
      <w:r w:rsidR="00B57DA2" w:rsidRPr="00985621">
        <w:rPr>
          <w:rFonts w:ascii="Garamond" w:hAnsi="Garamond"/>
          <w:sz w:val="22"/>
          <w:szCs w:val="22"/>
        </w:rPr>
        <w:t>Meischberger</w:t>
      </w:r>
      <w:r w:rsidR="00B57DA2">
        <w:rPr>
          <w:rFonts w:ascii="Garamond" w:hAnsi="Garamond"/>
          <w:sz w:val="22"/>
          <w:szCs w:val="22"/>
        </w:rPr>
        <w:t xml:space="preserve"> was not limited in time or space.</w:t>
      </w:r>
      <w:r w:rsidR="005F64EA">
        <w:rPr>
          <w:rFonts w:ascii="Garamond" w:hAnsi="Garamond"/>
          <w:sz w:val="22"/>
          <w:szCs w:val="22"/>
        </w:rPr>
        <w:t xml:space="preserve"> The implication of such an injunction was that the applicant could not exhibit the ‘</w:t>
      </w:r>
      <w:proofErr w:type="spellStart"/>
      <w:r w:rsidR="005F64EA">
        <w:rPr>
          <w:rFonts w:ascii="Garamond" w:hAnsi="Garamond"/>
          <w:sz w:val="22"/>
          <w:szCs w:val="22"/>
        </w:rPr>
        <w:t>Apolcalypse</w:t>
      </w:r>
      <w:proofErr w:type="spellEnd"/>
      <w:r w:rsidR="005F64EA">
        <w:rPr>
          <w:rFonts w:ascii="Garamond" w:hAnsi="Garamond"/>
          <w:sz w:val="22"/>
          <w:szCs w:val="22"/>
        </w:rPr>
        <w:t xml:space="preserve">’ </w:t>
      </w:r>
      <w:r w:rsidR="00D61C25">
        <w:rPr>
          <w:rFonts w:ascii="Garamond" w:hAnsi="Garamond"/>
          <w:sz w:val="22"/>
          <w:szCs w:val="22"/>
        </w:rPr>
        <w:t xml:space="preserve">at any place or time in the future irrespective of whether </w:t>
      </w:r>
      <w:r w:rsidR="00D61C25" w:rsidRPr="00985621">
        <w:rPr>
          <w:rFonts w:ascii="Garamond" w:hAnsi="Garamond"/>
          <w:sz w:val="22"/>
          <w:szCs w:val="22"/>
        </w:rPr>
        <w:t>Meischberger</w:t>
      </w:r>
      <w:r w:rsidR="00D61C25">
        <w:rPr>
          <w:rFonts w:ascii="Garamond" w:hAnsi="Garamond"/>
          <w:sz w:val="22"/>
          <w:szCs w:val="22"/>
        </w:rPr>
        <w:t xml:space="preserve"> was still known</w:t>
      </w:r>
      <w:r w:rsidR="00E146B1">
        <w:rPr>
          <w:rFonts w:ascii="Garamond" w:hAnsi="Garamond"/>
          <w:sz w:val="22"/>
          <w:szCs w:val="22"/>
        </w:rPr>
        <w:t xml:space="preserve"> to the public [para 37]. </w:t>
      </w:r>
    </w:p>
    <w:p w14:paraId="3A115363" w14:textId="45B8CEDD" w:rsidR="00D71116" w:rsidRDefault="00D71116" w:rsidP="008A6798">
      <w:pPr>
        <w:pStyle w:val="ListParagraph"/>
        <w:spacing w:line="276" w:lineRule="auto"/>
        <w:ind w:left="360"/>
        <w:jc w:val="both"/>
        <w:rPr>
          <w:rFonts w:ascii="Garamond" w:hAnsi="Garamond"/>
          <w:sz w:val="22"/>
          <w:szCs w:val="22"/>
        </w:rPr>
      </w:pPr>
    </w:p>
    <w:p w14:paraId="1239459F" w14:textId="77777777" w:rsidR="00AF4702" w:rsidRDefault="00D71116" w:rsidP="00AF4702">
      <w:pPr>
        <w:pStyle w:val="ListParagraph"/>
        <w:spacing w:line="276" w:lineRule="auto"/>
        <w:ind w:left="360"/>
        <w:jc w:val="both"/>
        <w:rPr>
          <w:rFonts w:ascii="Garamond" w:hAnsi="Garamond"/>
          <w:color w:val="000000"/>
          <w:sz w:val="22"/>
          <w:szCs w:val="22"/>
        </w:rPr>
      </w:pPr>
      <w:r>
        <w:rPr>
          <w:rFonts w:ascii="Garamond" w:hAnsi="Garamond"/>
          <w:sz w:val="22"/>
          <w:szCs w:val="22"/>
        </w:rPr>
        <w:t xml:space="preserve">The Court, having balanced </w:t>
      </w:r>
      <w:r w:rsidR="004426E9" w:rsidRPr="00D71116">
        <w:rPr>
          <w:rFonts w:ascii="Garamond" w:hAnsi="Garamond"/>
          <w:sz w:val="22"/>
          <w:szCs w:val="22"/>
        </w:rPr>
        <w:t>the</w:t>
      </w:r>
      <w:r w:rsidR="008A6798" w:rsidRPr="00D71116">
        <w:rPr>
          <w:rFonts w:ascii="Garamond" w:hAnsi="Garamond"/>
          <w:sz w:val="22"/>
          <w:szCs w:val="22"/>
        </w:rPr>
        <w:t xml:space="preserve"> satirical nature of </w:t>
      </w:r>
      <w:r w:rsidR="008A6798" w:rsidRPr="00D71116">
        <w:rPr>
          <w:rFonts w:ascii="Garamond" w:hAnsi="Garamond"/>
          <w:sz w:val="22"/>
          <w:szCs w:val="22"/>
        </w:rPr>
        <w:t>Mu</w:t>
      </w:r>
      <w:r w:rsidR="008A6798" w:rsidRPr="00D71116">
        <w:rPr>
          <w:rFonts w:ascii="Times New Roman" w:hAnsi="Times New Roman" w:cs="Times New Roman"/>
          <w:sz w:val="22"/>
          <w:szCs w:val="22"/>
        </w:rPr>
        <w:t>̈</w:t>
      </w:r>
      <w:r w:rsidR="008A6798" w:rsidRPr="00D71116">
        <w:rPr>
          <w:rFonts w:ascii="Garamond" w:hAnsi="Garamond"/>
          <w:sz w:val="22"/>
          <w:szCs w:val="22"/>
        </w:rPr>
        <w:t>hl’s</w:t>
      </w:r>
      <w:r w:rsidR="008A6798" w:rsidRPr="00D71116">
        <w:rPr>
          <w:rFonts w:ascii="Garamond" w:hAnsi="Garamond"/>
          <w:sz w:val="22"/>
          <w:szCs w:val="22"/>
        </w:rPr>
        <w:t xml:space="preserve"> expression and the implications of the injunction on the applicant </w:t>
      </w:r>
      <w:r w:rsidR="00C15FC2" w:rsidRPr="00D71116">
        <w:rPr>
          <w:rFonts w:ascii="Garamond" w:hAnsi="Garamond"/>
          <w:sz w:val="22"/>
          <w:szCs w:val="22"/>
        </w:rPr>
        <w:t>with</w:t>
      </w:r>
      <w:r w:rsidR="00105B24" w:rsidRPr="00D71116">
        <w:rPr>
          <w:rFonts w:ascii="Garamond" w:hAnsi="Garamond"/>
          <w:sz w:val="22"/>
          <w:szCs w:val="22"/>
        </w:rPr>
        <w:t xml:space="preserve"> </w:t>
      </w:r>
      <w:r w:rsidR="00105B24" w:rsidRPr="00D71116">
        <w:rPr>
          <w:rFonts w:ascii="Garamond" w:hAnsi="Garamond"/>
          <w:sz w:val="22"/>
          <w:szCs w:val="22"/>
        </w:rPr>
        <w:t>Meischberger</w:t>
      </w:r>
      <w:r w:rsidR="00105B24" w:rsidRPr="00D71116">
        <w:rPr>
          <w:rFonts w:ascii="Garamond" w:hAnsi="Garamond"/>
          <w:sz w:val="22"/>
          <w:szCs w:val="22"/>
        </w:rPr>
        <w:t xml:space="preserve">’s personal interests, </w:t>
      </w:r>
      <w:r>
        <w:rPr>
          <w:rFonts w:ascii="Garamond" w:hAnsi="Garamond"/>
          <w:sz w:val="22"/>
          <w:szCs w:val="22"/>
        </w:rPr>
        <w:t xml:space="preserve">found that the </w:t>
      </w:r>
      <w:r w:rsidR="00720E54">
        <w:rPr>
          <w:rFonts w:ascii="Garamond" w:hAnsi="Garamond"/>
          <w:sz w:val="22"/>
          <w:szCs w:val="22"/>
        </w:rPr>
        <w:t>injunction granted by the Austrian domestic courts was disproportionate to the legitimate aim pursued</w:t>
      </w:r>
      <w:r w:rsidR="00DA4C9F">
        <w:rPr>
          <w:rFonts w:ascii="Garamond" w:hAnsi="Garamond"/>
          <w:sz w:val="22"/>
          <w:szCs w:val="22"/>
        </w:rPr>
        <w:t xml:space="preserve"> </w:t>
      </w:r>
      <w:r w:rsidR="00720E54">
        <w:rPr>
          <w:rFonts w:ascii="Garamond" w:hAnsi="Garamond"/>
          <w:sz w:val="22"/>
          <w:szCs w:val="22"/>
        </w:rPr>
        <w:t>and therefore not necessary</w:t>
      </w:r>
      <w:r w:rsidR="00DA4C9F">
        <w:rPr>
          <w:rFonts w:ascii="Garamond" w:hAnsi="Garamond"/>
          <w:sz w:val="22"/>
          <w:szCs w:val="22"/>
        </w:rPr>
        <w:t xml:space="preserve"> in a democratic society.</w:t>
      </w:r>
      <w:r w:rsidR="00065E61">
        <w:rPr>
          <w:rFonts w:ascii="Garamond" w:hAnsi="Garamond"/>
          <w:sz w:val="22"/>
          <w:szCs w:val="22"/>
        </w:rPr>
        <w:t xml:space="preserve"> </w:t>
      </w:r>
      <w:r w:rsidR="00065E61" w:rsidRPr="00A53D7A">
        <w:rPr>
          <w:rFonts w:ascii="Garamond" w:hAnsi="Garamond"/>
          <w:color w:val="000000"/>
          <w:sz w:val="22"/>
          <w:szCs w:val="22"/>
        </w:rPr>
        <w:t>Accordingly, a violation of the applicant</w:t>
      </w:r>
      <w:r w:rsidR="00DA3DA9">
        <w:rPr>
          <w:rFonts w:ascii="Garamond" w:hAnsi="Garamond"/>
          <w:color w:val="000000"/>
          <w:sz w:val="22"/>
          <w:szCs w:val="22"/>
        </w:rPr>
        <w:t>’s</w:t>
      </w:r>
      <w:r w:rsidR="00065E61" w:rsidRPr="00A53D7A">
        <w:rPr>
          <w:rFonts w:ascii="Garamond" w:hAnsi="Garamond"/>
          <w:color w:val="000000"/>
          <w:sz w:val="22"/>
          <w:szCs w:val="22"/>
        </w:rPr>
        <w:t xml:space="preserve"> rights pursuant to Article 10 of the Convention was pronounced.</w:t>
      </w:r>
    </w:p>
    <w:p w14:paraId="75F9A612" w14:textId="77777777" w:rsidR="00AF4702" w:rsidRDefault="00AF4702" w:rsidP="00AF4702">
      <w:pPr>
        <w:pStyle w:val="ListParagraph"/>
        <w:spacing w:line="276" w:lineRule="auto"/>
        <w:ind w:left="360"/>
        <w:jc w:val="both"/>
        <w:rPr>
          <w:rFonts w:ascii="Garamond" w:hAnsi="Garamond"/>
          <w:color w:val="000000"/>
          <w:sz w:val="22"/>
          <w:szCs w:val="22"/>
        </w:rPr>
      </w:pPr>
    </w:p>
    <w:p w14:paraId="1B167D83" w14:textId="77777777" w:rsidR="00AF4702" w:rsidRDefault="00854816" w:rsidP="00AF4702">
      <w:pPr>
        <w:pStyle w:val="ListParagraph"/>
        <w:spacing w:line="276" w:lineRule="auto"/>
        <w:ind w:left="360"/>
        <w:jc w:val="both"/>
        <w:rPr>
          <w:rFonts w:ascii="Garamond" w:hAnsi="Garamond"/>
          <w:i/>
          <w:iCs/>
          <w:color w:val="000000"/>
          <w:sz w:val="22"/>
          <w:szCs w:val="22"/>
        </w:rPr>
      </w:pPr>
      <w:r>
        <w:rPr>
          <w:rFonts w:ascii="Garamond" w:hAnsi="Garamond"/>
          <w:i/>
          <w:iCs/>
          <w:color w:val="000000"/>
          <w:sz w:val="22"/>
          <w:szCs w:val="22"/>
        </w:rPr>
        <w:t xml:space="preserve">Dissenting Opinion of Judge </w:t>
      </w:r>
      <w:proofErr w:type="spellStart"/>
      <w:r>
        <w:rPr>
          <w:rFonts w:ascii="Garamond" w:hAnsi="Garamond"/>
          <w:i/>
          <w:iCs/>
          <w:color w:val="000000"/>
          <w:sz w:val="22"/>
          <w:szCs w:val="22"/>
        </w:rPr>
        <w:t>Loucaides</w:t>
      </w:r>
      <w:proofErr w:type="spellEnd"/>
    </w:p>
    <w:p w14:paraId="661DCFAC" w14:textId="77777777" w:rsidR="00AF4702" w:rsidRDefault="00AF4702" w:rsidP="00AF4702">
      <w:pPr>
        <w:pStyle w:val="ListParagraph"/>
        <w:spacing w:line="276" w:lineRule="auto"/>
        <w:ind w:left="360"/>
        <w:jc w:val="both"/>
        <w:rPr>
          <w:rFonts w:ascii="Garamond" w:hAnsi="Garamond"/>
          <w:i/>
          <w:iCs/>
          <w:color w:val="000000"/>
          <w:sz w:val="22"/>
          <w:szCs w:val="22"/>
        </w:rPr>
      </w:pPr>
    </w:p>
    <w:p w14:paraId="72DEAD93" w14:textId="77777777" w:rsidR="00345563" w:rsidRDefault="00EB456E" w:rsidP="00345563">
      <w:pPr>
        <w:pStyle w:val="ListParagraph"/>
        <w:spacing w:line="276" w:lineRule="auto"/>
        <w:ind w:left="360"/>
        <w:jc w:val="both"/>
        <w:rPr>
          <w:rFonts w:ascii="Garamond" w:hAnsi="Garamond"/>
          <w:color w:val="000000"/>
          <w:sz w:val="22"/>
          <w:szCs w:val="22"/>
        </w:rPr>
      </w:pPr>
      <w:r>
        <w:rPr>
          <w:rFonts w:ascii="Garamond" w:hAnsi="Garamond"/>
          <w:color w:val="000000"/>
          <w:sz w:val="22"/>
          <w:szCs w:val="22"/>
        </w:rPr>
        <w:t xml:space="preserve">Judge </w:t>
      </w:r>
      <w:proofErr w:type="spellStart"/>
      <w:r>
        <w:rPr>
          <w:rFonts w:ascii="Garamond" w:hAnsi="Garamond"/>
          <w:color w:val="000000"/>
          <w:sz w:val="22"/>
          <w:szCs w:val="22"/>
        </w:rPr>
        <w:t>Loucaides</w:t>
      </w:r>
      <w:proofErr w:type="spellEnd"/>
      <w:r>
        <w:rPr>
          <w:rFonts w:ascii="Garamond" w:hAnsi="Garamond"/>
          <w:color w:val="000000"/>
          <w:sz w:val="22"/>
          <w:szCs w:val="22"/>
        </w:rPr>
        <w:t xml:space="preserve">, in his </w:t>
      </w:r>
      <w:r w:rsidR="00CF2BBC">
        <w:rPr>
          <w:rFonts w:ascii="Garamond" w:hAnsi="Garamond"/>
          <w:color w:val="000000"/>
          <w:sz w:val="22"/>
          <w:szCs w:val="22"/>
        </w:rPr>
        <w:t xml:space="preserve">Dissenting Opinion, distinguished himself from the majority by opining </w:t>
      </w:r>
      <w:r w:rsidR="002E0D9D">
        <w:rPr>
          <w:rFonts w:ascii="Garamond" w:hAnsi="Garamond"/>
          <w:color w:val="000000"/>
          <w:sz w:val="22"/>
          <w:szCs w:val="22"/>
        </w:rPr>
        <w:t xml:space="preserve">that the applicant’s right to freedom of expression </w:t>
      </w:r>
      <w:r w:rsidR="009A5D7B">
        <w:rPr>
          <w:rFonts w:ascii="Garamond" w:hAnsi="Garamond"/>
          <w:color w:val="000000"/>
          <w:sz w:val="22"/>
          <w:szCs w:val="22"/>
        </w:rPr>
        <w:t>pursuant to</w:t>
      </w:r>
      <w:r w:rsidR="002E0D9D">
        <w:rPr>
          <w:rFonts w:ascii="Garamond" w:hAnsi="Garamond"/>
          <w:color w:val="000000"/>
          <w:sz w:val="22"/>
          <w:szCs w:val="22"/>
        </w:rPr>
        <w:t xml:space="preserve"> Article 10 of the Convention had not been violated. </w:t>
      </w:r>
      <w:r w:rsidR="00867A10">
        <w:rPr>
          <w:rFonts w:ascii="Garamond" w:hAnsi="Garamond"/>
          <w:color w:val="000000"/>
          <w:sz w:val="22"/>
          <w:szCs w:val="22"/>
        </w:rPr>
        <w:t>He opined that the meaning, nature, and effect of the images in a painting must not be assessed by the metric of what the artist intended to convey, but rather</w:t>
      </w:r>
      <w:r w:rsidR="001C236B">
        <w:rPr>
          <w:rFonts w:ascii="Garamond" w:hAnsi="Garamond"/>
          <w:color w:val="000000"/>
          <w:sz w:val="22"/>
          <w:szCs w:val="22"/>
        </w:rPr>
        <w:t xml:space="preserve"> must be assessed on the basis of</w:t>
      </w:r>
      <w:r w:rsidR="00867A10">
        <w:rPr>
          <w:rFonts w:ascii="Garamond" w:hAnsi="Garamond"/>
          <w:color w:val="000000"/>
          <w:sz w:val="22"/>
          <w:szCs w:val="22"/>
        </w:rPr>
        <w:t xml:space="preserve"> </w:t>
      </w:r>
      <w:r w:rsidR="001C236B">
        <w:rPr>
          <w:rFonts w:ascii="Garamond" w:hAnsi="Garamond"/>
          <w:color w:val="000000"/>
          <w:sz w:val="22"/>
          <w:szCs w:val="22"/>
        </w:rPr>
        <w:t>effects</w:t>
      </w:r>
      <w:r w:rsidR="00867A10">
        <w:rPr>
          <w:rFonts w:ascii="Garamond" w:hAnsi="Garamond"/>
          <w:color w:val="000000"/>
          <w:sz w:val="22"/>
          <w:szCs w:val="22"/>
        </w:rPr>
        <w:t xml:space="preserve"> of the images on the viewers/audience. </w:t>
      </w:r>
      <w:r w:rsidR="005832CC">
        <w:rPr>
          <w:rFonts w:ascii="Garamond" w:hAnsi="Garamond"/>
          <w:color w:val="000000"/>
          <w:sz w:val="22"/>
          <w:szCs w:val="22"/>
        </w:rPr>
        <w:t xml:space="preserve">He noted that, in his view, not every image was artistic merely because it was produced by an artist, and that images could not be classed as being satirical if the criticism about a specific issue or figure </w:t>
      </w:r>
      <w:r w:rsidR="00C64DBB">
        <w:rPr>
          <w:rFonts w:ascii="Garamond" w:hAnsi="Garamond"/>
          <w:color w:val="000000"/>
          <w:sz w:val="22"/>
          <w:szCs w:val="22"/>
        </w:rPr>
        <w:t xml:space="preserve">could not be drawn from </w:t>
      </w:r>
      <w:r w:rsidR="004528A9">
        <w:rPr>
          <w:rFonts w:ascii="Garamond" w:hAnsi="Garamond"/>
          <w:color w:val="000000"/>
          <w:sz w:val="22"/>
          <w:szCs w:val="22"/>
        </w:rPr>
        <w:t xml:space="preserve">them. </w:t>
      </w:r>
      <w:r w:rsidR="00B31252">
        <w:rPr>
          <w:rFonts w:ascii="Garamond" w:hAnsi="Garamond"/>
          <w:color w:val="000000"/>
          <w:sz w:val="22"/>
          <w:szCs w:val="22"/>
        </w:rPr>
        <w:t>He goes on to state that to him, the painting is neither satirical nor artistic</w:t>
      </w:r>
      <w:r w:rsidR="00974AFA">
        <w:rPr>
          <w:rFonts w:ascii="Garamond" w:hAnsi="Garamond"/>
          <w:color w:val="000000"/>
          <w:sz w:val="22"/>
          <w:szCs w:val="22"/>
        </w:rPr>
        <w:t xml:space="preserve"> </w:t>
      </w:r>
      <w:r w:rsidR="006F780B">
        <w:rPr>
          <w:rFonts w:ascii="Garamond" w:hAnsi="Garamond"/>
          <w:color w:val="000000"/>
          <w:sz w:val="22"/>
          <w:szCs w:val="22"/>
        </w:rPr>
        <w:t xml:space="preserve">as it depicts unrelated figures </w:t>
      </w:r>
      <w:r w:rsidR="00DA4709">
        <w:rPr>
          <w:rFonts w:ascii="Garamond" w:hAnsi="Garamond"/>
          <w:color w:val="000000"/>
          <w:sz w:val="22"/>
          <w:szCs w:val="22"/>
        </w:rPr>
        <w:t>in “</w:t>
      </w:r>
      <w:r w:rsidR="00DA4709" w:rsidRPr="00DA4709">
        <w:rPr>
          <w:rFonts w:ascii="Garamond" w:hAnsi="Garamond"/>
          <w:i/>
          <w:iCs/>
          <w:color w:val="000000"/>
          <w:sz w:val="22"/>
          <w:szCs w:val="22"/>
        </w:rPr>
        <w:t>repulsive sexual poses</w:t>
      </w:r>
      <w:r w:rsidR="00DA4709">
        <w:rPr>
          <w:rFonts w:ascii="Garamond" w:hAnsi="Garamond"/>
          <w:color w:val="000000"/>
          <w:sz w:val="22"/>
          <w:szCs w:val="22"/>
        </w:rPr>
        <w:t>”</w:t>
      </w:r>
      <w:r w:rsidR="00231A36">
        <w:rPr>
          <w:rFonts w:ascii="Garamond" w:hAnsi="Garamond"/>
          <w:color w:val="000000"/>
          <w:sz w:val="22"/>
          <w:szCs w:val="22"/>
        </w:rPr>
        <w:t xml:space="preserve"> and </w:t>
      </w:r>
      <w:r w:rsidR="00DD1923">
        <w:rPr>
          <w:rFonts w:ascii="Garamond" w:hAnsi="Garamond"/>
          <w:color w:val="000000"/>
          <w:sz w:val="22"/>
          <w:szCs w:val="22"/>
        </w:rPr>
        <w:t>fails to convey any message</w:t>
      </w:r>
      <w:r w:rsidR="00F57E5E">
        <w:rPr>
          <w:rFonts w:ascii="Garamond" w:hAnsi="Garamond"/>
          <w:color w:val="000000"/>
          <w:sz w:val="22"/>
          <w:szCs w:val="22"/>
        </w:rPr>
        <w:t xml:space="preserve"> while having the effect of degrading the figures portrayed. </w:t>
      </w:r>
      <w:r w:rsidR="00BF669A">
        <w:rPr>
          <w:rFonts w:ascii="Garamond" w:hAnsi="Garamond"/>
          <w:color w:val="000000"/>
          <w:sz w:val="22"/>
          <w:szCs w:val="22"/>
        </w:rPr>
        <w:t xml:space="preserve">He </w:t>
      </w:r>
      <w:r w:rsidR="007432B1">
        <w:rPr>
          <w:rFonts w:ascii="Garamond" w:hAnsi="Garamond"/>
          <w:color w:val="000000"/>
          <w:sz w:val="22"/>
          <w:szCs w:val="22"/>
        </w:rPr>
        <w:t>urges</w:t>
      </w:r>
      <w:r w:rsidR="003B0C99">
        <w:rPr>
          <w:rFonts w:ascii="Garamond" w:hAnsi="Garamond"/>
          <w:color w:val="000000"/>
          <w:sz w:val="22"/>
          <w:szCs w:val="22"/>
        </w:rPr>
        <w:t xml:space="preserve"> the Court and the readers of the judgment to nuance the understanding of ‘art’</w:t>
      </w:r>
      <w:r w:rsidR="00B81850">
        <w:rPr>
          <w:rFonts w:ascii="Garamond" w:hAnsi="Garamond"/>
          <w:color w:val="000000"/>
          <w:sz w:val="22"/>
          <w:szCs w:val="22"/>
        </w:rPr>
        <w:t xml:space="preserve"> </w:t>
      </w:r>
      <w:r w:rsidR="00297B19">
        <w:rPr>
          <w:rFonts w:ascii="Garamond" w:hAnsi="Garamond"/>
          <w:color w:val="000000"/>
          <w:sz w:val="22"/>
          <w:szCs w:val="22"/>
        </w:rPr>
        <w:t>– much like insults are excluded from free speech, ‘art’ must exclude expressions which insult or adversely impact the reputation or dignity of others, especially when they fail to convey a meaningful message.</w:t>
      </w:r>
      <w:r w:rsidR="00F86E7F">
        <w:rPr>
          <w:rFonts w:ascii="Garamond" w:hAnsi="Garamond"/>
          <w:color w:val="000000"/>
          <w:sz w:val="22"/>
          <w:szCs w:val="22"/>
        </w:rPr>
        <w:t xml:space="preserve"> Judge </w:t>
      </w:r>
      <w:proofErr w:type="spellStart"/>
      <w:r w:rsidR="00F86E7F">
        <w:rPr>
          <w:rFonts w:ascii="Garamond" w:hAnsi="Garamond"/>
          <w:color w:val="000000"/>
          <w:sz w:val="22"/>
          <w:szCs w:val="22"/>
        </w:rPr>
        <w:t>Loucaides</w:t>
      </w:r>
      <w:proofErr w:type="spellEnd"/>
      <w:r w:rsidR="00F86E7F">
        <w:rPr>
          <w:rFonts w:ascii="Garamond" w:hAnsi="Garamond"/>
          <w:color w:val="000000"/>
          <w:sz w:val="22"/>
          <w:szCs w:val="22"/>
        </w:rPr>
        <w:t xml:space="preserve">, much like the Austrian domestic courts, finds the painting to be undermining of </w:t>
      </w:r>
      <w:r w:rsidR="00F86E7F" w:rsidRPr="007432B1">
        <w:rPr>
          <w:rFonts w:ascii="Garamond" w:hAnsi="Garamond"/>
          <w:color w:val="000000"/>
          <w:sz w:val="22"/>
          <w:szCs w:val="22"/>
        </w:rPr>
        <w:t>Meischberger</w:t>
      </w:r>
      <w:r w:rsidR="00F86E7F">
        <w:rPr>
          <w:rFonts w:ascii="Garamond" w:hAnsi="Garamond"/>
          <w:color w:val="000000"/>
          <w:sz w:val="22"/>
          <w:szCs w:val="22"/>
        </w:rPr>
        <w:t>’s reputation and dignity</w:t>
      </w:r>
      <w:r w:rsidR="004A30AF">
        <w:rPr>
          <w:rFonts w:ascii="Garamond" w:hAnsi="Garamond"/>
          <w:color w:val="000000"/>
          <w:sz w:val="22"/>
          <w:szCs w:val="22"/>
        </w:rPr>
        <w:t xml:space="preserve"> without a legitimate justification for the expression</w:t>
      </w:r>
      <w:r w:rsidR="00F86E7F">
        <w:rPr>
          <w:rFonts w:ascii="Garamond" w:hAnsi="Garamond"/>
          <w:color w:val="000000"/>
          <w:sz w:val="22"/>
          <w:szCs w:val="22"/>
        </w:rPr>
        <w:t xml:space="preserve">, </w:t>
      </w:r>
      <w:r w:rsidR="004A30AF">
        <w:rPr>
          <w:rFonts w:ascii="Garamond" w:hAnsi="Garamond"/>
          <w:color w:val="000000"/>
          <w:sz w:val="22"/>
          <w:szCs w:val="22"/>
        </w:rPr>
        <w:t xml:space="preserve">and opines that liability for insulting others cannot be avoided merely because a work is presented as art by an artist. He concludes that the domestic authorities were entitled to consider the interference as necessary in a democratic society in order to protect the reputation or rights of others. </w:t>
      </w:r>
    </w:p>
    <w:p w14:paraId="51BE9FEB" w14:textId="77777777" w:rsidR="00345563" w:rsidRDefault="00345563" w:rsidP="00345563">
      <w:pPr>
        <w:pStyle w:val="ListParagraph"/>
        <w:spacing w:line="276" w:lineRule="auto"/>
        <w:ind w:left="360"/>
        <w:jc w:val="both"/>
        <w:rPr>
          <w:rFonts w:ascii="Garamond" w:hAnsi="Garamond"/>
          <w:color w:val="000000"/>
          <w:sz w:val="22"/>
          <w:szCs w:val="22"/>
        </w:rPr>
      </w:pPr>
    </w:p>
    <w:p w14:paraId="65009590" w14:textId="77777777" w:rsidR="00345563" w:rsidRDefault="008F6909" w:rsidP="00345563">
      <w:pPr>
        <w:pStyle w:val="ListParagraph"/>
        <w:spacing w:line="276" w:lineRule="auto"/>
        <w:ind w:left="360"/>
        <w:jc w:val="both"/>
        <w:rPr>
          <w:rFonts w:ascii="Garamond" w:hAnsi="Garamond"/>
          <w:i/>
          <w:iCs/>
          <w:color w:val="000000"/>
          <w:sz w:val="22"/>
          <w:szCs w:val="22"/>
        </w:rPr>
      </w:pPr>
      <w:r>
        <w:rPr>
          <w:rFonts w:ascii="Garamond" w:hAnsi="Garamond"/>
          <w:i/>
          <w:iCs/>
          <w:color w:val="000000"/>
          <w:sz w:val="22"/>
          <w:szCs w:val="22"/>
        </w:rPr>
        <w:t xml:space="preserve">Joint Dissenting Opinion of Judges </w:t>
      </w:r>
      <w:proofErr w:type="spellStart"/>
      <w:r>
        <w:rPr>
          <w:rFonts w:ascii="Garamond" w:hAnsi="Garamond"/>
          <w:i/>
          <w:iCs/>
          <w:color w:val="000000"/>
          <w:sz w:val="22"/>
          <w:szCs w:val="22"/>
        </w:rPr>
        <w:t>Spielmann</w:t>
      </w:r>
      <w:proofErr w:type="spellEnd"/>
      <w:r>
        <w:rPr>
          <w:rFonts w:ascii="Garamond" w:hAnsi="Garamond"/>
          <w:i/>
          <w:iCs/>
          <w:color w:val="000000"/>
          <w:sz w:val="22"/>
          <w:szCs w:val="22"/>
        </w:rPr>
        <w:t xml:space="preserve"> and Jeben</w:t>
      </w:r>
      <w:r w:rsidR="00345563">
        <w:rPr>
          <w:rFonts w:ascii="Garamond" w:hAnsi="Garamond"/>
          <w:i/>
          <w:iCs/>
          <w:color w:val="000000"/>
          <w:sz w:val="22"/>
          <w:szCs w:val="22"/>
        </w:rPr>
        <w:t>s</w:t>
      </w:r>
    </w:p>
    <w:p w14:paraId="1B7557DB" w14:textId="77777777" w:rsidR="00294D93" w:rsidRDefault="00DC6381" w:rsidP="00294D93">
      <w:pPr>
        <w:pStyle w:val="ListParagraph"/>
        <w:spacing w:line="276" w:lineRule="auto"/>
        <w:ind w:left="360"/>
        <w:jc w:val="both"/>
        <w:rPr>
          <w:rFonts w:ascii="Garamond" w:hAnsi="Garamond"/>
          <w:color w:val="000000"/>
          <w:sz w:val="22"/>
          <w:szCs w:val="22"/>
        </w:rPr>
      </w:pPr>
      <w:r>
        <w:rPr>
          <w:rFonts w:ascii="Garamond" w:hAnsi="Garamond"/>
          <w:color w:val="000000"/>
          <w:sz w:val="22"/>
          <w:szCs w:val="22"/>
        </w:rPr>
        <w:lastRenderedPageBreak/>
        <w:t xml:space="preserve">Judges </w:t>
      </w:r>
      <w:proofErr w:type="spellStart"/>
      <w:r>
        <w:rPr>
          <w:rFonts w:ascii="Garamond" w:hAnsi="Garamond"/>
          <w:color w:val="000000"/>
          <w:sz w:val="22"/>
          <w:szCs w:val="22"/>
        </w:rPr>
        <w:t>Spielmann</w:t>
      </w:r>
      <w:proofErr w:type="spellEnd"/>
      <w:r>
        <w:rPr>
          <w:rFonts w:ascii="Garamond" w:hAnsi="Garamond"/>
          <w:color w:val="000000"/>
          <w:sz w:val="22"/>
          <w:szCs w:val="22"/>
        </w:rPr>
        <w:t xml:space="preserve"> and Jebens, in their Joint Dissenting Opinion, noted that they had voted against finding a violation of Article 10 of the Convention</w:t>
      </w:r>
      <w:r w:rsidR="007F2D4E">
        <w:rPr>
          <w:rFonts w:ascii="Garamond" w:hAnsi="Garamond"/>
          <w:color w:val="000000"/>
          <w:sz w:val="22"/>
          <w:szCs w:val="22"/>
        </w:rPr>
        <w:t xml:space="preserve"> as they disagreed with </w:t>
      </w:r>
      <w:r w:rsidR="007A2273">
        <w:rPr>
          <w:rFonts w:ascii="Garamond" w:hAnsi="Garamond"/>
          <w:color w:val="000000"/>
          <w:sz w:val="22"/>
          <w:szCs w:val="22"/>
        </w:rPr>
        <w:t xml:space="preserve">the </w:t>
      </w:r>
      <w:r w:rsidR="007F2D4E">
        <w:rPr>
          <w:rFonts w:ascii="Garamond" w:hAnsi="Garamond"/>
          <w:color w:val="000000"/>
          <w:sz w:val="22"/>
          <w:szCs w:val="22"/>
        </w:rPr>
        <w:t xml:space="preserve">majority on the </w:t>
      </w:r>
      <w:r w:rsidR="00CB231F">
        <w:rPr>
          <w:rFonts w:ascii="Garamond" w:hAnsi="Garamond"/>
          <w:color w:val="000000"/>
          <w:sz w:val="22"/>
          <w:szCs w:val="22"/>
        </w:rPr>
        <w:t>disproportionality</w:t>
      </w:r>
      <w:r w:rsidR="007A2273">
        <w:rPr>
          <w:rFonts w:ascii="Garamond" w:hAnsi="Garamond"/>
          <w:color w:val="000000"/>
          <w:sz w:val="22"/>
          <w:szCs w:val="22"/>
        </w:rPr>
        <w:t xml:space="preserve"> of the interference</w:t>
      </w:r>
      <w:r w:rsidR="00CB231F">
        <w:rPr>
          <w:rFonts w:ascii="Garamond" w:hAnsi="Garamond"/>
          <w:color w:val="000000"/>
          <w:sz w:val="22"/>
          <w:szCs w:val="22"/>
        </w:rPr>
        <w:t xml:space="preserve"> to the aim pursued</w:t>
      </w:r>
      <w:r w:rsidR="0018556C">
        <w:rPr>
          <w:rFonts w:ascii="Garamond" w:hAnsi="Garamond"/>
          <w:color w:val="000000"/>
          <w:sz w:val="22"/>
          <w:szCs w:val="22"/>
        </w:rPr>
        <w:t xml:space="preserve">. According to them, artistic freedom could not be unlimited when the ‘protection of the reputation and rights of others’ was at issue. </w:t>
      </w:r>
      <w:r w:rsidR="004E3A33">
        <w:rPr>
          <w:rFonts w:ascii="Garamond" w:hAnsi="Garamond"/>
          <w:color w:val="000000"/>
          <w:sz w:val="22"/>
          <w:szCs w:val="22"/>
        </w:rPr>
        <w:t>The painting ‘Apocalypse’, according to them, thus did not deserve unfettered protection under Article 10 of the Convention as it “</w:t>
      </w:r>
      <w:r w:rsidR="004E3A33" w:rsidRPr="0070137C">
        <w:rPr>
          <w:rFonts w:ascii="Garamond" w:hAnsi="Garamond"/>
          <w:i/>
          <w:iCs/>
          <w:color w:val="000000"/>
          <w:sz w:val="22"/>
          <w:szCs w:val="22"/>
        </w:rPr>
        <w:t>excessively</w:t>
      </w:r>
      <w:r w:rsidR="004E3A33">
        <w:rPr>
          <w:rFonts w:ascii="Garamond" w:hAnsi="Garamond"/>
          <w:color w:val="000000"/>
          <w:sz w:val="22"/>
          <w:szCs w:val="22"/>
        </w:rPr>
        <w:t xml:space="preserve">” [para 7 of the Joint Dissenting Opinion] interfered with the rights of others. </w:t>
      </w:r>
      <w:r w:rsidR="0070137C">
        <w:rPr>
          <w:rFonts w:ascii="Garamond" w:hAnsi="Garamond"/>
          <w:color w:val="000000"/>
          <w:sz w:val="22"/>
          <w:szCs w:val="22"/>
        </w:rPr>
        <w:t>The excessiveness of the interference was attributed to the “</w:t>
      </w:r>
      <w:r w:rsidR="0070137C" w:rsidRPr="0070137C">
        <w:rPr>
          <w:rFonts w:ascii="Garamond" w:hAnsi="Garamond"/>
          <w:i/>
          <w:iCs/>
          <w:color w:val="000000"/>
          <w:sz w:val="22"/>
          <w:szCs w:val="22"/>
        </w:rPr>
        <w:t>attack</w:t>
      </w:r>
      <w:r w:rsidR="0070137C">
        <w:rPr>
          <w:rFonts w:ascii="Garamond" w:hAnsi="Garamond"/>
          <w:color w:val="000000"/>
          <w:sz w:val="22"/>
          <w:szCs w:val="22"/>
        </w:rPr>
        <w:t>” by the painting on the “</w:t>
      </w:r>
      <w:r w:rsidR="0070137C" w:rsidRPr="0070137C">
        <w:rPr>
          <w:rFonts w:ascii="Garamond" w:hAnsi="Garamond"/>
          <w:i/>
          <w:iCs/>
          <w:color w:val="000000"/>
          <w:sz w:val="22"/>
          <w:szCs w:val="22"/>
        </w:rPr>
        <w:t>dignity of others</w:t>
      </w:r>
      <w:r w:rsidR="0070137C">
        <w:rPr>
          <w:rFonts w:ascii="Garamond" w:hAnsi="Garamond"/>
          <w:color w:val="000000"/>
          <w:sz w:val="22"/>
          <w:szCs w:val="22"/>
        </w:rPr>
        <w:t>” [para 8</w:t>
      </w:r>
      <w:r w:rsidR="003558CF">
        <w:rPr>
          <w:rFonts w:ascii="Garamond" w:hAnsi="Garamond"/>
          <w:color w:val="000000"/>
          <w:sz w:val="22"/>
          <w:szCs w:val="22"/>
        </w:rPr>
        <w:t xml:space="preserve"> of the Joint Dissenting Opinion</w:t>
      </w:r>
      <w:r w:rsidR="0070137C">
        <w:rPr>
          <w:rFonts w:ascii="Garamond" w:hAnsi="Garamond"/>
          <w:color w:val="000000"/>
          <w:sz w:val="22"/>
          <w:szCs w:val="22"/>
        </w:rPr>
        <w:t>]</w:t>
      </w:r>
      <w:r w:rsidR="00934859">
        <w:rPr>
          <w:rFonts w:ascii="Garamond" w:hAnsi="Garamond"/>
          <w:color w:val="000000"/>
          <w:sz w:val="22"/>
          <w:szCs w:val="22"/>
        </w:rPr>
        <w:t xml:space="preserve"> in contravention to the “</w:t>
      </w:r>
      <w:r w:rsidR="00934859" w:rsidRPr="00934859">
        <w:rPr>
          <w:rFonts w:ascii="Garamond" w:hAnsi="Garamond"/>
          <w:i/>
          <w:iCs/>
          <w:color w:val="000000"/>
          <w:sz w:val="22"/>
          <w:szCs w:val="22"/>
        </w:rPr>
        <w:t>concrete concept of “fundamental personal dignity of others</w:t>
      </w:r>
      <w:r w:rsidR="003558CF">
        <w:rPr>
          <w:rFonts w:ascii="Garamond" w:hAnsi="Garamond"/>
          <w:i/>
          <w:iCs/>
          <w:color w:val="000000"/>
          <w:sz w:val="22"/>
          <w:szCs w:val="22"/>
        </w:rPr>
        <w:t xml:space="preserve">” which was central to the debate in the present </w:t>
      </w:r>
      <w:r w:rsidR="003558CF" w:rsidRPr="003558CF">
        <w:rPr>
          <w:rFonts w:ascii="Garamond" w:hAnsi="Garamond"/>
          <w:color w:val="000000"/>
          <w:sz w:val="22"/>
          <w:szCs w:val="22"/>
        </w:rPr>
        <w:t>case</w:t>
      </w:r>
      <w:r w:rsidR="003558CF">
        <w:rPr>
          <w:rFonts w:ascii="Garamond" w:hAnsi="Garamond"/>
          <w:color w:val="000000"/>
          <w:sz w:val="22"/>
          <w:szCs w:val="22"/>
        </w:rPr>
        <w:t xml:space="preserve">” [para 9 of the Joint Dissenting Opinion] as well as the value pervading the Convention. </w:t>
      </w:r>
      <w:r w:rsidR="00BC42F4">
        <w:rPr>
          <w:rFonts w:ascii="Garamond" w:hAnsi="Garamond"/>
          <w:color w:val="000000"/>
          <w:sz w:val="22"/>
          <w:szCs w:val="22"/>
        </w:rPr>
        <w:t xml:space="preserve">By referencing an </w:t>
      </w:r>
      <w:hyperlink r:id="rId7" w:history="1">
        <w:r w:rsidR="00BC42F4" w:rsidRPr="00D47BDA">
          <w:rPr>
            <w:rStyle w:val="Hyperlink"/>
            <w:rFonts w:ascii="Garamond" w:hAnsi="Garamond"/>
            <w:sz w:val="22"/>
            <w:szCs w:val="22"/>
          </w:rPr>
          <w:t>order</w:t>
        </w:r>
      </w:hyperlink>
      <w:r w:rsidR="00BC42F4">
        <w:rPr>
          <w:rFonts w:ascii="Garamond" w:hAnsi="Garamond"/>
          <w:color w:val="000000"/>
          <w:sz w:val="22"/>
          <w:szCs w:val="22"/>
        </w:rPr>
        <w:t xml:space="preserve"> of the German Federal Constitutional Court, </w:t>
      </w:r>
      <w:r w:rsidR="004754E6">
        <w:rPr>
          <w:rFonts w:ascii="Garamond" w:hAnsi="Garamond"/>
          <w:color w:val="000000"/>
          <w:sz w:val="22"/>
          <w:szCs w:val="22"/>
        </w:rPr>
        <w:t xml:space="preserve">Judges </w:t>
      </w:r>
      <w:proofErr w:type="spellStart"/>
      <w:r w:rsidR="004754E6">
        <w:rPr>
          <w:rFonts w:ascii="Garamond" w:hAnsi="Garamond"/>
          <w:color w:val="000000"/>
          <w:sz w:val="22"/>
          <w:szCs w:val="22"/>
        </w:rPr>
        <w:t>Spielmann</w:t>
      </w:r>
      <w:proofErr w:type="spellEnd"/>
      <w:r w:rsidR="004754E6">
        <w:rPr>
          <w:rFonts w:ascii="Garamond" w:hAnsi="Garamond"/>
          <w:color w:val="000000"/>
          <w:sz w:val="22"/>
          <w:szCs w:val="22"/>
        </w:rPr>
        <w:t xml:space="preserve"> and Jebens</w:t>
      </w:r>
      <w:r w:rsidR="009F7EC1">
        <w:rPr>
          <w:rFonts w:ascii="Garamond" w:hAnsi="Garamond"/>
          <w:color w:val="000000"/>
          <w:sz w:val="22"/>
          <w:szCs w:val="22"/>
        </w:rPr>
        <w:t xml:space="preserve"> </w:t>
      </w:r>
      <w:r w:rsidR="009E6B6A">
        <w:rPr>
          <w:rFonts w:ascii="Garamond" w:hAnsi="Garamond"/>
          <w:color w:val="000000"/>
          <w:sz w:val="22"/>
          <w:szCs w:val="22"/>
        </w:rPr>
        <w:t xml:space="preserve">stated </w:t>
      </w:r>
      <w:r w:rsidR="001971DB">
        <w:rPr>
          <w:rFonts w:ascii="Garamond" w:hAnsi="Garamond"/>
          <w:color w:val="000000"/>
          <w:sz w:val="22"/>
          <w:szCs w:val="22"/>
        </w:rPr>
        <w:t>that in a conflict between human dignity and artistic freedom, the former must prevail</w:t>
      </w:r>
      <w:r w:rsidR="00FB10E9">
        <w:rPr>
          <w:rFonts w:ascii="Garamond" w:hAnsi="Garamond"/>
          <w:color w:val="000000"/>
          <w:sz w:val="22"/>
          <w:szCs w:val="22"/>
        </w:rPr>
        <w:t>, regardless of whether the individual in question is a public figure or not.</w:t>
      </w:r>
      <w:r w:rsidR="00EA2D82">
        <w:rPr>
          <w:rFonts w:ascii="Garamond" w:hAnsi="Garamond"/>
          <w:color w:val="000000"/>
          <w:sz w:val="22"/>
          <w:szCs w:val="22"/>
        </w:rPr>
        <w:t xml:space="preserve"> The Opinion concludes </w:t>
      </w:r>
      <w:r w:rsidR="001F1318">
        <w:rPr>
          <w:rFonts w:ascii="Garamond" w:hAnsi="Garamond"/>
          <w:color w:val="000000"/>
          <w:sz w:val="22"/>
          <w:szCs w:val="22"/>
        </w:rPr>
        <w:t xml:space="preserve">that the </w:t>
      </w:r>
      <w:r w:rsidR="00D90FA3">
        <w:rPr>
          <w:rFonts w:ascii="Garamond" w:hAnsi="Garamond"/>
          <w:color w:val="000000"/>
          <w:sz w:val="22"/>
          <w:szCs w:val="22"/>
        </w:rPr>
        <w:t>view of the</w:t>
      </w:r>
      <w:r w:rsidR="00EA2D82">
        <w:rPr>
          <w:rFonts w:ascii="Garamond" w:hAnsi="Garamond"/>
          <w:color w:val="000000"/>
          <w:sz w:val="22"/>
          <w:szCs w:val="22"/>
        </w:rPr>
        <w:t xml:space="preserve"> majority is</w:t>
      </w:r>
      <w:r w:rsidR="008D0A59">
        <w:rPr>
          <w:rFonts w:ascii="Garamond" w:hAnsi="Garamond"/>
          <w:color w:val="000000"/>
          <w:sz w:val="22"/>
          <w:szCs w:val="22"/>
        </w:rPr>
        <w:t xml:space="preserve"> t</w:t>
      </w:r>
      <w:r w:rsidR="00546CD3">
        <w:rPr>
          <w:rFonts w:ascii="Garamond" w:hAnsi="Garamond"/>
          <w:color w:val="000000"/>
          <w:sz w:val="22"/>
          <w:szCs w:val="22"/>
        </w:rPr>
        <w:t>herefore</w:t>
      </w:r>
      <w:r w:rsidR="00EA2D82">
        <w:rPr>
          <w:rFonts w:ascii="Garamond" w:hAnsi="Garamond"/>
          <w:color w:val="000000"/>
          <w:sz w:val="22"/>
          <w:szCs w:val="22"/>
        </w:rPr>
        <w:t xml:space="preserve"> </w:t>
      </w:r>
      <w:r w:rsidR="0066606A">
        <w:rPr>
          <w:rFonts w:ascii="Garamond" w:hAnsi="Garamond"/>
          <w:color w:val="000000"/>
          <w:sz w:val="22"/>
          <w:szCs w:val="22"/>
        </w:rPr>
        <w:t xml:space="preserve">disagreeable to them as it fails </w:t>
      </w:r>
      <w:r w:rsidR="00113289">
        <w:rPr>
          <w:rFonts w:ascii="Garamond" w:hAnsi="Garamond"/>
          <w:color w:val="000000"/>
          <w:sz w:val="22"/>
          <w:szCs w:val="22"/>
        </w:rPr>
        <w:t xml:space="preserve">to recognize the subordinate nature of other considerations to human dignity. </w:t>
      </w:r>
      <w:r w:rsidR="00A37B9F">
        <w:rPr>
          <w:rFonts w:ascii="Garamond" w:hAnsi="Garamond"/>
          <w:color w:val="000000"/>
          <w:sz w:val="22"/>
          <w:szCs w:val="22"/>
        </w:rPr>
        <w:t xml:space="preserve">Judges </w:t>
      </w:r>
      <w:proofErr w:type="spellStart"/>
      <w:r w:rsidR="00A37B9F">
        <w:rPr>
          <w:rFonts w:ascii="Garamond" w:hAnsi="Garamond"/>
          <w:color w:val="000000"/>
          <w:sz w:val="22"/>
          <w:szCs w:val="22"/>
        </w:rPr>
        <w:t>Spielmann</w:t>
      </w:r>
      <w:proofErr w:type="spellEnd"/>
      <w:r w:rsidR="00A37B9F">
        <w:rPr>
          <w:rFonts w:ascii="Garamond" w:hAnsi="Garamond"/>
          <w:color w:val="000000"/>
          <w:sz w:val="22"/>
          <w:szCs w:val="22"/>
        </w:rPr>
        <w:t xml:space="preserve"> and Jebens </w:t>
      </w:r>
      <w:r w:rsidR="00667D16">
        <w:rPr>
          <w:rFonts w:ascii="Garamond" w:hAnsi="Garamond"/>
          <w:color w:val="000000"/>
          <w:sz w:val="22"/>
          <w:szCs w:val="22"/>
        </w:rPr>
        <w:t xml:space="preserve">also opined </w:t>
      </w:r>
      <w:r w:rsidR="0025421E">
        <w:rPr>
          <w:rFonts w:ascii="Garamond" w:hAnsi="Garamond"/>
          <w:color w:val="000000"/>
          <w:sz w:val="22"/>
          <w:szCs w:val="22"/>
        </w:rPr>
        <w:t xml:space="preserve">that the inclusion of </w:t>
      </w:r>
      <w:r w:rsidR="0025421E" w:rsidRPr="0025421E">
        <w:rPr>
          <w:rFonts w:ascii="Garamond" w:hAnsi="Garamond"/>
          <w:color w:val="000000"/>
          <w:sz w:val="22"/>
          <w:szCs w:val="22"/>
        </w:rPr>
        <w:t>Meischberger</w:t>
      </w:r>
      <w:r w:rsidR="0025421E">
        <w:rPr>
          <w:rFonts w:ascii="Garamond" w:hAnsi="Garamond"/>
          <w:color w:val="000000"/>
          <w:sz w:val="22"/>
          <w:szCs w:val="22"/>
        </w:rPr>
        <w:t xml:space="preserve">’s photograph </w:t>
      </w:r>
      <w:r w:rsidR="00A931DF">
        <w:rPr>
          <w:rFonts w:ascii="Garamond" w:hAnsi="Garamond"/>
          <w:color w:val="000000"/>
          <w:sz w:val="22"/>
          <w:szCs w:val="22"/>
        </w:rPr>
        <w:t xml:space="preserve">without his consent in the painting </w:t>
      </w:r>
      <w:r w:rsidR="00811E64">
        <w:rPr>
          <w:rFonts w:ascii="Garamond" w:hAnsi="Garamond"/>
          <w:color w:val="000000"/>
          <w:sz w:val="22"/>
          <w:szCs w:val="22"/>
        </w:rPr>
        <w:t xml:space="preserve">was in itself a </w:t>
      </w:r>
      <w:r w:rsidR="00463B77">
        <w:rPr>
          <w:rFonts w:ascii="Garamond" w:hAnsi="Garamond"/>
          <w:color w:val="000000"/>
          <w:sz w:val="22"/>
          <w:szCs w:val="22"/>
        </w:rPr>
        <w:t>problematic issue</w:t>
      </w:r>
      <w:r w:rsidR="000B6DCD">
        <w:rPr>
          <w:rFonts w:ascii="Garamond" w:hAnsi="Garamond"/>
          <w:color w:val="000000"/>
          <w:sz w:val="22"/>
          <w:szCs w:val="22"/>
        </w:rPr>
        <w:t xml:space="preserve">. They noted that the right to own one’s image, in their view, was covered by Article 8 of the Convention </w:t>
      </w:r>
      <w:r w:rsidR="000D0712">
        <w:rPr>
          <w:rFonts w:ascii="Garamond" w:hAnsi="Garamond"/>
          <w:color w:val="000000"/>
          <w:sz w:val="22"/>
          <w:szCs w:val="22"/>
        </w:rPr>
        <w:t>due to the control over such an image being a key component of personal development</w:t>
      </w:r>
      <w:r w:rsidR="00B8209D">
        <w:rPr>
          <w:rFonts w:ascii="Garamond" w:hAnsi="Garamond"/>
          <w:color w:val="000000"/>
          <w:sz w:val="22"/>
          <w:szCs w:val="22"/>
        </w:rPr>
        <w:t xml:space="preserve"> as</w:t>
      </w:r>
      <w:r w:rsidR="000D0712">
        <w:rPr>
          <w:rFonts w:ascii="Garamond" w:hAnsi="Garamond"/>
          <w:color w:val="000000"/>
          <w:sz w:val="22"/>
          <w:szCs w:val="22"/>
        </w:rPr>
        <w:t xml:space="preserve"> protected by the provision. </w:t>
      </w:r>
      <w:r w:rsidR="00D04150">
        <w:rPr>
          <w:rFonts w:ascii="Garamond" w:hAnsi="Garamond"/>
          <w:color w:val="000000"/>
          <w:sz w:val="22"/>
          <w:szCs w:val="22"/>
        </w:rPr>
        <w:t>In their view</w:t>
      </w:r>
      <w:r w:rsidR="00EE3663">
        <w:rPr>
          <w:rFonts w:ascii="Garamond" w:hAnsi="Garamond"/>
          <w:color w:val="000000"/>
          <w:sz w:val="22"/>
          <w:szCs w:val="22"/>
        </w:rPr>
        <w:t xml:space="preserve">, this matter was all the more serious in the present case </w:t>
      </w:r>
      <w:r w:rsidR="003E65D8">
        <w:rPr>
          <w:rFonts w:ascii="Garamond" w:hAnsi="Garamond"/>
          <w:color w:val="000000"/>
          <w:sz w:val="22"/>
          <w:szCs w:val="22"/>
        </w:rPr>
        <w:t xml:space="preserve">as </w:t>
      </w:r>
      <w:r w:rsidR="003E65D8" w:rsidRPr="00084709">
        <w:rPr>
          <w:rFonts w:ascii="Garamond" w:hAnsi="Garamond"/>
          <w:color w:val="000000"/>
          <w:sz w:val="22"/>
          <w:szCs w:val="22"/>
        </w:rPr>
        <w:t>Meischberge</w:t>
      </w:r>
      <w:r w:rsidR="003E65D8">
        <w:rPr>
          <w:rFonts w:ascii="Garamond" w:hAnsi="Garamond"/>
          <w:color w:val="000000"/>
          <w:sz w:val="22"/>
          <w:szCs w:val="22"/>
        </w:rPr>
        <w:t>r’s photograph had been used without his consent in a depiction “</w:t>
      </w:r>
      <w:r w:rsidR="003E65D8" w:rsidRPr="00631880">
        <w:rPr>
          <w:rFonts w:ascii="Garamond" w:hAnsi="Garamond"/>
          <w:i/>
          <w:iCs/>
          <w:color w:val="000000"/>
          <w:sz w:val="22"/>
          <w:szCs w:val="22"/>
        </w:rPr>
        <w:t>of situations which were particularly shocking in their conception</w:t>
      </w:r>
      <w:r w:rsidR="003E65D8">
        <w:rPr>
          <w:rFonts w:ascii="Garamond" w:hAnsi="Garamond"/>
          <w:color w:val="000000"/>
          <w:sz w:val="22"/>
          <w:szCs w:val="22"/>
        </w:rPr>
        <w:t xml:space="preserve">” [para 14 of the Joint Dissenting Opinion]. </w:t>
      </w:r>
    </w:p>
    <w:p w14:paraId="593E2213" w14:textId="77777777" w:rsidR="00294D93" w:rsidRDefault="00294D93" w:rsidP="00294D93">
      <w:pPr>
        <w:pStyle w:val="ListParagraph"/>
        <w:spacing w:line="276" w:lineRule="auto"/>
        <w:ind w:left="360"/>
        <w:jc w:val="both"/>
        <w:rPr>
          <w:rFonts w:ascii="Garamond" w:hAnsi="Garamond"/>
          <w:color w:val="000000"/>
          <w:sz w:val="22"/>
          <w:szCs w:val="22"/>
        </w:rPr>
      </w:pPr>
    </w:p>
    <w:p w14:paraId="5214F8E3" w14:textId="0A6158AD" w:rsidR="004E3A33" w:rsidRDefault="00E67334" w:rsidP="00294D93">
      <w:pPr>
        <w:pStyle w:val="ListParagraph"/>
        <w:spacing w:line="276" w:lineRule="auto"/>
        <w:ind w:left="360"/>
        <w:jc w:val="both"/>
        <w:rPr>
          <w:rFonts w:ascii="Garamond" w:hAnsi="Garamond"/>
          <w:color w:val="000000"/>
          <w:sz w:val="22"/>
          <w:szCs w:val="22"/>
        </w:rPr>
      </w:pPr>
      <w:r>
        <w:rPr>
          <w:rFonts w:ascii="Garamond" w:hAnsi="Garamond"/>
          <w:color w:val="000000"/>
          <w:sz w:val="22"/>
          <w:szCs w:val="22"/>
        </w:rPr>
        <w:t>Though</w:t>
      </w:r>
      <w:r w:rsidR="002130DD">
        <w:rPr>
          <w:rFonts w:ascii="Garamond" w:hAnsi="Garamond"/>
          <w:color w:val="000000"/>
          <w:sz w:val="22"/>
          <w:szCs w:val="22"/>
        </w:rPr>
        <w:t xml:space="preserve"> Judges </w:t>
      </w:r>
      <w:proofErr w:type="spellStart"/>
      <w:r w:rsidR="002130DD">
        <w:rPr>
          <w:rFonts w:ascii="Garamond" w:hAnsi="Garamond"/>
          <w:color w:val="000000"/>
          <w:sz w:val="22"/>
          <w:szCs w:val="22"/>
        </w:rPr>
        <w:t>Spielmann</w:t>
      </w:r>
      <w:proofErr w:type="spellEnd"/>
      <w:r w:rsidR="002130DD">
        <w:rPr>
          <w:rFonts w:ascii="Garamond" w:hAnsi="Garamond"/>
          <w:color w:val="000000"/>
          <w:sz w:val="22"/>
          <w:szCs w:val="22"/>
        </w:rPr>
        <w:t xml:space="preserve"> and Jebens departed from the view of the majority</w:t>
      </w:r>
      <w:r w:rsidR="00067289">
        <w:rPr>
          <w:rFonts w:ascii="Garamond" w:hAnsi="Garamond"/>
          <w:color w:val="000000"/>
          <w:sz w:val="22"/>
          <w:szCs w:val="22"/>
        </w:rPr>
        <w:t xml:space="preserve"> on the necessity of the interference in a democratic society, they observed</w:t>
      </w:r>
      <w:r w:rsidR="001D5A4F">
        <w:rPr>
          <w:rFonts w:ascii="Garamond" w:hAnsi="Garamond"/>
          <w:color w:val="000000"/>
          <w:sz w:val="22"/>
          <w:szCs w:val="22"/>
        </w:rPr>
        <w:t xml:space="preserve"> that the Court’s case law</w:t>
      </w:r>
      <w:r w:rsidR="00313351">
        <w:rPr>
          <w:rFonts w:ascii="Garamond" w:hAnsi="Garamond"/>
          <w:color w:val="000000"/>
          <w:sz w:val="22"/>
          <w:szCs w:val="22"/>
        </w:rPr>
        <w:t xml:space="preserve"> “</w:t>
      </w:r>
      <w:r w:rsidR="00313351" w:rsidRPr="00ED06B9">
        <w:rPr>
          <w:rFonts w:ascii="Garamond" w:hAnsi="Garamond"/>
          <w:i/>
          <w:iCs/>
          <w:color w:val="000000"/>
          <w:sz w:val="22"/>
          <w:szCs w:val="22"/>
        </w:rPr>
        <w:t xml:space="preserve">consistently reiterates, and rightly so, that freedom of expression “is applicable not only to ... </w:t>
      </w:r>
      <w:r w:rsidR="006F3AD1" w:rsidRPr="00ED06B9">
        <w:rPr>
          <w:rFonts w:ascii="Garamond" w:hAnsi="Garamond"/>
          <w:i/>
          <w:iCs/>
          <w:color w:val="000000"/>
          <w:sz w:val="22"/>
          <w:szCs w:val="22"/>
        </w:rPr>
        <w:t>‘</w:t>
      </w:r>
      <w:r w:rsidR="00313351" w:rsidRPr="00ED06B9">
        <w:rPr>
          <w:rFonts w:ascii="Garamond" w:hAnsi="Garamond"/>
          <w:i/>
          <w:iCs/>
          <w:color w:val="000000"/>
          <w:sz w:val="22"/>
          <w:szCs w:val="22"/>
        </w:rPr>
        <w:t>ideas</w:t>
      </w:r>
      <w:r w:rsidR="006F3AD1" w:rsidRPr="00ED06B9">
        <w:rPr>
          <w:rFonts w:ascii="Garamond" w:hAnsi="Garamond"/>
          <w:i/>
          <w:iCs/>
          <w:color w:val="000000"/>
          <w:sz w:val="22"/>
          <w:szCs w:val="22"/>
        </w:rPr>
        <w:t xml:space="preserve">’ </w:t>
      </w:r>
      <w:r w:rsidR="00313351" w:rsidRPr="00ED06B9">
        <w:rPr>
          <w:rFonts w:ascii="Garamond" w:hAnsi="Garamond"/>
          <w:i/>
          <w:iCs/>
          <w:color w:val="000000"/>
          <w:sz w:val="22"/>
          <w:szCs w:val="22"/>
        </w:rPr>
        <w:t xml:space="preserve">that are favourably received or regarded as inoffensive or as a matter of indifference, but also to those that offend, shock or disturb the State or any sector of the population. Such are the demands of that pluralism, tolerance and broadmindedness without which there is no </w:t>
      </w:r>
      <w:r w:rsidR="00ED06B9" w:rsidRPr="00ED06B9">
        <w:rPr>
          <w:rFonts w:ascii="Garamond" w:hAnsi="Garamond"/>
          <w:i/>
          <w:iCs/>
          <w:color w:val="000000"/>
          <w:sz w:val="22"/>
          <w:szCs w:val="22"/>
        </w:rPr>
        <w:t>‘</w:t>
      </w:r>
      <w:r w:rsidR="00313351" w:rsidRPr="00ED06B9">
        <w:rPr>
          <w:rFonts w:ascii="Garamond" w:hAnsi="Garamond"/>
          <w:i/>
          <w:iCs/>
          <w:color w:val="000000"/>
          <w:sz w:val="22"/>
          <w:szCs w:val="22"/>
        </w:rPr>
        <w:t>democratic society</w:t>
      </w:r>
      <w:r w:rsidR="00ED06B9">
        <w:rPr>
          <w:rFonts w:ascii="Garamond" w:hAnsi="Garamond"/>
          <w:color w:val="000000"/>
          <w:sz w:val="22"/>
          <w:szCs w:val="22"/>
        </w:rPr>
        <w:t>’</w:t>
      </w:r>
      <w:r w:rsidR="00313351" w:rsidRPr="00313351">
        <w:rPr>
          <w:rFonts w:ascii="Garamond" w:hAnsi="Garamond"/>
          <w:color w:val="000000"/>
          <w:sz w:val="22"/>
          <w:szCs w:val="22"/>
        </w:rPr>
        <w:t>”</w:t>
      </w:r>
      <w:r w:rsidR="00ED06B9">
        <w:rPr>
          <w:rFonts w:ascii="Garamond" w:hAnsi="Garamond"/>
          <w:color w:val="000000"/>
          <w:sz w:val="22"/>
          <w:szCs w:val="22"/>
        </w:rPr>
        <w:t xml:space="preserve"> [para 6].</w:t>
      </w:r>
      <w:r w:rsidR="005170D0">
        <w:rPr>
          <w:rFonts w:ascii="Garamond" w:hAnsi="Garamond"/>
          <w:color w:val="000000"/>
          <w:sz w:val="22"/>
          <w:szCs w:val="22"/>
        </w:rPr>
        <w:t xml:space="preserve"> They also opined that in their view the margin of appreciation enjoyed by States should be practically non-existent or extremely limited in relation to interference affecting artistic freedom.</w:t>
      </w:r>
      <w:r w:rsidR="002227BB">
        <w:rPr>
          <w:rFonts w:ascii="Garamond" w:hAnsi="Garamond"/>
          <w:color w:val="000000"/>
          <w:sz w:val="22"/>
          <w:szCs w:val="22"/>
        </w:rPr>
        <w:t xml:space="preserve"> </w:t>
      </w:r>
      <w:r w:rsidR="004C6D93">
        <w:rPr>
          <w:rFonts w:ascii="Garamond" w:hAnsi="Garamond"/>
          <w:color w:val="000000"/>
          <w:sz w:val="22"/>
          <w:szCs w:val="22"/>
        </w:rPr>
        <w:t>Pertinently,</w:t>
      </w:r>
      <w:r w:rsidR="002227BB">
        <w:rPr>
          <w:rFonts w:ascii="Garamond" w:hAnsi="Garamond"/>
          <w:color w:val="000000"/>
          <w:sz w:val="22"/>
          <w:szCs w:val="22"/>
        </w:rPr>
        <w:t xml:space="preserve"> while referencing the order of the German Federal Constitutional Court,</w:t>
      </w:r>
      <w:r w:rsidR="004C6D93">
        <w:rPr>
          <w:rFonts w:ascii="Garamond" w:hAnsi="Garamond"/>
          <w:color w:val="000000"/>
          <w:sz w:val="22"/>
          <w:szCs w:val="22"/>
        </w:rPr>
        <w:t xml:space="preserve"> they also drew attention to the Court’s acceptance of cartoons as a form of art, and the inappropriateness of an authority exercising “</w:t>
      </w:r>
      <w:r w:rsidR="004C6D93" w:rsidRPr="0075745D">
        <w:rPr>
          <w:rFonts w:ascii="Garamond" w:hAnsi="Garamond"/>
          <w:i/>
          <w:iCs/>
          <w:color w:val="000000"/>
          <w:sz w:val="22"/>
          <w:szCs w:val="22"/>
        </w:rPr>
        <w:t>quality control</w:t>
      </w:r>
      <w:r w:rsidR="004C6D93">
        <w:rPr>
          <w:rFonts w:ascii="Garamond" w:hAnsi="Garamond"/>
          <w:color w:val="000000"/>
          <w:sz w:val="22"/>
          <w:szCs w:val="22"/>
        </w:rPr>
        <w:t>” and assessing “</w:t>
      </w:r>
      <w:r w:rsidR="004C6D93" w:rsidRPr="0075745D">
        <w:rPr>
          <w:rFonts w:ascii="Garamond" w:hAnsi="Garamond"/>
          <w:color w:val="000000"/>
          <w:sz w:val="22"/>
          <w:szCs w:val="22"/>
        </w:rPr>
        <w:t>“</w:t>
      </w:r>
      <w:r w:rsidR="004C6D93" w:rsidRPr="0075745D">
        <w:rPr>
          <w:rFonts w:ascii="Garamond" w:hAnsi="Garamond"/>
          <w:i/>
          <w:iCs/>
          <w:color w:val="000000"/>
          <w:sz w:val="22"/>
          <w:szCs w:val="22"/>
        </w:rPr>
        <w:t>superior” and “inferior” or “good” and “bad” art</w:t>
      </w:r>
      <w:r w:rsidR="004C6D93">
        <w:rPr>
          <w:rFonts w:ascii="Garamond" w:hAnsi="Garamond"/>
          <w:color w:val="000000"/>
          <w:sz w:val="22"/>
          <w:szCs w:val="22"/>
        </w:rPr>
        <w:t>” [para 10].</w:t>
      </w:r>
    </w:p>
    <w:p w14:paraId="53938EA8" w14:textId="77777777" w:rsidR="003F4648" w:rsidRPr="003F4648" w:rsidRDefault="003F4648" w:rsidP="003F4648">
      <w:pPr>
        <w:spacing w:line="276" w:lineRule="auto"/>
        <w:jc w:val="both"/>
        <w:rPr>
          <w:rFonts w:ascii="Garamond" w:hAnsi="Garamond"/>
          <w:sz w:val="22"/>
          <w:szCs w:val="22"/>
        </w:rPr>
      </w:pPr>
    </w:p>
    <w:p w14:paraId="5019EE30" w14:textId="77777777" w:rsidR="00F479C4" w:rsidRPr="00242A7A" w:rsidRDefault="00F479C4" w:rsidP="00293EFC">
      <w:pPr>
        <w:spacing w:line="276" w:lineRule="auto"/>
        <w:jc w:val="both"/>
        <w:rPr>
          <w:rFonts w:ascii="Garamond" w:hAnsi="Garamond"/>
          <w:sz w:val="22"/>
          <w:szCs w:val="22"/>
          <w:lang w:val="en-US"/>
        </w:rPr>
      </w:pPr>
      <w:r w:rsidRPr="00242A7A">
        <w:rPr>
          <w:rFonts w:ascii="Garamond" w:hAnsi="Garamond"/>
          <w:b/>
          <w:bCs/>
          <w:i/>
          <w:iCs/>
          <w:sz w:val="22"/>
          <w:szCs w:val="22"/>
          <w:u w:val="single"/>
          <w:lang w:val="en-US"/>
        </w:rPr>
        <w:t>Direction:</w:t>
      </w:r>
    </w:p>
    <w:p w14:paraId="0DD39356" w14:textId="77777777" w:rsidR="00F479C4" w:rsidRPr="00242A7A" w:rsidRDefault="00F479C4" w:rsidP="00293EFC">
      <w:pPr>
        <w:pStyle w:val="ListParagraph"/>
        <w:numPr>
          <w:ilvl w:val="0"/>
          <w:numId w:val="4"/>
        </w:numPr>
        <w:spacing w:line="276" w:lineRule="auto"/>
        <w:jc w:val="both"/>
        <w:rPr>
          <w:rFonts w:ascii="Garamond" w:hAnsi="Garamond"/>
          <w:sz w:val="22"/>
          <w:szCs w:val="22"/>
          <w:lang w:val="en-US"/>
        </w:rPr>
      </w:pPr>
      <w:r w:rsidRPr="00242A7A">
        <w:rPr>
          <w:rFonts w:ascii="Garamond" w:hAnsi="Garamond"/>
          <w:b/>
          <w:bCs/>
          <w:sz w:val="22"/>
          <w:szCs w:val="22"/>
          <w:lang w:val="en-US"/>
        </w:rPr>
        <w:t>Outcome</w:t>
      </w:r>
      <w:r w:rsidRPr="00242A7A">
        <w:rPr>
          <w:rFonts w:ascii="Garamond" w:hAnsi="Garamond"/>
          <w:sz w:val="22"/>
          <w:szCs w:val="22"/>
          <w:lang w:val="en-US"/>
        </w:rPr>
        <w:t>: Expands Expression</w:t>
      </w:r>
    </w:p>
    <w:p w14:paraId="08C8134D" w14:textId="77777777" w:rsidR="00F479C4" w:rsidRPr="00A86410" w:rsidRDefault="00F479C4" w:rsidP="00293EFC">
      <w:pPr>
        <w:spacing w:line="276" w:lineRule="auto"/>
        <w:jc w:val="both"/>
        <w:rPr>
          <w:rFonts w:ascii="Garamond" w:hAnsi="Garamond"/>
          <w:sz w:val="22"/>
          <w:szCs w:val="22"/>
          <w:lang w:val="en-US"/>
        </w:rPr>
      </w:pPr>
    </w:p>
    <w:p w14:paraId="7E992844" w14:textId="3AD757F7" w:rsidR="00F479C4" w:rsidRDefault="00F479C4" w:rsidP="00293EFC">
      <w:pPr>
        <w:pStyle w:val="ListParagraph"/>
        <w:numPr>
          <w:ilvl w:val="0"/>
          <w:numId w:val="4"/>
        </w:numPr>
        <w:spacing w:line="276" w:lineRule="auto"/>
        <w:jc w:val="both"/>
        <w:rPr>
          <w:rFonts w:ascii="Garamond" w:hAnsi="Garamond"/>
          <w:sz w:val="22"/>
          <w:szCs w:val="22"/>
          <w:lang w:val="en-US"/>
        </w:rPr>
      </w:pPr>
      <w:r w:rsidRPr="005709F0">
        <w:rPr>
          <w:rFonts w:ascii="Garamond" w:hAnsi="Garamond"/>
          <w:b/>
          <w:bCs/>
          <w:sz w:val="22"/>
          <w:szCs w:val="22"/>
          <w:lang w:val="en-US"/>
        </w:rPr>
        <w:t>Information</w:t>
      </w:r>
      <w:r w:rsidRPr="005709F0">
        <w:rPr>
          <w:rFonts w:ascii="Garamond" w:hAnsi="Garamond"/>
          <w:sz w:val="22"/>
          <w:szCs w:val="22"/>
          <w:lang w:val="en-US"/>
        </w:rPr>
        <w:t xml:space="preserve">: </w:t>
      </w:r>
    </w:p>
    <w:p w14:paraId="725677E4" w14:textId="57BD54BE" w:rsidR="005709F0" w:rsidRDefault="005709F0" w:rsidP="005709F0">
      <w:pPr>
        <w:pStyle w:val="ListParagraph"/>
        <w:spacing w:line="276" w:lineRule="auto"/>
        <w:ind w:left="360"/>
        <w:jc w:val="both"/>
        <w:rPr>
          <w:rFonts w:ascii="Garamond" w:hAnsi="Garamond"/>
          <w:b/>
          <w:bCs/>
          <w:sz w:val="22"/>
          <w:szCs w:val="22"/>
          <w:lang w:val="en-US"/>
        </w:rPr>
      </w:pPr>
    </w:p>
    <w:p w14:paraId="61314890" w14:textId="0C892B73" w:rsidR="005709F0" w:rsidRDefault="002507B4" w:rsidP="009114D8">
      <w:pPr>
        <w:pStyle w:val="ListParagraph"/>
        <w:spacing w:line="276" w:lineRule="auto"/>
        <w:ind w:left="360"/>
        <w:jc w:val="both"/>
        <w:rPr>
          <w:rFonts w:ascii="Garamond" w:hAnsi="Garamond"/>
          <w:sz w:val="22"/>
          <w:szCs w:val="22"/>
          <w:lang w:val="en-US"/>
        </w:rPr>
      </w:pPr>
      <w:r>
        <w:rPr>
          <w:rFonts w:ascii="Garamond" w:hAnsi="Garamond"/>
          <w:sz w:val="22"/>
          <w:szCs w:val="22"/>
          <w:lang w:val="en-US"/>
        </w:rPr>
        <w:t xml:space="preserve">The Court, while commenting on the pivotal role of the freedom of expression </w:t>
      </w:r>
      <w:r w:rsidR="00013B45">
        <w:rPr>
          <w:rFonts w:ascii="Garamond" w:hAnsi="Garamond"/>
          <w:sz w:val="22"/>
          <w:szCs w:val="22"/>
          <w:lang w:val="en-US"/>
        </w:rPr>
        <w:t>in the</w:t>
      </w:r>
      <w:r>
        <w:rPr>
          <w:rFonts w:ascii="Garamond" w:hAnsi="Garamond"/>
          <w:sz w:val="22"/>
          <w:szCs w:val="22"/>
          <w:lang w:val="en-US"/>
        </w:rPr>
        <w:t xml:space="preserve"> foundation and progress of a democratic society, pertinently notes that the right is one which extends to offensive ideas and information</w:t>
      </w:r>
      <w:r w:rsidR="00863705">
        <w:rPr>
          <w:rFonts w:ascii="Garamond" w:hAnsi="Garamond"/>
          <w:sz w:val="22"/>
          <w:szCs w:val="22"/>
          <w:lang w:val="en-US"/>
        </w:rPr>
        <w:t xml:space="preserve">. </w:t>
      </w:r>
      <w:r w:rsidR="00173A29">
        <w:rPr>
          <w:rFonts w:ascii="Garamond" w:hAnsi="Garamond"/>
          <w:sz w:val="22"/>
          <w:szCs w:val="22"/>
          <w:lang w:val="en-US"/>
        </w:rPr>
        <w:t xml:space="preserve">Given that art is a form of expression, it </w:t>
      </w:r>
      <w:r w:rsidR="00863705" w:rsidRPr="00173A29">
        <w:rPr>
          <w:rFonts w:ascii="Garamond" w:hAnsi="Garamond"/>
          <w:sz w:val="22"/>
          <w:szCs w:val="22"/>
          <w:lang w:val="en-US"/>
        </w:rPr>
        <w:t xml:space="preserve">emphasizes that </w:t>
      </w:r>
      <w:r w:rsidR="00173A29" w:rsidRPr="00173A29">
        <w:rPr>
          <w:rFonts w:ascii="Garamond" w:hAnsi="Garamond"/>
          <w:sz w:val="22"/>
          <w:szCs w:val="22"/>
          <w:lang w:val="en-US"/>
        </w:rPr>
        <w:t>the creation, performance, distribution, and exhibition</w:t>
      </w:r>
      <w:r w:rsidR="00173A29">
        <w:rPr>
          <w:rFonts w:ascii="Garamond" w:hAnsi="Garamond"/>
          <w:sz w:val="22"/>
          <w:szCs w:val="22"/>
          <w:lang w:val="en-US"/>
        </w:rPr>
        <w:t xml:space="preserve"> of works of art are contributory to </w:t>
      </w:r>
      <w:r w:rsidR="00173A29">
        <w:rPr>
          <w:rFonts w:ascii="Garamond" w:hAnsi="Garamond"/>
          <w:sz w:val="22"/>
          <w:szCs w:val="22"/>
        </w:rPr>
        <w:t>essential exchanges</w:t>
      </w:r>
      <w:r w:rsidR="00EA763E">
        <w:rPr>
          <w:rFonts w:ascii="Garamond" w:hAnsi="Garamond"/>
          <w:sz w:val="22"/>
          <w:szCs w:val="22"/>
        </w:rPr>
        <w:t xml:space="preserve"> of “</w:t>
      </w:r>
      <w:r w:rsidR="00EA763E" w:rsidRPr="00C645B2">
        <w:rPr>
          <w:rFonts w:ascii="Garamond" w:hAnsi="Garamond"/>
          <w:i/>
          <w:iCs/>
          <w:sz w:val="22"/>
          <w:szCs w:val="22"/>
        </w:rPr>
        <w:t>cultural, political, and social information and ideas of all kinds</w:t>
      </w:r>
      <w:r w:rsidR="00EA763E">
        <w:rPr>
          <w:rFonts w:ascii="Garamond" w:hAnsi="Garamond"/>
          <w:sz w:val="22"/>
          <w:szCs w:val="22"/>
        </w:rPr>
        <w:t>” (</w:t>
      </w:r>
      <w:hyperlink r:id="rId8" w:history="1">
        <w:r w:rsidR="00EA763E" w:rsidRPr="005C7A43">
          <w:rPr>
            <w:rStyle w:val="Hyperlink"/>
            <w:rFonts w:ascii="Garamond" w:hAnsi="Garamond"/>
            <w:i/>
            <w:iCs/>
            <w:sz w:val="22"/>
            <w:szCs w:val="22"/>
          </w:rPr>
          <w:t>Cultural Rights in the Case-Law of the ECtHR</w:t>
        </w:r>
      </w:hyperlink>
      <w:r w:rsidR="00EA763E">
        <w:rPr>
          <w:rFonts w:ascii="Garamond" w:hAnsi="Garamond"/>
          <w:sz w:val="22"/>
          <w:szCs w:val="22"/>
        </w:rPr>
        <w:t>)</w:t>
      </w:r>
      <w:r w:rsidR="00173A29">
        <w:rPr>
          <w:rFonts w:ascii="Garamond" w:hAnsi="Garamond"/>
          <w:sz w:val="22"/>
          <w:szCs w:val="22"/>
        </w:rPr>
        <w:t xml:space="preserve"> in democratic societies</w:t>
      </w:r>
      <w:r w:rsidR="00173A29">
        <w:rPr>
          <w:rFonts w:ascii="Garamond" w:hAnsi="Garamond"/>
          <w:sz w:val="22"/>
          <w:szCs w:val="22"/>
        </w:rPr>
        <w:t>, implying therefore that it is not for the State to determine the type of art which should be protected (</w:t>
      </w:r>
      <w:hyperlink r:id="rId9" w:history="1">
        <w:r w:rsidR="00173A29" w:rsidRPr="00B37F28">
          <w:rPr>
            <w:rStyle w:val="Hyperlink"/>
            <w:rFonts w:ascii="Garamond" w:hAnsi="Garamond"/>
            <w:i/>
            <w:iCs/>
            <w:sz w:val="22"/>
            <w:szCs w:val="22"/>
            <w:lang w:val="en-US"/>
          </w:rPr>
          <w:t>Polymenopoulou</w:t>
        </w:r>
      </w:hyperlink>
      <w:r w:rsidR="00173A29">
        <w:rPr>
          <w:rFonts w:ascii="Garamond" w:hAnsi="Garamond"/>
          <w:sz w:val="22"/>
          <w:szCs w:val="22"/>
          <w:lang w:val="en-US"/>
        </w:rPr>
        <w:t>)</w:t>
      </w:r>
      <w:r w:rsidR="00D22DDC">
        <w:rPr>
          <w:rFonts w:ascii="Garamond" w:hAnsi="Garamond"/>
          <w:sz w:val="22"/>
          <w:szCs w:val="22"/>
          <w:lang w:val="en-US"/>
        </w:rPr>
        <w:t xml:space="preserve">. </w:t>
      </w:r>
      <w:r w:rsidR="00A17896">
        <w:rPr>
          <w:rFonts w:ascii="Garamond" w:hAnsi="Garamond"/>
          <w:sz w:val="22"/>
          <w:szCs w:val="22"/>
          <w:lang w:val="en-US"/>
        </w:rPr>
        <w:t xml:space="preserve">Applying these general principles to the case at hand, </w:t>
      </w:r>
      <w:r w:rsidR="002C1821">
        <w:rPr>
          <w:rFonts w:ascii="Garamond" w:hAnsi="Garamond"/>
          <w:sz w:val="22"/>
          <w:szCs w:val="22"/>
          <w:lang w:val="en-US"/>
        </w:rPr>
        <w:t>the Court expands expression</w:t>
      </w:r>
      <w:r w:rsidR="007122B2">
        <w:rPr>
          <w:rFonts w:ascii="Garamond" w:hAnsi="Garamond"/>
          <w:sz w:val="22"/>
          <w:szCs w:val="22"/>
          <w:lang w:val="en-US"/>
        </w:rPr>
        <w:t xml:space="preserve"> by concluding that the interference by the defendant in the applicant’s right to freedom of expression was disproportionate and therefore not necessary in a democratic society as the painting was satirical</w:t>
      </w:r>
      <w:r w:rsidR="009B6A49">
        <w:rPr>
          <w:rFonts w:ascii="Garamond" w:hAnsi="Garamond"/>
          <w:sz w:val="22"/>
          <w:szCs w:val="22"/>
          <w:lang w:val="en-US"/>
        </w:rPr>
        <w:t xml:space="preserve"> and “obviously” not reflective or suggestive of reality. </w:t>
      </w:r>
      <w:r w:rsidR="0099087D">
        <w:rPr>
          <w:rFonts w:ascii="Garamond" w:hAnsi="Garamond"/>
          <w:sz w:val="22"/>
          <w:szCs w:val="22"/>
          <w:lang w:val="en-US"/>
        </w:rPr>
        <w:t xml:space="preserve">Rather, it </w:t>
      </w:r>
      <w:r w:rsidR="007B615B">
        <w:rPr>
          <w:rFonts w:ascii="Garamond" w:hAnsi="Garamond"/>
          <w:sz w:val="22"/>
          <w:szCs w:val="22"/>
          <w:lang w:val="en-US"/>
        </w:rPr>
        <w:t xml:space="preserve">was aimed at being a </w:t>
      </w:r>
      <w:r w:rsidR="0099087D" w:rsidRPr="007B615B">
        <w:rPr>
          <w:rFonts w:ascii="Garamond" w:hAnsi="Garamond"/>
          <w:sz w:val="22"/>
          <w:szCs w:val="22"/>
        </w:rPr>
        <w:t>counter-attack against the FPO whose members had been</w:t>
      </w:r>
      <w:r w:rsidR="006F0DD9">
        <w:rPr>
          <w:rFonts w:ascii="Garamond" w:hAnsi="Garamond"/>
          <w:sz w:val="22"/>
          <w:szCs w:val="22"/>
        </w:rPr>
        <w:t xml:space="preserve"> scathingly</w:t>
      </w:r>
      <w:r w:rsidR="0099087D" w:rsidRPr="007B615B">
        <w:rPr>
          <w:rFonts w:ascii="Garamond" w:hAnsi="Garamond"/>
          <w:sz w:val="22"/>
          <w:szCs w:val="22"/>
        </w:rPr>
        <w:t xml:space="preserve"> critical of </w:t>
      </w:r>
      <w:r w:rsidR="0099087D" w:rsidRPr="007B615B">
        <w:rPr>
          <w:rFonts w:ascii="Garamond" w:hAnsi="Garamond"/>
          <w:sz w:val="22"/>
          <w:szCs w:val="22"/>
          <w:lang w:val="en-US"/>
        </w:rPr>
        <w:t>Mu</w:t>
      </w:r>
      <w:r w:rsidR="0099087D" w:rsidRPr="007B615B">
        <w:rPr>
          <w:rFonts w:ascii="Times New Roman" w:hAnsi="Times New Roman" w:cs="Times New Roman"/>
          <w:sz w:val="22"/>
          <w:szCs w:val="22"/>
          <w:lang w:val="en-US"/>
        </w:rPr>
        <w:t>̈</w:t>
      </w:r>
      <w:r w:rsidR="0099087D" w:rsidRPr="007B615B">
        <w:rPr>
          <w:rFonts w:ascii="Garamond" w:hAnsi="Garamond"/>
          <w:sz w:val="22"/>
          <w:szCs w:val="22"/>
          <w:lang w:val="en-US"/>
        </w:rPr>
        <w:t>hl’s work</w:t>
      </w:r>
      <w:r w:rsidR="0064239C">
        <w:rPr>
          <w:rFonts w:ascii="Garamond" w:hAnsi="Garamond"/>
          <w:sz w:val="22"/>
          <w:szCs w:val="22"/>
          <w:lang w:val="en-US"/>
        </w:rPr>
        <w:t xml:space="preserve">, and much like other satirical works, was a form of artistic expression and social commentary </w:t>
      </w:r>
      <w:r w:rsidR="00C61857">
        <w:rPr>
          <w:rFonts w:ascii="Garamond" w:hAnsi="Garamond"/>
          <w:sz w:val="22"/>
          <w:szCs w:val="22"/>
          <w:lang w:val="en-US"/>
        </w:rPr>
        <w:t xml:space="preserve">which provoked through exaggeration and distortion of reality [para 33]. </w:t>
      </w:r>
      <w:r w:rsidR="009A68DD">
        <w:rPr>
          <w:rFonts w:ascii="Garamond" w:hAnsi="Garamond"/>
          <w:sz w:val="22"/>
          <w:szCs w:val="22"/>
          <w:lang w:val="en-US"/>
        </w:rPr>
        <w:t>The Court supplemented this reasoning by reiterating that</w:t>
      </w:r>
      <w:r w:rsidR="009A68DD" w:rsidRPr="009A68DD">
        <w:rPr>
          <w:rFonts w:ascii="Garamond" w:hAnsi="Garamond"/>
          <w:sz w:val="22"/>
          <w:szCs w:val="22"/>
          <w:lang w:val="en-US"/>
        </w:rPr>
        <w:t xml:space="preserve"> given that the painting targeted </w:t>
      </w:r>
      <w:r w:rsidR="009A68DD" w:rsidRPr="009A68DD">
        <w:rPr>
          <w:rFonts w:ascii="Garamond" w:hAnsi="Garamond"/>
          <w:sz w:val="22"/>
          <w:szCs w:val="22"/>
        </w:rPr>
        <w:t>Meischberger’s</w:t>
      </w:r>
      <w:r w:rsidR="009A68DD" w:rsidRPr="009A68DD">
        <w:rPr>
          <w:rFonts w:ascii="Garamond" w:hAnsi="Garamond"/>
          <w:sz w:val="22"/>
          <w:szCs w:val="22"/>
        </w:rPr>
        <w:t xml:space="preserve"> standing as a public official</w:t>
      </w:r>
      <w:r w:rsidR="004763FA">
        <w:rPr>
          <w:rFonts w:ascii="Garamond" w:hAnsi="Garamond"/>
          <w:sz w:val="22"/>
          <w:szCs w:val="22"/>
        </w:rPr>
        <w:t xml:space="preserve"> and not details of his personal life</w:t>
      </w:r>
      <w:r w:rsidR="009A68DD" w:rsidRPr="009A68DD">
        <w:rPr>
          <w:rFonts w:ascii="Garamond" w:hAnsi="Garamond"/>
          <w:sz w:val="22"/>
          <w:szCs w:val="22"/>
        </w:rPr>
        <w:t>,</w:t>
      </w:r>
      <w:r w:rsidR="00503F35">
        <w:rPr>
          <w:rFonts w:ascii="Garamond" w:hAnsi="Garamond"/>
          <w:sz w:val="22"/>
          <w:szCs w:val="22"/>
        </w:rPr>
        <w:t xml:space="preserve"> the depiction being </w:t>
      </w:r>
      <w:r w:rsidR="00503F35">
        <w:rPr>
          <w:rFonts w:ascii="Garamond" w:hAnsi="Garamond"/>
          <w:i/>
          <w:iCs/>
          <w:sz w:val="22"/>
          <w:szCs w:val="22"/>
        </w:rPr>
        <w:t xml:space="preserve">prima facie </w:t>
      </w:r>
      <w:r w:rsidR="00503F35">
        <w:rPr>
          <w:rFonts w:ascii="Garamond" w:hAnsi="Garamond"/>
          <w:sz w:val="22"/>
          <w:szCs w:val="22"/>
        </w:rPr>
        <w:t>‘obscene’</w:t>
      </w:r>
      <w:r w:rsidR="00D35ACB">
        <w:rPr>
          <w:rFonts w:ascii="Garamond" w:hAnsi="Garamond"/>
          <w:sz w:val="22"/>
          <w:szCs w:val="22"/>
        </w:rPr>
        <w:t xml:space="preserve"> did not alter the requirement for wider tolerance</w:t>
      </w:r>
      <w:r w:rsidR="00B673ED">
        <w:rPr>
          <w:rFonts w:ascii="Garamond" w:hAnsi="Garamond"/>
          <w:sz w:val="22"/>
          <w:szCs w:val="22"/>
        </w:rPr>
        <w:t xml:space="preserve"> for criticism </w:t>
      </w:r>
      <w:r w:rsidR="00D35ACB">
        <w:rPr>
          <w:rFonts w:ascii="Garamond" w:hAnsi="Garamond"/>
          <w:sz w:val="22"/>
          <w:szCs w:val="22"/>
        </w:rPr>
        <w:t>from public officials</w:t>
      </w:r>
      <w:r w:rsidR="000725FE">
        <w:rPr>
          <w:rFonts w:ascii="Garamond" w:hAnsi="Garamond"/>
          <w:sz w:val="22"/>
          <w:szCs w:val="22"/>
        </w:rPr>
        <w:t xml:space="preserve"> (</w:t>
      </w:r>
      <w:hyperlink r:id="rId10" w:history="1">
        <w:proofErr w:type="spellStart"/>
        <w:r w:rsidR="000725FE" w:rsidRPr="00E734D7">
          <w:rPr>
            <w:rStyle w:val="Hyperlink"/>
            <w:rFonts w:ascii="Garamond" w:hAnsi="Garamond"/>
            <w:sz w:val="22"/>
            <w:szCs w:val="22"/>
            <w:lang w:val="en-US"/>
          </w:rPr>
          <w:t>Fathaigh</w:t>
        </w:r>
        <w:proofErr w:type="spellEnd"/>
        <w:r w:rsidR="000725FE" w:rsidRPr="00E734D7">
          <w:rPr>
            <w:rStyle w:val="Hyperlink"/>
            <w:rFonts w:ascii="Garamond" w:hAnsi="Garamond"/>
            <w:sz w:val="22"/>
            <w:szCs w:val="22"/>
            <w:lang w:val="en-US"/>
          </w:rPr>
          <w:t xml:space="preserve"> and Voorhoof</w:t>
        </w:r>
      </w:hyperlink>
      <w:r w:rsidR="000725FE">
        <w:rPr>
          <w:rFonts w:ascii="Garamond" w:hAnsi="Garamond"/>
          <w:sz w:val="22"/>
          <w:szCs w:val="22"/>
          <w:lang w:val="en-US"/>
        </w:rPr>
        <w:t xml:space="preserve">). </w:t>
      </w:r>
      <w:r w:rsidR="002E447D">
        <w:rPr>
          <w:rFonts w:ascii="Garamond" w:hAnsi="Garamond"/>
          <w:sz w:val="22"/>
          <w:szCs w:val="22"/>
          <w:lang w:val="en-US"/>
        </w:rPr>
        <w:t xml:space="preserve">In the present case, while ascertaining </w:t>
      </w:r>
      <w:r w:rsidR="000524DF">
        <w:rPr>
          <w:rFonts w:ascii="Garamond" w:hAnsi="Garamond"/>
          <w:sz w:val="22"/>
          <w:szCs w:val="22"/>
          <w:lang w:val="en-US"/>
        </w:rPr>
        <w:t>that the interference was not necessary in a democratic society for the foregoing reasons, the majority</w:t>
      </w:r>
      <w:r w:rsidR="000A1F7E">
        <w:rPr>
          <w:rFonts w:ascii="Garamond" w:hAnsi="Garamond"/>
          <w:sz w:val="22"/>
          <w:szCs w:val="22"/>
          <w:lang w:val="en-US"/>
        </w:rPr>
        <w:t xml:space="preserve"> </w:t>
      </w:r>
      <w:r w:rsidR="009631AA">
        <w:rPr>
          <w:rFonts w:ascii="Garamond" w:hAnsi="Garamond"/>
          <w:sz w:val="22"/>
          <w:szCs w:val="22"/>
          <w:lang w:val="en-US"/>
        </w:rPr>
        <w:t xml:space="preserve">showcased that in their view </w:t>
      </w:r>
      <w:r w:rsidR="0052623B">
        <w:rPr>
          <w:rFonts w:ascii="Garamond" w:hAnsi="Garamond"/>
          <w:sz w:val="22"/>
          <w:szCs w:val="22"/>
          <w:lang w:val="en-US"/>
        </w:rPr>
        <w:t>the expression was marked by clear indicators of satirical intention</w:t>
      </w:r>
      <w:r w:rsidR="000A4331">
        <w:rPr>
          <w:rFonts w:ascii="Garamond" w:hAnsi="Garamond"/>
          <w:sz w:val="22"/>
          <w:szCs w:val="22"/>
          <w:lang w:val="en-US"/>
        </w:rPr>
        <w:t>, and</w:t>
      </w:r>
      <w:r w:rsidR="009A0740">
        <w:rPr>
          <w:rFonts w:ascii="Garamond" w:hAnsi="Garamond"/>
          <w:sz w:val="22"/>
          <w:szCs w:val="22"/>
          <w:lang w:val="en-US"/>
        </w:rPr>
        <w:t xml:space="preserve"> </w:t>
      </w:r>
      <w:r w:rsidR="001D052F">
        <w:rPr>
          <w:rFonts w:ascii="Garamond" w:hAnsi="Garamond"/>
          <w:sz w:val="22"/>
          <w:szCs w:val="22"/>
          <w:lang w:val="en-US"/>
        </w:rPr>
        <w:t>that th</w:t>
      </w:r>
      <w:r w:rsidR="00F44E63">
        <w:rPr>
          <w:rFonts w:ascii="Garamond" w:hAnsi="Garamond"/>
          <w:sz w:val="22"/>
          <w:szCs w:val="22"/>
          <w:lang w:val="en-US"/>
        </w:rPr>
        <w:t>e potentially offensive message being decipherable by a small audience</w:t>
      </w:r>
      <w:r w:rsidR="001D052F">
        <w:rPr>
          <w:rFonts w:ascii="Garamond" w:hAnsi="Garamond"/>
          <w:sz w:val="22"/>
          <w:szCs w:val="22"/>
          <w:lang w:val="en-US"/>
        </w:rPr>
        <w:t xml:space="preserve"> and </w:t>
      </w:r>
      <w:r w:rsidR="001D052F">
        <w:rPr>
          <w:rFonts w:ascii="Garamond" w:hAnsi="Garamond"/>
          <w:sz w:val="22"/>
          <w:szCs w:val="22"/>
          <w:lang w:val="en-US"/>
        </w:rPr>
        <w:t xml:space="preserve">the context of the expression </w:t>
      </w:r>
      <w:r w:rsidR="001D052F">
        <w:rPr>
          <w:rFonts w:ascii="Garamond" w:hAnsi="Garamond"/>
          <w:sz w:val="22"/>
          <w:szCs w:val="22"/>
          <w:lang w:val="en-US"/>
        </w:rPr>
        <w:t>had served as</w:t>
      </w:r>
      <w:r w:rsidR="009A0740">
        <w:rPr>
          <w:rFonts w:ascii="Garamond" w:hAnsi="Garamond"/>
          <w:sz w:val="22"/>
          <w:szCs w:val="22"/>
          <w:lang w:val="en-US"/>
        </w:rPr>
        <w:t xml:space="preserve"> mitigating circumstance</w:t>
      </w:r>
      <w:r w:rsidR="001D052F">
        <w:rPr>
          <w:rFonts w:ascii="Garamond" w:hAnsi="Garamond"/>
          <w:sz w:val="22"/>
          <w:szCs w:val="22"/>
          <w:lang w:val="en-US"/>
        </w:rPr>
        <w:t>s (</w:t>
      </w:r>
      <w:hyperlink r:id="rId11" w:history="1">
        <w:r w:rsidR="00FF5DE4" w:rsidRPr="00FF5DE4">
          <w:rPr>
            <w:rStyle w:val="Hyperlink"/>
            <w:rFonts w:ascii="Garamond" w:hAnsi="Garamond"/>
            <w:sz w:val="22"/>
            <w:szCs w:val="22"/>
            <w:lang w:val="en-US"/>
          </w:rPr>
          <w:t>Godioli</w:t>
        </w:r>
      </w:hyperlink>
      <w:r w:rsidR="00FF5DE4">
        <w:rPr>
          <w:rFonts w:ascii="Garamond" w:hAnsi="Garamond"/>
          <w:sz w:val="22"/>
          <w:szCs w:val="22"/>
          <w:lang w:val="en-US"/>
        </w:rPr>
        <w:t xml:space="preserve">). </w:t>
      </w:r>
      <w:r w:rsidR="00091EF7">
        <w:rPr>
          <w:rFonts w:ascii="Garamond" w:hAnsi="Garamond"/>
          <w:sz w:val="22"/>
          <w:szCs w:val="22"/>
          <w:lang w:val="en-US"/>
        </w:rPr>
        <w:t xml:space="preserve">The Court was however finely divided </w:t>
      </w:r>
      <w:r w:rsidR="00FB4918">
        <w:rPr>
          <w:rFonts w:ascii="Garamond" w:hAnsi="Garamond"/>
          <w:sz w:val="22"/>
          <w:szCs w:val="22"/>
          <w:lang w:val="en-US"/>
        </w:rPr>
        <w:t xml:space="preserve">on these issues </w:t>
      </w:r>
      <w:r w:rsidR="003B1755">
        <w:rPr>
          <w:rFonts w:ascii="Garamond" w:hAnsi="Garamond"/>
          <w:sz w:val="22"/>
          <w:szCs w:val="22"/>
          <w:lang w:val="en-US"/>
        </w:rPr>
        <w:t>in the case at hand,</w:t>
      </w:r>
      <w:r w:rsidR="00D57936">
        <w:rPr>
          <w:rFonts w:ascii="Garamond" w:hAnsi="Garamond"/>
          <w:sz w:val="22"/>
          <w:szCs w:val="22"/>
          <w:lang w:val="en-US"/>
        </w:rPr>
        <w:t xml:space="preserve"> indicating</w:t>
      </w:r>
      <w:r w:rsidR="00EF6F17">
        <w:rPr>
          <w:rFonts w:ascii="Garamond" w:hAnsi="Garamond"/>
          <w:sz w:val="22"/>
          <w:szCs w:val="22"/>
          <w:lang w:val="en-US"/>
        </w:rPr>
        <w:t xml:space="preserve"> the lack of </w:t>
      </w:r>
      <w:r w:rsidR="00F91758">
        <w:rPr>
          <w:rFonts w:ascii="Garamond" w:hAnsi="Garamond"/>
          <w:sz w:val="22"/>
          <w:szCs w:val="22"/>
          <w:lang w:val="en-US"/>
        </w:rPr>
        <w:t>a</w:t>
      </w:r>
      <w:r w:rsidR="00EF6F17">
        <w:rPr>
          <w:rFonts w:ascii="Garamond" w:hAnsi="Garamond"/>
          <w:sz w:val="22"/>
          <w:szCs w:val="22"/>
          <w:lang w:val="en-US"/>
        </w:rPr>
        <w:t xml:space="preserve"> </w:t>
      </w:r>
      <w:r w:rsidR="00760911">
        <w:rPr>
          <w:rFonts w:ascii="Garamond" w:hAnsi="Garamond"/>
          <w:sz w:val="22"/>
          <w:szCs w:val="22"/>
          <w:lang w:val="en-US"/>
        </w:rPr>
        <w:t>“</w:t>
      </w:r>
      <w:r w:rsidR="00EF6F17" w:rsidRPr="00B16BA5">
        <w:rPr>
          <w:rFonts w:ascii="Garamond" w:hAnsi="Garamond"/>
          <w:i/>
          <w:iCs/>
          <w:sz w:val="22"/>
          <w:szCs w:val="22"/>
          <w:lang w:val="en-US"/>
        </w:rPr>
        <w:t>consistent approach</w:t>
      </w:r>
      <w:r w:rsidR="00760911">
        <w:rPr>
          <w:rFonts w:ascii="Garamond" w:hAnsi="Garamond"/>
          <w:sz w:val="22"/>
          <w:szCs w:val="22"/>
          <w:lang w:val="en-US"/>
        </w:rPr>
        <w:t>”</w:t>
      </w:r>
      <w:r w:rsidR="00F91758">
        <w:rPr>
          <w:rFonts w:ascii="Garamond" w:hAnsi="Garamond"/>
          <w:sz w:val="22"/>
          <w:szCs w:val="22"/>
          <w:lang w:val="en-US"/>
        </w:rPr>
        <w:t xml:space="preserve"> to</w:t>
      </w:r>
      <w:r w:rsidR="00EF6F17">
        <w:rPr>
          <w:rFonts w:ascii="Garamond" w:hAnsi="Garamond"/>
          <w:sz w:val="22"/>
          <w:szCs w:val="22"/>
          <w:lang w:val="en-US"/>
        </w:rPr>
        <w:t xml:space="preserve"> </w:t>
      </w:r>
      <w:r w:rsidR="00760911">
        <w:rPr>
          <w:rFonts w:ascii="Garamond" w:hAnsi="Garamond"/>
          <w:sz w:val="22"/>
          <w:szCs w:val="22"/>
          <w:lang w:val="en-US"/>
        </w:rPr>
        <w:t>or “</w:t>
      </w:r>
      <w:r w:rsidR="00760911" w:rsidRPr="00B16BA5">
        <w:rPr>
          <w:rFonts w:ascii="Garamond" w:hAnsi="Garamond"/>
          <w:i/>
          <w:iCs/>
          <w:sz w:val="22"/>
          <w:szCs w:val="22"/>
          <w:lang w:val="en-US"/>
        </w:rPr>
        <w:t xml:space="preserve">shared </w:t>
      </w:r>
      <w:r w:rsidR="00760911" w:rsidRPr="00B16BA5">
        <w:rPr>
          <w:rFonts w:ascii="Garamond" w:hAnsi="Garamond"/>
          <w:i/>
          <w:iCs/>
          <w:sz w:val="22"/>
          <w:szCs w:val="22"/>
          <w:lang w:val="en-US"/>
        </w:rPr>
        <w:lastRenderedPageBreak/>
        <w:t>vocabulary</w:t>
      </w:r>
      <w:r w:rsidR="00760911">
        <w:rPr>
          <w:rFonts w:ascii="Garamond" w:hAnsi="Garamond"/>
          <w:sz w:val="22"/>
          <w:szCs w:val="22"/>
          <w:lang w:val="en-US"/>
        </w:rPr>
        <w:t xml:space="preserve">” </w:t>
      </w:r>
      <w:r w:rsidR="00F91758">
        <w:rPr>
          <w:rFonts w:ascii="Garamond" w:hAnsi="Garamond"/>
          <w:sz w:val="22"/>
          <w:szCs w:val="22"/>
          <w:lang w:val="en-US"/>
        </w:rPr>
        <w:t>on</w:t>
      </w:r>
      <w:r w:rsidR="00E04714">
        <w:rPr>
          <w:rFonts w:ascii="Garamond" w:hAnsi="Garamond"/>
          <w:sz w:val="22"/>
          <w:szCs w:val="22"/>
          <w:lang w:val="en-US"/>
        </w:rPr>
        <w:t xml:space="preserve"> the assessment of </w:t>
      </w:r>
      <w:r w:rsidR="007C6838">
        <w:rPr>
          <w:rFonts w:ascii="Garamond" w:hAnsi="Garamond"/>
          <w:sz w:val="22"/>
          <w:szCs w:val="22"/>
          <w:lang w:val="en-US"/>
        </w:rPr>
        <w:t xml:space="preserve">specific facts and interpretation of artistic expressions, particularly satirical or </w:t>
      </w:r>
      <w:r w:rsidR="008E7263">
        <w:rPr>
          <w:rFonts w:ascii="Garamond" w:hAnsi="Garamond"/>
          <w:sz w:val="22"/>
          <w:szCs w:val="22"/>
          <w:lang w:val="en-US"/>
        </w:rPr>
        <w:t>humorous</w:t>
      </w:r>
      <w:r w:rsidR="007C6838">
        <w:rPr>
          <w:rFonts w:ascii="Garamond" w:hAnsi="Garamond"/>
          <w:sz w:val="22"/>
          <w:szCs w:val="22"/>
          <w:lang w:val="en-US"/>
        </w:rPr>
        <w:t xml:space="preserve"> ones</w:t>
      </w:r>
      <w:r w:rsidR="00DD4B77">
        <w:rPr>
          <w:rFonts w:ascii="Garamond" w:hAnsi="Garamond"/>
          <w:sz w:val="22"/>
          <w:szCs w:val="22"/>
          <w:lang w:val="en-US"/>
        </w:rPr>
        <w:t xml:space="preserve">, </w:t>
      </w:r>
      <w:r w:rsidR="00532105">
        <w:rPr>
          <w:rFonts w:ascii="Garamond" w:hAnsi="Garamond"/>
          <w:sz w:val="22"/>
          <w:szCs w:val="22"/>
          <w:lang w:val="en-US"/>
        </w:rPr>
        <w:t xml:space="preserve">as well as the </w:t>
      </w:r>
      <w:r w:rsidR="00DD4B77">
        <w:rPr>
          <w:rFonts w:ascii="Garamond" w:hAnsi="Garamond"/>
          <w:sz w:val="22"/>
          <w:szCs w:val="22"/>
          <w:lang w:val="en-US"/>
        </w:rPr>
        <w:t>need for them</w:t>
      </w:r>
      <w:r w:rsidR="0056757E">
        <w:rPr>
          <w:rFonts w:ascii="Garamond" w:hAnsi="Garamond"/>
          <w:sz w:val="22"/>
          <w:szCs w:val="22"/>
          <w:lang w:val="en-US"/>
        </w:rPr>
        <w:t xml:space="preserve"> </w:t>
      </w:r>
      <w:r w:rsidR="0056757E">
        <w:rPr>
          <w:rFonts w:ascii="Garamond" w:hAnsi="Garamond"/>
          <w:sz w:val="22"/>
          <w:szCs w:val="22"/>
          <w:lang w:val="en-US"/>
        </w:rPr>
        <w:t>(</w:t>
      </w:r>
      <w:hyperlink r:id="rId12" w:history="1">
        <w:r w:rsidR="0056757E" w:rsidRPr="00FF5DE4">
          <w:rPr>
            <w:rStyle w:val="Hyperlink"/>
            <w:rFonts w:ascii="Garamond" w:hAnsi="Garamond"/>
            <w:sz w:val="22"/>
            <w:szCs w:val="22"/>
            <w:lang w:val="en-US"/>
          </w:rPr>
          <w:t>Godioli</w:t>
        </w:r>
      </w:hyperlink>
      <w:r w:rsidR="002D069A">
        <w:rPr>
          <w:rFonts w:ascii="Garamond" w:hAnsi="Garamond"/>
          <w:sz w:val="22"/>
          <w:szCs w:val="22"/>
          <w:lang w:val="en-US"/>
        </w:rPr>
        <w:t xml:space="preserve">; </w:t>
      </w:r>
      <w:hyperlink r:id="rId13" w:history="1">
        <w:r w:rsidR="002D069A" w:rsidRPr="002D069A">
          <w:rPr>
            <w:rStyle w:val="Hyperlink"/>
            <w:rFonts w:ascii="Garamond" w:hAnsi="Garamond"/>
            <w:sz w:val="22"/>
            <w:szCs w:val="22"/>
            <w:lang w:val="en-US"/>
          </w:rPr>
          <w:t>Brown</w:t>
        </w:r>
      </w:hyperlink>
      <w:r w:rsidR="002D069A">
        <w:rPr>
          <w:rFonts w:ascii="Garamond" w:hAnsi="Garamond"/>
          <w:sz w:val="22"/>
          <w:szCs w:val="22"/>
          <w:lang w:val="en-US"/>
        </w:rPr>
        <w:t>)</w:t>
      </w:r>
    </w:p>
    <w:p w14:paraId="34CF2AAB" w14:textId="77777777" w:rsidR="00F479C4" w:rsidRPr="005709F0" w:rsidRDefault="00F479C4" w:rsidP="005709F0">
      <w:pPr>
        <w:spacing w:line="276" w:lineRule="auto"/>
        <w:jc w:val="both"/>
        <w:rPr>
          <w:rFonts w:ascii="Garamond" w:hAnsi="Garamond"/>
          <w:sz w:val="22"/>
          <w:szCs w:val="22"/>
          <w:lang w:val="en-US"/>
        </w:rPr>
      </w:pPr>
    </w:p>
    <w:p w14:paraId="0AA4A410" w14:textId="77777777" w:rsidR="00F479C4" w:rsidRPr="00A86410" w:rsidRDefault="00F479C4" w:rsidP="00293EFC">
      <w:pPr>
        <w:spacing w:line="276" w:lineRule="auto"/>
        <w:jc w:val="both"/>
        <w:rPr>
          <w:rFonts w:ascii="Garamond" w:hAnsi="Garamond"/>
          <w:sz w:val="22"/>
          <w:szCs w:val="22"/>
          <w:lang w:val="en-US"/>
        </w:rPr>
      </w:pPr>
      <w:r w:rsidRPr="002D741E">
        <w:rPr>
          <w:rFonts w:ascii="Garamond" w:hAnsi="Garamond"/>
          <w:b/>
          <w:bCs/>
          <w:i/>
          <w:iCs/>
          <w:sz w:val="22"/>
          <w:szCs w:val="22"/>
          <w:u w:val="single"/>
          <w:lang w:val="en-US"/>
        </w:rPr>
        <w:t>Perspective</w:t>
      </w:r>
      <w:r w:rsidRPr="002D741E">
        <w:rPr>
          <w:rFonts w:ascii="Garamond" w:hAnsi="Garamond"/>
          <w:sz w:val="22"/>
          <w:szCs w:val="22"/>
          <w:lang w:val="en-US"/>
        </w:rPr>
        <w:t>:</w:t>
      </w:r>
      <w:r w:rsidRPr="00A86410">
        <w:rPr>
          <w:rFonts w:ascii="Garamond" w:hAnsi="Garamond"/>
          <w:sz w:val="22"/>
          <w:szCs w:val="22"/>
          <w:lang w:val="en-US"/>
        </w:rPr>
        <w:t xml:space="preserve"> </w:t>
      </w:r>
    </w:p>
    <w:p w14:paraId="6936A74B" w14:textId="74924373" w:rsidR="00F479C4" w:rsidRPr="00A86410" w:rsidRDefault="00F479C4" w:rsidP="00293EFC">
      <w:pPr>
        <w:pStyle w:val="ListParagraph"/>
        <w:numPr>
          <w:ilvl w:val="0"/>
          <w:numId w:val="3"/>
        </w:numPr>
        <w:spacing w:line="276" w:lineRule="auto"/>
        <w:jc w:val="both"/>
        <w:rPr>
          <w:rFonts w:ascii="Garamond" w:hAnsi="Garamond"/>
          <w:sz w:val="22"/>
          <w:szCs w:val="22"/>
          <w:lang w:val="en-US"/>
        </w:rPr>
      </w:pPr>
      <w:r w:rsidRPr="00A86410">
        <w:rPr>
          <w:rFonts w:ascii="Garamond" w:hAnsi="Garamond"/>
          <w:b/>
          <w:bCs/>
          <w:sz w:val="22"/>
          <w:szCs w:val="22"/>
          <w:lang w:val="en-US"/>
        </w:rPr>
        <w:t>Outcome</w:t>
      </w:r>
      <w:r w:rsidRPr="00A86410">
        <w:rPr>
          <w:rFonts w:ascii="Garamond" w:hAnsi="Garamond"/>
          <w:sz w:val="22"/>
          <w:szCs w:val="22"/>
          <w:lang w:val="en-US"/>
        </w:rPr>
        <w:t xml:space="preserve">: </w:t>
      </w:r>
      <w:r w:rsidR="00F109E8">
        <w:rPr>
          <w:rFonts w:ascii="Garamond" w:hAnsi="Garamond"/>
          <w:sz w:val="22"/>
          <w:szCs w:val="22"/>
          <w:lang w:val="en-US"/>
        </w:rPr>
        <w:t xml:space="preserve">International and/or Regional Perspective </w:t>
      </w:r>
    </w:p>
    <w:p w14:paraId="70BCCBE6" w14:textId="77777777" w:rsidR="00F479C4" w:rsidRPr="00A86410" w:rsidRDefault="00F479C4" w:rsidP="00293EFC">
      <w:pPr>
        <w:spacing w:line="276" w:lineRule="auto"/>
        <w:jc w:val="both"/>
        <w:rPr>
          <w:rFonts w:ascii="Garamond" w:hAnsi="Garamond"/>
          <w:sz w:val="22"/>
          <w:szCs w:val="22"/>
          <w:lang w:val="en-US"/>
        </w:rPr>
      </w:pPr>
    </w:p>
    <w:p w14:paraId="15E726BA" w14:textId="77777777" w:rsidR="00F479C4" w:rsidRPr="00A86410" w:rsidRDefault="00F479C4" w:rsidP="00293EFC">
      <w:pPr>
        <w:pStyle w:val="ListParagraph"/>
        <w:numPr>
          <w:ilvl w:val="0"/>
          <w:numId w:val="3"/>
        </w:numPr>
        <w:spacing w:line="276" w:lineRule="auto"/>
        <w:jc w:val="both"/>
        <w:rPr>
          <w:rFonts w:ascii="Garamond" w:hAnsi="Garamond"/>
          <w:sz w:val="22"/>
          <w:szCs w:val="22"/>
        </w:rPr>
      </w:pPr>
      <w:r w:rsidRPr="00A86410">
        <w:rPr>
          <w:rFonts w:ascii="Garamond" w:hAnsi="Garamond"/>
          <w:b/>
          <w:bCs/>
          <w:sz w:val="22"/>
          <w:szCs w:val="22"/>
          <w:lang w:val="en-US"/>
        </w:rPr>
        <w:t>Related International and/or regional laws</w:t>
      </w:r>
      <w:r w:rsidRPr="00A86410">
        <w:rPr>
          <w:rFonts w:ascii="Garamond" w:hAnsi="Garamond"/>
          <w:sz w:val="22"/>
          <w:szCs w:val="22"/>
          <w:lang w:val="en-US"/>
        </w:rPr>
        <w:t xml:space="preserve">: </w:t>
      </w:r>
    </w:p>
    <w:p w14:paraId="5FC55DE6" w14:textId="10F97BE2" w:rsidR="00F479C4" w:rsidRDefault="00D44908" w:rsidP="00293EFC">
      <w:pPr>
        <w:pStyle w:val="ListParagraph"/>
        <w:spacing w:line="276" w:lineRule="auto"/>
        <w:ind w:left="360"/>
        <w:jc w:val="both"/>
        <w:rPr>
          <w:rFonts w:ascii="Garamond" w:hAnsi="Garamond"/>
          <w:sz w:val="22"/>
          <w:szCs w:val="22"/>
        </w:rPr>
      </w:pPr>
      <w:hyperlink r:id="rId14" w:history="1">
        <w:r w:rsidR="00F479C4" w:rsidRPr="00A86410">
          <w:rPr>
            <w:rStyle w:val="Hyperlink"/>
            <w:rFonts w:ascii="Garamond" w:hAnsi="Garamond"/>
            <w:sz w:val="22"/>
            <w:szCs w:val="22"/>
            <w:lang w:val="en-US"/>
          </w:rPr>
          <w:t>ECHR, art</w:t>
        </w:r>
        <w:r w:rsidR="00F479C4" w:rsidRPr="00A86410">
          <w:rPr>
            <w:rStyle w:val="Hyperlink"/>
            <w:rFonts w:ascii="Garamond" w:hAnsi="Garamond"/>
            <w:sz w:val="22"/>
            <w:szCs w:val="22"/>
          </w:rPr>
          <w:t>. 10</w:t>
        </w:r>
      </w:hyperlink>
      <w:r w:rsidR="00F479C4" w:rsidRPr="00A86410">
        <w:rPr>
          <w:rFonts w:ascii="Garamond" w:hAnsi="Garamond"/>
          <w:sz w:val="22"/>
          <w:szCs w:val="22"/>
        </w:rPr>
        <w:t xml:space="preserve">; </w:t>
      </w:r>
    </w:p>
    <w:p w14:paraId="4E12490B" w14:textId="4881ECAA" w:rsidR="001B4A82" w:rsidRPr="001B4A82" w:rsidRDefault="00D44908" w:rsidP="00293EFC">
      <w:pPr>
        <w:pStyle w:val="ListParagraph"/>
        <w:spacing w:line="276" w:lineRule="auto"/>
        <w:ind w:left="360"/>
        <w:jc w:val="both"/>
        <w:rPr>
          <w:rFonts w:ascii="Garamond" w:hAnsi="Garamond"/>
          <w:sz w:val="22"/>
          <w:szCs w:val="22"/>
        </w:rPr>
      </w:pPr>
      <w:hyperlink r:id="rId15" w:anchor="{&quot;fulltext&quot;:[&quot;Lingens%20v.%20Austria&quot;],&quot;documentcollectionid2&quot;:[&quot;GRANDCHAMBER&quot;,&quot;CHAMBER&quot;],&quot;itemid&quot;:[&quot;001-57523&quot;]}" w:history="1">
        <w:r w:rsidR="001B4A82" w:rsidRPr="00A86410">
          <w:rPr>
            <w:rStyle w:val="Hyperlink"/>
            <w:rFonts w:ascii="Garamond" w:hAnsi="Garamond"/>
            <w:sz w:val="22"/>
            <w:szCs w:val="22"/>
          </w:rPr>
          <w:t xml:space="preserve">ECtHR, </w:t>
        </w:r>
        <w:proofErr w:type="spellStart"/>
        <w:r w:rsidR="001B4A82" w:rsidRPr="00A86410">
          <w:rPr>
            <w:rStyle w:val="Hyperlink"/>
            <w:rFonts w:ascii="Garamond" w:hAnsi="Garamond"/>
            <w:sz w:val="22"/>
            <w:szCs w:val="22"/>
          </w:rPr>
          <w:t>Lingens</w:t>
        </w:r>
        <w:proofErr w:type="spellEnd"/>
        <w:r w:rsidR="001B4A82" w:rsidRPr="00A86410">
          <w:rPr>
            <w:rStyle w:val="Hyperlink"/>
            <w:rFonts w:ascii="Garamond" w:hAnsi="Garamond"/>
            <w:sz w:val="22"/>
            <w:szCs w:val="22"/>
          </w:rPr>
          <w:t xml:space="preserve"> v. Austria, App. No. 9815/82 (1986)</w:t>
        </w:r>
      </w:hyperlink>
      <w:r w:rsidR="001B4A82">
        <w:rPr>
          <w:rFonts w:ascii="Garamond" w:hAnsi="Garamond"/>
          <w:sz w:val="22"/>
          <w:szCs w:val="22"/>
        </w:rPr>
        <w:t>;</w:t>
      </w:r>
    </w:p>
    <w:p w14:paraId="385C95E6" w14:textId="5B5742B8" w:rsidR="00106E0E" w:rsidRDefault="00D44908" w:rsidP="00293EFC">
      <w:pPr>
        <w:pStyle w:val="ListParagraph"/>
        <w:spacing w:line="276" w:lineRule="auto"/>
        <w:ind w:left="360"/>
        <w:jc w:val="both"/>
        <w:rPr>
          <w:rFonts w:ascii="Garamond" w:hAnsi="Garamond"/>
          <w:sz w:val="22"/>
          <w:szCs w:val="22"/>
        </w:rPr>
      </w:pPr>
      <w:hyperlink r:id="rId16" w:anchor="{&quot;fulltext&quot;:[&quot;Müller%20and%20Others%20v.%20Switzerland&quot;],&quot;documentcollectionid2&quot;:[&quot;GRANDCHAMBER&quot;,&quot;CHAMBER&quot;],&quot;itemid&quot;:[&quot;001-57487&quot;]}" w:history="1">
        <w:r w:rsidR="009B48F7" w:rsidRPr="00106E0E">
          <w:rPr>
            <w:rStyle w:val="Hyperlink"/>
            <w:rFonts w:ascii="Garamond" w:hAnsi="Garamond"/>
            <w:sz w:val="22"/>
            <w:szCs w:val="22"/>
          </w:rPr>
          <w:t xml:space="preserve">ECtHR, </w:t>
        </w:r>
        <w:proofErr w:type="spellStart"/>
        <w:r w:rsidR="000521AA" w:rsidRPr="00106E0E">
          <w:rPr>
            <w:rStyle w:val="Hyperlink"/>
            <w:rFonts w:ascii="Garamond" w:hAnsi="Garamond"/>
            <w:sz w:val="22"/>
            <w:szCs w:val="22"/>
          </w:rPr>
          <w:t>Mu</w:t>
        </w:r>
        <w:r w:rsidR="000521AA" w:rsidRPr="00106E0E">
          <w:rPr>
            <w:rStyle w:val="Hyperlink"/>
            <w:rFonts w:ascii="Times New Roman" w:hAnsi="Times New Roman" w:cs="Times New Roman"/>
            <w:sz w:val="22"/>
            <w:szCs w:val="22"/>
          </w:rPr>
          <w:t>̈</w:t>
        </w:r>
        <w:r w:rsidR="000521AA" w:rsidRPr="00106E0E">
          <w:rPr>
            <w:rStyle w:val="Hyperlink"/>
            <w:rFonts w:ascii="Garamond" w:hAnsi="Garamond"/>
            <w:sz w:val="22"/>
            <w:szCs w:val="22"/>
          </w:rPr>
          <w:t>ller</w:t>
        </w:r>
        <w:proofErr w:type="spellEnd"/>
        <w:r w:rsidR="000521AA" w:rsidRPr="00106E0E">
          <w:rPr>
            <w:rStyle w:val="Hyperlink"/>
            <w:rFonts w:ascii="Garamond" w:hAnsi="Garamond"/>
            <w:sz w:val="22"/>
            <w:szCs w:val="22"/>
          </w:rPr>
          <w:t xml:space="preserve"> and Others v. Switzerland, </w:t>
        </w:r>
        <w:r w:rsidR="00106E0E" w:rsidRPr="00106E0E">
          <w:rPr>
            <w:rStyle w:val="Hyperlink"/>
            <w:rFonts w:ascii="Garamond" w:hAnsi="Garamond"/>
            <w:sz w:val="22"/>
            <w:szCs w:val="22"/>
          </w:rPr>
          <w:t>App. No. 10737/84 (1988)</w:t>
        </w:r>
      </w:hyperlink>
      <w:r w:rsidR="001B4A82">
        <w:rPr>
          <w:rFonts w:ascii="Garamond" w:hAnsi="Garamond"/>
          <w:sz w:val="22"/>
          <w:szCs w:val="22"/>
        </w:rPr>
        <w:t>.</w:t>
      </w:r>
    </w:p>
    <w:p w14:paraId="1B787467" w14:textId="77777777" w:rsidR="000521AA" w:rsidRPr="000521AA" w:rsidRDefault="000521AA" w:rsidP="00293EFC">
      <w:pPr>
        <w:pStyle w:val="ListParagraph"/>
        <w:spacing w:line="276" w:lineRule="auto"/>
        <w:ind w:left="360"/>
        <w:jc w:val="both"/>
        <w:rPr>
          <w:rFonts w:ascii="Garamond" w:hAnsi="Garamond"/>
          <w:sz w:val="22"/>
          <w:szCs w:val="22"/>
        </w:rPr>
      </w:pPr>
    </w:p>
    <w:p w14:paraId="2471D66C" w14:textId="77777777" w:rsidR="00F479C4" w:rsidRPr="00A86410" w:rsidRDefault="00F479C4" w:rsidP="00293EFC">
      <w:pPr>
        <w:pStyle w:val="ListParagraph"/>
        <w:numPr>
          <w:ilvl w:val="0"/>
          <w:numId w:val="3"/>
        </w:numPr>
        <w:spacing w:line="276" w:lineRule="auto"/>
        <w:jc w:val="both"/>
        <w:rPr>
          <w:rFonts w:ascii="Garamond" w:hAnsi="Garamond"/>
          <w:sz w:val="22"/>
          <w:szCs w:val="22"/>
          <w:lang w:val="en-US"/>
        </w:rPr>
      </w:pPr>
      <w:r w:rsidRPr="00A86410">
        <w:rPr>
          <w:rFonts w:ascii="Garamond" w:hAnsi="Garamond"/>
          <w:b/>
          <w:bCs/>
          <w:sz w:val="22"/>
          <w:szCs w:val="22"/>
          <w:lang w:val="en-US"/>
        </w:rPr>
        <w:t>National law or jurisprudence</w:t>
      </w:r>
      <w:r w:rsidRPr="00A86410">
        <w:rPr>
          <w:rFonts w:ascii="Garamond" w:hAnsi="Garamond"/>
          <w:sz w:val="22"/>
          <w:szCs w:val="22"/>
          <w:lang w:val="en-US"/>
        </w:rPr>
        <w:t>:</w:t>
      </w:r>
    </w:p>
    <w:p w14:paraId="747C31B0" w14:textId="4C776E90" w:rsidR="00D1664A" w:rsidRDefault="004A21C0" w:rsidP="00293EFC">
      <w:pPr>
        <w:pStyle w:val="ListParagraph"/>
        <w:spacing w:line="276" w:lineRule="auto"/>
        <w:ind w:left="360"/>
        <w:jc w:val="both"/>
        <w:rPr>
          <w:rFonts w:ascii="Garamond" w:hAnsi="Garamond"/>
          <w:sz w:val="22"/>
          <w:szCs w:val="22"/>
        </w:rPr>
      </w:pPr>
      <w:r>
        <w:rPr>
          <w:rFonts w:ascii="Garamond" w:hAnsi="Garamond"/>
          <w:sz w:val="22"/>
          <w:szCs w:val="22"/>
        </w:rPr>
        <w:t>Austria, Copyright Act s. 78;</w:t>
      </w:r>
    </w:p>
    <w:p w14:paraId="00A1A966" w14:textId="26A2C65A" w:rsidR="00742DD3" w:rsidRDefault="00D44908" w:rsidP="00293EFC">
      <w:pPr>
        <w:pStyle w:val="ListParagraph"/>
        <w:spacing w:line="276" w:lineRule="auto"/>
        <w:ind w:left="360"/>
        <w:jc w:val="both"/>
        <w:rPr>
          <w:rFonts w:ascii="Garamond" w:hAnsi="Garamond"/>
          <w:sz w:val="22"/>
          <w:szCs w:val="22"/>
        </w:rPr>
      </w:pPr>
      <w:hyperlink r:id="rId17" w:history="1">
        <w:r w:rsidR="004A21C0" w:rsidRPr="007668CC">
          <w:rPr>
            <w:rStyle w:val="Hyperlink"/>
            <w:rFonts w:ascii="Garamond" w:hAnsi="Garamond"/>
            <w:sz w:val="22"/>
            <w:szCs w:val="22"/>
          </w:rPr>
          <w:t>Austria, Basic Law art. 17a</w:t>
        </w:r>
      </w:hyperlink>
      <w:r w:rsidR="004A21C0">
        <w:rPr>
          <w:rFonts w:ascii="Garamond" w:hAnsi="Garamond"/>
          <w:sz w:val="22"/>
          <w:szCs w:val="22"/>
        </w:rPr>
        <w:t xml:space="preserve">. </w:t>
      </w:r>
    </w:p>
    <w:p w14:paraId="5576C7E1" w14:textId="77777777" w:rsidR="00570E45" w:rsidRPr="004A21C0" w:rsidRDefault="00570E45" w:rsidP="00293EFC">
      <w:pPr>
        <w:pStyle w:val="ListParagraph"/>
        <w:spacing w:line="276" w:lineRule="auto"/>
        <w:ind w:left="360"/>
        <w:jc w:val="both"/>
        <w:rPr>
          <w:rFonts w:ascii="Garamond" w:hAnsi="Garamond"/>
          <w:sz w:val="22"/>
          <w:szCs w:val="22"/>
        </w:rPr>
      </w:pPr>
    </w:p>
    <w:p w14:paraId="3CCFBBAF" w14:textId="77777777" w:rsidR="00E7334A" w:rsidRDefault="00F479C4" w:rsidP="00293EFC">
      <w:pPr>
        <w:pStyle w:val="ListParagraph"/>
        <w:numPr>
          <w:ilvl w:val="0"/>
          <w:numId w:val="3"/>
        </w:numPr>
        <w:spacing w:line="276" w:lineRule="auto"/>
        <w:jc w:val="both"/>
        <w:rPr>
          <w:rFonts w:ascii="Garamond" w:hAnsi="Garamond"/>
          <w:sz w:val="22"/>
          <w:szCs w:val="22"/>
          <w:lang w:val="en-US"/>
        </w:rPr>
      </w:pPr>
      <w:r w:rsidRPr="00A86410">
        <w:rPr>
          <w:rFonts w:ascii="Garamond" w:hAnsi="Garamond"/>
          <w:b/>
          <w:bCs/>
          <w:sz w:val="22"/>
          <w:szCs w:val="22"/>
          <w:lang w:val="en-US"/>
        </w:rPr>
        <w:t>Other national law or jurisprudence</w:t>
      </w:r>
      <w:r w:rsidRPr="00A86410">
        <w:rPr>
          <w:rFonts w:ascii="Garamond" w:hAnsi="Garamond"/>
          <w:sz w:val="22"/>
          <w:szCs w:val="22"/>
          <w:lang w:val="en-US"/>
        </w:rPr>
        <w:t xml:space="preserve">: </w:t>
      </w:r>
    </w:p>
    <w:p w14:paraId="609061C8" w14:textId="495D8026" w:rsidR="00F479C4" w:rsidRDefault="00D44908" w:rsidP="00293EFC">
      <w:pPr>
        <w:pStyle w:val="ListParagraph"/>
        <w:spacing w:line="276" w:lineRule="auto"/>
        <w:ind w:left="360"/>
        <w:jc w:val="both"/>
        <w:rPr>
          <w:rFonts w:ascii="Garamond" w:hAnsi="Garamond"/>
          <w:sz w:val="22"/>
          <w:szCs w:val="22"/>
          <w:lang w:val="en-US"/>
        </w:rPr>
      </w:pPr>
      <w:hyperlink r:id="rId18" w:history="1">
        <w:proofErr w:type="spellStart"/>
        <w:r w:rsidR="00E7334A" w:rsidRPr="002A5049">
          <w:rPr>
            <w:rStyle w:val="Hyperlink"/>
            <w:rFonts w:ascii="Garamond" w:hAnsi="Garamond"/>
            <w:sz w:val="22"/>
            <w:szCs w:val="22"/>
            <w:lang w:val="en-US"/>
          </w:rPr>
          <w:t>BVerfGE</w:t>
        </w:r>
        <w:proofErr w:type="spellEnd"/>
        <w:r w:rsidR="00E7334A" w:rsidRPr="002A5049">
          <w:rPr>
            <w:rStyle w:val="Hyperlink"/>
            <w:rFonts w:ascii="Garamond" w:hAnsi="Garamond"/>
            <w:sz w:val="22"/>
            <w:szCs w:val="22"/>
            <w:lang w:val="en-US"/>
          </w:rPr>
          <w:t xml:space="preserve"> 75, 369 1 </w:t>
        </w:r>
        <w:proofErr w:type="spellStart"/>
        <w:r w:rsidR="00E7334A" w:rsidRPr="002A5049">
          <w:rPr>
            <w:rStyle w:val="Hyperlink"/>
            <w:rFonts w:ascii="Garamond" w:hAnsi="Garamond"/>
            <w:sz w:val="22"/>
            <w:szCs w:val="22"/>
            <w:lang w:val="en-US"/>
          </w:rPr>
          <w:t>BvR</w:t>
        </w:r>
        <w:proofErr w:type="spellEnd"/>
        <w:r w:rsidR="00E7334A" w:rsidRPr="002A5049">
          <w:rPr>
            <w:rStyle w:val="Hyperlink"/>
            <w:rFonts w:ascii="Garamond" w:hAnsi="Garamond"/>
            <w:sz w:val="22"/>
            <w:szCs w:val="22"/>
            <w:lang w:val="en-US"/>
          </w:rPr>
          <w:t xml:space="preserve"> 313/85 </w:t>
        </w:r>
        <w:proofErr w:type="spellStart"/>
        <w:r w:rsidR="00E7334A" w:rsidRPr="002A5049">
          <w:rPr>
            <w:rStyle w:val="Hyperlink"/>
            <w:rFonts w:ascii="Garamond" w:hAnsi="Garamond"/>
            <w:sz w:val="22"/>
            <w:szCs w:val="22"/>
            <w:lang w:val="en-US"/>
          </w:rPr>
          <w:t>Strauß</w:t>
        </w:r>
        <w:proofErr w:type="spellEnd"/>
        <w:r w:rsidR="00E7334A" w:rsidRPr="002A5049">
          <w:rPr>
            <w:rStyle w:val="Hyperlink"/>
            <w:rFonts w:ascii="Garamond" w:hAnsi="Garamond"/>
            <w:sz w:val="22"/>
            <w:szCs w:val="22"/>
            <w:lang w:val="en-US"/>
          </w:rPr>
          <w:t xml:space="preserve"> caricature-decision</w:t>
        </w:r>
        <w:r w:rsidR="002A5049" w:rsidRPr="002A5049">
          <w:rPr>
            <w:rStyle w:val="Hyperlink"/>
            <w:rFonts w:ascii="Garamond" w:hAnsi="Garamond"/>
            <w:sz w:val="22"/>
            <w:szCs w:val="22"/>
            <w:lang w:val="en-US"/>
          </w:rPr>
          <w:t xml:space="preserve"> (Translation)</w:t>
        </w:r>
      </w:hyperlink>
      <w:r w:rsidR="00943557">
        <w:rPr>
          <w:rFonts w:ascii="Garamond" w:hAnsi="Garamond"/>
          <w:sz w:val="22"/>
          <w:szCs w:val="22"/>
          <w:lang w:val="en-US"/>
        </w:rPr>
        <w:t>.</w:t>
      </w:r>
    </w:p>
    <w:p w14:paraId="6C105A29" w14:textId="77777777" w:rsidR="00943557" w:rsidRPr="00A86410" w:rsidRDefault="00943557" w:rsidP="00293EFC">
      <w:pPr>
        <w:pStyle w:val="ListParagraph"/>
        <w:spacing w:line="276" w:lineRule="auto"/>
        <w:ind w:left="360"/>
        <w:jc w:val="both"/>
        <w:rPr>
          <w:rFonts w:ascii="Garamond" w:hAnsi="Garamond"/>
          <w:sz w:val="22"/>
          <w:szCs w:val="22"/>
          <w:lang w:val="en-US"/>
        </w:rPr>
      </w:pPr>
    </w:p>
    <w:p w14:paraId="1E0412B8" w14:textId="77777777" w:rsidR="00F479C4" w:rsidRPr="00A86410" w:rsidRDefault="00F479C4" w:rsidP="00293EFC">
      <w:pPr>
        <w:spacing w:line="276" w:lineRule="auto"/>
        <w:jc w:val="both"/>
        <w:rPr>
          <w:rFonts w:ascii="Garamond" w:hAnsi="Garamond"/>
          <w:sz w:val="22"/>
          <w:szCs w:val="22"/>
          <w:lang w:val="en-US"/>
        </w:rPr>
      </w:pPr>
      <w:r w:rsidRPr="00A86410">
        <w:rPr>
          <w:rFonts w:ascii="Garamond" w:hAnsi="Garamond"/>
          <w:b/>
          <w:bCs/>
          <w:i/>
          <w:iCs/>
          <w:sz w:val="22"/>
          <w:szCs w:val="22"/>
          <w:u w:val="single"/>
          <w:lang w:val="en-US"/>
        </w:rPr>
        <w:t>Significance</w:t>
      </w:r>
      <w:r w:rsidRPr="00A86410">
        <w:rPr>
          <w:rFonts w:ascii="Garamond" w:hAnsi="Garamond"/>
          <w:sz w:val="22"/>
          <w:szCs w:val="22"/>
          <w:lang w:val="en-US"/>
        </w:rPr>
        <w:t xml:space="preserve">: </w:t>
      </w:r>
    </w:p>
    <w:p w14:paraId="1D4EE740" w14:textId="77777777" w:rsidR="00F479C4" w:rsidRPr="00A86410" w:rsidRDefault="00F479C4" w:rsidP="00293EFC">
      <w:pPr>
        <w:pStyle w:val="ListParagraph"/>
        <w:numPr>
          <w:ilvl w:val="0"/>
          <w:numId w:val="2"/>
        </w:numPr>
        <w:spacing w:line="276" w:lineRule="auto"/>
        <w:jc w:val="both"/>
        <w:rPr>
          <w:rFonts w:ascii="Garamond" w:hAnsi="Garamond"/>
          <w:sz w:val="22"/>
          <w:szCs w:val="22"/>
          <w:lang w:val="en-US"/>
        </w:rPr>
      </w:pPr>
      <w:r w:rsidRPr="00A86410">
        <w:rPr>
          <w:rFonts w:ascii="Garamond" w:hAnsi="Garamond"/>
          <w:b/>
          <w:bCs/>
          <w:sz w:val="22"/>
          <w:szCs w:val="22"/>
          <w:lang w:val="en-US"/>
        </w:rPr>
        <w:t>Binding or persuasive precedent within jurisdiction</w:t>
      </w:r>
      <w:r w:rsidRPr="00A86410">
        <w:rPr>
          <w:rFonts w:ascii="Garamond" w:hAnsi="Garamond"/>
          <w:sz w:val="22"/>
          <w:szCs w:val="22"/>
          <w:lang w:val="en-US"/>
        </w:rPr>
        <w:t xml:space="preserve">; </w:t>
      </w:r>
      <w:r w:rsidRPr="00A86410">
        <w:rPr>
          <w:rFonts w:ascii="Garamond" w:hAnsi="Garamond"/>
          <w:b/>
          <w:bCs/>
          <w:sz w:val="22"/>
          <w:szCs w:val="22"/>
          <w:lang w:val="en-US"/>
        </w:rPr>
        <w:t>Decision establishes influential or persuasive precedent outside jurisdiction</w:t>
      </w:r>
      <w:r w:rsidRPr="00A86410">
        <w:rPr>
          <w:rFonts w:ascii="Garamond" w:hAnsi="Garamond"/>
          <w:sz w:val="22"/>
          <w:szCs w:val="22"/>
          <w:lang w:val="en-US"/>
        </w:rPr>
        <w:t xml:space="preserve">; </w:t>
      </w:r>
      <w:r w:rsidRPr="00A86410">
        <w:rPr>
          <w:rFonts w:ascii="Garamond" w:hAnsi="Garamond"/>
          <w:b/>
          <w:bCs/>
          <w:sz w:val="22"/>
          <w:szCs w:val="22"/>
          <w:lang w:val="en-US"/>
        </w:rPr>
        <w:t>Explanation</w:t>
      </w:r>
      <w:r w:rsidRPr="00A86410">
        <w:rPr>
          <w:rFonts w:ascii="Garamond" w:hAnsi="Garamond"/>
          <w:sz w:val="22"/>
          <w:szCs w:val="22"/>
          <w:lang w:val="en-US"/>
        </w:rPr>
        <w:t xml:space="preserve">: </w:t>
      </w:r>
    </w:p>
    <w:p w14:paraId="770A43E2" w14:textId="77777777" w:rsidR="00F479C4" w:rsidRPr="00A86410" w:rsidRDefault="00F479C4" w:rsidP="00293EFC">
      <w:pPr>
        <w:pStyle w:val="ListParagraph"/>
        <w:spacing w:line="276" w:lineRule="auto"/>
        <w:ind w:left="360"/>
        <w:jc w:val="both"/>
        <w:rPr>
          <w:rFonts w:ascii="Garamond" w:hAnsi="Garamond"/>
          <w:sz w:val="22"/>
          <w:szCs w:val="22"/>
          <w:lang w:val="en-US"/>
        </w:rPr>
      </w:pPr>
      <w:r w:rsidRPr="00A86410">
        <w:rPr>
          <w:rFonts w:ascii="Garamond" w:hAnsi="Garamond"/>
          <w:sz w:val="22"/>
          <w:szCs w:val="22"/>
          <w:u w:val="single"/>
          <w:lang w:val="en-US"/>
        </w:rPr>
        <w:t>Standard I</w:t>
      </w:r>
      <w:r w:rsidRPr="00A86410">
        <w:rPr>
          <w:rFonts w:ascii="Garamond" w:hAnsi="Garamond"/>
          <w:sz w:val="22"/>
          <w:szCs w:val="22"/>
          <w:lang w:val="en-US"/>
        </w:rPr>
        <w:t>: The decision establishes a binding or persuasive precedent within its jurisdiction.</w:t>
      </w:r>
    </w:p>
    <w:p w14:paraId="5FDB39CC" w14:textId="77777777" w:rsidR="00F479C4" w:rsidRPr="00A86410" w:rsidRDefault="00F479C4" w:rsidP="00293EFC">
      <w:pPr>
        <w:pStyle w:val="ListParagraph"/>
        <w:spacing w:line="276" w:lineRule="auto"/>
        <w:ind w:left="360"/>
        <w:jc w:val="both"/>
        <w:rPr>
          <w:rFonts w:ascii="Garamond" w:hAnsi="Garamond"/>
          <w:sz w:val="22"/>
          <w:szCs w:val="22"/>
          <w:lang w:val="en-US"/>
        </w:rPr>
      </w:pPr>
      <w:r w:rsidRPr="00A86410">
        <w:rPr>
          <w:rFonts w:ascii="Garamond" w:hAnsi="Garamond"/>
          <w:sz w:val="22"/>
          <w:szCs w:val="22"/>
          <w:u w:val="single"/>
          <w:lang w:val="en-US"/>
        </w:rPr>
        <w:t>Information</w:t>
      </w:r>
      <w:r w:rsidRPr="00A86410">
        <w:rPr>
          <w:rFonts w:ascii="Garamond" w:hAnsi="Garamond"/>
          <w:sz w:val="22"/>
          <w:szCs w:val="22"/>
          <w:lang w:val="en-US"/>
        </w:rPr>
        <w:t xml:space="preserve">: Judgments of the European Court of Human Rights are binding upon parties to the decision. </w:t>
      </w:r>
    </w:p>
    <w:p w14:paraId="78453B52" w14:textId="77777777" w:rsidR="00F479C4" w:rsidRPr="00A86410" w:rsidRDefault="00F479C4" w:rsidP="00293EFC">
      <w:pPr>
        <w:pStyle w:val="ListParagraph"/>
        <w:spacing w:line="276" w:lineRule="auto"/>
        <w:ind w:left="360"/>
        <w:jc w:val="both"/>
        <w:rPr>
          <w:rFonts w:ascii="Garamond" w:hAnsi="Garamond"/>
          <w:sz w:val="22"/>
          <w:szCs w:val="22"/>
          <w:lang w:val="en-US"/>
        </w:rPr>
      </w:pPr>
    </w:p>
    <w:p w14:paraId="1301AE6E" w14:textId="77777777" w:rsidR="00F479C4" w:rsidRPr="00A86410" w:rsidRDefault="00F479C4" w:rsidP="00293EFC">
      <w:pPr>
        <w:pStyle w:val="ListParagraph"/>
        <w:spacing w:line="276" w:lineRule="auto"/>
        <w:ind w:left="360"/>
        <w:jc w:val="both"/>
        <w:rPr>
          <w:rFonts w:ascii="Garamond" w:hAnsi="Garamond"/>
          <w:sz w:val="22"/>
          <w:szCs w:val="22"/>
          <w:lang w:val="en-US"/>
        </w:rPr>
      </w:pPr>
      <w:r w:rsidRPr="00A86410">
        <w:rPr>
          <w:rFonts w:ascii="Garamond" w:hAnsi="Garamond"/>
          <w:sz w:val="22"/>
          <w:szCs w:val="22"/>
          <w:u w:val="single"/>
          <w:lang w:val="en-US"/>
        </w:rPr>
        <w:t>Standard II</w:t>
      </w:r>
      <w:r w:rsidRPr="00A86410">
        <w:rPr>
          <w:rFonts w:ascii="Garamond" w:hAnsi="Garamond"/>
          <w:sz w:val="22"/>
          <w:szCs w:val="22"/>
          <w:lang w:val="en-US"/>
        </w:rPr>
        <w:t>: Decision (including concurring or dissenting opinions) establishes influential or persuasive precedent outside its jurisdiction.</w:t>
      </w:r>
    </w:p>
    <w:p w14:paraId="428D6C55" w14:textId="77777777" w:rsidR="00F479C4" w:rsidRPr="00A86410" w:rsidRDefault="00F479C4" w:rsidP="00293EFC">
      <w:pPr>
        <w:pStyle w:val="ListParagraph"/>
        <w:spacing w:line="276" w:lineRule="auto"/>
        <w:ind w:left="360"/>
        <w:jc w:val="both"/>
        <w:rPr>
          <w:rFonts w:ascii="Garamond" w:hAnsi="Garamond"/>
          <w:sz w:val="22"/>
          <w:szCs w:val="22"/>
          <w:lang w:val="en-US"/>
        </w:rPr>
      </w:pPr>
      <w:r w:rsidRPr="00A86410">
        <w:rPr>
          <w:rFonts w:ascii="Garamond" w:hAnsi="Garamond"/>
          <w:sz w:val="22"/>
          <w:szCs w:val="22"/>
          <w:u w:val="single"/>
          <w:lang w:val="en-US"/>
        </w:rPr>
        <w:t>Information</w:t>
      </w:r>
      <w:r w:rsidRPr="00A86410">
        <w:rPr>
          <w:rFonts w:ascii="Garamond" w:hAnsi="Garamond"/>
          <w:sz w:val="22"/>
          <w:szCs w:val="22"/>
          <w:lang w:val="en-US"/>
        </w:rPr>
        <w:t>: The decisions of the European Court of Human Rights have precedential value on the interpretation of the right to freedom of expression for other States Parties to the European Convention for the Protection of Human Rights and Fundamental Freedoms.</w:t>
      </w:r>
    </w:p>
    <w:p w14:paraId="4681BF76" w14:textId="77777777" w:rsidR="00F479C4" w:rsidRPr="00A86410" w:rsidRDefault="00F479C4" w:rsidP="00293EFC">
      <w:pPr>
        <w:spacing w:line="276" w:lineRule="auto"/>
        <w:jc w:val="both"/>
        <w:rPr>
          <w:rFonts w:ascii="Garamond" w:hAnsi="Garamond"/>
          <w:sz w:val="22"/>
          <w:szCs w:val="22"/>
          <w:lang w:val="en-US"/>
        </w:rPr>
      </w:pPr>
    </w:p>
    <w:p w14:paraId="7A9AEFC0" w14:textId="77777777" w:rsidR="00F479C4" w:rsidRPr="00A86410" w:rsidRDefault="00F479C4" w:rsidP="00293EFC">
      <w:pPr>
        <w:pStyle w:val="ListParagraph"/>
        <w:numPr>
          <w:ilvl w:val="0"/>
          <w:numId w:val="2"/>
        </w:numPr>
        <w:spacing w:line="276" w:lineRule="auto"/>
        <w:jc w:val="both"/>
        <w:rPr>
          <w:rFonts w:ascii="Garamond" w:hAnsi="Garamond"/>
          <w:sz w:val="22"/>
          <w:szCs w:val="22"/>
        </w:rPr>
      </w:pPr>
      <w:r w:rsidRPr="00A86410">
        <w:rPr>
          <w:rFonts w:ascii="Garamond" w:hAnsi="Garamond"/>
          <w:b/>
          <w:bCs/>
          <w:sz w:val="22"/>
          <w:szCs w:val="22"/>
        </w:rPr>
        <w:t>Related Cases</w:t>
      </w:r>
      <w:r w:rsidRPr="00A86410">
        <w:rPr>
          <w:rFonts w:ascii="Garamond" w:hAnsi="Garamond"/>
          <w:sz w:val="22"/>
          <w:szCs w:val="22"/>
        </w:rPr>
        <w:t>: Self-generated</w:t>
      </w:r>
    </w:p>
    <w:p w14:paraId="24EC8972" w14:textId="77777777" w:rsidR="00F479C4" w:rsidRPr="00A86410" w:rsidRDefault="00F479C4" w:rsidP="00293EFC">
      <w:pPr>
        <w:pStyle w:val="ListParagraph"/>
        <w:spacing w:line="276" w:lineRule="auto"/>
        <w:ind w:left="360"/>
        <w:jc w:val="both"/>
        <w:rPr>
          <w:rFonts w:ascii="Garamond" w:hAnsi="Garamond"/>
          <w:sz w:val="22"/>
          <w:szCs w:val="22"/>
        </w:rPr>
      </w:pPr>
    </w:p>
    <w:p w14:paraId="21619516" w14:textId="6606CC3C" w:rsidR="00F479C4" w:rsidRPr="00A86410" w:rsidRDefault="00F479C4" w:rsidP="00293EFC">
      <w:pPr>
        <w:pStyle w:val="ListParagraph"/>
        <w:numPr>
          <w:ilvl w:val="0"/>
          <w:numId w:val="2"/>
        </w:numPr>
        <w:spacing w:line="276" w:lineRule="auto"/>
        <w:jc w:val="both"/>
        <w:rPr>
          <w:rFonts w:ascii="Garamond" w:hAnsi="Garamond"/>
          <w:sz w:val="22"/>
          <w:szCs w:val="22"/>
        </w:rPr>
      </w:pPr>
      <w:r w:rsidRPr="00A86410">
        <w:rPr>
          <w:rFonts w:ascii="Garamond" w:hAnsi="Garamond"/>
          <w:b/>
          <w:bCs/>
          <w:sz w:val="22"/>
          <w:szCs w:val="22"/>
        </w:rPr>
        <w:t>Date updated</w:t>
      </w:r>
      <w:r w:rsidRPr="00A86410">
        <w:rPr>
          <w:rFonts w:ascii="Garamond" w:hAnsi="Garamond"/>
          <w:sz w:val="22"/>
          <w:szCs w:val="22"/>
        </w:rPr>
        <w:t xml:space="preserve">: </w:t>
      </w:r>
      <w:r w:rsidR="005853B5">
        <w:rPr>
          <w:rFonts w:ascii="Garamond" w:hAnsi="Garamond"/>
          <w:sz w:val="22"/>
          <w:szCs w:val="22"/>
        </w:rPr>
        <w:t>Tuesday</w:t>
      </w:r>
      <w:r w:rsidR="00D312A2" w:rsidRPr="00A86410">
        <w:rPr>
          <w:rFonts w:ascii="Garamond" w:hAnsi="Garamond"/>
          <w:sz w:val="22"/>
          <w:szCs w:val="22"/>
        </w:rPr>
        <w:t xml:space="preserve">, </w:t>
      </w:r>
      <w:r w:rsidR="005853B5">
        <w:rPr>
          <w:rFonts w:ascii="Garamond" w:hAnsi="Garamond"/>
          <w:sz w:val="22"/>
          <w:szCs w:val="22"/>
        </w:rPr>
        <w:t>December</w:t>
      </w:r>
      <w:r w:rsidR="00D312A2" w:rsidRPr="00A86410">
        <w:rPr>
          <w:rFonts w:ascii="Garamond" w:hAnsi="Garamond"/>
          <w:sz w:val="22"/>
          <w:szCs w:val="22"/>
        </w:rPr>
        <w:t xml:space="preserve"> </w:t>
      </w:r>
      <w:r w:rsidR="005853B5">
        <w:rPr>
          <w:rFonts w:ascii="Garamond" w:hAnsi="Garamond"/>
          <w:sz w:val="22"/>
          <w:szCs w:val="22"/>
        </w:rPr>
        <w:t>01</w:t>
      </w:r>
      <w:r w:rsidR="00D312A2" w:rsidRPr="00A86410">
        <w:rPr>
          <w:rFonts w:ascii="Garamond" w:hAnsi="Garamond"/>
          <w:sz w:val="22"/>
          <w:szCs w:val="22"/>
        </w:rPr>
        <w:t>, 2020</w:t>
      </w:r>
    </w:p>
    <w:p w14:paraId="37A12916" w14:textId="77777777" w:rsidR="00F479C4" w:rsidRPr="00A86410" w:rsidRDefault="00F479C4" w:rsidP="00293EFC">
      <w:pPr>
        <w:spacing w:line="276" w:lineRule="auto"/>
        <w:jc w:val="both"/>
        <w:rPr>
          <w:rFonts w:ascii="Garamond" w:hAnsi="Garamond"/>
          <w:sz w:val="22"/>
          <w:szCs w:val="22"/>
        </w:rPr>
      </w:pPr>
    </w:p>
    <w:p w14:paraId="3CB1FE65" w14:textId="77777777" w:rsidR="00F479C4" w:rsidRPr="00A86410" w:rsidRDefault="00F479C4" w:rsidP="00293EFC">
      <w:pPr>
        <w:spacing w:line="276" w:lineRule="auto"/>
        <w:jc w:val="both"/>
        <w:rPr>
          <w:rFonts w:ascii="Garamond" w:hAnsi="Garamond"/>
          <w:sz w:val="22"/>
          <w:szCs w:val="22"/>
        </w:rPr>
      </w:pPr>
      <w:r w:rsidRPr="00560E57">
        <w:rPr>
          <w:rFonts w:ascii="Garamond" w:hAnsi="Garamond"/>
          <w:b/>
          <w:bCs/>
          <w:i/>
          <w:iCs/>
          <w:sz w:val="22"/>
          <w:szCs w:val="22"/>
          <w:u w:val="single"/>
        </w:rPr>
        <w:t>Docs</w:t>
      </w:r>
      <w:r w:rsidRPr="00560E57">
        <w:rPr>
          <w:rFonts w:ascii="Garamond" w:hAnsi="Garamond"/>
          <w:sz w:val="22"/>
          <w:szCs w:val="22"/>
        </w:rPr>
        <w:t>:</w:t>
      </w:r>
      <w:r w:rsidRPr="00A86410">
        <w:rPr>
          <w:rFonts w:ascii="Garamond" w:hAnsi="Garamond"/>
          <w:sz w:val="22"/>
          <w:szCs w:val="22"/>
        </w:rPr>
        <w:t xml:space="preserve"> </w:t>
      </w:r>
    </w:p>
    <w:p w14:paraId="13793486" w14:textId="77777777" w:rsidR="00F479C4" w:rsidRPr="00185A26" w:rsidRDefault="00F479C4" w:rsidP="00293EFC">
      <w:pPr>
        <w:pStyle w:val="ListParagraph"/>
        <w:numPr>
          <w:ilvl w:val="0"/>
          <w:numId w:val="7"/>
        </w:numPr>
        <w:spacing w:line="276" w:lineRule="auto"/>
        <w:jc w:val="both"/>
        <w:rPr>
          <w:rFonts w:ascii="Garamond" w:hAnsi="Garamond"/>
          <w:sz w:val="22"/>
          <w:szCs w:val="22"/>
        </w:rPr>
      </w:pPr>
      <w:r w:rsidRPr="00185A26">
        <w:rPr>
          <w:rFonts w:ascii="Garamond" w:hAnsi="Garamond"/>
          <w:b/>
          <w:bCs/>
          <w:sz w:val="22"/>
          <w:szCs w:val="22"/>
        </w:rPr>
        <w:t>Official Case Documents</w:t>
      </w:r>
      <w:r w:rsidRPr="00185A26">
        <w:rPr>
          <w:rFonts w:ascii="Garamond" w:hAnsi="Garamond"/>
          <w:sz w:val="22"/>
          <w:szCs w:val="22"/>
        </w:rPr>
        <w:t xml:space="preserve">: </w:t>
      </w:r>
    </w:p>
    <w:p w14:paraId="2BE0A543" w14:textId="77777777" w:rsidR="00F479C4" w:rsidRPr="00A86410" w:rsidRDefault="00F479C4" w:rsidP="00293EFC">
      <w:pPr>
        <w:pStyle w:val="ListParagraph"/>
        <w:spacing w:line="276" w:lineRule="auto"/>
        <w:ind w:left="360"/>
        <w:jc w:val="both"/>
        <w:rPr>
          <w:rFonts w:ascii="Garamond" w:hAnsi="Garamond"/>
          <w:sz w:val="22"/>
          <w:szCs w:val="22"/>
        </w:rPr>
      </w:pPr>
      <w:r w:rsidRPr="00A86410">
        <w:rPr>
          <w:rFonts w:ascii="Garamond" w:hAnsi="Garamond"/>
          <w:sz w:val="22"/>
          <w:szCs w:val="22"/>
        </w:rPr>
        <w:t>Judgment (ECtHR) (in English) [Attached]</w:t>
      </w:r>
    </w:p>
    <w:p w14:paraId="6430D819" w14:textId="0E46215B" w:rsidR="00F479C4" w:rsidRPr="00A86410" w:rsidRDefault="00F479C4" w:rsidP="00293EFC">
      <w:pPr>
        <w:pStyle w:val="ListParagraph"/>
        <w:spacing w:line="276" w:lineRule="auto"/>
        <w:ind w:left="360"/>
        <w:jc w:val="both"/>
        <w:rPr>
          <w:rFonts w:ascii="Garamond" w:hAnsi="Garamond"/>
          <w:sz w:val="22"/>
          <w:szCs w:val="22"/>
        </w:rPr>
      </w:pPr>
      <w:r w:rsidRPr="00A86410">
        <w:rPr>
          <w:rFonts w:ascii="Garamond" w:hAnsi="Garamond"/>
          <w:sz w:val="22"/>
          <w:szCs w:val="22"/>
        </w:rPr>
        <w:t xml:space="preserve">Press Release issued by the Registrar of the ECtHR dated </w:t>
      </w:r>
      <w:r w:rsidR="00565F3A">
        <w:rPr>
          <w:rFonts w:ascii="Garamond" w:hAnsi="Garamond"/>
          <w:sz w:val="22"/>
          <w:szCs w:val="22"/>
        </w:rPr>
        <w:t>25.01.2007</w:t>
      </w:r>
      <w:r w:rsidRPr="00A86410">
        <w:rPr>
          <w:rFonts w:ascii="Garamond" w:hAnsi="Garamond"/>
          <w:sz w:val="22"/>
          <w:szCs w:val="22"/>
        </w:rPr>
        <w:t xml:space="preserve"> (in English) [Attached]</w:t>
      </w:r>
    </w:p>
    <w:p w14:paraId="40DF3257" w14:textId="7F5E5F2D" w:rsidR="00F479C4" w:rsidRPr="00A86410" w:rsidRDefault="00F479C4" w:rsidP="00293EFC">
      <w:pPr>
        <w:pStyle w:val="ListParagraph"/>
        <w:spacing w:line="276" w:lineRule="auto"/>
        <w:ind w:left="360"/>
        <w:jc w:val="both"/>
        <w:rPr>
          <w:rFonts w:ascii="Garamond" w:hAnsi="Garamond"/>
          <w:sz w:val="22"/>
          <w:szCs w:val="22"/>
        </w:rPr>
      </w:pPr>
      <w:r w:rsidRPr="00A86410">
        <w:rPr>
          <w:rFonts w:ascii="Garamond" w:hAnsi="Garamond"/>
          <w:sz w:val="22"/>
          <w:szCs w:val="22"/>
        </w:rPr>
        <w:t xml:space="preserve">Information Note on the Court’s Case-Law No. </w:t>
      </w:r>
      <w:r w:rsidR="00681E76">
        <w:rPr>
          <w:rFonts w:ascii="Garamond" w:hAnsi="Garamond"/>
          <w:sz w:val="22"/>
          <w:szCs w:val="22"/>
        </w:rPr>
        <w:t>76</w:t>
      </w:r>
      <w:r w:rsidRPr="00A86410">
        <w:rPr>
          <w:rFonts w:ascii="Garamond" w:hAnsi="Garamond"/>
          <w:sz w:val="22"/>
          <w:szCs w:val="22"/>
        </w:rPr>
        <w:t xml:space="preserve"> (in English) [Attached]</w:t>
      </w:r>
    </w:p>
    <w:p w14:paraId="4D9B05BA" w14:textId="77777777" w:rsidR="00F479C4" w:rsidRPr="00A86410" w:rsidRDefault="00F479C4" w:rsidP="00293EFC">
      <w:pPr>
        <w:pStyle w:val="ListParagraph"/>
        <w:spacing w:line="276" w:lineRule="auto"/>
        <w:ind w:left="360"/>
        <w:jc w:val="both"/>
        <w:rPr>
          <w:rFonts w:ascii="Garamond" w:hAnsi="Garamond"/>
          <w:sz w:val="22"/>
          <w:szCs w:val="22"/>
        </w:rPr>
      </w:pPr>
    </w:p>
    <w:p w14:paraId="4F378D68" w14:textId="77777777" w:rsidR="00F479C4" w:rsidRPr="006D61EC" w:rsidRDefault="00F479C4" w:rsidP="00293EFC">
      <w:pPr>
        <w:pStyle w:val="ListParagraph"/>
        <w:numPr>
          <w:ilvl w:val="0"/>
          <w:numId w:val="6"/>
        </w:numPr>
        <w:spacing w:line="276" w:lineRule="auto"/>
        <w:jc w:val="both"/>
        <w:rPr>
          <w:rFonts w:ascii="Garamond" w:hAnsi="Garamond"/>
          <w:sz w:val="22"/>
          <w:szCs w:val="22"/>
        </w:rPr>
      </w:pPr>
      <w:r w:rsidRPr="006D61EC">
        <w:rPr>
          <w:rFonts w:ascii="Garamond" w:hAnsi="Garamond"/>
          <w:b/>
          <w:bCs/>
          <w:sz w:val="22"/>
          <w:szCs w:val="22"/>
        </w:rPr>
        <w:t>Amicus briefs and other legal authorities</w:t>
      </w:r>
      <w:r w:rsidRPr="006D61EC">
        <w:rPr>
          <w:rFonts w:ascii="Garamond" w:hAnsi="Garamond"/>
          <w:sz w:val="22"/>
          <w:szCs w:val="22"/>
        </w:rPr>
        <w:t>:</w:t>
      </w:r>
    </w:p>
    <w:p w14:paraId="2138AAA5" w14:textId="5C7F6CDD" w:rsidR="00F479C4" w:rsidRDefault="00F479C4" w:rsidP="00293EFC">
      <w:pPr>
        <w:pStyle w:val="ListParagraph"/>
        <w:spacing w:line="276" w:lineRule="auto"/>
        <w:ind w:left="360"/>
        <w:jc w:val="both"/>
        <w:rPr>
          <w:rFonts w:ascii="Garamond" w:hAnsi="Garamond"/>
          <w:sz w:val="22"/>
          <w:szCs w:val="22"/>
        </w:rPr>
      </w:pPr>
      <w:r w:rsidRPr="00A86410">
        <w:rPr>
          <w:rFonts w:ascii="Garamond" w:hAnsi="Garamond"/>
          <w:sz w:val="22"/>
          <w:szCs w:val="22"/>
        </w:rPr>
        <w:t>Case Guide of the ECtHR on Article 10 (Freedom of Expression) (in English) [Attached]</w:t>
      </w:r>
    </w:p>
    <w:p w14:paraId="1F803806" w14:textId="3A297F98" w:rsidR="00715338" w:rsidRPr="00A86410" w:rsidRDefault="00715338" w:rsidP="00293EFC">
      <w:pPr>
        <w:pStyle w:val="ListParagraph"/>
        <w:spacing w:line="276" w:lineRule="auto"/>
        <w:ind w:left="360"/>
        <w:jc w:val="both"/>
        <w:rPr>
          <w:rFonts w:ascii="Garamond" w:hAnsi="Garamond"/>
          <w:sz w:val="22"/>
          <w:szCs w:val="22"/>
        </w:rPr>
      </w:pPr>
      <w:r>
        <w:rPr>
          <w:rFonts w:ascii="Garamond" w:hAnsi="Garamond"/>
          <w:sz w:val="22"/>
          <w:szCs w:val="22"/>
        </w:rPr>
        <w:t>Cultural Rights in the Case-Law of the ECtHR (in English) [Attached]</w:t>
      </w:r>
    </w:p>
    <w:p w14:paraId="15F749F2" w14:textId="77777777" w:rsidR="00F479C4" w:rsidRPr="00A86410" w:rsidRDefault="00F479C4" w:rsidP="00293EFC">
      <w:pPr>
        <w:spacing w:line="276" w:lineRule="auto"/>
        <w:jc w:val="both"/>
        <w:rPr>
          <w:rFonts w:ascii="Garamond" w:hAnsi="Garamond"/>
          <w:sz w:val="22"/>
          <w:szCs w:val="22"/>
        </w:rPr>
      </w:pPr>
    </w:p>
    <w:p w14:paraId="4ADC7FC3" w14:textId="77777777" w:rsidR="00F479C4" w:rsidRPr="00364A83" w:rsidRDefault="00F479C4" w:rsidP="00293EFC">
      <w:pPr>
        <w:pStyle w:val="ListParagraph"/>
        <w:numPr>
          <w:ilvl w:val="0"/>
          <w:numId w:val="6"/>
        </w:numPr>
        <w:spacing w:line="276" w:lineRule="auto"/>
        <w:jc w:val="both"/>
        <w:rPr>
          <w:rFonts w:ascii="Garamond" w:hAnsi="Garamond"/>
          <w:sz w:val="22"/>
          <w:szCs w:val="22"/>
        </w:rPr>
      </w:pPr>
      <w:r w:rsidRPr="00364A83">
        <w:rPr>
          <w:rFonts w:ascii="Garamond" w:hAnsi="Garamond"/>
          <w:b/>
          <w:bCs/>
          <w:sz w:val="22"/>
          <w:szCs w:val="22"/>
        </w:rPr>
        <w:t>Reports, Analysis, and News Articles</w:t>
      </w:r>
      <w:r w:rsidRPr="00364A83">
        <w:rPr>
          <w:rFonts w:ascii="Garamond" w:hAnsi="Garamond"/>
          <w:sz w:val="22"/>
          <w:szCs w:val="22"/>
        </w:rPr>
        <w:t>:</w:t>
      </w:r>
    </w:p>
    <w:p w14:paraId="081E342F" w14:textId="77777777" w:rsidR="00F479C4" w:rsidRPr="00A86410" w:rsidRDefault="00D44908" w:rsidP="00293EFC">
      <w:pPr>
        <w:pStyle w:val="ListParagraph"/>
        <w:spacing w:line="276" w:lineRule="auto"/>
        <w:ind w:left="360"/>
        <w:jc w:val="both"/>
        <w:rPr>
          <w:rFonts w:ascii="Garamond" w:hAnsi="Garamond"/>
          <w:sz w:val="22"/>
          <w:szCs w:val="22"/>
        </w:rPr>
      </w:pPr>
      <w:hyperlink r:id="rId19" w:history="1">
        <w:r w:rsidR="00F479C4" w:rsidRPr="00A86410">
          <w:rPr>
            <w:rStyle w:val="Hyperlink"/>
            <w:rFonts w:ascii="Garamond" w:hAnsi="Garamond"/>
            <w:sz w:val="22"/>
            <w:szCs w:val="22"/>
          </w:rPr>
          <w:t>Does One Swallow Make a Spring? Artistic and Literary Freedom at the European Court of Human Rights – Eleni Polymenopoulou</w:t>
        </w:r>
      </w:hyperlink>
      <w:r w:rsidR="00F479C4" w:rsidRPr="00A86410">
        <w:rPr>
          <w:rFonts w:ascii="Garamond" w:hAnsi="Garamond"/>
          <w:sz w:val="22"/>
          <w:szCs w:val="22"/>
        </w:rPr>
        <w:t xml:space="preserve"> [Attached]</w:t>
      </w:r>
    </w:p>
    <w:p w14:paraId="3D27F3F2" w14:textId="0FB2FA0C" w:rsidR="00F479C4" w:rsidRDefault="00D44908" w:rsidP="00364A83">
      <w:pPr>
        <w:pStyle w:val="ListParagraph"/>
        <w:spacing w:line="276" w:lineRule="auto"/>
        <w:ind w:left="360"/>
        <w:jc w:val="both"/>
        <w:rPr>
          <w:rFonts w:ascii="Garamond" w:hAnsi="Garamond"/>
          <w:sz w:val="22"/>
          <w:szCs w:val="22"/>
        </w:rPr>
      </w:pPr>
      <w:hyperlink r:id="rId20" w:history="1">
        <w:r w:rsidR="00F479C4" w:rsidRPr="00A86410">
          <w:rPr>
            <w:rStyle w:val="Hyperlink"/>
            <w:rFonts w:ascii="Garamond" w:hAnsi="Garamond"/>
            <w:sz w:val="22"/>
            <w:szCs w:val="22"/>
          </w:rPr>
          <w:t>Cartoon Controversies at the European Court of Human Rights: Towards Forensic Humor Studies – Alberto Godioli</w:t>
        </w:r>
      </w:hyperlink>
      <w:r w:rsidR="00F479C4" w:rsidRPr="00A86410">
        <w:rPr>
          <w:rFonts w:ascii="Garamond" w:hAnsi="Garamond"/>
          <w:sz w:val="22"/>
          <w:szCs w:val="22"/>
        </w:rPr>
        <w:t xml:space="preserve"> [Attached]</w:t>
      </w:r>
    </w:p>
    <w:p w14:paraId="602F48D8" w14:textId="76355B33" w:rsidR="00F86D5B" w:rsidRDefault="00F86D5B" w:rsidP="00364A83">
      <w:pPr>
        <w:pStyle w:val="ListParagraph"/>
        <w:spacing w:line="276" w:lineRule="auto"/>
        <w:ind w:left="360"/>
        <w:jc w:val="both"/>
        <w:rPr>
          <w:rFonts w:ascii="Garamond" w:hAnsi="Garamond"/>
          <w:sz w:val="22"/>
          <w:szCs w:val="22"/>
        </w:rPr>
      </w:pPr>
      <w:hyperlink r:id="rId21" w:history="1">
        <w:r w:rsidRPr="00F86D5B">
          <w:rPr>
            <w:rStyle w:val="Hyperlink"/>
            <w:rFonts w:ascii="Garamond" w:hAnsi="Garamond"/>
            <w:sz w:val="22"/>
            <w:szCs w:val="22"/>
          </w:rPr>
          <w:t>Activist’s conviction for hooliganism over ‘obscene’ protest violated Article 10 ECHR</w:t>
        </w:r>
        <w:r w:rsidRPr="00F86D5B">
          <w:rPr>
            <w:rStyle w:val="Hyperlink"/>
            <w:rFonts w:ascii="Garamond" w:hAnsi="Garamond"/>
            <w:sz w:val="22"/>
            <w:szCs w:val="22"/>
          </w:rPr>
          <w:t xml:space="preserve"> – </w:t>
        </w:r>
        <w:r w:rsidRPr="00F86D5B">
          <w:rPr>
            <w:rStyle w:val="Hyperlink"/>
            <w:rFonts w:ascii="Garamond" w:hAnsi="Garamond"/>
            <w:sz w:val="22"/>
            <w:szCs w:val="22"/>
          </w:rPr>
          <w:t xml:space="preserve">Ronan Ó </w:t>
        </w:r>
        <w:proofErr w:type="spellStart"/>
        <w:r w:rsidRPr="00F86D5B">
          <w:rPr>
            <w:rStyle w:val="Hyperlink"/>
            <w:rFonts w:ascii="Garamond" w:hAnsi="Garamond"/>
            <w:sz w:val="22"/>
            <w:szCs w:val="22"/>
          </w:rPr>
          <w:t>Fathaigh</w:t>
        </w:r>
        <w:proofErr w:type="spellEnd"/>
        <w:r w:rsidRPr="00F86D5B">
          <w:rPr>
            <w:rStyle w:val="Hyperlink"/>
            <w:rFonts w:ascii="Garamond" w:hAnsi="Garamond"/>
            <w:sz w:val="22"/>
            <w:szCs w:val="22"/>
          </w:rPr>
          <w:t xml:space="preserve"> and Dirk Voorhoof</w:t>
        </w:r>
      </w:hyperlink>
    </w:p>
    <w:p w14:paraId="54D0E322" w14:textId="6CA67075" w:rsidR="00D44908" w:rsidRPr="00D44908" w:rsidRDefault="00D44908" w:rsidP="00D44908">
      <w:pPr>
        <w:pStyle w:val="ListParagraph"/>
        <w:spacing w:line="276" w:lineRule="auto"/>
        <w:ind w:left="360"/>
        <w:jc w:val="both"/>
        <w:rPr>
          <w:rFonts w:ascii="Garamond" w:hAnsi="Garamond"/>
          <w:sz w:val="22"/>
          <w:szCs w:val="22"/>
        </w:rPr>
      </w:pPr>
      <w:hyperlink r:id="rId22" w:history="1">
        <w:r w:rsidRPr="00D44908">
          <w:rPr>
            <w:rStyle w:val="Hyperlink"/>
            <w:rFonts w:ascii="Garamond" w:hAnsi="Garamond"/>
            <w:sz w:val="22"/>
            <w:szCs w:val="22"/>
          </w:rPr>
          <w:t xml:space="preserve">The </w:t>
        </w:r>
        <w:r w:rsidRPr="00D44908">
          <w:rPr>
            <w:rStyle w:val="Hyperlink"/>
            <w:rFonts w:ascii="Garamond" w:hAnsi="Garamond"/>
            <w:sz w:val="22"/>
            <w:szCs w:val="22"/>
          </w:rPr>
          <w:t>Ri</w:t>
        </w:r>
        <w:r w:rsidRPr="00D44908">
          <w:rPr>
            <w:rStyle w:val="Hyperlink"/>
            <w:rFonts w:ascii="Garamond" w:hAnsi="Garamond"/>
            <w:sz w:val="22"/>
            <w:szCs w:val="22"/>
          </w:rPr>
          <w:t xml:space="preserve">ght not to be </w:t>
        </w:r>
        <w:r w:rsidRPr="00D44908">
          <w:rPr>
            <w:rStyle w:val="Hyperlink"/>
            <w:rFonts w:ascii="Garamond" w:hAnsi="Garamond"/>
            <w:sz w:val="22"/>
            <w:szCs w:val="22"/>
          </w:rPr>
          <w:t>O</w:t>
        </w:r>
        <w:r w:rsidRPr="00D44908">
          <w:rPr>
            <w:rStyle w:val="Hyperlink"/>
            <w:rFonts w:ascii="Garamond" w:hAnsi="Garamond"/>
            <w:sz w:val="22"/>
            <w:szCs w:val="22"/>
          </w:rPr>
          <w:t>ffended</w:t>
        </w:r>
        <w:r w:rsidRPr="00D44908">
          <w:rPr>
            <w:rStyle w:val="Hyperlink"/>
            <w:rFonts w:ascii="Garamond" w:hAnsi="Garamond"/>
            <w:sz w:val="22"/>
            <w:szCs w:val="22"/>
          </w:rPr>
          <w:t xml:space="preserve"> – </w:t>
        </w:r>
        <w:r w:rsidRPr="00D44908">
          <w:rPr>
            <w:rStyle w:val="Hyperlink"/>
            <w:rFonts w:ascii="Garamond" w:hAnsi="Garamond"/>
            <w:sz w:val="22"/>
            <w:szCs w:val="22"/>
          </w:rPr>
          <w:t>Amber Melville-Brown</w:t>
        </w:r>
      </w:hyperlink>
    </w:p>
    <w:sectPr w:rsidR="00D44908" w:rsidRPr="00D44908" w:rsidSect="00936D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64F"/>
    <w:multiLevelType w:val="hybridMultilevel"/>
    <w:tmpl w:val="3138A1C6"/>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1020AC"/>
    <w:multiLevelType w:val="hybridMultilevel"/>
    <w:tmpl w:val="E7D224A4"/>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7466EF"/>
    <w:multiLevelType w:val="hybridMultilevel"/>
    <w:tmpl w:val="5CF6DB7C"/>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8D7D7C"/>
    <w:multiLevelType w:val="hybridMultilevel"/>
    <w:tmpl w:val="2962112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3A6D6F"/>
    <w:multiLevelType w:val="hybridMultilevel"/>
    <w:tmpl w:val="EFC62AD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F058EB"/>
    <w:multiLevelType w:val="hybridMultilevel"/>
    <w:tmpl w:val="C7CEBC52"/>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73495E"/>
    <w:multiLevelType w:val="hybridMultilevel"/>
    <w:tmpl w:val="8D36F60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C4"/>
    <w:rsid w:val="00005A1C"/>
    <w:rsid w:val="000062B0"/>
    <w:rsid w:val="00006A0F"/>
    <w:rsid w:val="00013B45"/>
    <w:rsid w:val="0001537B"/>
    <w:rsid w:val="00015BDD"/>
    <w:rsid w:val="00017C54"/>
    <w:rsid w:val="0002163D"/>
    <w:rsid w:val="0002404F"/>
    <w:rsid w:val="00024CB9"/>
    <w:rsid w:val="000330F1"/>
    <w:rsid w:val="000420E0"/>
    <w:rsid w:val="00042FB9"/>
    <w:rsid w:val="00045535"/>
    <w:rsid w:val="000521AA"/>
    <w:rsid w:val="000524DF"/>
    <w:rsid w:val="000558F4"/>
    <w:rsid w:val="000646DB"/>
    <w:rsid w:val="000650BC"/>
    <w:rsid w:val="00065E61"/>
    <w:rsid w:val="00066A48"/>
    <w:rsid w:val="00067289"/>
    <w:rsid w:val="00071E50"/>
    <w:rsid w:val="00071EB6"/>
    <w:rsid w:val="000725FE"/>
    <w:rsid w:val="000727EE"/>
    <w:rsid w:val="0007441D"/>
    <w:rsid w:val="00076F85"/>
    <w:rsid w:val="00081701"/>
    <w:rsid w:val="00082E97"/>
    <w:rsid w:val="00082F28"/>
    <w:rsid w:val="00083A7B"/>
    <w:rsid w:val="00084709"/>
    <w:rsid w:val="00084795"/>
    <w:rsid w:val="00087170"/>
    <w:rsid w:val="00090006"/>
    <w:rsid w:val="00091EF7"/>
    <w:rsid w:val="000A0865"/>
    <w:rsid w:val="000A0934"/>
    <w:rsid w:val="000A1F7E"/>
    <w:rsid w:val="000A302F"/>
    <w:rsid w:val="000A4331"/>
    <w:rsid w:val="000A4A8E"/>
    <w:rsid w:val="000A5290"/>
    <w:rsid w:val="000A7A22"/>
    <w:rsid w:val="000B1B03"/>
    <w:rsid w:val="000B6DCD"/>
    <w:rsid w:val="000C09E5"/>
    <w:rsid w:val="000C606F"/>
    <w:rsid w:val="000C69FB"/>
    <w:rsid w:val="000D0712"/>
    <w:rsid w:val="000D2E1C"/>
    <w:rsid w:val="000E1BF9"/>
    <w:rsid w:val="000E4286"/>
    <w:rsid w:val="000E6D66"/>
    <w:rsid w:val="000E788D"/>
    <w:rsid w:val="000F4727"/>
    <w:rsid w:val="000F4B07"/>
    <w:rsid w:val="001000AE"/>
    <w:rsid w:val="00105513"/>
    <w:rsid w:val="00105B24"/>
    <w:rsid w:val="00106E0E"/>
    <w:rsid w:val="00110A15"/>
    <w:rsid w:val="00111244"/>
    <w:rsid w:val="00113289"/>
    <w:rsid w:val="0011381B"/>
    <w:rsid w:val="00115E30"/>
    <w:rsid w:val="001207BB"/>
    <w:rsid w:val="00122FAA"/>
    <w:rsid w:val="001266D3"/>
    <w:rsid w:val="00132867"/>
    <w:rsid w:val="00135035"/>
    <w:rsid w:val="00141EB9"/>
    <w:rsid w:val="00144252"/>
    <w:rsid w:val="00145DCE"/>
    <w:rsid w:val="00154FE9"/>
    <w:rsid w:val="00162F87"/>
    <w:rsid w:val="001650BA"/>
    <w:rsid w:val="001722FC"/>
    <w:rsid w:val="00173A29"/>
    <w:rsid w:val="00175771"/>
    <w:rsid w:val="001760C3"/>
    <w:rsid w:val="001777B4"/>
    <w:rsid w:val="0018212B"/>
    <w:rsid w:val="0018556C"/>
    <w:rsid w:val="00185A26"/>
    <w:rsid w:val="00191BEB"/>
    <w:rsid w:val="00196146"/>
    <w:rsid w:val="00196B30"/>
    <w:rsid w:val="001971DB"/>
    <w:rsid w:val="001A01A2"/>
    <w:rsid w:val="001A20B0"/>
    <w:rsid w:val="001A57D8"/>
    <w:rsid w:val="001A749F"/>
    <w:rsid w:val="001B195B"/>
    <w:rsid w:val="001B27EF"/>
    <w:rsid w:val="001B4A82"/>
    <w:rsid w:val="001C0241"/>
    <w:rsid w:val="001C236B"/>
    <w:rsid w:val="001D052F"/>
    <w:rsid w:val="001D5A4F"/>
    <w:rsid w:val="001E61A8"/>
    <w:rsid w:val="001E75BA"/>
    <w:rsid w:val="001F1318"/>
    <w:rsid w:val="001F2F08"/>
    <w:rsid w:val="001F65EB"/>
    <w:rsid w:val="00201367"/>
    <w:rsid w:val="00206DC4"/>
    <w:rsid w:val="002130DD"/>
    <w:rsid w:val="0021400A"/>
    <w:rsid w:val="002227BB"/>
    <w:rsid w:val="0023165E"/>
    <w:rsid w:val="00231A36"/>
    <w:rsid w:val="0023748F"/>
    <w:rsid w:val="00242A7A"/>
    <w:rsid w:val="00244064"/>
    <w:rsid w:val="00246243"/>
    <w:rsid w:val="002467A4"/>
    <w:rsid w:val="00250379"/>
    <w:rsid w:val="002507B4"/>
    <w:rsid w:val="00250CFF"/>
    <w:rsid w:val="0025421E"/>
    <w:rsid w:val="00255EF4"/>
    <w:rsid w:val="00256F4A"/>
    <w:rsid w:val="00267DE6"/>
    <w:rsid w:val="00270861"/>
    <w:rsid w:val="00277615"/>
    <w:rsid w:val="0028329B"/>
    <w:rsid w:val="00285F4E"/>
    <w:rsid w:val="00286276"/>
    <w:rsid w:val="002864FD"/>
    <w:rsid w:val="00286D0D"/>
    <w:rsid w:val="00287CA8"/>
    <w:rsid w:val="00291DD7"/>
    <w:rsid w:val="00292565"/>
    <w:rsid w:val="0029380C"/>
    <w:rsid w:val="00293EFC"/>
    <w:rsid w:val="00294D93"/>
    <w:rsid w:val="00296EB1"/>
    <w:rsid w:val="00297B19"/>
    <w:rsid w:val="002A2052"/>
    <w:rsid w:val="002A2482"/>
    <w:rsid w:val="002A5049"/>
    <w:rsid w:val="002A5960"/>
    <w:rsid w:val="002B51E6"/>
    <w:rsid w:val="002B6BE2"/>
    <w:rsid w:val="002C1821"/>
    <w:rsid w:val="002C454F"/>
    <w:rsid w:val="002C6856"/>
    <w:rsid w:val="002D069A"/>
    <w:rsid w:val="002D0790"/>
    <w:rsid w:val="002D12FC"/>
    <w:rsid w:val="002D1343"/>
    <w:rsid w:val="002D4C0F"/>
    <w:rsid w:val="002D63E5"/>
    <w:rsid w:val="002D741E"/>
    <w:rsid w:val="002E0D9D"/>
    <w:rsid w:val="002E310D"/>
    <w:rsid w:val="002E447D"/>
    <w:rsid w:val="002F3E14"/>
    <w:rsid w:val="002F6283"/>
    <w:rsid w:val="00304A1B"/>
    <w:rsid w:val="00306EB9"/>
    <w:rsid w:val="00307407"/>
    <w:rsid w:val="003105D0"/>
    <w:rsid w:val="003121D0"/>
    <w:rsid w:val="00313351"/>
    <w:rsid w:val="003133DC"/>
    <w:rsid w:val="0031585C"/>
    <w:rsid w:val="003164BD"/>
    <w:rsid w:val="00316708"/>
    <w:rsid w:val="00320896"/>
    <w:rsid w:val="00322A6B"/>
    <w:rsid w:val="0032614F"/>
    <w:rsid w:val="00330330"/>
    <w:rsid w:val="00332D93"/>
    <w:rsid w:val="003333F8"/>
    <w:rsid w:val="00334608"/>
    <w:rsid w:val="00336248"/>
    <w:rsid w:val="003410F0"/>
    <w:rsid w:val="00345563"/>
    <w:rsid w:val="00346D74"/>
    <w:rsid w:val="003519CE"/>
    <w:rsid w:val="003519D8"/>
    <w:rsid w:val="00353012"/>
    <w:rsid w:val="003558CF"/>
    <w:rsid w:val="00362BBA"/>
    <w:rsid w:val="00364A83"/>
    <w:rsid w:val="00364F8D"/>
    <w:rsid w:val="003752C0"/>
    <w:rsid w:val="003824FE"/>
    <w:rsid w:val="003831CA"/>
    <w:rsid w:val="00383745"/>
    <w:rsid w:val="0039228D"/>
    <w:rsid w:val="00394648"/>
    <w:rsid w:val="003A0668"/>
    <w:rsid w:val="003A6DBD"/>
    <w:rsid w:val="003B0C99"/>
    <w:rsid w:val="003B1755"/>
    <w:rsid w:val="003B3EF4"/>
    <w:rsid w:val="003B3FD4"/>
    <w:rsid w:val="003B4396"/>
    <w:rsid w:val="003B5089"/>
    <w:rsid w:val="003B66FA"/>
    <w:rsid w:val="003C18C6"/>
    <w:rsid w:val="003D559E"/>
    <w:rsid w:val="003E461F"/>
    <w:rsid w:val="003E4C66"/>
    <w:rsid w:val="003E65D8"/>
    <w:rsid w:val="003E72BC"/>
    <w:rsid w:val="003E7E90"/>
    <w:rsid w:val="003F4648"/>
    <w:rsid w:val="00405253"/>
    <w:rsid w:val="0041407E"/>
    <w:rsid w:val="004161F0"/>
    <w:rsid w:val="00417567"/>
    <w:rsid w:val="004270CF"/>
    <w:rsid w:val="004277CF"/>
    <w:rsid w:val="00427F69"/>
    <w:rsid w:val="00431F6C"/>
    <w:rsid w:val="004326A2"/>
    <w:rsid w:val="00433264"/>
    <w:rsid w:val="00437A17"/>
    <w:rsid w:val="00437DEA"/>
    <w:rsid w:val="004426E9"/>
    <w:rsid w:val="00442C42"/>
    <w:rsid w:val="00444B54"/>
    <w:rsid w:val="00446B1F"/>
    <w:rsid w:val="004502A5"/>
    <w:rsid w:val="004528A9"/>
    <w:rsid w:val="004555CA"/>
    <w:rsid w:val="00460823"/>
    <w:rsid w:val="00462A83"/>
    <w:rsid w:val="00463B77"/>
    <w:rsid w:val="0046742D"/>
    <w:rsid w:val="004754E6"/>
    <w:rsid w:val="004763FA"/>
    <w:rsid w:val="00480DE2"/>
    <w:rsid w:val="0048275E"/>
    <w:rsid w:val="00487ED3"/>
    <w:rsid w:val="00492467"/>
    <w:rsid w:val="004927E2"/>
    <w:rsid w:val="00492856"/>
    <w:rsid w:val="00494035"/>
    <w:rsid w:val="0049561A"/>
    <w:rsid w:val="004A0B7B"/>
    <w:rsid w:val="004A21C0"/>
    <w:rsid w:val="004A30AF"/>
    <w:rsid w:val="004A654C"/>
    <w:rsid w:val="004B1D57"/>
    <w:rsid w:val="004B46B6"/>
    <w:rsid w:val="004B7263"/>
    <w:rsid w:val="004C10E7"/>
    <w:rsid w:val="004C2D06"/>
    <w:rsid w:val="004C3B01"/>
    <w:rsid w:val="004C47D5"/>
    <w:rsid w:val="004C6D93"/>
    <w:rsid w:val="004D21A5"/>
    <w:rsid w:val="004E3A02"/>
    <w:rsid w:val="004E3A33"/>
    <w:rsid w:val="004F53FD"/>
    <w:rsid w:val="00500620"/>
    <w:rsid w:val="0050108C"/>
    <w:rsid w:val="005021A3"/>
    <w:rsid w:val="00502CC3"/>
    <w:rsid w:val="00502EAC"/>
    <w:rsid w:val="005030E4"/>
    <w:rsid w:val="00503F35"/>
    <w:rsid w:val="00506C95"/>
    <w:rsid w:val="005074CF"/>
    <w:rsid w:val="00515BE4"/>
    <w:rsid w:val="005170D0"/>
    <w:rsid w:val="00524B9F"/>
    <w:rsid w:val="005255F3"/>
    <w:rsid w:val="0052623B"/>
    <w:rsid w:val="00526682"/>
    <w:rsid w:val="00532105"/>
    <w:rsid w:val="00540478"/>
    <w:rsid w:val="00546CD3"/>
    <w:rsid w:val="0056094E"/>
    <w:rsid w:val="00560E57"/>
    <w:rsid w:val="00565F3A"/>
    <w:rsid w:val="0056757E"/>
    <w:rsid w:val="005709F0"/>
    <w:rsid w:val="00570E45"/>
    <w:rsid w:val="00574174"/>
    <w:rsid w:val="005812DB"/>
    <w:rsid w:val="00582620"/>
    <w:rsid w:val="00582724"/>
    <w:rsid w:val="005832CC"/>
    <w:rsid w:val="005853B5"/>
    <w:rsid w:val="00585D93"/>
    <w:rsid w:val="00591138"/>
    <w:rsid w:val="00592129"/>
    <w:rsid w:val="005A20BE"/>
    <w:rsid w:val="005A66F3"/>
    <w:rsid w:val="005B0E86"/>
    <w:rsid w:val="005C422A"/>
    <w:rsid w:val="005C5135"/>
    <w:rsid w:val="005C7A43"/>
    <w:rsid w:val="005D166A"/>
    <w:rsid w:val="005E4494"/>
    <w:rsid w:val="005F28F6"/>
    <w:rsid w:val="005F64EA"/>
    <w:rsid w:val="005F68C0"/>
    <w:rsid w:val="006058D8"/>
    <w:rsid w:val="0061046C"/>
    <w:rsid w:val="00617413"/>
    <w:rsid w:val="00621FF7"/>
    <w:rsid w:val="0062763B"/>
    <w:rsid w:val="00631880"/>
    <w:rsid w:val="00632F40"/>
    <w:rsid w:val="00633334"/>
    <w:rsid w:val="00633865"/>
    <w:rsid w:val="0064239C"/>
    <w:rsid w:val="00644908"/>
    <w:rsid w:val="00646D64"/>
    <w:rsid w:val="006515B4"/>
    <w:rsid w:val="00654B26"/>
    <w:rsid w:val="00662E84"/>
    <w:rsid w:val="0066606A"/>
    <w:rsid w:val="0066660D"/>
    <w:rsid w:val="00666AF3"/>
    <w:rsid w:val="00667D16"/>
    <w:rsid w:val="00673D41"/>
    <w:rsid w:val="0067447F"/>
    <w:rsid w:val="00675CF7"/>
    <w:rsid w:val="006809C6"/>
    <w:rsid w:val="00681E76"/>
    <w:rsid w:val="00682C57"/>
    <w:rsid w:val="00685EE2"/>
    <w:rsid w:val="00691395"/>
    <w:rsid w:val="00693983"/>
    <w:rsid w:val="006943BC"/>
    <w:rsid w:val="006A3315"/>
    <w:rsid w:val="006A5F9B"/>
    <w:rsid w:val="006B56EE"/>
    <w:rsid w:val="006C0520"/>
    <w:rsid w:val="006C0EA5"/>
    <w:rsid w:val="006C2D70"/>
    <w:rsid w:val="006C44EA"/>
    <w:rsid w:val="006D0F50"/>
    <w:rsid w:val="006D501A"/>
    <w:rsid w:val="006D503F"/>
    <w:rsid w:val="006D534F"/>
    <w:rsid w:val="006D61EC"/>
    <w:rsid w:val="006E308C"/>
    <w:rsid w:val="006E52AF"/>
    <w:rsid w:val="006E693B"/>
    <w:rsid w:val="006E6A96"/>
    <w:rsid w:val="006F02C5"/>
    <w:rsid w:val="006F0DD9"/>
    <w:rsid w:val="006F3AD1"/>
    <w:rsid w:val="006F6A58"/>
    <w:rsid w:val="006F780B"/>
    <w:rsid w:val="007000AC"/>
    <w:rsid w:val="0070137C"/>
    <w:rsid w:val="0070537A"/>
    <w:rsid w:val="007075F6"/>
    <w:rsid w:val="007122B2"/>
    <w:rsid w:val="00715338"/>
    <w:rsid w:val="00720E54"/>
    <w:rsid w:val="007216F1"/>
    <w:rsid w:val="00722479"/>
    <w:rsid w:val="00723BA2"/>
    <w:rsid w:val="007262F7"/>
    <w:rsid w:val="007266D0"/>
    <w:rsid w:val="00726CBC"/>
    <w:rsid w:val="0072754D"/>
    <w:rsid w:val="00727FE5"/>
    <w:rsid w:val="007327E3"/>
    <w:rsid w:val="0073544D"/>
    <w:rsid w:val="007359F0"/>
    <w:rsid w:val="00742DD3"/>
    <w:rsid w:val="007432B1"/>
    <w:rsid w:val="00743683"/>
    <w:rsid w:val="0074696F"/>
    <w:rsid w:val="007469CD"/>
    <w:rsid w:val="0075382C"/>
    <w:rsid w:val="00754FD4"/>
    <w:rsid w:val="0075745D"/>
    <w:rsid w:val="00760911"/>
    <w:rsid w:val="007668CC"/>
    <w:rsid w:val="00770537"/>
    <w:rsid w:val="0077262E"/>
    <w:rsid w:val="0077462A"/>
    <w:rsid w:val="00774D6A"/>
    <w:rsid w:val="00777C25"/>
    <w:rsid w:val="007901F8"/>
    <w:rsid w:val="00791F36"/>
    <w:rsid w:val="007934AB"/>
    <w:rsid w:val="007938FD"/>
    <w:rsid w:val="0079402B"/>
    <w:rsid w:val="007A0677"/>
    <w:rsid w:val="007A2273"/>
    <w:rsid w:val="007B1FBE"/>
    <w:rsid w:val="007B2010"/>
    <w:rsid w:val="007B615B"/>
    <w:rsid w:val="007B783D"/>
    <w:rsid w:val="007C228A"/>
    <w:rsid w:val="007C4257"/>
    <w:rsid w:val="007C6838"/>
    <w:rsid w:val="007C6B9F"/>
    <w:rsid w:val="007C768C"/>
    <w:rsid w:val="007D48FE"/>
    <w:rsid w:val="007E0930"/>
    <w:rsid w:val="007E5464"/>
    <w:rsid w:val="007E676A"/>
    <w:rsid w:val="007F0698"/>
    <w:rsid w:val="007F2D4E"/>
    <w:rsid w:val="007F30B4"/>
    <w:rsid w:val="007F33BE"/>
    <w:rsid w:val="007F4C83"/>
    <w:rsid w:val="007F52D2"/>
    <w:rsid w:val="008007C4"/>
    <w:rsid w:val="008010B0"/>
    <w:rsid w:val="00803E19"/>
    <w:rsid w:val="00811E64"/>
    <w:rsid w:val="0081277F"/>
    <w:rsid w:val="00812C95"/>
    <w:rsid w:val="00820553"/>
    <w:rsid w:val="008211A6"/>
    <w:rsid w:val="00823708"/>
    <w:rsid w:val="00843569"/>
    <w:rsid w:val="008457BF"/>
    <w:rsid w:val="00851DC7"/>
    <w:rsid w:val="008525C5"/>
    <w:rsid w:val="00854816"/>
    <w:rsid w:val="00857891"/>
    <w:rsid w:val="00862A45"/>
    <w:rsid w:val="00863705"/>
    <w:rsid w:val="008643B1"/>
    <w:rsid w:val="00867A10"/>
    <w:rsid w:val="0087103D"/>
    <w:rsid w:val="0087539C"/>
    <w:rsid w:val="00876A43"/>
    <w:rsid w:val="008803D0"/>
    <w:rsid w:val="008859B0"/>
    <w:rsid w:val="00886F61"/>
    <w:rsid w:val="008A3A58"/>
    <w:rsid w:val="008A5F61"/>
    <w:rsid w:val="008A6798"/>
    <w:rsid w:val="008A6C75"/>
    <w:rsid w:val="008B12F3"/>
    <w:rsid w:val="008C49E1"/>
    <w:rsid w:val="008C69D3"/>
    <w:rsid w:val="008D0A59"/>
    <w:rsid w:val="008E24F0"/>
    <w:rsid w:val="008E3678"/>
    <w:rsid w:val="008E5ECE"/>
    <w:rsid w:val="008E697E"/>
    <w:rsid w:val="008E7263"/>
    <w:rsid w:val="008F0B27"/>
    <w:rsid w:val="008F3994"/>
    <w:rsid w:val="008F6909"/>
    <w:rsid w:val="008F78F0"/>
    <w:rsid w:val="00902E41"/>
    <w:rsid w:val="0090792F"/>
    <w:rsid w:val="009114D8"/>
    <w:rsid w:val="00912482"/>
    <w:rsid w:val="009154DA"/>
    <w:rsid w:val="009168F2"/>
    <w:rsid w:val="00933ED1"/>
    <w:rsid w:val="009347B8"/>
    <w:rsid w:val="00934859"/>
    <w:rsid w:val="0093704B"/>
    <w:rsid w:val="00937E57"/>
    <w:rsid w:val="00941860"/>
    <w:rsid w:val="00943557"/>
    <w:rsid w:val="00943E92"/>
    <w:rsid w:val="009447CC"/>
    <w:rsid w:val="009631AA"/>
    <w:rsid w:val="009727BB"/>
    <w:rsid w:val="00974AFA"/>
    <w:rsid w:val="00976F85"/>
    <w:rsid w:val="009812BA"/>
    <w:rsid w:val="00985621"/>
    <w:rsid w:val="00986659"/>
    <w:rsid w:val="0098767E"/>
    <w:rsid w:val="00987F6E"/>
    <w:rsid w:val="0099087D"/>
    <w:rsid w:val="00996E4B"/>
    <w:rsid w:val="00997D6E"/>
    <w:rsid w:val="009A0005"/>
    <w:rsid w:val="009A0740"/>
    <w:rsid w:val="009A27A1"/>
    <w:rsid w:val="009A5D7B"/>
    <w:rsid w:val="009A61D8"/>
    <w:rsid w:val="009A68DD"/>
    <w:rsid w:val="009B1B84"/>
    <w:rsid w:val="009B48F7"/>
    <w:rsid w:val="009B6A49"/>
    <w:rsid w:val="009C08FC"/>
    <w:rsid w:val="009D1A89"/>
    <w:rsid w:val="009D3D19"/>
    <w:rsid w:val="009D776D"/>
    <w:rsid w:val="009D7FAD"/>
    <w:rsid w:val="009E6B6A"/>
    <w:rsid w:val="009F34C6"/>
    <w:rsid w:val="009F4826"/>
    <w:rsid w:val="009F7EC1"/>
    <w:rsid w:val="00A0191C"/>
    <w:rsid w:val="00A03159"/>
    <w:rsid w:val="00A04ECD"/>
    <w:rsid w:val="00A123A5"/>
    <w:rsid w:val="00A13099"/>
    <w:rsid w:val="00A1320E"/>
    <w:rsid w:val="00A173D9"/>
    <w:rsid w:val="00A17896"/>
    <w:rsid w:val="00A21844"/>
    <w:rsid w:val="00A25349"/>
    <w:rsid w:val="00A300BB"/>
    <w:rsid w:val="00A317E6"/>
    <w:rsid w:val="00A360E9"/>
    <w:rsid w:val="00A37B9F"/>
    <w:rsid w:val="00A40C02"/>
    <w:rsid w:val="00A425B8"/>
    <w:rsid w:val="00A445BF"/>
    <w:rsid w:val="00A4578B"/>
    <w:rsid w:val="00A45F2C"/>
    <w:rsid w:val="00A46DB1"/>
    <w:rsid w:val="00A50F72"/>
    <w:rsid w:val="00A539CD"/>
    <w:rsid w:val="00A53D7A"/>
    <w:rsid w:val="00A61E56"/>
    <w:rsid w:val="00A63DEF"/>
    <w:rsid w:val="00A67588"/>
    <w:rsid w:val="00A70305"/>
    <w:rsid w:val="00A71298"/>
    <w:rsid w:val="00A72372"/>
    <w:rsid w:val="00A72533"/>
    <w:rsid w:val="00A835C7"/>
    <w:rsid w:val="00A86410"/>
    <w:rsid w:val="00A931DF"/>
    <w:rsid w:val="00AA11AD"/>
    <w:rsid w:val="00AA20D3"/>
    <w:rsid w:val="00AA3F42"/>
    <w:rsid w:val="00AA4749"/>
    <w:rsid w:val="00AA4B34"/>
    <w:rsid w:val="00AA4C81"/>
    <w:rsid w:val="00AA5AE2"/>
    <w:rsid w:val="00AA6183"/>
    <w:rsid w:val="00AA7CB4"/>
    <w:rsid w:val="00AB13F2"/>
    <w:rsid w:val="00AB2F7B"/>
    <w:rsid w:val="00AB7139"/>
    <w:rsid w:val="00AC0982"/>
    <w:rsid w:val="00AC5C34"/>
    <w:rsid w:val="00AD677D"/>
    <w:rsid w:val="00AE0E1D"/>
    <w:rsid w:val="00AE1B73"/>
    <w:rsid w:val="00AE2725"/>
    <w:rsid w:val="00AE6F5A"/>
    <w:rsid w:val="00AF073D"/>
    <w:rsid w:val="00AF4702"/>
    <w:rsid w:val="00AF57B2"/>
    <w:rsid w:val="00AF7FA7"/>
    <w:rsid w:val="00B042EA"/>
    <w:rsid w:val="00B11AB6"/>
    <w:rsid w:val="00B11E2E"/>
    <w:rsid w:val="00B14761"/>
    <w:rsid w:val="00B16BA5"/>
    <w:rsid w:val="00B24D62"/>
    <w:rsid w:val="00B30024"/>
    <w:rsid w:val="00B31252"/>
    <w:rsid w:val="00B330C5"/>
    <w:rsid w:val="00B35B1C"/>
    <w:rsid w:val="00B35D11"/>
    <w:rsid w:val="00B36C23"/>
    <w:rsid w:val="00B37F28"/>
    <w:rsid w:val="00B445E3"/>
    <w:rsid w:val="00B524DA"/>
    <w:rsid w:val="00B57DA2"/>
    <w:rsid w:val="00B60972"/>
    <w:rsid w:val="00B6373A"/>
    <w:rsid w:val="00B6388D"/>
    <w:rsid w:val="00B66612"/>
    <w:rsid w:val="00B673ED"/>
    <w:rsid w:val="00B70EC8"/>
    <w:rsid w:val="00B81850"/>
    <w:rsid w:val="00B8209D"/>
    <w:rsid w:val="00B8482A"/>
    <w:rsid w:val="00B90228"/>
    <w:rsid w:val="00B92D8B"/>
    <w:rsid w:val="00BA3D94"/>
    <w:rsid w:val="00BA4B49"/>
    <w:rsid w:val="00BA6B91"/>
    <w:rsid w:val="00BC3222"/>
    <w:rsid w:val="00BC42F4"/>
    <w:rsid w:val="00BC4685"/>
    <w:rsid w:val="00BC7B07"/>
    <w:rsid w:val="00BD0657"/>
    <w:rsid w:val="00BD1A68"/>
    <w:rsid w:val="00BD5AC0"/>
    <w:rsid w:val="00BD7AF9"/>
    <w:rsid w:val="00BE3A1B"/>
    <w:rsid w:val="00BE3C16"/>
    <w:rsid w:val="00BE3F89"/>
    <w:rsid w:val="00BE6787"/>
    <w:rsid w:val="00BE6EE8"/>
    <w:rsid w:val="00BE7CA7"/>
    <w:rsid w:val="00BF0896"/>
    <w:rsid w:val="00BF669A"/>
    <w:rsid w:val="00BF7B0C"/>
    <w:rsid w:val="00C0409E"/>
    <w:rsid w:val="00C076BF"/>
    <w:rsid w:val="00C07D57"/>
    <w:rsid w:val="00C142AE"/>
    <w:rsid w:val="00C15FC2"/>
    <w:rsid w:val="00C16564"/>
    <w:rsid w:val="00C200B6"/>
    <w:rsid w:val="00C20F4A"/>
    <w:rsid w:val="00C27A3A"/>
    <w:rsid w:val="00C323D1"/>
    <w:rsid w:val="00C3732B"/>
    <w:rsid w:val="00C56AD1"/>
    <w:rsid w:val="00C60BFA"/>
    <w:rsid w:val="00C61857"/>
    <w:rsid w:val="00C62248"/>
    <w:rsid w:val="00C645B2"/>
    <w:rsid w:val="00C64DBB"/>
    <w:rsid w:val="00C658A5"/>
    <w:rsid w:val="00C67050"/>
    <w:rsid w:val="00C7028C"/>
    <w:rsid w:val="00C80620"/>
    <w:rsid w:val="00C81D62"/>
    <w:rsid w:val="00C81F3C"/>
    <w:rsid w:val="00C82D85"/>
    <w:rsid w:val="00C86F49"/>
    <w:rsid w:val="00C94F62"/>
    <w:rsid w:val="00C9572A"/>
    <w:rsid w:val="00C97345"/>
    <w:rsid w:val="00CA017A"/>
    <w:rsid w:val="00CA149B"/>
    <w:rsid w:val="00CA6A28"/>
    <w:rsid w:val="00CB0050"/>
    <w:rsid w:val="00CB0324"/>
    <w:rsid w:val="00CB0764"/>
    <w:rsid w:val="00CB231F"/>
    <w:rsid w:val="00CB4908"/>
    <w:rsid w:val="00CB62B4"/>
    <w:rsid w:val="00CD29FE"/>
    <w:rsid w:val="00CD5CD9"/>
    <w:rsid w:val="00CD6FE3"/>
    <w:rsid w:val="00CE0930"/>
    <w:rsid w:val="00CE2635"/>
    <w:rsid w:val="00CE2C09"/>
    <w:rsid w:val="00CE6715"/>
    <w:rsid w:val="00CF2BBC"/>
    <w:rsid w:val="00CF2ED7"/>
    <w:rsid w:val="00CF55C4"/>
    <w:rsid w:val="00CF6E7A"/>
    <w:rsid w:val="00D02823"/>
    <w:rsid w:val="00D02835"/>
    <w:rsid w:val="00D04150"/>
    <w:rsid w:val="00D042CC"/>
    <w:rsid w:val="00D07B8F"/>
    <w:rsid w:val="00D11BD9"/>
    <w:rsid w:val="00D13F4D"/>
    <w:rsid w:val="00D1664A"/>
    <w:rsid w:val="00D21764"/>
    <w:rsid w:val="00D22DDC"/>
    <w:rsid w:val="00D22FB1"/>
    <w:rsid w:val="00D312A2"/>
    <w:rsid w:val="00D35997"/>
    <w:rsid w:val="00D35ACB"/>
    <w:rsid w:val="00D40709"/>
    <w:rsid w:val="00D40A17"/>
    <w:rsid w:val="00D44908"/>
    <w:rsid w:val="00D44F84"/>
    <w:rsid w:val="00D456F3"/>
    <w:rsid w:val="00D47BDA"/>
    <w:rsid w:val="00D56D54"/>
    <w:rsid w:val="00D57683"/>
    <w:rsid w:val="00D57936"/>
    <w:rsid w:val="00D60A7B"/>
    <w:rsid w:val="00D61C25"/>
    <w:rsid w:val="00D64E7F"/>
    <w:rsid w:val="00D71116"/>
    <w:rsid w:val="00D71275"/>
    <w:rsid w:val="00D87101"/>
    <w:rsid w:val="00D871EE"/>
    <w:rsid w:val="00D90FA3"/>
    <w:rsid w:val="00D93929"/>
    <w:rsid w:val="00D947A0"/>
    <w:rsid w:val="00D94D6F"/>
    <w:rsid w:val="00DA3DA9"/>
    <w:rsid w:val="00DA4709"/>
    <w:rsid w:val="00DA4C9F"/>
    <w:rsid w:val="00DA625A"/>
    <w:rsid w:val="00DA6B6E"/>
    <w:rsid w:val="00DC0CCD"/>
    <w:rsid w:val="00DC58E2"/>
    <w:rsid w:val="00DC5A37"/>
    <w:rsid w:val="00DC6381"/>
    <w:rsid w:val="00DD0DA6"/>
    <w:rsid w:val="00DD1923"/>
    <w:rsid w:val="00DD282C"/>
    <w:rsid w:val="00DD4B77"/>
    <w:rsid w:val="00DE1044"/>
    <w:rsid w:val="00DF4B1F"/>
    <w:rsid w:val="00DF7037"/>
    <w:rsid w:val="00DF7755"/>
    <w:rsid w:val="00E02E2D"/>
    <w:rsid w:val="00E04149"/>
    <w:rsid w:val="00E04714"/>
    <w:rsid w:val="00E06F34"/>
    <w:rsid w:val="00E07E5D"/>
    <w:rsid w:val="00E146B1"/>
    <w:rsid w:val="00E22322"/>
    <w:rsid w:val="00E26C5E"/>
    <w:rsid w:val="00E30465"/>
    <w:rsid w:val="00E307C8"/>
    <w:rsid w:val="00E336F7"/>
    <w:rsid w:val="00E54F58"/>
    <w:rsid w:val="00E55F21"/>
    <w:rsid w:val="00E670EC"/>
    <w:rsid w:val="00E67334"/>
    <w:rsid w:val="00E70CA7"/>
    <w:rsid w:val="00E7334A"/>
    <w:rsid w:val="00E734D7"/>
    <w:rsid w:val="00E74483"/>
    <w:rsid w:val="00E765A7"/>
    <w:rsid w:val="00E83409"/>
    <w:rsid w:val="00E83970"/>
    <w:rsid w:val="00E93751"/>
    <w:rsid w:val="00E93FB5"/>
    <w:rsid w:val="00E94479"/>
    <w:rsid w:val="00EA2D82"/>
    <w:rsid w:val="00EA47F1"/>
    <w:rsid w:val="00EA763E"/>
    <w:rsid w:val="00EB157F"/>
    <w:rsid w:val="00EB2574"/>
    <w:rsid w:val="00EB386A"/>
    <w:rsid w:val="00EB3B96"/>
    <w:rsid w:val="00EB456E"/>
    <w:rsid w:val="00EB4CE0"/>
    <w:rsid w:val="00EB5010"/>
    <w:rsid w:val="00EB5222"/>
    <w:rsid w:val="00EC4247"/>
    <w:rsid w:val="00EC771C"/>
    <w:rsid w:val="00ED033B"/>
    <w:rsid w:val="00ED06B9"/>
    <w:rsid w:val="00EE2572"/>
    <w:rsid w:val="00EE3663"/>
    <w:rsid w:val="00EE3BC8"/>
    <w:rsid w:val="00EE41ED"/>
    <w:rsid w:val="00EE45A2"/>
    <w:rsid w:val="00EE7BAA"/>
    <w:rsid w:val="00EF0D97"/>
    <w:rsid w:val="00EF23DD"/>
    <w:rsid w:val="00EF5D0C"/>
    <w:rsid w:val="00EF6083"/>
    <w:rsid w:val="00EF6F17"/>
    <w:rsid w:val="00EF71A9"/>
    <w:rsid w:val="00F1069C"/>
    <w:rsid w:val="00F109E8"/>
    <w:rsid w:val="00F13CB3"/>
    <w:rsid w:val="00F14B6E"/>
    <w:rsid w:val="00F164F1"/>
    <w:rsid w:val="00F17009"/>
    <w:rsid w:val="00F26352"/>
    <w:rsid w:val="00F346C0"/>
    <w:rsid w:val="00F354B9"/>
    <w:rsid w:val="00F36B2D"/>
    <w:rsid w:val="00F40648"/>
    <w:rsid w:val="00F43010"/>
    <w:rsid w:val="00F43A48"/>
    <w:rsid w:val="00F4450D"/>
    <w:rsid w:val="00F44E63"/>
    <w:rsid w:val="00F479C4"/>
    <w:rsid w:val="00F507B9"/>
    <w:rsid w:val="00F50FED"/>
    <w:rsid w:val="00F5170B"/>
    <w:rsid w:val="00F52170"/>
    <w:rsid w:val="00F56957"/>
    <w:rsid w:val="00F57E5E"/>
    <w:rsid w:val="00F57E78"/>
    <w:rsid w:val="00F63737"/>
    <w:rsid w:val="00F63B60"/>
    <w:rsid w:val="00F67B4F"/>
    <w:rsid w:val="00F70521"/>
    <w:rsid w:val="00F7295A"/>
    <w:rsid w:val="00F72E52"/>
    <w:rsid w:val="00F82CFA"/>
    <w:rsid w:val="00F83685"/>
    <w:rsid w:val="00F83E92"/>
    <w:rsid w:val="00F86D5B"/>
    <w:rsid w:val="00F86E7F"/>
    <w:rsid w:val="00F86F97"/>
    <w:rsid w:val="00F91758"/>
    <w:rsid w:val="00F91845"/>
    <w:rsid w:val="00F95B49"/>
    <w:rsid w:val="00FA08EC"/>
    <w:rsid w:val="00FA6C50"/>
    <w:rsid w:val="00FB10E9"/>
    <w:rsid w:val="00FB3150"/>
    <w:rsid w:val="00FB4918"/>
    <w:rsid w:val="00FB7248"/>
    <w:rsid w:val="00FB7AC9"/>
    <w:rsid w:val="00FC63FC"/>
    <w:rsid w:val="00FC7507"/>
    <w:rsid w:val="00FD1824"/>
    <w:rsid w:val="00FD1C3A"/>
    <w:rsid w:val="00FE1CD9"/>
    <w:rsid w:val="00FE2669"/>
    <w:rsid w:val="00FF05A7"/>
    <w:rsid w:val="00FF1AB2"/>
    <w:rsid w:val="00FF3447"/>
    <w:rsid w:val="00FF3C94"/>
    <w:rsid w:val="00FF5437"/>
    <w:rsid w:val="00FF5D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19E3D2F"/>
  <w15:chartTrackingRefBased/>
  <w15:docId w15:val="{D02064CF-2CEC-A646-80D3-E70F74E8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9C4"/>
    <w:pPr>
      <w:ind w:left="720"/>
      <w:contextualSpacing/>
    </w:pPr>
  </w:style>
  <w:style w:type="character" w:styleId="Hyperlink">
    <w:name w:val="Hyperlink"/>
    <w:basedOn w:val="DefaultParagraphFont"/>
    <w:uiPriority w:val="99"/>
    <w:unhideWhenUsed/>
    <w:rsid w:val="00F479C4"/>
    <w:rPr>
      <w:color w:val="0563C1" w:themeColor="hyperlink"/>
      <w:u w:val="single"/>
    </w:rPr>
  </w:style>
  <w:style w:type="paragraph" w:styleId="BalloonText">
    <w:name w:val="Balloon Text"/>
    <w:basedOn w:val="Normal"/>
    <w:link w:val="BalloonTextChar"/>
    <w:uiPriority w:val="99"/>
    <w:semiHidden/>
    <w:unhideWhenUsed/>
    <w:rsid w:val="00C20F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0F4A"/>
    <w:rPr>
      <w:rFonts w:ascii="Times New Roman" w:hAnsi="Times New Roman" w:cs="Times New Roman"/>
      <w:sz w:val="18"/>
      <w:szCs w:val="18"/>
    </w:rPr>
  </w:style>
  <w:style w:type="paragraph" w:styleId="NormalWeb">
    <w:name w:val="Normal (Web)"/>
    <w:basedOn w:val="Normal"/>
    <w:uiPriority w:val="99"/>
    <w:unhideWhenUsed/>
    <w:rsid w:val="007216F1"/>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A86410"/>
    <w:rPr>
      <w:color w:val="605E5C"/>
      <w:shd w:val="clear" w:color="auto" w:fill="E1DFDD"/>
    </w:rPr>
  </w:style>
  <w:style w:type="character" w:styleId="Emphasis">
    <w:name w:val="Emphasis"/>
    <w:basedOn w:val="DefaultParagraphFont"/>
    <w:uiPriority w:val="20"/>
    <w:qFormat/>
    <w:rsid w:val="00644908"/>
    <w:rPr>
      <w:i/>
      <w:iCs/>
    </w:rPr>
  </w:style>
  <w:style w:type="character" w:customStyle="1" w:styleId="apple-converted-space">
    <w:name w:val="apple-converted-space"/>
    <w:basedOn w:val="DefaultParagraphFont"/>
    <w:rsid w:val="00644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0443">
      <w:bodyDiv w:val="1"/>
      <w:marLeft w:val="0"/>
      <w:marRight w:val="0"/>
      <w:marTop w:val="0"/>
      <w:marBottom w:val="0"/>
      <w:divBdr>
        <w:top w:val="none" w:sz="0" w:space="0" w:color="auto"/>
        <w:left w:val="none" w:sz="0" w:space="0" w:color="auto"/>
        <w:bottom w:val="none" w:sz="0" w:space="0" w:color="auto"/>
        <w:right w:val="none" w:sz="0" w:space="0" w:color="auto"/>
      </w:divBdr>
      <w:divsChild>
        <w:div w:id="81880535">
          <w:marLeft w:val="0"/>
          <w:marRight w:val="0"/>
          <w:marTop w:val="0"/>
          <w:marBottom w:val="0"/>
          <w:divBdr>
            <w:top w:val="none" w:sz="0" w:space="0" w:color="auto"/>
            <w:left w:val="none" w:sz="0" w:space="0" w:color="auto"/>
            <w:bottom w:val="none" w:sz="0" w:space="0" w:color="auto"/>
            <w:right w:val="none" w:sz="0" w:space="0" w:color="auto"/>
          </w:divBdr>
          <w:divsChild>
            <w:div w:id="12998572">
              <w:marLeft w:val="0"/>
              <w:marRight w:val="0"/>
              <w:marTop w:val="0"/>
              <w:marBottom w:val="0"/>
              <w:divBdr>
                <w:top w:val="none" w:sz="0" w:space="0" w:color="auto"/>
                <w:left w:val="none" w:sz="0" w:space="0" w:color="auto"/>
                <w:bottom w:val="none" w:sz="0" w:space="0" w:color="auto"/>
                <w:right w:val="none" w:sz="0" w:space="0" w:color="auto"/>
              </w:divBdr>
              <w:divsChild>
                <w:div w:id="642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1055">
      <w:bodyDiv w:val="1"/>
      <w:marLeft w:val="0"/>
      <w:marRight w:val="0"/>
      <w:marTop w:val="0"/>
      <w:marBottom w:val="0"/>
      <w:divBdr>
        <w:top w:val="none" w:sz="0" w:space="0" w:color="auto"/>
        <w:left w:val="none" w:sz="0" w:space="0" w:color="auto"/>
        <w:bottom w:val="none" w:sz="0" w:space="0" w:color="auto"/>
        <w:right w:val="none" w:sz="0" w:space="0" w:color="auto"/>
      </w:divBdr>
    </w:div>
    <w:div w:id="46035434">
      <w:bodyDiv w:val="1"/>
      <w:marLeft w:val="0"/>
      <w:marRight w:val="0"/>
      <w:marTop w:val="0"/>
      <w:marBottom w:val="0"/>
      <w:divBdr>
        <w:top w:val="none" w:sz="0" w:space="0" w:color="auto"/>
        <w:left w:val="none" w:sz="0" w:space="0" w:color="auto"/>
        <w:bottom w:val="none" w:sz="0" w:space="0" w:color="auto"/>
        <w:right w:val="none" w:sz="0" w:space="0" w:color="auto"/>
      </w:divBdr>
    </w:div>
    <w:div w:id="49115555">
      <w:bodyDiv w:val="1"/>
      <w:marLeft w:val="0"/>
      <w:marRight w:val="0"/>
      <w:marTop w:val="0"/>
      <w:marBottom w:val="0"/>
      <w:divBdr>
        <w:top w:val="none" w:sz="0" w:space="0" w:color="auto"/>
        <w:left w:val="none" w:sz="0" w:space="0" w:color="auto"/>
        <w:bottom w:val="none" w:sz="0" w:space="0" w:color="auto"/>
        <w:right w:val="none" w:sz="0" w:space="0" w:color="auto"/>
      </w:divBdr>
      <w:divsChild>
        <w:div w:id="638533243">
          <w:marLeft w:val="0"/>
          <w:marRight w:val="0"/>
          <w:marTop w:val="0"/>
          <w:marBottom w:val="0"/>
          <w:divBdr>
            <w:top w:val="none" w:sz="0" w:space="0" w:color="auto"/>
            <w:left w:val="none" w:sz="0" w:space="0" w:color="auto"/>
            <w:bottom w:val="none" w:sz="0" w:space="0" w:color="auto"/>
            <w:right w:val="none" w:sz="0" w:space="0" w:color="auto"/>
          </w:divBdr>
          <w:divsChild>
            <w:div w:id="224872377">
              <w:marLeft w:val="0"/>
              <w:marRight w:val="0"/>
              <w:marTop w:val="0"/>
              <w:marBottom w:val="0"/>
              <w:divBdr>
                <w:top w:val="none" w:sz="0" w:space="0" w:color="auto"/>
                <w:left w:val="none" w:sz="0" w:space="0" w:color="auto"/>
                <w:bottom w:val="none" w:sz="0" w:space="0" w:color="auto"/>
                <w:right w:val="none" w:sz="0" w:space="0" w:color="auto"/>
              </w:divBdr>
              <w:divsChild>
                <w:div w:id="12857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9666">
      <w:bodyDiv w:val="1"/>
      <w:marLeft w:val="0"/>
      <w:marRight w:val="0"/>
      <w:marTop w:val="0"/>
      <w:marBottom w:val="0"/>
      <w:divBdr>
        <w:top w:val="none" w:sz="0" w:space="0" w:color="auto"/>
        <w:left w:val="none" w:sz="0" w:space="0" w:color="auto"/>
        <w:bottom w:val="none" w:sz="0" w:space="0" w:color="auto"/>
        <w:right w:val="none" w:sz="0" w:space="0" w:color="auto"/>
      </w:divBdr>
    </w:div>
    <w:div w:id="219095484">
      <w:bodyDiv w:val="1"/>
      <w:marLeft w:val="0"/>
      <w:marRight w:val="0"/>
      <w:marTop w:val="0"/>
      <w:marBottom w:val="0"/>
      <w:divBdr>
        <w:top w:val="none" w:sz="0" w:space="0" w:color="auto"/>
        <w:left w:val="none" w:sz="0" w:space="0" w:color="auto"/>
        <w:bottom w:val="none" w:sz="0" w:space="0" w:color="auto"/>
        <w:right w:val="none" w:sz="0" w:space="0" w:color="auto"/>
      </w:divBdr>
    </w:div>
    <w:div w:id="222719204">
      <w:bodyDiv w:val="1"/>
      <w:marLeft w:val="0"/>
      <w:marRight w:val="0"/>
      <w:marTop w:val="0"/>
      <w:marBottom w:val="0"/>
      <w:divBdr>
        <w:top w:val="none" w:sz="0" w:space="0" w:color="auto"/>
        <w:left w:val="none" w:sz="0" w:space="0" w:color="auto"/>
        <w:bottom w:val="none" w:sz="0" w:space="0" w:color="auto"/>
        <w:right w:val="none" w:sz="0" w:space="0" w:color="auto"/>
      </w:divBdr>
      <w:divsChild>
        <w:div w:id="656375390">
          <w:marLeft w:val="0"/>
          <w:marRight w:val="0"/>
          <w:marTop w:val="0"/>
          <w:marBottom w:val="0"/>
          <w:divBdr>
            <w:top w:val="none" w:sz="0" w:space="0" w:color="auto"/>
            <w:left w:val="none" w:sz="0" w:space="0" w:color="auto"/>
            <w:bottom w:val="none" w:sz="0" w:space="0" w:color="auto"/>
            <w:right w:val="none" w:sz="0" w:space="0" w:color="auto"/>
          </w:divBdr>
          <w:divsChild>
            <w:div w:id="268582620">
              <w:marLeft w:val="0"/>
              <w:marRight w:val="0"/>
              <w:marTop w:val="0"/>
              <w:marBottom w:val="0"/>
              <w:divBdr>
                <w:top w:val="none" w:sz="0" w:space="0" w:color="auto"/>
                <w:left w:val="none" w:sz="0" w:space="0" w:color="auto"/>
                <w:bottom w:val="none" w:sz="0" w:space="0" w:color="auto"/>
                <w:right w:val="none" w:sz="0" w:space="0" w:color="auto"/>
              </w:divBdr>
              <w:divsChild>
                <w:div w:id="2763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16376">
      <w:bodyDiv w:val="1"/>
      <w:marLeft w:val="0"/>
      <w:marRight w:val="0"/>
      <w:marTop w:val="0"/>
      <w:marBottom w:val="0"/>
      <w:divBdr>
        <w:top w:val="none" w:sz="0" w:space="0" w:color="auto"/>
        <w:left w:val="none" w:sz="0" w:space="0" w:color="auto"/>
        <w:bottom w:val="none" w:sz="0" w:space="0" w:color="auto"/>
        <w:right w:val="none" w:sz="0" w:space="0" w:color="auto"/>
      </w:divBdr>
    </w:div>
    <w:div w:id="279337820">
      <w:bodyDiv w:val="1"/>
      <w:marLeft w:val="0"/>
      <w:marRight w:val="0"/>
      <w:marTop w:val="0"/>
      <w:marBottom w:val="0"/>
      <w:divBdr>
        <w:top w:val="none" w:sz="0" w:space="0" w:color="auto"/>
        <w:left w:val="none" w:sz="0" w:space="0" w:color="auto"/>
        <w:bottom w:val="none" w:sz="0" w:space="0" w:color="auto"/>
        <w:right w:val="none" w:sz="0" w:space="0" w:color="auto"/>
      </w:divBdr>
      <w:divsChild>
        <w:div w:id="541597648">
          <w:marLeft w:val="0"/>
          <w:marRight w:val="0"/>
          <w:marTop w:val="0"/>
          <w:marBottom w:val="0"/>
          <w:divBdr>
            <w:top w:val="none" w:sz="0" w:space="0" w:color="auto"/>
            <w:left w:val="none" w:sz="0" w:space="0" w:color="auto"/>
            <w:bottom w:val="none" w:sz="0" w:space="0" w:color="auto"/>
            <w:right w:val="none" w:sz="0" w:space="0" w:color="auto"/>
          </w:divBdr>
          <w:divsChild>
            <w:div w:id="1363556717">
              <w:marLeft w:val="0"/>
              <w:marRight w:val="0"/>
              <w:marTop w:val="0"/>
              <w:marBottom w:val="0"/>
              <w:divBdr>
                <w:top w:val="none" w:sz="0" w:space="0" w:color="auto"/>
                <w:left w:val="none" w:sz="0" w:space="0" w:color="auto"/>
                <w:bottom w:val="none" w:sz="0" w:space="0" w:color="auto"/>
                <w:right w:val="none" w:sz="0" w:space="0" w:color="auto"/>
              </w:divBdr>
              <w:divsChild>
                <w:div w:id="20465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29702">
      <w:bodyDiv w:val="1"/>
      <w:marLeft w:val="0"/>
      <w:marRight w:val="0"/>
      <w:marTop w:val="0"/>
      <w:marBottom w:val="0"/>
      <w:divBdr>
        <w:top w:val="none" w:sz="0" w:space="0" w:color="auto"/>
        <w:left w:val="none" w:sz="0" w:space="0" w:color="auto"/>
        <w:bottom w:val="none" w:sz="0" w:space="0" w:color="auto"/>
        <w:right w:val="none" w:sz="0" w:space="0" w:color="auto"/>
      </w:divBdr>
      <w:divsChild>
        <w:div w:id="442774162">
          <w:marLeft w:val="0"/>
          <w:marRight w:val="0"/>
          <w:marTop w:val="0"/>
          <w:marBottom w:val="0"/>
          <w:divBdr>
            <w:top w:val="none" w:sz="0" w:space="0" w:color="auto"/>
            <w:left w:val="none" w:sz="0" w:space="0" w:color="auto"/>
            <w:bottom w:val="none" w:sz="0" w:space="0" w:color="auto"/>
            <w:right w:val="none" w:sz="0" w:space="0" w:color="auto"/>
          </w:divBdr>
          <w:divsChild>
            <w:div w:id="2037850432">
              <w:marLeft w:val="0"/>
              <w:marRight w:val="0"/>
              <w:marTop w:val="0"/>
              <w:marBottom w:val="0"/>
              <w:divBdr>
                <w:top w:val="none" w:sz="0" w:space="0" w:color="auto"/>
                <w:left w:val="none" w:sz="0" w:space="0" w:color="auto"/>
                <w:bottom w:val="none" w:sz="0" w:space="0" w:color="auto"/>
                <w:right w:val="none" w:sz="0" w:space="0" w:color="auto"/>
              </w:divBdr>
              <w:divsChild>
                <w:div w:id="17487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78785">
      <w:bodyDiv w:val="1"/>
      <w:marLeft w:val="0"/>
      <w:marRight w:val="0"/>
      <w:marTop w:val="0"/>
      <w:marBottom w:val="0"/>
      <w:divBdr>
        <w:top w:val="none" w:sz="0" w:space="0" w:color="auto"/>
        <w:left w:val="none" w:sz="0" w:space="0" w:color="auto"/>
        <w:bottom w:val="none" w:sz="0" w:space="0" w:color="auto"/>
        <w:right w:val="none" w:sz="0" w:space="0" w:color="auto"/>
      </w:divBdr>
      <w:divsChild>
        <w:div w:id="510339832">
          <w:marLeft w:val="0"/>
          <w:marRight w:val="0"/>
          <w:marTop w:val="0"/>
          <w:marBottom w:val="0"/>
          <w:divBdr>
            <w:top w:val="none" w:sz="0" w:space="0" w:color="auto"/>
            <w:left w:val="none" w:sz="0" w:space="0" w:color="auto"/>
            <w:bottom w:val="none" w:sz="0" w:space="0" w:color="auto"/>
            <w:right w:val="none" w:sz="0" w:space="0" w:color="auto"/>
          </w:divBdr>
          <w:divsChild>
            <w:div w:id="2101901691">
              <w:marLeft w:val="0"/>
              <w:marRight w:val="0"/>
              <w:marTop w:val="0"/>
              <w:marBottom w:val="0"/>
              <w:divBdr>
                <w:top w:val="none" w:sz="0" w:space="0" w:color="auto"/>
                <w:left w:val="none" w:sz="0" w:space="0" w:color="auto"/>
                <w:bottom w:val="none" w:sz="0" w:space="0" w:color="auto"/>
                <w:right w:val="none" w:sz="0" w:space="0" w:color="auto"/>
              </w:divBdr>
              <w:divsChild>
                <w:div w:id="1257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840">
      <w:bodyDiv w:val="1"/>
      <w:marLeft w:val="0"/>
      <w:marRight w:val="0"/>
      <w:marTop w:val="0"/>
      <w:marBottom w:val="0"/>
      <w:divBdr>
        <w:top w:val="none" w:sz="0" w:space="0" w:color="auto"/>
        <w:left w:val="none" w:sz="0" w:space="0" w:color="auto"/>
        <w:bottom w:val="none" w:sz="0" w:space="0" w:color="auto"/>
        <w:right w:val="none" w:sz="0" w:space="0" w:color="auto"/>
      </w:divBdr>
    </w:div>
    <w:div w:id="347367926">
      <w:bodyDiv w:val="1"/>
      <w:marLeft w:val="0"/>
      <w:marRight w:val="0"/>
      <w:marTop w:val="0"/>
      <w:marBottom w:val="0"/>
      <w:divBdr>
        <w:top w:val="none" w:sz="0" w:space="0" w:color="auto"/>
        <w:left w:val="none" w:sz="0" w:space="0" w:color="auto"/>
        <w:bottom w:val="none" w:sz="0" w:space="0" w:color="auto"/>
        <w:right w:val="none" w:sz="0" w:space="0" w:color="auto"/>
      </w:divBdr>
    </w:div>
    <w:div w:id="442463187">
      <w:bodyDiv w:val="1"/>
      <w:marLeft w:val="0"/>
      <w:marRight w:val="0"/>
      <w:marTop w:val="0"/>
      <w:marBottom w:val="0"/>
      <w:divBdr>
        <w:top w:val="none" w:sz="0" w:space="0" w:color="auto"/>
        <w:left w:val="none" w:sz="0" w:space="0" w:color="auto"/>
        <w:bottom w:val="none" w:sz="0" w:space="0" w:color="auto"/>
        <w:right w:val="none" w:sz="0" w:space="0" w:color="auto"/>
      </w:divBdr>
      <w:divsChild>
        <w:div w:id="1706054836">
          <w:marLeft w:val="0"/>
          <w:marRight w:val="0"/>
          <w:marTop w:val="0"/>
          <w:marBottom w:val="0"/>
          <w:divBdr>
            <w:top w:val="none" w:sz="0" w:space="0" w:color="auto"/>
            <w:left w:val="none" w:sz="0" w:space="0" w:color="auto"/>
            <w:bottom w:val="none" w:sz="0" w:space="0" w:color="auto"/>
            <w:right w:val="none" w:sz="0" w:space="0" w:color="auto"/>
          </w:divBdr>
          <w:divsChild>
            <w:div w:id="2043745387">
              <w:marLeft w:val="0"/>
              <w:marRight w:val="0"/>
              <w:marTop w:val="0"/>
              <w:marBottom w:val="0"/>
              <w:divBdr>
                <w:top w:val="none" w:sz="0" w:space="0" w:color="auto"/>
                <w:left w:val="none" w:sz="0" w:space="0" w:color="auto"/>
                <w:bottom w:val="none" w:sz="0" w:space="0" w:color="auto"/>
                <w:right w:val="none" w:sz="0" w:space="0" w:color="auto"/>
              </w:divBdr>
              <w:divsChild>
                <w:div w:id="19068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0765">
      <w:bodyDiv w:val="1"/>
      <w:marLeft w:val="0"/>
      <w:marRight w:val="0"/>
      <w:marTop w:val="0"/>
      <w:marBottom w:val="0"/>
      <w:divBdr>
        <w:top w:val="none" w:sz="0" w:space="0" w:color="auto"/>
        <w:left w:val="none" w:sz="0" w:space="0" w:color="auto"/>
        <w:bottom w:val="none" w:sz="0" w:space="0" w:color="auto"/>
        <w:right w:val="none" w:sz="0" w:space="0" w:color="auto"/>
      </w:divBdr>
      <w:divsChild>
        <w:div w:id="827749875">
          <w:marLeft w:val="0"/>
          <w:marRight w:val="0"/>
          <w:marTop w:val="0"/>
          <w:marBottom w:val="0"/>
          <w:divBdr>
            <w:top w:val="none" w:sz="0" w:space="0" w:color="auto"/>
            <w:left w:val="none" w:sz="0" w:space="0" w:color="auto"/>
            <w:bottom w:val="none" w:sz="0" w:space="0" w:color="auto"/>
            <w:right w:val="none" w:sz="0" w:space="0" w:color="auto"/>
          </w:divBdr>
          <w:divsChild>
            <w:div w:id="353266383">
              <w:marLeft w:val="0"/>
              <w:marRight w:val="0"/>
              <w:marTop w:val="0"/>
              <w:marBottom w:val="0"/>
              <w:divBdr>
                <w:top w:val="none" w:sz="0" w:space="0" w:color="auto"/>
                <w:left w:val="none" w:sz="0" w:space="0" w:color="auto"/>
                <w:bottom w:val="none" w:sz="0" w:space="0" w:color="auto"/>
                <w:right w:val="none" w:sz="0" w:space="0" w:color="auto"/>
              </w:divBdr>
              <w:divsChild>
                <w:div w:id="16586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49182">
      <w:bodyDiv w:val="1"/>
      <w:marLeft w:val="0"/>
      <w:marRight w:val="0"/>
      <w:marTop w:val="0"/>
      <w:marBottom w:val="0"/>
      <w:divBdr>
        <w:top w:val="none" w:sz="0" w:space="0" w:color="auto"/>
        <w:left w:val="none" w:sz="0" w:space="0" w:color="auto"/>
        <w:bottom w:val="none" w:sz="0" w:space="0" w:color="auto"/>
        <w:right w:val="none" w:sz="0" w:space="0" w:color="auto"/>
      </w:divBdr>
    </w:div>
    <w:div w:id="544365619">
      <w:bodyDiv w:val="1"/>
      <w:marLeft w:val="0"/>
      <w:marRight w:val="0"/>
      <w:marTop w:val="0"/>
      <w:marBottom w:val="0"/>
      <w:divBdr>
        <w:top w:val="none" w:sz="0" w:space="0" w:color="auto"/>
        <w:left w:val="none" w:sz="0" w:space="0" w:color="auto"/>
        <w:bottom w:val="none" w:sz="0" w:space="0" w:color="auto"/>
        <w:right w:val="none" w:sz="0" w:space="0" w:color="auto"/>
      </w:divBdr>
      <w:divsChild>
        <w:div w:id="1849900881">
          <w:marLeft w:val="0"/>
          <w:marRight w:val="0"/>
          <w:marTop w:val="0"/>
          <w:marBottom w:val="0"/>
          <w:divBdr>
            <w:top w:val="none" w:sz="0" w:space="0" w:color="auto"/>
            <w:left w:val="none" w:sz="0" w:space="0" w:color="auto"/>
            <w:bottom w:val="none" w:sz="0" w:space="0" w:color="auto"/>
            <w:right w:val="none" w:sz="0" w:space="0" w:color="auto"/>
          </w:divBdr>
          <w:divsChild>
            <w:div w:id="1014189748">
              <w:marLeft w:val="0"/>
              <w:marRight w:val="0"/>
              <w:marTop w:val="0"/>
              <w:marBottom w:val="0"/>
              <w:divBdr>
                <w:top w:val="none" w:sz="0" w:space="0" w:color="auto"/>
                <w:left w:val="none" w:sz="0" w:space="0" w:color="auto"/>
                <w:bottom w:val="none" w:sz="0" w:space="0" w:color="auto"/>
                <w:right w:val="none" w:sz="0" w:space="0" w:color="auto"/>
              </w:divBdr>
              <w:divsChild>
                <w:div w:id="2035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8868">
      <w:bodyDiv w:val="1"/>
      <w:marLeft w:val="0"/>
      <w:marRight w:val="0"/>
      <w:marTop w:val="0"/>
      <w:marBottom w:val="0"/>
      <w:divBdr>
        <w:top w:val="none" w:sz="0" w:space="0" w:color="auto"/>
        <w:left w:val="none" w:sz="0" w:space="0" w:color="auto"/>
        <w:bottom w:val="none" w:sz="0" w:space="0" w:color="auto"/>
        <w:right w:val="none" w:sz="0" w:space="0" w:color="auto"/>
      </w:divBdr>
      <w:divsChild>
        <w:div w:id="127094323">
          <w:marLeft w:val="0"/>
          <w:marRight w:val="0"/>
          <w:marTop w:val="0"/>
          <w:marBottom w:val="0"/>
          <w:divBdr>
            <w:top w:val="none" w:sz="0" w:space="0" w:color="auto"/>
            <w:left w:val="none" w:sz="0" w:space="0" w:color="auto"/>
            <w:bottom w:val="none" w:sz="0" w:space="0" w:color="auto"/>
            <w:right w:val="none" w:sz="0" w:space="0" w:color="auto"/>
          </w:divBdr>
          <w:divsChild>
            <w:div w:id="1982736130">
              <w:marLeft w:val="0"/>
              <w:marRight w:val="0"/>
              <w:marTop w:val="0"/>
              <w:marBottom w:val="0"/>
              <w:divBdr>
                <w:top w:val="none" w:sz="0" w:space="0" w:color="auto"/>
                <w:left w:val="none" w:sz="0" w:space="0" w:color="auto"/>
                <w:bottom w:val="none" w:sz="0" w:space="0" w:color="auto"/>
                <w:right w:val="none" w:sz="0" w:space="0" w:color="auto"/>
              </w:divBdr>
              <w:divsChild>
                <w:div w:id="10799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1313">
      <w:bodyDiv w:val="1"/>
      <w:marLeft w:val="0"/>
      <w:marRight w:val="0"/>
      <w:marTop w:val="0"/>
      <w:marBottom w:val="0"/>
      <w:divBdr>
        <w:top w:val="none" w:sz="0" w:space="0" w:color="auto"/>
        <w:left w:val="none" w:sz="0" w:space="0" w:color="auto"/>
        <w:bottom w:val="none" w:sz="0" w:space="0" w:color="auto"/>
        <w:right w:val="none" w:sz="0" w:space="0" w:color="auto"/>
      </w:divBdr>
      <w:divsChild>
        <w:div w:id="1907566469">
          <w:marLeft w:val="0"/>
          <w:marRight w:val="0"/>
          <w:marTop w:val="0"/>
          <w:marBottom w:val="0"/>
          <w:divBdr>
            <w:top w:val="none" w:sz="0" w:space="0" w:color="auto"/>
            <w:left w:val="none" w:sz="0" w:space="0" w:color="auto"/>
            <w:bottom w:val="none" w:sz="0" w:space="0" w:color="auto"/>
            <w:right w:val="none" w:sz="0" w:space="0" w:color="auto"/>
          </w:divBdr>
          <w:divsChild>
            <w:div w:id="1998218283">
              <w:marLeft w:val="0"/>
              <w:marRight w:val="0"/>
              <w:marTop w:val="0"/>
              <w:marBottom w:val="0"/>
              <w:divBdr>
                <w:top w:val="none" w:sz="0" w:space="0" w:color="auto"/>
                <w:left w:val="none" w:sz="0" w:space="0" w:color="auto"/>
                <w:bottom w:val="none" w:sz="0" w:space="0" w:color="auto"/>
                <w:right w:val="none" w:sz="0" w:space="0" w:color="auto"/>
              </w:divBdr>
              <w:divsChild>
                <w:div w:id="14614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5131">
      <w:bodyDiv w:val="1"/>
      <w:marLeft w:val="0"/>
      <w:marRight w:val="0"/>
      <w:marTop w:val="0"/>
      <w:marBottom w:val="0"/>
      <w:divBdr>
        <w:top w:val="none" w:sz="0" w:space="0" w:color="auto"/>
        <w:left w:val="none" w:sz="0" w:space="0" w:color="auto"/>
        <w:bottom w:val="none" w:sz="0" w:space="0" w:color="auto"/>
        <w:right w:val="none" w:sz="0" w:space="0" w:color="auto"/>
      </w:divBdr>
    </w:div>
    <w:div w:id="576942213">
      <w:bodyDiv w:val="1"/>
      <w:marLeft w:val="0"/>
      <w:marRight w:val="0"/>
      <w:marTop w:val="0"/>
      <w:marBottom w:val="0"/>
      <w:divBdr>
        <w:top w:val="none" w:sz="0" w:space="0" w:color="auto"/>
        <w:left w:val="none" w:sz="0" w:space="0" w:color="auto"/>
        <w:bottom w:val="none" w:sz="0" w:space="0" w:color="auto"/>
        <w:right w:val="none" w:sz="0" w:space="0" w:color="auto"/>
      </w:divBdr>
      <w:divsChild>
        <w:div w:id="694118295">
          <w:marLeft w:val="0"/>
          <w:marRight w:val="0"/>
          <w:marTop w:val="0"/>
          <w:marBottom w:val="0"/>
          <w:divBdr>
            <w:top w:val="none" w:sz="0" w:space="0" w:color="auto"/>
            <w:left w:val="none" w:sz="0" w:space="0" w:color="auto"/>
            <w:bottom w:val="none" w:sz="0" w:space="0" w:color="auto"/>
            <w:right w:val="none" w:sz="0" w:space="0" w:color="auto"/>
          </w:divBdr>
          <w:divsChild>
            <w:div w:id="30499734">
              <w:marLeft w:val="0"/>
              <w:marRight w:val="0"/>
              <w:marTop w:val="0"/>
              <w:marBottom w:val="0"/>
              <w:divBdr>
                <w:top w:val="none" w:sz="0" w:space="0" w:color="auto"/>
                <w:left w:val="none" w:sz="0" w:space="0" w:color="auto"/>
                <w:bottom w:val="none" w:sz="0" w:space="0" w:color="auto"/>
                <w:right w:val="none" w:sz="0" w:space="0" w:color="auto"/>
              </w:divBdr>
              <w:divsChild>
                <w:div w:id="3878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48997">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3">
          <w:marLeft w:val="0"/>
          <w:marRight w:val="0"/>
          <w:marTop w:val="0"/>
          <w:marBottom w:val="0"/>
          <w:divBdr>
            <w:top w:val="none" w:sz="0" w:space="0" w:color="auto"/>
            <w:left w:val="none" w:sz="0" w:space="0" w:color="auto"/>
            <w:bottom w:val="none" w:sz="0" w:space="0" w:color="auto"/>
            <w:right w:val="none" w:sz="0" w:space="0" w:color="auto"/>
          </w:divBdr>
          <w:divsChild>
            <w:div w:id="553466030">
              <w:marLeft w:val="0"/>
              <w:marRight w:val="0"/>
              <w:marTop w:val="0"/>
              <w:marBottom w:val="0"/>
              <w:divBdr>
                <w:top w:val="none" w:sz="0" w:space="0" w:color="auto"/>
                <w:left w:val="none" w:sz="0" w:space="0" w:color="auto"/>
                <w:bottom w:val="none" w:sz="0" w:space="0" w:color="auto"/>
                <w:right w:val="none" w:sz="0" w:space="0" w:color="auto"/>
              </w:divBdr>
              <w:divsChild>
                <w:div w:id="11168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95436">
      <w:bodyDiv w:val="1"/>
      <w:marLeft w:val="0"/>
      <w:marRight w:val="0"/>
      <w:marTop w:val="0"/>
      <w:marBottom w:val="0"/>
      <w:divBdr>
        <w:top w:val="none" w:sz="0" w:space="0" w:color="auto"/>
        <w:left w:val="none" w:sz="0" w:space="0" w:color="auto"/>
        <w:bottom w:val="none" w:sz="0" w:space="0" w:color="auto"/>
        <w:right w:val="none" w:sz="0" w:space="0" w:color="auto"/>
      </w:divBdr>
      <w:divsChild>
        <w:div w:id="1561358014">
          <w:marLeft w:val="0"/>
          <w:marRight w:val="0"/>
          <w:marTop w:val="0"/>
          <w:marBottom w:val="0"/>
          <w:divBdr>
            <w:top w:val="none" w:sz="0" w:space="0" w:color="auto"/>
            <w:left w:val="none" w:sz="0" w:space="0" w:color="auto"/>
            <w:bottom w:val="none" w:sz="0" w:space="0" w:color="auto"/>
            <w:right w:val="none" w:sz="0" w:space="0" w:color="auto"/>
          </w:divBdr>
          <w:divsChild>
            <w:div w:id="2133017797">
              <w:marLeft w:val="0"/>
              <w:marRight w:val="0"/>
              <w:marTop w:val="0"/>
              <w:marBottom w:val="0"/>
              <w:divBdr>
                <w:top w:val="none" w:sz="0" w:space="0" w:color="auto"/>
                <w:left w:val="none" w:sz="0" w:space="0" w:color="auto"/>
                <w:bottom w:val="none" w:sz="0" w:space="0" w:color="auto"/>
                <w:right w:val="none" w:sz="0" w:space="0" w:color="auto"/>
              </w:divBdr>
              <w:divsChild>
                <w:div w:id="17377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48872">
      <w:bodyDiv w:val="1"/>
      <w:marLeft w:val="0"/>
      <w:marRight w:val="0"/>
      <w:marTop w:val="0"/>
      <w:marBottom w:val="0"/>
      <w:divBdr>
        <w:top w:val="none" w:sz="0" w:space="0" w:color="auto"/>
        <w:left w:val="none" w:sz="0" w:space="0" w:color="auto"/>
        <w:bottom w:val="none" w:sz="0" w:space="0" w:color="auto"/>
        <w:right w:val="none" w:sz="0" w:space="0" w:color="auto"/>
      </w:divBdr>
      <w:divsChild>
        <w:div w:id="1538467674">
          <w:marLeft w:val="0"/>
          <w:marRight w:val="0"/>
          <w:marTop w:val="0"/>
          <w:marBottom w:val="0"/>
          <w:divBdr>
            <w:top w:val="none" w:sz="0" w:space="0" w:color="auto"/>
            <w:left w:val="none" w:sz="0" w:space="0" w:color="auto"/>
            <w:bottom w:val="none" w:sz="0" w:space="0" w:color="auto"/>
            <w:right w:val="none" w:sz="0" w:space="0" w:color="auto"/>
          </w:divBdr>
          <w:divsChild>
            <w:div w:id="822965435">
              <w:marLeft w:val="0"/>
              <w:marRight w:val="0"/>
              <w:marTop w:val="0"/>
              <w:marBottom w:val="0"/>
              <w:divBdr>
                <w:top w:val="none" w:sz="0" w:space="0" w:color="auto"/>
                <w:left w:val="none" w:sz="0" w:space="0" w:color="auto"/>
                <w:bottom w:val="none" w:sz="0" w:space="0" w:color="auto"/>
                <w:right w:val="none" w:sz="0" w:space="0" w:color="auto"/>
              </w:divBdr>
              <w:divsChild>
                <w:div w:id="1269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3518">
      <w:bodyDiv w:val="1"/>
      <w:marLeft w:val="0"/>
      <w:marRight w:val="0"/>
      <w:marTop w:val="0"/>
      <w:marBottom w:val="0"/>
      <w:divBdr>
        <w:top w:val="none" w:sz="0" w:space="0" w:color="auto"/>
        <w:left w:val="none" w:sz="0" w:space="0" w:color="auto"/>
        <w:bottom w:val="none" w:sz="0" w:space="0" w:color="auto"/>
        <w:right w:val="none" w:sz="0" w:space="0" w:color="auto"/>
      </w:divBdr>
      <w:divsChild>
        <w:div w:id="577835341">
          <w:marLeft w:val="0"/>
          <w:marRight w:val="0"/>
          <w:marTop w:val="0"/>
          <w:marBottom w:val="0"/>
          <w:divBdr>
            <w:top w:val="none" w:sz="0" w:space="0" w:color="auto"/>
            <w:left w:val="none" w:sz="0" w:space="0" w:color="auto"/>
            <w:bottom w:val="none" w:sz="0" w:space="0" w:color="auto"/>
            <w:right w:val="none" w:sz="0" w:space="0" w:color="auto"/>
          </w:divBdr>
          <w:divsChild>
            <w:div w:id="1011419187">
              <w:marLeft w:val="0"/>
              <w:marRight w:val="0"/>
              <w:marTop w:val="0"/>
              <w:marBottom w:val="0"/>
              <w:divBdr>
                <w:top w:val="none" w:sz="0" w:space="0" w:color="auto"/>
                <w:left w:val="none" w:sz="0" w:space="0" w:color="auto"/>
                <w:bottom w:val="none" w:sz="0" w:space="0" w:color="auto"/>
                <w:right w:val="none" w:sz="0" w:space="0" w:color="auto"/>
              </w:divBdr>
              <w:divsChild>
                <w:div w:id="5787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42343">
      <w:bodyDiv w:val="1"/>
      <w:marLeft w:val="0"/>
      <w:marRight w:val="0"/>
      <w:marTop w:val="0"/>
      <w:marBottom w:val="0"/>
      <w:divBdr>
        <w:top w:val="none" w:sz="0" w:space="0" w:color="auto"/>
        <w:left w:val="none" w:sz="0" w:space="0" w:color="auto"/>
        <w:bottom w:val="none" w:sz="0" w:space="0" w:color="auto"/>
        <w:right w:val="none" w:sz="0" w:space="0" w:color="auto"/>
      </w:divBdr>
      <w:divsChild>
        <w:div w:id="537473976">
          <w:marLeft w:val="0"/>
          <w:marRight w:val="0"/>
          <w:marTop w:val="0"/>
          <w:marBottom w:val="0"/>
          <w:divBdr>
            <w:top w:val="none" w:sz="0" w:space="0" w:color="auto"/>
            <w:left w:val="none" w:sz="0" w:space="0" w:color="auto"/>
            <w:bottom w:val="none" w:sz="0" w:space="0" w:color="auto"/>
            <w:right w:val="none" w:sz="0" w:space="0" w:color="auto"/>
          </w:divBdr>
          <w:divsChild>
            <w:div w:id="337931276">
              <w:marLeft w:val="0"/>
              <w:marRight w:val="0"/>
              <w:marTop w:val="0"/>
              <w:marBottom w:val="0"/>
              <w:divBdr>
                <w:top w:val="none" w:sz="0" w:space="0" w:color="auto"/>
                <w:left w:val="none" w:sz="0" w:space="0" w:color="auto"/>
                <w:bottom w:val="none" w:sz="0" w:space="0" w:color="auto"/>
                <w:right w:val="none" w:sz="0" w:space="0" w:color="auto"/>
              </w:divBdr>
              <w:divsChild>
                <w:div w:id="16610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8312">
      <w:bodyDiv w:val="1"/>
      <w:marLeft w:val="0"/>
      <w:marRight w:val="0"/>
      <w:marTop w:val="0"/>
      <w:marBottom w:val="0"/>
      <w:divBdr>
        <w:top w:val="none" w:sz="0" w:space="0" w:color="auto"/>
        <w:left w:val="none" w:sz="0" w:space="0" w:color="auto"/>
        <w:bottom w:val="none" w:sz="0" w:space="0" w:color="auto"/>
        <w:right w:val="none" w:sz="0" w:space="0" w:color="auto"/>
      </w:divBdr>
      <w:divsChild>
        <w:div w:id="741175779">
          <w:marLeft w:val="0"/>
          <w:marRight w:val="0"/>
          <w:marTop w:val="0"/>
          <w:marBottom w:val="0"/>
          <w:divBdr>
            <w:top w:val="none" w:sz="0" w:space="0" w:color="auto"/>
            <w:left w:val="none" w:sz="0" w:space="0" w:color="auto"/>
            <w:bottom w:val="none" w:sz="0" w:space="0" w:color="auto"/>
            <w:right w:val="none" w:sz="0" w:space="0" w:color="auto"/>
          </w:divBdr>
          <w:divsChild>
            <w:div w:id="1861625833">
              <w:marLeft w:val="0"/>
              <w:marRight w:val="0"/>
              <w:marTop w:val="0"/>
              <w:marBottom w:val="0"/>
              <w:divBdr>
                <w:top w:val="none" w:sz="0" w:space="0" w:color="auto"/>
                <w:left w:val="none" w:sz="0" w:space="0" w:color="auto"/>
                <w:bottom w:val="none" w:sz="0" w:space="0" w:color="auto"/>
                <w:right w:val="none" w:sz="0" w:space="0" w:color="auto"/>
              </w:divBdr>
              <w:divsChild>
                <w:div w:id="18824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03662">
      <w:bodyDiv w:val="1"/>
      <w:marLeft w:val="0"/>
      <w:marRight w:val="0"/>
      <w:marTop w:val="0"/>
      <w:marBottom w:val="0"/>
      <w:divBdr>
        <w:top w:val="none" w:sz="0" w:space="0" w:color="auto"/>
        <w:left w:val="none" w:sz="0" w:space="0" w:color="auto"/>
        <w:bottom w:val="none" w:sz="0" w:space="0" w:color="auto"/>
        <w:right w:val="none" w:sz="0" w:space="0" w:color="auto"/>
      </w:divBdr>
      <w:divsChild>
        <w:div w:id="1964116867">
          <w:marLeft w:val="0"/>
          <w:marRight w:val="0"/>
          <w:marTop w:val="0"/>
          <w:marBottom w:val="0"/>
          <w:divBdr>
            <w:top w:val="none" w:sz="0" w:space="0" w:color="auto"/>
            <w:left w:val="none" w:sz="0" w:space="0" w:color="auto"/>
            <w:bottom w:val="none" w:sz="0" w:space="0" w:color="auto"/>
            <w:right w:val="none" w:sz="0" w:space="0" w:color="auto"/>
          </w:divBdr>
          <w:divsChild>
            <w:div w:id="763764184">
              <w:marLeft w:val="0"/>
              <w:marRight w:val="0"/>
              <w:marTop w:val="0"/>
              <w:marBottom w:val="0"/>
              <w:divBdr>
                <w:top w:val="none" w:sz="0" w:space="0" w:color="auto"/>
                <w:left w:val="none" w:sz="0" w:space="0" w:color="auto"/>
                <w:bottom w:val="none" w:sz="0" w:space="0" w:color="auto"/>
                <w:right w:val="none" w:sz="0" w:space="0" w:color="auto"/>
              </w:divBdr>
              <w:divsChild>
                <w:div w:id="8873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09974">
      <w:bodyDiv w:val="1"/>
      <w:marLeft w:val="0"/>
      <w:marRight w:val="0"/>
      <w:marTop w:val="0"/>
      <w:marBottom w:val="0"/>
      <w:divBdr>
        <w:top w:val="none" w:sz="0" w:space="0" w:color="auto"/>
        <w:left w:val="none" w:sz="0" w:space="0" w:color="auto"/>
        <w:bottom w:val="none" w:sz="0" w:space="0" w:color="auto"/>
        <w:right w:val="none" w:sz="0" w:space="0" w:color="auto"/>
      </w:divBdr>
      <w:divsChild>
        <w:div w:id="1962950825">
          <w:marLeft w:val="0"/>
          <w:marRight w:val="0"/>
          <w:marTop w:val="0"/>
          <w:marBottom w:val="0"/>
          <w:divBdr>
            <w:top w:val="none" w:sz="0" w:space="0" w:color="auto"/>
            <w:left w:val="none" w:sz="0" w:space="0" w:color="auto"/>
            <w:bottom w:val="none" w:sz="0" w:space="0" w:color="auto"/>
            <w:right w:val="none" w:sz="0" w:space="0" w:color="auto"/>
          </w:divBdr>
          <w:divsChild>
            <w:div w:id="1292711162">
              <w:marLeft w:val="0"/>
              <w:marRight w:val="0"/>
              <w:marTop w:val="0"/>
              <w:marBottom w:val="0"/>
              <w:divBdr>
                <w:top w:val="none" w:sz="0" w:space="0" w:color="auto"/>
                <w:left w:val="none" w:sz="0" w:space="0" w:color="auto"/>
                <w:bottom w:val="none" w:sz="0" w:space="0" w:color="auto"/>
                <w:right w:val="none" w:sz="0" w:space="0" w:color="auto"/>
              </w:divBdr>
              <w:divsChild>
                <w:div w:id="13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2707">
      <w:bodyDiv w:val="1"/>
      <w:marLeft w:val="0"/>
      <w:marRight w:val="0"/>
      <w:marTop w:val="0"/>
      <w:marBottom w:val="0"/>
      <w:divBdr>
        <w:top w:val="none" w:sz="0" w:space="0" w:color="auto"/>
        <w:left w:val="none" w:sz="0" w:space="0" w:color="auto"/>
        <w:bottom w:val="none" w:sz="0" w:space="0" w:color="auto"/>
        <w:right w:val="none" w:sz="0" w:space="0" w:color="auto"/>
      </w:divBdr>
      <w:divsChild>
        <w:div w:id="2070838145">
          <w:marLeft w:val="0"/>
          <w:marRight w:val="0"/>
          <w:marTop w:val="0"/>
          <w:marBottom w:val="0"/>
          <w:divBdr>
            <w:top w:val="none" w:sz="0" w:space="0" w:color="auto"/>
            <w:left w:val="none" w:sz="0" w:space="0" w:color="auto"/>
            <w:bottom w:val="none" w:sz="0" w:space="0" w:color="auto"/>
            <w:right w:val="none" w:sz="0" w:space="0" w:color="auto"/>
          </w:divBdr>
          <w:divsChild>
            <w:div w:id="2040858477">
              <w:marLeft w:val="0"/>
              <w:marRight w:val="0"/>
              <w:marTop w:val="0"/>
              <w:marBottom w:val="0"/>
              <w:divBdr>
                <w:top w:val="none" w:sz="0" w:space="0" w:color="auto"/>
                <w:left w:val="none" w:sz="0" w:space="0" w:color="auto"/>
                <w:bottom w:val="none" w:sz="0" w:space="0" w:color="auto"/>
                <w:right w:val="none" w:sz="0" w:space="0" w:color="auto"/>
              </w:divBdr>
              <w:divsChild>
                <w:div w:id="3016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3284">
      <w:bodyDiv w:val="1"/>
      <w:marLeft w:val="0"/>
      <w:marRight w:val="0"/>
      <w:marTop w:val="0"/>
      <w:marBottom w:val="0"/>
      <w:divBdr>
        <w:top w:val="none" w:sz="0" w:space="0" w:color="auto"/>
        <w:left w:val="none" w:sz="0" w:space="0" w:color="auto"/>
        <w:bottom w:val="none" w:sz="0" w:space="0" w:color="auto"/>
        <w:right w:val="none" w:sz="0" w:space="0" w:color="auto"/>
      </w:divBdr>
      <w:divsChild>
        <w:div w:id="1816797885">
          <w:marLeft w:val="0"/>
          <w:marRight w:val="0"/>
          <w:marTop w:val="0"/>
          <w:marBottom w:val="0"/>
          <w:divBdr>
            <w:top w:val="none" w:sz="0" w:space="0" w:color="auto"/>
            <w:left w:val="none" w:sz="0" w:space="0" w:color="auto"/>
            <w:bottom w:val="none" w:sz="0" w:space="0" w:color="auto"/>
            <w:right w:val="none" w:sz="0" w:space="0" w:color="auto"/>
          </w:divBdr>
          <w:divsChild>
            <w:div w:id="1312978832">
              <w:marLeft w:val="0"/>
              <w:marRight w:val="0"/>
              <w:marTop w:val="0"/>
              <w:marBottom w:val="0"/>
              <w:divBdr>
                <w:top w:val="none" w:sz="0" w:space="0" w:color="auto"/>
                <w:left w:val="none" w:sz="0" w:space="0" w:color="auto"/>
                <w:bottom w:val="none" w:sz="0" w:space="0" w:color="auto"/>
                <w:right w:val="none" w:sz="0" w:space="0" w:color="auto"/>
              </w:divBdr>
              <w:divsChild>
                <w:div w:id="5923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48604">
      <w:bodyDiv w:val="1"/>
      <w:marLeft w:val="0"/>
      <w:marRight w:val="0"/>
      <w:marTop w:val="0"/>
      <w:marBottom w:val="0"/>
      <w:divBdr>
        <w:top w:val="none" w:sz="0" w:space="0" w:color="auto"/>
        <w:left w:val="none" w:sz="0" w:space="0" w:color="auto"/>
        <w:bottom w:val="none" w:sz="0" w:space="0" w:color="auto"/>
        <w:right w:val="none" w:sz="0" w:space="0" w:color="auto"/>
      </w:divBdr>
      <w:divsChild>
        <w:div w:id="1175457581">
          <w:marLeft w:val="0"/>
          <w:marRight w:val="0"/>
          <w:marTop w:val="0"/>
          <w:marBottom w:val="0"/>
          <w:divBdr>
            <w:top w:val="none" w:sz="0" w:space="0" w:color="auto"/>
            <w:left w:val="none" w:sz="0" w:space="0" w:color="auto"/>
            <w:bottom w:val="none" w:sz="0" w:space="0" w:color="auto"/>
            <w:right w:val="none" w:sz="0" w:space="0" w:color="auto"/>
          </w:divBdr>
          <w:divsChild>
            <w:div w:id="1967001176">
              <w:marLeft w:val="0"/>
              <w:marRight w:val="0"/>
              <w:marTop w:val="0"/>
              <w:marBottom w:val="0"/>
              <w:divBdr>
                <w:top w:val="none" w:sz="0" w:space="0" w:color="auto"/>
                <w:left w:val="none" w:sz="0" w:space="0" w:color="auto"/>
                <w:bottom w:val="none" w:sz="0" w:space="0" w:color="auto"/>
                <w:right w:val="none" w:sz="0" w:space="0" w:color="auto"/>
              </w:divBdr>
              <w:divsChild>
                <w:div w:id="13309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0608">
      <w:bodyDiv w:val="1"/>
      <w:marLeft w:val="0"/>
      <w:marRight w:val="0"/>
      <w:marTop w:val="0"/>
      <w:marBottom w:val="0"/>
      <w:divBdr>
        <w:top w:val="none" w:sz="0" w:space="0" w:color="auto"/>
        <w:left w:val="none" w:sz="0" w:space="0" w:color="auto"/>
        <w:bottom w:val="none" w:sz="0" w:space="0" w:color="auto"/>
        <w:right w:val="none" w:sz="0" w:space="0" w:color="auto"/>
      </w:divBdr>
    </w:div>
    <w:div w:id="1183590028">
      <w:bodyDiv w:val="1"/>
      <w:marLeft w:val="0"/>
      <w:marRight w:val="0"/>
      <w:marTop w:val="0"/>
      <w:marBottom w:val="0"/>
      <w:divBdr>
        <w:top w:val="none" w:sz="0" w:space="0" w:color="auto"/>
        <w:left w:val="none" w:sz="0" w:space="0" w:color="auto"/>
        <w:bottom w:val="none" w:sz="0" w:space="0" w:color="auto"/>
        <w:right w:val="none" w:sz="0" w:space="0" w:color="auto"/>
      </w:divBdr>
      <w:divsChild>
        <w:div w:id="333802625">
          <w:marLeft w:val="0"/>
          <w:marRight w:val="0"/>
          <w:marTop w:val="0"/>
          <w:marBottom w:val="0"/>
          <w:divBdr>
            <w:top w:val="none" w:sz="0" w:space="0" w:color="auto"/>
            <w:left w:val="none" w:sz="0" w:space="0" w:color="auto"/>
            <w:bottom w:val="none" w:sz="0" w:space="0" w:color="auto"/>
            <w:right w:val="none" w:sz="0" w:space="0" w:color="auto"/>
          </w:divBdr>
          <w:divsChild>
            <w:div w:id="1169491065">
              <w:marLeft w:val="0"/>
              <w:marRight w:val="0"/>
              <w:marTop w:val="0"/>
              <w:marBottom w:val="0"/>
              <w:divBdr>
                <w:top w:val="none" w:sz="0" w:space="0" w:color="auto"/>
                <w:left w:val="none" w:sz="0" w:space="0" w:color="auto"/>
                <w:bottom w:val="none" w:sz="0" w:space="0" w:color="auto"/>
                <w:right w:val="none" w:sz="0" w:space="0" w:color="auto"/>
              </w:divBdr>
              <w:divsChild>
                <w:div w:id="1619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5356">
      <w:bodyDiv w:val="1"/>
      <w:marLeft w:val="0"/>
      <w:marRight w:val="0"/>
      <w:marTop w:val="0"/>
      <w:marBottom w:val="0"/>
      <w:divBdr>
        <w:top w:val="none" w:sz="0" w:space="0" w:color="auto"/>
        <w:left w:val="none" w:sz="0" w:space="0" w:color="auto"/>
        <w:bottom w:val="none" w:sz="0" w:space="0" w:color="auto"/>
        <w:right w:val="none" w:sz="0" w:space="0" w:color="auto"/>
      </w:divBdr>
    </w:div>
    <w:div w:id="1241133513">
      <w:bodyDiv w:val="1"/>
      <w:marLeft w:val="0"/>
      <w:marRight w:val="0"/>
      <w:marTop w:val="0"/>
      <w:marBottom w:val="0"/>
      <w:divBdr>
        <w:top w:val="none" w:sz="0" w:space="0" w:color="auto"/>
        <w:left w:val="none" w:sz="0" w:space="0" w:color="auto"/>
        <w:bottom w:val="none" w:sz="0" w:space="0" w:color="auto"/>
        <w:right w:val="none" w:sz="0" w:space="0" w:color="auto"/>
      </w:divBdr>
      <w:divsChild>
        <w:div w:id="479424648">
          <w:marLeft w:val="0"/>
          <w:marRight w:val="0"/>
          <w:marTop w:val="0"/>
          <w:marBottom w:val="0"/>
          <w:divBdr>
            <w:top w:val="none" w:sz="0" w:space="0" w:color="auto"/>
            <w:left w:val="none" w:sz="0" w:space="0" w:color="auto"/>
            <w:bottom w:val="none" w:sz="0" w:space="0" w:color="auto"/>
            <w:right w:val="none" w:sz="0" w:space="0" w:color="auto"/>
          </w:divBdr>
          <w:divsChild>
            <w:div w:id="1551571981">
              <w:marLeft w:val="0"/>
              <w:marRight w:val="0"/>
              <w:marTop w:val="0"/>
              <w:marBottom w:val="0"/>
              <w:divBdr>
                <w:top w:val="none" w:sz="0" w:space="0" w:color="auto"/>
                <w:left w:val="none" w:sz="0" w:space="0" w:color="auto"/>
                <w:bottom w:val="none" w:sz="0" w:space="0" w:color="auto"/>
                <w:right w:val="none" w:sz="0" w:space="0" w:color="auto"/>
              </w:divBdr>
              <w:divsChild>
                <w:div w:id="20220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24471">
      <w:bodyDiv w:val="1"/>
      <w:marLeft w:val="0"/>
      <w:marRight w:val="0"/>
      <w:marTop w:val="0"/>
      <w:marBottom w:val="0"/>
      <w:divBdr>
        <w:top w:val="none" w:sz="0" w:space="0" w:color="auto"/>
        <w:left w:val="none" w:sz="0" w:space="0" w:color="auto"/>
        <w:bottom w:val="none" w:sz="0" w:space="0" w:color="auto"/>
        <w:right w:val="none" w:sz="0" w:space="0" w:color="auto"/>
      </w:divBdr>
      <w:divsChild>
        <w:div w:id="1162547870">
          <w:marLeft w:val="0"/>
          <w:marRight w:val="0"/>
          <w:marTop w:val="0"/>
          <w:marBottom w:val="0"/>
          <w:divBdr>
            <w:top w:val="none" w:sz="0" w:space="0" w:color="auto"/>
            <w:left w:val="none" w:sz="0" w:space="0" w:color="auto"/>
            <w:bottom w:val="none" w:sz="0" w:space="0" w:color="auto"/>
            <w:right w:val="none" w:sz="0" w:space="0" w:color="auto"/>
          </w:divBdr>
          <w:divsChild>
            <w:div w:id="1864977175">
              <w:marLeft w:val="0"/>
              <w:marRight w:val="0"/>
              <w:marTop w:val="0"/>
              <w:marBottom w:val="0"/>
              <w:divBdr>
                <w:top w:val="none" w:sz="0" w:space="0" w:color="auto"/>
                <w:left w:val="none" w:sz="0" w:space="0" w:color="auto"/>
                <w:bottom w:val="none" w:sz="0" w:space="0" w:color="auto"/>
                <w:right w:val="none" w:sz="0" w:space="0" w:color="auto"/>
              </w:divBdr>
              <w:divsChild>
                <w:div w:id="14483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1908">
      <w:bodyDiv w:val="1"/>
      <w:marLeft w:val="0"/>
      <w:marRight w:val="0"/>
      <w:marTop w:val="0"/>
      <w:marBottom w:val="0"/>
      <w:divBdr>
        <w:top w:val="none" w:sz="0" w:space="0" w:color="auto"/>
        <w:left w:val="none" w:sz="0" w:space="0" w:color="auto"/>
        <w:bottom w:val="none" w:sz="0" w:space="0" w:color="auto"/>
        <w:right w:val="none" w:sz="0" w:space="0" w:color="auto"/>
      </w:divBdr>
      <w:divsChild>
        <w:div w:id="1371302578">
          <w:marLeft w:val="0"/>
          <w:marRight w:val="0"/>
          <w:marTop w:val="0"/>
          <w:marBottom w:val="0"/>
          <w:divBdr>
            <w:top w:val="none" w:sz="0" w:space="0" w:color="auto"/>
            <w:left w:val="none" w:sz="0" w:space="0" w:color="auto"/>
            <w:bottom w:val="none" w:sz="0" w:space="0" w:color="auto"/>
            <w:right w:val="none" w:sz="0" w:space="0" w:color="auto"/>
          </w:divBdr>
          <w:divsChild>
            <w:div w:id="634334707">
              <w:marLeft w:val="0"/>
              <w:marRight w:val="0"/>
              <w:marTop w:val="0"/>
              <w:marBottom w:val="0"/>
              <w:divBdr>
                <w:top w:val="none" w:sz="0" w:space="0" w:color="auto"/>
                <w:left w:val="none" w:sz="0" w:space="0" w:color="auto"/>
                <w:bottom w:val="none" w:sz="0" w:space="0" w:color="auto"/>
                <w:right w:val="none" w:sz="0" w:space="0" w:color="auto"/>
              </w:divBdr>
              <w:divsChild>
                <w:div w:id="16194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1779">
      <w:bodyDiv w:val="1"/>
      <w:marLeft w:val="0"/>
      <w:marRight w:val="0"/>
      <w:marTop w:val="0"/>
      <w:marBottom w:val="0"/>
      <w:divBdr>
        <w:top w:val="none" w:sz="0" w:space="0" w:color="auto"/>
        <w:left w:val="none" w:sz="0" w:space="0" w:color="auto"/>
        <w:bottom w:val="none" w:sz="0" w:space="0" w:color="auto"/>
        <w:right w:val="none" w:sz="0" w:space="0" w:color="auto"/>
      </w:divBdr>
      <w:divsChild>
        <w:div w:id="2000960188">
          <w:marLeft w:val="0"/>
          <w:marRight w:val="0"/>
          <w:marTop w:val="0"/>
          <w:marBottom w:val="0"/>
          <w:divBdr>
            <w:top w:val="none" w:sz="0" w:space="0" w:color="auto"/>
            <w:left w:val="none" w:sz="0" w:space="0" w:color="auto"/>
            <w:bottom w:val="none" w:sz="0" w:space="0" w:color="auto"/>
            <w:right w:val="none" w:sz="0" w:space="0" w:color="auto"/>
          </w:divBdr>
          <w:divsChild>
            <w:div w:id="756172885">
              <w:marLeft w:val="0"/>
              <w:marRight w:val="0"/>
              <w:marTop w:val="0"/>
              <w:marBottom w:val="0"/>
              <w:divBdr>
                <w:top w:val="none" w:sz="0" w:space="0" w:color="auto"/>
                <w:left w:val="none" w:sz="0" w:space="0" w:color="auto"/>
                <w:bottom w:val="none" w:sz="0" w:space="0" w:color="auto"/>
                <w:right w:val="none" w:sz="0" w:space="0" w:color="auto"/>
              </w:divBdr>
              <w:divsChild>
                <w:div w:id="4578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58067">
      <w:bodyDiv w:val="1"/>
      <w:marLeft w:val="0"/>
      <w:marRight w:val="0"/>
      <w:marTop w:val="0"/>
      <w:marBottom w:val="0"/>
      <w:divBdr>
        <w:top w:val="none" w:sz="0" w:space="0" w:color="auto"/>
        <w:left w:val="none" w:sz="0" w:space="0" w:color="auto"/>
        <w:bottom w:val="none" w:sz="0" w:space="0" w:color="auto"/>
        <w:right w:val="none" w:sz="0" w:space="0" w:color="auto"/>
      </w:divBdr>
      <w:divsChild>
        <w:div w:id="12146903">
          <w:marLeft w:val="0"/>
          <w:marRight w:val="0"/>
          <w:marTop w:val="0"/>
          <w:marBottom w:val="0"/>
          <w:divBdr>
            <w:top w:val="none" w:sz="0" w:space="0" w:color="auto"/>
            <w:left w:val="none" w:sz="0" w:space="0" w:color="auto"/>
            <w:bottom w:val="none" w:sz="0" w:space="0" w:color="auto"/>
            <w:right w:val="none" w:sz="0" w:space="0" w:color="auto"/>
          </w:divBdr>
          <w:divsChild>
            <w:div w:id="140050522">
              <w:marLeft w:val="0"/>
              <w:marRight w:val="0"/>
              <w:marTop w:val="0"/>
              <w:marBottom w:val="0"/>
              <w:divBdr>
                <w:top w:val="none" w:sz="0" w:space="0" w:color="auto"/>
                <w:left w:val="none" w:sz="0" w:space="0" w:color="auto"/>
                <w:bottom w:val="none" w:sz="0" w:space="0" w:color="auto"/>
                <w:right w:val="none" w:sz="0" w:space="0" w:color="auto"/>
              </w:divBdr>
              <w:divsChild>
                <w:div w:id="14827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70981">
      <w:bodyDiv w:val="1"/>
      <w:marLeft w:val="0"/>
      <w:marRight w:val="0"/>
      <w:marTop w:val="0"/>
      <w:marBottom w:val="0"/>
      <w:divBdr>
        <w:top w:val="none" w:sz="0" w:space="0" w:color="auto"/>
        <w:left w:val="none" w:sz="0" w:space="0" w:color="auto"/>
        <w:bottom w:val="none" w:sz="0" w:space="0" w:color="auto"/>
        <w:right w:val="none" w:sz="0" w:space="0" w:color="auto"/>
      </w:divBdr>
      <w:divsChild>
        <w:div w:id="1765152561">
          <w:marLeft w:val="0"/>
          <w:marRight w:val="0"/>
          <w:marTop w:val="0"/>
          <w:marBottom w:val="0"/>
          <w:divBdr>
            <w:top w:val="none" w:sz="0" w:space="0" w:color="auto"/>
            <w:left w:val="none" w:sz="0" w:space="0" w:color="auto"/>
            <w:bottom w:val="none" w:sz="0" w:space="0" w:color="auto"/>
            <w:right w:val="none" w:sz="0" w:space="0" w:color="auto"/>
          </w:divBdr>
          <w:divsChild>
            <w:div w:id="1999645748">
              <w:marLeft w:val="0"/>
              <w:marRight w:val="0"/>
              <w:marTop w:val="0"/>
              <w:marBottom w:val="0"/>
              <w:divBdr>
                <w:top w:val="none" w:sz="0" w:space="0" w:color="auto"/>
                <w:left w:val="none" w:sz="0" w:space="0" w:color="auto"/>
                <w:bottom w:val="none" w:sz="0" w:space="0" w:color="auto"/>
                <w:right w:val="none" w:sz="0" w:space="0" w:color="auto"/>
              </w:divBdr>
              <w:divsChild>
                <w:div w:id="2798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804">
      <w:bodyDiv w:val="1"/>
      <w:marLeft w:val="0"/>
      <w:marRight w:val="0"/>
      <w:marTop w:val="0"/>
      <w:marBottom w:val="0"/>
      <w:divBdr>
        <w:top w:val="none" w:sz="0" w:space="0" w:color="auto"/>
        <w:left w:val="none" w:sz="0" w:space="0" w:color="auto"/>
        <w:bottom w:val="none" w:sz="0" w:space="0" w:color="auto"/>
        <w:right w:val="none" w:sz="0" w:space="0" w:color="auto"/>
      </w:divBdr>
      <w:divsChild>
        <w:div w:id="773325386">
          <w:marLeft w:val="0"/>
          <w:marRight w:val="0"/>
          <w:marTop w:val="0"/>
          <w:marBottom w:val="0"/>
          <w:divBdr>
            <w:top w:val="none" w:sz="0" w:space="0" w:color="auto"/>
            <w:left w:val="none" w:sz="0" w:space="0" w:color="auto"/>
            <w:bottom w:val="none" w:sz="0" w:space="0" w:color="auto"/>
            <w:right w:val="none" w:sz="0" w:space="0" w:color="auto"/>
          </w:divBdr>
          <w:divsChild>
            <w:div w:id="892084027">
              <w:marLeft w:val="0"/>
              <w:marRight w:val="0"/>
              <w:marTop w:val="0"/>
              <w:marBottom w:val="0"/>
              <w:divBdr>
                <w:top w:val="none" w:sz="0" w:space="0" w:color="auto"/>
                <w:left w:val="none" w:sz="0" w:space="0" w:color="auto"/>
                <w:bottom w:val="none" w:sz="0" w:space="0" w:color="auto"/>
                <w:right w:val="none" w:sz="0" w:space="0" w:color="auto"/>
              </w:divBdr>
              <w:divsChild>
                <w:div w:id="3324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8903">
      <w:bodyDiv w:val="1"/>
      <w:marLeft w:val="0"/>
      <w:marRight w:val="0"/>
      <w:marTop w:val="0"/>
      <w:marBottom w:val="0"/>
      <w:divBdr>
        <w:top w:val="none" w:sz="0" w:space="0" w:color="auto"/>
        <w:left w:val="none" w:sz="0" w:space="0" w:color="auto"/>
        <w:bottom w:val="none" w:sz="0" w:space="0" w:color="auto"/>
        <w:right w:val="none" w:sz="0" w:space="0" w:color="auto"/>
      </w:divBdr>
      <w:divsChild>
        <w:div w:id="1112437857">
          <w:marLeft w:val="0"/>
          <w:marRight w:val="0"/>
          <w:marTop w:val="0"/>
          <w:marBottom w:val="0"/>
          <w:divBdr>
            <w:top w:val="none" w:sz="0" w:space="0" w:color="auto"/>
            <w:left w:val="none" w:sz="0" w:space="0" w:color="auto"/>
            <w:bottom w:val="none" w:sz="0" w:space="0" w:color="auto"/>
            <w:right w:val="none" w:sz="0" w:space="0" w:color="auto"/>
          </w:divBdr>
          <w:divsChild>
            <w:div w:id="1645041712">
              <w:marLeft w:val="0"/>
              <w:marRight w:val="0"/>
              <w:marTop w:val="0"/>
              <w:marBottom w:val="0"/>
              <w:divBdr>
                <w:top w:val="none" w:sz="0" w:space="0" w:color="auto"/>
                <w:left w:val="none" w:sz="0" w:space="0" w:color="auto"/>
                <w:bottom w:val="none" w:sz="0" w:space="0" w:color="auto"/>
                <w:right w:val="none" w:sz="0" w:space="0" w:color="auto"/>
              </w:divBdr>
              <w:divsChild>
                <w:div w:id="18674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22140">
      <w:bodyDiv w:val="1"/>
      <w:marLeft w:val="0"/>
      <w:marRight w:val="0"/>
      <w:marTop w:val="0"/>
      <w:marBottom w:val="0"/>
      <w:divBdr>
        <w:top w:val="none" w:sz="0" w:space="0" w:color="auto"/>
        <w:left w:val="none" w:sz="0" w:space="0" w:color="auto"/>
        <w:bottom w:val="none" w:sz="0" w:space="0" w:color="auto"/>
        <w:right w:val="none" w:sz="0" w:space="0" w:color="auto"/>
      </w:divBdr>
      <w:divsChild>
        <w:div w:id="530996653">
          <w:marLeft w:val="0"/>
          <w:marRight w:val="0"/>
          <w:marTop w:val="0"/>
          <w:marBottom w:val="0"/>
          <w:divBdr>
            <w:top w:val="none" w:sz="0" w:space="0" w:color="auto"/>
            <w:left w:val="none" w:sz="0" w:space="0" w:color="auto"/>
            <w:bottom w:val="none" w:sz="0" w:space="0" w:color="auto"/>
            <w:right w:val="none" w:sz="0" w:space="0" w:color="auto"/>
          </w:divBdr>
          <w:divsChild>
            <w:div w:id="1064832575">
              <w:marLeft w:val="0"/>
              <w:marRight w:val="0"/>
              <w:marTop w:val="0"/>
              <w:marBottom w:val="0"/>
              <w:divBdr>
                <w:top w:val="none" w:sz="0" w:space="0" w:color="auto"/>
                <w:left w:val="none" w:sz="0" w:space="0" w:color="auto"/>
                <w:bottom w:val="none" w:sz="0" w:space="0" w:color="auto"/>
                <w:right w:val="none" w:sz="0" w:space="0" w:color="auto"/>
              </w:divBdr>
              <w:divsChild>
                <w:div w:id="14542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00933">
      <w:bodyDiv w:val="1"/>
      <w:marLeft w:val="0"/>
      <w:marRight w:val="0"/>
      <w:marTop w:val="0"/>
      <w:marBottom w:val="0"/>
      <w:divBdr>
        <w:top w:val="none" w:sz="0" w:space="0" w:color="auto"/>
        <w:left w:val="none" w:sz="0" w:space="0" w:color="auto"/>
        <w:bottom w:val="none" w:sz="0" w:space="0" w:color="auto"/>
        <w:right w:val="none" w:sz="0" w:space="0" w:color="auto"/>
      </w:divBdr>
      <w:divsChild>
        <w:div w:id="238562917">
          <w:marLeft w:val="0"/>
          <w:marRight w:val="0"/>
          <w:marTop w:val="0"/>
          <w:marBottom w:val="0"/>
          <w:divBdr>
            <w:top w:val="none" w:sz="0" w:space="0" w:color="auto"/>
            <w:left w:val="none" w:sz="0" w:space="0" w:color="auto"/>
            <w:bottom w:val="none" w:sz="0" w:space="0" w:color="auto"/>
            <w:right w:val="none" w:sz="0" w:space="0" w:color="auto"/>
          </w:divBdr>
          <w:divsChild>
            <w:div w:id="1457406310">
              <w:marLeft w:val="0"/>
              <w:marRight w:val="0"/>
              <w:marTop w:val="0"/>
              <w:marBottom w:val="0"/>
              <w:divBdr>
                <w:top w:val="none" w:sz="0" w:space="0" w:color="auto"/>
                <w:left w:val="none" w:sz="0" w:space="0" w:color="auto"/>
                <w:bottom w:val="none" w:sz="0" w:space="0" w:color="auto"/>
                <w:right w:val="none" w:sz="0" w:space="0" w:color="auto"/>
              </w:divBdr>
              <w:divsChild>
                <w:div w:id="13188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3229">
      <w:bodyDiv w:val="1"/>
      <w:marLeft w:val="0"/>
      <w:marRight w:val="0"/>
      <w:marTop w:val="0"/>
      <w:marBottom w:val="0"/>
      <w:divBdr>
        <w:top w:val="none" w:sz="0" w:space="0" w:color="auto"/>
        <w:left w:val="none" w:sz="0" w:space="0" w:color="auto"/>
        <w:bottom w:val="none" w:sz="0" w:space="0" w:color="auto"/>
        <w:right w:val="none" w:sz="0" w:space="0" w:color="auto"/>
      </w:divBdr>
    </w:div>
    <w:div w:id="1842968411">
      <w:bodyDiv w:val="1"/>
      <w:marLeft w:val="0"/>
      <w:marRight w:val="0"/>
      <w:marTop w:val="0"/>
      <w:marBottom w:val="0"/>
      <w:divBdr>
        <w:top w:val="none" w:sz="0" w:space="0" w:color="auto"/>
        <w:left w:val="none" w:sz="0" w:space="0" w:color="auto"/>
        <w:bottom w:val="none" w:sz="0" w:space="0" w:color="auto"/>
        <w:right w:val="none" w:sz="0" w:space="0" w:color="auto"/>
      </w:divBdr>
      <w:divsChild>
        <w:div w:id="1621765403">
          <w:marLeft w:val="0"/>
          <w:marRight w:val="0"/>
          <w:marTop w:val="0"/>
          <w:marBottom w:val="0"/>
          <w:divBdr>
            <w:top w:val="none" w:sz="0" w:space="0" w:color="auto"/>
            <w:left w:val="none" w:sz="0" w:space="0" w:color="auto"/>
            <w:bottom w:val="none" w:sz="0" w:space="0" w:color="auto"/>
            <w:right w:val="none" w:sz="0" w:space="0" w:color="auto"/>
          </w:divBdr>
          <w:divsChild>
            <w:div w:id="1339116188">
              <w:marLeft w:val="0"/>
              <w:marRight w:val="0"/>
              <w:marTop w:val="0"/>
              <w:marBottom w:val="0"/>
              <w:divBdr>
                <w:top w:val="none" w:sz="0" w:space="0" w:color="auto"/>
                <w:left w:val="none" w:sz="0" w:space="0" w:color="auto"/>
                <w:bottom w:val="none" w:sz="0" w:space="0" w:color="auto"/>
                <w:right w:val="none" w:sz="0" w:space="0" w:color="auto"/>
              </w:divBdr>
              <w:divsChild>
                <w:div w:id="4399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4607">
      <w:bodyDiv w:val="1"/>
      <w:marLeft w:val="0"/>
      <w:marRight w:val="0"/>
      <w:marTop w:val="0"/>
      <w:marBottom w:val="0"/>
      <w:divBdr>
        <w:top w:val="none" w:sz="0" w:space="0" w:color="auto"/>
        <w:left w:val="none" w:sz="0" w:space="0" w:color="auto"/>
        <w:bottom w:val="none" w:sz="0" w:space="0" w:color="auto"/>
        <w:right w:val="none" w:sz="0" w:space="0" w:color="auto"/>
      </w:divBdr>
    </w:div>
    <w:div w:id="1896499718">
      <w:bodyDiv w:val="1"/>
      <w:marLeft w:val="0"/>
      <w:marRight w:val="0"/>
      <w:marTop w:val="0"/>
      <w:marBottom w:val="0"/>
      <w:divBdr>
        <w:top w:val="none" w:sz="0" w:space="0" w:color="auto"/>
        <w:left w:val="none" w:sz="0" w:space="0" w:color="auto"/>
        <w:bottom w:val="none" w:sz="0" w:space="0" w:color="auto"/>
        <w:right w:val="none" w:sz="0" w:space="0" w:color="auto"/>
      </w:divBdr>
      <w:divsChild>
        <w:div w:id="1343631983">
          <w:marLeft w:val="0"/>
          <w:marRight w:val="0"/>
          <w:marTop w:val="0"/>
          <w:marBottom w:val="0"/>
          <w:divBdr>
            <w:top w:val="none" w:sz="0" w:space="0" w:color="auto"/>
            <w:left w:val="none" w:sz="0" w:space="0" w:color="auto"/>
            <w:bottom w:val="none" w:sz="0" w:space="0" w:color="auto"/>
            <w:right w:val="none" w:sz="0" w:space="0" w:color="auto"/>
          </w:divBdr>
          <w:divsChild>
            <w:div w:id="1640377129">
              <w:marLeft w:val="0"/>
              <w:marRight w:val="0"/>
              <w:marTop w:val="0"/>
              <w:marBottom w:val="0"/>
              <w:divBdr>
                <w:top w:val="none" w:sz="0" w:space="0" w:color="auto"/>
                <w:left w:val="none" w:sz="0" w:space="0" w:color="auto"/>
                <w:bottom w:val="none" w:sz="0" w:space="0" w:color="auto"/>
                <w:right w:val="none" w:sz="0" w:space="0" w:color="auto"/>
              </w:divBdr>
              <w:divsChild>
                <w:div w:id="2059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0055">
      <w:bodyDiv w:val="1"/>
      <w:marLeft w:val="0"/>
      <w:marRight w:val="0"/>
      <w:marTop w:val="0"/>
      <w:marBottom w:val="0"/>
      <w:divBdr>
        <w:top w:val="none" w:sz="0" w:space="0" w:color="auto"/>
        <w:left w:val="none" w:sz="0" w:space="0" w:color="auto"/>
        <w:bottom w:val="none" w:sz="0" w:space="0" w:color="auto"/>
        <w:right w:val="none" w:sz="0" w:space="0" w:color="auto"/>
      </w:divBdr>
      <w:divsChild>
        <w:div w:id="902980891">
          <w:marLeft w:val="0"/>
          <w:marRight w:val="0"/>
          <w:marTop w:val="0"/>
          <w:marBottom w:val="0"/>
          <w:divBdr>
            <w:top w:val="none" w:sz="0" w:space="0" w:color="auto"/>
            <w:left w:val="none" w:sz="0" w:space="0" w:color="auto"/>
            <w:bottom w:val="none" w:sz="0" w:space="0" w:color="auto"/>
            <w:right w:val="none" w:sz="0" w:space="0" w:color="auto"/>
          </w:divBdr>
          <w:divsChild>
            <w:div w:id="858472544">
              <w:marLeft w:val="0"/>
              <w:marRight w:val="0"/>
              <w:marTop w:val="0"/>
              <w:marBottom w:val="0"/>
              <w:divBdr>
                <w:top w:val="none" w:sz="0" w:space="0" w:color="auto"/>
                <w:left w:val="none" w:sz="0" w:space="0" w:color="auto"/>
                <w:bottom w:val="none" w:sz="0" w:space="0" w:color="auto"/>
                <w:right w:val="none" w:sz="0" w:space="0" w:color="auto"/>
              </w:divBdr>
              <w:divsChild>
                <w:div w:id="12636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1128">
      <w:bodyDiv w:val="1"/>
      <w:marLeft w:val="0"/>
      <w:marRight w:val="0"/>
      <w:marTop w:val="0"/>
      <w:marBottom w:val="0"/>
      <w:divBdr>
        <w:top w:val="none" w:sz="0" w:space="0" w:color="auto"/>
        <w:left w:val="none" w:sz="0" w:space="0" w:color="auto"/>
        <w:bottom w:val="none" w:sz="0" w:space="0" w:color="auto"/>
        <w:right w:val="none" w:sz="0" w:space="0" w:color="auto"/>
      </w:divBdr>
    </w:div>
    <w:div w:id="2037198861">
      <w:bodyDiv w:val="1"/>
      <w:marLeft w:val="0"/>
      <w:marRight w:val="0"/>
      <w:marTop w:val="0"/>
      <w:marBottom w:val="0"/>
      <w:divBdr>
        <w:top w:val="none" w:sz="0" w:space="0" w:color="auto"/>
        <w:left w:val="none" w:sz="0" w:space="0" w:color="auto"/>
        <w:bottom w:val="none" w:sz="0" w:space="0" w:color="auto"/>
        <w:right w:val="none" w:sz="0" w:space="0" w:color="auto"/>
      </w:divBdr>
      <w:divsChild>
        <w:div w:id="1705212339">
          <w:marLeft w:val="0"/>
          <w:marRight w:val="0"/>
          <w:marTop w:val="0"/>
          <w:marBottom w:val="0"/>
          <w:divBdr>
            <w:top w:val="none" w:sz="0" w:space="0" w:color="auto"/>
            <w:left w:val="none" w:sz="0" w:space="0" w:color="auto"/>
            <w:bottom w:val="none" w:sz="0" w:space="0" w:color="auto"/>
            <w:right w:val="none" w:sz="0" w:space="0" w:color="auto"/>
          </w:divBdr>
          <w:divsChild>
            <w:div w:id="1691833896">
              <w:marLeft w:val="0"/>
              <w:marRight w:val="0"/>
              <w:marTop w:val="0"/>
              <w:marBottom w:val="0"/>
              <w:divBdr>
                <w:top w:val="none" w:sz="0" w:space="0" w:color="auto"/>
                <w:left w:val="none" w:sz="0" w:space="0" w:color="auto"/>
                <w:bottom w:val="none" w:sz="0" w:space="0" w:color="auto"/>
                <w:right w:val="none" w:sz="0" w:space="0" w:color="auto"/>
              </w:divBdr>
              <w:divsChild>
                <w:div w:id="8818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27696">
      <w:bodyDiv w:val="1"/>
      <w:marLeft w:val="0"/>
      <w:marRight w:val="0"/>
      <w:marTop w:val="0"/>
      <w:marBottom w:val="0"/>
      <w:divBdr>
        <w:top w:val="none" w:sz="0" w:space="0" w:color="auto"/>
        <w:left w:val="none" w:sz="0" w:space="0" w:color="auto"/>
        <w:bottom w:val="none" w:sz="0" w:space="0" w:color="auto"/>
        <w:right w:val="none" w:sz="0" w:space="0" w:color="auto"/>
      </w:divBdr>
    </w:div>
    <w:div w:id="2099012204">
      <w:bodyDiv w:val="1"/>
      <w:marLeft w:val="0"/>
      <w:marRight w:val="0"/>
      <w:marTop w:val="0"/>
      <w:marBottom w:val="0"/>
      <w:divBdr>
        <w:top w:val="none" w:sz="0" w:space="0" w:color="auto"/>
        <w:left w:val="none" w:sz="0" w:space="0" w:color="auto"/>
        <w:bottom w:val="none" w:sz="0" w:space="0" w:color="auto"/>
        <w:right w:val="none" w:sz="0" w:space="0" w:color="auto"/>
      </w:divBdr>
      <w:divsChild>
        <w:div w:id="1399015179">
          <w:marLeft w:val="0"/>
          <w:marRight w:val="0"/>
          <w:marTop w:val="0"/>
          <w:marBottom w:val="0"/>
          <w:divBdr>
            <w:top w:val="none" w:sz="0" w:space="0" w:color="auto"/>
            <w:left w:val="none" w:sz="0" w:space="0" w:color="auto"/>
            <w:bottom w:val="none" w:sz="0" w:space="0" w:color="auto"/>
            <w:right w:val="none" w:sz="0" w:space="0" w:color="auto"/>
          </w:divBdr>
          <w:divsChild>
            <w:div w:id="2097894011">
              <w:marLeft w:val="0"/>
              <w:marRight w:val="0"/>
              <w:marTop w:val="0"/>
              <w:marBottom w:val="0"/>
              <w:divBdr>
                <w:top w:val="none" w:sz="0" w:space="0" w:color="auto"/>
                <w:left w:val="none" w:sz="0" w:space="0" w:color="auto"/>
                <w:bottom w:val="none" w:sz="0" w:space="0" w:color="auto"/>
                <w:right w:val="none" w:sz="0" w:space="0" w:color="auto"/>
              </w:divBdr>
              <w:divsChild>
                <w:div w:id="21169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01047">
      <w:bodyDiv w:val="1"/>
      <w:marLeft w:val="0"/>
      <w:marRight w:val="0"/>
      <w:marTop w:val="0"/>
      <w:marBottom w:val="0"/>
      <w:divBdr>
        <w:top w:val="none" w:sz="0" w:space="0" w:color="auto"/>
        <w:left w:val="none" w:sz="0" w:space="0" w:color="auto"/>
        <w:bottom w:val="none" w:sz="0" w:space="0" w:color="auto"/>
        <w:right w:val="none" w:sz="0" w:space="0" w:color="auto"/>
      </w:divBdr>
      <w:divsChild>
        <w:div w:id="1140803796">
          <w:marLeft w:val="0"/>
          <w:marRight w:val="0"/>
          <w:marTop w:val="0"/>
          <w:marBottom w:val="0"/>
          <w:divBdr>
            <w:top w:val="none" w:sz="0" w:space="0" w:color="auto"/>
            <w:left w:val="none" w:sz="0" w:space="0" w:color="auto"/>
            <w:bottom w:val="none" w:sz="0" w:space="0" w:color="auto"/>
            <w:right w:val="none" w:sz="0" w:space="0" w:color="auto"/>
          </w:divBdr>
          <w:divsChild>
            <w:div w:id="1370296726">
              <w:marLeft w:val="0"/>
              <w:marRight w:val="0"/>
              <w:marTop w:val="0"/>
              <w:marBottom w:val="0"/>
              <w:divBdr>
                <w:top w:val="none" w:sz="0" w:space="0" w:color="auto"/>
                <w:left w:val="none" w:sz="0" w:space="0" w:color="auto"/>
                <w:bottom w:val="none" w:sz="0" w:space="0" w:color="auto"/>
                <w:right w:val="none" w:sz="0" w:space="0" w:color="auto"/>
              </w:divBdr>
              <w:divsChild>
                <w:div w:id="10765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hr.coe.int/Documents/Research_report_cultural_rights_ENG.pdf" TargetMode="External"/><Relationship Id="rId13" Type="http://schemas.openxmlformats.org/officeDocument/2006/relationships/hyperlink" Target="https://www.lawgazette.co.uk/law/media-law/4357.article" TargetMode="External"/><Relationship Id="rId18" Type="http://schemas.openxmlformats.org/officeDocument/2006/relationships/hyperlink" Target="https://law.utexas.edu/transnational/foreign-law-translations/german/case.php?id=634" TargetMode="External"/><Relationship Id="rId3" Type="http://schemas.openxmlformats.org/officeDocument/2006/relationships/settings" Target="settings.xml"/><Relationship Id="rId21" Type="http://schemas.openxmlformats.org/officeDocument/2006/relationships/hyperlink" Target="https://strasbourgobservers.com/2019/01/23/activists-conviction-for-hooliganism-over-obscene-protest-violated-article-10-echr/" TargetMode="External"/><Relationship Id="rId7" Type="http://schemas.openxmlformats.org/officeDocument/2006/relationships/hyperlink" Target="https://law.utexas.edu/transnational/foreign-law-translations/german/case.php?id=634" TargetMode="External"/><Relationship Id="rId12" Type="http://schemas.openxmlformats.org/officeDocument/2006/relationships/hyperlink" Target="https://olh.openlibhums.org/articles/10.16995/olh.571/" TargetMode="External"/><Relationship Id="rId17" Type="http://schemas.openxmlformats.org/officeDocument/2006/relationships/hyperlink" Target="http://www.ilo.org/dyn/natlex/natlex4.detail?p_lang=&amp;p_isn=84888&amp;p_classification=01" TargetMode="External"/><Relationship Id="rId2" Type="http://schemas.openxmlformats.org/officeDocument/2006/relationships/styles" Target="styles.xml"/><Relationship Id="rId16" Type="http://schemas.openxmlformats.org/officeDocument/2006/relationships/hyperlink" Target="https://hudoc.echr.coe.int/eng" TargetMode="External"/><Relationship Id="rId20" Type="http://schemas.openxmlformats.org/officeDocument/2006/relationships/hyperlink" Target="https://olh.openlibhums.org/articles/10.16995/olh.571/" TargetMode="External"/><Relationship Id="rId1" Type="http://schemas.openxmlformats.org/officeDocument/2006/relationships/numbering" Target="numbering.xml"/><Relationship Id="rId6" Type="http://schemas.openxmlformats.org/officeDocument/2006/relationships/hyperlink" Target="https://hudoc.echr.coe.int/fre" TargetMode="External"/><Relationship Id="rId11" Type="http://schemas.openxmlformats.org/officeDocument/2006/relationships/hyperlink" Target="https://olh.openlibhums.org/articles/10.16995/olh.571/" TargetMode="External"/><Relationship Id="rId24" Type="http://schemas.openxmlformats.org/officeDocument/2006/relationships/theme" Target="theme/theme1.xml"/><Relationship Id="rId5" Type="http://schemas.openxmlformats.org/officeDocument/2006/relationships/hyperlink" Target="https://www.ippt.eu/files/2007/IPPT20070125_ECHR_Vereinigung_Bildender_Kunstler_v_Austria.pdf" TargetMode="External"/><Relationship Id="rId15" Type="http://schemas.openxmlformats.org/officeDocument/2006/relationships/hyperlink" Target="https://hudoc.echr.coe.int/fre" TargetMode="External"/><Relationship Id="rId23" Type="http://schemas.openxmlformats.org/officeDocument/2006/relationships/fontTable" Target="fontTable.xml"/><Relationship Id="rId10" Type="http://schemas.openxmlformats.org/officeDocument/2006/relationships/hyperlink" Target="https://strasbourgobservers.com/2019/01/23/activists-conviction-for-hooliganism-over-obscene-protest-violated-article-10-echr/" TargetMode="External"/><Relationship Id="rId19" Type="http://schemas.openxmlformats.org/officeDocument/2006/relationships/hyperlink" Target="https://academic.oup.com/hrlr/article/16/3/511/2452827" TargetMode="External"/><Relationship Id="rId4" Type="http://schemas.openxmlformats.org/officeDocument/2006/relationships/webSettings" Target="webSettings.xml"/><Relationship Id="rId9" Type="http://schemas.openxmlformats.org/officeDocument/2006/relationships/hyperlink" Target="https://academic.oup.com/hrlr/article/16/3/511/2452827" TargetMode="External"/><Relationship Id="rId14" Type="http://schemas.openxmlformats.org/officeDocument/2006/relationships/hyperlink" Target="https://www.echr.coe.int/Documents/Convention_ENG.pdf" TargetMode="External"/><Relationship Id="rId22" Type="http://schemas.openxmlformats.org/officeDocument/2006/relationships/hyperlink" Target="https://www.lawgazette.co.uk/law/media-law/4357.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TotalTime>
  <Pages>6</Pages>
  <Words>5506</Words>
  <Characters>24337</Characters>
  <Application>Microsoft Office Word</Application>
  <DocSecurity>0</DocSecurity>
  <Lines>347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Sanskriti Sanghi</dc:creator>
  <cp:keywords/>
  <dc:description/>
  <cp:lastModifiedBy>Sanskriti Sanghi</cp:lastModifiedBy>
  <cp:revision>850</cp:revision>
  <dcterms:created xsi:type="dcterms:W3CDTF">2020-11-18T05:46:00Z</dcterms:created>
  <dcterms:modified xsi:type="dcterms:W3CDTF">2020-12-01T10:18:00Z</dcterms:modified>
</cp:coreProperties>
</file>