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6116" w14:textId="64091D94" w:rsidR="009F701D" w:rsidRPr="008C3C00" w:rsidRDefault="00EE4216" w:rsidP="00E472CC">
      <w:pPr>
        <w:shd w:val="clear" w:color="auto" w:fill="8EAADB" w:themeFill="accent1" w:themeFillTint="99"/>
        <w:spacing w:line="360" w:lineRule="auto"/>
        <w:jc w:val="center"/>
        <w:rPr>
          <w:rFonts w:ascii="Garamond" w:hAnsi="Garamond"/>
          <w:b/>
          <w:bCs/>
          <w:color w:val="000000" w:themeColor="text1"/>
          <w:lang w:val="en-US"/>
        </w:rPr>
      </w:pPr>
      <w:r w:rsidRPr="008C3C00">
        <w:rPr>
          <w:rFonts w:ascii="Garamond" w:hAnsi="Garamond"/>
          <w:b/>
          <w:bCs/>
          <w:i/>
          <w:iCs/>
          <w:color w:val="000000" w:themeColor="text1"/>
          <w:lang w:val="en-US"/>
        </w:rPr>
        <w:t xml:space="preserve">Case Title: </w:t>
      </w:r>
      <w:r w:rsidR="00393412" w:rsidRPr="008C3C00">
        <w:rPr>
          <w:rFonts w:ascii="Garamond" w:hAnsi="Garamond"/>
          <w:b/>
          <w:bCs/>
          <w:i/>
          <w:iCs/>
          <w:color w:val="000000" w:themeColor="text1"/>
          <w:lang w:val="en-US"/>
        </w:rPr>
        <w:t xml:space="preserve">Ong </w:t>
      </w:r>
      <w:r w:rsidR="00B646F8" w:rsidRPr="008C3C00">
        <w:rPr>
          <w:rFonts w:ascii="Garamond" w:hAnsi="Garamond"/>
          <w:b/>
          <w:bCs/>
          <w:i/>
          <w:iCs/>
          <w:color w:val="000000" w:themeColor="text1"/>
          <w:lang w:val="en-US"/>
        </w:rPr>
        <w:t>Ming Johnson v. Attorney Genera</w:t>
      </w:r>
      <w:r w:rsidR="00680BFA" w:rsidRPr="008C3C00">
        <w:rPr>
          <w:rFonts w:ascii="Garamond" w:hAnsi="Garamond"/>
          <w:b/>
          <w:bCs/>
          <w:i/>
          <w:iCs/>
          <w:color w:val="000000" w:themeColor="text1"/>
          <w:lang w:val="en-US"/>
        </w:rPr>
        <w:t>l and other matters</w:t>
      </w:r>
    </w:p>
    <w:p w14:paraId="44AD3616" w14:textId="607808F4" w:rsidR="00BB2804" w:rsidRPr="008C3C00" w:rsidRDefault="00BB2804" w:rsidP="00E472CC">
      <w:pPr>
        <w:shd w:val="clear" w:color="auto" w:fill="8EAADB" w:themeFill="accent1" w:themeFillTint="99"/>
        <w:spacing w:line="360" w:lineRule="auto"/>
        <w:jc w:val="center"/>
        <w:rPr>
          <w:rFonts w:ascii="Garamond" w:hAnsi="Garamond"/>
          <w:b/>
          <w:bCs/>
          <w:color w:val="000000" w:themeColor="text1"/>
          <w:lang w:val="en-US"/>
        </w:rPr>
      </w:pPr>
      <w:r w:rsidRPr="008C3C00">
        <w:rPr>
          <w:rFonts w:ascii="Garamond" w:hAnsi="Garamond"/>
          <w:b/>
          <w:bCs/>
          <w:color w:val="000000" w:themeColor="text1"/>
          <w:lang w:val="en-US"/>
        </w:rPr>
        <w:t xml:space="preserve">Case Analysis </w:t>
      </w:r>
    </w:p>
    <w:p w14:paraId="4400C2A2" w14:textId="77777777" w:rsidR="00BB2804" w:rsidRPr="008C3C00" w:rsidRDefault="00BB2804" w:rsidP="00E472CC">
      <w:pPr>
        <w:spacing w:line="360" w:lineRule="auto"/>
        <w:jc w:val="center"/>
        <w:rPr>
          <w:rFonts w:ascii="Garamond" w:hAnsi="Garamond"/>
          <w:lang w:val="en-US"/>
        </w:rPr>
      </w:pPr>
    </w:p>
    <w:p w14:paraId="6C37961E" w14:textId="77777777" w:rsidR="00BB2804" w:rsidRPr="008C3C00" w:rsidRDefault="00BB2804" w:rsidP="00E472CC">
      <w:pPr>
        <w:spacing w:line="360" w:lineRule="auto"/>
        <w:jc w:val="both"/>
        <w:rPr>
          <w:rFonts w:ascii="Garamond" w:hAnsi="Garamond"/>
          <w:b/>
          <w:bCs/>
          <w:lang w:val="en-US"/>
        </w:rPr>
      </w:pPr>
      <w:r w:rsidRPr="008C3C00">
        <w:rPr>
          <w:rFonts w:ascii="Garamond" w:hAnsi="Garamond"/>
          <w:b/>
          <w:bCs/>
          <w:i/>
          <w:iCs/>
          <w:u w:val="single"/>
          <w:lang w:val="en-US"/>
        </w:rPr>
        <w:t>Meta-Data</w:t>
      </w:r>
      <w:r w:rsidRPr="008C3C00">
        <w:rPr>
          <w:rFonts w:ascii="Garamond" w:hAnsi="Garamond"/>
          <w:b/>
          <w:bCs/>
          <w:lang w:val="en-US"/>
        </w:rPr>
        <w:t xml:space="preserve">: </w:t>
      </w:r>
    </w:p>
    <w:p w14:paraId="2B86F1DD" w14:textId="40F1CEF5" w:rsidR="00BB2804" w:rsidRPr="008C3C00" w:rsidRDefault="00BB2804" w:rsidP="00393412">
      <w:pPr>
        <w:pStyle w:val="ListParagraph"/>
        <w:numPr>
          <w:ilvl w:val="0"/>
          <w:numId w:val="1"/>
        </w:numPr>
        <w:spacing w:line="360" w:lineRule="auto"/>
        <w:jc w:val="both"/>
        <w:rPr>
          <w:rFonts w:ascii="Garamond" w:hAnsi="Garamond"/>
          <w:lang w:val="en-US"/>
        </w:rPr>
      </w:pPr>
      <w:r w:rsidRPr="008C3C00">
        <w:rPr>
          <w:rFonts w:ascii="Garamond" w:hAnsi="Garamond"/>
          <w:b/>
          <w:bCs/>
          <w:lang w:val="en-US"/>
        </w:rPr>
        <w:t>Case Number</w:t>
      </w:r>
      <w:r w:rsidRPr="008C3C00">
        <w:rPr>
          <w:rFonts w:ascii="Garamond" w:hAnsi="Garamond"/>
          <w:lang w:val="en-US"/>
        </w:rPr>
        <w:t xml:space="preserve">: </w:t>
      </w:r>
      <w:r w:rsidR="00393412" w:rsidRPr="008C3C00">
        <w:rPr>
          <w:rFonts w:ascii="Garamond" w:hAnsi="Garamond"/>
          <w:lang w:val="en-US"/>
        </w:rPr>
        <w:t>Originating Summons No. 1114 of 2018, Originating Summons No 1436 of 2018, Originating Summons No 1176 of 2019.</w:t>
      </w:r>
    </w:p>
    <w:p w14:paraId="4286A987" w14:textId="127E1BBA" w:rsidR="00393412" w:rsidRPr="008C3C00" w:rsidRDefault="00BB2804" w:rsidP="00393412">
      <w:pPr>
        <w:pStyle w:val="ListParagraph"/>
        <w:numPr>
          <w:ilvl w:val="0"/>
          <w:numId w:val="1"/>
        </w:numPr>
        <w:spacing w:line="360" w:lineRule="auto"/>
        <w:jc w:val="both"/>
        <w:rPr>
          <w:rFonts w:ascii="Garamond" w:hAnsi="Garamond"/>
          <w:lang w:val="en-US"/>
        </w:rPr>
      </w:pPr>
      <w:r w:rsidRPr="008C3C00">
        <w:rPr>
          <w:rFonts w:ascii="Garamond" w:hAnsi="Garamond"/>
          <w:b/>
          <w:bCs/>
          <w:lang w:val="en-US"/>
        </w:rPr>
        <w:t>Corresponding Law Reference</w:t>
      </w:r>
      <w:r w:rsidRPr="008C3C00">
        <w:rPr>
          <w:rFonts w:ascii="Garamond" w:hAnsi="Garamond"/>
          <w:lang w:val="en-US"/>
        </w:rPr>
        <w:t xml:space="preserve">: </w:t>
      </w:r>
      <w:r w:rsidR="00393412" w:rsidRPr="008C3C00">
        <w:rPr>
          <w:rFonts w:ascii="Garamond" w:hAnsi="Garamond"/>
          <w:lang w:val="en-US"/>
        </w:rPr>
        <w:t>Ong Ming Johnson v. Attorney General</w:t>
      </w:r>
      <w:r w:rsidR="00680BFA" w:rsidRPr="008C3C00">
        <w:rPr>
          <w:rFonts w:ascii="Garamond" w:hAnsi="Garamond"/>
          <w:lang w:val="en-US"/>
        </w:rPr>
        <w:t xml:space="preserve"> and other matters</w:t>
      </w:r>
      <w:r w:rsidR="009F701D" w:rsidRPr="008C3C00">
        <w:rPr>
          <w:rFonts w:ascii="Garamond" w:hAnsi="Garamond"/>
          <w:lang w:val="en-US"/>
        </w:rPr>
        <w:t xml:space="preserve">, </w:t>
      </w:r>
      <w:r w:rsidR="00393412" w:rsidRPr="008C3C00">
        <w:rPr>
          <w:rFonts w:ascii="Garamond" w:hAnsi="Garamond"/>
          <w:lang w:val="en-US"/>
        </w:rPr>
        <w:t>[2020] SGHC 63.</w:t>
      </w:r>
    </w:p>
    <w:p w14:paraId="66D44C8F" w14:textId="36F568F5" w:rsidR="00BB2804" w:rsidRPr="008C3C00" w:rsidRDefault="00BB2804" w:rsidP="00393412">
      <w:pPr>
        <w:pStyle w:val="ListParagraph"/>
        <w:numPr>
          <w:ilvl w:val="0"/>
          <w:numId w:val="1"/>
        </w:numPr>
        <w:spacing w:line="360" w:lineRule="auto"/>
        <w:jc w:val="both"/>
        <w:rPr>
          <w:rFonts w:ascii="Garamond" w:hAnsi="Garamond"/>
          <w:lang w:val="en-US"/>
        </w:rPr>
      </w:pPr>
      <w:r w:rsidRPr="008C3C00">
        <w:rPr>
          <w:rFonts w:ascii="Garamond" w:hAnsi="Garamond"/>
          <w:b/>
          <w:bCs/>
          <w:lang w:val="en-US"/>
        </w:rPr>
        <w:t>Date of decision</w:t>
      </w:r>
      <w:r w:rsidRPr="008C3C00">
        <w:rPr>
          <w:rFonts w:ascii="Garamond" w:hAnsi="Garamond"/>
          <w:lang w:val="en-US"/>
        </w:rPr>
        <w:t xml:space="preserve">: </w:t>
      </w:r>
      <w:r w:rsidR="009F701D" w:rsidRPr="008C3C00">
        <w:rPr>
          <w:rFonts w:ascii="Garamond" w:hAnsi="Garamond"/>
          <w:lang w:val="en-US"/>
        </w:rPr>
        <w:t xml:space="preserve">March </w:t>
      </w:r>
      <w:r w:rsidR="00393412" w:rsidRPr="008C3C00">
        <w:rPr>
          <w:rFonts w:ascii="Garamond" w:hAnsi="Garamond"/>
          <w:lang w:val="en-US"/>
        </w:rPr>
        <w:t>30</w:t>
      </w:r>
      <w:r w:rsidR="009F701D" w:rsidRPr="008C3C00">
        <w:rPr>
          <w:rFonts w:ascii="Garamond" w:hAnsi="Garamond"/>
          <w:lang w:val="en-US"/>
        </w:rPr>
        <w:t>, 2020</w:t>
      </w:r>
    </w:p>
    <w:p w14:paraId="7989E895" w14:textId="77777777"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Featured case</w:t>
      </w:r>
      <w:r w:rsidRPr="008C3C00">
        <w:rPr>
          <w:rFonts w:ascii="Garamond" w:hAnsi="Garamond"/>
          <w:lang w:val="en-US"/>
        </w:rPr>
        <w:t>: N/A</w:t>
      </w:r>
    </w:p>
    <w:p w14:paraId="3AAC85C7" w14:textId="52CDD6BF"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Region</w:t>
      </w:r>
      <w:r w:rsidRPr="008C3C00">
        <w:rPr>
          <w:rFonts w:ascii="Garamond" w:hAnsi="Garamond"/>
          <w:lang w:val="en-US"/>
        </w:rPr>
        <w:t xml:space="preserve">: </w:t>
      </w:r>
      <w:r w:rsidR="00393412" w:rsidRPr="008C3C00">
        <w:rPr>
          <w:rFonts w:ascii="Garamond" w:hAnsi="Garamond"/>
          <w:lang w:val="en-US"/>
        </w:rPr>
        <w:t xml:space="preserve">Asia and Asia Pacific </w:t>
      </w:r>
    </w:p>
    <w:p w14:paraId="079501A2" w14:textId="4A16BB46"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Country</w:t>
      </w:r>
      <w:r w:rsidRPr="008C3C00">
        <w:rPr>
          <w:rFonts w:ascii="Garamond" w:hAnsi="Garamond"/>
          <w:lang w:val="en-US"/>
        </w:rPr>
        <w:t xml:space="preserve">: </w:t>
      </w:r>
      <w:r w:rsidR="00393412" w:rsidRPr="008C3C00">
        <w:rPr>
          <w:rFonts w:ascii="Garamond" w:hAnsi="Garamond"/>
          <w:lang w:val="en-US"/>
        </w:rPr>
        <w:t>Singapore</w:t>
      </w:r>
    </w:p>
    <w:p w14:paraId="7A6C4B43" w14:textId="7A900D37"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Type of expression</w:t>
      </w:r>
      <w:r w:rsidRPr="008C3C00">
        <w:rPr>
          <w:rFonts w:ascii="Garamond" w:hAnsi="Garamond"/>
          <w:lang w:val="en-US"/>
        </w:rPr>
        <w:t>:</w:t>
      </w:r>
      <w:r w:rsidR="00FD1C8E" w:rsidRPr="008C3C00">
        <w:rPr>
          <w:rFonts w:ascii="Garamond" w:hAnsi="Garamond"/>
          <w:lang w:val="en-US"/>
        </w:rPr>
        <w:t xml:space="preserve"> </w:t>
      </w:r>
      <w:r w:rsidR="00393412" w:rsidRPr="008C3C00">
        <w:rPr>
          <w:rFonts w:ascii="Garamond" w:hAnsi="Garamond"/>
          <w:lang w:val="en-US"/>
        </w:rPr>
        <w:t xml:space="preserve">Non-Verbal Expression </w:t>
      </w:r>
    </w:p>
    <w:p w14:paraId="27903803" w14:textId="46A54798" w:rsidR="00BB2804" w:rsidRPr="008C3C00" w:rsidRDefault="00BB2804" w:rsidP="00393412">
      <w:pPr>
        <w:pStyle w:val="ListParagraph"/>
        <w:numPr>
          <w:ilvl w:val="0"/>
          <w:numId w:val="1"/>
        </w:numPr>
        <w:spacing w:line="360" w:lineRule="auto"/>
        <w:jc w:val="both"/>
        <w:rPr>
          <w:rFonts w:ascii="Garamond" w:hAnsi="Garamond"/>
          <w:lang w:val="en-US"/>
        </w:rPr>
      </w:pPr>
      <w:r w:rsidRPr="008C3C00">
        <w:rPr>
          <w:rFonts w:ascii="Garamond" w:hAnsi="Garamond"/>
          <w:b/>
          <w:bCs/>
          <w:lang w:val="en-US"/>
        </w:rPr>
        <w:t>Judicial Body</w:t>
      </w:r>
      <w:r w:rsidRPr="008C3C00">
        <w:rPr>
          <w:rFonts w:ascii="Garamond" w:hAnsi="Garamond"/>
          <w:lang w:val="en-US"/>
        </w:rPr>
        <w:t xml:space="preserve">: </w:t>
      </w:r>
      <w:r w:rsidR="00393412" w:rsidRPr="008C3C00">
        <w:rPr>
          <w:rFonts w:ascii="Garamond" w:hAnsi="Garamond"/>
          <w:lang w:val="en-US"/>
        </w:rPr>
        <w:t>High Court of The Republic of Singapore</w:t>
      </w:r>
    </w:p>
    <w:p w14:paraId="62C18981" w14:textId="71874807"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Type of law</w:t>
      </w:r>
      <w:r w:rsidRPr="008C3C00">
        <w:rPr>
          <w:rFonts w:ascii="Garamond" w:hAnsi="Garamond"/>
          <w:lang w:val="en-US"/>
        </w:rPr>
        <w:t xml:space="preserve">: </w:t>
      </w:r>
      <w:r w:rsidR="009F701D" w:rsidRPr="008C3C00">
        <w:rPr>
          <w:rFonts w:ascii="Garamond" w:hAnsi="Garamond"/>
          <w:lang w:val="en-US"/>
        </w:rPr>
        <w:t>Constitutional Law/ Criminal Law</w:t>
      </w:r>
    </w:p>
    <w:p w14:paraId="35C4FF78" w14:textId="5B3526FE"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Main Themes</w:t>
      </w:r>
      <w:r w:rsidRPr="008C3C00">
        <w:rPr>
          <w:rFonts w:ascii="Garamond" w:hAnsi="Garamond"/>
          <w:lang w:val="en-US"/>
        </w:rPr>
        <w:t>:</w:t>
      </w:r>
      <w:r w:rsidR="00FA42AF" w:rsidRPr="008C3C00">
        <w:rPr>
          <w:rFonts w:ascii="Garamond" w:hAnsi="Garamond"/>
          <w:lang w:val="en-US"/>
        </w:rPr>
        <w:t xml:space="preserve"> </w:t>
      </w:r>
      <w:r w:rsidR="00393412" w:rsidRPr="008C3C00">
        <w:rPr>
          <w:rFonts w:ascii="Garamond" w:hAnsi="Garamond"/>
          <w:lang w:val="en-US"/>
        </w:rPr>
        <w:t xml:space="preserve">Gender Expression </w:t>
      </w:r>
    </w:p>
    <w:p w14:paraId="61895DC2" w14:textId="29609D26"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Outcome</w:t>
      </w:r>
      <w:r w:rsidR="002E1E37" w:rsidRPr="008C3C00">
        <w:rPr>
          <w:rFonts w:ascii="Garamond" w:hAnsi="Garamond"/>
          <w:lang w:val="en-US"/>
        </w:rPr>
        <w:t>:</w:t>
      </w:r>
      <w:r w:rsidR="00272504" w:rsidRPr="008C3C00">
        <w:rPr>
          <w:rFonts w:ascii="Garamond" w:hAnsi="Garamond"/>
          <w:lang w:val="en-US"/>
        </w:rPr>
        <w:t xml:space="preserve"> </w:t>
      </w:r>
      <w:r w:rsidR="009F701D" w:rsidRPr="008C3C00">
        <w:rPr>
          <w:rFonts w:ascii="Garamond" w:hAnsi="Garamond"/>
          <w:lang w:val="en-US"/>
        </w:rPr>
        <w:t xml:space="preserve">Law </w:t>
      </w:r>
      <w:r w:rsidR="00393412" w:rsidRPr="008C3C00">
        <w:rPr>
          <w:rFonts w:ascii="Garamond" w:hAnsi="Garamond"/>
          <w:lang w:val="en-US"/>
        </w:rPr>
        <w:t>Upheld/</w:t>
      </w:r>
      <w:r w:rsidR="009F701D" w:rsidRPr="008C3C00">
        <w:rPr>
          <w:rFonts w:ascii="Garamond" w:hAnsi="Garamond"/>
          <w:lang w:val="en-US"/>
        </w:rPr>
        <w:t xml:space="preserve">Deemed </w:t>
      </w:r>
      <w:r w:rsidR="00393412" w:rsidRPr="008C3C00">
        <w:rPr>
          <w:rFonts w:ascii="Garamond" w:hAnsi="Garamond"/>
          <w:lang w:val="en-US"/>
        </w:rPr>
        <w:t>C</w:t>
      </w:r>
      <w:r w:rsidR="009F701D" w:rsidRPr="008C3C00">
        <w:rPr>
          <w:rFonts w:ascii="Garamond" w:hAnsi="Garamond"/>
          <w:lang w:val="en-US"/>
        </w:rPr>
        <w:t>onstitutional</w:t>
      </w:r>
    </w:p>
    <w:p w14:paraId="6DDEBA09" w14:textId="765A211D" w:rsidR="00BB2804" w:rsidRPr="008C3C00" w:rsidRDefault="00BB2804" w:rsidP="00E472CC">
      <w:pPr>
        <w:pStyle w:val="ListParagraph"/>
        <w:numPr>
          <w:ilvl w:val="0"/>
          <w:numId w:val="1"/>
        </w:numPr>
        <w:spacing w:line="360" w:lineRule="auto"/>
        <w:jc w:val="both"/>
        <w:rPr>
          <w:rFonts w:ascii="Garamond" w:hAnsi="Garamond"/>
          <w:lang w:val="en-US"/>
        </w:rPr>
      </w:pPr>
      <w:r w:rsidRPr="008C3C00">
        <w:rPr>
          <w:rFonts w:ascii="Garamond" w:hAnsi="Garamond"/>
          <w:b/>
          <w:bCs/>
          <w:lang w:val="en-US"/>
        </w:rPr>
        <w:t>Status</w:t>
      </w:r>
      <w:r w:rsidRPr="008C3C00">
        <w:rPr>
          <w:rFonts w:ascii="Garamond" w:hAnsi="Garamond"/>
          <w:lang w:val="en-US"/>
        </w:rPr>
        <w:t xml:space="preserve">:  </w:t>
      </w:r>
      <w:r w:rsidR="009F701D" w:rsidRPr="008C3C00">
        <w:rPr>
          <w:rFonts w:ascii="Garamond" w:hAnsi="Garamond"/>
          <w:lang w:val="en-US"/>
        </w:rPr>
        <w:t xml:space="preserve">Decided </w:t>
      </w:r>
    </w:p>
    <w:p w14:paraId="39EC0FF6" w14:textId="683F1399" w:rsidR="00393412" w:rsidRPr="008C3C00" w:rsidRDefault="00BB2804" w:rsidP="00393412">
      <w:pPr>
        <w:pStyle w:val="ListParagraph"/>
        <w:numPr>
          <w:ilvl w:val="0"/>
          <w:numId w:val="1"/>
        </w:numPr>
        <w:spacing w:line="360" w:lineRule="auto"/>
        <w:jc w:val="both"/>
        <w:rPr>
          <w:rFonts w:ascii="Garamond" w:hAnsi="Garamond"/>
          <w:color w:val="000000" w:themeColor="text1"/>
          <w:lang w:val="en-US"/>
        </w:rPr>
      </w:pPr>
      <w:r w:rsidRPr="008C3C00">
        <w:rPr>
          <w:rFonts w:ascii="Garamond" w:hAnsi="Garamond"/>
          <w:b/>
          <w:bCs/>
          <w:lang w:val="en-US"/>
        </w:rPr>
        <w:t>Tags</w:t>
      </w:r>
      <w:r w:rsidRPr="008C3C00">
        <w:rPr>
          <w:rFonts w:ascii="Garamond" w:hAnsi="Garamond"/>
          <w:lang w:val="en-US"/>
        </w:rPr>
        <w:t>:</w:t>
      </w:r>
      <w:r w:rsidR="00156AEC" w:rsidRPr="008C3C00">
        <w:rPr>
          <w:rFonts w:ascii="Garamond" w:hAnsi="Garamond"/>
          <w:lang w:val="en-US"/>
        </w:rPr>
        <w:t xml:space="preserve"> </w:t>
      </w:r>
      <w:r w:rsidR="00393412" w:rsidRPr="008C3C00">
        <w:rPr>
          <w:rFonts w:ascii="Garamond" w:hAnsi="Garamond"/>
          <w:lang w:val="en-US"/>
        </w:rPr>
        <w:t xml:space="preserve">Gender Expression, Freedom to express one’s sexual-orientation </w:t>
      </w:r>
    </w:p>
    <w:p w14:paraId="44EF12F8" w14:textId="77777777" w:rsidR="00393412" w:rsidRPr="008C3C00" w:rsidRDefault="00393412" w:rsidP="00393412">
      <w:pPr>
        <w:spacing w:line="360" w:lineRule="auto"/>
        <w:jc w:val="both"/>
        <w:rPr>
          <w:rFonts w:ascii="Garamond" w:hAnsi="Garamond"/>
          <w:b/>
          <w:bCs/>
          <w:i/>
          <w:iCs/>
          <w:color w:val="000000" w:themeColor="text1"/>
          <w:u w:val="single"/>
          <w:lang w:val="en-US"/>
        </w:rPr>
      </w:pPr>
    </w:p>
    <w:p w14:paraId="06BBAAD5" w14:textId="302D1886" w:rsidR="00BB2804" w:rsidRPr="008C3C00" w:rsidRDefault="00BB2804" w:rsidP="00393412">
      <w:pPr>
        <w:spacing w:line="360" w:lineRule="auto"/>
        <w:jc w:val="both"/>
        <w:rPr>
          <w:rFonts w:ascii="Garamond" w:hAnsi="Garamond"/>
          <w:color w:val="000000" w:themeColor="text1"/>
          <w:lang w:val="en-US"/>
        </w:rPr>
      </w:pPr>
      <w:r w:rsidRPr="008C3C00">
        <w:rPr>
          <w:rFonts w:ascii="Garamond" w:hAnsi="Garamond"/>
          <w:b/>
          <w:bCs/>
          <w:i/>
          <w:iCs/>
          <w:color w:val="000000" w:themeColor="text1"/>
          <w:u w:val="single"/>
          <w:lang w:val="en-US"/>
        </w:rPr>
        <w:t>Analysis:</w:t>
      </w:r>
    </w:p>
    <w:p w14:paraId="689556F6" w14:textId="77777777" w:rsidR="00BB2804" w:rsidRPr="008C3C00" w:rsidRDefault="00BB2804" w:rsidP="00E472CC">
      <w:pPr>
        <w:pStyle w:val="ListParagraph"/>
        <w:numPr>
          <w:ilvl w:val="0"/>
          <w:numId w:val="5"/>
        </w:numPr>
        <w:spacing w:after="240" w:line="360" w:lineRule="auto"/>
        <w:jc w:val="both"/>
        <w:rPr>
          <w:rFonts w:ascii="Garamond" w:hAnsi="Garamond"/>
          <w:lang w:val="en-US"/>
        </w:rPr>
      </w:pPr>
      <w:r w:rsidRPr="008C3C00">
        <w:rPr>
          <w:rFonts w:ascii="Garamond" w:hAnsi="Garamond"/>
          <w:b/>
          <w:bCs/>
          <w:lang w:val="en-US"/>
        </w:rPr>
        <w:t>Summary and Outcome</w:t>
      </w:r>
      <w:r w:rsidRPr="008C3C00">
        <w:rPr>
          <w:rFonts w:ascii="Garamond" w:hAnsi="Garamond"/>
          <w:lang w:val="en-US"/>
        </w:rPr>
        <w:t>:</w:t>
      </w:r>
    </w:p>
    <w:p w14:paraId="0ED8A944" w14:textId="2EFCBD7C" w:rsidR="00175724" w:rsidRPr="008C3C00" w:rsidRDefault="008C3C00" w:rsidP="00175724">
      <w:pPr>
        <w:spacing w:after="240" w:line="360" w:lineRule="auto"/>
        <w:jc w:val="both"/>
        <w:rPr>
          <w:rFonts w:ascii="Garamond" w:hAnsi="Garamond"/>
          <w:lang w:val="en-US"/>
        </w:rPr>
      </w:pPr>
      <w:r w:rsidRPr="008C3C00">
        <w:rPr>
          <w:rFonts w:ascii="Garamond" w:hAnsi="Garamond"/>
          <w:lang w:val="en-US"/>
        </w:rPr>
        <w:t xml:space="preserve">A challenge was made before </w:t>
      </w:r>
      <w:r w:rsidR="00E472CC" w:rsidRPr="008C3C00">
        <w:rPr>
          <w:rFonts w:ascii="Garamond" w:hAnsi="Garamond"/>
          <w:lang w:val="en-US"/>
        </w:rPr>
        <w:t xml:space="preserve">The </w:t>
      </w:r>
      <w:r w:rsidR="00540211" w:rsidRPr="008C3C00">
        <w:rPr>
          <w:rFonts w:ascii="Garamond" w:hAnsi="Garamond"/>
          <w:lang w:val="en-US"/>
        </w:rPr>
        <w:t xml:space="preserve">High Court of The Republic of Singapore </w:t>
      </w:r>
      <w:r w:rsidRPr="008C3C00">
        <w:rPr>
          <w:rFonts w:ascii="Garamond" w:hAnsi="Garamond"/>
          <w:lang w:val="en-US"/>
        </w:rPr>
        <w:t xml:space="preserve">against the </w:t>
      </w:r>
      <w:r w:rsidR="00540211" w:rsidRPr="008C3C00">
        <w:rPr>
          <w:rFonts w:ascii="Garamond" w:hAnsi="Garamond"/>
          <w:lang w:val="en-US"/>
        </w:rPr>
        <w:t>constitutionality of</w:t>
      </w:r>
      <w:r w:rsidR="00175724" w:rsidRPr="008C3C00">
        <w:rPr>
          <w:rFonts w:ascii="Garamond" w:hAnsi="Garamond"/>
          <w:lang w:val="en-US"/>
        </w:rPr>
        <w:t xml:space="preserve"> Section 377A of the Penal Code of Republic of Singapore</w:t>
      </w:r>
      <w:r w:rsidRPr="008C3C00">
        <w:rPr>
          <w:rFonts w:ascii="Garamond" w:hAnsi="Garamond"/>
          <w:lang w:val="en-US"/>
        </w:rPr>
        <w:t>. Section 377A of the Penal Code criminalizes homosexual conduct between two males</w:t>
      </w:r>
      <w:r>
        <w:rPr>
          <w:rFonts w:ascii="Garamond" w:hAnsi="Garamond"/>
          <w:lang w:val="en-US"/>
        </w:rPr>
        <w:t>,</w:t>
      </w:r>
      <w:r w:rsidRPr="008C3C00">
        <w:rPr>
          <w:rFonts w:ascii="Garamond" w:hAnsi="Garamond"/>
          <w:lang w:val="en-US"/>
        </w:rPr>
        <w:t xml:space="preserve"> performed either in public or in private. The provision was challenged based on the right to equality, the right to freedom of speech and expression, as well as the right to life and liberty. The High Court </w:t>
      </w:r>
      <w:r>
        <w:rPr>
          <w:rFonts w:ascii="Garamond" w:hAnsi="Garamond"/>
          <w:lang w:val="en-US"/>
        </w:rPr>
        <w:t>while upholding</w:t>
      </w:r>
      <w:r w:rsidRPr="008C3C00">
        <w:rPr>
          <w:rFonts w:ascii="Garamond" w:hAnsi="Garamond"/>
          <w:lang w:val="en-US"/>
        </w:rPr>
        <w:t xml:space="preserve"> the constitutionality of the provision </w:t>
      </w:r>
      <w:r>
        <w:rPr>
          <w:rFonts w:ascii="Garamond" w:hAnsi="Garamond"/>
          <w:lang w:val="en-US"/>
        </w:rPr>
        <w:t>reasoned</w:t>
      </w:r>
      <w:r w:rsidR="00175724" w:rsidRPr="008C3C00">
        <w:rPr>
          <w:rFonts w:ascii="Garamond" w:hAnsi="Garamond"/>
          <w:lang w:val="en-US"/>
        </w:rPr>
        <w:t xml:space="preserve"> that the right to express one’s sexual orientation or desires, either in public or in private, was not a part of the freedom of speech and expression as guaranteed under Article 14(1</w:t>
      </w:r>
      <w:proofErr w:type="gramStart"/>
      <w:r w:rsidR="00175724" w:rsidRPr="008C3C00">
        <w:rPr>
          <w:rFonts w:ascii="Garamond" w:hAnsi="Garamond"/>
          <w:lang w:val="en-US"/>
        </w:rPr>
        <w:t>)(</w:t>
      </w:r>
      <w:proofErr w:type="gramEnd"/>
      <w:r w:rsidR="00175724" w:rsidRPr="008C3C00">
        <w:rPr>
          <w:rFonts w:ascii="Garamond" w:hAnsi="Garamond"/>
          <w:lang w:val="en-US"/>
        </w:rPr>
        <w:t>a) of the Constitution of Singapore. The court</w:t>
      </w:r>
      <w:r>
        <w:rPr>
          <w:rFonts w:ascii="Garamond" w:hAnsi="Garamond"/>
          <w:lang w:val="en-US"/>
        </w:rPr>
        <w:t xml:space="preserve"> held that the term “expression”</w:t>
      </w:r>
      <w:r w:rsidR="00175724" w:rsidRPr="008C3C00">
        <w:rPr>
          <w:rFonts w:ascii="Garamond" w:hAnsi="Garamond"/>
          <w:lang w:val="en-US"/>
        </w:rPr>
        <w:t xml:space="preserve"> within the phrase ‘fre</w:t>
      </w:r>
      <w:r w:rsidR="004E5AB4" w:rsidRPr="008C3C00">
        <w:rPr>
          <w:rFonts w:ascii="Garamond" w:hAnsi="Garamond"/>
          <w:lang w:val="en-US"/>
        </w:rPr>
        <w:t xml:space="preserve">edom of speech and expression’ </w:t>
      </w:r>
      <w:r w:rsidR="00175724" w:rsidRPr="008C3C00">
        <w:rPr>
          <w:rFonts w:ascii="Garamond" w:hAnsi="Garamond"/>
          <w:lang w:val="en-US"/>
        </w:rPr>
        <w:t>had t</w:t>
      </w:r>
      <w:r>
        <w:rPr>
          <w:rFonts w:ascii="Garamond" w:hAnsi="Garamond"/>
          <w:lang w:val="en-US"/>
        </w:rPr>
        <w:t>o be read in light of the term “speech”</w:t>
      </w:r>
      <w:r w:rsidR="00175724" w:rsidRPr="008C3C00">
        <w:rPr>
          <w:rFonts w:ascii="Garamond" w:hAnsi="Garamond"/>
          <w:lang w:val="en-US"/>
        </w:rPr>
        <w:t>, and was therefor</w:t>
      </w:r>
      <w:r>
        <w:rPr>
          <w:rFonts w:ascii="Garamond" w:hAnsi="Garamond"/>
          <w:lang w:val="en-US"/>
        </w:rPr>
        <w:t xml:space="preserve">e limited only to verbal speech or verbal </w:t>
      </w:r>
      <w:r w:rsidR="00175724" w:rsidRPr="008C3C00">
        <w:rPr>
          <w:rFonts w:ascii="Garamond" w:hAnsi="Garamond"/>
          <w:lang w:val="en-US"/>
        </w:rPr>
        <w:t>comm</w:t>
      </w:r>
      <w:r>
        <w:rPr>
          <w:rFonts w:ascii="Garamond" w:hAnsi="Garamond"/>
          <w:lang w:val="en-US"/>
        </w:rPr>
        <w:t xml:space="preserve">unication. Accordingly, actions or </w:t>
      </w:r>
      <w:r w:rsidR="00175724" w:rsidRPr="008C3C00">
        <w:rPr>
          <w:rFonts w:ascii="Garamond" w:hAnsi="Garamond"/>
          <w:lang w:val="en-US"/>
        </w:rPr>
        <w:t xml:space="preserve">homosexual conduct had to be denied the protection of the freedom of speech and expression under Article 14(1)(a). </w:t>
      </w:r>
      <w:r w:rsidRPr="008C3C00">
        <w:rPr>
          <w:rFonts w:ascii="Garamond" w:hAnsi="Garamond"/>
          <w:lang w:val="en-US"/>
        </w:rPr>
        <w:t xml:space="preserve">The court also held that the provision was not an </w:t>
      </w:r>
      <w:r>
        <w:rPr>
          <w:rFonts w:ascii="Garamond" w:hAnsi="Garamond"/>
          <w:lang w:val="en-US"/>
        </w:rPr>
        <w:t>“</w:t>
      </w:r>
      <w:r w:rsidRPr="008C3C00">
        <w:rPr>
          <w:rFonts w:ascii="Garamond" w:hAnsi="Garamond"/>
          <w:lang w:val="en-US"/>
        </w:rPr>
        <w:t>identity offence</w:t>
      </w:r>
      <w:r>
        <w:rPr>
          <w:rFonts w:ascii="Garamond" w:hAnsi="Garamond"/>
          <w:lang w:val="en-US"/>
        </w:rPr>
        <w:t>”</w:t>
      </w:r>
      <w:r w:rsidRPr="008C3C00">
        <w:rPr>
          <w:rFonts w:ascii="Garamond" w:hAnsi="Garamond"/>
          <w:lang w:val="en-US"/>
        </w:rPr>
        <w:t xml:space="preserve"> and that it did not punish homosexuals based on their identity, since a heterosexual person who engaged in homosexual activities would be equally </w:t>
      </w:r>
      <w:r>
        <w:rPr>
          <w:rFonts w:ascii="Garamond" w:hAnsi="Garamond"/>
          <w:lang w:val="en-US"/>
        </w:rPr>
        <w:t>liable</w:t>
      </w:r>
      <w:r w:rsidR="00975DF1">
        <w:rPr>
          <w:rFonts w:ascii="Garamond" w:hAnsi="Garamond"/>
          <w:lang w:val="en-US"/>
        </w:rPr>
        <w:t xml:space="preserve"> </w:t>
      </w:r>
      <w:r w:rsidRPr="008C3C00">
        <w:rPr>
          <w:rFonts w:ascii="Garamond" w:hAnsi="Garamond"/>
          <w:lang w:val="en-US"/>
        </w:rPr>
        <w:t xml:space="preserve">under Section 377A, </w:t>
      </w:r>
      <w:r>
        <w:rPr>
          <w:rFonts w:ascii="Garamond" w:hAnsi="Garamond"/>
          <w:lang w:val="en-US"/>
        </w:rPr>
        <w:t>a</w:t>
      </w:r>
      <w:r w:rsidRPr="008C3C00">
        <w:rPr>
          <w:rFonts w:ascii="Garamond" w:hAnsi="Garamond"/>
          <w:lang w:val="en-US"/>
        </w:rPr>
        <w:t xml:space="preserve"> reasoning which the court used to justify the non-arbitrariness of the provision based on the right to life and personal liberty. </w:t>
      </w:r>
    </w:p>
    <w:p w14:paraId="79EADD1C" w14:textId="28E251A6" w:rsidR="00BB2804" w:rsidRPr="008C3C00" w:rsidRDefault="00BB2804" w:rsidP="00175724">
      <w:pPr>
        <w:spacing w:after="240" w:line="360" w:lineRule="auto"/>
        <w:jc w:val="both"/>
        <w:rPr>
          <w:rFonts w:ascii="Garamond" w:hAnsi="Garamond"/>
          <w:lang w:val="en-US"/>
        </w:rPr>
      </w:pPr>
      <w:r w:rsidRPr="008C3C00">
        <w:rPr>
          <w:rFonts w:ascii="Garamond" w:hAnsi="Garamond"/>
          <w:b/>
          <w:bCs/>
          <w:lang w:val="en-US"/>
        </w:rPr>
        <w:lastRenderedPageBreak/>
        <w:t>Facts</w:t>
      </w:r>
      <w:r w:rsidRPr="008C3C00">
        <w:rPr>
          <w:rFonts w:ascii="Garamond" w:hAnsi="Garamond"/>
          <w:lang w:val="en-US"/>
        </w:rPr>
        <w:t>:</w:t>
      </w:r>
    </w:p>
    <w:p w14:paraId="63B15C53" w14:textId="19634B1B" w:rsidR="00D842C3" w:rsidRPr="008C3C00" w:rsidRDefault="001C4EB2" w:rsidP="00E0113D">
      <w:pPr>
        <w:spacing w:after="240" w:line="360" w:lineRule="auto"/>
        <w:jc w:val="both"/>
        <w:rPr>
          <w:rFonts w:ascii="Garamond" w:hAnsi="Garamond"/>
          <w:lang w:val="en-US"/>
        </w:rPr>
      </w:pPr>
      <w:r w:rsidRPr="008C3C00">
        <w:rPr>
          <w:rFonts w:ascii="Garamond" w:hAnsi="Garamond"/>
          <w:lang w:val="en-US"/>
        </w:rPr>
        <w:t>The Plaintiffs in this case filed three individual Originating Summons [“OS”] applications before the High Court of The Republic of Singapore challenging the constitutionality of Section 377A of the Penal Code (Cap 2</w:t>
      </w:r>
      <w:r w:rsidR="00680BFA" w:rsidRPr="008C3C00">
        <w:rPr>
          <w:rFonts w:ascii="Garamond" w:hAnsi="Garamond"/>
          <w:lang w:val="en-US"/>
        </w:rPr>
        <w:t>24, 2008 Rev Ed) [“Penal Code”] and consented for a joint hearing.</w:t>
      </w:r>
      <w:r w:rsidRPr="008C3C00">
        <w:rPr>
          <w:rFonts w:ascii="Garamond" w:hAnsi="Garamond"/>
          <w:lang w:val="en-US"/>
        </w:rPr>
        <w:t xml:space="preserve"> Section 377A criminalizes acts of </w:t>
      </w:r>
      <w:r w:rsidR="00975DF1">
        <w:rPr>
          <w:rFonts w:ascii="Garamond" w:hAnsi="Garamond"/>
          <w:lang w:val="en-US"/>
        </w:rPr>
        <w:t>“</w:t>
      </w:r>
      <w:r w:rsidRPr="008C3C00">
        <w:rPr>
          <w:rFonts w:ascii="Garamond" w:hAnsi="Garamond"/>
          <w:lang w:val="en-US"/>
        </w:rPr>
        <w:t>gross indecency</w:t>
      </w:r>
      <w:r w:rsidR="00975DF1">
        <w:rPr>
          <w:rFonts w:ascii="Garamond" w:hAnsi="Garamond"/>
          <w:lang w:val="en-US"/>
        </w:rPr>
        <w:t>”</w:t>
      </w:r>
      <w:r w:rsidRPr="008C3C00">
        <w:rPr>
          <w:rFonts w:ascii="Garamond" w:hAnsi="Garamond"/>
          <w:lang w:val="en-US"/>
        </w:rPr>
        <w:t xml:space="preserve"> between two male persons</w:t>
      </w:r>
      <w:r w:rsidR="007945CA" w:rsidRPr="008C3C00">
        <w:rPr>
          <w:rFonts w:ascii="Garamond" w:hAnsi="Garamond"/>
          <w:lang w:val="en-US"/>
        </w:rPr>
        <w:t xml:space="preserve"> and has been interpreted and used by authorities to punish</w:t>
      </w:r>
      <w:r w:rsidR="00A01850" w:rsidRPr="008C3C00">
        <w:rPr>
          <w:rFonts w:ascii="Garamond" w:hAnsi="Garamond"/>
          <w:lang w:val="en-US"/>
        </w:rPr>
        <w:t>, with imprisonment (of a term of up</w:t>
      </w:r>
      <w:r w:rsidR="00975DF1">
        <w:rPr>
          <w:rFonts w:ascii="Garamond" w:hAnsi="Garamond"/>
          <w:lang w:val="en-US"/>
        </w:rPr>
        <w:t xml:space="preserve"> </w:t>
      </w:r>
      <w:r w:rsidR="00A01850" w:rsidRPr="008C3C00">
        <w:rPr>
          <w:rFonts w:ascii="Garamond" w:hAnsi="Garamond"/>
          <w:lang w:val="en-US"/>
        </w:rPr>
        <w:t>to two years),</w:t>
      </w:r>
      <w:r w:rsidR="007945CA" w:rsidRPr="008C3C00">
        <w:rPr>
          <w:rFonts w:ascii="Garamond" w:hAnsi="Garamond"/>
          <w:lang w:val="en-US"/>
        </w:rPr>
        <w:t xml:space="preserve"> male homosexual conduct, </w:t>
      </w:r>
      <w:r w:rsidR="00E0113D" w:rsidRPr="008C3C00">
        <w:rPr>
          <w:rFonts w:ascii="Garamond" w:hAnsi="Garamond"/>
          <w:lang w:val="en-US"/>
        </w:rPr>
        <w:t xml:space="preserve">whether penetrative or non-penetrative, </w:t>
      </w:r>
      <w:r w:rsidR="007945CA" w:rsidRPr="008C3C00">
        <w:rPr>
          <w:rFonts w:ascii="Garamond" w:hAnsi="Garamond"/>
          <w:lang w:val="en-US"/>
        </w:rPr>
        <w:t xml:space="preserve">performed either in public or in private. </w:t>
      </w:r>
      <w:r w:rsidR="00E0113D" w:rsidRPr="008C3C00">
        <w:rPr>
          <w:rFonts w:ascii="Garamond" w:hAnsi="Garamond"/>
          <w:lang w:val="en-US"/>
        </w:rPr>
        <w:t xml:space="preserve">The Plaintiffs challenged the provision </w:t>
      </w:r>
      <w:r w:rsidR="00175724" w:rsidRPr="008C3C00">
        <w:rPr>
          <w:rFonts w:ascii="Garamond" w:hAnsi="Garamond"/>
          <w:lang w:val="en-US"/>
        </w:rPr>
        <w:t xml:space="preserve">on the touchstone of </w:t>
      </w:r>
      <w:r w:rsidR="00E0113D" w:rsidRPr="008C3C00">
        <w:rPr>
          <w:rFonts w:ascii="Garamond" w:hAnsi="Garamond"/>
          <w:lang w:val="en-US"/>
        </w:rPr>
        <w:t xml:space="preserve">Article 9 (Right to Life and Personal Liberty), Article 12 (Right to Equality), and Article </w:t>
      </w:r>
      <w:r w:rsidR="00175724" w:rsidRPr="008C3C00">
        <w:rPr>
          <w:rFonts w:ascii="Garamond" w:hAnsi="Garamond"/>
          <w:lang w:val="en-US"/>
        </w:rPr>
        <w:t>14</w:t>
      </w:r>
      <w:r w:rsidR="00E0113D" w:rsidRPr="008C3C00">
        <w:rPr>
          <w:rFonts w:ascii="Garamond" w:hAnsi="Garamond"/>
          <w:lang w:val="en-US"/>
        </w:rPr>
        <w:t xml:space="preserve"> (Freedom of Speech and Expression)</w:t>
      </w:r>
      <w:r w:rsidR="00175724" w:rsidRPr="008C3C00">
        <w:rPr>
          <w:rFonts w:ascii="Garamond" w:hAnsi="Garamond"/>
          <w:lang w:val="en-US"/>
        </w:rPr>
        <w:t xml:space="preserve"> </w:t>
      </w:r>
      <w:r w:rsidR="00E0113D" w:rsidRPr="008C3C00">
        <w:rPr>
          <w:rFonts w:ascii="Garamond" w:hAnsi="Garamond"/>
          <w:lang w:val="en-US"/>
        </w:rPr>
        <w:t xml:space="preserve">of the Constitution of the Republic of Singapore (1985 Rev Ed, 1999 Reprint) [“Constitution”]. </w:t>
      </w:r>
    </w:p>
    <w:p w14:paraId="4057E95C" w14:textId="76B4BFF7" w:rsidR="00D842C3" w:rsidRPr="008C3C00" w:rsidRDefault="00D842C3" w:rsidP="00D842C3">
      <w:pPr>
        <w:spacing w:after="240" w:line="360" w:lineRule="auto"/>
        <w:jc w:val="both"/>
        <w:rPr>
          <w:rFonts w:ascii="Garamond" w:hAnsi="Garamond"/>
          <w:lang w:val="en-US"/>
        </w:rPr>
      </w:pPr>
      <w:r w:rsidRPr="008C3C00">
        <w:rPr>
          <w:rFonts w:ascii="Garamond" w:hAnsi="Garamond"/>
          <w:lang w:val="en-US"/>
        </w:rPr>
        <w:t xml:space="preserve">A similar challenge to the constitutional validity of Section 377A </w:t>
      </w:r>
      <w:r w:rsidR="00975DF1">
        <w:rPr>
          <w:rFonts w:ascii="Garamond" w:hAnsi="Garamond"/>
          <w:lang w:val="en-US"/>
        </w:rPr>
        <w:t>had earlier been</w:t>
      </w:r>
      <w:r w:rsidRPr="008C3C00">
        <w:rPr>
          <w:rFonts w:ascii="Garamond" w:hAnsi="Garamond"/>
          <w:lang w:val="en-US"/>
        </w:rPr>
        <w:t xml:space="preserve"> made in Lim Meng Suang and another v. Attorney </w:t>
      </w:r>
      <w:r w:rsidR="00C15DF2" w:rsidRPr="008C3C00">
        <w:rPr>
          <w:rFonts w:ascii="Garamond" w:hAnsi="Garamond"/>
          <w:lang w:val="en-US"/>
        </w:rPr>
        <w:t xml:space="preserve">General </w:t>
      </w:r>
      <w:r w:rsidRPr="008C3C00">
        <w:rPr>
          <w:rFonts w:ascii="Garamond" w:hAnsi="Garamond"/>
          <w:lang w:val="en-US"/>
        </w:rPr>
        <w:t>[2015] 1 SLR 26</w:t>
      </w:r>
      <w:r w:rsidR="00A01850" w:rsidRPr="008C3C00">
        <w:rPr>
          <w:rFonts w:ascii="Garamond" w:hAnsi="Garamond"/>
          <w:lang w:val="en-US"/>
        </w:rPr>
        <w:t xml:space="preserve"> [“Lim Meng”]</w:t>
      </w:r>
      <w:r w:rsidRPr="008C3C00">
        <w:rPr>
          <w:rFonts w:ascii="Garamond" w:hAnsi="Garamond"/>
          <w:lang w:val="en-US"/>
        </w:rPr>
        <w:t xml:space="preserve">, </w:t>
      </w:r>
      <w:r w:rsidR="00C15DF2" w:rsidRPr="008C3C00">
        <w:rPr>
          <w:rFonts w:ascii="Garamond" w:hAnsi="Garamond"/>
          <w:lang w:val="en-US"/>
        </w:rPr>
        <w:t xml:space="preserve">where the Court of Appeal </w:t>
      </w:r>
      <w:r w:rsidR="00975DF1">
        <w:rPr>
          <w:rFonts w:ascii="Garamond" w:hAnsi="Garamond"/>
          <w:lang w:val="en-US"/>
        </w:rPr>
        <w:t>had affirmed</w:t>
      </w:r>
      <w:r w:rsidR="00C15DF2" w:rsidRPr="008C3C00">
        <w:rPr>
          <w:rFonts w:ascii="Garamond" w:hAnsi="Garamond"/>
          <w:lang w:val="en-US"/>
        </w:rPr>
        <w:t xml:space="preserve"> the decision of the High Court</w:t>
      </w:r>
      <w:r w:rsidR="00A01850" w:rsidRPr="008C3C00">
        <w:rPr>
          <w:rFonts w:ascii="Garamond" w:hAnsi="Garamond"/>
          <w:lang w:val="en-US"/>
        </w:rPr>
        <w:t xml:space="preserve"> by dismissing the challenge to the provision. However, the Plaintiffs argued that since there were significant developments that had taken place after Lim Meng (some new historical evidence about the legislative history of Section 377A had come to light), their challenge to the constitutionality of 377A should be heard afresh.</w:t>
      </w:r>
      <w:r w:rsidR="00C37036" w:rsidRPr="008C3C00">
        <w:rPr>
          <w:rFonts w:ascii="Garamond" w:hAnsi="Garamond"/>
          <w:lang w:val="en-US"/>
        </w:rPr>
        <w:t xml:space="preserve"> They also maintained that Section 377A was not challenged based on the grounds of human dignity, a ground which the court ought to have considered. </w:t>
      </w:r>
      <w:r w:rsidR="00A01850" w:rsidRPr="008C3C00">
        <w:rPr>
          <w:rFonts w:ascii="Garamond" w:hAnsi="Garamond"/>
          <w:lang w:val="en-US"/>
        </w:rPr>
        <w:t xml:space="preserve">The </w:t>
      </w:r>
      <w:r w:rsidR="00C37036" w:rsidRPr="008C3C00">
        <w:rPr>
          <w:rFonts w:ascii="Garamond" w:hAnsi="Garamond"/>
          <w:lang w:val="en-US"/>
        </w:rPr>
        <w:t xml:space="preserve">matter was accordingly admitted afresh by the court. </w:t>
      </w:r>
      <w:r w:rsidR="00A01850" w:rsidRPr="008C3C00">
        <w:rPr>
          <w:rFonts w:ascii="Garamond" w:hAnsi="Garamond"/>
          <w:lang w:val="en-US"/>
        </w:rPr>
        <w:t xml:space="preserve"> </w:t>
      </w:r>
    </w:p>
    <w:p w14:paraId="01ACE298" w14:textId="0B67D6DB" w:rsidR="00A01850" w:rsidRPr="008C3C00" w:rsidRDefault="00D66782" w:rsidP="00D842C3">
      <w:pPr>
        <w:spacing w:after="240" w:line="360" w:lineRule="auto"/>
        <w:jc w:val="both"/>
        <w:rPr>
          <w:rFonts w:ascii="Garamond" w:hAnsi="Garamond"/>
        </w:rPr>
      </w:pPr>
      <w:r w:rsidRPr="008C3C00">
        <w:rPr>
          <w:rFonts w:ascii="Garamond" w:hAnsi="Garamond"/>
        </w:rPr>
        <w:t xml:space="preserve">The first OS application was filed by Mr. Ong, an international disc jockey who was homosexual and had been in a long term relationship with a man. He argued that the provision violated the right to life and personal liberty, since it arbitrarily punished a person based on their identity. Furthermore, it was argued that the provision lacked an intelligible differentia </w:t>
      </w:r>
      <w:r w:rsidR="00EA15F7" w:rsidRPr="008C3C00">
        <w:rPr>
          <w:rFonts w:ascii="Garamond" w:hAnsi="Garamond"/>
        </w:rPr>
        <w:t xml:space="preserve">[“intelligible differentia point”] </w:t>
      </w:r>
      <w:r w:rsidRPr="008C3C00">
        <w:rPr>
          <w:rFonts w:ascii="Garamond" w:hAnsi="Garamond"/>
        </w:rPr>
        <w:t xml:space="preserve">in as far as the classification between homosexual and heterosexual conduct was concerned, since it only punished the former, while </w:t>
      </w:r>
      <w:r w:rsidR="00975DF1">
        <w:rPr>
          <w:rFonts w:ascii="Garamond" w:hAnsi="Garamond"/>
        </w:rPr>
        <w:t>excusing</w:t>
      </w:r>
      <w:r w:rsidRPr="008C3C00">
        <w:rPr>
          <w:rFonts w:ascii="Garamond" w:hAnsi="Garamond"/>
        </w:rPr>
        <w:t xml:space="preserve"> the latter. It was also stated that the provision only punished homosexual conduct between two males, while excluding from its ambit homosexual conduct between two females, which was claimed to be another unintelligible classification. Additionally, it was claimed that there existed no rational nexus </w:t>
      </w:r>
      <w:r w:rsidR="00EA15F7" w:rsidRPr="008C3C00">
        <w:rPr>
          <w:rFonts w:ascii="Garamond" w:hAnsi="Garamond"/>
        </w:rPr>
        <w:t xml:space="preserve">[“rational nexus point”] </w:t>
      </w:r>
      <w:r w:rsidRPr="008C3C00">
        <w:rPr>
          <w:rFonts w:ascii="Garamond" w:hAnsi="Garamond"/>
        </w:rPr>
        <w:t xml:space="preserve">between the object which the provision tried to </w:t>
      </w:r>
      <w:r w:rsidR="00A7200F" w:rsidRPr="008C3C00">
        <w:rPr>
          <w:rFonts w:ascii="Garamond" w:hAnsi="Garamond"/>
        </w:rPr>
        <w:t>seek and</w:t>
      </w:r>
      <w:r w:rsidRPr="008C3C00">
        <w:rPr>
          <w:rFonts w:ascii="Garamond" w:hAnsi="Garamond"/>
        </w:rPr>
        <w:t xml:space="preserve"> the classification it made</w:t>
      </w:r>
      <w:r w:rsidR="00EA15F7" w:rsidRPr="008C3C00">
        <w:rPr>
          <w:rFonts w:ascii="Garamond" w:hAnsi="Garamond"/>
        </w:rPr>
        <w:t xml:space="preserve">, hence arguing it to be a violation of right to equality. Finally, Mr. Ong claimed that Section 377A violated his freedom of speech and expression since the criminalization of his homosexual conduct prevented him from freely expressing his sexual orientation while also putting a limitation on the exchange of ideas pertaining to his sexuality and sexual orientation. </w:t>
      </w:r>
      <w:r w:rsidR="00C37036" w:rsidRPr="008C3C00">
        <w:rPr>
          <w:rFonts w:ascii="Garamond" w:hAnsi="Garamond"/>
        </w:rPr>
        <w:t xml:space="preserve">He relied on the Supreme Court of India case of  Navtej Singh Johar v. Union of India, AIR 2018 SC 4321 [“Navtej”], which decriminalized homosexual conduct in India. </w:t>
      </w:r>
    </w:p>
    <w:p w14:paraId="7B9C7A68" w14:textId="1E0ACBCD" w:rsidR="00C37036" w:rsidRPr="008C3C00" w:rsidRDefault="00C37036" w:rsidP="00D842C3">
      <w:pPr>
        <w:spacing w:after="240" w:line="360" w:lineRule="auto"/>
        <w:jc w:val="both"/>
        <w:rPr>
          <w:rFonts w:ascii="Garamond" w:hAnsi="Garamond"/>
        </w:rPr>
      </w:pPr>
      <w:r w:rsidRPr="008C3C00">
        <w:rPr>
          <w:rFonts w:ascii="Garamond" w:hAnsi="Garamond"/>
        </w:rPr>
        <w:t>The second OS application was filed by Mr. Choong,</w:t>
      </w:r>
      <w:r w:rsidR="00A7200F" w:rsidRPr="008C3C00">
        <w:rPr>
          <w:rFonts w:ascii="Garamond" w:hAnsi="Garamond"/>
        </w:rPr>
        <w:t xml:space="preserve"> a homosexual man. He argued on grounds of right to equality and the freedom of speech and expression by raising similar contentions as Mr. Ong. </w:t>
      </w:r>
      <w:r w:rsidR="00975DF1">
        <w:rPr>
          <w:rFonts w:ascii="Garamond" w:hAnsi="Garamond"/>
        </w:rPr>
        <w:t>Additionally, he</w:t>
      </w:r>
      <w:r w:rsidR="00A7200F" w:rsidRPr="008C3C00">
        <w:rPr>
          <w:rFonts w:ascii="Garamond" w:hAnsi="Garamond"/>
        </w:rPr>
        <w:t xml:space="preserve"> also argued that the objective of Section 377A was to prevent commercial homosexual conduct, and hence </w:t>
      </w:r>
      <w:r w:rsidR="00A7200F" w:rsidRPr="008C3C00">
        <w:rPr>
          <w:rFonts w:ascii="Garamond" w:hAnsi="Garamond"/>
        </w:rPr>
        <w:lastRenderedPageBreak/>
        <w:t xml:space="preserve">sexual conduct performed in “private” between two consenting adults did not serve the purpose with which the provision was enacted. </w:t>
      </w:r>
    </w:p>
    <w:p w14:paraId="517401CD" w14:textId="39AA42F1" w:rsidR="00A7200F" w:rsidRPr="008C3C00" w:rsidRDefault="00A7200F" w:rsidP="00D842C3">
      <w:pPr>
        <w:spacing w:after="240" w:line="360" w:lineRule="auto"/>
        <w:jc w:val="both"/>
        <w:rPr>
          <w:rFonts w:ascii="Garamond" w:hAnsi="Garamond"/>
        </w:rPr>
      </w:pPr>
      <w:r w:rsidRPr="008C3C00">
        <w:rPr>
          <w:rFonts w:ascii="Garamond" w:hAnsi="Garamond"/>
        </w:rPr>
        <w:t>The third OS application was filed by Dr. Tan, a homosexual man. Arguments similar to the contentions raised by the other two plaintiffs in their OS applications were raised by Dr. Tan, all three of which applications were clubbed together</w:t>
      </w:r>
      <w:r w:rsidR="000F7FE9">
        <w:rPr>
          <w:rFonts w:ascii="Garamond" w:hAnsi="Garamond"/>
        </w:rPr>
        <w:t xml:space="preserve"> for a joint hearing</w:t>
      </w:r>
      <w:r w:rsidRPr="008C3C00">
        <w:rPr>
          <w:rFonts w:ascii="Garamond" w:hAnsi="Garamond"/>
        </w:rPr>
        <w:t xml:space="preserve">. </w:t>
      </w:r>
    </w:p>
    <w:p w14:paraId="1476C962" w14:textId="019450F3" w:rsidR="00637D41" w:rsidRPr="008C3C00" w:rsidRDefault="00637D41" w:rsidP="00637D41">
      <w:pPr>
        <w:spacing w:after="240" w:line="360" w:lineRule="auto"/>
        <w:jc w:val="both"/>
        <w:rPr>
          <w:rFonts w:ascii="Garamond" w:hAnsi="Garamond"/>
        </w:rPr>
      </w:pPr>
      <w:r w:rsidRPr="008C3C00">
        <w:rPr>
          <w:rFonts w:ascii="Garamond" w:hAnsi="Garamond"/>
        </w:rPr>
        <w:t xml:space="preserve">The main issues for determination, therefore, related to the: [i] determination of the legislative object behind Section 377A and if it was limited only to commercial homosexual conduct (male prostitution), [ii] an assessment of the provision based on the reasonable classification test (for purposes of the right to equality), [iii] the determination of whether the right to freedom of speech and expression encompassed the expression of one’s sexual orientation and sexual preference, and [iv] determination of whether one’s sexual orientation was innate and immutable (for purposes of the right to life and personal liberty), </w:t>
      </w:r>
      <w:r w:rsidRPr="008C3C00">
        <w:rPr>
          <w:rFonts w:ascii="Garamond" w:hAnsi="Garamond"/>
          <w:i/>
        </w:rPr>
        <w:t>inter alia</w:t>
      </w:r>
      <w:r w:rsidRPr="008C3C00">
        <w:rPr>
          <w:rFonts w:ascii="Garamond" w:hAnsi="Garamond"/>
        </w:rPr>
        <w:t xml:space="preserve">. </w:t>
      </w:r>
    </w:p>
    <w:p w14:paraId="6DCFB0C7" w14:textId="2E3DDC4E" w:rsidR="003B0260" w:rsidRPr="008C3C00" w:rsidRDefault="00EE6A5B" w:rsidP="003B0260">
      <w:pPr>
        <w:spacing w:after="240" w:line="360" w:lineRule="auto"/>
        <w:jc w:val="both"/>
        <w:rPr>
          <w:rFonts w:ascii="Garamond" w:hAnsi="Garamond"/>
        </w:rPr>
      </w:pPr>
      <w:r w:rsidRPr="008C3C00">
        <w:rPr>
          <w:rFonts w:ascii="Garamond" w:hAnsi="Garamond"/>
        </w:rPr>
        <w:t xml:space="preserve">The plaintiffs, while submitting for the first issue, stated that the true legislative object behind enacting Section 377A was to deal with non-penetrative sexual activities performed in public (male prostitution). They relied on the fact that Section 377 was in fact the provision which dealt with penetrative homosexual activity, a provision, which was already repealed by Singapore. Since it could not have been the intention of the legislature to enact two different provisions for the same offence, the object of Section 377A could not have been to punish homosexual conduct, which Section 377 already did. It was also highlighted that the punishment under Section 377 was different (and heavier) compared to the punishment under Section 377A and that the legislature could not have intended to impose different punishments for the same conduct. </w:t>
      </w:r>
      <w:r w:rsidR="003B0260" w:rsidRPr="008C3C00">
        <w:rPr>
          <w:rFonts w:ascii="Garamond" w:hAnsi="Garamond"/>
        </w:rPr>
        <w:t>In relation to this argument, the defendants relied on Tan Liang Joo v. Attorney-General [2019] SGHC</w:t>
      </w:r>
      <w:r w:rsidR="000F7FE9">
        <w:rPr>
          <w:rFonts w:ascii="Garamond" w:hAnsi="Garamond"/>
        </w:rPr>
        <w:t xml:space="preserve"> </w:t>
      </w:r>
      <w:r w:rsidR="003B0260" w:rsidRPr="008C3C00">
        <w:rPr>
          <w:rFonts w:ascii="Garamond" w:hAnsi="Garamond"/>
        </w:rPr>
        <w:t>263 [“Tan Liang”] and stated that penal laws often overlapped and that there was nothing anomalous in having two offence provisions proscribing similar types of conduct, one “wider” and the other “narrower”.</w:t>
      </w:r>
    </w:p>
    <w:p w14:paraId="2E0BB498" w14:textId="01D69FD9" w:rsidR="00631E5F" w:rsidRPr="008C3C00" w:rsidRDefault="00631E5F" w:rsidP="00667456">
      <w:pPr>
        <w:spacing w:after="240" w:line="360" w:lineRule="auto"/>
        <w:jc w:val="both"/>
        <w:rPr>
          <w:rFonts w:ascii="Garamond" w:hAnsi="Garamond"/>
        </w:rPr>
      </w:pPr>
      <w:r w:rsidRPr="008C3C00">
        <w:rPr>
          <w:rFonts w:ascii="Garamond" w:hAnsi="Garamond"/>
        </w:rPr>
        <w:t>While submitting for the second issue, the plaintiffs argued that Section 377A was manifestly discriminatory since it punished on</w:t>
      </w:r>
      <w:r w:rsidR="000F7FE9">
        <w:rPr>
          <w:rFonts w:ascii="Garamond" w:hAnsi="Garamond"/>
        </w:rPr>
        <w:t>ly</w:t>
      </w:r>
      <w:r w:rsidRPr="008C3C00">
        <w:rPr>
          <w:rFonts w:ascii="Garamond" w:hAnsi="Garamond"/>
        </w:rPr>
        <w:t xml:space="preserve"> male-to-male homosexual conduct, as opposed to male-female heterosexual or female-female homosexual conduct, a proposition which </w:t>
      </w:r>
      <w:r w:rsidR="000F7FE9">
        <w:rPr>
          <w:rFonts w:ascii="Garamond" w:hAnsi="Garamond"/>
        </w:rPr>
        <w:t>meant</w:t>
      </w:r>
      <w:r w:rsidRPr="008C3C00">
        <w:rPr>
          <w:rFonts w:ascii="Garamond" w:hAnsi="Garamond"/>
        </w:rPr>
        <w:t xml:space="preserve"> a violation of Article 12 (relying on </w:t>
      </w:r>
      <w:r w:rsidR="00667456" w:rsidRPr="008C3C00">
        <w:rPr>
          <w:rFonts w:ascii="Garamond" w:hAnsi="Garamond"/>
        </w:rPr>
        <w:t>Yong Vui Kong v. Public Prosecutor [2015] 2 SLR 1129</w:t>
      </w:r>
      <w:r w:rsidR="000F7FE9">
        <w:rPr>
          <w:rFonts w:ascii="Garamond" w:hAnsi="Garamond"/>
        </w:rPr>
        <w:t>)</w:t>
      </w:r>
      <w:r w:rsidR="00667456" w:rsidRPr="008C3C00">
        <w:rPr>
          <w:rFonts w:ascii="Garamond" w:hAnsi="Garamond"/>
        </w:rPr>
        <w:t xml:space="preserve"> [“Yong Vui Kong”]. </w:t>
      </w:r>
    </w:p>
    <w:p w14:paraId="70C788F5" w14:textId="35BC02E2" w:rsidR="00175724" w:rsidRPr="008C3C00" w:rsidRDefault="00A77B47" w:rsidP="00175724">
      <w:pPr>
        <w:spacing w:after="240" w:line="360" w:lineRule="auto"/>
        <w:jc w:val="both"/>
        <w:rPr>
          <w:rFonts w:ascii="Garamond" w:hAnsi="Garamond"/>
          <w:lang w:val="en-US"/>
        </w:rPr>
      </w:pPr>
      <w:r w:rsidRPr="008C3C00">
        <w:rPr>
          <w:rFonts w:ascii="Garamond" w:hAnsi="Garamond"/>
        </w:rPr>
        <w:t xml:space="preserve">The plaintiffs then argued that Section 377A violated the right to freedom of speech and expression guaranteed under Article 14 of the Constitution. They argued that the </w:t>
      </w:r>
      <w:r w:rsidR="000F7FE9">
        <w:rPr>
          <w:rFonts w:ascii="Garamond" w:hAnsi="Garamond"/>
        </w:rPr>
        <w:t>freedom of</w:t>
      </w:r>
      <w:r w:rsidRPr="008C3C00">
        <w:rPr>
          <w:rFonts w:ascii="Garamond" w:hAnsi="Garamond"/>
        </w:rPr>
        <w:t xml:space="preserve"> expression under Art 14(1</w:t>
      </w:r>
      <w:proofErr w:type="gramStart"/>
      <w:r w:rsidRPr="008C3C00">
        <w:rPr>
          <w:rFonts w:ascii="Garamond" w:hAnsi="Garamond"/>
        </w:rPr>
        <w:t>)(</w:t>
      </w:r>
      <w:proofErr w:type="gramEnd"/>
      <w:r w:rsidRPr="008C3C00">
        <w:rPr>
          <w:rFonts w:ascii="Garamond" w:hAnsi="Garamond"/>
        </w:rPr>
        <w:t>a) encompassed the right of all adult Singaporeans to engage in consensual, private acts of sexual intimacy with whomsoever they desired. It was also stated that even though Article 14 was not an absolute right [since the right could be restricted based on the grounds mentioned under Article 14(2)], Section 377A failed to impose a reasonable restriction</w:t>
      </w:r>
      <w:r w:rsidR="00601A2C" w:rsidRPr="008C3C00">
        <w:rPr>
          <w:rFonts w:ascii="Garamond" w:hAnsi="Garamond"/>
        </w:rPr>
        <w:t xml:space="preserve">. </w:t>
      </w:r>
      <w:r w:rsidR="00630AF6" w:rsidRPr="008C3C00">
        <w:rPr>
          <w:rFonts w:ascii="Garamond" w:hAnsi="Garamond"/>
          <w:lang w:val="en-US"/>
        </w:rPr>
        <w:t>Accordingly, they prayed for the right of Singaporeans to engage in private, consensual acts of sexual intimacy with whomsoever they desire, to be declared as fundamental under Article 14(1</w:t>
      </w:r>
      <w:proofErr w:type="gramStart"/>
      <w:r w:rsidR="00630AF6" w:rsidRPr="008C3C00">
        <w:rPr>
          <w:rFonts w:ascii="Garamond" w:hAnsi="Garamond"/>
          <w:lang w:val="en-US"/>
        </w:rPr>
        <w:t>)(</w:t>
      </w:r>
      <w:proofErr w:type="gramEnd"/>
      <w:r w:rsidR="00630AF6" w:rsidRPr="008C3C00">
        <w:rPr>
          <w:rFonts w:ascii="Garamond" w:hAnsi="Garamond"/>
          <w:lang w:val="en-US"/>
        </w:rPr>
        <w:t xml:space="preserve">a). </w:t>
      </w:r>
    </w:p>
    <w:p w14:paraId="007745A8" w14:textId="08C777A4" w:rsidR="00175724" w:rsidRPr="008C3C00" w:rsidRDefault="007B17A9" w:rsidP="00186FEC">
      <w:pPr>
        <w:spacing w:after="240" w:line="360" w:lineRule="auto"/>
        <w:jc w:val="both"/>
        <w:rPr>
          <w:rFonts w:ascii="Garamond" w:hAnsi="Garamond"/>
          <w:lang w:val="en-US"/>
        </w:rPr>
      </w:pPr>
      <w:r w:rsidRPr="008C3C00">
        <w:rPr>
          <w:rFonts w:ascii="Garamond" w:hAnsi="Garamond"/>
          <w:lang w:val="en-US"/>
        </w:rPr>
        <w:lastRenderedPageBreak/>
        <w:t xml:space="preserve">Finally, on the issue of the right to life and personal liberty, the plaintiffs adduced expert evidence on the immutability of one’s sexual orientation, scientific opinion on the nature of sexual orientation and on the effects that criminalization of same-sex sexual conduct and societal disapproval have on a homosexual person’s </w:t>
      </w:r>
      <w:r w:rsidR="00EA7B67" w:rsidRPr="008C3C00">
        <w:rPr>
          <w:rFonts w:ascii="Garamond" w:hAnsi="Garamond"/>
          <w:lang w:val="en-US"/>
        </w:rPr>
        <w:t xml:space="preserve">mental health. By way of evidence, the plaintiffs intended to argue that Section 377A attached criminal liability to male homosexuals on account of their ingrained identity or sexual orientation which was immutable. </w:t>
      </w:r>
    </w:p>
    <w:p w14:paraId="010BA86B" w14:textId="77777777" w:rsidR="00BB2804" w:rsidRPr="008C3C00" w:rsidRDefault="00BB2804" w:rsidP="00E472CC">
      <w:pPr>
        <w:pStyle w:val="ListParagraph"/>
        <w:numPr>
          <w:ilvl w:val="0"/>
          <w:numId w:val="4"/>
        </w:numPr>
        <w:spacing w:after="240" w:line="360" w:lineRule="auto"/>
        <w:jc w:val="both"/>
        <w:rPr>
          <w:rFonts w:ascii="Garamond" w:hAnsi="Garamond"/>
          <w:lang w:val="en-US"/>
        </w:rPr>
      </w:pPr>
      <w:r w:rsidRPr="008C3C00">
        <w:rPr>
          <w:rFonts w:ascii="Garamond" w:hAnsi="Garamond"/>
          <w:b/>
          <w:bCs/>
          <w:lang w:val="en-US"/>
        </w:rPr>
        <w:t>Decision Overview</w:t>
      </w:r>
      <w:r w:rsidRPr="008C3C00">
        <w:rPr>
          <w:rFonts w:ascii="Garamond" w:hAnsi="Garamond"/>
          <w:lang w:val="en-US"/>
        </w:rPr>
        <w:t xml:space="preserve">: </w:t>
      </w:r>
    </w:p>
    <w:p w14:paraId="5C3F0485" w14:textId="77777777" w:rsidR="000F7FE9" w:rsidRDefault="003B0260" w:rsidP="00FD1B2E">
      <w:pPr>
        <w:spacing w:after="240" w:line="360" w:lineRule="auto"/>
        <w:jc w:val="both"/>
        <w:rPr>
          <w:rFonts w:ascii="Garamond" w:hAnsi="Garamond"/>
          <w:lang w:val="en-US"/>
        </w:rPr>
      </w:pPr>
      <w:r w:rsidRPr="008C3C00">
        <w:rPr>
          <w:rFonts w:ascii="Garamond" w:hAnsi="Garamond"/>
          <w:lang w:val="en-US"/>
        </w:rPr>
        <w:t>The court started with the interpretation of the true object of Section 377A. While relying on the judgment in Tan Cheng Bock v. Attorney-General [2017] 2 SLR 850 [“Tan Cheng”], the court highlighted the three-step framework towards statutory interpretation</w:t>
      </w:r>
      <w:r w:rsidR="004F1DA6" w:rsidRPr="008C3C00">
        <w:rPr>
          <w:rFonts w:ascii="Garamond" w:hAnsi="Garamond"/>
          <w:lang w:val="en-US"/>
        </w:rPr>
        <w:t xml:space="preserve"> [which was to first ascertain the possible </w:t>
      </w:r>
      <w:r w:rsidRPr="008C3C00">
        <w:rPr>
          <w:rFonts w:ascii="Garamond" w:hAnsi="Garamond"/>
          <w:lang w:val="en-US"/>
        </w:rPr>
        <w:t>i</w:t>
      </w:r>
      <w:r w:rsidR="004F1DA6" w:rsidRPr="008C3C00">
        <w:rPr>
          <w:rFonts w:ascii="Garamond" w:hAnsi="Garamond"/>
          <w:lang w:val="en-US"/>
        </w:rPr>
        <w:t xml:space="preserve">nterpretations of the provision based on its text and context, followed by an assessment of the </w:t>
      </w:r>
      <w:r w:rsidRPr="008C3C00">
        <w:rPr>
          <w:rFonts w:ascii="Garamond" w:hAnsi="Garamond"/>
          <w:lang w:val="en-US"/>
        </w:rPr>
        <w:t>legislative p</w:t>
      </w:r>
      <w:r w:rsidR="004F1DA6" w:rsidRPr="008C3C00">
        <w:rPr>
          <w:rFonts w:ascii="Garamond" w:hAnsi="Garamond"/>
          <w:lang w:val="en-US"/>
        </w:rPr>
        <w:t>u</w:t>
      </w:r>
      <w:r w:rsidR="000F7FE9">
        <w:rPr>
          <w:rFonts w:ascii="Garamond" w:hAnsi="Garamond"/>
          <w:lang w:val="en-US"/>
        </w:rPr>
        <w:t xml:space="preserve">rpose or object of the statute, followed finally </w:t>
      </w:r>
      <w:r w:rsidR="004F1DA6" w:rsidRPr="008C3C00">
        <w:rPr>
          <w:rFonts w:ascii="Garamond" w:hAnsi="Garamond"/>
          <w:lang w:val="en-US"/>
        </w:rPr>
        <w:t xml:space="preserve">by a comparison of the </w:t>
      </w:r>
      <w:r w:rsidRPr="008C3C00">
        <w:rPr>
          <w:rFonts w:ascii="Garamond" w:hAnsi="Garamond"/>
          <w:lang w:val="en-US"/>
        </w:rPr>
        <w:t>possible interpre</w:t>
      </w:r>
      <w:r w:rsidR="004F1DA6" w:rsidRPr="008C3C00">
        <w:rPr>
          <w:rFonts w:ascii="Garamond" w:hAnsi="Garamond"/>
          <w:lang w:val="en-US"/>
        </w:rPr>
        <w:t xml:space="preserve">tations of the text against the </w:t>
      </w:r>
      <w:r w:rsidRPr="008C3C00">
        <w:rPr>
          <w:rFonts w:ascii="Garamond" w:hAnsi="Garamond"/>
          <w:lang w:val="en-US"/>
        </w:rPr>
        <w:t>purposes of the statute</w:t>
      </w:r>
      <w:r w:rsidR="004F1DA6" w:rsidRPr="008C3C00">
        <w:rPr>
          <w:rFonts w:ascii="Garamond" w:hAnsi="Garamond"/>
          <w:lang w:val="en-US"/>
        </w:rPr>
        <w:t xml:space="preserve">]. </w:t>
      </w:r>
    </w:p>
    <w:p w14:paraId="3E303EB1" w14:textId="789D3B54" w:rsidR="004F1DA6" w:rsidRPr="008C3C00" w:rsidRDefault="004F1DA6" w:rsidP="00FD1B2E">
      <w:pPr>
        <w:spacing w:after="240" w:line="360" w:lineRule="auto"/>
        <w:jc w:val="both"/>
        <w:rPr>
          <w:rFonts w:ascii="Garamond" w:hAnsi="Garamond"/>
          <w:lang w:val="en-US"/>
        </w:rPr>
      </w:pPr>
      <w:r w:rsidRPr="008C3C00">
        <w:rPr>
          <w:rFonts w:ascii="Garamond" w:hAnsi="Garamond"/>
          <w:lang w:val="en-US"/>
        </w:rPr>
        <w:t xml:space="preserve">Accordingly, the court referred to extraneous material including, </w:t>
      </w:r>
      <w:r w:rsidRPr="008C3C00">
        <w:rPr>
          <w:rFonts w:ascii="Garamond" w:hAnsi="Garamond"/>
          <w:i/>
          <w:lang w:val="en-US"/>
        </w:rPr>
        <w:t>inter alia</w:t>
      </w:r>
      <w:r w:rsidRPr="008C3C00">
        <w:rPr>
          <w:rFonts w:ascii="Garamond" w:hAnsi="Garamond"/>
          <w:lang w:val="en-US"/>
        </w:rPr>
        <w:t>, the Explanatory Note to the 1938 Penal Code (Amendment) Bill  as well as the speech of the then Legislative Council in order to determine the “Objects and Reasons” behind enacting the provision.</w:t>
      </w:r>
      <w:r w:rsidR="00FD1B2E" w:rsidRPr="008C3C00">
        <w:rPr>
          <w:rFonts w:ascii="Garamond" w:hAnsi="Garamond"/>
          <w:lang w:val="en-US"/>
        </w:rPr>
        <w:t xml:space="preserve"> The court reasoned that the usage of the terms “gross indecency with another male person” placed no limit on the activity to be strictly non-penetrative, or one which had to be performed in public, thereby rejecting the argument of the plaintiffs at the outset. Therefore, the court stated that neither of the aforementioned material</w:t>
      </w:r>
      <w:r w:rsidR="00D40580" w:rsidRPr="008C3C00">
        <w:rPr>
          <w:rFonts w:ascii="Garamond" w:hAnsi="Garamond"/>
          <w:lang w:val="en-US"/>
        </w:rPr>
        <w:t>s</w:t>
      </w:r>
      <w:r w:rsidR="00FD1B2E" w:rsidRPr="008C3C00">
        <w:rPr>
          <w:rFonts w:ascii="Garamond" w:hAnsi="Garamond"/>
          <w:lang w:val="en-US"/>
        </w:rPr>
        <w:t xml:space="preserve"> had any s</w:t>
      </w:r>
      <w:r w:rsidR="00D40580" w:rsidRPr="008C3C00">
        <w:rPr>
          <w:rFonts w:ascii="Garamond" w:hAnsi="Garamond"/>
          <w:lang w:val="en-US"/>
        </w:rPr>
        <w:t xml:space="preserve">pecific intent </w:t>
      </w:r>
      <w:r w:rsidR="00FD1B2E" w:rsidRPr="008C3C00">
        <w:rPr>
          <w:rFonts w:ascii="Garamond" w:hAnsi="Garamond"/>
          <w:lang w:val="en-US"/>
        </w:rPr>
        <w:t xml:space="preserve">of targeting male prostitution alone, and that Section 377A could be used for penetrative sexual conduct performed in private. </w:t>
      </w:r>
      <w:r w:rsidR="00631E5F" w:rsidRPr="008C3C00">
        <w:rPr>
          <w:rFonts w:ascii="Garamond" w:hAnsi="Garamond"/>
          <w:lang w:val="en-US"/>
        </w:rPr>
        <w:t xml:space="preserve">As far as the specific argument of an overlap between Section 377 and Section 377A was concerned, the court stated that the Penal Code in Singapore was replete with multiple instances of two provisions which provided for overlapping offences [Sections 323 and 325, Sections 354 and 354A, for instance]. </w:t>
      </w:r>
    </w:p>
    <w:p w14:paraId="3EA15851" w14:textId="6F15E759" w:rsidR="003B0260" w:rsidRPr="008C3C00" w:rsidRDefault="00631E5F" w:rsidP="000D3507">
      <w:pPr>
        <w:spacing w:after="240" w:line="360" w:lineRule="auto"/>
        <w:jc w:val="both"/>
        <w:rPr>
          <w:rFonts w:ascii="Garamond" w:hAnsi="Garamond"/>
          <w:lang w:val="en-US"/>
        </w:rPr>
      </w:pPr>
      <w:r w:rsidRPr="008C3C00">
        <w:rPr>
          <w:rFonts w:ascii="Garamond" w:hAnsi="Garamond"/>
          <w:lang w:val="en-US"/>
        </w:rPr>
        <w:t>While addressing the right to equality argument, the court first cited the test of reasonable classification as used in Taw Cheng</w:t>
      </w:r>
      <w:r w:rsidR="00667456" w:rsidRPr="008C3C00">
        <w:rPr>
          <w:rFonts w:ascii="Garamond" w:hAnsi="Garamond"/>
          <w:lang w:val="en-US"/>
        </w:rPr>
        <w:t>, which demands that there must be an intelligible differentia between the classes created, and that there should be a rational nexus between the object sought by the legislation and the classification so made. The court then laid down the threshold standard stating that for a provision to lack a reasonable nexus, it must be so unreasonable so as to be illogical. The court referred to various cases such as</w:t>
      </w:r>
      <w:r w:rsidR="00667456" w:rsidRPr="008C3C00">
        <w:rPr>
          <w:rFonts w:ascii="Garamond" w:hAnsi="Garamond"/>
        </w:rPr>
        <w:t xml:space="preserve"> Yong Vui Kong</w:t>
      </w:r>
      <w:r w:rsidR="00667456" w:rsidRPr="008C3C00">
        <w:rPr>
          <w:rFonts w:ascii="Garamond" w:hAnsi="Garamond"/>
          <w:lang w:val="en-US"/>
        </w:rPr>
        <w:t>, where the court had concluded that a provision which prohibits infliction of the punishment of caning on women was not discriminatory against men, since there were obvious physiological differences</w:t>
      </w:r>
      <w:r w:rsidR="000F7FE9">
        <w:rPr>
          <w:rFonts w:ascii="Garamond" w:hAnsi="Garamond"/>
          <w:lang w:val="en-US"/>
        </w:rPr>
        <w:t xml:space="preserve"> between men and women. In the </w:t>
      </w:r>
      <w:r w:rsidR="00667456" w:rsidRPr="008C3C00">
        <w:rPr>
          <w:rFonts w:ascii="Garamond" w:hAnsi="Garamond"/>
          <w:lang w:val="en-US"/>
        </w:rPr>
        <w:t>case</w:t>
      </w:r>
      <w:r w:rsidR="000F7FE9">
        <w:rPr>
          <w:rFonts w:ascii="Garamond" w:hAnsi="Garamond"/>
          <w:lang w:val="en-US"/>
        </w:rPr>
        <w:t xml:space="preserve"> of Ong Ming</w:t>
      </w:r>
      <w:r w:rsidR="00667456" w:rsidRPr="008C3C00">
        <w:rPr>
          <w:rFonts w:ascii="Garamond" w:hAnsi="Garamond"/>
          <w:lang w:val="en-US"/>
        </w:rPr>
        <w:t xml:space="preserve">, while referring to this precedent, the court concluded that Section 377A was not an outlier, since the scheme of Singaporean laws was replete with provisions where men and </w:t>
      </w:r>
      <w:r w:rsidR="00A77B47" w:rsidRPr="008C3C00">
        <w:rPr>
          <w:rFonts w:ascii="Garamond" w:hAnsi="Garamond"/>
          <w:lang w:val="en-US"/>
        </w:rPr>
        <w:t>women were treated differently. The court also stated that as far as the reasonable classification argument, it was bound by the earlier decision in Lim Meng, which had elaborately discussed and finally conclude</w:t>
      </w:r>
      <w:r w:rsidR="000F7FE9">
        <w:rPr>
          <w:rFonts w:ascii="Garamond" w:hAnsi="Garamond"/>
          <w:lang w:val="en-US"/>
        </w:rPr>
        <w:t>d</w:t>
      </w:r>
      <w:r w:rsidR="00A77B47" w:rsidRPr="008C3C00">
        <w:rPr>
          <w:rFonts w:ascii="Garamond" w:hAnsi="Garamond"/>
          <w:lang w:val="en-US"/>
        </w:rPr>
        <w:t xml:space="preserve"> that Section 377A had an intelligible differentia. Therefore, no violation to the right to equality was made out. </w:t>
      </w:r>
    </w:p>
    <w:p w14:paraId="79DCC618" w14:textId="77777777" w:rsidR="000F7FE9" w:rsidRDefault="00630AF6" w:rsidP="00601A2C">
      <w:pPr>
        <w:spacing w:after="240" w:line="360" w:lineRule="auto"/>
        <w:jc w:val="both"/>
        <w:rPr>
          <w:rFonts w:ascii="Garamond" w:hAnsi="Garamond"/>
          <w:lang w:val="en-US"/>
        </w:rPr>
      </w:pPr>
      <w:r w:rsidRPr="008C3C00">
        <w:rPr>
          <w:rFonts w:ascii="Garamond" w:hAnsi="Garamond"/>
          <w:lang w:val="en-US"/>
        </w:rPr>
        <w:lastRenderedPageBreak/>
        <w:t>While interpreting the true scope of “freedom of speech and expression”, the court stated that it had the duty to interpret the provision in a manner which gave effect to the</w:t>
      </w:r>
      <w:r w:rsidR="00601A2C" w:rsidRPr="008C3C00">
        <w:rPr>
          <w:rFonts w:ascii="Garamond" w:hAnsi="Garamond"/>
          <w:lang w:val="en-US"/>
        </w:rPr>
        <w:t xml:space="preserve"> intent and will of Parliament [relying on Tan Cheng]. </w:t>
      </w:r>
      <w:r w:rsidRPr="008C3C00">
        <w:rPr>
          <w:rFonts w:ascii="Garamond" w:hAnsi="Garamond"/>
          <w:lang w:val="en-US"/>
        </w:rPr>
        <w:t xml:space="preserve">The court first referred to the plain and ordinary meaning of the word “expression” to fathom the object and the purpose intended by the legislature. </w:t>
      </w:r>
      <w:r w:rsidR="000F7FE9">
        <w:rPr>
          <w:rFonts w:ascii="Garamond" w:hAnsi="Garamond"/>
          <w:lang w:val="en-US"/>
        </w:rPr>
        <w:t xml:space="preserve">It </w:t>
      </w:r>
      <w:r w:rsidRPr="008C3C00">
        <w:rPr>
          <w:rFonts w:ascii="Garamond" w:hAnsi="Garamond"/>
          <w:lang w:val="en-US"/>
        </w:rPr>
        <w:t>stated that even though the dictionary meanings (the plain meaning) of the term ‘expression’ d</w:t>
      </w:r>
      <w:r w:rsidR="000F7FE9">
        <w:rPr>
          <w:rFonts w:ascii="Garamond" w:hAnsi="Garamond"/>
          <w:lang w:val="en-US"/>
        </w:rPr>
        <w:t>id</w:t>
      </w:r>
      <w:r w:rsidRPr="008C3C00">
        <w:rPr>
          <w:rFonts w:ascii="Garamond" w:hAnsi="Garamond"/>
          <w:lang w:val="en-US"/>
        </w:rPr>
        <w:t xml:space="preserve"> not rule out the possibility of sexual intercourse being a form of expression (since language is not the only medium to express), however the court should have regard to the context of a term as well.</w:t>
      </w:r>
    </w:p>
    <w:p w14:paraId="05967531" w14:textId="77777777" w:rsidR="000F7FE9" w:rsidRDefault="00630AF6" w:rsidP="00601A2C">
      <w:pPr>
        <w:spacing w:after="240" w:line="360" w:lineRule="auto"/>
        <w:jc w:val="both"/>
        <w:rPr>
          <w:rFonts w:ascii="Garamond" w:hAnsi="Garamond"/>
          <w:lang w:val="en-US"/>
        </w:rPr>
      </w:pPr>
      <w:r w:rsidRPr="008C3C00">
        <w:rPr>
          <w:rFonts w:ascii="Garamond" w:hAnsi="Garamond"/>
          <w:lang w:val="en-US"/>
        </w:rPr>
        <w:t>For this, while referring to the case of Tee Soon Kay v. Attorney General</w:t>
      </w:r>
      <w:r w:rsidR="00601A2C" w:rsidRPr="008C3C00">
        <w:rPr>
          <w:rFonts w:ascii="Garamond" w:hAnsi="Garamond"/>
          <w:lang w:val="en-US"/>
        </w:rPr>
        <w:t xml:space="preserve"> [2007] 3 SLR(R) 133 [“Tee Soon Kay”]</w:t>
      </w:r>
      <w:r w:rsidRPr="008C3C00">
        <w:rPr>
          <w:rFonts w:ascii="Garamond" w:hAnsi="Garamond"/>
          <w:lang w:val="en-US"/>
        </w:rPr>
        <w:t>, the court stated that since the marginal note of Article 14(1</w:t>
      </w:r>
      <w:proofErr w:type="gramStart"/>
      <w:r w:rsidRPr="008C3C00">
        <w:rPr>
          <w:rFonts w:ascii="Garamond" w:hAnsi="Garamond"/>
          <w:lang w:val="en-US"/>
        </w:rPr>
        <w:t>)(</w:t>
      </w:r>
      <w:proofErr w:type="gramEnd"/>
      <w:r w:rsidRPr="008C3C00">
        <w:rPr>
          <w:rFonts w:ascii="Garamond" w:hAnsi="Garamond"/>
          <w:lang w:val="en-US"/>
        </w:rPr>
        <w:t>a) mentioned “Freedom of speech, assembly and association”, the right to freedom of expression was contemplated to fall within the right to freedom of speech itself and hence the right to</w:t>
      </w:r>
      <w:r w:rsidR="004E5AB4" w:rsidRPr="008C3C00">
        <w:rPr>
          <w:rFonts w:ascii="Garamond" w:hAnsi="Garamond"/>
          <w:lang w:val="en-US"/>
        </w:rPr>
        <w:t xml:space="preserve"> freedom of</w:t>
      </w:r>
      <w:r w:rsidRPr="008C3C00">
        <w:rPr>
          <w:rFonts w:ascii="Garamond" w:hAnsi="Garamond"/>
          <w:lang w:val="en-US"/>
        </w:rPr>
        <w:t xml:space="preserve"> express</w:t>
      </w:r>
      <w:r w:rsidR="004E5AB4" w:rsidRPr="008C3C00">
        <w:rPr>
          <w:rFonts w:ascii="Garamond" w:hAnsi="Garamond"/>
          <w:lang w:val="en-US"/>
        </w:rPr>
        <w:t>ion</w:t>
      </w:r>
      <w:r w:rsidRPr="008C3C00">
        <w:rPr>
          <w:rFonts w:ascii="Garamond" w:hAnsi="Garamond"/>
          <w:lang w:val="en-US"/>
        </w:rPr>
        <w:t xml:space="preserve"> could not be divorced from the right to speech. </w:t>
      </w:r>
      <w:r w:rsidR="00601A2C" w:rsidRPr="008C3C00">
        <w:rPr>
          <w:rFonts w:ascii="Garamond" w:hAnsi="Garamond"/>
          <w:lang w:val="en-US"/>
        </w:rPr>
        <w:t>In other words, the court argued that if the legislature wanted to refer to “expression” independent of “speech, it would have made a mention of it in the marginal note (which in the case of Article 14 only stated “Freedom of speech, assembly and association”</w:t>
      </w:r>
      <w:r w:rsidR="000F7FE9">
        <w:rPr>
          <w:rFonts w:ascii="Garamond" w:hAnsi="Garamond"/>
          <w:lang w:val="en-US"/>
        </w:rPr>
        <w:t>)</w:t>
      </w:r>
      <w:r w:rsidR="00601A2C" w:rsidRPr="008C3C00">
        <w:rPr>
          <w:rFonts w:ascii="Garamond" w:hAnsi="Garamond"/>
          <w:lang w:val="en-US"/>
        </w:rPr>
        <w:t xml:space="preserve">. </w:t>
      </w:r>
    </w:p>
    <w:p w14:paraId="2F7E3AB4" w14:textId="77777777" w:rsidR="000F7FE9" w:rsidRDefault="00747661" w:rsidP="00601A2C">
      <w:pPr>
        <w:spacing w:after="240" w:line="360" w:lineRule="auto"/>
        <w:jc w:val="both"/>
        <w:rPr>
          <w:rFonts w:ascii="Garamond" w:hAnsi="Garamond"/>
          <w:lang w:val="en-US"/>
        </w:rPr>
      </w:pPr>
      <w:r w:rsidRPr="008C3C00">
        <w:rPr>
          <w:rFonts w:ascii="Garamond" w:hAnsi="Garamond"/>
          <w:lang w:val="en-US"/>
        </w:rPr>
        <w:t xml:space="preserve">The court also relied on the statutory principle of </w:t>
      </w:r>
      <w:r w:rsidRPr="008C3C00">
        <w:rPr>
          <w:rFonts w:ascii="Garamond" w:hAnsi="Garamond"/>
        </w:rPr>
        <w:t>Ejusdem generis by</w:t>
      </w:r>
      <w:r w:rsidRPr="008C3C00">
        <w:rPr>
          <w:rFonts w:ascii="Garamond" w:hAnsi="Garamond"/>
          <w:lang w:val="en-US"/>
        </w:rPr>
        <w:t xml:space="preserve"> referring to the case law of </w:t>
      </w:r>
      <w:r w:rsidRPr="008C3C00">
        <w:rPr>
          <w:rFonts w:ascii="Garamond" w:hAnsi="Garamond"/>
        </w:rPr>
        <w:t>Public Prosecutor v. Lam Leng Hung and others [2018] 1 SLR 659 [“Lam Leng Hung”], a principle of statutory interpretation, where the meaning of a general word that follows a list of specific words is interpreted in light of the specific word. Even though the court acknowledged that Article 14(1</w:t>
      </w:r>
      <w:proofErr w:type="gramStart"/>
      <w:r w:rsidRPr="008C3C00">
        <w:rPr>
          <w:rFonts w:ascii="Garamond" w:hAnsi="Garamond"/>
        </w:rPr>
        <w:t>)(</w:t>
      </w:r>
      <w:proofErr w:type="gramEnd"/>
      <w:r w:rsidRPr="008C3C00">
        <w:rPr>
          <w:rFonts w:ascii="Garamond" w:hAnsi="Garamond"/>
        </w:rPr>
        <w:t>a), [that is, the phrase, “Freedom of speech and expression”] was not an ideal provision where the principle of Ejusdem generis could</w:t>
      </w:r>
      <w:r w:rsidR="005B1FBF" w:rsidRPr="008C3C00">
        <w:rPr>
          <w:rFonts w:ascii="Garamond" w:hAnsi="Garamond"/>
        </w:rPr>
        <w:t xml:space="preserve"> be applied since it mentioned only two terms (“speech” and “expression”), the court stated that the same was not a bar on its application. Based on this, along with the fact that the </w:t>
      </w:r>
      <w:r w:rsidR="005B1FBF" w:rsidRPr="008C3C00">
        <w:rPr>
          <w:rFonts w:ascii="Garamond" w:hAnsi="Garamond"/>
          <w:lang w:val="en-US"/>
        </w:rPr>
        <w:t xml:space="preserve">marginal note of Article 14 mentioned only “Freedom of Speech”, the court </w:t>
      </w:r>
      <w:r w:rsidR="00630AF6" w:rsidRPr="008C3C00">
        <w:rPr>
          <w:rFonts w:ascii="Garamond" w:hAnsi="Garamond"/>
          <w:lang w:val="en-US"/>
        </w:rPr>
        <w:t>held that “expression” in the form of male homosexual acts would not qualify for protection under Art 14(1</w:t>
      </w:r>
      <w:proofErr w:type="gramStart"/>
      <w:r w:rsidR="00630AF6" w:rsidRPr="008C3C00">
        <w:rPr>
          <w:rFonts w:ascii="Garamond" w:hAnsi="Garamond"/>
          <w:lang w:val="en-US"/>
        </w:rPr>
        <w:t>)(</w:t>
      </w:r>
      <w:proofErr w:type="gramEnd"/>
      <w:r w:rsidR="00630AF6" w:rsidRPr="008C3C00">
        <w:rPr>
          <w:rFonts w:ascii="Garamond" w:hAnsi="Garamond"/>
          <w:lang w:val="en-US"/>
        </w:rPr>
        <w:t>a)</w:t>
      </w:r>
      <w:r w:rsidR="005B1FBF" w:rsidRPr="008C3C00">
        <w:rPr>
          <w:rFonts w:ascii="Garamond" w:hAnsi="Garamond"/>
          <w:lang w:val="en-US"/>
        </w:rPr>
        <w:t xml:space="preserve"> and would be understood only in context of the term “speech”.</w:t>
      </w:r>
    </w:p>
    <w:p w14:paraId="529D0F3E" w14:textId="189EE887" w:rsidR="000D3507" w:rsidRPr="008C3C00" w:rsidRDefault="005B1FBF" w:rsidP="00601A2C">
      <w:pPr>
        <w:spacing w:after="240" w:line="360" w:lineRule="auto"/>
        <w:jc w:val="both"/>
        <w:rPr>
          <w:rFonts w:ascii="Garamond" w:hAnsi="Garamond"/>
          <w:lang w:val="en-US"/>
        </w:rPr>
      </w:pPr>
      <w:r w:rsidRPr="008C3C00">
        <w:rPr>
          <w:rFonts w:ascii="Garamond" w:hAnsi="Garamond"/>
          <w:lang w:val="en-US"/>
        </w:rPr>
        <w:t xml:space="preserve"> Accordingly, the term expression was held to be limited to “verbal communication” of ideas, beliefs or opinions, and homosexual conduct or an expression of one’s identity was held to be not protected by the right to freedom of speech and expression.  The court, based on its reasoning, </w:t>
      </w:r>
      <w:r w:rsidR="00630AF6" w:rsidRPr="008C3C00">
        <w:rPr>
          <w:rFonts w:ascii="Garamond" w:hAnsi="Garamond"/>
          <w:lang w:val="en-US"/>
        </w:rPr>
        <w:t>rejected the observations made by the Supreme Court of India in Navtej</w:t>
      </w:r>
      <w:r w:rsidR="007A3EE6" w:rsidRPr="008C3C00">
        <w:rPr>
          <w:rFonts w:ascii="Garamond" w:hAnsi="Garamond"/>
          <w:lang w:val="en-US"/>
        </w:rPr>
        <w:t xml:space="preserve"> as well as other international jurisprudence on the subject of freedom of expression </w:t>
      </w:r>
      <w:r w:rsidRPr="008C3C00">
        <w:rPr>
          <w:rFonts w:ascii="Garamond" w:hAnsi="Garamond"/>
          <w:lang w:val="en-US"/>
        </w:rPr>
        <w:t xml:space="preserve">and refused to recognize the freedom of expression as a free-standing, independent right.  </w:t>
      </w:r>
    </w:p>
    <w:p w14:paraId="0AAA2387" w14:textId="137B0083" w:rsidR="007B17A9" w:rsidRPr="008C3C00" w:rsidRDefault="007B17A9" w:rsidP="00601A2C">
      <w:pPr>
        <w:spacing w:after="240" w:line="360" w:lineRule="auto"/>
        <w:jc w:val="both"/>
        <w:rPr>
          <w:rFonts w:ascii="Garamond" w:hAnsi="Garamond"/>
          <w:lang w:val="en-US"/>
        </w:rPr>
      </w:pPr>
      <w:r w:rsidRPr="008C3C00">
        <w:rPr>
          <w:rFonts w:ascii="Garamond" w:hAnsi="Garamond"/>
          <w:lang w:val="en-US"/>
        </w:rPr>
        <w:t>Finally, the court discussed the challenge based on the right to life and personal liberty. The court relied on the case of Lim Meng, which had earlier held that the arguments surrounding immutability of one’s sexual orientation were extra-legal arguments and were therefore not relevant for the determination of the constitutionality of Section 377A of the Penal Code. The court</w:t>
      </w:r>
      <w:r w:rsidR="00EA7B67" w:rsidRPr="008C3C00">
        <w:rPr>
          <w:rFonts w:ascii="Garamond" w:hAnsi="Garamond"/>
          <w:lang w:val="en-US"/>
        </w:rPr>
        <w:t xml:space="preserve"> in Ong Ming</w:t>
      </w:r>
      <w:r w:rsidRPr="008C3C00">
        <w:rPr>
          <w:rFonts w:ascii="Garamond" w:hAnsi="Garamond"/>
          <w:lang w:val="en-US"/>
        </w:rPr>
        <w:t xml:space="preserve"> also stated that since there was scientific evidence </w:t>
      </w:r>
      <w:r w:rsidR="00EA7B67" w:rsidRPr="008C3C00">
        <w:rPr>
          <w:rFonts w:ascii="Garamond" w:hAnsi="Garamond"/>
          <w:lang w:val="en-US"/>
        </w:rPr>
        <w:t xml:space="preserve">both for and against the immutability of sexual orientation, no conclusive determination could be made based on that aspect. In any case, the court held that Section 377A was not premised on the identity of a person, since it was equally applicable to a heterosexual person who engaged in public or private </w:t>
      </w:r>
      <w:r w:rsidR="00EA7B67" w:rsidRPr="008C3C00">
        <w:rPr>
          <w:rFonts w:ascii="Garamond" w:hAnsi="Garamond"/>
          <w:lang w:val="en-US"/>
        </w:rPr>
        <w:lastRenderedPageBreak/>
        <w:t>homosexual conduct. Based on this, the court concluded</w:t>
      </w:r>
      <w:r w:rsidR="00C32717" w:rsidRPr="008C3C00">
        <w:rPr>
          <w:rFonts w:ascii="Garamond" w:hAnsi="Garamond"/>
          <w:lang w:val="en-US"/>
        </w:rPr>
        <w:t xml:space="preserve"> that an absolute protection could not be given to one’s “personal liberty”, especially since the right claimed by the plaintiffs was an unenumerated one. </w:t>
      </w:r>
    </w:p>
    <w:p w14:paraId="66E0BDC8" w14:textId="54FA82BC" w:rsidR="00BB2804" w:rsidRPr="008C3C00" w:rsidRDefault="00BB2804" w:rsidP="00630AF6">
      <w:pPr>
        <w:spacing w:after="240" w:line="360" w:lineRule="auto"/>
        <w:jc w:val="both"/>
        <w:rPr>
          <w:rFonts w:ascii="Garamond" w:hAnsi="Garamond"/>
          <w:lang w:val="en-US"/>
        </w:rPr>
      </w:pPr>
      <w:r w:rsidRPr="008C3C00">
        <w:rPr>
          <w:rFonts w:ascii="Garamond" w:hAnsi="Garamond"/>
          <w:b/>
          <w:bCs/>
          <w:i/>
          <w:iCs/>
          <w:u w:val="single"/>
          <w:lang w:val="en-US"/>
        </w:rPr>
        <w:t>Direction:</w:t>
      </w:r>
    </w:p>
    <w:p w14:paraId="0CA9085A" w14:textId="5F624550" w:rsidR="00BB2804" w:rsidRPr="008C3C00" w:rsidRDefault="00BB2804" w:rsidP="00E472CC">
      <w:pPr>
        <w:pStyle w:val="ListParagraph"/>
        <w:numPr>
          <w:ilvl w:val="0"/>
          <w:numId w:val="4"/>
        </w:numPr>
        <w:spacing w:after="240" w:line="360" w:lineRule="auto"/>
        <w:jc w:val="both"/>
        <w:rPr>
          <w:rFonts w:ascii="Garamond" w:hAnsi="Garamond"/>
          <w:lang w:val="en-US"/>
        </w:rPr>
      </w:pPr>
      <w:r w:rsidRPr="008C3C00">
        <w:rPr>
          <w:rFonts w:ascii="Garamond" w:hAnsi="Garamond"/>
          <w:b/>
          <w:bCs/>
          <w:lang w:val="en-US"/>
        </w:rPr>
        <w:t>Outcome</w:t>
      </w:r>
      <w:r w:rsidRPr="008C3C00">
        <w:rPr>
          <w:rFonts w:ascii="Garamond" w:hAnsi="Garamond"/>
          <w:lang w:val="en-US"/>
        </w:rPr>
        <w:t xml:space="preserve">: </w:t>
      </w:r>
      <w:r w:rsidR="000D3507" w:rsidRPr="008C3C00">
        <w:rPr>
          <w:rFonts w:ascii="Garamond" w:hAnsi="Garamond"/>
          <w:lang w:val="en-US"/>
        </w:rPr>
        <w:t>Contracts</w:t>
      </w:r>
      <w:r w:rsidR="00F766D8" w:rsidRPr="008C3C00">
        <w:rPr>
          <w:rFonts w:ascii="Garamond" w:hAnsi="Garamond"/>
          <w:lang w:val="en-US"/>
        </w:rPr>
        <w:t xml:space="preserve"> Expression</w:t>
      </w:r>
    </w:p>
    <w:p w14:paraId="04F8A296" w14:textId="03E5D8BF" w:rsidR="00261547" w:rsidRPr="008C3C00" w:rsidRDefault="00BB2804" w:rsidP="00261547">
      <w:pPr>
        <w:pStyle w:val="ListParagraph"/>
        <w:numPr>
          <w:ilvl w:val="0"/>
          <w:numId w:val="4"/>
        </w:numPr>
        <w:spacing w:after="240" w:line="360" w:lineRule="auto"/>
        <w:jc w:val="both"/>
        <w:rPr>
          <w:rFonts w:ascii="Garamond" w:hAnsi="Garamond"/>
          <w:lang w:val="en-US"/>
        </w:rPr>
      </w:pPr>
      <w:r w:rsidRPr="008C3C00">
        <w:rPr>
          <w:rFonts w:ascii="Garamond" w:hAnsi="Garamond"/>
          <w:b/>
          <w:bCs/>
          <w:lang w:val="en-US"/>
        </w:rPr>
        <w:t>Information</w:t>
      </w:r>
      <w:r w:rsidRPr="008C3C00">
        <w:rPr>
          <w:rFonts w:ascii="Garamond" w:hAnsi="Garamond"/>
          <w:lang w:val="en-US"/>
        </w:rPr>
        <w:t xml:space="preserve">: </w:t>
      </w:r>
      <w:r w:rsidR="00261547" w:rsidRPr="008C3C00">
        <w:rPr>
          <w:rFonts w:ascii="Garamond" w:hAnsi="Garamond"/>
          <w:lang w:val="en-US"/>
        </w:rPr>
        <w:t xml:space="preserve">The court </w:t>
      </w:r>
      <w:r w:rsidR="000D3507" w:rsidRPr="008C3C00">
        <w:rPr>
          <w:rFonts w:ascii="Garamond" w:hAnsi="Garamond"/>
          <w:lang w:val="en-US"/>
        </w:rPr>
        <w:t>contracts</w:t>
      </w:r>
      <w:r w:rsidR="00261547" w:rsidRPr="008C3C00">
        <w:rPr>
          <w:rFonts w:ascii="Garamond" w:hAnsi="Garamond"/>
          <w:lang w:val="en-US"/>
        </w:rPr>
        <w:t xml:space="preserve"> the right to </w:t>
      </w:r>
      <w:r w:rsidR="000D3507" w:rsidRPr="008C3C00">
        <w:rPr>
          <w:rFonts w:ascii="Garamond" w:hAnsi="Garamond"/>
          <w:lang w:val="en-US"/>
        </w:rPr>
        <w:t>freedom of expression by holding that “expression” in the form of male homosexual acts would not qualify for protection under Art 14(1</w:t>
      </w:r>
      <w:proofErr w:type="gramStart"/>
      <w:r w:rsidR="000D3507" w:rsidRPr="008C3C00">
        <w:rPr>
          <w:rFonts w:ascii="Garamond" w:hAnsi="Garamond"/>
          <w:lang w:val="en-US"/>
        </w:rPr>
        <w:t>)(</w:t>
      </w:r>
      <w:proofErr w:type="gramEnd"/>
      <w:r w:rsidR="000D3507" w:rsidRPr="008C3C00">
        <w:rPr>
          <w:rFonts w:ascii="Garamond" w:hAnsi="Garamond"/>
          <w:lang w:val="en-US"/>
        </w:rPr>
        <w:t>a).</w:t>
      </w:r>
      <w:r w:rsidR="00261547" w:rsidRPr="008C3C00">
        <w:rPr>
          <w:rFonts w:ascii="Garamond" w:hAnsi="Garamond"/>
          <w:lang w:val="en-US"/>
        </w:rPr>
        <w:t xml:space="preserve"> </w:t>
      </w:r>
    </w:p>
    <w:p w14:paraId="1AAE2719" w14:textId="77777777" w:rsidR="00BB2804" w:rsidRPr="008C3C00" w:rsidRDefault="00BB2804" w:rsidP="00E472CC">
      <w:pPr>
        <w:spacing w:after="240" w:line="360" w:lineRule="auto"/>
        <w:jc w:val="both"/>
        <w:rPr>
          <w:rFonts w:ascii="Garamond" w:hAnsi="Garamond"/>
          <w:lang w:val="en-US"/>
        </w:rPr>
      </w:pPr>
      <w:r w:rsidRPr="008C3C00">
        <w:rPr>
          <w:rFonts w:ascii="Garamond" w:hAnsi="Garamond"/>
          <w:b/>
          <w:bCs/>
          <w:i/>
          <w:iCs/>
          <w:u w:val="single"/>
          <w:lang w:val="en-US"/>
        </w:rPr>
        <w:t>Perspective</w:t>
      </w:r>
      <w:r w:rsidRPr="008C3C00">
        <w:rPr>
          <w:rFonts w:ascii="Garamond" w:hAnsi="Garamond"/>
          <w:lang w:val="en-US"/>
        </w:rPr>
        <w:t xml:space="preserve">: </w:t>
      </w:r>
    </w:p>
    <w:p w14:paraId="02160B87" w14:textId="0595B794" w:rsidR="00BB2804" w:rsidRPr="008C3C00" w:rsidRDefault="00BB2804" w:rsidP="008C3A25">
      <w:pPr>
        <w:pStyle w:val="ListParagraph"/>
        <w:numPr>
          <w:ilvl w:val="0"/>
          <w:numId w:val="3"/>
        </w:numPr>
        <w:spacing w:after="240" w:line="360" w:lineRule="auto"/>
        <w:jc w:val="both"/>
        <w:rPr>
          <w:rFonts w:ascii="Garamond" w:hAnsi="Garamond"/>
          <w:lang w:val="en-US"/>
        </w:rPr>
      </w:pPr>
      <w:r w:rsidRPr="008C3C00">
        <w:rPr>
          <w:rFonts w:ascii="Garamond" w:hAnsi="Garamond"/>
          <w:b/>
          <w:bCs/>
          <w:lang w:val="en-US"/>
        </w:rPr>
        <w:t>Outcome</w:t>
      </w:r>
      <w:r w:rsidRPr="008C3C00">
        <w:rPr>
          <w:rFonts w:ascii="Garamond" w:hAnsi="Garamond"/>
          <w:lang w:val="en-US"/>
        </w:rPr>
        <w:t xml:space="preserve">: </w:t>
      </w:r>
      <w:r w:rsidR="008C3A25" w:rsidRPr="008C3C00">
        <w:rPr>
          <w:rFonts w:ascii="Garamond" w:hAnsi="Garamond"/>
          <w:lang w:val="en-US"/>
        </w:rPr>
        <w:t xml:space="preserve">Law Deemed </w:t>
      </w:r>
      <w:r w:rsidR="000D3507" w:rsidRPr="008C3C00">
        <w:rPr>
          <w:rFonts w:ascii="Garamond" w:hAnsi="Garamond"/>
          <w:lang w:val="en-US"/>
        </w:rPr>
        <w:t>C</w:t>
      </w:r>
      <w:r w:rsidR="008C3A25" w:rsidRPr="008C3C00">
        <w:rPr>
          <w:rFonts w:ascii="Garamond" w:hAnsi="Garamond"/>
          <w:lang w:val="en-US"/>
        </w:rPr>
        <w:t>onstitutional</w:t>
      </w:r>
    </w:p>
    <w:p w14:paraId="4574DA79" w14:textId="01A8D1FC" w:rsidR="00BB2804" w:rsidRPr="008C3C00" w:rsidRDefault="00BB2804" w:rsidP="00E472CC">
      <w:pPr>
        <w:pStyle w:val="ListParagraph"/>
        <w:numPr>
          <w:ilvl w:val="0"/>
          <w:numId w:val="3"/>
        </w:numPr>
        <w:spacing w:after="240" w:line="360" w:lineRule="auto"/>
        <w:jc w:val="both"/>
        <w:rPr>
          <w:rFonts w:ascii="Garamond" w:hAnsi="Garamond"/>
        </w:rPr>
      </w:pPr>
      <w:r w:rsidRPr="008C3C00">
        <w:rPr>
          <w:rFonts w:ascii="Garamond" w:hAnsi="Garamond"/>
          <w:b/>
          <w:bCs/>
          <w:lang w:val="en-US"/>
        </w:rPr>
        <w:t>Related International and/or regional laws</w:t>
      </w:r>
      <w:r w:rsidRPr="008C3C00">
        <w:rPr>
          <w:rFonts w:ascii="Garamond" w:hAnsi="Garamond"/>
          <w:lang w:val="en-US"/>
        </w:rPr>
        <w:t xml:space="preserve">: </w:t>
      </w:r>
    </w:p>
    <w:p w14:paraId="6F3BC2CF" w14:textId="64022931" w:rsidR="008C3A25" w:rsidRDefault="000D3507" w:rsidP="008C3A25">
      <w:pPr>
        <w:pStyle w:val="ListParagraph"/>
        <w:numPr>
          <w:ilvl w:val="0"/>
          <w:numId w:val="12"/>
        </w:numPr>
        <w:spacing w:after="240" w:line="360" w:lineRule="auto"/>
        <w:jc w:val="both"/>
        <w:rPr>
          <w:rFonts w:ascii="Garamond" w:hAnsi="Garamond"/>
        </w:rPr>
      </w:pPr>
      <w:r w:rsidRPr="008C3C00">
        <w:rPr>
          <w:rFonts w:ascii="Garamond" w:hAnsi="Garamond"/>
        </w:rPr>
        <w:t xml:space="preserve">Yogyakarta Principles, Principle 19. </w:t>
      </w:r>
    </w:p>
    <w:p w14:paraId="6CB6EBBC" w14:textId="77777777" w:rsidR="001C18CD" w:rsidRPr="008C3C00" w:rsidRDefault="001C18CD" w:rsidP="001C18CD">
      <w:pPr>
        <w:pStyle w:val="ListParagraph"/>
        <w:spacing w:after="240" w:line="360" w:lineRule="auto"/>
        <w:ind w:left="360"/>
        <w:jc w:val="both"/>
        <w:rPr>
          <w:rFonts w:ascii="Garamond" w:hAnsi="Garamond"/>
        </w:rPr>
      </w:pPr>
    </w:p>
    <w:p w14:paraId="7A315794" w14:textId="12B1E48B" w:rsidR="008C3A25" w:rsidRPr="008C3C00" w:rsidRDefault="00BB2804" w:rsidP="008C3A25">
      <w:pPr>
        <w:pStyle w:val="ListParagraph"/>
        <w:numPr>
          <w:ilvl w:val="0"/>
          <w:numId w:val="3"/>
        </w:numPr>
        <w:spacing w:after="240" w:line="360" w:lineRule="auto"/>
        <w:jc w:val="both"/>
        <w:rPr>
          <w:rFonts w:ascii="Garamond" w:hAnsi="Garamond"/>
          <w:lang w:val="en-US"/>
        </w:rPr>
      </w:pPr>
      <w:r w:rsidRPr="008C3C00">
        <w:rPr>
          <w:rFonts w:ascii="Garamond" w:hAnsi="Garamond"/>
          <w:b/>
          <w:bCs/>
          <w:lang w:val="en-US"/>
        </w:rPr>
        <w:t>National law or jurisprudence</w:t>
      </w:r>
      <w:r w:rsidRPr="008C3C00">
        <w:rPr>
          <w:rFonts w:ascii="Garamond" w:hAnsi="Garamond"/>
          <w:lang w:val="en-US"/>
        </w:rPr>
        <w:t>:</w:t>
      </w:r>
      <w:r w:rsidR="008C3A25" w:rsidRPr="008C3C00">
        <w:rPr>
          <w:rFonts w:ascii="Garamond" w:hAnsi="Garamond"/>
          <w:lang w:val="en-US"/>
        </w:rPr>
        <w:t xml:space="preserve"> </w:t>
      </w:r>
    </w:p>
    <w:p w14:paraId="51F9D10F" w14:textId="223F3976" w:rsidR="008C3A25" w:rsidRDefault="000D3507" w:rsidP="008C3A25">
      <w:pPr>
        <w:pStyle w:val="ListParagraph"/>
        <w:numPr>
          <w:ilvl w:val="0"/>
          <w:numId w:val="11"/>
        </w:numPr>
        <w:spacing w:after="240" w:line="360" w:lineRule="auto"/>
        <w:jc w:val="both"/>
        <w:rPr>
          <w:rFonts w:ascii="Garamond" w:hAnsi="Garamond"/>
          <w:lang w:val="en-US"/>
        </w:rPr>
      </w:pPr>
      <w:r w:rsidRPr="008C3C00">
        <w:rPr>
          <w:rFonts w:ascii="Garamond" w:hAnsi="Garamond"/>
          <w:lang w:val="en-US"/>
        </w:rPr>
        <w:t>Singapore</w:t>
      </w:r>
      <w:r w:rsidR="008C3A25" w:rsidRPr="008C3C00">
        <w:rPr>
          <w:rFonts w:ascii="Garamond" w:hAnsi="Garamond"/>
          <w:lang w:val="en-US"/>
        </w:rPr>
        <w:t>, Const. (19</w:t>
      </w:r>
      <w:r w:rsidRPr="008C3C00">
        <w:rPr>
          <w:rFonts w:ascii="Garamond" w:hAnsi="Garamond"/>
          <w:lang w:val="en-US"/>
        </w:rPr>
        <w:t>65</w:t>
      </w:r>
      <w:r w:rsidR="008C3A25" w:rsidRPr="008C3C00">
        <w:rPr>
          <w:rFonts w:ascii="Garamond" w:hAnsi="Garamond"/>
          <w:lang w:val="en-US"/>
        </w:rPr>
        <w:t xml:space="preserve">) art. </w:t>
      </w:r>
      <w:r w:rsidR="001C18CD">
        <w:rPr>
          <w:rFonts w:ascii="Garamond" w:hAnsi="Garamond"/>
          <w:lang w:val="en-US"/>
        </w:rPr>
        <w:t>9</w:t>
      </w:r>
      <w:r w:rsidR="008C3A25" w:rsidRPr="008C3C00">
        <w:rPr>
          <w:rFonts w:ascii="Garamond" w:hAnsi="Garamond"/>
          <w:lang w:val="en-US"/>
        </w:rPr>
        <w:t>.</w:t>
      </w:r>
    </w:p>
    <w:p w14:paraId="1E5F6F68" w14:textId="14536400" w:rsidR="001C18CD" w:rsidRPr="008C3C00" w:rsidRDefault="001C18CD" w:rsidP="001C18CD">
      <w:pPr>
        <w:pStyle w:val="ListParagraph"/>
        <w:numPr>
          <w:ilvl w:val="0"/>
          <w:numId w:val="11"/>
        </w:numPr>
        <w:spacing w:after="240" w:line="360" w:lineRule="auto"/>
        <w:jc w:val="both"/>
        <w:rPr>
          <w:rFonts w:ascii="Garamond" w:hAnsi="Garamond"/>
          <w:lang w:val="en-US"/>
        </w:rPr>
      </w:pPr>
      <w:r w:rsidRPr="008C3C00">
        <w:rPr>
          <w:rFonts w:ascii="Garamond" w:hAnsi="Garamond"/>
          <w:lang w:val="en-US"/>
        </w:rPr>
        <w:t>Singapore, Const. (1965) art. 1</w:t>
      </w:r>
      <w:r>
        <w:rPr>
          <w:rFonts w:ascii="Garamond" w:hAnsi="Garamond"/>
          <w:lang w:val="en-US"/>
        </w:rPr>
        <w:t>2</w:t>
      </w:r>
      <w:r w:rsidRPr="008C3C00">
        <w:rPr>
          <w:rFonts w:ascii="Garamond" w:hAnsi="Garamond"/>
          <w:lang w:val="en-US"/>
        </w:rPr>
        <w:t>.</w:t>
      </w:r>
    </w:p>
    <w:p w14:paraId="01DD35A3" w14:textId="1B9876C2" w:rsidR="001C18CD" w:rsidRDefault="001C18CD" w:rsidP="001C18CD">
      <w:pPr>
        <w:pStyle w:val="ListParagraph"/>
        <w:numPr>
          <w:ilvl w:val="0"/>
          <w:numId w:val="11"/>
        </w:numPr>
        <w:spacing w:after="240" w:line="360" w:lineRule="auto"/>
        <w:jc w:val="both"/>
        <w:rPr>
          <w:rFonts w:ascii="Garamond" w:hAnsi="Garamond"/>
          <w:lang w:val="en-US"/>
        </w:rPr>
      </w:pPr>
      <w:r w:rsidRPr="008C3C00">
        <w:rPr>
          <w:rFonts w:ascii="Garamond" w:hAnsi="Garamond"/>
          <w:lang w:val="en-US"/>
        </w:rPr>
        <w:t>Singapore, Const. (1965) art. 14.</w:t>
      </w:r>
    </w:p>
    <w:p w14:paraId="62FFE7F3" w14:textId="5DA5ACCA" w:rsidR="001C18CD" w:rsidRDefault="001C18CD" w:rsidP="001C18CD">
      <w:pPr>
        <w:pStyle w:val="ListParagraph"/>
        <w:numPr>
          <w:ilvl w:val="0"/>
          <w:numId w:val="11"/>
        </w:numPr>
        <w:spacing w:after="240" w:line="360" w:lineRule="auto"/>
        <w:jc w:val="both"/>
        <w:rPr>
          <w:rFonts w:ascii="Garamond" w:hAnsi="Garamond"/>
          <w:lang w:val="en-US"/>
        </w:rPr>
      </w:pPr>
      <w:r w:rsidRPr="008C3C00">
        <w:rPr>
          <w:rFonts w:ascii="Garamond" w:hAnsi="Garamond"/>
        </w:rPr>
        <w:t>Public Prosecutor v. Lam Leng Hung and others [2018] 1 SLR 659</w:t>
      </w:r>
      <w:r>
        <w:rPr>
          <w:rFonts w:ascii="Garamond" w:hAnsi="Garamond"/>
        </w:rPr>
        <w:t>.</w:t>
      </w:r>
    </w:p>
    <w:p w14:paraId="61B9C51E" w14:textId="5FE9C84C" w:rsidR="001C18CD" w:rsidRPr="001C18CD" w:rsidRDefault="001C18CD" w:rsidP="001C18CD">
      <w:pPr>
        <w:pStyle w:val="ListParagraph"/>
        <w:numPr>
          <w:ilvl w:val="0"/>
          <w:numId w:val="11"/>
        </w:numPr>
        <w:spacing w:after="240" w:line="360" w:lineRule="auto"/>
        <w:jc w:val="both"/>
        <w:rPr>
          <w:rFonts w:ascii="Garamond" w:hAnsi="Garamond"/>
          <w:lang w:val="en-US"/>
        </w:rPr>
      </w:pPr>
      <w:r w:rsidRPr="008C3C00">
        <w:rPr>
          <w:rFonts w:ascii="Garamond" w:hAnsi="Garamond"/>
          <w:lang w:val="en-US"/>
        </w:rPr>
        <w:t>Tan Cheng Bock v. Attorney-General [2017] 2 SLR 850</w:t>
      </w:r>
      <w:r>
        <w:rPr>
          <w:rFonts w:ascii="Garamond" w:hAnsi="Garamond"/>
          <w:lang w:val="en-US"/>
        </w:rPr>
        <w:t>.</w:t>
      </w:r>
    </w:p>
    <w:p w14:paraId="6EDD78B7" w14:textId="0DCCA5BC" w:rsidR="000D3507" w:rsidRDefault="000D3507" w:rsidP="008C3A25">
      <w:pPr>
        <w:pStyle w:val="ListParagraph"/>
        <w:numPr>
          <w:ilvl w:val="0"/>
          <w:numId w:val="11"/>
        </w:numPr>
        <w:spacing w:after="240" w:line="360" w:lineRule="auto"/>
        <w:jc w:val="both"/>
        <w:rPr>
          <w:rFonts w:ascii="Garamond" w:hAnsi="Garamond"/>
          <w:lang w:val="en-US"/>
        </w:rPr>
      </w:pPr>
      <w:r w:rsidRPr="008C3C00">
        <w:rPr>
          <w:rFonts w:ascii="Garamond" w:hAnsi="Garamond"/>
          <w:lang w:val="en-US"/>
        </w:rPr>
        <w:t>Tee Soon Kay v Attorney-General [2007] 3 SLR(R) 133.</w:t>
      </w:r>
    </w:p>
    <w:p w14:paraId="746B0B66" w14:textId="7A7E6B1A" w:rsidR="001C18CD" w:rsidRPr="008C3C00" w:rsidRDefault="001C18CD" w:rsidP="008C3A25">
      <w:pPr>
        <w:pStyle w:val="ListParagraph"/>
        <w:numPr>
          <w:ilvl w:val="0"/>
          <w:numId w:val="11"/>
        </w:numPr>
        <w:spacing w:after="240" w:line="360" w:lineRule="auto"/>
        <w:jc w:val="both"/>
        <w:rPr>
          <w:rFonts w:ascii="Garamond" w:hAnsi="Garamond"/>
          <w:lang w:val="en-US"/>
        </w:rPr>
      </w:pPr>
      <w:r w:rsidRPr="008C3C00">
        <w:rPr>
          <w:rFonts w:ascii="Garamond" w:hAnsi="Garamond"/>
        </w:rPr>
        <w:t>Yong Vui Kong v. Public Prosecutor [2015] 2 SLR 1129</w:t>
      </w:r>
      <w:r>
        <w:rPr>
          <w:rFonts w:ascii="Garamond" w:hAnsi="Garamond"/>
        </w:rPr>
        <w:t>.</w:t>
      </w:r>
    </w:p>
    <w:p w14:paraId="7EFEE85F" w14:textId="60BACDA4" w:rsidR="000D3507" w:rsidRDefault="000D3507" w:rsidP="000D3507">
      <w:pPr>
        <w:pStyle w:val="ListParagraph"/>
        <w:numPr>
          <w:ilvl w:val="0"/>
          <w:numId w:val="11"/>
        </w:numPr>
        <w:spacing w:after="240" w:line="360" w:lineRule="auto"/>
        <w:jc w:val="both"/>
        <w:rPr>
          <w:rFonts w:ascii="Garamond" w:hAnsi="Garamond"/>
          <w:lang w:val="en-US"/>
        </w:rPr>
      </w:pPr>
      <w:r w:rsidRPr="008C3C00">
        <w:rPr>
          <w:rFonts w:ascii="Garamond" w:hAnsi="Garamond"/>
          <w:lang w:val="en-US"/>
        </w:rPr>
        <w:t>Navtej Singh Johar v. Union of India, AIR 2018 SC 4321.</w:t>
      </w:r>
    </w:p>
    <w:p w14:paraId="407E7FBC" w14:textId="77777777" w:rsidR="001C18CD" w:rsidRPr="008C3C00" w:rsidRDefault="001C18CD" w:rsidP="001C18CD">
      <w:pPr>
        <w:pStyle w:val="ListParagraph"/>
        <w:spacing w:after="240" w:line="360" w:lineRule="auto"/>
        <w:ind w:left="360"/>
        <w:jc w:val="both"/>
        <w:rPr>
          <w:rFonts w:ascii="Garamond" w:hAnsi="Garamond"/>
          <w:lang w:val="en-US"/>
        </w:rPr>
      </w:pPr>
      <w:bookmarkStart w:id="0" w:name="_GoBack"/>
      <w:bookmarkEnd w:id="0"/>
    </w:p>
    <w:p w14:paraId="69511AC4" w14:textId="6C67D521" w:rsidR="00BB2804" w:rsidRPr="008C3C00" w:rsidRDefault="00BB2804" w:rsidP="00E472CC">
      <w:pPr>
        <w:pStyle w:val="ListParagraph"/>
        <w:numPr>
          <w:ilvl w:val="0"/>
          <w:numId w:val="13"/>
        </w:numPr>
        <w:spacing w:after="240" w:line="360" w:lineRule="auto"/>
        <w:jc w:val="both"/>
        <w:rPr>
          <w:rFonts w:ascii="Garamond" w:hAnsi="Garamond"/>
          <w:lang w:val="en-US"/>
        </w:rPr>
      </w:pPr>
      <w:r w:rsidRPr="008C3C00">
        <w:rPr>
          <w:rFonts w:ascii="Garamond" w:hAnsi="Garamond"/>
          <w:b/>
          <w:bCs/>
          <w:lang w:val="en-US"/>
        </w:rPr>
        <w:t>Other national law or jurisprudence</w:t>
      </w:r>
      <w:r w:rsidRPr="008C3C00">
        <w:rPr>
          <w:rFonts w:ascii="Garamond" w:hAnsi="Garamond"/>
          <w:lang w:val="en-US"/>
        </w:rPr>
        <w:t>:</w:t>
      </w:r>
      <w:r w:rsidR="003D040E" w:rsidRPr="008C3C00">
        <w:rPr>
          <w:rFonts w:ascii="Garamond" w:hAnsi="Garamond"/>
          <w:lang w:val="en-US"/>
        </w:rPr>
        <w:t xml:space="preserve"> N/A</w:t>
      </w:r>
    </w:p>
    <w:p w14:paraId="677CCE68" w14:textId="77777777" w:rsidR="00BB2804" w:rsidRPr="008C3C00" w:rsidRDefault="00BB2804" w:rsidP="00E472CC">
      <w:pPr>
        <w:spacing w:after="240" w:line="360" w:lineRule="auto"/>
        <w:jc w:val="both"/>
        <w:rPr>
          <w:rFonts w:ascii="Garamond" w:hAnsi="Garamond"/>
          <w:lang w:val="en-US"/>
        </w:rPr>
      </w:pPr>
      <w:r w:rsidRPr="008C3C00">
        <w:rPr>
          <w:rFonts w:ascii="Garamond" w:hAnsi="Garamond"/>
          <w:b/>
          <w:bCs/>
          <w:i/>
          <w:iCs/>
          <w:u w:val="single"/>
          <w:lang w:val="en-US"/>
        </w:rPr>
        <w:t>Significance</w:t>
      </w:r>
      <w:r w:rsidRPr="008C3C00">
        <w:rPr>
          <w:rFonts w:ascii="Garamond" w:hAnsi="Garamond"/>
          <w:lang w:val="en-US"/>
        </w:rPr>
        <w:t xml:space="preserve">: </w:t>
      </w:r>
    </w:p>
    <w:p w14:paraId="3886258B" w14:textId="77777777" w:rsidR="00A917D7" w:rsidRPr="008C3C00" w:rsidRDefault="00BB2804" w:rsidP="00A917D7">
      <w:pPr>
        <w:pStyle w:val="ListParagraph"/>
        <w:spacing w:after="240" w:line="360" w:lineRule="auto"/>
        <w:ind w:left="360"/>
        <w:jc w:val="both"/>
        <w:rPr>
          <w:rFonts w:ascii="Garamond" w:hAnsi="Garamond"/>
          <w:lang w:val="en-US"/>
        </w:rPr>
      </w:pPr>
      <w:r w:rsidRPr="008C3C00">
        <w:rPr>
          <w:rFonts w:ascii="Garamond" w:hAnsi="Garamond"/>
          <w:b/>
          <w:bCs/>
          <w:lang w:val="en-US"/>
        </w:rPr>
        <w:t>Binding or persuasive precedent within jurisdiction</w:t>
      </w:r>
      <w:r w:rsidR="00A917D7" w:rsidRPr="008C3C00">
        <w:rPr>
          <w:rFonts w:ascii="Garamond" w:hAnsi="Garamond"/>
          <w:b/>
          <w:bCs/>
          <w:lang w:val="en-US"/>
        </w:rPr>
        <w:t xml:space="preserve">: </w:t>
      </w:r>
      <w:r w:rsidR="00A917D7" w:rsidRPr="008C3C00">
        <w:rPr>
          <w:rFonts w:ascii="Garamond" w:hAnsi="Garamond"/>
          <w:lang w:val="en-US"/>
        </w:rPr>
        <w:t>The decision establishes a binding or persuasive precedent within its jurisdiction.</w:t>
      </w:r>
    </w:p>
    <w:p w14:paraId="7D5F2DC0" w14:textId="4026BC64" w:rsidR="00BB2804" w:rsidRPr="008C3C00" w:rsidRDefault="00A917D7" w:rsidP="00A917D7">
      <w:pPr>
        <w:pStyle w:val="ListParagraph"/>
        <w:spacing w:after="240" w:line="360" w:lineRule="auto"/>
        <w:ind w:left="360"/>
        <w:jc w:val="both"/>
        <w:rPr>
          <w:rFonts w:ascii="Garamond" w:hAnsi="Garamond"/>
          <w:lang w:val="en-US"/>
        </w:rPr>
      </w:pPr>
      <w:r w:rsidRPr="008C3C00">
        <w:rPr>
          <w:rFonts w:ascii="Garamond" w:hAnsi="Garamond"/>
          <w:bCs/>
          <w:lang w:val="en-US"/>
        </w:rPr>
        <w:t xml:space="preserve">Judgments of the </w:t>
      </w:r>
      <w:r w:rsidR="000D3507" w:rsidRPr="008C3C00">
        <w:rPr>
          <w:rFonts w:ascii="Garamond" w:hAnsi="Garamond"/>
          <w:bCs/>
          <w:lang w:val="en-US"/>
        </w:rPr>
        <w:t>High Court of Republic of Singapore</w:t>
      </w:r>
      <w:r w:rsidRPr="008C3C00">
        <w:rPr>
          <w:rFonts w:ascii="Garamond" w:hAnsi="Garamond"/>
          <w:bCs/>
          <w:lang w:val="en-US"/>
        </w:rPr>
        <w:t xml:space="preserve"> are binding within the jurisdiction of </w:t>
      </w:r>
      <w:r w:rsidR="000D3507" w:rsidRPr="008C3C00">
        <w:rPr>
          <w:rFonts w:ascii="Garamond" w:hAnsi="Garamond"/>
          <w:bCs/>
          <w:lang w:val="en-US"/>
        </w:rPr>
        <w:t xml:space="preserve">Singapore. </w:t>
      </w:r>
      <w:r w:rsidRPr="008C3C00">
        <w:rPr>
          <w:rFonts w:ascii="Garamond" w:hAnsi="Garamond"/>
          <w:bCs/>
          <w:lang w:val="en-US"/>
        </w:rPr>
        <w:t xml:space="preserve"> </w:t>
      </w:r>
    </w:p>
    <w:p w14:paraId="741F01EB" w14:textId="1E6BF1DE" w:rsidR="00BB2804" w:rsidRPr="008C3C00" w:rsidRDefault="00BB2804" w:rsidP="00A917D7">
      <w:pPr>
        <w:pStyle w:val="ListParagraph"/>
        <w:numPr>
          <w:ilvl w:val="0"/>
          <w:numId w:val="2"/>
        </w:numPr>
        <w:spacing w:after="240" w:line="360" w:lineRule="auto"/>
        <w:jc w:val="both"/>
        <w:rPr>
          <w:rFonts w:ascii="Garamond" w:hAnsi="Garamond"/>
        </w:rPr>
      </w:pPr>
      <w:r w:rsidRPr="008C3C00">
        <w:rPr>
          <w:rFonts w:ascii="Garamond" w:hAnsi="Garamond"/>
          <w:b/>
          <w:bCs/>
        </w:rPr>
        <w:t>Related Cases</w:t>
      </w:r>
      <w:r w:rsidRPr="008C3C00">
        <w:rPr>
          <w:rFonts w:ascii="Garamond" w:hAnsi="Garamond"/>
        </w:rPr>
        <w:t>: Self-generated</w:t>
      </w:r>
    </w:p>
    <w:p w14:paraId="2D65F57E" w14:textId="079797C2" w:rsidR="004E5AB4" w:rsidRPr="001C18CD" w:rsidRDefault="00BB2804" w:rsidP="001C18CD">
      <w:pPr>
        <w:pStyle w:val="ListParagraph"/>
        <w:numPr>
          <w:ilvl w:val="0"/>
          <w:numId w:val="2"/>
        </w:numPr>
        <w:spacing w:after="240" w:line="360" w:lineRule="auto"/>
        <w:jc w:val="both"/>
        <w:rPr>
          <w:rFonts w:ascii="Garamond" w:hAnsi="Garamond"/>
        </w:rPr>
      </w:pPr>
      <w:r w:rsidRPr="008C3C00">
        <w:rPr>
          <w:rFonts w:ascii="Garamond" w:hAnsi="Garamond"/>
          <w:b/>
          <w:bCs/>
        </w:rPr>
        <w:t>Date updated</w:t>
      </w:r>
      <w:r w:rsidRPr="008C3C00">
        <w:rPr>
          <w:rFonts w:ascii="Garamond" w:hAnsi="Garamond"/>
        </w:rPr>
        <w:t xml:space="preserve">: </w:t>
      </w:r>
      <w:r w:rsidR="00EC1B6E" w:rsidRPr="008C3C00">
        <w:rPr>
          <w:rFonts w:ascii="Garamond" w:hAnsi="Garamond"/>
        </w:rPr>
        <w:t>N/A</w:t>
      </w:r>
    </w:p>
    <w:p w14:paraId="0F73208F" w14:textId="77777777" w:rsidR="00BB2804" w:rsidRPr="008C3C00" w:rsidRDefault="00BB2804" w:rsidP="00E472CC">
      <w:pPr>
        <w:spacing w:after="240" w:line="360" w:lineRule="auto"/>
        <w:jc w:val="both"/>
        <w:rPr>
          <w:rFonts w:ascii="Garamond" w:hAnsi="Garamond"/>
        </w:rPr>
      </w:pPr>
      <w:r w:rsidRPr="008C3C00">
        <w:rPr>
          <w:rFonts w:ascii="Garamond" w:hAnsi="Garamond"/>
          <w:b/>
          <w:bCs/>
          <w:i/>
          <w:iCs/>
          <w:u w:val="single"/>
        </w:rPr>
        <w:t>Docs</w:t>
      </w:r>
      <w:r w:rsidRPr="008C3C00">
        <w:rPr>
          <w:rFonts w:ascii="Garamond" w:hAnsi="Garamond"/>
        </w:rPr>
        <w:t xml:space="preserve">: </w:t>
      </w:r>
    </w:p>
    <w:p w14:paraId="4EB4B5BC" w14:textId="77777777" w:rsidR="00BB2804" w:rsidRPr="008C3C00" w:rsidRDefault="00BB2804" w:rsidP="00E472CC">
      <w:pPr>
        <w:pStyle w:val="ListParagraph"/>
        <w:numPr>
          <w:ilvl w:val="0"/>
          <w:numId w:val="7"/>
        </w:numPr>
        <w:spacing w:after="240" w:line="360" w:lineRule="auto"/>
        <w:jc w:val="both"/>
        <w:rPr>
          <w:rFonts w:ascii="Garamond" w:hAnsi="Garamond"/>
        </w:rPr>
      </w:pPr>
      <w:r w:rsidRPr="008C3C00">
        <w:rPr>
          <w:rFonts w:ascii="Garamond" w:hAnsi="Garamond"/>
          <w:b/>
          <w:bCs/>
        </w:rPr>
        <w:t>Official Case Documents</w:t>
      </w:r>
      <w:r w:rsidRPr="008C3C00">
        <w:rPr>
          <w:rFonts w:ascii="Garamond" w:hAnsi="Garamond"/>
        </w:rPr>
        <w:t xml:space="preserve">: </w:t>
      </w:r>
    </w:p>
    <w:p w14:paraId="7050AA75" w14:textId="4CC090C1" w:rsidR="00A917D7" w:rsidRPr="008C3C00" w:rsidRDefault="000D3507" w:rsidP="000D3507">
      <w:pPr>
        <w:pStyle w:val="ListParagraph"/>
        <w:numPr>
          <w:ilvl w:val="0"/>
          <w:numId w:val="7"/>
        </w:numPr>
        <w:spacing w:line="360" w:lineRule="auto"/>
        <w:jc w:val="both"/>
        <w:rPr>
          <w:rFonts w:ascii="Garamond" w:hAnsi="Garamond"/>
          <w:lang w:val="en-US"/>
        </w:rPr>
      </w:pPr>
      <w:r w:rsidRPr="008C3C00">
        <w:rPr>
          <w:rFonts w:ascii="Garamond" w:hAnsi="Garamond"/>
          <w:lang w:val="en-US"/>
        </w:rPr>
        <w:t>Ong Ming Johnson v. Attorney General</w:t>
      </w:r>
      <w:r w:rsidR="00680BFA" w:rsidRPr="008C3C00">
        <w:rPr>
          <w:rFonts w:ascii="Garamond" w:hAnsi="Garamond"/>
          <w:lang w:val="en-US"/>
        </w:rPr>
        <w:t xml:space="preserve"> and other matters</w:t>
      </w:r>
      <w:r w:rsidRPr="008C3C00">
        <w:rPr>
          <w:rFonts w:ascii="Garamond" w:hAnsi="Garamond"/>
          <w:lang w:val="en-US"/>
        </w:rPr>
        <w:t>, [2020] SGHC 63.</w:t>
      </w:r>
      <w:r w:rsidR="00A917D7" w:rsidRPr="008C3C00">
        <w:rPr>
          <w:rFonts w:ascii="Garamond" w:hAnsi="Garamond"/>
        </w:rPr>
        <w:t xml:space="preserve"> (Attached in the email)</w:t>
      </w:r>
    </w:p>
    <w:p w14:paraId="04674E6C" w14:textId="61A84A1B" w:rsidR="00BB2804" w:rsidRPr="008C3C00" w:rsidRDefault="00BB2804" w:rsidP="00A917D7">
      <w:pPr>
        <w:pStyle w:val="ListParagraph"/>
        <w:numPr>
          <w:ilvl w:val="0"/>
          <w:numId w:val="6"/>
        </w:numPr>
        <w:spacing w:after="240" w:line="360" w:lineRule="auto"/>
        <w:jc w:val="both"/>
        <w:rPr>
          <w:rFonts w:ascii="Garamond" w:hAnsi="Garamond"/>
        </w:rPr>
      </w:pPr>
      <w:r w:rsidRPr="008C3C00">
        <w:rPr>
          <w:rFonts w:ascii="Garamond" w:hAnsi="Garamond"/>
          <w:b/>
          <w:bCs/>
        </w:rPr>
        <w:lastRenderedPageBreak/>
        <w:t>Reports, Analysis, and News Articles</w:t>
      </w:r>
      <w:r w:rsidRPr="008C3C00">
        <w:rPr>
          <w:rFonts w:ascii="Garamond" w:hAnsi="Garamond"/>
        </w:rPr>
        <w:t>:</w:t>
      </w:r>
    </w:p>
    <w:p w14:paraId="06FFE8B8" w14:textId="30F72871" w:rsidR="001C18CD" w:rsidRPr="001C18CD" w:rsidRDefault="00687FDC" w:rsidP="001C18CD">
      <w:pPr>
        <w:pStyle w:val="ListParagraph"/>
        <w:numPr>
          <w:ilvl w:val="0"/>
          <w:numId w:val="14"/>
        </w:numPr>
        <w:spacing w:after="240" w:line="360" w:lineRule="auto"/>
        <w:jc w:val="both"/>
        <w:rPr>
          <w:rFonts w:ascii="Garamond" w:hAnsi="Garamond"/>
        </w:rPr>
      </w:pPr>
      <w:r w:rsidRPr="008C3C00">
        <w:rPr>
          <w:rFonts w:ascii="Garamond" w:hAnsi="Garamond"/>
        </w:rPr>
        <w:t>Fait Accompli: Singapore Again Upholds Section 377A Criminalising Homosexuality, at: https://blogs.cuit.columbia.edu/rightsviews/2020/04/28/fait-accompli-singapore-again-upholds-section-377a-criminalising-homosexuality/</w:t>
      </w:r>
    </w:p>
    <w:p w14:paraId="7ABC7279" w14:textId="20CBC915" w:rsidR="00687FDC" w:rsidRDefault="000D3507" w:rsidP="000D3507">
      <w:pPr>
        <w:pStyle w:val="ListParagraph"/>
        <w:numPr>
          <w:ilvl w:val="0"/>
          <w:numId w:val="14"/>
        </w:numPr>
        <w:spacing w:after="240" w:line="360" w:lineRule="auto"/>
        <w:jc w:val="both"/>
        <w:rPr>
          <w:rFonts w:ascii="Garamond" w:hAnsi="Garamond"/>
        </w:rPr>
      </w:pPr>
      <w:r w:rsidRPr="008C3C00">
        <w:rPr>
          <w:rFonts w:ascii="Garamond" w:hAnsi="Garamond"/>
        </w:rPr>
        <w:t>Round Two – Strike Two: Singapore and LGBT Rights (Ong Ming Johnson v Attorney General)</w:t>
      </w:r>
      <w:r w:rsidR="0022689A" w:rsidRPr="008C3C00">
        <w:rPr>
          <w:rFonts w:ascii="Garamond" w:hAnsi="Garamond"/>
        </w:rPr>
        <w:t xml:space="preserve">, at: </w:t>
      </w:r>
      <w:r w:rsidR="001C18CD" w:rsidRPr="001C18CD">
        <w:rPr>
          <w:rFonts w:ascii="Garamond" w:hAnsi="Garamond"/>
        </w:rPr>
        <w:t>https://blog-iacl-aidc.org/2020-posts/2020/4/30/round-two-strike-two-singapore-and-lgbt-rights-ong-ming-johnson-v-attorney-general</w:t>
      </w:r>
    </w:p>
    <w:p w14:paraId="728F8268" w14:textId="2D6140CE" w:rsidR="001C18CD" w:rsidRPr="008C3C00" w:rsidRDefault="001C18CD" w:rsidP="001C18CD">
      <w:pPr>
        <w:pStyle w:val="ListParagraph"/>
        <w:numPr>
          <w:ilvl w:val="0"/>
          <w:numId w:val="14"/>
        </w:numPr>
        <w:spacing w:after="240" w:line="360" w:lineRule="auto"/>
        <w:jc w:val="both"/>
        <w:rPr>
          <w:rFonts w:ascii="Garamond" w:hAnsi="Garamond"/>
        </w:rPr>
      </w:pPr>
      <w:r w:rsidRPr="001C18CD">
        <w:rPr>
          <w:rFonts w:ascii="Garamond" w:hAnsi="Garamond"/>
        </w:rPr>
        <w:t>Singapore High Court rejects the challenge to Section 377A</w:t>
      </w:r>
      <w:r>
        <w:rPr>
          <w:rFonts w:ascii="Garamond" w:hAnsi="Garamond"/>
        </w:rPr>
        <w:t xml:space="preserve">, at: </w:t>
      </w:r>
      <w:r w:rsidRPr="001C18CD">
        <w:rPr>
          <w:rFonts w:ascii="Garamond" w:hAnsi="Garamond"/>
        </w:rPr>
        <w:t>https://www.theleaflet.in/singapore-high-court-rejects-the-challenge-to-section-377a/#</w:t>
      </w:r>
    </w:p>
    <w:p w14:paraId="577E387D" w14:textId="77777777" w:rsidR="00C35AA4" w:rsidRPr="008C3C00" w:rsidRDefault="00C35AA4" w:rsidP="00E472CC">
      <w:pPr>
        <w:spacing w:after="240" w:line="360" w:lineRule="auto"/>
      </w:pPr>
    </w:p>
    <w:sectPr w:rsidR="00C35AA4" w:rsidRPr="008C3C00" w:rsidSect="00936D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BECA" w14:textId="77777777" w:rsidR="007E5818" w:rsidRDefault="007E5818" w:rsidP="001C18CD">
      <w:r>
        <w:separator/>
      </w:r>
    </w:p>
  </w:endnote>
  <w:endnote w:type="continuationSeparator" w:id="0">
    <w:p w14:paraId="60A66093" w14:textId="77777777" w:rsidR="007E5818" w:rsidRDefault="007E5818" w:rsidP="001C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9270" w14:textId="77777777" w:rsidR="007E5818" w:rsidRDefault="007E5818" w:rsidP="001C18CD">
      <w:r>
        <w:separator/>
      </w:r>
    </w:p>
  </w:footnote>
  <w:footnote w:type="continuationSeparator" w:id="0">
    <w:p w14:paraId="7CB6AAE9" w14:textId="77777777" w:rsidR="007E5818" w:rsidRDefault="007E5818" w:rsidP="001C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nsid w:val="12462B91"/>
    <w:multiLevelType w:val="hybridMultilevel"/>
    <w:tmpl w:val="07BAC84E"/>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8455C"/>
    <w:multiLevelType w:val="hybridMultilevel"/>
    <w:tmpl w:val="305EF284"/>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5C0835"/>
    <w:multiLevelType w:val="hybridMultilevel"/>
    <w:tmpl w:val="18E67C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8D7D7C"/>
    <w:multiLevelType w:val="hybridMultilevel"/>
    <w:tmpl w:val="0F0C7F3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CC39D2"/>
    <w:multiLevelType w:val="hybridMultilevel"/>
    <w:tmpl w:val="FE72D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73495E"/>
    <w:multiLevelType w:val="hybridMultilevel"/>
    <w:tmpl w:val="5B4CFC00"/>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125944"/>
    <w:multiLevelType w:val="hybridMultilevel"/>
    <w:tmpl w:val="70BC7704"/>
    <w:lvl w:ilvl="0" w:tplc="7CEA904A">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A070BA4"/>
    <w:multiLevelType w:val="hybridMultilevel"/>
    <w:tmpl w:val="AC18A834"/>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8"/>
  </w:num>
  <w:num w:numId="6">
    <w:abstractNumId w:val="11"/>
  </w:num>
  <w:num w:numId="7">
    <w:abstractNumId w:val="5"/>
  </w:num>
  <w:num w:numId="8">
    <w:abstractNumId w:val="1"/>
  </w:num>
  <w:num w:numId="9">
    <w:abstractNumId w:val="6"/>
  </w:num>
  <w:num w:numId="10">
    <w:abstractNumId w:val="10"/>
  </w:num>
  <w:num w:numId="11">
    <w:abstractNumId w:val="13"/>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04"/>
    <w:rsid w:val="0000359C"/>
    <w:rsid w:val="000047BA"/>
    <w:rsid w:val="00022513"/>
    <w:rsid w:val="00030EB8"/>
    <w:rsid w:val="0003559C"/>
    <w:rsid w:val="00035C43"/>
    <w:rsid w:val="00061C55"/>
    <w:rsid w:val="00065F2C"/>
    <w:rsid w:val="00071036"/>
    <w:rsid w:val="00074D3D"/>
    <w:rsid w:val="00080D1E"/>
    <w:rsid w:val="000964E6"/>
    <w:rsid w:val="000A0596"/>
    <w:rsid w:val="000A50A1"/>
    <w:rsid w:val="000C1EDA"/>
    <w:rsid w:val="000C3530"/>
    <w:rsid w:val="000D31D2"/>
    <w:rsid w:val="000D3507"/>
    <w:rsid w:val="000F7FE9"/>
    <w:rsid w:val="0011450B"/>
    <w:rsid w:val="00137630"/>
    <w:rsid w:val="00144E0C"/>
    <w:rsid w:val="00153CD8"/>
    <w:rsid w:val="00154C52"/>
    <w:rsid w:val="00156AEC"/>
    <w:rsid w:val="001650DC"/>
    <w:rsid w:val="00175724"/>
    <w:rsid w:val="00176CCA"/>
    <w:rsid w:val="00181333"/>
    <w:rsid w:val="00186FEC"/>
    <w:rsid w:val="001A2EAE"/>
    <w:rsid w:val="001A31DB"/>
    <w:rsid w:val="001C18CD"/>
    <w:rsid w:val="001C3575"/>
    <w:rsid w:val="001C4EB2"/>
    <w:rsid w:val="001C6655"/>
    <w:rsid w:val="001E0E1C"/>
    <w:rsid w:val="001E4D3A"/>
    <w:rsid w:val="001F2A39"/>
    <w:rsid w:val="001F4DBE"/>
    <w:rsid w:val="00203474"/>
    <w:rsid w:val="00204CF3"/>
    <w:rsid w:val="00204E90"/>
    <w:rsid w:val="002132BB"/>
    <w:rsid w:val="00213E27"/>
    <w:rsid w:val="00226488"/>
    <w:rsid w:val="0022689A"/>
    <w:rsid w:val="00233076"/>
    <w:rsid w:val="00261547"/>
    <w:rsid w:val="00261E48"/>
    <w:rsid w:val="0027019F"/>
    <w:rsid w:val="00272504"/>
    <w:rsid w:val="0027612A"/>
    <w:rsid w:val="00281F90"/>
    <w:rsid w:val="0029093B"/>
    <w:rsid w:val="00293AC4"/>
    <w:rsid w:val="00293B37"/>
    <w:rsid w:val="0029421B"/>
    <w:rsid w:val="0029491E"/>
    <w:rsid w:val="002B07E6"/>
    <w:rsid w:val="002E1E37"/>
    <w:rsid w:val="002F4414"/>
    <w:rsid w:val="00303E85"/>
    <w:rsid w:val="003131E0"/>
    <w:rsid w:val="00316D50"/>
    <w:rsid w:val="00330BF5"/>
    <w:rsid w:val="003357F3"/>
    <w:rsid w:val="00337DE0"/>
    <w:rsid w:val="00347B3D"/>
    <w:rsid w:val="0035234D"/>
    <w:rsid w:val="003548C7"/>
    <w:rsid w:val="003623ED"/>
    <w:rsid w:val="003637D3"/>
    <w:rsid w:val="003645D2"/>
    <w:rsid w:val="003668DD"/>
    <w:rsid w:val="00393412"/>
    <w:rsid w:val="003A3DFD"/>
    <w:rsid w:val="003B0260"/>
    <w:rsid w:val="003D040E"/>
    <w:rsid w:val="003D4308"/>
    <w:rsid w:val="003F53A4"/>
    <w:rsid w:val="0040049B"/>
    <w:rsid w:val="00420273"/>
    <w:rsid w:val="0043475D"/>
    <w:rsid w:val="0045189F"/>
    <w:rsid w:val="00456B21"/>
    <w:rsid w:val="00457776"/>
    <w:rsid w:val="00463D53"/>
    <w:rsid w:val="00466503"/>
    <w:rsid w:val="00466F1E"/>
    <w:rsid w:val="004A1BDF"/>
    <w:rsid w:val="004A7672"/>
    <w:rsid w:val="004B4C61"/>
    <w:rsid w:val="004C0014"/>
    <w:rsid w:val="004C3E96"/>
    <w:rsid w:val="004E5AB4"/>
    <w:rsid w:val="004F1DA6"/>
    <w:rsid w:val="004F7BF2"/>
    <w:rsid w:val="00501621"/>
    <w:rsid w:val="0050392C"/>
    <w:rsid w:val="005115F0"/>
    <w:rsid w:val="005247F0"/>
    <w:rsid w:val="00527B86"/>
    <w:rsid w:val="00540211"/>
    <w:rsid w:val="0055359D"/>
    <w:rsid w:val="00557BD4"/>
    <w:rsid w:val="00566306"/>
    <w:rsid w:val="00577A00"/>
    <w:rsid w:val="005812CC"/>
    <w:rsid w:val="00592B60"/>
    <w:rsid w:val="005A35E0"/>
    <w:rsid w:val="005A5A4A"/>
    <w:rsid w:val="005B1FBF"/>
    <w:rsid w:val="005C7A1B"/>
    <w:rsid w:val="005E02B8"/>
    <w:rsid w:val="005F1627"/>
    <w:rsid w:val="00601A2C"/>
    <w:rsid w:val="00602515"/>
    <w:rsid w:val="00630AF6"/>
    <w:rsid w:val="00631E5F"/>
    <w:rsid w:val="00633C98"/>
    <w:rsid w:val="00634034"/>
    <w:rsid w:val="00634BC1"/>
    <w:rsid w:val="00637D41"/>
    <w:rsid w:val="006408C1"/>
    <w:rsid w:val="00657C10"/>
    <w:rsid w:val="00657F02"/>
    <w:rsid w:val="00667456"/>
    <w:rsid w:val="0067278E"/>
    <w:rsid w:val="006728AB"/>
    <w:rsid w:val="00680BFA"/>
    <w:rsid w:val="00687FDC"/>
    <w:rsid w:val="00694086"/>
    <w:rsid w:val="006B0349"/>
    <w:rsid w:val="006B0A1D"/>
    <w:rsid w:val="006B338A"/>
    <w:rsid w:val="006B5D5E"/>
    <w:rsid w:val="006B6407"/>
    <w:rsid w:val="006C6D8A"/>
    <w:rsid w:val="006C7838"/>
    <w:rsid w:val="006E24C0"/>
    <w:rsid w:val="006F332B"/>
    <w:rsid w:val="007030C7"/>
    <w:rsid w:val="00720AED"/>
    <w:rsid w:val="00747661"/>
    <w:rsid w:val="00752DEE"/>
    <w:rsid w:val="00764F98"/>
    <w:rsid w:val="00765864"/>
    <w:rsid w:val="0076783F"/>
    <w:rsid w:val="00773C17"/>
    <w:rsid w:val="00775F8B"/>
    <w:rsid w:val="007904D4"/>
    <w:rsid w:val="007945CA"/>
    <w:rsid w:val="007A2093"/>
    <w:rsid w:val="007A3EE6"/>
    <w:rsid w:val="007A4ACA"/>
    <w:rsid w:val="007A6790"/>
    <w:rsid w:val="007B17A9"/>
    <w:rsid w:val="007B2E1E"/>
    <w:rsid w:val="007B49C1"/>
    <w:rsid w:val="007B5076"/>
    <w:rsid w:val="007E1185"/>
    <w:rsid w:val="007E5818"/>
    <w:rsid w:val="00802B46"/>
    <w:rsid w:val="00807461"/>
    <w:rsid w:val="0081345B"/>
    <w:rsid w:val="00815BEA"/>
    <w:rsid w:val="00825720"/>
    <w:rsid w:val="00836DCE"/>
    <w:rsid w:val="00841510"/>
    <w:rsid w:val="00855046"/>
    <w:rsid w:val="00856E66"/>
    <w:rsid w:val="00895437"/>
    <w:rsid w:val="00896BA9"/>
    <w:rsid w:val="008B75EF"/>
    <w:rsid w:val="008C3A25"/>
    <w:rsid w:val="008C3C00"/>
    <w:rsid w:val="008D7484"/>
    <w:rsid w:val="008E2A34"/>
    <w:rsid w:val="008E3672"/>
    <w:rsid w:val="008E72E0"/>
    <w:rsid w:val="008F12DD"/>
    <w:rsid w:val="009223B6"/>
    <w:rsid w:val="00931F43"/>
    <w:rsid w:val="00936DC8"/>
    <w:rsid w:val="00940621"/>
    <w:rsid w:val="009410BF"/>
    <w:rsid w:val="009417D1"/>
    <w:rsid w:val="009447D6"/>
    <w:rsid w:val="009672E6"/>
    <w:rsid w:val="009728E2"/>
    <w:rsid w:val="00975DF1"/>
    <w:rsid w:val="009771B5"/>
    <w:rsid w:val="00980A87"/>
    <w:rsid w:val="009812DC"/>
    <w:rsid w:val="00982334"/>
    <w:rsid w:val="00992D0C"/>
    <w:rsid w:val="0099379F"/>
    <w:rsid w:val="009A4FFA"/>
    <w:rsid w:val="009D2399"/>
    <w:rsid w:val="009E0F9D"/>
    <w:rsid w:val="009F2E26"/>
    <w:rsid w:val="009F37CB"/>
    <w:rsid w:val="009F6322"/>
    <w:rsid w:val="009F701D"/>
    <w:rsid w:val="00A01850"/>
    <w:rsid w:val="00A028CD"/>
    <w:rsid w:val="00A035F1"/>
    <w:rsid w:val="00A12238"/>
    <w:rsid w:val="00A17622"/>
    <w:rsid w:val="00A31AF3"/>
    <w:rsid w:val="00A676C2"/>
    <w:rsid w:val="00A71789"/>
    <w:rsid w:val="00A7200F"/>
    <w:rsid w:val="00A777D1"/>
    <w:rsid w:val="00A77B47"/>
    <w:rsid w:val="00A81B37"/>
    <w:rsid w:val="00A917D7"/>
    <w:rsid w:val="00AA2220"/>
    <w:rsid w:val="00AA495D"/>
    <w:rsid w:val="00AA5060"/>
    <w:rsid w:val="00AB29C4"/>
    <w:rsid w:val="00AE3130"/>
    <w:rsid w:val="00AE4079"/>
    <w:rsid w:val="00AF61DD"/>
    <w:rsid w:val="00AF6D94"/>
    <w:rsid w:val="00B078E9"/>
    <w:rsid w:val="00B11702"/>
    <w:rsid w:val="00B136F6"/>
    <w:rsid w:val="00B177B5"/>
    <w:rsid w:val="00B621FF"/>
    <w:rsid w:val="00B646F8"/>
    <w:rsid w:val="00B82CB8"/>
    <w:rsid w:val="00B94368"/>
    <w:rsid w:val="00BA1F3D"/>
    <w:rsid w:val="00BA4C8A"/>
    <w:rsid w:val="00BA5A92"/>
    <w:rsid w:val="00BB2804"/>
    <w:rsid w:val="00BC1EFF"/>
    <w:rsid w:val="00BD6835"/>
    <w:rsid w:val="00BD7FAA"/>
    <w:rsid w:val="00BF243D"/>
    <w:rsid w:val="00C00B36"/>
    <w:rsid w:val="00C06FBA"/>
    <w:rsid w:val="00C15DF2"/>
    <w:rsid w:val="00C21E7B"/>
    <w:rsid w:val="00C32717"/>
    <w:rsid w:val="00C32C62"/>
    <w:rsid w:val="00C35AA4"/>
    <w:rsid w:val="00C37036"/>
    <w:rsid w:val="00C42519"/>
    <w:rsid w:val="00C50B66"/>
    <w:rsid w:val="00C711C1"/>
    <w:rsid w:val="00C8712D"/>
    <w:rsid w:val="00CA06DB"/>
    <w:rsid w:val="00CD2DD6"/>
    <w:rsid w:val="00CF6D58"/>
    <w:rsid w:val="00D00061"/>
    <w:rsid w:val="00D13FDB"/>
    <w:rsid w:val="00D40580"/>
    <w:rsid w:val="00D46357"/>
    <w:rsid w:val="00D66782"/>
    <w:rsid w:val="00D678DA"/>
    <w:rsid w:val="00D82DB0"/>
    <w:rsid w:val="00D842C3"/>
    <w:rsid w:val="00D86804"/>
    <w:rsid w:val="00DA459F"/>
    <w:rsid w:val="00DC1A95"/>
    <w:rsid w:val="00DC6899"/>
    <w:rsid w:val="00DD38F7"/>
    <w:rsid w:val="00E0113D"/>
    <w:rsid w:val="00E03B60"/>
    <w:rsid w:val="00E1490C"/>
    <w:rsid w:val="00E246E8"/>
    <w:rsid w:val="00E24E8D"/>
    <w:rsid w:val="00E34B5B"/>
    <w:rsid w:val="00E34C99"/>
    <w:rsid w:val="00E37BBC"/>
    <w:rsid w:val="00E37F9A"/>
    <w:rsid w:val="00E45C18"/>
    <w:rsid w:val="00E472CC"/>
    <w:rsid w:val="00E777DA"/>
    <w:rsid w:val="00E85E1B"/>
    <w:rsid w:val="00E94A71"/>
    <w:rsid w:val="00E960ED"/>
    <w:rsid w:val="00EA15F7"/>
    <w:rsid w:val="00EA1AEB"/>
    <w:rsid w:val="00EA7B67"/>
    <w:rsid w:val="00EB046F"/>
    <w:rsid w:val="00EC1B6E"/>
    <w:rsid w:val="00EC3F14"/>
    <w:rsid w:val="00ED43D7"/>
    <w:rsid w:val="00EE2C33"/>
    <w:rsid w:val="00EE3129"/>
    <w:rsid w:val="00EE4216"/>
    <w:rsid w:val="00EE6A5B"/>
    <w:rsid w:val="00EF49FE"/>
    <w:rsid w:val="00F0462C"/>
    <w:rsid w:val="00F1049B"/>
    <w:rsid w:val="00F13F07"/>
    <w:rsid w:val="00F24C22"/>
    <w:rsid w:val="00F24FD4"/>
    <w:rsid w:val="00F257CA"/>
    <w:rsid w:val="00F304E9"/>
    <w:rsid w:val="00F54349"/>
    <w:rsid w:val="00F67803"/>
    <w:rsid w:val="00F766D8"/>
    <w:rsid w:val="00FA42AF"/>
    <w:rsid w:val="00FB7E0F"/>
    <w:rsid w:val="00FD0540"/>
    <w:rsid w:val="00FD0BB2"/>
    <w:rsid w:val="00FD1B2E"/>
    <w:rsid w:val="00FD1C8E"/>
    <w:rsid w:val="00FD3F26"/>
    <w:rsid w:val="00FD7FD8"/>
    <w:rsid w:val="00FE6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customStyle="1"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paragraph" w:styleId="Header">
    <w:name w:val="header"/>
    <w:basedOn w:val="Normal"/>
    <w:link w:val="HeaderChar"/>
    <w:uiPriority w:val="99"/>
    <w:unhideWhenUsed/>
    <w:rsid w:val="001C18CD"/>
    <w:pPr>
      <w:tabs>
        <w:tab w:val="center" w:pos="4513"/>
        <w:tab w:val="right" w:pos="9026"/>
      </w:tabs>
    </w:pPr>
  </w:style>
  <w:style w:type="character" w:customStyle="1" w:styleId="HeaderChar">
    <w:name w:val="Header Char"/>
    <w:basedOn w:val="DefaultParagraphFont"/>
    <w:link w:val="Header"/>
    <w:uiPriority w:val="99"/>
    <w:rsid w:val="001C18CD"/>
  </w:style>
  <w:style w:type="paragraph" w:styleId="Footer">
    <w:name w:val="footer"/>
    <w:basedOn w:val="Normal"/>
    <w:link w:val="FooterChar"/>
    <w:uiPriority w:val="99"/>
    <w:unhideWhenUsed/>
    <w:rsid w:val="001C18CD"/>
    <w:pPr>
      <w:tabs>
        <w:tab w:val="center" w:pos="4513"/>
        <w:tab w:val="right" w:pos="9026"/>
      </w:tabs>
    </w:pPr>
  </w:style>
  <w:style w:type="character" w:customStyle="1" w:styleId="FooterChar">
    <w:name w:val="Footer Char"/>
    <w:basedOn w:val="DefaultParagraphFont"/>
    <w:link w:val="Footer"/>
    <w:uiPriority w:val="99"/>
    <w:rsid w:val="001C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customStyle="1"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paragraph" w:styleId="Header">
    <w:name w:val="header"/>
    <w:basedOn w:val="Normal"/>
    <w:link w:val="HeaderChar"/>
    <w:uiPriority w:val="99"/>
    <w:unhideWhenUsed/>
    <w:rsid w:val="001C18CD"/>
    <w:pPr>
      <w:tabs>
        <w:tab w:val="center" w:pos="4513"/>
        <w:tab w:val="right" w:pos="9026"/>
      </w:tabs>
    </w:pPr>
  </w:style>
  <w:style w:type="character" w:customStyle="1" w:styleId="HeaderChar">
    <w:name w:val="Header Char"/>
    <w:basedOn w:val="DefaultParagraphFont"/>
    <w:link w:val="Header"/>
    <w:uiPriority w:val="99"/>
    <w:rsid w:val="001C18CD"/>
  </w:style>
  <w:style w:type="paragraph" w:styleId="Footer">
    <w:name w:val="footer"/>
    <w:basedOn w:val="Normal"/>
    <w:link w:val="FooterChar"/>
    <w:uiPriority w:val="99"/>
    <w:unhideWhenUsed/>
    <w:rsid w:val="001C18CD"/>
    <w:pPr>
      <w:tabs>
        <w:tab w:val="center" w:pos="4513"/>
        <w:tab w:val="right" w:pos="9026"/>
      </w:tabs>
    </w:pPr>
  </w:style>
  <w:style w:type="character" w:customStyle="1" w:styleId="FooterChar">
    <w:name w:val="Footer Char"/>
    <w:basedOn w:val="DefaultParagraphFont"/>
    <w:link w:val="Footer"/>
    <w:uiPriority w:val="99"/>
    <w:rsid w:val="001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886571">
          <w:marLeft w:val="0"/>
          <w:marRight w:val="0"/>
          <w:marTop w:val="0"/>
          <w:marBottom w:val="0"/>
          <w:divBdr>
            <w:top w:val="none" w:sz="0" w:space="0" w:color="auto"/>
            <w:left w:val="none" w:sz="0" w:space="0" w:color="auto"/>
            <w:bottom w:val="none" w:sz="0" w:space="0" w:color="auto"/>
            <w:right w:val="none" w:sz="0" w:space="0" w:color="auto"/>
          </w:divBdr>
          <w:divsChild>
            <w:div w:id="464199360">
              <w:marLeft w:val="0"/>
              <w:marRight w:val="0"/>
              <w:marTop w:val="0"/>
              <w:marBottom w:val="0"/>
              <w:divBdr>
                <w:top w:val="none" w:sz="0" w:space="0" w:color="auto"/>
                <w:left w:val="none" w:sz="0" w:space="0" w:color="auto"/>
                <w:bottom w:val="none" w:sz="0" w:space="0" w:color="auto"/>
                <w:right w:val="none" w:sz="0" w:space="0" w:color="auto"/>
              </w:divBdr>
              <w:divsChild>
                <w:div w:id="12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771">
      <w:bodyDiv w:val="1"/>
      <w:marLeft w:val="0"/>
      <w:marRight w:val="0"/>
      <w:marTop w:val="0"/>
      <w:marBottom w:val="0"/>
      <w:divBdr>
        <w:top w:val="none" w:sz="0" w:space="0" w:color="auto"/>
        <w:left w:val="none" w:sz="0" w:space="0" w:color="auto"/>
        <w:bottom w:val="none" w:sz="0" w:space="0" w:color="auto"/>
        <w:right w:val="none" w:sz="0" w:space="0" w:color="auto"/>
      </w:divBdr>
      <w:divsChild>
        <w:div w:id="1506092588">
          <w:marLeft w:val="0"/>
          <w:marRight w:val="0"/>
          <w:marTop w:val="0"/>
          <w:marBottom w:val="0"/>
          <w:divBdr>
            <w:top w:val="none" w:sz="0" w:space="0" w:color="auto"/>
            <w:left w:val="none" w:sz="0" w:space="0" w:color="auto"/>
            <w:bottom w:val="none" w:sz="0" w:space="0" w:color="auto"/>
            <w:right w:val="none" w:sz="0" w:space="0" w:color="auto"/>
          </w:divBdr>
          <w:divsChild>
            <w:div w:id="749692137">
              <w:marLeft w:val="0"/>
              <w:marRight w:val="0"/>
              <w:marTop w:val="0"/>
              <w:marBottom w:val="0"/>
              <w:divBdr>
                <w:top w:val="none" w:sz="0" w:space="0" w:color="auto"/>
                <w:left w:val="none" w:sz="0" w:space="0" w:color="auto"/>
                <w:bottom w:val="none" w:sz="0" w:space="0" w:color="auto"/>
                <w:right w:val="none" w:sz="0" w:space="0" w:color="auto"/>
              </w:divBdr>
              <w:divsChild>
                <w:div w:id="541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19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295">
          <w:marLeft w:val="0"/>
          <w:marRight w:val="0"/>
          <w:marTop w:val="0"/>
          <w:marBottom w:val="0"/>
          <w:divBdr>
            <w:top w:val="none" w:sz="0" w:space="0" w:color="auto"/>
            <w:left w:val="none" w:sz="0" w:space="0" w:color="auto"/>
            <w:bottom w:val="none" w:sz="0" w:space="0" w:color="auto"/>
            <w:right w:val="none" w:sz="0" w:space="0" w:color="auto"/>
          </w:divBdr>
          <w:divsChild>
            <w:div w:id="2147038732">
              <w:marLeft w:val="0"/>
              <w:marRight w:val="0"/>
              <w:marTop w:val="0"/>
              <w:marBottom w:val="0"/>
              <w:divBdr>
                <w:top w:val="none" w:sz="0" w:space="0" w:color="auto"/>
                <w:left w:val="none" w:sz="0" w:space="0" w:color="auto"/>
                <w:bottom w:val="none" w:sz="0" w:space="0" w:color="auto"/>
                <w:right w:val="none" w:sz="0" w:space="0" w:color="auto"/>
              </w:divBdr>
              <w:divsChild>
                <w:div w:id="173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3">
      <w:bodyDiv w:val="1"/>
      <w:marLeft w:val="0"/>
      <w:marRight w:val="0"/>
      <w:marTop w:val="0"/>
      <w:marBottom w:val="0"/>
      <w:divBdr>
        <w:top w:val="none" w:sz="0" w:space="0" w:color="auto"/>
        <w:left w:val="none" w:sz="0" w:space="0" w:color="auto"/>
        <w:bottom w:val="none" w:sz="0" w:space="0" w:color="auto"/>
        <w:right w:val="none" w:sz="0" w:space="0" w:color="auto"/>
      </w:divBdr>
      <w:divsChild>
        <w:div w:id="162480186">
          <w:marLeft w:val="0"/>
          <w:marRight w:val="0"/>
          <w:marTop w:val="0"/>
          <w:marBottom w:val="0"/>
          <w:divBdr>
            <w:top w:val="none" w:sz="0" w:space="0" w:color="auto"/>
            <w:left w:val="none" w:sz="0" w:space="0" w:color="auto"/>
            <w:bottom w:val="none" w:sz="0" w:space="0" w:color="auto"/>
            <w:right w:val="none" w:sz="0" w:space="0" w:color="auto"/>
          </w:divBdr>
          <w:divsChild>
            <w:div w:id="2143188310">
              <w:marLeft w:val="0"/>
              <w:marRight w:val="0"/>
              <w:marTop w:val="0"/>
              <w:marBottom w:val="0"/>
              <w:divBdr>
                <w:top w:val="none" w:sz="0" w:space="0" w:color="auto"/>
                <w:left w:val="none" w:sz="0" w:space="0" w:color="auto"/>
                <w:bottom w:val="none" w:sz="0" w:space="0" w:color="auto"/>
                <w:right w:val="none" w:sz="0" w:space="0" w:color="auto"/>
              </w:divBdr>
              <w:divsChild>
                <w:div w:id="505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5920">
          <w:marLeft w:val="0"/>
          <w:marRight w:val="0"/>
          <w:marTop w:val="0"/>
          <w:marBottom w:val="0"/>
          <w:divBdr>
            <w:top w:val="none" w:sz="0" w:space="0" w:color="auto"/>
            <w:left w:val="none" w:sz="0" w:space="0" w:color="auto"/>
            <w:bottom w:val="none" w:sz="0" w:space="0" w:color="auto"/>
            <w:right w:val="none" w:sz="0" w:space="0" w:color="auto"/>
          </w:divBdr>
          <w:divsChild>
            <w:div w:id="165367979">
              <w:marLeft w:val="0"/>
              <w:marRight w:val="0"/>
              <w:marTop w:val="0"/>
              <w:marBottom w:val="0"/>
              <w:divBdr>
                <w:top w:val="none" w:sz="0" w:space="0" w:color="auto"/>
                <w:left w:val="none" w:sz="0" w:space="0" w:color="auto"/>
                <w:bottom w:val="none" w:sz="0" w:space="0" w:color="auto"/>
                <w:right w:val="none" w:sz="0" w:space="0" w:color="auto"/>
              </w:divBdr>
              <w:divsChild>
                <w:div w:id="1800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647">
      <w:bodyDiv w:val="1"/>
      <w:marLeft w:val="0"/>
      <w:marRight w:val="0"/>
      <w:marTop w:val="0"/>
      <w:marBottom w:val="0"/>
      <w:divBdr>
        <w:top w:val="none" w:sz="0" w:space="0" w:color="auto"/>
        <w:left w:val="none" w:sz="0" w:space="0" w:color="auto"/>
        <w:bottom w:val="none" w:sz="0" w:space="0" w:color="auto"/>
        <w:right w:val="none" w:sz="0" w:space="0" w:color="auto"/>
      </w:divBdr>
      <w:divsChild>
        <w:div w:id="1532568158">
          <w:marLeft w:val="0"/>
          <w:marRight w:val="0"/>
          <w:marTop w:val="0"/>
          <w:marBottom w:val="0"/>
          <w:divBdr>
            <w:top w:val="none" w:sz="0" w:space="0" w:color="auto"/>
            <w:left w:val="none" w:sz="0" w:space="0" w:color="auto"/>
            <w:bottom w:val="none" w:sz="0" w:space="0" w:color="auto"/>
            <w:right w:val="none" w:sz="0" w:space="0" w:color="auto"/>
          </w:divBdr>
        </w:div>
        <w:div w:id="2053769974">
          <w:marLeft w:val="0"/>
          <w:marRight w:val="0"/>
          <w:marTop w:val="0"/>
          <w:marBottom w:val="0"/>
          <w:divBdr>
            <w:top w:val="none" w:sz="0" w:space="0" w:color="auto"/>
            <w:left w:val="none" w:sz="0" w:space="0" w:color="auto"/>
            <w:bottom w:val="none" w:sz="0" w:space="0" w:color="auto"/>
            <w:right w:val="none" w:sz="0" w:space="0" w:color="auto"/>
          </w:divBdr>
        </w:div>
        <w:div w:id="470364613">
          <w:marLeft w:val="0"/>
          <w:marRight w:val="0"/>
          <w:marTop w:val="0"/>
          <w:marBottom w:val="0"/>
          <w:divBdr>
            <w:top w:val="none" w:sz="0" w:space="0" w:color="auto"/>
            <w:left w:val="none" w:sz="0" w:space="0" w:color="auto"/>
            <w:bottom w:val="none" w:sz="0" w:space="0" w:color="auto"/>
            <w:right w:val="none" w:sz="0" w:space="0" w:color="auto"/>
          </w:divBdr>
        </w:div>
        <w:div w:id="2010019925">
          <w:marLeft w:val="0"/>
          <w:marRight w:val="0"/>
          <w:marTop w:val="0"/>
          <w:marBottom w:val="0"/>
          <w:divBdr>
            <w:top w:val="none" w:sz="0" w:space="0" w:color="auto"/>
            <w:left w:val="none" w:sz="0" w:space="0" w:color="auto"/>
            <w:bottom w:val="none" w:sz="0" w:space="0" w:color="auto"/>
            <w:right w:val="none" w:sz="0" w:space="0" w:color="auto"/>
          </w:divBdr>
        </w:div>
        <w:div w:id="330565788">
          <w:marLeft w:val="0"/>
          <w:marRight w:val="0"/>
          <w:marTop w:val="0"/>
          <w:marBottom w:val="0"/>
          <w:divBdr>
            <w:top w:val="none" w:sz="0" w:space="0" w:color="auto"/>
            <w:left w:val="none" w:sz="0" w:space="0" w:color="auto"/>
            <w:bottom w:val="none" w:sz="0" w:space="0" w:color="auto"/>
            <w:right w:val="none" w:sz="0" w:space="0" w:color="auto"/>
          </w:divBdr>
        </w:div>
        <w:div w:id="1580097671">
          <w:marLeft w:val="0"/>
          <w:marRight w:val="0"/>
          <w:marTop w:val="0"/>
          <w:marBottom w:val="0"/>
          <w:divBdr>
            <w:top w:val="none" w:sz="0" w:space="0" w:color="auto"/>
            <w:left w:val="none" w:sz="0" w:space="0" w:color="auto"/>
            <w:bottom w:val="none" w:sz="0" w:space="0" w:color="auto"/>
            <w:right w:val="none" w:sz="0" w:space="0" w:color="auto"/>
          </w:divBdr>
        </w:div>
        <w:div w:id="766774961">
          <w:marLeft w:val="0"/>
          <w:marRight w:val="0"/>
          <w:marTop w:val="0"/>
          <w:marBottom w:val="0"/>
          <w:divBdr>
            <w:top w:val="none" w:sz="0" w:space="0" w:color="auto"/>
            <w:left w:val="none" w:sz="0" w:space="0" w:color="auto"/>
            <w:bottom w:val="none" w:sz="0" w:space="0" w:color="auto"/>
            <w:right w:val="none" w:sz="0" w:space="0" w:color="auto"/>
          </w:divBdr>
        </w:div>
        <w:div w:id="883517439">
          <w:marLeft w:val="0"/>
          <w:marRight w:val="0"/>
          <w:marTop w:val="0"/>
          <w:marBottom w:val="0"/>
          <w:divBdr>
            <w:top w:val="none" w:sz="0" w:space="0" w:color="auto"/>
            <w:left w:val="none" w:sz="0" w:space="0" w:color="auto"/>
            <w:bottom w:val="none" w:sz="0" w:space="0" w:color="auto"/>
            <w:right w:val="none" w:sz="0" w:space="0" w:color="auto"/>
          </w:divBdr>
        </w:div>
        <w:div w:id="1004699267">
          <w:marLeft w:val="0"/>
          <w:marRight w:val="0"/>
          <w:marTop w:val="0"/>
          <w:marBottom w:val="0"/>
          <w:divBdr>
            <w:top w:val="none" w:sz="0" w:space="0" w:color="auto"/>
            <w:left w:val="none" w:sz="0" w:space="0" w:color="auto"/>
            <w:bottom w:val="none" w:sz="0" w:space="0" w:color="auto"/>
            <w:right w:val="none" w:sz="0" w:space="0" w:color="auto"/>
          </w:divBdr>
        </w:div>
        <w:div w:id="68045992">
          <w:marLeft w:val="0"/>
          <w:marRight w:val="0"/>
          <w:marTop w:val="0"/>
          <w:marBottom w:val="0"/>
          <w:divBdr>
            <w:top w:val="none" w:sz="0" w:space="0" w:color="auto"/>
            <w:left w:val="none" w:sz="0" w:space="0" w:color="auto"/>
            <w:bottom w:val="none" w:sz="0" w:space="0" w:color="auto"/>
            <w:right w:val="none" w:sz="0" w:space="0" w:color="auto"/>
          </w:divBdr>
        </w:div>
        <w:div w:id="1540777995">
          <w:marLeft w:val="0"/>
          <w:marRight w:val="0"/>
          <w:marTop w:val="0"/>
          <w:marBottom w:val="0"/>
          <w:divBdr>
            <w:top w:val="none" w:sz="0" w:space="0" w:color="auto"/>
            <w:left w:val="none" w:sz="0" w:space="0" w:color="auto"/>
            <w:bottom w:val="none" w:sz="0" w:space="0" w:color="auto"/>
            <w:right w:val="none" w:sz="0" w:space="0" w:color="auto"/>
          </w:divBdr>
        </w:div>
        <w:div w:id="359740400">
          <w:marLeft w:val="0"/>
          <w:marRight w:val="0"/>
          <w:marTop w:val="0"/>
          <w:marBottom w:val="0"/>
          <w:divBdr>
            <w:top w:val="none" w:sz="0" w:space="0" w:color="auto"/>
            <w:left w:val="none" w:sz="0" w:space="0" w:color="auto"/>
            <w:bottom w:val="none" w:sz="0" w:space="0" w:color="auto"/>
            <w:right w:val="none" w:sz="0" w:space="0" w:color="auto"/>
          </w:divBdr>
        </w:div>
        <w:div w:id="106313303">
          <w:marLeft w:val="0"/>
          <w:marRight w:val="0"/>
          <w:marTop w:val="0"/>
          <w:marBottom w:val="0"/>
          <w:divBdr>
            <w:top w:val="none" w:sz="0" w:space="0" w:color="auto"/>
            <w:left w:val="none" w:sz="0" w:space="0" w:color="auto"/>
            <w:bottom w:val="none" w:sz="0" w:space="0" w:color="auto"/>
            <w:right w:val="none" w:sz="0" w:space="0" w:color="auto"/>
          </w:divBdr>
        </w:div>
        <w:div w:id="1039209483">
          <w:marLeft w:val="0"/>
          <w:marRight w:val="0"/>
          <w:marTop w:val="0"/>
          <w:marBottom w:val="0"/>
          <w:divBdr>
            <w:top w:val="none" w:sz="0" w:space="0" w:color="auto"/>
            <w:left w:val="none" w:sz="0" w:space="0" w:color="auto"/>
            <w:bottom w:val="none" w:sz="0" w:space="0" w:color="auto"/>
            <w:right w:val="none" w:sz="0" w:space="0" w:color="auto"/>
          </w:divBdr>
        </w:div>
      </w:divsChild>
    </w:div>
    <w:div w:id="8777409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4">
          <w:marLeft w:val="0"/>
          <w:marRight w:val="0"/>
          <w:marTop w:val="0"/>
          <w:marBottom w:val="0"/>
          <w:divBdr>
            <w:top w:val="none" w:sz="0" w:space="0" w:color="auto"/>
            <w:left w:val="none" w:sz="0" w:space="0" w:color="auto"/>
            <w:bottom w:val="none" w:sz="0" w:space="0" w:color="auto"/>
            <w:right w:val="none" w:sz="0" w:space="0" w:color="auto"/>
          </w:divBdr>
          <w:divsChild>
            <w:div w:id="722480455">
              <w:marLeft w:val="0"/>
              <w:marRight w:val="0"/>
              <w:marTop w:val="0"/>
              <w:marBottom w:val="0"/>
              <w:divBdr>
                <w:top w:val="none" w:sz="0" w:space="0" w:color="auto"/>
                <w:left w:val="none" w:sz="0" w:space="0" w:color="auto"/>
                <w:bottom w:val="none" w:sz="0" w:space="0" w:color="auto"/>
                <w:right w:val="none" w:sz="0" w:space="0" w:color="auto"/>
              </w:divBdr>
              <w:divsChild>
                <w:div w:id="94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83">
      <w:bodyDiv w:val="1"/>
      <w:marLeft w:val="0"/>
      <w:marRight w:val="0"/>
      <w:marTop w:val="0"/>
      <w:marBottom w:val="0"/>
      <w:divBdr>
        <w:top w:val="none" w:sz="0" w:space="0" w:color="auto"/>
        <w:left w:val="none" w:sz="0" w:space="0" w:color="auto"/>
        <w:bottom w:val="none" w:sz="0" w:space="0" w:color="auto"/>
        <w:right w:val="none" w:sz="0" w:space="0" w:color="auto"/>
      </w:divBdr>
    </w:div>
    <w:div w:id="111291897">
      <w:bodyDiv w:val="1"/>
      <w:marLeft w:val="0"/>
      <w:marRight w:val="0"/>
      <w:marTop w:val="0"/>
      <w:marBottom w:val="0"/>
      <w:divBdr>
        <w:top w:val="none" w:sz="0" w:space="0" w:color="auto"/>
        <w:left w:val="none" w:sz="0" w:space="0" w:color="auto"/>
        <w:bottom w:val="none" w:sz="0" w:space="0" w:color="auto"/>
        <w:right w:val="none" w:sz="0" w:space="0" w:color="auto"/>
      </w:divBdr>
      <w:divsChild>
        <w:div w:id="122594580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203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85">
      <w:bodyDiv w:val="1"/>
      <w:marLeft w:val="0"/>
      <w:marRight w:val="0"/>
      <w:marTop w:val="0"/>
      <w:marBottom w:val="0"/>
      <w:divBdr>
        <w:top w:val="none" w:sz="0" w:space="0" w:color="auto"/>
        <w:left w:val="none" w:sz="0" w:space="0" w:color="auto"/>
        <w:bottom w:val="none" w:sz="0" w:space="0" w:color="auto"/>
        <w:right w:val="none" w:sz="0" w:space="0" w:color="auto"/>
      </w:divBdr>
      <w:divsChild>
        <w:div w:id="368729375">
          <w:marLeft w:val="0"/>
          <w:marRight w:val="0"/>
          <w:marTop w:val="0"/>
          <w:marBottom w:val="0"/>
          <w:divBdr>
            <w:top w:val="none" w:sz="0" w:space="0" w:color="auto"/>
            <w:left w:val="none" w:sz="0" w:space="0" w:color="auto"/>
            <w:bottom w:val="none" w:sz="0" w:space="0" w:color="auto"/>
            <w:right w:val="none" w:sz="0" w:space="0" w:color="auto"/>
          </w:divBdr>
          <w:divsChild>
            <w:div w:id="2024280035">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351">
      <w:bodyDiv w:val="1"/>
      <w:marLeft w:val="0"/>
      <w:marRight w:val="0"/>
      <w:marTop w:val="0"/>
      <w:marBottom w:val="0"/>
      <w:divBdr>
        <w:top w:val="none" w:sz="0" w:space="0" w:color="auto"/>
        <w:left w:val="none" w:sz="0" w:space="0" w:color="auto"/>
        <w:bottom w:val="none" w:sz="0" w:space="0" w:color="auto"/>
        <w:right w:val="none" w:sz="0" w:space="0" w:color="auto"/>
      </w:divBdr>
      <w:divsChild>
        <w:div w:id="804734461">
          <w:marLeft w:val="0"/>
          <w:marRight w:val="0"/>
          <w:marTop w:val="0"/>
          <w:marBottom w:val="0"/>
          <w:divBdr>
            <w:top w:val="none" w:sz="0" w:space="0" w:color="auto"/>
            <w:left w:val="none" w:sz="0" w:space="0" w:color="auto"/>
            <w:bottom w:val="none" w:sz="0" w:space="0" w:color="auto"/>
            <w:right w:val="none" w:sz="0" w:space="0" w:color="auto"/>
          </w:divBdr>
          <w:divsChild>
            <w:div w:id="908729093">
              <w:marLeft w:val="0"/>
              <w:marRight w:val="0"/>
              <w:marTop w:val="0"/>
              <w:marBottom w:val="0"/>
              <w:divBdr>
                <w:top w:val="none" w:sz="0" w:space="0" w:color="auto"/>
                <w:left w:val="none" w:sz="0" w:space="0" w:color="auto"/>
                <w:bottom w:val="none" w:sz="0" w:space="0" w:color="auto"/>
                <w:right w:val="none" w:sz="0" w:space="0" w:color="auto"/>
              </w:divBdr>
              <w:divsChild>
                <w:div w:id="1145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150">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sChild>
        <w:div w:id="696196585">
          <w:marLeft w:val="0"/>
          <w:marRight w:val="0"/>
          <w:marTop w:val="0"/>
          <w:marBottom w:val="0"/>
          <w:divBdr>
            <w:top w:val="none" w:sz="0" w:space="0" w:color="auto"/>
            <w:left w:val="none" w:sz="0" w:space="0" w:color="auto"/>
            <w:bottom w:val="none" w:sz="0" w:space="0" w:color="auto"/>
            <w:right w:val="none" w:sz="0" w:space="0" w:color="auto"/>
          </w:divBdr>
          <w:divsChild>
            <w:div w:id="1326283689">
              <w:marLeft w:val="0"/>
              <w:marRight w:val="0"/>
              <w:marTop w:val="0"/>
              <w:marBottom w:val="0"/>
              <w:divBdr>
                <w:top w:val="none" w:sz="0" w:space="0" w:color="auto"/>
                <w:left w:val="none" w:sz="0" w:space="0" w:color="auto"/>
                <w:bottom w:val="none" w:sz="0" w:space="0" w:color="auto"/>
                <w:right w:val="none" w:sz="0" w:space="0" w:color="auto"/>
              </w:divBdr>
              <w:divsChild>
                <w:div w:id="1355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40">
      <w:bodyDiv w:val="1"/>
      <w:marLeft w:val="0"/>
      <w:marRight w:val="0"/>
      <w:marTop w:val="0"/>
      <w:marBottom w:val="0"/>
      <w:divBdr>
        <w:top w:val="none" w:sz="0" w:space="0" w:color="auto"/>
        <w:left w:val="none" w:sz="0" w:space="0" w:color="auto"/>
        <w:bottom w:val="none" w:sz="0" w:space="0" w:color="auto"/>
        <w:right w:val="none" w:sz="0" w:space="0" w:color="auto"/>
      </w:divBdr>
      <w:divsChild>
        <w:div w:id="781997910">
          <w:marLeft w:val="0"/>
          <w:marRight w:val="0"/>
          <w:marTop w:val="0"/>
          <w:marBottom w:val="0"/>
          <w:divBdr>
            <w:top w:val="none" w:sz="0" w:space="0" w:color="auto"/>
            <w:left w:val="none" w:sz="0" w:space="0" w:color="auto"/>
            <w:bottom w:val="none" w:sz="0" w:space="0" w:color="auto"/>
            <w:right w:val="none" w:sz="0" w:space="0" w:color="auto"/>
          </w:divBdr>
          <w:divsChild>
            <w:div w:id="1155031665">
              <w:marLeft w:val="0"/>
              <w:marRight w:val="0"/>
              <w:marTop w:val="0"/>
              <w:marBottom w:val="0"/>
              <w:divBdr>
                <w:top w:val="none" w:sz="0" w:space="0" w:color="auto"/>
                <w:left w:val="none" w:sz="0" w:space="0" w:color="auto"/>
                <w:bottom w:val="none" w:sz="0" w:space="0" w:color="auto"/>
                <w:right w:val="none" w:sz="0" w:space="0" w:color="auto"/>
              </w:divBdr>
              <w:divsChild>
                <w:div w:id="2003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7132">
      <w:bodyDiv w:val="1"/>
      <w:marLeft w:val="0"/>
      <w:marRight w:val="0"/>
      <w:marTop w:val="0"/>
      <w:marBottom w:val="0"/>
      <w:divBdr>
        <w:top w:val="none" w:sz="0" w:space="0" w:color="auto"/>
        <w:left w:val="none" w:sz="0" w:space="0" w:color="auto"/>
        <w:bottom w:val="none" w:sz="0" w:space="0" w:color="auto"/>
        <w:right w:val="none" w:sz="0" w:space="0" w:color="auto"/>
      </w:divBdr>
    </w:div>
    <w:div w:id="296301598">
      <w:bodyDiv w:val="1"/>
      <w:marLeft w:val="0"/>
      <w:marRight w:val="0"/>
      <w:marTop w:val="0"/>
      <w:marBottom w:val="0"/>
      <w:divBdr>
        <w:top w:val="none" w:sz="0" w:space="0" w:color="auto"/>
        <w:left w:val="none" w:sz="0" w:space="0" w:color="auto"/>
        <w:bottom w:val="none" w:sz="0" w:space="0" w:color="auto"/>
        <w:right w:val="none" w:sz="0" w:space="0" w:color="auto"/>
      </w:divBdr>
    </w:div>
    <w:div w:id="360133576">
      <w:bodyDiv w:val="1"/>
      <w:marLeft w:val="0"/>
      <w:marRight w:val="0"/>
      <w:marTop w:val="0"/>
      <w:marBottom w:val="0"/>
      <w:divBdr>
        <w:top w:val="none" w:sz="0" w:space="0" w:color="auto"/>
        <w:left w:val="none" w:sz="0" w:space="0" w:color="auto"/>
        <w:bottom w:val="none" w:sz="0" w:space="0" w:color="auto"/>
        <w:right w:val="none" w:sz="0" w:space="0" w:color="auto"/>
      </w:divBdr>
    </w:div>
    <w:div w:id="382825719">
      <w:bodyDiv w:val="1"/>
      <w:marLeft w:val="0"/>
      <w:marRight w:val="0"/>
      <w:marTop w:val="0"/>
      <w:marBottom w:val="0"/>
      <w:divBdr>
        <w:top w:val="none" w:sz="0" w:space="0" w:color="auto"/>
        <w:left w:val="none" w:sz="0" w:space="0" w:color="auto"/>
        <w:bottom w:val="none" w:sz="0" w:space="0" w:color="auto"/>
        <w:right w:val="none" w:sz="0" w:space="0" w:color="auto"/>
      </w:divBdr>
      <w:divsChild>
        <w:div w:id="170025648">
          <w:marLeft w:val="0"/>
          <w:marRight w:val="0"/>
          <w:marTop w:val="0"/>
          <w:marBottom w:val="0"/>
          <w:divBdr>
            <w:top w:val="none" w:sz="0" w:space="0" w:color="auto"/>
            <w:left w:val="none" w:sz="0" w:space="0" w:color="auto"/>
            <w:bottom w:val="none" w:sz="0" w:space="0" w:color="auto"/>
            <w:right w:val="none" w:sz="0" w:space="0" w:color="auto"/>
          </w:divBdr>
          <w:divsChild>
            <w:div w:id="1416626883">
              <w:marLeft w:val="0"/>
              <w:marRight w:val="0"/>
              <w:marTop w:val="0"/>
              <w:marBottom w:val="0"/>
              <w:divBdr>
                <w:top w:val="none" w:sz="0" w:space="0" w:color="auto"/>
                <w:left w:val="none" w:sz="0" w:space="0" w:color="auto"/>
                <w:bottom w:val="none" w:sz="0" w:space="0" w:color="auto"/>
                <w:right w:val="none" w:sz="0" w:space="0" w:color="auto"/>
              </w:divBdr>
              <w:divsChild>
                <w:div w:id="770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770">
      <w:bodyDiv w:val="1"/>
      <w:marLeft w:val="0"/>
      <w:marRight w:val="0"/>
      <w:marTop w:val="0"/>
      <w:marBottom w:val="0"/>
      <w:divBdr>
        <w:top w:val="none" w:sz="0" w:space="0" w:color="auto"/>
        <w:left w:val="none" w:sz="0" w:space="0" w:color="auto"/>
        <w:bottom w:val="none" w:sz="0" w:space="0" w:color="auto"/>
        <w:right w:val="none" w:sz="0" w:space="0" w:color="auto"/>
      </w:divBdr>
      <w:divsChild>
        <w:div w:id="916405536">
          <w:marLeft w:val="0"/>
          <w:marRight w:val="0"/>
          <w:marTop w:val="0"/>
          <w:marBottom w:val="0"/>
          <w:divBdr>
            <w:top w:val="none" w:sz="0" w:space="0" w:color="auto"/>
            <w:left w:val="none" w:sz="0" w:space="0" w:color="auto"/>
            <w:bottom w:val="none" w:sz="0" w:space="0" w:color="auto"/>
            <w:right w:val="none" w:sz="0" w:space="0" w:color="auto"/>
          </w:divBdr>
          <w:divsChild>
            <w:div w:id="1941601810">
              <w:marLeft w:val="0"/>
              <w:marRight w:val="0"/>
              <w:marTop w:val="0"/>
              <w:marBottom w:val="0"/>
              <w:divBdr>
                <w:top w:val="none" w:sz="0" w:space="0" w:color="auto"/>
                <w:left w:val="none" w:sz="0" w:space="0" w:color="auto"/>
                <w:bottom w:val="none" w:sz="0" w:space="0" w:color="auto"/>
                <w:right w:val="none" w:sz="0" w:space="0" w:color="auto"/>
              </w:divBdr>
              <w:divsChild>
                <w:div w:id="635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2249">
      <w:bodyDiv w:val="1"/>
      <w:marLeft w:val="0"/>
      <w:marRight w:val="0"/>
      <w:marTop w:val="0"/>
      <w:marBottom w:val="0"/>
      <w:divBdr>
        <w:top w:val="none" w:sz="0" w:space="0" w:color="auto"/>
        <w:left w:val="none" w:sz="0" w:space="0" w:color="auto"/>
        <w:bottom w:val="none" w:sz="0" w:space="0" w:color="auto"/>
        <w:right w:val="none" w:sz="0" w:space="0" w:color="auto"/>
      </w:divBdr>
    </w:div>
    <w:div w:id="467666555">
      <w:bodyDiv w:val="1"/>
      <w:marLeft w:val="0"/>
      <w:marRight w:val="0"/>
      <w:marTop w:val="0"/>
      <w:marBottom w:val="0"/>
      <w:divBdr>
        <w:top w:val="none" w:sz="0" w:space="0" w:color="auto"/>
        <w:left w:val="none" w:sz="0" w:space="0" w:color="auto"/>
        <w:bottom w:val="none" w:sz="0" w:space="0" w:color="auto"/>
        <w:right w:val="none" w:sz="0" w:space="0" w:color="auto"/>
      </w:divBdr>
      <w:divsChild>
        <w:div w:id="999191674">
          <w:marLeft w:val="0"/>
          <w:marRight w:val="0"/>
          <w:marTop w:val="0"/>
          <w:marBottom w:val="0"/>
          <w:divBdr>
            <w:top w:val="none" w:sz="0" w:space="0" w:color="auto"/>
            <w:left w:val="none" w:sz="0" w:space="0" w:color="auto"/>
            <w:bottom w:val="none" w:sz="0" w:space="0" w:color="auto"/>
            <w:right w:val="none" w:sz="0" w:space="0" w:color="auto"/>
          </w:divBdr>
          <w:divsChild>
            <w:div w:id="692656908">
              <w:marLeft w:val="0"/>
              <w:marRight w:val="0"/>
              <w:marTop w:val="0"/>
              <w:marBottom w:val="0"/>
              <w:divBdr>
                <w:top w:val="none" w:sz="0" w:space="0" w:color="auto"/>
                <w:left w:val="none" w:sz="0" w:space="0" w:color="auto"/>
                <w:bottom w:val="none" w:sz="0" w:space="0" w:color="auto"/>
                <w:right w:val="none" w:sz="0" w:space="0" w:color="auto"/>
              </w:divBdr>
              <w:divsChild>
                <w:div w:id="145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146">
      <w:bodyDiv w:val="1"/>
      <w:marLeft w:val="0"/>
      <w:marRight w:val="0"/>
      <w:marTop w:val="0"/>
      <w:marBottom w:val="0"/>
      <w:divBdr>
        <w:top w:val="none" w:sz="0" w:space="0" w:color="auto"/>
        <w:left w:val="none" w:sz="0" w:space="0" w:color="auto"/>
        <w:bottom w:val="none" w:sz="0" w:space="0" w:color="auto"/>
        <w:right w:val="none" w:sz="0" w:space="0" w:color="auto"/>
      </w:divBdr>
      <w:divsChild>
        <w:div w:id="1109853342">
          <w:marLeft w:val="0"/>
          <w:marRight w:val="0"/>
          <w:marTop w:val="0"/>
          <w:marBottom w:val="0"/>
          <w:divBdr>
            <w:top w:val="none" w:sz="0" w:space="0" w:color="auto"/>
            <w:left w:val="none" w:sz="0" w:space="0" w:color="auto"/>
            <w:bottom w:val="none" w:sz="0" w:space="0" w:color="auto"/>
            <w:right w:val="none" w:sz="0" w:space="0" w:color="auto"/>
          </w:divBdr>
          <w:divsChild>
            <w:div w:id="2014911301">
              <w:marLeft w:val="0"/>
              <w:marRight w:val="0"/>
              <w:marTop w:val="0"/>
              <w:marBottom w:val="0"/>
              <w:divBdr>
                <w:top w:val="none" w:sz="0" w:space="0" w:color="auto"/>
                <w:left w:val="none" w:sz="0" w:space="0" w:color="auto"/>
                <w:bottom w:val="none" w:sz="0" w:space="0" w:color="auto"/>
                <w:right w:val="none" w:sz="0" w:space="0" w:color="auto"/>
              </w:divBdr>
              <w:divsChild>
                <w:div w:id="1034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652">
      <w:bodyDiv w:val="1"/>
      <w:marLeft w:val="0"/>
      <w:marRight w:val="0"/>
      <w:marTop w:val="0"/>
      <w:marBottom w:val="0"/>
      <w:divBdr>
        <w:top w:val="none" w:sz="0" w:space="0" w:color="auto"/>
        <w:left w:val="none" w:sz="0" w:space="0" w:color="auto"/>
        <w:bottom w:val="none" w:sz="0" w:space="0" w:color="auto"/>
        <w:right w:val="none" w:sz="0" w:space="0" w:color="auto"/>
      </w:divBdr>
      <w:divsChild>
        <w:div w:id="1297569519">
          <w:marLeft w:val="0"/>
          <w:marRight w:val="0"/>
          <w:marTop w:val="0"/>
          <w:marBottom w:val="0"/>
          <w:divBdr>
            <w:top w:val="none" w:sz="0" w:space="0" w:color="auto"/>
            <w:left w:val="none" w:sz="0" w:space="0" w:color="auto"/>
            <w:bottom w:val="none" w:sz="0" w:space="0" w:color="auto"/>
            <w:right w:val="none" w:sz="0" w:space="0" w:color="auto"/>
          </w:divBdr>
          <w:divsChild>
            <w:div w:id="992026968">
              <w:marLeft w:val="0"/>
              <w:marRight w:val="0"/>
              <w:marTop w:val="0"/>
              <w:marBottom w:val="0"/>
              <w:divBdr>
                <w:top w:val="none" w:sz="0" w:space="0" w:color="auto"/>
                <w:left w:val="none" w:sz="0" w:space="0" w:color="auto"/>
                <w:bottom w:val="none" w:sz="0" w:space="0" w:color="auto"/>
                <w:right w:val="none" w:sz="0" w:space="0" w:color="auto"/>
              </w:divBdr>
              <w:divsChild>
                <w:div w:id="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9529">
      <w:bodyDiv w:val="1"/>
      <w:marLeft w:val="0"/>
      <w:marRight w:val="0"/>
      <w:marTop w:val="0"/>
      <w:marBottom w:val="0"/>
      <w:divBdr>
        <w:top w:val="none" w:sz="0" w:space="0" w:color="auto"/>
        <w:left w:val="none" w:sz="0" w:space="0" w:color="auto"/>
        <w:bottom w:val="none" w:sz="0" w:space="0" w:color="auto"/>
        <w:right w:val="none" w:sz="0" w:space="0" w:color="auto"/>
      </w:divBdr>
    </w:div>
    <w:div w:id="5410921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506">
          <w:marLeft w:val="0"/>
          <w:marRight w:val="0"/>
          <w:marTop w:val="0"/>
          <w:marBottom w:val="0"/>
          <w:divBdr>
            <w:top w:val="none" w:sz="0" w:space="0" w:color="auto"/>
            <w:left w:val="none" w:sz="0" w:space="0" w:color="auto"/>
            <w:bottom w:val="none" w:sz="0" w:space="0" w:color="auto"/>
            <w:right w:val="none" w:sz="0" w:space="0" w:color="auto"/>
          </w:divBdr>
          <w:divsChild>
            <w:div w:id="200214751">
              <w:marLeft w:val="0"/>
              <w:marRight w:val="0"/>
              <w:marTop w:val="0"/>
              <w:marBottom w:val="0"/>
              <w:divBdr>
                <w:top w:val="none" w:sz="0" w:space="0" w:color="auto"/>
                <w:left w:val="none" w:sz="0" w:space="0" w:color="auto"/>
                <w:bottom w:val="none" w:sz="0" w:space="0" w:color="auto"/>
                <w:right w:val="none" w:sz="0" w:space="0" w:color="auto"/>
              </w:divBdr>
              <w:divsChild>
                <w:div w:id="1548687732">
                  <w:marLeft w:val="0"/>
                  <w:marRight w:val="0"/>
                  <w:marTop w:val="0"/>
                  <w:marBottom w:val="0"/>
                  <w:divBdr>
                    <w:top w:val="none" w:sz="0" w:space="0" w:color="auto"/>
                    <w:left w:val="none" w:sz="0" w:space="0" w:color="auto"/>
                    <w:bottom w:val="none" w:sz="0" w:space="0" w:color="auto"/>
                    <w:right w:val="none" w:sz="0" w:space="0" w:color="auto"/>
                  </w:divBdr>
                </w:div>
              </w:divsChild>
            </w:div>
            <w:div w:id="377631004">
              <w:marLeft w:val="0"/>
              <w:marRight w:val="0"/>
              <w:marTop w:val="0"/>
              <w:marBottom w:val="0"/>
              <w:divBdr>
                <w:top w:val="none" w:sz="0" w:space="0" w:color="auto"/>
                <w:left w:val="none" w:sz="0" w:space="0" w:color="auto"/>
                <w:bottom w:val="none" w:sz="0" w:space="0" w:color="auto"/>
                <w:right w:val="none" w:sz="0" w:space="0" w:color="auto"/>
              </w:divBdr>
              <w:divsChild>
                <w:div w:id="1803232412">
                  <w:marLeft w:val="0"/>
                  <w:marRight w:val="0"/>
                  <w:marTop w:val="0"/>
                  <w:marBottom w:val="0"/>
                  <w:divBdr>
                    <w:top w:val="none" w:sz="0" w:space="0" w:color="auto"/>
                    <w:left w:val="none" w:sz="0" w:space="0" w:color="auto"/>
                    <w:bottom w:val="none" w:sz="0" w:space="0" w:color="auto"/>
                    <w:right w:val="none" w:sz="0" w:space="0" w:color="auto"/>
                  </w:divBdr>
                </w:div>
              </w:divsChild>
            </w:div>
            <w:div w:id="1529835418">
              <w:marLeft w:val="0"/>
              <w:marRight w:val="0"/>
              <w:marTop w:val="0"/>
              <w:marBottom w:val="0"/>
              <w:divBdr>
                <w:top w:val="none" w:sz="0" w:space="0" w:color="auto"/>
                <w:left w:val="none" w:sz="0" w:space="0" w:color="auto"/>
                <w:bottom w:val="none" w:sz="0" w:space="0" w:color="auto"/>
                <w:right w:val="none" w:sz="0" w:space="0" w:color="auto"/>
              </w:divBdr>
              <w:divsChild>
                <w:div w:id="608397308">
                  <w:marLeft w:val="0"/>
                  <w:marRight w:val="0"/>
                  <w:marTop w:val="0"/>
                  <w:marBottom w:val="0"/>
                  <w:divBdr>
                    <w:top w:val="none" w:sz="0" w:space="0" w:color="auto"/>
                    <w:left w:val="none" w:sz="0" w:space="0" w:color="auto"/>
                    <w:bottom w:val="none" w:sz="0" w:space="0" w:color="auto"/>
                    <w:right w:val="none" w:sz="0" w:space="0" w:color="auto"/>
                  </w:divBdr>
                </w:div>
              </w:divsChild>
            </w:div>
            <w:div w:id="1263565948">
              <w:marLeft w:val="0"/>
              <w:marRight w:val="0"/>
              <w:marTop w:val="0"/>
              <w:marBottom w:val="0"/>
              <w:divBdr>
                <w:top w:val="none" w:sz="0" w:space="0" w:color="auto"/>
                <w:left w:val="none" w:sz="0" w:space="0" w:color="auto"/>
                <w:bottom w:val="none" w:sz="0" w:space="0" w:color="auto"/>
                <w:right w:val="none" w:sz="0" w:space="0" w:color="auto"/>
              </w:divBdr>
              <w:divsChild>
                <w:div w:id="66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9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001">
          <w:marLeft w:val="0"/>
          <w:marRight w:val="0"/>
          <w:marTop w:val="0"/>
          <w:marBottom w:val="0"/>
          <w:divBdr>
            <w:top w:val="none" w:sz="0" w:space="0" w:color="auto"/>
            <w:left w:val="none" w:sz="0" w:space="0" w:color="auto"/>
            <w:bottom w:val="none" w:sz="0" w:space="0" w:color="auto"/>
            <w:right w:val="none" w:sz="0" w:space="0" w:color="auto"/>
          </w:divBdr>
          <w:divsChild>
            <w:div w:id="1893613616">
              <w:marLeft w:val="0"/>
              <w:marRight w:val="0"/>
              <w:marTop w:val="0"/>
              <w:marBottom w:val="0"/>
              <w:divBdr>
                <w:top w:val="none" w:sz="0" w:space="0" w:color="auto"/>
                <w:left w:val="none" w:sz="0" w:space="0" w:color="auto"/>
                <w:bottom w:val="none" w:sz="0" w:space="0" w:color="auto"/>
                <w:right w:val="none" w:sz="0" w:space="0" w:color="auto"/>
              </w:divBdr>
              <w:divsChild>
                <w:div w:id="1552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65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87">
          <w:marLeft w:val="0"/>
          <w:marRight w:val="0"/>
          <w:marTop w:val="0"/>
          <w:marBottom w:val="0"/>
          <w:divBdr>
            <w:top w:val="none" w:sz="0" w:space="0" w:color="auto"/>
            <w:left w:val="none" w:sz="0" w:space="0" w:color="auto"/>
            <w:bottom w:val="none" w:sz="0" w:space="0" w:color="auto"/>
            <w:right w:val="none" w:sz="0" w:space="0" w:color="auto"/>
          </w:divBdr>
          <w:divsChild>
            <w:div w:id="190723312">
              <w:marLeft w:val="0"/>
              <w:marRight w:val="0"/>
              <w:marTop w:val="0"/>
              <w:marBottom w:val="0"/>
              <w:divBdr>
                <w:top w:val="none" w:sz="0" w:space="0" w:color="auto"/>
                <w:left w:val="none" w:sz="0" w:space="0" w:color="auto"/>
                <w:bottom w:val="none" w:sz="0" w:space="0" w:color="auto"/>
                <w:right w:val="none" w:sz="0" w:space="0" w:color="auto"/>
              </w:divBdr>
              <w:divsChild>
                <w:div w:id="1263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895">
          <w:marLeft w:val="0"/>
          <w:marRight w:val="0"/>
          <w:marTop w:val="0"/>
          <w:marBottom w:val="0"/>
          <w:divBdr>
            <w:top w:val="none" w:sz="0" w:space="0" w:color="auto"/>
            <w:left w:val="none" w:sz="0" w:space="0" w:color="auto"/>
            <w:bottom w:val="none" w:sz="0" w:space="0" w:color="auto"/>
            <w:right w:val="none" w:sz="0" w:space="0" w:color="auto"/>
          </w:divBdr>
          <w:divsChild>
            <w:div w:id="831528070">
              <w:marLeft w:val="0"/>
              <w:marRight w:val="0"/>
              <w:marTop w:val="0"/>
              <w:marBottom w:val="0"/>
              <w:divBdr>
                <w:top w:val="none" w:sz="0" w:space="0" w:color="auto"/>
                <w:left w:val="none" w:sz="0" w:space="0" w:color="auto"/>
                <w:bottom w:val="none" w:sz="0" w:space="0" w:color="auto"/>
                <w:right w:val="none" w:sz="0" w:space="0" w:color="auto"/>
              </w:divBdr>
              <w:divsChild>
                <w:div w:id="34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433">
      <w:bodyDiv w:val="1"/>
      <w:marLeft w:val="0"/>
      <w:marRight w:val="0"/>
      <w:marTop w:val="0"/>
      <w:marBottom w:val="0"/>
      <w:divBdr>
        <w:top w:val="none" w:sz="0" w:space="0" w:color="auto"/>
        <w:left w:val="none" w:sz="0" w:space="0" w:color="auto"/>
        <w:bottom w:val="none" w:sz="0" w:space="0" w:color="auto"/>
        <w:right w:val="none" w:sz="0" w:space="0" w:color="auto"/>
      </w:divBdr>
      <w:divsChild>
        <w:div w:id="965888306">
          <w:marLeft w:val="0"/>
          <w:marRight w:val="0"/>
          <w:marTop w:val="0"/>
          <w:marBottom w:val="0"/>
          <w:divBdr>
            <w:top w:val="none" w:sz="0" w:space="0" w:color="auto"/>
            <w:left w:val="none" w:sz="0" w:space="0" w:color="auto"/>
            <w:bottom w:val="none" w:sz="0" w:space="0" w:color="auto"/>
            <w:right w:val="none" w:sz="0" w:space="0" w:color="auto"/>
          </w:divBdr>
          <w:divsChild>
            <w:div w:id="396712630">
              <w:marLeft w:val="0"/>
              <w:marRight w:val="0"/>
              <w:marTop w:val="0"/>
              <w:marBottom w:val="0"/>
              <w:divBdr>
                <w:top w:val="none" w:sz="0" w:space="0" w:color="auto"/>
                <w:left w:val="none" w:sz="0" w:space="0" w:color="auto"/>
                <w:bottom w:val="none" w:sz="0" w:space="0" w:color="auto"/>
                <w:right w:val="none" w:sz="0" w:space="0" w:color="auto"/>
              </w:divBdr>
              <w:divsChild>
                <w:div w:id="1102535583">
                  <w:marLeft w:val="0"/>
                  <w:marRight w:val="0"/>
                  <w:marTop w:val="0"/>
                  <w:marBottom w:val="0"/>
                  <w:divBdr>
                    <w:top w:val="none" w:sz="0" w:space="0" w:color="auto"/>
                    <w:left w:val="none" w:sz="0" w:space="0" w:color="auto"/>
                    <w:bottom w:val="none" w:sz="0" w:space="0" w:color="auto"/>
                    <w:right w:val="none" w:sz="0" w:space="0" w:color="auto"/>
                  </w:divBdr>
                </w:div>
              </w:divsChild>
            </w:div>
            <w:div w:id="1923106742">
              <w:marLeft w:val="0"/>
              <w:marRight w:val="0"/>
              <w:marTop w:val="0"/>
              <w:marBottom w:val="0"/>
              <w:divBdr>
                <w:top w:val="none" w:sz="0" w:space="0" w:color="auto"/>
                <w:left w:val="none" w:sz="0" w:space="0" w:color="auto"/>
                <w:bottom w:val="none" w:sz="0" w:space="0" w:color="auto"/>
                <w:right w:val="none" w:sz="0" w:space="0" w:color="auto"/>
              </w:divBdr>
              <w:divsChild>
                <w:div w:id="439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89932782">
          <w:marLeft w:val="0"/>
          <w:marRight w:val="0"/>
          <w:marTop w:val="0"/>
          <w:marBottom w:val="0"/>
          <w:divBdr>
            <w:top w:val="none" w:sz="0" w:space="0" w:color="auto"/>
            <w:left w:val="none" w:sz="0" w:space="0" w:color="auto"/>
            <w:bottom w:val="none" w:sz="0" w:space="0" w:color="auto"/>
            <w:right w:val="none" w:sz="0" w:space="0" w:color="auto"/>
          </w:divBdr>
          <w:divsChild>
            <w:div w:id="540747365">
              <w:marLeft w:val="0"/>
              <w:marRight w:val="0"/>
              <w:marTop w:val="0"/>
              <w:marBottom w:val="0"/>
              <w:divBdr>
                <w:top w:val="none" w:sz="0" w:space="0" w:color="auto"/>
                <w:left w:val="none" w:sz="0" w:space="0" w:color="auto"/>
                <w:bottom w:val="none" w:sz="0" w:space="0" w:color="auto"/>
                <w:right w:val="none" w:sz="0" w:space="0" w:color="auto"/>
              </w:divBdr>
              <w:divsChild>
                <w:div w:id="1483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111">
      <w:bodyDiv w:val="1"/>
      <w:marLeft w:val="0"/>
      <w:marRight w:val="0"/>
      <w:marTop w:val="0"/>
      <w:marBottom w:val="0"/>
      <w:divBdr>
        <w:top w:val="none" w:sz="0" w:space="0" w:color="auto"/>
        <w:left w:val="none" w:sz="0" w:space="0" w:color="auto"/>
        <w:bottom w:val="none" w:sz="0" w:space="0" w:color="auto"/>
        <w:right w:val="none" w:sz="0" w:space="0" w:color="auto"/>
      </w:divBdr>
      <w:divsChild>
        <w:div w:id="220990492">
          <w:marLeft w:val="0"/>
          <w:marRight w:val="0"/>
          <w:marTop w:val="0"/>
          <w:marBottom w:val="0"/>
          <w:divBdr>
            <w:top w:val="none" w:sz="0" w:space="0" w:color="auto"/>
            <w:left w:val="none" w:sz="0" w:space="0" w:color="auto"/>
            <w:bottom w:val="none" w:sz="0" w:space="0" w:color="auto"/>
            <w:right w:val="none" w:sz="0" w:space="0" w:color="auto"/>
          </w:divBdr>
          <w:divsChild>
            <w:div w:id="1721512750">
              <w:marLeft w:val="0"/>
              <w:marRight w:val="0"/>
              <w:marTop w:val="0"/>
              <w:marBottom w:val="0"/>
              <w:divBdr>
                <w:top w:val="none" w:sz="0" w:space="0" w:color="auto"/>
                <w:left w:val="none" w:sz="0" w:space="0" w:color="auto"/>
                <w:bottom w:val="none" w:sz="0" w:space="0" w:color="auto"/>
                <w:right w:val="none" w:sz="0" w:space="0" w:color="auto"/>
              </w:divBdr>
              <w:divsChild>
                <w:div w:id="203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99">
      <w:bodyDiv w:val="1"/>
      <w:marLeft w:val="0"/>
      <w:marRight w:val="0"/>
      <w:marTop w:val="0"/>
      <w:marBottom w:val="0"/>
      <w:divBdr>
        <w:top w:val="none" w:sz="0" w:space="0" w:color="auto"/>
        <w:left w:val="none" w:sz="0" w:space="0" w:color="auto"/>
        <w:bottom w:val="none" w:sz="0" w:space="0" w:color="auto"/>
        <w:right w:val="none" w:sz="0" w:space="0" w:color="auto"/>
      </w:divBdr>
      <w:divsChild>
        <w:div w:id="638728510">
          <w:marLeft w:val="0"/>
          <w:marRight w:val="0"/>
          <w:marTop w:val="0"/>
          <w:marBottom w:val="0"/>
          <w:divBdr>
            <w:top w:val="none" w:sz="0" w:space="0" w:color="auto"/>
            <w:left w:val="none" w:sz="0" w:space="0" w:color="auto"/>
            <w:bottom w:val="none" w:sz="0" w:space="0" w:color="auto"/>
            <w:right w:val="none" w:sz="0" w:space="0" w:color="auto"/>
          </w:divBdr>
          <w:divsChild>
            <w:div w:id="1427842208">
              <w:marLeft w:val="0"/>
              <w:marRight w:val="0"/>
              <w:marTop w:val="0"/>
              <w:marBottom w:val="0"/>
              <w:divBdr>
                <w:top w:val="none" w:sz="0" w:space="0" w:color="auto"/>
                <w:left w:val="none" w:sz="0" w:space="0" w:color="auto"/>
                <w:bottom w:val="none" w:sz="0" w:space="0" w:color="auto"/>
                <w:right w:val="none" w:sz="0" w:space="0" w:color="auto"/>
              </w:divBdr>
              <w:divsChild>
                <w:div w:id="919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772">
      <w:bodyDiv w:val="1"/>
      <w:marLeft w:val="0"/>
      <w:marRight w:val="0"/>
      <w:marTop w:val="0"/>
      <w:marBottom w:val="0"/>
      <w:divBdr>
        <w:top w:val="none" w:sz="0" w:space="0" w:color="auto"/>
        <w:left w:val="none" w:sz="0" w:space="0" w:color="auto"/>
        <w:bottom w:val="none" w:sz="0" w:space="0" w:color="auto"/>
        <w:right w:val="none" w:sz="0" w:space="0" w:color="auto"/>
      </w:divBdr>
      <w:divsChild>
        <w:div w:id="78335673">
          <w:marLeft w:val="0"/>
          <w:marRight w:val="0"/>
          <w:marTop w:val="0"/>
          <w:marBottom w:val="0"/>
          <w:divBdr>
            <w:top w:val="none" w:sz="0" w:space="0" w:color="auto"/>
            <w:left w:val="none" w:sz="0" w:space="0" w:color="auto"/>
            <w:bottom w:val="none" w:sz="0" w:space="0" w:color="auto"/>
            <w:right w:val="none" w:sz="0" w:space="0" w:color="auto"/>
          </w:divBdr>
          <w:divsChild>
            <w:div w:id="109201113">
              <w:marLeft w:val="0"/>
              <w:marRight w:val="0"/>
              <w:marTop w:val="0"/>
              <w:marBottom w:val="0"/>
              <w:divBdr>
                <w:top w:val="none" w:sz="0" w:space="0" w:color="auto"/>
                <w:left w:val="none" w:sz="0" w:space="0" w:color="auto"/>
                <w:bottom w:val="none" w:sz="0" w:space="0" w:color="auto"/>
                <w:right w:val="none" w:sz="0" w:space="0" w:color="auto"/>
              </w:divBdr>
              <w:divsChild>
                <w:div w:id="682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5609">
      <w:bodyDiv w:val="1"/>
      <w:marLeft w:val="0"/>
      <w:marRight w:val="0"/>
      <w:marTop w:val="0"/>
      <w:marBottom w:val="0"/>
      <w:divBdr>
        <w:top w:val="none" w:sz="0" w:space="0" w:color="auto"/>
        <w:left w:val="none" w:sz="0" w:space="0" w:color="auto"/>
        <w:bottom w:val="none" w:sz="0" w:space="0" w:color="auto"/>
        <w:right w:val="none" w:sz="0" w:space="0" w:color="auto"/>
      </w:divBdr>
    </w:div>
    <w:div w:id="732042627">
      <w:bodyDiv w:val="1"/>
      <w:marLeft w:val="0"/>
      <w:marRight w:val="0"/>
      <w:marTop w:val="0"/>
      <w:marBottom w:val="0"/>
      <w:divBdr>
        <w:top w:val="none" w:sz="0" w:space="0" w:color="auto"/>
        <w:left w:val="none" w:sz="0" w:space="0" w:color="auto"/>
        <w:bottom w:val="none" w:sz="0" w:space="0" w:color="auto"/>
        <w:right w:val="none" w:sz="0" w:space="0" w:color="auto"/>
      </w:divBdr>
      <w:divsChild>
        <w:div w:id="227112139">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sChild>
                <w:div w:id="1118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834">
      <w:bodyDiv w:val="1"/>
      <w:marLeft w:val="0"/>
      <w:marRight w:val="0"/>
      <w:marTop w:val="0"/>
      <w:marBottom w:val="0"/>
      <w:divBdr>
        <w:top w:val="none" w:sz="0" w:space="0" w:color="auto"/>
        <w:left w:val="none" w:sz="0" w:space="0" w:color="auto"/>
        <w:bottom w:val="none" w:sz="0" w:space="0" w:color="auto"/>
        <w:right w:val="none" w:sz="0" w:space="0" w:color="auto"/>
      </w:divBdr>
      <w:divsChild>
        <w:div w:id="440296282">
          <w:marLeft w:val="0"/>
          <w:marRight w:val="0"/>
          <w:marTop w:val="0"/>
          <w:marBottom w:val="0"/>
          <w:divBdr>
            <w:top w:val="none" w:sz="0" w:space="0" w:color="auto"/>
            <w:left w:val="none" w:sz="0" w:space="0" w:color="auto"/>
            <w:bottom w:val="none" w:sz="0" w:space="0" w:color="auto"/>
            <w:right w:val="none" w:sz="0" w:space="0" w:color="auto"/>
          </w:divBdr>
          <w:divsChild>
            <w:div w:id="535041823">
              <w:marLeft w:val="0"/>
              <w:marRight w:val="0"/>
              <w:marTop w:val="0"/>
              <w:marBottom w:val="0"/>
              <w:divBdr>
                <w:top w:val="none" w:sz="0" w:space="0" w:color="auto"/>
                <w:left w:val="none" w:sz="0" w:space="0" w:color="auto"/>
                <w:bottom w:val="none" w:sz="0" w:space="0" w:color="auto"/>
                <w:right w:val="none" w:sz="0" w:space="0" w:color="auto"/>
              </w:divBdr>
              <w:divsChild>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291">
      <w:bodyDiv w:val="1"/>
      <w:marLeft w:val="0"/>
      <w:marRight w:val="0"/>
      <w:marTop w:val="0"/>
      <w:marBottom w:val="0"/>
      <w:divBdr>
        <w:top w:val="none" w:sz="0" w:space="0" w:color="auto"/>
        <w:left w:val="none" w:sz="0" w:space="0" w:color="auto"/>
        <w:bottom w:val="none" w:sz="0" w:space="0" w:color="auto"/>
        <w:right w:val="none" w:sz="0" w:space="0" w:color="auto"/>
      </w:divBdr>
    </w:div>
    <w:div w:id="780999024">
      <w:bodyDiv w:val="1"/>
      <w:marLeft w:val="0"/>
      <w:marRight w:val="0"/>
      <w:marTop w:val="0"/>
      <w:marBottom w:val="0"/>
      <w:divBdr>
        <w:top w:val="none" w:sz="0" w:space="0" w:color="auto"/>
        <w:left w:val="none" w:sz="0" w:space="0" w:color="auto"/>
        <w:bottom w:val="none" w:sz="0" w:space="0" w:color="auto"/>
        <w:right w:val="none" w:sz="0" w:space="0" w:color="auto"/>
      </w:divBdr>
    </w:div>
    <w:div w:id="825439924">
      <w:bodyDiv w:val="1"/>
      <w:marLeft w:val="0"/>
      <w:marRight w:val="0"/>
      <w:marTop w:val="0"/>
      <w:marBottom w:val="0"/>
      <w:divBdr>
        <w:top w:val="none" w:sz="0" w:space="0" w:color="auto"/>
        <w:left w:val="none" w:sz="0" w:space="0" w:color="auto"/>
        <w:bottom w:val="none" w:sz="0" w:space="0" w:color="auto"/>
        <w:right w:val="none" w:sz="0" w:space="0" w:color="auto"/>
      </w:divBdr>
      <w:divsChild>
        <w:div w:id="733503956">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sChild>
                <w:div w:id="716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023">
      <w:bodyDiv w:val="1"/>
      <w:marLeft w:val="0"/>
      <w:marRight w:val="0"/>
      <w:marTop w:val="0"/>
      <w:marBottom w:val="0"/>
      <w:divBdr>
        <w:top w:val="none" w:sz="0" w:space="0" w:color="auto"/>
        <w:left w:val="none" w:sz="0" w:space="0" w:color="auto"/>
        <w:bottom w:val="none" w:sz="0" w:space="0" w:color="auto"/>
        <w:right w:val="none" w:sz="0" w:space="0" w:color="auto"/>
      </w:divBdr>
      <w:divsChild>
        <w:div w:id="478301924">
          <w:marLeft w:val="0"/>
          <w:marRight w:val="0"/>
          <w:marTop w:val="0"/>
          <w:marBottom w:val="0"/>
          <w:divBdr>
            <w:top w:val="none" w:sz="0" w:space="0" w:color="auto"/>
            <w:left w:val="none" w:sz="0" w:space="0" w:color="auto"/>
            <w:bottom w:val="none" w:sz="0" w:space="0" w:color="auto"/>
            <w:right w:val="none" w:sz="0" w:space="0" w:color="auto"/>
          </w:divBdr>
          <w:divsChild>
            <w:div w:id="1030835997">
              <w:marLeft w:val="0"/>
              <w:marRight w:val="0"/>
              <w:marTop w:val="0"/>
              <w:marBottom w:val="0"/>
              <w:divBdr>
                <w:top w:val="none" w:sz="0" w:space="0" w:color="auto"/>
                <w:left w:val="none" w:sz="0" w:space="0" w:color="auto"/>
                <w:bottom w:val="none" w:sz="0" w:space="0" w:color="auto"/>
                <w:right w:val="none" w:sz="0" w:space="0" w:color="auto"/>
              </w:divBdr>
              <w:divsChild>
                <w:div w:id="1522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818">
      <w:bodyDiv w:val="1"/>
      <w:marLeft w:val="0"/>
      <w:marRight w:val="0"/>
      <w:marTop w:val="0"/>
      <w:marBottom w:val="0"/>
      <w:divBdr>
        <w:top w:val="none" w:sz="0" w:space="0" w:color="auto"/>
        <w:left w:val="none" w:sz="0" w:space="0" w:color="auto"/>
        <w:bottom w:val="none" w:sz="0" w:space="0" w:color="auto"/>
        <w:right w:val="none" w:sz="0" w:space="0" w:color="auto"/>
      </w:divBdr>
      <w:divsChild>
        <w:div w:id="476726435">
          <w:marLeft w:val="0"/>
          <w:marRight w:val="0"/>
          <w:marTop w:val="0"/>
          <w:marBottom w:val="0"/>
          <w:divBdr>
            <w:top w:val="none" w:sz="0" w:space="0" w:color="auto"/>
            <w:left w:val="none" w:sz="0" w:space="0" w:color="auto"/>
            <w:bottom w:val="none" w:sz="0" w:space="0" w:color="auto"/>
            <w:right w:val="none" w:sz="0" w:space="0" w:color="auto"/>
          </w:divBdr>
          <w:divsChild>
            <w:div w:id="71046987">
              <w:marLeft w:val="0"/>
              <w:marRight w:val="0"/>
              <w:marTop w:val="0"/>
              <w:marBottom w:val="0"/>
              <w:divBdr>
                <w:top w:val="none" w:sz="0" w:space="0" w:color="auto"/>
                <w:left w:val="none" w:sz="0" w:space="0" w:color="auto"/>
                <w:bottom w:val="none" w:sz="0" w:space="0" w:color="auto"/>
                <w:right w:val="none" w:sz="0" w:space="0" w:color="auto"/>
              </w:divBdr>
              <w:divsChild>
                <w:div w:id="1875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463">
      <w:bodyDiv w:val="1"/>
      <w:marLeft w:val="0"/>
      <w:marRight w:val="0"/>
      <w:marTop w:val="0"/>
      <w:marBottom w:val="0"/>
      <w:divBdr>
        <w:top w:val="none" w:sz="0" w:space="0" w:color="auto"/>
        <w:left w:val="none" w:sz="0" w:space="0" w:color="auto"/>
        <w:bottom w:val="none" w:sz="0" w:space="0" w:color="auto"/>
        <w:right w:val="none" w:sz="0" w:space="0" w:color="auto"/>
      </w:divBdr>
      <w:divsChild>
        <w:div w:id="234778406">
          <w:marLeft w:val="0"/>
          <w:marRight w:val="0"/>
          <w:marTop w:val="0"/>
          <w:marBottom w:val="0"/>
          <w:divBdr>
            <w:top w:val="none" w:sz="0" w:space="0" w:color="auto"/>
            <w:left w:val="none" w:sz="0" w:space="0" w:color="auto"/>
            <w:bottom w:val="none" w:sz="0" w:space="0" w:color="auto"/>
            <w:right w:val="none" w:sz="0" w:space="0" w:color="auto"/>
          </w:divBdr>
          <w:divsChild>
            <w:div w:id="217010579">
              <w:marLeft w:val="0"/>
              <w:marRight w:val="0"/>
              <w:marTop w:val="0"/>
              <w:marBottom w:val="0"/>
              <w:divBdr>
                <w:top w:val="none" w:sz="0" w:space="0" w:color="auto"/>
                <w:left w:val="none" w:sz="0" w:space="0" w:color="auto"/>
                <w:bottom w:val="none" w:sz="0" w:space="0" w:color="auto"/>
                <w:right w:val="none" w:sz="0" w:space="0" w:color="auto"/>
              </w:divBdr>
              <w:divsChild>
                <w:div w:id="662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8648">
      <w:bodyDiv w:val="1"/>
      <w:marLeft w:val="0"/>
      <w:marRight w:val="0"/>
      <w:marTop w:val="0"/>
      <w:marBottom w:val="0"/>
      <w:divBdr>
        <w:top w:val="none" w:sz="0" w:space="0" w:color="auto"/>
        <w:left w:val="none" w:sz="0" w:space="0" w:color="auto"/>
        <w:bottom w:val="none" w:sz="0" w:space="0" w:color="auto"/>
        <w:right w:val="none" w:sz="0" w:space="0" w:color="auto"/>
      </w:divBdr>
      <w:divsChild>
        <w:div w:id="1728798862">
          <w:marLeft w:val="0"/>
          <w:marRight w:val="0"/>
          <w:marTop w:val="0"/>
          <w:marBottom w:val="0"/>
          <w:divBdr>
            <w:top w:val="none" w:sz="0" w:space="0" w:color="auto"/>
            <w:left w:val="none" w:sz="0" w:space="0" w:color="auto"/>
            <w:bottom w:val="none" w:sz="0" w:space="0" w:color="auto"/>
            <w:right w:val="none" w:sz="0" w:space="0" w:color="auto"/>
          </w:divBdr>
          <w:divsChild>
            <w:div w:id="1616987347">
              <w:marLeft w:val="0"/>
              <w:marRight w:val="0"/>
              <w:marTop w:val="0"/>
              <w:marBottom w:val="0"/>
              <w:divBdr>
                <w:top w:val="none" w:sz="0" w:space="0" w:color="auto"/>
                <w:left w:val="none" w:sz="0" w:space="0" w:color="auto"/>
                <w:bottom w:val="none" w:sz="0" w:space="0" w:color="auto"/>
                <w:right w:val="none" w:sz="0" w:space="0" w:color="auto"/>
              </w:divBdr>
              <w:divsChild>
                <w:div w:id="1418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033">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209074430">
              <w:marLeft w:val="0"/>
              <w:marRight w:val="0"/>
              <w:marTop w:val="0"/>
              <w:marBottom w:val="0"/>
              <w:divBdr>
                <w:top w:val="none" w:sz="0" w:space="0" w:color="auto"/>
                <w:left w:val="none" w:sz="0" w:space="0" w:color="auto"/>
                <w:bottom w:val="none" w:sz="0" w:space="0" w:color="auto"/>
                <w:right w:val="none" w:sz="0" w:space="0" w:color="auto"/>
              </w:divBdr>
              <w:divsChild>
                <w:div w:id="1630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206">
      <w:bodyDiv w:val="1"/>
      <w:marLeft w:val="0"/>
      <w:marRight w:val="0"/>
      <w:marTop w:val="0"/>
      <w:marBottom w:val="0"/>
      <w:divBdr>
        <w:top w:val="none" w:sz="0" w:space="0" w:color="auto"/>
        <w:left w:val="none" w:sz="0" w:space="0" w:color="auto"/>
        <w:bottom w:val="none" w:sz="0" w:space="0" w:color="auto"/>
        <w:right w:val="none" w:sz="0" w:space="0" w:color="auto"/>
      </w:divBdr>
      <w:divsChild>
        <w:div w:id="386681249">
          <w:marLeft w:val="0"/>
          <w:marRight w:val="0"/>
          <w:marTop w:val="0"/>
          <w:marBottom w:val="0"/>
          <w:divBdr>
            <w:top w:val="none" w:sz="0" w:space="0" w:color="auto"/>
            <w:left w:val="none" w:sz="0" w:space="0" w:color="auto"/>
            <w:bottom w:val="none" w:sz="0" w:space="0" w:color="auto"/>
            <w:right w:val="none" w:sz="0" w:space="0" w:color="auto"/>
          </w:divBdr>
          <w:divsChild>
            <w:div w:id="209652537">
              <w:marLeft w:val="0"/>
              <w:marRight w:val="0"/>
              <w:marTop w:val="0"/>
              <w:marBottom w:val="0"/>
              <w:divBdr>
                <w:top w:val="none" w:sz="0" w:space="0" w:color="auto"/>
                <w:left w:val="none" w:sz="0" w:space="0" w:color="auto"/>
                <w:bottom w:val="none" w:sz="0" w:space="0" w:color="auto"/>
                <w:right w:val="none" w:sz="0" w:space="0" w:color="auto"/>
              </w:divBdr>
              <w:divsChild>
                <w:div w:id="133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716">
      <w:bodyDiv w:val="1"/>
      <w:marLeft w:val="0"/>
      <w:marRight w:val="0"/>
      <w:marTop w:val="0"/>
      <w:marBottom w:val="0"/>
      <w:divBdr>
        <w:top w:val="none" w:sz="0" w:space="0" w:color="auto"/>
        <w:left w:val="none" w:sz="0" w:space="0" w:color="auto"/>
        <w:bottom w:val="none" w:sz="0" w:space="0" w:color="auto"/>
        <w:right w:val="none" w:sz="0" w:space="0" w:color="auto"/>
      </w:divBdr>
    </w:div>
    <w:div w:id="1078092465">
      <w:bodyDiv w:val="1"/>
      <w:marLeft w:val="0"/>
      <w:marRight w:val="0"/>
      <w:marTop w:val="0"/>
      <w:marBottom w:val="0"/>
      <w:divBdr>
        <w:top w:val="none" w:sz="0" w:space="0" w:color="auto"/>
        <w:left w:val="none" w:sz="0" w:space="0" w:color="auto"/>
        <w:bottom w:val="none" w:sz="0" w:space="0" w:color="auto"/>
        <w:right w:val="none" w:sz="0" w:space="0" w:color="auto"/>
      </w:divBdr>
      <w:divsChild>
        <w:div w:id="329261707">
          <w:marLeft w:val="0"/>
          <w:marRight w:val="0"/>
          <w:marTop w:val="0"/>
          <w:marBottom w:val="0"/>
          <w:divBdr>
            <w:top w:val="none" w:sz="0" w:space="0" w:color="auto"/>
            <w:left w:val="none" w:sz="0" w:space="0" w:color="auto"/>
            <w:bottom w:val="none" w:sz="0" w:space="0" w:color="auto"/>
            <w:right w:val="none" w:sz="0" w:space="0" w:color="auto"/>
          </w:divBdr>
          <w:divsChild>
            <w:div w:id="1114326358">
              <w:marLeft w:val="0"/>
              <w:marRight w:val="0"/>
              <w:marTop w:val="0"/>
              <w:marBottom w:val="0"/>
              <w:divBdr>
                <w:top w:val="none" w:sz="0" w:space="0" w:color="auto"/>
                <w:left w:val="none" w:sz="0" w:space="0" w:color="auto"/>
                <w:bottom w:val="none" w:sz="0" w:space="0" w:color="auto"/>
                <w:right w:val="none" w:sz="0" w:space="0" w:color="auto"/>
              </w:divBdr>
              <w:divsChild>
                <w:div w:id="1946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320">
          <w:marLeft w:val="0"/>
          <w:marRight w:val="0"/>
          <w:marTop w:val="0"/>
          <w:marBottom w:val="0"/>
          <w:divBdr>
            <w:top w:val="none" w:sz="0" w:space="0" w:color="auto"/>
            <w:left w:val="none" w:sz="0" w:space="0" w:color="auto"/>
            <w:bottom w:val="none" w:sz="0" w:space="0" w:color="auto"/>
            <w:right w:val="none" w:sz="0" w:space="0" w:color="auto"/>
          </w:divBdr>
          <w:divsChild>
            <w:div w:id="1144934714">
              <w:marLeft w:val="0"/>
              <w:marRight w:val="0"/>
              <w:marTop w:val="0"/>
              <w:marBottom w:val="0"/>
              <w:divBdr>
                <w:top w:val="none" w:sz="0" w:space="0" w:color="auto"/>
                <w:left w:val="none" w:sz="0" w:space="0" w:color="auto"/>
                <w:bottom w:val="none" w:sz="0" w:space="0" w:color="auto"/>
                <w:right w:val="none" w:sz="0" w:space="0" w:color="auto"/>
              </w:divBdr>
              <w:divsChild>
                <w:div w:id="364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1108">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sChild>
        <w:div w:id="1569532522">
          <w:marLeft w:val="0"/>
          <w:marRight w:val="0"/>
          <w:marTop w:val="0"/>
          <w:marBottom w:val="0"/>
          <w:divBdr>
            <w:top w:val="none" w:sz="0" w:space="0" w:color="auto"/>
            <w:left w:val="none" w:sz="0" w:space="0" w:color="auto"/>
            <w:bottom w:val="none" w:sz="0" w:space="0" w:color="auto"/>
            <w:right w:val="none" w:sz="0" w:space="0" w:color="auto"/>
          </w:divBdr>
          <w:divsChild>
            <w:div w:id="2099710188">
              <w:marLeft w:val="0"/>
              <w:marRight w:val="0"/>
              <w:marTop w:val="0"/>
              <w:marBottom w:val="0"/>
              <w:divBdr>
                <w:top w:val="none" w:sz="0" w:space="0" w:color="auto"/>
                <w:left w:val="none" w:sz="0" w:space="0" w:color="auto"/>
                <w:bottom w:val="none" w:sz="0" w:space="0" w:color="auto"/>
                <w:right w:val="none" w:sz="0" w:space="0" w:color="auto"/>
              </w:divBdr>
              <w:divsChild>
                <w:div w:id="997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49816">
      <w:bodyDiv w:val="1"/>
      <w:marLeft w:val="0"/>
      <w:marRight w:val="0"/>
      <w:marTop w:val="0"/>
      <w:marBottom w:val="0"/>
      <w:divBdr>
        <w:top w:val="none" w:sz="0" w:space="0" w:color="auto"/>
        <w:left w:val="none" w:sz="0" w:space="0" w:color="auto"/>
        <w:bottom w:val="none" w:sz="0" w:space="0" w:color="auto"/>
        <w:right w:val="none" w:sz="0" w:space="0" w:color="auto"/>
      </w:divBdr>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sChild>
        <w:div w:id="1150826688">
          <w:marLeft w:val="0"/>
          <w:marRight w:val="0"/>
          <w:marTop w:val="0"/>
          <w:marBottom w:val="0"/>
          <w:divBdr>
            <w:top w:val="none" w:sz="0" w:space="0" w:color="auto"/>
            <w:left w:val="none" w:sz="0" w:space="0" w:color="auto"/>
            <w:bottom w:val="none" w:sz="0" w:space="0" w:color="auto"/>
            <w:right w:val="none" w:sz="0" w:space="0" w:color="auto"/>
          </w:divBdr>
          <w:divsChild>
            <w:div w:id="1107312226">
              <w:marLeft w:val="0"/>
              <w:marRight w:val="0"/>
              <w:marTop w:val="0"/>
              <w:marBottom w:val="0"/>
              <w:divBdr>
                <w:top w:val="none" w:sz="0" w:space="0" w:color="auto"/>
                <w:left w:val="none" w:sz="0" w:space="0" w:color="auto"/>
                <w:bottom w:val="none" w:sz="0" w:space="0" w:color="auto"/>
                <w:right w:val="none" w:sz="0" w:space="0" w:color="auto"/>
              </w:divBdr>
              <w:divsChild>
                <w:div w:id="1515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836">
      <w:bodyDiv w:val="1"/>
      <w:marLeft w:val="0"/>
      <w:marRight w:val="0"/>
      <w:marTop w:val="0"/>
      <w:marBottom w:val="0"/>
      <w:divBdr>
        <w:top w:val="none" w:sz="0" w:space="0" w:color="auto"/>
        <w:left w:val="none" w:sz="0" w:space="0" w:color="auto"/>
        <w:bottom w:val="none" w:sz="0" w:space="0" w:color="auto"/>
        <w:right w:val="none" w:sz="0" w:space="0" w:color="auto"/>
      </w:divBdr>
      <w:divsChild>
        <w:div w:id="2146121610">
          <w:marLeft w:val="0"/>
          <w:marRight w:val="0"/>
          <w:marTop w:val="0"/>
          <w:marBottom w:val="0"/>
          <w:divBdr>
            <w:top w:val="none" w:sz="0" w:space="0" w:color="auto"/>
            <w:left w:val="none" w:sz="0" w:space="0" w:color="auto"/>
            <w:bottom w:val="none" w:sz="0" w:space="0" w:color="auto"/>
            <w:right w:val="none" w:sz="0" w:space="0" w:color="auto"/>
          </w:divBdr>
          <w:divsChild>
            <w:div w:id="433944848">
              <w:marLeft w:val="0"/>
              <w:marRight w:val="0"/>
              <w:marTop w:val="0"/>
              <w:marBottom w:val="0"/>
              <w:divBdr>
                <w:top w:val="none" w:sz="0" w:space="0" w:color="auto"/>
                <w:left w:val="none" w:sz="0" w:space="0" w:color="auto"/>
                <w:bottom w:val="none" w:sz="0" w:space="0" w:color="auto"/>
                <w:right w:val="none" w:sz="0" w:space="0" w:color="auto"/>
              </w:divBdr>
              <w:divsChild>
                <w:div w:id="1054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7083">
      <w:bodyDiv w:val="1"/>
      <w:marLeft w:val="0"/>
      <w:marRight w:val="0"/>
      <w:marTop w:val="0"/>
      <w:marBottom w:val="0"/>
      <w:divBdr>
        <w:top w:val="none" w:sz="0" w:space="0" w:color="auto"/>
        <w:left w:val="none" w:sz="0" w:space="0" w:color="auto"/>
        <w:bottom w:val="none" w:sz="0" w:space="0" w:color="auto"/>
        <w:right w:val="none" w:sz="0" w:space="0" w:color="auto"/>
      </w:divBdr>
      <w:divsChild>
        <w:div w:id="442577932">
          <w:marLeft w:val="0"/>
          <w:marRight w:val="0"/>
          <w:marTop w:val="0"/>
          <w:marBottom w:val="0"/>
          <w:divBdr>
            <w:top w:val="none" w:sz="0" w:space="0" w:color="auto"/>
            <w:left w:val="none" w:sz="0" w:space="0" w:color="auto"/>
            <w:bottom w:val="none" w:sz="0" w:space="0" w:color="auto"/>
            <w:right w:val="none" w:sz="0" w:space="0" w:color="auto"/>
          </w:divBdr>
          <w:divsChild>
            <w:div w:id="894852003">
              <w:marLeft w:val="0"/>
              <w:marRight w:val="0"/>
              <w:marTop w:val="0"/>
              <w:marBottom w:val="0"/>
              <w:divBdr>
                <w:top w:val="none" w:sz="0" w:space="0" w:color="auto"/>
                <w:left w:val="none" w:sz="0" w:space="0" w:color="auto"/>
                <w:bottom w:val="none" w:sz="0" w:space="0" w:color="auto"/>
                <w:right w:val="none" w:sz="0" w:space="0" w:color="auto"/>
              </w:divBdr>
              <w:divsChild>
                <w:div w:id="29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8246">
      <w:bodyDiv w:val="1"/>
      <w:marLeft w:val="0"/>
      <w:marRight w:val="0"/>
      <w:marTop w:val="0"/>
      <w:marBottom w:val="0"/>
      <w:divBdr>
        <w:top w:val="none" w:sz="0" w:space="0" w:color="auto"/>
        <w:left w:val="none" w:sz="0" w:space="0" w:color="auto"/>
        <w:bottom w:val="none" w:sz="0" w:space="0" w:color="auto"/>
        <w:right w:val="none" w:sz="0" w:space="0" w:color="auto"/>
      </w:divBdr>
      <w:divsChild>
        <w:div w:id="2104958476">
          <w:marLeft w:val="0"/>
          <w:marRight w:val="0"/>
          <w:marTop w:val="0"/>
          <w:marBottom w:val="0"/>
          <w:divBdr>
            <w:top w:val="none" w:sz="0" w:space="0" w:color="auto"/>
            <w:left w:val="none" w:sz="0" w:space="0" w:color="auto"/>
            <w:bottom w:val="none" w:sz="0" w:space="0" w:color="auto"/>
            <w:right w:val="none" w:sz="0" w:space="0" w:color="auto"/>
          </w:divBdr>
          <w:divsChild>
            <w:div w:id="1938781512">
              <w:marLeft w:val="0"/>
              <w:marRight w:val="0"/>
              <w:marTop w:val="0"/>
              <w:marBottom w:val="0"/>
              <w:divBdr>
                <w:top w:val="none" w:sz="0" w:space="0" w:color="auto"/>
                <w:left w:val="none" w:sz="0" w:space="0" w:color="auto"/>
                <w:bottom w:val="none" w:sz="0" w:space="0" w:color="auto"/>
                <w:right w:val="none" w:sz="0" w:space="0" w:color="auto"/>
              </w:divBdr>
              <w:divsChild>
                <w:div w:id="608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2784">
          <w:marLeft w:val="0"/>
          <w:marRight w:val="0"/>
          <w:marTop w:val="0"/>
          <w:marBottom w:val="0"/>
          <w:divBdr>
            <w:top w:val="none" w:sz="0" w:space="0" w:color="auto"/>
            <w:left w:val="none" w:sz="0" w:space="0" w:color="auto"/>
            <w:bottom w:val="none" w:sz="0" w:space="0" w:color="auto"/>
            <w:right w:val="none" w:sz="0" w:space="0" w:color="auto"/>
          </w:divBdr>
          <w:divsChild>
            <w:div w:id="1535119297">
              <w:marLeft w:val="0"/>
              <w:marRight w:val="0"/>
              <w:marTop w:val="0"/>
              <w:marBottom w:val="0"/>
              <w:divBdr>
                <w:top w:val="none" w:sz="0" w:space="0" w:color="auto"/>
                <w:left w:val="none" w:sz="0" w:space="0" w:color="auto"/>
                <w:bottom w:val="none" w:sz="0" w:space="0" w:color="auto"/>
                <w:right w:val="none" w:sz="0" w:space="0" w:color="auto"/>
              </w:divBdr>
              <w:divsChild>
                <w:div w:id="89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643">
      <w:bodyDiv w:val="1"/>
      <w:marLeft w:val="0"/>
      <w:marRight w:val="0"/>
      <w:marTop w:val="0"/>
      <w:marBottom w:val="0"/>
      <w:divBdr>
        <w:top w:val="none" w:sz="0" w:space="0" w:color="auto"/>
        <w:left w:val="none" w:sz="0" w:space="0" w:color="auto"/>
        <w:bottom w:val="none" w:sz="0" w:space="0" w:color="auto"/>
        <w:right w:val="none" w:sz="0" w:space="0" w:color="auto"/>
      </w:divBdr>
    </w:div>
    <w:div w:id="1327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5180">
          <w:marLeft w:val="0"/>
          <w:marRight w:val="0"/>
          <w:marTop w:val="0"/>
          <w:marBottom w:val="0"/>
          <w:divBdr>
            <w:top w:val="none" w:sz="0" w:space="0" w:color="auto"/>
            <w:left w:val="none" w:sz="0" w:space="0" w:color="auto"/>
            <w:bottom w:val="none" w:sz="0" w:space="0" w:color="auto"/>
            <w:right w:val="none" w:sz="0" w:space="0" w:color="auto"/>
          </w:divBdr>
          <w:divsChild>
            <w:div w:id="928347117">
              <w:marLeft w:val="0"/>
              <w:marRight w:val="0"/>
              <w:marTop w:val="0"/>
              <w:marBottom w:val="0"/>
              <w:divBdr>
                <w:top w:val="none" w:sz="0" w:space="0" w:color="auto"/>
                <w:left w:val="none" w:sz="0" w:space="0" w:color="auto"/>
                <w:bottom w:val="none" w:sz="0" w:space="0" w:color="auto"/>
                <w:right w:val="none" w:sz="0" w:space="0" w:color="auto"/>
              </w:divBdr>
              <w:divsChild>
                <w:div w:id="19987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sChild>
                <w:div w:id="1295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6517">
      <w:bodyDiv w:val="1"/>
      <w:marLeft w:val="0"/>
      <w:marRight w:val="0"/>
      <w:marTop w:val="0"/>
      <w:marBottom w:val="0"/>
      <w:divBdr>
        <w:top w:val="none" w:sz="0" w:space="0" w:color="auto"/>
        <w:left w:val="none" w:sz="0" w:space="0" w:color="auto"/>
        <w:bottom w:val="none" w:sz="0" w:space="0" w:color="auto"/>
        <w:right w:val="none" w:sz="0" w:space="0" w:color="auto"/>
      </w:divBdr>
    </w:div>
    <w:div w:id="1362324161">
      <w:bodyDiv w:val="1"/>
      <w:marLeft w:val="0"/>
      <w:marRight w:val="0"/>
      <w:marTop w:val="0"/>
      <w:marBottom w:val="0"/>
      <w:divBdr>
        <w:top w:val="none" w:sz="0" w:space="0" w:color="auto"/>
        <w:left w:val="none" w:sz="0" w:space="0" w:color="auto"/>
        <w:bottom w:val="none" w:sz="0" w:space="0" w:color="auto"/>
        <w:right w:val="none" w:sz="0" w:space="0" w:color="auto"/>
      </w:divBdr>
      <w:divsChild>
        <w:div w:id="864900768">
          <w:marLeft w:val="0"/>
          <w:marRight w:val="0"/>
          <w:marTop w:val="0"/>
          <w:marBottom w:val="0"/>
          <w:divBdr>
            <w:top w:val="none" w:sz="0" w:space="0" w:color="auto"/>
            <w:left w:val="none" w:sz="0" w:space="0" w:color="auto"/>
            <w:bottom w:val="none" w:sz="0" w:space="0" w:color="auto"/>
            <w:right w:val="none" w:sz="0" w:space="0" w:color="auto"/>
          </w:divBdr>
          <w:divsChild>
            <w:div w:id="1457943034">
              <w:marLeft w:val="0"/>
              <w:marRight w:val="0"/>
              <w:marTop w:val="0"/>
              <w:marBottom w:val="0"/>
              <w:divBdr>
                <w:top w:val="none" w:sz="0" w:space="0" w:color="auto"/>
                <w:left w:val="none" w:sz="0" w:space="0" w:color="auto"/>
                <w:bottom w:val="none" w:sz="0" w:space="0" w:color="auto"/>
                <w:right w:val="none" w:sz="0" w:space="0" w:color="auto"/>
              </w:divBdr>
              <w:divsChild>
                <w:div w:id="469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90">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738363227">
              <w:marLeft w:val="0"/>
              <w:marRight w:val="0"/>
              <w:marTop w:val="0"/>
              <w:marBottom w:val="0"/>
              <w:divBdr>
                <w:top w:val="none" w:sz="0" w:space="0" w:color="auto"/>
                <w:left w:val="none" w:sz="0" w:space="0" w:color="auto"/>
                <w:bottom w:val="none" w:sz="0" w:space="0" w:color="auto"/>
                <w:right w:val="none" w:sz="0" w:space="0" w:color="auto"/>
              </w:divBdr>
              <w:divsChild>
                <w:div w:id="1818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32">
      <w:bodyDiv w:val="1"/>
      <w:marLeft w:val="0"/>
      <w:marRight w:val="0"/>
      <w:marTop w:val="0"/>
      <w:marBottom w:val="0"/>
      <w:divBdr>
        <w:top w:val="none" w:sz="0" w:space="0" w:color="auto"/>
        <w:left w:val="none" w:sz="0" w:space="0" w:color="auto"/>
        <w:bottom w:val="none" w:sz="0" w:space="0" w:color="auto"/>
        <w:right w:val="none" w:sz="0" w:space="0" w:color="auto"/>
      </w:divBdr>
      <w:divsChild>
        <w:div w:id="453403320">
          <w:marLeft w:val="0"/>
          <w:marRight w:val="0"/>
          <w:marTop w:val="0"/>
          <w:marBottom w:val="0"/>
          <w:divBdr>
            <w:top w:val="none" w:sz="0" w:space="0" w:color="auto"/>
            <w:left w:val="none" w:sz="0" w:space="0" w:color="auto"/>
            <w:bottom w:val="none" w:sz="0" w:space="0" w:color="auto"/>
            <w:right w:val="none" w:sz="0" w:space="0" w:color="auto"/>
          </w:divBdr>
          <w:divsChild>
            <w:div w:id="924656223">
              <w:marLeft w:val="0"/>
              <w:marRight w:val="0"/>
              <w:marTop w:val="0"/>
              <w:marBottom w:val="0"/>
              <w:divBdr>
                <w:top w:val="none" w:sz="0" w:space="0" w:color="auto"/>
                <w:left w:val="none" w:sz="0" w:space="0" w:color="auto"/>
                <w:bottom w:val="none" w:sz="0" w:space="0" w:color="auto"/>
                <w:right w:val="none" w:sz="0" w:space="0" w:color="auto"/>
              </w:divBdr>
              <w:divsChild>
                <w:div w:id="168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6091">
      <w:bodyDiv w:val="1"/>
      <w:marLeft w:val="0"/>
      <w:marRight w:val="0"/>
      <w:marTop w:val="0"/>
      <w:marBottom w:val="0"/>
      <w:divBdr>
        <w:top w:val="none" w:sz="0" w:space="0" w:color="auto"/>
        <w:left w:val="none" w:sz="0" w:space="0" w:color="auto"/>
        <w:bottom w:val="none" w:sz="0" w:space="0" w:color="auto"/>
        <w:right w:val="none" w:sz="0" w:space="0" w:color="auto"/>
      </w:divBdr>
      <w:divsChild>
        <w:div w:id="1871723109">
          <w:marLeft w:val="0"/>
          <w:marRight w:val="0"/>
          <w:marTop w:val="0"/>
          <w:marBottom w:val="0"/>
          <w:divBdr>
            <w:top w:val="none" w:sz="0" w:space="0" w:color="auto"/>
            <w:left w:val="none" w:sz="0" w:space="0" w:color="auto"/>
            <w:bottom w:val="none" w:sz="0" w:space="0" w:color="auto"/>
            <w:right w:val="none" w:sz="0" w:space="0" w:color="auto"/>
          </w:divBdr>
          <w:divsChild>
            <w:div w:id="459224177">
              <w:marLeft w:val="0"/>
              <w:marRight w:val="0"/>
              <w:marTop w:val="0"/>
              <w:marBottom w:val="0"/>
              <w:divBdr>
                <w:top w:val="none" w:sz="0" w:space="0" w:color="auto"/>
                <w:left w:val="none" w:sz="0" w:space="0" w:color="auto"/>
                <w:bottom w:val="none" w:sz="0" w:space="0" w:color="auto"/>
                <w:right w:val="none" w:sz="0" w:space="0" w:color="auto"/>
              </w:divBdr>
              <w:divsChild>
                <w:div w:id="1871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61">
      <w:bodyDiv w:val="1"/>
      <w:marLeft w:val="0"/>
      <w:marRight w:val="0"/>
      <w:marTop w:val="0"/>
      <w:marBottom w:val="0"/>
      <w:divBdr>
        <w:top w:val="none" w:sz="0" w:space="0" w:color="auto"/>
        <w:left w:val="none" w:sz="0" w:space="0" w:color="auto"/>
        <w:bottom w:val="none" w:sz="0" w:space="0" w:color="auto"/>
        <w:right w:val="none" w:sz="0" w:space="0" w:color="auto"/>
      </w:divBdr>
      <w:divsChild>
        <w:div w:id="1758406421">
          <w:marLeft w:val="0"/>
          <w:marRight w:val="0"/>
          <w:marTop w:val="0"/>
          <w:marBottom w:val="0"/>
          <w:divBdr>
            <w:top w:val="none" w:sz="0" w:space="0" w:color="auto"/>
            <w:left w:val="none" w:sz="0" w:space="0" w:color="auto"/>
            <w:bottom w:val="none" w:sz="0" w:space="0" w:color="auto"/>
            <w:right w:val="none" w:sz="0" w:space="0" w:color="auto"/>
          </w:divBdr>
          <w:divsChild>
            <w:div w:id="2023509824">
              <w:marLeft w:val="0"/>
              <w:marRight w:val="0"/>
              <w:marTop w:val="0"/>
              <w:marBottom w:val="0"/>
              <w:divBdr>
                <w:top w:val="none" w:sz="0" w:space="0" w:color="auto"/>
                <w:left w:val="none" w:sz="0" w:space="0" w:color="auto"/>
                <w:bottom w:val="none" w:sz="0" w:space="0" w:color="auto"/>
                <w:right w:val="none" w:sz="0" w:space="0" w:color="auto"/>
              </w:divBdr>
              <w:divsChild>
                <w:div w:id="97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8635">
      <w:bodyDiv w:val="1"/>
      <w:marLeft w:val="0"/>
      <w:marRight w:val="0"/>
      <w:marTop w:val="0"/>
      <w:marBottom w:val="0"/>
      <w:divBdr>
        <w:top w:val="none" w:sz="0" w:space="0" w:color="auto"/>
        <w:left w:val="none" w:sz="0" w:space="0" w:color="auto"/>
        <w:bottom w:val="none" w:sz="0" w:space="0" w:color="auto"/>
        <w:right w:val="none" w:sz="0" w:space="0" w:color="auto"/>
      </w:divBdr>
    </w:div>
    <w:div w:id="1434087037">
      <w:bodyDiv w:val="1"/>
      <w:marLeft w:val="0"/>
      <w:marRight w:val="0"/>
      <w:marTop w:val="0"/>
      <w:marBottom w:val="0"/>
      <w:divBdr>
        <w:top w:val="none" w:sz="0" w:space="0" w:color="auto"/>
        <w:left w:val="none" w:sz="0" w:space="0" w:color="auto"/>
        <w:bottom w:val="none" w:sz="0" w:space="0" w:color="auto"/>
        <w:right w:val="none" w:sz="0" w:space="0" w:color="auto"/>
      </w:divBdr>
      <w:divsChild>
        <w:div w:id="1212376433">
          <w:marLeft w:val="0"/>
          <w:marRight w:val="0"/>
          <w:marTop w:val="0"/>
          <w:marBottom w:val="0"/>
          <w:divBdr>
            <w:top w:val="none" w:sz="0" w:space="0" w:color="auto"/>
            <w:left w:val="none" w:sz="0" w:space="0" w:color="auto"/>
            <w:bottom w:val="none" w:sz="0" w:space="0" w:color="auto"/>
            <w:right w:val="none" w:sz="0" w:space="0" w:color="auto"/>
          </w:divBdr>
          <w:divsChild>
            <w:div w:id="660549380">
              <w:marLeft w:val="0"/>
              <w:marRight w:val="0"/>
              <w:marTop w:val="0"/>
              <w:marBottom w:val="0"/>
              <w:divBdr>
                <w:top w:val="none" w:sz="0" w:space="0" w:color="auto"/>
                <w:left w:val="none" w:sz="0" w:space="0" w:color="auto"/>
                <w:bottom w:val="none" w:sz="0" w:space="0" w:color="auto"/>
                <w:right w:val="none" w:sz="0" w:space="0" w:color="auto"/>
              </w:divBdr>
              <w:divsChild>
                <w:div w:id="436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975">
      <w:bodyDiv w:val="1"/>
      <w:marLeft w:val="0"/>
      <w:marRight w:val="0"/>
      <w:marTop w:val="0"/>
      <w:marBottom w:val="0"/>
      <w:divBdr>
        <w:top w:val="none" w:sz="0" w:space="0" w:color="auto"/>
        <w:left w:val="none" w:sz="0" w:space="0" w:color="auto"/>
        <w:bottom w:val="none" w:sz="0" w:space="0" w:color="auto"/>
        <w:right w:val="none" w:sz="0" w:space="0" w:color="auto"/>
      </w:divBdr>
      <w:divsChild>
        <w:div w:id="39214576">
          <w:marLeft w:val="0"/>
          <w:marRight w:val="0"/>
          <w:marTop w:val="0"/>
          <w:marBottom w:val="0"/>
          <w:divBdr>
            <w:top w:val="none" w:sz="0" w:space="0" w:color="auto"/>
            <w:left w:val="none" w:sz="0" w:space="0" w:color="auto"/>
            <w:bottom w:val="none" w:sz="0" w:space="0" w:color="auto"/>
            <w:right w:val="none" w:sz="0" w:space="0" w:color="auto"/>
          </w:divBdr>
          <w:divsChild>
            <w:div w:id="1033575279">
              <w:marLeft w:val="0"/>
              <w:marRight w:val="0"/>
              <w:marTop w:val="0"/>
              <w:marBottom w:val="0"/>
              <w:divBdr>
                <w:top w:val="none" w:sz="0" w:space="0" w:color="auto"/>
                <w:left w:val="none" w:sz="0" w:space="0" w:color="auto"/>
                <w:bottom w:val="none" w:sz="0" w:space="0" w:color="auto"/>
                <w:right w:val="none" w:sz="0" w:space="0" w:color="auto"/>
              </w:divBdr>
              <w:divsChild>
                <w:div w:id="1698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640">
      <w:bodyDiv w:val="1"/>
      <w:marLeft w:val="0"/>
      <w:marRight w:val="0"/>
      <w:marTop w:val="0"/>
      <w:marBottom w:val="0"/>
      <w:divBdr>
        <w:top w:val="none" w:sz="0" w:space="0" w:color="auto"/>
        <w:left w:val="none" w:sz="0" w:space="0" w:color="auto"/>
        <w:bottom w:val="none" w:sz="0" w:space="0" w:color="auto"/>
        <w:right w:val="none" w:sz="0" w:space="0" w:color="auto"/>
      </w:divBdr>
      <w:divsChild>
        <w:div w:id="1899627082">
          <w:marLeft w:val="0"/>
          <w:marRight w:val="0"/>
          <w:marTop w:val="0"/>
          <w:marBottom w:val="0"/>
          <w:divBdr>
            <w:top w:val="none" w:sz="0" w:space="0" w:color="auto"/>
            <w:left w:val="none" w:sz="0" w:space="0" w:color="auto"/>
            <w:bottom w:val="none" w:sz="0" w:space="0" w:color="auto"/>
            <w:right w:val="none" w:sz="0" w:space="0" w:color="auto"/>
          </w:divBdr>
          <w:divsChild>
            <w:div w:id="657461302">
              <w:marLeft w:val="0"/>
              <w:marRight w:val="0"/>
              <w:marTop w:val="0"/>
              <w:marBottom w:val="0"/>
              <w:divBdr>
                <w:top w:val="none" w:sz="0" w:space="0" w:color="auto"/>
                <w:left w:val="none" w:sz="0" w:space="0" w:color="auto"/>
                <w:bottom w:val="none" w:sz="0" w:space="0" w:color="auto"/>
                <w:right w:val="none" w:sz="0" w:space="0" w:color="auto"/>
              </w:divBdr>
              <w:divsChild>
                <w:div w:id="17598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001">
      <w:bodyDiv w:val="1"/>
      <w:marLeft w:val="0"/>
      <w:marRight w:val="0"/>
      <w:marTop w:val="0"/>
      <w:marBottom w:val="0"/>
      <w:divBdr>
        <w:top w:val="none" w:sz="0" w:space="0" w:color="auto"/>
        <w:left w:val="none" w:sz="0" w:space="0" w:color="auto"/>
        <w:bottom w:val="none" w:sz="0" w:space="0" w:color="auto"/>
        <w:right w:val="none" w:sz="0" w:space="0" w:color="auto"/>
      </w:divBdr>
      <w:divsChild>
        <w:div w:id="757673536">
          <w:marLeft w:val="0"/>
          <w:marRight w:val="0"/>
          <w:marTop w:val="0"/>
          <w:marBottom w:val="0"/>
          <w:divBdr>
            <w:top w:val="none" w:sz="0" w:space="0" w:color="auto"/>
            <w:left w:val="none" w:sz="0" w:space="0" w:color="auto"/>
            <w:bottom w:val="none" w:sz="0" w:space="0" w:color="auto"/>
            <w:right w:val="none" w:sz="0" w:space="0" w:color="auto"/>
          </w:divBdr>
          <w:divsChild>
            <w:div w:id="1217200319">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8">
      <w:bodyDiv w:val="1"/>
      <w:marLeft w:val="0"/>
      <w:marRight w:val="0"/>
      <w:marTop w:val="0"/>
      <w:marBottom w:val="0"/>
      <w:divBdr>
        <w:top w:val="none" w:sz="0" w:space="0" w:color="auto"/>
        <w:left w:val="none" w:sz="0" w:space="0" w:color="auto"/>
        <w:bottom w:val="none" w:sz="0" w:space="0" w:color="auto"/>
        <w:right w:val="none" w:sz="0" w:space="0" w:color="auto"/>
      </w:divBdr>
      <w:divsChild>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sChild>
                <w:div w:id="1318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058">
      <w:bodyDiv w:val="1"/>
      <w:marLeft w:val="0"/>
      <w:marRight w:val="0"/>
      <w:marTop w:val="0"/>
      <w:marBottom w:val="0"/>
      <w:divBdr>
        <w:top w:val="none" w:sz="0" w:space="0" w:color="auto"/>
        <w:left w:val="none" w:sz="0" w:space="0" w:color="auto"/>
        <w:bottom w:val="none" w:sz="0" w:space="0" w:color="auto"/>
        <w:right w:val="none" w:sz="0" w:space="0" w:color="auto"/>
      </w:divBdr>
      <w:divsChild>
        <w:div w:id="160004187">
          <w:marLeft w:val="0"/>
          <w:marRight w:val="0"/>
          <w:marTop w:val="0"/>
          <w:marBottom w:val="0"/>
          <w:divBdr>
            <w:top w:val="none" w:sz="0" w:space="0" w:color="auto"/>
            <w:left w:val="none" w:sz="0" w:space="0" w:color="auto"/>
            <w:bottom w:val="none" w:sz="0" w:space="0" w:color="auto"/>
            <w:right w:val="none" w:sz="0" w:space="0" w:color="auto"/>
          </w:divBdr>
          <w:divsChild>
            <w:div w:id="50926540">
              <w:marLeft w:val="0"/>
              <w:marRight w:val="0"/>
              <w:marTop w:val="0"/>
              <w:marBottom w:val="0"/>
              <w:divBdr>
                <w:top w:val="none" w:sz="0" w:space="0" w:color="auto"/>
                <w:left w:val="none" w:sz="0" w:space="0" w:color="auto"/>
                <w:bottom w:val="none" w:sz="0" w:space="0" w:color="auto"/>
                <w:right w:val="none" w:sz="0" w:space="0" w:color="auto"/>
              </w:divBdr>
              <w:divsChild>
                <w:div w:id="155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452">
      <w:bodyDiv w:val="1"/>
      <w:marLeft w:val="0"/>
      <w:marRight w:val="0"/>
      <w:marTop w:val="0"/>
      <w:marBottom w:val="0"/>
      <w:divBdr>
        <w:top w:val="none" w:sz="0" w:space="0" w:color="auto"/>
        <w:left w:val="none" w:sz="0" w:space="0" w:color="auto"/>
        <w:bottom w:val="none" w:sz="0" w:space="0" w:color="auto"/>
        <w:right w:val="none" w:sz="0" w:space="0" w:color="auto"/>
      </w:divBdr>
      <w:divsChild>
        <w:div w:id="1902397821">
          <w:marLeft w:val="0"/>
          <w:marRight w:val="0"/>
          <w:marTop w:val="0"/>
          <w:marBottom w:val="0"/>
          <w:divBdr>
            <w:top w:val="none" w:sz="0" w:space="0" w:color="auto"/>
            <w:left w:val="none" w:sz="0" w:space="0" w:color="auto"/>
            <w:bottom w:val="none" w:sz="0" w:space="0" w:color="auto"/>
            <w:right w:val="none" w:sz="0" w:space="0" w:color="auto"/>
          </w:divBdr>
          <w:divsChild>
            <w:div w:id="2140760478">
              <w:marLeft w:val="0"/>
              <w:marRight w:val="0"/>
              <w:marTop w:val="0"/>
              <w:marBottom w:val="0"/>
              <w:divBdr>
                <w:top w:val="none" w:sz="0" w:space="0" w:color="auto"/>
                <w:left w:val="none" w:sz="0" w:space="0" w:color="auto"/>
                <w:bottom w:val="none" w:sz="0" w:space="0" w:color="auto"/>
                <w:right w:val="none" w:sz="0" w:space="0" w:color="auto"/>
              </w:divBdr>
              <w:divsChild>
                <w:div w:id="13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7367">
      <w:bodyDiv w:val="1"/>
      <w:marLeft w:val="0"/>
      <w:marRight w:val="0"/>
      <w:marTop w:val="0"/>
      <w:marBottom w:val="0"/>
      <w:divBdr>
        <w:top w:val="none" w:sz="0" w:space="0" w:color="auto"/>
        <w:left w:val="none" w:sz="0" w:space="0" w:color="auto"/>
        <w:bottom w:val="none" w:sz="0" w:space="0" w:color="auto"/>
        <w:right w:val="none" w:sz="0" w:space="0" w:color="auto"/>
      </w:divBdr>
      <w:divsChild>
        <w:div w:id="987515618">
          <w:marLeft w:val="0"/>
          <w:marRight w:val="0"/>
          <w:marTop w:val="0"/>
          <w:marBottom w:val="0"/>
          <w:divBdr>
            <w:top w:val="none" w:sz="0" w:space="0" w:color="auto"/>
            <w:left w:val="none" w:sz="0" w:space="0" w:color="auto"/>
            <w:bottom w:val="none" w:sz="0" w:space="0" w:color="auto"/>
            <w:right w:val="none" w:sz="0" w:space="0" w:color="auto"/>
          </w:divBdr>
          <w:divsChild>
            <w:div w:id="1215772981">
              <w:marLeft w:val="0"/>
              <w:marRight w:val="0"/>
              <w:marTop w:val="0"/>
              <w:marBottom w:val="0"/>
              <w:divBdr>
                <w:top w:val="none" w:sz="0" w:space="0" w:color="auto"/>
                <w:left w:val="none" w:sz="0" w:space="0" w:color="auto"/>
                <w:bottom w:val="none" w:sz="0" w:space="0" w:color="auto"/>
                <w:right w:val="none" w:sz="0" w:space="0" w:color="auto"/>
              </w:divBdr>
              <w:divsChild>
                <w:div w:id="34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4438">
      <w:bodyDiv w:val="1"/>
      <w:marLeft w:val="0"/>
      <w:marRight w:val="0"/>
      <w:marTop w:val="0"/>
      <w:marBottom w:val="0"/>
      <w:divBdr>
        <w:top w:val="none" w:sz="0" w:space="0" w:color="auto"/>
        <w:left w:val="none" w:sz="0" w:space="0" w:color="auto"/>
        <w:bottom w:val="none" w:sz="0" w:space="0" w:color="auto"/>
        <w:right w:val="none" w:sz="0" w:space="0" w:color="auto"/>
      </w:divBdr>
      <w:divsChild>
        <w:div w:id="1313676686">
          <w:marLeft w:val="0"/>
          <w:marRight w:val="0"/>
          <w:marTop w:val="0"/>
          <w:marBottom w:val="0"/>
          <w:divBdr>
            <w:top w:val="none" w:sz="0" w:space="0" w:color="auto"/>
            <w:left w:val="none" w:sz="0" w:space="0" w:color="auto"/>
            <w:bottom w:val="none" w:sz="0" w:space="0" w:color="auto"/>
            <w:right w:val="none" w:sz="0" w:space="0" w:color="auto"/>
          </w:divBdr>
          <w:divsChild>
            <w:div w:id="1835491120">
              <w:marLeft w:val="0"/>
              <w:marRight w:val="0"/>
              <w:marTop w:val="0"/>
              <w:marBottom w:val="0"/>
              <w:divBdr>
                <w:top w:val="none" w:sz="0" w:space="0" w:color="auto"/>
                <w:left w:val="none" w:sz="0" w:space="0" w:color="auto"/>
                <w:bottom w:val="none" w:sz="0" w:space="0" w:color="auto"/>
                <w:right w:val="none" w:sz="0" w:space="0" w:color="auto"/>
              </w:divBdr>
              <w:divsChild>
                <w:div w:id="11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832">
      <w:bodyDiv w:val="1"/>
      <w:marLeft w:val="0"/>
      <w:marRight w:val="0"/>
      <w:marTop w:val="0"/>
      <w:marBottom w:val="0"/>
      <w:divBdr>
        <w:top w:val="none" w:sz="0" w:space="0" w:color="auto"/>
        <w:left w:val="none" w:sz="0" w:space="0" w:color="auto"/>
        <w:bottom w:val="none" w:sz="0" w:space="0" w:color="auto"/>
        <w:right w:val="none" w:sz="0" w:space="0" w:color="auto"/>
      </w:divBdr>
      <w:divsChild>
        <w:div w:id="993491852">
          <w:marLeft w:val="0"/>
          <w:marRight w:val="0"/>
          <w:marTop w:val="0"/>
          <w:marBottom w:val="0"/>
          <w:divBdr>
            <w:top w:val="none" w:sz="0" w:space="0" w:color="auto"/>
            <w:left w:val="none" w:sz="0" w:space="0" w:color="auto"/>
            <w:bottom w:val="none" w:sz="0" w:space="0" w:color="auto"/>
            <w:right w:val="none" w:sz="0" w:space="0" w:color="auto"/>
          </w:divBdr>
          <w:divsChild>
            <w:div w:id="940383245">
              <w:marLeft w:val="0"/>
              <w:marRight w:val="0"/>
              <w:marTop w:val="0"/>
              <w:marBottom w:val="0"/>
              <w:divBdr>
                <w:top w:val="none" w:sz="0" w:space="0" w:color="auto"/>
                <w:left w:val="none" w:sz="0" w:space="0" w:color="auto"/>
                <w:bottom w:val="none" w:sz="0" w:space="0" w:color="auto"/>
                <w:right w:val="none" w:sz="0" w:space="0" w:color="auto"/>
              </w:divBdr>
              <w:divsChild>
                <w:div w:id="1498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225">
      <w:bodyDiv w:val="1"/>
      <w:marLeft w:val="0"/>
      <w:marRight w:val="0"/>
      <w:marTop w:val="0"/>
      <w:marBottom w:val="0"/>
      <w:divBdr>
        <w:top w:val="none" w:sz="0" w:space="0" w:color="auto"/>
        <w:left w:val="none" w:sz="0" w:space="0" w:color="auto"/>
        <w:bottom w:val="none" w:sz="0" w:space="0" w:color="auto"/>
        <w:right w:val="none" w:sz="0" w:space="0" w:color="auto"/>
      </w:divBdr>
    </w:div>
    <w:div w:id="1514299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6103">
          <w:marLeft w:val="0"/>
          <w:marRight w:val="0"/>
          <w:marTop w:val="0"/>
          <w:marBottom w:val="0"/>
          <w:divBdr>
            <w:top w:val="none" w:sz="0" w:space="0" w:color="auto"/>
            <w:left w:val="none" w:sz="0" w:space="0" w:color="auto"/>
            <w:bottom w:val="none" w:sz="0" w:space="0" w:color="auto"/>
            <w:right w:val="none" w:sz="0" w:space="0" w:color="auto"/>
          </w:divBdr>
          <w:divsChild>
            <w:div w:id="13117128">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sChild>
            <w:div w:id="1978290870">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824">
      <w:bodyDiv w:val="1"/>
      <w:marLeft w:val="0"/>
      <w:marRight w:val="0"/>
      <w:marTop w:val="0"/>
      <w:marBottom w:val="0"/>
      <w:divBdr>
        <w:top w:val="none" w:sz="0" w:space="0" w:color="auto"/>
        <w:left w:val="none" w:sz="0" w:space="0" w:color="auto"/>
        <w:bottom w:val="none" w:sz="0" w:space="0" w:color="auto"/>
        <w:right w:val="none" w:sz="0" w:space="0" w:color="auto"/>
      </w:divBdr>
      <w:divsChild>
        <w:div w:id="874660160">
          <w:marLeft w:val="0"/>
          <w:marRight w:val="0"/>
          <w:marTop w:val="0"/>
          <w:marBottom w:val="0"/>
          <w:divBdr>
            <w:top w:val="none" w:sz="0" w:space="0" w:color="auto"/>
            <w:left w:val="none" w:sz="0" w:space="0" w:color="auto"/>
            <w:bottom w:val="none" w:sz="0" w:space="0" w:color="auto"/>
            <w:right w:val="none" w:sz="0" w:space="0" w:color="auto"/>
          </w:divBdr>
          <w:divsChild>
            <w:div w:id="1763456545">
              <w:marLeft w:val="0"/>
              <w:marRight w:val="0"/>
              <w:marTop w:val="0"/>
              <w:marBottom w:val="0"/>
              <w:divBdr>
                <w:top w:val="none" w:sz="0" w:space="0" w:color="auto"/>
                <w:left w:val="none" w:sz="0" w:space="0" w:color="auto"/>
                <w:bottom w:val="none" w:sz="0" w:space="0" w:color="auto"/>
                <w:right w:val="none" w:sz="0" w:space="0" w:color="auto"/>
              </w:divBdr>
              <w:divsChild>
                <w:div w:id="1229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140730320">
              <w:marLeft w:val="0"/>
              <w:marRight w:val="0"/>
              <w:marTop w:val="0"/>
              <w:marBottom w:val="0"/>
              <w:divBdr>
                <w:top w:val="none" w:sz="0" w:space="0" w:color="auto"/>
                <w:left w:val="none" w:sz="0" w:space="0" w:color="auto"/>
                <w:bottom w:val="none" w:sz="0" w:space="0" w:color="auto"/>
                <w:right w:val="none" w:sz="0" w:space="0" w:color="auto"/>
              </w:divBdr>
              <w:divsChild>
                <w:div w:id="1792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85">
      <w:bodyDiv w:val="1"/>
      <w:marLeft w:val="0"/>
      <w:marRight w:val="0"/>
      <w:marTop w:val="0"/>
      <w:marBottom w:val="0"/>
      <w:divBdr>
        <w:top w:val="none" w:sz="0" w:space="0" w:color="auto"/>
        <w:left w:val="none" w:sz="0" w:space="0" w:color="auto"/>
        <w:bottom w:val="none" w:sz="0" w:space="0" w:color="auto"/>
        <w:right w:val="none" w:sz="0" w:space="0" w:color="auto"/>
      </w:divBdr>
    </w:div>
    <w:div w:id="1594968053">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1">
          <w:marLeft w:val="0"/>
          <w:marRight w:val="0"/>
          <w:marTop w:val="0"/>
          <w:marBottom w:val="0"/>
          <w:divBdr>
            <w:top w:val="none" w:sz="0" w:space="0" w:color="auto"/>
            <w:left w:val="none" w:sz="0" w:space="0" w:color="auto"/>
            <w:bottom w:val="none" w:sz="0" w:space="0" w:color="auto"/>
            <w:right w:val="none" w:sz="0" w:space="0" w:color="auto"/>
          </w:divBdr>
          <w:divsChild>
            <w:div w:id="1995908251">
              <w:marLeft w:val="0"/>
              <w:marRight w:val="0"/>
              <w:marTop w:val="0"/>
              <w:marBottom w:val="0"/>
              <w:divBdr>
                <w:top w:val="none" w:sz="0" w:space="0" w:color="auto"/>
                <w:left w:val="none" w:sz="0" w:space="0" w:color="auto"/>
                <w:bottom w:val="none" w:sz="0" w:space="0" w:color="auto"/>
                <w:right w:val="none" w:sz="0" w:space="0" w:color="auto"/>
              </w:divBdr>
              <w:divsChild>
                <w:div w:id="793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sChild>
        <w:div w:id="1789856521">
          <w:marLeft w:val="0"/>
          <w:marRight w:val="0"/>
          <w:marTop w:val="0"/>
          <w:marBottom w:val="0"/>
          <w:divBdr>
            <w:top w:val="none" w:sz="0" w:space="0" w:color="auto"/>
            <w:left w:val="none" w:sz="0" w:space="0" w:color="auto"/>
            <w:bottom w:val="none" w:sz="0" w:space="0" w:color="auto"/>
            <w:right w:val="none" w:sz="0" w:space="0" w:color="auto"/>
          </w:divBdr>
          <w:divsChild>
            <w:div w:id="2003239992">
              <w:marLeft w:val="0"/>
              <w:marRight w:val="0"/>
              <w:marTop w:val="0"/>
              <w:marBottom w:val="0"/>
              <w:divBdr>
                <w:top w:val="none" w:sz="0" w:space="0" w:color="auto"/>
                <w:left w:val="none" w:sz="0" w:space="0" w:color="auto"/>
                <w:bottom w:val="none" w:sz="0" w:space="0" w:color="auto"/>
                <w:right w:val="none" w:sz="0" w:space="0" w:color="auto"/>
              </w:divBdr>
              <w:divsChild>
                <w:div w:id="195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sChild>
        <w:div w:id="246311642">
          <w:marLeft w:val="0"/>
          <w:marRight w:val="0"/>
          <w:marTop w:val="0"/>
          <w:marBottom w:val="0"/>
          <w:divBdr>
            <w:top w:val="none" w:sz="0" w:space="0" w:color="auto"/>
            <w:left w:val="none" w:sz="0" w:space="0" w:color="auto"/>
            <w:bottom w:val="none" w:sz="0" w:space="0" w:color="auto"/>
            <w:right w:val="none" w:sz="0" w:space="0" w:color="auto"/>
          </w:divBdr>
          <w:divsChild>
            <w:div w:id="1309898877">
              <w:marLeft w:val="0"/>
              <w:marRight w:val="0"/>
              <w:marTop w:val="0"/>
              <w:marBottom w:val="0"/>
              <w:divBdr>
                <w:top w:val="none" w:sz="0" w:space="0" w:color="auto"/>
                <w:left w:val="none" w:sz="0" w:space="0" w:color="auto"/>
                <w:bottom w:val="none" w:sz="0" w:space="0" w:color="auto"/>
                <w:right w:val="none" w:sz="0" w:space="0" w:color="auto"/>
              </w:divBdr>
              <w:divsChild>
                <w:div w:id="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44">
      <w:bodyDiv w:val="1"/>
      <w:marLeft w:val="0"/>
      <w:marRight w:val="0"/>
      <w:marTop w:val="0"/>
      <w:marBottom w:val="0"/>
      <w:divBdr>
        <w:top w:val="none" w:sz="0" w:space="0" w:color="auto"/>
        <w:left w:val="none" w:sz="0" w:space="0" w:color="auto"/>
        <w:bottom w:val="none" w:sz="0" w:space="0" w:color="auto"/>
        <w:right w:val="none" w:sz="0" w:space="0" w:color="auto"/>
      </w:divBdr>
      <w:divsChild>
        <w:div w:id="733814795">
          <w:marLeft w:val="0"/>
          <w:marRight w:val="0"/>
          <w:marTop w:val="0"/>
          <w:marBottom w:val="0"/>
          <w:divBdr>
            <w:top w:val="none" w:sz="0" w:space="0" w:color="auto"/>
            <w:left w:val="none" w:sz="0" w:space="0" w:color="auto"/>
            <w:bottom w:val="none" w:sz="0" w:space="0" w:color="auto"/>
            <w:right w:val="none" w:sz="0" w:space="0" w:color="auto"/>
          </w:divBdr>
          <w:divsChild>
            <w:div w:id="1285455508">
              <w:marLeft w:val="0"/>
              <w:marRight w:val="0"/>
              <w:marTop w:val="0"/>
              <w:marBottom w:val="0"/>
              <w:divBdr>
                <w:top w:val="none" w:sz="0" w:space="0" w:color="auto"/>
                <w:left w:val="none" w:sz="0" w:space="0" w:color="auto"/>
                <w:bottom w:val="none" w:sz="0" w:space="0" w:color="auto"/>
                <w:right w:val="none" w:sz="0" w:space="0" w:color="auto"/>
              </w:divBdr>
              <w:divsChild>
                <w:div w:id="907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426">
      <w:bodyDiv w:val="1"/>
      <w:marLeft w:val="0"/>
      <w:marRight w:val="0"/>
      <w:marTop w:val="0"/>
      <w:marBottom w:val="0"/>
      <w:divBdr>
        <w:top w:val="none" w:sz="0" w:space="0" w:color="auto"/>
        <w:left w:val="none" w:sz="0" w:space="0" w:color="auto"/>
        <w:bottom w:val="none" w:sz="0" w:space="0" w:color="auto"/>
        <w:right w:val="none" w:sz="0" w:space="0" w:color="auto"/>
      </w:divBdr>
      <w:divsChild>
        <w:div w:id="1473137195">
          <w:marLeft w:val="0"/>
          <w:marRight w:val="0"/>
          <w:marTop w:val="0"/>
          <w:marBottom w:val="0"/>
          <w:divBdr>
            <w:top w:val="none" w:sz="0" w:space="0" w:color="auto"/>
            <w:left w:val="none" w:sz="0" w:space="0" w:color="auto"/>
            <w:bottom w:val="none" w:sz="0" w:space="0" w:color="auto"/>
            <w:right w:val="none" w:sz="0" w:space="0" w:color="auto"/>
          </w:divBdr>
          <w:divsChild>
            <w:div w:id="1435784614">
              <w:marLeft w:val="0"/>
              <w:marRight w:val="0"/>
              <w:marTop w:val="0"/>
              <w:marBottom w:val="0"/>
              <w:divBdr>
                <w:top w:val="none" w:sz="0" w:space="0" w:color="auto"/>
                <w:left w:val="none" w:sz="0" w:space="0" w:color="auto"/>
                <w:bottom w:val="none" w:sz="0" w:space="0" w:color="auto"/>
                <w:right w:val="none" w:sz="0" w:space="0" w:color="auto"/>
              </w:divBdr>
              <w:divsChild>
                <w:div w:id="160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294">
      <w:bodyDiv w:val="1"/>
      <w:marLeft w:val="0"/>
      <w:marRight w:val="0"/>
      <w:marTop w:val="0"/>
      <w:marBottom w:val="0"/>
      <w:divBdr>
        <w:top w:val="none" w:sz="0" w:space="0" w:color="auto"/>
        <w:left w:val="none" w:sz="0" w:space="0" w:color="auto"/>
        <w:bottom w:val="none" w:sz="0" w:space="0" w:color="auto"/>
        <w:right w:val="none" w:sz="0" w:space="0" w:color="auto"/>
      </w:divBdr>
      <w:divsChild>
        <w:div w:id="1917736898">
          <w:marLeft w:val="0"/>
          <w:marRight w:val="0"/>
          <w:marTop w:val="0"/>
          <w:marBottom w:val="0"/>
          <w:divBdr>
            <w:top w:val="none" w:sz="0" w:space="0" w:color="auto"/>
            <w:left w:val="none" w:sz="0" w:space="0" w:color="auto"/>
            <w:bottom w:val="none" w:sz="0" w:space="0" w:color="auto"/>
            <w:right w:val="none" w:sz="0" w:space="0" w:color="auto"/>
          </w:divBdr>
          <w:divsChild>
            <w:div w:id="1224020582">
              <w:marLeft w:val="0"/>
              <w:marRight w:val="0"/>
              <w:marTop w:val="0"/>
              <w:marBottom w:val="0"/>
              <w:divBdr>
                <w:top w:val="none" w:sz="0" w:space="0" w:color="auto"/>
                <w:left w:val="none" w:sz="0" w:space="0" w:color="auto"/>
                <w:bottom w:val="none" w:sz="0" w:space="0" w:color="auto"/>
                <w:right w:val="none" w:sz="0" w:space="0" w:color="auto"/>
              </w:divBdr>
              <w:divsChild>
                <w:div w:id="592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855">
      <w:bodyDiv w:val="1"/>
      <w:marLeft w:val="0"/>
      <w:marRight w:val="0"/>
      <w:marTop w:val="0"/>
      <w:marBottom w:val="0"/>
      <w:divBdr>
        <w:top w:val="none" w:sz="0" w:space="0" w:color="auto"/>
        <w:left w:val="none" w:sz="0" w:space="0" w:color="auto"/>
        <w:bottom w:val="none" w:sz="0" w:space="0" w:color="auto"/>
        <w:right w:val="none" w:sz="0" w:space="0" w:color="auto"/>
      </w:divBdr>
      <w:divsChild>
        <w:div w:id="2127001654">
          <w:marLeft w:val="0"/>
          <w:marRight w:val="0"/>
          <w:marTop w:val="0"/>
          <w:marBottom w:val="0"/>
          <w:divBdr>
            <w:top w:val="none" w:sz="0" w:space="0" w:color="auto"/>
            <w:left w:val="none" w:sz="0" w:space="0" w:color="auto"/>
            <w:bottom w:val="none" w:sz="0" w:space="0" w:color="auto"/>
            <w:right w:val="none" w:sz="0" w:space="0" w:color="auto"/>
          </w:divBdr>
          <w:divsChild>
            <w:div w:id="347295246">
              <w:marLeft w:val="0"/>
              <w:marRight w:val="0"/>
              <w:marTop w:val="0"/>
              <w:marBottom w:val="0"/>
              <w:divBdr>
                <w:top w:val="none" w:sz="0" w:space="0" w:color="auto"/>
                <w:left w:val="none" w:sz="0" w:space="0" w:color="auto"/>
                <w:bottom w:val="none" w:sz="0" w:space="0" w:color="auto"/>
                <w:right w:val="none" w:sz="0" w:space="0" w:color="auto"/>
              </w:divBdr>
              <w:divsChild>
                <w:div w:id="654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62">
      <w:bodyDiv w:val="1"/>
      <w:marLeft w:val="0"/>
      <w:marRight w:val="0"/>
      <w:marTop w:val="0"/>
      <w:marBottom w:val="0"/>
      <w:divBdr>
        <w:top w:val="none" w:sz="0" w:space="0" w:color="auto"/>
        <w:left w:val="none" w:sz="0" w:space="0" w:color="auto"/>
        <w:bottom w:val="none" w:sz="0" w:space="0" w:color="auto"/>
        <w:right w:val="none" w:sz="0" w:space="0" w:color="auto"/>
      </w:divBdr>
      <w:divsChild>
        <w:div w:id="259263258">
          <w:marLeft w:val="0"/>
          <w:marRight w:val="0"/>
          <w:marTop w:val="0"/>
          <w:marBottom w:val="0"/>
          <w:divBdr>
            <w:top w:val="none" w:sz="0" w:space="0" w:color="auto"/>
            <w:left w:val="none" w:sz="0" w:space="0" w:color="auto"/>
            <w:bottom w:val="none" w:sz="0" w:space="0" w:color="auto"/>
            <w:right w:val="none" w:sz="0" w:space="0" w:color="auto"/>
          </w:divBdr>
          <w:divsChild>
            <w:div w:id="964966498">
              <w:marLeft w:val="0"/>
              <w:marRight w:val="0"/>
              <w:marTop w:val="0"/>
              <w:marBottom w:val="0"/>
              <w:divBdr>
                <w:top w:val="none" w:sz="0" w:space="0" w:color="auto"/>
                <w:left w:val="none" w:sz="0" w:space="0" w:color="auto"/>
                <w:bottom w:val="none" w:sz="0" w:space="0" w:color="auto"/>
                <w:right w:val="none" w:sz="0" w:space="0" w:color="auto"/>
              </w:divBdr>
              <w:divsChild>
                <w:div w:id="1311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482">
      <w:bodyDiv w:val="1"/>
      <w:marLeft w:val="0"/>
      <w:marRight w:val="0"/>
      <w:marTop w:val="0"/>
      <w:marBottom w:val="0"/>
      <w:divBdr>
        <w:top w:val="none" w:sz="0" w:space="0" w:color="auto"/>
        <w:left w:val="none" w:sz="0" w:space="0" w:color="auto"/>
        <w:bottom w:val="none" w:sz="0" w:space="0" w:color="auto"/>
        <w:right w:val="none" w:sz="0" w:space="0" w:color="auto"/>
      </w:divBdr>
    </w:div>
    <w:div w:id="17139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624442">
          <w:marLeft w:val="0"/>
          <w:marRight w:val="0"/>
          <w:marTop w:val="0"/>
          <w:marBottom w:val="0"/>
          <w:divBdr>
            <w:top w:val="none" w:sz="0" w:space="0" w:color="auto"/>
            <w:left w:val="none" w:sz="0" w:space="0" w:color="auto"/>
            <w:bottom w:val="none" w:sz="0" w:space="0" w:color="auto"/>
            <w:right w:val="none" w:sz="0" w:space="0" w:color="auto"/>
          </w:divBdr>
          <w:divsChild>
            <w:div w:id="1353993117">
              <w:marLeft w:val="0"/>
              <w:marRight w:val="0"/>
              <w:marTop w:val="0"/>
              <w:marBottom w:val="0"/>
              <w:divBdr>
                <w:top w:val="none" w:sz="0" w:space="0" w:color="auto"/>
                <w:left w:val="none" w:sz="0" w:space="0" w:color="auto"/>
                <w:bottom w:val="none" w:sz="0" w:space="0" w:color="auto"/>
                <w:right w:val="none" w:sz="0" w:space="0" w:color="auto"/>
              </w:divBdr>
              <w:divsChild>
                <w:div w:id="1064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8644">
      <w:bodyDiv w:val="1"/>
      <w:marLeft w:val="0"/>
      <w:marRight w:val="0"/>
      <w:marTop w:val="0"/>
      <w:marBottom w:val="0"/>
      <w:divBdr>
        <w:top w:val="none" w:sz="0" w:space="0" w:color="auto"/>
        <w:left w:val="none" w:sz="0" w:space="0" w:color="auto"/>
        <w:bottom w:val="none" w:sz="0" w:space="0" w:color="auto"/>
        <w:right w:val="none" w:sz="0" w:space="0" w:color="auto"/>
      </w:divBdr>
      <w:divsChild>
        <w:div w:id="671685793">
          <w:marLeft w:val="0"/>
          <w:marRight w:val="0"/>
          <w:marTop w:val="0"/>
          <w:marBottom w:val="0"/>
          <w:divBdr>
            <w:top w:val="none" w:sz="0" w:space="0" w:color="auto"/>
            <w:left w:val="none" w:sz="0" w:space="0" w:color="auto"/>
            <w:bottom w:val="none" w:sz="0" w:space="0" w:color="auto"/>
            <w:right w:val="none" w:sz="0" w:space="0" w:color="auto"/>
          </w:divBdr>
          <w:divsChild>
            <w:div w:id="1877501563">
              <w:marLeft w:val="0"/>
              <w:marRight w:val="0"/>
              <w:marTop w:val="0"/>
              <w:marBottom w:val="0"/>
              <w:divBdr>
                <w:top w:val="none" w:sz="0" w:space="0" w:color="auto"/>
                <w:left w:val="none" w:sz="0" w:space="0" w:color="auto"/>
                <w:bottom w:val="none" w:sz="0" w:space="0" w:color="auto"/>
                <w:right w:val="none" w:sz="0" w:space="0" w:color="auto"/>
              </w:divBdr>
              <w:divsChild>
                <w:div w:id="981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2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708">
          <w:marLeft w:val="0"/>
          <w:marRight w:val="0"/>
          <w:marTop w:val="0"/>
          <w:marBottom w:val="0"/>
          <w:divBdr>
            <w:top w:val="none" w:sz="0" w:space="0" w:color="auto"/>
            <w:left w:val="none" w:sz="0" w:space="0" w:color="auto"/>
            <w:bottom w:val="none" w:sz="0" w:space="0" w:color="auto"/>
            <w:right w:val="none" w:sz="0" w:space="0" w:color="auto"/>
          </w:divBdr>
          <w:divsChild>
            <w:div w:id="795833309">
              <w:marLeft w:val="0"/>
              <w:marRight w:val="0"/>
              <w:marTop w:val="0"/>
              <w:marBottom w:val="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891">
      <w:bodyDiv w:val="1"/>
      <w:marLeft w:val="0"/>
      <w:marRight w:val="0"/>
      <w:marTop w:val="0"/>
      <w:marBottom w:val="0"/>
      <w:divBdr>
        <w:top w:val="none" w:sz="0" w:space="0" w:color="auto"/>
        <w:left w:val="none" w:sz="0" w:space="0" w:color="auto"/>
        <w:bottom w:val="none" w:sz="0" w:space="0" w:color="auto"/>
        <w:right w:val="none" w:sz="0" w:space="0" w:color="auto"/>
      </w:divBdr>
      <w:divsChild>
        <w:div w:id="1711759042">
          <w:marLeft w:val="0"/>
          <w:marRight w:val="0"/>
          <w:marTop w:val="0"/>
          <w:marBottom w:val="0"/>
          <w:divBdr>
            <w:top w:val="none" w:sz="0" w:space="0" w:color="auto"/>
            <w:left w:val="none" w:sz="0" w:space="0" w:color="auto"/>
            <w:bottom w:val="none" w:sz="0" w:space="0" w:color="auto"/>
            <w:right w:val="none" w:sz="0" w:space="0" w:color="auto"/>
          </w:divBdr>
          <w:divsChild>
            <w:div w:id="2094666109">
              <w:marLeft w:val="0"/>
              <w:marRight w:val="0"/>
              <w:marTop w:val="0"/>
              <w:marBottom w:val="0"/>
              <w:divBdr>
                <w:top w:val="none" w:sz="0" w:space="0" w:color="auto"/>
                <w:left w:val="none" w:sz="0" w:space="0" w:color="auto"/>
                <w:bottom w:val="none" w:sz="0" w:space="0" w:color="auto"/>
                <w:right w:val="none" w:sz="0" w:space="0" w:color="auto"/>
              </w:divBdr>
              <w:divsChild>
                <w:div w:id="1996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638">
      <w:bodyDiv w:val="1"/>
      <w:marLeft w:val="0"/>
      <w:marRight w:val="0"/>
      <w:marTop w:val="0"/>
      <w:marBottom w:val="0"/>
      <w:divBdr>
        <w:top w:val="none" w:sz="0" w:space="0" w:color="auto"/>
        <w:left w:val="none" w:sz="0" w:space="0" w:color="auto"/>
        <w:bottom w:val="none" w:sz="0" w:space="0" w:color="auto"/>
        <w:right w:val="none" w:sz="0" w:space="0" w:color="auto"/>
      </w:divBdr>
      <w:divsChild>
        <w:div w:id="2011786794">
          <w:marLeft w:val="0"/>
          <w:marRight w:val="0"/>
          <w:marTop w:val="0"/>
          <w:marBottom w:val="0"/>
          <w:divBdr>
            <w:top w:val="none" w:sz="0" w:space="0" w:color="auto"/>
            <w:left w:val="none" w:sz="0" w:space="0" w:color="auto"/>
            <w:bottom w:val="none" w:sz="0" w:space="0" w:color="auto"/>
            <w:right w:val="none" w:sz="0" w:space="0" w:color="auto"/>
          </w:divBdr>
          <w:divsChild>
            <w:div w:id="512645519">
              <w:marLeft w:val="0"/>
              <w:marRight w:val="0"/>
              <w:marTop w:val="0"/>
              <w:marBottom w:val="0"/>
              <w:divBdr>
                <w:top w:val="none" w:sz="0" w:space="0" w:color="auto"/>
                <w:left w:val="none" w:sz="0" w:space="0" w:color="auto"/>
                <w:bottom w:val="none" w:sz="0" w:space="0" w:color="auto"/>
                <w:right w:val="none" w:sz="0" w:space="0" w:color="auto"/>
              </w:divBdr>
              <w:divsChild>
                <w:div w:id="1467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465">
      <w:bodyDiv w:val="1"/>
      <w:marLeft w:val="0"/>
      <w:marRight w:val="0"/>
      <w:marTop w:val="0"/>
      <w:marBottom w:val="0"/>
      <w:divBdr>
        <w:top w:val="none" w:sz="0" w:space="0" w:color="auto"/>
        <w:left w:val="none" w:sz="0" w:space="0" w:color="auto"/>
        <w:bottom w:val="none" w:sz="0" w:space="0" w:color="auto"/>
        <w:right w:val="none" w:sz="0" w:space="0" w:color="auto"/>
      </w:divBdr>
      <w:divsChild>
        <w:div w:id="955866952">
          <w:marLeft w:val="0"/>
          <w:marRight w:val="0"/>
          <w:marTop w:val="0"/>
          <w:marBottom w:val="0"/>
          <w:divBdr>
            <w:top w:val="none" w:sz="0" w:space="0" w:color="auto"/>
            <w:left w:val="none" w:sz="0" w:space="0" w:color="auto"/>
            <w:bottom w:val="none" w:sz="0" w:space="0" w:color="auto"/>
            <w:right w:val="none" w:sz="0" w:space="0" w:color="auto"/>
          </w:divBdr>
          <w:divsChild>
            <w:div w:id="797382726">
              <w:marLeft w:val="0"/>
              <w:marRight w:val="0"/>
              <w:marTop w:val="0"/>
              <w:marBottom w:val="0"/>
              <w:divBdr>
                <w:top w:val="none" w:sz="0" w:space="0" w:color="auto"/>
                <w:left w:val="none" w:sz="0" w:space="0" w:color="auto"/>
                <w:bottom w:val="none" w:sz="0" w:space="0" w:color="auto"/>
                <w:right w:val="none" w:sz="0" w:space="0" w:color="auto"/>
              </w:divBdr>
              <w:divsChild>
                <w:div w:id="1511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24">
      <w:bodyDiv w:val="1"/>
      <w:marLeft w:val="0"/>
      <w:marRight w:val="0"/>
      <w:marTop w:val="0"/>
      <w:marBottom w:val="0"/>
      <w:divBdr>
        <w:top w:val="none" w:sz="0" w:space="0" w:color="auto"/>
        <w:left w:val="none" w:sz="0" w:space="0" w:color="auto"/>
        <w:bottom w:val="none" w:sz="0" w:space="0" w:color="auto"/>
        <w:right w:val="none" w:sz="0" w:space="0" w:color="auto"/>
      </w:divBdr>
      <w:divsChild>
        <w:div w:id="3166630">
          <w:marLeft w:val="0"/>
          <w:marRight w:val="0"/>
          <w:marTop w:val="0"/>
          <w:marBottom w:val="0"/>
          <w:divBdr>
            <w:top w:val="none" w:sz="0" w:space="0" w:color="auto"/>
            <w:left w:val="none" w:sz="0" w:space="0" w:color="auto"/>
            <w:bottom w:val="none" w:sz="0" w:space="0" w:color="auto"/>
            <w:right w:val="none" w:sz="0" w:space="0" w:color="auto"/>
          </w:divBdr>
          <w:divsChild>
            <w:div w:id="836112005">
              <w:marLeft w:val="0"/>
              <w:marRight w:val="0"/>
              <w:marTop w:val="0"/>
              <w:marBottom w:val="0"/>
              <w:divBdr>
                <w:top w:val="none" w:sz="0" w:space="0" w:color="auto"/>
                <w:left w:val="none" w:sz="0" w:space="0" w:color="auto"/>
                <w:bottom w:val="none" w:sz="0" w:space="0" w:color="auto"/>
                <w:right w:val="none" w:sz="0" w:space="0" w:color="auto"/>
              </w:divBdr>
              <w:divsChild>
                <w:div w:id="1631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98">
          <w:marLeft w:val="0"/>
          <w:marRight w:val="0"/>
          <w:marTop w:val="0"/>
          <w:marBottom w:val="0"/>
          <w:divBdr>
            <w:top w:val="none" w:sz="0" w:space="0" w:color="auto"/>
            <w:left w:val="none" w:sz="0" w:space="0" w:color="auto"/>
            <w:bottom w:val="none" w:sz="0" w:space="0" w:color="auto"/>
            <w:right w:val="none" w:sz="0" w:space="0" w:color="auto"/>
          </w:divBdr>
          <w:divsChild>
            <w:div w:id="1365443235">
              <w:marLeft w:val="0"/>
              <w:marRight w:val="0"/>
              <w:marTop w:val="0"/>
              <w:marBottom w:val="0"/>
              <w:divBdr>
                <w:top w:val="none" w:sz="0" w:space="0" w:color="auto"/>
                <w:left w:val="none" w:sz="0" w:space="0" w:color="auto"/>
                <w:bottom w:val="none" w:sz="0" w:space="0" w:color="auto"/>
                <w:right w:val="none" w:sz="0" w:space="0" w:color="auto"/>
              </w:divBdr>
              <w:divsChild>
                <w:div w:id="147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9448">
      <w:bodyDiv w:val="1"/>
      <w:marLeft w:val="0"/>
      <w:marRight w:val="0"/>
      <w:marTop w:val="0"/>
      <w:marBottom w:val="0"/>
      <w:divBdr>
        <w:top w:val="none" w:sz="0" w:space="0" w:color="auto"/>
        <w:left w:val="none" w:sz="0" w:space="0" w:color="auto"/>
        <w:bottom w:val="none" w:sz="0" w:space="0" w:color="auto"/>
        <w:right w:val="none" w:sz="0" w:space="0" w:color="auto"/>
      </w:divBdr>
      <w:divsChild>
        <w:div w:id="342437534">
          <w:marLeft w:val="0"/>
          <w:marRight w:val="0"/>
          <w:marTop w:val="0"/>
          <w:marBottom w:val="0"/>
          <w:divBdr>
            <w:top w:val="none" w:sz="0" w:space="0" w:color="auto"/>
            <w:left w:val="none" w:sz="0" w:space="0" w:color="auto"/>
            <w:bottom w:val="none" w:sz="0" w:space="0" w:color="auto"/>
            <w:right w:val="none" w:sz="0" w:space="0" w:color="auto"/>
          </w:divBdr>
          <w:divsChild>
            <w:div w:id="160248869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0249">
      <w:bodyDiv w:val="1"/>
      <w:marLeft w:val="0"/>
      <w:marRight w:val="0"/>
      <w:marTop w:val="0"/>
      <w:marBottom w:val="0"/>
      <w:divBdr>
        <w:top w:val="none" w:sz="0" w:space="0" w:color="auto"/>
        <w:left w:val="none" w:sz="0" w:space="0" w:color="auto"/>
        <w:bottom w:val="none" w:sz="0" w:space="0" w:color="auto"/>
        <w:right w:val="none" w:sz="0" w:space="0" w:color="auto"/>
      </w:divBdr>
      <w:divsChild>
        <w:div w:id="231161233">
          <w:marLeft w:val="0"/>
          <w:marRight w:val="0"/>
          <w:marTop w:val="0"/>
          <w:marBottom w:val="0"/>
          <w:divBdr>
            <w:top w:val="none" w:sz="0" w:space="0" w:color="auto"/>
            <w:left w:val="none" w:sz="0" w:space="0" w:color="auto"/>
            <w:bottom w:val="none" w:sz="0" w:space="0" w:color="auto"/>
            <w:right w:val="none" w:sz="0" w:space="0" w:color="auto"/>
          </w:divBdr>
          <w:divsChild>
            <w:div w:id="197396204">
              <w:marLeft w:val="0"/>
              <w:marRight w:val="0"/>
              <w:marTop w:val="0"/>
              <w:marBottom w:val="0"/>
              <w:divBdr>
                <w:top w:val="none" w:sz="0" w:space="0" w:color="auto"/>
                <w:left w:val="none" w:sz="0" w:space="0" w:color="auto"/>
                <w:bottom w:val="none" w:sz="0" w:space="0" w:color="auto"/>
                <w:right w:val="none" w:sz="0" w:space="0" w:color="auto"/>
              </w:divBdr>
              <w:divsChild>
                <w:div w:id="1731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sChild>
        <w:div w:id="153646234">
          <w:marLeft w:val="0"/>
          <w:marRight w:val="0"/>
          <w:marTop w:val="0"/>
          <w:marBottom w:val="0"/>
          <w:divBdr>
            <w:top w:val="none" w:sz="0" w:space="0" w:color="auto"/>
            <w:left w:val="none" w:sz="0" w:space="0" w:color="auto"/>
            <w:bottom w:val="none" w:sz="0" w:space="0" w:color="auto"/>
            <w:right w:val="none" w:sz="0" w:space="0" w:color="auto"/>
          </w:divBdr>
          <w:divsChild>
            <w:div w:id="1247029965">
              <w:marLeft w:val="0"/>
              <w:marRight w:val="0"/>
              <w:marTop w:val="0"/>
              <w:marBottom w:val="0"/>
              <w:divBdr>
                <w:top w:val="none" w:sz="0" w:space="0" w:color="auto"/>
                <w:left w:val="none" w:sz="0" w:space="0" w:color="auto"/>
                <w:bottom w:val="none" w:sz="0" w:space="0" w:color="auto"/>
                <w:right w:val="none" w:sz="0" w:space="0" w:color="auto"/>
              </w:divBdr>
              <w:divsChild>
                <w:div w:id="1512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225">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5">
          <w:marLeft w:val="0"/>
          <w:marRight w:val="0"/>
          <w:marTop w:val="0"/>
          <w:marBottom w:val="0"/>
          <w:divBdr>
            <w:top w:val="none" w:sz="0" w:space="0" w:color="auto"/>
            <w:left w:val="none" w:sz="0" w:space="0" w:color="auto"/>
            <w:bottom w:val="none" w:sz="0" w:space="0" w:color="auto"/>
            <w:right w:val="none" w:sz="0" w:space="0" w:color="auto"/>
          </w:divBdr>
          <w:divsChild>
            <w:div w:id="1711609076">
              <w:marLeft w:val="0"/>
              <w:marRight w:val="0"/>
              <w:marTop w:val="0"/>
              <w:marBottom w:val="0"/>
              <w:divBdr>
                <w:top w:val="none" w:sz="0" w:space="0" w:color="auto"/>
                <w:left w:val="none" w:sz="0" w:space="0" w:color="auto"/>
                <w:bottom w:val="none" w:sz="0" w:space="0" w:color="auto"/>
                <w:right w:val="none" w:sz="0" w:space="0" w:color="auto"/>
              </w:divBdr>
              <w:divsChild>
                <w:div w:id="176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834">
          <w:marLeft w:val="0"/>
          <w:marRight w:val="0"/>
          <w:marTop w:val="0"/>
          <w:marBottom w:val="0"/>
          <w:divBdr>
            <w:top w:val="none" w:sz="0" w:space="0" w:color="auto"/>
            <w:left w:val="none" w:sz="0" w:space="0" w:color="auto"/>
            <w:bottom w:val="none" w:sz="0" w:space="0" w:color="auto"/>
            <w:right w:val="none" w:sz="0" w:space="0" w:color="auto"/>
          </w:divBdr>
          <w:divsChild>
            <w:div w:id="1896238980">
              <w:marLeft w:val="0"/>
              <w:marRight w:val="0"/>
              <w:marTop w:val="0"/>
              <w:marBottom w:val="0"/>
              <w:divBdr>
                <w:top w:val="none" w:sz="0" w:space="0" w:color="auto"/>
                <w:left w:val="none" w:sz="0" w:space="0" w:color="auto"/>
                <w:bottom w:val="none" w:sz="0" w:space="0" w:color="auto"/>
                <w:right w:val="none" w:sz="0" w:space="0" w:color="auto"/>
              </w:divBdr>
              <w:divsChild>
                <w:div w:id="51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026">
          <w:marLeft w:val="0"/>
          <w:marRight w:val="0"/>
          <w:marTop w:val="0"/>
          <w:marBottom w:val="0"/>
          <w:divBdr>
            <w:top w:val="none" w:sz="0" w:space="0" w:color="auto"/>
            <w:left w:val="none" w:sz="0" w:space="0" w:color="auto"/>
            <w:bottom w:val="none" w:sz="0" w:space="0" w:color="auto"/>
            <w:right w:val="none" w:sz="0" w:space="0" w:color="auto"/>
          </w:divBdr>
          <w:divsChild>
            <w:div w:id="982538912">
              <w:marLeft w:val="0"/>
              <w:marRight w:val="0"/>
              <w:marTop w:val="0"/>
              <w:marBottom w:val="0"/>
              <w:divBdr>
                <w:top w:val="none" w:sz="0" w:space="0" w:color="auto"/>
                <w:left w:val="none" w:sz="0" w:space="0" w:color="auto"/>
                <w:bottom w:val="none" w:sz="0" w:space="0" w:color="auto"/>
                <w:right w:val="none" w:sz="0" w:space="0" w:color="auto"/>
              </w:divBdr>
              <w:divsChild>
                <w:div w:id="115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025">
          <w:marLeft w:val="0"/>
          <w:marRight w:val="0"/>
          <w:marTop w:val="0"/>
          <w:marBottom w:val="0"/>
          <w:divBdr>
            <w:top w:val="none" w:sz="0" w:space="0" w:color="auto"/>
            <w:left w:val="none" w:sz="0" w:space="0" w:color="auto"/>
            <w:bottom w:val="none" w:sz="0" w:space="0" w:color="auto"/>
            <w:right w:val="none" w:sz="0" w:space="0" w:color="auto"/>
          </w:divBdr>
          <w:divsChild>
            <w:div w:id="196696873">
              <w:marLeft w:val="0"/>
              <w:marRight w:val="0"/>
              <w:marTop w:val="0"/>
              <w:marBottom w:val="0"/>
              <w:divBdr>
                <w:top w:val="none" w:sz="0" w:space="0" w:color="auto"/>
                <w:left w:val="none" w:sz="0" w:space="0" w:color="auto"/>
                <w:bottom w:val="none" w:sz="0" w:space="0" w:color="auto"/>
                <w:right w:val="none" w:sz="0" w:space="0" w:color="auto"/>
              </w:divBdr>
              <w:divsChild>
                <w:div w:id="1963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926">
      <w:bodyDiv w:val="1"/>
      <w:marLeft w:val="0"/>
      <w:marRight w:val="0"/>
      <w:marTop w:val="0"/>
      <w:marBottom w:val="0"/>
      <w:divBdr>
        <w:top w:val="none" w:sz="0" w:space="0" w:color="auto"/>
        <w:left w:val="none" w:sz="0" w:space="0" w:color="auto"/>
        <w:bottom w:val="none" w:sz="0" w:space="0" w:color="auto"/>
        <w:right w:val="none" w:sz="0" w:space="0" w:color="auto"/>
      </w:divBdr>
      <w:divsChild>
        <w:div w:id="1087071369">
          <w:marLeft w:val="0"/>
          <w:marRight w:val="0"/>
          <w:marTop w:val="0"/>
          <w:marBottom w:val="0"/>
          <w:divBdr>
            <w:top w:val="none" w:sz="0" w:space="0" w:color="auto"/>
            <w:left w:val="none" w:sz="0" w:space="0" w:color="auto"/>
            <w:bottom w:val="none" w:sz="0" w:space="0" w:color="auto"/>
            <w:right w:val="none" w:sz="0" w:space="0" w:color="auto"/>
          </w:divBdr>
          <w:divsChild>
            <w:div w:id="663122630">
              <w:marLeft w:val="0"/>
              <w:marRight w:val="0"/>
              <w:marTop w:val="0"/>
              <w:marBottom w:val="0"/>
              <w:divBdr>
                <w:top w:val="none" w:sz="0" w:space="0" w:color="auto"/>
                <w:left w:val="none" w:sz="0" w:space="0" w:color="auto"/>
                <w:bottom w:val="none" w:sz="0" w:space="0" w:color="auto"/>
                <w:right w:val="none" w:sz="0" w:space="0" w:color="auto"/>
              </w:divBdr>
              <w:divsChild>
                <w:div w:id="1390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615">
      <w:bodyDiv w:val="1"/>
      <w:marLeft w:val="0"/>
      <w:marRight w:val="0"/>
      <w:marTop w:val="0"/>
      <w:marBottom w:val="0"/>
      <w:divBdr>
        <w:top w:val="none" w:sz="0" w:space="0" w:color="auto"/>
        <w:left w:val="none" w:sz="0" w:space="0" w:color="auto"/>
        <w:bottom w:val="none" w:sz="0" w:space="0" w:color="auto"/>
        <w:right w:val="none" w:sz="0" w:space="0" w:color="auto"/>
      </w:divBdr>
      <w:divsChild>
        <w:div w:id="178281194">
          <w:marLeft w:val="0"/>
          <w:marRight w:val="0"/>
          <w:marTop w:val="0"/>
          <w:marBottom w:val="0"/>
          <w:divBdr>
            <w:top w:val="none" w:sz="0" w:space="0" w:color="auto"/>
            <w:left w:val="none" w:sz="0" w:space="0" w:color="auto"/>
            <w:bottom w:val="none" w:sz="0" w:space="0" w:color="auto"/>
            <w:right w:val="none" w:sz="0" w:space="0" w:color="auto"/>
          </w:divBdr>
          <w:divsChild>
            <w:div w:id="145587322">
              <w:marLeft w:val="0"/>
              <w:marRight w:val="0"/>
              <w:marTop w:val="0"/>
              <w:marBottom w:val="0"/>
              <w:divBdr>
                <w:top w:val="none" w:sz="0" w:space="0" w:color="auto"/>
                <w:left w:val="none" w:sz="0" w:space="0" w:color="auto"/>
                <w:bottom w:val="none" w:sz="0" w:space="0" w:color="auto"/>
                <w:right w:val="none" w:sz="0" w:space="0" w:color="auto"/>
              </w:divBdr>
              <w:divsChild>
                <w:div w:id="894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056">
      <w:bodyDiv w:val="1"/>
      <w:marLeft w:val="0"/>
      <w:marRight w:val="0"/>
      <w:marTop w:val="0"/>
      <w:marBottom w:val="0"/>
      <w:divBdr>
        <w:top w:val="none" w:sz="0" w:space="0" w:color="auto"/>
        <w:left w:val="none" w:sz="0" w:space="0" w:color="auto"/>
        <w:bottom w:val="none" w:sz="0" w:space="0" w:color="auto"/>
        <w:right w:val="none" w:sz="0" w:space="0" w:color="auto"/>
      </w:divBdr>
    </w:div>
    <w:div w:id="2014070857">
      <w:bodyDiv w:val="1"/>
      <w:marLeft w:val="0"/>
      <w:marRight w:val="0"/>
      <w:marTop w:val="0"/>
      <w:marBottom w:val="0"/>
      <w:divBdr>
        <w:top w:val="none" w:sz="0" w:space="0" w:color="auto"/>
        <w:left w:val="none" w:sz="0" w:space="0" w:color="auto"/>
        <w:bottom w:val="none" w:sz="0" w:space="0" w:color="auto"/>
        <w:right w:val="none" w:sz="0" w:space="0" w:color="auto"/>
      </w:divBdr>
      <w:divsChild>
        <w:div w:id="1375695406">
          <w:marLeft w:val="0"/>
          <w:marRight w:val="0"/>
          <w:marTop w:val="0"/>
          <w:marBottom w:val="0"/>
          <w:divBdr>
            <w:top w:val="none" w:sz="0" w:space="0" w:color="auto"/>
            <w:left w:val="none" w:sz="0" w:space="0" w:color="auto"/>
            <w:bottom w:val="none" w:sz="0" w:space="0" w:color="auto"/>
            <w:right w:val="none" w:sz="0" w:space="0" w:color="auto"/>
          </w:divBdr>
          <w:divsChild>
            <w:div w:id="1518234126">
              <w:marLeft w:val="0"/>
              <w:marRight w:val="0"/>
              <w:marTop w:val="0"/>
              <w:marBottom w:val="0"/>
              <w:divBdr>
                <w:top w:val="none" w:sz="0" w:space="0" w:color="auto"/>
                <w:left w:val="none" w:sz="0" w:space="0" w:color="auto"/>
                <w:bottom w:val="none" w:sz="0" w:space="0" w:color="auto"/>
                <w:right w:val="none" w:sz="0" w:space="0" w:color="auto"/>
              </w:divBdr>
              <w:divsChild>
                <w:div w:id="9559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88">
      <w:bodyDiv w:val="1"/>
      <w:marLeft w:val="0"/>
      <w:marRight w:val="0"/>
      <w:marTop w:val="0"/>
      <w:marBottom w:val="0"/>
      <w:divBdr>
        <w:top w:val="none" w:sz="0" w:space="0" w:color="auto"/>
        <w:left w:val="none" w:sz="0" w:space="0" w:color="auto"/>
        <w:bottom w:val="none" w:sz="0" w:space="0" w:color="auto"/>
        <w:right w:val="none" w:sz="0" w:space="0" w:color="auto"/>
      </w:divBdr>
      <w:divsChild>
        <w:div w:id="2006785166">
          <w:marLeft w:val="0"/>
          <w:marRight w:val="0"/>
          <w:marTop w:val="0"/>
          <w:marBottom w:val="0"/>
          <w:divBdr>
            <w:top w:val="none" w:sz="0" w:space="0" w:color="auto"/>
            <w:left w:val="none" w:sz="0" w:space="0" w:color="auto"/>
            <w:bottom w:val="none" w:sz="0" w:space="0" w:color="auto"/>
            <w:right w:val="none" w:sz="0" w:space="0" w:color="auto"/>
          </w:divBdr>
          <w:divsChild>
            <w:div w:id="41252822">
              <w:marLeft w:val="0"/>
              <w:marRight w:val="0"/>
              <w:marTop w:val="0"/>
              <w:marBottom w:val="0"/>
              <w:divBdr>
                <w:top w:val="none" w:sz="0" w:space="0" w:color="auto"/>
                <w:left w:val="none" w:sz="0" w:space="0" w:color="auto"/>
                <w:bottom w:val="none" w:sz="0" w:space="0" w:color="auto"/>
                <w:right w:val="none" w:sz="0" w:space="0" w:color="auto"/>
              </w:divBdr>
              <w:divsChild>
                <w:div w:id="40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sChild>
        <w:div w:id="294912757">
          <w:marLeft w:val="0"/>
          <w:marRight w:val="0"/>
          <w:marTop w:val="0"/>
          <w:marBottom w:val="0"/>
          <w:divBdr>
            <w:top w:val="none" w:sz="0" w:space="0" w:color="auto"/>
            <w:left w:val="none" w:sz="0" w:space="0" w:color="auto"/>
            <w:bottom w:val="none" w:sz="0" w:space="0" w:color="auto"/>
            <w:right w:val="none" w:sz="0" w:space="0" w:color="auto"/>
          </w:divBdr>
          <w:divsChild>
            <w:div w:id="1222473793">
              <w:marLeft w:val="0"/>
              <w:marRight w:val="0"/>
              <w:marTop w:val="0"/>
              <w:marBottom w:val="0"/>
              <w:divBdr>
                <w:top w:val="none" w:sz="0" w:space="0" w:color="auto"/>
                <w:left w:val="none" w:sz="0" w:space="0" w:color="auto"/>
                <w:bottom w:val="none" w:sz="0" w:space="0" w:color="auto"/>
                <w:right w:val="none" w:sz="0" w:space="0" w:color="auto"/>
              </w:divBdr>
              <w:divsChild>
                <w:div w:id="1902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8651">
      <w:bodyDiv w:val="1"/>
      <w:marLeft w:val="0"/>
      <w:marRight w:val="0"/>
      <w:marTop w:val="0"/>
      <w:marBottom w:val="0"/>
      <w:divBdr>
        <w:top w:val="none" w:sz="0" w:space="0" w:color="auto"/>
        <w:left w:val="none" w:sz="0" w:space="0" w:color="auto"/>
        <w:bottom w:val="none" w:sz="0" w:space="0" w:color="auto"/>
        <w:right w:val="none" w:sz="0" w:space="0" w:color="auto"/>
      </w:divBdr>
      <w:divsChild>
        <w:div w:id="119108946">
          <w:marLeft w:val="0"/>
          <w:marRight w:val="0"/>
          <w:marTop w:val="0"/>
          <w:marBottom w:val="0"/>
          <w:divBdr>
            <w:top w:val="none" w:sz="0" w:space="0" w:color="auto"/>
            <w:left w:val="none" w:sz="0" w:space="0" w:color="auto"/>
            <w:bottom w:val="none" w:sz="0" w:space="0" w:color="auto"/>
            <w:right w:val="none" w:sz="0" w:space="0" w:color="auto"/>
          </w:divBdr>
          <w:divsChild>
            <w:div w:id="90245117">
              <w:marLeft w:val="0"/>
              <w:marRight w:val="0"/>
              <w:marTop w:val="0"/>
              <w:marBottom w:val="0"/>
              <w:divBdr>
                <w:top w:val="none" w:sz="0" w:space="0" w:color="auto"/>
                <w:left w:val="none" w:sz="0" w:space="0" w:color="auto"/>
                <w:bottom w:val="none" w:sz="0" w:space="0" w:color="auto"/>
                <w:right w:val="none" w:sz="0" w:space="0" w:color="auto"/>
              </w:divBdr>
              <w:divsChild>
                <w:div w:id="1268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134713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5475">
          <w:marLeft w:val="0"/>
          <w:marRight w:val="0"/>
          <w:marTop w:val="0"/>
          <w:marBottom w:val="0"/>
          <w:divBdr>
            <w:top w:val="none" w:sz="0" w:space="0" w:color="auto"/>
            <w:left w:val="none" w:sz="0" w:space="0" w:color="auto"/>
            <w:bottom w:val="none" w:sz="0" w:space="0" w:color="auto"/>
            <w:right w:val="none" w:sz="0" w:space="0" w:color="auto"/>
          </w:divBdr>
          <w:divsChild>
            <w:div w:id="1235704451">
              <w:marLeft w:val="0"/>
              <w:marRight w:val="0"/>
              <w:marTop w:val="0"/>
              <w:marBottom w:val="0"/>
              <w:divBdr>
                <w:top w:val="none" w:sz="0" w:space="0" w:color="auto"/>
                <w:left w:val="none" w:sz="0" w:space="0" w:color="auto"/>
                <w:bottom w:val="none" w:sz="0" w:space="0" w:color="auto"/>
                <w:right w:val="none" w:sz="0" w:space="0" w:color="auto"/>
              </w:divBdr>
              <w:divsChild>
                <w:div w:id="651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7</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Rahul Garg</cp:lastModifiedBy>
  <cp:revision>25</cp:revision>
  <dcterms:created xsi:type="dcterms:W3CDTF">2020-10-21T19:57:00Z</dcterms:created>
  <dcterms:modified xsi:type="dcterms:W3CDTF">2020-12-13T14:37:00Z</dcterms:modified>
</cp:coreProperties>
</file>