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8E" w:rsidRPr="007B4EE4" w:rsidRDefault="001041AD" w:rsidP="007B4EE4">
      <w:pPr>
        <w:spacing w:line="360" w:lineRule="auto"/>
        <w:jc w:val="center"/>
        <w:rPr>
          <w:rFonts w:ascii="Book Antiqua" w:hAnsi="Book Antiqua"/>
          <w:b/>
          <w:sz w:val="24"/>
          <w:szCs w:val="24"/>
        </w:rPr>
      </w:pPr>
      <w:r w:rsidRPr="007B4EE4">
        <w:rPr>
          <w:rFonts w:ascii="Book Antiqua" w:hAnsi="Book Antiqua"/>
          <w:b/>
          <w:sz w:val="24"/>
          <w:szCs w:val="24"/>
        </w:rPr>
        <w:t xml:space="preserve">Case of Monica </w:t>
      </w:r>
      <w:proofErr w:type="spellStart"/>
      <w:r w:rsidRPr="007B4EE4">
        <w:rPr>
          <w:rFonts w:ascii="Book Antiqua" w:hAnsi="Book Antiqua"/>
          <w:b/>
          <w:sz w:val="24"/>
          <w:szCs w:val="24"/>
        </w:rPr>
        <w:t>Macovei</w:t>
      </w:r>
      <w:proofErr w:type="spellEnd"/>
    </w:p>
    <w:p w:rsidR="001041AD" w:rsidRPr="007B4EE4" w:rsidRDefault="001041AD" w:rsidP="007B4EE4">
      <w:pPr>
        <w:spacing w:line="360" w:lineRule="auto"/>
        <w:jc w:val="center"/>
        <w:rPr>
          <w:rFonts w:ascii="Book Antiqua" w:hAnsi="Book Antiqua"/>
          <w:b/>
          <w:sz w:val="24"/>
          <w:szCs w:val="24"/>
        </w:rPr>
      </w:pPr>
      <w:proofErr w:type="gramStart"/>
      <w:r w:rsidRPr="007B4EE4">
        <w:rPr>
          <w:rFonts w:ascii="Book Antiqua" w:hAnsi="Book Antiqua"/>
          <w:b/>
          <w:sz w:val="24"/>
          <w:szCs w:val="24"/>
        </w:rPr>
        <w:t>v</w:t>
      </w:r>
      <w:proofErr w:type="gramEnd"/>
      <w:r w:rsidRPr="007B4EE4">
        <w:rPr>
          <w:rFonts w:ascii="Book Antiqua" w:hAnsi="Book Antiqua"/>
          <w:b/>
          <w:sz w:val="24"/>
          <w:szCs w:val="24"/>
        </w:rPr>
        <w:t>.</w:t>
      </w:r>
    </w:p>
    <w:p w:rsidR="001041AD" w:rsidRPr="007B4EE4" w:rsidRDefault="001041AD" w:rsidP="007B4EE4">
      <w:pPr>
        <w:spacing w:line="360" w:lineRule="auto"/>
        <w:jc w:val="center"/>
        <w:rPr>
          <w:rFonts w:ascii="Book Antiqua" w:hAnsi="Book Antiqua"/>
          <w:b/>
          <w:sz w:val="24"/>
          <w:szCs w:val="24"/>
        </w:rPr>
      </w:pPr>
      <w:r w:rsidRPr="007B4EE4">
        <w:rPr>
          <w:rFonts w:ascii="Book Antiqua" w:hAnsi="Book Antiqua"/>
          <w:b/>
          <w:sz w:val="24"/>
          <w:szCs w:val="24"/>
        </w:rPr>
        <w:t>Romania</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7B4EE4">
        <w:rPr>
          <w:rFonts w:ascii="Book Antiqua" w:eastAsia="Times New Roman" w:hAnsi="Book Antiqua" w:cs="Times New Roman"/>
          <w:sz w:val="24"/>
          <w:szCs w:val="24"/>
          <w:lang w:eastAsia="en-IN"/>
        </w:rPr>
        <w:t>Date of Judgment: July 28, 2020</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7B4EE4">
        <w:rPr>
          <w:rFonts w:ascii="Book Antiqua" w:eastAsia="Times New Roman" w:hAnsi="Book Antiqua" w:cs="Times New Roman"/>
          <w:sz w:val="24"/>
          <w:szCs w:val="24"/>
          <w:lang w:eastAsia="en-IN"/>
        </w:rPr>
        <w:t>Case Number: Application No. 53028/14</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7B4EE4">
        <w:rPr>
          <w:rFonts w:ascii="Book Antiqua" w:eastAsia="Times New Roman" w:hAnsi="Book Antiqua" w:cs="Times New Roman"/>
          <w:sz w:val="24"/>
          <w:szCs w:val="24"/>
          <w:lang w:eastAsia="en-IN"/>
        </w:rPr>
        <w:t xml:space="preserve">Region &amp; Country: Romania, Europe </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7B4EE4">
        <w:rPr>
          <w:rFonts w:ascii="Book Antiqua" w:eastAsia="Times New Roman" w:hAnsi="Book Antiqua" w:cs="Times New Roman"/>
          <w:sz w:val="24"/>
          <w:szCs w:val="24"/>
          <w:lang w:eastAsia="en-IN"/>
        </w:rPr>
        <w:t>Judicial Body: European Court of Human Rights (ECtHR)</w:t>
      </w:r>
    </w:p>
    <w:p w:rsidR="001041AD" w:rsidRPr="003E4CD5"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3E4CD5">
        <w:rPr>
          <w:rFonts w:ascii="Book Antiqua" w:eastAsia="Times New Roman" w:hAnsi="Book Antiqua" w:cs="Times New Roman"/>
          <w:sz w:val="24"/>
          <w:szCs w:val="24"/>
          <w:lang w:eastAsia="en-IN"/>
        </w:rPr>
        <w:t>Type</w:t>
      </w:r>
      <w:r w:rsidR="003E4CD5">
        <w:rPr>
          <w:rFonts w:ascii="Book Antiqua" w:eastAsia="Times New Roman" w:hAnsi="Book Antiqua" w:cs="Times New Roman"/>
          <w:sz w:val="24"/>
          <w:szCs w:val="24"/>
          <w:lang w:eastAsia="en-IN"/>
        </w:rPr>
        <w:t xml:space="preserve"> of Law: Civil Law</w:t>
      </w:r>
      <w:r w:rsidRPr="003E4CD5">
        <w:rPr>
          <w:rFonts w:ascii="Book Antiqua" w:eastAsia="Times New Roman" w:hAnsi="Book Antiqua" w:cs="Times New Roman"/>
          <w:sz w:val="24"/>
          <w:szCs w:val="24"/>
          <w:lang w:eastAsia="en-IN"/>
        </w:rPr>
        <w:t>, International/Regional Human Rights Law</w:t>
      </w:r>
    </w:p>
    <w:p w:rsidR="001041AD" w:rsidRPr="003E4CD5"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3E4CD5">
        <w:rPr>
          <w:rFonts w:ascii="Book Antiqua" w:eastAsia="Times New Roman" w:hAnsi="Book Antiqua" w:cs="Times New Roman"/>
          <w:sz w:val="24"/>
          <w:szCs w:val="24"/>
          <w:lang w:eastAsia="en-IN"/>
        </w:rPr>
        <w:t>Themes: Defamation/Reputation</w:t>
      </w:r>
    </w:p>
    <w:p w:rsidR="000E5C41" w:rsidRDefault="003E4CD5" w:rsidP="000E5C41">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Pr>
          <w:rFonts w:ascii="Book Antiqua" w:eastAsia="Times New Roman" w:hAnsi="Book Antiqua" w:cs="Times New Roman"/>
          <w:sz w:val="24"/>
          <w:szCs w:val="24"/>
          <w:lang w:eastAsia="en-IN"/>
        </w:rPr>
        <w:t xml:space="preserve">Tags: </w:t>
      </w:r>
      <w:r w:rsidR="001041AD" w:rsidRPr="003E4CD5">
        <w:rPr>
          <w:rFonts w:ascii="Book Antiqua" w:eastAsia="Times New Roman" w:hAnsi="Book Antiqua" w:cs="Times New Roman"/>
          <w:sz w:val="24"/>
          <w:szCs w:val="24"/>
          <w:lang w:eastAsia="en-IN"/>
        </w:rPr>
        <w:t>Civil Defamat</w:t>
      </w:r>
      <w:r>
        <w:rPr>
          <w:rFonts w:ascii="Book Antiqua" w:eastAsia="Times New Roman" w:hAnsi="Book Antiqua" w:cs="Times New Roman"/>
          <w:sz w:val="24"/>
          <w:szCs w:val="24"/>
          <w:lang w:eastAsia="en-IN"/>
        </w:rPr>
        <w:t>ion,</w:t>
      </w:r>
      <w:r w:rsidR="001041AD" w:rsidRPr="003E4CD5">
        <w:rPr>
          <w:rFonts w:ascii="Book Antiqua" w:eastAsia="Times New Roman" w:hAnsi="Book Antiqua" w:cs="Times New Roman"/>
          <w:sz w:val="24"/>
          <w:szCs w:val="24"/>
          <w:lang w:eastAsia="en-IN"/>
        </w:rPr>
        <w:t xml:space="preserve"> </w:t>
      </w:r>
      <w:proofErr w:type="spellStart"/>
      <w:r w:rsidR="000E5C41">
        <w:rPr>
          <w:rFonts w:ascii="Book Antiqua" w:eastAsia="Times New Roman" w:hAnsi="Book Antiqua" w:cs="Times New Roman"/>
          <w:sz w:val="24"/>
          <w:szCs w:val="24"/>
          <w:lang w:eastAsia="en-IN"/>
        </w:rPr>
        <w:t>Honor</w:t>
      </w:r>
      <w:proofErr w:type="spellEnd"/>
      <w:r w:rsidR="000E5C41">
        <w:rPr>
          <w:rFonts w:ascii="Book Antiqua" w:eastAsia="Times New Roman" w:hAnsi="Book Antiqua" w:cs="Times New Roman"/>
          <w:sz w:val="24"/>
          <w:szCs w:val="24"/>
          <w:lang w:eastAsia="en-IN"/>
        </w:rPr>
        <w:t xml:space="preserve"> and Reputation, Public Interest</w:t>
      </w:r>
    </w:p>
    <w:p w:rsidR="001041AD" w:rsidRPr="003E4CD5" w:rsidRDefault="001041AD" w:rsidP="000E5C41">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3E4CD5">
        <w:rPr>
          <w:rFonts w:ascii="Book Antiqua" w:eastAsia="Times New Roman" w:hAnsi="Book Antiqua" w:cs="Times New Roman"/>
          <w:sz w:val="24"/>
          <w:szCs w:val="24"/>
          <w:lang w:eastAsia="en-IN"/>
        </w:rPr>
        <w:t>Mode of Expression: Press/Newspapers</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3E4CD5">
        <w:rPr>
          <w:rFonts w:ascii="Book Antiqua" w:eastAsia="Times New Roman" w:hAnsi="Book Antiqua" w:cs="Times New Roman"/>
          <w:sz w:val="24"/>
          <w:szCs w:val="24"/>
          <w:lang w:eastAsia="en-IN"/>
        </w:rPr>
        <w:t xml:space="preserve">Outcome: </w:t>
      </w:r>
      <w:r w:rsidR="004171EF">
        <w:rPr>
          <w:rFonts w:ascii="Book Antiqua" w:eastAsia="Times New Roman" w:hAnsi="Book Antiqua" w:cs="Times New Roman"/>
          <w:sz w:val="24"/>
          <w:szCs w:val="24"/>
          <w:lang w:eastAsia="en-IN"/>
        </w:rPr>
        <w:t xml:space="preserve">Procedurally </w:t>
      </w:r>
      <w:r w:rsidRPr="003E4CD5">
        <w:rPr>
          <w:rFonts w:ascii="Book Antiqua" w:eastAsia="Times New Roman" w:hAnsi="Book Antiqua" w:cs="Times New Roman"/>
          <w:sz w:val="24"/>
          <w:szCs w:val="24"/>
          <w:lang w:eastAsia="en-IN"/>
        </w:rPr>
        <w:t>A</w:t>
      </w:r>
      <w:r w:rsidR="000E5C41">
        <w:rPr>
          <w:rFonts w:ascii="Book Antiqua" w:eastAsia="Times New Roman" w:hAnsi="Book Antiqua" w:cs="Times New Roman"/>
          <w:sz w:val="24"/>
          <w:szCs w:val="24"/>
          <w:lang w:eastAsia="en-IN"/>
        </w:rPr>
        <w:t>dmissible,</w:t>
      </w:r>
      <w:r w:rsidRPr="003E4CD5">
        <w:rPr>
          <w:rFonts w:ascii="Book Antiqua" w:eastAsia="Times New Roman" w:hAnsi="Book Antiqua" w:cs="Times New Roman"/>
          <w:sz w:val="24"/>
          <w:szCs w:val="24"/>
          <w:lang w:eastAsia="en-IN"/>
        </w:rPr>
        <w:t xml:space="preserve"> Article 10 Violation</w:t>
      </w:r>
      <w:r w:rsidR="000E5C41">
        <w:rPr>
          <w:rFonts w:ascii="Book Antiqua" w:eastAsia="Times New Roman" w:hAnsi="Book Antiqua" w:cs="Times New Roman"/>
          <w:sz w:val="24"/>
          <w:szCs w:val="24"/>
          <w:lang w:eastAsia="en-IN"/>
        </w:rPr>
        <w:t xml:space="preserve"> Upheld</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r w:rsidRPr="007B4EE4">
        <w:rPr>
          <w:rFonts w:ascii="Book Antiqua" w:eastAsia="Times New Roman" w:hAnsi="Book Antiqua" w:cs="Times New Roman"/>
          <w:sz w:val="24"/>
          <w:szCs w:val="24"/>
          <w:lang w:eastAsia="en-IN"/>
        </w:rPr>
        <w:t>Status: Closed</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p>
    <w:p w:rsidR="001041AD" w:rsidRDefault="001041AD" w:rsidP="007B4EE4">
      <w:pPr>
        <w:shd w:val="clear" w:color="auto" w:fill="FFFFFF"/>
        <w:spacing w:after="0" w:line="360" w:lineRule="auto"/>
        <w:jc w:val="both"/>
        <w:rPr>
          <w:rFonts w:ascii="Book Antiqua" w:eastAsia="Times New Roman" w:hAnsi="Book Antiqua" w:cs="Times New Roman"/>
          <w:b/>
          <w:sz w:val="24"/>
          <w:szCs w:val="24"/>
          <w:lang w:eastAsia="en-IN"/>
        </w:rPr>
      </w:pPr>
      <w:r w:rsidRPr="007B4EE4">
        <w:rPr>
          <w:rFonts w:ascii="Book Antiqua" w:eastAsia="Times New Roman" w:hAnsi="Book Antiqua" w:cs="Times New Roman"/>
          <w:b/>
          <w:sz w:val="24"/>
          <w:szCs w:val="24"/>
          <w:lang w:eastAsia="en-IN"/>
        </w:rPr>
        <w:t>Case Summary and Outcome</w:t>
      </w:r>
    </w:p>
    <w:p w:rsidR="00734EB0" w:rsidRPr="00734EB0" w:rsidRDefault="00734EB0" w:rsidP="007B4EE4">
      <w:pPr>
        <w:shd w:val="clear" w:color="auto" w:fill="FFFFFF"/>
        <w:spacing w:after="0" w:line="360" w:lineRule="auto"/>
        <w:jc w:val="both"/>
        <w:rPr>
          <w:rFonts w:ascii="Book Antiqua" w:eastAsia="Times New Roman" w:hAnsi="Book Antiqua" w:cs="Times New Roman"/>
          <w:sz w:val="24"/>
          <w:szCs w:val="24"/>
          <w:lang w:eastAsia="en-IN"/>
        </w:rPr>
      </w:pPr>
      <w:r>
        <w:rPr>
          <w:rFonts w:ascii="Book Antiqua" w:eastAsia="Times New Roman" w:hAnsi="Book Antiqua" w:cs="Times New Roman"/>
          <w:sz w:val="24"/>
          <w:szCs w:val="24"/>
          <w:lang w:eastAsia="en-IN"/>
        </w:rPr>
        <w:t>The European Court of Human Rights (</w:t>
      </w:r>
      <w:r w:rsidR="00A452BF">
        <w:rPr>
          <w:rFonts w:ascii="Book Antiqua" w:eastAsia="Times New Roman" w:hAnsi="Book Antiqua" w:cs="Times New Roman"/>
          <w:sz w:val="24"/>
          <w:szCs w:val="24"/>
          <w:lang w:eastAsia="en-IN"/>
        </w:rPr>
        <w:t xml:space="preserve">“the Court”) found that Romania was in violation of Article 10 </w:t>
      </w:r>
      <w:r w:rsidR="0095302C">
        <w:rPr>
          <w:rFonts w:ascii="Book Antiqua" w:eastAsia="Times New Roman" w:hAnsi="Book Antiqua" w:cs="Times New Roman"/>
          <w:sz w:val="24"/>
          <w:szCs w:val="24"/>
          <w:lang w:eastAsia="en-IN"/>
        </w:rPr>
        <w:t xml:space="preserve">of the </w:t>
      </w:r>
      <w:r w:rsidR="00A452BF" w:rsidRPr="007B4EE4">
        <w:rPr>
          <w:rFonts w:ascii="Book Antiqua" w:hAnsi="Book Antiqua" w:cs="TimesNewRomanPSMT"/>
          <w:sz w:val="24"/>
          <w:szCs w:val="24"/>
        </w:rPr>
        <w:t>European Convention on Human Rights (“the Convention”)</w:t>
      </w:r>
      <w:r w:rsidR="00A452BF">
        <w:rPr>
          <w:rFonts w:ascii="Book Antiqua" w:hAnsi="Book Antiqua" w:cs="TimesNewRomanPSMT"/>
          <w:sz w:val="24"/>
          <w:szCs w:val="24"/>
        </w:rPr>
        <w:t xml:space="preserve"> when its domestic appellate courts found the applicant guilty</w:t>
      </w:r>
      <w:r w:rsidR="00E07D1E">
        <w:rPr>
          <w:rFonts w:ascii="Book Antiqua" w:hAnsi="Book Antiqua" w:cs="TimesNewRomanPSMT"/>
          <w:sz w:val="24"/>
          <w:szCs w:val="24"/>
        </w:rPr>
        <w:t xml:space="preserve"> for damaging the reputation of a member of parliament</w:t>
      </w:r>
      <w:r w:rsidR="00A452BF">
        <w:rPr>
          <w:rFonts w:ascii="Book Antiqua" w:hAnsi="Book Antiqua" w:cs="TimesNewRomanPSMT"/>
          <w:sz w:val="24"/>
          <w:szCs w:val="24"/>
        </w:rPr>
        <w:t xml:space="preserve">. </w:t>
      </w:r>
      <w:r w:rsidR="00E07D1E">
        <w:rPr>
          <w:rFonts w:ascii="Book Antiqua" w:hAnsi="Book Antiqua" w:cs="TimesNewRomanPSMT"/>
          <w:sz w:val="24"/>
          <w:szCs w:val="24"/>
        </w:rPr>
        <w:t>The applicant, a politician,</w:t>
      </w:r>
      <w:r w:rsidR="00BE48C2">
        <w:rPr>
          <w:rFonts w:ascii="Book Antiqua" w:hAnsi="Book Antiqua" w:cs="TimesNewRomanPSMT"/>
          <w:sz w:val="24"/>
          <w:szCs w:val="24"/>
        </w:rPr>
        <w:t xml:space="preserve"> made statements alleging corruption directed at certain </w:t>
      </w:r>
      <w:r w:rsidR="00E07D1E">
        <w:rPr>
          <w:rFonts w:ascii="Book Antiqua" w:hAnsi="Book Antiqua" w:cs="TimesNewRomanPSMT"/>
          <w:sz w:val="24"/>
          <w:szCs w:val="24"/>
        </w:rPr>
        <w:t xml:space="preserve">members of parliament </w:t>
      </w:r>
      <w:r w:rsidR="00BE48C2">
        <w:rPr>
          <w:rFonts w:ascii="Book Antiqua" w:hAnsi="Book Antiqua" w:cs="TimesNewRomanPSMT"/>
          <w:sz w:val="24"/>
          <w:szCs w:val="24"/>
        </w:rPr>
        <w:t xml:space="preserve">in support of her view of incompatibility of that role with that of lawyer. </w:t>
      </w:r>
      <w:r w:rsidR="00E07D1E">
        <w:rPr>
          <w:rFonts w:ascii="Book Antiqua" w:hAnsi="Book Antiqua" w:cs="TimesNewRomanPSMT"/>
          <w:sz w:val="24"/>
          <w:szCs w:val="24"/>
        </w:rPr>
        <w:t>This led to the filing of general tort law proceedings against the appl</w:t>
      </w:r>
      <w:r w:rsidR="00583610">
        <w:rPr>
          <w:rFonts w:ascii="Book Antiqua" w:hAnsi="Book Antiqua" w:cs="TimesNewRomanPSMT"/>
          <w:sz w:val="24"/>
          <w:szCs w:val="24"/>
        </w:rPr>
        <w:t>icant by one of the politicians</w:t>
      </w:r>
      <w:r w:rsidR="00E07D1E">
        <w:rPr>
          <w:rFonts w:ascii="Book Antiqua" w:hAnsi="Book Antiqua" w:cs="TimesNewRomanPSMT"/>
          <w:sz w:val="24"/>
          <w:szCs w:val="24"/>
        </w:rPr>
        <w:t xml:space="preserve"> for damage of reputation and breach of privacy. </w:t>
      </w:r>
      <w:r w:rsidR="0095302C">
        <w:rPr>
          <w:rFonts w:ascii="Book Antiqua" w:hAnsi="Book Antiqua" w:cs="TimesNewRomanPSMT"/>
          <w:sz w:val="24"/>
          <w:szCs w:val="24"/>
        </w:rPr>
        <w:t xml:space="preserve">The Court found that there was no pressing social need for suppressing the applicant’s freedom of expression in the present case. </w:t>
      </w:r>
      <w:r w:rsidR="00BE48C2">
        <w:rPr>
          <w:rFonts w:ascii="Book Antiqua" w:hAnsi="Book Antiqua" w:cs="TimesNewRomanPSMT"/>
          <w:sz w:val="24"/>
          <w:szCs w:val="24"/>
        </w:rPr>
        <w:t xml:space="preserve">The domestic appellate courts had failed to elaborate on how her comments constituted untruthful statements. They did not examine the context in which the comments had been made, mainly to protect public interest. </w:t>
      </w:r>
      <w:r w:rsidR="0095302C">
        <w:rPr>
          <w:rFonts w:ascii="Book Antiqua" w:hAnsi="Book Antiqua" w:cs="TimesNewRomanPSMT"/>
          <w:sz w:val="24"/>
          <w:szCs w:val="24"/>
        </w:rPr>
        <w:t xml:space="preserve">As a result, the domestic courts exceeded their margin of appreciation by finding the applicant guilty and imposing disproportionate fines on her as punishment, which had a chilling effect on her freedom of expression. </w:t>
      </w:r>
    </w:p>
    <w:p w:rsidR="0035760F" w:rsidRPr="007B4EE4" w:rsidRDefault="0035760F" w:rsidP="007B4EE4">
      <w:pPr>
        <w:shd w:val="clear" w:color="auto" w:fill="FFFFFF"/>
        <w:spacing w:after="0" w:line="360" w:lineRule="auto"/>
        <w:jc w:val="both"/>
        <w:rPr>
          <w:rFonts w:ascii="Book Antiqua" w:eastAsia="Times New Roman" w:hAnsi="Book Antiqua" w:cs="Times New Roman"/>
          <w:b/>
          <w:sz w:val="24"/>
          <w:szCs w:val="24"/>
          <w:lang w:eastAsia="en-IN"/>
        </w:rPr>
      </w:pPr>
    </w:p>
    <w:p w:rsidR="001041AD" w:rsidRPr="007B4EE4" w:rsidRDefault="001041AD" w:rsidP="007B4EE4">
      <w:pPr>
        <w:spacing w:line="360" w:lineRule="auto"/>
        <w:jc w:val="both"/>
        <w:rPr>
          <w:rFonts w:ascii="Book Antiqua" w:hAnsi="Book Antiqua" w:cs="Times New Roman"/>
          <w:b/>
          <w:sz w:val="24"/>
          <w:szCs w:val="24"/>
        </w:rPr>
      </w:pPr>
      <w:r w:rsidRPr="007B4EE4">
        <w:rPr>
          <w:rFonts w:ascii="Book Antiqua" w:hAnsi="Book Antiqua" w:cs="Times New Roman"/>
          <w:b/>
          <w:sz w:val="24"/>
          <w:szCs w:val="24"/>
        </w:rPr>
        <w:t>Facts</w:t>
      </w:r>
    </w:p>
    <w:p w:rsidR="007D7F20" w:rsidRPr="007B4EE4" w:rsidRDefault="0016581D" w:rsidP="007B4EE4">
      <w:pPr>
        <w:spacing w:line="360" w:lineRule="auto"/>
        <w:jc w:val="both"/>
        <w:rPr>
          <w:rFonts w:ascii="Book Antiqua" w:hAnsi="Book Antiqua" w:cs="Times New Roman"/>
          <w:sz w:val="24"/>
          <w:szCs w:val="24"/>
        </w:rPr>
      </w:pPr>
      <w:r w:rsidRPr="007B4EE4">
        <w:rPr>
          <w:rFonts w:ascii="Book Antiqua" w:hAnsi="Book Antiqua" w:cs="Times New Roman"/>
          <w:sz w:val="24"/>
          <w:szCs w:val="24"/>
        </w:rPr>
        <w:t xml:space="preserve">The applicant was a former minister of justice of Romania, an active politician and a member of the European Parliament. (para. 5) </w:t>
      </w:r>
      <w:r w:rsidR="007D7F20" w:rsidRPr="007B4EE4">
        <w:rPr>
          <w:rFonts w:ascii="Book Antiqua" w:hAnsi="Book Antiqua" w:cs="Times New Roman"/>
          <w:sz w:val="24"/>
          <w:szCs w:val="24"/>
        </w:rPr>
        <w:t xml:space="preserve">She had made certain remarks on </w:t>
      </w:r>
      <w:r w:rsidR="00B146E6" w:rsidRPr="007B4EE4">
        <w:rPr>
          <w:rFonts w:ascii="Book Antiqua" w:hAnsi="Book Antiqua" w:cs="Times New Roman"/>
          <w:sz w:val="24"/>
          <w:szCs w:val="24"/>
        </w:rPr>
        <w:t>two</w:t>
      </w:r>
      <w:r w:rsidR="007D7F20" w:rsidRPr="007B4EE4">
        <w:rPr>
          <w:rFonts w:ascii="Book Antiqua" w:hAnsi="Book Antiqua" w:cs="Times New Roman"/>
          <w:sz w:val="24"/>
          <w:szCs w:val="24"/>
        </w:rPr>
        <w:t xml:space="preserve"> members of parliament (</w:t>
      </w:r>
      <w:r w:rsidR="007D7F20" w:rsidRPr="007B4EE4">
        <w:rPr>
          <w:rFonts w:ascii="Book Antiqua" w:hAnsi="Book Antiqua" w:cs="TimesNewRomanPSMT"/>
          <w:sz w:val="24"/>
          <w:szCs w:val="24"/>
        </w:rPr>
        <w:t>D.Ş. and V.P.)</w:t>
      </w:r>
      <w:r w:rsidR="00585F94" w:rsidRPr="007B4EE4">
        <w:rPr>
          <w:rFonts w:ascii="Book Antiqua" w:hAnsi="Book Antiqua" w:cs="TimesNewRomanPSMT"/>
          <w:sz w:val="24"/>
          <w:szCs w:val="24"/>
        </w:rPr>
        <w:t>,</w:t>
      </w:r>
      <w:r w:rsidR="007D7F20" w:rsidRPr="007B4EE4">
        <w:rPr>
          <w:rFonts w:ascii="Book Antiqua" w:hAnsi="Book Antiqua" w:cs="Times New Roman"/>
          <w:sz w:val="24"/>
          <w:szCs w:val="24"/>
        </w:rPr>
        <w:t xml:space="preserve"> which were published as press articles in two national newspapers. </w:t>
      </w:r>
      <w:r w:rsidR="00585F94" w:rsidRPr="007B4EE4">
        <w:rPr>
          <w:rFonts w:ascii="Book Antiqua" w:hAnsi="Book Antiqua" w:cs="Times New Roman"/>
          <w:sz w:val="24"/>
          <w:szCs w:val="24"/>
        </w:rPr>
        <w:t xml:space="preserve">The </w:t>
      </w:r>
      <w:r w:rsidR="007F162C">
        <w:rPr>
          <w:rFonts w:ascii="Book Antiqua" w:hAnsi="Book Antiqua" w:cs="Times New Roman"/>
          <w:sz w:val="24"/>
          <w:szCs w:val="24"/>
        </w:rPr>
        <w:t>applicant’s statements targeted</w:t>
      </w:r>
      <w:r w:rsidR="00585F94" w:rsidRPr="007B4EE4">
        <w:rPr>
          <w:rFonts w:ascii="Book Antiqua" w:hAnsi="Book Antiqua" w:cs="Times New Roman"/>
          <w:sz w:val="24"/>
          <w:szCs w:val="24"/>
        </w:rPr>
        <w:t xml:space="preserve"> </w:t>
      </w:r>
      <w:r w:rsidR="00490788" w:rsidRPr="007B4EE4">
        <w:rPr>
          <w:rFonts w:ascii="Book Antiqua" w:hAnsi="Book Antiqua" w:cs="Times New Roman"/>
          <w:sz w:val="24"/>
          <w:szCs w:val="24"/>
        </w:rPr>
        <w:t xml:space="preserve">the corrupt nature of </w:t>
      </w:r>
      <w:r w:rsidR="00490788" w:rsidRPr="007B4EE4">
        <w:rPr>
          <w:rFonts w:ascii="Book Antiqua" w:hAnsi="Book Antiqua" w:cs="TimesNewRomanPSMT"/>
          <w:sz w:val="24"/>
          <w:szCs w:val="24"/>
        </w:rPr>
        <w:t>D.Ş. and V.P</w:t>
      </w:r>
      <w:r w:rsidR="00490788" w:rsidRPr="007B4EE4">
        <w:rPr>
          <w:rFonts w:ascii="Book Antiqua" w:hAnsi="Book Antiqua" w:cs="Times New Roman"/>
          <w:sz w:val="24"/>
          <w:szCs w:val="24"/>
        </w:rPr>
        <w:t xml:space="preserve">. due to </w:t>
      </w:r>
      <w:r w:rsidR="00585F94" w:rsidRPr="007B4EE4">
        <w:rPr>
          <w:rFonts w:ascii="Book Antiqua" w:hAnsi="Book Antiqua" w:cs="Times New Roman"/>
          <w:sz w:val="24"/>
          <w:szCs w:val="24"/>
        </w:rPr>
        <w:t xml:space="preserve">an </w:t>
      </w:r>
      <w:r w:rsidR="00490788" w:rsidRPr="007B4EE4">
        <w:rPr>
          <w:rFonts w:ascii="Book Antiqua" w:hAnsi="Book Antiqua" w:cs="Times New Roman"/>
          <w:sz w:val="24"/>
          <w:szCs w:val="24"/>
        </w:rPr>
        <w:t>overlap between their functions as</w:t>
      </w:r>
      <w:r w:rsidR="00585F94" w:rsidRPr="007B4EE4">
        <w:rPr>
          <w:rFonts w:ascii="Book Antiqua" w:hAnsi="Book Antiqua" w:cs="TimesNewRomanPSMT"/>
          <w:sz w:val="24"/>
          <w:szCs w:val="24"/>
        </w:rPr>
        <w:t xml:space="preserve"> both lawyers an</w:t>
      </w:r>
      <w:r w:rsidR="00490788" w:rsidRPr="007B4EE4">
        <w:rPr>
          <w:rFonts w:ascii="Book Antiqua" w:hAnsi="Book Antiqua" w:cs="TimesNewRomanPSMT"/>
          <w:sz w:val="24"/>
          <w:szCs w:val="24"/>
        </w:rPr>
        <w:t>d members of parliament, since</w:t>
      </w:r>
      <w:r w:rsidR="00585F94" w:rsidRPr="007B4EE4">
        <w:rPr>
          <w:rFonts w:ascii="Book Antiqua" w:hAnsi="Book Antiqua" w:cs="TimesNewRomanPSMT"/>
          <w:sz w:val="24"/>
          <w:szCs w:val="24"/>
        </w:rPr>
        <w:t xml:space="preserve"> their law firm </w:t>
      </w:r>
      <w:r w:rsidR="00490788" w:rsidRPr="007B4EE4">
        <w:rPr>
          <w:rFonts w:ascii="Book Antiqua" w:hAnsi="Book Antiqua" w:cs="TimesNewRomanPSMT"/>
          <w:sz w:val="24"/>
          <w:szCs w:val="24"/>
        </w:rPr>
        <w:t xml:space="preserve">([D.]Ş. and Associates) </w:t>
      </w:r>
      <w:r w:rsidR="00585F94" w:rsidRPr="007B4EE4">
        <w:rPr>
          <w:rFonts w:ascii="Book Antiqua" w:hAnsi="Book Antiqua" w:cs="TimesNewRomanPSMT"/>
          <w:sz w:val="24"/>
          <w:szCs w:val="24"/>
        </w:rPr>
        <w:t xml:space="preserve">had signed multi-million euro contracts with State-owned companies from their </w:t>
      </w:r>
      <w:r w:rsidR="00490788" w:rsidRPr="007B4EE4">
        <w:rPr>
          <w:rFonts w:ascii="Book Antiqua" w:hAnsi="Book Antiqua" w:cs="TimesNewRomanPSMT"/>
          <w:sz w:val="24"/>
          <w:szCs w:val="24"/>
        </w:rPr>
        <w:t xml:space="preserve">own </w:t>
      </w:r>
      <w:r w:rsidR="00585F94" w:rsidRPr="007B4EE4">
        <w:rPr>
          <w:rFonts w:ascii="Book Antiqua" w:hAnsi="Book Antiqua" w:cs="TimesNewRomanPSMT"/>
          <w:sz w:val="24"/>
          <w:szCs w:val="24"/>
        </w:rPr>
        <w:t xml:space="preserve">constituencies. </w:t>
      </w:r>
    </w:p>
    <w:p w:rsidR="00327681" w:rsidRPr="007B4EE4" w:rsidRDefault="007D7F20"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 New Roman"/>
          <w:sz w:val="24"/>
          <w:szCs w:val="24"/>
        </w:rPr>
        <w:t>On 16</w:t>
      </w:r>
      <w:r w:rsidR="00327681" w:rsidRPr="007B4EE4">
        <w:rPr>
          <w:rFonts w:ascii="Book Antiqua" w:hAnsi="Book Antiqua" w:cs="Times New Roman"/>
          <w:sz w:val="24"/>
          <w:szCs w:val="24"/>
        </w:rPr>
        <w:t xml:space="preserve"> October</w:t>
      </w:r>
      <w:r w:rsidRPr="007B4EE4">
        <w:rPr>
          <w:rFonts w:ascii="Book Antiqua" w:hAnsi="Book Antiqua" w:cs="Times New Roman"/>
          <w:sz w:val="24"/>
          <w:szCs w:val="24"/>
        </w:rPr>
        <w:t xml:space="preserve">, 2009, </w:t>
      </w:r>
      <w:r w:rsidRPr="007B4EE4">
        <w:rPr>
          <w:rFonts w:ascii="Book Antiqua" w:hAnsi="Book Antiqua" w:cs="TimesNewRomanPSMT"/>
          <w:sz w:val="24"/>
          <w:szCs w:val="24"/>
        </w:rPr>
        <w:t>D.Ş. brought general tort law proceedings</w:t>
      </w:r>
      <w:r w:rsidR="0035760F" w:rsidRPr="007B4EE4">
        <w:rPr>
          <w:rFonts w:ascii="Book Antiqua" w:hAnsi="Book Antiqua" w:cs="TimesNewRomanPSMT"/>
          <w:sz w:val="24"/>
          <w:szCs w:val="24"/>
        </w:rPr>
        <w:t xml:space="preserve"> against the applicant. (para. 9) He submitted that the applicant’s misrepresentation of her personal opinions as clear ins</w:t>
      </w:r>
      <w:r w:rsidR="00B875CA" w:rsidRPr="007B4EE4">
        <w:rPr>
          <w:rFonts w:ascii="Book Antiqua" w:hAnsi="Book Antiqua" w:cs="TimesNewRomanPSMT"/>
          <w:sz w:val="24"/>
          <w:szCs w:val="24"/>
        </w:rPr>
        <w:t>tances of corruption had</w:t>
      </w:r>
      <w:r w:rsidR="0035760F" w:rsidRPr="007B4EE4">
        <w:rPr>
          <w:rFonts w:ascii="Book Antiqua" w:hAnsi="Book Antiqua" w:cs="TimesNewRomanPSMT"/>
          <w:sz w:val="24"/>
          <w:szCs w:val="24"/>
        </w:rPr>
        <w:t xml:space="preserve"> discredited his reputation</w:t>
      </w:r>
      <w:r w:rsidR="00B875CA" w:rsidRPr="007B4EE4">
        <w:rPr>
          <w:rFonts w:ascii="Book Antiqua" w:hAnsi="Book Antiqua" w:cs="TimesNewRomanPSMT"/>
          <w:sz w:val="24"/>
          <w:szCs w:val="24"/>
        </w:rPr>
        <w:t xml:space="preserve"> in the eyes of the public</w:t>
      </w:r>
      <w:r w:rsidR="0035760F" w:rsidRPr="007B4EE4">
        <w:rPr>
          <w:rFonts w:ascii="Book Antiqua" w:hAnsi="Book Antiqua" w:cs="TimesNewRomanPSMT"/>
          <w:sz w:val="24"/>
          <w:szCs w:val="24"/>
        </w:rPr>
        <w:t>. He relied on Articles 998-999 of the Civil Code (a</w:t>
      </w:r>
      <w:r w:rsidR="00B875CA" w:rsidRPr="007B4EE4">
        <w:rPr>
          <w:rFonts w:ascii="Book Antiqua" w:hAnsi="Book Antiqua" w:cs="TimesNewRomanPSMT"/>
          <w:sz w:val="24"/>
          <w:szCs w:val="24"/>
        </w:rPr>
        <w:t>ny</w:t>
      </w:r>
      <w:r w:rsidR="0035760F" w:rsidRPr="007B4EE4">
        <w:rPr>
          <w:rFonts w:ascii="Book Antiqua" w:hAnsi="Book Antiqua" w:cs="TimesNewRomanPSMT"/>
          <w:sz w:val="24"/>
          <w:szCs w:val="24"/>
        </w:rPr>
        <w:t xml:space="preserve"> person causing damage to anot</w:t>
      </w:r>
      <w:r w:rsidR="00B875CA" w:rsidRPr="007B4EE4">
        <w:rPr>
          <w:rFonts w:ascii="Book Antiqua" w:hAnsi="Book Antiqua" w:cs="TimesNewRomanPSMT"/>
          <w:sz w:val="24"/>
          <w:szCs w:val="24"/>
        </w:rPr>
        <w:t xml:space="preserve">her </w:t>
      </w:r>
      <w:r w:rsidR="0035760F" w:rsidRPr="007B4EE4">
        <w:rPr>
          <w:rFonts w:ascii="Book Antiqua" w:hAnsi="Book Antiqua" w:cs="TimesNewRomanPSMT"/>
          <w:sz w:val="24"/>
          <w:szCs w:val="24"/>
        </w:rPr>
        <w:t xml:space="preserve">would be liable to make reparation for it) </w:t>
      </w:r>
      <w:r w:rsidR="00327681" w:rsidRPr="007B4EE4">
        <w:rPr>
          <w:rFonts w:ascii="Book Antiqua" w:hAnsi="Book Antiqua" w:cs="TimesNewRomanPSMT"/>
          <w:sz w:val="24"/>
          <w:szCs w:val="24"/>
        </w:rPr>
        <w:t xml:space="preserve">(para. 46), </w:t>
      </w:r>
      <w:r w:rsidR="0035760F" w:rsidRPr="007B4EE4">
        <w:rPr>
          <w:rFonts w:ascii="Book Antiqua" w:hAnsi="Book Antiqua" w:cs="TimesNewRomanPSMT"/>
          <w:sz w:val="24"/>
          <w:szCs w:val="24"/>
        </w:rPr>
        <w:t>Articles 10 and 30 §§ 1</w:t>
      </w:r>
      <w:r w:rsidR="00327681" w:rsidRPr="007B4EE4">
        <w:rPr>
          <w:rFonts w:ascii="Book Antiqua" w:hAnsi="Book Antiqua" w:cs="TimesNewRomanPSMT"/>
          <w:sz w:val="24"/>
          <w:szCs w:val="24"/>
        </w:rPr>
        <w:t xml:space="preserve"> and 6 of the Constitution (maintaining peaceful relations with other </w:t>
      </w:r>
      <w:r w:rsidR="00F624DC" w:rsidRPr="007B4EE4">
        <w:rPr>
          <w:rFonts w:ascii="Book Antiqua" w:hAnsi="Book Antiqua" w:cs="TimesNewRomanPSMT"/>
          <w:sz w:val="24"/>
          <w:szCs w:val="24"/>
        </w:rPr>
        <w:t>states, inviolability of freedom of expression</w:t>
      </w:r>
      <w:r w:rsidR="00327681" w:rsidRPr="007B4EE4">
        <w:rPr>
          <w:rFonts w:ascii="Book Antiqua" w:hAnsi="Book Antiqua" w:cs="TimesNewRomanPSMT"/>
          <w:sz w:val="24"/>
          <w:szCs w:val="24"/>
        </w:rPr>
        <w:t xml:space="preserve"> and </w:t>
      </w:r>
      <w:r w:rsidR="00F624DC" w:rsidRPr="007B4EE4">
        <w:rPr>
          <w:rFonts w:ascii="Book Antiqua" w:hAnsi="Book Antiqua" w:cs="TimesNewRomanPSMT"/>
          <w:sz w:val="24"/>
          <w:szCs w:val="24"/>
        </w:rPr>
        <w:t xml:space="preserve">that </w:t>
      </w:r>
      <w:r w:rsidR="00327681" w:rsidRPr="007B4EE4">
        <w:rPr>
          <w:rFonts w:ascii="Book Antiqua" w:hAnsi="Book Antiqua" w:cs="TimesNewRomanPSMT"/>
          <w:sz w:val="24"/>
          <w:szCs w:val="24"/>
        </w:rPr>
        <w:t>freedom of expression may not damage a person’s honour, dignity, private life or one’s right to one’s image</w:t>
      </w:r>
      <w:r w:rsidR="0035760F" w:rsidRPr="007B4EE4">
        <w:rPr>
          <w:rFonts w:ascii="Book Antiqua" w:hAnsi="Book Antiqua" w:cs="TimesNewRomanPSMT"/>
          <w:sz w:val="24"/>
          <w:szCs w:val="24"/>
        </w:rPr>
        <w:t>)</w:t>
      </w:r>
      <w:r w:rsidR="00327681" w:rsidRPr="007B4EE4">
        <w:rPr>
          <w:rFonts w:ascii="Book Antiqua" w:hAnsi="Book Antiqua" w:cs="TimesNewRomanPSMT"/>
          <w:sz w:val="24"/>
          <w:szCs w:val="24"/>
        </w:rPr>
        <w:t xml:space="preserve"> (para. 47)</w:t>
      </w:r>
      <w:r w:rsidR="00A452BF">
        <w:rPr>
          <w:rFonts w:ascii="Book Antiqua" w:hAnsi="Book Antiqua" w:cs="TimesNewRomanPSMT"/>
          <w:sz w:val="24"/>
          <w:szCs w:val="24"/>
        </w:rPr>
        <w:t>, Article 10 of the Convention</w:t>
      </w:r>
      <w:r w:rsidR="0035760F" w:rsidRPr="007B4EE4">
        <w:rPr>
          <w:rFonts w:ascii="Book Antiqua" w:hAnsi="Book Antiqua" w:cs="TimesNewRomanPSMT"/>
          <w:sz w:val="24"/>
          <w:szCs w:val="24"/>
        </w:rPr>
        <w:t xml:space="preserve"> and Article 19 § 3 of the International Pact concerning civil and political rights.</w:t>
      </w:r>
      <w:r w:rsidR="00327681" w:rsidRPr="007B4EE4">
        <w:rPr>
          <w:rFonts w:ascii="Book Antiqua" w:hAnsi="Book Antiqua" w:cs="TimesNewRomanPSMT"/>
          <w:sz w:val="24"/>
          <w:szCs w:val="24"/>
        </w:rPr>
        <w:t xml:space="preserve"> (para. 9)</w:t>
      </w:r>
    </w:p>
    <w:p w:rsidR="00327681" w:rsidRPr="007B4EE4" w:rsidRDefault="00327681" w:rsidP="007B4EE4">
      <w:pPr>
        <w:autoSpaceDE w:val="0"/>
        <w:autoSpaceDN w:val="0"/>
        <w:adjustRightInd w:val="0"/>
        <w:spacing w:after="0" w:line="360" w:lineRule="auto"/>
        <w:jc w:val="both"/>
        <w:rPr>
          <w:rFonts w:ascii="Book Antiqua" w:hAnsi="Book Antiqua" w:cs="TimesNewRomanPSMT"/>
          <w:sz w:val="24"/>
          <w:szCs w:val="24"/>
        </w:rPr>
      </w:pPr>
    </w:p>
    <w:p w:rsidR="001041AD" w:rsidRPr="007B4EE4" w:rsidRDefault="000B1907"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 xml:space="preserve">The </w:t>
      </w:r>
      <w:r w:rsidR="00CE27C0" w:rsidRPr="007B4EE4">
        <w:rPr>
          <w:rFonts w:ascii="Book Antiqua" w:hAnsi="Book Antiqua" w:cs="TimesNewRomanPSMT"/>
          <w:sz w:val="24"/>
          <w:szCs w:val="24"/>
        </w:rPr>
        <w:t>Bucharest County Court delivered the first-instance judgment by</w:t>
      </w:r>
      <w:r w:rsidRPr="007B4EE4">
        <w:rPr>
          <w:rFonts w:ascii="Book Antiqua" w:hAnsi="Book Antiqua" w:cs="TimesNewRomanPSMT"/>
          <w:sz w:val="24"/>
          <w:szCs w:val="24"/>
        </w:rPr>
        <w:t xml:space="preserve"> </w:t>
      </w:r>
      <w:r w:rsidR="00CE27C0" w:rsidRPr="007B4EE4">
        <w:rPr>
          <w:rFonts w:ascii="Book Antiqua" w:hAnsi="Book Antiqua" w:cs="TimesNewRomanPSMT"/>
          <w:sz w:val="24"/>
          <w:szCs w:val="24"/>
        </w:rPr>
        <w:t>dismissing</w:t>
      </w:r>
      <w:r w:rsidR="00327681" w:rsidRPr="007B4EE4">
        <w:rPr>
          <w:rFonts w:ascii="Book Antiqua" w:hAnsi="Book Antiqua" w:cs="TimesNewRomanPSMT"/>
          <w:sz w:val="24"/>
          <w:szCs w:val="24"/>
        </w:rPr>
        <w:t xml:space="preserve"> D.Ş.’s action</w:t>
      </w:r>
      <w:r w:rsidRPr="007B4EE4">
        <w:rPr>
          <w:rFonts w:ascii="Book Antiqua" w:hAnsi="Book Antiqua" w:cs="TimesNewRomanPSMT"/>
          <w:sz w:val="24"/>
          <w:szCs w:val="24"/>
        </w:rPr>
        <w:t xml:space="preserve"> on 18 October, 2010</w:t>
      </w:r>
      <w:r w:rsidR="00327681" w:rsidRPr="007B4EE4">
        <w:rPr>
          <w:rFonts w:ascii="Book Antiqua" w:hAnsi="Book Antiqua" w:cs="TimesNewRomanPSMT"/>
          <w:sz w:val="24"/>
          <w:szCs w:val="24"/>
        </w:rPr>
        <w:t>.</w:t>
      </w:r>
      <w:r w:rsidR="0035760F" w:rsidRPr="007B4EE4">
        <w:rPr>
          <w:rFonts w:ascii="Book Antiqua" w:hAnsi="Book Antiqua" w:cs="TimesNewRomanPSMT"/>
          <w:sz w:val="24"/>
          <w:szCs w:val="24"/>
        </w:rPr>
        <w:t xml:space="preserve"> </w:t>
      </w:r>
      <w:r w:rsidR="00327681" w:rsidRPr="007B4EE4">
        <w:rPr>
          <w:rFonts w:ascii="Book Antiqua" w:hAnsi="Book Antiqua" w:cs="TimesNewRomanPSMT"/>
          <w:sz w:val="24"/>
          <w:szCs w:val="24"/>
        </w:rPr>
        <w:t xml:space="preserve">(para. 10) </w:t>
      </w:r>
      <w:r w:rsidRPr="007B4EE4">
        <w:rPr>
          <w:rFonts w:ascii="Book Antiqua" w:hAnsi="Book Antiqua" w:cs="TimesNewRomanPSMT"/>
          <w:sz w:val="24"/>
          <w:szCs w:val="24"/>
        </w:rPr>
        <w:t>On examining the context</w:t>
      </w:r>
      <w:r w:rsidR="00327681" w:rsidRPr="007B4EE4">
        <w:rPr>
          <w:rFonts w:ascii="Book Antiqua" w:hAnsi="Book Antiqua" w:cs="TimesNewRomanPSMT"/>
          <w:sz w:val="24"/>
          <w:szCs w:val="24"/>
        </w:rPr>
        <w:t xml:space="preserve"> in which the applicant had</w:t>
      </w:r>
      <w:r w:rsidRPr="007B4EE4">
        <w:rPr>
          <w:rFonts w:ascii="Book Antiqua" w:hAnsi="Book Antiqua" w:cs="TimesNewRomanPSMT"/>
          <w:sz w:val="24"/>
          <w:szCs w:val="24"/>
        </w:rPr>
        <w:t xml:space="preserve"> </w:t>
      </w:r>
      <w:r w:rsidR="00F624DC" w:rsidRPr="007B4EE4">
        <w:rPr>
          <w:rFonts w:ascii="Book Antiqua" w:hAnsi="Book Antiqua" w:cs="TimesNewRomanPSMT"/>
          <w:sz w:val="24"/>
          <w:szCs w:val="24"/>
        </w:rPr>
        <w:t>supported the</w:t>
      </w:r>
      <w:r w:rsidR="00B5664D" w:rsidRPr="007B4EE4">
        <w:rPr>
          <w:rFonts w:ascii="Book Antiqua" w:hAnsi="Book Antiqua" w:cs="TimesNewRomanPSMT"/>
          <w:sz w:val="24"/>
          <w:szCs w:val="24"/>
        </w:rPr>
        <w:t xml:space="preserve"> incompatibility between D.Ş.’s functions as a</w:t>
      </w:r>
      <w:r w:rsidRPr="007B4EE4">
        <w:rPr>
          <w:rFonts w:ascii="Book Antiqua" w:hAnsi="Book Antiqua" w:cs="TimesNewRomanPSMT"/>
          <w:sz w:val="24"/>
          <w:szCs w:val="24"/>
        </w:rPr>
        <w:t xml:space="preserve"> </w:t>
      </w:r>
      <w:r w:rsidR="00327681" w:rsidRPr="007B4EE4">
        <w:rPr>
          <w:rFonts w:ascii="Book Antiqua" w:hAnsi="Book Antiqua" w:cs="TimesNewRomanPSMT"/>
          <w:sz w:val="24"/>
          <w:szCs w:val="24"/>
        </w:rPr>
        <w:t xml:space="preserve">lawyer and </w:t>
      </w:r>
      <w:r w:rsidR="00CE27C0" w:rsidRPr="007B4EE4">
        <w:rPr>
          <w:rFonts w:ascii="Book Antiqua" w:hAnsi="Book Antiqua" w:cs="TimesNewRomanPSMT"/>
          <w:sz w:val="24"/>
          <w:szCs w:val="24"/>
        </w:rPr>
        <w:t xml:space="preserve">a </w:t>
      </w:r>
      <w:r w:rsidR="00327681" w:rsidRPr="007B4EE4">
        <w:rPr>
          <w:rFonts w:ascii="Book Antiqua" w:hAnsi="Book Antiqua" w:cs="TimesNewRomanPSMT"/>
          <w:sz w:val="24"/>
          <w:szCs w:val="24"/>
        </w:rPr>
        <w:t xml:space="preserve">member of parliament, </w:t>
      </w:r>
      <w:r w:rsidRPr="007B4EE4">
        <w:rPr>
          <w:rFonts w:ascii="Book Antiqua" w:hAnsi="Book Antiqua" w:cs="TimesNewRomanPSMT"/>
          <w:sz w:val="24"/>
          <w:szCs w:val="24"/>
        </w:rPr>
        <w:t xml:space="preserve">the County Court found that </w:t>
      </w:r>
      <w:r w:rsidR="00327681" w:rsidRPr="007B4EE4">
        <w:rPr>
          <w:rFonts w:ascii="Book Antiqua" w:hAnsi="Book Antiqua" w:cs="TimesNewRomanPSMT"/>
          <w:sz w:val="24"/>
          <w:szCs w:val="24"/>
        </w:rPr>
        <w:t>her statements had not been defamatory.</w:t>
      </w:r>
      <w:r w:rsidRPr="007B4EE4">
        <w:rPr>
          <w:rFonts w:ascii="Book Antiqua" w:hAnsi="Book Antiqua" w:cs="TimesNewRomanPSMT"/>
          <w:sz w:val="24"/>
          <w:szCs w:val="24"/>
        </w:rPr>
        <w:t xml:space="preserve"> (para. 11) </w:t>
      </w:r>
      <w:r w:rsidR="00B5664D" w:rsidRPr="007B4EE4">
        <w:rPr>
          <w:rFonts w:ascii="Book Antiqua" w:hAnsi="Book Antiqua" w:cs="TimesNewRomanPSMT"/>
          <w:sz w:val="24"/>
          <w:szCs w:val="24"/>
        </w:rPr>
        <w:t>Further, the applicant’s statements could be regarded as insinuations which would not have deteriorated D.Ş.’s image. Thus, the applicant had m</w:t>
      </w:r>
      <w:r w:rsidR="00CE27C0" w:rsidRPr="007B4EE4">
        <w:rPr>
          <w:rFonts w:ascii="Book Antiqua" w:hAnsi="Book Antiqua" w:cs="TimesNewRomanPSMT"/>
          <w:sz w:val="24"/>
          <w:szCs w:val="24"/>
        </w:rPr>
        <w:t>erely expressed her opinions</w:t>
      </w:r>
      <w:r w:rsidR="00B5664D" w:rsidRPr="007B4EE4">
        <w:rPr>
          <w:rFonts w:ascii="Book Antiqua" w:hAnsi="Book Antiqua" w:cs="TimesNewRomanPSMT"/>
          <w:sz w:val="24"/>
          <w:szCs w:val="24"/>
        </w:rPr>
        <w:t xml:space="preserve"> to criticise a politician in public interest. </w:t>
      </w:r>
    </w:p>
    <w:p w:rsidR="00CE27C0" w:rsidRPr="007B4EE4" w:rsidRDefault="00CE27C0" w:rsidP="007B4EE4">
      <w:pPr>
        <w:autoSpaceDE w:val="0"/>
        <w:autoSpaceDN w:val="0"/>
        <w:adjustRightInd w:val="0"/>
        <w:spacing w:after="0" w:line="360" w:lineRule="auto"/>
        <w:jc w:val="both"/>
        <w:rPr>
          <w:rFonts w:ascii="Book Antiqua" w:hAnsi="Book Antiqua" w:cs="TimesNewRomanPSMT"/>
          <w:sz w:val="24"/>
          <w:szCs w:val="24"/>
        </w:rPr>
      </w:pPr>
    </w:p>
    <w:p w:rsidR="00CE27C0" w:rsidRPr="007B4EE4" w:rsidRDefault="00CE27C0"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 xml:space="preserve">D.Ş. appealed against this judgment. The </w:t>
      </w:r>
      <w:r w:rsidR="00E53B02" w:rsidRPr="007B4EE4">
        <w:rPr>
          <w:rFonts w:ascii="Book Antiqua" w:hAnsi="Book Antiqua" w:cs="TimesNewRomanPSMT"/>
          <w:sz w:val="24"/>
          <w:szCs w:val="24"/>
        </w:rPr>
        <w:t xml:space="preserve">second-instance judgment was rendered by the </w:t>
      </w:r>
      <w:r w:rsidRPr="007B4EE4">
        <w:rPr>
          <w:rFonts w:ascii="Book Antiqua" w:hAnsi="Book Antiqua" w:cs="TimesNewRomanPSMT"/>
          <w:sz w:val="24"/>
          <w:szCs w:val="24"/>
        </w:rPr>
        <w:t>Bucharest Court of Appeal</w:t>
      </w:r>
      <w:r w:rsidR="00E53B02" w:rsidRPr="007B4EE4">
        <w:rPr>
          <w:rFonts w:ascii="Book Antiqua" w:hAnsi="Book Antiqua" w:cs="TimesNewRomanPSMT"/>
          <w:sz w:val="24"/>
          <w:szCs w:val="24"/>
        </w:rPr>
        <w:t>. It</w:t>
      </w:r>
      <w:r w:rsidRPr="007B4EE4">
        <w:rPr>
          <w:rFonts w:ascii="Book Antiqua" w:hAnsi="Book Antiqua" w:cs="TimesNewRomanPSMT"/>
          <w:sz w:val="24"/>
          <w:szCs w:val="24"/>
        </w:rPr>
        <w:t xml:space="preserve"> allowed D.Ş.’s appeal</w:t>
      </w:r>
      <w:r w:rsidR="003B182A" w:rsidRPr="007B4EE4">
        <w:rPr>
          <w:rFonts w:ascii="Book Antiqua" w:hAnsi="Book Antiqua" w:cs="TimesNewRomanPSMT"/>
          <w:sz w:val="24"/>
          <w:szCs w:val="24"/>
        </w:rPr>
        <w:t xml:space="preserve"> after evaluating it from several </w:t>
      </w:r>
      <w:r w:rsidR="003B182A" w:rsidRPr="007B4EE4">
        <w:rPr>
          <w:rFonts w:ascii="Book Antiqua" w:hAnsi="Book Antiqua" w:cs="TimesNewRomanPSMT"/>
          <w:sz w:val="24"/>
          <w:szCs w:val="24"/>
        </w:rPr>
        <w:lastRenderedPageBreak/>
        <w:t>angles like criticism of politicians in public interest, permissible limits of freedom of expression and harm to the reputation and human dignity of individuals</w:t>
      </w:r>
      <w:r w:rsidRPr="007B4EE4">
        <w:rPr>
          <w:rFonts w:ascii="Book Antiqua" w:hAnsi="Book Antiqua" w:cs="TimesNewRomanPSMT"/>
          <w:sz w:val="24"/>
          <w:szCs w:val="24"/>
        </w:rPr>
        <w:t xml:space="preserve">. It found a violation of civil liability as the applicant’s statements went beyond </w:t>
      </w:r>
      <w:r w:rsidR="003B182A" w:rsidRPr="007B4EE4">
        <w:rPr>
          <w:rFonts w:ascii="Book Antiqua" w:hAnsi="Book Antiqua" w:cs="TimesNewRomanPSMT"/>
          <w:sz w:val="24"/>
          <w:szCs w:val="24"/>
        </w:rPr>
        <w:t>a simple value judgment</w:t>
      </w:r>
      <w:r w:rsidRPr="007B4EE4">
        <w:rPr>
          <w:rFonts w:ascii="Book Antiqua" w:hAnsi="Book Antiqua" w:cs="TimesNewRomanPSMT"/>
          <w:sz w:val="24"/>
          <w:szCs w:val="24"/>
        </w:rPr>
        <w:t xml:space="preserve"> </w:t>
      </w:r>
      <w:r w:rsidR="003B182A" w:rsidRPr="007B4EE4">
        <w:rPr>
          <w:rFonts w:ascii="Book Antiqua" w:hAnsi="Book Antiqua" w:cs="TimesNewRomanPSMT"/>
          <w:sz w:val="24"/>
          <w:szCs w:val="24"/>
        </w:rPr>
        <w:t xml:space="preserve">and were defamatory in nature. A proportional balance had to be struck between the fundamental rights of a person and the dignity of another. Hence, the Court of Appeal </w:t>
      </w:r>
      <w:r w:rsidRPr="007B4EE4">
        <w:rPr>
          <w:rFonts w:ascii="Book Antiqua" w:hAnsi="Book Antiqua" w:cs="TimesNewRomanPSMT"/>
          <w:sz w:val="24"/>
          <w:szCs w:val="24"/>
        </w:rPr>
        <w:t xml:space="preserve">ordered the </w:t>
      </w:r>
      <w:r w:rsidR="003B182A" w:rsidRPr="007B4EE4">
        <w:rPr>
          <w:rFonts w:ascii="Book Antiqua" w:hAnsi="Book Antiqua" w:cs="TimesNewRomanPSMT"/>
          <w:sz w:val="24"/>
          <w:szCs w:val="24"/>
        </w:rPr>
        <w:t xml:space="preserve">applicant to pay </w:t>
      </w:r>
      <w:r w:rsidR="00E53B02" w:rsidRPr="007B4EE4">
        <w:rPr>
          <w:rFonts w:ascii="Book Antiqua" w:hAnsi="Book Antiqua" w:cs="TimesNewRomanPSMT"/>
          <w:sz w:val="24"/>
          <w:szCs w:val="24"/>
        </w:rPr>
        <w:t xml:space="preserve">10,000 Romanian lei to </w:t>
      </w:r>
      <w:r w:rsidR="003B182A" w:rsidRPr="007B4EE4">
        <w:rPr>
          <w:rFonts w:ascii="Book Antiqua" w:hAnsi="Book Antiqua" w:cs="TimesNewRomanPSMT"/>
          <w:sz w:val="24"/>
          <w:szCs w:val="24"/>
        </w:rPr>
        <w:t>D.Ş.</w:t>
      </w:r>
      <w:r w:rsidRPr="007B4EE4">
        <w:rPr>
          <w:rFonts w:ascii="Book Antiqua" w:hAnsi="Book Antiqua" w:cs="TimesNewRomanPSMT"/>
          <w:sz w:val="24"/>
          <w:szCs w:val="24"/>
        </w:rPr>
        <w:t xml:space="preserve"> and to publish the court’s judgment at her own expense in three national newspapers having the widest circulation. (para. 17)</w:t>
      </w:r>
    </w:p>
    <w:p w:rsidR="00E53B02" w:rsidRPr="007B4EE4" w:rsidRDefault="00E53B02" w:rsidP="007B4EE4">
      <w:pPr>
        <w:autoSpaceDE w:val="0"/>
        <w:autoSpaceDN w:val="0"/>
        <w:adjustRightInd w:val="0"/>
        <w:spacing w:after="0" w:line="360" w:lineRule="auto"/>
        <w:jc w:val="both"/>
        <w:rPr>
          <w:rFonts w:ascii="Book Antiqua" w:hAnsi="Book Antiqua" w:cs="TimesNewRomanPSMT"/>
          <w:sz w:val="24"/>
          <w:szCs w:val="24"/>
        </w:rPr>
      </w:pPr>
    </w:p>
    <w:p w:rsidR="00E53B02" w:rsidRPr="007B4EE4" w:rsidRDefault="00E53B02"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 xml:space="preserve">The applicant and D.Ş. appealed </w:t>
      </w:r>
      <w:r w:rsidR="00F624DC" w:rsidRPr="007B4EE4">
        <w:rPr>
          <w:rFonts w:ascii="Book Antiqua" w:hAnsi="Book Antiqua" w:cs="TimesNewRomanPSMT"/>
          <w:sz w:val="24"/>
          <w:szCs w:val="24"/>
        </w:rPr>
        <w:t xml:space="preserve">on points of law </w:t>
      </w:r>
      <w:r w:rsidRPr="007B4EE4">
        <w:rPr>
          <w:rFonts w:ascii="Book Antiqua" w:hAnsi="Book Antiqua" w:cs="TimesNewRomanPSMT"/>
          <w:sz w:val="24"/>
          <w:szCs w:val="24"/>
        </w:rPr>
        <w:t xml:space="preserve">against the second-instance judgment to the High Court of Cassation and Justice. The applicant submitted that </w:t>
      </w:r>
      <w:r w:rsidR="00F624DC" w:rsidRPr="007B4EE4">
        <w:rPr>
          <w:rFonts w:ascii="Book Antiqua" w:hAnsi="Book Antiqua" w:cs="TimesNewRomanPSMT"/>
          <w:sz w:val="24"/>
          <w:szCs w:val="24"/>
        </w:rPr>
        <w:t>h</w:t>
      </w:r>
      <w:r w:rsidR="00B146E6" w:rsidRPr="007B4EE4">
        <w:rPr>
          <w:rFonts w:ascii="Book Antiqua" w:hAnsi="Book Antiqua" w:cs="TimesNewRomanPSMT"/>
          <w:sz w:val="24"/>
          <w:szCs w:val="24"/>
        </w:rPr>
        <w:t xml:space="preserve">er statements mainly </w:t>
      </w:r>
      <w:r w:rsidR="00F624DC" w:rsidRPr="007B4EE4">
        <w:rPr>
          <w:rFonts w:ascii="Book Antiqua" w:hAnsi="Book Antiqua" w:cs="TimesNewRomanPSMT"/>
          <w:sz w:val="24"/>
          <w:szCs w:val="24"/>
        </w:rPr>
        <w:t xml:space="preserve">concerned V.P. because he was a member of parliament along with being a </w:t>
      </w:r>
      <w:r w:rsidR="00B146E6" w:rsidRPr="007B4EE4">
        <w:rPr>
          <w:rFonts w:ascii="Book Antiqua" w:hAnsi="Book Antiqua" w:cs="TimesNewRomanPSMT"/>
          <w:sz w:val="24"/>
          <w:szCs w:val="24"/>
        </w:rPr>
        <w:t xml:space="preserve">senior partner at “[D.]Ş. and Associates”, when the said law firm secured multi-million euro contracts from State-owned companies. </w:t>
      </w:r>
      <w:r w:rsidR="00F624DC" w:rsidRPr="007B4EE4">
        <w:rPr>
          <w:rFonts w:ascii="Book Antiqua" w:hAnsi="Book Antiqua" w:cs="TimesNewRomanPSMT"/>
          <w:sz w:val="24"/>
          <w:szCs w:val="24"/>
        </w:rPr>
        <w:t xml:space="preserve">However, </w:t>
      </w:r>
      <w:r w:rsidR="00B146E6" w:rsidRPr="007B4EE4">
        <w:rPr>
          <w:rFonts w:ascii="Book Antiqua" w:hAnsi="Book Antiqua" w:cs="TimesNewRomanPSMT"/>
          <w:sz w:val="24"/>
          <w:szCs w:val="24"/>
        </w:rPr>
        <w:t xml:space="preserve">D.Ş. had not been a member of parliament at the time when the contracts had been concluded. (para. 25) Thus, </w:t>
      </w:r>
      <w:r w:rsidR="00F624DC" w:rsidRPr="007B4EE4">
        <w:rPr>
          <w:rFonts w:ascii="Book Antiqua" w:hAnsi="Book Antiqua" w:cs="TimesNewRomanPSMT"/>
          <w:sz w:val="24"/>
          <w:szCs w:val="24"/>
        </w:rPr>
        <w:t>the applicant</w:t>
      </w:r>
      <w:r w:rsidR="00B146E6" w:rsidRPr="007B4EE4">
        <w:rPr>
          <w:rFonts w:ascii="Book Antiqua" w:hAnsi="Book Antiqua" w:cs="TimesNewRomanPSMT"/>
          <w:sz w:val="24"/>
          <w:szCs w:val="24"/>
        </w:rPr>
        <w:t xml:space="preserve"> had never stated that D.Ş. had jointly exercised the functions of both a lawyer and a member of parliament. </w:t>
      </w:r>
      <w:r w:rsidR="00F624DC" w:rsidRPr="007B4EE4">
        <w:rPr>
          <w:rFonts w:ascii="Book Antiqua" w:hAnsi="Book Antiqua" w:cs="TimesNewRomanPSMT"/>
          <w:sz w:val="24"/>
          <w:szCs w:val="24"/>
        </w:rPr>
        <w:t>The second-instance court had missed out on the inconsistency in different press reports and had misinterpreted the facts. Furthermore,</w:t>
      </w:r>
      <w:r w:rsidR="00C26D5F" w:rsidRPr="007B4EE4">
        <w:rPr>
          <w:rFonts w:ascii="Book Antiqua" w:hAnsi="Book Antiqua" w:cs="TimesNewRomanPSMT"/>
          <w:sz w:val="24"/>
          <w:szCs w:val="24"/>
        </w:rPr>
        <w:t xml:space="preserve"> her statements had been made in good faith and had not been a gratuitous attack</w:t>
      </w:r>
      <w:r w:rsidR="00585F94" w:rsidRPr="007B4EE4">
        <w:rPr>
          <w:rFonts w:ascii="Book Antiqua" w:hAnsi="Book Antiqua" w:cs="TimesNewRomanPSMT"/>
          <w:sz w:val="24"/>
          <w:szCs w:val="24"/>
        </w:rPr>
        <w:t>.</w:t>
      </w:r>
      <w:r w:rsidR="00C26D5F" w:rsidRPr="007B4EE4">
        <w:rPr>
          <w:rFonts w:ascii="Book Antiqua" w:hAnsi="Book Antiqua" w:cs="TimesNewRomanPSMT"/>
          <w:sz w:val="24"/>
          <w:szCs w:val="24"/>
        </w:rPr>
        <w:t xml:space="preserve"> (para. 29) Thereby, the second-instance court had given undue advantage to D.Ş.’s political image over </w:t>
      </w:r>
      <w:r w:rsidR="007F162C">
        <w:rPr>
          <w:rFonts w:ascii="Book Antiqua" w:hAnsi="Book Antiqua" w:cs="TimesNewRomanPSMT"/>
          <w:sz w:val="24"/>
          <w:szCs w:val="24"/>
        </w:rPr>
        <w:t xml:space="preserve">her </w:t>
      </w:r>
      <w:r w:rsidR="00C26D5F" w:rsidRPr="007B4EE4">
        <w:rPr>
          <w:rFonts w:ascii="Book Antiqua" w:hAnsi="Book Antiqua" w:cs="TimesNewRomanPSMT"/>
          <w:sz w:val="24"/>
          <w:szCs w:val="24"/>
        </w:rPr>
        <w:t xml:space="preserve">freedom of expression on a matter of public interest, which was not necessary in a democratic society. </w:t>
      </w:r>
      <w:r w:rsidR="00FD0B66" w:rsidRPr="007B4EE4">
        <w:rPr>
          <w:rFonts w:ascii="Book Antiqua" w:hAnsi="Book Antiqua" w:cs="TimesNewRomanPSMT"/>
          <w:sz w:val="24"/>
          <w:szCs w:val="24"/>
        </w:rPr>
        <w:t>However, b</w:t>
      </w:r>
      <w:r w:rsidR="00C26D5F" w:rsidRPr="007B4EE4">
        <w:rPr>
          <w:rFonts w:ascii="Book Antiqua" w:hAnsi="Book Antiqua" w:cs="TimesNewRomanPSMT"/>
          <w:sz w:val="24"/>
          <w:szCs w:val="24"/>
        </w:rPr>
        <w:t>y a final judgment of 7 November, 2013, the High Court of Cassation and Justice dismissed both appeals on points of law</w:t>
      </w:r>
      <w:r w:rsidR="00FD0B66" w:rsidRPr="007B4EE4">
        <w:rPr>
          <w:rFonts w:ascii="Book Antiqua" w:hAnsi="Book Antiqua" w:cs="TimesNewRomanPSMT"/>
          <w:sz w:val="24"/>
          <w:szCs w:val="24"/>
        </w:rPr>
        <w:t xml:space="preserve"> and held that the applicant’s statements had indeed caused damage to D.Ş.’s reputation</w:t>
      </w:r>
      <w:r w:rsidR="00C26D5F" w:rsidRPr="007B4EE4">
        <w:rPr>
          <w:rFonts w:ascii="Book Antiqua" w:hAnsi="Book Antiqua" w:cs="TimesNewRomanPSMT"/>
          <w:sz w:val="24"/>
          <w:szCs w:val="24"/>
        </w:rPr>
        <w:t>.</w:t>
      </w:r>
    </w:p>
    <w:p w:rsidR="0035760F" w:rsidRPr="007B4EE4" w:rsidRDefault="0035760F" w:rsidP="007B4EE4">
      <w:pPr>
        <w:autoSpaceDE w:val="0"/>
        <w:autoSpaceDN w:val="0"/>
        <w:adjustRightInd w:val="0"/>
        <w:spacing w:after="0" w:line="360" w:lineRule="auto"/>
        <w:jc w:val="both"/>
        <w:rPr>
          <w:rFonts w:ascii="Book Antiqua" w:hAnsi="Book Antiqua" w:cs="Times New Roman"/>
          <w:sz w:val="24"/>
          <w:szCs w:val="24"/>
        </w:rPr>
      </w:pPr>
    </w:p>
    <w:p w:rsidR="001041AD" w:rsidRPr="007B4EE4" w:rsidRDefault="001041AD" w:rsidP="007B4EE4">
      <w:pPr>
        <w:autoSpaceDE w:val="0"/>
        <w:autoSpaceDN w:val="0"/>
        <w:adjustRightInd w:val="0"/>
        <w:spacing w:after="0" w:line="360" w:lineRule="auto"/>
        <w:jc w:val="both"/>
        <w:rPr>
          <w:rFonts w:ascii="Book Antiqua" w:hAnsi="Book Antiqua" w:cs="Times New Roman"/>
          <w:b/>
          <w:bCs/>
          <w:color w:val="000000"/>
          <w:sz w:val="24"/>
          <w:szCs w:val="24"/>
        </w:rPr>
      </w:pPr>
      <w:r w:rsidRPr="007B4EE4">
        <w:rPr>
          <w:rFonts w:ascii="Book Antiqua" w:hAnsi="Book Antiqua" w:cs="Times New Roman"/>
          <w:b/>
          <w:bCs/>
          <w:color w:val="000000"/>
          <w:sz w:val="24"/>
          <w:szCs w:val="24"/>
        </w:rPr>
        <w:t xml:space="preserve">Decision Overview </w:t>
      </w:r>
    </w:p>
    <w:p w:rsidR="00955A8E" w:rsidRPr="007B4EE4" w:rsidRDefault="00955A8E" w:rsidP="007B4EE4">
      <w:pPr>
        <w:autoSpaceDE w:val="0"/>
        <w:autoSpaceDN w:val="0"/>
        <w:adjustRightInd w:val="0"/>
        <w:spacing w:after="0" w:line="360" w:lineRule="auto"/>
        <w:jc w:val="both"/>
        <w:rPr>
          <w:rFonts w:ascii="Book Antiqua" w:hAnsi="Book Antiqua" w:cs="Times New Roman"/>
          <w:b/>
          <w:bCs/>
          <w:color w:val="000000"/>
          <w:sz w:val="24"/>
          <w:szCs w:val="24"/>
        </w:rPr>
      </w:pPr>
    </w:p>
    <w:p w:rsidR="00750D24" w:rsidRPr="007B4EE4" w:rsidRDefault="00750D24" w:rsidP="007B4EE4">
      <w:pPr>
        <w:autoSpaceDE w:val="0"/>
        <w:autoSpaceDN w:val="0"/>
        <w:adjustRightInd w:val="0"/>
        <w:spacing w:after="0" w:line="360" w:lineRule="auto"/>
        <w:jc w:val="both"/>
        <w:rPr>
          <w:rFonts w:ascii="Book Antiqua" w:hAnsi="Book Antiqua" w:cs="Times New Roman"/>
          <w:bCs/>
          <w:color w:val="000000"/>
          <w:sz w:val="24"/>
          <w:szCs w:val="24"/>
        </w:rPr>
      </w:pPr>
      <w:r w:rsidRPr="007B4EE4">
        <w:rPr>
          <w:rFonts w:ascii="Book Antiqua" w:hAnsi="Book Antiqua" w:cs="Times New Roman"/>
          <w:bCs/>
          <w:color w:val="000000"/>
          <w:sz w:val="24"/>
          <w:szCs w:val="24"/>
        </w:rPr>
        <w:t xml:space="preserve">The application was declared admissible. The main issue before the Court was whether the applicant’s right to freedom of expression under Article 10 of the Convention had been violated. </w:t>
      </w:r>
    </w:p>
    <w:p w:rsidR="00750D24" w:rsidRPr="007B4EE4" w:rsidRDefault="00750D24" w:rsidP="007B4EE4">
      <w:pPr>
        <w:autoSpaceDE w:val="0"/>
        <w:autoSpaceDN w:val="0"/>
        <w:adjustRightInd w:val="0"/>
        <w:spacing w:after="0" w:line="360" w:lineRule="auto"/>
        <w:jc w:val="both"/>
        <w:rPr>
          <w:rFonts w:ascii="Book Antiqua" w:hAnsi="Book Antiqua" w:cs="Times New Roman"/>
          <w:bCs/>
          <w:color w:val="000000"/>
          <w:sz w:val="24"/>
          <w:szCs w:val="24"/>
        </w:rPr>
      </w:pPr>
    </w:p>
    <w:p w:rsidR="00750D24" w:rsidRPr="007B4EE4" w:rsidRDefault="00750D24"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 New Roman"/>
          <w:bCs/>
          <w:color w:val="000000"/>
          <w:sz w:val="24"/>
          <w:szCs w:val="24"/>
        </w:rPr>
        <w:t xml:space="preserve">The applicant submitted </w:t>
      </w:r>
      <w:r w:rsidR="00790ABF" w:rsidRPr="007B4EE4">
        <w:rPr>
          <w:rFonts w:ascii="Book Antiqua" w:hAnsi="Book Antiqua" w:cs="Times New Roman"/>
          <w:bCs/>
          <w:color w:val="000000"/>
          <w:sz w:val="24"/>
          <w:szCs w:val="24"/>
        </w:rPr>
        <w:t xml:space="preserve">that the </w:t>
      </w:r>
      <w:r w:rsidR="007F162C" w:rsidRPr="007B4EE4">
        <w:rPr>
          <w:rFonts w:ascii="Book Antiqua" w:hAnsi="Book Antiqua" w:cs="Times New Roman"/>
          <w:bCs/>
          <w:color w:val="000000"/>
          <w:sz w:val="24"/>
          <w:szCs w:val="24"/>
        </w:rPr>
        <w:t xml:space="preserve">press articles taken into account </w:t>
      </w:r>
      <w:r w:rsidR="007F162C">
        <w:rPr>
          <w:rFonts w:ascii="Book Antiqua" w:hAnsi="Book Antiqua" w:cs="Times New Roman"/>
          <w:bCs/>
          <w:color w:val="000000"/>
          <w:sz w:val="24"/>
          <w:szCs w:val="24"/>
        </w:rPr>
        <w:t>by the domestic appellate courts had</w:t>
      </w:r>
      <w:r w:rsidR="00790ABF" w:rsidRPr="007B4EE4">
        <w:rPr>
          <w:rFonts w:ascii="Book Antiqua" w:hAnsi="Book Antiqua" w:cs="Times New Roman"/>
          <w:bCs/>
          <w:color w:val="000000"/>
          <w:sz w:val="24"/>
          <w:szCs w:val="24"/>
        </w:rPr>
        <w:t xml:space="preserve"> never mentioned “a clear case of corruption”, a phrase that </w:t>
      </w:r>
      <w:r w:rsidR="00790ABF" w:rsidRPr="007B4EE4">
        <w:rPr>
          <w:rFonts w:ascii="Book Antiqua" w:hAnsi="Book Antiqua" w:cs="TimesNewRomanPSMT"/>
          <w:sz w:val="24"/>
          <w:szCs w:val="24"/>
        </w:rPr>
        <w:t xml:space="preserve">D.Ş. had </w:t>
      </w:r>
      <w:r w:rsidR="00F10635" w:rsidRPr="007B4EE4">
        <w:rPr>
          <w:rFonts w:ascii="Book Antiqua" w:hAnsi="Book Antiqua" w:cs="TimesNewRomanPSMT"/>
          <w:sz w:val="24"/>
          <w:szCs w:val="24"/>
        </w:rPr>
        <w:t xml:space="preserve">relied on to show that it had </w:t>
      </w:r>
      <w:r w:rsidR="00790ABF" w:rsidRPr="007B4EE4">
        <w:rPr>
          <w:rFonts w:ascii="Book Antiqua" w:hAnsi="Book Antiqua" w:cs="TimesNewRomanPSMT"/>
          <w:sz w:val="24"/>
          <w:szCs w:val="24"/>
        </w:rPr>
        <w:t xml:space="preserve">seriously affected his public image. (para. 51) In those press articles, the applicant never claimed that D.Ş. had acted both as a lawyer and a member of parliament; she had merely indicated that </w:t>
      </w:r>
      <w:r w:rsidR="00F10635" w:rsidRPr="007B4EE4">
        <w:rPr>
          <w:rFonts w:ascii="Book Antiqua" w:hAnsi="Book Antiqua" w:cs="TimesNewRomanPSMT"/>
          <w:sz w:val="24"/>
          <w:szCs w:val="24"/>
        </w:rPr>
        <w:t xml:space="preserve">he had earned large sums of money while securing contracts from energy companies located in that constituency at a time when V.P. was both a member of parliament and a senior partner at [D.]Ş. and Associates. Thus, the second-instance court had misinterpreted her statement because she held V.P. accountable for acting both as a lawyer and as a member of parliament, and not D.Ş. Her statements only indicated a mutually beneficial relationship between </w:t>
      </w:r>
      <w:r w:rsidR="000924D8" w:rsidRPr="007B4EE4">
        <w:rPr>
          <w:rFonts w:ascii="Book Antiqua" w:hAnsi="Book Antiqua" w:cs="TimesNewRomanPSMT"/>
          <w:sz w:val="24"/>
          <w:szCs w:val="24"/>
        </w:rPr>
        <w:t xml:space="preserve">D.Ş. and V.P. who supported each other in a profitable manner. (para. 53) </w:t>
      </w:r>
      <w:r w:rsidR="00F10635" w:rsidRPr="007B4EE4">
        <w:rPr>
          <w:rFonts w:ascii="Book Antiqua" w:hAnsi="Book Antiqua" w:cs="TimesNewRomanPSMT"/>
          <w:sz w:val="24"/>
          <w:szCs w:val="24"/>
        </w:rPr>
        <w:t>F</w:t>
      </w:r>
      <w:r w:rsidR="000924D8" w:rsidRPr="007B4EE4">
        <w:rPr>
          <w:rFonts w:ascii="Book Antiqua" w:hAnsi="Book Antiqua" w:cs="TimesNewRomanPSMT"/>
          <w:sz w:val="24"/>
          <w:szCs w:val="24"/>
        </w:rPr>
        <w:t xml:space="preserve">urther, even though the applicant’s public statements concerned both V.P. and D.Ş., the lack of response on part of V.P. indicated that her statements were neither false, nor did they require judicial action. Her statements were made in public interest to mobilize support for a bill that she had been advocating for several years to prohibit the same person </w:t>
      </w:r>
      <w:r w:rsidR="008A3816" w:rsidRPr="007B4EE4">
        <w:rPr>
          <w:rFonts w:ascii="Book Antiqua" w:hAnsi="Book Antiqua" w:cs="TimesNewRomanPSMT"/>
          <w:sz w:val="24"/>
          <w:szCs w:val="24"/>
        </w:rPr>
        <w:t xml:space="preserve">from acting </w:t>
      </w:r>
      <w:r w:rsidR="000924D8" w:rsidRPr="007B4EE4">
        <w:rPr>
          <w:rFonts w:ascii="Book Antiqua" w:hAnsi="Book Antiqua" w:cs="TimesNewRomanPSMT"/>
          <w:sz w:val="24"/>
          <w:szCs w:val="24"/>
        </w:rPr>
        <w:t xml:space="preserve">both </w:t>
      </w:r>
      <w:r w:rsidR="008A3816" w:rsidRPr="007B4EE4">
        <w:rPr>
          <w:rFonts w:ascii="Book Antiqua" w:hAnsi="Book Antiqua" w:cs="TimesNewRomanPSMT"/>
          <w:sz w:val="24"/>
          <w:szCs w:val="24"/>
        </w:rPr>
        <w:t xml:space="preserve">as </w:t>
      </w:r>
      <w:r w:rsidR="000924D8" w:rsidRPr="007B4EE4">
        <w:rPr>
          <w:rFonts w:ascii="Book Antiqua" w:hAnsi="Book Antiqua" w:cs="TimesNewRomanPSMT"/>
          <w:sz w:val="24"/>
          <w:szCs w:val="24"/>
        </w:rPr>
        <w:t xml:space="preserve">a lawyer and </w:t>
      </w:r>
      <w:r w:rsidR="008A3816" w:rsidRPr="007B4EE4">
        <w:rPr>
          <w:rFonts w:ascii="Book Antiqua" w:hAnsi="Book Antiqua" w:cs="TimesNewRomanPSMT"/>
          <w:sz w:val="24"/>
          <w:szCs w:val="24"/>
        </w:rPr>
        <w:t xml:space="preserve">a </w:t>
      </w:r>
      <w:r w:rsidR="000924D8" w:rsidRPr="007B4EE4">
        <w:rPr>
          <w:rFonts w:ascii="Book Antiqua" w:hAnsi="Book Antiqua" w:cs="TimesNewRomanPSMT"/>
          <w:sz w:val="24"/>
          <w:szCs w:val="24"/>
        </w:rPr>
        <w:t>member of parliament</w:t>
      </w:r>
      <w:r w:rsidR="008A3816" w:rsidRPr="007B4EE4">
        <w:rPr>
          <w:rFonts w:ascii="Book Antiqua" w:hAnsi="Book Antiqua" w:cs="TimesNewRomanPSMT"/>
          <w:sz w:val="24"/>
          <w:szCs w:val="24"/>
        </w:rPr>
        <w:t xml:space="preserve"> in order</w:t>
      </w:r>
      <w:r w:rsidR="000924D8" w:rsidRPr="007B4EE4">
        <w:rPr>
          <w:rFonts w:ascii="Book Antiqua" w:hAnsi="Book Antiqua" w:cs="TimesNewRomanPSMT"/>
          <w:sz w:val="24"/>
          <w:szCs w:val="24"/>
        </w:rPr>
        <w:t xml:space="preserve"> to safeguard public funds. As public officials, both D.Ş. and V.P. were liable to be scrutinized for their actions by journalists and the public. Thus, the </w:t>
      </w:r>
      <w:r w:rsidR="008A3816" w:rsidRPr="007B4EE4">
        <w:rPr>
          <w:rFonts w:ascii="Book Antiqua" w:hAnsi="Book Antiqua" w:cs="TimesNewRomanPSMT"/>
          <w:sz w:val="24"/>
          <w:szCs w:val="24"/>
        </w:rPr>
        <w:t>financial losses suffered by the applicant due to the erroneous judgments of the domestic courts had</w:t>
      </w:r>
      <w:r w:rsidR="000924D8" w:rsidRPr="007B4EE4">
        <w:rPr>
          <w:rFonts w:ascii="Book Antiqua" w:hAnsi="Book Antiqua" w:cs="TimesNewRomanPSMT"/>
          <w:sz w:val="24"/>
          <w:szCs w:val="24"/>
        </w:rPr>
        <w:t xml:space="preserve"> disproportionate</w:t>
      </w:r>
      <w:r w:rsidR="008A3816" w:rsidRPr="007B4EE4">
        <w:rPr>
          <w:rFonts w:ascii="Book Antiqua" w:hAnsi="Book Antiqua" w:cs="TimesNewRomanPSMT"/>
          <w:sz w:val="24"/>
          <w:szCs w:val="24"/>
        </w:rPr>
        <w:t>ly</w:t>
      </w:r>
      <w:r w:rsidR="000924D8" w:rsidRPr="007B4EE4">
        <w:rPr>
          <w:rFonts w:ascii="Book Antiqua" w:hAnsi="Book Antiqua" w:cs="TimesNewRomanPSMT"/>
          <w:sz w:val="24"/>
          <w:szCs w:val="24"/>
        </w:rPr>
        <w:t xml:space="preserve"> interfered with her freedom of expression</w:t>
      </w:r>
      <w:r w:rsidR="008A3816" w:rsidRPr="007B4EE4">
        <w:rPr>
          <w:rFonts w:ascii="Book Antiqua" w:hAnsi="Book Antiqua" w:cs="TimesNewRomanPSMT"/>
          <w:sz w:val="24"/>
          <w:szCs w:val="24"/>
        </w:rPr>
        <w:t xml:space="preserve">. </w:t>
      </w:r>
    </w:p>
    <w:p w:rsidR="008A3816" w:rsidRPr="007B4EE4" w:rsidRDefault="008A3816" w:rsidP="007B4EE4">
      <w:pPr>
        <w:autoSpaceDE w:val="0"/>
        <w:autoSpaceDN w:val="0"/>
        <w:adjustRightInd w:val="0"/>
        <w:spacing w:after="0" w:line="360" w:lineRule="auto"/>
        <w:jc w:val="both"/>
        <w:rPr>
          <w:rFonts w:ascii="Book Antiqua" w:hAnsi="Book Antiqua" w:cs="TimesNewRomanPSMT"/>
          <w:sz w:val="24"/>
          <w:szCs w:val="24"/>
        </w:rPr>
      </w:pPr>
    </w:p>
    <w:p w:rsidR="008A3816" w:rsidRPr="007B4EE4" w:rsidRDefault="008A3816"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 xml:space="preserve">The </w:t>
      </w:r>
      <w:r w:rsidR="00570A60" w:rsidRPr="007B4EE4">
        <w:rPr>
          <w:rFonts w:ascii="Book Antiqua" w:hAnsi="Book Antiqua" w:cs="TimesNewRomanPSMT"/>
          <w:sz w:val="24"/>
          <w:szCs w:val="24"/>
        </w:rPr>
        <w:t>Government submitted that</w:t>
      </w:r>
      <w:r w:rsidRPr="007B4EE4">
        <w:rPr>
          <w:rFonts w:ascii="Book Antiqua" w:hAnsi="Book Antiqua" w:cs="TimesNewRomanPSMT"/>
          <w:sz w:val="24"/>
          <w:szCs w:val="24"/>
        </w:rPr>
        <w:t xml:space="preserve"> </w:t>
      </w:r>
      <w:r w:rsidR="00570A60" w:rsidRPr="007B4EE4">
        <w:rPr>
          <w:rFonts w:ascii="Book Antiqua" w:hAnsi="Book Antiqua" w:cs="TimesNewRomanPSMT"/>
          <w:sz w:val="24"/>
          <w:szCs w:val="24"/>
        </w:rPr>
        <w:t xml:space="preserve">the interference with the applicant’s right to freedom of expression had been provided by law and pursued a legitimate aim of protecting D.Ş.’s right to reputation. The </w:t>
      </w:r>
      <w:r w:rsidRPr="007B4EE4">
        <w:rPr>
          <w:rFonts w:ascii="Book Antiqua" w:hAnsi="Book Antiqua" w:cs="TimesNewRomanPSMT"/>
          <w:sz w:val="24"/>
          <w:szCs w:val="24"/>
        </w:rPr>
        <w:t>applican</w:t>
      </w:r>
      <w:r w:rsidR="00570A60" w:rsidRPr="007B4EE4">
        <w:rPr>
          <w:rFonts w:ascii="Book Antiqua" w:hAnsi="Book Antiqua" w:cs="TimesNewRomanPSMT"/>
          <w:sz w:val="24"/>
          <w:szCs w:val="24"/>
        </w:rPr>
        <w:t xml:space="preserve">t was not a journalist, and </w:t>
      </w:r>
      <w:r w:rsidRPr="007B4EE4">
        <w:rPr>
          <w:rFonts w:ascii="Book Antiqua" w:hAnsi="Book Antiqua" w:cs="TimesNewRomanPSMT"/>
          <w:sz w:val="24"/>
          <w:szCs w:val="24"/>
        </w:rPr>
        <w:t>lack of any retraction efforts on her part showed that she had consented to the publication of her state</w:t>
      </w:r>
      <w:r w:rsidR="00570A60" w:rsidRPr="007B4EE4">
        <w:rPr>
          <w:rFonts w:ascii="Book Antiqua" w:hAnsi="Book Antiqua" w:cs="TimesNewRomanPSMT"/>
          <w:sz w:val="24"/>
          <w:szCs w:val="24"/>
        </w:rPr>
        <w:t xml:space="preserve">ments by the press. (para. 59) The domestic courts had not exceeded their margin of appreciation as the applicant’s statements were not backed by reasonable factual basis, and had overstepped the boundaries of permissible limits of criticism. Further, the non-pecuniary damage sought from the applicant had been fair to ensure a balance between competing interests of both sides. The second-instance court had overturned </w:t>
      </w:r>
      <w:r w:rsidR="00570A60" w:rsidRPr="007B4EE4">
        <w:rPr>
          <w:rFonts w:ascii="Book Antiqua" w:hAnsi="Book Antiqua" w:cs="TimesNewRomanPSMT"/>
          <w:sz w:val="24"/>
          <w:szCs w:val="24"/>
        </w:rPr>
        <w:lastRenderedPageBreak/>
        <w:t>the judgement of the first-instance court in view of the public impact of the applicant’s statements, especially given her position of former minister of justice. (para. 67) Hence, the domestic courts were correct i</w:t>
      </w:r>
      <w:r w:rsidR="00966C0C">
        <w:rPr>
          <w:rFonts w:ascii="Book Antiqua" w:hAnsi="Book Antiqua" w:cs="TimesNewRomanPSMT"/>
          <w:sz w:val="24"/>
          <w:szCs w:val="24"/>
        </w:rPr>
        <w:t>n convicting the applicant because</w:t>
      </w:r>
      <w:r w:rsidR="00570A60" w:rsidRPr="007B4EE4">
        <w:rPr>
          <w:rFonts w:ascii="Book Antiqua" w:hAnsi="Book Antiqua" w:cs="TimesNewRomanPSMT"/>
          <w:sz w:val="24"/>
          <w:szCs w:val="24"/>
        </w:rPr>
        <w:t xml:space="preserve"> her statements accused D.Ş. of a criminal offence without sufficient basis. </w:t>
      </w:r>
    </w:p>
    <w:p w:rsidR="00484B48" w:rsidRPr="007B4EE4" w:rsidRDefault="00484B48" w:rsidP="007B4EE4">
      <w:pPr>
        <w:autoSpaceDE w:val="0"/>
        <w:autoSpaceDN w:val="0"/>
        <w:adjustRightInd w:val="0"/>
        <w:spacing w:after="0" w:line="360" w:lineRule="auto"/>
        <w:jc w:val="both"/>
        <w:rPr>
          <w:rFonts w:ascii="Book Antiqua" w:hAnsi="Book Antiqua" w:cs="TimesNewRomanPSMT"/>
          <w:sz w:val="24"/>
          <w:szCs w:val="24"/>
        </w:rPr>
      </w:pPr>
    </w:p>
    <w:p w:rsidR="00484B48" w:rsidRPr="007B4EE4" w:rsidRDefault="00484B48"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The Court agreed that there was an interference with the applicant’</w:t>
      </w:r>
      <w:r w:rsidR="009E77AA" w:rsidRPr="007B4EE4">
        <w:rPr>
          <w:rFonts w:ascii="Book Antiqua" w:hAnsi="Book Antiqua" w:cs="TimesNewRomanPSMT"/>
          <w:sz w:val="24"/>
          <w:szCs w:val="24"/>
        </w:rPr>
        <w:t>s right under Article 10, but the int</w:t>
      </w:r>
      <w:r w:rsidR="00D07B56" w:rsidRPr="007B4EE4">
        <w:rPr>
          <w:rFonts w:ascii="Book Antiqua" w:hAnsi="Book Antiqua" w:cs="TimesNewRomanPSMT"/>
          <w:sz w:val="24"/>
          <w:szCs w:val="24"/>
        </w:rPr>
        <w:t xml:space="preserve">erference was prescribed by law and pursued a legitimate aim of protecting D.Ş.’s right to reputation. </w:t>
      </w:r>
      <w:r w:rsidR="00C92194" w:rsidRPr="007B4EE4">
        <w:rPr>
          <w:rFonts w:ascii="Book Antiqua" w:hAnsi="Book Antiqua" w:cs="TimesNewRomanPSMT"/>
          <w:sz w:val="24"/>
          <w:szCs w:val="24"/>
        </w:rPr>
        <w:t xml:space="preserve">While determining whether the interference was necessary in a democratic society, the Court reiterated that Article 10 also entails expression of ideas that offend, shock or disturb. It should, however, correspond to “a pressing social need”. While states have </w:t>
      </w:r>
      <w:r w:rsidR="00A31525" w:rsidRPr="007B4EE4">
        <w:rPr>
          <w:rFonts w:ascii="Book Antiqua" w:hAnsi="Book Antiqua" w:cs="TimesNewRomanPSMT"/>
          <w:sz w:val="24"/>
          <w:szCs w:val="24"/>
        </w:rPr>
        <w:t xml:space="preserve">a </w:t>
      </w:r>
      <w:r w:rsidR="00C92194" w:rsidRPr="007B4EE4">
        <w:rPr>
          <w:rFonts w:ascii="Book Antiqua" w:hAnsi="Book Antiqua" w:cs="TimesNewRomanPSMT"/>
          <w:sz w:val="24"/>
          <w:szCs w:val="24"/>
        </w:rPr>
        <w:t>margin of appreciation to determine whether such need exists, it goes hand in hand with European supervision. (para. 73) Hence, the Court must determine whether the reasons adduced by the national authorities to justify the interference were “relevant and sufficient” and whether the measure taken was “proportionate to the legitimate aims pursued”.</w:t>
      </w:r>
      <w:r w:rsidR="00A31525" w:rsidRPr="007B4EE4">
        <w:rPr>
          <w:rFonts w:ascii="Book Antiqua" w:hAnsi="Book Antiqua" w:cs="TimesNewRomanPSMT"/>
          <w:sz w:val="24"/>
          <w:szCs w:val="24"/>
        </w:rPr>
        <w:t xml:space="preserve"> (para. 74)</w:t>
      </w:r>
    </w:p>
    <w:p w:rsidR="00A31525" w:rsidRPr="007B4EE4" w:rsidRDefault="00A31525" w:rsidP="007B4EE4">
      <w:pPr>
        <w:autoSpaceDE w:val="0"/>
        <w:autoSpaceDN w:val="0"/>
        <w:adjustRightInd w:val="0"/>
        <w:spacing w:after="0" w:line="360" w:lineRule="auto"/>
        <w:jc w:val="both"/>
        <w:rPr>
          <w:rFonts w:ascii="Book Antiqua" w:hAnsi="Book Antiqua" w:cs="TimesNewRomanPSMT"/>
          <w:sz w:val="24"/>
          <w:szCs w:val="24"/>
        </w:rPr>
      </w:pPr>
    </w:p>
    <w:p w:rsidR="00A31525" w:rsidRPr="007B4EE4" w:rsidRDefault="00A31525"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 xml:space="preserve">The Court emphasized upon the need to distinguish between statements of fact and value judgments, since the accuracy of the latter cannot be proven. The requirement to prove the truth of a value judgment itself violates Article 10. (para. 75) However, there must still be some factual basis supporting a value judgment, as upheld in </w:t>
      </w:r>
      <w:r w:rsidRPr="007B4EE4">
        <w:rPr>
          <w:rFonts w:ascii="Book Antiqua" w:hAnsi="Book Antiqua" w:cs="TimesNewRomanPS-ItalicMT"/>
          <w:i/>
          <w:iCs/>
          <w:sz w:val="24"/>
          <w:szCs w:val="24"/>
        </w:rPr>
        <w:t xml:space="preserve">Pedersen and </w:t>
      </w:r>
      <w:proofErr w:type="spellStart"/>
      <w:r w:rsidRPr="007B4EE4">
        <w:rPr>
          <w:rFonts w:ascii="Book Antiqua" w:hAnsi="Book Antiqua" w:cs="TimesNewRomanPS-ItalicMT"/>
          <w:i/>
          <w:iCs/>
          <w:sz w:val="24"/>
          <w:szCs w:val="24"/>
        </w:rPr>
        <w:t>Baadsgaard</w:t>
      </w:r>
      <w:proofErr w:type="spellEnd"/>
      <w:r w:rsidRPr="007B4EE4">
        <w:rPr>
          <w:rFonts w:ascii="Book Antiqua" w:hAnsi="Book Antiqua" w:cs="TimesNewRomanPS-ItalicMT"/>
          <w:i/>
          <w:iCs/>
          <w:sz w:val="24"/>
          <w:szCs w:val="24"/>
        </w:rPr>
        <w:t xml:space="preserve"> v. Denmark</w:t>
      </w:r>
      <w:r w:rsidRPr="007B4EE4">
        <w:rPr>
          <w:rFonts w:ascii="Book Antiqua" w:hAnsi="Book Antiqua" w:cs="TimesNewRomanPS-ItalicMT"/>
          <w:iCs/>
          <w:sz w:val="24"/>
          <w:szCs w:val="24"/>
        </w:rPr>
        <w:t xml:space="preserve">. </w:t>
      </w:r>
      <w:r w:rsidRPr="007B4EE4">
        <w:rPr>
          <w:rFonts w:ascii="Book Antiqua" w:hAnsi="Book Antiqua" w:cs="TimesNewRomanPSMT"/>
          <w:sz w:val="24"/>
          <w:szCs w:val="24"/>
        </w:rPr>
        <w:t>Thus, while evaluating statements made in public int</w:t>
      </w:r>
      <w:r w:rsidR="009E0D3B" w:rsidRPr="007B4EE4">
        <w:rPr>
          <w:rFonts w:ascii="Book Antiqua" w:hAnsi="Book Antiqua" w:cs="TimesNewRomanPSMT"/>
          <w:sz w:val="24"/>
          <w:szCs w:val="24"/>
        </w:rPr>
        <w:t>erest, the Court has to analyse</w:t>
      </w:r>
      <w:r w:rsidRPr="007B4EE4">
        <w:rPr>
          <w:rFonts w:ascii="Book Antiqua" w:hAnsi="Book Antiqua" w:cs="TimesNewRomanPSMT"/>
          <w:sz w:val="24"/>
          <w:szCs w:val="24"/>
        </w:rPr>
        <w:t xml:space="preserve"> the context </w:t>
      </w:r>
      <w:r w:rsidR="009E0D3B" w:rsidRPr="007B4EE4">
        <w:rPr>
          <w:rFonts w:ascii="Book Antiqua" w:hAnsi="Book Antiqua" w:cs="TimesNewRomanPSMT"/>
          <w:sz w:val="24"/>
          <w:szCs w:val="24"/>
        </w:rPr>
        <w:t xml:space="preserve">in which the statements were made, the positions of the parties and that these statements may have been value judgments rather than statements of fact if the applicant is involved in a public debate. </w:t>
      </w:r>
    </w:p>
    <w:p w:rsidR="000728DC" w:rsidRPr="007B4EE4" w:rsidRDefault="000728DC" w:rsidP="007B4EE4">
      <w:pPr>
        <w:autoSpaceDE w:val="0"/>
        <w:autoSpaceDN w:val="0"/>
        <w:adjustRightInd w:val="0"/>
        <w:spacing w:after="0" w:line="360" w:lineRule="auto"/>
        <w:jc w:val="both"/>
        <w:rPr>
          <w:rFonts w:ascii="Book Antiqua" w:hAnsi="Book Antiqua" w:cs="TimesNewRomanPSMT"/>
          <w:sz w:val="24"/>
          <w:szCs w:val="24"/>
        </w:rPr>
      </w:pPr>
    </w:p>
    <w:p w:rsidR="000728DC" w:rsidRPr="007B4EE4" w:rsidRDefault="000728DC"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The Court also examined the criteria to ba</w:t>
      </w:r>
      <w:r w:rsidR="00637918" w:rsidRPr="007B4EE4">
        <w:rPr>
          <w:rFonts w:ascii="Book Antiqua" w:hAnsi="Book Antiqua" w:cs="TimesNewRomanPSMT"/>
          <w:sz w:val="24"/>
          <w:szCs w:val="24"/>
        </w:rPr>
        <w:t>lance freedom of expression against</w:t>
      </w:r>
      <w:r w:rsidRPr="007B4EE4">
        <w:rPr>
          <w:rFonts w:ascii="Book Antiqua" w:hAnsi="Book Antiqua" w:cs="TimesNewRomanPSMT"/>
          <w:sz w:val="24"/>
          <w:szCs w:val="24"/>
        </w:rPr>
        <w:t xml:space="preserve"> right to privacy</w:t>
      </w:r>
      <w:r w:rsidR="00637918" w:rsidRPr="007B4EE4">
        <w:rPr>
          <w:rFonts w:ascii="Book Antiqua" w:hAnsi="Book Antiqua" w:cs="TimesNewRomanPSMT"/>
          <w:sz w:val="24"/>
          <w:szCs w:val="24"/>
        </w:rPr>
        <w:t>, as</w:t>
      </w:r>
      <w:r w:rsidRPr="007B4EE4">
        <w:rPr>
          <w:rFonts w:ascii="Book Antiqua" w:hAnsi="Book Antiqua" w:cs="TimesNewRomanPSMT"/>
          <w:sz w:val="24"/>
          <w:szCs w:val="24"/>
        </w:rPr>
        <w:t xml:space="preserve"> laid down in </w:t>
      </w:r>
      <w:r w:rsidRPr="007B4EE4">
        <w:rPr>
          <w:rFonts w:ascii="Book Antiqua" w:hAnsi="Book Antiqua" w:cs="TimesNewRomanPS-ItalicMT"/>
          <w:i/>
          <w:iCs/>
          <w:sz w:val="24"/>
          <w:szCs w:val="24"/>
        </w:rPr>
        <w:t xml:space="preserve">Von Hannover v. Germany (no. 2) </w:t>
      </w:r>
      <w:r w:rsidRPr="007B4EE4">
        <w:rPr>
          <w:rFonts w:ascii="Book Antiqua" w:hAnsi="Book Antiqua" w:cs="TimesNewRomanPS-ItalicMT"/>
          <w:iCs/>
          <w:sz w:val="24"/>
          <w:szCs w:val="24"/>
        </w:rPr>
        <w:t xml:space="preserve">and </w:t>
      </w:r>
      <w:r w:rsidRPr="007B4EE4">
        <w:rPr>
          <w:rFonts w:ascii="Book Antiqua" w:hAnsi="Book Antiqua" w:cs="TimesNewRomanPS-ItalicMT"/>
          <w:i/>
          <w:iCs/>
          <w:sz w:val="24"/>
          <w:szCs w:val="24"/>
        </w:rPr>
        <w:t>Axel Springer AG v. Germany</w:t>
      </w:r>
      <w:r w:rsidR="00637918" w:rsidRPr="007B4EE4">
        <w:rPr>
          <w:rFonts w:ascii="Book Antiqua" w:hAnsi="Book Antiqua" w:cs="TimesNewRomanPS-ItalicMT"/>
          <w:iCs/>
          <w:sz w:val="24"/>
          <w:szCs w:val="24"/>
        </w:rPr>
        <w:t xml:space="preserve">. The criteria include: </w:t>
      </w:r>
      <w:r w:rsidR="00637918" w:rsidRPr="007B4EE4">
        <w:rPr>
          <w:rFonts w:ascii="Book Antiqua" w:hAnsi="Book Antiqua" w:cs="TimesNewRomanPSMT"/>
          <w:sz w:val="24"/>
          <w:szCs w:val="24"/>
        </w:rPr>
        <w:t xml:space="preserve">(a) contribution to a debate of general interest; (b) how well known the person concerned is and what the subject of the report was; (c) prior conduct of the person concerned; (d) method of obtaining the information and its veracity; (e) content, form and consequences of the report and (f) severity of the </w:t>
      </w:r>
      <w:r w:rsidR="00637918" w:rsidRPr="007B4EE4">
        <w:rPr>
          <w:rFonts w:ascii="Book Antiqua" w:hAnsi="Book Antiqua" w:cs="TimesNewRomanPSMT"/>
          <w:sz w:val="24"/>
          <w:szCs w:val="24"/>
        </w:rPr>
        <w:lastRenderedPageBreak/>
        <w:t xml:space="preserve">sanction imposed. (para. 77) The Court also noted that freedom of expression is especially relevant to elected representatives since they defend public interest, and that a politician should observe greater tolerance for criticism. </w:t>
      </w:r>
      <w:r w:rsidR="00DB52EE" w:rsidRPr="007B4EE4">
        <w:rPr>
          <w:rFonts w:ascii="Book Antiqua" w:hAnsi="Book Antiqua" w:cs="TimesNewRomanPSMT"/>
          <w:sz w:val="24"/>
          <w:szCs w:val="24"/>
        </w:rPr>
        <w:t>A</w:t>
      </w:r>
      <w:r w:rsidR="00637918" w:rsidRPr="007B4EE4">
        <w:rPr>
          <w:rFonts w:ascii="Book Antiqua" w:hAnsi="Book Antiqua" w:cs="TimesNewRomanPSMT"/>
          <w:sz w:val="24"/>
          <w:szCs w:val="24"/>
        </w:rPr>
        <w:t xml:space="preserve"> politician</w:t>
      </w:r>
      <w:r w:rsidR="00DB52EE" w:rsidRPr="007B4EE4">
        <w:rPr>
          <w:rFonts w:ascii="Book Antiqua" w:hAnsi="Book Antiqua" w:cs="TimesNewRomanPSMT"/>
          <w:sz w:val="24"/>
          <w:szCs w:val="24"/>
        </w:rPr>
        <w:t>’s</w:t>
      </w:r>
      <w:r w:rsidR="00637918" w:rsidRPr="007B4EE4">
        <w:rPr>
          <w:rFonts w:ascii="Book Antiqua" w:hAnsi="Book Antiqua" w:cs="TimesNewRomanPSMT"/>
          <w:sz w:val="24"/>
          <w:szCs w:val="24"/>
        </w:rPr>
        <w:t xml:space="preserve"> right to reputation should not be protected at the cost of open discussions</w:t>
      </w:r>
      <w:r w:rsidR="00DB52EE" w:rsidRPr="007B4EE4">
        <w:rPr>
          <w:rFonts w:ascii="Book Antiqua" w:hAnsi="Book Antiqua" w:cs="TimesNewRomanPSMT"/>
          <w:sz w:val="24"/>
          <w:szCs w:val="24"/>
        </w:rPr>
        <w:t xml:space="preserve"> of political issues. At the same time, information conveyed on general public interests should be accurate and reliable, and delivered in good faith. (para. 80) </w:t>
      </w:r>
    </w:p>
    <w:p w:rsidR="00314EBE" w:rsidRPr="007B4EE4" w:rsidRDefault="00314EBE" w:rsidP="007B4EE4">
      <w:pPr>
        <w:autoSpaceDE w:val="0"/>
        <w:autoSpaceDN w:val="0"/>
        <w:adjustRightInd w:val="0"/>
        <w:spacing w:after="0" w:line="360" w:lineRule="auto"/>
        <w:jc w:val="both"/>
        <w:rPr>
          <w:rFonts w:ascii="Book Antiqua" w:hAnsi="Book Antiqua" w:cs="TimesNewRomanPSMT"/>
          <w:sz w:val="24"/>
          <w:szCs w:val="24"/>
        </w:rPr>
      </w:pPr>
    </w:p>
    <w:p w:rsidR="008A3816" w:rsidRDefault="007D56DA"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 xml:space="preserve">Applying the above principles to the present case, the Court noted that the applicant was a politician and an elected member of the European Parliament at the time of delivering the statements, which were directed towards both V.P. and D.Ş. The statements </w:t>
      </w:r>
      <w:r w:rsidR="00F17ED2" w:rsidRPr="007B4EE4">
        <w:rPr>
          <w:rFonts w:ascii="Book Antiqua" w:hAnsi="Book Antiqua" w:cs="TimesNewRomanPSMT"/>
          <w:sz w:val="24"/>
          <w:szCs w:val="24"/>
        </w:rPr>
        <w:t>made had seriously affected D.Ş.’s political image, and were capable of undermining his right to privacy under Article 8 of the Convention. (para. 85) However, the applicant’s statements concerned D.Ş.’s political conduct, which was of legitimate concern to the public. Hence, the domestic courts had a narrow margin of appreciati</w:t>
      </w:r>
      <w:r w:rsidR="00966C0C">
        <w:rPr>
          <w:rFonts w:ascii="Book Antiqua" w:hAnsi="Book Antiqua" w:cs="TimesNewRomanPSMT"/>
          <w:sz w:val="24"/>
          <w:szCs w:val="24"/>
        </w:rPr>
        <w:t>on in assessing the need for</w:t>
      </w:r>
      <w:r w:rsidR="00F17ED2" w:rsidRPr="007B4EE4">
        <w:rPr>
          <w:rFonts w:ascii="Book Antiqua" w:hAnsi="Book Antiqua" w:cs="TimesNewRomanPSMT"/>
          <w:sz w:val="24"/>
          <w:szCs w:val="24"/>
        </w:rPr>
        <w:t xml:space="preserve"> interference with the applicant’s freedom of expression. (para. 87) </w:t>
      </w:r>
    </w:p>
    <w:p w:rsidR="007B4EE4" w:rsidRPr="007B4EE4" w:rsidRDefault="007B4EE4" w:rsidP="007B4EE4">
      <w:pPr>
        <w:autoSpaceDE w:val="0"/>
        <w:autoSpaceDN w:val="0"/>
        <w:adjustRightInd w:val="0"/>
        <w:spacing w:after="0" w:line="360" w:lineRule="auto"/>
        <w:jc w:val="both"/>
        <w:rPr>
          <w:rFonts w:ascii="Book Antiqua" w:hAnsi="Book Antiqua" w:cs="TimesNewRomanPSMT"/>
          <w:sz w:val="24"/>
          <w:szCs w:val="24"/>
        </w:rPr>
      </w:pPr>
    </w:p>
    <w:p w:rsidR="00750D24" w:rsidRDefault="00F17ED2" w:rsidP="007B4EE4">
      <w:pPr>
        <w:autoSpaceDE w:val="0"/>
        <w:autoSpaceDN w:val="0"/>
        <w:adjustRightInd w:val="0"/>
        <w:spacing w:after="0" w:line="360" w:lineRule="auto"/>
        <w:jc w:val="both"/>
        <w:rPr>
          <w:rFonts w:ascii="Book Antiqua" w:hAnsi="Book Antiqua" w:cs="TimesNewRomanPSMT"/>
          <w:sz w:val="24"/>
          <w:szCs w:val="24"/>
        </w:rPr>
      </w:pPr>
      <w:r w:rsidRPr="007B4EE4">
        <w:rPr>
          <w:rFonts w:ascii="Book Antiqua" w:hAnsi="Book Antiqua" w:cs="TimesNewRomanPSMT"/>
          <w:sz w:val="24"/>
          <w:szCs w:val="24"/>
        </w:rPr>
        <w:t>Further</w:t>
      </w:r>
      <w:r w:rsidR="00966C0C">
        <w:rPr>
          <w:rFonts w:ascii="Book Antiqua" w:hAnsi="Book Antiqua" w:cs="TimesNewRomanPSMT"/>
          <w:sz w:val="24"/>
          <w:szCs w:val="24"/>
        </w:rPr>
        <w:t>more</w:t>
      </w:r>
      <w:r w:rsidRPr="007B4EE4">
        <w:rPr>
          <w:rFonts w:ascii="Book Antiqua" w:hAnsi="Book Antiqua" w:cs="TimesNewRomanPSMT"/>
          <w:sz w:val="24"/>
          <w:szCs w:val="24"/>
        </w:rPr>
        <w:t>, the appellate courts did n</w:t>
      </w:r>
      <w:r w:rsidR="00966C0C">
        <w:rPr>
          <w:rFonts w:ascii="Book Antiqua" w:hAnsi="Book Antiqua" w:cs="TimesNewRomanPSMT"/>
          <w:sz w:val="24"/>
          <w:szCs w:val="24"/>
        </w:rPr>
        <w:t>ot provide convincing reasons for</w:t>
      </w:r>
      <w:r w:rsidRPr="007B4EE4">
        <w:rPr>
          <w:rFonts w:ascii="Book Antiqua" w:hAnsi="Book Antiqua" w:cs="TimesNewRomanPSMT"/>
          <w:sz w:val="24"/>
          <w:szCs w:val="24"/>
        </w:rPr>
        <w:t xml:space="preserve"> interpreting the applicant’s statements as untruthful facts that had a prejudicial impact on the public. The Court was persuaded that the applicant’s statements were a combination of value jud</w:t>
      </w:r>
      <w:r w:rsidR="002208DA" w:rsidRPr="007B4EE4">
        <w:rPr>
          <w:rFonts w:ascii="Book Antiqua" w:hAnsi="Book Antiqua" w:cs="TimesNewRomanPSMT"/>
          <w:sz w:val="24"/>
          <w:szCs w:val="24"/>
        </w:rPr>
        <w:t>gements and statements of fac</w:t>
      </w:r>
      <w:r w:rsidR="00966C0C">
        <w:rPr>
          <w:rFonts w:ascii="Book Antiqua" w:hAnsi="Book Antiqua" w:cs="TimesNewRomanPSMT"/>
          <w:sz w:val="24"/>
          <w:szCs w:val="24"/>
        </w:rPr>
        <w:t>t. It found that these</w:t>
      </w:r>
      <w:r w:rsidR="002208DA" w:rsidRPr="007B4EE4">
        <w:rPr>
          <w:rFonts w:ascii="Book Antiqua" w:hAnsi="Book Antiqua" w:cs="TimesNewRomanPSMT"/>
          <w:sz w:val="24"/>
          <w:szCs w:val="24"/>
        </w:rPr>
        <w:t xml:space="preserve"> statements and allegations were o</w:t>
      </w:r>
      <w:r w:rsidR="00966C0C">
        <w:rPr>
          <w:rFonts w:ascii="Book Antiqua" w:hAnsi="Book Antiqua" w:cs="TimesNewRomanPSMT"/>
          <w:sz w:val="24"/>
          <w:szCs w:val="24"/>
        </w:rPr>
        <w:t>f a collective nature, concerning</w:t>
      </w:r>
      <w:r w:rsidR="002208DA" w:rsidRPr="007B4EE4">
        <w:rPr>
          <w:rFonts w:ascii="Book Antiqua" w:hAnsi="Book Antiqua" w:cs="TimesNewRomanPSMT"/>
          <w:sz w:val="24"/>
          <w:szCs w:val="24"/>
        </w:rPr>
        <w:t xml:space="preserve"> both D.Ş. and V.P., and were aimed merely at providing an example of a system of political corruption consisting in an award of contracts for legal advice by public companies rather than at accusing either D.Ş. or V.P. of genuine corruption. (para. 91) As observed in </w:t>
      </w:r>
      <w:r w:rsidR="002208DA" w:rsidRPr="007B4EE4">
        <w:rPr>
          <w:rFonts w:ascii="Book Antiqua" w:hAnsi="Book Antiqua" w:cs="TimesNewRomanPS-ItalicMT"/>
          <w:i/>
          <w:iCs/>
          <w:sz w:val="24"/>
          <w:szCs w:val="24"/>
        </w:rPr>
        <w:t xml:space="preserve">Do </w:t>
      </w:r>
      <w:proofErr w:type="spellStart"/>
      <w:r w:rsidR="002208DA" w:rsidRPr="007B4EE4">
        <w:rPr>
          <w:rFonts w:ascii="Book Antiqua" w:hAnsi="Book Antiqua" w:cs="TimesNewRomanPS-ItalicMT"/>
          <w:i/>
          <w:iCs/>
          <w:sz w:val="24"/>
          <w:szCs w:val="24"/>
        </w:rPr>
        <w:t>Carmo</w:t>
      </w:r>
      <w:proofErr w:type="spellEnd"/>
      <w:r w:rsidR="002208DA" w:rsidRPr="007B4EE4">
        <w:rPr>
          <w:rFonts w:ascii="Book Antiqua" w:hAnsi="Book Antiqua" w:cs="TimesNewRomanPS-ItalicMT"/>
          <w:i/>
          <w:iCs/>
          <w:sz w:val="24"/>
          <w:szCs w:val="24"/>
        </w:rPr>
        <w:t xml:space="preserve"> de Portugal e Castro </w:t>
      </w:r>
      <w:proofErr w:type="spellStart"/>
      <w:r w:rsidR="002208DA" w:rsidRPr="007B4EE4">
        <w:rPr>
          <w:rFonts w:ascii="Book Antiqua" w:hAnsi="Book Antiqua" w:cs="TimesNewRomanPS-ItalicMT"/>
          <w:i/>
          <w:iCs/>
          <w:sz w:val="24"/>
          <w:szCs w:val="24"/>
        </w:rPr>
        <w:t>Câmara</w:t>
      </w:r>
      <w:proofErr w:type="spellEnd"/>
      <w:r w:rsidR="002208DA" w:rsidRPr="007B4EE4">
        <w:rPr>
          <w:rFonts w:ascii="Book Antiqua" w:hAnsi="Book Antiqua" w:cs="TimesNewRomanPS-ItalicMT"/>
          <w:i/>
          <w:iCs/>
          <w:sz w:val="24"/>
          <w:szCs w:val="24"/>
        </w:rPr>
        <w:t xml:space="preserve"> v. Portugal</w:t>
      </w:r>
      <w:r w:rsidR="002208DA" w:rsidRPr="007B4EE4">
        <w:rPr>
          <w:rFonts w:ascii="Book Antiqua" w:hAnsi="Book Antiqua" w:cs="TimesNewRomanPS-ItalicMT"/>
          <w:iCs/>
          <w:sz w:val="24"/>
          <w:szCs w:val="24"/>
        </w:rPr>
        <w:t xml:space="preserve">, the applicant was justified in using a certain degree of exaggeration or provocation to make immoderate statements as the issue concerned was in public interest. (para. 93) Thus, taking the circumstances into account, the applicant’s statements did not constitute an ill-fated gratuitous personal attack against </w:t>
      </w:r>
      <w:r w:rsidR="002208DA" w:rsidRPr="007B4EE4">
        <w:rPr>
          <w:rFonts w:ascii="Book Antiqua" w:hAnsi="Book Antiqua" w:cs="TimesNewRomanPSMT"/>
          <w:sz w:val="24"/>
          <w:szCs w:val="24"/>
        </w:rPr>
        <w:t xml:space="preserve">D.Ş. (para. 94) </w:t>
      </w:r>
      <w:r w:rsidR="004E0CDF" w:rsidRPr="007B4EE4">
        <w:rPr>
          <w:rFonts w:ascii="Book Antiqua" w:hAnsi="Book Antiqua" w:cs="TimesNewRomanPSMT"/>
          <w:sz w:val="24"/>
          <w:szCs w:val="24"/>
        </w:rPr>
        <w:t xml:space="preserve">Moreover, the Court noted that the </w:t>
      </w:r>
      <w:r w:rsidR="00233AAE" w:rsidRPr="007B4EE4">
        <w:rPr>
          <w:rFonts w:ascii="Book Antiqua" w:hAnsi="Book Antiqua" w:cs="TimesNewRomanPSMT"/>
          <w:sz w:val="24"/>
          <w:szCs w:val="24"/>
        </w:rPr>
        <w:t xml:space="preserve">fine and punishment imposed on the applicant to publish the last-instance court’s judgement at her own expense in five </w:t>
      </w:r>
      <w:r w:rsidR="00233AAE" w:rsidRPr="007B4EE4">
        <w:rPr>
          <w:rFonts w:ascii="Book Antiqua" w:hAnsi="Book Antiqua" w:cs="TimesNewRomanPSMT"/>
          <w:sz w:val="24"/>
          <w:szCs w:val="24"/>
        </w:rPr>
        <w:lastRenderedPageBreak/>
        <w:t>national newspapers, constituted a chilling effect on her freedom of expression.</w:t>
      </w:r>
      <w:r w:rsidR="007B4EE4" w:rsidRPr="007B4EE4">
        <w:rPr>
          <w:rFonts w:ascii="Book Antiqua" w:hAnsi="Book Antiqua" w:cs="TimesNewRomanPSMT"/>
          <w:sz w:val="24"/>
          <w:szCs w:val="24"/>
        </w:rPr>
        <w:t xml:space="preserve"> Thus, the domestic courts failed to strike a fair balance between the relevant interests and to establish a “press</w:t>
      </w:r>
      <w:r w:rsidR="00966C0C">
        <w:rPr>
          <w:rFonts w:ascii="Book Antiqua" w:hAnsi="Book Antiqua" w:cs="TimesNewRomanPSMT"/>
          <w:sz w:val="24"/>
          <w:szCs w:val="24"/>
        </w:rPr>
        <w:t>ing social need” for putting</w:t>
      </w:r>
      <w:r w:rsidR="007B4EE4" w:rsidRPr="007B4EE4">
        <w:rPr>
          <w:rFonts w:ascii="Book Antiqua" w:hAnsi="Book Antiqua" w:cs="TimesNewRomanPSMT"/>
          <w:sz w:val="24"/>
          <w:szCs w:val="24"/>
        </w:rPr>
        <w:t xml:space="preserve"> D.Ş.’s reputation </w:t>
      </w:r>
      <w:r w:rsidR="00966C0C">
        <w:rPr>
          <w:rFonts w:ascii="Book Antiqua" w:hAnsi="Book Antiqua" w:cs="TimesNewRomanPSMT"/>
          <w:sz w:val="24"/>
          <w:szCs w:val="24"/>
        </w:rPr>
        <w:t>(</w:t>
      </w:r>
      <w:r w:rsidR="007B4EE4" w:rsidRPr="007B4EE4">
        <w:rPr>
          <w:rFonts w:ascii="Book Antiqua" w:hAnsi="Book Antiqua" w:cs="TimesNewRomanPSMT"/>
          <w:sz w:val="24"/>
          <w:szCs w:val="24"/>
        </w:rPr>
        <w:t>protected by Article 8 of the Convention</w:t>
      </w:r>
      <w:r w:rsidR="00966C0C">
        <w:rPr>
          <w:rFonts w:ascii="Book Antiqua" w:hAnsi="Book Antiqua" w:cs="TimesNewRomanPSMT"/>
          <w:sz w:val="24"/>
          <w:szCs w:val="24"/>
        </w:rPr>
        <w:t>)</w:t>
      </w:r>
      <w:r w:rsidR="007B4EE4" w:rsidRPr="007B4EE4">
        <w:rPr>
          <w:rFonts w:ascii="Book Antiqua" w:hAnsi="Book Antiqua" w:cs="TimesNewRomanPSMT"/>
          <w:sz w:val="24"/>
          <w:szCs w:val="24"/>
        </w:rPr>
        <w:t xml:space="preserve"> above the applicant’s right to freedom of expression </w:t>
      </w:r>
      <w:r w:rsidR="00966C0C">
        <w:rPr>
          <w:rFonts w:ascii="Book Antiqua" w:hAnsi="Book Antiqua" w:cs="TimesNewRomanPSMT"/>
          <w:sz w:val="24"/>
          <w:szCs w:val="24"/>
        </w:rPr>
        <w:t>(</w:t>
      </w:r>
      <w:r w:rsidR="007B4EE4" w:rsidRPr="007B4EE4">
        <w:rPr>
          <w:rFonts w:ascii="Book Antiqua" w:hAnsi="Book Antiqua" w:cs="TimesNewRomanPSMT"/>
          <w:sz w:val="24"/>
          <w:szCs w:val="24"/>
        </w:rPr>
        <w:t>under Article 10 of the Convention</w:t>
      </w:r>
      <w:r w:rsidR="00966C0C">
        <w:rPr>
          <w:rFonts w:ascii="Book Antiqua" w:hAnsi="Book Antiqua" w:cs="TimesNewRomanPSMT"/>
          <w:sz w:val="24"/>
          <w:szCs w:val="24"/>
        </w:rPr>
        <w:t>)</w:t>
      </w:r>
      <w:r w:rsidR="007B4EE4" w:rsidRPr="007B4EE4">
        <w:rPr>
          <w:rFonts w:ascii="Book Antiqua" w:hAnsi="Book Antiqua" w:cs="TimesNewRomanPSMT"/>
          <w:sz w:val="24"/>
          <w:szCs w:val="24"/>
        </w:rPr>
        <w:t xml:space="preserve">. The interference with the applicant’s right to freedom of expression was not “necessary in a democratic society”, and constituted a violation of Article 10. </w:t>
      </w:r>
      <w:r w:rsidR="00211154">
        <w:rPr>
          <w:rFonts w:ascii="Book Antiqua" w:hAnsi="Book Antiqua" w:cs="TimesNewRomanPSMT"/>
          <w:sz w:val="24"/>
          <w:szCs w:val="24"/>
        </w:rPr>
        <w:t>Hence, the Court ordered the respondent state to pay to the applicant EUR 4,505 in respect of pecuniary damage, EUR 2,000 in respect of non-pecuniary damage and EUR 3,000 in respect of costs and expenses. (para. 109)</w:t>
      </w:r>
    </w:p>
    <w:p w:rsidR="00211154" w:rsidRDefault="00211154" w:rsidP="007B4EE4">
      <w:pPr>
        <w:autoSpaceDE w:val="0"/>
        <w:autoSpaceDN w:val="0"/>
        <w:adjustRightInd w:val="0"/>
        <w:spacing w:after="0" w:line="360" w:lineRule="auto"/>
        <w:jc w:val="both"/>
        <w:rPr>
          <w:rFonts w:ascii="Book Antiqua" w:hAnsi="Book Antiqua" w:cs="TimesNewRomanPSMT"/>
          <w:sz w:val="24"/>
          <w:szCs w:val="24"/>
        </w:rPr>
      </w:pPr>
    </w:p>
    <w:p w:rsidR="00211154" w:rsidRDefault="00211154" w:rsidP="007B4EE4">
      <w:pPr>
        <w:autoSpaceDE w:val="0"/>
        <w:autoSpaceDN w:val="0"/>
        <w:adjustRightInd w:val="0"/>
        <w:spacing w:after="0" w:line="360" w:lineRule="auto"/>
        <w:jc w:val="both"/>
        <w:rPr>
          <w:rFonts w:ascii="Book Antiqua" w:hAnsi="Book Antiqua" w:cs="TimesNewRomanPSMT"/>
          <w:sz w:val="24"/>
          <w:szCs w:val="24"/>
        </w:rPr>
      </w:pPr>
      <w:r>
        <w:rPr>
          <w:rFonts w:ascii="Book Antiqua" w:hAnsi="Book Antiqua" w:cs="TimesNewRomanPSMT"/>
          <w:sz w:val="24"/>
          <w:szCs w:val="24"/>
        </w:rPr>
        <w:t xml:space="preserve">Judge </w:t>
      </w:r>
      <w:proofErr w:type="spellStart"/>
      <w:r>
        <w:rPr>
          <w:rFonts w:ascii="Book Antiqua" w:hAnsi="Book Antiqua" w:cs="TimesNewRomanPSMT"/>
          <w:sz w:val="24"/>
          <w:szCs w:val="24"/>
        </w:rPr>
        <w:t>Wojtyc</w:t>
      </w:r>
      <w:r w:rsidR="00CA6342">
        <w:rPr>
          <w:rFonts w:ascii="Book Antiqua" w:hAnsi="Book Antiqua" w:cs="TimesNewRomanPSMT"/>
          <w:sz w:val="24"/>
          <w:szCs w:val="24"/>
        </w:rPr>
        <w:t>ezk</w:t>
      </w:r>
      <w:proofErr w:type="spellEnd"/>
      <w:r w:rsidR="00CA6342">
        <w:rPr>
          <w:rFonts w:ascii="Book Antiqua" w:hAnsi="Book Antiqua" w:cs="TimesNewRomanPSMT"/>
          <w:sz w:val="24"/>
          <w:szCs w:val="24"/>
        </w:rPr>
        <w:t xml:space="preserve"> (concurring</w:t>
      </w:r>
      <w:proofErr w:type="gramStart"/>
      <w:r w:rsidR="00CA6342">
        <w:rPr>
          <w:rFonts w:ascii="Book Antiqua" w:hAnsi="Book Antiqua" w:cs="TimesNewRomanPSMT"/>
          <w:sz w:val="24"/>
          <w:szCs w:val="24"/>
        </w:rPr>
        <w:t>)-</w:t>
      </w:r>
      <w:proofErr w:type="gramEnd"/>
      <w:r w:rsidR="00CA6342">
        <w:rPr>
          <w:rFonts w:ascii="Book Antiqua" w:hAnsi="Book Antiqua" w:cs="TimesNewRomanPSMT"/>
          <w:sz w:val="24"/>
          <w:szCs w:val="24"/>
        </w:rPr>
        <w:t xml:space="preserve"> </w:t>
      </w:r>
      <w:r w:rsidR="00C73A4E">
        <w:rPr>
          <w:rFonts w:ascii="Book Antiqua" w:hAnsi="Book Antiqua" w:cs="TimesNewRomanPSMT"/>
          <w:sz w:val="24"/>
          <w:szCs w:val="24"/>
        </w:rPr>
        <w:t xml:space="preserve">The judge opined that </w:t>
      </w:r>
      <w:r w:rsidR="00CA6342">
        <w:rPr>
          <w:rFonts w:ascii="Book Antiqua" w:hAnsi="Book Antiqua" w:cs="TimesNewRomanPSMT"/>
          <w:sz w:val="24"/>
          <w:szCs w:val="24"/>
        </w:rPr>
        <w:t xml:space="preserve">the judgment contained a </w:t>
      </w:r>
      <w:r w:rsidR="00C73A4E">
        <w:rPr>
          <w:rFonts w:ascii="Book Antiqua" w:hAnsi="Book Antiqua" w:cs="TimesNewRomanPSMT"/>
          <w:sz w:val="24"/>
          <w:szCs w:val="24"/>
        </w:rPr>
        <w:t xml:space="preserve">procedural </w:t>
      </w:r>
      <w:r w:rsidR="00CA6342">
        <w:rPr>
          <w:rFonts w:ascii="Book Antiqua" w:hAnsi="Book Antiqua" w:cs="TimesNewRomanPSMT"/>
          <w:sz w:val="24"/>
          <w:szCs w:val="24"/>
        </w:rPr>
        <w:t xml:space="preserve">flaw as </w:t>
      </w:r>
      <w:r w:rsidR="00CA6342" w:rsidRPr="007B4EE4">
        <w:rPr>
          <w:rFonts w:ascii="Book Antiqua" w:hAnsi="Book Antiqua" w:cs="TimesNewRomanPSMT"/>
          <w:sz w:val="24"/>
          <w:szCs w:val="24"/>
        </w:rPr>
        <w:t>D.Ş.</w:t>
      </w:r>
      <w:r w:rsidR="00CA6342">
        <w:rPr>
          <w:rFonts w:ascii="Book Antiqua" w:hAnsi="Book Antiqua" w:cs="TimesNewRomanPSMT"/>
          <w:sz w:val="24"/>
          <w:szCs w:val="24"/>
        </w:rPr>
        <w:t xml:space="preserve"> had not been allowed to plead his own case before the Court. Nonetheless, regardless of procedural flaws, there was a violation of Article 10 in the present case. </w:t>
      </w:r>
    </w:p>
    <w:p w:rsidR="00507D81" w:rsidRDefault="00507D81" w:rsidP="007B4EE4">
      <w:pPr>
        <w:autoSpaceDE w:val="0"/>
        <w:autoSpaceDN w:val="0"/>
        <w:adjustRightInd w:val="0"/>
        <w:spacing w:after="0" w:line="360" w:lineRule="auto"/>
        <w:jc w:val="both"/>
        <w:rPr>
          <w:rFonts w:ascii="Book Antiqua" w:hAnsi="Book Antiqua" w:cs="TimesNewRomanPSMT"/>
          <w:sz w:val="24"/>
          <w:szCs w:val="24"/>
        </w:rPr>
      </w:pPr>
    </w:p>
    <w:p w:rsidR="00507D81" w:rsidRDefault="000A6D66" w:rsidP="007B4EE4">
      <w:pPr>
        <w:autoSpaceDE w:val="0"/>
        <w:autoSpaceDN w:val="0"/>
        <w:adjustRightInd w:val="0"/>
        <w:spacing w:after="0" w:line="360" w:lineRule="auto"/>
        <w:jc w:val="both"/>
        <w:rPr>
          <w:rFonts w:ascii="Book Antiqua" w:hAnsi="Book Antiqua" w:cs="TimesNewRomanPSMT"/>
          <w:sz w:val="24"/>
          <w:szCs w:val="24"/>
        </w:rPr>
      </w:pPr>
      <w:r>
        <w:rPr>
          <w:rFonts w:ascii="Book Antiqua" w:hAnsi="Book Antiqua" w:cs="TimesNewRomanPSMT"/>
          <w:sz w:val="24"/>
          <w:szCs w:val="24"/>
        </w:rPr>
        <w:t xml:space="preserve">Judge </w:t>
      </w:r>
      <w:proofErr w:type="spellStart"/>
      <w:r>
        <w:rPr>
          <w:rFonts w:ascii="Book Antiqua" w:hAnsi="Book Antiqua" w:cs="TimesNewRomanPSMT"/>
          <w:sz w:val="24"/>
          <w:szCs w:val="24"/>
        </w:rPr>
        <w:t>Ranzoni</w:t>
      </w:r>
      <w:proofErr w:type="spellEnd"/>
      <w:r>
        <w:rPr>
          <w:rFonts w:ascii="Book Antiqua" w:hAnsi="Book Antiqua" w:cs="TimesNewRomanPSMT"/>
          <w:sz w:val="24"/>
          <w:szCs w:val="24"/>
        </w:rPr>
        <w:t xml:space="preserve"> </w:t>
      </w:r>
      <w:r w:rsidR="00507D81">
        <w:rPr>
          <w:rFonts w:ascii="Book Antiqua" w:hAnsi="Book Antiqua" w:cs="TimesNewRomanPSMT"/>
          <w:sz w:val="24"/>
          <w:szCs w:val="24"/>
        </w:rPr>
        <w:t>(dissenting</w:t>
      </w:r>
      <w:proofErr w:type="gramStart"/>
      <w:r w:rsidR="00507D81">
        <w:rPr>
          <w:rFonts w:ascii="Book Antiqua" w:hAnsi="Book Antiqua" w:cs="TimesNewRomanPSMT"/>
          <w:sz w:val="24"/>
          <w:szCs w:val="24"/>
        </w:rPr>
        <w:t>)-</w:t>
      </w:r>
      <w:proofErr w:type="gramEnd"/>
      <w:r w:rsidR="00507D81">
        <w:rPr>
          <w:rFonts w:ascii="Book Antiqua" w:hAnsi="Book Antiqua" w:cs="TimesNewRomanPSMT"/>
          <w:sz w:val="24"/>
          <w:szCs w:val="24"/>
        </w:rPr>
        <w:t xml:space="preserve"> </w:t>
      </w:r>
      <w:r>
        <w:rPr>
          <w:rFonts w:ascii="Book Antiqua" w:hAnsi="Book Antiqua" w:cs="TimesNewRomanPSMT"/>
          <w:sz w:val="24"/>
          <w:szCs w:val="24"/>
        </w:rPr>
        <w:t>C</w:t>
      </w:r>
      <w:r w:rsidR="005304A5">
        <w:rPr>
          <w:rFonts w:ascii="Book Antiqua" w:hAnsi="Book Antiqua" w:cs="TimesNewRomanPSMT"/>
          <w:sz w:val="24"/>
          <w:szCs w:val="24"/>
        </w:rPr>
        <w:t>ontrary to the majority opinion, t</w:t>
      </w:r>
      <w:r w:rsidR="00966C0C">
        <w:rPr>
          <w:rFonts w:ascii="Book Antiqua" w:hAnsi="Book Antiqua" w:cs="TimesNewRomanPSMT"/>
          <w:sz w:val="24"/>
          <w:szCs w:val="24"/>
        </w:rPr>
        <w:t>he judge</w:t>
      </w:r>
      <w:r w:rsidR="00507D81">
        <w:rPr>
          <w:rFonts w:ascii="Book Antiqua" w:hAnsi="Book Antiqua" w:cs="TimesNewRomanPSMT"/>
          <w:sz w:val="24"/>
          <w:szCs w:val="24"/>
        </w:rPr>
        <w:t xml:space="preserve"> fou</w:t>
      </w:r>
      <w:r>
        <w:rPr>
          <w:rFonts w:ascii="Book Antiqua" w:hAnsi="Book Antiqua" w:cs="TimesNewRomanPSMT"/>
          <w:sz w:val="24"/>
          <w:szCs w:val="24"/>
        </w:rPr>
        <w:t>nd no violation of Article 10.</w:t>
      </w:r>
      <w:r w:rsidR="00507D81">
        <w:rPr>
          <w:rFonts w:ascii="Book Antiqua" w:hAnsi="Book Antiqua" w:cs="TimesNewRomanPSMT"/>
          <w:sz w:val="24"/>
          <w:szCs w:val="24"/>
        </w:rPr>
        <w:t xml:space="preserve"> </w:t>
      </w:r>
      <w:r>
        <w:rPr>
          <w:rFonts w:ascii="Book Antiqua" w:hAnsi="Book Antiqua" w:cs="TimesNewRomanPSMT"/>
          <w:sz w:val="24"/>
          <w:szCs w:val="24"/>
        </w:rPr>
        <w:t>T</w:t>
      </w:r>
      <w:r w:rsidR="00507D81">
        <w:rPr>
          <w:rFonts w:ascii="Book Antiqua" w:hAnsi="Book Antiqua" w:cs="TimesNewRomanPSMT"/>
          <w:sz w:val="24"/>
          <w:szCs w:val="24"/>
        </w:rPr>
        <w:t xml:space="preserve">he statements made by </w:t>
      </w:r>
      <w:r w:rsidR="005304A5">
        <w:rPr>
          <w:rFonts w:ascii="Book Antiqua" w:hAnsi="Book Antiqua" w:cs="TimesNewRomanPSMT"/>
          <w:sz w:val="24"/>
          <w:szCs w:val="24"/>
        </w:rPr>
        <w:t>the applicant lacked a suffici</w:t>
      </w:r>
      <w:r w:rsidR="007A3BA4">
        <w:rPr>
          <w:rFonts w:ascii="Book Antiqua" w:hAnsi="Book Antiqua" w:cs="TimesNewRomanPSMT"/>
          <w:sz w:val="24"/>
          <w:szCs w:val="24"/>
        </w:rPr>
        <w:t xml:space="preserve">ent factual basis and had </w:t>
      </w:r>
      <w:r w:rsidR="004B32EF">
        <w:rPr>
          <w:rFonts w:ascii="Book Antiqua" w:hAnsi="Book Antiqua" w:cs="TimesNewRomanPSMT"/>
          <w:sz w:val="24"/>
          <w:szCs w:val="24"/>
        </w:rPr>
        <w:t xml:space="preserve">a </w:t>
      </w:r>
      <w:r w:rsidR="007A3BA4">
        <w:rPr>
          <w:rFonts w:ascii="Book Antiqua" w:hAnsi="Book Antiqua" w:cs="TimesNewRomanPSMT"/>
          <w:sz w:val="24"/>
          <w:szCs w:val="24"/>
        </w:rPr>
        <w:t>harmful</w:t>
      </w:r>
      <w:r w:rsidR="004B32EF">
        <w:rPr>
          <w:rFonts w:ascii="Book Antiqua" w:hAnsi="Book Antiqua" w:cs="TimesNewRomanPSMT"/>
          <w:sz w:val="24"/>
          <w:szCs w:val="24"/>
        </w:rPr>
        <w:t xml:space="preserve"> impact</w:t>
      </w:r>
      <w:r w:rsidR="005304A5">
        <w:rPr>
          <w:rFonts w:ascii="Book Antiqua" w:hAnsi="Book Antiqua" w:cs="TimesNewRomanPSMT"/>
          <w:sz w:val="24"/>
          <w:szCs w:val="24"/>
        </w:rPr>
        <w:t xml:space="preserve"> on </w:t>
      </w:r>
      <w:r w:rsidR="005304A5" w:rsidRPr="007B4EE4">
        <w:rPr>
          <w:rFonts w:ascii="Book Antiqua" w:hAnsi="Book Antiqua" w:cs="TimesNewRomanPSMT"/>
          <w:sz w:val="24"/>
          <w:szCs w:val="24"/>
        </w:rPr>
        <w:t>D.Ş.</w:t>
      </w:r>
      <w:r w:rsidR="005304A5">
        <w:rPr>
          <w:rFonts w:ascii="Book Antiqua" w:hAnsi="Book Antiqua" w:cs="TimesNewRomanPSMT"/>
          <w:sz w:val="24"/>
          <w:szCs w:val="24"/>
        </w:rPr>
        <w:t xml:space="preserve">’s personal and professional life. </w:t>
      </w:r>
      <w:r w:rsidR="006A02AD">
        <w:rPr>
          <w:rFonts w:ascii="Book Antiqua" w:hAnsi="Book Antiqua" w:cs="TimesNewRomanPSMT"/>
          <w:sz w:val="24"/>
          <w:szCs w:val="24"/>
        </w:rPr>
        <w:t>Corruption</w:t>
      </w:r>
      <w:r w:rsidR="007A3BA4">
        <w:rPr>
          <w:rFonts w:ascii="Book Antiqua" w:hAnsi="Book Antiqua" w:cs="TimesNewRomanPSMT"/>
          <w:sz w:val="24"/>
          <w:szCs w:val="24"/>
        </w:rPr>
        <w:t xml:space="preserve"> is a serious allegation, bordering on criminal offence. As a result, the applicant’s statements could not be justified merely on the pretext of being “exaggerating” or “polemical”. The judges also felt that the Court </w:t>
      </w:r>
      <w:r>
        <w:rPr>
          <w:rFonts w:ascii="Book Antiqua" w:hAnsi="Book Antiqua" w:cs="TimesNewRomanPSMT"/>
          <w:sz w:val="24"/>
          <w:szCs w:val="24"/>
        </w:rPr>
        <w:t>did not adequately establish a “pressing social need”</w:t>
      </w:r>
      <w:r w:rsidR="007A3BA4">
        <w:rPr>
          <w:rFonts w:ascii="Book Antiqua" w:hAnsi="Book Antiqua" w:cs="TimesNewRomanPSMT"/>
          <w:sz w:val="24"/>
          <w:szCs w:val="24"/>
        </w:rPr>
        <w:t xml:space="preserve"> for giving priority to the applicant’s right to freedom of expression over </w:t>
      </w:r>
      <w:r w:rsidRPr="007B4EE4">
        <w:rPr>
          <w:rFonts w:ascii="Book Antiqua" w:hAnsi="Book Antiqua" w:cs="TimesNewRomanPSMT"/>
          <w:sz w:val="24"/>
          <w:szCs w:val="24"/>
        </w:rPr>
        <w:t>D.Ş.</w:t>
      </w:r>
      <w:r>
        <w:rPr>
          <w:rFonts w:ascii="Book Antiqua" w:hAnsi="Book Antiqua" w:cs="TimesNewRomanPSMT"/>
          <w:sz w:val="24"/>
          <w:szCs w:val="24"/>
        </w:rPr>
        <w:t xml:space="preserve">’s right to privacy and reputation. Further, by failing to provide a sufficient explanation to elaborate how the fines imposed on the applicant had a chilling effect, the Court did not respect the domestic courts’ margin of appreciation. </w:t>
      </w:r>
    </w:p>
    <w:p w:rsidR="000A6D66" w:rsidRDefault="000A6D66" w:rsidP="007B4EE4">
      <w:pPr>
        <w:autoSpaceDE w:val="0"/>
        <w:autoSpaceDN w:val="0"/>
        <w:adjustRightInd w:val="0"/>
        <w:spacing w:after="0" w:line="360" w:lineRule="auto"/>
        <w:jc w:val="both"/>
        <w:rPr>
          <w:rFonts w:ascii="Book Antiqua" w:hAnsi="Book Antiqua" w:cs="TimesNewRomanPSMT"/>
          <w:sz w:val="24"/>
          <w:szCs w:val="24"/>
        </w:rPr>
      </w:pPr>
    </w:p>
    <w:p w:rsidR="000A6D66" w:rsidRDefault="000A6D66" w:rsidP="007B4EE4">
      <w:pPr>
        <w:autoSpaceDE w:val="0"/>
        <w:autoSpaceDN w:val="0"/>
        <w:adjustRightInd w:val="0"/>
        <w:spacing w:after="0" w:line="360" w:lineRule="auto"/>
        <w:jc w:val="both"/>
        <w:rPr>
          <w:rFonts w:ascii="Book Antiqua" w:hAnsi="Book Antiqua" w:cs="TimesNewRomanPSMT"/>
          <w:sz w:val="24"/>
          <w:szCs w:val="24"/>
        </w:rPr>
      </w:pPr>
      <w:r>
        <w:rPr>
          <w:rFonts w:ascii="Book Antiqua" w:hAnsi="Book Antiqua" w:cs="TimesNewRomanPSMT"/>
          <w:sz w:val="24"/>
          <w:szCs w:val="24"/>
        </w:rPr>
        <w:t xml:space="preserve">Judge </w:t>
      </w:r>
      <w:proofErr w:type="spellStart"/>
      <w:r>
        <w:rPr>
          <w:rFonts w:ascii="Book Antiqua" w:hAnsi="Book Antiqua" w:cs="TimesNewRomanPSMT"/>
          <w:sz w:val="24"/>
          <w:szCs w:val="24"/>
        </w:rPr>
        <w:t>Mourou-Vikstrom</w:t>
      </w:r>
      <w:proofErr w:type="spellEnd"/>
      <w:r>
        <w:rPr>
          <w:rFonts w:ascii="Book Antiqua" w:hAnsi="Book Antiqua" w:cs="TimesNewRomanPSMT"/>
          <w:sz w:val="24"/>
          <w:szCs w:val="24"/>
        </w:rPr>
        <w:t xml:space="preserve"> (dissenting)- The judge joined his dissenting opinion with that of Judge </w:t>
      </w:r>
      <w:proofErr w:type="spellStart"/>
      <w:r>
        <w:rPr>
          <w:rFonts w:ascii="Book Antiqua" w:hAnsi="Book Antiqua" w:cs="TimesNewRomanPSMT"/>
          <w:sz w:val="24"/>
          <w:szCs w:val="24"/>
        </w:rPr>
        <w:t>Ranzoni</w:t>
      </w:r>
      <w:r w:rsidR="008911AB">
        <w:rPr>
          <w:rFonts w:ascii="Book Antiqua" w:hAnsi="Book Antiqua" w:cs="TimesNewRomanPSMT"/>
          <w:sz w:val="24"/>
          <w:szCs w:val="24"/>
        </w:rPr>
        <w:t>’s</w:t>
      </w:r>
      <w:proofErr w:type="spellEnd"/>
      <w:r>
        <w:rPr>
          <w:rFonts w:ascii="Book Antiqua" w:hAnsi="Book Antiqua" w:cs="TimesNewRomanPSMT"/>
          <w:sz w:val="24"/>
          <w:szCs w:val="24"/>
        </w:rPr>
        <w:t>, and added a few more reasons of his own</w:t>
      </w:r>
      <w:r w:rsidR="008911AB">
        <w:rPr>
          <w:rFonts w:ascii="Book Antiqua" w:hAnsi="Book Antiqua" w:cs="TimesNewRomanPSMT"/>
          <w:sz w:val="24"/>
          <w:szCs w:val="24"/>
        </w:rPr>
        <w:t xml:space="preserve"> to show how the applicant’s right under Article 10 had not been violated</w:t>
      </w:r>
      <w:r>
        <w:rPr>
          <w:rFonts w:ascii="Book Antiqua" w:hAnsi="Book Antiqua" w:cs="TimesNewRomanPSMT"/>
          <w:sz w:val="24"/>
          <w:szCs w:val="24"/>
        </w:rPr>
        <w:t>.</w:t>
      </w:r>
      <w:r w:rsidR="008911AB">
        <w:rPr>
          <w:rFonts w:ascii="Book Antiqua" w:hAnsi="Book Antiqua" w:cs="TimesNewRomanPSMT"/>
          <w:sz w:val="24"/>
          <w:szCs w:val="24"/>
        </w:rPr>
        <w:t xml:space="preserve"> He found that the applicant’s statements had exceeded the limits of permissible criticism and constituted serious accusations. These accusations had failed to comply with the following two im</w:t>
      </w:r>
      <w:r w:rsidR="004B32EF">
        <w:rPr>
          <w:rFonts w:ascii="Book Antiqua" w:hAnsi="Book Antiqua" w:cs="TimesNewRomanPSMT"/>
          <w:sz w:val="24"/>
          <w:szCs w:val="24"/>
        </w:rPr>
        <w:t xml:space="preserve">portant </w:t>
      </w:r>
      <w:r w:rsidR="004B32EF">
        <w:rPr>
          <w:rFonts w:ascii="Book Antiqua" w:hAnsi="Book Antiqua" w:cs="TimesNewRomanPSMT"/>
          <w:sz w:val="24"/>
          <w:szCs w:val="24"/>
        </w:rPr>
        <w:lastRenderedPageBreak/>
        <w:t>rules, which must be satisfied for criticisms to come</w:t>
      </w:r>
      <w:r w:rsidR="008911AB">
        <w:rPr>
          <w:rFonts w:ascii="Book Antiqua" w:hAnsi="Book Antiqua" w:cs="TimesNewRomanPSMT"/>
          <w:sz w:val="24"/>
          <w:szCs w:val="24"/>
        </w:rPr>
        <w:t xml:space="preserve"> within the ambit of freedom of expression: (1) to remain as general “value judgements”; and (2)</w:t>
      </w:r>
      <w:r>
        <w:rPr>
          <w:rFonts w:ascii="Book Antiqua" w:hAnsi="Book Antiqua" w:cs="TimesNewRomanPSMT"/>
          <w:sz w:val="24"/>
          <w:szCs w:val="24"/>
        </w:rPr>
        <w:t xml:space="preserve"> </w:t>
      </w:r>
      <w:r w:rsidR="008911AB">
        <w:rPr>
          <w:rFonts w:ascii="Book Antiqua" w:hAnsi="Book Antiqua" w:cs="TimesNewRomanPSMT"/>
          <w:sz w:val="24"/>
          <w:szCs w:val="24"/>
        </w:rPr>
        <w:t xml:space="preserve">to be truthful. Therefore, the domestic courts were justified in finding the applicant guilty in the present case. </w:t>
      </w:r>
    </w:p>
    <w:p w:rsidR="000A6D66" w:rsidRPr="007B4EE4" w:rsidRDefault="000A6D66" w:rsidP="007B4EE4">
      <w:pPr>
        <w:autoSpaceDE w:val="0"/>
        <w:autoSpaceDN w:val="0"/>
        <w:adjustRightInd w:val="0"/>
        <w:spacing w:after="0" w:line="360" w:lineRule="auto"/>
        <w:jc w:val="both"/>
        <w:rPr>
          <w:rFonts w:ascii="Book Antiqua" w:hAnsi="Book Antiqua" w:cs="TimesNewRomanPSMT"/>
          <w:sz w:val="24"/>
          <w:szCs w:val="24"/>
        </w:rPr>
      </w:pPr>
    </w:p>
    <w:p w:rsidR="001041AD" w:rsidRDefault="001041AD" w:rsidP="007B4EE4">
      <w:pPr>
        <w:shd w:val="clear" w:color="auto" w:fill="FFFFFF"/>
        <w:spacing w:after="0" w:line="360" w:lineRule="auto"/>
        <w:jc w:val="both"/>
        <w:textAlignment w:val="baseline"/>
        <w:rPr>
          <w:rFonts w:ascii="Book Antiqua" w:eastAsia="Times New Roman" w:hAnsi="Book Antiqua" w:cs="Times New Roman"/>
          <w:b/>
          <w:sz w:val="24"/>
          <w:szCs w:val="24"/>
          <w:lang w:eastAsia="en-IN"/>
        </w:rPr>
      </w:pPr>
      <w:r w:rsidRPr="007B4EE4">
        <w:rPr>
          <w:rFonts w:ascii="Book Antiqua" w:eastAsia="Times New Roman" w:hAnsi="Book Antiqua" w:cs="Times New Roman"/>
          <w:b/>
          <w:sz w:val="24"/>
          <w:szCs w:val="24"/>
          <w:lang w:eastAsia="en-IN"/>
        </w:rPr>
        <w:t>Decision Direction</w:t>
      </w:r>
    </w:p>
    <w:p w:rsidR="00A566C2" w:rsidRDefault="00A566C2" w:rsidP="007B4EE4">
      <w:pPr>
        <w:shd w:val="clear" w:color="auto" w:fill="FFFFFF"/>
        <w:spacing w:after="0" w:line="360" w:lineRule="auto"/>
        <w:jc w:val="both"/>
        <w:textAlignment w:val="baseline"/>
        <w:rPr>
          <w:rFonts w:ascii="Book Antiqua" w:eastAsia="Times New Roman" w:hAnsi="Book Antiqua" w:cs="Times New Roman"/>
          <w:b/>
          <w:sz w:val="24"/>
          <w:szCs w:val="24"/>
          <w:lang w:eastAsia="en-IN"/>
        </w:rPr>
      </w:pPr>
      <w:r>
        <w:rPr>
          <w:rFonts w:ascii="Book Antiqua" w:eastAsia="Times New Roman" w:hAnsi="Book Antiqua" w:cs="Times New Roman"/>
          <w:b/>
          <w:sz w:val="24"/>
          <w:szCs w:val="24"/>
          <w:lang w:eastAsia="en-IN"/>
        </w:rPr>
        <w:t>Expands Expression</w:t>
      </w:r>
    </w:p>
    <w:p w:rsidR="00A566C2" w:rsidRDefault="008D12F6" w:rsidP="007B4EE4">
      <w:pPr>
        <w:shd w:val="clear" w:color="auto" w:fill="FFFFFF"/>
        <w:spacing w:after="0" w:line="360" w:lineRule="auto"/>
        <w:jc w:val="both"/>
        <w:textAlignment w:val="baseline"/>
        <w:rPr>
          <w:rFonts w:ascii="Book Antiqua" w:eastAsia="Times New Roman" w:hAnsi="Book Antiqua" w:cs="Times New Roman"/>
          <w:sz w:val="24"/>
          <w:szCs w:val="24"/>
          <w:lang w:eastAsia="en-IN"/>
        </w:rPr>
      </w:pPr>
      <w:r>
        <w:rPr>
          <w:rFonts w:ascii="Book Antiqua" w:eastAsia="Times New Roman" w:hAnsi="Book Antiqua" w:cs="Times New Roman"/>
          <w:sz w:val="24"/>
          <w:szCs w:val="24"/>
          <w:lang w:eastAsia="en-IN"/>
        </w:rPr>
        <w:t xml:space="preserve">By upholding the applicant’s right under Article 10, the Court expanded the scope of expression under the Convention. </w:t>
      </w:r>
      <w:r w:rsidR="004B32EF">
        <w:rPr>
          <w:rFonts w:ascii="Book Antiqua" w:eastAsia="Times New Roman" w:hAnsi="Book Antiqua" w:cs="Times New Roman"/>
          <w:sz w:val="24"/>
          <w:szCs w:val="24"/>
          <w:lang w:eastAsia="en-IN"/>
        </w:rPr>
        <w:t xml:space="preserve">The judgment portrays how politicians have to exercise greater tolerance for criticism in matters of public interest. While </w:t>
      </w:r>
      <w:r w:rsidR="001D5B17">
        <w:rPr>
          <w:rFonts w:ascii="Book Antiqua" w:eastAsia="Times New Roman" w:hAnsi="Book Antiqua" w:cs="Times New Roman"/>
          <w:sz w:val="24"/>
          <w:szCs w:val="24"/>
          <w:lang w:eastAsia="en-IN"/>
        </w:rPr>
        <w:t xml:space="preserve">their </w:t>
      </w:r>
      <w:r w:rsidR="004B32EF">
        <w:rPr>
          <w:rFonts w:ascii="Book Antiqua" w:eastAsia="Times New Roman" w:hAnsi="Book Antiqua" w:cs="Times New Roman"/>
          <w:sz w:val="24"/>
          <w:szCs w:val="24"/>
          <w:lang w:eastAsia="en-IN"/>
        </w:rPr>
        <w:t xml:space="preserve">right to privacy and reputation is important, this right cannot be protected at the expense of promoting public discussions on political issues. Thus, a distinction </w:t>
      </w:r>
      <w:r w:rsidR="001D5B17">
        <w:rPr>
          <w:rFonts w:ascii="Book Antiqua" w:eastAsia="Times New Roman" w:hAnsi="Book Antiqua" w:cs="Times New Roman"/>
          <w:sz w:val="24"/>
          <w:szCs w:val="24"/>
          <w:lang w:eastAsia="en-IN"/>
        </w:rPr>
        <w:t xml:space="preserve">needs to be made between ‘statements of fact’ and ‘value judgments’, and the latter does not necessarily require an element of truth in order to constitute permissible criticism. In this manner, the Court reinforced several principles laid down in the Court’s case-law relating to the determination of a “pressing social need” for stifling an individual’s freedom of expression. The affirmation that the domestic courts cannot exceed their margin of appreciation to pronounce judgments having a chilling effect, indicates the Court’s utmost regard for exercising freedom of expression in order to preserve public interest. </w:t>
      </w:r>
    </w:p>
    <w:p w:rsidR="00710B23" w:rsidRPr="00A566C2" w:rsidRDefault="00710B23" w:rsidP="007B4EE4">
      <w:pPr>
        <w:shd w:val="clear" w:color="auto" w:fill="FFFFFF"/>
        <w:spacing w:after="0" w:line="360" w:lineRule="auto"/>
        <w:jc w:val="both"/>
        <w:textAlignment w:val="baseline"/>
        <w:rPr>
          <w:rFonts w:ascii="Book Antiqua" w:eastAsia="Times New Roman" w:hAnsi="Book Antiqua" w:cs="Times New Roman"/>
          <w:sz w:val="24"/>
          <w:szCs w:val="24"/>
          <w:lang w:eastAsia="en-IN"/>
        </w:rPr>
      </w:pPr>
    </w:p>
    <w:p w:rsidR="00BE48C2" w:rsidRPr="005539A2" w:rsidRDefault="001041AD" w:rsidP="00BE48C2">
      <w:pPr>
        <w:numPr>
          <w:ilvl w:val="0"/>
          <w:numId w:val="1"/>
        </w:numPr>
        <w:shd w:val="clear" w:color="auto" w:fill="FFFFFF"/>
        <w:spacing w:after="0" w:line="360" w:lineRule="auto"/>
        <w:ind w:left="284" w:hanging="284"/>
        <w:jc w:val="both"/>
        <w:rPr>
          <w:rFonts w:ascii="Book Antiqua" w:eastAsia="Times New Roman" w:hAnsi="Book Antiqua" w:cs="Times New Roman"/>
          <w:b/>
          <w:sz w:val="24"/>
          <w:szCs w:val="24"/>
          <w:lang w:eastAsia="en-IN"/>
        </w:rPr>
      </w:pPr>
      <w:r w:rsidRPr="005539A2">
        <w:rPr>
          <w:rFonts w:ascii="Book Antiqua" w:eastAsia="Times New Roman" w:hAnsi="Book Antiqua" w:cs="Times New Roman"/>
          <w:b/>
          <w:sz w:val="24"/>
          <w:szCs w:val="24"/>
          <w:lang w:eastAsia="en-IN"/>
        </w:rPr>
        <w:t>Global Perspective</w:t>
      </w:r>
    </w:p>
    <w:p w:rsidR="00BE48C2" w:rsidRDefault="00BE48C2" w:rsidP="00BE48C2">
      <w:pPr>
        <w:shd w:val="clear" w:color="auto" w:fill="FFFFFF"/>
        <w:spacing w:after="0" w:line="360" w:lineRule="auto"/>
        <w:ind w:left="284"/>
        <w:jc w:val="both"/>
        <w:rPr>
          <w:rFonts w:ascii="Book Antiqua" w:eastAsia="Times New Roman" w:hAnsi="Book Antiqua" w:cs="Times New Roman"/>
          <w:b/>
          <w:sz w:val="24"/>
          <w:szCs w:val="24"/>
          <w:lang w:eastAsia="en-IN"/>
        </w:rPr>
      </w:pPr>
      <w:r>
        <w:rPr>
          <w:rFonts w:ascii="Book Antiqua" w:eastAsia="Times New Roman" w:hAnsi="Book Antiqua" w:cs="Times New Roman"/>
          <w:b/>
          <w:sz w:val="24"/>
          <w:szCs w:val="24"/>
          <w:lang w:eastAsia="en-IN"/>
        </w:rPr>
        <w:t>Related International and/or regional laws</w:t>
      </w:r>
    </w:p>
    <w:p w:rsidR="00BE48C2" w:rsidRPr="00116B9D" w:rsidRDefault="00867E32" w:rsidP="00BE48C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00BE48C2" w:rsidRPr="00116B9D">
        <w:rPr>
          <w:rFonts w:ascii="Book Antiqua" w:eastAsia="Times New Roman" w:hAnsi="Book Antiqua" w:cs="Times New Roman"/>
          <w:sz w:val="24"/>
          <w:szCs w:val="24"/>
          <w:lang w:eastAsia="en-IN"/>
        </w:rPr>
        <w:t>Nicolae</w:t>
      </w:r>
      <w:proofErr w:type="spellEnd"/>
      <w:r w:rsidR="00BE48C2" w:rsidRPr="00116B9D">
        <w:rPr>
          <w:rFonts w:ascii="Book Antiqua" w:eastAsia="Times New Roman" w:hAnsi="Book Antiqua" w:cs="Times New Roman"/>
          <w:sz w:val="24"/>
          <w:szCs w:val="24"/>
          <w:lang w:eastAsia="en-IN"/>
        </w:rPr>
        <w:t xml:space="preserve"> </w:t>
      </w:r>
      <w:proofErr w:type="spellStart"/>
      <w:r w:rsidR="00BE48C2" w:rsidRPr="00116B9D">
        <w:rPr>
          <w:rFonts w:ascii="Book Antiqua" w:eastAsia="Times New Roman" w:hAnsi="Book Antiqua" w:cs="Times New Roman"/>
          <w:sz w:val="24"/>
          <w:szCs w:val="24"/>
          <w:lang w:eastAsia="en-IN"/>
        </w:rPr>
        <w:t>Virgiliu</w:t>
      </w:r>
      <w:proofErr w:type="spellEnd"/>
      <w:r w:rsidR="00BE48C2" w:rsidRPr="00116B9D">
        <w:rPr>
          <w:rFonts w:ascii="Book Antiqua" w:eastAsia="Times New Roman" w:hAnsi="Book Antiqua" w:cs="Times New Roman"/>
          <w:sz w:val="24"/>
          <w:szCs w:val="24"/>
          <w:lang w:eastAsia="en-IN"/>
        </w:rPr>
        <w:t xml:space="preserve"> </w:t>
      </w:r>
      <w:proofErr w:type="spellStart"/>
      <w:r w:rsidR="00BE48C2" w:rsidRPr="00116B9D">
        <w:rPr>
          <w:rFonts w:ascii="Book Antiqua" w:eastAsia="Times New Roman" w:hAnsi="Book Antiqua" w:cs="Times New Roman"/>
          <w:sz w:val="24"/>
          <w:szCs w:val="24"/>
          <w:lang w:eastAsia="en-IN"/>
        </w:rPr>
        <w:t>Tanase</w:t>
      </w:r>
      <w:proofErr w:type="spellEnd"/>
      <w:r w:rsidR="00BE48C2" w:rsidRPr="00116B9D">
        <w:rPr>
          <w:rFonts w:ascii="Book Antiqua" w:eastAsia="Times New Roman" w:hAnsi="Book Antiqua" w:cs="Times New Roman"/>
          <w:sz w:val="24"/>
          <w:szCs w:val="24"/>
          <w:lang w:eastAsia="en-IN"/>
        </w:rPr>
        <w:t xml:space="preserve"> v. Romania, </w:t>
      </w:r>
      <w:r w:rsidRPr="00116B9D">
        <w:rPr>
          <w:rFonts w:ascii="Book Antiqua" w:eastAsia="Times New Roman" w:hAnsi="Book Antiqua" w:cs="Times New Roman"/>
          <w:sz w:val="24"/>
          <w:szCs w:val="24"/>
          <w:lang w:eastAsia="en-IN"/>
        </w:rPr>
        <w:t>App No. 41720/13 (2019)</w:t>
      </w:r>
    </w:p>
    <w:p w:rsidR="00867E32" w:rsidRPr="00116B9D" w:rsidRDefault="00867E32" w:rsidP="00BE48C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Perna</w:t>
      </w:r>
      <w:proofErr w:type="spellEnd"/>
      <w:r w:rsidRPr="00116B9D">
        <w:rPr>
          <w:rFonts w:ascii="Book Antiqua" w:hAnsi="Book Antiqua" w:cs="TimesNewRomanPS-ItalicMT"/>
          <w:iCs/>
          <w:sz w:val="24"/>
          <w:szCs w:val="24"/>
        </w:rPr>
        <w:t xml:space="preserve"> v. Italy</w:t>
      </w:r>
      <w:r w:rsidRPr="00116B9D">
        <w:rPr>
          <w:rFonts w:ascii="Book Antiqua" w:eastAsia="Times New Roman" w:hAnsi="Book Antiqua" w:cs="Times New Roman"/>
          <w:sz w:val="24"/>
          <w:szCs w:val="24"/>
          <w:lang w:eastAsia="en-IN"/>
        </w:rPr>
        <w:t>, App No. 48898/99 (2003)</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r w:rsidRPr="00116B9D">
        <w:rPr>
          <w:rFonts w:ascii="Book Antiqua" w:hAnsi="Book Antiqua" w:cs="TimesNewRomanPS-ItalicMT"/>
          <w:iCs/>
          <w:sz w:val="24"/>
          <w:szCs w:val="24"/>
        </w:rPr>
        <w:t>Paraskevopoulos v. Greece</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64184/11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2018</w:t>
      </w:r>
      <w:r w:rsidRPr="00116B9D">
        <w:rPr>
          <w:rFonts w:ascii="Book Antiqua" w:eastAsia="Times New Roman" w:hAnsi="Book Antiqua" w:cs="Times New Roman"/>
          <w:sz w:val="24"/>
          <w:szCs w:val="24"/>
          <w:lang w:eastAsia="en-IN"/>
        </w:rPr>
        <w:t>)</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Tuşalp</w:t>
      </w:r>
      <w:proofErr w:type="spellEnd"/>
      <w:r w:rsidRPr="00116B9D">
        <w:rPr>
          <w:rFonts w:ascii="Book Antiqua" w:hAnsi="Book Antiqua" w:cs="TimesNewRomanPS-ItalicMT"/>
          <w:iCs/>
          <w:sz w:val="24"/>
          <w:szCs w:val="24"/>
        </w:rPr>
        <w:t xml:space="preserve"> v. Turkey</w:t>
      </w:r>
      <w:r w:rsidRPr="00116B9D">
        <w:rPr>
          <w:rFonts w:ascii="Book Antiqua" w:eastAsia="Times New Roman" w:hAnsi="Book Antiqua" w:cs="Times New Roman"/>
          <w:sz w:val="24"/>
          <w:szCs w:val="24"/>
          <w:lang w:eastAsia="en-IN"/>
        </w:rPr>
        <w:t>, App No</w:t>
      </w:r>
      <w:r w:rsidRPr="00116B9D">
        <w:rPr>
          <w:rFonts w:ascii="Book Antiqua" w:eastAsia="Times New Roman" w:hAnsi="Book Antiqua" w:cs="Times New Roman"/>
          <w:sz w:val="24"/>
          <w:szCs w:val="24"/>
          <w:lang w:eastAsia="en-IN"/>
        </w:rPr>
        <w:t>s</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32131/08 and 41617/08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2012</w:t>
      </w:r>
      <w:r w:rsidRPr="00116B9D">
        <w:rPr>
          <w:rFonts w:ascii="Book Antiqua" w:eastAsia="Times New Roman" w:hAnsi="Book Antiqua" w:cs="Times New Roman"/>
          <w:sz w:val="24"/>
          <w:szCs w:val="24"/>
          <w:lang w:eastAsia="en-IN"/>
        </w:rPr>
        <w:t>)</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r w:rsidRPr="00116B9D">
        <w:rPr>
          <w:rFonts w:ascii="Book Antiqua" w:hAnsi="Book Antiqua" w:cs="TimesNewRomanPS-ItalicMT"/>
          <w:iCs/>
          <w:sz w:val="24"/>
          <w:szCs w:val="24"/>
        </w:rPr>
        <w:t xml:space="preserve">Lindon, </w:t>
      </w:r>
      <w:proofErr w:type="spellStart"/>
      <w:r w:rsidRPr="00116B9D">
        <w:rPr>
          <w:rFonts w:ascii="Book Antiqua" w:hAnsi="Book Antiqua" w:cs="TimesNewRomanPS-ItalicMT"/>
          <w:iCs/>
          <w:sz w:val="24"/>
          <w:szCs w:val="24"/>
        </w:rPr>
        <w:t>Otchakovsky</w:t>
      </w:r>
      <w:proofErr w:type="spellEnd"/>
      <w:r w:rsidRPr="00116B9D">
        <w:rPr>
          <w:rFonts w:ascii="Book Antiqua" w:hAnsi="Book Antiqua" w:cs="TimesNewRomanPS-ItalicMT"/>
          <w:iCs/>
          <w:sz w:val="24"/>
          <w:szCs w:val="24"/>
        </w:rPr>
        <w:t>-Laurens and July v. France</w:t>
      </w:r>
      <w:r w:rsidRPr="00116B9D">
        <w:rPr>
          <w:rFonts w:ascii="Book Antiqua" w:eastAsia="Times New Roman" w:hAnsi="Book Antiqua" w:cs="Times New Roman"/>
          <w:sz w:val="24"/>
          <w:szCs w:val="24"/>
          <w:lang w:eastAsia="en-IN"/>
        </w:rPr>
        <w:t>, App No</w:t>
      </w:r>
      <w:r w:rsidRPr="00116B9D">
        <w:rPr>
          <w:rFonts w:ascii="Book Antiqua" w:eastAsia="Times New Roman" w:hAnsi="Book Antiqua" w:cs="Times New Roman"/>
          <w:sz w:val="24"/>
          <w:szCs w:val="24"/>
          <w:lang w:eastAsia="en-IN"/>
        </w:rPr>
        <w:t>s</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21279/02 and 36448/02</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2007</w:t>
      </w:r>
      <w:r w:rsidRPr="00116B9D">
        <w:rPr>
          <w:rFonts w:ascii="Book Antiqua" w:eastAsia="Times New Roman" w:hAnsi="Book Antiqua" w:cs="Times New Roman"/>
          <w:sz w:val="24"/>
          <w:szCs w:val="24"/>
          <w:lang w:eastAsia="en-IN"/>
        </w:rPr>
        <w:t>)</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r w:rsidRPr="00116B9D">
        <w:rPr>
          <w:rFonts w:ascii="Book Antiqua" w:hAnsi="Book Antiqua" w:cs="TimesNewRomanPS-ItalicMT"/>
          <w:iCs/>
          <w:sz w:val="24"/>
          <w:szCs w:val="24"/>
        </w:rPr>
        <w:t>Frisk and Jensen v. Denmark</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19657/12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2017</w:t>
      </w:r>
      <w:r w:rsidRPr="00116B9D">
        <w:rPr>
          <w:rFonts w:ascii="Book Antiqua" w:eastAsia="Times New Roman" w:hAnsi="Book Antiqua" w:cs="Times New Roman"/>
          <w:sz w:val="24"/>
          <w:szCs w:val="24"/>
          <w:lang w:eastAsia="en-IN"/>
        </w:rPr>
        <w:t>)</w:t>
      </w:r>
    </w:p>
    <w:p w:rsidR="00867E32" w:rsidRPr="00116B9D" w:rsidRDefault="00867E32" w:rsidP="00867E32">
      <w:pPr>
        <w:shd w:val="clear" w:color="auto" w:fill="FFFFFF"/>
        <w:spacing w:after="0" w:line="360" w:lineRule="auto"/>
        <w:jc w:val="both"/>
        <w:rPr>
          <w:rFonts w:ascii="Book Antiqua" w:eastAsia="Times New Roman" w:hAnsi="Book Antiqua" w:cs="Times New Roman"/>
          <w:sz w:val="24"/>
          <w:szCs w:val="24"/>
          <w:lang w:eastAsia="en-IN"/>
        </w:rPr>
      </w:pP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lastRenderedPageBreak/>
        <w:t xml:space="preserve">ECtHR, </w:t>
      </w:r>
      <w:r w:rsidRPr="00116B9D">
        <w:rPr>
          <w:rFonts w:ascii="Book Antiqua" w:hAnsi="Book Antiqua" w:cs="TimesNewRomanPS-ItalicMT"/>
          <w:iCs/>
          <w:sz w:val="24"/>
          <w:szCs w:val="24"/>
        </w:rPr>
        <w:t xml:space="preserve">Pedersen and </w:t>
      </w:r>
      <w:proofErr w:type="spellStart"/>
      <w:r w:rsidRPr="00116B9D">
        <w:rPr>
          <w:rFonts w:ascii="Book Antiqua" w:hAnsi="Book Antiqua" w:cs="TimesNewRomanPS-ItalicMT"/>
          <w:iCs/>
          <w:sz w:val="24"/>
          <w:szCs w:val="24"/>
        </w:rPr>
        <w:t>Baadsgaard</w:t>
      </w:r>
      <w:proofErr w:type="spellEnd"/>
      <w:r w:rsidRPr="00116B9D">
        <w:rPr>
          <w:rFonts w:ascii="Book Antiqua" w:hAnsi="Book Antiqua" w:cs="TimesNewRomanPS-ItalicMT"/>
          <w:iCs/>
          <w:sz w:val="24"/>
          <w:szCs w:val="24"/>
        </w:rPr>
        <w:t xml:space="preserve"> v. Denmark</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49017/99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2004</w:t>
      </w:r>
      <w:r w:rsidRPr="00116B9D">
        <w:rPr>
          <w:rFonts w:ascii="Book Antiqua" w:eastAsia="Times New Roman" w:hAnsi="Book Antiqua" w:cs="Times New Roman"/>
          <w:sz w:val="24"/>
          <w:szCs w:val="24"/>
          <w:lang w:eastAsia="en-IN"/>
        </w:rPr>
        <w:t>)</w:t>
      </w:r>
    </w:p>
    <w:p w:rsidR="00867E32" w:rsidRPr="00116B9D" w:rsidRDefault="00867E32"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Makraduli</w:t>
      </w:r>
      <w:proofErr w:type="spellEnd"/>
      <w:r w:rsidRPr="00116B9D">
        <w:rPr>
          <w:rFonts w:ascii="Book Antiqua" w:hAnsi="Book Antiqua" w:cs="TimesNewRomanPS-ItalicMT"/>
          <w:iCs/>
          <w:sz w:val="24"/>
          <w:szCs w:val="24"/>
        </w:rPr>
        <w:t xml:space="preserve"> v. the former Yugoslav</w:t>
      </w:r>
      <w:r w:rsidR="00BA45FD" w:rsidRPr="00116B9D">
        <w:rPr>
          <w:rFonts w:ascii="Book Antiqua" w:hAnsi="Book Antiqua" w:cs="TimesNewRomanPS-ItalicMT"/>
          <w:iCs/>
          <w:sz w:val="24"/>
          <w:szCs w:val="24"/>
        </w:rPr>
        <w:t xml:space="preserve"> </w:t>
      </w:r>
      <w:r w:rsidRPr="00116B9D">
        <w:rPr>
          <w:rFonts w:ascii="Book Antiqua" w:hAnsi="Book Antiqua" w:cs="TimesNewRomanPS-ItalicMT"/>
          <w:iCs/>
          <w:sz w:val="24"/>
          <w:szCs w:val="24"/>
        </w:rPr>
        <w:t>Republic of Macedonia</w:t>
      </w:r>
      <w:r w:rsidRPr="00116B9D">
        <w:rPr>
          <w:rFonts w:ascii="Book Antiqua" w:eastAsia="Times New Roman" w:hAnsi="Book Antiqua" w:cs="Times New Roman"/>
          <w:sz w:val="24"/>
          <w:szCs w:val="24"/>
          <w:lang w:eastAsia="en-IN"/>
        </w:rPr>
        <w:t>, App No</w:t>
      </w:r>
      <w:r w:rsidR="00BA45FD" w:rsidRPr="00116B9D">
        <w:rPr>
          <w:rFonts w:ascii="Book Antiqua" w:eastAsia="Times New Roman" w:hAnsi="Book Antiqua" w:cs="Times New Roman"/>
          <w:sz w:val="24"/>
          <w:szCs w:val="24"/>
          <w:lang w:eastAsia="en-IN"/>
        </w:rPr>
        <w:t>s</w:t>
      </w:r>
      <w:r w:rsidRPr="00116B9D">
        <w:rPr>
          <w:rFonts w:ascii="Book Antiqua" w:eastAsia="Times New Roman" w:hAnsi="Book Antiqua" w:cs="Times New Roman"/>
          <w:sz w:val="24"/>
          <w:szCs w:val="24"/>
          <w:lang w:eastAsia="en-IN"/>
        </w:rPr>
        <w:t xml:space="preserve">. </w:t>
      </w:r>
      <w:r w:rsidR="00BA45FD" w:rsidRPr="00116B9D">
        <w:rPr>
          <w:rFonts w:ascii="Book Antiqua" w:eastAsia="Times New Roman" w:hAnsi="Book Antiqua" w:cs="Times New Roman"/>
          <w:sz w:val="24"/>
          <w:szCs w:val="24"/>
          <w:lang w:eastAsia="en-IN"/>
        </w:rPr>
        <w:t xml:space="preserve">64659/11 and 24133/13 </w:t>
      </w:r>
      <w:r w:rsidRPr="00116B9D">
        <w:rPr>
          <w:rFonts w:ascii="Book Antiqua" w:eastAsia="Times New Roman" w:hAnsi="Book Antiqua" w:cs="Times New Roman"/>
          <w:sz w:val="24"/>
          <w:szCs w:val="24"/>
          <w:lang w:eastAsia="en-IN"/>
        </w:rPr>
        <w:t>(</w:t>
      </w:r>
      <w:r w:rsidR="00BA45FD" w:rsidRPr="00116B9D">
        <w:rPr>
          <w:rFonts w:ascii="Book Antiqua" w:eastAsia="Times New Roman" w:hAnsi="Book Antiqua" w:cs="Times New Roman"/>
          <w:sz w:val="24"/>
          <w:szCs w:val="24"/>
          <w:lang w:eastAsia="en-IN"/>
        </w:rPr>
        <w:t>2018</w:t>
      </w:r>
      <w:r w:rsidRPr="00116B9D">
        <w:rPr>
          <w:rFonts w:ascii="Book Antiqua" w:eastAsia="Times New Roman" w:hAnsi="Book Antiqua" w:cs="Times New Roman"/>
          <w:sz w:val="24"/>
          <w:szCs w:val="24"/>
          <w:lang w:eastAsia="en-IN"/>
        </w:rPr>
        <w:t>)</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00BA45FD" w:rsidRPr="00116B9D">
        <w:rPr>
          <w:rFonts w:ascii="Book Antiqua" w:hAnsi="Book Antiqua" w:cs="TimesNewRomanPS-ItalicMT"/>
          <w:iCs/>
          <w:sz w:val="24"/>
          <w:szCs w:val="24"/>
        </w:rPr>
        <w:t>Lykin</w:t>
      </w:r>
      <w:proofErr w:type="spellEnd"/>
      <w:r w:rsidR="00BA45FD" w:rsidRPr="00116B9D">
        <w:rPr>
          <w:rFonts w:ascii="Book Antiqua" w:hAnsi="Book Antiqua" w:cs="TimesNewRomanPS-ItalicMT"/>
          <w:iCs/>
          <w:sz w:val="24"/>
          <w:szCs w:val="24"/>
        </w:rPr>
        <w:t xml:space="preserve"> v. Ukraine</w:t>
      </w:r>
      <w:r w:rsidRPr="00116B9D">
        <w:rPr>
          <w:rFonts w:ascii="Book Antiqua" w:eastAsia="Times New Roman" w:hAnsi="Book Antiqua" w:cs="Times New Roman"/>
          <w:sz w:val="24"/>
          <w:szCs w:val="24"/>
          <w:lang w:eastAsia="en-IN"/>
        </w:rPr>
        <w:t xml:space="preserve">, App No. </w:t>
      </w:r>
      <w:r w:rsidR="00BA45FD" w:rsidRPr="00116B9D">
        <w:rPr>
          <w:rFonts w:ascii="Book Antiqua" w:eastAsia="Times New Roman" w:hAnsi="Book Antiqua" w:cs="Times New Roman"/>
          <w:sz w:val="24"/>
          <w:szCs w:val="24"/>
          <w:lang w:eastAsia="en-IN"/>
        </w:rPr>
        <w:t xml:space="preserve">19382/08 </w:t>
      </w:r>
      <w:r w:rsidRPr="00116B9D">
        <w:rPr>
          <w:rFonts w:ascii="Book Antiqua" w:eastAsia="Times New Roman" w:hAnsi="Book Antiqua" w:cs="Times New Roman"/>
          <w:sz w:val="24"/>
          <w:szCs w:val="24"/>
          <w:lang w:eastAsia="en-IN"/>
        </w:rPr>
        <w:t>(</w:t>
      </w:r>
      <w:r w:rsidR="00BA45FD" w:rsidRPr="00116B9D">
        <w:rPr>
          <w:rFonts w:ascii="Book Antiqua" w:eastAsia="Times New Roman" w:hAnsi="Book Antiqua" w:cs="Times New Roman"/>
          <w:sz w:val="24"/>
          <w:szCs w:val="24"/>
          <w:lang w:eastAsia="en-IN"/>
        </w:rPr>
        <w:t>2017</w:t>
      </w:r>
      <w:r w:rsidRPr="00116B9D">
        <w:rPr>
          <w:rFonts w:ascii="Book Antiqua" w:eastAsia="Times New Roman" w:hAnsi="Book Antiqua" w:cs="Times New Roman"/>
          <w:sz w:val="24"/>
          <w:szCs w:val="24"/>
          <w:lang w:eastAsia="en-IN"/>
        </w:rPr>
        <w:t>)</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r w:rsidR="00BA45FD" w:rsidRPr="00116B9D">
        <w:rPr>
          <w:rFonts w:ascii="Book Antiqua" w:hAnsi="Book Antiqua" w:cs="TimesNewRomanPS-ItalicMT"/>
          <w:iCs/>
          <w:sz w:val="24"/>
          <w:szCs w:val="24"/>
        </w:rPr>
        <w:t>Axel Springer AG v. Germany</w:t>
      </w:r>
      <w:r w:rsidRPr="00116B9D">
        <w:rPr>
          <w:rFonts w:ascii="Book Antiqua" w:eastAsia="Times New Roman" w:hAnsi="Book Antiqua" w:cs="Times New Roman"/>
          <w:sz w:val="24"/>
          <w:szCs w:val="24"/>
          <w:lang w:eastAsia="en-IN"/>
        </w:rPr>
        <w:t xml:space="preserve">, App No. </w:t>
      </w:r>
      <w:r w:rsidR="00BA45FD" w:rsidRPr="00116B9D">
        <w:rPr>
          <w:rFonts w:ascii="Book Antiqua" w:eastAsia="Times New Roman" w:hAnsi="Book Antiqua" w:cs="Times New Roman"/>
          <w:sz w:val="24"/>
          <w:szCs w:val="24"/>
          <w:lang w:eastAsia="en-IN"/>
        </w:rPr>
        <w:t xml:space="preserve">39954/08 </w:t>
      </w:r>
      <w:r w:rsidRPr="00116B9D">
        <w:rPr>
          <w:rFonts w:ascii="Book Antiqua" w:eastAsia="Times New Roman" w:hAnsi="Book Antiqua" w:cs="Times New Roman"/>
          <w:sz w:val="24"/>
          <w:szCs w:val="24"/>
          <w:lang w:eastAsia="en-IN"/>
        </w:rPr>
        <w:t>(</w:t>
      </w:r>
      <w:r w:rsidR="00BA45FD" w:rsidRPr="00116B9D">
        <w:rPr>
          <w:rFonts w:ascii="Book Antiqua" w:eastAsia="Times New Roman" w:hAnsi="Book Antiqua" w:cs="Times New Roman"/>
          <w:sz w:val="24"/>
          <w:szCs w:val="24"/>
          <w:lang w:eastAsia="en-IN"/>
        </w:rPr>
        <w:t>2012</w:t>
      </w:r>
      <w:r w:rsidRPr="00116B9D">
        <w:rPr>
          <w:rFonts w:ascii="Book Antiqua" w:eastAsia="Times New Roman" w:hAnsi="Book Antiqua" w:cs="Times New Roman"/>
          <w:sz w:val="24"/>
          <w:szCs w:val="24"/>
          <w:lang w:eastAsia="en-IN"/>
        </w:rPr>
        <w:t>)</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00BA45FD" w:rsidRPr="00116B9D">
        <w:rPr>
          <w:rFonts w:ascii="Book Antiqua" w:hAnsi="Book Antiqua" w:cs="TimesNewRomanPS-ItalicMT"/>
          <w:iCs/>
          <w:sz w:val="24"/>
          <w:szCs w:val="24"/>
        </w:rPr>
        <w:t>Bédat</w:t>
      </w:r>
      <w:proofErr w:type="spellEnd"/>
      <w:r w:rsidR="00BA45FD" w:rsidRPr="00116B9D">
        <w:rPr>
          <w:rFonts w:ascii="Book Antiqua" w:hAnsi="Book Antiqua" w:cs="TimesNewRomanPS-ItalicMT"/>
          <w:iCs/>
          <w:sz w:val="24"/>
          <w:szCs w:val="24"/>
        </w:rPr>
        <w:t xml:space="preserve"> v. Switzerland</w:t>
      </w:r>
      <w:r w:rsidRPr="00116B9D">
        <w:rPr>
          <w:rFonts w:ascii="Book Antiqua" w:eastAsia="Times New Roman" w:hAnsi="Book Antiqua" w:cs="Times New Roman"/>
          <w:sz w:val="24"/>
          <w:szCs w:val="24"/>
          <w:lang w:eastAsia="en-IN"/>
        </w:rPr>
        <w:t>, App No. ()</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ECtHR, , App No.</w:t>
      </w:r>
      <w:r w:rsidR="00BA45FD" w:rsidRPr="00116B9D">
        <w:rPr>
          <w:rFonts w:ascii="Book Antiqua" w:eastAsia="Times New Roman" w:hAnsi="Book Antiqua" w:cs="Times New Roman"/>
          <w:sz w:val="24"/>
          <w:szCs w:val="24"/>
          <w:lang w:eastAsia="en-IN"/>
        </w:rPr>
        <w:t xml:space="preserve">56925/08 </w:t>
      </w:r>
      <w:r w:rsidRPr="00116B9D">
        <w:rPr>
          <w:rFonts w:ascii="Book Antiqua" w:eastAsia="Times New Roman" w:hAnsi="Book Antiqua" w:cs="Times New Roman"/>
          <w:sz w:val="24"/>
          <w:szCs w:val="24"/>
          <w:lang w:eastAsia="en-IN"/>
        </w:rPr>
        <w:t>(</w:t>
      </w:r>
      <w:r w:rsidR="00BA45FD" w:rsidRPr="00116B9D">
        <w:rPr>
          <w:rFonts w:ascii="Book Antiqua" w:eastAsia="Times New Roman" w:hAnsi="Book Antiqua" w:cs="Times New Roman"/>
          <w:sz w:val="24"/>
          <w:szCs w:val="24"/>
          <w:lang w:eastAsia="en-IN"/>
        </w:rPr>
        <w:t>2016</w:t>
      </w:r>
      <w:r w:rsidRPr="00116B9D">
        <w:rPr>
          <w:rFonts w:ascii="Book Antiqua" w:eastAsia="Times New Roman" w:hAnsi="Book Antiqua" w:cs="Times New Roman"/>
          <w:sz w:val="24"/>
          <w:szCs w:val="24"/>
          <w:lang w:eastAsia="en-IN"/>
        </w:rPr>
        <w:t>)</w:t>
      </w:r>
    </w:p>
    <w:p w:rsidR="00867E32" w:rsidRPr="00116B9D" w:rsidRDefault="00867E32"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r w:rsidR="00BA45FD" w:rsidRPr="00116B9D">
        <w:rPr>
          <w:rFonts w:ascii="Book Antiqua" w:hAnsi="Book Antiqua" w:cs="TimesNewRomanPS-ItalicMT"/>
          <w:iCs/>
          <w:sz w:val="24"/>
          <w:szCs w:val="24"/>
        </w:rPr>
        <w:t>Von Hannover v. Germany (no. 2)</w:t>
      </w:r>
      <w:r w:rsidRPr="00116B9D">
        <w:rPr>
          <w:rFonts w:ascii="Book Antiqua" w:eastAsia="Times New Roman" w:hAnsi="Book Antiqua" w:cs="Times New Roman"/>
          <w:sz w:val="24"/>
          <w:szCs w:val="24"/>
          <w:lang w:eastAsia="en-IN"/>
        </w:rPr>
        <w:t>, App No</w:t>
      </w:r>
      <w:r w:rsidR="00BA45FD" w:rsidRPr="00116B9D">
        <w:rPr>
          <w:rFonts w:ascii="Book Antiqua" w:eastAsia="Times New Roman" w:hAnsi="Book Antiqua" w:cs="Times New Roman"/>
          <w:sz w:val="24"/>
          <w:szCs w:val="24"/>
          <w:lang w:eastAsia="en-IN"/>
        </w:rPr>
        <w:t>s</w:t>
      </w:r>
      <w:r w:rsidRPr="00116B9D">
        <w:rPr>
          <w:rFonts w:ascii="Book Antiqua" w:eastAsia="Times New Roman" w:hAnsi="Book Antiqua" w:cs="Times New Roman"/>
          <w:sz w:val="24"/>
          <w:szCs w:val="24"/>
          <w:lang w:eastAsia="en-IN"/>
        </w:rPr>
        <w:t>.</w:t>
      </w:r>
      <w:r w:rsidR="00BA45FD" w:rsidRPr="00116B9D">
        <w:rPr>
          <w:rFonts w:ascii="Book Antiqua" w:eastAsia="Times New Roman" w:hAnsi="Book Antiqua" w:cs="Times New Roman"/>
          <w:sz w:val="24"/>
          <w:szCs w:val="24"/>
          <w:lang w:eastAsia="en-IN"/>
        </w:rPr>
        <w:t xml:space="preserve"> 40660/08 and 60641/08</w:t>
      </w:r>
      <w:r w:rsidRPr="00116B9D">
        <w:rPr>
          <w:rFonts w:ascii="Book Antiqua" w:eastAsia="Times New Roman" w:hAnsi="Book Antiqua" w:cs="Times New Roman"/>
          <w:sz w:val="24"/>
          <w:szCs w:val="24"/>
          <w:lang w:eastAsia="en-IN"/>
        </w:rPr>
        <w:t xml:space="preserve"> (</w:t>
      </w:r>
      <w:r w:rsidR="00BA45FD" w:rsidRPr="00116B9D">
        <w:rPr>
          <w:rFonts w:ascii="Book Antiqua" w:eastAsia="Times New Roman" w:hAnsi="Book Antiqua" w:cs="Times New Roman"/>
          <w:sz w:val="24"/>
          <w:szCs w:val="24"/>
          <w:lang w:eastAsia="en-IN"/>
        </w:rPr>
        <w:t>2012</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Satakunnan</w:t>
      </w:r>
      <w:proofErr w:type="spellEnd"/>
      <w:r w:rsidRPr="00116B9D">
        <w:rPr>
          <w:rFonts w:ascii="Book Antiqua" w:hAnsi="Book Antiqua" w:cs="TimesNewRomanPS-ItalicMT"/>
          <w:iCs/>
          <w:sz w:val="24"/>
          <w:szCs w:val="24"/>
        </w:rPr>
        <w:t xml:space="preserve"> </w:t>
      </w:r>
      <w:proofErr w:type="spellStart"/>
      <w:r w:rsidRPr="00116B9D">
        <w:rPr>
          <w:rFonts w:ascii="Book Antiqua" w:hAnsi="Book Antiqua" w:cs="TimesNewRomanPS-ItalicMT"/>
          <w:iCs/>
          <w:sz w:val="24"/>
          <w:szCs w:val="24"/>
        </w:rPr>
        <w:t>Markkinapörssi</w:t>
      </w:r>
      <w:proofErr w:type="spellEnd"/>
      <w:r w:rsidRPr="00116B9D">
        <w:rPr>
          <w:rFonts w:ascii="Book Antiqua" w:hAnsi="Book Antiqua" w:cs="TimesNewRomanPS-ItalicMT"/>
          <w:iCs/>
          <w:sz w:val="24"/>
          <w:szCs w:val="24"/>
        </w:rPr>
        <w:t xml:space="preserve"> Oy and </w:t>
      </w:r>
      <w:proofErr w:type="spellStart"/>
      <w:r w:rsidRPr="00116B9D">
        <w:rPr>
          <w:rFonts w:ascii="Book Antiqua" w:hAnsi="Book Antiqua" w:cs="TimesNewRomanPS-ItalicMT"/>
          <w:iCs/>
          <w:sz w:val="24"/>
          <w:szCs w:val="24"/>
        </w:rPr>
        <w:t>Satamedia</w:t>
      </w:r>
      <w:proofErr w:type="spellEnd"/>
      <w:r w:rsidRPr="00116B9D">
        <w:rPr>
          <w:rFonts w:ascii="Book Antiqua" w:hAnsi="Book Antiqua" w:cs="TimesNewRomanPS-ItalicMT"/>
          <w:iCs/>
          <w:sz w:val="24"/>
          <w:szCs w:val="24"/>
        </w:rPr>
        <w:t xml:space="preserve"> Oy v. Finland</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931/13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2017</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Falzon</w:t>
      </w:r>
      <w:proofErr w:type="spellEnd"/>
      <w:r w:rsidRPr="00116B9D">
        <w:rPr>
          <w:rFonts w:ascii="Book Antiqua" w:hAnsi="Book Antiqua" w:cs="TimesNewRomanPS-ItalicMT"/>
          <w:iCs/>
          <w:sz w:val="24"/>
          <w:szCs w:val="24"/>
        </w:rPr>
        <w:t xml:space="preserve"> v. Malta</w:t>
      </w:r>
      <w:r w:rsidRPr="00116B9D">
        <w:rPr>
          <w:rFonts w:ascii="Book Antiqua" w:eastAsia="Times New Roman" w:hAnsi="Book Antiqua" w:cs="Times New Roman"/>
          <w:sz w:val="24"/>
          <w:szCs w:val="24"/>
          <w:lang w:eastAsia="en-IN"/>
        </w:rPr>
        <w:t>, App No.</w:t>
      </w:r>
      <w:r w:rsidRPr="00116B9D">
        <w:rPr>
          <w:rFonts w:ascii="Book Antiqua" w:eastAsia="Times New Roman" w:hAnsi="Book Antiqua" w:cs="Times New Roman"/>
          <w:sz w:val="24"/>
          <w:szCs w:val="24"/>
          <w:lang w:eastAsia="en-IN"/>
        </w:rPr>
        <w:t xml:space="preserve"> 45791/13</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2018</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r w:rsidRPr="00116B9D">
        <w:rPr>
          <w:rFonts w:ascii="Book Antiqua" w:hAnsi="Book Antiqua" w:cs="TimesNewRomanPS-ItalicMT"/>
          <w:iCs/>
          <w:sz w:val="24"/>
          <w:szCs w:val="24"/>
        </w:rPr>
        <w:t>Castells v. Spain</w:t>
      </w:r>
      <w:r w:rsidRPr="00116B9D">
        <w:rPr>
          <w:rFonts w:ascii="Book Antiqua" w:eastAsia="Times New Roman" w:hAnsi="Book Antiqua" w:cs="Times New Roman"/>
          <w:sz w:val="24"/>
          <w:szCs w:val="24"/>
          <w:lang w:eastAsia="en-IN"/>
        </w:rPr>
        <w:t xml:space="preserve">, App No. </w:t>
      </w:r>
      <w:r w:rsidRPr="00116B9D">
        <w:rPr>
          <w:rFonts w:ascii="Book Antiqua" w:hAnsi="Book Antiqua" w:cs="TimesNewRomanPS-ItalicMT"/>
          <w:iCs/>
          <w:sz w:val="24"/>
          <w:szCs w:val="24"/>
        </w:rPr>
        <w:t>1798/85</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1992</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r w:rsidRPr="00116B9D">
        <w:rPr>
          <w:rFonts w:ascii="Book Antiqua" w:hAnsi="Book Antiqua" w:cs="TimesNewRomanPS-ItalicMT"/>
          <w:iCs/>
          <w:sz w:val="24"/>
          <w:szCs w:val="24"/>
        </w:rPr>
        <w:t>Lombardo and Others v. Malta</w:t>
      </w:r>
      <w:r w:rsidRPr="00116B9D">
        <w:rPr>
          <w:rFonts w:ascii="Book Antiqua" w:eastAsia="Times New Roman" w:hAnsi="Book Antiqua" w:cs="Times New Roman"/>
          <w:sz w:val="24"/>
          <w:szCs w:val="24"/>
          <w:lang w:eastAsia="en-IN"/>
        </w:rPr>
        <w:t>, App No.</w:t>
      </w:r>
      <w:r w:rsidRPr="00116B9D">
        <w:rPr>
          <w:rFonts w:ascii="Book Antiqua" w:eastAsia="Times New Roman" w:hAnsi="Book Antiqua" w:cs="Times New Roman"/>
          <w:sz w:val="24"/>
          <w:szCs w:val="24"/>
          <w:lang w:eastAsia="en-IN"/>
        </w:rPr>
        <w:t xml:space="preserve"> 7333/06</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2007</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Lewandowska-Malec</w:t>
      </w:r>
      <w:proofErr w:type="spellEnd"/>
      <w:r w:rsidRPr="00116B9D">
        <w:rPr>
          <w:rFonts w:ascii="Book Antiqua" w:hAnsi="Book Antiqua" w:cs="TimesNewRomanPS-ItalicMT"/>
          <w:iCs/>
          <w:sz w:val="24"/>
          <w:szCs w:val="24"/>
        </w:rPr>
        <w:t xml:space="preserve"> v. Poland</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39660/07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2012</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Milisavljević</w:t>
      </w:r>
      <w:proofErr w:type="spellEnd"/>
      <w:r w:rsidRPr="00116B9D">
        <w:rPr>
          <w:rFonts w:ascii="Book Antiqua" w:hAnsi="Book Antiqua" w:cs="TimesNewRomanPS-ItalicMT"/>
          <w:iCs/>
          <w:sz w:val="24"/>
          <w:szCs w:val="24"/>
        </w:rPr>
        <w:t xml:space="preserve"> v. Serbia</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50123/06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2017</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Prunea</w:t>
      </w:r>
      <w:proofErr w:type="spellEnd"/>
      <w:r w:rsidRPr="00116B9D">
        <w:rPr>
          <w:rFonts w:ascii="Book Antiqua" w:hAnsi="Book Antiqua" w:cs="TimesNewRomanPS-ItalicMT"/>
          <w:iCs/>
          <w:sz w:val="24"/>
          <w:szCs w:val="24"/>
        </w:rPr>
        <w:t xml:space="preserve"> </w:t>
      </w:r>
      <w:r w:rsidRPr="00116B9D">
        <w:rPr>
          <w:rFonts w:ascii="Book Antiqua" w:hAnsi="Book Antiqua" w:cs="TimesNewRomanPS-ItalicMT"/>
          <w:iCs/>
          <w:sz w:val="24"/>
          <w:szCs w:val="24"/>
        </w:rPr>
        <w:t>v. Romania</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47881/11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2019</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Barata</w:t>
      </w:r>
      <w:proofErr w:type="spellEnd"/>
      <w:r w:rsidRPr="00116B9D">
        <w:rPr>
          <w:rFonts w:ascii="Book Antiqua" w:hAnsi="Book Antiqua" w:cs="TimesNewRomanPS-ItalicMT"/>
          <w:iCs/>
          <w:sz w:val="24"/>
          <w:szCs w:val="24"/>
        </w:rPr>
        <w:t xml:space="preserve"> </w:t>
      </w:r>
      <w:r w:rsidRPr="00116B9D">
        <w:rPr>
          <w:rFonts w:ascii="Book Antiqua" w:hAnsi="Book Antiqua" w:cs="TimesNewRomanPS-ItalicMT"/>
          <w:iCs/>
          <w:sz w:val="24"/>
          <w:szCs w:val="24"/>
        </w:rPr>
        <w:t xml:space="preserve">Monteiro da Costa </w:t>
      </w:r>
      <w:proofErr w:type="spellStart"/>
      <w:r w:rsidRPr="00116B9D">
        <w:rPr>
          <w:rFonts w:ascii="Book Antiqua" w:hAnsi="Book Antiqua" w:cs="TimesNewRomanPS-ItalicMT"/>
          <w:iCs/>
          <w:sz w:val="24"/>
          <w:szCs w:val="24"/>
        </w:rPr>
        <w:t>Nogueira</w:t>
      </w:r>
      <w:proofErr w:type="spellEnd"/>
      <w:r w:rsidRPr="00116B9D">
        <w:rPr>
          <w:rFonts w:ascii="Book Antiqua" w:hAnsi="Book Antiqua" w:cs="TimesNewRomanPS-ItalicMT"/>
          <w:iCs/>
          <w:sz w:val="24"/>
          <w:szCs w:val="24"/>
        </w:rPr>
        <w:t xml:space="preserve"> and </w:t>
      </w:r>
      <w:proofErr w:type="spellStart"/>
      <w:r w:rsidRPr="00116B9D">
        <w:rPr>
          <w:rFonts w:ascii="Book Antiqua" w:hAnsi="Book Antiqua" w:cs="TimesNewRomanPS-ItalicMT"/>
          <w:iCs/>
          <w:sz w:val="24"/>
          <w:szCs w:val="24"/>
        </w:rPr>
        <w:t>Patrício</w:t>
      </w:r>
      <w:proofErr w:type="spellEnd"/>
      <w:r w:rsidRPr="00116B9D">
        <w:rPr>
          <w:rFonts w:ascii="Book Antiqua" w:hAnsi="Book Antiqua" w:cs="TimesNewRomanPS-ItalicMT"/>
          <w:iCs/>
          <w:sz w:val="24"/>
          <w:szCs w:val="24"/>
        </w:rPr>
        <w:t xml:space="preserve"> Pereira v. Portugal</w:t>
      </w:r>
      <w:r w:rsidRPr="00116B9D">
        <w:rPr>
          <w:rFonts w:ascii="Book Antiqua" w:eastAsia="Times New Roman" w:hAnsi="Book Antiqua" w:cs="Times New Roman"/>
          <w:sz w:val="24"/>
          <w:szCs w:val="24"/>
          <w:lang w:eastAsia="en-IN"/>
        </w:rPr>
        <w:t>, App No.</w:t>
      </w:r>
      <w:r w:rsidRPr="00116B9D">
        <w:rPr>
          <w:rFonts w:ascii="Book Antiqua" w:eastAsia="Times New Roman" w:hAnsi="Book Antiqua" w:cs="Times New Roman"/>
          <w:sz w:val="24"/>
          <w:szCs w:val="24"/>
          <w:lang w:eastAsia="en-IN"/>
        </w:rPr>
        <w:t xml:space="preserve"> 4035/08</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2011</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Kurski</w:t>
      </w:r>
      <w:proofErr w:type="spellEnd"/>
      <w:r w:rsidRPr="00116B9D">
        <w:rPr>
          <w:rFonts w:ascii="Book Antiqua" w:hAnsi="Book Antiqua" w:cs="TimesNewRomanPS-ItalicMT"/>
          <w:iCs/>
          <w:sz w:val="24"/>
          <w:szCs w:val="24"/>
        </w:rPr>
        <w:t xml:space="preserve"> v. Poland</w:t>
      </w:r>
      <w:r w:rsidRPr="00116B9D">
        <w:rPr>
          <w:rFonts w:ascii="Book Antiqua" w:eastAsia="Times New Roman" w:hAnsi="Book Antiqua" w:cs="Times New Roman"/>
          <w:sz w:val="24"/>
          <w:szCs w:val="24"/>
          <w:lang w:eastAsia="en-IN"/>
        </w:rPr>
        <w:t>, App No.</w:t>
      </w:r>
      <w:r w:rsidRPr="00116B9D">
        <w:rPr>
          <w:rFonts w:ascii="Book Antiqua" w:eastAsia="Times New Roman" w:hAnsi="Book Antiqua" w:cs="Times New Roman"/>
          <w:sz w:val="24"/>
          <w:szCs w:val="24"/>
          <w:lang w:eastAsia="en-IN"/>
        </w:rPr>
        <w:t xml:space="preserve"> 26115/10</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2016</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Sokołowski</w:t>
      </w:r>
      <w:proofErr w:type="spellEnd"/>
      <w:r w:rsidRPr="00116B9D">
        <w:rPr>
          <w:rFonts w:ascii="Book Antiqua" w:hAnsi="Book Antiqua" w:cs="TimesNewRomanPS-ItalicMT"/>
          <w:iCs/>
          <w:sz w:val="24"/>
          <w:szCs w:val="24"/>
        </w:rPr>
        <w:t xml:space="preserve"> v. Poland</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75955/01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2005</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Kwiecień</w:t>
      </w:r>
      <w:proofErr w:type="spellEnd"/>
      <w:r w:rsidRPr="00116B9D">
        <w:rPr>
          <w:rFonts w:ascii="Book Antiqua" w:hAnsi="Book Antiqua" w:cs="TimesNewRomanPS-ItalicMT"/>
          <w:iCs/>
          <w:sz w:val="24"/>
          <w:szCs w:val="24"/>
        </w:rPr>
        <w:t xml:space="preserve"> </w:t>
      </w:r>
      <w:r w:rsidRPr="00116B9D">
        <w:rPr>
          <w:rFonts w:ascii="Book Antiqua" w:hAnsi="Book Antiqua" w:cs="TimesNewRomanPS-ItalicMT"/>
          <w:iCs/>
          <w:sz w:val="24"/>
          <w:szCs w:val="24"/>
        </w:rPr>
        <w:t>v. Poland</w:t>
      </w:r>
      <w:r w:rsidRPr="00116B9D">
        <w:rPr>
          <w:rFonts w:ascii="Book Antiqua" w:eastAsia="Times New Roman" w:hAnsi="Book Antiqua" w:cs="Times New Roman"/>
          <w:sz w:val="24"/>
          <w:szCs w:val="24"/>
          <w:lang w:eastAsia="en-IN"/>
        </w:rPr>
        <w:t xml:space="preserve">, App No. </w:t>
      </w:r>
      <w:r w:rsidRPr="00116B9D">
        <w:rPr>
          <w:rFonts w:ascii="Book Antiqua" w:eastAsia="Times New Roman" w:hAnsi="Book Antiqua" w:cs="Times New Roman"/>
          <w:sz w:val="24"/>
          <w:szCs w:val="24"/>
          <w:lang w:eastAsia="en-IN"/>
        </w:rPr>
        <w:t xml:space="preserve">51744/99 </w:t>
      </w:r>
      <w:r w:rsidRPr="00116B9D">
        <w:rPr>
          <w:rFonts w:ascii="Book Antiqua" w:eastAsia="Times New Roman" w:hAnsi="Book Antiqua" w:cs="Times New Roman"/>
          <w:sz w:val="24"/>
          <w:szCs w:val="24"/>
          <w:lang w:eastAsia="en-IN"/>
        </w:rPr>
        <w:t>(2007)</w:t>
      </w:r>
    </w:p>
    <w:p w:rsidR="00116B9D" w:rsidRPr="00116B9D" w:rsidRDefault="00BA45F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Sürek</w:t>
      </w:r>
      <w:proofErr w:type="spellEnd"/>
      <w:r w:rsidRPr="00116B9D">
        <w:rPr>
          <w:rFonts w:ascii="Book Antiqua" w:hAnsi="Book Antiqua" w:cs="TimesNewRomanPS-ItalicMT"/>
          <w:iCs/>
          <w:sz w:val="24"/>
          <w:szCs w:val="24"/>
        </w:rPr>
        <w:t xml:space="preserve"> v. Turkey </w:t>
      </w:r>
      <w:r w:rsidRPr="00116B9D">
        <w:rPr>
          <w:rFonts w:ascii="Book Antiqua" w:hAnsi="Book Antiqua" w:cs="TimesNewRomanPSMT"/>
          <w:sz w:val="24"/>
          <w:szCs w:val="24"/>
        </w:rPr>
        <w:t>(no. 1)</w:t>
      </w:r>
      <w:r w:rsidRPr="00116B9D">
        <w:rPr>
          <w:rFonts w:ascii="Book Antiqua" w:eastAsia="Times New Roman" w:hAnsi="Book Antiqua" w:cs="Times New Roman"/>
          <w:sz w:val="24"/>
          <w:szCs w:val="24"/>
          <w:lang w:eastAsia="en-IN"/>
        </w:rPr>
        <w:t>, App No.</w:t>
      </w:r>
      <w:r w:rsidRPr="00116B9D">
        <w:rPr>
          <w:rFonts w:ascii="Book Antiqua" w:eastAsia="Times New Roman" w:hAnsi="Book Antiqua" w:cs="Times New Roman"/>
          <w:sz w:val="24"/>
          <w:szCs w:val="24"/>
          <w:lang w:eastAsia="en-IN"/>
        </w:rPr>
        <w:t xml:space="preserve"> 26682/95</w:t>
      </w:r>
      <w:r w:rsidRPr="00116B9D">
        <w:rPr>
          <w:rFonts w:ascii="Book Antiqua" w:eastAsia="Times New Roman" w:hAnsi="Book Antiqua" w:cs="Times New Roman"/>
          <w:sz w:val="24"/>
          <w:szCs w:val="24"/>
          <w:lang w:eastAsia="en-IN"/>
        </w:rPr>
        <w:t xml:space="preserve"> (</w:t>
      </w:r>
      <w:r w:rsidR="00116B9D" w:rsidRPr="00116B9D">
        <w:rPr>
          <w:rFonts w:ascii="Book Antiqua" w:eastAsia="Times New Roman" w:hAnsi="Book Antiqua" w:cs="Times New Roman"/>
          <w:sz w:val="24"/>
          <w:szCs w:val="24"/>
          <w:lang w:eastAsia="en-IN"/>
        </w:rPr>
        <w:t>1999</w:t>
      </w:r>
      <w:r w:rsidRPr="00116B9D">
        <w:rPr>
          <w:rFonts w:ascii="Book Antiqua" w:eastAsia="Times New Roman" w:hAnsi="Book Antiqua" w:cs="Times New Roman"/>
          <w:sz w:val="24"/>
          <w:szCs w:val="24"/>
          <w:lang w:eastAsia="en-IN"/>
        </w:rPr>
        <w:t>)</w:t>
      </w:r>
    </w:p>
    <w:p w:rsidR="00BA45FD" w:rsidRPr="00116B9D" w:rsidRDefault="00BA45F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00116B9D" w:rsidRPr="00116B9D">
        <w:rPr>
          <w:rFonts w:ascii="Book Antiqua" w:hAnsi="Book Antiqua" w:cs="TimesNewRomanPS-ItalicMT"/>
          <w:iCs/>
          <w:sz w:val="24"/>
          <w:szCs w:val="24"/>
        </w:rPr>
        <w:t>Instytut</w:t>
      </w:r>
      <w:proofErr w:type="spellEnd"/>
      <w:r w:rsidR="00116B9D" w:rsidRPr="00116B9D">
        <w:rPr>
          <w:rFonts w:ascii="Book Antiqua" w:hAnsi="Book Antiqua" w:cs="TimesNewRomanPS-ItalicMT"/>
          <w:iCs/>
          <w:sz w:val="24"/>
          <w:szCs w:val="24"/>
        </w:rPr>
        <w:t xml:space="preserve"> </w:t>
      </w:r>
      <w:proofErr w:type="spellStart"/>
      <w:r w:rsidR="00116B9D" w:rsidRPr="00116B9D">
        <w:rPr>
          <w:rFonts w:ascii="Book Antiqua" w:hAnsi="Book Antiqua" w:cs="TimesNewRomanPS-ItalicMT"/>
          <w:iCs/>
          <w:sz w:val="24"/>
          <w:szCs w:val="24"/>
        </w:rPr>
        <w:t>Ekonomichnykh</w:t>
      </w:r>
      <w:proofErr w:type="spellEnd"/>
      <w:r w:rsidR="00116B9D" w:rsidRPr="00116B9D">
        <w:rPr>
          <w:rFonts w:ascii="Book Antiqua" w:hAnsi="Book Antiqua" w:cs="TimesNewRomanPS-ItalicMT"/>
          <w:iCs/>
          <w:sz w:val="24"/>
          <w:szCs w:val="24"/>
        </w:rPr>
        <w:t xml:space="preserve"> Reform,</w:t>
      </w:r>
      <w:r w:rsidR="00116B9D" w:rsidRPr="00116B9D">
        <w:rPr>
          <w:rFonts w:ascii="Book Antiqua" w:hAnsi="Book Antiqua" w:cs="TimesNewRomanPS-ItalicMT"/>
          <w:iCs/>
          <w:sz w:val="24"/>
          <w:szCs w:val="24"/>
        </w:rPr>
        <w:t xml:space="preserve"> </w:t>
      </w:r>
      <w:r w:rsidR="00116B9D" w:rsidRPr="00116B9D">
        <w:rPr>
          <w:rFonts w:ascii="Book Antiqua" w:hAnsi="Book Antiqua" w:cs="TimesNewRomanPS-ItalicMT"/>
          <w:iCs/>
          <w:sz w:val="24"/>
          <w:szCs w:val="24"/>
        </w:rPr>
        <w:t>TOV v. Ukraine</w:t>
      </w:r>
      <w:r w:rsidRPr="00116B9D">
        <w:rPr>
          <w:rFonts w:ascii="Book Antiqua" w:eastAsia="Times New Roman" w:hAnsi="Book Antiqua" w:cs="Times New Roman"/>
          <w:sz w:val="24"/>
          <w:szCs w:val="24"/>
          <w:lang w:eastAsia="en-IN"/>
        </w:rPr>
        <w:t xml:space="preserve">, App No. </w:t>
      </w:r>
      <w:r w:rsidR="00116B9D" w:rsidRPr="00116B9D">
        <w:rPr>
          <w:rFonts w:ascii="Book Antiqua" w:eastAsia="Times New Roman" w:hAnsi="Book Antiqua" w:cs="Times New Roman"/>
          <w:sz w:val="24"/>
          <w:szCs w:val="24"/>
          <w:lang w:eastAsia="en-IN"/>
        </w:rPr>
        <w:t xml:space="preserve">61561/08 </w:t>
      </w:r>
      <w:r w:rsidRPr="00116B9D">
        <w:rPr>
          <w:rFonts w:ascii="Book Antiqua" w:eastAsia="Times New Roman" w:hAnsi="Book Antiqua" w:cs="Times New Roman"/>
          <w:sz w:val="24"/>
          <w:szCs w:val="24"/>
          <w:lang w:eastAsia="en-IN"/>
        </w:rPr>
        <w:t>(</w:t>
      </w:r>
      <w:r w:rsidR="00116B9D" w:rsidRPr="00116B9D">
        <w:rPr>
          <w:rFonts w:ascii="Book Antiqua" w:eastAsia="Times New Roman" w:hAnsi="Book Antiqua" w:cs="Times New Roman"/>
          <w:sz w:val="24"/>
          <w:szCs w:val="24"/>
          <w:lang w:eastAsia="en-IN"/>
        </w:rPr>
        <w:t>2016</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00116B9D" w:rsidRPr="00116B9D">
        <w:rPr>
          <w:rFonts w:ascii="Book Antiqua" w:hAnsi="Book Antiqua" w:cs="TimesNewRomanPS-ItalicMT"/>
          <w:iCs/>
          <w:sz w:val="24"/>
          <w:szCs w:val="24"/>
        </w:rPr>
        <w:t>Morice</w:t>
      </w:r>
      <w:proofErr w:type="spellEnd"/>
      <w:r w:rsidR="00116B9D" w:rsidRPr="00116B9D">
        <w:rPr>
          <w:rFonts w:ascii="Book Antiqua" w:hAnsi="Book Antiqua" w:cs="TimesNewRomanPS-ItalicMT"/>
          <w:iCs/>
          <w:sz w:val="24"/>
          <w:szCs w:val="24"/>
        </w:rPr>
        <w:t xml:space="preserve"> v. France</w:t>
      </w:r>
      <w:r w:rsidRPr="00116B9D">
        <w:rPr>
          <w:rFonts w:ascii="Book Antiqua" w:eastAsia="Times New Roman" w:hAnsi="Book Antiqua" w:cs="Times New Roman"/>
          <w:sz w:val="24"/>
          <w:szCs w:val="24"/>
          <w:lang w:eastAsia="en-IN"/>
        </w:rPr>
        <w:t xml:space="preserve">, App No. </w:t>
      </w:r>
      <w:r w:rsidR="00116B9D" w:rsidRPr="00116B9D">
        <w:rPr>
          <w:rFonts w:ascii="Book Antiqua" w:eastAsia="Times New Roman" w:hAnsi="Book Antiqua" w:cs="Times New Roman"/>
          <w:sz w:val="24"/>
          <w:szCs w:val="24"/>
          <w:lang w:eastAsia="en-IN"/>
        </w:rPr>
        <w:t xml:space="preserve">29369/10 </w:t>
      </w:r>
      <w:r w:rsidRPr="00116B9D">
        <w:rPr>
          <w:rFonts w:ascii="Book Antiqua" w:eastAsia="Times New Roman" w:hAnsi="Book Antiqua" w:cs="Times New Roman"/>
          <w:sz w:val="24"/>
          <w:szCs w:val="24"/>
          <w:lang w:eastAsia="en-IN"/>
        </w:rPr>
        <w:t>(</w:t>
      </w:r>
      <w:r w:rsidR="00116B9D" w:rsidRPr="00116B9D">
        <w:rPr>
          <w:rFonts w:ascii="Book Antiqua" w:eastAsia="Times New Roman" w:hAnsi="Book Antiqua" w:cs="Times New Roman"/>
          <w:sz w:val="24"/>
          <w:szCs w:val="24"/>
          <w:lang w:eastAsia="en-IN"/>
        </w:rPr>
        <w:t>2015</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00116B9D" w:rsidRPr="00116B9D">
        <w:rPr>
          <w:rFonts w:ascii="Book Antiqua" w:hAnsi="Book Antiqua" w:cs="TimesNewRomanPS-ItalicMT"/>
          <w:iCs/>
          <w:sz w:val="24"/>
          <w:szCs w:val="24"/>
        </w:rPr>
        <w:t>Jalbă</w:t>
      </w:r>
      <w:proofErr w:type="spellEnd"/>
      <w:r w:rsidR="00116B9D" w:rsidRPr="00116B9D">
        <w:rPr>
          <w:rFonts w:ascii="Book Antiqua" w:hAnsi="Book Antiqua" w:cs="TimesNewRomanPS-ItalicMT"/>
          <w:iCs/>
          <w:sz w:val="24"/>
          <w:szCs w:val="24"/>
        </w:rPr>
        <w:t xml:space="preserve"> v. Romania</w:t>
      </w:r>
      <w:r w:rsidRPr="00116B9D">
        <w:rPr>
          <w:rFonts w:ascii="Book Antiqua" w:eastAsia="Times New Roman" w:hAnsi="Book Antiqua" w:cs="Times New Roman"/>
          <w:sz w:val="24"/>
          <w:szCs w:val="24"/>
          <w:lang w:eastAsia="en-IN"/>
        </w:rPr>
        <w:t xml:space="preserve">, App No. </w:t>
      </w:r>
      <w:r w:rsidR="00116B9D" w:rsidRPr="00116B9D">
        <w:rPr>
          <w:rFonts w:ascii="Book Antiqua" w:eastAsia="Times New Roman" w:hAnsi="Book Antiqua" w:cs="Times New Roman"/>
          <w:sz w:val="24"/>
          <w:szCs w:val="24"/>
          <w:lang w:eastAsia="en-IN"/>
        </w:rPr>
        <w:t xml:space="preserve">43912/10 </w:t>
      </w:r>
      <w:r w:rsidRPr="00116B9D">
        <w:rPr>
          <w:rFonts w:ascii="Book Antiqua" w:eastAsia="Times New Roman" w:hAnsi="Book Antiqua" w:cs="Times New Roman"/>
          <w:sz w:val="24"/>
          <w:szCs w:val="24"/>
          <w:lang w:eastAsia="en-IN"/>
        </w:rPr>
        <w:t>(</w:t>
      </w:r>
      <w:r w:rsidR="00116B9D" w:rsidRPr="00116B9D">
        <w:rPr>
          <w:rFonts w:ascii="Book Antiqua" w:eastAsia="Times New Roman" w:hAnsi="Book Antiqua" w:cs="Times New Roman"/>
          <w:sz w:val="24"/>
          <w:szCs w:val="24"/>
          <w:lang w:eastAsia="en-IN"/>
        </w:rPr>
        <w:t>2014</w:t>
      </w:r>
      <w:r w:rsidRPr="00116B9D">
        <w:rPr>
          <w:rFonts w:ascii="Book Antiqua" w:eastAsia="Times New Roman" w:hAnsi="Book Antiqua" w:cs="Times New Roman"/>
          <w:sz w:val="24"/>
          <w:szCs w:val="24"/>
          <w:lang w:eastAsia="en-IN"/>
        </w:rPr>
        <w:t>)</w:t>
      </w:r>
    </w:p>
    <w:p w:rsidR="00BA45FD" w:rsidRPr="00116B9D" w:rsidRDefault="00BA45FD" w:rsidP="00BA45F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00116B9D" w:rsidRPr="00116B9D">
        <w:rPr>
          <w:rFonts w:ascii="Book Antiqua" w:hAnsi="Book Antiqua" w:cs="TimesNewRomanPS-ItalicMT"/>
          <w:iCs/>
          <w:sz w:val="24"/>
          <w:szCs w:val="24"/>
        </w:rPr>
        <w:t>Reznik</w:t>
      </w:r>
      <w:proofErr w:type="spellEnd"/>
      <w:r w:rsidR="00116B9D" w:rsidRPr="00116B9D">
        <w:rPr>
          <w:rFonts w:ascii="Book Antiqua" w:hAnsi="Book Antiqua" w:cs="TimesNewRomanPS-ItalicMT"/>
          <w:iCs/>
          <w:sz w:val="24"/>
          <w:szCs w:val="24"/>
        </w:rPr>
        <w:t xml:space="preserve"> v. Russia</w:t>
      </w:r>
      <w:r w:rsidRPr="00116B9D">
        <w:rPr>
          <w:rFonts w:ascii="Book Antiqua" w:eastAsia="Times New Roman" w:hAnsi="Book Antiqua" w:cs="Times New Roman"/>
          <w:sz w:val="24"/>
          <w:szCs w:val="24"/>
          <w:lang w:eastAsia="en-IN"/>
        </w:rPr>
        <w:t xml:space="preserve">, App No. </w:t>
      </w:r>
      <w:r w:rsidR="00116B9D" w:rsidRPr="00116B9D">
        <w:rPr>
          <w:rFonts w:ascii="Book Antiqua" w:eastAsia="Times New Roman" w:hAnsi="Book Antiqua" w:cs="Times New Roman"/>
          <w:sz w:val="24"/>
          <w:szCs w:val="24"/>
          <w:lang w:eastAsia="en-IN"/>
        </w:rPr>
        <w:t xml:space="preserve">4977/05 </w:t>
      </w:r>
      <w:r w:rsidRPr="00116B9D">
        <w:rPr>
          <w:rFonts w:ascii="Book Antiqua" w:eastAsia="Times New Roman" w:hAnsi="Book Antiqua" w:cs="Times New Roman"/>
          <w:sz w:val="24"/>
          <w:szCs w:val="24"/>
          <w:lang w:eastAsia="en-IN"/>
        </w:rPr>
        <w:t>(</w:t>
      </w:r>
      <w:r w:rsidR="00116B9D" w:rsidRPr="00116B9D">
        <w:rPr>
          <w:rFonts w:ascii="Book Antiqua" w:eastAsia="Times New Roman" w:hAnsi="Book Antiqua" w:cs="Times New Roman"/>
          <w:sz w:val="24"/>
          <w:szCs w:val="24"/>
          <w:lang w:eastAsia="en-IN"/>
        </w:rPr>
        <w:t>2013</w:t>
      </w:r>
      <w:r w:rsidRPr="00116B9D">
        <w:rPr>
          <w:rFonts w:ascii="Book Antiqua" w:eastAsia="Times New Roman" w:hAnsi="Book Antiqua" w:cs="Times New Roman"/>
          <w:sz w:val="24"/>
          <w:szCs w:val="24"/>
          <w:lang w:eastAsia="en-IN"/>
        </w:rPr>
        <w:t>)</w:t>
      </w:r>
    </w:p>
    <w:p w:rsidR="00116B9D" w:rsidRPr="00116B9D" w:rsidRDefault="00116B9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Rungainis</w:t>
      </w:r>
      <w:proofErr w:type="spellEnd"/>
      <w:r w:rsidRPr="00116B9D">
        <w:rPr>
          <w:rFonts w:ascii="Book Antiqua" w:hAnsi="Book Antiqua" w:cs="TimesNewRomanPS-ItalicMT"/>
          <w:iCs/>
          <w:sz w:val="24"/>
          <w:szCs w:val="24"/>
        </w:rPr>
        <w:t xml:space="preserve"> v. Latvia</w:t>
      </w:r>
      <w:r w:rsidRPr="00116B9D">
        <w:rPr>
          <w:rFonts w:ascii="Book Antiqua" w:eastAsia="Times New Roman" w:hAnsi="Book Antiqua" w:cs="Times New Roman"/>
          <w:sz w:val="24"/>
          <w:szCs w:val="24"/>
          <w:lang w:eastAsia="en-IN"/>
        </w:rPr>
        <w:t>, App No. 40597/08 (2018)</w:t>
      </w:r>
    </w:p>
    <w:p w:rsidR="00116B9D" w:rsidRPr="00116B9D" w:rsidRDefault="00116B9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lastRenderedPageBreak/>
        <w:t xml:space="preserve">ECtHR, </w:t>
      </w:r>
      <w:r w:rsidRPr="00116B9D">
        <w:rPr>
          <w:rFonts w:ascii="Book Antiqua" w:hAnsi="Book Antiqua" w:cs="TimesNewRomanPS-ItalicMT"/>
          <w:iCs/>
          <w:sz w:val="24"/>
          <w:szCs w:val="24"/>
        </w:rPr>
        <w:t xml:space="preserve">Do </w:t>
      </w:r>
      <w:proofErr w:type="spellStart"/>
      <w:r w:rsidRPr="00116B9D">
        <w:rPr>
          <w:rFonts w:ascii="Book Antiqua" w:hAnsi="Book Antiqua" w:cs="TimesNewRomanPS-ItalicMT"/>
          <w:iCs/>
          <w:sz w:val="24"/>
          <w:szCs w:val="24"/>
        </w:rPr>
        <w:t>Carmo</w:t>
      </w:r>
      <w:proofErr w:type="spellEnd"/>
      <w:r w:rsidRPr="00116B9D">
        <w:rPr>
          <w:rFonts w:ascii="Book Antiqua" w:hAnsi="Book Antiqua" w:cs="TimesNewRomanPS-ItalicMT"/>
          <w:iCs/>
          <w:sz w:val="24"/>
          <w:szCs w:val="24"/>
        </w:rPr>
        <w:t xml:space="preserve"> de Portugal e Ca</w:t>
      </w:r>
      <w:bookmarkStart w:id="0" w:name="_GoBack"/>
      <w:bookmarkEnd w:id="0"/>
      <w:r w:rsidRPr="00116B9D">
        <w:rPr>
          <w:rFonts w:ascii="Book Antiqua" w:hAnsi="Book Antiqua" w:cs="TimesNewRomanPS-ItalicMT"/>
          <w:iCs/>
          <w:sz w:val="24"/>
          <w:szCs w:val="24"/>
        </w:rPr>
        <w:t xml:space="preserve">stro </w:t>
      </w:r>
      <w:proofErr w:type="spellStart"/>
      <w:r w:rsidRPr="00116B9D">
        <w:rPr>
          <w:rFonts w:ascii="Book Antiqua" w:hAnsi="Book Antiqua" w:cs="TimesNewRomanPS-ItalicMT"/>
          <w:iCs/>
          <w:sz w:val="24"/>
          <w:szCs w:val="24"/>
        </w:rPr>
        <w:t>Câmara</w:t>
      </w:r>
      <w:proofErr w:type="spellEnd"/>
      <w:r w:rsidRPr="00116B9D">
        <w:rPr>
          <w:rFonts w:ascii="Book Antiqua" w:hAnsi="Book Antiqua" w:cs="TimesNewRomanPS-ItalicMT"/>
          <w:iCs/>
          <w:sz w:val="24"/>
          <w:szCs w:val="24"/>
        </w:rPr>
        <w:t xml:space="preserve"> </w:t>
      </w:r>
      <w:r w:rsidRPr="00116B9D">
        <w:rPr>
          <w:rFonts w:ascii="Book Antiqua" w:hAnsi="Book Antiqua" w:cs="TimesNewRomanPS-ItalicMT"/>
          <w:iCs/>
          <w:sz w:val="24"/>
          <w:szCs w:val="24"/>
        </w:rPr>
        <w:t>v. Portugal</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 xml:space="preserve">App No. </w:t>
      </w:r>
      <w:r w:rsidRPr="00116B9D">
        <w:rPr>
          <w:rFonts w:ascii="Book Antiqua" w:eastAsia="Times New Roman" w:hAnsi="Book Antiqua" w:cs="Times New Roman"/>
          <w:sz w:val="24"/>
          <w:szCs w:val="24"/>
          <w:lang w:eastAsia="en-IN"/>
        </w:rPr>
        <w:t xml:space="preserve">53139/11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2016</w:t>
      </w:r>
      <w:r w:rsidRPr="00116B9D">
        <w:rPr>
          <w:rFonts w:ascii="Book Antiqua" w:eastAsia="Times New Roman" w:hAnsi="Book Antiqua" w:cs="Times New Roman"/>
          <w:sz w:val="24"/>
          <w:szCs w:val="24"/>
          <w:lang w:eastAsia="en-IN"/>
        </w:rPr>
        <w:t>)</w:t>
      </w:r>
    </w:p>
    <w:p w:rsidR="00116B9D" w:rsidRPr="00116B9D" w:rsidRDefault="00116B9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Wille</w:t>
      </w:r>
      <w:proofErr w:type="spellEnd"/>
      <w:r w:rsidRPr="00116B9D">
        <w:rPr>
          <w:rFonts w:ascii="Book Antiqua" w:hAnsi="Book Antiqua" w:cs="TimesNewRomanPS-ItalicMT"/>
          <w:iCs/>
          <w:sz w:val="24"/>
          <w:szCs w:val="24"/>
        </w:rPr>
        <w:t xml:space="preserve"> v. Liechtenstein</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App No. 28396/95 (1999)</w:t>
      </w:r>
    </w:p>
    <w:p w:rsidR="00116B9D" w:rsidRPr="00116B9D" w:rsidRDefault="00116B9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Nikula</w:t>
      </w:r>
      <w:proofErr w:type="spellEnd"/>
      <w:r w:rsidRPr="00116B9D">
        <w:rPr>
          <w:rFonts w:ascii="Book Antiqua" w:hAnsi="Book Antiqua" w:cs="TimesNewRomanPS-ItalicMT"/>
          <w:iCs/>
          <w:sz w:val="24"/>
          <w:szCs w:val="24"/>
        </w:rPr>
        <w:t xml:space="preserve"> v. Finland</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 xml:space="preserve">App No. </w:t>
      </w:r>
      <w:r w:rsidRPr="00116B9D">
        <w:rPr>
          <w:rFonts w:ascii="Book Antiqua" w:eastAsia="Times New Roman" w:hAnsi="Book Antiqua" w:cs="Times New Roman"/>
          <w:sz w:val="24"/>
          <w:szCs w:val="24"/>
          <w:lang w:eastAsia="en-IN"/>
        </w:rPr>
        <w:t>31611/96</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2002</w:t>
      </w:r>
      <w:r w:rsidRPr="00116B9D">
        <w:rPr>
          <w:rFonts w:ascii="Book Antiqua" w:eastAsia="Times New Roman" w:hAnsi="Book Antiqua" w:cs="Times New Roman"/>
          <w:sz w:val="24"/>
          <w:szCs w:val="24"/>
          <w:lang w:eastAsia="en-IN"/>
        </w:rPr>
        <w:t>)</w:t>
      </w:r>
    </w:p>
    <w:p w:rsidR="00116B9D" w:rsidRPr="00116B9D" w:rsidRDefault="00116B9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Elci</w:t>
      </w:r>
      <w:proofErr w:type="spellEnd"/>
      <w:r w:rsidRPr="00116B9D">
        <w:rPr>
          <w:rFonts w:ascii="Book Antiqua" w:hAnsi="Book Antiqua" w:cs="TimesNewRomanPS-ItalicMT"/>
          <w:iCs/>
          <w:sz w:val="24"/>
          <w:szCs w:val="24"/>
        </w:rPr>
        <w:t xml:space="preserve"> and Others v. Turkey</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App No</w:t>
      </w:r>
      <w:r w:rsidRPr="00116B9D">
        <w:rPr>
          <w:rFonts w:ascii="Book Antiqua" w:eastAsia="Times New Roman" w:hAnsi="Book Antiqua" w:cs="Times New Roman"/>
          <w:sz w:val="24"/>
          <w:szCs w:val="24"/>
          <w:lang w:eastAsia="en-IN"/>
        </w:rPr>
        <w:t>s</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23145/93 and 25091/94</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2003</w:t>
      </w:r>
      <w:r w:rsidRPr="00116B9D">
        <w:rPr>
          <w:rFonts w:ascii="Book Antiqua" w:eastAsia="Times New Roman" w:hAnsi="Book Antiqua" w:cs="Times New Roman"/>
          <w:sz w:val="24"/>
          <w:szCs w:val="24"/>
          <w:lang w:eastAsia="en-IN"/>
        </w:rPr>
        <w:t>)</w:t>
      </w:r>
    </w:p>
    <w:p w:rsidR="00116B9D" w:rsidRPr="00116B9D" w:rsidRDefault="00116B9D" w:rsidP="00116B9D">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Ghiulfer</w:t>
      </w:r>
      <w:proofErr w:type="spellEnd"/>
      <w:r w:rsidRPr="00116B9D">
        <w:rPr>
          <w:rFonts w:ascii="Book Antiqua" w:hAnsi="Book Antiqua" w:cs="TimesNewRomanPS-ItalicMT"/>
          <w:iCs/>
          <w:sz w:val="24"/>
          <w:szCs w:val="24"/>
        </w:rPr>
        <w:t xml:space="preserve"> </w:t>
      </w:r>
      <w:proofErr w:type="spellStart"/>
      <w:r w:rsidRPr="00116B9D">
        <w:rPr>
          <w:rFonts w:ascii="Book Antiqua" w:hAnsi="Book Antiqua" w:cs="TimesNewRomanPS-ItalicMT"/>
          <w:iCs/>
          <w:sz w:val="24"/>
          <w:szCs w:val="24"/>
        </w:rPr>
        <w:t>Predescu</w:t>
      </w:r>
      <w:proofErr w:type="spellEnd"/>
      <w:r w:rsidRPr="00116B9D">
        <w:rPr>
          <w:rFonts w:ascii="Book Antiqua" w:hAnsi="Book Antiqua" w:cs="TimesNewRomanPS-ItalicMT"/>
          <w:iCs/>
          <w:sz w:val="24"/>
          <w:szCs w:val="24"/>
        </w:rPr>
        <w:t xml:space="preserve"> v. Romania</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 xml:space="preserve">App No. </w:t>
      </w:r>
      <w:r w:rsidRPr="00116B9D">
        <w:rPr>
          <w:rFonts w:ascii="Book Antiqua" w:eastAsia="Times New Roman" w:hAnsi="Book Antiqua" w:cs="Times New Roman"/>
          <w:sz w:val="24"/>
          <w:szCs w:val="24"/>
          <w:lang w:eastAsia="en-IN"/>
        </w:rPr>
        <w:t xml:space="preserve">29751/09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2017</w:t>
      </w:r>
      <w:r w:rsidRPr="00116B9D">
        <w:rPr>
          <w:rFonts w:ascii="Book Antiqua" w:eastAsia="Times New Roman" w:hAnsi="Book Antiqua" w:cs="Times New Roman"/>
          <w:sz w:val="24"/>
          <w:szCs w:val="24"/>
          <w:lang w:eastAsia="en-IN"/>
        </w:rPr>
        <w:t>)</w:t>
      </w:r>
    </w:p>
    <w:p w:rsidR="00867E32" w:rsidRPr="00116B9D" w:rsidRDefault="00116B9D" w:rsidP="00867E32">
      <w:pPr>
        <w:pStyle w:val="ListParagraph"/>
        <w:numPr>
          <w:ilvl w:val="0"/>
          <w:numId w:val="2"/>
        </w:numPr>
        <w:shd w:val="clear" w:color="auto" w:fill="FFFFFF"/>
        <w:spacing w:after="0" w:line="360" w:lineRule="auto"/>
        <w:jc w:val="both"/>
        <w:rPr>
          <w:rFonts w:ascii="Book Antiqua" w:eastAsia="Times New Roman" w:hAnsi="Book Antiqua" w:cs="Times New Roman"/>
          <w:sz w:val="24"/>
          <w:szCs w:val="24"/>
          <w:lang w:eastAsia="en-IN"/>
        </w:rPr>
      </w:pPr>
      <w:r w:rsidRPr="00116B9D">
        <w:rPr>
          <w:rFonts w:ascii="Book Antiqua" w:eastAsia="Times New Roman" w:hAnsi="Book Antiqua" w:cs="Times New Roman"/>
          <w:sz w:val="24"/>
          <w:szCs w:val="24"/>
          <w:lang w:eastAsia="en-IN"/>
        </w:rPr>
        <w:t xml:space="preserve">ECtHR, </w:t>
      </w:r>
      <w:proofErr w:type="spellStart"/>
      <w:r w:rsidRPr="00116B9D">
        <w:rPr>
          <w:rFonts w:ascii="Book Antiqua" w:hAnsi="Book Antiqua" w:cs="TimesNewRomanPS-ItalicMT"/>
          <w:iCs/>
          <w:sz w:val="24"/>
          <w:szCs w:val="24"/>
        </w:rPr>
        <w:t>Khlaifia</w:t>
      </w:r>
      <w:proofErr w:type="spellEnd"/>
      <w:r w:rsidRPr="00116B9D">
        <w:rPr>
          <w:rFonts w:ascii="Book Antiqua" w:hAnsi="Book Antiqua" w:cs="TimesNewRomanPS-ItalicMT"/>
          <w:iCs/>
          <w:sz w:val="24"/>
          <w:szCs w:val="24"/>
        </w:rPr>
        <w:t xml:space="preserve"> and Others v. Italy</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 xml:space="preserve"> </w:t>
      </w:r>
      <w:r w:rsidRPr="00116B9D">
        <w:rPr>
          <w:rFonts w:ascii="Book Antiqua" w:eastAsia="Times New Roman" w:hAnsi="Book Antiqua" w:cs="Times New Roman"/>
          <w:sz w:val="24"/>
          <w:szCs w:val="24"/>
          <w:lang w:eastAsia="en-IN"/>
        </w:rPr>
        <w:t xml:space="preserve">App No. </w:t>
      </w:r>
      <w:r w:rsidRPr="00116B9D">
        <w:rPr>
          <w:rFonts w:ascii="Book Antiqua" w:eastAsia="Times New Roman" w:hAnsi="Book Antiqua" w:cs="Times New Roman"/>
          <w:sz w:val="24"/>
          <w:szCs w:val="24"/>
          <w:lang w:eastAsia="en-IN"/>
        </w:rPr>
        <w:t xml:space="preserve">16483/12 </w:t>
      </w:r>
      <w:r w:rsidRPr="00116B9D">
        <w:rPr>
          <w:rFonts w:ascii="Book Antiqua" w:eastAsia="Times New Roman" w:hAnsi="Book Antiqua" w:cs="Times New Roman"/>
          <w:sz w:val="24"/>
          <w:szCs w:val="24"/>
          <w:lang w:eastAsia="en-IN"/>
        </w:rPr>
        <w:t>(</w:t>
      </w:r>
      <w:r w:rsidRPr="00116B9D">
        <w:rPr>
          <w:rFonts w:ascii="Book Antiqua" w:eastAsia="Times New Roman" w:hAnsi="Book Antiqua" w:cs="Times New Roman"/>
          <w:sz w:val="24"/>
          <w:szCs w:val="24"/>
          <w:lang w:eastAsia="en-IN"/>
        </w:rPr>
        <w:t>2016</w:t>
      </w:r>
      <w:r w:rsidRPr="00116B9D">
        <w:rPr>
          <w:rFonts w:ascii="Book Antiqua" w:eastAsia="Times New Roman" w:hAnsi="Book Antiqua" w:cs="Times New Roman"/>
          <w:sz w:val="24"/>
          <w:szCs w:val="24"/>
          <w:lang w:eastAsia="en-IN"/>
        </w:rPr>
        <w:t>)</w:t>
      </w:r>
    </w:p>
    <w:p w:rsidR="00BE48C2" w:rsidRPr="007B4EE4" w:rsidRDefault="00BE48C2" w:rsidP="00BE48C2">
      <w:pPr>
        <w:shd w:val="clear" w:color="auto" w:fill="FFFFFF"/>
        <w:spacing w:after="0" w:line="360" w:lineRule="auto"/>
        <w:ind w:left="284"/>
        <w:jc w:val="both"/>
        <w:rPr>
          <w:rFonts w:ascii="Book Antiqua" w:eastAsia="Times New Roman" w:hAnsi="Book Antiqua" w:cs="Times New Roman"/>
          <w:b/>
          <w:sz w:val="24"/>
          <w:szCs w:val="24"/>
          <w:lang w:eastAsia="en-IN"/>
        </w:rPr>
      </w:pPr>
    </w:p>
    <w:p w:rsidR="001041AD" w:rsidRDefault="001041AD" w:rsidP="007B4EE4">
      <w:pPr>
        <w:numPr>
          <w:ilvl w:val="0"/>
          <w:numId w:val="1"/>
        </w:numPr>
        <w:shd w:val="clear" w:color="auto" w:fill="FFFFFF"/>
        <w:spacing w:after="0" w:line="360" w:lineRule="auto"/>
        <w:ind w:left="284" w:hanging="284"/>
        <w:jc w:val="both"/>
        <w:rPr>
          <w:rFonts w:ascii="Book Antiqua" w:eastAsia="Times New Roman" w:hAnsi="Book Antiqua" w:cs="Times New Roman"/>
          <w:b/>
          <w:sz w:val="24"/>
          <w:szCs w:val="24"/>
          <w:lang w:eastAsia="en-IN"/>
        </w:rPr>
      </w:pPr>
      <w:r w:rsidRPr="007B4EE4">
        <w:rPr>
          <w:rFonts w:ascii="Book Antiqua" w:eastAsia="Times New Roman" w:hAnsi="Book Antiqua" w:cs="Times New Roman"/>
          <w:b/>
          <w:sz w:val="24"/>
          <w:szCs w:val="24"/>
          <w:lang w:eastAsia="en-IN"/>
        </w:rPr>
        <w:t>Case Significance</w:t>
      </w:r>
    </w:p>
    <w:p w:rsidR="008D12F6" w:rsidRPr="008D12F6" w:rsidRDefault="008D12F6" w:rsidP="008D12F6">
      <w:pPr>
        <w:shd w:val="clear" w:color="auto" w:fill="FFFFFF"/>
        <w:spacing w:after="0" w:line="360" w:lineRule="auto"/>
        <w:ind w:left="284"/>
        <w:jc w:val="both"/>
        <w:rPr>
          <w:rFonts w:ascii="Book Antiqua" w:eastAsia="Times New Roman" w:hAnsi="Book Antiqua" w:cs="Times New Roman"/>
          <w:sz w:val="24"/>
          <w:szCs w:val="24"/>
          <w:lang w:eastAsia="en-IN"/>
        </w:rPr>
      </w:pPr>
      <w:r w:rsidRPr="008D12F6">
        <w:rPr>
          <w:rFonts w:ascii="Book Antiqua" w:eastAsia="Times New Roman" w:hAnsi="Book Antiqua" w:cs="Times New Roman"/>
          <w:sz w:val="24"/>
          <w:szCs w:val="24"/>
          <w:lang w:eastAsia="en-IN"/>
        </w:rPr>
        <w:t xml:space="preserve">The decision establishes a binding or persuasive precedent within its jurisdiction. </w:t>
      </w:r>
    </w:p>
    <w:p w:rsidR="001041AD" w:rsidRPr="007B4EE4" w:rsidRDefault="001041AD" w:rsidP="007B4EE4">
      <w:pPr>
        <w:shd w:val="clear" w:color="auto" w:fill="FFFFFF"/>
        <w:tabs>
          <w:tab w:val="num" w:pos="928"/>
        </w:tabs>
        <w:spacing w:after="0" w:line="360" w:lineRule="auto"/>
        <w:ind w:left="945" w:hanging="360"/>
        <w:jc w:val="both"/>
        <w:rPr>
          <w:rFonts w:ascii="Book Antiqua" w:eastAsia="Times New Roman" w:hAnsi="Book Antiqua" w:cs="Times New Roman"/>
          <w:sz w:val="24"/>
          <w:szCs w:val="24"/>
          <w:lang w:eastAsia="en-IN"/>
        </w:rPr>
      </w:pPr>
    </w:p>
    <w:p w:rsidR="001041AD" w:rsidRPr="007B4EE4" w:rsidRDefault="001041AD" w:rsidP="007B4EE4">
      <w:pPr>
        <w:spacing w:line="360" w:lineRule="auto"/>
        <w:jc w:val="both"/>
        <w:rPr>
          <w:rFonts w:ascii="Book Antiqua" w:hAnsi="Book Antiqua"/>
          <w:b/>
          <w:sz w:val="24"/>
          <w:szCs w:val="24"/>
        </w:rPr>
      </w:pPr>
    </w:p>
    <w:sectPr w:rsidR="001041AD" w:rsidRPr="007B4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844D1"/>
    <w:multiLevelType w:val="multilevel"/>
    <w:tmpl w:val="739243A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1469C2"/>
    <w:multiLevelType w:val="hybridMultilevel"/>
    <w:tmpl w:val="203E498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AD"/>
    <w:rsid w:val="000728DC"/>
    <w:rsid w:val="000924D8"/>
    <w:rsid w:val="000A6D66"/>
    <w:rsid w:val="000B1907"/>
    <w:rsid w:val="000E5C41"/>
    <w:rsid w:val="001041AD"/>
    <w:rsid w:val="00116B9D"/>
    <w:rsid w:val="001214A9"/>
    <w:rsid w:val="0016581D"/>
    <w:rsid w:val="001D5B17"/>
    <w:rsid w:val="00211154"/>
    <w:rsid w:val="002208DA"/>
    <w:rsid w:val="00233AAE"/>
    <w:rsid w:val="002F29EC"/>
    <w:rsid w:val="00314EBE"/>
    <w:rsid w:val="00327681"/>
    <w:rsid w:val="0035760F"/>
    <w:rsid w:val="003B182A"/>
    <w:rsid w:val="003E4CD5"/>
    <w:rsid w:val="004171EF"/>
    <w:rsid w:val="004320AA"/>
    <w:rsid w:val="00484B48"/>
    <w:rsid w:val="00490788"/>
    <w:rsid w:val="004A677B"/>
    <w:rsid w:val="004B32EF"/>
    <w:rsid w:val="004E0CDF"/>
    <w:rsid w:val="00507D81"/>
    <w:rsid w:val="005304A5"/>
    <w:rsid w:val="005539A2"/>
    <w:rsid w:val="00570A60"/>
    <w:rsid w:val="00583610"/>
    <w:rsid w:val="00585F94"/>
    <w:rsid w:val="005D1B87"/>
    <w:rsid w:val="00637918"/>
    <w:rsid w:val="0064044B"/>
    <w:rsid w:val="006A02AD"/>
    <w:rsid w:val="00710B23"/>
    <w:rsid w:val="00711FC0"/>
    <w:rsid w:val="00734EB0"/>
    <w:rsid w:val="00750D24"/>
    <w:rsid w:val="00790ABF"/>
    <w:rsid w:val="007A3BA4"/>
    <w:rsid w:val="007B4EE4"/>
    <w:rsid w:val="007D56DA"/>
    <w:rsid w:val="007D7F20"/>
    <w:rsid w:val="007F162C"/>
    <w:rsid w:val="00867E32"/>
    <w:rsid w:val="008911AB"/>
    <w:rsid w:val="008A3816"/>
    <w:rsid w:val="008D12F6"/>
    <w:rsid w:val="0095302C"/>
    <w:rsid w:val="00955A8E"/>
    <w:rsid w:val="00966C0C"/>
    <w:rsid w:val="009E0D3B"/>
    <w:rsid w:val="009E77AA"/>
    <w:rsid w:val="00A31525"/>
    <w:rsid w:val="00A452BF"/>
    <w:rsid w:val="00A566C2"/>
    <w:rsid w:val="00B146E6"/>
    <w:rsid w:val="00B5664D"/>
    <w:rsid w:val="00B875CA"/>
    <w:rsid w:val="00BA45FD"/>
    <w:rsid w:val="00BE48C2"/>
    <w:rsid w:val="00C26D5F"/>
    <w:rsid w:val="00C73A4E"/>
    <w:rsid w:val="00C92194"/>
    <w:rsid w:val="00CA6342"/>
    <w:rsid w:val="00CE27C0"/>
    <w:rsid w:val="00D07B56"/>
    <w:rsid w:val="00DB52EE"/>
    <w:rsid w:val="00E07D1E"/>
    <w:rsid w:val="00E25120"/>
    <w:rsid w:val="00E53B02"/>
    <w:rsid w:val="00E6133E"/>
    <w:rsid w:val="00F10635"/>
    <w:rsid w:val="00F17ED2"/>
    <w:rsid w:val="00F56598"/>
    <w:rsid w:val="00F624DC"/>
    <w:rsid w:val="00FD0B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A747B-8B28-4154-BEB5-7CDB0A63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C2"/>
    <w:pPr>
      <w:ind w:left="720"/>
      <w:contextualSpacing/>
    </w:pPr>
  </w:style>
  <w:style w:type="character" w:styleId="Hyperlink">
    <w:name w:val="Hyperlink"/>
    <w:basedOn w:val="DefaultParagraphFont"/>
    <w:uiPriority w:val="99"/>
    <w:unhideWhenUsed/>
    <w:rsid w:val="00867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5345</TotalTime>
  <Pages>10</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dc:creator>
  <cp:keywords/>
  <dc:description/>
  <cp:lastModifiedBy>Akshita</cp:lastModifiedBy>
  <cp:revision>29</cp:revision>
  <dcterms:created xsi:type="dcterms:W3CDTF">2020-11-16T14:36:00Z</dcterms:created>
  <dcterms:modified xsi:type="dcterms:W3CDTF">2020-11-24T14:53:00Z</dcterms:modified>
</cp:coreProperties>
</file>