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92694" w14:textId="187ECEE8" w:rsidR="004E254C" w:rsidRPr="00F01F4F" w:rsidRDefault="004E254C" w:rsidP="004E254C">
      <w:pPr>
        <w:tabs>
          <w:tab w:val="left" w:pos="7513"/>
        </w:tabs>
        <w:bidi w:val="0"/>
        <w:rPr>
          <w:rFonts w:asciiTheme="majorBidi" w:hAnsiTheme="majorBidi" w:cstheme="majorBidi"/>
          <w:b/>
          <w:bCs/>
          <w:lang w:val="en-CA"/>
        </w:rPr>
      </w:pPr>
    </w:p>
    <w:p w14:paraId="143BEBB1" w14:textId="1A0BFA01" w:rsidR="004E254C" w:rsidRPr="00F01F4F" w:rsidRDefault="004E254C" w:rsidP="004E254C">
      <w:pPr>
        <w:tabs>
          <w:tab w:val="left" w:pos="2835"/>
        </w:tabs>
        <w:bidi w:val="0"/>
        <w:spacing w:after="0" w:line="240" w:lineRule="auto"/>
        <w:ind w:left="567" w:hanging="567"/>
        <w:rPr>
          <w:rFonts w:asciiTheme="majorBidi" w:hAnsiTheme="majorBidi" w:cstheme="majorBidi"/>
          <w:b/>
          <w:bCs/>
          <w:lang w:val="en-CA"/>
        </w:rPr>
      </w:pPr>
      <w:r w:rsidRPr="00F01F4F">
        <w:rPr>
          <w:rFonts w:asciiTheme="majorBidi" w:hAnsiTheme="majorBidi" w:cstheme="majorBidi"/>
          <w:b/>
          <w:bCs/>
          <w:lang w:val="en-CA"/>
        </w:rPr>
        <w:t>The Petitioners</w:t>
      </w:r>
      <w:r w:rsidRPr="00F01F4F">
        <w:rPr>
          <w:rFonts w:asciiTheme="majorBidi" w:hAnsiTheme="majorBidi" w:cstheme="majorBidi"/>
          <w:b/>
          <w:bCs/>
          <w:lang w:val="en-CA"/>
        </w:rPr>
        <w:tab/>
        <w:t xml:space="preserve">1. </w:t>
      </w:r>
      <w:r w:rsidRPr="00F01F4F">
        <w:rPr>
          <w:rFonts w:asciiTheme="majorBidi" w:hAnsiTheme="majorBidi" w:cstheme="majorBidi"/>
          <w:b/>
          <w:bCs/>
          <w:lang w:val="en-CA"/>
        </w:rPr>
        <w:t xml:space="preserve">Molly </w:t>
      </w:r>
      <w:proofErr w:type="spellStart"/>
      <w:r w:rsidRPr="00F01F4F">
        <w:rPr>
          <w:rFonts w:asciiTheme="majorBidi" w:hAnsiTheme="majorBidi" w:cstheme="majorBidi"/>
          <w:b/>
          <w:bCs/>
          <w:lang w:val="en-CA"/>
        </w:rPr>
        <w:t>Malekar</w:t>
      </w:r>
      <w:proofErr w:type="spellEnd"/>
      <w:r w:rsidRPr="00F01F4F">
        <w:rPr>
          <w:rFonts w:asciiTheme="majorBidi" w:hAnsiTheme="majorBidi" w:cstheme="majorBidi"/>
          <w:b/>
          <w:bCs/>
          <w:lang w:val="en-CA"/>
        </w:rPr>
        <w:t xml:space="preserve"> and 29 others</w:t>
      </w:r>
    </w:p>
    <w:p w14:paraId="59CDAB6F" w14:textId="77777777" w:rsidR="004E254C" w:rsidRPr="00F01F4F" w:rsidRDefault="004E254C" w:rsidP="004E254C">
      <w:pPr>
        <w:tabs>
          <w:tab w:val="left" w:pos="2835"/>
        </w:tabs>
        <w:bidi w:val="0"/>
        <w:spacing w:after="0" w:line="240" w:lineRule="auto"/>
        <w:ind w:left="2835" w:hanging="2835"/>
        <w:rPr>
          <w:rFonts w:asciiTheme="majorBidi" w:hAnsiTheme="majorBidi" w:cstheme="majorBidi"/>
          <w:b/>
          <w:bCs/>
          <w:lang w:val="en-CA"/>
        </w:rPr>
      </w:pPr>
      <w:r w:rsidRPr="00F01F4F">
        <w:rPr>
          <w:rFonts w:asciiTheme="majorBidi" w:hAnsiTheme="majorBidi" w:cstheme="majorBidi"/>
          <w:b/>
          <w:bCs/>
          <w:lang w:val="en-CA"/>
        </w:rPr>
        <w:tab/>
        <w:t xml:space="preserve">Represented by Attorney </w:t>
      </w:r>
      <w:proofErr w:type="spellStart"/>
      <w:r w:rsidRPr="00F01F4F">
        <w:rPr>
          <w:rFonts w:asciiTheme="majorBidi" w:hAnsiTheme="majorBidi" w:cstheme="majorBidi"/>
          <w:b/>
          <w:bCs/>
          <w:lang w:val="en-CA"/>
        </w:rPr>
        <w:t>Eitay</w:t>
      </w:r>
      <w:proofErr w:type="spellEnd"/>
      <w:r w:rsidRPr="00F01F4F">
        <w:rPr>
          <w:rFonts w:asciiTheme="majorBidi" w:hAnsiTheme="majorBidi" w:cstheme="majorBidi"/>
          <w:b/>
          <w:bCs/>
          <w:lang w:val="en-CA"/>
        </w:rPr>
        <w:t xml:space="preserve"> Mack</w:t>
      </w:r>
    </w:p>
    <w:p w14:paraId="2BCBB1FA" w14:textId="700CDB3F" w:rsidR="004E254C" w:rsidRPr="00F01F4F" w:rsidRDefault="004E254C" w:rsidP="004E254C">
      <w:pPr>
        <w:tabs>
          <w:tab w:val="left" w:pos="2835"/>
        </w:tabs>
        <w:bidi w:val="0"/>
        <w:spacing w:after="0" w:line="240" w:lineRule="auto"/>
        <w:ind w:left="2835" w:hanging="2835"/>
        <w:rPr>
          <w:rFonts w:asciiTheme="majorBidi" w:hAnsiTheme="majorBidi" w:cstheme="majorBidi"/>
          <w:lang w:val="en-CA"/>
        </w:rPr>
      </w:pPr>
      <w:r w:rsidRPr="00F01F4F">
        <w:rPr>
          <w:rFonts w:asciiTheme="majorBidi" w:hAnsiTheme="majorBidi" w:cstheme="majorBidi"/>
          <w:lang w:val="en-CA"/>
        </w:rPr>
        <w:tab/>
      </w:r>
    </w:p>
    <w:p w14:paraId="4077950B" w14:textId="77777777" w:rsidR="004E254C" w:rsidRPr="00F01F4F" w:rsidRDefault="004E254C" w:rsidP="004E254C">
      <w:pPr>
        <w:tabs>
          <w:tab w:val="left" w:pos="2835"/>
        </w:tabs>
        <w:bidi w:val="0"/>
        <w:spacing w:after="0" w:line="240" w:lineRule="auto"/>
        <w:ind w:left="567" w:hanging="567"/>
        <w:rPr>
          <w:rFonts w:asciiTheme="majorBidi" w:hAnsiTheme="majorBidi" w:cstheme="majorBidi"/>
          <w:lang w:val="en-CA"/>
        </w:rPr>
      </w:pPr>
    </w:p>
    <w:p w14:paraId="469D9CF0" w14:textId="3C272957" w:rsidR="004E254C" w:rsidRPr="00F01F4F" w:rsidRDefault="004E254C" w:rsidP="004E254C">
      <w:pPr>
        <w:tabs>
          <w:tab w:val="left" w:pos="2835"/>
        </w:tabs>
        <w:bidi w:val="0"/>
        <w:spacing w:after="0" w:line="240" w:lineRule="auto"/>
        <w:ind w:left="3402"/>
        <w:rPr>
          <w:rFonts w:asciiTheme="majorBidi" w:hAnsiTheme="majorBidi" w:cstheme="majorBidi"/>
          <w:b/>
          <w:bCs/>
          <w:lang w:val="en-CA"/>
        </w:rPr>
      </w:pPr>
      <w:r w:rsidRPr="00F01F4F">
        <w:rPr>
          <w:rFonts w:asciiTheme="majorBidi" w:hAnsiTheme="majorBidi" w:cstheme="majorBidi"/>
          <w:b/>
          <w:bCs/>
          <w:lang w:val="en-CA"/>
        </w:rPr>
        <w:t xml:space="preserve">- Versus </w:t>
      </w:r>
      <w:r w:rsidRPr="00F01F4F">
        <w:rPr>
          <w:rFonts w:asciiTheme="majorBidi" w:hAnsiTheme="majorBidi" w:cstheme="majorBidi"/>
          <w:b/>
          <w:bCs/>
          <w:lang w:val="en-CA"/>
        </w:rPr>
        <w:t>–</w:t>
      </w:r>
    </w:p>
    <w:p w14:paraId="517C4AAF" w14:textId="4569B809" w:rsidR="004E254C" w:rsidRPr="00F01F4F" w:rsidRDefault="004E254C" w:rsidP="004E254C">
      <w:pPr>
        <w:tabs>
          <w:tab w:val="left" w:pos="2835"/>
        </w:tabs>
        <w:bidi w:val="0"/>
        <w:spacing w:after="0" w:line="240" w:lineRule="auto"/>
        <w:rPr>
          <w:rFonts w:asciiTheme="majorBidi" w:hAnsiTheme="majorBidi" w:cstheme="majorBidi"/>
          <w:b/>
          <w:bCs/>
          <w:lang w:val="en-CA"/>
        </w:rPr>
      </w:pPr>
    </w:p>
    <w:p w14:paraId="6EB25095" w14:textId="15AE1590" w:rsidR="004E254C" w:rsidRPr="00F01F4F" w:rsidRDefault="004E254C" w:rsidP="004E254C">
      <w:pPr>
        <w:tabs>
          <w:tab w:val="left" w:pos="2835"/>
        </w:tabs>
        <w:bidi w:val="0"/>
        <w:spacing w:after="0" w:line="240" w:lineRule="auto"/>
        <w:rPr>
          <w:rFonts w:asciiTheme="majorBidi" w:hAnsiTheme="majorBidi" w:cstheme="majorBidi"/>
          <w:b/>
          <w:bCs/>
          <w:lang w:val="en-CA"/>
        </w:rPr>
      </w:pPr>
      <w:r w:rsidRPr="00F01F4F">
        <w:rPr>
          <w:rFonts w:asciiTheme="majorBidi" w:hAnsiTheme="majorBidi" w:cstheme="majorBidi"/>
          <w:b/>
          <w:bCs/>
          <w:lang w:val="en-CA"/>
        </w:rPr>
        <w:t xml:space="preserve">The Respondents </w:t>
      </w:r>
      <w:r w:rsidRPr="00F01F4F">
        <w:rPr>
          <w:rFonts w:asciiTheme="majorBidi" w:hAnsiTheme="majorBidi" w:cstheme="majorBidi"/>
          <w:b/>
          <w:bCs/>
          <w:lang w:val="en-CA"/>
        </w:rPr>
        <w:tab/>
      </w:r>
      <w:r w:rsidRPr="00F01F4F">
        <w:rPr>
          <w:rFonts w:asciiTheme="majorBidi" w:hAnsiTheme="majorBidi" w:cstheme="majorBidi"/>
          <w:b/>
          <w:bCs/>
          <w:lang w:val="en-CA"/>
        </w:rPr>
        <w:t xml:space="preserve">1. Head of Defence Export Controls Agency, </w:t>
      </w:r>
      <w:proofErr w:type="spellStart"/>
      <w:r w:rsidRPr="00F01F4F">
        <w:rPr>
          <w:rFonts w:asciiTheme="majorBidi" w:hAnsiTheme="majorBidi" w:cstheme="majorBidi"/>
          <w:b/>
          <w:bCs/>
          <w:lang w:val="en-CA"/>
        </w:rPr>
        <w:t>Ms</w:t>
      </w:r>
      <w:proofErr w:type="spellEnd"/>
      <w:r w:rsidRPr="00F01F4F">
        <w:rPr>
          <w:rFonts w:asciiTheme="majorBidi" w:hAnsiTheme="majorBidi" w:cstheme="majorBidi"/>
          <w:b/>
          <w:bCs/>
          <w:lang w:val="en-CA"/>
        </w:rPr>
        <w:t xml:space="preserve"> </w:t>
      </w:r>
      <w:proofErr w:type="spellStart"/>
      <w:r w:rsidRPr="00F01F4F">
        <w:rPr>
          <w:rFonts w:asciiTheme="majorBidi" w:hAnsiTheme="majorBidi" w:cstheme="majorBidi"/>
          <w:b/>
          <w:bCs/>
          <w:lang w:val="en-CA"/>
        </w:rPr>
        <w:t>Racheli</w:t>
      </w:r>
      <w:proofErr w:type="spellEnd"/>
      <w:r w:rsidRPr="00F01F4F">
        <w:rPr>
          <w:rFonts w:asciiTheme="majorBidi" w:hAnsiTheme="majorBidi" w:cstheme="majorBidi"/>
          <w:b/>
          <w:bCs/>
          <w:lang w:val="en-CA"/>
        </w:rPr>
        <w:t xml:space="preserve"> Chen</w:t>
      </w:r>
    </w:p>
    <w:p w14:paraId="49CA453C" w14:textId="77777777" w:rsidR="004E254C" w:rsidRPr="00F01F4F" w:rsidRDefault="004E254C" w:rsidP="004E254C">
      <w:pPr>
        <w:tabs>
          <w:tab w:val="left" w:pos="2835"/>
        </w:tabs>
        <w:bidi w:val="0"/>
        <w:spacing w:after="0" w:line="240" w:lineRule="auto"/>
        <w:ind w:left="2835" w:hanging="2835"/>
        <w:rPr>
          <w:rFonts w:asciiTheme="majorBidi" w:hAnsiTheme="majorBidi" w:cstheme="majorBidi"/>
          <w:b/>
          <w:bCs/>
          <w:lang w:val="en-CA"/>
        </w:rPr>
      </w:pPr>
      <w:r w:rsidRPr="00F01F4F">
        <w:rPr>
          <w:rFonts w:asciiTheme="majorBidi" w:hAnsiTheme="majorBidi" w:cstheme="majorBidi"/>
          <w:b/>
          <w:bCs/>
          <w:lang w:val="en-CA"/>
        </w:rPr>
        <w:tab/>
        <w:t>2. Minister of Defence</w:t>
      </w:r>
    </w:p>
    <w:p w14:paraId="6FCEF838" w14:textId="77777777" w:rsidR="004E254C" w:rsidRPr="00F01F4F" w:rsidRDefault="004E254C" w:rsidP="004E254C">
      <w:pPr>
        <w:tabs>
          <w:tab w:val="left" w:pos="2835"/>
        </w:tabs>
        <w:bidi w:val="0"/>
        <w:spacing w:after="0" w:line="240" w:lineRule="auto"/>
        <w:ind w:left="2835" w:hanging="2835"/>
        <w:rPr>
          <w:rFonts w:asciiTheme="majorBidi" w:hAnsiTheme="majorBidi" w:cstheme="majorBidi"/>
          <w:b/>
          <w:bCs/>
          <w:lang w:val="en-CA"/>
        </w:rPr>
      </w:pPr>
      <w:r w:rsidRPr="00F01F4F">
        <w:rPr>
          <w:rFonts w:asciiTheme="majorBidi" w:hAnsiTheme="majorBidi" w:cstheme="majorBidi"/>
          <w:b/>
          <w:bCs/>
          <w:lang w:val="en-CA"/>
        </w:rPr>
        <w:tab/>
        <w:t>3. Ministry of Defence</w:t>
      </w:r>
    </w:p>
    <w:p w14:paraId="72156BFC" w14:textId="77777777" w:rsidR="004E254C" w:rsidRPr="00F01F4F" w:rsidRDefault="004E254C" w:rsidP="004E254C">
      <w:pPr>
        <w:tabs>
          <w:tab w:val="left" w:pos="2835"/>
        </w:tabs>
        <w:bidi w:val="0"/>
        <w:spacing w:after="0" w:line="240" w:lineRule="auto"/>
        <w:ind w:left="2835" w:hanging="2835"/>
        <w:rPr>
          <w:rFonts w:asciiTheme="majorBidi" w:hAnsiTheme="majorBidi" w:cstheme="majorBidi"/>
          <w:b/>
          <w:bCs/>
          <w:lang w:val="en-CA"/>
        </w:rPr>
      </w:pPr>
      <w:r w:rsidRPr="00F01F4F">
        <w:rPr>
          <w:rFonts w:asciiTheme="majorBidi" w:hAnsiTheme="majorBidi" w:cstheme="majorBidi"/>
          <w:b/>
          <w:bCs/>
          <w:lang w:val="en-CA"/>
        </w:rPr>
        <w:tab/>
        <w:t>4. Ministry of Foreign Affairs</w:t>
      </w:r>
    </w:p>
    <w:p w14:paraId="3ADC9543" w14:textId="39EC2191" w:rsidR="004E254C" w:rsidRPr="00F01F4F" w:rsidRDefault="004E254C" w:rsidP="004E254C">
      <w:pPr>
        <w:tabs>
          <w:tab w:val="left" w:pos="2835"/>
        </w:tabs>
        <w:bidi w:val="0"/>
        <w:spacing w:after="0" w:line="240" w:lineRule="auto"/>
        <w:ind w:left="2835" w:hanging="2835"/>
        <w:rPr>
          <w:rFonts w:asciiTheme="majorBidi" w:hAnsiTheme="majorBidi" w:cstheme="majorBidi"/>
          <w:b/>
          <w:bCs/>
          <w:lang w:val="en-CA"/>
        </w:rPr>
      </w:pPr>
      <w:r w:rsidRPr="00F01F4F">
        <w:rPr>
          <w:rFonts w:asciiTheme="majorBidi" w:hAnsiTheme="majorBidi" w:cstheme="majorBidi"/>
          <w:b/>
          <w:bCs/>
          <w:lang w:val="en-CA"/>
        </w:rPr>
        <w:tab/>
        <w:t xml:space="preserve">Represented by </w:t>
      </w:r>
      <w:r w:rsidRPr="00F01F4F">
        <w:rPr>
          <w:rFonts w:asciiTheme="majorBidi" w:hAnsiTheme="majorBidi" w:cstheme="majorBidi"/>
          <w:b/>
          <w:bCs/>
          <w:lang w:val="en-CA"/>
        </w:rPr>
        <w:t>Attorney Sarah Bello</w:t>
      </w:r>
      <w:r w:rsidR="004B2593" w:rsidRPr="00F01F4F">
        <w:rPr>
          <w:rFonts w:asciiTheme="majorBidi" w:hAnsiTheme="majorBidi" w:cstheme="majorBidi"/>
          <w:b/>
          <w:bCs/>
          <w:lang w:val="en-CA"/>
        </w:rPr>
        <w:t xml:space="preserve"> – </w:t>
      </w:r>
      <w:r w:rsidRPr="00F01F4F">
        <w:rPr>
          <w:rFonts w:asciiTheme="majorBidi" w:hAnsiTheme="majorBidi" w:cstheme="majorBidi"/>
          <w:b/>
          <w:bCs/>
          <w:lang w:val="en-CA"/>
        </w:rPr>
        <w:t xml:space="preserve">Tel Aviv District Attorney </w:t>
      </w:r>
      <w:r w:rsidR="004B2593" w:rsidRPr="00F01F4F">
        <w:rPr>
          <w:rFonts w:asciiTheme="majorBidi" w:hAnsiTheme="majorBidi" w:cstheme="majorBidi"/>
          <w:b/>
          <w:bCs/>
          <w:lang w:val="en-CA"/>
        </w:rPr>
        <w:t xml:space="preserve">– </w:t>
      </w:r>
      <w:r w:rsidRPr="00F01F4F">
        <w:rPr>
          <w:rFonts w:asciiTheme="majorBidi" w:hAnsiTheme="majorBidi" w:cstheme="majorBidi"/>
          <w:b/>
          <w:bCs/>
          <w:lang w:val="en-CA"/>
        </w:rPr>
        <w:t>Civil</w:t>
      </w:r>
    </w:p>
    <w:p w14:paraId="06254F3C" w14:textId="6CAEE68D" w:rsidR="004E254C" w:rsidRPr="00F01F4F" w:rsidRDefault="004E254C" w:rsidP="004B2593">
      <w:pPr>
        <w:tabs>
          <w:tab w:val="left" w:pos="2835"/>
        </w:tabs>
        <w:bidi w:val="0"/>
        <w:spacing w:after="0" w:line="240" w:lineRule="auto"/>
        <w:ind w:left="2835" w:hanging="2835"/>
        <w:rPr>
          <w:rFonts w:asciiTheme="majorBidi" w:hAnsiTheme="majorBidi" w:cstheme="majorBidi"/>
          <w:b/>
          <w:bCs/>
          <w:lang w:val="en-CA"/>
        </w:rPr>
      </w:pPr>
      <w:r w:rsidRPr="00F01F4F">
        <w:rPr>
          <w:rFonts w:asciiTheme="majorBidi" w:hAnsiTheme="majorBidi" w:cstheme="majorBidi"/>
          <w:lang w:val="en-CA"/>
        </w:rPr>
        <w:tab/>
      </w:r>
      <w:r w:rsidRPr="00F01F4F">
        <w:rPr>
          <w:rFonts w:asciiTheme="majorBidi" w:hAnsiTheme="majorBidi" w:cstheme="majorBidi"/>
          <w:b/>
          <w:bCs/>
          <w:lang w:val="en-CA"/>
        </w:rPr>
        <w:t>5. NSO Group Technologies Ltd., private company 514395409</w:t>
      </w:r>
    </w:p>
    <w:p w14:paraId="53D457DF" w14:textId="0CCFAE87" w:rsidR="004E254C" w:rsidRPr="00F01F4F" w:rsidRDefault="004E254C" w:rsidP="004B2593">
      <w:pPr>
        <w:tabs>
          <w:tab w:val="left" w:pos="2835"/>
        </w:tabs>
        <w:bidi w:val="0"/>
        <w:spacing w:after="0"/>
        <w:ind w:left="2835" w:hanging="2835"/>
        <w:rPr>
          <w:rFonts w:asciiTheme="majorBidi" w:hAnsiTheme="majorBidi" w:cstheme="majorBidi"/>
          <w:b/>
          <w:bCs/>
          <w:lang w:val="en-CA"/>
        </w:rPr>
      </w:pPr>
      <w:r w:rsidRPr="00F01F4F">
        <w:rPr>
          <w:rFonts w:asciiTheme="majorBidi" w:hAnsiTheme="majorBidi" w:cstheme="majorBidi"/>
          <w:b/>
          <w:bCs/>
          <w:lang w:val="en-CA"/>
        </w:rPr>
        <w:tab/>
        <w:t xml:space="preserve">Represented by </w:t>
      </w:r>
      <w:r w:rsidR="004B2593" w:rsidRPr="00F01F4F">
        <w:rPr>
          <w:rFonts w:asciiTheme="majorBidi" w:hAnsiTheme="majorBidi" w:cstheme="majorBidi"/>
          <w:b/>
          <w:bCs/>
          <w:lang w:val="en-CA"/>
        </w:rPr>
        <w:t xml:space="preserve">Attorney Ran </w:t>
      </w:r>
      <w:proofErr w:type="spellStart"/>
      <w:r w:rsidR="004B2593" w:rsidRPr="00F01F4F">
        <w:rPr>
          <w:rFonts w:asciiTheme="majorBidi" w:hAnsiTheme="majorBidi" w:cstheme="majorBidi"/>
          <w:b/>
          <w:bCs/>
          <w:lang w:val="en-CA"/>
        </w:rPr>
        <w:t>Sprinzak</w:t>
      </w:r>
      <w:proofErr w:type="spellEnd"/>
    </w:p>
    <w:p w14:paraId="16673BE6" w14:textId="1171ABA4" w:rsidR="004B2593" w:rsidRPr="00F01F4F" w:rsidRDefault="004B2593" w:rsidP="004B2593">
      <w:pPr>
        <w:tabs>
          <w:tab w:val="left" w:pos="2835"/>
        </w:tabs>
        <w:bidi w:val="0"/>
        <w:spacing w:after="0"/>
        <w:ind w:left="2835" w:hanging="2835"/>
        <w:rPr>
          <w:rFonts w:asciiTheme="majorBidi" w:hAnsiTheme="majorBidi" w:cstheme="majorBidi"/>
          <w:b/>
          <w:bCs/>
          <w:lang w:val="en-CA"/>
        </w:rPr>
      </w:pPr>
    </w:p>
    <w:p w14:paraId="50D27830" w14:textId="5F322EC9" w:rsidR="004B2593" w:rsidRPr="00F01F4F" w:rsidRDefault="00B11FF4" w:rsidP="00AE1368">
      <w:pPr>
        <w:tabs>
          <w:tab w:val="left" w:pos="2835"/>
        </w:tabs>
        <w:bidi w:val="0"/>
        <w:spacing w:after="0" w:line="360" w:lineRule="auto"/>
        <w:jc w:val="center"/>
        <w:rPr>
          <w:rFonts w:asciiTheme="majorBidi" w:hAnsiTheme="majorBidi" w:cstheme="majorBidi"/>
          <w:b/>
          <w:bCs/>
          <w:u w:val="single"/>
          <w:lang w:val="en-CA"/>
        </w:rPr>
      </w:pPr>
      <w:r w:rsidRPr="00F01F4F">
        <w:rPr>
          <w:rFonts w:asciiTheme="majorBidi" w:hAnsiTheme="majorBidi" w:cstheme="majorBidi"/>
          <w:b/>
          <w:bCs/>
          <w:u w:val="single"/>
          <w:lang w:val="en-CA"/>
        </w:rPr>
        <w:t>Judgment</w:t>
      </w:r>
    </w:p>
    <w:p w14:paraId="2339C796" w14:textId="77777777" w:rsidR="00AE1368" w:rsidRPr="00F01F4F" w:rsidRDefault="00AE1368" w:rsidP="00AE1368">
      <w:pPr>
        <w:tabs>
          <w:tab w:val="left" w:pos="2835"/>
        </w:tabs>
        <w:bidi w:val="0"/>
        <w:spacing w:after="0" w:line="360" w:lineRule="auto"/>
        <w:jc w:val="center"/>
        <w:rPr>
          <w:rFonts w:asciiTheme="majorBidi" w:hAnsiTheme="majorBidi" w:cstheme="majorBidi"/>
          <w:b/>
          <w:bCs/>
          <w:u w:val="single"/>
          <w:lang w:val="en-CA"/>
        </w:rPr>
      </w:pPr>
    </w:p>
    <w:p w14:paraId="5B502EAB" w14:textId="7AAA94EA" w:rsidR="001F040C" w:rsidRPr="00F01F4F" w:rsidRDefault="001F040C" w:rsidP="00AE1368">
      <w:pPr>
        <w:bidi w:val="0"/>
        <w:spacing w:after="0" w:line="360" w:lineRule="auto"/>
        <w:jc w:val="both"/>
        <w:rPr>
          <w:rFonts w:asciiTheme="majorBidi" w:hAnsiTheme="majorBidi" w:cstheme="majorBidi"/>
          <w:lang w:val="en-CA"/>
        </w:rPr>
      </w:pPr>
      <w:r w:rsidRPr="00F01F4F">
        <w:rPr>
          <w:rFonts w:asciiTheme="majorBidi" w:hAnsiTheme="majorBidi" w:cstheme="majorBidi"/>
          <w:lang w:val="en-CA"/>
        </w:rPr>
        <w:t>In t</w:t>
      </w:r>
      <w:r w:rsidR="00B11FF4" w:rsidRPr="00F01F4F">
        <w:rPr>
          <w:rFonts w:asciiTheme="majorBidi" w:hAnsiTheme="majorBidi" w:cstheme="majorBidi"/>
          <w:lang w:val="en-CA"/>
        </w:rPr>
        <w:t>his appeal</w:t>
      </w:r>
      <w:r w:rsidRPr="00F01F4F">
        <w:rPr>
          <w:rFonts w:asciiTheme="majorBidi" w:hAnsiTheme="majorBidi" w:cstheme="majorBidi"/>
          <w:lang w:val="en-CA"/>
        </w:rPr>
        <w:t xml:space="preserve">, the Petitioners petitioned for a remedy according to which the Court should order Respondent 1 to enact its </w:t>
      </w:r>
      <w:r w:rsidRPr="00F01F4F">
        <w:rPr>
          <w:rFonts w:asciiTheme="majorBidi" w:hAnsiTheme="majorBidi" w:cstheme="majorBidi"/>
          <w:lang w:val="en-CA"/>
        </w:rPr>
        <w:t>authority under the Defence Export Control Law 5777-2007</w:t>
      </w:r>
      <w:r w:rsidRPr="00F01F4F">
        <w:rPr>
          <w:rFonts w:asciiTheme="majorBidi" w:hAnsiTheme="majorBidi" w:cstheme="majorBidi"/>
          <w:lang w:val="en-CA"/>
        </w:rPr>
        <w:t xml:space="preserve"> (hereinafter: "</w:t>
      </w:r>
      <w:r w:rsidRPr="00F01F4F">
        <w:rPr>
          <w:rFonts w:asciiTheme="majorBidi" w:hAnsiTheme="majorBidi" w:cstheme="majorBidi"/>
          <w:b/>
          <w:bCs/>
          <w:lang w:val="en-CA"/>
        </w:rPr>
        <w:t>the Control Law</w:t>
      </w:r>
      <w:r w:rsidRPr="00F01F4F">
        <w:rPr>
          <w:rFonts w:asciiTheme="majorBidi" w:hAnsiTheme="majorBidi" w:cstheme="majorBidi"/>
          <w:lang w:val="en-CA"/>
        </w:rPr>
        <w:t>")</w:t>
      </w:r>
      <w:r w:rsidRPr="00F01F4F">
        <w:rPr>
          <w:rFonts w:asciiTheme="majorBidi" w:hAnsiTheme="majorBidi" w:cstheme="majorBidi"/>
          <w:lang w:val="en-CA"/>
        </w:rPr>
        <w:t xml:space="preserve">, and order the revocation of the Defence Export Licence granted </w:t>
      </w:r>
      <w:r w:rsidRPr="00F01F4F">
        <w:rPr>
          <w:rFonts w:asciiTheme="majorBidi" w:hAnsiTheme="majorBidi" w:cstheme="majorBidi"/>
          <w:lang w:val="en-CA"/>
        </w:rPr>
        <w:t xml:space="preserve">by the Defence Export Control Authority (DECA) </w:t>
      </w:r>
      <w:r w:rsidRPr="00F01F4F">
        <w:rPr>
          <w:rFonts w:asciiTheme="majorBidi" w:hAnsiTheme="majorBidi" w:cstheme="majorBidi"/>
          <w:lang w:val="en-CA"/>
        </w:rPr>
        <w:t xml:space="preserve">to the </w:t>
      </w:r>
      <w:r w:rsidRPr="00F01F4F">
        <w:rPr>
          <w:rFonts w:asciiTheme="majorBidi" w:hAnsiTheme="majorBidi" w:cstheme="majorBidi"/>
          <w:lang w:val="en-CA"/>
        </w:rPr>
        <w:t>Respondent 5, permitting it to</w:t>
      </w:r>
      <w:r w:rsidRPr="00F01F4F">
        <w:rPr>
          <w:rFonts w:asciiTheme="majorBidi" w:hAnsiTheme="majorBidi" w:cstheme="majorBidi"/>
          <w:lang w:val="en-CA"/>
        </w:rPr>
        <w:t xml:space="preserve"> export </w:t>
      </w:r>
      <w:r w:rsidRPr="00F01F4F">
        <w:rPr>
          <w:rFonts w:asciiTheme="majorBidi" w:hAnsiTheme="majorBidi" w:cstheme="majorBidi"/>
          <w:lang w:val="en-CA"/>
        </w:rPr>
        <w:t>the surveillance system</w:t>
      </w:r>
      <w:r w:rsidRPr="00F01F4F">
        <w:rPr>
          <w:rFonts w:asciiTheme="majorBidi" w:hAnsiTheme="majorBidi" w:cstheme="majorBidi"/>
          <w:lang w:val="en-CA"/>
        </w:rPr>
        <w:t xml:space="preserve"> developed by </w:t>
      </w:r>
      <w:r w:rsidRPr="00F01F4F">
        <w:rPr>
          <w:rFonts w:asciiTheme="majorBidi" w:hAnsiTheme="majorBidi" w:cstheme="majorBidi"/>
          <w:lang w:val="en-CA"/>
        </w:rPr>
        <w:t>it</w:t>
      </w:r>
      <w:r w:rsidRPr="00F01F4F">
        <w:rPr>
          <w:rFonts w:asciiTheme="majorBidi" w:hAnsiTheme="majorBidi" w:cstheme="majorBidi"/>
          <w:lang w:val="en-CA"/>
        </w:rPr>
        <w:t>, which</w:t>
      </w:r>
      <w:r w:rsidRPr="00F01F4F">
        <w:rPr>
          <w:rFonts w:asciiTheme="majorBidi" w:hAnsiTheme="majorBidi" w:cstheme="majorBidi"/>
          <w:lang w:val="en-CA"/>
        </w:rPr>
        <w:t>, the Petitioners claim,</w:t>
      </w:r>
      <w:r w:rsidRPr="00F01F4F">
        <w:rPr>
          <w:rFonts w:asciiTheme="majorBidi" w:hAnsiTheme="majorBidi" w:cstheme="majorBidi"/>
          <w:lang w:val="en-CA"/>
        </w:rPr>
        <w:t xml:space="preserve"> was used and/or is being used</w:t>
      </w:r>
      <w:r w:rsidRPr="00F01F4F">
        <w:rPr>
          <w:rFonts w:asciiTheme="majorBidi" w:hAnsiTheme="majorBidi" w:cstheme="majorBidi"/>
          <w:lang w:val="en-CA"/>
        </w:rPr>
        <w:t xml:space="preserve"> </w:t>
      </w:r>
      <w:r w:rsidRPr="00F01F4F">
        <w:rPr>
          <w:rFonts w:asciiTheme="majorBidi" w:hAnsiTheme="majorBidi" w:cstheme="majorBidi"/>
          <w:lang w:val="en-CA"/>
        </w:rPr>
        <w:t xml:space="preserve">against </w:t>
      </w:r>
      <w:r w:rsidRPr="00F01F4F">
        <w:rPr>
          <w:rFonts w:asciiTheme="majorBidi" w:hAnsiTheme="majorBidi" w:cstheme="majorBidi"/>
          <w:lang w:val="en-CA"/>
        </w:rPr>
        <w:t>Amnesty International activists</w:t>
      </w:r>
      <w:r w:rsidRPr="00F01F4F">
        <w:rPr>
          <w:rFonts w:asciiTheme="majorBidi" w:hAnsiTheme="majorBidi" w:cstheme="majorBidi"/>
          <w:lang w:val="en-CA"/>
        </w:rPr>
        <w:t>.</w:t>
      </w:r>
    </w:p>
    <w:p w14:paraId="7D1FC386" w14:textId="77777777" w:rsidR="00AE1368" w:rsidRPr="00F01F4F" w:rsidRDefault="00AE1368" w:rsidP="00AE1368">
      <w:pPr>
        <w:bidi w:val="0"/>
        <w:spacing w:after="0" w:line="360" w:lineRule="auto"/>
        <w:jc w:val="both"/>
        <w:rPr>
          <w:rFonts w:asciiTheme="majorBidi" w:hAnsiTheme="majorBidi" w:cstheme="majorBidi"/>
          <w:lang w:val="en-CA"/>
        </w:rPr>
      </w:pPr>
    </w:p>
    <w:p w14:paraId="69502ABF" w14:textId="469CE8E3" w:rsidR="001F040C" w:rsidRPr="00F01F4F" w:rsidRDefault="001F040C" w:rsidP="00AE1368">
      <w:pPr>
        <w:bidi w:val="0"/>
        <w:spacing w:after="0" w:line="360" w:lineRule="auto"/>
        <w:jc w:val="both"/>
        <w:rPr>
          <w:rFonts w:asciiTheme="majorBidi" w:hAnsiTheme="majorBidi" w:cstheme="majorBidi"/>
          <w:lang w:val="en-CA"/>
        </w:rPr>
      </w:pPr>
      <w:r w:rsidRPr="00F01F4F">
        <w:rPr>
          <w:rFonts w:asciiTheme="majorBidi" w:hAnsiTheme="majorBidi" w:cstheme="majorBidi"/>
          <w:lang w:val="en-CA"/>
        </w:rPr>
        <w:t>Having thoroughly and exhaustively reviewed the claims and arguments made by the parties, I have decided to reject the petition.</w:t>
      </w:r>
    </w:p>
    <w:p w14:paraId="0C9F1406" w14:textId="4DCFEF90" w:rsidR="00AE1368" w:rsidRPr="00F01F4F" w:rsidRDefault="00AE1368" w:rsidP="00AE1368">
      <w:pPr>
        <w:bidi w:val="0"/>
        <w:spacing w:after="0" w:line="360" w:lineRule="auto"/>
        <w:jc w:val="both"/>
        <w:rPr>
          <w:rFonts w:asciiTheme="majorBidi" w:hAnsiTheme="majorBidi" w:cstheme="majorBidi"/>
          <w:lang w:val="en-CA"/>
        </w:rPr>
      </w:pPr>
    </w:p>
    <w:p w14:paraId="3D2648CB" w14:textId="11B7B911" w:rsidR="00AE1368" w:rsidRPr="00F01F4F" w:rsidRDefault="0093777E" w:rsidP="00AE1368">
      <w:pPr>
        <w:bidi w:val="0"/>
        <w:spacing w:after="0" w:line="360" w:lineRule="auto"/>
        <w:jc w:val="both"/>
        <w:rPr>
          <w:rFonts w:asciiTheme="majorBidi" w:hAnsiTheme="majorBidi" w:cstheme="majorBidi"/>
          <w:lang w:val="en-CA"/>
        </w:rPr>
      </w:pPr>
      <w:r w:rsidRPr="00F01F4F">
        <w:rPr>
          <w:rFonts w:asciiTheme="majorBidi" w:hAnsiTheme="majorBidi" w:cstheme="majorBidi"/>
          <w:lang w:val="en-CA"/>
        </w:rPr>
        <w:t>I will succinctly state that, taking into account the entirety of the information brought forth by Respondents 1</w:t>
      </w:r>
      <w:r w:rsidRPr="00F01F4F">
        <w:rPr>
          <w:rFonts w:asciiTheme="majorBidi" w:hAnsiTheme="majorBidi" w:cstheme="majorBidi"/>
          <w:lang w:val="en-CA"/>
        </w:rPr>
        <w:noBreakHyphen/>
        <w:t xml:space="preserve">4, I was convinced that the process of control and handling applications for defence marketing and/or exportation licences is a sensitive, meticulous process, under which the export applications are </w:t>
      </w:r>
      <w:r w:rsidRPr="00F01F4F">
        <w:rPr>
          <w:rFonts w:asciiTheme="majorBidi" w:hAnsiTheme="majorBidi" w:cstheme="majorBidi"/>
          <w:lang w:val="en-CA"/>
        </w:rPr>
        <w:t xml:space="preserve">thoroughly </w:t>
      </w:r>
      <w:r w:rsidRPr="00F01F4F">
        <w:rPr>
          <w:rFonts w:asciiTheme="majorBidi" w:hAnsiTheme="majorBidi" w:cstheme="majorBidi"/>
          <w:lang w:val="en-CA"/>
        </w:rPr>
        <w:t>reviewed, consulting with the various defence entities and institutions dealing with aspects of defence, political aspects, technological aspects etc. Licences are granted at the end of a thorough and meticulous process, and even after it is granted, the Authority continues to maintain strict control and monitoring, and, if the need arises and inasmuch as any abuse or breach of the terms of licence is identified, especially where violations of human rights are concerned, revocation or suspension procedures are exercised on the defence export licence.</w:t>
      </w:r>
    </w:p>
    <w:p w14:paraId="504372B4" w14:textId="77777777" w:rsidR="00F01F4F" w:rsidRPr="00F01F4F" w:rsidRDefault="00F01F4F" w:rsidP="00F01F4F">
      <w:pPr>
        <w:bidi w:val="0"/>
        <w:spacing w:after="0" w:line="360" w:lineRule="auto"/>
        <w:jc w:val="both"/>
        <w:rPr>
          <w:rFonts w:asciiTheme="majorBidi" w:hAnsiTheme="majorBidi" w:cstheme="majorBidi"/>
          <w:lang w:val="en-CA"/>
        </w:rPr>
      </w:pPr>
    </w:p>
    <w:p w14:paraId="18F30187" w14:textId="3235EC5A" w:rsidR="0093777E" w:rsidRPr="00F01F4F" w:rsidRDefault="00F01F4F" w:rsidP="0093777E">
      <w:pPr>
        <w:bidi w:val="0"/>
        <w:spacing w:after="0" w:line="360" w:lineRule="auto"/>
        <w:jc w:val="both"/>
        <w:rPr>
          <w:rFonts w:asciiTheme="majorBidi" w:hAnsiTheme="majorBidi" w:cstheme="majorBidi"/>
          <w:lang w:val="en-CA"/>
        </w:rPr>
      </w:pPr>
      <w:r w:rsidRPr="00F01F4F">
        <w:rPr>
          <w:rFonts w:asciiTheme="majorBidi" w:hAnsiTheme="majorBidi" w:cstheme="majorBidi"/>
          <w:lang w:val="en-CA"/>
        </w:rPr>
        <w:lastRenderedPageBreak/>
        <w:t>The Petitioners have not established an evidentiary basis sufficient to back the claim of an attempted surveillance against a human rights activist by hacking into their mobile phone device, nor that this attempt was indeed carried out by Respondent 5.</w:t>
      </w:r>
    </w:p>
    <w:p w14:paraId="59B8F5D6" w14:textId="72EEC240" w:rsidR="00F01F4F" w:rsidRDefault="00F01F4F" w:rsidP="00F01F4F">
      <w:pPr>
        <w:bidi w:val="0"/>
        <w:spacing w:after="0" w:line="360" w:lineRule="auto"/>
        <w:jc w:val="both"/>
        <w:rPr>
          <w:rFonts w:asciiTheme="majorBidi" w:hAnsiTheme="majorBidi" w:cstheme="majorBidi"/>
          <w:lang w:val="en-CA"/>
        </w:rPr>
      </w:pPr>
      <w:r w:rsidRPr="00F01F4F">
        <w:rPr>
          <w:rFonts w:asciiTheme="majorBidi" w:hAnsiTheme="majorBidi" w:cstheme="majorBidi"/>
          <w:lang w:val="en-CA"/>
        </w:rPr>
        <w:t xml:space="preserve">Without </w:t>
      </w:r>
      <w:r>
        <w:rPr>
          <w:rFonts w:asciiTheme="majorBidi" w:hAnsiTheme="majorBidi" w:cstheme="majorBidi"/>
          <w:lang w:val="en-CA"/>
        </w:rPr>
        <w:t>asserting</w:t>
      </w:r>
      <w:r w:rsidRPr="00F01F4F">
        <w:rPr>
          <w:rFonts w:asciiTheme="majorBidi" w:hAnsiTheme="majorBidi" w:cstheme="majorBidi"/>
          <w:lang w:val="en-CA"/>
        </w:rPr>
        <w:t xml:space="preserve"> whether </w:t>
      </w:r>
      <w:r>
        <w:rPr>
          <w:rFonts w:asciiTheme="majorBidi" w:hAnsiTheme="majorBidi" w:cstheme="majorBidi"/>
          <w:lang w:val="en-CA"/>
        </w:rPr>
        <w:t xml:space="preserve">or not </w:t>
      </w:r>
      <w:r w:rsidRPr="00F01F4F">
        <w:rPr>
          <w:rFonts w:asciiTheme="majorBidi" w:hAnsiTheme="majorBidi" w:cstheme="majorBidi"/>
          <w:lang w:val="en-CA"/>
        </w:rPr>
        <w:t>Respondent 5 holds a defen</w:t>
      </w:r>
      <w:r>
        <w:rPr>
          <w:rFonts w:asciiTheme="majorBidi" w:hAnsiTheme="majorBidi" w:cstheme="majorBidi"/>
          <w:lang w:val="en-CA"/>
        </w:rPr>
        <w:t>c</w:t>
      </w:r>
      <w:r w:rsidRPr="00F01F4F">
        <w:rPr>
          <w:rFonts w:asciiTheme="majorBidi" w:hAnsiTheme="majorBidi" w:cstheme="majorBidi"/>
          <w:lang w:val="en-CA"/>
        </w:rPr>
        <w:t xml:space="preserve">e marketing and/or export licence, </w:t>
      </w:r>
      <w:r>
        <w:rPr>
          <w:rFonts w:asciiTheme="majorBidi" w:hAnsiTheme="majorBidi" w:cstheme="majorBidi"/>
          <w:lang w:val="en-CA"/>
        </w:rPr>
        <w:t xml:space="preserve">I am assured that Respondents 1-4 </w:t>
      </w:r>
      <w:r w:rsidR="008C7E95">
        <w:rPr>
          <w:rFonts w:asciiTheme="majorBidi" w:hAnsiTheme="majorBidi" w:cstheme="majorBidi"/>
          <w:lang w:val="en-CA"/>
        </w:rPr>
        <w:t>carry out</w:t>
      </w:r>
      <w:r>
        <w:rPr>
          <w:rFonts w:asciiTheme="majorBidi" w:hAnsiTheme="majorBidi" w:cstheme="majorBidi"/>
          <w:lang w:val="en-CA"/>
        </w:rPr>
        <w:t xml:space="preserve"> their job </w:t>
      </w:r>
      <w:r w:rsidR="008C7E95">
        <w:rPr>
          <w:rFonts w:asciiTheme="majorBidi" w:hAnsiTheme="majorBidi" w:cstheme="majorBidi"/>
          <w:lang w:val="en-CA"/>
        </w:rPr>
        <w:t xml:space="preserve">meticulously </w:t>
      </w:r>
      <w:r>
        <w:rPr>
          <w:rFonts w:asciiTheme="majorBidi" w:hAnsiTheme="majorBidi" w:cstheme="majorBidi"/>
          <w:lang w:val="en-CA"/>
        </w:rPr>
        <w:t xml:space="preserve">prior to granting such marketing and/or export licences, and even after </w:t>
      </w:r>
      <w:r w:rsidR="008C7E95">
        <w:rPr>
          <w:rFonts w:asciiTheme="majorBidi" w:hAnsiTheme="majorBidi" w:cstheme="majorBidi"/>
          <w:lang w:val="en-CA"/>
        </w:rPr>
        <w:t xml:space="preserve">the licence </w:t>
      </w:r>
      <w:r w:rsidRPr="00F01F4F">
        <w:rPr>
          <w:rFonts w:asciiTheme="majorBidi" w:hAnsiTheme="majorBidi" w:cstheme="majorBidi"/>
          <w:lang w:val="en-CA"/>
        </w:rPr>
        <w:t xml:space="preserve">is granted, </w:t>
      </w:r>
      <w:r w:rsidR="008C7E95">
        <w:rPr>
          <w:rFonts w:asciiTheme="majorBidi" w:hAnsiTheme="majorBidi" w:cstheme="majorBidi"/>
          <w:lang w:val="en-CA"/>
        </w:rPr>
        <w:t xml:space="preserve">its </w:t>
      </w:r>
      <w:r>
        <w:rPr>
          <w:rFonts w:asciiTheme="majorBidi" w:hAnsiTheme="majorBidi" w:cstheme="majorBidi"/>
          <w:lang w:val="en-CA"/>
        </w:rPr>
        <w:t>holder is subject to close monitoring by DECA, which exhibits special</w:t>
      </w:r>
      <w:r w:rsidR="008C7E95">
        <w:rPr>
          <w:rFonts w:asciiTheme="majorBidi" w:hAnsiTheme="majorBidi" w:cstheme="majorBidi"/>
          <w:lang w:val="en-CA"/>
        </w:rPr>
        <w:t xml:space="preserve"> care and</w:t>
      </w:r>
      <w:r>
        <w:rPr>
          <w:rFonts w:asciiTheme="majorBidi" w:hAnsiTheme="majorBidi" w:cstheme="majorBidi"/>
          <w:lang w:val="en-CA"/>
        </w:rPr>
        <w:t xml:space="preserve"> attention towards issues of human rights violations.</w:t>
      </w:r>
    </w:p>
    <w:p w14:paraId="4C9F0158" w14:textId="0B035C9F" w:rsidR="008C7E95" w:rsidRDefault="008C7E95" w:rsidP="008C7E95">
      <w:pPr>
        <w:bidi w:val="0"/>
        <w:spacing w:after="0" w:line="360" w:lineRule="auto"/>
        <w:jc w:val="both"/>
        <w:rPr>
          <w:rFonts w:asciiTheme="majorBidi" w:hAnsiTheme="majorBidi" w:cstheme="majorBidi"/>
          <w:lang w:val="en-CA"/>
        </w:rPr>
      </w:pPr>
    </w:p>
    <w:p w14:paraId="1B04F676" w14:textId="7BA9B245" w:rsidR="008C7E95" w:rsidRDefault="008C7E95" w:rsidP="008C7E95">
      <w:pPr>
        <w:bidi w:val="0"/>
        <w:spacing w:after="0" w:line="360" w:lineRule="auto"/>
        <w:jc w:val="both"/>
        <w:rPr>
          <w:rFonts w:asciiTheme="majorBidi" w:hAnsiTheme="majorBidi" w:cstheme="majorBidi"/>
          <w:lang w:val="en-CA"/>
        </w:rPr>
      </w:pPr>
      <w:r>
        <w:rPr>
          <w:rFonts w:asciiTheme="majorBidi" w:hAnsiTheme="majorBidi" w:cstheme="majorBidi"/>
          <w:lang w:val="en-CA"/>
        </w:rPr>
        <w:t xml:space="preserve">In light of the above, the </w:t>
      </w:r>
      <w:r w:rsidR="008C1965">
        <w:rPr>
          <w:rFonts w:asciiTheme="majorBidi" w:hAnsiTheme="majorBidi" w:cstheme="majorBidi"/>
          <w:lang w:val="en-CA"/>
        </w:rPr>
        <w:t>Appeal is rejected.</w:t>
      </w:r>
    </w:p>
    <w:p w14:paraId="3828F38F" w14:textId="2CE71AEF" w:rsidR="008C1965" w:rsidRDefault="00B04E58" w:rsidP="008C1965">
      <w:pPr>
        <w:bidi w:val="0"/>
        <w:spacing w:after="0" w:line="360" w:lineRule="auto"/>
        <w:jc w:val="both"/>
        <w:rPr>
          <w:rFonts w:asciiTheme="majorBidi" w:hAnsiTheme="majorBidi" w:cstheme="majorBidi"/>
          <w:lang w:val="en-CA"/>
        </w:rPr>
      </w:pPr>
      <w:r>
        <w:rPr>
          <w:rFonts w:asciiTheme="majorBidi" w:hAnsiTheme="majorBidi" w:cstheme="majorBidi"/>
          <w:lang w:val="en-CA"/>
        </w:rPr>
        <w:t>Beyond the strict letter of the Law, given the subject matter, I did not see fit to charge court costs.</w:t>
      </w:r>
    </w:p>
    <w:p w14:paraId="390112A0" w14:textId="793448C2" w:rsidR="00B04E58" w:rsidRDefault="00B04E58" w:rsidP="00B04E58">
      <w:pPr>
        <w:bidi w:val="0"/>
        <w:spacing w:after="0" w:line="360" w:lineRule="auto"/>
        <w:jc w:val="both"/>
        <w:rPr>
          <w:rFonts w:asciiTheme="majorBidi" w:hAnsiTheme="majorBidi" w:cstheme="majorBidi"/>
          <w:lang w:val="en-CA"/>
        </w:rPr>
      </w:pPr>
    </w:p>
    <w:p w14:paraId="65D82300" w14:textId="2FC39FD3" w:rsidR="00B04E58" w:rsidRDefault="00B04E58" w:rsidP="00B04E58">
      <w:pPr>
        <w:bidi w:val="0"/>
        <w:spacing w:after="0" w:line="360" w:lineRule="auto"/>
        <w:jc w:val="both"/>
        <w:rPr>
          <w:rFonts w:asciiTheme="majorBidi" w:hAnsiTheme="majorBidi" w:cstheme="majorBidi"/>
          <w:lang w:val="en-CA"/>
        </w:rPr>
      </w:pPr>
    </w:p>
    <w:p w14:paraId="7ED73FE9" w14:textId="5DEC52BF" w:rsidR="00B04E58" w:rsidRDefault="00B04E58" w:rsidP="00B04E58">
      <w:pPr>
        <w:bidi w:val="0"/>
        <w:spacing w:after="0" w:line="360" w:lineRule="auto"/>
        <w:jc w:val="both"/>
        <w:rPr>
          <w:rFonts w:asciiTheme="majorBidi" w:hAnsiTheme="majorBidi" w:cstheme="majorBidi"/>
          <w:lang w:val="en-CA"/>
        </w:rPr>
      </w:pPr>
      <w:r>
        <w:rPr>
          <w:rFonts w:asciiTheme="majorBidi" w:hAnsiTheme="majorBidi" w:cstheme="majorBidi"/>
          <w:lang w:val="en-CA"/>
        </w:rPr>
        <w:t>Judgment rendered today, [20 Tamuz, 5780], July 12</w:t>
      </w:r>
      <w:r w:rsidRPr="00B04E58">
        <w:rPr>
          <w:rFonts w:asciiTheme="majorBidi" w:hAnsiTheme="majorBidi" w:cstheme="majorBidi"/>
          <w:vertAlign w:val="superscript"/>
          <w:lang w:val="en-CA"/>
        </w:rPr>
        <w:t>th</w:t>
      </w:r>
      <w:r>
        <w:rPr>
          <w:rFonts w:asciiTheme="majorBidi" w:hAnsiTheme="majorBidi" w:cstheme="majorBidi"/>
          <w:lang w:val="en-CA"/>
        </w:rPr>
        <w:t>, 2020, in absentia.</w:t>
      </w:r>
    </w:p>
    <w:p w14:paraId="4E2F58F4" w14:textId="0974743E" w:rsidR="00B04E58" w:rsidRDefault="00B04E58" w:rsidP="00B04E58">
      <w:pPr>
        <w:bidi w:val="0"/>
        <w:spacing w:after="0" w:line="360" w:lineRule="auto"/>
        <w:jc w:val="both"/>
        <w:rPr>
          <w:rFonts w:asciiTheme="majorBidi" w:hAnsiTheme="majorBidi" w:cstheme="majorBidi"/>
          <w:lang w:val="en-CA"/>
        </w:rPr>
      </w:pPr>
    </w:p>
    <w:p w14:paraId="539C1BB4" w14:textId="26DFB689" w:rsidR="00B04E58" w:rsidRDefault="00B04E58" w:rsidP="00B04E58">
      <w:pPr>
        <w:bidi w:val="0"/>
        <w:spacing w:after="0" w:line="360" w:lineRule="auto"/>
        <w:jc w:val="both"/>
        <w:rPr>
          <w:rFonts w:asciiTheme="majorBidi" w:hAnsiTheme="majorBidi" w:cstheme="majorBidi"/>
          <w:lang w:val="en-CA"/>
        </w:rPr>
      </w:pPr>
    </w:p>
    <w:p w14:paraId="6F6A800E" w14:textId="33A2C24D" w:rsidR="00B04E58" w:rsidRDefault="00B04E58" w:rsidP="00B04E58">
      <w:pPr>
        <w:bidi w:val="0"/>
        <w:spacing w:after="0" w:line="360" w:lineRule="auto"/>
        <w:ind w:left="5954"/>
        <w:jc w:val="both"/>
        <w:rPr>
          <w:rFonts w:asciiTheme="majorBidi" w:hAnsiTheme="majorBidi" w:cstheme="majorBidi"/>
          <w:lang w:val="en-CA"/>
        </w:rPr>
      </w:pPr>
      <w:r>
        <w:rPr>
          <w:rFonts w:asciiTheme="majorBidi" w:hAnsiTheme="majorBidi" w:cstheme="majorBidi"/>
          <w:lang w:val="en-CA"/>
        </w:rPr>
        <w:t>[signature]</w:t>
      </w:r>
    </w:p>
    <w:p w14:paraId="0604C670" w14:textId="68E69B3E" w:rsidR="00B04E58" w:rsidRPr="00F01F4F" w:rsidRDefault="00B04E58" w:rsidP="00B04E58">
      <w:pPr>
        <w:bidi w:val="0"/>
        <w:spacing w:after="0" w:line="360" w:lineRule="auto"/>
        <w:ind w:left="5954"/>
        <w:jc w:val="both"/>
        <w:rPr>
          <w:rFonts w:asciiTheme="majorBidi" w:hAnsiTheme="majorBidi" w:cstheme="majorBidi"/>
          <w:rtl/>
          <w:lang w:val="en-CA"/>
        </w:rPr>
      </w:pPr>
      <w:r>
        <w:rPr>
          <w:rFonts w:asciiTheme="majorBidi" w:hAnsiTheme="majorBidi" w:cstheme="majorBidi"/>
          <w:lang w:val="en-CA"/>
        </w:rPr>
        <w:t xml:space="preserve">Rachel </w:t>
      </w:r>
      <w:proofErr w:type="spellStart"/>
      <w:r>
        <w:rPr>
          <w:rFonts w:asciiTheme="majorBidi" w:hAnsiTheme="majorBidi" w:cstheme="majorBidi"/>
          <w:lang w:val="en-CA"/>
        </w:rPr>
        <w:t>Brkai</w:t>
      </w:r>
      <w:proofErr w:type="spellEnd"/>
      <w:r>
        <w:rPr>
          <w:rFonts w:asciiTheme="majorBidi" w:hAnsiTheme="majorBidi" w:cstheme="majorBidi"/>
          <w:lang w:val="en-CA"/>
        </w:rPr>
        <w:t>, Senior Judge</w:t>
      </w:r>
    </w:p>
    <w:p w14:paraId="65F13499" w14:textId="2E1B2F23" w:rsidR="00B11FF4" w:rsidRPr="00F01F4F" w:rsidRDefault="00B11FF4" w:rsidP="00AE1368">
      <w:pPr>
        <w:bidi w:val="0"/>
        <w:spacing w:after="0" w:line="360" w:lineRule="auto"/>
        <w:rPr>
          <w:rFonts w:asciiTheme="majorBidi" w:hAnsiTheme="majorBidi" w:cstheme="majorBidi"/>
          <w:lang w:val="en-CA"/>
        </w:rPr>
      </w:pPr>
    </w:p>
    <w:p w14:paraId="01A944A0" w14:textId="359EBCBD" w:rsidR="004B2593" w:rsidRDefault="004B2593" w:rsidP="00AE1368">
      <w:pPr>
        <w:tabs>
          <w:tab w:val="left" w:pos="2835"/>
        </w:tabs>
        <w:bidi w:val="0"/>
        <w:spacing w:after="0" w:line="360" w:lineRule="auto"/>
        <w:rPr>
          <w:rFonts w:asciiTheme="majorBidi" w:hAnsiTheme="majorBidi" w:cstheme="majorBidi"/>
          <w:b/>
          <w:bCs/>
          <w:lang w:val="en-CA"/>
        </w:rPr>
      </w:pPr>
    </w:p>
    <w:p w14:paraId="25BB640C" w14:textId="77777777" w:rsidR="00BF51B4" w:rsidRPr="00F01F4F" w:rsidRDefault="00BF51B4" w:rsidP="00BF51B4">
      <w:pPr>
        <w:tabs>
          <w:tab w:val="left" w:pos="2835"/>
        </w:tabs>
        <w:bidi w:val="0"/>
        <w:spacing w:after="0" w:line="360" w:lineRule="auto"/>
        <w:rPr>
          <w:rFonts w:asciiTheme="majorBidi" w:hAnsiTheme="majorBidi" w:cstheme="majorBidi"/>
          <w:b/>
          <w:bCs/>
          <w:lang w:val="en-CA"/>
        </w:rPr>
      </w:pPr>
    </w:p>
    <w:sectPr w:rsidR="00BF51B4" w:rsidRPr="00F01F4F" w:rsidSect="004E254C">
      <w:headerReference w:type="default" r:id="rId7"/>
      <w:footerReference w:type="default" r:id="rId8"/>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C1B66" w14:textId="77777777" w:rsidR="0090493C" w:rsidRDefault="0090493C" w:rsidP="0093777E">
      <w:pPr>
        <w:spacing w:after="0" w:line="240" w:lineRule="auto"/>
      </w:pPr>
      <w:r>
        <w:separator/>
      </w:r>
    </w:p>
  </w:endnote>
  <w:endnote w:type="continuationSeparator" w:id="0">
    <w:p w14:paraId="766E2A5C" w14:textId="77777777" w:rsidR="0090493C" w:rsidRDefault="0090493C" w:rsidP="00937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6F87A" w14:textId="1D841012" w:rsidR="0093777E" w:rsidRPr="0093777E" w:rsidRDefault="0093777E" w:rsidP="0093777E">
    <w:pPr>
      <w:pStyle w:val="Footer"/>
      <w:bidi w:val="0"/>
      <w:jc w:val="center"/>
      <w:rPr>
        <w:rFonts w:asciiTheme="majorBidi" w:hAnsiTheme="majorBidi" w:cstheme="majorBidi"/>
        <w:sz w:val="20"/>
        <w:szCs w:val="20"/>
      </w:rPr>
    </w:pPr>
    <w:r w:rsidRPr="0093777E">
      <w:rPr>
        <w:rFonts w:asciiTheme="majorBidi" w:hAnsiTheme="majorBidi" w:cstheme="majorBidi"/>
        <w:sz w:val="20"/>
        <w:szCs w:val="20"/>
        <w:rtl/>
      </w:rPr>
      <w:fldChar w:fldCharType="begin"/>
    </w:r>
    <w:r w:rsidRPr="0093777E">
      <w:rPr>
        <w:rFonts w:asciiTheme="majorBidi" w:hAnsiTheme="majorBidi" w:cstheme="majorBidi"/>
        <w:sz w:val="20"/>
        <w:szCs w:val="20"/>
        <w:rtl/>
      </w:rPr>
      <w:instrText xml:space="preserve"> </w:instrText>
    </w:r>
    <w:r w:rsidRPr="0093777E">
      <w:rPr>
        <w:rFonts w:asciiTheme="majorBidi" w:hAnsiTheme="majorBidi" w:cstheme="majorBidi"/>
        <w:sz w:val="20"/>
        <w:szCs w:val="20"/>
      </w:rPr>
      <w:instrText>PAGE   \* MERGEFORMAT</w:instrText>
    </w:r>
    <w:r w:rsidRPr="0093777E">
      <w:rPr>
        <w:rFonts w:asciiTheme="majorBidi" w:hAnsiTheme="majorBidi" w:cstheme="majorBidi"/>
        <w:sz w:val="20"/>
        <w:szCs w:val="20"/>
        <w:rtl/>
      </w:rPr>
      <w:instrText xml:space="preserve"> </w:instrText>
    </w:r>
    <w:r w:rsidRPr="0093777E">
      <w:rPr>
        <w:rFonts w:asciiTheme="majorBidi" w:hAnsiTheme="majorBidi" w:cstheme="majorBidi"/>
        <w:sz w:val="20"/>
        <w:szCs w:val="20"/>
        <w:rtl/>
      </w:rPr>
      <w:fldChar w:fldCharType="separate"/>
    </w:r>
    <w:r w:rsidRPr="0093777E">
      <w:rPr>
        <w:rFonts w:asciiTheme="majorBidi" w:hAnsiTheme="majorBidi" w:cstheme="majorBidi"/>
        <w:noProof/>
        <w:sz w:val="20"/>
        <w:szCs w:val="20"/>
        <w:rtl/>
      </w:rPr>
      <w:t>1</w:t>
    </w:r>
    <w:r w:rsidRPr="0093777E">
      <w:rPr>
        <w:rFonts w:asciiTheme="majorBidi" w:hAnsiTheme="majorBidi" w:cstheme="majorBidi"/>
        <w:sz w:val="20"/>
        <w:szCs w:val="20"/>
        <w:rtl/>
      </w:rPr>
      <w:fldChar w:fldCharType="end"/>
    </w:r>
    <w:r w:rsidRPr="0093777E">
      <w:rPr>
        <w:rFonts w:asciiTheme="majorBidi" w:hAnsiTheme="majorBidi" w:cstheme="majorBidi"/>
        <w:sz w:val="20"/>
        <w:szCs w:val="20"/>
      </w:rPr>
      <w:t xml:space="preserve"> of </w:t>
    </w:r>
    <w:r w:rsidRPr="0093777E">
      <w:rPr>
        <w:rFonts w:asciiTheme="majorBidi" w:hAnsiTheme="majorBidi" w:cstheme="majorBidi"/>
        <w:sz w:val="20"/>
        <w:szCs w:val="20"/>
      </w:rPr>
      <w:fldChar w:fldCharType="begin"/>
    </w:r>
    <w:r w:rsidRPr="0093777E">
      <w:rPr>
        <w:rFonts w:asciiTheme="majorBidi" w:hAnsiTheme="majorBidi" w:cstheme="majorBidi"/>
        <w:sz w:val="20"/>
        <w:szCs w:val="20"/>
      </w:rPr>
      <w:instrText xml:space="preserve"> NUMPAGES   \* MERGEFORMAT </w:instrText>
    </w:r>
    <w:r w:rsidRPr="0093777E">
      <w:rPr>
        <w:rFonts w:asciiTheme="majorBidi" w:hAnsiTheme="majorBidi" w:cstheme="majorBidi"/>
        <w:sz w:val="20"/>
        <w:szCs w:val="20"/>
      </w:rPr>
      <w:fldChar w:fldCharType="separate"/>
    </w:r>
    <w:r w:rsidRPr="0093777E">
      <w:rPr>
        <w:rFonts w:asciiTheme="majorBidi" w:hAnsiTheme="majorBidi" w:cstheme="majorBidi"/>
        <w:noProof/>
        <w:sz w:val="20"/>
        <w:szCs w:val="20"/>
      </w:rPr>
      <w:t>2</w:t>
    </w:r>
    <w:r w:rsidRPr="0093777E">
      <w:rPr>
        <w:rFonts w:asciiTheme="majorBidi" w:hAnsiTheme="majorBidi" w:cstheme="majorBid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A0069" w14:textId="77777777" w:rsidR="0090493C" w:rsidRDefault="0090493C" w:rsidP="0093777E">
      <w:pPr>
        <w:spacing w:after="0" w:line="240" w:lineRule="auto"/>
      </w:pPr>
      <w:r>
        <w:separator/>
      </w:r>
    </w:p>
  </w:footnote>
  <w:footnote w:type="continuationSeparator" w:id="0">
    <w:p w14:paraId="1D3FD668" w14:textId="77777777" w:rsidR="0090493C" w:rsidRDefault="0090493C" w:rsidP="00937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CA349" w14:textId="77777777" w:rsidR="00386AA7" w:rsidRPr="004E254C" w:rsidRDefault="00386AA7" w:rsidP="00386AA7">
    <w:pPr>
      <w:bidi w:val="0"/>
      <w:jc w:val="center"/>
      <w:rPr>
        <w:rFonts w:asciiTheme="majorBidi" w:hAnsiTheme="majorBidi" w:cstheme="majorBidi"/>
        <w:rtl/>
      </w:rPr>
    </w:pPr>
    <w:r w:rsidRPr="004E254C">
      <w:rPr>
        <w:rFonts w:asciiTheme="majorBidi" w:hAnsiTheme="majorBidi" w:cstheme="majorBidi"/>
        <w:noProof/>
      </w:rPr>
      <w:drawing>
        <wp:inline distT="0" distB="0" distL="0" distR="0" wp14:anchorId="705F02B5" wp14:editId="07F7CECC">
          <wp:extent cx="484896" cy="5999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7389" cy="615386"/>
                  </a:xfrm>
                  <a:prstGeom prst="rect">
                    <a:avLst/>
                  </a:prstGeom>
                  <a:noFill/>
                  <a:ln>
                    <a:noFill/>
                  </a:ln>
                </pic:spPr>
              </pic:pic>
            </a:graphicData>
          </a:graphic>
        </wp:inline>
      </w:drawing>
    </w:r>
  </w:p>
  <w:p w14:paraId="63B0E3E9" w14:textId="77777777" w:rsidR="00386AA7" w:rsidRPr="004E254C" w:rsidRDefault="00386AA7" w:rsidP="00386AA7">
    <w:pPr>
      <w:bidi w:val="0"/>
      <w:jc w:val="center"/>
      <w:rPr>
        <w:rFonts w:asciiTheme="majorBidi" w:hAnsiTheme="majorBidi" w:cstheme="majorBidi"/>
        <w:b/>
        <w:bCs/>
        <w:color w:val="1F3864" w:themeColor="accent1" w:themeShade="80"/>
        <w:sz w:val="28"/>
        <w:szCs w:val="28"/>
        <w:rtl/>
      </w:rPr>
    </w:pPr>
    <w:r w:rsidRPr="004E254C">
      <w:rPr>
        <w:rFonts w:asciiTheme="majorBidi" w:hAnsiTheme="majorBidi" w:cstheme="majorBidi"/>
        <w:b/>
        <w:bCs/>
        <w:color w:val="1F3864" w:themeColor="accent1" w:themeShade="80"/>
        <w:sz w:val="28"/>
        <w:szCs w:val="28"/>
      </w:rPr>
      <w:t xml:space="preserve">Tel Aviv-Jaffa District Court sitting as </w:t>
    </w:r>
    <w:r>
      <w:rPr>
        <w:rFonts w:asciiTheme="majorBidi" w:hAnsiTheme="majorBidi" w:cstheme="majorBidi"/>
        <w:b/>
        <w:bCs/>
        <w:color w:val="1F3864" w:themeColor="accent1" w:themeShade="80"/>
        <w:sz w:val="28"/>
        <w:szCs w:val="28"/>
      </w:rPr>
      <w:t xml:space="preserve">the </w:t>
    </w:r>
    <w:r w:rsidRPr="004E254C">
      <w:rPr>
        <w:rFonts w:asciiTheme="majorBidi" w:hAnsiTheme="majorBidi" w:cstheme="majorBidi"/>
        <w:b/>
        <w:bCs/>
        <w:color w:val="1F3864" w:themeColor="accent1" w:themeShade="80"/>
        <w:sz w:val="28"/>
        <w:szCs w:val="28"/>
      </w:rPr>
      <w:t>Court</w:t>
    </w:r>
    <w:r>
      <w:rPr>
        <w:rFonts w:asciiTheme="majorBidi" w:hAnsiTheme="majorBidi" w:cstheme="majorBidi"/>
        <w:b/>
        <w:bCs/>
        <w:color w:val="1F3864" w:themeColor="accent1" w:themeShade="80"/>
        <w:sz w:val="28"/>
        <w:szCs w:val="28"/>
      </w:rPr>
      <w:t xml:space="preserve"> for Administrative Matters</w:t>
    </w:r>
  </w:p>
  <w:p w14:paraId="14244AEC" w14:textId="3BBDDA90" w:rsidR="00386AA7" w:rsidRPr="004E254C" w:rsidRDefault="00386AA7" w:rsidP="00386AA7">
    <w:pPr>
      <w:tabs>
        <w:tab w:val="left" w:pos="8364"/>
      </w:tabs>
      <w:bidi w:val="0"/>
      <w:rPr>
        <w:rFonts w:asciiTheme="majorBidi" w:hAnsiTheme="majorBidi" w:cstheme="majorBidi"/>
        <w:b/>
        <w:bCs/>
      </w:rPr>
    </w:pPr>
    <w:r w:rsidRPr="004E254C">
      <w:rPr>
        <w:rFonts w:asciiTheme="majorBidi" w:hAnsiTheme="majorBidi" w:cstheme="majorBidi"/>
        <w:b/>
        <w:bCs/>
      </w:rPr>
      <w:t xml:space="preserve">Before the Hon. </w:t>
    </w:r>
    <w:r w:rsidR="00C73398">
      <w:rPr>
        <w:rFonts w:asciiTheme="majorBidi" w:hAnsiTheme="majorBidi" w:cstheme="majorBidi"/>
        <w:b/>
        <w:bCs/>
      </w:rPr>
      <w:t>Judge</w:t>
    </w:r>
    <w:r w:rsidRPr="004E254C">
      <w:rPr>
        <w:rFonts w:asciiTheme="majorBidi" w:hAnsiTheme="majorBidi" w:cstheme="majorBidi"/>
        <w:b/>
        <w:bCs/>
      </w:rPr>
      <w:t xml:space="preserve"> Rachel </w:t>
    </w:r>
    <w:proofErr w:type="spellStart"/>
    <w:r w:rsidRPr="004E254C">
      <w:rPr>
        <w:rFonts w:asciiTheme="majorBidi" w:hAnsiTheme="majorBidi" w:cstheme="majorBidi"/>
        <w:b/>
        <w:bCs/>
      </w:rPr>
      <w:t>Barkai</w:t>
    </w:r>
    <w:proofErr w:type="spellEnd"/>
    <w:r w:rsidRPr="004E254C">
      <w:rPr>
        <w:rFonts w:asciiTheme="majorBidi" w:hAnsiTheme="majorBidi" w:cstheme="majorBidi"/>
        <w:b/>
        <w:bCs/>
      </w:rPr>
      <w:tab/>
      <w:t>July 12</w:t>
    </w:r>
    <w:r w:rsidRPr="004E254C">
      <w:rPr>
        <w:rFonts w:asciiTheme="majorBidi" w:hAnsiTheme="majorBidi" w:cstheme="majorBidi"/>
        <w:b/>
        <w:bCs/>
        <w:vertAlign w:val="superscript"/>
      </w:rPr>
      <w:t>th</w:t>
    </w:r>
    <w:r w:rsidRPr="004E254C">
      <w:rPr>
        <w:rFonts w:asciiTheme="majorBidi" w:hAnsiTheme="majorBidi" w:cstheme="majorBidi"/>
        <w:b/>
        <w:bCs/>
      </w:rPr>
      <w:t>, 2020</w:t>
    </w:r>
  </w:p>
  <w:p w14:paraId="5A084CA9" w14:textId="7474EA26" w:rsidR="00386AA7" w:rsidRDefault="00386AA7" w:rsidP="00386AA7">
    <w:pPr>
      <w:tabs>
        <w:tab w:val="left" w:pos="4962"/>
      </w:tabs>
      <w:bidi w:val="0"/>
      <w:spacing w:after="0" w:line="240" w:lineRule="auto"/>
      <w:rPr>
        <w:rFonts w:asciiTheme="majorBidi" w:hAnsiTheme="majorBidi" w:cstheme="majorBidi"/>
        <w:b/>
        <w:bCs/>
        <w:lang w:val="en-GB"/>
      </w:rPr>
    </w:pPr>
    <w:r w:rsidRPr="004E254C">
      <w:rPr>
        <w:rFonts w:asciiTheme="majorBidi" w:hAnsiTheme="majorBidi" w:cstheme="majorBidi"/>
        <w:b/>
        <w:bCs/>
        <w:lang w:val="en-GB"/>
      </w:rPr>
      <w:t>Administrative Appeal 28312-05-19</w:t>
    </w:r>
    <w:r>
      <w:rPr>
        <w:rFonts w:asciiTheme="majorBidi" w:hAnsiTheme="majorBidi" w:cstheme="majorBidi"/>
        <w:b/>
        <w:bCs/>
        <w:lang w:val="en-GB"/>
      </w:rPr>
      <w:t xml:space="preserve"> </w:t>
    </w:r>
    <w:proofErr w:type="spellStart"/>
    <w:r>
      <w:rPr>
        <w:rFonts w:asciiTheme="majorBidi" w:hAnsiTheme="majorBidi" w:cstheme="majorBidi"/>
        <w:b/>
        <w:bCs/>
        <w:lang w:val="en-GB"/>
      </w:rPr>
      <w:t>Malekar</w:t>
    </w:r>
    <w:proofErr w:type="spellEnd"/>
    <w:r>
      <w:rPr>
        <w:rFonts w:asciiTheme="majorBidi" w:hAnsiTheme="majorBidi" w:cstheme="majorBidi"/>
        <w:b/>
        <w:bCs/>
        <w:lang w:val="en-GB"/>
      </w:rPr>
      <w:t xml:space="preserve"> et al. v. Defence Export Head, </w:t>
    </w:r>
    <w:proofErr w:type="spellStart"/>
    <w:r w:rsidRPr="004E254C">
      <w:rPr>
        <w:rFonts w:asciiTheme="majorBidi" w:hAnsiTheme="majorBidi" w:cstheme="majorBidi"/>
        <w:b/>
        <w:bCs/>
        <w:lang w:val="en-GB"/>
      </w:rPr>
      <w:t>Racheli</w:t>
    </w:r>
    <w:proofErr w:type="spellEnd"/>
    <w:r w:rsidRPr="004E254C">
      <w:rPr>
        <w:rFonts w:asciiTheme="majorBidi" w:hAnsiTheme="majorBidi" w:cstheme="majorBidi"/>
        <w:b/>
        <w:bCs/>
        <w:lang w:val="en-GB"/>
      </w:rPr>
      <w:t xml:space="preserve"> Chen</w:t>
    </w:r>
    <w:r>
      <w:rPr>
        <w:rFonts w:asciiTheme="majorBidi" w:hAnsiTheme="majorBidi" w:cstheme="majorBidi"/>
        <w:b/>
        <w:bCs/>
        <w:lang w:val="en-GB"/>
      </w:rPr>
      <w:t xml:space="preserve"> et al.</w:t>
    </w:r>
  </w:p>
  <w:p w14:paraId="44479EBA" w14:textId="0AA12735" w:rsidR="00D42350" w:rsidRDefault="00D42350" w:rsidP="00D42350">
    <w:pPr>
      <w:tabs>
        <w:tab w:val="left" w:pos="4962"/>
      </w:tabs>
      <w:bidi w:val="0"/>
      <w:spacing w:after="0" w:line="240" w:lineRule="auto"/>
      <w:rPr>
        <w:rFonts w:asciiTheme="majorBidi" w:hAnsiTheme="majorBidi" w:cstheme="majorBidi"/>
        <w:b/>
        <w:bCs/>
        <w:lang w:val="en-GB"/>
      </w:rPr>
    </w:pPr>
  </w:p>
  <w:p w14:paraId="6369C35D" w14:textId="77777777" w:rsidR="00D42350" w:rsidRPr="00386AA7" w:rsidRDefault="00D42350" w:rsidP="00D42350">
    <w:pPr>
      <w:tabs>
        <w:tab w:val="left" w:pos="4962"/>
      </w:tabs>
      <w:bidi w:val="0"/>
      <w:spacing w:after="0" w:line="240" w:lineRule="auto"/>
      <w:rPr>
        <w:rFonts w:asciiTheme="majorBidi" w:hAnsiTheme="majorBidi" w:cstheme="majorBidi"/>
        <w:b/>
        <w:bCs/>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3500CF"/>
    <w:multiLevelType w:val="multilevel"/>
    <w:tmpl w:val="46161A10"/>
    <w:lvl w:ilvl="0">
      <w:start w:val="1"/>
      <w:numFmt w:val="upperRoman"/>
      <w:lvlText w:val="%1"/>
      <w:lvlJc w:val="left"/>
      <w:pPr>
        <w:ind w:left="851" w:hanging="851"/>
      </w:pPr>
      <w:rPr>
        <w:rFonts w:ascii="Times New Roman" w:hAnsi="Times New Roman" w:hint="default"/>
        <w:b/>
        <w:i w:val="0"/>
        <w:sz w:val="28"/>
        <w:u w:val="none"/>
      </w:rPr>
    </w:lvl>
    <w:lvl w:ilvl="1">
      <w:start w:val="1"/>
      <w:numFmt w:val="lowerLetter"/>
      <w:lvlText w:val="%1.%2."/>
      <w:lvlJc w:val="left"/>
      <w:pPr>
        <w:ind w:left="851" w:hanging="851"/>
      </w:pPr>
      <w:rPr>
        <w:rFonts w:ascii="Times New Roman" w:hAnsi="Times New Roman" w:hint="default"/>
        <w:b/>
        <w:i w:val="0"/>
        <w:sz w:val="24"/>
        <w:u w:val="none"/>
      </w:rPr>
    </w:lvl>
    <w:lvl w:ilvl="2">
      <w:start w:val="1"/>
      <w:numFmt w:val="decimal"/>
      <w:lvlText w:val="%1.%2.%3."/>
      <w:lvlJc w:val="left"/>
      <w:pPr>
        <w:ind w:left="851" w:hanging="851"/>
      </w:pPr>
      <w:rPr>
        <w:rFonts w:ascii="Times New Roman" w:hAnsi="Times New Roman" w:hint="default"/>
        <w:b/>
        <w:bCs w:val="0"/>
        <w:i w:val="0"/>
        <w:sz w:val="24"/>
      </w:rPr>
    </w:lvl>
    <w:lvl w:ilvl="3">
      <w:start w:val="1"/>
      <w:numFmt w:val="decimal"/>
      <w:lvlRestart w:val="0"/>
      <w:lvlText w:val="%4."/>
      <w:lvlJc w:val="left"/>
      <w:pPr>
        <w:ind w:left="567" w:hanging="567"/>
      </w:pPr>
      <w:rPr>
        <w:rFonts w:hint="default"/>
        <w:b w:val="0"/>
        <w:bCs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987"/>
    <w:rsid w:val="00000D12"/>
    <w:rsid w:val="0007147D"/>
    <w:rsid w:val="00191A18"/>
    <w:rsid w:val="001F040C"/>
    <w:rsid w:val="002B4FA1"/>
    <w:rsid w:val="00386AA7"/>
    <w:rsid w:val="004B2593"/>
    <w:rsid w:val="004C6CEB"/>
    <w:rsid w:val="004E254C"/>
    <w:rsid w:val="005329F2"/>
    <w:rsid w:val="00613D79"/>
    <w:rsid w:val="008C1965"/>
    <w:rsid w:val="008C7E95"/>
    <w:rsid w:val="008D0769"/>
    <w:rsid w:val="0090493C"/>
    <w:rsid w:val="0093777E"/>
    <w:rsid w:val="00967DD0"/>
    <w:rsid w:val="00A05987"/>
    <w:rsid w:val="00AE1368"/>
    <w:rsid w:val="00B04E58"/>
    <w:rsid w:val="00B11FF4"/>
    <w:rsid w:val="00BF3557"/>
    <w:rsid w:val="00BF51B4"/>
    <w:rsid w:val="00C73398"/>
    <w:rsid w:val="00CC31F9"/>
    <w:rsid w:val="00CD4CD2"/>
    <w:rsid w:val="00D42350"/>
    <w:rsid w:val="00E44A34"/>
    <w:rsid w:val="00E9017B"/>
    <w:rsid w:val="00F01F4F"/>
    <w:rsid w:val="00F049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6BF1"/>
  <w15:chartTrackingRefBased/>
  <w15:docId w15:val="{18ED767A-7A0B-41DB-BD94-D3D4895C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F040C"/>
    <w:pPr>
      <w:ind w:left="720"/>
      <w:contextualSpacing/>
    </w:pPr>
  </w:style>
  <w:style w:type="character" w:customStyle="1" w:styleId="ListParagraphChar">
    <w:name w:val="List Paragraph Char"/>
    <w:basedOn w:val="DefaultParagraphFont"/>
    <w:link w:val="ListParagraph"/>
    <w:uiPriority w:val="34"/>
    <w:rsid w:val="001F040C"/>
  </w:style>
  <w:style w:type="paragraph" w:styleId="Header">
    <w:name w:val="header"/>
    <w:basedOn w:val="Normal"/>
    <w:link w:val="HeaderChar"/>
    <w:uiPriority w:val="99"/>
    <w:unhideWhenUsed/>
    <w:rsid w:val="009377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77E"/>
  </w:style>
  <w:style w:type="paragraph" w:styleId="Footer">
    <w:name w:val="footer"/>
    <w:basedOn w:val="Normal"/>
    <w:link w:val="FooterChar"/>
    <w:uiPriority w:val="99"/>
    <w:unhideWhenUsed/>
    <w:rsid w:val="009377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77E"/>
  </w:style>
  <w:style w:type="character" w:styleId="LineNumber">
    <w:name w:val="line number"/>
    <w:basedOn w:val="DefaultParagraphFont"/>
    <w:uiPriority w:val="99"/>
    <w:semiHidden/>
    <w:unhideWhenUsed/>
    <w:rsid w:val="00BF5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 Grofit</dc:creator>
  <cp:keywords/>
  <dc:description/>
  <cp:lastModifiedBy>Elad Grofit</cp:lastModifiedBy>
  <cp:revision>12</cp:revision>
  <dcterms:created xsi:type="dcterms:W3CDTF">2020-07-13T14:16:00Z</dcterms:created>
  <dcterms:modified xsi:type="dcterms:W3CDTF">2020-07-13T15:06:00Z</dcterms:modified>
</cp:coreProperties>
</file>