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4F" w:rsidRPr="001C31A1" w:rsidRDefault="009C360D" w:rsidP="00BE5B4F">
      <w:pPr>
        <w:jc w:val="center"/>
        <w:rPr>
          <w:rFonts w:ascii="Times New Roman" w:hAnsi="Times New Roman" w:cs="Times New Roman"/>
          <w:b/>
          <w:sz w:val="24"/>
          <w:szCs w:val="24"/>
        </w:rPr>
      </w:pPr>
      <w:r>
        <w:rPr>
          <w:rFonts w:ascii="Times New Roman" w:hAnsi="Times New Roman" w:cs="Times New Roman"/>
          <w:b/>
          <w:sz w:val="24"/>
          <w:szCs w:val="24"/>
        </w:rPr>
        <w:t>CALVARY CHAPEL DAYTON VALLEY</w:t>
      </w:r>
      <w:r w:rsidR="00D95D61" w:rsidRPr="001C31A1">
        <w:rPr>
          <w:rFonts w:ascii="Times New Roman" w:hAnsi="Times New Roman" w:cs="Times New Roman"/>
          <w:b/>
          <w:sz w:val="24"/>
          <w:szCs w:val="24"/>
        </w:rPr>
        <w:t xml:space="preserve"> V </w:t>
      </w:r>
      <w:r>
        <w:rPr>
          <w:rFonts w:ascii="Times New Roman" w:hAnsi="Times New Roman" w:cs="Times New Roman"/>
          <w:b/>
          <w:sz w:val="24"/>
          <w:szCs w:val="24"/>
        </w:rPr>
        <w:t>STEVE SISOLAK</w:t>
      </w:r>
    </w:p>
    <w:p w:rsidR="003F1FCB" w:rsidRPr="001C31A1" w:rsidRDefault="003F1FCB" w:rsidP="00BE5B4F">
      <w:pPr>
        <w:jc w:val="center"/>
        <w:rPr>
          <w:rFonts w:ascii="Times New Roman" w:hAnsi="Times New Roman" w:cs="Times New Roman"/>
          <w:b/>
          <w:sz w:val="24"/>
          <w:szCs w:val="24"/>
        </w:rPr>
      </w:pPr>
    </w:p>
    <w:p w:rsidR="00BE5B4F" w:rsidRPr="001C31A1" w:rsidRDefault="00115A14" w:rsidP="00BE5B4F">
      <w:pPr>
        <w:rPr>
          <w:rFonts w:ascii="Times New Roman" w:hAnsi="Times New Roman" w:cs="Times New Roman"/>
          <w:b/>
          <w:sz w:val="24"/>
          <w:szCs w:val="24"/>
        </w:rPr>
      </w:pPr>
      <w:r w:rsidRPr="001C31A1">
        <w:rPr>
          <w:rFonts w:ascii="Times New Roman" w:hAnsi="Times New Roman" w:cs="Times New Roman"/>
          <w:b/>
          <w:sz w:val="24"/>
          <w:szCs w:val="24"/>
        </w:rPr>
        <w:t>Closed</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United States, North America</w:t>
      </w:r>
    </w:p>
    <w:p w:rsidR="00BE5B4F" w:rsidRPr="001C31A1" w:rsidRDefault="00BE5B4F" w:rsidP="00BE5B4F">
      <w:pPr>
        <w:rPr>
          <w:rFonts w:ascii="Times New Roman" w:hAnsi="Times New Roman" w:cs="Times New Roman"/>
          <w:b/>
          <w:sz w:val="24"/>
          <w:szCs w:val="24"/>
        </w:rPr>
      </w:pPr>
    </w:p>
    <w:p w:rsidR="00BE5B4F" w:rsidRPr="001C31A1" w:rsidRDefault="00E63475" w:rsidP="00BE5B4F">
      <w:pPr>
        <w:rPr>
          <w:rFonts w:ascii="Times New Roman" w:hAnsi="Times New Roman" w:cs="Times New Roman"/>
          <w:b/>
          <w:sz w:val="24"/>
          <w:szCs w:val="24"/>
        </w:rPr>
      </w:pPr>
      <w:r>
        <w:rPr>
          <w:rFonts w:ascii="Times New Roman" w:hAnsi="Times New Roman" w:cs="Times New Roman"/>
          <w:b/>
          <w:sz w:val="24"/>
          <w:szCs w:val="24"/>
        </w:rPr>
        <w:t>MIXED OUTCOME</w:t>
      </w:r>
      <w:r w:rsidR="00BE5B4F" w:rsidRPr="001C31A1">
        <w:rPr>
          <w:rFonts w:ascii="Times New Roman" w:hAnsi="Times New Roman" w:cs="Times New Roman"/>
          <w:b/>
          <w:sz w:val="24"/>
          <w:szCs w:val="24"/>
        </w:rPr>
        <w:t xml:space="preserve">  </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 xml:space="preserve">MODE OF EXPRESSION </w:t>
      </w:r>
    </w:p>
    <w:p w:rsidR="00BE5B4F" w:rsidRPr="001C31A1" w:rsidRDefault="00DA4AB9" w:rsidP="00BE5B4F">
      <w:pPr>
        <w:rPr>
          <w:rFonts w:ascii="Times New Roman" w:hAnsi="Times New Roman" w:cs="Times New Roman"/>
          <w:sz w:val="24"/>
          <w:szCs w:val="24"/>
        </w:rPr>
      </w:pPr>
      <w:r>
        <w:rPr>
          <w:rFonts w:ascii="Times New Roman" w:hAnsi="Times New Roman" w:cs="Times New Roman"/>
          <w:sz w:val="24"/>
          <w:szCs w:val="24"/>
        </w:rPr>
        <w:t>Public Assembly</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 xml:space="preserve">DATE OF DECISION   </w:t>
      </w:r>
    </w:p>
    <w:p w:rsidR="00BE5B4F" w:rsidRPr="001C31A1" w:rsidRDefault="00C54782" w:rsidP="00BE5B4F">
      <w:pPr>
        <w:rPr>
          <w:rFonts w:ascii="Times New Roman" w:hAnsi="Times New Roman" w:cs="Times New Roman"/>
          <w:sz w:val="24"/>
          <w:szCs w:val="24"/>
        </w:rPr>
      </w:pPr>
      <w:r w:rsidRPr="001C31A1">
        <w:rPr>
          <w:rFonts w:ascii="Times New Roman" w:hAnsi="Times New Roman" w:cs="Times New Roman"/>
          <w:sz w:val="24"/>
          <w:szCs w:val="24"/>
        </w:rPr>
        <w:t xml:space="preserve">July </w:t>
      </w:r>
      <w:r w:rsidR="00DF33AD">
        <w:rPr>
          <w:rFonts w:ascii="Times New Roman" w:hAnsi="Times New Roman" w:cs="Times New Roman"/>
          <w:sz w:val="24"/>
          <w:szCs w:val="24"/>
        </w:rPr>
        <w:t>2</w:t>
      </w:r>
      <w:r w:rsidR="009C360D">
        <w:rPr>
          <w:rFonts w:ascii="Times New Roman" w:hAnsi="Times New Roman" w:cs="Times New Roman"/>
          <w:sz w:val="24"/>
          <w:szCs w:val="24"/>
        </w:rPr>
        <w:t>4</w:t>
      </w:r>
      <w:r w:rsidR="007D1418" w:rsidRPr="001C31A1">
        <w:rPr>
          <w:rFonts w:ascii="Times New Roman" w:hAnsi="Times New Roman" w:cs="Times New Roman"/>
          <w:sz w:val="24"/>
          <w:szCs w:val="24"/>
        </w:rPr>
        <w:t>, 2020</w:t>
      </w:r>
      <w:r w:rsidR="00BE5B4F"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 xml:space="preserve">OUTCOME    </w:t>
      </w:r>
    </w:p>
    <w:p w:rsidR="00BE5B4F" w:rsidRPr="001C31A1" w:rsidRDefault="00DA4AB9" w:rsidP="00BE5B4F">
      <w:pPr>
        <w:rPr>
          <w:rFonts w:ascii="Times New Roman" w:hAnsi="Times New Roman" w:cs="Times New Roman"/>
          <w:sz w:val="24"/>
          <w:szCs w:val="24"/>
        </w:rPr>
      </w:pPr>
      <w:r>
        <w:rPr>
          <w:rFonts w:ascii="Times New Roman" w:hAnsi="Times New Roman" w:cs="Times New Roman"/>
          <w:sz w:val="24"/>
          <w:szCs w:val="24"/>
        </w:rPr>
        <w:t>Application for Injunctive Relief Denied</w:t>
      </w:r>
      <w:r w:rsidR="007D1418" w:rsidRPr="001C31A1">
        <w:rPr>
          <w:rFonts w:ascii="Times New Roman" w:hAnsi="Times New Roman" w:cs="Times New Roman"/>
          <w:sz w:val="24"/>
          <w:szCs w:val="24"/>
        </w:rPr>
        <w:t xml:space="preserve">. </w:t>
      </w:r>
      <w:r w:rsidR="00BE5B4F"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9C360D" w:rsidRPr="009C360D" w:rsidRDefault="00BE5B4F" w:rsidP="009C360D">
      <w:pPr>
        <w:rPr>
          <w:rFonts w:ascii="Times New Roman" w:hAnsi="Times New Roman" w:cs="Times New Roman"/>
          <w:b/>
          <w:sz w:val="24"/>
          <w:szCs w:val="24"/>
        </w:rPr>
      </w:pPr>
      <w:r w:rsidRPr="001C31A1">
        <w:rPr>
          <w:rFonts w:ascii="Times New Roman" w:hAnsi="Times New Roman" w:cs="Times New Roman"/>
          <w:b/>
          <w:sz w:val="24"/>
          <w:szCs w:val="24"/>
        </w:rPr>
        <w:t>CASE NUMBER</w:t>
      </w:r>
    </w:p>
    <w:p w:rsidR="00DF33AD" w:rsidRDefault="009C360D" w:rsidP="009C360D">
      <w:pPr>
        <w:rPr>
          <w:rFonts w:ascii="Times New Roman" w:hAnsi="Times New Roman" w:cs="Times New Roman"/>
          <w:color w:val="000000"/>
          <w:sz w:val="24"/>
          <w:szCs w:val="24"/>
        </w:rPr>
      </w:pPr>
      <w:r w:rsidRPr="009C360D">
        <w:rPr>
          <w:rFonts w:ascii="Century Schoolbook" w:hAnsi="Century Schoolbook" w:cs="Century Schoolbook"/>
          <w:color w:val="000000"/>
          <w:sz w:val="24"/>
          <w:szCs w:val="24"/>
        </w:rPr>
        <w:t xml:space="preserve"> </w:t>
      </w:r>
      <w:r w:rsidRPr="009C360D">
        <w:rPr>
          <w:rFonts w:ascii="Times New Roman" w:hAnsi="Times New Roman" w:cs="Times New Roman"/>
          <w:color w:val="000000"/>
          <w:sz w:val="24"/>
          <w:szCs w:val="24"/>
        </w:rPr>
        <w:t>591 U. S. ____ (2020)</w:t>
      </w:r>
    </w:p>
    <w:p w:rsidR="009C360D" w:rsidRPr="009C360D" w:rsidRDefault="009C360D" w:rsidP="009C360D">
      <w:pPr>
        <w:rPr>
          <w:rFonts w:ascii="Times New Roman" w:hAnsi="Times New Roman" w:cs="Times New Roman"/>
          <w:b/>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JUDICIAL BODY</w:t>
      </w:r>
    </w:p>
    <w:p w:rsidR="00BE5B4F" w:rsidRPr="001C31A1" w:rsidRDefault="00DA4AB9" w:rsidP="00BE5B4F">
      <w:pPr>
        <w:rPr>
          <w:rFonts w:ascii="Times New Roman" w:hAnsi="Times New Roman" w:cs="Times New Roman"/>
          <w:sz w:val="24"/>
          <w:szCs w:val="24"/>
        </w:rPr>
      </w:pPr>
      <w:r>
        <w:rPr>
          <w:rFonts w:ascii="Times New Roman" w:hAnsi="Times New Roman" w:cs="Times New Roman"/>
          <w:sz w:val="24"/>
          <w:szCs w:val="24"/>
        </w:rPr>
        <w:t>Supreme Court (court of final appeal)</w:t>
      </w:r>
    </w:p>
    <w:p w:rsidR="00BE5B4F" w:rsidRPr="001C31A1" w:rsidRDefault="00BE5B4F" w:rsidP="00BE5B4F">
      <w:pPr>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TYPE OF LAW</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Constitutional Law</w:t>
      </w:r>
    </w:p>
    <w:p w:rsidR="00BE5B4F" w:rsidRPr="001C31A1" w:rsidRDefault="00BE5B4F" w:rsidP="00BE5B4F">
      <w:pPr>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THEMES</w:t>
      </w:r>
    </w:p>
    <w:p w:rsidR="00BE5B4F" w:rsidRPr="001C31A1" w:rsidRDefault="00DA4AB9" w:rsidP="00BE5B4F">
      <w:pPr>
        <w:rPr>
          <w:rFonts w:ascii="Times New Roman" w:hAnsi="Times New Roman" w:cs="Times New Roman"/>
          <w:sz w:val="24"/>
          <w:szCs w:val="24"/>
        </w:rPr>
      </w:pPr>
      <w:r>
        <w:rPr>
          <w:rFonts w:ascii="Times New Roman" w:hAnsi="Times New Roman" w:cs="Times New Roman"/>
          <w:sz w:val="24"/>
          <w:szCs w:val="24"/>
        </w:rPr>
        <w:t>Religious Expression</w:t>
      </w:r>
    </w:p>
    <w:p w:rsidR="00BE5B4F" w:rsidRPr="001C31A1" w:rsidRDefault="00BE5B4F" w:rsidP="00BE5B4F">
      <w:pPr>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lastRenderedPageBreak/>
        <w:t>TAGS</w:t>
      </w:r>
    </w:p>
    <w:p w:rsidR="00BE5B4F" w:rsidRPr="001C31A1" w:rsidRDefault="009362A5" w:rsidP="00BE5B4F">
      <w:pPr>
        <w:rPr>
          <w:rFonts w:ascii="Times New Roman" w:hAnsi="Times New Roman" w:cs="Times New Roman"/>
          <w:sz w:val="24"/>
          <w:szCs w:val="24"/>
        </w:rPr>
      </w:pPr>
      <w:r>
        <w:rPr>
          <w:rFonts w:ascii="Times New Roman" w:hAnsi="Times New Roman" w:cs="Times New Roman"/>
          <w:sz w:val="24"/>
          <w:szCs w:val="24"/>
        </w:rPr>
        <w:t xml:space="preserve">Covid-19, </w:t>
      </w:r>
      <w:r w:rsidR="00DA4AB9">
        <w:rPr>
          <w:rFonts w:ascii="Times New Roman" w:hAnsi="Times New Roman" w:cs="Times New Roman"/>
          <w:sz w:val="24"/>
          <w:szCs w:val="24"/>
        </w:rPr>
        <w:t xml:space="preserve">Discrimination </w:t>
      </w:r>
    </w:p>
    <w:p w:rsidR="00BE5B4F" w:rsidRPr="001C31A1" w:rsidRDefault="00BE5B4F" w:rsidP="00BE5B4F">
      <w:pPr>
        <w:rPr>
          <w:rFonts w:ascii="Times New Roman" w:hAnsi="Times New Roman" w:cs="Times New Roman"/>
          <w:b/>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CASE ANALYSIS</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Case Summary and Outcome</w:t>
      </w:r>
    </w:p>
    <w:p w:rsidR="00FC4D7A" w:rsidRPr="000D0C61" w:rsidRDefault="003F1FCB" w:rsidP="000D0C61">
      <w:pPr>
        <w:pStyle w:val="Default"/>
        <w:jc w:val="both"/>
      </w:pPr>
      <w:r w:rsidRPr="000D0C61">
        <w:rPr>
          <w:rFonts w:eastAsia="Times New Roman"/>
        </w:rPr>
        <w:t xml:space="preserve">The </w:t>
      </w:r>
      <w:r w:rsidR="00AD143B" w:rsidRPr="000D0C61">
        <w:rPr>
          <w:rFonts w:eastAsia="Times New Roman"/>
        </w:rPr>
        <w:t>Supreme Court of the United States</w:t>
      </w:r>
      <w:r w:rsidR="00F829D6" w:rsidRPr="000D0C61">
        <w:rPr>
          <w:rFonts w:eastAsia="Times New Roman"/>
        </w:rPr>
        <w:t xml:space="preserve"> </w:t>
      </w:r>
      <w:r w:rsidR="00AD143B" w:rsidRPr="000D0C61">
        <w:rPr>
          <w:rFonts w:eastAsia="Times New Roman"/>
        </w:rPr>
        <w:t>denied</w:t>
      </w:r>
      <w:r w:rsidR="00F829D6" w:rsidRPr="000D0C61">
        <w:rPr>
          <w:rFonts w:eastAsia="Times New Roman"/>
        </w:rPr>
        <w:t xml:space="preserve"> </w:t>
      </w:r>
      <w:r w:rsidR="00AD143B" w:rsidRPr="000D0C61">
        <w:rPr>
          <w:rFonts w:eastAsia="Times New Roman"/>
        </w:rPr>
        <w:t>the injunctive relief</w:t>
      </w:r>
      <w:r w:rsidR="00F829D6" w:rsidRPr="000D0C61">
        <w:rPr>
          <w:rFonts w:eastAsia="Times New Roman"/>
        </w:rPr>
        <w:t xml:space="preserve"> </w:t>
      </w:r>
      <w:r w:rsidR="009362A5" w:rsidRPr="000D0C61">
        <w:rPr>
          <w:rFonts w:eastAsia="Times New Roman"/>
        </w:rPr>
        <w:t xml:space="preserve">sought </w:t>
      </w:r>
      <w:r w:rsidR="00BA04A1" w:rsidRPr="000D0C61">
        <w:rPr>
          <w:rFonts w:eastAsia="Times New Roman"/>
        </w:rPr>
        <w:t xml:space="preserve">against </w:t>
      </w:r>
      <w:r w:rsidR="009D5781" w:rsidRPr="000D0C61">
        <w:rPr>
          <w:rFonts w:eastAsia="Times New Roman"/>
        </w:rPr>
        <w:t xml:space="preserve">the </w:t>
      </w:r>
      <w:r w:rsidR="00BA04A1" w:rsidRPr="000D0C61">
        <w:rPr>
          <w:rFonts w:eastAsia="Times New Roman"/>
        </w:rPr>
        <w:t xml:space="preserve">enforcement </w:t>
      </w:r>
      <w:r w:rsidR="00A4006B" w:rsidRPr="000D0C61">
        <w:rPr>
          <w:rFonts w:eastAsia="Times New Roman"/>
        </w:rPr>
        <w:t xml:space="preserve">of </w:t>
      </w:r>
      <w:r w:rsidR="009D5781" w:rsidRPr="000D0C61">
        <w:t>the directive</w:t>
      </w:r>
      <w:r w:rsidR="00A4006B" w:rsidRPr="000D0C61">
        <w:t xml:space="preserve"> </w:t>
      </w:r>
      <w:r w:rsidR="009D5781" w:rsidRPr="000D0C61">
        <w:t>on limit of</w:t>
      </w:r>
      <w:r w:rsidR="00A4006B" w:rsidRPr="000D0C61">
        <w:t xml:space="preserve"> gatherings at places of</w:t>
      </w:r>
      <w:r w:rsidR="00A4006B" w:rsidRPr="00B6415E">
        <w:t xml:space="preserve"> </w:t>
      </w:r>
      <w:r w:rsidR="00A4006B" w:rsidRPr="00B6415E">
        <w:rPr>
          <w:iCs/>
        </w:rPr>
        <w:t>worship</w:t>
      </w:r>
      <w:r w:rsidR="00A4006B" w:rsidRPr="000D0C61">
        <w:rPr>
          <w:i/>
          <w:iCs/>
        </w:rPr>
        <w:t xml:space="preserve"> </w:t>
      </w:r>
      <w:r w:rsidR="00A4006B" w:rsidRPr="000D0C61">
        <w:t>to maximum of 50 people in the light</w:t>
      </w:r>
      <w:r w:rsidR="009D5781" w:rsidRPr="000D0C61">
        <w:t xml:space="preserve"> of COVID-19 pandemic</w:t>
      </w:r>
      <w:r w:rsidR="00B6415E">
        <w:t>’s restrictions</w:t>
      </w:r>
      <w:r w:rsidR="009D5781" w:rsidRPr="000D0C61">
        <w:t xml:space="preserve">. </w:t>
      </w:r>
      <w:r w:rsidR="000D0C61" w:rsidRPr="000D0C61">
        <w:t xml:space="preserve">The </w:t>
      </w:r>
      <w:r w:rsidR="00614F26">
        <w:t xml:space="preserve">application which had been previously made before the </w:t>
      </w:r>
      <w:r w:rsidR="000D0C61" w:rsidRPr="000D0C61">
        <w:t xml:space="preserve">United States Court of Appeals for the Ninth Circuit </w:t>
      </w:r>
      <w:r w:rsidR="00614F26">
        <w:t xml:space="preserve">pending appeal </w:t>
      </w:r>
      <w:r w:rsidR="00AE2D26">
        <w:t xml:space="preserve">from the District Court of Nevada </w:t>
      </w:r>
      <w:r w:rsidR="00614F26">
        <w:t>but was denied, originally arose from</w:t>
      </w:r>
      <w:r w:rsidR="00F73FC2">
        <w:t xml:space="preserve"> the Order</w:t>
      </w:r>
      <w:r w:rsidR="00AE2D26">
        <w:t xml:space="preserve"> of the District Court</w:t>
      </w:r>
      <w:r w:rsidR="00F73FC2">
        <w:t xml:space="preserve"> by which it denied</w:t>
      </w:r>
      <w:r w:rsidR="00614F26">
        <w:t xml:space="preserve"> </w:t>
      </w:r>
      <w:r w:rsidR="00F73FC2">
        <w:t xml:space="preserve">the Applicant’s </w:t>
      </w:r>
      <w:r w:rsidR="00F73FC2">
        <w:rPr>
          <w:sz w:val="23"/>
          <w:szCs w:val="23"/>
        </w:rPr>
        <w:t>Emergency Motion for Temporary Restraining Order and Emergency Motion for Preliminary Injunction.</w:t>
      </w:r>
      <w:r w:rsidR="00F73FC2">
        <w:t xml:space="preserve"> </w:t>
      </w:r>
      <w:r w:rsidR="00DF7D88">
        <w:t>The decision by</w:t>
      </w:r>
      <w:r w:rsidR="00FC4D7A">
        <w:t xml:space="preserve"> the apex court </w:t>
      </w:r>
      <w:r w:rsidR="00F73FC2">
        <w:t xml:space="preserve">denying the injunctive relief </w:t>
      </w:r>
      <w:r w:rsidR="00DF7D88">
        <w:t>was narrowly establish</w:t>
      </w:r>
      <w:r w:rsidR="00604773">
        <w:t>ed</w:t>
      </w:r>
      <w:r w:rsidR="00696FD4">
        <w:t xml:space="preserve"> in </w:t>
      </w:r>
      <w:proofErr w:type="spellStart"/>
      <w:r w:rsidR="00696FD4">
        <w:t>favour</w:t>
      </w:r>
      <w:proofErr w:type="spellEnd"/>
      <w:r w:rsidR="00696FD4">
        <w:t xml:space="preserve"> of the respondent by Chief Justice </w:t>
      </w:r>
      <w:r w:rsidR="00AE2D26">
        <w:t xml:space="preserve">John </w:t>
      </w:r>
      <w:r w:rsidR="00696FD4">
        <w:t>Roberts’</w:t>
      </w:r>
      <w:r w:rsidR="00B6415E">
        <w:t xml:space="preserve"> opinion</w:t>
      </w:r>
      <w:r w:rsidR="00604773">
        <w:t xml:space="preserve"> alongside </w:t>
      </w:r>
      <w:r w:rsidR="00850742">
        <w:t>the</w:t>
      </w:r>
      <w:r w:rsidR="00B6415E">
        <w:t xml:space="preserve"> </w:t>
      </w:r>
      <w:r w:rsidR="00850742">
        <w:t xml:space="preserve">opinions </w:t>
      </w:r>
      <w:r w:rsidR="00F73FC2">
        <w:t xml:space="preserve">of </w:t>
      </w:r>
      <w:r w:rsidR="00AE2D26">
        <w:t>four</w:t>
      </w:r>
      <w:r w:rsidR="00604773">
        <w:t xml:space="preserve"> </w:t>
      </w:r>
      <w:r w:rsidR="00850742">
        <w:t xml:space="preserve">other </w:t>
      </w:r>
      <w:r w:rsidR="00604773">
        <w:t>justices</w:t>
      </w:r>
      <w:r w:rsidR="00696FD4">
        <w:t xml:space="preserve">, </w:t>
      </w:r>
      <w:r w:rsidR="00AE2D26">
        <w:t xml:space="preserve">as </w:t>
      </w:r>
      <w:r w:rsidR="00AE2D26" w:rsidRPr="00551B38">
        <w:rPr>
          <w:rFonts w:eastAsia="Times New Roman"/>
        </w:rPr>
        <w:t>Justice Samuel Alito</w:t>
      </w:r>
      <w:r w:rsidR="00AE2D26">
        <w:t>,</w:t>
      </w:r>
      <w:r w:rsidR="00696FD4">
        <w:t xml:space="preserve"> </w:t>
      </w:r>
      <w:r w:rsidR="003B7CBF">
        <w:rPr>
          <w:rFonts w:eastAsia="Times New Roman"/>
        </w:rPr>
        <w:t>Justice</w:t>
      </w:r>
      <w:r w:rsidR="00AE2D26">
        <w:rPr>
          <w:rFonts w:eastAsia="Times New Roman"/>
        </w:rPr>
        <w:t xml:space="preserve"> Clarence Thomas, Justice </w:t>
      </w:r>
      <w:r w:rsidR="00AE2D26" w:rsidRPr="00551B38">
        <w:rPr>
          <w:rFonts w:eastAsia="Times New Roman"/>
        </w:rPr>
        <w:t xml:space="preserve">Brett </w:t>
      </w:r>
      <w:proofErr w:type="spellStart"/>
      <w:r w:rsidR="00AE2D26" w:rsidRPr="00551B38">
        <w:rPr>
          <w:rFonts w:eastAsia="Times New Roman"/>
        </w:rPr>
        <w:t>Kavanaugh</w:t>
      </w:r>
      <w:proofErr w:type="spellEnd"/>
      <w:r w:rsidR="00AE2D26">
        <w:t xml:space="preserve"> and </w:t>
      </w:r>
      <w:r w:rsidR="00AE2D26" w:rsidRPr="00551B38">
        <w:rPr>
          <w:rFonts w:eastAsia="Times New Roman"/>
        </w:rPr>
        <w:t xml:space="preserve">Justice Neil </w:t>
      </w:r>
      <w:proofErr w:type="spellStart"/>
      <w:r w:rsidR="00AE2D26" w:rsidRPr="00551B38">
        <w:rPr>
          <w:rFonts w:eastAsia="Times New Roman"/>
        </w:rPr>
        <w:t>Gorsuch</w:t>
      </w:r>
      <w:proofErr w:type="spellEnd"/>
      <w:r w:rsidR="00AE2D26">
        <w:t xml:space="preserve"> </w:t>
      </w:r>
      <w:r w:rsidR="00A81C4A">
        <w:t xml:space="preserve">remarkably </w:t>
      </w:r>
      <w:r w:rsidR="00696FD4">
        <w:t>dissented</w:t>
      </w:r>
      <w:r w:rsidR="00AA5497">
        <w:t>.</w:t>
      </w:r>
    </w:p>
    <w:p w:rsidR="000D0C61" w:rsidRPr="000D0C61" w:rsidRDefault="000D0C61" w:rsidP="000D0C61">
      <w:pPr>
        <w:pStyle w:val="Default"/>
      </w:pPr>
    </w:p>
    <w:p w:rsidR="00BE5B4F" w:rsidRPr="001C31A1" w:rsidRDefault="00BE5B4F" w:rsidP="00BE5B4F">
      <w:pPr>
        <w:jc w:val="both"/>
        <w:rPr>
          <w:rFonts w:ascii="Times New Roman" w:hAnsi="Times New Roman" w:cs="Times New Roman"/>
          <w:b/>
          <w:sz w:val="24"/>
          <w:szCs w:val="24"/>
        </w:rPr>
      </w:pPr>
      <w:r w:rsidRPr="001C31A1">
        <w:rPr>
          <w:rFonts w:ascii="Times New Roman" w:hAnsi="Times New Roman" w:cs="Times New Roman"/>
          <w:b/>
          <w:sz w:val="24"/>
          <w:szCs w:val="24"/>
        </w:rPr>
        <w:t>Facts</w:t>
      </w:r>
    </w:p>
    <w:p w:rsidR="008D0F9D" w:rsidRPr="008D0F9D" w:rsidRDefault="005633DE" w:rsidP="00A10658">
      <w:pPr>
        <w:pStyle w:val="Default"/>
        <w:jc w:val="both"/>
      </w:pPr>
      <w:r>
        <w:t xml:space="preserve">The </w:t>
      </w:r>
      <w:r w:rsidR="001D189D">
        <w:t xml:space="preserve">Applicant </w:t>
      </w:r>
      <w:r>
        <w:t xml:space="preserve">who is the </w:t>
      </w:r>
      <w:r w:rsidR="001D189D">
        <w:t>Calvary Chapel Da</w:t>
      </w:r>
      <w:r w:rsidR="001D189D" w:rsidRPr="00137818">
        <w:t xml:space="preserve">yton Valley </w:t>
      </w:r>
      <w:r w:rsidR="00455261" w:rsidRPr="00137818">
        <w:t xml:space="preserve">is a </w:t>
      </w:r>
      <w:r w:rsidR="001D189D" w:rsidRPr="00137818">
        <w:t xml:space="preserve">Christian church </w:t>
      </w:r>
      <w:r w:rsidR="00C750A1" w:rsidRPr="00137818">
        <w:t xml:space="preserve">located in </w:t>
      </w:r>
      <w:r w:rsidR="00D610CD">
        <w:t xml:space="preserve">Dayton, </w:t>
      </w:r>
      <w:r w:rsidR="00C750A1" w:rsidRPr="00137818">
        <w:t xml:space="preserve">Nevada, </w:t>
      </w:r>
      <w:r w:rsidR="00455261" w:rsidRPr="00137818">
        <w:t>Un</w:t>
      </w:r>
      <w:r w:rsidR="00A10658" w:rsidRPr="00137818">
        <w:t xml:space="preserve">ited States. The </w:t>
      </w:r>
      <w:r w:rsidR="00B700CC" w:rsidRPr="00137818">
        <w:t xml:space="preserve">first </w:t>
      </w:r>
      <w:r w:rsidR="00A10658" w:rsidRPr="00137818">
        <w:t>Respondent</w:t>
      </w:r>
      <w:r w:rsidR="00EA0E19" w:rsidRPr="00137818">
        <w:t xml:space="preserve"> </w:t>
      </w:r>
      <w:r w:rsidR="00A10658" w:rsidRPr="00137818">
        <w:t xml:space="preserve">is Steve </w:t>
      </w:r>
      <w:proofErr w:type="spellStart"/>
      <w:r w:rsidR="00A10658" w:rsidRPr="00137818">
        <w:t>Sisolak</w:t>
      </w:r>
      <w:proofErr w:type="spellEnd"/>
      <w:r w:rsidR="00A10658" w:rsidRPr="00137818">
        <w:t xml:space="preserve"> in his official capacity as the Governor of Nevada.</w:t>
      </w:r>
      <w:r w:rsidR="00B700CC" w:rsidRPr="00137818">
        <w:t xml:space="preserve"> The second Respondent </w:t>
      </w:r>
      <w:r w:rsidR="00137818" w:rsidRPr="00137818">
        <w:t xml:space="preserve">is Aaron Ford, in his official capacity as Attorney General of Nevada, while the third Respondent is Frank </w:t>
      </w:r>
      <w:proofErr w:type="spellStart"/>
      <w:r w:rsidR="00137818" w:rsidRPr="00137818">
        <w:t>Hunewill</w:t>
      </w:r>
      <w:proofErr w:type="spellEnd"/>
      <w:r w:rsidR="00137818" w:rsidRPr="00137818">
        <w:t>, in his official capacity as Sheriff of Lyon County.</w:t>
      </w:r>
      <w:r w:rsidR="00137818">
        <w:t xml:space="preserve"> After the state of Nevada had been locked down due to COVID-19 Pandemic, the Governor of the State announced that the state</w:t>
      </w:r>
      <w:r w:rsidR="00137818" w:rsidRPr="001269A0">
        <w:t xml:space="preserve"> would re-open in phases. </w:t>
      </w:r>
      <w:r w:rsidR="00037106" w:rsidRPr="001269A0">
        <w:t>Upon the announcement of phase I of the re-opening of the state</w:t>
      </w:r>
      <w:r w:rsidR="003B7CBF" w:rsidRPr="001269A0">
        <w:t xml:space="preserve"> with </w:t>
      </w:r>
      <w:r w:rsidR="00037106" w:rsidRPr="001269A0">
        <w:t>emergenc</w:t>
      </w:r>
      <w:r w:rsidR="00E05740">
        <w:t xml:space="preserve">y orders, the Applicant filed its initial </w:t>
      </w:r>
      <w:r w:rsidR="00037106" w:rsidRPr="001269A0">
        <w:t xml:space="preserve">complaint </w:t>
      </w:r>
      <w:r w:rsidR="00E05740">
        <w:t>dated May 22, 2020 at</w:t>
      </w:r>
      <w:r w:rsidR="00037106" w:rsidRPr="001269A0">
        <w:t xml:space="preserve"> the District Court of Nevada challenging the emergency orders of the Governor prohibiting churches and other places of worship from holding in-person worship services of ten or more people regardless of compliance with social distancing and public health guidelines</w:t>
      </w:r>
      <w:r w:rsidR="00C2140D" w:rsidRPr="001269A0">
        <w:t xml:space="preserve">, </w:t>
      </w:r>
      <w:r w:rsidR="005E05AA" w:rsidRPr="001269A0">
        <w:t>while restaurants and food establishments, nail care salons, hair salons, and barber shops were allowed to open and operate at 50% capacity</w:t>
      </w:r>
      <w:r w:rsidR="00037106" w:rsidRPr="001269A0">
        <w:t xml:space="preserve">. </w:t>
      </w:r>
      <w:r w:rsidR="00D610CD" w:rsidRPr="001269A0">
        <w:t>This was indeed a</w:t>
      </w:r>
      <w:r w:rsidR="005E05AA" w:rsidRPr="001269A0">
        <w:t>fter about two months of inability to hold in-person service</w:t>
      </w:r>
      <w:r w:rsidR="00D610CD" w:rsidRPr="001269A0">
        <w:t xml:space="preserve"> which the Applicant considered discriminatory and was worsened by the fact that some members could not participate in the online service and that any other mode of service other than the physical assembly does not meet the requirement of their biblical belief. </w:t>
      </w:r>
      <w:r w:rsidR="00037106" w:rsidRPr="001269A0">
        <w:t>Four days after the filing of the complaint, the Governor announced that the state would be moving into the second phase of its re-opening plan on May 29, 2020</w:t>
      </w:r>
      <w:r w:rsidR="008D0F9D" w:rsidRPr="001269A0">
        <w:t xml:space="preserve"> </w:t>
      </w:r>
      <w:r w:rsidR="001269A0">
        <w:t>and that</w:t>
      </w:r>
      <w:r w:rsidR="008D0F9D" w:rsidRPr="001269A0">
        <w:t xml:space="preserve"> the following “non-essential” </w:t>
      </w:r>
      <w:r w:rsidR="00F77972">
        <w:t>businesses can reopen in Phase II</w:t>
      </w:r>
      <w:r w:rsidR="00B74BF8">
        <w:t>:</w:t>
      </w:r>
    </w:p>
    <w:p w:rsidR="008D0F9D" w:rsidRPr="008D0F9D" w:rsidRDefault="008D0F9D" w:rsidP="00A10658">
      <w:pPr>
        <w:pStyle w:val="Default"/>
        <w:jc w:val="both"/>
      </w:pPr>
    </w:p>
    <w:p w:rsidR="008D0F9D" w:rsidRPr="008D0F9D" w:rsidRDefault="00B74BF8" w:rsidP="00A10658">
      <w:pPr>
        <w:pStyle w:val="Default"/>
        <w:jc w:val="both"/>
        <w:rPr>
          <w:i/>
        </w:rPr>
      </w:pPr>
      <w:r>
        <w:rPr>
          <w:i/>
        </w:rPr>
        <w:t>“</w:t>
      </w:r>
      <w:r w:rsidR="008D0F9D" w:rsidRPr="008D0F9D">
        <w:rPr>
          <w:i/>
        </w:rPr>
        <w:t>Gyms and fitness facilities, including group fitness classes, up to 50% building capacity;</w:t>
      </w:r>
    </w:p>
    <w:p w:rsidR="008D0F9D" w:rsidRPr="008D0F9D" w:rsidRDefault="008D0F9D" w:rsidP="00A10658">
      <w:pPr>
        <w:pStyle w:val="Default"/>
        <w:jc w:val="both"/>
        <w:rPr>
          <w:rFonts w:ascii="Arial" w:hAnsi="Arial" w:cs="Arial"/>
          <w:i/>
        </w:rPr>
      </w:pPr>
      <w:r w:rsidRPr="008D0F9D">
        <w:rPr>
          <w:i/>
        </w:rPr>
        <w:t>Bars and taverns, up to 50% capacity;</w:t>
      </w:r>
    </w:p>
    <w:p w:rsidR="008D0F9D" w:rsidRPr="008D0F9D" w:rsidRDefault="008D0F9D" w:rsidP="00A10658">
      <w:pPr>
        <w:pStyle w:val="Default"/>
        <w:jc w:val="both"/>
        <w:rPr>
          <w:rFonts w:ascii="Arial" w:hAnsi="Arial" w:cs="Arial"/>
          <w:i/>
        </w:rPr>
      </w:pPr>
      <w:r w:rsidRPr="008D0F9D">
        <w:rPr>
          <w:i/>
        </w:rPr>
        <w:t>Salons and other businesses that provide aesthetic or skin services, including facials, hair removal, tanning, eyelash services, eyebrow threading, and salt therapy;</w:t>
      </w:r>
    </w:p>
    <w:p w:rsidR="008D0F9D" w:rsidRPr="008D0F9D" w:rsidRDefault="008D0F9D" w:rsidP="00A10658">
      <w:pPr>
        <w:pStyle w:val="Default"/>
        <w:jc w:val="both"/>
        <w:rPr>
          <w:i/>
        </w:rPr>
      </w:pPr>
      <w:r w:rsidRPr="008D0F9D">
        <w:rPr>
          <w:i/>
        </w:rPr>
        <w:t>Day and overnight spas</w:t>
      </w:r>
    </w:p>
    <w:p w:rsidR="008D0F9D" w:rsidRPr="008D0F9D" w:rsidRDefault="008D0F9D" w:rsidP="00A10658">
      <w:pPr>
        <w:pStyle w:val="Default"/>
        <w:jc w:val="both"/>
        <w:rPr>
          <w:i/>
        </w:rPr>
      </w:pPr>
      <w:r w:rsidRPr="008D0F9D">
        <w:rPr>
          <w:i/>
        </w:rPr>
        <w:t>Massage services</w:t>
      </w:r>
    </w:p>
    <w:p w:rsidR="008D0F9D" w:rsidRPr="008D0F9D" w:rsidRDefault="008D0F9D" w:rsidP="00A10658">
      <w:pPr>
        <w:pStyle w:val="Default"/>
        <w:jc w:val="both"/>
        <w:rPr>
          <w:rFonts w:ascii="Arial" w:hAnsi="Arial" w:cs="Arial"/>
          <w:i/>
        </w:rPr>
      </w:pPr>
      <w:r w:rsidRPr="008D0F9D">
        <w:rPr>
          <w:i/>
        </w:rPr>
        <w:t>Body art and piercing establishments</w:t>
      </w:r>
    </w:p>
    <w:p w:rsidR="008D0F9D" w:rsidRPr="008D0F9D" w:rsidRDefault="008D0F9D" w:rsidP="00A10658">
      <w:pPr>
        <w:pStyle w:val="Default"/>
        <w:jc w:val="both"/>
        <w:rPr>
          <w:i/>
        </w:rPr>
      </w:pPr>
      <w:r w:rsidRPr="008D0F9D">
        <w:rPr>
          <w:i/>
        </w:rPr>
        <w:lastRenderedPageBreak/>
        <w:t>Aquatic facilities and swimming pools, up to 50% capacity</w:t>
      </w:r>
    </w:p>
    <w:p w:rsidR="008D0F9D" w:rsidRPr="008D0F9D" w:rsidRDefault="008D0F9D" w:rsidP="00A10658">
      <w:pPr>
        <w:pStyle w:val="Default"/>
        <w:jc w:val="both"/>
        <w:rPr>
          <w:i/>
        </w:rPr>
      </w:pPr>
      <w:r w:rsidRPr="008D0F9D">
        <w:rPr>
          <w:i/>
        </w:rPr>
        <w:t>Water parks, up to 50% capacity</w:t>
      </w:r>
    </w:p>
    <w:p w:rsidR="008D0F9D" w:rsidRPr="008D0F9D" w:rsidRDefault="008D0F9D" w:rsidP="00A10658">
      <w:pPr>
        <w:pStyle w:val="Default"/>
        <w:jc w:val="both"/>
        <w:rPr>
          <w:i/>
        </w:rPr>
      </w:pPr>
      <w:r w:rsidRPr="008D0F9D">
        <w:rPr>
          <w:i/>
        </w:rPr>
        <w:t>Museums, art galleries, zoos and aquariums, up to 50% capacity</w:t>
      </w:r>
    </w:p>
    <w:p w:rsidR="008D0F9D" w:rsidRPr="008D0F9D" w:rsidRDefault="008D0F9D" w:rsidP="00A10658">
      <w:pPr>
        <w:pStyle w:val="Default"/>
        <w:jc w:val="both"/>
        <w:rPr>
          <w:i/>
        </w:rPr>
      </w:pPr>
      <w:r w:rsidRPr="008D0F9D">
        <w:rPr>
          <w:i/>
        </w:rPr>
        <w:t>Outdoor venues, like mini golf and amusement parks</w:t>
      </w:r>
    </w:p>
    <w:p w:rsidR="008D0F9D" w:rsidRPr="008D0F9D" w:rsidRDefault="008D0F9D" w:rsidP="00A10658">
      <w:pPr>
        <w:pStyle w:val="Default"/>
        <w:jc w:val="both"/>
        <w:rPr>
          <w:rFonts w:ascii="Arial" w:hAnsi="Arial" w:cs="Arial"/>
          <w:i/>
        </w:rPr>
      </w:pPr>
      <w:r w:rsidRPr="008D0F9D">
        <w:rPr>
          <w:i/>
        </w:rPr>
        <w:t>Indoor venues, like movie theaters, bowling alleys, and indoor malls, up to 50% capacity; and</w:t>
      </w:r>
    </w:p>
    <w:p w:rsidR="008D0F9D" w:rsidRPr="008D0F9D" w:rsidRDefault="00B74BF8" w:rsidP="00A10658">
      <w:pPr>
        <w:pStyle w:val="Default"/>
        <w:jc w:val="both"/>
        <w:rPr>
          <w:i/>
        </w:rPr>
      </w:pPr>
      <w:r>
        <w:rPr>
          <w:i/>
        </w:rPr>
        <w:t>Casinos (starting June 4)”</w:t>
      </w:r>
      <w:r w:rsidR="008D0F9D">
        <w:rPr>
          <w:i/>
        </w:rPr>
        <w:t xml:space="preserve"> </w:t>
      </w:r>
      <w:r w:rsidR="008D0F9D" w:rsidRPr="008D0F9D">
        <w:t xml:space="preserve">(Pg. </w:t>
      </w:r>
      <w:r w:rsidR="008D0F9D">
        <w:t xml:space="preserve">2 </w:t>
      </w:r>
      <w:r w:rsidR="008D0F9D" w:rsidRPr="008D0F9D">
        <w:t>of Verified First Amended Complaint)</w:t>
      </w:r>
    </w:p>
    <w:p w:rsidR="008D0F9D" w:rsidRPr="00F77972" w:rsidRDefault="008D0F9D" w:rsidP="00A10658">
      <w:pPr>
        <w:pStyle w:val="Default"/>
        <w:jc w:val="both"/>
      </w:pPr>
    </w:p>
    <w:p w:rsidR="00A10658" w:rsidRDefault="00F77972" w:rsidP="00A10658">
      <w:pPr>
        <w:pStyle w:val="Default"/>
        <w:jc w:val="both"/>
        <w:rPr>
          <w:sz w:val="23"/>
          <w:szCs w:val="23"/>
        </w:rPr>
      </w:pPr>
      <w:r w:rsidRPr="00F77972">
        <w:t>Ch</w:t>
      </w:r>
      <w:r w:rsidR="00880019">
        <w:t>urches and places of worship were</w:t>
      </w:r>
      <w:r w:rsidRPr="00F77972">
        <w:t xml:space="preserve"> how</w:t>
      </w:r>
      <w:r w:rsidR="00D80EAC">
        <w:t>ever prevented from congregating</w:t>
      </w:r>
      <w:r w:rsidRPr="00F77972">
        <w:t xml:space="preserve"> to a number of more than 50 people under any circumstance (the “Church Gathering Ban”)</w:t>
      </w:r>
      <w:r>
        <w:t xml:space="preserve">. </w:t>
      </w:r>
      <w:r w:rsidR="00880019">
        <w:t xml:space="preserve">In response to this, the Applicant </w:t>
      </w:r>
      <w:r w:rsidR="004A22B0">
        <w:t>on May 28, 2020</w:t>
      </w:r>
      <w:r w:rsidR="00880019">
        <w:t xml:space="preserve"> </w:t>
      </w:r>
      <w:r w:rsidR="004A22B0">
        <w:rPr>
          <w:sz w:val="23"/>
          <w:szCs w:val="23"/>
        </w:rPr>
        <w:t xml:space="preserve">filed its verified amended complaint challenging Directive </w:t>
      </w:r>
      <w:r w:rsidR="004A22B0">
        <w:rPr>
          <w:rFonts w:ascii="Century Schoolbook" w:hAnsi="Century Schoolbook" w:cs="Century Schoolbook"/>
          <w:sz w:val="23"/>
          <w:szCs w:val="23"/>
        </w:rPr>
        <w:t xml:space="preserve">021 under the First Amendment’s </w:t>
      </w:r>
      <w:r w:rsidR="007A2A40">
        <w:rPr>
          <w:rFonts w:ascii="Century Schoolbook" w:hAnsi="Century Schoolbook" w:cs="Century Schoolbook"/>
          <w:sz w:val="23"/>
          <w:szCs w:val="23"/>
        </w:rPr>
        <w:t>Free Exercise, Free Speech and Public Assembly</w:t>
      </w:r>
      <w:r w:rsidR="00880019">
        <w:rPr>
          <w:sz w:val="23"/>
          <w:szCs w:val="23"/>
        </w:rPr>
        <w:t>.</w:t>
      </w:r>
      <w:r w:rsidR="004A22B0">
        <w:rPr>
          <w:sz w:val="23"/>
          <w:szCs w:val="23"/>
        </w:rPr>
        <w:t xml:space="preserve"> </w:t>
      </w:r>
      <w:r w:rsidR="00E05740">
        <w:rPr>
          <w:sz w:val="23"/>
          <w:szCs w:val="23"/>
        </w:rPr>
        <w:t xml:space="preserve">On June 11, 2020 </w:t>
      </w:r>
      <w:r w:rsidR="003553BE">
        <w:rPr>
          <w:sz w:val="23"/>
          <w:szCs w:val="23"/>
        </w:rPr>
        <w:t xml:space="preserve">Judge Richard F. </w:t>
      </w:r>
      <w:proofErr w:type="spellStart"/>
      <w:r w:rsidR="003553BE">
        <w:rPr>
          <w:sz w:val="23"/>
          <w:szCs w:val="23"/>
        </w:rPr>
        <w:t>Boulware</w:t>
      </w:r>
      <w:proofErr w:type="spellEnd"/>
      <w:r w:rsidR="003553BE">
        <w:rPr>
          <w:sz w:val="23"/>
          <w:szCs w:val="23"/>
        </w:rPr>
        <w:t xml:space="preserve"> II denied the </w:t>
      </w:r>
      <w:r w:rsidR="003553BE">
        <w:rPr>
          <w:sz w:val="23"/>
          <w:szCs w:val="23"/>
        </w:rPr>
        <w:t>Plaintiff’s Emergency Motion for Temporary Restraining Order and Emergency Motion for Preliminary Injunction</w:t>
      </w:r>
      <w:r w:rsidR="003553BE">
        <w:rPr>
          <w:sz w:val="23"/>
          <w:szCs w:val="23"/>
        </w:rPr>
        <w:t xml:space="preserve"> sought by the Applicant. Dissatisfied by the ruling, the Applicant applied to the United States Court of Appeals for the Ninth Circuit for a reversal of the ruling of the District Court and grant of its injunctive relief. </w:t>
      </w:r>
      <w:r w:rsidR="006C4A49">
        <w:rPr>
          <w:sz w:val="23"/>
          <w:szCs w:val="23"/>
        </w:rPr>
        <w:t>On July 2, 2020, the Court of Appeals denied the injunctive relief sought by the Applicant</w:t>
      </w:r>
      <w:r w:rsidR="007E648E">
        <w:rPr>
          <w:sz w:val="23"/>
          <w:szCs w:val="23"/>
        </w:rPr>
        <w:t>, hence, application to the Supreme Court</w:t>
      </w:r>
      <w:r w:rsidR="006C4A49">
        <w:rPr>
          <w:sz w:val="23"/>
          <w:szCs w:val="23"/>
        </w:rPr>
        <w:t xml:space="preserve">. </w:t>
      </w:r>
    </w:p>
    <w:p w:rsidR="007A2A40" w:rsidRDefault="007A2A40" w:rsidP="00A10658">
      <w:pPr>
        <w:pStyle w:val="Default"/>
        <w:jc w:val="both"/>
        <w:rPr>
          <w:sz w:val="23"/>
          <w:szCs w:val="23"/>
        </w:rPr>
      </w:pPr>
    </w:p>
    <w:p w:rsidR="00833DD8" w:rsidRDefault="007A2A40" w:rsidP="00A10658">
      <w:pPr>
        <w:pStyle w:val="Default"/>
        <w:jc w:val="both"/>
      </w:pPr>
      <w:r>
        <w:rPr>
          <w:sz w:val="23"/>
          <w:szCs w:val="23"/>
        </w:rPr>
        <w:t>At the heart of the Applicant’s argument before the Supreme Court is that the Governor’</w:t>
      </w:r>
      <w:r w:rsidR="000A43E2">
        <w:rPr>
          <w:sz w:val="23"/>
          <w:szCs w:val="23"/>
        </w:rPr>
        <w:t xml:space="preserve">s Directive is unjustifiably discriminatory to </w:t>
      </w:r>
      <w:r>
        <w:rPr>
          <w:sz w:val="23"/>
          <w:szCs w:val="23"/>
        </w:rPr>
        <w:t xml:space="preserve">the Applicant’s right to </w:t>
      </w:r>
      <w:r w:rsidR="000A43E2">
        <w:rPr>
          <w:rFonts w:ascii="Century Schoolbook" w:hAnsi="Century Schoolbook" w:cs="Century Schoolbook"/>
          <w:sz w:val="23"/>
          <w:szCs w:val="23"/>
        </w:rPr>
        <w:t>Free Exercise, Free Speech and Public Assembly</w:t>
      </w:r>
      <w:r w:rsidR="000A43E2">
        <w:rPr>
          <w:rFonts w:ascii="Century Schoolbook" w:hAnsi="Century Schoolbook" w:cs="Century Schoolbook"/>
          <w:sz w:val="23"/>
          <w:szCs w:val="23"/>
        </w:rPr>
        <w:t xml:space="preserve"> protected by the First Amendment. </w:t>
      </w:r>
      <w:r w:rsidR="000E6C2E">
        <w:rPr>
          <w:rFonts w:ascii="Century Schoolbook" w:hAnsi="Century Schoolbook" w:cs="Century Schoolbook"/>
          <w:sz w:val="23"/>
          <w:szCs w:val="23"/>
        </w:rPr>
        <w:t xml:space="preserve">The Applicant argued that the Governor’s Directive prioritizes commercial over non-commercial religious speeches </w:t>
      </w:r>
      <w:r w:rsidR="00B74BF8">
        <w:rPr>
          <w:rFonts w:ascii="Century Schoolbook" w:hAnsi="Century Schoolbook" w:cs="Century Schoolbook"/>
          <w:sz w:val="23"/>
          <w:szCs w:val="23"/>
        </w:rPr>
        <w:t xml:space="preserve">which are protected viewpoints </w:t>
      </w:r>
      <w:r w:rsidR="000E6C2E">
        <w:rPr>
          <w:rFonts w:ascii="Century Schoolbook" w:hAnsi="Century Schoolbook" w:cs="Century Schoolbook"/>
          <w:sz w:val="23"/>
          <w:szCs w:val="23"/>
        </w:rPr>
        <w:t xml:space="preserve">and </w:t>
      </w:r>
      <w:proofErr w:type="spellStart"/>
      <w:r w:rsidR="000E6C2E">
        <w:rPr>
          <w:rFonts w:ascii="Century Schoolbook" w:hAnsi="Century Schoolbook" w:cs="Century Schoolbook"/>
          <w:sz w:val="23"/>
          <w:szCs w:val="23"/>
        </w:rPr>
        <w:t>favour</w:t>
      </w:r>
      <w:proofErr w:type="spellEnd"/>
      <w:r w:rsidR="000E6C2E">
        <w:rPr>
          <w:rFonts w:ascii="Century Schoolbook" w:hAnsi="Century Schoolbook" w:cs="Century Schoolbook"/>
          <w:sz w:val="23"/>
          <w:szCs w:val="23"/>
        </w:rPr>
        <w:t xml:space="preserve"> the secular gatherings against the religious gatherings. The Applicant expressly argued that </w:t>
      </w:r>
      <w:r w:rsidR="000E6C2E" w:rsidRPr="000E6C2E">
        <w:rPr>
          <w:rFonts w:ascii="Century Schoolbook" w:hAnsi="Century Schoolbook" w:cs="Century Schoolbook"/>
          <w:i/>
          <w:sz w:val="23"/>
          <w:szCs w:val="23"/>
        </w:rPr>
        <w:t>“</w:t>
      </w:r>
      <w:r w:rsidR="000E6C2E" w:rsidRPr="000E6C2E">
        <w:rPr>
          <w:i/>
          <w:sz w:val="23"/>
          <w:szCs w:val="23"/>
        </w:rPr>
        <w:t>t</w:t>
      </w:r>
      <w:r w:rsidR="000E6C2E" w:rsidRPr="000E6C2E">
        <w:rPr>
          <w:i/>
          <w:sz w:val="23"/>
          <w:szCs w:val="23"/>
        </w:rPr>
        <w:t>he First Amendment strongly protects Calvary Chap</w:t>
      </w:r>
      <w:r w:rsidR="000E6C2E" w:rsidRPr="000E6C2E">
        <w:rPr>
          <w:rFonts w:ascii="Century Schoolbook" w:hAnsi="Century Schoolbook" w:cs="Century Schoolbook"/>
          <w:i/>
          <w:sz w:val="23"/>
          <w:szCs w:val="23"/>
        </w:rPr>
        <w:t>el’s noncommercial, religi</w:t>
      </w:r>
      <w:r w:rsidR="000E6C2E" w:rsidRPr="00833DD8">
        <w:rPr>
          <w:i/>
        </w:rPr>
        <w:t xml:space="preserve">ous messages, whereas secular business’ commercial expression is “subject to greater governmental regulation.” </w:t>
      </w:r>
      <w:r w:rsidR="000E6C2E" w:rsidRPr="00833DD8">
        <w:rPr>
          <w:i/>
          <w:iCs/>
        </w:rPr>
        <w:t xml:space="preserve">Sorrell </w:t>
      </w:r>
      <w:r w:rsidR="000E6C2E" w:rsidRPr="00833DD8">
        <w:rPr>
          <w:i/>
        </w:rPr>
        <w:t xml:space="preserve">v. </w:t>
      </w:r>
      <w:r w:rsidR="000E6C2E" w:rsidRPr="00833DD8">
        <w:rPr>
          <w:i/>
          <w:iCs/>
        </w:rPr>
        <w:t>IMS Health, Inc.</w:t>
      </w:r>
      <w:r w:rsidR="000E6C2E" w:rsidRPr="00833DD8">
        <w:rPr>
          <w:i/>
        </w:rPr>
        <w:t>, 564 U.S. 552, 579 (2011)</w:t>
      </w:r>
      <w:r w:rsidR="000E6C2E" w:rsidRPr="00833DD8">
        <w:rPr>
          <w:i/>
        </w:rPr>
        <w:t xml:space="preserve">” </w:t>
      </w:r>
      <w:r w:rsidR="000E6C2E" w:rsidRPr="00833DD8">
        <w:t xml:space="preserve"> </w:t>
      </w:r>
      <w:r w:rsidR="000A43E2" w:rsidRPr="00833DD8">
        <w:t xml:space="preserve"> </w:t>
      </w:r>
      <w:r w:rsidR="000E6C2E" w:rsidRPr="00833DD8">
        <w:t xml:space="preserve">[Pg. 29 of the </w:t>
      </w:r>
      <w:r w:rsidR="00833DD8">
        <w:t xml:space="preserve">of the Applicant’s </w:t>
      </w:r>
      <w:r w:rsidR="000E6C2E" w:rsidRPr="00833DD8">
        <w:t>Brief]</w:t>
      </w:r>
      <w:r w:rsidR="00833DD8">
        <w:t>.</w:t>
      </w:r>
      <w:r w:rsidR="00B74BF8">
        <w:t xml:space="preserve"> </w:t>
      </w:r>
    </w:p>
    <w:p w:rsidR="00B74BF8" w:rsidRDefault="00B74BF8" w:rsidP="00A10658">
      <w:pPr>
        <w:pStyle w:val="Default"/>
        <w:jc w:val="both"/>
      </w:pPr>
    </w:p>
    <w:p w:rsidR="00833DD8" w:rsidRDefault="00B74BF8" w:rsidP="00A10658">
      <w:pPr>
        <w:pStyle w:val="Default"/>
        <w:jc w:val="both"/>
        <w:rPr>
          <w:sz w:val="23"/>
          <w:szCs w:val="23"/>
        </w:rPr>
      </w:pPr>
      <w:r>
        <w:t xml:space="preserve">In scrutinizing the Governor’s five reasons for the discriminatory directive, the </w:t>
      </w:r>
      <w:r w:rsidR="00F520F1">
        <w:t>Applicant identified and addressed the reasons for the directive. Firstly, t</w:t>
      </w:r>
      <w:r>
        <w:t xml:space="preserve">he </w:t>
      </w:r>
      <w:r w:rsidRPr="00B74BF8">
        <w:t>“</w:t>
      </w:r>
      <w:r w:rsidRPr="00B74BF8">
        <w:rPr>
          <w:sz w:val="23"/>
          <w:szCs w:val="23"/>
        </w:rPr>
        <w:t xml:space="preserve">Governor hints that religious gatherings are somehow riskier than </w:t>
      </w:r>
      <w:r w:rsidRPr="00B74BF8">
        <w:rPr>
          <w:rFonts w:ascii="Century Schoolbook" w:hAnsi="Century Schoolbook" w:cs="Century Schoolbook"/>
          <w:sz w:val="23"/>
          <w:szCs w:val="23"/>
        </w:rPr>
        <w:t>the commercial assemblies that Directive 021 prefers</w:t>
      </w:r>
      <w:r w:rsidRPr="00B74BF8">
        <w:rPr>
          <w:rFonts w:ascii="Century Schoolbook" w:hAnsi="Century Schoolbook" w:cs="Century Schoolbook"/>
          <w:sz w:val="23"/>
          <w:szCs w:val="23"/>
        </w:rPr>
        <w:t>”</w:t>
      </w:r>
      <w:r w:rsidR="00F520F1">
        <w:rPr>
          <w:rFonts w:ascii="Century Schoolbook" w:hAnsi="Century Schoolbook" w:cs="Century Schoolbook"/>
          <w:sz w:val="23"/>
          <w:szCs w:val="23"/>
        </w:rPr>
        <w:t xml:space="preserve"> [Pg.20 of the Applicant’s Brief] </w:t>
      </w:r>
      <w:r w:rsidR="00F520F1">
        <w:rPr>
          <w:sz w:val="23"/>
          <w:szCs w:val="23"/>
        </w:rPr>
        <w:t>Responding to this, the Applicant noted that it got a</w:t>
      </w:r>
      <w:r w:rsidR="00F520F1">
        <w:rPr>
          <w:sz w:val="23"/>
          <w:szCs w:val="23"/>
        </w:rPr>
        <w:t xml:space="preserve">n </w:t>
      </w:r>
      <w:r w:rsidR="00F520F1">
        <w:rPr>
          <w:sz w:val="23"/>
          <w:szCs w:val="23"/>
        </w:rPr>
        <w:t xml:space="preserve">infectious disease </w:t>
      </w:r>
      <w:r w:rsidR="00F520F1">
        <w:rPr>
          <w:sz w:val="23"/>
          <w:szCs w:val="23"/>
        </w:rPr>
        <w:t>expert</w:t>
      </w:r>
      <w:r w:rsidR="00F520F1">
        <w:rPr>
          <w:sz w:val="23"/>
          <w:szCs w:val="23"/>
        </w:rPr>
        <w:t xml:space="preserve"> to testify</w:t>
      </w:r>
      <w:r w:rsidR="00F520F1">
        <w:rPr>
          <w:sz w:val="23"/>
          <w:szCs w:val="23"/>
        </w:rPr>
        <w:t xml:space="preserve"> </w:t>
      </w:r>
      <w:r w:rsidR="00F520F1">
        <w:rPr>
          <w:sz w:val="23"/>
          <w:szCs w:val="23"/>
        </w:rPr>
        <w:t xml:space="preserve">and did testify </w:t>
      </w:r>
      <w:r w:rsidR="00F520F1">
        <w:rPr>
          <w:sz w:val="23"/>
          <w:szCs w:val="23"/>
        </w:rPr>
        <w:t xml:space="preserve">“[t]here is </w:t>
      </w:r>
      <w:r w:rsidR="00F520F1">
        <w:rPr>
          <w:rFonts w:ascii="BCDEE E+ Century Schoolbook 2" w:hAnsi="BCDEE E+ Century Schoolbook 2" w:cs="BCDEE E+ Century Schoolbook 2"/>
          <w:sz w:val="23"/>
          <w:szCs w:val="23"/>
        </w:rPr>
        <w:t xml:space="preserve">no scientific or medical reason that a religious service that follows the guidelines issued by the CDC would pose a more significant risk of spreading SARS-CoV-2 </w:t>
      </w:r>
      <w:r w:rsidR="00F520F1">
        <w:rPr>
          <w:sz w:val="23"/>
          <w:szCs w:val="23"/>
        </w:rPr>
        <w:t>than gatherings or interactions at other establishments or institutions.”</w:t>
      </w:r>
      <w:r w:rsidR="00F520F1">
        <w:rPr>
          <w:sz w:val="23"/>
          <w:szCs w:val="23"/>
        </w:rPr>
        <w:t>[Pg.31]</w:t>
      </w:r>
      <w:r w:rsidR="00F520F1">
        <w:rPr>
          <w:sz w:val="23"/>
          <w:szCs w:val="23"/>
        </w:rPr>
        <w:t xml:space="preserve"> </w:t>
      </w:r>
      <w:r w:rsidR="00F520F1">
        <w:rPr>
          <w:sz w:val="23"/>
          <w:szCs w:val="23"/>
        </w:rPr>
        <w:t>The disease expert</w:t>
      </w:r>
      <w:r w:rsidR="00F520F1">
        <w:rPr>
          <w:sz w:val="23"/>
          <w:szCs w:val="23"/>
        </w:rPr>
        <w:t xml:space="preserve"> </w:t>
      </w:r>
      <w:r w:rsidR="00F520F1">
        <w:rPr>
          <w:rFonts w:ascii="BCDEE E+ Century Schoolbook 2" w:hAnsi="BCDEE E+ Century Schoolbook 2" w:cs="BCDEE E+ Century Schoolbook 2"/>
          <w:sz w:val="23"/>
          <w:szCs w:val="23"/>
        </w:rPr>
        <w:t xml:space="preserve">further testified </w:t>
      </w:r>
      <w:r w:rsidR="00F520F1">
        <w:rPr>
          <w:sz w:val="23"/>
          <w:szCs w:val="23"/>
        </w:rPr>
        <w:t>that the Applicant would conduct its religious activities to the guidelines laid down by the CDC or even more.</w:t>
      </w:r>
      <w:r w:rsidR="00817DA1">
        <w:rPr>
          <w:sz w:val="23"/>
          <w:szCs w:val="23"/>
        </w:rPr>
        <w:t xml:space="preserve"> The Applicant on this note submitted that the Governor failed to justify the discriminatory directive on this note. Secondly, the Governor stated that he treats all “mass gatherings equally” by which the Governor seeks to validate this discriminatory Directive by </w:t>
      </w:r>
      <w:r w:rsidR="00843648">
        <w:rPr>
          <w:sz w:val="23"/>
          <w:szCs w:val="23"/>
        </w:rPr>
        <w:t xml:space="preserve">stating that the ban does not apply to the Applicant alone but to all religious gatherings. The Applicant however submitted that </w:t>
      </w:r>
      <w:r w:rsidR="00C06FDB">
        <w:rPr>
          <w:sz w:val="23"/>
          <w:szCs w:val="23"/>
        </w:rPr>
        <w:t xml:space="preserve">this reason also could not validate the ban as it violates Free Exercise clause of the First Amendment in that it amounted to subtle departure from neutrality on matters of religion </w:t>
      </w:r>
      <w:r w:rsidR="00C06FDB">
        <w:rPr>
          <w:i/>
          <w:iCs/>
          <w:sz w:val="23"/>
          <w:szCs w:val="23"/>
        </w:rPr>
        <w:t xml:space="preserve">Masterpiece </w:t>
      </w:r>
      <w:proofErr w:type="spellStart"/>
      <w:r w:rsidR="00C06FDB">
        <w:rPr>
          <w:i/>
          <w:iCs/>
          <w:sz w:val="23"/>
          <w:szCs w:val="23"/>
        </w:rPr>
        <w:t>Cakeshop</w:t>
      </w:r>
      <w:proofErr w:type="spellEnd"/>
      <w:r w:rsidR="00C06FDB">
        <w:rPr>
          <w:i/>
          <w:iCs/>
          <w:sz w:val="23"/>
          <w:szCs w:val="23"/>
        </w:rPr>
        <w:t>, Ltd</w:t>
      </w:r>
      <w:r w:rsidR="00C06FDB">
        <w:rPr>
          <w:rFonts w:ascii="BCDEE E+ Century Schoolbook 2" w:hAnsi="BCDEE E+ Century Schoolbook 2" w:cs="BCDEE E+ Century Schoolbook 2"/>
          <w:sz w:val="23"/>
          <w:szCs w:val="23"/>
        </w:rPr>
        <w:t xml:space="preserve">. v. </w:t>
      </w:r>
      <w:r w:rsidR="00C06FDB">
        <w:rPr>
          <w:rFonts w:ascii="Century Schoolbook" w:hAnsi="Century Schoolbook" w:cs="Century Schoolbook"/>
          <w:i/>
          <w:iCs/>
          <w:sz w:val="23"/>
          <w:szCs w:val="23"/>
        </w:rPr>
        <w:t xml:space="preserve">Colo. Civil Rights </w:t>
      </w:r>
      <w:proofErr w:type="spellStart"/>
      <w:r w:rsidR="00C06FDB">
        <w:rPr>
          <w:rFonts w:ascii="Century Schoolbook" w:hAnsi="Century Schoolbook" w:cs="Century Schoolbook"/>
          <w:i/>
          <w:iCs/>
          <w:sz w:val="23"/>
          <w:szCs w:val="23"/>
        </w:rPr>
        <w:t>Comm’n</w:t>
      </w:r>
      <w:proofErr w:type="spellEnd"/>
      <w:r w:rsidR="00C06FDB">
        <w:rPr>
          <w:rFonts w:ascii="BCDEE E+ Century Schoolbook 2" w:hAnsi="BCDEE E+ Century Schoolbook 2" w:cs="BCDEE E+ Century Schoolbook 2"/>
          <w:sz w:val="23"/>
          <w:szCs w:val="23"/>
        </w:rPr>
        <w:t xml:space="preserve">, 138 S. Ct. 1719, 1731 (2018) (quoting </w:t>
      </w:r>
      <w:proofErr w:type="spellStart"/>
      <w:r w:rsidR="00C06FDB">
        <w:rPr>
          <w:i/>
          <w:iCs/>
          <w:sz w:val="23"/>
          <w:szCs w:val="23"/>
        </w:rPr>
        <w:t>Lukumi</w:t>
      </w:r>
      <w:proofErr w:type="spellEnd"/>
      <w:r w:rsidR="00C06FDB">
        <w:rPr>
          <w:rFonts w:ascii="BCDEE E+ Century Schoolbook 2" w:hAnsi="BCDEE E+ Century Schoolbook 2" w:cs="BCDEE E+ Century Schoolbook 2"/>
          <w:sz w:val="23"/>
          <w:szCs w:val="23"/>
        </w:rPr>
        <w:t>, 508 U.S. at 534)</w:t>
      </w:r>
      <w:r w:rsidR="00C06FDB">
        <w:rPr>
          <w:sz w:val="23"/>
          <w:szCs w:val="23"/>
        </w:rPr>
        <w:t xml:space="preserve">. </w:t>
      </w:r>
      <w:r w:rsidR="00C06FDB">
        <w:t xml:space="preserve">The Governor’s third reason was given as the fact that commerce is not worship in that worshippers congregate for an extended period unlike </w:t>
      </w:r>
      <w:r w:rsidR="004809E4">
        <w:t xml:space="preserve">shopping. Contrary to this position, it is however the case that when people go to </w:t>
      </w:r>
      <w:r w:rsidR="004809E4">
        <w:rPr>
          <w:sz w:val="23"/>
          <w:szCs w:val="23"/>
        </w:rPr>
        <w:t>casinos, restaurants and bars, gyms and fitness facilities, theme parks, bowling alleys, and pools</w:t>
      </w:r>
      <w:r w:rsidR="004809E4">
        <w:rPr>
          <w:sz w:val="23"/>
          <w:szCs w:val="23"/>
        </w:rPr>
        <w:t xml:space="preserve"> they congregate for extended periods. Fourthly, the Governor believed casinos and mass protests deserve </w:t>
      </w:r>
      <w:r w:rsidR="004809E4">
        <w:rPr>
          <w:sz w:val="23"/>
          <w:szCs w:val="23"/>
        </w:rPr>
        <w:lastRenderedPageBreak/>
        <w:t>to be treated better. This seems to be the flimsiest reason as</w:t>
      </w:r>
      <w:r w:rsidR="00A12D32">
        <w:rPr>
          <w:sz w:val="23"/>
          <w:szCs w:val="23"/>
        </w:rPr>
        <w:t xml:space="preserve"> the Governor advanced no explanation</w:t>
      </w:r>
      <w:r w:rsidR="004809E4">
        <w:rPr>
          <w:sz w:val="23"/>
          <w:szCs w:val="23"/>
        </w:rPr>
        <w:t xml:space="preserve"> that made casinos and mass protests to be deserving of such place over and above religious gatherings.</w:t>
      </w:r>
    </w:p>
    <w:p w:rsidR="004809E4" w:rsidRPr="00833DD8" w:rsidRDefault="004809E4" w:rsidP="00A10658">
      <w:pPr>
        <w:pStyle w:val="Default"/>
        <w:jc w:val="both"/>
      </w:pPr>
      <w:r>
        <w:rPr>
          <w:sz w:val="23"/>
          <w:szCs w:val="23"/>
        </w:rPr>
        <w:t xml:space="preserve">Fifthly, </w:t>
      </w:r>
      <w:r w:rsidR="00634DF6">
        <w:rPr>
          <w:sz w:val="23"/>
          <w:szCs w:val="23"/>
        </w:rPr>
        <w:t xml:space="preserve">the Governor did not only approve the protests but participated in them by which he believed and </w:t>
      </w:r>
      <w:r w:rsidR="00634DF6">
        <w:rPr>
          <w:sz w:val="23"/>
          <w:szCs w:val="23"/>
        </w:rPr>
        <w:t>communicated</w:t>
      </w:r>
      <w:r w:rsidR="00634DF6">
        <w:rPr>
          <w:sz w:val="23"/>
          <w:szCs w:val="23"/>
        </w:rPr>
        <w:t xml:space="preserve"> his approval for the discriminatory directive. </w:t>
      </w:r>
    </w:p>
    <w:p w:rsidR="00E6673E" w:rsidRPr="00833DD8" w:rsidRDefault="00E6673E" w:rsidP="00A10658">
      <w:pPr>
        <w:pStyle w:val="Default"/>
        <w:jc w:val="both"/>
      </w:pPr>
    </w:p>
    <w:p w:rsidR="00E6673E" w:rsidRPr="00833DD8" w:rsidRDefault="00E6673E" w:rsidP="00BE5B4F">
      <w:pPr>
        <w:jc w:val="both"/>
        <w:rPr>
          <w:rFonts w:ascii="Times New Roman" w:hAnsi="Times New Roman" w:cs="Times New Roman"/>
          <w:sz w:val="24"/>
          <w:szCs w:val="24"/>
        </w:rPr>
      </w:pPr>
      <w:r w:rsidRPr="00833DD8">
        <w:rPr>
          <w:rFonts w:ascii="Times New Roman" w:hAnsi="Times New Roman" w:cs="Times New Roman"/>
          <w:sz w:val="24"/>
          <w:szCs w:val="24"/>
        </w:rPr>
        <w:t xml:space="preserve">On whether the Applicant meets the requirements for obtaining an injunction, the Applicant contests that the balance of equities weigh heavily in its </w:t>
      </w:r>
      <w:proofErr w:type="spellStart"/>
      <w:r w:rsidRPr="00833DD8">
        <w:rPr>
          <w:rFonts w:ascii="Times New Roman" w:hAnsi="Times New Roman" w:cs="Times New Roman"/>
          <w:sz w:val="24"/>
          <w:szCs w:val="24"/>
        </w:rPr>
        <w:t>favour</w:t>
      </w:r>
      <w:proofErr w:type="spellEnd"/>
      <w:r w:rsidR="00F01791" w:rsidRPr="00833DD8">
        <w:rPr>
          <w:rFonts w:ascii="Times New Roman" w:hAnsi="Times New Roman" w:cs="Times New Roman"/>
          <w:sz w:val="24"/>
          <w:szCs w:val="24"/>
        </w:rPr>
        <w:t xml:space="preserve"> as all the Applicant asks for is to be treated equally under the law, in particular, under the First Amendment. The Applicant in this regard argued that it is not asking for something that the State of Nevada had not given to others in fact, while the Governor’s Directive had denied the members of the Applicant had been denied the to </w:t>
      </w:r>
      <w:r w:rsidR="00F01791" w:rsidRPr="00833DD8">
        <w:rPr>
          <w:rFonts w:ascii="Times New Roman" w:hAnsi="Times New Roman" w:cs="Times New Roman"/>
          <w:sz w:val="24"/>
          <w:szCs w:val="24"/>
        </w:rPr>
        <w:t>gather at places of worship to engage in the constitutionally-protected free exercise of religion</w:t>
      </w:r>
      <w:r w:rsidR="00F01791" w:rsidRPr="00833DD8">
        <w:rPr>
          <w:rFonts w:ascii="Times New Roman" w:hAnsi="Times New Roman" w:cs="Times New Roman"/>
          <w:sz w:val="24"/>
          <w:szCs w:val="24"/>
        </w:rPr>
        <w:t xml:space="preserve"> </w:t>
      </w:r>
      <w:r w:rsidR="00F01791" w:rsidRPr="00833DD8">
        <w:rPr>
          <w:rFonts w:ascii="Times New Roman" w:hAnsi="Times New Roman" w:cs="Times New Roman"/>
          <w:sz w:val="24"/>
          <w:szCs w:val="24"/>
        </w:rPr>
        <w:t>non-constitut</w:t>
      </w:r>
      <w:r w:rsidR="00F01791" w:rsidRPr="00833DD8">
        <w:rPr>
          <w:rFonts w:ascii="Times New Roman" w:hAnsi="Times New Roman" w:cs="Times New Roman"/>
          <w:sz w:val="24"/>
          <w:szCs w:val="24"/>
        </w:rPr>
        <w:t xml:space="preserve">ionally-protected activities like </w:t>
      </w:r>
      <w:r w:rsidR="00F01791" w:rsidRPr="00833DD8">
        <w:rPr>
          <w:rFonts w:ascii="Times New Roman" w:hAnsi="Times New Roman" w:cs="Times New Roman"/>
          <w:sz w:val="24"/>
          <w:szCs w:val="24"/>
        </w:rPr>
        <w:t>casinos, restaurants and bars, theme parks, gyms, bow</w:t>
      </w:r>
      <w:r w:rsidR="00F01791" w:rsidRPr="00833DD8">
        <w:rPr>
          <w:rFonts w:ascii="Times New Roman" w:hAnsi="Times New Roman" w:cs="Times New Roman"/>
          <w:sz w:val="24"/>
          <w:szCs w:val="24"/>
        </w:rPr>
        <w:t>ling alleys, arcades, and pools</w:t>
      </w:r>
      <w:r w:rsidR="00F01791" w:rsidRPr="00833DD8">
        <w:rPr>
          <w:rFonts w:ascii="Times New Roman" w:hAnsi="Times New Roman" w:cs="Times New Roman"/>
          <w:sz w:val="24"/>
          <w:szCs w:val="24"/>
        </w:rPr>
        <w:t xml:space="preserve"> </w:t>
      </w:r>
      <w:r w:rsidR="00F01791" w:rsidRPr="00833DD8">
        <w:rPr>
          <w:rFonts w:ascii="Times New Roman" w:hAnsi="Times New Roman" w:cs="Times New Roman"/>
          <w:sz w:val="24"/>
          <w:szCs w:val="24"/>
        </w:rPr>
        <w:t xml:space="preserve">were allowed to open and operate to a degree the Applicant was not allowed. </w:t>
      </w:r>
      <w:r w:rsidR="00833DD8" w:rsidRPr="00833DD8">
        <w:rPr>
          <w:rFonts w:ascii="Times New Roman" w:hAnsi="Times New Roman" w:cs="Times New Roman"/>
          <w:sz w:val="24"/>
          <w:szCs w:val="24"/>
        </w:rPr>
        <w:t xml:space="preserve">On whether the continued prevention of the Applicant’s members to congregate above 50 amounts to irreparable injury or harm, the Applicant argued that </w:t>
      </w:r>
      <w:r w:rsidRPr="00833DD8">
        <w:rPr>
          <w:rFonts w:ascii="Times New Roman" w:hAnsi="Times New Roman" w:cs="Times New Roman"/>
          <w:i/>
          <w:sz w:val="24"/>
          <w:szCs w:val="24"/>
        </w:rPr>
        <w:t xml:space="preserve">“[t]he loss of First Amendment freedoms, for even minimal periods of time, unquestionably constitutes irreparably injury.” </w:t>
      </w:r>
      <w:r w:rsidRPr="00833DD8">
        <w:rPr>
          <w:rFonts w:ascii="Times New Roman" w:hAnsi="Times New Roman" w:cs="Times New Roman"/>
          <w:i/>
          <w:iCs/>
          <w:sz w:val="24"/>
          <w:szCs w:val="24"/>
        </w:rPr>
        <w:t xml:space="preserve">Elrod </w:t>
      </w:r>
      <w:r w:rsidRPr="00833DD8">
        <w:rPr>
          <w:rFonts w:ascii="Times New Roman" w:hAnsi="Times New Roman" w:cs="Times New Roman"/>
          <w:i/>
          <w:sz w:val="24"/>
          <w:szCs w:val="24"/>
        </w:rPr>
        <w:t xml:space="preserve">v. </w:t>
      </w:r>
      <w:r w:rsidRPr="00833DD8">
        <w:rPr>
          <w:rFonts w:ascii="Times New Roman" w:hAnsi="Times New Roman" w:cs="Times New Roman"/>
          <w:i/>
          <w:iCs/>
          <w:sz w:val="24"/>
          <w:szCs w:val="24"/>
        </w:rPr>
        <w:t>Burns</w:t>
      </w:r>
      <w:r w:rsidRPr="00833DD8">
        <w:rPr>
          <w:rFonts w:ascii="Times New Roman" w:hAnsi="Times New Roman" w:cs="Times New Roman"/>
          <w:i/>
          <w:sz w:val="24"/>
          <w:szCs w:val="24"/>
        </w:rPr>
        <w:t>, 427 U.S. 347, 373 (1976)</w:t>
      </w:r>
      <w:r w:rsidRPr="00833DD8">
        <w:rPr>
          <w:rFonts w:ascii="Times New Roman" w:hAnsi="Times New Roman" w:cs="Times New Roman"/>
          <w:sz w:val="24"/>
          <w:szCs w:val="24"/>
        </w:rPr>
        <w:t xml:space="preserve"> [Pg.37]</w:t>
      </w:r>
      <w:r w:rsidR="00833DD8" w:rsidRPr="00833DD8">
        <w:rPr>
          <w:rFonts w:ascii="Times New Roman" w:hAnsi="Times New Roman" w:cs="Times New Roman"/>
          <w:sz w:val="24"/>
          <w:szCs w:val="24"/>
        </w:rPr>
        <w:t xml:space="preserve">. The Applicant finally asked the court to reverse the ruling of the Court of Appeals and grant its injunctive relief. </w:t>
      </w:r>
    </w:p>
    <w:p w:rsidR="00BE5B4F" w:rsidRPr="001C31A1" w:rsidRDefault="00BE5B4F" w:rsidP="00BE5B4F">
      <w:pPr>
        <w:jc w:val="both"/>
        <w:rPr>
          <w:rFonts w:ascii="Times New Roman" w:hAnsi="Times New Roman" w:cs="Times New Roman"/>
          <w:b/>
          <w:sz w:val="24"/>
          <w:szCs w:val="24"/>
        </w:rPr>
      </w:pPr>
      <w:r w:rsidRPr="001C31A1">
        <w:rPr>
          <w:rFonts w:ascii="Times New Roman" w:hAnsi="Times New Roman" w:cs="Times New Roman"/>
          <w:b/>
          <w:sz w:val="24"/>
          <w:szCs w:val="24"/>
        </w:rPr>
        <w:t>Decision Overview</w:t>
      </w:r>
    </w:p>
    <w:p w:rsidR="00AC7972" w:rsidRDefault="00AA5497" w:rsidP="00627C23">
      <w:pPr>
        <w:spacing w:before="100" w:beforeAutospacing="1" w:after="100" w:afterAutospacing="1" w:line="240" w:lineRule="auto"/>
        <w:jc w:val="both"/>
        <w:rPr>
          <w:rFonts w:ascii="Times New Roman" w:eastAsia="Times New Roman" w:hAnsi="Times New Roman" w:cs="Times New Roman"/>
          <w:sz w:val="24"/>
          <w:szCs w:val="24"/>
        </w:rPr>
      </w:pPr>
      <w:r w:rsidRPr="00AC7972">
        <w:rPr>
          <w:rFonts w:ascii="Times New Roman" w:eastAsia="Times New Roman" w:hAnsi="Times New Roman" w:cs="Times New Roman"/>
          <w:sz w:val="24"/>
          <w:szCs w:val="24"/>
        </w:rPr>
        <w:t>The Supreme Court i</w:t>
      </w:r>
      <w:r w:rsidRPr="00AC7972">
        <w:rPr>
          <w:rFonts w:ascii="Times New Roman" w:eastAsia="Times New Roman" w:hAnsi="Times New Roman" w:cs="Times New Roman"/>
          <w:sz w:val="24"/>
          <w:szCs w:val="24"/>
        </w:rPr>
        <w:t>n a brie</w:t>
      </w:r>
      <w:r w:rsidRPr="00AC7972">
        <w:rPr>
          <w:rFonts w:ascii="Times New Roman" w:eastAsia="Times New Roman" w:hAnsi="Times New Roman" w:cs="Times New Roman"/>
          <w:sz w:val="24"/>
          <w:szCs w:val="24"/>
        </w:rPr>
        <w:t>f one-sentence order, rejected the applicant</w:t>
      </w:r>
      <w:r w:rsidRPr="00AC7972">
        <w:rPr>
          <w:rFonts w:ascii="Times New Roman" w:eastAsia="Times New Roman" w:hAnsi="Times New Roman" w:cs="Times New Roman"/>
          <w:sz w:val="24"/>
          <w:szCs w:val="24"/>
        </w:rPr>
        <w:t>’s request</w:t>
      </w:r>
      <w:r w:rsidRPr="00AC7972">
        <w:rPr>
          <w:rFonts w:ascii="Times New Roman" w:eastAsia="Times New Roman" w:hAnsi="Times New Roman" w:cs="Times New Roman"/>
          <w:sz w:val="24"/>
          <w:szCs w:val="24"/>
        </w:rPr>
        <w:t xml:space="preserve"> for injunctive relief</w:t>
      </w:r>
      <w:r w:rsidRPr="00AC7972">
        <w:rPr>
          <w:rFonts w:ascii="Times New Roman" w:eastAsia="Times New Roman" w:hAnsi="Times New Roman" w:cs="Times New Roman"/>
          <w:sz w:val="24"/>
          <w:szCs w:val="24"/>
        </w:rPr>
        <w:t>.</w:t>
      </w:r>
      <w:r w:rsidR="00AC7972" w:rsidRPr="00AC7972">
        <w:rPr>
          <w:rFonts w:ascii="Times New Roman" w:eastAsia="Times New Roman" w:hAnsi="Times New Roman" w:cs="Times New Roman"/>
          <w:sz w:val="24"/>
          <w:szCs w:val="24"/>
        </w:rPr>
        <w:t xml:space="preserve"> </w:t>
      </w:r>
      <w:r w:rsidR="00AC7972">
        <w:rPr>
          <w:rFonts w:ascii="Times New Roman" w:eastAsia="Times New Roman" w:hAnsi="Times New Roman" w:cs="Times New Roman"/>
          <w:sz w:val="24"/>
          <w:szCs w:val="24"/>
        </w:rPr>
        <w:t>J</w:t>
      </w:r>
      <w:r w:rsidRPr="00AC7972">
        <w:rPr>
          <w:rFonts w:ascii="Times New Roman" w:eastAsia="Times New Roman" w:hAnsi="Times New Roman" w:cs="Times New Roman"/>
          <w:sz w:val="24"/>
          <w:szCs w:val="24"/>
        </w:rPr>
        <w:t>ustice</w:t>
      </w:r>
      <w:r w:rsidRPr="00AC7972">
        <w:rPr>
          <w:rFonts w:ascii="Times New Roman" w:eastAsia="Times New Roman" w:hAnsi="Times New Roman" w:cs="Times New Roman"/>
          <w:sz w:val="24"/>
          <w:szCs w:val="24"/>
        </w:rPr>
        <w:t>s</w:t>
      </w:r>
      <w:r w:rsidRPr="00AC7972">
        <w:rPr>
          <w:rFonts w:ascii="Times New Roman" w:eastAsia="Times New Roman" w:hAnsi="Times New Roman" w:cs="Times New Roman"/>
          <w:sz w:val="24"/>
          <w:szCs w:val="24"/>
        </w:rPr>
        <w:t xml:space="preserve"> Samuel Alito</w:t>
      </w:r>
      <w:r w:rsidRPr="00AC7972">
        <w:rPr>
          <w:rFonts w:ascii="Times New Roman" w:hAnsi="Times New Roman" w:cs="Times New Roman"/>
          <w:sz w:val="24"/>
          <w:szCs w:val="24"/>
        </w:rPr>
        <w:t xml:space="preserve">, </w:t>
      </w:r>
      <w:r w:rsidRPr="00AC7972">
        <w:rPr>
          <w:rFonts w:ascii="Times New Roman" w:eastAsia="Times New Roman" w:hAnsi="Times New Roman" w:cs="Times New Roman"/>
          <w:sz w:val="24"/>
          <w:szCs w:val="24"/>
        </w:rPr>
        <w:t xml:space="preserve">Brett </w:t>
      </w:r>
      <w:proofErr w:type="spellStart"/>
      <w:r w:rsidRPr="00AC7972">
        <w:rPr>
          <w:rFonts w:ascii="Times New Roman" w:eastAsia="Times New Roman" w:hAnsi="Times New Roman" w:cs="Times New Roman"/>
          <w:sz w:val="24"/>
          <w:szCs w:val="24"/>
        </w:rPr>
        <w:t>Kavanaugh</w:t>
      </w:r>
      <w:proofErr w:type="spellEnd"/>
      <w:r w:rsidRPr="00AC7972">
        <w:rPr>
          <w:rFonts w:ascii="Times New Roman" w:hAnsi="Times New Roman" w:cs="Times New Roman"/>
          <w:sz w:val="24"/>
          <w:szCs w:val="24"/>
        </w:rPr>
        <w:t xml:space="preserve"> and </w:t>
      </w:r>
      <w:r w:rsidRPr="00AC7972">
        <w:rPr>
          <w:rFonts w:ascii="Times New Roman" w:eastAsia="Times New Roman" w:hAnsi="Times New Roman" w:cs="Times New Roman"/>
          <w:sz w:val="24"/>
          <w:szCs w:val="24"/>
        </w:rPr>
        <w:t xml:space="preserve">Neil </w:t>
      </w:r>
      <w:proofErr w:type="spellStart"/>
      <w:r w:rsidRPr="00AC7972">
        <w:rPr>
          <w:rFonts w:ascii="Times New Roman" w:eastAsia="Times New Roman" w:hAnsi="Times New Roman" w:cs="Times New Roman"/>
          <w:sz w:val="24"/>
          <w:szCs w:val="24"/>
        </w:rPr>
        <w:t>Gorsuch</w:t>
      </w:r>
      <w:proofErr w:type="spellEnd"/>
      <w:r w:rsidRPr="00AC7972">
        <w:rPr>
          <w:rFonts w:ascii="Times New Roman" w:eastAsia="Times New Roman" w:hAnsi="Times New Roman" w:cs="Times New Roman"/>
          <w:sz w:val="24"/>
          <w:szCs w:val="24"/>
        </w:rPr>
        <w:t xml:space="preserve"> </w:t>
      </w:r>
      <w:r w:rsidR="00AC7972" w:rsidRPr="00AC7972">
        <w:rPr>
          <w:rFonts w:ascii="Times New Roman" w:eastAsia="Times New Roman" w:hAnsi="Times New Roman" w:cs="Times New Roman"/>
          <w:sz w:val="24"/>
          <w:szCs w:val="24"/>
        </w:rPr>
        <w:t xml:space="preserve">however </w:t>
      </w:r>
      <w:r w:rsidR="00A81C4A">
        <w:rPr>
          <w:rFonts w:ascii="Times New Roman" w:eastAsia="Times New Roman" w:hAnsi="Times New Roman" w:cs="Times New Roman"/>
          <w:sz w:val="24"/>
          <w:szCs w:val="24"/>
        </w:rPr>
        <w:t>impressive</w:t>
      </w:r>
      <w:r w:rsidR="00AC7972" w:rsidRPr="00AC7972">
        <w:rPr>
          <w:rFonts w:ascii="Times New Roman" w:eastAsia="Times New Roman" w:hAnsi="Times New Roman" w:cs="Times New Roman"/>
          <w:sz w:val="24"/>
          <w:szCs w:val="24"/>
        </w:rPr>
        <w:t>ly</w:t>
      </w:r>
      <w:r w:rsidRPr="00AC7972">
        <w:rPr>
          <w:rFonts w:ascii="Times New Roman" w:eastAsia="Times New Roman" w:hAnsi="Times New Roman" w:cs="Times New Roman"/>
          <w:sz w:val="24"/>
          <w:szCs w:val="24"/>
        </w:rPr>
        <w:t xml:space="preserve"> </w:t>
      </w:r>
      <w:r w:rsidR="007B6359">
        <w:rPr>
          <w:rFonts w:ascii="Times New Roman" w:eastAsia="Times New Roman" w:hAnsi="Times New Roman" w:cs="Times New Roman"/>
          <w:sz w:val="24"/>
          <w:szCs w:val="24"/>
        </w:rPr>
        <w:t xml:space="preserve">gave robust </w:t>
      </w:r>
      <w:r w:rsidRPr="00AC7972">
        <w:rPr>
          <w:rFonts w:ascii="Times New Roman" w:eastAsia="Times New Roman" w:hAnsi="Times New Roman" w:cs="Times New Roman"/>
          <w:sz w:val="24"/>
          <w:szCs w:val="24"/>
        </w:rPr>
        <w:t>dissent</w:t>
      </w:r>
      <w:r w:rsidR="007B6359">
        <w:rPr>
          <w:rFonts w:ascii="Times New Roman" w:eastAsia="Times New Roman" w:hAnsi="Times New Roman" w:cs="Times New Roman"/>
          <w:sz w:val="24"/>
          <w:szCs w:val="24"/>
        </w:rPr>
        <w:t>ing</w:t>
      </w:r>
      <w:r w:rsidR="00AC7972" w:rsidRPr="00AC7972">
        <w:rPr>
          <w:rFonts w:ascii="Times New Roman" w:eastAsia="Times New Roman" w:hAnsi="Times New Roman" w:cs="Times New Roman"/>
          <w:sz w:val="24"/>
          <w:szCs w:val="24"/>
        </w:rPr>
        <w:t xml:space="preserve"> opinions amounting to 24 pages.</w:t>
      </w:r>
      <w:r w:rsidR="00A12D32">
        <w:rPr>
          <w:rFonts w:ascii="Times New Roman" w:eastAsia="Times New Roman" w:hAnsi="Times New Roman" w:cs="Times New Roman"/>
          <w:sz w:val="24"/>
          <w:szCs w:val="24"/>
        </w:rPr>
        <w:t xml:space="preserve"> </w:t>
      </w:r>
    </w:p>
    <w:p w:rsidR="00AC7972" w:rsidRPr="00AA5B37" w:rsidRDefault="00AC7972" w:rsidP="00627C23">
      <w:pPr>
        <w:spacing w:before="100" w:beforeAutospacing="1" w:after="100" w:afterAutospacing="1" w:line="240" w:lineRule="auto"/>
        <w:jc w:val="both"/>
        <w:rPr>
          <w:rFonts w:ascii="Times New Roman" w:eastAsia="Times New Roman" w:hAnsi="Times New Roman" w:cs="Times New Roman"/>
          <w:b/>
          <w:i/>
          <w:sz w:val="24"/>
          <w:szCs w:val="24"/>
        </w:rPr>
      </w:pPr>
      <w:r w:rsidRPr="00AA5B37">
        <w:rPr>
          <w:rFonts w:ascii="Times New Roman" w:eastAsia="Times New Roman" w:hAnsi="Times New Roman" w:cs="Times New Roman"/>
          <w:b/>
          <w:i/>
          <w:sz w:val="24"/>
          <w:szCs w:val="24"/>
        </w:rPr>
        <w:t>Justice Alito</w:t>
      </w:r>
    </w:p>
    <w:p w:rsidR="000D5F1D" w:rsidRDefault="00A81C4A" w:rsidP="000D5F1D">
      <w:pPr>
        <w:pStyle w:val="Default"/>
        <w:jc w:val="both"/>
        <w:rPr>
          <w:rFonts w:ascii="Century Schoolbook" w:hAnsi="Century Schoolbook" w:cs="Century Schoolbook"/>
          <w:sz w:val="22"/>
          <w:szCs w:val="22"/>
        </w:rPr>
      </w:pPr>
      <w:r>
        <w:rPr>
          <w:rFonts w:eastAsia="Times New Roman"/>
        </w:rPr>
        <w:t xml:space="preserve">Justice Alito opened his fiery dissent noting that while the </w:t>
      </w:r>
      <w:r w:rsidRPr="005C0295">
        <w:rPr>
          <w:rFonts w:eastAsia="Times New Roman"/>
          <w:i/>
        </w:rPr>
        <w:t xml:space="preserve">“Constitution guarantees the free </w:t>
      </w:r>
      <w:proofErr w:type="gramStart"/>
      <w:r w:rsidRPr="005C0295">
        <w:rPr>
          <w:rFonts w:eastAsia="Times New Roman"/>
          <w:i/>
        </w:rPr>
        <w:t>exercise</w:t>
      </w:r>
      <w:proofErr w:type="gramEnd"/>
      <w:r w:rsidRPr="005C0295">
        <w:rPr>
          <w:rFonts w:eastAsia="Times New Roman"/>
          <w:i/>
        </w:rPr>
        <w:t xml:space="preserve"> of religion</w:t>
      </w:r>
      <w:r w:rsidR="005D3A68" w:rsidRPr="005C0295">
        <w:rPr>
          <w:rFonts w:eastAsia="Times New Roman"/>
          <w:i/>
        </w:rPr>
        <w:t xml:space="preserve"> it </w:t>
      </w:r>
      <w:r w:rsidRPr="005C0295">
        <w:rPr>
          <w:rFonts w:eastAsia="Times New Roman"/>
          <w:i/>
        </w:rPr>
        <w:t>says nothing about the freedom to play craps or blackjack.”</w:t>
      </w:r>
      <w:r w:rsidRPr="005C0295">
        <w:rPr>
          <w:rFonts w:eastAsia="Times New Roman"/>
          <w:i/>
        </w:rPr>
        <w:t xml:space="preserve"> </w:t>
      </w:r>
      <w:r w:rsidR="005D3A68">
        <w:rPr>
          <w:rFonts w:eastAsia="Times New Roman"/>
        </w:rPr>
        <w:t xml:space="preserve">[Pg.1]. </w:t>
      </w:r>
      <w:proofErr w:type="gramStart"/>
      <w:r>
        <w:rPr>
          <w:rFonts w:eastAsia="Times New Roman"/>
        </w:rPr>
        <w:t>To</w:t>
      </w:r>
      <w:proofErr w:type="gramEnd"/>
      <w:r>
        <w:rPr>
          <w:rFonts w:eastAsia="Times New Roman"/>
        </w:rPr>
        <w:t xml:space="preserve"> the learned justice of t</w:t>
      </w:r>
      <w:r w:rsidR="005D3A68">
        <w:rPr>
          <w:rFonts w:eastAsia="Times New Roman"/>
        </w:rPr>
        <w:t>he apex court, the above opinion</w:t>
      </w:r>
      <w:r>
        <w:rPr>
          <w:rFonts w:eastAsia="Times New Roman"/>
        </w:rPr>
        <w:t xml:space="preserve"> formed the basis of the injunctive relief sought by the Applicant.</w:t>
      </w:r>
      <w:r w:rsidR="005D3A68">
        <w:rPr>
          <w:rFonts w:eastAsia="Times New Roman"/>
        </w:rPr>
        <w:t xml:space="preserve"> The Applicant had not approached the court for a gratuitous claim but one founded on the most important document-the constitution. </w:t>
      </w:r>
      <w:r w:rsidR="00500EB8">
        <w:rPr>
          <w:rFonts w:eastAsia="Times New Roman"/>
        </w:rPr>
        <w:t xml:space="preserve">While expressing the height of his disappointment </w:t>
      </w:r>
      <w:r w:rsidR="004448E5">
        <w:rPr>
          <w:rFonts w:eastAsia="Times New Roman"/>
        </w:rPr>
        <w:t>in</w:t>
      </w:r>
      <w:r w:rsidR="00500EB8">
        <w:rPr>
          <w:rFonts w:eastAsia="Times New Roman"/>
        </w:rPr>
        <w:t xml:space="preserve"> the majority decision of the </w:t>
      </w:r>
      <w:r w:rsidR="004448E5">
        <w:rPr>
          <w:rFonts w:eastAsia="Times New Roman"/>
        </w:rPr>
        <w:t xml:space="preserve">Supreme Court in denying the injunctive relief sought by the Applicant which had allowed the </w:t>
      </w:r>
      <w:r w:rsidR="00500EB8">
        <w:rPr>
          <w:rFonts w:eastAsia="Times New Roman"/>
        </w:rPr>
        <w:t xml:space="preserve">disregard the Governor of Nevada extended to the Applicant’s </w:t>
      </w:r>
      <w:r w:rsidR="004448E5">
        <w:rPr>
          <w:rFonts w:eastAsia="Times New Roman"/>
        </w:rPr>
        <w:t xml:space="preserve">First Amendment </w:t>
      </w:r>
      <w:r w:rsidR="00500EB8">
        <w:rPr>
          <w:rFonts w:eastAsia="Times New Roman"/>
        </w:rPr>
        <w:t>rig</w:t>
      </w:r>
      <w:r w:rsidR="004448E5">
        <w:rPr>
          <w:rFonts w:eastAsia="Times New Roman"/>
        </w:rPr>
        <w:t>ht to stand</w:t>
      </w:r>
      <w:r w:rsidR="00500EB8">
        <w:rPr>
          <w:rFonts w:eastAsia="Times New Roman"/>
        </w:rPr>
        <w:t xml:space="preserve">, Justice Alito </w:t>
      </w:r>
      <w:r w:rsidR="000D5F1D">
        <w:rPr>
          <w:rFonts w:eastAsia="Times New Roman"/>
        </w:rPr>
        <w:t xml:space="preserve">bluntly </w:t>
      </w:r>
      <w:r w:rsidR="00500EB8">
        <w:rPr>
          <w:rFonts w:eastAsia="Times New Roman"/>
        </w:rPr>
        <w:t xml:space="preserve">stated </w:t>
      </w:r>
      <w:r w:rsidRPr="00551B38">
        <w:rPr>
          <w:rFonts w:eastAsia="Times New Roman"/>
        </w:rPr>
        <w:t xml:space="preserve">that </w:t>
      </w:r>
      <w:r w:rsidRPr="004448E5">
        <w:rPr>
          <w:rFonts w:eastAsia="Times New Roman"/>
          <w:i/>
        </w:rPr>
        <w:t>“</w:t>
      </w:r>
      <w:r w:rsidR="000D5F1D">
        <w:rPr>
          <w:rFonts w:eastAsia="Times New Roman"/>
          <w:i/>
        </w:rPr>
        <w:t xml:space="preserve">That </w:t>
      </w:r>
      <w:r w:rsidRPr="004448E5">
        <w:rPr>
          <w:rFonts w:eastAsia="Times New Roman"/>
          <w:i/>
        </w:rPr>
        <w:t>Nevada would discriminate in favor of the powerful gamin</w:t>
      </w:r>
      <w:r w:rsidR="00500EB8" w:rsidRPr="004448E5">
        <w:rPr>
          <w:rFonts w:eastAsia="Times New Roman"/>
          <w:i/>
        </w:rPr>
        <w:t xml:space="preserve">g industry and its employees that </w:t>
      </w:r>
      <w:r w:rsidR="00500EB8" w:rsidRPr="004448E5">
        <w:rPr>
          <w:rFonts w:ascii="Century Schoolbook" w:hAnsi="Century Schoolbook" w:cs="Century Schoolbook"/>
          <w:i/>
        </w:rPr>
        <w:t>may not come as a surprise</w:t>
      </w:r>
      <w:r w:rsidR="004448E5" w:rsidRPr="004448E5">
        <w:rPr>
          <w:rFonts w:ascii="Century Schoolbook" w:hAnsi="Century Schoolbook" w:cs="Century Schoolbook"/>
          <w:i/>
        </w:rPr>
        <w:t>,</w:t>
      </w:r>
      <w:r w:rsidR="00500EB8" w:rsidRPr="004448E5">
        <w:rPr>
          <w:rFonts w:ascii="Century Schoolbook" w:hAnsi="Century Schoolbook" w:cs="Century Schoolbook"/>
          <w:i/>
        </w:rPr>
        <w:t xml:space="preserve"> </w:t>
      </w:r>
      <w:r w:rsidRPr="004448E5">
        <w:rPr>
          <w:rFonts w:eastAsia="Times New Roman"/>
          <w:i/>
        </w:rPr>
        <w:t xml:space="preserve">but this Court’s willingness to allow such discrimination is disappointing. </w:t>
      </w:r>
      <w:r w:rsidR="004448E5" w:rsidRPr="004448E5">
        <w:rPr>
          <w:rFonts w:ascii="Century Schoolbook" w:hAnsi="Century Schoolbook" w:cs="Century Schoolbook"/>
          <w:i/>
          <w:sz w:val="22"/>
          <w:szCs w:val="22"/>
        </w:rPr>
        <w:t>We have a duty to defend the Constitution, and even a public health emergency does not absolve us of that responsibility”</w:t>
      </w:r>
      <w:r w:rsidR="004448E5" w:rsidRPr="004448E5">
        <w:rPr>
          <w:rFonts w:ascii="Century Schoolbook" w:hAnsi="Century Schoolbook" w:cs="Century Schoolbook"/>
          <w:sz w:val="22"/>
          <w:szCs w:val="22"/>
        </w:rPr>
        <w:t xml:space="preserve"> </w:t>
      </w:r>
      <w:r w:rsidR="000D5F1D">
        <w:rPr>
          <w:rFonts w:ascii="Century Schoolbook" w:hAnsi="Century Schoolbook" w:cs="Century Schoolbook"/>
          <w:sz w:val="22"/>
          <w:szCs w:val="22"/>
        </w:rPr>
        <w:t xml:space="preserve">[Pg.1]. </w:t>
      </w:r>
      <w:r w:rsidR="00415810">
        <w:rPr>
          <w:rFonts w:ascii="Century Schoolbook" w:hAnsi="Century Schoolbook" w:cs="Century Schoolbook"/>
          <w:sz w:val="22"/>
          <w:szCs w:val="22"/>
        </w:rPr>
        <w:t xml:space="preserve">Justice Alito’s view as remarked above drives home the point that a First Amendment right is inalienable regardless of the situation. </w:t>
      </w:r>
    </w:p>
    <w:p w:rsidR="00415810" w:rsidRPr="000D5F1D" w:rsidRDefault="00415810" w:rsidP="000D5F1D">
      <w:pPr>
        <w:pStyle w:val="Default"/>
        <w:jc w:val="both"/>
        <w:rPr>
          <w:rFonts w:ascii="Century Schoolbook" w:hAnsi="Century Schoolbook" w:cs="Century Schoolbook"/>
          <w:i/>
        </w:rPr>
      </w:pPr>
    </w:p>
    <w:p w:rsidR="00A12D32" w:rsidRDefault="00332A2E" w:rsidP="00857861">
      <w:pPr>
        <w:pStyle w:val="Default"/>
        <w:jc w:val="both"/>
        <w:rPr>
          <w:rFonts w:eastAsia="Times New Roman"/>
        </w:rPr>
      </w:pPr>
      <w:r>
        <w:rPr>
          <w:rFonts w:eastAsia="Times New Roman"/>
        </w:rPr>
        <w:t>In addressing the facts and substance of the case</w:t>
      </w:r>
      <w:r w:rsidR="00857861">
        <w:rPr>
          <w:rFonts w:eastAsia="Times New Roman"/>
        </w:rPr>
        <w:t>, Justice Alito lamented that he</w:t>
      </w:r>
      <w:r w:rsidR="00993EF8">
        <w:rPr>
          <w:rFonts w:eastAsia="Times New Roman"/>
        </w:rPr>
        <w:t xml:space="preserve"> could not see the justification in the Governor of Nevada allowing casinos to operate at 50% capacity which represents much more than the 90 congregants gathering proposed by the Applicant. The learned justice considered the reasoning of the Governor </w:t>
      </w:r>
      <w:r w:rsidR="00857861">
        <w:rPr>
          <w:rFonts w:eastAsia="Times New Roman"/>
        </w:rPr>
        <w:t xml:space="preserve">to be </w:t>
      </w:r>
      <w:r w:rsidR="00993EF8">
        <w:rPr>
          <w:rFonts w:eastAsia="Times New Roman"/>
        </w:rPr>
        <w:t>incomprehensible</w:t>
      </w:r>
      <w:r w:rsidR="00857861">
        <w:rPr>
          <w:rFonts w:eastAsia="Times New Roman"/>
        </w:rPr>
        <w:t>. In the circumstance of the case, o</w:t>
      </w:r>
      <w:r w:rsidR="00A81C4A" w:rsidRPr="00551B38">
        <w:rPr>
          <w:rFonts w:eastAsia="Times New Roman"/>
        </w:rPr>
        <w:t xml:space="preserve">perating </w:t>
      </w:r>
      <w:r w:rsidR="00857861">
        <w:rPr>
          <w:rFonts w:eastAsia="Times New Roman"/>
        </w:rPr>
        <w:t xml:space="preserve">of Casinos </w:t>
      </w:r>
      <w:r w:rsidR="00A81C4A" w:rsidRPr="00551B38">
        <w:rPr>
          <w:rFonts w:eastAsia="Times New Roman"/>
        </w:rPr>
        <w:t>at 50% is likely to mean thousands of people</w:t>
      </w:r>
      <w:r w:rsidR="00857861">
        <w:rPr>
          <w:rFonts w:eastAsia="Times New Roman"/>
        </w:rPr>
        <w:t xml:space="preserve"> who often come from </w:t>
      </w:r>
      <w:r w:rsidR="00857861">
        <w:rPr>
          <w:rFonts w:eastAsia="Times New Roman"/>
        </w:rPr>
        <w:lastRenderedPageBreak/>
        <w:t>all over the world</w:t>
      </w:r>
      <w:r w:rsidR="00DA5FC7">
        <w:rPr>
          <w:rFonts w:eastAsia="Times New Roman"/>
        </w:rPr>
        <w:t xml:space="preserve">, visit Casinos </w:t>
      </w:r>
      <w:r w:rsidR="005C0295">
        <w:rPr>
          <w:rFonts w:eastAsia="Times New Roman"/>
        </w:rPr>
        <w:t>in Las Vegas</w:t>
      </w:r>
      <w:r w:rsidR="00A81C4A" w:rsidRPr="00551B38">
        <w:rPr>
          <w:rFonts w:eastAsia="Times New Roman"/>
        </w:rPr>
        <w:t xml:space="preserve">, standing close together and drinking alcohol, which </w:t>
      </w:r>
      <w:r w:rsidR="005C0295">
        <w:rPr>
          <w:rFonts w:eastAsia="Times New Roman"/>
        </w:rPr>
        <w:t xml:space="preserve">act </w:t>
      </w:r>
      <w:r w:rsidR="00A81C4A" w:rsidRPr="00551B38">
        <w:rPr>
          <w:rFonts w:eastAsia="Times New Roman"/>
        </w:rPr>
        <w:t>requires them to take off their masks</w:t>
      </w:r>
      <w:r w:rsidR="005C0295">
        <w:rPr>
          <w:rFonts w:eastAsia="Times New Roman"/>
        </w:rPr>
        <w:t xml:space="preserve">. On the contrary, </w:t>
      </w:r>
      <w:r w:rsidR="00857861">
        <w:rPr>
          <w:rFonts w:eastAsia="Times New Roman"/>
        </w:rPr>
        <w:t>Applicant’</w:t>
      </w:r>
      <w:r w:rsidR="005C0295">
        <w:rPr>
          <w:rFonts w:eastAsia="Times New Roman"/>
        </w:rPr>
        <w:t>s worshippers</w:t>
      </w:r>
      <w:r w:rsidR="00857861">
        <w:rPr>
          <w:rFonts w:eastAsia="Times New Roman"/>
        </w:rPr>
        <w:t xml:space="preserve"> </w:t>
      </w:r>
      <w:r w:rsidR="005C0295">
        <w:rPr>
          <w:rFonts w:eastAsia="Times New Roman"/>
        </w:rPr>
        <w:t xml:space="preserve">seek to congregate only to </w:t>
      </w:r>
      <w:r w:rsidR="00857861">
        <w:rPr>
          <w:rFonts w:eastAsia="Times New Roman"/>
        </w:rPr>
        <w:t xml:space="preserve">a maximum number of </w:t>
      </w:r>
      <w:r w:rsidR="005C0295">
        <w:rPr>
          <w:rFonts w:eastAsia="Times New Roman"/>
        </w:rPr>
        <w:t>90, using their</w:t>
      </w:r>
      <w:r w:rsidR="00857861">
        <w:rPr>
          <w:rFonts w:eastAsia="Times New Roman"/>
        </w:rPr>
        <w:t xml:space="preserve"> masks </w:t>
      </w:r>
      <w:r w:rsidR="005C0295">
        <w:rPr>
          <w:rFonts w:eastAsia="Times New Roman"/>
        </w:rPr>
        <w:t>and practicing social distancing, which is quite attainable</w:t>
      </w:r>
      <w:r w:rsidR="00A81C4A" w:rsidRPr="00551B38">
        <w:rPr>
          <w:rFonts w:eastAsia="Times New Roman"/>
        </w:rPr>
        <w:t xml:space="preserve">. </w:t>
      </w:r>
    </w:p>
    <w:p w:rsidR="00577540" w:rsidRDefault="00577540" w:rsidP="00857861">
      <w:pPr>
        <w:pStyle w:val="Default"/>
        <w:jc w:val="both"/>
        <w:rPr>
          <w:rFonts w:eastAsia="Times New Roman"/>
        </w:rPr>
      </w:pPr>
    </w:p>
    <w:p w:rsidR="00577540" w:rsidRPr="005822F7" w:rsidRDefault="00C81953" w:rsidP="00577540">
      <w:pPr>
        <w:autoSpaceDE w:val="0"/>
        <w:autoSpaceDN w:val="0"/>
        <w:adjustRightInd w:val="0"/>
        <w:spacing w:before="60" w:after="0" w:line="240" w:lineRule="auto"/>
        <w:jc w:val="both"/>
        <w:rPr>
          <w:rFonts w:ascii="Century Schoolbook" w:hAnsi="Century Schoolbook" w:cs="Century Schoolbook"/>
          <w:i/>
          <w:color w:val="000000"/>
        </w:rPr>
      </w:pPr>
      <w:r>
        <w:rPr>
          <w:rFonts w:ascii="Century Schoolbook" w:hAnsi="Century Schoolbook" w:cs="Century Schoolbook"/>
          <w:color w:val="000000"/>
        </w:rPr>
        <w:t xml:space="preserve">Justice Alito noted that in presenting its </w:t>
      </w:r>
      <w:proofErr w:type="spellStart"/>
      <w:r>
        <w:rPr>
          <w:rFonts w:ascii="Century Schoolbook" w:hAnsi="Century Schoolbook" w:cs="Century Schoolbook"/>
          <w:color w:val="000000"/>
        </w:rPr>
        <w:t>defence</w:t>
      </w:r>
      <w:proofErr w:type="spellEnd"/>
      <w:r>
        <w:rPr>
          <w:rFonts w:ascii="Century Schoolbook" w:hAnsi="Century Schoolbook" w:cs="Century Schoolbook"/>
          <w:color w:val="000000"/>
        </w:rPr>
        <w:t xml:space="preserve">, the state of Nevada essentially premised its action on Supreme Court’s decisions in </w:t>
      </w:r>
      <w:r w:rsidRPr="00577540">
        <w:rPr>
          <w:rFonts w:ascii="Century Schoolbook" w:hAnsi="Century Schoolbook" w:cs="Century Schoolbook"/>
          <w:i/>
          <w:iCs/>
          <w:color w:val="000000"/>
        </w:rPr>
        <w:t xml:space="preserve">Jacobson </w:t>
      </w:r>
      <w:r w:rsidRPr="00577540">
        <w:rPr>
          <w:rFonts w:ascii="Century Schoolbook" w:hAnsi="Century Schoolbook" w:cs="Century Schoolbook"/>
          <w:color w:val="000000"/>
        </w:rPr>
        <w:t xml:space="preserve">v. </w:t>
      </w:r>
      <w:r w:rsidRPr="00577540">
        <w:rPr>
          <w:rFonts w:ascii="Century Schoolbook" w:hAnsi="Century Schoolbook" w:cs="Century Schoolbook"/>
          <w:i/>
          <w:iCs/>
          <w:color w:val="000000"/>
        </w:rPr>
        <w:t>Massachusetts</w:t>
      </w:r>
      <w:r w:rsidRPr="00577540">
        <w:rPr>
          <w:rFonts w:ascii="Century Schoolbook" w:hAnsi="Century Schoolbook" w:cs="Century Schoolbook"/>
          <w:color w:val="000000"/>
        </w:rPr>
        <w:t>, 197 U. S. 11 (1905)</w:t>
      </w:r>
      <w:r>
        <w:rPr>
          <w:rFonts w:ascii="Century Schoolbook" w:hAnsi="Century Schoolbook" w:cs="Century Schoolbook"/>
          <w:color w:val="000000"/>
        </w:rPr>
        <w:t xml:space="preserve"> and </w:t>
      </w:r>
      <w:r w:rsidRPr="00577540">
        <w:rPr>
          <w:rFonts w:ascii="Century Schoolbook" w:hAnsi="Century Schoolbook" w:cs="Century Schoolbook"/>
          <w:i/>
          <w:iCs/>
          <w:color w:val="000000"/>
        </w:rPr>
        <w:t xml:space="preserve">South Bay United Pentecostal Church </w:t>
      </w:r>
      <w:r w:rsidRPr="00577540">
        <w:rPr>
          <w:rFonts w:ascii="Century Schoolbook" w:hAnsi="Century Schoolbook" w:cs="Century Schoolbook"/>
          <w:color w:val="000000"/>
        </w:rPr>
        <w:t xml:space="preserve">v. </w:t>
      </w:r>
      <w:r w:rsidRPr="00577540">
        <w:rPr>
          <w:rFonts w:ascii="Century Schoolbook" w:hAnsi="Century Schoolbook" w:cs="Century Schoolbook"/>
          <w:i/>
          <w:iCs/>
          <w:color w:val="000000"/>
        </w:rPr>
        <w:t>Newsom</w:t>
      </w:r>
      <w:r w:rsidRPr="00577540">
        <w:rPr>
          <w:rFonts w:ascii="Century Schoolbook" w:hAnsi="Century Schoolbook" w:cs="Century Schoolbook"/>
          <w:color w:val="000000"/>
        </w:rPr>
        <w:t>, 590 U. S. ___ (2020).</w:t>
      </w:r>
      <w:r>
        <w:rPr>
          <w:rFonts w:ascii="Century Schoolbook" w:hAnsi="Century Schoolbook" w:cs="Century Schoolbook"/>
          <w:color w:val="000000"/>
        </w:rPr>
        <w:t xml:space="preserve"> </w:t>
      </w:r>
      <w:r w:rsidR="007B5C01">
        <w:rPr>
          <w:rFonts w:ascii="Century Schoolbook" w:hAnsi="Century Schoolbook" w:cs="Century Schoolbook"/>
          <w:color w:val="000000"/>
        </w:rPr>
        <w:t xml:space="preserve">Relying on </w:t>
      </w:r>
      <w:r w:rsidR="007B5C01" w:rsidRPr="007B5C01">
        <w:rPr>
          <w:rFonts w:ascii="Century Schoolbook" w:hAnsi="Century Schoolbook" w:cs="Century Schoolbook"/>
          <w:i/>
          <w:color w:val="000000"/>
        </w:rPr>
        <w:t>Jacobson</w:t>
      </w:r>
      <w:r w:rsidR="007B5C01">
        <w:rPr>
          <w:rFonts w:ascii="Century Schoolbook" w:hAnsi="Century Schoolbook" w:cs="Century Schoolbook"/>
          <w:color w:val="000000"/>
        </w:rPr>
        <w:t xml:space="preserve">, Justice Alito noted that the </w:t>
      </w:r>
      <w:r w:rsidR="005822F7">
        <w:rPr>
          <w:rFonts w:ascii="Century Schoolbook" w:hAnsi="Century Schoolbook" w:cs="Century Schoolbook"/>
          <w:color w:val="000000"/>
        </w:rPr>
        <w:t xml:space="preserve">state of </w:t>
      </w:r>
      <w:r w:rsidR="00577540" w:rsidRPr="00577540">
        <w:rPr>
          <w:rFonts w:ascii="Century Schoolbook" w:hAnsi="Century Schoolbook" w:cs="Century Schoolbook"/>
          <w:color w:val="000000"/>
        </w:rPr>
        <w:t>Neva</w:t>
      </w:r>
      <w:r w:rsidR="005822F7">
        <w:rPr>
          <w:rFonts w:ascii="Century Schoolbook" w:hAnsi="Century Schoolbook" w:cs="Century Schoolbook"/>
          <w:color w:val="000000"/>
        </w:rPr>
        <w:t xml:space="preserve">da argued that </w:t>
      </w:r>
      <w:r w:rsidR="005822F7" w:rsidRPr="005822F7">
        <w:rPr>
          <w:rFonts w:ascii="Century Schoolbook" w:hAnsi="Century Schoolbook" w:cs="Century Schoolbook"/>
          <w:i/>
          <w:color w:val="000000"/>
        </w:rPr>
        <w:t>“when a state ex</w:t>
      </w:r>
      <w:r w:rsidR="00577540" w:rsidRPr="00577540">
        <w:rPr>
          <w:rFonts w:ascii="Century Schoolbook" w:hAnsi="Century Schoolbook" w:cs="Century Schoolbook"/>
          <w:i/>
          <w:color w:val="000000"/>
        </w:rPr>
        <w:t xml:space="preserve">ercises emergency police powers to enact an emergency public health measure, courts will uphold it unless (1) there is no real or substantial relation to public health, or (2) the measures are ‘beyond all question’ a </w:t>
      </w:r>
      <w:proofErr w:type="gramStart"/>
      <w:r w:rsidR="00577540" w:rsidRPr="00577540">
        <w:rPr>
          <w:rFonts w:ascii="Century Schoolbook" w:hAnsi="Century Schoolbook" w:cs="Century Schoolbook"/>
          <w:i/>
          <w:color w:val="000000"/>
        </w:rPr>
        <w:t>‘plain[</w:t>
      </w:r>
      <w:proofErr w:type="gramEnd"/>
      <w:r w:rsidR="00577540" w:rsidRPr="00577540">
        <w:rPr>
          <w:rFonts w:ascii="Century Schoolbook" w:hAnsi="Century Schoolbook" w:cs="Century Schoolbook"/>
          <w:i/>
          <w:color w:val="000000"/>
        </w:rPr>
        <w:t>,] palpable [in-</w:t>
      </w:r>
      <w:proofErr w:type="spellStart"/>
      <w:r w:rsidR="00577540" w:rsidRPr="00577540">
        <w:rPr>
          <w:rFonts w:ascii="Century Schoolbook" w:hAnsi="Century Schoolbook" w:cs="Century Schoolbook"/>
          <w:i/>
          <w:color w:val="000000"/>
        </w:rPr>
        <w:t>vasion</w:t>
      </w:r>
      <w:proofErr w:type="spellEnd"/>
      <w:r w:rsidR="00577540" w:rsidRPr="00577540">
        <w:rPr>
          <w:rFonts w:ascii="Century Schoolbook" w:hAnsi="Century Schoolbook" w:cs="Century Schoolbook"/>
          <w:i/>
          <w:color w:val="000000"/>
        </w:rPr>
        <w:t xml:space="preserve">] of rights secured by the fundamental law.’ </w:t>
      </w:r>
      <w:r w:rsidR="00260605" w:rsidRPr="00260605">
        <w:rPr>
          <w:rFonts w:ascii="Century Schoolbook" w:hAnsi="Century Schoolbook" w:cs="Century Schoolbook"/>
          <w:color w:val="000000"/>
        </w:rPr>
        <w:t>[Pg.9]</w:t>
      </w:r>
    </w:p>
    <w:p w:rsidR="005822F7" w:rsidRPr="00577540" w:rsidRDefault="005822F7" w:rsidP="00577540">
      <w:pPr>
        <w:autoSpaceDE w:val="0"/>
        <w:autoSpaceDN w:val="0"/>
        <w:adjustRightInd w:val="0"/>
        <w:spacing w:before="60" w:after="0" w:line="240" w:lineRule="auto"/>
        <w:jc w:val="both"/>
        <w:rPr>
          <w:rFonts w:ascii="Century Schoolbook" w:hAnsi="Century Schoolbook" w:cs="Century Schoolbook"/>
          <w:color w:val="000000"/>
        </w:rPr>
      </w:pPr>
    </w:p>
    <w:p w:rsidR="00DA5FC7" w:rsidRDefault="005822F7" w:rsidP="00577540">
      <w:pPr>
        <w:autoSpaceDE w:val="0"/>
        <w:autoSpaceDN w:val="0"/>
        <w:adjustRightInd w:val="0"/>
        <w:spacing w:after="0" w:line="240" w:lineRule="auto"/>
        <w:jc w:val="both"/>
        <w:rPr>
          <w:rFonts w:ascii="Century Schoolbook" w:hAnsi="Century Schoolbook" w:cs="Century Schoolbook"/>
          <w:color w:val="000000"/>
        </w:rPr>
      </w:pPr>
      <w:r>
        <w:rPr>
          <w:rFonts w:ascii="Century Schoolbook" w:hAnsi="Century Schoolbook" w:cs="Century Schoolbook"/>
          <w:color w:val="000000"/>
        </w:rPr>
        <w:t>To Justice Alito, the discriminatory directive</w:t>
      </w:r>
      <w:r w:rsidR="00577540" w:rsidRPr="00577540">
        <w:rPr>
          <w:rFonts w:ascii="Century Schoolbook" w:hAnsi="Century Schoolbook" w:cs="Century Schoolbook"/>
          <w:color w:val="000000"/>
        </w:rPr>
        <w:t xml:space="preserve"> would </w:t>
      </w:r>
      <w:r>
        <w:rPr>
          <w:rFonts w:ascii="Century Schoolbook" w:hAnsi="Century Schoolbook" w:cs="Century Schoolbook"/>
          <w:color w:val="000000"/>
        </w:rPr>
        <w:t xml:space="preserve">still </w:t>
      </w:r>
      <w:r w:rsidR="00577540" w:rsidRPr="00577540">
        <w:rPr>
          <w:rFonts w:ascii="Century Schoolbook" w:hAnsi="Century Schoolbook" w:cs="Century Schoolbook"/>
          <w:color w:val="000000"/>
        </w:rPr>
        <w:t>likely fail for the reasons already explained</w:t>
      </w:r>
      <w:r>
        <w:rPr>
          <w:rFonts w:ascii="Century Schoolbook" w:hAnsi="Century Schoolbook" w:cs="Century Schoolbook"/>
          <w:color w:val="000000"/>
        </w:rPr>
        <w:t xml:space="preserve"> earlier</w:t>
      </w:r>
      <w:r w:rsidR="00577540" w:rsidRPr="00577540">
        <w:rPr>
          <w:rFonts w:ascii="Century Schoolbook" w:hAnsi="Century Schoolbook" w:cs="Century Schoolbook"/>
          <w:color w:val="000000"/>
        </w:rPr>
        <w:t xml:space="preserve">. </w:t>
      </w:r>
      <w:r>
        <w:rPr>
          <w:rFonts w:ascii="Century Schoolbook" w:hAnsi="Century Schoolbook" w:cs="Century Schoolbook"/>
          <w:color w:val="000000"/>
        </w:rPr>
        <w:t xml:space="preserve">Justice Alito </w:t>
      </w:r>
      <w:r w:rsidR="0097036A">
        <w:rPr>
          <w:rFonts w:ascii="Century Schoolbook" w:hAnsi="Century Schoolbook" w:cs="Century Schoolbook"/>
          <w:color w:val="000000"/>
        </w:rPr>
        <w:t xml:space="preserve">also </w:t>
      </w:r>
      <w:r>
        <w:rPr>
          <w:rFonts w:ascii="Century Schoolbook" w:hAnsi="Century Schoolbook" w:cs="Century Schoolbook"/>
          <w:color w:val="000000"/>
        </w:rPr>
        <w:t xml:space="preserve">noted that </w:t>
      </w:r>
      <w:r w:rsidR="0097036A">
        <w:rPr>
          <w:rFonts w:ascii="Century Schoolbook" w:hAnsi="Century Schoolbook" w:cs="Century Schoolbook"/>
          <w:color w:val="000000"/>
        </w:rPr>
        <w:t>the language of the court was quoted out of context. The learned Justice noted that noted</w:t>
      </w:r>
      <w:bookmarkStart w:id="0" w:name="_GoBack"/>
      <w:bookmarkEnd w:id="0"/>
      <w:r w:rsidR="0097036A">
        <w:rPr>
          <w:rFonts w:ascii="Century Schoolbook" w:hAnsi="Century Schoolbook" w:cs="Century Schoolbook"/>
          <w:color w:val="000000"/>
        </w:rPr>
        <w:t xml:space="preserve"> that while the contest in </w:t>
      </w:r>
      <w:r w:rsidR="00577540" w:rsidRPr="00577540">
        <w:rPr>
          <w:rFonts w:ascii="Century Schoolbook" w:hAnsi="Century Schoolbook" w:cs="Century Schoolbook"/>
          <w:i/>
          <w:iCs/>
          <w:color w:val="000000"/>
        </w:rPr>
        <w:t xml:space="preserve">Jacobson </w:t>
      </w:r>
      <w:r w:rsidR="0097036A">
        <w:rPr>
          <w:rFonts w:ascii="Century Schoolbook" w:hAnsi="Century Schoolbook" w:cs="Century Schoolbook"/>
          <w:color w:val="000000"/>
        </w:rPr>
        <w:t xml:space="preserve">essentially bothered on </w:t>
      </w:r>
      <w:r>
        <w:rPr>
          <w:rFonts w:ascii="Century Schoolbook" w:hAnsi="Century Schoolbook" w:cs="Century Schoolbook"/>
          <w:color w:val="000000"/>
        </w:rPr>
        <w:t>a substan</w:t>
      </w:r>
      <w:r w:rsidR="00577540" w:rsidRPr="00577540">
        <w:rPr>
          <w:rFonts w:ascii="Century Schoolbook" w:hAnsi="Century Schoolbook" w:cs="Century Schoolbook"/>
          <w:color w:val="000000"/>
        </w:rPr>
        <w:t>tive due proces</w:t>
      </w:r>
      <w:r w:rsidR="0097036A">
        <w:rPr>
          <w:rFonts w:ascii="Century Schoolbook" w:hAnsi="Century Schoolbook" w:cs="Century Schoolbook"/>
          <w:color w:val="000000"/>
        </w:rPr>
        <w:t>s challenge to a local legislation which require</w:t>
      </w:r>
      <w:r w:rsidR="00577540" w:rsidRPr="00577540">
        <w:rPr>
          <w:rFonts w:ascii="Century Schoolbook" w:hAnsi="Century Schoolbook" w:cs="Century Schoolbook"/>
          <w:color w:val="000000"/>
        </w:rPr>
        <w:t xml:space="preserve"> residents to be vaccinated for small pox</w:t>
      </w:r>
      <w:r w:rsidR="0097036A">
        <w:rPr>
          <w:rFonts w:ascii="Century Schoolbook" w:hAnsi="Century Schoolbook" w:cs="Century Schoolbook"/>
          <w:color w:val="000000"/>
        </w:rPr>
        <w:t xml:space="preserve">, the </w:t>
      </w:r>
      <w:r w:rsidR="00DA5FC7">
        <w:rPr>
          <w:rFonts w:ascii="Century Schoolbook" w:hAnsi="Century Schoolbook" w:cs="Century Schoolbook"/>
          <w:color w:val="000000"/>
        </w:rPr>
        <w:t>challenge here by the Applicant involves protection of a First Amendment right from unjustifiable discrimination</w:t>
      </w:r>
      <w:r w:rsidR="00577540" w:rsidRPr="00577540">
        <w:rPr>
          <w:rFonts w:ascii="Century Schoolbook" w:hAnsi="Century Schoolbook" w:cs="Century Schoolbook"/>
          <w:color w:val="000000"/>
        </w:rPr>
        <w:t>.</w:t>
      </w:r>
      <w:r>
        <w:rPr>
          <w:rFonts w:ascii="Century Schoolbook" w:hAnsi="Century Schoolbook" w:cs="Century Schoolbook"/>
          <w:color w:val="000000"/>
        </w:rPr>
        <w:t xml:space="preserve"> </w:t>
      </w:r>
    </w:p>
    <w:p w:rsidR="00DA5FC7" w:rsidRDefault="00DA5FC7" w:rsidP="00577540">
      <w:pPr>
        <w:autoSpaceDE w:val="0"/>
        <w:autoSpaceDN w:val="0"/>
        <w:adjustRightInd w:val="0"/>
        <w:spacing w:after="0" w:line="240" w:lineRule="auto"/>
        <w:jc w:val="both"/>
        <w:rPr>
          <w:rFonts w:ascii="Century Schoolbook" w:hAnsi="Century Schoolbook" w:cs="Century Schoolbook"/>
          <w:color w:val="000000"/>
        </w:rPr>
      </w:pPr>
    </w:p>
    <w:p w:rsidR="0067620B" w:rsidRPr="00AA5B37" w:rsidRDefault="00DA5FC7" w:rsidP="0067620B">
      <w:pPr>
        <w:autoSpaceDE w:val="0"/>
        <w:autoSpaceDN w:val="0"/>
        <w:adjustRightInd w:val="0"/>
        <w:spacing w:after="0" w:line="240" w:lineRule="auto"/>
        <w:jc w:val="both"/>
        <w:rPr>
          <w:rFonts w:ascii="Times New Roman" w:hAnsi="Times New Roman" w:cs="Times New Roman"/>
          <w:color w:val="000000"/>
          <w:sz w:val="24"/>
          <w:szCs w:val="24"/>
        </w:rPr>
      </w:pPr>
      <w:r>
        <w:rPr>
          <w:rFonts w:ascii="Century Schoolbook" w:hAnsi="Century Schoolbook" w:cs="Century Schoolbook"/>
          <w:color w:val="000000"/>
        </w:rPr>
        <w:t xml:space="preserve">As to its reliance on </w:t>
      </w:r>
      <w:r w:rsidRPr="00577540">
        <w:rPr>
          <w:rFonts w:ascii="Century Schoolbook" w:hAnsi="Century Schoolbook" w:cs="Century Schoolbook"/>
          <w:i/>
          <w:iCs/>
          <w:color w:val="000000"/>
        </w:rPr>
        <w:t xml:space="preserve">South Bay United Pentecostal Church </w:t>
      </w:r>
      <w:r w:rsidRPr="00577540">
        <w:rPr>
          <w:rFonts w:ascii="Century Schoolbook" w:hAnsi="Century Schoolbook" w:cs="Century Schoolbook"/>
          <w:color w:val="000000"/>
        </w:rPr>
        <w:t xml:space="preserve">v. </w:t>
      </w:r>
      <w:r w:rsidRPr="00577540">
        <w:rPr>
          <w:rFonts w:ascii="Century Schoolbook" w:hAnsi="Century Schoolbook" w:cs="Century Schoolbook"/>
          <w:i/>
          <w:iCs/>
          <w:color w:val="000000"/>
        </w:rPr>
        <w:t>Newsom</w:t>
      </w:r>
      <w:r w:rsidRPr="00577540">
        <w:rPr>
          <w:rFonts w:ascii="Century Schoolbook" w:hAnsi="Century Schoolbook" w:cs="Century Schoolbook"/>
          <w:color w:val="000000"/>
        </w:rPr>
        <w:t xml:space="preserve"> </w:t>
      </w:r>
      <w:r>
        <w:rPr>
          <w:rFonts w:ascii="Century Schoolbook" w:hAnsi="Century Schoolbook" w:cs="Century Schoolbook"/>
          <w:color w:val="000000"/>
        </w:rPr>
        <w:t>which the state relied on where the Supreme Court refused to issue a temporary injunction against a California law that limited number of persons allowed to congregate in a church service. Justice Alito noted that he dissented in the judgment. He however posed that, in any case, the s</w:t>
      </w:r>
      <w:r w:rsidRPr="00AA5B37">
        <w:rPr>
          <w:rFonts w:ascii="Times New Roman" w:hAnsi="Times New Roman" w:cs="Times New Roman"/>
          <w:color w:val="000000"/>
          <w:sz w:val="24"/>
          <w:szCs w:val="24"/>
        </w:rPr>
        <w:t xml:space="preserve">ituation in </w:t>
      </w:r>
      <w:r w:rsidRPr="00AA5B37">
        <w:rPr>
          <w:rFonts w:ascii="Times New Roman" w:hAnsi="Times New Roman" w:cs="Times New Roman"/>
          <w:i/>
          <w:color w:val="000000"/>
          <w:sz w:val="24"/>
          <w:szCs w:val="24"/>
        </w:rPr>
        <w:t>South Bay United Pentecostal Church</w:t>
      </w:r>
      <w:r w:rsidRPr="00AA5B37">
        <w:rPr>
          <w:rFonts w:ascii="Times New Roman" w:hAnsi="Times New Roman" w:cs="Times New Roman"/>
          <w:color w:val="000000"/>
          <w:sz w:val="24"/>
          <w:szCs w:val="24"/>
        </w:rPr>
        <w:t xml:space="preserve">’s case is different </w:t>
      </w:r>
      <w:r w:rsidR="0067620B" w:rsidRPr="00AA5B37">
        <w:rPr>
          <w:rFonts w:ascii="Times New Roman" w:hAnsi="Times New Roman" w:cs="Times New Roman"/>
          <w:color w:val="000000"/>
          <w:sz w:val="24"/>
          <w:szCs w:val="24"/>
        </w:rPr>
        <w:t>from the Applicant’s case</w:t>
      </w:r>
      <w:r w:rsidR="00577540" w:rsidRPr="00577540">
        <w:rPr>
          <w:rFonts w:ascii="Times New Roman" w:hAnsi="Times New Roman" w:cs="Times New Roman"/>
          <w:color w:val="000000"/>
          <w:sz w:val="24"/>
          <w:szCs w:val="24"/>
        </w:rPr>
        <w:t xml:space="preserve">. In </w:t>
      </w:r>
      <w:r w:rsidR="00577540" w:rsidRPr="00577540">
        <w:rPr>
          <w:rFonts w:ascii="Times New Roman" w:hAnsi="Times New Roman" w:cs="Times New Roman"/>
          <w:i/>
          <w:iCs/>
          <w:color w:val="000000"/>
          <w:sz w:val="24"/>
          <w:szCs w:val="24"/>
        </w:rPr>
        <w:t>South Bay</w:t>
      </w:r>
      <w:r w:rsidR="0067620B" w:rsidRPr="00AA5B37">
        <w:rPr>
          <w:rFonts w:ascii="Times New Roman" w:hAnsi="Times New Roman" w:cs="Times New Roman"/>
          <w:color w:val="000000"/>
          <w:sz w:val="24"/>
          <w:szCs w:val="24"/>
        </w:rPr>
        <w:t>, the</w:t>
      </w:r>
      <w:r w:rsidR="00577540" w:rsidRPr="00577540">
        <w:rPr>
          <w:rFonts w:ascii="Times New Roman" w:hAnsi="Times New Roman" w:cs="Times New Roman"/>
          <w:color w:val="000000"/>
          <w:sz w:val="24"/>
          <w:szCs w:val="24"/>
        </w:rPr>
        <w:t xml:space="preserve"> church </w:t>
      </w:r>
      <w:r w:rsidR="0067620B" w:rsidRPr="00AA5B37">
        <w:rPr>
          <w:rFonts w:ascii="Times New Roman" w:hAnsi="Times New Roman" w:cs="Times New Roman"/>
          <w:color w:val="000000"/>
          <w:sz w:val="24"/>
          <w:szCs w:val="24"/>
        </w:rPr>
        <w:t xml:space="preserve">had instituted an action for injunction based less </w:t>
      </w:r>
      <w:proofErr w:type="spellStart"/>
      <w:r w:rsidR="0067620B" w:rsidRPr="00AA5B37">
        <w:rPr>
          <w:rFonts w:ascii="Times New Roman" w:hAnsi="Times New Roman" w:cs="Times New Roman"/>
          <w:color w:val="000000"/>
          <w:sz w:val="24"/>
          <w:szCs w:val="24"/>
        </w:rPr>
        <w:t>favourable</w:t>
      </w:r>
      <w:proofErr w:type="spellEnd"/>
      <w:r w:rsidR="0067620B" w:rsidRPr="00AA5B37">
        <w:rPr>
          <w:rFonts w:ascii="Times New Roman" w:hAnsi="Times New Roman" w:cs="Times New Roman"/>
          <w:color w:val="000000"/>
          <w:sz w:val="24"/>
          <w:szCs w:val="24"/>
        </w:rPr>
        <w:t xml:space="preserve"> treatment </w:t>
      </w:r>
      <w:r w:rsidR="00577540" w:rsidRPr="00577540">
        <w:rPr>
          <w:rFonts w:ascii="Times New Roman" w:hAnsi="Times New Roman" w:cs="Times New Roman"/>
          <w:color w:val="000000"/>
          <w:sz w:val="24"/>
          <w:szCs w:val="24"/>
        </w:rPr>
        <w:t>than certain other fa</w:t>
      </w:r>
      <w:r w:rsidR="0067620B" w:rsidRPr="00AA5B37">
        <w:rPr>
          <w:rFonts w:ascii="Times New Roman" w:hAnsi="Times New Roman" w:cs="Times New Roman"/>
          <w:color w:val="000000"/>
          <w:sz w:val="24"/>
          <w:szCs w:val="24"/>
        </w:rPr>
        <w:t>cilities, such as factories, of</w:t>
      </w:r>
      <w:r w:rsidR="00577540" w:rsidRPr="00577540">
        <w:rPr>
          <w:rFonts w:ascii="Times New Roman" w:hAnsi="Times New Roman" w:cs="Times New Roman"/>
          <w:color w:val="000000"/>
          <w:sz w:val="24"/>
          <w:szCs w:val="24"/>
        </w:rPr>
        <w:t>fices, supermarkets, resta</w:t>
      </w:r>
      <w:r w:rsidR="0067620B" w:rsidRPr="00AA5B37">
        <w:rPr>
          <w:rFonts w:ascii="Times New Roman" w:hAnsi="Times New Roman" w:cs="Times New Roman"/>
          <w:color w:val="000000"/>
          <w:sz w:val="24"/>
          <w:szCs w:val="24"/>
        </w:rPr>
        <w:t>urants, and retail stores. T</w:t>
      </w:r>
      <w:r w:rsidR="00577540" w:rsidRPr="00577540">
        <w:rPr>
          <w:rFonts w:ascii="Times New Roman" w:hAnsi="Times New Roman" w:cs="Times New Roman"/>
          <w:color w:val="000000"/>
          <w:sz w:val="24"/>
          <w:szCs w:val="24"/>
        </w:rPr>
        <w:t>he law was defended on the ground that in these facilities</w:t>
      </w:r>
      <w:r w:rsidR="0067620B" w:rsidRPr="00AA5B37">
        <w:rPr>
          <w:rFonts w:ascii="Times New Roman" w:hAnsi="Times New Roman" w:cs="Times New Roman"/>
          <w:color w:val="000000"/>
          <w:sz w:val="24"/>
          <w:szCs w:val="24"/>
        </w:rPr>
        <w:t>, unlike in religious houses</w:t>
      </w:r>
      <w:r w:rsidR="00577540" w:rsidRPr="00577540">
        <w:rPr>
          <w:rFonts w:ascii="Times New Roman" w:hAnsi="Times New Roman" w:cs="Times New Roman"/>
          <w:color w:val="000000"/>
          <w:sz w:val="24"/>
          <w:szCs w:val="24"/>
        </w:rPr>
        <w:t xml:space="preserve">, </w:t>
      </w:r>
      <w:r w:rsidR="00577540" w:rsidRPr="00577540">
        <w:rPr>
          <w:rFonts w:ascii="Times New Roman" w:hAnsi="Times New Roman" w:cs="Times New Roman"/>
          <w:i/>
          <w:color w:val="000000"/>
          <w:sz w:val="24"/>
          <w:szCs w:val="24"/>
        </w:rPr>
        <w:t xml:space="preserve">“people neither congregate in large groups nor remain in </w:t>
      </w:r>
      <w:r w:rsidR="0067620B" w:rsidRPr="00AA5B37">
        <w:rPr>
          <w:rFonts w:ascii="Times New Roman" w:hAnsi="Times New Roman" w:cs="Times New Roman"/>
          <w:i/>
          <w:color w:val="000000"/>
          <w:sz w:val="24"/>
          <w:szCs w:val="24"/>
        </w:rPr>
        <w:t>close proximity for extended pe</w:t>
      </w:r>
      <w:r w:rsidR="00577540" w:rsidRPr="00577540">
        <w:rPr>
          <w:rFonts w:ascii="Times New Roman" w:hAnsi="Times New Roman" w:cs="Times New Roman"/>
          <w:i/>
          <w:color w:val="000000"/>
          <w:sz w:val="24"/>
          <w:szCs w:val="24"/>
        </w:rPr>
        <w:t>riods.</w:t>
      </w:r>
      <w:r w:rsidR="00577540" w:rsidRPr="00577540">
        <w:rPr>
          <w:rFonts w:ascii="Times New Roman" w:hAnsi="Times New Roman" w:cs="Times New Roman"/>
          <w:color w:val="000000"/>
          <w:sz w:val="24"/>
          <w:szCs w:val="24"/>
        </w:rPr>
        <w:t>”</w:t>
      </w:r>
      <w:r w:rsidR="0067620B" w:rsidRPr="00AA5B37">
        <w:rPr>
          <w:rFonts w:ascii="Times New Roman" w:hAnsi="Times New Roman" w:cs="Times New Roman"/>
          <w:color w:val="000000"/>
          <w:sz w:val="24"/>
          <w:szCs w:val="24"/>
        </w:rPr>
        <w:t xml:space="preserve"> [</w:t>
      </w:r>
      <w:r w:rsidR="00981477" w:rsidRPr="00AA5B37">
        <w:rPr>
          <w:rFonts w:ascii="Times New Roman" w:hAnsi="Times New Roman" w:cs="Times New Roman"/>
          <w:color w:val="000000"/>
          <w:sz w:val="24"/>
          <w:szCs w:val="24"/>
        </w:rPr>
        <w:t>Pg.10</w:t>
      </w:r>
      <w:r w:rsidR="0067620B" w:rsidRPr="00AA5B37">
        <w:rPr>
          <w:rFonts w:ascii="Times New Roman" w:hAnsi="Times New Roman" w:cs="Times New Roman"/>
          <w:color w:val="000000"/>
          <w:sz w:val="24"/>
          <w:szCs w:val="24"/>
        </w:rPr>
        <w:t>]This is not case in Nevada where people visit and stay close to each other in large numbers in Casinos and other facilities for a long period.</w:t>
      </w:r>
    </w:p>
    <w:p w:rsidR="00577540" w:rsidRPr="00577540" w:rsidRDefault="00577540" w:rsidP="0067620B">
      <w:pPr>
        <w:autoSpaceDE w:val="0"/>
        <w:autoSpaceDN w:val="0"/>
        <w:adjustRightInd w:val="0"/>
        <w:spacing w:after="0" w:line="240" w:lineRule="auto"/>
        <w:jc w:val="both"/>
        <w:rPr>
          <w:rFonts w:ascii="Times New Roman" w:hAnsi="Times New Roman" w:cs="Times New Roman"/>
          <w:color w:val="000000"/>
          <w:sz w:val="24"/>
          <w:szCs w:val="24"/>
        </w:rPr>
      </w:pPr>
      <w:r w:rsidRPr="00577540">
        <w:rPr>
          <w:rFonts w:ascii="Times New Roman" w:hAnsi="Times New Roman" w:cs="Times New Roman"/>
          <w:color w:val="000000"/>
          <w:sz w:val="24"/>
          <w:szCs w:val="24"/>
        </w:rPr>
        <w:t xml:space="preserve"> </w:t>
      </w:r>
    </w:p>
    <w:p w:rsidR="002E398F" w:rsidRPr="00AA5B37" w:rsidRDefault="004318C7" w:rsidP="00627C23">
      <w:pPr>
        <w:spacing w:before="100" w:beforeAutospacing="1" w:after="100" w:afterAutospacing="1" w:line="240" w:lineRule="auto"/>
        <w:jc w:val="both"/>
        <w:rPr>
          <w:rFonts w:ascii="Times New Roman" w:hAnsi="Times New Roman" w:cs="Times New Roman"/>
          <w:sz w:val="24"/>
          <w:szCs w:val="24"/>
        </w:rPr>
      </w:pPr>
      <w:r w:rsidRPr="00AA5B37">
        <w:rPr>
          <w:rFonts w:ascii="Times New Roman" w:eastAsia="Times New Roman" w:hAnsi="Times New Roman" w:cs="Times New Roman"/>
          <w:sz w:val="24"/>
          <w:szCs w:val="24"/>
        </w:rPr>
        <w:t xml:space="preserve">In issuing an injunction in </w:t>
      </w:r>
      <w:proofErr w:type="spellStart"/>
      <w:r w:rsidRPr="00AA5B37">
        <w:rPr>
          <w:rFonts w:ascii="Times New Roman" w:eastAsia="Times New Roman" w:hAnsi="Times New Roman" w:cs="Times New Roman"/>
          <w:sz w:val="24"/>
          <w:szCs w:val="24"/>
        </w:rPr>
        <w:t>favour</w:t>
      </w:r>
      <w:proofErr w:type="spellEnd"/>
      <w:r w:rsidRPr="00AA5B37">
        <w:rPr>
          <w:rFonts w:ascii="Times New Roman" w:eastAsia="Times New Roman" w:hAnsi="Times New Roman" w:cs="Times New Roman"/>
          <w:sz w:val="24"/>
          <w:szCs w:val="24"/>
        </w:rPr>
        <w:t xml:space="preserve"> of the Applicant, Justice Alito noted that the Applicant’</w:t>
      </w:r>
      <w:r w:rsidR="002E398F" w:rsidRPr="00AA5B37">
        <w:rPr>
          <w:rFonts w:ascii="Times New Roman" w:eastAsia="Times New Roman" w:hAnsi="Times New Roman" w:cs="Times New Roman"/>
          <w:sz w:val="24"/>
          <w:szCs w:val="24"/>
        </w:rPr>
        <w:t>s First Amendment claims “</w:t>
      </w:r>
      <w:r w:rsidR="002E398F" w:rsidRPr="00AA5B37">
        <w:rPr>
          <w:rFonts w:ascii="Times New Roman" w:hAnsi="Times New Roman" w:cs="Times New Roman"/>
          <w:i/>
          <w:sz w:val="24"/>
          <w:szCs w:val="24"/>
        </w:rPr>
        <w:t xml:space="preserve">are very likely to succeed. Indeed, it can be said that its “legal rights . . . are indisputably clear,” </w:t>
      </w:r>
      <w:r w:rsidR="002E398F" w:rsidRPr="00AA5B37">
        <w:rPr>
          <w:rFonts w:ascii="Times New Roman" w:hAnsi="Times New Roman" w:cs="Times New Roman"/>
          <w:i/>
          <w:iCs/>
          <w:sz w:val="24"/>
          <w:szCs w:val="24"/>
        </w:rPr>
        <w:t xml:space="preserve">Turner Broadcasting System, Inc. </w:t>
      </w:r>
      <w:r w:rsidR="002E398F" w:rsidRPr="00AA5B37">
        <w:rPr>
          <w:rFonts w:ascii="Times New Roman" w:hAnsi="Times New Roman" w:cs="Times New Roman"/>
          <w:i/>
          <w:sz w:val="24"/>
          <w:szCs w:val="24"/>
        </w:rPr>
        <w:t xml:space="preserve">v. </w:t>
      </w:r>
      <w:r w:rsidR="002E398F" w:rsidRPr="00AA5B37">
        <w:rPr>
          <w:rFonts w:ascii="Times New Roman" w:hAnsi="Times New Roman" w:cs="Times New Roman"/>
          <w:i/>
          <w:iCs/>
          <w:sz w:val="24"/>
          <w:szCs w:val="24"/>
        </w:rPr>
        <w:t>FCC</w:t>
      </w:r>
      <w:r w:rsidR="002E398F" w:rsidRPr="00AA5B37">
        <w:rPr>
          <w:rFonts w:ascii="Times New Roman" w:hAnsi="Times New Roman" w:cs="Times New Roman"/>
          <w:i/>
          <w:sz w:val="24"/>
          <w:szCs w:val="24"/>
        </w:rPr>
        <w:t>, 507 U. S. 1301, 1303 (1993) (Rehnquist, C. J., in chambers) (internal quota</w:t>
      </w:r>
      <w:r w:rsidR="002E398F" w:rsidRPr="00AA5B37">
        <w:rPr>
          <w:rFonts w:ascii="Times New Roman" w:hAnsi="Times New Roman" w:cs="Times New Roman"/>
          <w:i/>
          <w:sz w:val="24"/>
          <w:szCs w:val="24"/>
        </w:rPr>
        <w:t>tion marks omitted), and the eq</w:t>
      </w:r>
      <w:r w:rsidR="002E398F" w:rsidRPr="00AA5B37">
        <w:rPr>
          <w:rFonts w:ascii="Times New Roman" w:hAnsi="Times New Roman" w:cs="Times New Roman"/>
          <w:i/>
          <w:sz w:val="24"/>
          <w:szCs w:val="24"/>
        </w:rPr>
        <w:t>uities also favor Calvary Chapel. Preventing congregants from worshipping will cause irreparable harm, and the State has made no effort to show that Calvary Chapel’s plans would crea</w:t>
      </w:r>
      <w:r w:rsidR="002E398F" w:rsidRPr="00AA5B37">
        <w:rPr>
          <w:rFonts w:ascii="Times New Roman" w:hAnsi="Times New Roman" w:cs="Times New Roman"/>
          <w:i/>
          <w:sz w:val="24"/>
          <w:szCs w:val="24"/>
        </w:rPr>
        <w:t xml:space="preserve">te a serious public health risk” </w:t>
      </w:r>
      <w:r w:rsidR="002E398F" w:rsidRPr="00AA5B37">
        <w:rPr>
          <w:rFonts w:ascii="Times New Roman" w:hAnsi="Times New Roman" w:cs="Times New Roman"/>
          <w:sz w:val="24"/>
          <w:szCs w:val="24"/>
        </w:rPr>
        <w:t xml:space="preserve">[Pg.11]. The learned Justice therefore granted an injunction in </w:t>
      </w:r>
      <w:proofErr w:type="spellStart"/>
      <w:r w:rsidR="002E398F" w:rsidRPr="00AA5B37">
        <w:rPr>
          <w:rFonts w:ascii="Times New Roman" w:hAnsi="Times New Roman" w:cs="Times New Roman"/>
          <w:sz w:val="24"/>
          <w:szCs w:val="24"/>
        </w:rPr>
        <w:t>favour</w:t>
      </w:r>
      <w:proofErr w:type="spellEnd"/>
      <w:r w:rsidR="002E398F" w:rsidRPr="00AA5B37">
        <w:rPr>
          <w:rFonts w:ascii="Times New Roman" w:hAnsi="Times New Roman" w:cs="Times New Roman"/>
          <w:sz w:val="24"/>
          <w:szCs w:val="24"/>
        </w:rPr>
        <w:t xml:space="preserve"> of the Applicant pending appeal to allow its members congregate in accordance with the proposed plan and general face mask requirement and consequently dissented from the majority decision of the court. </w:t>
      </w:r>
    </w:p>
    <w:p w:rsidR="00AC7972" w:rsidRPr="00AA5B37" w:rsidRDefault="00AC7972" w:rsidP="00627C23">
      <w:pPr>
        <w:spacing w:before="100" w:beforeAutospacing="1" w:after="100" w:afterAutospacing="1" w:line="240" w:lineRule="auto"/>
        <w:jc w:val="both"/>
        <w:rPr>
          <w:rFonts w:ascii="Times New Roman" w:eastAsia="Times New Roman" w:hAnsi="Times New Roman" w:cs="Times New Roman"/>
          <w:b/>
          <w:i/>
          <w:sz w:val="24"/>
          <w:szCs w:val="24"/>
        </w:rPr>
      </w:pPr>
      <w:r w:rsidRPr="00AA5B37">
        <w:rPr>
          <w:rFonts w:ascii="Times New Roman" w:eastAsia="Times New Roman" w:hAnsi="Times New Roman" w:cs="Times New Roman"/>
          <w:b/>
          <w:i/>
          <w:sz w:val="24"/>
          <w:szCs w:val="24"/>
        </w:rPr>
        <w:t xml:space="preserve">Justice </w:t>
      </w:r>
      <w:proofErr w:type="spellStart"/>
      <w:r w:rsidRPr="00AA5B37">
        <w:rPr>
          <w:rFonts w:ascii="Times New Roman" w:eastAsia="Times New Roman" w:hAnsi="Times New Roman" w:cs="Times New Roman"/>
          <w:b/>
          <w:i/>
          <w:sz w:val="24"/>
          <w:szCs w:val="24"/>
        </w:rPr>
        <w:t>Gorsuch</w:t>
      </w:r>
      <w:proofErr w:type="spellEnd"/>
    </w:p>
    <w:p w:rsidR="00AC7972" w:rsidRPr="00AA5B37" w:rsidRDefault="000A273A" w:rsidP="00627C23">
      <w:pPr>
        <w:spacing w:before="100" w:beforeAutospacing="1" w:after="100" w:afterAutospacing="1" w:line="240" w:lineRule="auto"/>
        <w:jc w:val="both"/>
        <w:rPr>
          <w:rFonts w:ascii="Times New Roman" w:eastAsia="Times New Roman" w:hAnsi="Times New Roman" w:cs="Times New Roman"/>
          <w:i/>
          <w:sz w:val="24"/>
          <w:szCs w:val="24"/>
        </w:rPr>
      </w:pPr>
      <w:r w:rsidRPr="00AA5B37">
        <w:rPr>
          <w:rFonts w:ascii="Times New Roman" w:eastAsia="Times New Roman" w:hAnsi="Times New Roman" w:cs="Times New Roman"/>
          <w:sz w:val="24"/>
          <w:szCs w:val="24"/>
        </w:rPr>
        <w:lastRenderedPageBreak/>
        <w:t xml:space="preserve">In a separate </w:t>
      </w:r>
      <w:r w:rsidR="009620D3" w:rsidRPr="00AA5B37">
        <w:rPr>
          <w:rFonts w:ascii="Times New Roman" w:eastAsia="Times New Roman" w:hAnsi="Times New Roman" w:cs="Times New Roman"/>
          <w:sz w:val="24"/>
          <w:szCs w:val="24"/>
        </w:rPr>
        <w:t xml:space="preserve">one page </w:t>
      </w:r>
      <w:r w:rsidRPr="00AA5B37">
        <w:rPr>
          <w:rFonts w:ascii="Times New Roman" w:eastAsia="Times New Roman" w:hAnsi="Times New Roman" w:cs="Times New Roman"/>
          <w:sz w:val="24"/>
          <w:szCs w:val="24"/>
        </w:rPr>
        <w:t xml:space="preserve">dissent filed by </w:t>
      </w:r>
      <w:r w:rsidRPr="00AA5B37">
        <w:rPr>
          <w:rFonts w:ascii="Times New Roman" w:eastAsia="Times New Roman" w:hAnsi="Times New Roman" w:cs="Times New Roman"/>
          <w:sz w:val="24"/>
          <w:szCs w:val="24"/>
        </w:rPr>
        <w:t>Justice Neil</w:t>
      </w:r>
      <w:r w:rsidRPr="00AA5B37">
        <w:rPr>
          <w:rFonts w:ascii="Times New Roman" w:eastAsia="Times New Roman" w:hAnsi="Times New Roman" w:cs="Times New Roman"/>
          <w:sz w:val="24"/>
          <w:szCs w:val="24"/>
        </w:rPr>
        <w:t xml:space="preserve"> </w:t>
      </w:r>
      <w:proofErr w:type="spellStart"/>
      <w:r w:rsidRPr="00AA5B37">
        <w:rPr>
          <w:rFonts w:ascii="Times New Roman" w:eastAsia="Times New Roman" w:hAnsi="Times New Roman" w:cs="Times New Roman"/>
          <w:sz w:val="24"/>
          <w:szCs w:val="24"/>
        </w:rPr>
        <w:t>Gorsuch</w:t>
      </w:r>
      <w:proofErr w:type="spellEnd"/>
      <w:r w:rsidRPr="00AA5B37">
        <w:rPr>
          <w:rFonts w:ascii="Times New Roman" w:eastAsia="Times New Roman" w:hAnsi="Times New Roman" w:cs="Times New Roman"/>
          <w:sz w:val="24"/>
          <w:szCs w:val="24"/>
        </w:rPr>
        <w:t xml:space="preserve"> the learned Justice</w:t>
      </w:r>
      <w:r w:rsidRPr="00AA5B37">
        <w:rPr>
          <w:rFonts w:ascii="Times New Roman" w:eastAsia="Times New Roman" w:hAnsi="Times New Roman" w:cs="Times New Roman"/>
          <w:sz w:val="24"/>
          <w:szCs w:val="24"/>
        </w:rPr>
        <w:t xml:space="preserve"> described </w:t>
      </w:r>
      <w:r w:rsidR="00736D6D" w:rsidRPr="00AA5B37">
        <w:rPr>
          <w:rFonts w:ascii="Times New Roman" w:eastAsia="Times New Roman" w:hAnsi="Times New Roman" w:cs="Times New Roman"/>
          <w:sz w:val="24"/>
          <w:szCs w:val="24"/>
        </w:rPr>
        <w:t xml:space="preserve">the dispute as a </w:t>
      </w:r>
      <w:r w:rsidR="002F4A37" w:rsidRPr="00AA5B37">
        <w:rPr>
          <w:rFonts w:ascii="Times New Roman" w:eastAsia="Times New Roman" w:hAnsi="Times New Roman" w:cs="Times New Roman"/>
          <w:sz w:val="24"/>
          <w:szCs w:val="24"/>
        </w:rPr>
        <w:t>simple one</w:t>
      </w:r>
      <w:r w:rsidR="00736D6D" w:rsidRPr="00AA5B37">
        <w:rPr>
          <w:rFonts w:ascii="Times New Roman" w:eastAsia="Times New Roman" w:hAnsi="Times New Roman" w:cs="Times New Roman"/>
          <w:sz w:val="24"/>
          <w:szCs w:val="24"/>
        </w:rPr>
        <w:t xml:space="preserve">. To </w:t>
      </w:r>
      <w:r w:rsidR="0097321E" w:rsidRPr="00AA5B37">
        <w:rPr>
          <w:rFonts w:ascii="Times New Roman" w:eastAsia="Times New Roman" w:hAnsi="Times New Roman" w:cs="Times New Roman"/>
          <w:sz w:val="24"/>
          <w:szCs w:val="24"/>
        </w:rPr>
        <w:t xml:space="preserve">Justice </w:t>
      </w:r>
      <w:proofErr w:type="spellStart"/>
      <w:r w:rsidR="0097321E" w:rsidRPr="00AA5B37">
        <w:rPr>
          <w:rFonts w:ascii="Times New Roman" w:eastAsia="Times New Roman" w:hAnsi="Times New Roman" w:cs="Times New Roman"/>
          <w:sz w:val="24"/>
          <w:szCs w:val="24"/>
        </w:rPr>
        <w:t>Gorsuch</w:t>
      </w:r>
      <w:proofErr w:type="spellEnd"/>
      <w:r w:rsidR="00736D6D" w:rsidRPr="00AA5B37">
        <w:rPr>
          <w:rFonts w:ascii="Times New Roman" w:eastAsia="Times New Roman" w:hAnsi="Times New Roman" w:cs="Times New Roman"/>
          <w:sz w:val="24"/>
          <w:szCs w:val="24"/>
        </w:rPr>
        <w:t xml:space="preserve">, the crux of the case is that the state of Nevada has </w:t>
      </w:r>
      <w:proofErr w:type="gramStart"/>
      <w:r w:rsidR="00736D6D" w:rsidRPr="00AA5B37">
        <w:rPr>
          <w:rFonts w:ascii="Times New Roman" w:eastAsia="Times New Roman" w:hAnsi="Times New Roman" w:cs="Times New Roman"/>
          <w:sz w:val="24"/>
          <w:szCs w:val="24"/>
        </w:rPr>
        <w:t>unjustifiably</w:t>
      </w:r>
      <w:proofErr w:type="gramEnd"/>
      <w:r w:rsidR="00736D6D" w:rsidRPr="00AA5B37">
        <w:rPr>
          <w:rFonts w:ascii="Times New Roman" w:eastAsia="Times New Roman" w:hAnsi="Times New Roman" w:cs="Times New Roman"/>
          <w:sz w:val="24"/>
          <w:szCs w:val="24"/>
        </w:rPr>
        <w:t xml:space="preserve"> normalized</w:t>
      </w:r>
      <w:r w:rsidR="0097321E" w:rsidRPr="00AA5B37">
        <w:rPr>
          <w:rFonts w:ascii="Times New Roman" w:eastAsia="Times New Roman" w:hAnsi="Times New Roman" w:cs="Times New Roman"/>
          <w:sz w:val="24"/>
          <w:szCs w:val="24"/>
        </w:rPr>
        <w:t xml:space="preserve"> </w:t>
      </w:r>
      <w:r w:rsidR="00736D6D" w:rsidRPr="00AA5B37">
        <w:rPr>
          <w:rFonts w:ascii="Times New Roman" w:eastAsia="Times New Roman" w:hAnsi="Times New Roman" w:cs="Times New Roman"/>
          <w:sz w:val="24"/>
          <w:szCs w:val="24"/>
        </w:rPr>
        <w:t>discrimination between religion and entertainment to the disadvantage of religion regardless of its constitutional protection.</w:t>
      </w:r>
      <w:r w:rsidR="002F4A37" w:rsidRPr="00AA5B37">
        <w:rPr>
          <w:rFonts w:ascii="Times New Roman" w:eastAsia="Times New Roman" w:hAnsi="Times New Roman" w:cs="Times New Roman"/>
          <w:sz w:val="24"/>
          <w:szCs w:val="24"/>
        </w:rPr>
        <w:t xml:space="preserve"> In very instructive and thought</w:t>
      </w:r>
      <w:r w:rsidR="00736D6D" w:rsidRPr="00AA5B37">
        <w:rPr>
          <w:rFonts w:ascii="Times New Roman" w:eastAsia="Times New Roman" w:hAnsi="Times New Roman" w:cs="Times New Roman"/>
          <w:sz w:val="24"/>
          <w:szCs w:val="24"/>
        </w:rPr>
        <w:t xml:space="preserve">-provoking words of Justice </w:t>
      </w:r>
      <w:proofErr w:type="spellStart"/>
      <w:r w:rsidR="00736D6D" w:rsidRPr="00AA5B37">
        <w:rPr>
          <w:rFonts w:ascii="Times New Roman" w:eastAsia="Times New Roman" w:hAnsi="Times New Roman" w:cs="Times New Roman"/>
          <w:sz w:val="24"/>
          <w:szCs w:val="24"/>
        </w:rPr>
        <w:t>Gorsuch</w:t>
      </w:r>
      <w:proofErr w:type="spellEnd"/>
      <w:r w:rsidR="00736D6D" w:rsidRPr="00AA5B37">
        <w:rPr>
          <w:rFonts w:ascii="Times New Roman" w:eastAsia="Times New Roman" w:hAnsi="Times New Roman" w:cs="Times New Roman"/>
          <w:sz w:val="24"/>
          <w:szCs w:val="24"/>
        </w:rPr>
        <w:t>, the learned Justice stated that “</w:t>
      </w:r>
      <w:r w:rsidR="00736D6D" w:rsidRPr="00AA5B37">
        <w:rPr>
          <w:rFonts w:ascii="Times New Roman" w:eastAsia="Times New Roman" w:hAnsi="Times New Roman" w:cs="Times New Roman"/>
          <w:i/>
          <w:sz w:val="24"/>
          <w:szCs w:val="24"/>
        </w:rPr>
        <w:t>i</w:t>
      </w:r>
      <w:r w:rsidRPr="00AA5B37">
        <w:rPr>
          <w:rFonts w:ascii="Times New Roman" w:hAnsi="Times New Roman" w:cs="Times New Roman"/>
          <w:i/>
          <w:sz w:val="24"/>
          <w:szCs w:val="24"/>
        </w:rPr>
        <w:t>n Nevada, it seems, it is better to be in entertainment than religion.</w:t>
      </w:r>
      <w:r w:rsidRPr="00AA5B37">
        <w:rPr>
          <w:rFonts w:ascii="Times New Roman" w:hAnsi="Times New Roman" w:cs="Times New Roman"/>
          <w:i/>
          <w:sz w:val="24"/>
          <w:szCs w:val="24"/>
        </w:rPr>
        <w:t xml:space="preserve"> </w:t>
      </w:r>
      <w:r w:rsidRPr="00AA5B37">
        <w:rPr>
          <w:rFonts w:ascii="Times New Roman" w:hAnsi="Times New Roman" w:cs="Times New Roman"/>
          <w:i/>
          <w:sz w:val="24"/>
          <w:szCs w:val="24"/>
        </w:rPr>
        <w:t xml:space="preserve">Maybe that is nothing new. But the First </w:t>
      </w:r>
      <w:r w:rsidRPr="00AA5B37">
        <w:rPr>
          <w:rFonts w:ascii="Times New Roman" w:hAnsi="Times New Roman" w:cs="Times New Roman"/>
          <w:i/>
          <w:sz w:val="24"/>
          <w:szCs w:val="24"/>
        </w:rPr>
        <w:t>Amendment pro</w:t>
      </w:r>
      <w:r w:rsidRPr="00AA5B37">
        <w:rPr>
          <w:rFonts w:ascii="Times New Roman" w:hAnsi="Times New Roman" w:cs="Times New Roman"/>
          <w:i/>
          <w:sz w:val="24"/>
          <w:szCs w:val="24"/>
        </w:rPr>
        <w:t>hibits such obvious discrimination against the exercise of religion. The world we inhabit today, with a pandemic upon us, poses unusual challenges. But there is no world in which the Constitution permits Nevada to favor Caesars Palace over Ca</w:t>
      </w:r>
      <w:r w:rsidR="00736D6D" w:rsidRPr="00AA5B37">
        <w:rPr>
          <w:rFonts w:ascii="Times New Roman" w:hAnsi="Times New Roman" w:cs="Times New Roman"/>
          <w:i/>
          <w:sz w:val="24"/>
          <w:szCs w:val="24"/>
        </w:rPr>
        <w:t>lvary Chapel”</w:t>
      </w:r>
      <w:r w:rsidR="00260605">
        <w:rPr>
          <w:rFonts w:ascii="Times New Roman" w:hAnsi="Times New Roman" w:cs="Times New Roman"/>
          <w:i/>
          <w:sz w:val="24"/>
          <w:szCs w:val="24"/>
        </w:rPr>
        <w:t xml:space="preserve"> </w:t>
      </w:r>
      <w:r w:rsidR="00260605" w:rsidRPr="00260605">
        <w:rPr>
          <w:rFonts w:ascii="Times New Roman" w:hAnsi="Times New Roman" w:cs="Times New Roman"/>
          <w:sz w:val="24"/>
          <w:szCs w:val="24"/>
        </w:rPr>
        <w:t>[Pg.1]</w:t>
      </w:r>
    </w:p>
    <w:p w:rsidR="00AC7972" w:rsidRPr="00AA5B37" w:rsidRDefault="00AC7972" w:rsidP="00627C23">
      <w:pPr>
        <w:spacing w:before="100" w:beforeAutospacing="1" w:after="100" w:afterAutospacing="1" w:line="240" w:lineRule="auto"/>
        <w:jc w:val="both"/>
        <w:rPr>
          <w:rFonts w:ascii="Times New Roman" w:eastAsia="Times New Roman" w:hAnsi="Times New Roman" w:cs="Times New Roman"/>
          <w:b/>
          <w:i/>
          <w:sz w:val="24"/>
          <w:szCs w:val="24"/>
        </w:rPr>
      </w:pPr>
      <w:r w:rsidRPr="00AA5B37">
        <w:rPr>
          <w:rFonts w:ascii="Times New Roman" w:eastAsia="Times New Roman" w:hAnsi="Times New Roman" w:cs="Times New Roman"/>
          <w:b/>
          <w:i/>
          <w:sz w:val="24"/>
          <w:szCs w:val="24"/>
        </w:rPr>
        <w:t xml:space="preserve">Justice </w:t>
      </w:r>
      <w:proofErr w:type="spellStart"/>
      <w:r w:rsidRPr="00AA5B37">
        <w:rPr>
          <w:rFonts w:ascii="Times New Roman" w:eastAsia="Times New Roman" w:hAnsi="Times New Roman" w:cs="Times New Roman"/>
          <w:b/>
          <w:i/>
          <w:sz w:val="24"/>
          <w:szCs w:val="24"/>
        </w:rPr>
        <w:t>Kavanaugh</w:t>
      </w:r>
      <w:proofErr w:type="spellEnd"/>
    </w:p>
    <w:p w:rsidR="00FE05D7" w:rsidRPr="00AA5B37" w:rsidRDefault="007C0AAA" w:rsidP="00AA5B37">
      <w:pPr>
        <w:spacing w:before="100" w:beforeAutospacing="1" w:after="100" w:afterAutospacing="1" w:line="240" w:lineRule="auto"/>
        <w:jc w:val="both"/>
        <w:rPr>
          <w:rFonts w:ascii="Times New Roman" w:eastAsia="Times New Roman" w:hAnsi="Times New Roman" w:cs="Times New Roman"/>
          <w:sz w:val="24"/>
          <w:szCs w:val="24"/>
        </w:rPr>
      </w:pPr>
      <w:r w:rsidRPr="00AA5B37">
        <w:rPr>
          <w:rFonts w:ascii="Times New Roman" w:eastAsia="Times New Roman" w:hAnsi="Times New Roman" w:cs="Times New Roman"/>
          <w:sz w:val="24"/>
          <w:szCs w:val="24"/>
        </w:rPr>
        <w:t xml:space="preserve">Justice </w:t>
      </w:r>
      <w:proofErr w:type="spellStart"/>
      <w:r w:rsidRPr="00AA5B37">
        <w:rPr>
          <w:rFonts w:ascii="Times New Roman" w:eastAsia="Times New Roman" w:hAnsi="Times New Roman" w:cs="Times New Roman"/>
          <w:sz w:val="24"/>
          <w:szCs w:val="24"/>
        </w:rPr>
        <w:t>Kavanugh’s</w:t>
      </w:r>
      <w:proofErr w:type="spellEnd"/>
      <w:r w:rsidRPr="00AA5B37">
        <w:rPr>
          <w:rFonts w:ascii="Times New Roman" w:eastAsia="Times New Roman" w:hAnsi="Times New Roman" w:cs="Times New Roman"/>
          <w:sz w:val="24"/>
          <w:szCs w:val="24"/>
        </w:rPr>
        <w:t xml:space="preserve"> dissenting opinion was captured in a 12 page ruling. </w:t>
      </w:r>
      <w:r w:rsidR="0061686C" w:rsidRPr="00AA5B37">
        <w:rPr>
          <w:rFonts w:ascii="Times New Roman" w:eastAsia="Times New Roman" w:hAnsi="Times New Roman" w:cs="Times New Roman"/>
          <w:sz w:val="24"/>
          <w:szCs w:val="24"/>
        </w:rPr>
        <w:t xml:space="preserve">The learned Justice by </w:t>
      </w:r>
      <w:r w:rsidR="003A1878" w:rsidRPr="00AA5B37">
        <w:rPr>
          <w:rFonts w:ascii="Times New Roman" w:eastAsia="Times New Roman" w:hAnsi="Times New Roman" w:cs="Times New Roman"/>
          <w:sz w:val="24"/>
          <w:szCs w:val="24"/>
        </w:rPr>
        <w:t xml:space="preserve">started by </w:t>
      </w:r>
      <w:r w:rsidR="0061686C" w:rsidRPr="00AA5B37">
        <w:rPr>
          <w:rFonts w:ascii="Times New Roman" w:eastAsia="Times New Roman" w:hAnsi="Times New Roman" w:cs="Times New Roman"/>
          <w:sz w:val="24"/>
          <w:szCs w:val="24"/>
        </w:rPr>
        <w:t>stating that “</w:t>
      </w:r>
      <w:r w:rsidR="0061686C" w:rsidRPr="00AA5B37">
        <w:rPr>
          <w:rFonts w:ascii="Times New Roman" w:hAnsi="Times New Roman" w:cs="Times New Roman"/>
          <w:sz w:val="24"/>
          <w:szCs w:val="24"/>
        </w:rPr>
        <w:t>Religion cases are am</w:t>
      </w:r>
      <w:r w:rsidR="0061686C" w:rsidRPr="00AA5B37">
        <w:rPr>
          <w:rFonts w:ascii="Times New Roman" w:hAnsi="Times New Roman" w:cs="Times New Roman"/>
          <w:sz w:val="24"/>
          <w:szCs w:val="24"/>
        </w:rPr>
        <w:t>ong the most sensitive and chal</w:t>
      </w:r>
      <w:r w:rsidR="0061686C" w:rsidRPr="00AA5B37">
        <w:rPr>
          <w:rFonts w:ascii="Times New Roman" w:hAnsi="Times New Roman" w:cs="Times New Roman"/>
          <w:sz w:val="24"/>
          <w:szCs w:val="24"/>
        </w:rPr>
        <w:t>lenging in</w:t>
      </w:r>
      <w:r w:rsidR="0061686C" w:rsidRPr="00AA5B37">
        <w:rPr>
          <w:rFonts w:ascii="Times New Roman" w:hAnsi="Times New Roman" w:cs="Times New Roman"/>
          <w:sz w:val="24"/>
          <w:szCs w:val="24"/>
        </w:rPr>
        <w:t xml:space="preserve"> American law” He noted profoundly that there is always disagreement when it comes to religion cases. </w:t>
      </w:r>
      <w:r w:rsidR="003A1878" w:rsidRPr="00AA5B37">
        <w:rPr>
          <w:rFonts w:ascii="Times New Roman" w:hAnsi="Times New Roman" w:cs="Times New Roman"/>
          <w:sz w:val="24"/>
          <w:szCs w:val="24"/>
        </w:rPr>
        <w:t xml:space="preserve">Justice </w:t>
      </w:r>
      <w:proofErr w:type="spellStart"/>
      <w:r w:rsidR="003A1878" w:rsidRPr="00AA5B37">
        <w:rPr>
          <w:rFonts w:ascii="Times New Roman" w:hAnsi="Times New Roman" w:cs="Times New Roman"/>
          <w:sz w:val="24"/>
          <w:szCs w:val="24"/>
        </w:rPr>
        <w:t>Kavan</w:t>
      </w:r>
      <w:r w:rsidR="00D82A5B" w:rsidRPr="00AA5B37">
        <w:rPr>
          <w:rFonts w:ascii="Times New Roman" w:hAnsi="Times New Roman" w:cs="Times New Roman"/>
          <w:sz w:val="24"/>
          <w:szCs w:val="24"/>
        </w:rPr>
        <w:t>a</w:t>
      </w:r>
      <w:r w:rsidR="003A1878" w:rsidRPr="00AA5B37">
        <w:rPr>
          <w:rFonts w:ascii="Times New Roman" w:hAnsi="Times New Roman" w:cs="Times New Roman"/>
          <w:sz w:val="24"/>
          <w:szCs w:val="24"/>
        </w:rPr>
        <w:t>ugh</w:t>
      </w:r>
      <w:proofErr w:type="spellEnd"/>
      <w:r w:rsidR="003A1878" w:rsidRPr="00AA5B37">
        <w:rPr>
          <w:rFonts w:ascii="Times New Roman" w:hAnsi="Times New Roman" w:cs="Times New Roman"/>
          <w:sz w:val="24"/>
          <w:szCs w:val="24"/>
        </w:rPr>
        <w:t xml:space="preserve"> identified and categorized laws dealing with religion as follows</w:t>
      </w:r>
      <w:r w:rsidR="0061686C" w:rsidRPr="00AA5B37">
        <w:rPr>
          <w:rFonts w:ascii="Times New Roman" w:hAnsi="Times New Roman" w:cs="Times New Roman"/>
          <w:sz w:val="24"/>
          <w:szCs w:val="24"/>
        </w:rPr>
        <w:t xml:space="preserve"> </w:t>
      </w:r>
      <w:r w:rsidR="003A1878" w:rsidRPr="00AA5B37">
        <w:rPr>
          <w:rFonts w:ascii="Times New Roman" w:hAnsi="Times New Roman" w:cs="Times New Roman"/>
          <w:i/>
          <w:sz w:val="24"/>
          <w:szCs w:val="24"/>
        </w:rPr>
        <w:t>“</w:t>
      </w:r>
      <w:r w:rsidR="0061686C" w:rsidRPr="00AA5B37">
        <w:rPr>
          <w:rFonts w:ascii="Times New Roman" w:hAnsi="Times New Roman" w:cs="Times New Roman"/>
          <w:i/>
          <w:sz w:val="24"/>
          <w:szCs w:val="24"/>
        </w:rPr>
        <w:t>(1) laws that expressly discriminate against religious organizations; (2)</w:t>
      </w:r>
      <w:r w:rsidR="003A1878" w:rsidRPr="00AA5B37">
        <w:rPr>
          <w:rFonts w:ascii="Times New Roman" w:hAnsi="Times New Roman" w:cs="Times New Roman"/>
          <w:i/>
          <w:sz w:val="24"/>
          <w:szCs w:val="24"/>
        </w:rPr>
        <w:t xml:space="preserve"> laws that expressly favor reli</w:t>
      </w:r>
      <w:r w:rsidR="0061686C" w:rsidRPr="00AA5B37">
        <w:rPr>
          <w:rFonts w:ascii="Times New Roman" w:hAnsi="Times New Roman" w:cs="Times New Roman"/>
          <w:i/>
          <w:sz w:val="24"/>
          <w:szCs w:val="24"/>
        </w:rPr>
        <w:t>gious organizations; (3) laws</w:t>
      </w:r>
      <w:r w:rsidR="003A1878" w:rsidRPr="00AA5B37">
        <w:rPr>
          <w:rFonts w:ascii="Times New Roman" w:hAnsi="Times New Roman" w:cs="Times New Roman"/>
          <w:i/>
          <w:sz w:val="24"/>
          <w:szCs w:val="24"/>
        </w:rPr>
        <w:t xml:space="preserve"> that do not classify on the ba</w:t>
      </w:r>
      <w:r w:rsidR="0061686C" w:rsidRPr="00AA5B37">
        <w:rPr>
          <w:rFonts w:ascii="Times New Roman" w:hAnsi="Times New Roman" w:cs="Times New Roman"/>
          <w:i/>
          <w:sz w:val="24"/>
          <w:szCs w:val="24"/>
        </w:rPr>
        <w:t>sis of religion but apply to</w:t>
      </w:r>
      <w:r w:rsidR="003A1878" w:rsidRPr="00AA5B37">
        <w:rPr>
          <w:rFonts w:ascii="Times New Roman" w:hAnsi="Times New Roman" w:cs="Times New Roman"/>
          <w:i/>
          <w:sz w:val="24"/>
          <w:szCs w:val="24"/>
        </w:rPr>
        <w:t xml:space="preserve"> secular and religious organiza</w:t>
      </w:r>
      <w:r w:rsidR="0061686C" w:rsidRPr="00AA5B37">
        <w:rPr>
          <w:rFonts w:ascii="Times New Roman" w:hAnsi="Times New Roman" w:cs="Times New Roman"/>
          <w:i/>
          <w:sz w:val="24"/>
          <w:szCs w:val="24"/>
        </w:rPr>
        <w:t>tions alike; and (4) laws that expressly treat religious organizations equally to some secular organizations but better or worse t</w:t>
      </w:r>
      <w:r w:rsidR="003A1878" w:rsidRPr="00AA5B37">
        <w:rPr>
          <w:rFonts w:ascii="Times New Roman" w:hAnsi="Times New Roman" w:cs="Times New Roman"/>
          <w:i/>
          <w:sz w:val="24"/>
          <w:szCs w:val="24"/>
        </w:rPr>
        <w:t>han other secular organizations”</w:t>
      </w:r>
      <w:r w:rsidR="0061686C" w:rsidRPr="00AA5B37">
        <w:rPr>
          <w:rFonts w:ascii="Times New Roman" w:hAnsi="Times New Roman" w:cs="Times New Roman"/>
          <w:sz w:val="24"/>
          <w:szCs w:val="24"/>
        </w:rPr>
        <w:t xml:space="preserve"> </w:t>
      </w:r>
      <w:r w:rsidR="00CC3A89">
        <w:rPr>
          <w:rFonts w:ascii="Times New Roman" w:hAnsi="Times New Roman" w:cs="Times New Roman"/>
          <w:sz w:val="24"/>
          <w:szCs w:val="24"/>
        </w:rPr>
        <w:t>[Pg.3]</w:t>
      </w:r>
      <w:r w:rsidR="003A1878" w:rsidRPr="00AA5B37">
        <w:rPr>
          <w:rFonts w:ascii="Times New Roman" w:hAnsi="Times New Roman" w:cs="Times New Roman"/>
          <w:sz w:val="24"/>
          <w:szCs w:val="24"/>
        </w:rPr>
        <w:t xml:space="preserve"> Justice </w:t>
      </w:r>
      <w:proofErr w:type="spellStart"/>
      <w:r w:rsidR="00D82A5B" w:rsidRPr="00AA5B37">
        <w:rPr>
          <w:rFonts w:ascii="Times New Roman" w:hAnsi="Times New Roman" w:cs="Times New Roman"/>
          <w:sz w:val="24"/>
          <w:szCs w:val="24"/>
        </w:rPr>
        <w:t>Kavanaugh</w:t>
      </w:r>
      <w:proofErr w:type="spellEnd"/>
      <w:r w:rsidR="0061686C" w:rsidRPr="00AA5B37">
        <w:rPr>
          <w:rFonts w:ascii="Times New Roman" w:hAnsi="Times New Roman" w:cs="Times New Roman"/>
          <w:sz w:val="24"/>
          <w:szCs w:val="24"/>
        </w:rPr>
        <w:t xml:space="preserve"> </w:t>
      </w:r>
      <w:r w:rsidR="00D82A5B" w:rsidRPr="00AA5B37">
        <w:rPr>
          <w:rFonts w:ascii="Times New Roman" w:hAnsi="Times New Roman" w:cs="Times New Roman"/>
          <w:sz w:val="24"/>
          <w:szCs w:val="24"/>
        </w:rPr>
        <w:t xml:space="preserve">noted that the </w:t>
      </w:r>
      <w:r w:rsidR="0061686C" w:rsidRPr="00AA5B37">
        <w:rPr>
          <w:rFonts w:ascii="Times New Roman" w:hAnsi="Times New Roman" w:cs="Times New Roman"/>
          <w:sz w:val="24"/>
          <w:szCs w:val="24"/>
        </w:rPr>
        <w:t>Nevada’s</w:t>
      </w:r>
      <w:r w:rsidR="00D82A5B" w:rsidRPr="00AA5B37">
        <w:rPr>
          <w:rFonts w:ascii="Times New Roman" w:hAnsi="Times New Roman" w:cs="Times New Roman"/>
          <w:sz w:val="24"/>
          <w:szCs w:val="24"/>
        </w:rPr>
        <w:t xml:space="preserve"> case </w:t>
      </w:r>
      <w:r w:rsidR="0061686C" w:rsidRPr="00AA5B37">
        <w:rPr>
          <w:rFonts w:ascii="Times New Roman" w:hAnsi="Times New Roman" w:cs="Times New Roman"/>
          <w:sz w:val="24"/>
          <w:szCs w:val="24"/>
        </w:rPr>
        <w:t>falls into the fourth category.</w:t>
      </w:r>
      <w:r w:rsidR="00D82A5B" w:rsidRPr="00AA5B37">
        <w:rPr>
          <w:rFonts w:ascii="Times New Roman" w:eastAsia="Times New Roman" w:hAnsi="Times New Roman" w:cs="Times New Roman"/>
          <w:sz w:val="24"/>
          <w:szCs w:val="24"/>
        </w:rPr>
        <w:t xml:space="preserve"> </w:t>
      </w:r>
      <w:r w:rsidR="00D82A5B" w:rsidRPr="00AA5B37">
        <w:rPr>
          <w:rFonts w:ascii="Times New Roman" w:hAnsi="Times New Roman" w:cs="Times New Roman"/>
          <w:color w:val="000000"/>
          <w:sz w:val="24"/>
          <w:szCs w:val="24"/>
        </w:rPr>
        <w:t xml:space="preserve">He further noted that the court’s </w:t>
      </w:r>
      <w:r w:rsidR="00FE05D7" w:rsidRPr="00AA5B37">
        <w:rPr>
          <w:rFonts w:ascii="Times New Roman" w:hAnsi="Times New Roman" w:cs="Times New Roman"/>
          <w:color w:val="000000"/>
          <w:sz w:val="24"/>
          <w:szCs w:val="24"/>
        </w:rPr>
        <w:t xml:space="preserve">precedents do </w:t>
      </w:r>
      <w:r w:rsidR="00FE05D7" w:rsidRPr="00AA5B37">
        <w:rPr>
          <w:rFonts w:ascii="Times New Roman" w:hAnsi="Times New Roman" w:cs="Times New Roman"/>
          <w:i/>
          <w:iCs/>
          <w:color w:val="000000"/>
          <w:sz w:val="24"/>
          <w:szCs w:val="24"/>
        </w:rPr>
        <w:t xml:space="preserve">not </w:t>
      </w:r>
      <w:r w:rsidR="0061686C" w:rsidRPr="00AA5B37">
        <w:rPr>
          <w:rFonts w:ascii="Times New Roman" w:hAnsi="Times New Roman" w:cs="Times New Roman"/>
          <w:color w:val="000000"/>
          <w:sz w:val="24"/>
          <w:szCs w:val="24"/>
        </w:rPr>
        <w:t>require that re</w:t>
      </w:r>
      <w:r w:rsidR="00FE05D7" w:rsidRPr="00AA5B37">
        <w:rPr>
          <w:rFonts w:ascii="Times New Roman" w:hAnsi="Times New Roman" w:cs="Times New Roman"/>
          <w:color w:val="000000"/>
          <w:sz w:val="24"/>
          <w:szCs w:val="24"/>
        </w:rPr>
        <w:t>ligious organizations be treated</w:t>
      </w:r>
      <w:r w:rsidR="00FE05D7" w:rsidRPr="00CC3A89">
        <w:rPr>
          <w:rFonts w:ascii="Times New Roman" w:hAnsi="Times New Roman" w:cs="Times New Roman"/>
          <w:color w:val="000000"/>
          <w:sz w:val="24"/>
          <w:szCs w:val="24"/>
        </w:rPr>
        <w:t xml:space="preserve"> </w:t>
      </w:r>
      <w:r w:rsidR="00FE05D7" w:rsidRPr="00CC3A89">
        <w:rPr>
          <w:rFonts w:ascii="Times New Roman" w:hAnsi="Times New Roman" w:cs="Times New Roman"/>
          <w:iCs/>
          <w:color w:val="000000"/>
          <w:sz w:val="24"/>
          <w:szCs w:val="24"/>
        </w:rPr>
        <w:t>more favorably</w:t>
      </w:r>
      <w:r w:rsidR="00FE05D7" w:rsidRPr="00AA5B37">
        <w:rPr>
          <w:rFonts w:ascii="Times New Roman" w:hAnsi="Times New Roman" w:cs="Times New Roman"/>
          <w:i/>
          <w:iCs/>
          <w:color w:val="000000"/>
          <w:sz w:val="24"/>
          <w:szCs w:val="24"/>
        </w:rPr>
        <w:t xml:space="preserve"> </w:t>
      </w:r>
      <w:r w:rsidR="0061686C" w:rsidRPr="00AA5B37">
        <w:rPr>
          <w:rFonts w:ascii="Times New Roman" w:hAnsi="Times New Roman" w:cs="Times New Roman"/>
          <w:color w:val="000000"/>
          <w:sz w:val="24"/>
          <w:szCs w:val="24"/>
        </w:rPr>
        <w:t>than all sec</w:t>
      </w:r>
      <w:r w:rsidR="00D82A5B" w:rsidRPr="00AA5B37">
        <w:rPr>
          <w:rFonts w:ascii="Times New Roman" w:hAnsi="Times New Roman" w:cs="Times New Roman"/>
          <w:color w:val="000000"/>
          <w:sz w:val="24"/>
          <w:szCs w:val="24"/>
        </w:rPr>
        <w:t xml:space="preserve">ular organizations, but that it is an issue of </w:t>
      </w:r>
      <w:r w:rsidR="00FE05D7" w:rsidRPr="00AA5B37">
        <w:rPr>
          <w:rFonts w:ascii="Times New Roman" w:hAnsi="Times New Roman" w:cs="Times New Roman"/>
          <w:color w:val="000000"/>
          <w:sz w:val="24"/>
          <w:szCs w:val="24"/>
        </w:rPr>
        <w:t xml:space="preserve">First Amendment </w:t>
      </w:r>
      <w:r w:rsidR="00D82A5B" w:rsidRPr="00AA5B37">
        <w:rPr>
          <w:rFonts w:ascii="Times New Roman" w:hAnsi="Times New Roman" w:cs="Times New Roman"/>
          <w:color w:val="000000"/>
          <w:sz w:val="24"/>
          <w:szCs w:val="24"/>
        </w:rPr>
        <w:t xml:space="preserve">which clearly </w:t>
      </w:r>
      <w:r w:rsidR="00FE05D7" w:rsidRPr="00AA5B37">
        <w:rPr>
          <w:rFonts w:ascii="Times New Roman" w:hAnsi="Times New Roman" w:cs="Times New Roman"/>
          <w:color w:val="000000"/>
          <w:sz w:val="24"/>
          <w:szCs w:val="24"/>
        </w:rPr>
        <w:t xml:space="preserve">requires that religious organizations be treated </w:t>
      </w:r>
      <w:r w:rsidR="00FE05D7" w:rsidRPr="00CC3A89">
        <w:rPr>
          <w:rFonts w:ascii="Times New Roman" w:hAnsi="Times New Roman" w:cs="Times New Roman"/>
          <w:iCs/>
          <w:color w:val="000000"/>
          <w:sz w:val="24"/>
          <w:szCs w:val="24"/>
        </w:rPr>
        <w:t>equally</w:t>
      </w:r>
      <w:r w:rsidR="00FE05D7" w:rsidRPr="00AA5B37">
        <w:rPr>
          <w:rFonts w:ascii="Times New Roman" w:hAnsi="Times New Roman" w:cs="Times New Roman"/>
          <w:i/>
          <w:iCs/>
          <w:color w:val="000000"/>
          <w:sz w:val="24"/>
          <w:szCs w:val="24"/>
        </w:rPr>
        <w:t xml:space="preserve"> </w:t>
      </w:r>
      <w:r w:rsidR="0061686C" w:rsidRPr="00AA5B37">
        <w:rPr>
          <w:rFonts w:ascii="Times New Roman" w:hAnsi="Times New Roman" w:cs="Times New Roman"/>
          <w:color w:val="000000"/>
          <w:sz w:val="24"/>
          <w:szCs w:val="24"/>
        </w:rPr>
        <w:t>to the fa</w:t>
      </w:r>
      <w:r w:rsidR="00FE05D7" w:rsidRPr="00AA5B37">
        <w:rPr>
          <w:rFonts w:ascii="Times New Roman" w:hAnsi="Times New Roman" w:cs="Times New Roman"/>
          <w:color w:val="000000"/>
          <w:sz w:val="24"/>
          <w:szCs w:val="24"/>
        </w:rPr>
        <w:t>vored or exempt secular organizations, unless the State can sufficie</w:t>
      </w:r>
      <w:r w:rsidR="00D82A5B" w:rsidRPr="00AA5B37">
        <w:rPr>
          <w:rFonts w:ascii="Times New Roman" w:hAnsi="Times New Roman" w:cs="Times New Roman"/>
          <w:color w:val="000000"/>
          <w:sz w:val="24"/>
          <w:szCs w:val="24"/>
        </w:rPr>
        <w:t xml:space="preserve">ntly justify the </w:t>
      </w:r>
      <w:r w:rsidR="00FE05D7" w:rsidRPr="00AA5B37">
        <w:rPr>
          <w:rFonts w:ascii="Times New Roman" w:hAnsi="Times New Roman" w:cs="Times New Roman"/>
          <w:color w:val="000000"/>
          <w:sz w:val="24"/>
          <w:szCs w:val="24"/>
        </w:rPr>
        <w:t>.</w:t>
      </w:r>
    </w:p>
    <w:p w:rsidR="00AA5B37" w:rsidRDefault="00AA5B37" w:rsidP="00DA4B52">
      <w:pPr>
        <w:spacing w:before="100" w:beforeAutospacing="1" w:after="100" w:afterAutospacing="1" w:line="240" w:lineRule="auto"/>
        <w:jc w:val="both"/>
        <w:rPr>
          <w:rFonts w:ascii="Times New Roman" w:eastAsia="Times New Roman" w:hAnsi="Times New Roman" w:cs="Times New Roman"/>
          <w:sz w:val="24"/>
          <w:szCs w:val="24"/>
        </w:rPr>
      </w:pPr>
      <w:r w:rsidRPr="00AA5B37">
        <w:rPr>
          <w:rFonts w:ascii="Times New Roman" w:eastAsia="Times New Roman" w:hAnsi="Times New Roman" w:cs="Times New Roman"/>
          <w:sz w:val="24"/>
          <w:szCs w:val="24"/>
        </w:rPr>
        <w:t xml:space="preserve">At the very heart of his dissent, Justice </w:t>
      </w:r>
      <w:proofErr w:type="spellStart"/>
      <w:r w:rsidRPr="00AA5B37">
        <w:rPr>
          <w:rFonts w:ascii="Times New Roman" w:eastAsia="Times New Roman" w:hAnsi="Times New Roman" w:cs="Times New Roman"/>
          <w:sz w:val="24"/>
          <w:szCs w:val="24"/>
        </w:rPr>
        <w:t>Kavanaugh</w:t>
      </w:r>
      <w:proofErr w:type="spellEnd"/>
      <w:r w:rsidRPr="00AA5B37">
        <w:rPr>
          <w:rFonts w:ascii="Times New Roman" w:eastAsia="Times New Roman" w:hAnsi="Times New Roman" w:cs="Times New Roman"/>
          <w:sz w:val="24"/>
          <w:szCs w:val="24"/>
        </w:rPr>
        <w:t xml:space="preserve"> </w:t>
      </w:r>
      <w:r w:rsidR="00DC61EA">
        <w:rPr>
          <w:rFonts w:ascii="Times New Roman" w:eastAsia="Times New Roman" w:hAnsi="Times New Roman" w:cs="Times New Roman"/>
          <w:sz w:val="24"/>
          <w:szCs w:val="24"/>
        </w:rPr>
        <w:t xml:space="preserve">noted </w:t>
      </w:r>
      <w:r w:rsidRPr="00AA5B37">
        <w:rPr>
          <w:rFonts w:ascii="Times New Roman" w:eastAsia="Times New Roman" w:hAnsi="Times New Roman" w:cs="Times New Roman"/>
          <w:sz w:val="24"/>
          <w:szCs w:val="24"/>
        </w:rPr>
        <w:t xml:space="preserve">that the </w:t>
      </w:r>
      <w:r w:rsidRPr="00AA5B37">
        <w:rPr>
          <w:rFonts w:ascii="Times New Roman" w:eastAsia="Times New Roman" w:hAnsi="Times New Roman" w:cs="Times New Roman"/>
          <w:sz w:val="24"/>
          <w:szCs w:val="24"/>
        </w:rPr>
        <w:t>risk of CO</w:t>
      </w:r>
      <w:r>
        <w:rPr>
          <w:rFonts w:ascii="Times New Roman" w:eastAsia="Times New Roman" w:hAnsi="Times New Roman" w:cs="Times New Roman"/>
          <w:sz w:val="24"/>
          <w:szCs w:val="24"/>
        </w:rPr>
        <w:t xml:space="preserve">VID-19 transmission is </w:t>
      </w:r>
      <w:r w:rsidRPr="00AA5B37">
        <w:rPr>
          <w:rFonts w:ascii="Times New Roman" w:eastAsia="Times New Roman" w:hAnsi="Times New Roman" w:cs="Times New Roman"/>
          <w:sz w:val="24"/>
          <w:szCs w:val="24"/>
        </w:rPr>
        <w:t>as high at restaurants, bars, casinos and gyms as it is at religio</w:t>
      </w:r>
      <w:r>
        <w:rPr>
          <w:rFonts w:ascii="Times New Roman" w:eastAsia="Times New Roman" w:hAnsi="Times New Roman" w:cs="Times New Roman"/>
          <w:sz w:val="24"/>
          <w:szCs w:val="24"/>
        </w:rPr>
        <w:t xml:space="preserve">us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w:t>
      </w:r>
      <w:r w:rsidRPr="00AA5B37">
        <w:rPr>
          <w:rFonts w:ascii="Times New Roman" w:eastAsia="Times New Roman" w:hAnsi="Times New Roman" w:cs="Times New Roman"/>
          <w:sz w:val="24"/>
          <w:szCs w:val="24"/>
        </w:rPr>
        <w:t xml:space="preserve"> The learned Justice further noted that while the state</w:t>
      </w:r>
      <w:r>
        <w:rPr>
          <w:rFonts w:ascii="Times New Roman" w:eastAsia="Times New Roman" w:hAnsi="Times New Roman" w:cs="Times New Roman"/>
          <w:sz w:val="24"/>
          <w:szCs w:val="24"/>
        </w:rPr>
        <w:t xml:space="preserve"> can </w:t>
      </w:r>
      <w:r w:rsidRPr="00AA5B37">
        <w:rPr>
          <w:rFonts w:ascii="Times New Roman" w:eastAsia="Times New Roman" w:hAnsi="Times New Roman" w:cs="Times New Roman"/>
          <w:sz w:val="24"/>
          <w:szCs w:val="24"/>
        </w:rPr>
        <w:t xml:space="preserve">subject religious organizations to the </w:t>
      </w:r>
      <w:r w:rsidRPr="00DC61EA">
        <w:rPr>
          <w:rFonts w:ascii="Times New Roman" w:eastAsia="Times New Roman" w:hAnsi="Times New Roman" w:cs="Times New Roman"/>
          <w:iCs/>
          <w:sz w:val="24"/>
          <w:szCs w:val="24"/>
        </w:rPr>
        <w:t>same</w:t>
      </w:r>
      <w:r>
        <w:rPr>
          <w:rFonts w:ascii="Times New Roman" w:eastAsia="Times New Roman" w:hAnsi="Times New Roman" w:cs="Times New Roman"/>
          <w:sz w:val="24"/>
          <w:szCs w:val="24"/>
        </w:rPr>
        <w:t xml:space="preserve"> restrictions as secular organizations</w:t>
      </w:r>
      <w:r w:rsidRPr="00AA5B37">
        <w:rPr>
          <w:rFonts w:ascii="Times New Roman" w:eastAsia="Times New Roman" w:hAnsi="Times New Roman" w:cs="Times New Roman"/>
          <w:sz w:val="24"/>
          <w:szCs w:val="24"/>
        </w:rPr>
        <w:t xml:space="preserve"> when dealing with COVID-19, </w:t>
      </w:r>
      <w:r w:rsidR="00DC61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state cannot however </w:t>
      </w:r>
      <w:r w:rsidRPr="00AA5B37">
        <w:rPr>
          <w:rFonts w:ascii="Times New Roman" w:eastAsia="Times New Roman" w:hAnsi="Times New Roman" w:cs="Times New Roman"/>
          <w:sz w:val="24"/>
          <w:szCs w:val="24"/>
        </w:rPr>
        <w:t>impose st</w:t>
      </w:r>
      <w:r>
        <w:rPr>
          <w:rFonts w:ascii="Times New Roman" w:eastAsia="Times New Roman" w:hAnsi="Times New Roman" w:cs="Times New Roman"/>
          <w:sz w:val="24"/>
          <w:szCs w:val="24"/>
        </w:rPr>
        <w:t xml:space="preserve">rict limits on places of religious </w:t>
      </w:r>
      <w:proofErr w:type="spellStart"/>
      <w:r>
        <w:rPr>
          <w:rFonts w:ascii="Times New Roman" w:eastAsia="Times New Roman" w:hAnsi="Times New Roman" w:cs="Times New Roman"/>
          <w:sz w:val="24"/>
          <w:szCs w:val="24"/>
        </w:rPr>
        <w:t>centres</w:t>
      </w:r>
      <w:proofErr w:type="spellEnd"/>
      <w:r w:rsidRPr="00AA5B37">
        <w:rPr>
          <w:rFonts w:ascii="Times New Roman" w:eastAsia="Times New Roman" w:hAnsi="Times New Roman" w:cs="Times New Roman"/>
          <w:sz w:val="24"/>
          <w:szCs w:val="24"/>
        </w:rPr>
        <w:t xml:space="preserve"> and looser limits on restaurants, ba</w:t>
      </w:r>
      <w:r>
        <w:rPr>
          <w:rFonts w:ascii="Times New Roman" w:eastAsia="Times New Roman" w:hAnsi="Times New Roman" w:cs="Times New Roman"/>
          <w:sz w:val="24"/>
          <w:szCs w:val="24"/>
        </w:rPr>
        <w:t xml:space="preserve">rs, casinos, and gyms </w:t>
      </w:r>
      <w:r w:rsidRPr="00AA5B37">
        <w:rPr>
          <w:rFonts w:ascii="Times New Roman" w:eastAsia="Times New Roman" w:hAnsi="Times New Roman" w:cs="Times New Roman"/>
          <w:sz w:val="24"/>
          <w:szCs w:val="24"/>
        </w:rPr>
        <w:t>without sufficient justification fo</w:t>
      </w:r>
      <w:r w:rsidR="001A04D8">
        <w:rPr>
          <w:rFonts w:ascii="Times New Roman" w:eastAsia="Times New Roman" w:hAnsi="Times New Roman" w:cs="Times New Roman"/>
          <w:sz w:val="24"/>
          <w:szCs w:val="24"/>
        </w:rPr>
        <w:t>r such differential treatment</w:t>
      </w:r>
      <w:r w:rsidR="00DC61EA">
        <w:rPr>
          <w:rFonts w:ascii="Times New Roman" w:eastAsia="Times New Roman" w:hAnsi="Times New Roman" w:cs="Times New Roman"/>
          <w:sz w:val="24"/>
          <w:szCs w:val="24"/>
        </w:rPr>
        <w:t xml:space="preserve"> –</w:t>
      </w:r>
      <w:r w:rsidRPr="00AA5B37">
        <w:rPr>
          <w:rFonts w:ascii="Times New Roman" w:eastAsia="Times New Roman" w:hAnsi="Times New Roman" w:cs="Times New Roman"/>
          <w:sz w:val="24"/>
          <w:szCs w:val="24"/>
        </w:rPr>
        <w:t xml:space="preserve"> this </w:t>
      </w:r>
      <w:r w:rsidR="00DC61EA">
        <w:rPr>
          <w:rFonts w:ascii="Times New Roman" w:eastAsia="Times New Roman" w:hAnsi="Times New Roman" w:cs="Times New Roman"/>
          <w:sz w:val="24"/>
          <w:szCs w:val="24"/>
        </w:rPr>
        <w:t>is what the state has failed to do</w:t>
      </w:r>
      <w:r w:rsidRPr="00AA5B37">
        <w:rPr>
          <w:rFonts w:ascii="Times New Roman" w:eastAsia="Times New Roman" w:hAnsi="Times New Roman" w:cs="Times New Roman"/>
          <w:sz w:val="24"/>
          <w:szCs w:val="24"/>
        </w:rPr>
        <w:t>.</w:t>
      </w:r>
    </w:p>
    <w:p w:rsidR="00DA4B52" w:rsidRPr="001C31A1" w:rsidRDefault="00DA4B52" w:rsidP="00DA4B52">
      <w:pPr>
        <w:spacing w:before="100" w:beforeAutospacing="1" w:after="100" w:afterAutospacing="1" w:line="240" w:lineRule="auto"/>
        <w:jc w:val="both"/>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DECISION DIRECTION</w:t>
      </w:r>
    </w:p>
    <w:p w:rsidR="00992650" w:rsidRDefault="00E63475" w:rsidP="00BE5B4F">
      <w:pPr>
        <w:rPr>
          <w:rFonts w:ascii="Times New Roman" w:hAnsi="Times New Roman" w:cs="Times New Roman"/>
          <w:b/>
          <w:sz w:val="24"/>
          <w:szCs w:val="24"/>
        </w:rPr>
      </w:pPr>
      <w:r>
        <w:rPr>
          <w:rFonts w:ascii="Times New Roman" w:hAnsi="Times New Roman" w:cs="Times New Roman"/>
          <w:b/>
          <w:sz w:val="24"/>
          <w:szCs w:val="24"/>
        </w:rPr>
        <w:t>Mixed Outcome</w:t>
      </w:r>
    </w:p>
    <w:p w:rsidR="00E63475" w:rsidRDefault="006D5AF3" w:rsidP="006D5AF3">
      <w:pPr>
        <w:jc w:val="both"/>
        <w:rPr>
          <w:rFonts w:ascii="Times New Roman" w:hAnsi="Times New Roman" w:cs="Times New Roman"/>
          <w:sz w:val="24"/>
          <w:szCs w:val="24"/>
        </w:rPr>
      </w:pPr>
      <w:r w:rsidRPr="001F766E">
        <w:rPr>
          <w:rFonts w:ascii="Times New Roman" w:hAnsi="Times New Roman" w:cs="Times New Roman"/>
          <w:sz w:val="24"/>
          <w:szCs w:val="24"/>
        </w:rPr>
        <w:t>Although the Supreme Court</w:t>
      </w:r>
      <w:r w:rsidR="00E63475" w:rsidRPr="001F766E">
        <w:rPr>
          <w:rFonts w:ascii="Times New Roman" w:hAnsi="Times New Roman" w:cs="Times New Roman"/>
          <w:sz w:val="24"/>
          <w:szCs w:val="24"/>
        </w:rPr>
        <w:t xml:space="preserve"> </w:t>
      </w:r>
      <w:r w:rsidRPr="001F766E">
        <w:rPr>
          <w:rFonts w:ascii="Times New Roman" w:hAnsi="Times New Roman" w:cs="Times New Roman"/>
          <w:sz w:val="24"/>
          <w:szCs w:val="24"/>
        </w:rPr>
        <w:t xml:space="preserve">of the United States </w:t>
      </w:r>
      <w:r w:rsidR="00E63475" w:rsidRPr="001F766E">
        <w:rPr>
          <w:rFonts w:ascii="Times New Roman" w:hAnsi="Times New Roman" w:cs="Times New Roman"/>
          <w:sz w:val="24"/>
          <w:szCs w:val="24"/>
        </w:rPr>
        <w:t xml:space="preserve">limited the expression of the </w:t>
      </w:r>
      <w:r w:rsidRPr="001F766E">
        <w:rPr>
          <w:rFonts w:ascii="Times New Roman" w:hAnsi="Times New Roman" w:cs="Times New Roman"/>
          <w:sz w:val="24"/>
          <w:szCs w:val="24"/>
        </w:rPr>
        <w:t>Calvary Chapel Dayton Valley when it denied it the injunctive relief sought to allow its members congregate</w:t>
      </w:r>
      <w:r w:rsidR="0075167C" w:rsidRPr="001F766E">
        <w:rPr>
          <w:rFonts w:ascii="Times New Roman" w:hAnsi="Times New Roman" w:cs="Times New Roman"/>
          <w:sz w:val="24"/>
          <w:szCs w:val="24"/>
        </w:rPr>
        <w:t xml:space="preserve"> to a number of up to 90</w:t>
      </w:r>
      <w:r w:rsidRPr="001F766E">
        <w:rPr>
          <w:rFonts w:ascii="Times New Roman" w:hAnsi="Times New Roman" w:cs="Times New Roman"/>
          <w:sz w:val="24"/>
          <w:szCs w:val="24"/>
        </w:rPr>
        <w:t xml:space="preserve"> as opposed to maximum of 50 members allowed by the Governor of Nevada, the dissenting opinions of the four other justices of the court provide a window of opportunities </w:t>
      </w:r>
      <w:r w:rsidR="0075167C" w:rsidRPr="001F766E">
        <w:rPr>
          <w:rFonts w:ascii="Times New Roman" w:hAnsi="Times New Roman" w:cs="Times New Roman"/>
          <w:sz w:val="24"/>
          <w:szCs w:val="24"/>
        </w:rPr>
        <w:t>to develop</w:t>
      </w:r>
      <w:r w:rsidR="00E63475" w:rsidRPr="001F766E">
        <w:rPr>
          <w:rFonts w:ascii="Times New Roman" w:hAnsi="Times New Roman" w:cs="Times New Roman"/>
          <w:sz w:val="24"/>
          <w:szCs w:val="24"/>
        </w:rPr>
        <w:t xml:space="preserve"> </w:t>
      </w:r>
      <w:r w:rsidR="0075167C" w:rsidRPr="001F766E">
        <w:rPr>
          <w:rFonts w:ascii="Times New Roman" w:hAnsi="Times New Roman" w:cs="Times New Roman"/>
          <w:sz w:val="24"/>
          <w:szCs w:val="24"/>
        </w:rPr>
        <w:t xml:space="preserve">the jurisprudence on the extent of protection </w:t>
      </w:r>
      <w:r w:rsidR="005D46F6">
        <w:rPr>
          <w:rFonts w:ascii="Times New Roman" w:hAnsi="Times New Roman" w:cs="Times New Roman"/>
          <w:sz w:val="24"/>
          <w:szCs w:val="24"/>
        </w:rPr>
        <w:t xml:space="preserve">of public </w:t>
      </w:r>
      <w:r w:rsidR="009B75D0" w:rsidRPr="001F766E">
        <w:rPr>
          <w:rFonts w:ascii="Times New Roman" w:hAnsi="Times New Roman" w:cs="Times New Roman"/>
          <w:sz w:val="24"/>
          <w:szCs w:val="24"/>
        </w:rPr>
        <w:t>assembly of</w:t>
      </w:r>
      <w:r w:rsidR="0075167C" w:rsidRPr="001F766E">
        <w:rPr>
          <w:rFonts w:ascii="Times New Roman" w:hAnsi="Times New Roman" w:cs="Times New Roman"/>
          <w:sz w:val="24"/>
          <w:szCs w:val="24"/>
        </w:rPr>
        <w:t xml:space="preserve"> a religious organization under the First Amendment </w:t>
      </w:r>
      <w:r w:rsidR="00E63475" w:rsidRPr="001F766E">
        <w:rPr>
          <w:rFonts w:ascii="Times New Roman" w:hAnsi="Times New Roman" w:cs="Times New Roman"/>
          <w:sz w:val="24"/>
          <w:szCs w:val="24"/>
        </w:rPr>
        <w:t xml:space="preserve"> </w:t>
      </w:r>
      <w:r w:rsidR="001F766E" w:rsidRPr="001F766E">
        <w:rPr>
          <w:rFonts w:ascii="Times New Roman" w:hAnsi="Times New Roman" w:cs="Times New Roman"/>
          <w:sz w:val="24"/>
          <w:szCs w:val="24"/>
        </w:rPr>
        <w:t xml:space="preserve">particularly against discrimination. </w:t>
      </w:r>
    </w:p>
    <w:p w:rsidR="00394E9E" w:rsidRDefault="005347E2" w:rsidP="00394E9E">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It is clear </w:t>
      </w:r>
      <w:r w:rsidR="001F766E">
        <w:rPr>
          <w:rFonts w:ascii="Times New Roman" w:hAnsi="Times New Roman" w:cs="Times New Roman"/>
          <w:sz w:val="24"/>
          <w:szCs w:val="24"/>
        </w:rPr>
        <w:t xml:space="preserve">that </w:t>
      </w:r>
      <w:r w:rsidR="00394E9E">
        <w:rPr>
          <w:rFonts w:ascii="Times New Roman" w:hAnsi="Times New Roman" w:cs="Times New Roman"/>
          <w:sz w:val="24"/>
          <w:szCs w:val="24"/>
        </w:rPr>
        <w:t xml:space="preserve">the </w:t>
      </w:r>
      <w:r w:rsidR="001F766E">
        <w:rPr>
          <w:rFonts w:ascii="Times New Roman" w:hAnsi="Times New Roman" w:cs="Times New Roman"/>
          <w:sz w:val="24"/>
          <w:szCs w:val="24"/>
        </w:rPr>
        <w:t>denial of the injunctive relief was na</w:t>
      </w:r>
      <w:r w:rsidR="00394E9E">
        <w:rPr>
          <w:rFonts w:ascii="Times New Roman" w:hAnsi="Times New Roman" w:cs="Times New Roman"/>
          <w:sz w:val="24"/>
          <w:szCs w:val="24"/>
        </w:rPr>
        <w:t>rrowly established</w:t>
      </w:r>
      <w:r>
        <w:rPr>
          <w:rFonts w:ascii="Times New Roman" w:hAnsi="Times New Roman" w:cs="Times New Roman"/>
          <w:sz w:val="24"/>
          <w:szCs w:val="24"/>
        </w:rPr>
        <w:t>. T</w:t>
      </w:r>
      <w:r w:rsidR="00394E9E">
        <w:rPr>
          <w:rFonts w:ascii="Times New Roman" w:hAnsi="Times New Roman" w:cs="Times New Roman"/>
          <w:sz w:val="24"/>
          <w:szCs w:val="24"/>
        </w:rPr>
        <w:t xml:space="preserve">he decision </w:t>
      </w:r>
      <w:r w:rsidR="00E63475" w:rsidRPr="00E63475">
        <w:rPr>
          <w:rFonts w:ascii="Times New Roman" w:eastAsia="Times New Roman" w:hAnsi="Times New Roman" w:cs="Times New Roman"/>
          <w:sz w:val="24"/>
          <w:szCs w:val="24"/>
        </w:rPr>
        <w:t>was splintered among the 9 judges a</w:t>
      </w:r>
      <w:r>
        <w:rPr>
          <w:rFonts w:ascii="Times New Roman" w:eastAsia="Times New Roman" w:hAnsi="Times New Roman" w:cs="Times New Roman"/>
          <w:sz w:val="24"/>
          <w:szCs w:val="24"/>
        </w:rPr>
        <w:t>nd the majority ruling was indeed</w:t>
      </w:r>
      <w:r w:rsidR="00E63475" w:rsidRPr="00E63475">
        <w:rPr>
          <w:rFonts w:ascii="Times New Roman" w:eastAsia="Times New Roman" w:hAnsi="Times New Roman" w:cs="Times New Roman"/>
          <w:sz w:val="24"/>
          <w:szCs w:val="24"/>
        </w:rPr>
        <w:t xml:space="preserve"> narrow</w:t>
      </w:r>
      <w:r>
        <w:rPr>
          <w:rFonts w:ascii="Times New Roman" w:eastAsia="Times New Roman" w:hAnsi="Times New Roman" w:cs="Times New Roman"/>
          <w:sz w:val="24"/>
          <w:szCs w:val="24"/>
        </w:rPr>
        <w:t xml:space="preserve">ly obtained by 5 opinions against 4, this therefore </w:t>
      </w:r>
      <w:r w:rsidR="00A17EF3">
        <w:rPr>
          <w:rFonts w:ascii="Times New Roman" w:eastAsia="Times New Roman" w:hAnsi="Times New Roman" w:cs="Times New Roman"/>
          <w:sz w:val="24"/>
          <w:szCs w:val="24"/>
        </w:rPr>
        <w:t xml:space="preserve">shows promises of </w:t>
      </w:r>
      <w:r w:rsidR="00394E9E">
        <w:rPr>
          <w:rFonts w:ascii="Times New Roman" w:eastAsia="Times New Roman" w:hAnsi="Times New Roman" w:cs="Times New Roman"/>
          <w:sz w:val="24"/>
          <w:szCs w:val="24"/>
        </w:rPr>
        <w:t>the court taking the path of the conservative four justices in the future</w:t>
      </w:r>
      <w:r w:rsidR="00A17EF3">
        <w:rPr>
          <w:rFonts w:ascii="Times New Roman" w:eastAsia="Times New Roman" w:hAnsi="Times New Roman" w:cs="Times New Roman"/>
          <w:sz w:val="24"/>
          <w:szCs w:val="24"/>
        </w:rPr>
        <w:t xml:space="preserve"> to enforce public assembly under the First Amendment</w:t>
      </w:r>
      <w:r w:rsidR="00394E9E">
        <w:rPr>
          <w:rFonts w:ascii="Times New Roman" w:eastAsia="Times New Roman" w:hAnsi="Times New Roman" w:cs="Times New Roman"/>
          <w:sz w:val="24"/>
          <w:szCs w:val="24"/>
        </w:rPr>
        <w:t xml:space="preserve">. </w:t>
      </w:r>
    </w:p>
    <w:p w:rsidR="009B355E" w:rsidRPr="001C31A1" w:rsidRDefault="009B355E" w:rsidP="00531B7E">
      <w:pPr>
        <w:rPr>
          <w:rFonts w:ascii="Times New Roman" w:hAnsi="Times New Roman" w:cs="Times New Roman"/>
          <w:sz w:val="24"/>
          <w:szCs w:val="24"/>
        </w:rPr>
      </w:pPr>
    </w:p>
    <w:p w:rsidR="00BE5B4F" w:rsidRPr="00FA5A0D" w:rsidRDefault="00BE5B4F" w:rsidP="00BE5B4F">
      <w:pPr>
        <w:rPr>
          <w:rFonts w:ascii="Times New Roman" w:hAnsi="Times New Roman" w:cs="Times New Roman"/>
          <w:b/>
          <w:sz w:val="24"/>
          <w:szCs w:val="24"/>
        </w:rPr>
      </w:pPr>
      <w:r w:rsidRPr="00FA5A0D">
        <w:rPr>
          <w:rFonts w:ascii="Times New Roman" w:hAnsi="Times New Roman" w:cs="Times New Roman"/>
          <w:b/>
          <w:sz w:val="24"/>
          <w:szCs w:val="24"/>
        </w:rPr>
        <w:t>GLOBAL PERSPECTIVE</w:t>
      </w:r>
    </w:p>
    <w:p w:rsidR="00EB7A4A" w:rsidRPr="00FA5A0D" w:rsidRDefault="00BE5B4F" w:rsidP="00EB7A4A">
      <w:pPr>
        <w:rPr>
          <w:rFonts w:ascii="Times New Roman" w:hAnsi="Times New Roman" w:cs="Times New Roman"/>
          <w:b/>
          <w:sz w:val="24"/>
          <w:szCs w:val="24"/>
        </w:rPr>
      </w:pPr>
      <w:r w:rsidRPr="00FA5A0D">
        <w:rPr>
          <w:rFonts w:ascii="Times New Roman" w:hAnsi="Times New Roman" w:cs="Times New Roman"/>
          <w:b/>
          <w:sz w:val="24"/>
          <w:szCs w:val="24"/>
        </w:rPr>
        <w:t>National standards, Laws or Jurisprudence</w:t>
      </w:r>
    </w:p>
    <w:p w:rsidR="0042273E" w:rsidRPr="00FA5A0D" w:rsidRDefault="00EB7A4A" w:rsidP="0042273E">
      <w:pPr>
        <w:autoSpaceDE w:val="0"/>
        <w:autoSpaceDN w:val="0"/>
        <w:adjustRightInd w:val="0"/>
        <w:spacing w:after="0" w:line="240" w:lineRule="auto"/>
        <w:rPr>
          <w:rFonts w:ascii="Times New Roman" w:hAnsi="Times New Roman" w:cs="Times New Roman"/>
          <w:sz w:val="24"/>
          <w:szCs w:val="24"/>
        </w:rPr>
      </w:pPr>
      <w:r w:rsidRPr="00FA5A0D">
        <w:rPr>
          <w:rFonts w:ascii="Times New Roman" w:hAnsi="Times New Roman" w:cs="Times New Roman"/>
          <w:iCs/>
          <w:sz w:val="24"/>
          <w:szCs w:val="24"/>
        </w:rPr>
        <w:t xml:space="preserve">US, </w:t>
      </w:r>
      <w:r w:rsidR="0042273E" w:rsidRPr="00FA5A0D">
        <w:rPr>
          <w:rFonts w:ascii="Times New Roman" w:hAnsi="Times New Roman" w:cs="Times New Roman"/>
          <w:iCs/>
          <w:sz w:val="24"/>
          <w:szCs w:val="24"/>
        </w:rPr>
        <w:t xml:space="preserve">Church of </w:t>
      </w:r>
      <w:proofErr w:type="spellStart"/>
      <w:r w:rsidR="0042273E" w:rsidRPr="00FA5A0D">
        <w:rPr>
          <w:rFonts w:ascii="Times New Roman" w:hAnsi="Times New Roman" w:cs="Times New Roman"/>
          <w:iCs/>
          <w:sz w:val="24"/>
          <w:szCs w:val="24"/>
        </w:rPr>
        <w:t>Lukumi</w:t>
      </w:r>
      <w:proofErr w:type="spellEnd"/>
      <w:r w:rsidR="0042273E" w:rsidRPr="00FA5A0D">
        <w:rPr>
          <w:rFonts w:ascii="Times New Roman" w:hAnsi="Times New Roman" w:cs="Times New Roman"/>
          <w:iCs/>
          <w:sz w:val="24"/>
          <w:szCs w:val="24"/>
        </w:rPr>
        <w:t xml:space="preserve"> </w:t>
      </w:r>
      <w:proofErr w:type="spellStart"/>
      <w:r w:rsidR="0042273E" w:rsidRPr="00FA5A0D">
        <w:rPr>
          <w:rFonts w:ascii="Times New Roman" w:hAnsi="Times New Roman" w:cs="Times New Roman"/>
          <w:iCs/>
          <w:sz w:val="24"/>
          <w:szCs w:val="24"/>
        </w:rPr>
        <w:t>Babalu</w:t>
      </w:r>
      <w:proofErr w:type="spellEnd"/>
      <w:r w:rsidR="0042273E" w:rsidRPr="00FA5A0D">
        <w:rPr>
          <w:rFonts w:ascii="Times New Roman" w:hAnsi="Times New Roman" w:cs="Times New Roman"/>
          <w:iCs/>
          <w:sz w:val="24"/>
          <w:szCs w:val="24"/>
        </w:rPr>
        <w:t xml:space="preserve"> Aye, Inc. </w:t>
      </w:r>
      <w:r w:rsidR="0042273E" w:rsidRPr="00FA5A0D">
        <w:rPr>
          <w:rFonts w:ascii="Times New Roman" w:hAnsi="Times New Roman" w:cs="Times New Roman"/>
          <w:sz w:val="24"/>
          <w:szCs w:val="24"/>
        </w:rPr>
        <w:t xml:space="preserve">v. </w:t>
      </w:r>
      <w:r w:rsidR="0042273E" w:rsidRPr="00FA5A0D">
        <w:rPr>
          <w:rFonts w:ascii="Times New Roman" w:hAnsi="Times New Roman" w:cs="Times New Roman"/>
          <w:iCs/>
          <w:sz w:val="24"/>
          <w:szCs w:val="24"/>
        </w:rPr>
        <w:t>Hialeah</w:t>
      </w:r>
      <w:r w:rsidR="0042273E" w:rsidRPr="00FA5A0D">
        <w:rPr>
          <w:rFonts w:ascii="Times New Roman" w:hAnsi="Times New Roman" w:cs="Times New Roman"/>
          <w:sz w:val="24"/>
          <w:szCs w:val="24"/>
        </w:rPr>
        <w:t xml:space="preserve">, 508 U. S. 520, 531 (1993) </w:t>
      </w:r>
    </w:p>
    <w:p w:rsidR="0042273E" w:rsidRPr="00FA5A0D" w:rsidRDefault="00EB7A4A" w:rsidP="0042273E">
      <w:pPr>
        <w:autoSpaceDE w:val="0"/>
        <w:autoSpaceDN w:val="0"/>
        <w:adjustRightInd w:val="0"/>
        <w:spacing w:after="0" w:line="240" w:lineRule="auto"/>
        <w:rPr>
          <w:rFonts w:ascii="Times New Roman" w:hAnsi="Times New Roman" w:cs="Times New Roman"/>
          <w:sz w:val="24"/>
          <w:szCs w:val="24"/>
        </w:rPr>
      </w:pPr>
      <w:r w:rsidRPr="00FA5A0D">
        <w:rPr>
          <w:rFonts w:ascii="Times New Roman" w:hAnsi="Times New Roman" w:cs="Times New Roman"/>
          <w:iCs/>
          <w:sz w:val="24"/>
          <w:szCs w:val="24"/>
        </w:rPr>
        <w:t xml:space="preserve">US, </w:t>
      </w:r>
      <w:r w:rsidR="0042273E" w:rsidRPr="00FA5A0D">
        <w:rPr>
          <w:rFonts w:ascii="Times New Roman" w:hAnsi="Times New Roman" w:cs="Times New Roman"/>
          <w:iCs/>
          <w:sz w:val="24"/>
          <w:szCs w:val="24"/>
        </w:rPr>
        <w:t xml:space="preserve">Masterpiece </w:t>
      </w:r>
      <w:proofErr w:type="spellStart"/>
      <w:r w:rsidR="0042273E" w:rsidRPr="00FA5A0D">
        <w:rPr>
          <w:rFonts w:ascii="Times New Roman" w:hAnsi="Times New Roman" w:cs="Times New Roman"/>
          <w:iCs/>
          <w:sz w:val="24"/>
          <w:szCs w:val="24"/>
        </w:rPr>
        <w:t>Cakeshop</w:t>
      </w:r>
      <w:proofErr w:type="spellEnd"/>
      <w:r w:rsidR="0042273E" w:rsidRPr="00FA5A0D">
        <w:rPr>
          <w:rFonts w:ascii="Times New Roman" w:hAnsi="Times New Roman" w:cs="Times New Roman"/>
          <w:iCs/>
          <w:sz w:val="24"/>
          <w:szCs w:val="24"/>
        </w:rPr>
        <w:t xml:space="preserve">, Ltd. </w:t>
      </w:r>
      <w:r w:rsidR="0042273E" w:rsidRPr="00FA5A0D">
        <w:rPr>
          <w:rFonts w:ascii="Times New Roman" w:hAnsi="Times New Roman" w:cs="Times New Roman"/>
          <w:sz w:val="24"/>
          <w:szCs w:val="24"/>
        </w:rPr>
        <w:t xml:space="preserve">v. </w:t>
      </w:r>
      <w:r w:rsidR="0042273E" w:rsidRPr="00FA5A0D">
        <w:rPr>
          <w:rFonts w:ascii="Times New Roman" w:hAnsi="Times New Roman" w:cs="Times New Roman"/>
          <w:iCs/>
          <w:sz w:val="24"/>
          <w:szCs w:val="24"/>
        </w:rPr>
        <w:t xml:space="preserve">Colorado Civil Rights </w:t>
      </w:r>
      <w:proofErr w:type="spellStart"/>
      <w:r w:rsidR="0042273E" w:rsidRPr="00FA5A0D">
        <w:rPr>
          <w:rFonts w:ascii="Times New Roman" w:hAnsi="Times New Roman" w:cs="Times New Roman"/>
          <w:iCs/>
          <w:sz w:val="24"/>
          <w:szCs w:val="24"/>
        </w:rPr>
        <w:t>Comm’n</w:t>
      </w:r>
      <w:proofErr w:type="spellEnd"/>
      <w:r w:rsidR="0042273E" w:rsidRPr="00FA5A0D">
        <w:rPr>
          <w:rFonts w:ascii="Times New Roman" w:hAnsi="Times New Roman" w:cs="Times New Roman"/>
          <w:sz w:val="24"/>
          <w:szCs w:val="24"/>
        </w:rPr>
        <w:t xml:space="preserve">, 584 U. S. (2018) (slip op., at 17) </w:t>
      </w:r>
    </w:p>
    <w:p w:rsidR="006F6C23" w:rsidRPr="00FA5A0D" w:rsidRDefault="0044243D" w:rsidP="0042273E">
      <w:pPr>
        <w:autoSpaceDE w:val="0"/>
        <w:autoSpaceDN w:val="0"/>
        <w:adjustRightInd w:val="0"/>
        <w:spacing w:after="0" w:line="240" w:lineRule="auto"/>
        <w:rPr>
          <w:rFonts w:ascii="Times New Roman" w:hAnsi="Times New Roman" w:cs="Times New Roman"/>
          <w:sz w:val="24"/>
          <w:szCs w:val="24"/>
        </w:rPr>
      </w:pPr>
      <w:r w:rsidRPr="00FA5A0D">
        <w:rPr>
          <w:rFonts w:ascii="Times New Roman" w:hAnsi="Times New Roman" w:cs="Times New Roman"/>
          <w:iCs/>
          <w:sz w:val="24"/>
          <w:szCs w:val="24"/>
        </w:rPr>
        <w:t xml:space="preserve">US, </w:t>
      </w:r>
      <w:proofErr w:type="spellStart"/>
      <w:r w:rsidR="0042273E" w:rsidRPr="00FA5A0D">
        <w:rPr>
          <w:rFonts w:ascii="Times New Roman" w:hAnsi="Times New Roman" w:cs="Times New Roman"/>
          <w:iCs/>
          <w:sz w:val="24"/>
          <w:szCs w:val="24"/>
        </w:rPr>
        <w:t>Iancu</w:t>
      </w:r>
      <w:proofErr w:type="spellEnd"/>
      <w:r w:rsidR="0042273E" w:rsidRPr="00FA5A0D">
        <w:rPr>
          <w:rFonts w:ascii="Times New Roman" w:hAnsi="Times New Roman" w:cs="Times New Roman"/>
          <w:iCs/>
          <w:sz w:val="24"/>
          <w:szCs w:val="24"/>
        </w:rPr>
        <w:t xml:space="preserve"> </w:t>
      </w:r>
      <w:r w:rsidR="0042273E" w:rsidRPr="00FA5A0D">
        <w:rPr>
          <w:rFonts w:ascii="Times New Roman" w:hAnsi="Times New Roman" w:cs="Times New Roman"/>
          <w:sz w:val="24"/>
          <w:szCs w:val="24"/>
        </w:rPr>
        <w:t xml:space="preserve">v. </w:t>
      </w:r>
      <w:proofErr w:type="spellStart"/>
      <w:r w:rsidR="0042273E" w:rsidRPr="00FA5A0D">
        <w:rPr>
          <w:rFonts w:ascii="Times New Roman" w:hAnsi="Times New Roman" w:cs="Times New Roman"/>
          <w:iCs/>
          <w:sz w:val="24"/>
          <w:szCs w:val="24"/>
        </w:rPr>
        <w:t>Brunetti</w:t>
      </w:r>
      <w:proofErr w:type="spellEnd"/>
      <w:r w:rsidR="0042273E" w:rsidRPr="00FA5A0D">
        <w:rPr>
          <w:rFonts w:ascii="Times New Roman" w:hAnsi="Times New Roman" w:cs="Times New Roman"/>
          <w:sz w:val="24"/>
          <w:szCs w:val="24"/>
        </w:rPr>
        <w:t xml:space="preserve">, 588 U. S. ___, ___–___ (2019) </w:t>
      </w:r>
    </w:p>
    <w:p w:rsidR="0042273E" w:rsidRPr="00FA5A0D" w:rsidRDefault="0044243D" w:rsidP="00BE5B4F">
      <w:pPr>
        <w:rPr>
          <w:rFonts w:ascii="Times New Roman" w:hAnsi="Times New Roman" w:cs="Times New Roman"/>
          <w:sz w:val="24"/>
          <w:szCs w:val="24"/>
        </w:rPr>
      </w:pPr>
      <w:r w:rsidRPr="00FA5A0D">
        <w:rPr>
          <w:rFonts w:ascii="Times New Roman" w:hAnsi="Times New Roman" w:cs="Times New Roman"/>
          <w:iCs/>
          <w:sz w:val="24"/>
          <w:szCs w:val="24"/>
        </w:rPr>
        <w:t>US,</w:t>
      </w:r>
      <w:r w:rsidR="0042273E" w:rsidRPr="00FA5A0D">
        <w:rPr>
          <w:rFonts w:ascii="Times New Roman" w:hAnsi="Times New Roman" w:cs="Times New Roman"/>
          <w:iCs/>
          <w:sz w:val="24"/>
          <w:szCs w:val="24"/>
        </w:rPr>
        <w:t xml:space="preserve"> Rosenberger </w:t>
      </w:r>
      <w:r w:rsidR="0042273E" w:rsidRPr="00FA5A0D">
        <w:rPr>
          <w:rFonts w:ascii="Times New Roman" w:hAnsi="Times New Roman" w:cs="Times New Roman"/>
          <w:sz w:val="24"/>
          <w:szCs w:val="24"/>
        </w:rPr>
        <w:t xml:space="preserve">v. </w:t>
      </w:r>
      <w:r w:rsidR="0042273E" w:rsidRPr="00FA5A0D">
        <w:rPr>
          <w:rFonts w:ascii="Times New Roman" w:hAnsi="Times New Roman" w:cs="Times New Roman"/>
          <w:iCs/>
          <w:sz w:val="24"/>
          <w:szCs w:val="24"/>
        </w:rPr>
        <w:t>Rector and Visitors of Univ. of Va.</w:t>
      </w:r>
      <w:r w:rsidR="0042273E" w:rsidRPr="00FA5A0D">
        <w:rPr>
          <w:rFonts w:ascii="Times New Roman" w:hAnsi="Times New Roman" w:cs="Times New Roman"/>
          <w:sz w:val="24"/>
          <w:szCs w:val="24"/>
        </w:rPr>
        <w:t>, 515 U. S. 819, 831 (1995)</w:t>
      </w:r>
    </w:p>
    <w:p w:rsidR="0042273E" w:rsidRPr="00FA5A0D" w:rsidRDefault="0044243D" w:rsidP="00BE5B4F">
      <w:pPr>
        <w:rPr>
          <w:rFonts w:ascii="Times New Roman" w:hAnsi="Times New Roman" w:cs="Times New Roman"/>
          <w:sz w:val="24"/>
          <w:szCs w:val="24"/>
        </w:rPr>
      </w:pPr>
      <w:r w:rsidRPr="00FA5A0D">
        <w:rPr>
          <w:rFonts w:ascii="Times New Roman" w:hAnsi="Times New Roman" w:cs="Times New Roman"/>
          <w:iCs/>
          <w:sz w:val="24"/>
          <w:szCs w:val="24"/>
        </w:rPr>
        <w:t>US,</w:t>
      </w:r>
      <w:r w:rsidR="0042273E" w:rsidRPr="00FA5A0D">
        <w:rPr>
          <w:rFonts w:ascii="Times New Roman" w:hAnsi="Times New Roman" w:cs="Times New Roman"/>
          <w:iCs/>
          <w:sz w:val="24"/>
          <w:szCs w:val="24"/>
        </w:rPr>
        <w:t xml:space="preserve"> Jacobson </w:t>
      </w:r>
      <w:r w:rsidR="0042273E" w:rsidRPr="00FA5A0D">
        <w:rPr>
          <w:rFonts w:ascii="Times New Roman" w:hAnsi="Times New Roman" w:cs="Times New Roman"/>
          <w:sz w:val="24"/>
          <w:szCs w:val="24"/>
        </w:rPr>
        <w:t xml:space="preserve">v. </w:t>
      </w:r>
      <w:r w:rsidR="0042273E" w:rsidRPr="00FA5A0D">
        <w:rPr>
          <w:rFonts w:ascii="Times New Roman" w:hAnsi="Times New Roman" w:cs="Times New Roman"/>
          <w:iCs/>
          <w:sz w:val="24"/>
          <w:szCs w:val="24"/>
        </w:rPr>
        <w:t>Massachusetts</w:t>
      </w:r>
      <w:r w:rsidR="0042273E" w:rsidRPr="00FA5A0D">
        <w:rPr>
          <w:rFonts w:ascii="Times New Roman" w:hAnsi="Times New Roman" w:cs="Times New Roman"/>
          <w:sz w:val="24"/>
          <w:szCs w:val="24"/>
        </w:rPr>
        <w:t xml:space="preserve">, 197 U. S. 11 (1905) </w:t>
      </w:r>
    </w:p>
    <w:p w:rsidR="00987B7C" w:rsidRPr="00FA5A0D" w:rsidRDefault="0044243D" w:rsidP="00BE5B4F">
      <w:pPr>
        <w:rPr>
          <w:rFonts w:ascii="Times New Roman" w:hAnsi="Times New Roman" w:cs="Times New Roman"/>
          <w:sz w:val="24"/>
          <w:szCs w:val="24"/>
        </w:rPr>
      </w:pPr>
      <w:r w:rsidRPr="00FA5A0D">
        <w:rPr>
          <w:rFonts w:ascii="Times New Roman" w:hAnsi="Times New Roman" w:cs="Times New Roman"/>
          <w:iCs/>
          <w:sz w:val="24"/>
          <w:szCs w:val="24"/>
        </w:rPr>
        <w:t>US,</w:t>
      </w:r>
      <w:r w:rsidR="00987B7C" w:rsidRPr="00FA5A0D">
        <w:rPr>
          <w:rFonts w:ascii="Times New Roman" w:hAnsi="Times New Roman" w:cs="Times New Roman"/>
          <w:iCs/>
          <w:sz w:val="24"/>
          <w:szCs w:val="24"/>
        </w:rPr>
        <w:t xml:space="preserve"> South Bay United Pentecostal Church </w:t>
      </w:r>
      <w:r w:rsidR="00987B7C" w:rsidRPr="00FA5A0D">
        <w:rPr>
          <w:rFonts w:ascii="Times New Roman" w:hAnsi="Times New Roman" w:cs="Times New Roman"/>
          <w:sz w:val="24"/>
          <w:szCs w:val="24"/>
        </w:rPr>
        <w:t xml:space="preserve">v. </w:t>
      </w:r>
      <w:r w:rsidR="00987B7C" w:rsidRPr="00FA5A0D">
        <w:rPr>
          <w:rFonts w:ascii="Times New Roman" w:hAnsi="Times New Roman" w:cs="Times New Roman"/>
          <w:iCs/>
          <w:sz w:val="24"/>
          <w:szCs w:val="24"/>
        </w:rPr>
        <w:t>Newsom</w:t>
      </w:r>
      <w:r w:rsidR="00987B7C" w:rsidRPr="00FA5A0D">
        <w:rPr>
          <w:rFonts w:ascii="Times New Roman" w:hAnsi="Times New Roman" w:cs="Times New Roman"/>
          <w:sz w:val="24"/>
          <w:szCs w:val="24"/>
        </w:rPr>
        <w:t>, 590 U. S. ___ (2020)</w:t>
      </w:r>
    </w:p>
    <w:p w:rsidR="00DD4CEE" w:rsidRPr="00FA5A0D" w:rsidRDefault="0044243D" w:rsidP="00BE5B4F">
      <w:pPr>
        <w:rPr>
          <w:rFonts w:ascii="Times New Roman" w:hAnsi="Times New Roman" w:cs="Times New Roman"/>
          <w:sz w:val="24"/>
          <w:szCs w:val="24"/>
        </w:rPr>
      </w:pPr>
      <w:r w:rsidRPr="00FA5A0D">
        <w:rPr>
          <w:rFonts w:ascii="Times New Roman" w:hAnsi="Times New Roman" w:cs="Times New Roman"/>
          <w:iCs/>
          <w:sz w:val="24"/>
          <w:szCs w:val="24"/>
        </w:rPr>
        <w:t>US,</w:t>
      </w:r>
      <w:r w:rsidR="00987B7C" w:rsidRPr="00FA5A0D">
        <w:rPr>
          <w:rFonts w:ascii="Times New Roman" w:hAnsi="Times New Roman" w:cs="Times New Roman"/>
          <w:iCs/>
          <w:sz w:val="24"/>
          <w:szCs w:val="24"/>
        </w:rPr>
        <w:t xml:space="preserve"> Turner Broadcasting System, Inc. </w:t>
      </w:r>
      <w:r w:rsidR="00987B7C" w:rsidRPr="00FA5A0D">
        <w:rPr>
          <w:rFonts w:ascii="Times New Roman" w:hAnsi="Times New Roman" w:cs="Times New Roman"/>
          <w:sz w:val="24"/>
          <w:szCs w:val="24"/>
        </w:rPr>
        <w:t xml:space="preserve">v. </w:t>
      </w:r>
      <w:r w:rsidR="00987B7C" w:rsidRPr="00FA5A0D">
        <w:rPr>
          <w:rFonts w:ascii="Times New Roman" w:hAnsi="Times New Roman" w:cs="Times New Roman"/>
          <w:iCs/>
          <w:sz w:val="24"/>
          <w:szCs w:val="24"/>
        </w:rPr>
        <w:t>FCC</w:t>
      </w:r>
      <w:r w:rsidR="00987B7C" w:rsidRPr="00FA5A0D">
        <w:rPr>
          <w:rFonts w:ascii="Times New Roman" w:hAnsi="Times New Roman" w:cs="Times New Roman"/>
          <w:sz w:val="24"/>
          <w:szCs w:val="24"/>
        </w:rPr>
        <w:t>, 507 U. S. 1301, 1303 (1993)</w:t>
      </w:r>
    </w:p>
    <w:p w:rsidR="00987B7C" w:rsidRPr="00FA5A0D" w:rsidRDefault="00987B7C" w:rsidP="00BE5B4F">
      <w:pPr>
        <w:rPr>
          <w:rFonts w:ascii="Times New Roman" w:hAnsi="Times New Roman" w:cs="Times New Roman"/>
          <w:sz w:val="24"/>
          <w:szCs w:val="24"/>
        </w:rPr>
      </w:pPr>
      <w:r w:rsidRPr="00FA5A0D">
        <w:rPr>
          <w:rFonts w:ascii="Times New Roman" w:hAnsi="Times New Roman" w:cs="Times New Roman"/>
          <w:iCs/>
          <w:sz w:val="24"/>
          <w:szCs w:val="24"/>
        </w:rPr>
        <w:t xml:space="preserve">US, Trinity Lutheran Church of Columbia, Inc. </w:t>
      </w:r>
      <w:r w:rsidRPr="00FA5A0D">
        <w:rPr>
          <w:rFonts w:ascii="Times New Roman" w:hAnsi="Times New Roman" w:cs="Times New Roman"/>
          <w:sz w:val="24"/>
          <w:szCs w:val="24"/>
        </w:rPr>
        <w:t xml:space="preserve">v. </w:t>
      </w:r>
      <w:r w:rsidRPr="00FA5A0D">
        <w:rPr>
          <w:rFonts w:ascii="Times New Roman" w:hAnsi="Times New Roman" w:cs="Times New Roman"/>
          <w:iCs/>
          <w:sz w:val="24"/>
          <w:szCs w:val="24"/>
        </w:rPr>
        <w:t>Comer</w:t>
      </w:r>
      <w:r w:rsidRPr="00FA5A0D">
        <w:rPr>
          <w:rFonts w:ascii="Times New Roman" w:hAnsi="Times New Roman" w:cs="Times New Roman"/>
          <w:sz w:val="24"/>
          <w:szCs w:val="24"/>
        </w:rPr>
        <w:t>, 582 U. S. ___ (2017)</w:t>
      </w:r>
    </w:p>
    <w:p w:rsidR="00987B7C" w:rsidRPr="00FA5A0D" w:rsidRDefault="00987B7C" w:rsidP="00BE5B4F">
      <w:pPr>
        <w:rPr>
          <w:rFonts w:ascii="Times New Roman" w:hAnsi="Times New Roman" w:cs="Times New Roman"/>
          <w:sz w:val="24"/>
          <w:szCs w:val="24"/>
        </w:rPr>
      </w:pPr>
      <w:r w:rsidRPr="00FA5A0D">
        <w:rPr>
          <w:rFonts w:ascii="Times New Roman" w:hAnsi="Times New Roman" w:cs="Times New Roman"/>
          <w:sz w:val="24"/>
          <w:szCs w:val="24"/>
        </w:rPr>
        <w:t xml:space="preserve">US, </w:t>
      </w:r>
      <w:r w:rsidRPr="00FA5A0D">
        <w:rPr>
          <w:rFonts w:ascii="Times New Roman" w:hAnsi="Times New Roman" w:cs="Times New Roman"/>
          <w:iCs/>
          <w:sz w:val="24"/>
          <w:szCs w:val="24"/>
        </w:rPr>
        <w:t xml:space="preserve">Good News Club </w:t>
      </w:r>
      <w:r w:rsidRPr="00FA5A0D">
        <w:rPr>
          <w:rFonts w:ascii="Times New Roman" w:hAnsi="Times New Roman" w:cs="Times New Roman"/>
          <w:sz w:val="24"/>
          <w:szCs w:val="24"/>
        </w:rPr>
        <w:t xml:space="preserve">v. </w:t>
      </w:r>
      <w:r w:rsidRPr="00FA5A0D">
        <w:rPr>
          <w:rFonts w:ascii="Times New Roman" w:hAnsi="Times New Roman" w:cs="Times New Roman"/>
          <w:iCs/>
          <w:sz w:val="24"/>
          <w:szCs w:val="24"/>
        </w:rPr>
        <w:t>Milford Central School</w:t>
      </w:r>
      <w:r w:rsidRPr="00FA5A0D">
        <w:rPr>
          <w:rFonts w:ascii="Times New Roman" w:hAnsi="Times New Roman" w:cs="Times New Roman"/>
          <w:sz w:val="24"/>
          <w:szCs w:val="24"/>
        </w:rPr>
        <w:t>, 533 U. S. 98 (2001)</w:t>
      </w:r>
    </w:p>
    <w:p w:rsidR="00987B7C" w:rsidRPr="00FA5A0D" w:rsidRDefault="00987B7C" w:rsidP="00BE5B4F">
      <w:pPr>
        <w:rPr>
          <w:rFonts w:ascii="Times New Roman" w:hAnsi="Times New Roman" w:cs="Times New Roman"/>
          <w:sz w:val="24"/>
          <w:szCs w:val="24"/>
        </w:rPr>
      </w:pPr>
      <w:r w:rsidRPr="00FA5A0D">
        <w:rPr>
          <w:rFonts w:ascii="Times New Roman" w:hAnsi="Times New Roman" w:cs="Times New Roman"/>
          <w:sz w:val="24"/>
          <w:szCs w:val="24"/>
        </w:rPr>
        <w:t xml:space="preserve">US, </w:t>
      </w:r>
      <w:r w:rsidRPr="00FA5A0D">
        <w:rPr>
          <w:rFonts w:ascii="Times New Roman" w:hAnsi="Times New Roman" w:cs="Times New Roman"/>
          <w:iCs/>
          <w:sz w:val="24"/>
          <w:szCs w:val="24"/>
        </w:rPr>
        <w:t>Rosen-</w:t>
      </w:r>
      <w:proofErr w:type="spellStart"/>
      <w:r w:rsidRPr="00FA5A0D">
        <w:rPr>
          <w:rFonts w:ascii="Times New Roman" w:hAnsi="Times New Roman" w:cs="Times New Roman"/>
          <w:iCs/>
          <w:sz w:val="24"/>
          <w:szCs w:val="24"/>
        </w:rPr>
        <w:t>berger</w:t>
      </w:r>
      <w:proofErr w:type="spellEnd"/>
      <w:r w:rsidRPr="00FA5A0D">
        <w:rPr>
          <w:rFonts w:ascii="Times New Roman" w:hAnsi="Times New Roman" w:cs="Times New Roman"/>
          <w:iCs/>
          <w:sz w:val="24"/>
          <w:szCs w:val="24"/>
        </w:rPr>
        <w:t xml:space="preserve"> </w:t>
      </w:r>
      <w:r w:rsidRPr="00FA5A0D">
        <w:rPr>
          <w:rFonts w:ascii="Times New Roman" w:hAnsi="Times New Roman" w:cs="Times New Roman"/>
          <w:sz w:val="24"/>
          <w:szCs w:val="24"/>
        </w:rPr>
        <w:t xml:space="preserve">v. </w:t>
      </w:r>
      <w:r w:rsidRPr="00FA5A0D">
        <w:rPr>
          <w:rFonts w:ascii="Times New Roman" w:hAnsi="Times New Roman" w:cs="Times New Roman"/>
          <w:iCs/>
          <w:sz w:val="24"/>
          <w:szCs w:val="24"/>
        </w:rPr>
        <w:t>Rector and Visitors of Univ. of Va.</w:t>
      </w:r>
      <w:r w:rsidRPr="00FA5A0D">
        <w:rPr>
          <w:rFonts w:ascii="Times New Roman" w:hAnsi="Times New Roman" w:cs="Times New Roman"/>
          <w:sz w:val="24"/>
          <w:szCs w:val="24"/>
        </w:rPr>
        <w:t>, 515 U. S. 819 (1995)</w:t>
      </w:r>
    </w:p>
    <w:p w:rsidR="00987B7C" w:rsidRPr="00FA5A0D" w:rsidRDefault="00987B7C" w:rsidP="00BE5B4F">
      <w:pPr>
        <w:rPr>
          <w:rFonts w:ascii="Times New Roman" w:hAnsi="Times New Roman" w:cs="Times New Roman"/>
          <w:sz w:val="24"/>
          <w:szCs w:val="24"/>
        </w:rPr>
      </w:pPr>
      <w:r w:rsidRPr="00FA5A0D">
        <w:rPr>
          <w:rFonts w:ascii="Times New Roman" w:hAnsi="Times New Roman" w:cs="Times New Roman"/>
          <w:sz w:val="24"/>
          <w:szCs w:val="24"/>
        </w:rPr>
        <w:t xml:space="preserve">US, </w:t>
      </w:r>
      <w:r w:rsidRPr="00FA5A0D">
        <w:rPr>
          <w:rFonts w:ascii="Times New Roman" w:hAnsi="Times New Roman" w:cs="Times New Roman"/>
          <w:iCs/>
          <w:sz w:val="24"/>
          <w:szCs w:val="24"/>
        </w:rPr>
        <w:t xml:space="preserve">Larson </w:t>
      </w:r>
      <w:r w:rsidRPr="00FA5A0D">
        <w:rPr>
          <w:rFonts w:ascii="Times New Roman" w:hAnsi="Times New Roman" w:cs="Times New Roman"/>
          <w:sz w:val="24"/>
          <w:szCs w:val="24"/>
        </w:rPr>
        <w:t xml:space="preserve">v. </w:t>
      </w:r>
      <w:r w:rsidRPr="00FA5A0D">
        <w:rPr>
          <w:rFonts w:ascii="Times New Roman" w:hAnsi="Times New Roman" w:cs="Times New Roman"/>
          <w:iCs/>
          <w:sz w:val="24"/>
          <w:szCs w:val="24"/>
        </w:rPr>
        <w:t>Valente</w:t>
      </w:r>
      <w:r w:rsidRPr="00FA5A0D">
        <w:rPr>
          <w:rFonts w:ascii="Times New Roman" w:hAnsi="Times New Roman" w:cs="Times New Roman"/>
          <w:sz w:val="24"/>
          <w:szCs w:val="24"/>
        </w:rPr>
        <w:t>, 456 U. S. 228 (1982)</w:t>
      </w:r>
    </w:p>
    <w:p w:rsidR="00987B7C" w:rsidRPr="00FA5A0D" w:rsidRDefault="00987B7C" w:rsidP="00BE5B4F">
      <w:pPr>
        <w:rPr>
          <w:rFonts w:ascii="Times New Roman" w:hAnsi="Times New Roman" w:cs="Times New Roman"/>
          <w:sz w:val="24"/>
          <w:szCs w:val="24"/>
        </w:rPr>
      </w:pPr>
      <w:r w:rsidRPr="00FA5A0D">
        <w:rPr>
          <w:rFonts w:ascii="Times New Roman" w:hAnsi="Times New Roman" w:cs="Times New Roman"/>
          <w:sz w:val="24"/>
          <w:szCs w:val="24"/>
        </w:rPr>
        <w:t xml:space="preserve">US, </w:t>
      </w:r>
      <w:proofErr w:type="spellStart"/>
      <w:r w:rsidRPr="00FA5A0D">
        <w:rPr>
          <w:rFonts w:ascii="Times New Roman" w:hAnsi="Times New Roman" w:cs="Times New Roman"/>
          <w:iCs/>
          <w:sz w:val="24"/>
          <w:szCs w:val="24"/>
        </w:rPr>
        <w:t>Walz</w:t>
      </w:r>
      <w:proofErr w:type="spellEnd"/>
      <w:r w:rsidRPr="00FA5A0D">
        <w:rPr>
          <w:rFonts w:ascii="Times New Roman" w:hAnsi="Times New Roman" w:cs="Times New Roman"/>
          <w:iCs/>
          <w:sz w:val="24"/>
          <w:szCs w:val="24"/>
        </w:rPr>
        <w:t xml:space="preserve"> </w:t>
      </w:r>
      <w:r w:rsidRPr="00FA5A0D">
        <w:rPr>
          <w:rFonts w:ascii="Times New Roman" w:hAnsi="Times New Roman" w:cs="Times New Roman"/>
          <w:sz w:val="24"/>
          <w:szCs w:val="24"/>
        </w:rPr>
        <w:t xml:space="preserve">v. </w:t>
      </w:r>
      <w:r w:rsidRPr="00FA5A0D">
        <w:rPr>
          <w:rFonts w:ascii="Times New Roman" w:hAnsi="Times New Roman" w:cs="Times New Roman"/>
          <w:iCs/>
          <w:sz w:val="24"/>
          <w:szCs w:val="24"/>
        </w:rPr>
        <w:t xml:space="preserve">Tax </w:t>
      </w:r>
      <w:proofErr w:type="spellStart"/>
      <w:r w:rsidRPr="00FA5A0D">
        <w:rPr>
          <w:rFonts w:ascii="Times New Roman" w:hAnsi="Times New Roman" w:cs="Times New Roman"/>
          <w:iCs/>
          <w:sz w:val="24"/>
          <w:szCs w:val="24"/>
        </w:rPr>
        <w:t>Comm’n</w:t>
      </w:r>
      <w:proofErr w:type="spellEnd"/>
      <w:r w:rsidRPr="00FA5A0D">
        <w:rPr>
          <w:rFonts w:ascii="Times New Roman" w:hAnsi="Times New Roman" w:cs="Times New Roman"/>
          <w:iCs/>
          <w:sz w:val="24"/>
          <w:szCs w:val="24"/>
        </w:rPr>
        <w:t xml:space="preserve"> of City of New York</w:t>
      </w:r>
      <w:r w:rsidRPr="00FA5A0D">
        <w:rPr>
          <w:rFonts w:ascii="Times New Roman" w:hAnsi="Times New Roman" w:cs="Times New Roman"/>
          <w:sz w:val="24"/>
          <w:szCs w:val="24"/>
        </w:rPr>
        <w:t>, 397 U. S. 664 (1970)</w:t>
      </w:r>
    </w:p>
    <w:p w:rsidR="00987B7C" w:rsidRPr="00FA5A0D" w:rsidRDefault="00987B7C" w:rsidP="00BE5B4F">
      <w:pPr>
        <w:rPr>
          <w:rFonts w:ascii="Times New Roman" w:hAnsi="Times New Roman" w:cs="Times New Roman"/>
          <w:sz w:val="24"/>
          <w:szCs w:val="24"/>
        </w:rPr>
      </w:pPr>
      <w:r w:rsidRPr="00FA5A0D">
        <w:rPr>
          <w:rFonts w:ascii="Times New Roman" w:hAnsi="Times New Roman" w:cs="Times New Roman"/>
          <w:sz w:val="24"/>
          <w:szCs w:val="24"/>
        </w:rPr>
        <w:t xml:space="preserve">US, </w:t>
      </w:r>
      <w:r w:rsidRPr="00FA5A0D">
        <w:rPr>
          <w:rFonts w:ascii="Times New Roman" w:hAnsi="Times New Roman" w:cs="Times New Roman"/>
          <w:iCs/>
          <w:sz w:val="24"/>
          <w:szCs w:val="24"/>
        </w:rPr>
        <w:t xml:space="preserve">Gillette </w:t>
      </w:r>
      <w:r w:rsidRPr="00FA5A0D">
        <w:rPr>
          <w:rFonts w:ascii="Times New Roman" w:hAnsi="Times New Roman" w:cs="Times New Roman"/>
          <w:sz w:val="24"/>
          <w:szCs w:val="24"/>
        </w:rPr>
        <w:t xml:space="preserve">v. </w:t>
      </w:r>
      <w:r w:rsidRPr="00FA5A0D">
        <w:rPr>
          <w:rFonts w:ascii="Times New Roman" w:hAnsi="Times New Roman" w:cs="Times New Roman"/>
          <w:iCs/>
          <w:sz w:val="24"/>
          <w:szCs w:val="24"/>
        </w:rPr>
        <w:t>United States</w:t>
      </w:r>
      <w:r w:rsidRPr="00FA5A0D">
        <w:rPr>
          <w:rFonts w:ascii="Times New Roman" w:hAnsi="Times New Roman" w:cs="Times New Roman"/>
          <w:sz w:val="24"/>
          <w:szCs w:val="24"/>
        </w:rPr>
        <w:t>, 401 U. S. 437 (1971)</w:t>
      </w:r>
    </w:p>
    <w:p w:rsidR="00987B7C" w:rsidRPr="00FA5A0D" w:rsidRDefault="00987B7C" w:rsidP="00BE5B4F">
      <w:pPr>
        <w:rPr>
          <w:rFonts w:ascii="Times New Roman" w:hAnsi="Times New Roman" w:cs="Times New Roman"/>
          <w:sz w:val="24"/>
          <w:szCs w:val="24"/>
        </w:rPr>
      </w:pPr>
      <w:r w:rsidRPr="00FA5A0D">
        <w:rPr>
          <w:rFonts w:ascii="Times New Roman" w:hAnsi="Times New Roman" w:cs="Times New Roman"/>
          <w:sz w:val="24"/>
          <w:szCs w:val="24"/>
        </w:rPr>
        <w:t xml:space="preserve">US, </w:t>
      </w:r>
      <w:r w:rsidRPr="00FA5A0D">
        <w:rPr>
          <w:rFonts w:ascii="Times New Roman" w:hAnsi="Times New Roman" w:cs="Times New Roman"/>
          <w:iCs/>
          <w:sz w:val="24"/>
          <w:szCs w:val="24"/>
        </w:rPr>
        <w:t xml:space="preserve">American Legion </w:t>
      </w:r>
      <w:r w:rsidRPr="00FA5A0D">
        <w:rPr>
          <w:rFonts w:ascii="Times New Roman" w:hAnsi="Times New Roman" w:cs="Times New Roman"/>
          <w:sz w:val="24"/>
          <w:szCs w:val="24"/>
        </w:rPr>
        <w:t xml:space="preserve">v. </w:t>
      </w:r>
      <w:r w:rsidRPr="00FA5A0D">
        <w:rPr>
          <w:rFonts w:ascii="Times New Roman" w:hAnsi="Times New Roman" w:cs="Times New Roman"/>
          <w:iCs/>
          <w:sz w:val="24"/>
          <w:szCs w:val="24"/>
        </w:rPr>
        <w:t>American Humanist Assn.</w:t>
      </w:r>
      <w:r w:rsidRPr="00FA5A0D">
        <w:rPr>
          <w:rFonts w:ascii="Times New Roman" w:hAnsi="Times New Roman" w:cs="Times New Roman"/>
          <w:sz w:val="24"/>
          <w:szCs w:val="24"/>
        </w:rPr>
        <w:t>, 588 U. S. (2019)</w:t>
      </w:r>
    </w:p>
    <w:p w:rsidR="000F565B" w:rsidRPr="00FA5A0D" w:rsidRDefault="0044243D" w:rsidP="00BE5B4F">
      <w:pPr>
        <w:rPr>
          <w:rFonts w:ascii="Times New Roman" w:hAnsi="Times New Roman" w:cs="Times New Roman"/>
          <w:sz w:val="24"/>
          <w:szCs w:val="24"/>
        </w:rPr>
      </w:pPr>
      <w:r w:rsidRPr="00FA5A0D">
        <w:rPr>
          <w:rFonts w:ascii="Times New Roman" w:hAnsi="Times New Roman" w:cs="Times New Roman"/>
          <w:iCs/>
          <w:sz w:val="24"/>
          <w:szCs w:val="24"/>
        </w:rPr>
        <w:t>US,</w:t>
      </w:r>
      <w:r w:rsidR="00987B7C" w:rsidRPr="00FA5A0D">
        <w:rPr>
          <w:rFonts w:ascii="Times New Roman" w:hAnsi="Times New Roman" w:cs="Times New Roman"/>
          <w:iCs/>
          <w:sz w:val="24"/>
          <w:szCs w:val="24"/>
        </w:rPr>
        <w:t xml:space="preserve"> Gonzales </w:t>
      </w:r>
      <w:r w:rsidR="00987B7C" w:rsidRPr="00FA5A0D">
        <w:rPr>
          <w:rFonts w:ascii="Times New Roman" w:hAnsi="Times New Roman" w:cs="Times New Roman"/>
          <w:sz w:val="24"/>
          <w:szCs w:val="24"/>
        </w:rPr>
        <w:t xml:space="preserve">v. </w:t>
      </w:r>
      <w:r w:rsidR="00987B7C" w:rsidRPr="00FA5A0D">
        <w:rPr>
          <w:rFonts w:ascii="Times New Roman" w:hAnsi="Times New Roman" w:cs="Times New Roman"/>
          <w:iCs/>
          <w:sz w:val="24"/>
          <w:szCs w:val="24"/>
        </w:rPr>
        <w:t xml:space="preserve">O Centro </w:t>
      </w:r>
      <w:proofErr w:type="spellStart"/>
      <w:r w:rsidR="00987B7C" w:rsidRPr="00FA5A0D">
        <w:rPr>
          <w:rFonts w:ascii="Times New Roman" w:hAnsi="Times New Roman" w:cs="Times New Roman"/>
          <w:iCs/>
          <w:sz w:val="24"/>
          <w:szCs w:val="24"/>
        </w:rPr>
        <w:t>Es-pírita</w:t>
      </w:r>
      <w:proofErr w:type="spellEnd"/>
      <w:r w:rsidR="00987B7C" w:rsidRPr="00FA5A0D">
        <w:rPr>
          <w:rFonts w:ascii="Times New Roman" w:hAnsi="Times New Roman" w:cs="Times New Roman"/>
          <w:iCs/>
          <w:sz w:val="24"/>
          <w:szCs w:val="24"/>
        </w:rPr>
        <w:t xml:space="preserve"> </w:t>
      </w:r>
      <w:proofErr w:type="spellStart"/>
      <w:r w:rsidR="00987B7C" w:rsidRPr="00FA5A0D">
        <w:rPr>
          <w:rFonts w:ascii="Times New Roman" w:hAnsi="Times New Roman" w:cs="Times New Roman"/>
          <w:iCs/>
          <w:sz w:val="24"/>
          <w:szCs w:val="24"/>
        </w:rPr>
        <w:t>Beneficente</w:t>
      </w:r>
      <w:proofErr w:type="spellEnd"/>
      <w:r w:rsidR="00987B7C" w:rsidRPr="00FA5A0D">
        <w:rPr>
          <w:rFonts w:ascii="Times New Roman" w:hAnsi="Times New Roman" w:cs="Times New Roman"/>
          <w:iCs/>
          <w:sz w:val="24"/>
          <w:szCs w:val="24"/>
        </w:rPr>
        <w:t xml:space="preserve"> </w:t>
      </w:r>
      <w:proofErr w:type="spellStart"/>
      <w:r w:rsidR="00987B7C" w:rsidRPr="00FA5A0D">
        <w:rPr>
          <w:rFonts w:ascii="Times New Roman" w:hAnsi="Times New Roman" w:cs="Times New Roman"/>
          <w:iCs/>
          <w:sz w:val="24"/>
          <w:szCs w:val="24"/>
        </w:rPr>
        <w:t>União</w:t>
      </w:r>
      <w:proofErr w:type="spellEnd"/>
      <w:r w:rsidR="00987B7C" w:rsidRPr="00FA5A0D">
        <w:rPr>
          <w:rFonts w:ascii="Times New Roman" w:hAnsi="Times New Roman" w:cs="Times New Roman"/>
          <w:iCs/>
          <w:sz w:val="24"/>
          <w:szCs w:val="24"/>
        </w:rPr>
        <w:t xml:space="preserve"> do Vegetal</w:t>
      </w:r>
      <w:r w:rsidR="00987B7C" w:rsidRPr="00FA5A0D">
        <w:rPr>
          <w:rFonts w:ascii="Times New Roman" w:hAnsi="Times New Roman" w:cs="Times New Roman"/>
          <w:sz w:val="24"/>
          <w:szCs w:val="24"/>
        </w:rPr>
        <w:t>, 546 U. S. 418 (2006)</w:t>
      </w:r>
    </w:p>
    <w:p w:rsidR="000F565B" w:rsidRPr="00FA5A0D" w:rsidRDefault="000F565B" w:rsidP="00BE5B4F">
      <w:pPr>
        <w:rPr>
          <w:rFonts w:ascii="Times New Roman" w:hAnsi="Times New Roman" w:cs="Times New Roman"/>
          <w:sz w:val="24"/>
          <w:szCs w:val="24"/>
        </w:rPr>
      </w:pPr>
      <w:r w:rsidRPr="00FA5A0D">
        <w:rPr>
          <w:rFonts w:ascii="Times New Roman" w:hAnsi="Times New Roman" w:cs="Times New Roman"/>
          <w:sz w:val="24"/>
          <w:szCs w:val="24"/>
        </w:rPr>
        <w:t xml:space="preserve"> </w:t>
      </w:r>
      <w:r w:rsidR="0044243D" w:rsidRPr="00FA5A0D">
        <w:rPr>
          <w:rFonts w:ascii="Times New Roman" w:hAnsi="Times New Roman" w:cs="Times New Roman"/>
          <w:iCs/>
          <w:sz w:val="24"/>
          <w:szCs w:val="24"/>
        </w:rPr>
        <w:t>US,</w:t>
      </w:r>
      <w:r w:rsidR="00987B7C" w:rsidRPr="00FA5A0D">
        <w:rPr>
          <w:rFonts w:ascii="Times New Roman" w:hAnsi="Times New Roman" w:cs="Times New Roman"/>
          <w:iCs/>
          <w:sz w:val="24"/>
          <w:szCs w:val="24"/>
        </w:rPr>
        <w:t xml:space="preserve"> Texas Monthly, Inc. </w:t>
      </w:r>
      <w:r w:rsidR="00987B7C" w:rsidRPr="00FA5A0D">
        <w:rPr>
          <w:rFonts w:ascii="Times New Roman" w:hAnsi="Times New Roman" w:cs="Times New Roman"/>
          <w:sz w:val="24"/>
          <w:szCs w:val="24"/>
        </w:rPr>
        <w:t xml:space="preserve">v. </w:t>
      </w:r>
      <w:r w:rsidR="00987B7C" w:rsidRPr="00FA5A0D">
        <w:rPr>
          <w:rFonts w:ascii="Times New Roman" w:hAnsi="Times New Roman" w:cs="Times New Roman"/>
          <w:iCs/>
          <w:sz w:val="24"/>
          <w:szCs w:val="24"/>
        </w:rPr>
        <w:t>Bullock</w:t>
      </w:r>
      <w:r w:rsidR="00987B7C" w:rsidRPr="00FA5A0D">
        <w:rPr>
          <w:rFonts w:ascii="Times New Roman" w:hAnsi="Times New Roman" w:cs="Times New Roman"/>
          <w:sz w:val="24"/>
          <w:szCs w:val="24"/>
        </w:rPr>
        <w:t>, 489 U. S. 1, 14 (1989)</w:t>
      </w:r>
    </w:p>
    <w:p w:rsidR="000F565B" w:rsidRPr="00FA5A0D" w:rsidRDefault="0044243D" w:rsidP="00BE5B4F">
      <w:pPr>
        <w:rPr>
          <w:rFonts w:ascii="Times New Roman" w:hAnsi="Times New Roman" w:cs="Times New Roman"/>
          <w:sz w:val="24"/>
          <w:szCs w:val="24"/>
        </w:rPr>
      </w:pPr>
      <w:r w:rsidRPr="00FA5A0D">
        <w:rPr>
          <w:rFonts w:ascii="Times New Roman" w:hAnsi="Times New Roman" w:cs="Times New Roman"/>
          <w:iCs/>
          <w:sz w:val="24"/>
          <w:szCs w:val="24"/>
        </w:rPr>
        <w:t>US,</w:t>
      </w:r>
      <w:r w:rsidR="00987B7C" w:rsidRPr="00FA5A0D">
        <w:rPr>
          <w:rFonts w:ascii="Times New Roman" w:hAnsi="Times New Roman" w:cs="Times New Roman"/>
          <w:iCs/>
          <w:sz w:val="24"/>
          <w:szCs w:val="24"/>
        </w:rPr>
        <w:t xml:space="preserve"> Concerned Citizens of </w:t>
      </w:r>
      <w:proofErr w:type="spellStart"/>
      <w:r w:rsidR="00987B7C" w:rsidRPr="00FA5A0D">
        <w:rPr>
          <w:rFonts w:ascii="Times New Roman" w:hAnsi="Times New Roman" w:cs="Times New Roman"/>
          <w:iCs/>
          <w:sz w:val="24"/>
          <w:szCs w:val="24"/>
        </w:rPr>
        <w:t>Carderock</w:t>
      </w:r>
      <w:proofErr w:type="spellEnd"/>
      <w:r w:rsidR="00987B7C" w:rsidRPr="00FA5A0D">
        <w:rPr>
          <w:rFonts w:ascii="Times New Roman" w:hAnsi="Times New Roman" w:cs="Times New Roman"/>
          <w:iCs/>
          <w:sz w:val="24"/>
          <w:szCs w:val="24"/>
        </w:rPr>
        <w:t xml:space="preserve"> </w:t>
      </w:r>
      <w:r w:rsidR="00987B7C" w:rsidRPr="00FA5A0D">
        <w:rPr>
          <w:rFonts w:ascii="Times New Roman" w:hAnsi="Times New Roman" w:cs="Times New Roman"/>
          <w:sz w:val="24"/>
          <w:szCs w:val="24"/>
        </w:rPr>
        <w:t xml:space="preserve">v. </w:t>
      </w:r>
      <w:r w:rsidR="00987B7C" w:rsidRPr="00FA5A0D">
        <w:rPr>
          <w:rFonts w:ascii="Times New Roman" w:hAnsi="Times New Roman" w:cs="Times New Roman"/>
          <w:iCs/>
          <w:sz w:val="24"/>
          <w:szCs w:val="24"/>
        </w:rPr>
        <w:t>Hubbard</w:t>
      </w:r>
      <w:r w:rsidR="00987B7C" w:rsidRPr="00FA5A0D">
        <w:rPr>
          <w:rFonts w:ascii="Times New Roman" w:hAnsi="Times New Roman" w:cs="Times New Roman"/>
          <w:sz w:val="24"/>
          <w:szCs w:val="24"/>
        </w:rPr>
        <w:t>, 84 F. Supp. 2d 668 (Md. 2000)</w:t>
      </w:r>
    </w:p>
    <w:p w:rsidR="000F565B" w:rsidRPr="00FA5A0D" w:rsidRDefault="0044243D" w:rsidP="00BE5B4F">
      <w:pPr>
        <w:rPr>
          <w:rFonts w:ascii="Times New Roman" w:hAnsi="Times New Roman" w:cs="Times New Roman"/>
          <w:sz w:val="24"/>
          <w:szCs w:val="24"/>
        </w:rPr>
      </w:pPr>
      <w:r w:rsidRPr="00FA5A0D">
        <w:rPr>
          <w:rFonts w:ascii="Times New Roman" w:hAnsi="Times New Roman" w:cs="Times New Roman"/>
          <w:iCs/>
          <w:sz w:val="24"/>
          <w:szCs w:val="24"/>
        </w:rPr>
        <w:t>US,</w:t>
      </w:r>
      <w:r w:rsidR="00FA5A0D" w:rsidRPr="00FA5A0D">
        <w:rPr>
          <w:rFonts w:ascii="Times New Roman" w:hAnsi="Times New Roman" w:cs="Times New Roman"/>
          <w:iCs/>
          <w:sz w:val="24"/>
          <w:szCs w:val="24"/>
        </w:rPr>
        <w:t xml:space="preserve"> Employment Div., Dept. of Human Resources of Ore. </w:t>
      </w:r>
      <w:r w:rsidR="00FA5A0D" w:rsidRPr="00FA5A0D">
        <w:rPr>
          <w:rFonts w:ascii="Times New Roman" w:hAnsi="Times New Roman" w:cs="Times New Roman"/>
          <w:sz w:val="24"/>
          <w:szCs w:val="24"/>
        </w:rPr>
        <w:t xml:space="preserve">v. </w:t>
      </w:r>
      <w:r w:rsidR="00FA5A0D" w:rsidRPr="00FA5A0D">
        <w:rPr>
          <w:rFonts w:ascii="Times New Roman" w:hAnsi="Times New Roman" w:cs="Times New Roman"/>
          <w:iCs/>
          <w:sz w:val="24"/>
          <w:szCs w:val="24"/>
        </w:rPr>
        <w:t>Smith</w:t>
      </w:r>
      <w:r w:rsidR="00FA5A0D" w:rsidRPr="00FA5A0D">
        <w:rPr>
          <w:rFonts w:ascii="Times New Roman" w:hAnsi="Times New Roman" w:cs="Times New Roman"/>
          <w:sz w:val="24"/>
          <w:szCs w:val="24"/>
        </w:rPr>
        <w:t>, 494 U. S. 872 (1990)</w:t>
      </w:r>
    </w:p>
    <w:p w:rsidR="00FA5A0D" w:rsidRPr="001C31A1" w:rsidRDefault="00FA5A0D" w:rsidP="00BE5B4F">
      <w:pPr>
        <w:rPr>
          <w:rFonts w:ascii="Times New Roman" w:hAnsi="Times New Roman" w:cs="Times New Roman"/>
          <w:sz w:val="24"/>
          <w:szCs w:val="24"/>
        </w:rPr>
      </w:pPr>
    </w:p>
    <w:p w:rsidR="00BE5B4F" w:rsidRPr="001C31A1" w:rsidRDefault="00BE5B4F" w:rsidP="00BE5B4F">
      <w:pPr>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CASE SIGNIFICANCE</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The decision establishes binding or persuasive precedent within its jurisdiction.</w:t>
      </w:r>
    </w:p>
    <w:p w:rsidR="00BE5B4F" w:rsidRPr="001C31A1" w:rsidRDefault="00BE5B4F" w:rsidP="00BE5B4F">
      <w:pPr>
        <w:rPr>
          <w:rFonts w:ascii="Times New Roman" w:hAnsi="Times New Roman" w:cs="Times New Roman"/>
          <w:sz w:val="24"/>
          <w:szCs w:val="24"/>
        </w:rPr>
      </w:pPr>
    </w:p>
    <w:p w:rsidR="00C624EE"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lastRenderedPageBreak/>
        <w:t>OFFICIAL CASE DOCUMENTS</w:t>
      </w:r>
    </w:p>
    <w:p w:rsidR="00447EDD" w:rsidRDefault="00394E9E" w:rsidP="00BE5B4F">
      <w:pPr>
        <w:rPr>
          <w:rFonts w:ascii="Times New Roman" w:hAnsi="Times New Roman" w:cs="Times New Roman"/>
          <w:sz w:val="24"/>
          <w:szCs w:val="24"/>
        </w:rPr>
      </w:pPr>
      <w:r>
        <w:rPr>
          <w:rFonts w:ascii="Times New Roman" w:hAnsi="Times New Roman" w:cs="Times New Roman"/>
          <w:sz w:val="24"/>
          <w:szCs w:val="24"/>
        </w:rPr>
        <w:t>Supreme Court’s Ruling</w:t>
      </w:r>
    </w:p>
    <w:p w:rsidR="00394E9E" w:rsidRDefault="00394E9E" w:rsidP="00BE5B4F">
      <w:pPr>
        <w:rPr>
          <w:rFonts w:ascii="Times New Roman" w:hAnsi="Times New Roman" w:cs="Times New Roman"/>
          <w:sz w:val="24"/>
          <w:szCs w:val="24"/>
        </w:rPr>
      </w:pPr>
      <w:r>
        <w:rPr>
          <w:rFonts w:ascii="Times New Roman" w:hAnsi="Times New Roman" w:cs="Times New Roman"/>
          <w:sz w:val="24"/>
          <w:szCs w:val="24"/>
        </w:rPr>
        <w:t>Emergency Application for Injunction</w:t>
      </w:r>
    </w:p>
    <w:p w:rsidR="00394E9E" w:rsidRDefault="00394E9E" w:rsidP="00BE5B4F">
      <w:pPr>
        <w:rPr>
          <w:rFonts w:ascii="Times New Roman" w:hAnsi="Times New Roman" w:cs="Times New Roman"/>
          <w:sz w:val="24"/>
          <w:szCs w:val="24"/>
        </w:rPr>
      </w:pPr>
      <w:r>
        <w:rPr>
          <w:rFonts w:ascii="Times New Roman" w:hAnsi="Times New Roman" w:cs="Times New Roman"/>
          <w:sz w:val="24"/>
          <w:szCs w:val="24"/>
        </w:rPr>
        <w:t>Reply Brief</w:t>
      </w:r>
    </w:p>
    <w:p w:rsidR="007F548C" w:rsidRPr="0044243D" w:rsidRDefault="00394E9E" w:rsidP="00394E9E">
      <w:pPr>
        <w:rPr>
          <w:rFonts w:ascii="Times New Roman" w:hAnsi="Times New Roman" w:cs="Times New Roman"/>
          <w:sz w:val="24"/>
          <w:szCs w:val="24"/>
        </w:rPr>
      </w:pPr>
      <w:r>
        <w:rPr>
          <w:rFonts w:ascii="Times New Roman" w:hAnsi="Times New Roman" w:cs="Times New Roman"/>
          <w:sz w:val="24"/>
          <w:szCs w:val="24"/>
        </w:rPr>
        <w:t>Denial Order of the Court of Appeal</w:t>
      </w:r>
    </w:p>
    <w:p w:rsidR="005B4A9B" w:rsidRDefault="005B4A9B"/>
    <w:sectPr w:rsidR="005B4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CDEE E+ Century Schoolbook 2">
    <w:altName w:val="Century School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B0AE8"/>
    <w:multiLevelType w:val="multilevel"/>
    <w:tmpl w:val="2C7A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206D74"/>
    <w:multiLevelType w:val="multilevel"/>
    <w:tmpl w:val="9088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4F"/>
    <w:rsid w:val="00000428"/>
    <w:rsid w:val="00017ACF"/>
    <w:rsid w:val="000336AA"/>
    <w:rsid w:val="00037106"/>
    <w:rsid w:val="000456C4"/>
    <w:rsid w:val="00046724"/>
    <w:rsid w:val="00046EDE"/>
    <w:rsid w:val="00067FBA"/>
    <w:rsid w:val="00087535"/>
    <w:rsid w:val="0009036C"/>
    <w:rsid w:val="000A273A"/>
    <w:rsid w:val="000A300E"/>
    <w:rsid w:val="000A43E2"/>
    <w:rsid w:val="000A5BAE"/>
    <w:rsid w:val="000A7EC4"/>
    <w:rsid w:val="000C1966"/>
    <w:rsid w:val="000C415E"/>
    <w:rsid w:val="000C4405"/>
    <w:rsid w:val="000D0C61"/>
    <w:rsid w:val="000D5F1D"/>
    <w:rsid w:val="000E6C2E"/>
    <w:rsid w:val="000F565B"/>
    <w:rsid w:val="000F5EF3"/>
    <w:rsid w:val="00101DD2"/>
    <w:rsid w:val="001025E4"/>
    <w:rsid w:val="00115A14"/>
    <w:rsid w:val="001269A0"/>
    <w:rsid w:val="00134EA5"/>
    <w:rsid w:val="00137818"/>
    <w:rsid w:val="001819EA"/>
    <w:rsid w:val="00192E4D"/>
    <w:rsid w:val="001A04D8"/>
    <w:rsid w:val="001C31A1"/>
    <w:rsid w:val="001C5747"/>
    <w:rsid w:val="001D189D"/>
    <w:rsid w:val="001D1F8D"/>
    <w:rsid w:val="001E3EF0"/>
    <w:rsid w:val="001F766E"/>
    <w:rsid w:val="00213FE2"/>
    <w:rsid w:val="00214A60"/>
    <w:rsid w:val="00223462"/>
    <w:rsid w:val="00231914"/>
    <w:rsid w:val="002531BD"/>
    <w:rsid w:val="00257386"/>
    <w:rsid w:val="00260605"/>
    <w:rsid w:val="002846B3"/>
    <w:rsid w:val="002C3301"/>
    <w:rsid w:val="002C649D"/>
    <w:rsid w:val="002C7317"/>
    <w:rsid w:val="002E398F"/>
    <w:rsid w:val="002F0771"/>
    <w:rsid w:val="002F4A37"/>
    <w:rsid w:val="00301CCA"/>
    <w:rsid w:val="00303DC4"/>
    <w:rsid w:val="00321D67"/>
    <w:rsid w:val="00332A2E"/>
    <w:rsid w:val="003336CF"/>
    <w:rsid w:val="00353164"/>
    <w:rsid w:val="003553BE"/>
    <w:rsid w:val="00387CBA"/>
    <w:rsid w:val="00393C57"/>
    <w:rsid w:val="00394CC2"/>
    <w:rsid w:val="00394E9E"/>
    <w:rsid w:val="003A1878"/>
    <w:rsid w:val="003A6CF3"/>
    <w:rsid w:val="003B7CBF"/>
    <w:rsid w:val="003E0224"/>
    <w:rsid w:val="003F1FCB"/>
    <w:rsid w:val="00406F91"/>
    <w:rsid w:val="0041032C"/>
    <w:rsid w:val="00415810"/>
    <w:rsid w:val="0042273E"/>
    <w:rsid w:val="00423134"/>
    <w:rsid w:val="00427E3D"/>
    <w:rsid w:val="004318C7"/>
    <w:rsid w:val="0044243D"/>
    <w:rsid w:val="00442F04"/>
    <w:rsid w:val="004448E5"/>
    <w:rsid w:val="00447EDD"/>
    <w:rsid w:val="00454A55"/>
    <w:rsid w:val="00455261"/>
    <w:rsid w:val="004605EE"/>
    <w:rsid w:val="00465570"/>
    <w:rsid w:val="004809E4"/>
    <w:rsid w:val="00480F71"/>
    <w:rsid w:val="004A22B0"/>
    <w:rsid w:val="004A6312"/>
    <w:rsid w:val="004B326F"/>
    <w:rsid w:val="004C096F"/>
    <w:rsid w:val="004E3B9F"/>
    <w:rsid w:val="004E3ECA"/>
    <w:rsid w:val="00500EB8"/>
    <w:rsid w:val="00502E5E"/>
    <w:rsid w:val="00515D4E"/>
    <w:rsid w:val="00526600"/>
    <w:rsid w:val="0052692F"/>
    <w:rsid w:val="00531B7E"/>
    <w:rsid w:val="005347E2"/>
    <w:rsid w:val="005633DE"/>
    <w:rsid w:val="00573ADE"/>
    <w:rsid w:val="00577540"/>
    <w:rsid w:val="005822F7"/>
    <w:rsid w:val="00583110"/>
    <w:rsid w:val="005850EF"/>
    <w:rsid w:val="005B0B3B"/>
    <w:rsid w:val="005B4A9B"/>
    <w:rsid w:val="005C0295"/>
    <w:rsid w:val="005C1279"/>
    <w:rsid w:val="005C56FE"/>
    <w:rsid w:val="005C6AD4"/>
    <w:rsid w:val="005D003B"/>
    <w:rsid w:val="005D0666"/>
    <w:rsid w:val="005D3A68"/>
    <w:rsid w:val="005D46F6"/>
    <w:rsid w:val="005E02E3"/>
    <w:rsid w:val="005E05AA"/>
    <w:rsid w:val="005E1F1A"/>
    <w:rsid w:val="005F3FD9"/>
    <w:rsid w:val="00604773"/>
    <w:rsid w:val="00611813"/>
    <w:rsid w:val="0061467A"/>
    <w:rsid w:val="00614F26"/>
    <w:rsid w:val="0061686C"/>
    <w:rsid w:val="00616F1B"/>
    <w:rsid w:val="006220E1"/>
    <w:rsid w:val="00627C23"/>
    <w:rsid w:val="00634DF6"/>
    <w:rsid w:val="0064323B"/>
    <w:rsid w:val="006639FC"/>
    <w:rsid w:val="00672F2C"/>
    <w:rsid w:val="0067620B"/>
    <w:rsid w:val="00696F7E"/>
    <w:rsid w:val="00696FD4"/>
    <w:rsid w:val="006A6EE2"/>
    <w:rsid w:val="006C4A49"/>
    <w:rsid w:val="006D5AF3"/>
    <w:rsid w:val="006F064B"/>
    <w:rsid w:val="006F6C23"/>
    <w:rsid w:val="007000D7"/>
    <w:rsid w:val="00723C8A"/>
    <w:rsid w:val="00724FA6"/>
    <w:rsid w:val="00735CB1"/>
    <w:rsid w:val="00736D6D"/>
    <w:rsid w:val="00751419"/>
    <w:rsid w:val="0075167C"/>
    <w:rsid w:val="00752FB7"/>
    <w:rsid w:val="0076284C"/>
    <w:rsid w:val="00770315"/>
    <w:rsid w:val="00773CBB"/>
    <w:rsid w:val="00776D1F"/>
    <w:rsid w:val="007936C1"/>
    <w:rsid w:val="007A0BCC"/>
    <w:rsid w:val="007A1BFF"/>
    <w:rsid w:val="007A2A40"/>
    <w:rsid w:val="007B252E"/>
    <w:rsid w:val="007B5C01"/>
    <w:rsid w:val="007B6359"/>
    <w:rsid w:val="007B6D96"/>
    <w:rsid w:val="007C0AAA"/>
    <w:rsid w:val="007D003E"/>
    <w:rsid w:val="007D1418"/>
    <w:rsid w:val="007D2D2C"/>
    <w:rsid w:val="007E648E"/>
    <w:rsid w:val="007F548C"/>
    <w:rsid w:val="00805262"/>
    <w:rsid w:val="00807A02"/>
    <w:rsid w:val="008111EF"/>
    <w:rsid w:val="00817DA1"/>
    <w:rsid w:val="00822007"/>
    <w:rsid w:val="00822914"/>
    <w:rsid w:val="008334F9"/>
    <w:rsid w:val="00833DD8"/>
    <w:rsid w:val="00835766"/>
    <w:rsid w:val="00843648"/>
    <w:rsid w:val="00850742"/>
    <w:rsid w:val="00853F65"/>
    <w:rsid w:val="00855002"/>
    <w:rsid w:val="00857861"/>
    <w:rsid w:val="00860273"/>
    <w:rsid w:val="0086184B"/>
    <w:rsid w:val="00880019"/>
    <w:rsid w:val="00882853"/>
    <w:rsid w:val="00884960"/>
    <w:rsid w:val="00893D0C"/>
    <w:rsid w:val="008B51DA"/>
    <w:rsid w:val="008C437E"/>
    <w:rsid w:val="008D0F9D"/>
    <w:rsid w:val="008D17BC"/>
    <w:rsid w:val="008E0746"/>
    <w:rsid w:val="008E0F90"/>
    <w:rsid w:val="008E4C9A"/>
    <w:rsid w:val="008E6327"/>
    <w:rsid w:val="00906C30"/>
    <w:rsid w:val="00930116"/>
    <w:rsid w:val="0093127C"/>
    <w:rsid w:val="009362A5"/>
    <w:rsid w:val="0094686F"/>
    <w:rsid w:val="00947095"/>
    <w:rsid w:val="00951417"/>
    <w:rsid w:val="009620D3"/>
    <w:rsid w:val="00962D29"/>
    <w:rsid w:val="00966270"/>
    <w:rsid w:val="0097036A"/>
    <w:rsid w:val="0097321E"/>
    <w:rsid w:val="00980CFB"/>
    <w:rsid w:val="00981477"/>
    <w:rsid w:val="00987B7C"/>
    <w:rsid w:val="00990E29"/>
    <w:rsid w:val="00992650"/>
    <w:rsid w:val="00993EF8"/>
    <w:rsid w:val="00994F2F"/>
    <w:rsid w:val="009A5A82"/>
    <w:rsid w:val="009B355E"/>
    <w:rsid w:val="009B75D0"/>
    <w:rsid w:val="009C360D"/>
    <w:rsid w:val="009D5781"/>
    <w:rsid w:val="009E361D"/>
    <w:rsid w:val="00A10658"/>
    <w:rsid w:val="00A12D32"/>
    <w:rsid w:val="00A17EF3"/>
    <w:rsid w:val="00A35A83"/>
    <w:rsid w:val="00A36777"/>
    <w:rsid w:val="00A372BB"/>
    <w:rsid w:val="00A4006B"/>
    <w:rsid w:val="00A55D29"/>
    <w:rsid w:val="00A7559F"/>
    <w:rsid w:val="00A81C4A"/>
    <w:rsid w:val="00AA5497"/>
    <w:rsid w:val="00AA5B37"/>
    <w:rsid w:val="00AB2C1A"/>
    <w:rsid w:val="00AC6075"/>
    <w:rsid w:val="00AC7972"/>
    <w:rsid w:val="00AD143B"/>
    <w:rsid w:val="00AD162A"/>
    <w:rsid w:val="00AE24EC"/>
    <w:rsid w:val="00AE2D26"/>
    <w:rsid w:val="00AF0659"/>
    <w:rsid w:val="00AF708A"/>
    <w:rsid w:val="00B02A06"/>
    <w:rsid w:val="00B6415E"/>
    <w:rsid w:val="00B700CC"/>
    <w:rsid w:val="00B74BF8"/>
    <w:rsid w:val="00B828B4"/>
    <w:rsid w:val="00B851FB"/>
    <w:rsid w:val="00B85978"/>
    <w:rsid w:val="00BA04A1"/>
    <w:rsid w:val="00BA2C0E"/>
    <w:rsid w:val="00BA7148"/>
    <w:rsid w:val="00BE2E54"/>
    <w:rsid w:val="00BE528F"/>
    <w:rsid w:val="00BE5B4F"/>
    <w:rsid w:val="00BE5FD2"/>
    <w:rsid w:val="00C06FDB"/>
    <w:rsid w:val="00C07044"/>
    <w:rsid w:val="00C0714F"/>
    <w:rsid w:val="00C10FB9"/>
    <w:rsid w:val="00C2140D"/>
    <w:rsid w:val="00C348FF"/>
    <w:rsid w:val="00C363D7"/>
    <w:rsid w:val="00C54782"/>
    <w:rsid w:val="00C624EE"/>
    <w:rsid w:val="00C62EBA"/>
    <w:rsid w:val="00C716A5"/>
    <w:rsid w:val="00C750A1"/>
    <w:rsid w:val="00C81953"/>
    <w:rsid w:val="00C82AE0"/>
    <w:rsid w:val="00CA7302"/>
    <w:rsid w:val="00CB2822"/>
    <w:rsid w:val="00CB3ED5"/>
    <w:rsid w:val="00CB495C"/>
    <w:rsid w:val="00CC08A1"/>
    <w:rsid w:val="00CC3A89"/>
    <w:rsid w:val="00CE7776"/>
    <w:rsid w:val="00D13D1F"/>
    <w:rsid w:val="00D2480C"/>
    <w:rsid w:val="00D266DA"/>
    <w:rsid w:val="00D3269C"/>
    <w:rsid w:val="00D364CE"/>
    <w:rsid w:val="00D43BC5"/>
    <w:rsid w:val="00D610CD"/>
    <w:rsid w:val="00D67D67"/>
    <w:rsid w:val="00D712BE"/>
    <w:rsid w:val="00D71CEF"/>
    <w:rsid w:val="00D731A5"/>
    <w:rsid w:val="00D75F68"/>
    <w:rsid w:val="00D76F43"/>
    <w:rsid w:val="00D80EAC"/>
    <w:rsid w:val="00D82A5B"/>
    <w:rsid w:val="00D95D61"/>
    <w:rsid w:val="00DA4AB9"/>
    <w:rsid w:val="00DA4B52"/>
    <w:rsid w:val="00DA5FC7"/>
    <w:rsid w:val="00DC61EA"/>
    <w:rsid w:val="00DD4CEE"/>
    <w:rsid w:val="00DF0366"/>
    <w:rsid w:val="00DF33AD"/>
    <w:rsid w:val="00DF7D88"/>
    <w:rsid w:val="00E0308C"/>
    <w:rsid w:val="00E05740"/>
    <w:rsid w:val="00E12CBB"/>
    <w:rsid w:val="00E2448E"/>
    <w:rsid w:val="00E268C1"/>
    <w:rsid w:val="00E32E37"/>
    <w:rsid w:val="00E3322D"/>
    <w:rsid w:val="00E46200"/>
    <w:rsid w:val="00E51744"/>
    <w:rsid w:val="00E63475"/>
    <w:rsid w:val="00E6673E"/>
    <w:rsid w:val="00EA0E19"/>
    <w:rsid w:val="00EB7A4A"/>
    <w:rsid w:val="00EC018B"/>
    <w:rsid w:val="00ED4C2A"/>
    <w:rsid w:val="00ED6069"/>
    <w:rsid w:val="00ED70FE"/>
    <w:rsid w:val="00EE4A2C"/>
    <w:rsid w:val="00EF02B4"/>
    <w:rsid w:val="00EF234E"/>
    <w:rsid w:val="00EF3B6C"/>
    <w:rsid w:val="00F01791"/>
    <w:rsid w:val="00F26D5D"/>
    <w:rsid w:val="00F520F1"/>
    <w:rsid w:val="00F55DA1"/>
    <w:rsid w:val="00F570D9"/>
    <w:rsid w:val="00F64EB2"/>
    <w:rsid w:val="00F65F9C"/>
    <w:rsid w:val="00F671D5"/>
    <w:rsid w:val="00F73FC2"/>
    <w:rsid w:val="00F77972"/>
    <w:rsid w:val="00F829D6"/>
    <w:rsid w:val="00FA00C0"/>
    <w:rsid w:val="00FA5A0D"/>
    <w:rsid w:val="00FB6A6A"/>
    <w:rsid w:val="00FC4D7A"/>
    <w:rsid w:val="00FC704A"/>
    <w:rsid w:val="00FE05D7"/>
    <w:rsid w:val="00FE4406"/>
    <w:rsid w:val="00FF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752CA-39F2-45F2-95EB-0D89DAD7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B4F"/>
    <w:pPr>
      <w:ind w:left="720"/>
      <w:contextualSpacing/>
    </w:pPr>
  </w:style>
  <w:style w:type="paragraph" w:customStyle="1" w:styleId="Default">
    <w:name w:val="Default"/>
    <w:rsid w:val="00BE5B4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F1F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1F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797988">
      <w:bodyDiv w:val="1"/>
      <w:marLeft w:val="0"/>
      <w:marRight w:val="0"/>
      <w:marTop w:val="0"/>
      <w:marBottom w:val="0"/>
      <w:divBdr>
        <w:top w:val="none" w:sz="0" w:space="0" w:color="auto"/>
        <w:left w:val="none" w:sz="0" w:space="0" w:color="auto"/>
        <w:bottom w:val="none" w:sz="0" w:space="0" w:color="auto"/>
        <w:right w:val="none" w:sz="0" w:space="0" w:color="auto"/>
      </w:divBdr>
    </w:div>
    <w:div w:id="1123498700">
      <w:bodyDiv w:val="1"/>
      <w:marLeft w:val="0"/>
      <w:marRight w:val="0"/>
      <w:marTop w:val="0"/>
      <w:marBottom w:val="0"/>
      <w:divBdr>
        <w:top w:val="none" w:sz="0" w:space="0" w:color="auto"/>
        <w:left w:val="none" w:sz="0" w:space="0" w:color="auto"/>
        <w:bottom w:val="none" w:sz="0" w:space="0" w:color="auto"/>
        <w:right w:val="none" w:sz="0" w:space="0" w:color="auto"/>
      </w:divBdr>
    </w:div>
    <w:div w:id="1195536852">
      <w:bodyDiv w:val="1"/>
      <w:marLeft w:val="0"/>
      <w:marRight w:val="0"/>
      <w:marTop w:val="0"/>
      <w:marBottom w:val="0"/>
      <w:divBdr>
        <w:top w:val="none" w:sz="0" w:space="0" w:color="auto"/>
        <w:left w:val="none" w:sz="0" w:space="0" w:color="auto"/>
        <w:bottom w:val="none" w:sz="0" w:space="0" w:color="auto"/>
        <w:right w:val="none" w:sz="0" w:space="0" w:color="auto"/>
      </w:divBdr>
      <w:divsChild>
        <w:div w:id="1214732663">
          <w:marLeft w:val="0"/>
          <w:marRight w:val="0"/>
          <w:marTop w:val="0"/>
          <w:marBottom w:val="0"/>
          <w:divBdr>
            <w:top w:val="none" w:sz="0" w:space="0" w:color="auto"/>
            <w:left w:val="none" w:sz="0" w:space="0" w:color="auto"/>
            <w:bottom w:val="none" w:sz="0" w:space="0" w:color="auto"/>
            <w:right w:val="none" w:sz="0" w:space="0" w:color="auto"/>
          </w:divBdr>
        </w:div>
      </w:divsChild>
    </w:div>
    <w:div w:id="16642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law</dc:creator>
  <cp:keywords/>
  <dc:description/>
  <cp:lastModifiedBy>D law</cp:lastModifiedBy>
  <cp:revision>2</cp:revision>
  <dcterms:created xsi:type="dcterms:W3CDTF">2020-07-30T20:37:00Z</dcterms:created>
  <dcterms:modified xsi:type="dcterms:W3CDTF">2020-07-30T20:37:00Z</dcterms:modified>
</cp:coreProperties>
</file>