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4F" w:rsidRPr="001C31A1" w:rsidRDefault="00353732" w:rsidP="00BE5B4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F33AD">
        <w:rPr>
          <w:rFonts w:ascii="Times New Roman" w:hAnsi="Times New Roman" w:cs="Times New Roman"/>
          <w:b/>
          <w:sz w:val="24"/>
          <w:szCs w:val="24"/>
        </w:rPr>
        <w:t>MICHAEL D. COHEN</w:t>
      </w:r>
      <w:r w:rsidR="00D95D61" w:rsidRPr="001C31A1">
        <w:rPr>
          <w:rFonts w:ascii="Times New Roman" w:hAnsi="Times New Roman" w:cs="Times New Roman"/>
          <w:b/>
          <w:sz w:val="24"/>
          <w:szCs w:val="24"/>
        </w:rPr>
        <w:t xml:space="preserve"> V </w:t>
      </w:r>
      <w:r w:rsidR="00DF33AD">
        <w:rPr>
          <w:rFonts w:ascii="Times New Roman" w:hAnsi="Times New Roman" w:cs="Times New Roman"/>
          <w:b/>
          <w:sz w:val="24"/>
          <w:szCs w:val="24"/>
        </w:rPr>
        <w:t>WILLIAM BARR</w:t>
      </w:r>
    </w:p>
    <w:p w:rsidR="003F1FCB" w:rsidRPr="001C31A1" w:rsidRDefault="003F1FCB" w:rsidP="00BE5B4F">
      <w:pPr>
        <w:jc w:val="center"/>
        <w:rPr>
          <w:rFonts w:ascii="Times New Roman" w:hAnsi="Times New Roman" w:cs="Times New Roman"/>
          <w:b/>
          <w:sz w:val="24"/>
          <w:szCs w:val="24"/>
        </w:rPr>
      </w:pPr>
    </w:p>
    <w:p w:rsidR="00BE5B4F" w:rsidRPr="001C31A1" w:rsidRDefault="00115A14" w:rsidP="00BE5B4F">
      <w:pPr>
        <w:rPr>
          <w:rFonts w:ascii="Times New Roman" w:hAnsi="Times New Roman" w:cs="Times New Roman"/>
          <w:b/>
          <w:sz w:val="24"/>
          <w:szCs w:val="24"/>
        </w:rPr>
      </w:pPr>
      <w:r w:rsidRPr="001C31A1">
        <w:rPr>
          <w:rFonts w:ascii="Times New Roman" w:hAnsi="Times New Roman" w:cs="Times New Roman"/>
          <w:b/>
          <w:sz w:val="24"/>
          <w:szCs w:val="24"/>
        </w:rPr>
        <w:t>Closed</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United States, North America</w:t>
      </w:r>
    </w:p>
    <w:p w:rsidR="00BE5B4F" w:rsidRPr="001C31A1" w:rsidRDefault="00BE5B4F" w:rsidP="00BE5B4F">
      <w:pPr>
        <w:rPr>
          <w:rFonts w:ascii="Times New Roman" w:hAnsi="Times New Roman" w:cs="Times New Roman"/>
          <w:b/>
          <w:sz w:val="24"/>
          <w:szCs w:val="24"/>
        </w:rPr>
      </w:pPr>
    </w:p>
    <w:p w:rsidR="00BE5B4F" w:rsidRPr="001C31A1" w:rsidRDefault="005D0666" w:rsidP="00BE5B4F">
      <w:pPr>
        <w:rPr>
          <w:rFonts w:ascii="Times New Roman" w:hAnsi="Times New Roman" w:cs="Times New Roman"/>
          <w:b/>
          <w:sz w:val="24"/>
          <w:szCs w:val="24"/>
        </w:rPr>
      </w:pPr>
      <w:r w:rsidRPr="001C31A1">
        <w:rPr>
          <w:rFonts w:ascii="Times New Roman" w:hAnsi="Times New Roman" w:cs="Times New Roman"/>
          <w:b/>
          <w:sz w:val="24"/>
          <w:szCs w:val="24"/>
        </w:rPr>
        <w:t>EXPANDS EXPRESSION</w:t>
      </w:r>
      <w:r w:rsidR="00BE5B4F" w:rsidRPr="001C31A1">
        <w:rPr>
          <w:rFonts w:ascii="Times New Roman" w:hAnsi="Times New Roman" w:cs="Times New Roman"/>
          <w:b/>
          <w:sz w:val="24"/>
          <w:szCs w:val="24"/>
        </w:rPr>
        <w:t xml:space="preserve">  </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 xml:space="preserve">MODE OF EXPRESSION </w:t>
      </w:r>
    </w:p>
    <w:p w:rsidR="00BE5B4F" w:rsidRPr="001C31A1" w:rsidRDefault="007D1418" w:rsidP="00BE5B4F">
      <w:pPr>
        <w:rPr>
          <w:rFonts w:ascii="Times New Roman" w:hAnsi="Times New Roman" w:cs="Times New Roman"/>
          <w:sz w:val="24"/>
          <w:szCs w:val="24"/>
        </w:rPr>
      </w:pPr>
      <w:r w:rsidRPr="001C31A1">
        <w:rPr>
          <w:rFonts w:ascii="Times New Roman" w:hAnsi="Times New Roman" w:cs="Times New Roman"/>
          <w:sz w:val="24"/>
          <w:szCs w:val="24"/>
        </w:rPr>
        <w:t>Books/Plays</w:t>
      </w:r>
      <w:r w:rsidR="00BE5B4F"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 xml:space="preserve">DATE OF DECISION   </w:t>
      </w:r>
    </w:p>
    <w:p w:rsidR="00BE5B4F" w:rsidRPr="001C31A1" w:rsidRDefault="00C54782" w:rsidP="00BE5B4F">
      <w:pPr>
        <w:rPr>
          <w:rFonts w:ascii="Times New Roman" w:hAnsi="Times New Roman" w:cs="Times New Roman"/>
          <w:sz w:val="24"/>
          <w:szCs w:val="24"/>
        </w:rPr>
      </w:pPr>
      <w:r w:rsidRPr="001C31A1">
        <w:rPr>
          <w:rFonts w:ascii="Times New Roman" w:hAnsi="Times New Roman" w:cs="Times New Roman"/>
          <w:sz w:val="24"/>
          <w:szCs w:val="24"/>
        </w:rPr>
        <w:t xml:space="preserve">July </w:t>
      </w:r>
      <w:r w:rsidR="00DF33AD">
        <w:rPr>
          <w:rFonts w:ascii="Times New Roman" w:hAnsi="Times New Roman" w:cs="Times New Roman"/>
          <w:sz w:val="24"/>
          <w:szCs w:val="24"/>
        </w:rPr>
        <w:t>2</w:t>
      </w:r>
      <w:r w:rsidR="00EF3B6C" w:rsidRPr="001C31A1">
        <w:rPr>
          <w:rFonts w:ascii="Times New Roman" w:hAnsi="Times New Roman" w:cs="Times New Roman"/>
          <w:sz w:val="24"/>
          <w:szCs w:val="24"/>
        </w:rPr>
        <w:t>3</w:t>
      </w:r>
      <w:r w:rsidR="007D1418" w:rsidRPr="001C31A1">
        <w:rPr>
          <w:rFonts w:ascii="Times New Roman" w:hAnsi="Times New Roman" w:cs="Times New Roman"/>
          <w:sz w:val="24"/>
          <w:szCs w:val="24"/>
        </w:rPr>
        <w:t>, 2020</w:t>
      </w:r>
      <w:r w:rsidR="00BE5B4F"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 xml:space="preserve">OUTCOME    </w:t>
      </w:r>
    </w:p>
    <w:p w:rsidR="00BE5B4F" w:rsidRPr="001C31A1" w:rsidRDefault="00DF33AD" w:rsidP="00BE5B4F">
      <w:pPr>
        <w:rPr>
          <w:rFonts w:ascii="Times New Roman" w:hAnsi="Times New Roman" w:cs="Times New Roman"/>
          <w:sz w:val="24"/>
          <w:szCs w:val="24"/>
        </w:rPr>
      </w:pPr>
      <w:r>
        <w:rPr>
          <w:rFonts w:ascii="Times New Roman" w:hAnsi="Times New Roman" w:cs="Times New Roman"/>
          <w:sz w:val="24"/>
          <w:szCs w:val="24"/>
        </w:rPr>
        <w:t>Preliminary Injunction Granted</w:t>
      </w:r>
      <w:r w:rsidR="007D1418" w:rsidRPr="001C31A1">
        <w:rPr>
          <w:rFonts w:ascii="Times New Roman" w:hAnsi="Times New Roman" w:cs="Times New Roman"/>
          <w:sz w:val="24"/>
          <w:szCs w:val="24"/>
        </w:rPr>
        <w:t xml:space="preserve">. </w:t>
      </w:r>
      <w:r w:rsidR="00BE5B4F"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 xml:space="preserve">                                                                                                          </w:t>
      </w:r>
    </w:p>
    <w:p w:rsidR="00BE5B4F"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CASE NUMBER</w:t>
      </w:r>
    </w:p>
    <w:p w:rsidR="00DF33AD" w:rsidRDefault="00DF33AD" w:rsidP="00BE5B4F">
      <w:pPr>
        <w:rPr>
          <w:rFonts w:ascii="Times New Roman" w:hAnsi="Times New Roman" w:cs="Times New Roman"/>
          <w:b/>
          <w:sz w:val="24"/>
          <w:szCs w:val="24"/>
        </w:rPr>
      </w:pPr>
      <w:r>
        <w:rPr>
          <w:rFonts w:ascii="Times New Roman" w:hAnsi="Times New Roman" w:cs="Times New Roman"/>
          <w:b/>
          <w:sz w:val="24"/>
          <w:szCs w:val="24"/>
        </w:rPr>
        <w:t>20 Civ. 5614 (AKH)</w:t>
      </w:r>
    </w:p>
    <w:p w:rsidR="00DF33AD" w:rsidRPr="001C31A1" w:rsidRDefault="00DF33AD" w:rsidP="00BE5B4F">
      <w:pPr>
        <w:rPr>
          <w:rFonts w:ascii="Times New Roman" w:hAnsi="Times New Roman" w:cs="Times New Roman"/>
          <w:b/>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JUDICIAL BODY</w:t>
      </w:r>
    </w:p>
    <w:p w:rsidR="00BE5B4F" w:rsidRPr="001C31A1" w:rsidRDefault="00AE24EC" w:rsidP="00BE5B4F">
      <w:pPr>
        <w:rPr>
          <w:rFonts w:ascii="Times New Roman" w:hAnsi="Times New Roman" w:cs="Times New Roman"/>
          <w:sz w:val="24"/>
          <w:szCs w:val="24"/>
        </w:rPr>
      </w:pPr>
      <w:r w:rsidRPr="001C31A1">
        <w:rPr>
          <w:rFonts w:ascii="Times New Roman" w:hAnsi="Times New Roman" w:cs="Times New Roman"/>
          <w:sz w:val="24"/>
          <w:szCs w:val="24"/>
        </w:rPr>
        <w:t>First Instance</w:t>
      </w:r>
      <w:r w:rsidR="00C54782"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TYPE OF LAW</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Constitutional Law</w:t>
      </w:r>
    </w:p>
    <w:p w:rsidR="00BE5B4F" w:rsidRPr="001C31A1" w:rsidRDefault="00BE5B4F" w:rsidP="00BE5B4F">
      <w:pPr>
        <w:rPr>
          <w:rFonts w:ascii="Times New Roman" w:hAnsi="Times New Roman" w:cs="Times New Roman"/>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THEMES</w:t>
      </w:r>
    </w:p>
    <w:p w:rsidR="00BE5B4F" w:rsidRPr="001C31A1" w:rsidRDefault="003E0224" w:rsidP="00BE5B4F">
      <w:pPr>
        <w:rPr>
          <w:rFonts w:ascii="Times New Roman" w:hAnsi="Times New Roman" w:cs="Times New Roman"/>
          <w:sz w:val="24"/>
          <w:szCs w:val="24"/>
        </w:rPr>
      </w:pPr>
      <w:r w:rsidRPr="001C31A1">
        <w:rPr>
          <w:rFonts w:ascii="Times New Roman" w:hAnsi="Times New Roman" w:cs="Times New Roman"/>
          <w:sz w:val="24"/>
          <w:szCs w:val="24"/>
        </w:rPr>
        <w:t>Content Regulation/Censorship</w:t>
      </w:r>
    </w:p>
    <w:p w:rsidR="00BE5B4F" w:rsidRPr="001C31A1" w:rsidRDefault="00BE5B4F" w:rsidP="00BE5B4F">
      <w:pPr>
        <w:rPr>
          <w:rFonts w:ascii="Times New Roman" w:hAnsi="Times New Roman" w:cs="Times New Roman"/>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lastRenderedPageBreak/>
        <w:t>TAGS</w:t>
      </w:r>
    </w:p>
    <w:p w:rsidR="00BE5B4F" w:rsidRPr="001C31A1" w:rsidRDefault="00B85978" w:rsidP="00BE5B4F">
      <w:pPr>
        <w:rPr>
          <w:rFonts w:ascii="Times New Roman" w:hAnsi="Times New Roman" w:cs="Times New Roman"/>
          <w:sz w:val="24"/>
          <w:szCs w:val="24"/>
        </w:rPr>
      </w:pPr>
      <w:r w:rsidRPr="001C31A1">
        <w:rPr>
          <w:rFonts w:ascii="Times New Roman" w:hAnsi="Times New Roman" w:cs="Times New Roman"/>
          <w:sz w:val="24"/>
          <w:szCs w:val="24"/>
        </w:rPr>
        <w:t>Prior Restraint</w:t>
      </w:r>
      <w:r w:rsidR="00F829D6">
        <w:rPr>
          <w:rFonts w:ascii="Times New Roman" w:hAnsi="Times New Roman" w:cs="Times New Roman"/>
          <w:sz w:val="24"/>
          <w:szCs w:val="24"/>
        </w:rPr>
        <w:t>, Retaliation</w:t>
      </w:r>
    </w:p>
    <w:p w:rsidR="00BE5B4F" w:rsidRPr="001C31A1" w:rsidRDefault="00BE5B4F" w:rsidP="00BE5B4F">
      <w:pPr>
        <w:rPr>
          <w:rFonts w:ascii="Times New Roman" w:hAnsi="Times New Roman" w:cs="Times New Roman"/>
          <w:b/>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CASE ANALYSIS</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Case Summary and Outcome</w:t>
      </w:r>
    </w:p>
    <w:p w:rsidR="008B7A7F" w:rsidRPr="004C6AB1" w:rsidRDefault="003F1FCB" w:rsidP="004C6AB1">
      <w:pPr>
        <w:pStyle w:val="Default"/>
        <w:jc w:val="both"/>
      </w:pPr>
      <w:r w:rsidRPr="004C6AB1">
        <w:rPr>
          <w:rFonts w:eastAsia="Times New Roman"/>
        </w:rPr>
        <w:t xml:space="preserve">The </w:t>
      </w:r>
      <w:r w:rsidR="00F829D6" w:rsidRPr="004C6AB1">
        <w:rPr>
          <w:rFonts w:eastAsia="Times New Roman"/>
        </w:rPr>
        <w:t>Distri</w:t>
      </w:r>
      <w:r w:rsidR="00134EA5" w:rsidRPr="004C6AB1">
        <w:rPr>
          <w:rFonts w:eastAsia="Times New Roman"/>
        </w:rPr>
        <w:t>ct Court of Southern</w:t>
      </w:r>
      <w:r w:rsidR="00F829D6" w:rsidRPr="004C6AB1">
        <w:rPr>
          <w:rFonts w:eastAsia="Times New Roman"/>
        </w:rPr>
        <w:t xml:space="preserve"> New York</w:t>
      </w:r>
      <w:r w:rsidR="0044243D" w:rsidRPr="004C6AB1">
        <w:rPr>
          <w:rFonts w:eastAsia="Times New Roman"/>
        </w:rPr>
        <w:t xml:space="preserve"> </w:t>
      </w:r>
      <w:r w:rsidR="00F829D6" w:rsidRPr="004C6AB1">
        <w:rPr>
          <w:rFonts w:eastAsia="Times New Roman"/>
        </w:rPr>
        <w:t xml:space="preserve">granted the Preliminary Injunction </w:t>
      </w:r>
      <w:r w:rsidR="008E0746" w:rsidRPr="004C6AB1">
        <w:rPr>
          <w:rFonts w:eastAsia="Times New Roman"/>
        </w:rPr>
        <w:t xml:space="preserve">sought by Michael D. Cohen to restrain the United States government from retaliation and further act of retaliation by </w:t>
      </w:r>
      <w:r w:rsidR="00DD5A95" w:rsidRPr="004C6AB1">
        <w:rPr>
          <w:rFonts w:eastAsia="Times New Roman"/>
        </w:rPr>
        <w:t>which he was</w:t>
      </w:r>
      <w:r w:rsidR="00B2631A" w:rsidRPr="004C6AB1">
        <w:rPr>
          <w:rFonts w:eastAsia="Times New Roman"/>
        </w:rPr>
        <w:t xml:space="preserve"> </w:t>
      </w:r>
      <w:r w:rsidR="00DD5A95" w:rsidRPr="004C6AB1">
        <w:rPr>
          <w:rFonts w:eastAsia="Times New Roman"/>
        </w:rPr>
        <w:t>re-</w:t>
      </w:r>
      <w:r w:rsidR="00B2631A" w:rsidRPr="004C6AB1">
        <w:rPr>
          <w:rFonts w:eastAsia="Times New Roman"/>
        </w:rPr>
        <w:t>confined</w:t>
      </w:r>
      <w:r w:rsidR="008E0746" w:rsidRPr="004C6AB1">
        <w:rPr>
          <w:rFonts w:eastAsia="Times New Roman"/>
        </w:rPr>
        <w:t xml:space="preserve"> to prison custody. </w:t>
      </w:r>
      <w:r w:rsidR="00134EA5" w:rsidRPr="004C6AB1">
        <w:rPr>
          <w:rFonts w:eastAsia="Times New Roman"/>
        </w:rPr>
        <w:t>The Petitioner had approached the c</w:t>
      </w:r>
      <w:r w:rsidR="004B326F" w:rsidRPr="004C6AB1">
        <w:rPr>
          <w:rFonts w:eastAsia="Times New Roman"/>
        </w:rPr>
        <w:t xml:space="preserve">ourt for a </w:t>
      </w:r>
      <w:r w:rsidR="005E1F1A" w:rsidRPr="004C6AB1">
        <w:rPr>
          <w:rFonts w:eastAsia="Times New Roman"/>
        </w:rPr>
        <w:t xml:space="preserve">Preliminary injunction </w:t>
      </w:r>
      <w:r w:rsidR="004B326F" w:rsidRPr="004C6AB1">
        <w:rPr>
          <w:rFonts w:eastAsia="Times New Roman"/>
        </w:rPr>
        <w:t xml:space="preserve">against </w:t>
      </w:r>
      <w:r w:rsidR="00134EA5" w:rsidRPr="004C6AB1">
        <w:rPr>
          <w:rFonts w:eastAsia="Times New Roman"/>
        </w:rPr>
        <w:t xml:space="preserve">the </w:t>
      </w:r>
      <w:r w:rsidR="00046EDE" w:rsidRPr="004C6AB1">
        <w:rPr>
          <w:rFonts w:eastAsia="Times New Roman"/>
        </w:rPr>
        <w:t>Respondents who are officer</w:t>
      </w:r>
      <w:r w:rsidR="00CB3ED5" w:rsidRPr="004C6AB1">
        <w:rPr>
          <w:rFonts w:eastAsia="Times New Roman"/>
        </w:rPr>
        <w:t>s</w:t>
      </w:r>
      <w:r w:rsidR="00046EDE" w:rsidRPr="004C6AB1">
        <w:rPr>
          <w:rFonts w:eastAsia="Times New Roman"/>
        </w:rPr>
        <w:t xml:space="preserve"> of the </w:t>
      </w:r>
      <w:r w:rsidR="00134EA5" w:rsidRPr="004C6AB1">
        <w:rPr>
          <w:rFonts w:eastAsia="Times New Roman"/>
        </w:rPr>
        <w:t>United States government</w:t>
      </w:r>
      <w:r w:rsidR="00046EDE" w:rsidRPr="004C6AB1">
        <w:rPr>
          <w:rFonts w:eastAsia="Times New Roman"/>
        </w:rPr>
        <w:t xml:space="preserve">. </w:t>
      </w:r>
      <w:r w:rsidR="00B2631A" w:rsidRPr="004C6AB1">
        <w:rPr>
          <w:rFonts w:eastAsia="Times New Roman"/>
        </w:rPr>
        <w:t xml:space="preserve">The Petitioner </w:t>
      </w:r>
      <w:r w:rsidR="003D49DB" w:rsidRPr="004C6AB1">
        <w:rPr>
          <w:rFonts w:eastAsia="Times New Roman"/>
        </w:rPr>
        <w:t xml:space="preserve">had on conviction been </w:t>
      </w:r>
      <w:r w:rsidR="00C0714F" w:rsidRPr="004C6AB1">
        <w:rPr>
          <w:rFonts w:eastAsia="Times New Roman"/>
        </w:rPr>
        <w:t xml:space="preserve">previously </w:t>
      </w:r>
      <w:r w:rsidR="00C0714F" w:rsidRPr="004C6AB1">
        <w:t>held in solitary confinement at the Federal Correctional Institution in Otisville, New York (“FCI Otisville”)</w:t>
      </w:r>
      <w:r w:rsidR="00F93BE5" w:rsidRPr="004C6AB1">
        <w:t xml:space="preserve"> but was released </w:t>
      </w:r>
      <w:r w:rsidR="00B2631A" w:rsidRPr="004C6AB1">
        <w:t>on furlough</w:t>
      </w:r>
      <w:r w:rsidR="00777742" w:rsidRPr="004C6AB1">
        <w:t xml:space="preserve"> by the Bureau of Prisons (BOP) </w:t>
      </w:r>
      <w:r w:rsidR="00F93BE5" w:rsidRPr="004C6AB1">
        <w:t>due to his medical history of severe hypertension which made him susceptib</w:t>
      </w:r>
      <w:r w:rsidR="00777742" w:rsidRPr="004C6AB1">
        <w:t>le to the coronavirus p</w:t>
      </w:r>
      <w:r w:rsidR="00B2631A" w:rsidRPr="004C6AB1">
        <w:t>andemic. He was however</w:t>
      </w:r>
      <w:r w:rsidR="00777742" w:rsidRPr="004C6AB1">
        <w:t xml:space="preserve"> again remanded at FCI Otisville for notifying the public via twitter of the book he was writing about President</w:t>
      </w:r>
      <w:r w:rsidR="00B2631A" w:rsidRPr="004C6AB1">
        <w:t xml:space="preserve"> Trump</w:t>
      </w:r>
      <w:r w:rsidR="00777742" w:rsidRPr="004C6AB1">
        <w:t>.</w:t>
      </w:r>
      <w:r w:rsidR="00B2631A" w:rsidRPr="004C6AB1">
        <w:t xml:space="preserve"> He subsequently </w:t>
      </w:r>
      <w:r w:rsidR="00777742" w:rsidRPr="004C6AB1">
        <w:t xml:space="preserve">approached the court asking </w:t>
      </w:r>
      <w:r w:rsidR="00FC7D0E" w:rsidRPr="004C6AB1">
        <w:t>for a temporary restraining order and</w:t>
      </w:r>
      <w:r w:rsidR="00777742" w:rsidRPr="004C6AB1">
        <w:t xml:space="preserve"> his release to home confi</w:t>
      </w:r>
      <w:r w:rsidR="00FC7D0E" w:rsidRPr="004C6AB1">
        <w:t>n</w:t>
      </w:r>
      <w:r w:rsidR="00777742" w:rsidRPr="004C6AB1">
        <w:t>ement</w:t>
      </w:r>
      <w:r w:rsidR="00FC7D0E" w:rsidRPr="004C6AB1">
        <w:t>.</w:t>
      </w:r>
      <w:r w:rsidR="00777742" w:rsidRPr="004C6AB1">
        <w:t xml:space="preserve"> </w:t>
      </w:r>
      <w:r w:rsidR="00FC7D0E" w:rsidRPr="004C6AB1">
        <w:t>The court</w:t>
      </w:r>
      <w:r w:rsidR="003D49DB" w:rsidRPr="004C6AB1">
        <w:t>,</w:t>
      </w:r>
      <w:r w:rsidR="00FC7D0E" w:rsidRPr="004C6AB1">
        <w:t xml:space="preserve"> in arriving at its decision</w:t>
      </w:r>
      <w:r w:rsidR="003D49DB" w:rsidRPr="004C6AB1">
        <w:t>,</w:t>
      </w:r>
      <w:r w:rsidR="00FC7D0E" w:rsidRPr="004C6AB1">
        <w:t xml:space="preserve"> reasoned that the respondent’s action was an unjustifiable violation of the Petitioner’s First Amendment rights to publish a book critical of the President and to discuss the book on social media.  The court consequently granted the Petitioner’s injunction and ruled that</w:t>
      </w:r>
      <w:r w:rsidR="00B2631A" w:rsidRPr="004C6AB1">
        <w:t xml:space="preserve"> the Petitioner be released from custody and be provided with COVID-19 test. The court further directed parties to conduct negotiations and file a proposed order to the court not later than July 31, 2020.</w:t>
      </w:r>
      <w:r w:rsidR="003D49DB" w:rsidRPr="004C6AB1">
        <w:t xml:space="preserve"> </w:t>
      </w:r>
      <w:r w:rsidR="008B7A7F" w:rsidRPr="004C6AB1">
        <w:t xml:space="preserve">Responding to the order of the court, the United States Department of Justice </w:t>
      </w:r>
      <w:r w:rsidR="009F57BE" w:rsidRPr="004C6AB1">
        <w:t xml:space="preserve">in a letter dated July 30, 2020 wrote the court assuring the court of the government’s compliance with the order of the court and in particular that it would neither further litigate nor appeal the ruling of the court and that specific provision on the Applicant’s contact with </w:t>
      </w:r>
      <w:r w:rsidR="00F93BE5" w:rsidRPr="004C6AB1">
        <w:t xml:space="preserve">the </w:t>
      </w:r>
      <w:r w:rsidR="009F57BE" w:rsidRPr="004C6AB1">
        <w:t xml:space="preserve">media would no longer be necessary.  </w:t>
      </w:r>
    </w:p>
    <w:p w:rsidR="00BE5B4F" w:rsidRPr="004C6AB1" w:rsidRDefault="00BE5B4F" w:rsidP="004C6AB1">
      <w:pPr>
        <w:jc w:val="both"/>
        <w:rPr>
          <w:rFonts w:ascii="Times New Roman" w:hAnsi="Times New Roman" w:cs="Times New Roman"/>
          <w:sz w:val="24"/>
          <w:szCs w:val="24"/>
        </w:rPr>
      </w:pPr>
    </w:p>
    <w:p w:rsidR="00BE5B4F" w:rsidRPr="004C6AB1" w:rsidRDefault="00BE5B4F" w:rsidP="004C6AB1">
      <w:pPr>
        <w:jc w:val="both"/>
        <w:rPr>
          <w:rFonts w:ascii="Times New Roman" w:hAnsi="Times New Roman" w:cs="Times New Roman"/>
          <w:b/>
          <w:sz w:val="24"/>
          <w:szCs w:val="24"/>
        </w:rPr>
      </w:pPr>
      <w:r w:rsidRPr="004C6AB1">
        <w:rPr>
          <w:rFonts w:ascii="Times New Roman" w:hAnsi="Times New Roman" w:cs="Times New Roman"/>
          <w:b/>
          <w:sz w:val="24"/>
          <w:szCs w:val="24"/>
        </w:rPr>
        <w:t>Facts</w:t>
      </w:r>
    </w:p>
    <w:p w:rsidR="0054661C" w:rsidRPr="004C6AB1" w:rsidRDefault="00EA0E19" w:rsidP="004C6AB1">
      <w:pPr>
        <w:autoSpaceDE w:val="0"/>
        <w:autoSpaceDN w:val="0"/>
        <w:adjustRightInd w:val="0"/>
        <w:spacing w:after="0" w:line="240" w:lineRule="auto"/>
        <w:jc w:val="both"/>
        <w:rPr>
          <w:rFonts w:ascii="Times New Roman" w:hAnsi="Times New Roman" w:cs="Times New Roman"/>
          <w:sz w:val="24"/>
          <w:szCs w:val="24"/>
        </w:rPr>
      </w:pPr>
      <w:r w:rsidRPr="004C6AB1">
        <w:rPr>
          <w:rFonts w:ascii="Times New Roman" w:hAnsi="Times New Roman" w:cs="Times New Roman"/>
          <w:sz w:val="24"/>
          <w:szCs w:val="24"/>
        </w:rPr>
        <w:t>The Petitioner is Michael D. Cohen</w:t>
      </w:r>
      <w:r w:rsidR="00455261" w:rsidRPr="004C6AB1">
        <w:rPr>
          <w:rFonts w:ascii="Times New Roman" w:hAnsi="Times New Roman" w:cs="Times New Roman"/>
          <w:sz w:val="24"/>
          <w:szCs w:val="24"/>
        </w:rPr>
        <w:t xml:space="preserve"> who is a </w:t>
      </w:r>
      <w:r w:rsidRPr="004C6AB1">
        <w:rPr>
          <w:rFonts w:ascii="Times New Roman" w:hAnsi="Times New Roman" w:cs="Times New Roman"/>
          <w:sz w:val="24"/>
          <w:szCs w:val="24"/>
        </w:rPr>
        <w:t xml:space="preserve">former personal lawyer to </w:t>
      </w:r>
      <w:r w:rsidR="00455261" w:rsidRPr="004C6AB1">
        <w:rPr>
          <w:rFonts w:ascii="Times New Roman" w:hAnsi="Times New Roman" w:cs="Times New Roman"/>
          <w:sz w:val="24"/>
          <w:szCs w:val="24"/>
        </w:rPr>
        <w:t>Donald J. Trump, the President of the Un</w:t>
      </w:r>
      <w:r w:rsidRPr="004C6AB1">
        <w:rPr>
          <w:rFonts w:ascii="Times New Roman" w:hAnsi="Times New Roman" w:cs="Times New Roman"/>
          <w:sz w:val="24"/>
          <w:szCs w:val="24"/>
        </w:rPr>
        <w:t>ited States. The Respondents who were sued</w:t>
      </w:r>
      <w:r w:rsidRPr="004C6AB1">
        <w:rPr>
          <w:rFonts w:ascii="Times New Roman" w:eastAsia="Times New Roman" w:hAnsi="Times New Roman" w:cs="Times New Roman"/>
          <w:sz w:val="24"/>
          <w:szCs w:val="24"/>
        </w:rPr>
        <w:t xml:space="preserve"> in their official capacities are William Barr who is the Attorney General of the United States, Michael </w:t>
      </w:r>
      <w:proofErr w:type="spellStart"/>
      <w:r w:rsidRPr="004C6AB1">
        <w:rPr>
          <w:rFonts w:ascii="Times New Roman" w:eastAsia="Times New Roman" w:hAnsi="Times New Roman" w:cs="Times New Roman"/>
          <w:sz w:val="24"/>
          <w:szCs w:val="24"/>
        </w:rPr>
        <w:t>Carvajal</w:t>
      </w:r>
      <w:proofErr w:type="spellEnd"/>
      <w:r w:rsidRPr="004C6AB1">
        <w:rPr>
          <w:rFonts w:ascii="Times New Roman" w:eastAsia="Times New Roman" w:hAnsi="Times New Roman" w:cs="Times New Roman"/>
          <w:sz w:val="24"/>
          <w:szCs w:val="24"/>
        </w:rPr>
        <w:t xml:space="preserve">, who is the Director of Bureau of Prisons and James </w:t>
      </w:r>
      <w:proofErr w:type="spellStart"/>
      <w:r w:rsidRPr="004C6AB1">
        <w:rPr>
          <w:rFonts w:ascii="Times New Roman" w:eastAsia="Times New Roman" w:hAnsi="Times New Roman" w:cs="Times New Roman"/>
          <w:sz w:val="24"/>
          <w:szCs w:val="24"/>
        </w:rPr>
        <w:t>Petrucci</w:t>
      </w:r>
      <w:proofErr w:type="spellEnd"/>
      <w:r w:rsidRPr="004C6AB1">
        <w:rPr>
          <w:rFonts w:ascii="Times New Roman" w:eastAsia="Times New Roman" w:hAnsi="Times New Roman" w:cs="Times New Roman"/>
          <w:sz w:val="24"/>
          <w:szCs w:val="24"/>
        </w:rPr>
        <w:t xml:space="preserve"> who is a Warden of the Federal Correctional Institution, Otisville.</w:t>
      </w:r>
      <w:r w:rsidR="00455261" w:rsidRPr="004C6AB1">
        <w:rPr>
          <w:rFonts w:ascii="Times New Roman" w:hAnsi="Times New Roman" w:cs="Times New Roman"/>
          <w:sz w:val="24"/>
          <w:szCs w:val="24"/>
        </w:rPr>
        <w:t xml:space="preserve"> </w:t>
      </w:r>
      <w:r w:rsidR="002F5576" w:rsidRPr="004C6AB1">
        <w:rPr>
          <w:rFonts w:ascii="Times New Roman" w:hAnsi="Times New Roman" w:cs="Times New Roman"/>
          <w:sz w:val="24"/>
          <w:szCs w:val="24"/>
        </w:rPr>
        <w:t xml:space="preserve">For over ten years, the Petitioner was President Donald Trump personal lawyer </w:t>
      </w:r>
      <w:r w:rsidR="00760FFF" w:rsidRPr="004C6AB1">
        <w:rPr>
          <w:rFonts w:ascii="Times New Roman" w:hAnsi="Times New Roman" w:cs="Times New Roman"/>
          <w:sz w:val="24"/>
          <w:szCs w:val="24"/>
        </w:rPr>
        <w:t xml:space="preserve">and adviser </w:t>
      </w:r>
      <w:r w:rsidR="002F5576" w:rsidRPr="004C6AB1">
        <w:rPr>
          <w:rFonts w:ascii="Times New Roman" w:hAnsi="Times New Roman" w:cs="Times New Roman"/>
          <w:sz w:val="24"/>
          <w:szCs w:val="24"/>
        </w:rPr>
        <w:t xml:space="preserve">until in 2018 when he was convicted </w:t>
      </w:r>
      <w:r w:rsidR="00760FFF" w:rsidRPr="004C6AB1">
        <w:rPr>
          <w:rFonts w:ascii="Times New Roman" w:hAnsi="Times New Roman" w:cs="Times New Roman"/>
          <w:sz w:val="24"/>
          <w:szCs w:val="24"/>
        </w:rPr>
        <w:t xml:space="preserve">for offences </w:t>
      </w:r>
      <w:r w:rsidR="00307E0D" w:rsidRPr="004C6AB1">
        <w:rPr>
          <w:rFonts w:ascii="Times New Roman" w:hAnsi="Times New Roman" w:cs="Times New Roman"/>
          <w:sz w:val="24"/>
          <w:szCs w:val="24"/>
        </w:rPr>
        <w:t xml:space="preserve">that included tax evasion, lying to congress and facilitating illegal payments to silence two women who claimed they have had affairs with President Donald Trump </w:t>
      </w:r>
      <w:r w:rsidR="00760FFF" w:rsidRPr="004C6AB1">
        <w:rPr>
          <w:rFonts w:ascii="Times New Roman" w:hAnsi="Times New Roman" w:cs="Times New Roman"/>
          <w:sz w:val="24"/>
          <w:szCs w:val="24"/>
        </w:rPr>
        <w:t xml:space="preserve">and </w:t>
      </w:r>
      <w:r w:rsidR="00307E0D" w:rsidRPr="004C6AB1">
        <w:rPr>
          <w:rFonts w:ascii="Times New Roman" w:hAnsi="Times New Roman" w:cs="Times New Roman"/>
          <w:sz w:val="24"/>
          <w:szCs w:val="24"/>
        </w:rPr>
        <w:t xml:space="preserve">was </w:t>
      </w:r>
      <w:r w:rsidR="00760FFF" w:rsidRPr="004C6AB1">
        <w:rPr>
          <w:rFonts w:ascii="Times New Roman" w:hAnsi="Times New Roman" w:cs="Times New Roman"/>
          <w:sz w:val="24"/>
          <w:szCs w:val="24"/>
        </w:rPr>
        <w:t xml:space="preserve">sentenced to </w:t>
      </w:r>
      <w:r w:rsidR="00307E0D" w:rsidRPr="004C6AB1">
        <w:rPr>
          <w:rFonts w:ascii="Times New Roman" w:hAnsi="Times New Roman" w:cs="Times New Roman"/>
          <w:sz w:val="24"/>
          <w:szCs w:val="24"/>
        </w:rPr>
        <w:t xml:space="preserve">three </w:t>
      </w:r>
      <w:r w:rsidR="00760FFF" w:rsidRPr="004C6AB1">
        <w:rPr>
          <w:rFonts w:ascii="Times New Roman" w:hAnsi="Times New Roman" w:cs="Times New Roman"/>
          <w:sz w:val="24"/>
          <w:szCs w:val="24"/>
        </w:rPr>
        <w:t xml:space="preserve">years jail term. </w:t>
      </w:r>
      <w:r w:rsidR="005B522F" w:rsidRPr="004C6AB1">
        <w:rPr>
          <w:rFonts w:ascii="Times New Roman" w:hAnsi="Times New Roman" w:cs="Times New Roman"/>
          <w:sz w:val="24"/>
          <w:szCs w:val="24"/>
        </w:rPr>
        <w:t xml:space="preserve"> </w:t>
      </w:r>
    </w:p>
    <w:p w:rsidR="0054661C" w:rsidRPr="004C6AB1" w:rsidRDefault="0054661C" w:rsidP="004C6AB1">
      <w:pPr>
        <w:autoSpaceDE w:val="0"/>
        <w:autoSpaceDN w:val="0"/>
        <w:adjustRightInd w:val="0"/>
        <w:spacing w:after="0" w:line="240" w:lineRule="auto"/>
        <w:jc w:val="both"/>
        <w:rPr>
          <w:rFonts w:ascii="Times New Roman" w:hAnsi="Times New Roman" w:cs="Times New Roman"/>
          <w:sz w:val="24"/>
          <w:szCs w:val="24"/>
        </w:rPr>
      </w:pPr>
    </w:p>
    <w:p w:rsidR="00307E0D" w:rsidRPr="004C6AB1" w:rsidRDefault="005B522F" w:rsidP="004C6AB1">
      <w:pPr>
        <w:autoSpaceDE w:val="0"/>
        <w:autoSpaceDN w:val="0"/>
        <w:adjustRightInd w:val="0"/>
        <w:spacing w:after="0" w:line="240" w:lineRule="auto"/>
        <w:jc w:val="both"/>
        <w:rPr>
          <w:rFonts w:ascii="Times New Roman" w:hAnsi="Times New Roman" w:cs="Times New Roman"/>
          <w:sz w:val="24"/>
          <w:szCs w:val="24"/>
        </w:rPr>
      </w:pPr>
      <w:r w:rsidRPr="004C6AB1">
        <w:rPr>
          <w:rFonts w:ascii="Times New Roman" w:hAnsi="Times New Roman" w:cs="Times New Roman"/>
          <w:sz w:val="24"/>
          <w:szCs w:val="24"/>
        </w:rPr>
        <w:t>While in the prison custody at FC</w:t>
      </w:r>
      <w:r w:rsidR="004C6AB1" w:rsidRPr="004C6AB1">
        <w:rPr>
          <w:rFonts w:ascii="Times New Roman" w:hAnsi="Times New Roman" w:cs="Times New Roman"/>
          <w:sz w:val="24"/>
          <w:szCs w:val="24"/>
        </w:rPr>
        <w:t>I</w:t>
      </w:r>
      <w:r w:rsidRPr="004C6AB1">
        <w:rPr>
          <w:rFonts w:ascii="Times New Roman" w:hAnsi="Times New Roman" w:cs="Times New Roman"/>
          <w:sz w:val="24"/>
          <w:szCs w:val="24"/>
        </w:rPr>
        <w:t xml:space="preserve"> Otisville, the Petitioner commenced the writing of </w:t>
      </w:r>
      <w:r w:rsidRPr="004C6AB1">
        <w:rPr>
          <w:rFonts w:ascii="Times New Roman" w:hAnsi="Times New Roman" w:cs="Times New Roman"/>
          <w:color w:val="000000"/>
          <w:sz w:val="24"/>
          <w:szCs w:val="24"/>
        </w:rPr>
        <w:t xml:space="preserve">manuscript of a book </w:t>
      </w:r>
      <w:r w:rsidR="00D363F1" w:rsidRPr="004C6AB1">
        <w:rPr>
          <w:rFonts w:ascii="Times New Roman" w:hAnsi="Times New Roman" w:cs="Times New Roman"/>
          <w:color w:val="000000"/>
          <w:sz w:val="24"/>
          <w:szCs w:val="24"/>
        </w:rPr>
        <w:t xml:space="preserve">that describes the Petitioner’s firsthand experiences and relationship with President Donald Trump and his family with the working title </w:t>
      </w:r>
      <w:proofErr w:type="spellStart"/>
      <w:r w:rsidR="0029136B" w:rsidRPr="004C6AB1">
        <w:rPr>
          <w:rFonts w:ascii="Times New Roman" w:hAnsi="Times New Roman" w:cs="Times New Roman"/>
          <w:i/>
          <w:color w:val="000000"/>
          <w:sz w:val="24"/>
          <w:szCs w:val="24"/>
        </w:rPr>
        <w:t>Disloyal:</w:t>
      </w:r>
      <w:r w:rsidR="00D363F1" w:rsidRPr="004C6AB1">
        <w:rPr>
          <w:rFonts w:ascii="Times New Roman" w:hAnsi="Times New Roman" w:cs="Times New Roman"/>
          <w:i/>
          <w:color w:val="000000"/>
          <w:sz w:val="24"/>
          <w:szCs w:val="24"/>
        </w:rPr>
        <w:t>The</w:t>
      </w:r>
      <w:proofErr w:type="spellEnd"/>
      <w:r w:rsidR="00D363F1" w:rsidRPr="004C6AB1">
        <w:rPr>
          <w:rFonts w:ascii="Times New Roman" w:hAnsi="Times New Roman" w:cs="Times New Roman"/>
          <w:i/>
          <w:color w:val="000000"/>
          <w:sz w:val="24"/>
          <w:szCs w:val="24"/>
        </w:rPr>
        <w:t xml:space="preserve"> True Story of Michael Cohen, Former Personal Attorney to President Donald J. Trump </w:t>
      </w:r>
      <w:r w:rsidR="00D363F1" w:rsidRPr="004C6AB1">
        <w:rPr>
          <w:rFonts w:ascii="Times New Roman" w:hAnsi="Times New Roman" w:cs="Times New Roman"/>
          <w:color w:val="000000"/>
          <w:sz w:val="24"/>
          <w:szCs w:val="24"/>
        </w:rPr>
        <w:t xml:space="preserve">Working on a book </w:t>
      </w:r>
      <w:r w:rsidRPr="004C6AB1">
        <w:rPr>
          <w:rFonts w:ascii="Times New Roman" w:hAnsi="Times New Roman" w:cs="Times New Roman"/>
          <w:color w:val="000000"/>
          <w:sz w:val="24"/>
          <w:szCs w:val="24"/>
        </w:rPr>
        <w:t xml:space="preserve">in itself is consistent with BOP’s, policies as the BOP has always encouraged </w:t>
      </w:r>
      <w:r w:rsidRPr="004C6AB1">
        <w:rPr>
          <w:rFonts w:ascii="Times New Roman" w:hAnsi="Times New Roman" w:cs="Times New Roman"/>
          <w:i/>
          <w:color w:val="000000"/>
          <w:sz w:val="24"/>
          <w:szCs w:val="24"/>
        </w:rPr>
        <w:t>“inmates to use their leisure time for creative writing and to permit the direct mailing of all man</w:t>
      </w:r>
      <w:r w:rsidR="00D363F1" w:rsidRPr="004C6AB1">
        <w:rPr>
          <w:rFonts w:ascii="Times New Roman" w:hAnsi="Times New Roman" w:cs="Times New Roman"/>
          <w:i/>
          <w:color w:val="000000"/>
          <w:sz w:val="24"/>
          <w:szCs w:val="24"/>
        </w:rPr>
        <w:t xml:space="preserve">uscripts as ordinary </w:t>
      </w:r>
      <w:r w:rsidRPr="004C6AB1">
        <w:rPr>
          <w:rFonts w:ascii="Times New Roman" w:hAnsi="Times New Roman" w:cs="Times New Roman"/>
          <w:i/>
          <w:color w:val="000000"/>
          <w:sz w:val="24"/>
          <w:szCs w:val="24"/>
        </w:rPr>
        <w:t xml:space="preserve">correspondence.” </w:t>
      </w:r>
      <w:r w:rsidR="00D363F1" w:rsidRPr="004469A9">
        <w:rPr>
          <w:rFonts w:ascii="Times New Roman" w:hAnsi="Times New Roman" w:cs="Times New Roman"/>
          <w:color w:val="000000"/>
          <w:sz w:val="24"/>
          <w:szCs w:val="24"/>
        </w:rPr>
        <w:lastRenderedPageBreak/>
        <w:t>[Pg.</w:t>
      </w:r>
      <w:r w:rsidR="004469A9">
        <w:rPr>
          <w:rFonts w:ascii="Times New Roman" w:hAnsi="Times New Roman" w:cs="Times New Roman"/>
          <w:color w:val="000000"/>
          <w:sz w:val="24"/>
          <w:szCs w:val="24"/>
        </w:rPr>
        <w:t>3 of the Memorandum of Law dated 07/20/2020</w:t>
      </w:r>
      <w:r w:rsidR="00D363F1" w:rsidRPr="004469A9">
        <w:rPr>
          <w:rFonts w:ascii="Times New Roman" w:hAnsi="Times New Roman" w:cs="Times New Roman"/>
          <w:color w:val="000000"/>
          <w:sz w:val="24"/>
          <w:szCs w:val="24"/>
        </w:rPr>
        <w:t>]</w:t>
      </w:r>
      <w:r w:rsidR="004469A9">
        <w:rPr>
          <w:rFonts w:ascii="Times New Roman" w:hAnsi="Times New Roman" w:cs="Times New Roman"/>
          <w:color w:val="000000"/>
          <w:sz w:val="24"/>
          <w:szCs w:val="24"/>
        </w:rPr>
        <w:t>.</w:t>
      </w:r>
      <w:r w:rsidR="00D363F1" w:rsidRPr="004C6AB1">
        <w:rPr>
          <w:rFonts w:ascii="Times New Roman" w:hAnsi="Times New Roman" w:cs="Times New Roman"/>
          <w:i/>
          <w:color w:val="000000"/>
          <w:sz w:val="24"/>
          <w:szCs w:val="24"/>
        </w:rPr>
        <w:t xml:space="preserve"> </w:t>
      </w:r>
      <w:r w:rsidR="00D363F1" w:rsidRPr="004C6AB1">
        <w:rPr>
          <w:rFonts w:ascii="Times New Roman" w:hAnsi="Times New Roman" w:cs="Times New Roman"/>
          <w:color w:val="000000"/>
          <w:sz w:val="24"/>
          <w:szCs w:val="24"/>
        </w:rPr>
        <w:t xml:space="preserve">The petitioner noted that the </w:t>
      </w:r>
      <w:r w:rsidR="00D363F1" w:rsidRPr="004C6AB1">
        <w:rPr>
          <w:rFonts w:ascii="Times New Roman" w:hAnsi="Times New Roman" w:cs="Times New Roman"/>
          <w:i/>
          <w:color w:val="000000"/>
          <w:sz w:val="24"/>
          <w:szCs w:val="24"/>
        </w:rPr>
        <w:t>“BOP policy provides that “[a]n inmate may prepare a manuscript . . . for publication while in custody without staff approval,” and “may mail a manuscript as general correspondence.</w:t>
      </w:r>
      <w:r w:rsidR="00D363F1" w:rsidRPr="004C6AB1">
        <w:rPr>
          <w:rFonts w:ascii="Times New Roman" w:hAnsi="Times New Roman" w:cs="Times New Roman"/>
          <w:color w:val="000000"/>
          <w:sz w:val="24"/>
          <w:szCs w:val="24"/>
        </w:rPr>
        <w:t>”</w:t>
      </w:r>
      <w:r w:rsidR="0029136B" w:rsidRPr="004C6AB1">
        <w:rPr>
          <w:rFonts w:ascii="Times New Roman" w:hAnsi="Times New Roman" w:cs="Times New Roman"/>
          <w:color w:val="000000"/>
          <w:sz w:val="24"/>
          <w:szCs w:val="24"/>
        </w:rPr>
        <w:t xml:space="preserve"> </w:t>
      </w:r>
      <w:r w:rsidR="004469A9" w:rsidRPr="004469A9">
        <w:rPr>
          <w:rFonts w:ascii="Times New Roman" w:hAnsi="Times New Roman" w:cs="Times New Roman"/>
          <w:color w:val="000000"/>
          <w:sz w:val="24"/>
          <w:szCs w:val="24"/>
        </w:rPr>
        <w:t>[Pg.</w:t>
      </w:r>
      <w:r w:rsidR="004469A9">
        <w:rPr>
          <w:rFonts w:ascii="Times New Roman" w:hAnsi="Times New Roman" w:cs="Times New Roman"/>
          <w:color w:val="000000"/>
          <w:sz w:val="24"/>
          <w:szCs w:val="24"/>
        </w:rPr>
        <w:t>3 of the Memorandum of Law dated 07/20/2020</w:t>
      </w:r>
      <w:r w:rsidR="004469A9" w:rsidRPr="004469A9">
        <w:rPr>
          <w:rFonts w:ascii="Times New Roman" w:hAnsi="Times New Roman" w:cs="Times New Roman"/>
          <w:color w:val="000000"/>
          <w:sz w:val="24"/>
          <w:szCs w:val="24"/>
        </w:rPr>
        <w:t>]</w:t>
      </w:r>
      <w:r w:rsidR="004469A9">
        <w:rPr>
          <w:rFonts w:ascii="Times New Roman" w:hAnsi="Times New Roman" w:cs="Times New Roman"/>
          <w:color w:val="000000"/>
          <w:sz w:val="24"/>
          <w:szCs w:val="24"/>
        </w:rPr>
        <w:t>.</w:t>
      </w:r>
      <w:r w:rsidR="00351AFF" w:rsidRPr="004C6AB1">
        <w:rPr>
          <w:rFonts w:ascii="Times New Roman" w:hAnsi="Times New Roman" w:cs="Times New Roman"/>
          <w:color w:val="000000"/>
          <w:sz w:val="24"/>
          <w:szCs w:val="24"/>
        </w:rPr>
        <w:t xml:space="preserve"> The manuscript according to the petitioner “</w:t>
      </w:r>
      <w:r w:rsidR="0054661C" w:rsidRPr="004C6AB1">
        <w:rPr>
          <w:rFonts w:ascii="Times New Roman" w:hAnsi="Times New Roman" w:cs="Times New Roman"/>
          <w:i/>
          <w:color w:val="000000"/>
          <w:sz w:val="24"/>
          <w:szCs w:val="24"/>
        </w:rPr>
        <w:t xml:space="preserve">provides </w:t>
      </w:r>
      <w:r w:rsidR="00351AFF" w:rsidRPr="004C6AB1">
        <w:rPr>
          <w:rFonts w:ascii="Times New Roman" w:hAnsi="Times New Roman" w:cs="Times New Roman"/>
          <w:i/>
          <w:color w:val="000000"/>
          <w:sz w:val="24"/>
          <w:szCs w:val="24"/>
        </w:rPr>
        <w:t>graphic and unflattering detail about the President’s behavior behind closed doors”</w:t>
      </w:r>
      <w:r w:rsidR="00351AFF" w:rsidRPr="004C6AB1">
        <w:rPr>
          <w:rFonts w:ascii="Times New Roman" w:hAnsi="Times New Roman" w:cs="Times New Roman"/>
          <w:color w:val="000000"/>
          <w:sz w:val="24"/>
          <w:szCs w:val="24"/>
        </w:rPr>
        <w:t xml:space="preserve"> </w:t>
      </w:r>
      <w:r w:rsidR="004469A9" w:rsidRPr="004469A9">
        <w:rPr>
          <w:rFonts w:ascii="Times New Roman" w:hAnsi="Times New Roman" w:cs="Times New Roman"/>
          <w:color w:val="000000"/>
          <w:sz w:val="24"/>
          <w:szCs w:val="24"/>
        </w:rPr>
        <w:t>[Pg.</w:t>
      </w:r>
      <w:r w:rsidR="004469A9">
        <w:rPr>
          <w:rFonts w:ascii="Times New Roman" w:hAnsi="Times New Roman" w:cs="Times New Roman"/>
          <w:color w:val="000000"/>
          <w:sz w:val="24"/>
          <w:szCs w:val="24"/>
        </w:rPr>
        <w:t>2 of the Memorandum of Law dated 07/20/2020</w:t>
      </w:r>
      <w:r w:rsidR="004469A9" w:rsidRPr="004469A9">
        <w:rPr>
          <w:rFonts w:ascii="Times New Roman" w:hAnsi="Times New Roman" w:cs="Times New Roman"/>
          <w:color w:val="000000"/>
          <w:sz w:val="24"/>
          <w:szCs w:val="24"/>
        </w:rPr>
        <w:t>]</w:t>
      </w:r>
      <w:r w:rsidR="004469A9">
        <w:rPr>
          <w:rFonts w:ascii="Times New Roman" w:hAnsi="Times New Roman" w:cs="Times New Roman"/>
          <w:color w:val="000000"/>
          <w:sz w:val="24"/>
          <w:szCs w:val="24"/>
        </w:rPr>
        <w:t xml:space="preserve">. </w:t>
      </w:r>
      <w:r w:rsidR="00351AFF" w:rsidRPr="004C6AB1">
        <w:rPr>
          <w:rFonts w:ascii="Times New Roman" w:hAnsi="Times New Roman" w:cs="Times New Roman"/>
          <w:color w:val="000000"/>
          <w:sz w:val="24"/>
          <w:szCs w:val="24"/>
        </w:rPr>
        <w:t>He further stated that the “</w:t>
      </w:r>
      <w:r w:rsidR="00351AFF" w:rsidRPr="004C6AB1">
        <w:rPr>
          <w:rFonts w:ascii="Times New Roman" w:hAnsi="Times New Roman" w:cs="Times New Roman"/>
          <w:i/>
          <w:color w:val="000000"/>
          <w:sz w:val="24"/>
          <w:szCs w:val="24"/>
        </w:rPr>
        <w:t>book will be truthful but unfavorable to President Trump and his administration”</w:t>
      </w:r>
      <w:r w:rsidR="00351AFF" w:rsidRPr="004C6AB1">
        <w:rPr>
          <w:rFonts w:ascii="Times New Roman" w:hAnsi="Times New Roman" w:cs="Times New Roman"/>
          <w:color w:val="000000"/>
          <w:sz w:val="24"/>
          <w:szCs w:val="24"/>
        </w:rPr>
        <w:t xml:space="preserve"> </w:t>
      </w:r>
      <w:r w:rsidR="00F82F02" w:rsidRPr="004469A9">
        <w:rPr>
          <w:rFonts w:ascii="Times New Roman" w:hAnsi="Times New Roman" w:cs="Times New Roman"/>
          <w:color w:val="000000"/>
          <w:sz w:val="24"/>
          <w:szCs w:val="24"/>
        </w:rPr>
        <w:t>[Pg.</w:t>
      </w:r>
      <w:r w:rsidR="00F82F02">
        <w:rPr>
          <w:rFonts w:ascii="Times New Roman" w:hAnsi="Times New Roman" w:cs="Times New Roman"/>
          <w:color w:val="000000"/>
          <w:sz w:val="24"/>
          <w:szCs w:val="24"/>
        </w:rPr>
        <w:t>3 of the Memorandum of Law dated 07/20/2020</w:t>
      </w:r>
      <w:r w:rsidR="00F82F02" w:rsidRPr="004469A9">
        <w:rPr>
          <w:rFonts w:ascii="Times New Roman" w:hAnsi="Times New Roman" w:cs="Times New Roman"/>
          <w:color w:val="000000"/>
          <w:sz w:val="24"/>
          <w:szCs w:val="24"/>
        </w:rPr>
        <w:t>]</w:t>
      </w:r>
      <w:r w:rsidR="00351AFF" w:rsidRPr="004C6AB1">
        <w:rPr>
          <w:rFonts w:ascii="Times New Roman" w:hAnsi="Times New Roman" w:cs="Times New Roman"/>
          <w:color w:val="000000"/>
          <w:sz w:val="24"/>
          <w:szCs w:val="24"/>
        </w:rPr>
        <w:t xml:space="preserve">. </w:t>
      </w:r>
      <w:r w:rsidR="00D363F1" w:rsidRPr="004C6AB1">
        <w:rPr>
          <w:rFonts w:ascii="Times New Roman" w:hAnsi="Times New Roman" w:cs="Times New Roman"/>
          <w:sz w:val="24"/>
          <w:szCs w:val="24"/>
        </w:rPr>
        <w:t>While in prison</w:t>
      </w:r>
      <w:r w:rsidR="00307E0D" w:rsidRPr="004C6AB1">
        <w:rPr>
          <w:rFonts w:ascii="Times New Roman" w:hAnsi="Times New Roman" w:cs="Times New Roman"/>
          <w:sz w:val="24"/>
          <w:szCs w:val="24"/>
        </w:rPr>
        <w:t>, the Bureau of Prisons in April, 2020 confirmed that the Petitioner was at serious risk of sickness and death</w:t>
      </w:r>
      <w:r w:rsidR="007F4243" w:rsidRPr="004C6AB1">
        <w:rPr>
          <w:rFonts w:ascii="Times New Roman" w:hAnsi="Times New Roman" w:cs="Times New Roman"/>
          <w:sz w:val="24"/>
          <w:szCs w:val="24"/>
        </w:rPr>
        <w:t xml:space="preserve"> should he remain in custody</w:t>
      </w:r>
      <w:r w:rsidR="00307E0D" w:rsidRPr="004C6AB1">
        <w:rPr>
          <w:rFonts w:ascii="Times New Roman" w:hAnsi="Times New Roman" w:cs="Times New Roman"/>
          <w:sz w:val="24"/>
          <w:szCs w:val="24"/>
        </w:rPr>
        <w:t xml:space="preserve"> </w:t>
      </w:r>
      <w:r w:rsidR="007F4243" w:rsidRPr="004C6AB1">
        <w:rPr>
          <w:rFonts w:ascii="Times New Roman" w:hAnsi="Times New Roman" w:cs="Times New Roman"/>
          <w:sz w:val="24"/>
          <w:szCs w:val="24"/>
        </w:rPr>
        <w:t>given that about one-half of the prisoners had become infected with COVID-19 and his situation could be worse given the Petitioner</w:t>
      </w:r>
      <w:r w:rsidR="0054661C" w:rsidRPr="004C6AB1">
        <w:rPr>
          <w:rFonts w:ascii="Times New Roman" w:hAnsi="Times New Roman" w:cs="Times New Roman"/>
          <w:sz w:val="24"/>
          <w:szCs w:val="24"/>
        </w:rPr>
        <w:t xml:space="preserve">’s </w:t>
      </w:r>
      <w:r w:rsidR="007F4243" w:rsidRPr="004C6AB1">
        <w:rPr>
          <w:rFonts w:ascii="Times New Roman" w:hAnsi="Times New Roman" w:cs="Times New Roman"/>
          <w:sz w:val="24"/>
          <w:szCs w:val="24"/>
        </w:rPr>
        <w:t xml:space="preserve">underlying health conditions </w:t>
      </w:r>
      <w:r w:rsidR="007D63E6" w:rsidRPr="004C6AB1">
        <w:rPr>
          <w:rFonts w:ascii="Times New Roman" w:hAnsi="Times New Roman" w:cs="Times New Roman"/>
          <w:sz w:val="24"/>
          <w:szCs w:val="24"/>
        </w:rPr>
        <w:t xml:space="preserve">of severe hypertension and history of respiratory complications. </w:t>
      </w:r>
    </w:p>
    <w:p w:rsidR="00574C2D" w:rsidRPr="004C6AB1" w:rsidRDefault="00574C2D" w:rsidP="004C6AB1">
      <w:pPr>
        <w:autoSpaceDE w:val="0"/>
        <w:autoSpaceDN w:val="0"/>
        <w:adjustRightInd w:val="0"/>
        <w:spacing w:after="0" w:line="240" w:lineRule="auto"/>
        <w:jc w:val="both"/>
        <w:rPr>
          <w:rFonts w:ascii="Times New Roman" w:hAnsi="Times New Roman" w:cs="Times New Roman"/>
          <w:sz w:val="24"/>
          <w:szCs w:val="24"/>
        </w:rPr>
      </w:pPr>
    </w:p>
    <w:p w:rsidR="008F1833" w:rsidRPr="004C6AB1" w:rsidRDefault="00574C2D" w:rsidP="004C6AB1">
      <w:pPr>
        <w:autoSpaceDE w:val="0"/>
        <w:autoSpaceDN w:val="0"/>
        <w:adjustRightInd w:val="0"/>
        <w:spacing w:after="0" w:line="240" w:lineRule="auto"/>
        <w:jc w:val="both"/>
        <w:rPr>
          <w:rFonts w:ascii="Times New Roman" w:hAnsi="Times New Roman" w:cs="Times New Roman"/>
          <w:color w:val="000000"/>
          <w:sz w:val="24"/>
          <w:szCs w:val="24"/>
        </w:rPr>
      </w:pPr>
      <w:r w:rsidRPr="004C6AB1">
        <w:rPr>
          <w:rFonts w:ascii="Times New Roman" w:hAnsi="Times New Roman" w:cs="Times New Roman"/>
          <w:color w:val="000000"/>
          <w:sz w:val="24"/>
          <w:szCs w:val="24"/>
        </w:rPr>
        <w:t>The Respondents also determined that, once the Petitioner’s term of furlough ended he would be transitioned into home confinement for the remainder of his term of imprisonment. While the petitioner was on furlough, he made public his intention to publish his book about President Donald Trump soon. On June 26, 2020, he tweeted #</w:t>
      </w:r>
      <w:proofErr w:type="spellStart"/>
      <w:r w:rsidRPr="004C6AB1">
        <w:rPr>
          <w:rFonts w:ascii="Times New Roman" w:hAnsi="Times New Roman" w:cs="Times New Roman"/>
          <w:color w:val="000000"/>
          <w:sz w:val="24"/>
          <w:szCs w:val="24"/>
        </w:rPr>
        <w:t>WillSpeakSoon</w:t>
      </w:r>
      <w:proofErr w:type="spellEnd"/>
      <w:r w:rsidRPr="004C6AB1">
        <w:rPr>
          <w:rFonts w:ascii="Times New Roman" w:hAnsi="Times New Roman" w:cs="Times New Roman"/>
          <w:color w:val="000000"/>
          <w:sz w:val="24"/>
          <w:szCs w:val="24"/>
        </w:rPr>
        <w:t xml:space="preserve"> via his twitter handle and on July 2, 2020, he tweeted that he was already finalizing the book which would be a tell-all book about his experience with Mr. Trump. </w:t>
      </w:r>
      <w:r w:rsidR="00232CB5" w:rsidRPr="004C6AB1">
        <w:rPr>
          <w:rFonts w:ascii="Times New Roman" w:hAnsi="Times New Roman" w:cs="Times New Roman"/>
          <w:color w:val="000000"/>
          <w:sz w:val="24"/>
          <w:szCs w:val="24"/>
        </w:rPr>
        <w:t>On July</w:t>
      </w:r>
      <w:r w:rsidR="009455C1" w:rsidRPr="004C6AB1">
        <w:rPr>
          <w:rFonts w:ascii="Times New Roman" w:hAnsi="Times New Roman" w:cs="Times New Roman"/>
          <w:color w:val="000000"/>
          <w:sz w:val="24"/>
          <w:szCs w:val="24"/>
        </w:rPr>
        <w:t xml:space="preserve"> 9, 2020</w:t>
      </w:r>
      <w:r w:rsidRPr="004C6AB1">
        <w:rPr>
          <w:rFonts w:ascii="Times New Roman" w:hAnsi="Times New Roman" w:cs="Times New Roman"/>
          <w:color w:val="000000"/>
          <w:sz w:val="24"/>
          <w:szCs w:val="24"/>
        </w:rPr>
        <w:t>, U.S. Probation Officers</w:t>
      </w:r>
      <w:r w:rsidR="009455C1" w:rsidRPr="004C6AB1">
        <w:rPr>
          <w:rFonts w:ascii="Times New Roman" w:hAnsi="Times New Roman" w:cs="Times New Roman"/>
          <w:color w:val="000000"/>
          <w:sz w:val="24"/>
          <w:szCs w:val="24"/>
        </w:rPr>
        <w:t xml:space="preserve"> in downtown Manhattan</w:t>
      </w:r>
      <w:r w:rsidRPr="004C6AB1">
        <w:rPr>
          <w:rFonts w:ascii="Times New Roman" w:hAnsi="Times New Roman" w:cs="Times New Roman"/>
          <w:color w:val="000000"/>
          <w:sz w:val="24"/>
          <w:szCs w:val="24"/>
        </w:rPr>
        <w:t xml:space="preserve">, working for BOP, presented Mr. Cohen with </w:t>
      </w:r>
      <w:r w:rsidR="00232CB5" w:rsidRPr="004C6AB1">
        <w:rPr>
          <w:rFonts w:ascii="Times New Roman" w:hAnsi="Times New Roman" w:cs="Times New Roman"/>
          <w:color w:val="000000"/>
          <w:sz w:val="24"/>
          <w:szCs w:val="24"/>
        </w:rPr>
        <w:t>Fede</w:t>
      </w:r>
      <w:r w:rsidR="009455C1" w:rsidRPr="004C6AB1">
        <w:rPr>
          <w:rFonts w:ascii="Times New Roman" w:hAnsi="Times New Roman" w:cs="Times New Roman"/>
          <w:color w:val="000000"/>
          <w:sz w:val="24"/>
          <w:szCs w:val="24"/>
        </w:rPr>
        <w:t xml:space="preserve">ral Location Monitoring Program </w:t>
      </w:r>
      <w:r w:rsidR="00232CB5" w:rsidRPr="004C6AB1">
        <w:rPr>
          <w:rFonts w:ascii="Times New Roman" w:hAnsi="Times New Roman" w:cs="Times New Roman"/>
          <w:color w:val="000000"/>
          <w:sz w:val="24"/>
          <w:szCs w:val="24"/>
        </w:rPr>
        <w:t>Participant Agreement (the “FLM Agreement”)</w:t>
      </w:r>
      <w:r w:rsidR="009455C1" w:rsidRPr="004C6AB1">
        <w:rPr>
          <w:rFonts w:ascii="Times New Roman" w:hAnsi="Times New Roman" w:cs="Times New Roman"/>
          <w:color w:val="000000"/>
          <w:sz w:val="24"/>
          <w:szCs w:val="24"/>
        </w:rPr>
        <w:t xml:space="preserve"> which contains</w:t>
      </w:r>
      <w:r w:rsidR="00232CB5" w:rsidRPr="004C6AB1">
        <w:rPr>
          <w:rFonts w:ascii="Times New Roman" w:hAnsi="Times New Roman" w:cs="Times New Roman"/>
          <w:color w:val="000000"/>
          <w:sz w:val="24"/>
          <w:szCs w:val="24"/>
        </w:rPr>
        <w:t xml:space="preserve"> conditions </w:t>
      </w:r>
      <w:r w:rsidR="008F1833" w:rsidRPr="004C6AB1">
        <w:rPr>
          <w:rFonts w:ascii="Times New Roman" w:hAnsi="Times New Roman" w:cs="Times New Roman"/>
          <w:color w:val="000000"/>
          <w:sz w:val="24"/>
          <w:szCs w:val="24"/>
        </w:rPr>
        <w:t>of release to home confinement w</w:t>
      </w:r>
      <w:r w:rsidR="009455C1" w:rsidRPr="004C6AB1">
        <w:rPr>
          <w:rFonts w:ascii="Times New Roman" w:hAnsi="Times New Roman" w:cs="Times New Roman"/>
          <w:color w:val="000000"/>
          <w:sz w:val="24"/>
          <w:szCs w:val="24"/>
        </w:rPr>
        <w:t>ith</w:t>
      </w:r>
      <w:r w:rsidR="00232CB5" w:rsidRPr="004C6AB1">
        <w:rPr>
          <w:rFonts w:ascii="Times New Roman" w:hAnsi="Times New Roman" w:cs="Times New Roman"/>
          <w:color w:val="000000"/>
          <w:sz w:val="24"/>
          <w:szCs w:val="24"/>
        </w:rPr>
        <w:t xml:space="preserve"> </w:t>
      </w:r>
      <w:r w:rsidR="008F1833" w:rsidRPr="004C6AB1">
        <w:rPr>
          <w:rFonts w:ascii="Times New Roman" w:hAnsi="Times New Roman" w:cs="Times New Roman"/>
          <w:color w:val="000000"/>
          <w:sz w:val="24"/>
          <w:szCs w:val="24"/>
        </w:rPr>
        <w:t>a complete bar on speaking to or through any media of any sort, including via a book. This is with the fact that the BOP itself had earlier stated that transfer to home confinement was necessary for his health. Being conscious of his health and what a remand to the custody could do to him, the petitioner did not refuse the condition but he and his lawyer sought clarification on the limitation of bar to speaking through the media given his desire to continue working on his book. Ev</w:t>
      </w:r>
      <w:r w:rsidR="009455C1" w:rsidRPr="004C6AB1">
        <w:rPr>
          <w:rFonts w:ascii="Times New Roman" w:hAnsi="Times New Roman" w:cs="Times New Roman"/>
          <w:color w:val="000000"/>
          <w:sz w:val="24"/>
          <w:szCs w:val="24"/>
        </w:rPr>
        <w:t>en though the Probation Officer</w:t>
      </w:r>
      <w:r w:rsidR="008F1833" w:rsidRPr="004C6AB1">
        <w:rPr>
          <w:rFonts w:ascii="Times New Roman" w:hAnsi="Times New Roman" w:cs="Times New Roman"/>
          <w:color w:val="000000"/>
          <w:sz w:val="24"/>
          <w:szCs w:val="24"/>
        </w:rPr>
        <w:t xml:space="preserve"> told the petitioner that he would make the request </w:t>
      </w:r>
      <w:r w:rsidR="00011EBF" w:rsidRPr="004C6AB1">
        <w:rPr>
          <w:rFonts w:ascii="Times New Roman" w:hAnsi="Times New Roman" w:cs="Times New Roman"/>
          <w:color w:val="000000"/>
          <w:sz w:val="24"/>
          <w:szCs w:val="24"/>
        </w:rPr>
        <w:t xml:space="preserve">on clarification </w:t>
      </w:r>
      <w:r w:rsidR="008F1833" w:rsidRPr="004C6AB1">
        <w:rPr>
          <w:rFonts w:ascii="Times New Roman" w:hAnsi="Times New Roman" w:cs="Times New Roman"/>
          <w:color w:val="000000"/>
          <w:sz w:val="24"/>
          <w:szCs w:val="24"/>
        </w:rPr>
        <w:t>to higher authorities</w:t>
      </w:r>
      <w:r w:rsidR="00011EBF" w:rsidRPr="004C6AB1">
        <w:rPr>
          <w:rFonts w:ascii="Times New Roman" w:hAnsi="Times New Roman" w:cs="Times New Roman"/>
          <w:color w:val="000000"/>
          <w:sz w:val="24"/>
          <w:szCs w:val="24"/>
        </w:rPr>
        <w:t xml:space="preserve">, the Petitioner was </w:t>
      </w:r>
      <w:r w:rsidR="009455C1" w:rsidRPr="004C6AB1">
        <w:rPr>
          <w:rFonts w:ascii="Times New Roman" w:hAnsi="Times New Roman" w:cs="Times New Roman"/>
          <w:color w:val="000000"/>
          <w:sz w:val="24"/>
          <w:szCs w:val="24"/>
        </w:rPr>
        <w:t xml:space="preserve">instead </w:t>
      </w:r>
      <w:r w:rsidR="00011EBF" w:rsidRPr="004C6AB1">
        <w:rPr>
          <w:rFonts w:ascii="Times New Roman" w:hAnsi="Times New Roman" w:cs="Times New Roman"/>
          <w:color w:val="000000"/>
          <w:sz w:val="24"/>
          <w:szCs w:val="24"/>
        </w:rPr>
        <w:t xml:space="preserve">remanded to FC Otisville. </w:t>
      </w:r>
    </w:p>
    <w:p w:rsidR="008F1833" w:rsidRPr="004C6AB1" w:rsidRDefault="008F1833" w:rsidP="004C6AB1">
      <w:pPr>
        <w:autoSpaceDE w:val="0"/>
        <w:autoSpaceDN w:val="0"/>
        <w:adjustRightInd w:val="0"/>
        <w:spacing w:after="0" w:line="240" w:lineRule="auto"/>
        <w:jc w:val="both"/>
        <w:rPr>
          <w:rFonts w:ascii="Times New Roman" w:hAnsi="Times New Roman" w:cs="Times New Roman"/>
          <w:color w:val="000000"/>
          <w:sz w:val="24"/>
          <w:szCs w:val="24"/>
        </w:rPr>
      </w:pPr>
    </w:p>
    <w:p w:rsidR="00952240" w:rsidRPr="004C6AB1" w:rsidRDefault="00A62694" w:rsidP="004C6AB1">
      <w:pPr>
        <w:autoSpaceDE w:val="0"/>
        <w:autoSpaceDN w:val="0"/>
        <w:adjustRightInd w:val="0"/>
        <w:spacing w:after="0" w:line="240" w:lineRule="auto"/>
        <w:jc w:val="both"/>
        <w:rPr>
          <w:rFonts w:ascii="Times New Roman" w:hAnsi="Times New Roman" w:cs="Times New Roman"/>
          <w:i/>
          <w:color w:val="000000"/>
          <w:sz w:val="24"/>
          <w:szCs w:val="24"/>
        </w:rPr>
      </w:pPr>
      <w:r w:rsidRPr="004C6AB1">
        <w:rPr>
          <w:rFonts w:ascii="Times New Roman" w:hAnsi="Times New Roman" w:cs="Times New Roman"/>
          <w:sz w:val="24"/>
          <w:szCs w:val="24"/>
        </w:rPr>
        <w:t>On July 20, 2020 the Petit</w:t>
      </w:r>
      <w:r w:rsidR="00C67D33" w:rsidRPr="004C6AB1">
        <w:rPr>
          <w:rFonts w:ascii="Times New Roman" w:hAnsi="Times New Roman" w:cs="Times New Roman"/>
          <w:sz w:val="24"/>
          <w:szCs w:val="24"/>
        </w:rPr>
        <w:t>ioner and American Civil Liberties</w:t>
      </w:r>
      <w:r w:rsidRPr="004C6AB1">
        <w:rPr>
          <w:rFonts w:ascii="Times New Roman" w:hAnsi="Times New Roman" w:cs="Times New Roman"/>
          <w:sz w:val="24"/>
          <w:szCs w:val="24"/>
        </w:rPr>
        <w:t xml:space="preserve"> Union </w:t>
      </w:r>
      <w:r w:rsidR="00C67D33" w:rsidRPr="004C6AB1">
        <w:rPr>
          <w:rFonts w:ascii="Times New Roman" w:hAnsi="Times New Roman" w:cs="Times New Roman"/>
          <w:sz w:val="24"/>
          <w:szCs w:val="24"/>
        </w:rPr>
        <w:t>Foundation</w:t>
      </w:r>
      <w:r w:rsidR="004D7504" w:rsidRPr="004C6AB1">
        <w:rPr>
          <w:rFonts w:ascii="Times New Roman" w:hAnsi="Times New Roman" w:cs="Times New Roman"/>
          <w:sz w:val="24"/>
          <w:szCs w:val="24"/>
        </w:rPr>
        <w:t xml:space="preserve"> </w:t>
      </w:r>
      <w:r w:rsidRPr="004C6AB1">
        <w:rPr>
          <w:rFonts w:ascii="Times New Roman" w:hAnsi="Times New Roman" w:cs="Times New Roman"/>
          <w:sz w:val="24"/>
          <w:szCs w:val="24"/>
        </w:rPr>
        <w:t xml:space="preserve">(ACLU) filed a </w:t>
      </w:r>
      <w:r w:rsidR="00640A29" w:rsidRPr="004C6AB1">
        <w:rPr>
          <w:rFonts w:ascii="Times New Roman" w:hAnsi="Times New Roman" w:cs="Times New Roman"/>
          <w:bCs/>
          <w:sz w:val="24"/>
          <w:szCs w:val="24"/>
        </w:rPr>
        <w:t>Verified Petition for Writ of Habeas Corpus</w:t>
      </w:r>
      <w:r w:rsidRPr="004C6AB1">
        <w:rPr>
          <w:rFonts w:ascii="Times New Roman" w:hAnsi="Times New Roman" w:cs="Times New Roman"/>
          <w:bCs/>
          <w:sz w:val="24"/>
          <w:szCs w:val="24"/>
        </w:rPr>
        <w:t xml:space="preserve"> and </w:t>
      </w:r>
      <w:r w:rsidR="00640A29" w:rsidRPr="004C6AB1">
        <w:rPr>
          <w:rFonts w:ascii="Times New Roman" w:hAnsi="Times New Roman" w:cs="Times New Roman"/>
          <w:bCs/>
          <w:sz w:val="24"/>
          <w:szCs w:val="24"/>
        </w:rPr>
        <w:t>Memorandum of Law In Support Of Petitioner’s Emergency Motion for a Temporary Restraining Order</w:t>
      </w:r>
      <w:r w:rsidRPr="004C6AB1">
        <w:rPr>
          <w:rFonts w:ascii="Times New Roman" w:hAnsi="Times New Roman" w:cs="Times New Roman"/>
          <w:bCs/>
          <w:sz w:val="24"/>
          <w:szCs w:val="24"/>
        </w:rPr>
        <w:t xml:space="preserve">. In response, the Respondents filed </w:t>
      </w:r>
      <w:r w:rsidR="00640A29" w:rsidRPr="004C6AB1">
        <w:rPr>
          <w:rFonts w:ascii="Times New Roman" w:hAnsi="Times New Roman" w:cs="Times New Roman"/>
          <w:bCs/>
          <w:sz w:val="24"/>
          <w:szCs w:val="24"/>
        </w:rPr>
        <w:t>Memorandum of Law in Opposition To Petitioner’s Emergency Motion for a Temporary Restraining Order</w:t>
      </w:r>
      <w:r w:rsidRPr="004C6AB1">
        <w:rPr>
          <w:rFonts w:ascii="Times New Roman" w:hAnsi="Times New Roman" w:cs="Times New Roman"/>
          <w:bCs/>
          <w:sz w:val="24"/>
          <w:szCs w:val="24"/>
        </w:rPr>
        <w:t xml:space="preserve"> and </w:t>
      </w:r>
      <w:r w:rsidR="00640A29" w:rsidRPr="004C6AB1">
        <w:rPr>
          <w:rFonts w:ascii="Times New Roman" w:hAnsi="Times New Roman" w:cs="Times New Roman"/>
          <w:bCs/>
          <w:sz w:val="24"/>
          <w:szCs w:val="24"/>
        </w:rPr>
        <w:t xml:space="preserve">Declaration of Jon </w:t>
      </w:r>
      <w:proofErr w:type="spellStart"/>
      <w:r w:rsidR="00640A29" w:rsidRPr="004C6AB1">
        <w:rPr>
          <w:rFonts w:ascii="Times New Roman" w:hAnsi="Times New Roman" w:cs="Times New Roman"/>
          <w:bCs/>
          <w:sz w:val="24"/>
          <w:szCs w:val="24"/>
        </w:rPr>
        <w:t>Gustin</w:t>
      </w:r>
      <w:proofErr w:type="spellEnd"/>
      <w:r w:rsidRPr="004C6AB1">
        <w:rPr>
          <w:rFonts w:ascii="Times New Roman" w:hAnsi="Times New Roman" w:cs="Times New Roman"/>
          <w:bCs/>
          <w:sz w:val="24"/>
          <w:szCs w:val="24"/>
        </w:rPr>
        <w:t xml:space="preserve"> on July 22, 2020.</w:t>
      </w:r>
      <w:r w:rsidR="00C61DCC" w:rsidRPr="004C6AB1">
        <w:rPr>
          <w:rFonts w:ascii="Times New Roman" w:hAnsi="Times New Roman" w:cs="Times New Roman"/>
          <w:bCs/>
          <w:sz w:val="24"/>
          <w:szCs w:val="24"/>
        </w:rPr>
        <w:t xml:space="preserve"> The Petitioner argued that </w:t>
      </w:r>
      <w:r w:rsidR="003A44B6" w:rsidRPr="004C6AB1">
        <w:rPr>
          <w:rFonts w:ascii="Times New Roman" w:hAnsi="Times New Roman" w:cs="Times New Roman"/>
          <w:bCs/>
          <w:sz w:val="24"/>
          <w:szCs w:val="24"/>
        </w:rPr>
        <w:t xml:space="preserve">remanding </w:t>
      </w:r>
      <w:r w:rsidR="00DD5B9B" w:rsidRPr="004C6AB1">
        <w:rPr>
          <w:rFonts w:ascii="Times New Roman" w:hAnsi="Times New Roman" w:cs="Times New Roman"/>
          <w:bCs/>
          <w:sz w:val="24"/>
          <w:szCs w:val="24"/>
        </w:rPr>
        <w:t>him</w:t>
      </w:r>
      <w:r w:rsidR="003A44B6" w:rsidRPr="004C6AB1">
        <w:rPr>
          <w:rFonts w:ascii="Times New Roman" w:hAnsi="Times New Roman" w:cs="Times New Roman"/>
          <w:bCs/>
          <w:sz w:val="24"/>
          <w:szCs w:val="24"/>
        </w:rPr>
        <w:t xml:space="preserve"> </w:t>
      </w:r>
      <w:r w:rsidR="00DD5B9B" w:rsidRPr="004C6AB1">
        <w:rPr>
          <w:rFonts w:ascii="Times New Roman" w:hAnsi="Times New Roman" w:cs="Times New Roman"/>
          <w:bCs/>
          <w:sz w:val="24"/>
          <w:szCs w:val="24"/>
        </w:rPr>
        <w:t>was an act of retaliation for the book being published</w:t>
      </w:r>
      <w:r w:rsidR="00F82F02">
        <w:rPr>
          <w:rFonts w:ascii="Times New Roman" w:hAnsi="Times New Roman" w:cs="Times New Roman"/>
          <w:bCs/>
          <w:sz w:val="24"/>
          <w:szCs w:val="24"/>
        </w:rPr>
        <w:t xml:space="preserve"> about President</w:t>
      </w:r>
      <w:r w:rsidR="003309E2" w:rsidRPr="004C6AB1">
        <w:rPr>
          <w:rFonts w:ascii="Times New Roman" w:hAnsi="Times New Roman" w:cs="Times New Roman"/>
          <w:bCs/>
          <w:sz w:val="24"/>
          <w:szCs w:val="24"/>
        </w:rPr>
        <w:t xml:space="preserve"> Donald Trump</w:t>
      </w:r>
      <w:r w:rsidR="009F2F4F" w:rsidRPr="004C6AB1">
        <w:rPr>
          <w:rFonts w:ascii="Times New Roman" w:hAnsi="Times New Roman" w:cs="Times New Roman"/>
          <w:bCs/>
          <w:sz w:val="24"/>
          <w:szCs w:val="24"/>
        </w:rPr>
        <w:t xml:space="preserve"> </w:t>
      </w:r>
      <w:r w:rsidR="007F54D8" w:rsidRPr="004C6AB1">
        <w:rPr>
          <w:rFonts w:ascii="Times New Roman" w:hAnsi="Times New Roman" w:cs="Times New Roman"/>
          <w:bCs/>
          <w:sz w:val="24"/>
          <w:szCs w:val="24"/>
        </w:rPr>
        <w:t xml:space="preserve">and that such acts would </w:t>
      </w:r>
      <w:r w:rsidR="00957188" w:rsidRPr="004C6AB1">
        <w:rPr>
          <w:rFonts w:ascii="Times New Roman" w:hAnsi="Times New Roman" w:cs="Times New Roman"/>
          <w:bCs/>
          <w:sz w:val="24"/>
          <w:szCs w:val="24"/>
        </w:rPr>
        <w:t xml:space="preserve">have </w:t>
      </w:r>
      <w:r w:rsidR="007F54D8" w:rsidRPr="004C6AB1">
        <w:rPr>
          <w:rFonts w:ascii="Times New Roman" w:hAnsi="Times New Roman" w:cs="Times New Roman"/>
          <w:bCs/>
          <w:sz w:val="24"/>
          <w:szCs w:val="24"/>
        </w:rPr>
        <w:t>chilling effect on exercising First Amendment right by ordinary citizen</w:t>
      </w:r>
      <w:r w:rsidR="003309E2" w:rsidRPr="004C6AB1">
        <w:rPr>
          <w:rFonts w:ascii="Times New Roman" w:hAnsi="Times New Roman" w:cs="Times New Roman"/>
          <w:bCs/>
          <w:sz w:val="24"/>
          <w:szCs w:val="24"/>
        </w:rPr>
        <w:t>.</w:t>
      </w:r>
      <w:r w:rsidR="007F54D8" w:rsidRPr="004C6AB1">
        <w:rPr>
          <w:rFonts w:ascii="Times New Roman" w:hAnsi="Times New Roman" w:cs="Times New Roman"/>
          <w:bCs/>
          <w:sz w:val="24"/>
          <w:szCs w:val="24"/>
        </w:rPr>
        <w:t xml:space="preserve"> The Petitioner further stated that he has been chilled from </w:t>
      </w:r>
      <w:r w:rsidR="00F82F02">
        <w:rPr>
          <w:rFonts w:ascii="Times New Roman" w:hAnsi="Times New Roman" w:cs="Times New Roman"/>
          <w:bCs/>
          <w:sz w:val="24"/>
          <w:szCs w:val="24"/>
        </w:rPr>
        <w:t xml:space="preserve">further </w:t>
      </w:r>
      <w:r w:rsidR="007F54D8" w:rsidRPr="004C6AB1">
        <w:rPr>
          <w:rFonts w:ascii="Times New Roman" w:hAnsi="Times New Roman" w:cs="Times New Roman"/>
          <w:bCs/>
          <w:sz w:val="24"/>
          <w:szCs w:val="24"/>
        </w:rPr>
        <w:t>exercising his First Amendment rights and he continued to be chilled by further</w:t>
      </w:r>
      <w:r w:rsidR="00957188" w:rsidRPr="004C6AB1">
        <w:rPr>
          <w:rFonts w:ascii="Times New Roman" w:hAnsi="Times New Roman" w:cs="Times New Roman"/>
          <w:bCs/>
          <w:sz w:val="24"/>
          <w:szCs w:val="24"/>
        </w:rPr>
        <w:t>ance of such retaliatory acts</w:t>
      </w:r>
      <w:r w:rsidR="007F54D8" w:rsidRPr="004C6AB1">
        <w:rPr>
          <w:rFonts w:ascii="Times New Roman" w:hAnsi="Times New Roman" w:cs="Times New Roman"/>
          <w:bCs/>
          <w:sz w:val="24"/>
          <w:szCs w:val="24"/>
        </w:rPr>
        <w:t xml:space="preserve"> </w:t>
      </w:r>
      <w:r w:rsidR="00957188" w:rsidRPr="004C6AB1">
        <w:rPr>
          <w:rFonts w:ascii="Times New Roman" w:hAnsi="Times New Roman" w:cs="Times New Roman"/>
          <w:bCs/>
          <w:sz w:val="24"/>
          <w:szCs w:val="24"/>
        </w:rPr>
        <w:t xml:space="preserve">of </w:t>
      </w:r>
      <w:r w:rsidR="007F54D8" w:rsidRPr="004C6AB1">
        <w:rPr>
          <w:rFonts w:ascii="Times New Roman" w:hAnsi="Times New Roman" w:cs="Times New Roman"/>
          <w:bCs/>
          <w:sz w:val="24"/>
          <w:szCs w:val="24"/>
        </w:rPr>
        <w:t xml:space="preserve">his continued detention in </w:t>
      </w:r>
      <w:r w:rsidR="00957188" w:rsidRPr="004C6AB1">
        <w:rPr>
          <w:rFonts w:ascii="Times New Roman" w:hAnsi="Times New Roman" w:cs="Times New Roman"/>
          <w:bCs/>
          <w:sz w:val="24"/>
          <w:szCs w:val="24"/>
        </w:rPr>
        <w:t>custody</w:t>
      </w:r>
      <w:r w:rsidR="007F54D8" w:rsidRPr="004C6AB1">
        <w:rPr>
          <w:rFonts w:ascii="Times New Roman" w:hAnsi="Times New Roman" w:cs="Times New Roman"/>
          <w:bCs/>
          <w:sz w:val="24"/>
          <w:szCs w:val="24"/>
        </w:rPr>
        <w:t>.</w:t>
      </w:r>
      <w:r w:rsidR="00C31A71" w:rsidRPr="004C6AB1">
        <w:rPr>
          <w:rFonts w:ascii="Times New Roman" w:hAnsi="Times New Roman" w:cs="Times New Roman"/>
          <w:bCs/>
          <w:sz w:val="24"/>
          <w:szCs w:val="24"/>
        </w:rPr>
        <w:t xml:space="preserve"> </w:t>
      </w:r>
    </w:p>
    <w:p w:rsidR="00F21DCB" w:rsidRPr="004C6AB1" w:rsidRDefault="00F21DCB" w:rsidP="004C6AB1">
      <w:pPr>
        <w:autoSpaceDE w:val="0"/>
        <w:autoSpaceDN w:val="0"/>
        <w:adjustRightInd w:val="0"/>
        <w:spacing w:after="0" w:line="240" w:lineRule="auto"/>
        <w:jc w:val="both"/>
        <w:rPr>
          <w:rFonts w:ascii="Times New Roman" w:hAnsi="Times New Roman" w:cs="Times New Roman"/>
          <w:color w:val="000000"/>
          <w:sz w:val="24"/>
          <w:szCs w:val="24"/>
        </w:rPr>
      </w:pPr>
    </w:p>
    <w:p w:rsidR="00F21DCB" w:rsidRPr="004C6AB1" w:rsidRDefault="00F21DCB" w:rsidP="004C6AB1">
      <w:pPr>
        <w:autoSpaceDE w:val="0"/>
        <w:autoSpaceDN w:val="0"/>
        <w:adjustRightInd w:val="0"/>
        <w:spacing w:after="0" w:line="240" w:lineRule="auto"/>
        <w:jc w:val="both"/>
        <w:rPr>
          <w:rFonts w:ascii="Times New Roman" w:hAnsi="Times New Roman" w:cs="Times New Roman"/>
          <w:color w:val="000000"/>
          <w:sz w:val="24"/>
          <w:szCs w:val="24"/>
        </w:rPr>
      </w:pPr>
      <w:r w:rsidRPr="004C6AB1">
        <w:rPr>
          <w:rFonts w:ascii="Times New Roman" w:hAnsi="Times New Roman" w:cs="Times New Roman"/>
          <w:color w:val="000000"/>
          <w:sz w:val="24"/>
          <w:szCs w:val="24"/>
        </w:rPr>
        <w:t xml:space="preserve">As to whether the Petitioner is entitled to the injunctive relief sought, the Petitioner cited </w:t>
      </w:r>
      <w:r w:rsidR="002678C7" w:rsidRPr="004C6AB1">
        <w:rPr>
          <w:rFonts w:ascii="Times New Roman" w:hAnsi="Times New Roman" w:cs="Times New Roman"/>
          <w:color w:val="000000"/>
          <w:sz w:val="24"/>
          <w:szCs w:val="24"/>
        </w:rPr>
        <w:t xml:space="preserve">the </w:t>
      </w:r>
      <w:r w:rsidRPr="004C6AB1">
        <w:rPr>
          <w:rFonts w:ascii="Times New Roman" w:hAnsi="Times New Roman" w:cs="Times New Roman"/>
          <w:color w:val="000000"/>
          <w:sz w:val="24"/>
          <w:szCs w:val="24"/>
        </w:rPr>
        <w:t>case</w:t>
      </w:r>
      <w:r w:rsidR="002678C7" w:rsidRPr="004C6AB1">
        <w:rPr>
          <w:rFonts w:ascii="Times New Roman" w:hAnsi="Times New Roman" w:cs="Times New Roman"/>
          <w:color w:val="000000"/>
          <w:sz w:val="24"/>
          <w:szCs w:val="24"/>
        </w:rPr>
        <w:t>s</w:t>
      </w:r>
      <w:r w:rsidRPr="004C6AB1">
        <w:rPr>
          <w:rFonts w:ascii="Times New Roman" w:hAnsi="Times New Roman" w:cs="Times New Roman"/>
          <w:color w:val="000000"/>
          <w:sz w:val="24"/>
          <w:szCs w:val="24"/>
        </w:rPr>
        <w:t xml:space="preserve"> of </w:t>
      </w:r>
      <w:r w:rsidRPr="004C6AB1">
        <w:rPr>
          <w:rFonts w:ascii="Times New Roman" w:hAnsi="Times New Roman" w:cs="Times New Roman"/>
          <w:i/>
          <w:iCs/>
          <w:color w:val="000000"/>
          <w:sz w:val="24"/>
          <w:szCs w:val="24"/>
        </w:rPr>
        <w:t>Winter v. Natural Res. Def. Council, Inc.</w:t>
      </w:r>
      <w:r w:rsidRPr="004C6AB1">
        <w:rPr>
          <w:rFonts w:ascii="Times New Roman" w:hAnsi="Times New Roman" w:cs="Times New Roman"/>
          <w:color w:val="000000"/>
          <w:sz w:val="24"/>
          <w:szCs w:val="24"/>
        </w:rPr>
        <w:t>, 555 U.S. 7, 20 (2008) and</w:t>
      </w:r>
      <w:r w:rsidRPr="004C6AB1">
        <w:rPr>
          <w:rFonts w:ascii="Times New Roman" w:hAnsi="Times New Roman" w:cs="Times New Roman"/>
          <w:i/>
          <w:iCs/>
          <w:color w:val="000000"/>
          <w:sz w:val="24"/>
          <w:szCs w:val="24"/>
        </w:rPr>
        <w:t xml:space="preserve"> Yang v. </w:t>
      </w:r>
      <w:proofErr w:type="spellStart"/>
      <w:r w:rsidRPr="004C6AB1">
        <w:rPr>
          <w:rFonts w:ascii="Times New Roman" w:hAnsi="Times New Roman" w:cs="Times New Roman"/>
          <w:i/>
          <w:iCs/>
          <w:color w:val="000000"/>
          <w:sz w:val="24"/>
          <w:szCs w:val="24"/>
        </w:rPr>
        <w:t>Kosinski</w:t>
      </w:r>
      <w:proofErr w:type="spellEnd"/>
      <w:r w:rsidRPr="004C6AB1">
        <w:rPr>
          <w:rFonts w:ascii="Times New Roman" w:hAnsi="Times New Roman" w:cs="Times New Roman"/>
          <w:color w:val="000000"/>
          <w:sz w:val="24"/>
          <w:szCs w:val="24"/>
        </w:rPr>
        <w:t>, 960 F.3d 119, 127–28 (2d Cir. 2020) where four requirements of obtaining injunctive relief were established as: (1) they are likely to succeed on the merits; (2) they are likely to suffer irreparable harm in</w:t>
      </w:r>
      <w:r w:rsidRPr="004C6AB1">
        <w:rPr>
          <w:rFonts w:ascii="Times New Roman" w:hAnsi="Times New Roman" w:cs="Times New Roman"/>
          <w:i/>
          <w:iCs/>
          <w:color w:val="000000"/>
          <w:sz w:val="24"/>
          <w:szCs w:val="24"/>
        </w:rPr>
        <w:t xml:space="preserve"> </w:t>
      </w:r>
      <w:r w:rsidRPr="004C6AB1">
        <w:rPr>
          <w:rFonts w:ascii="Times New Roman" w:hAnsi="Times New Roman" w:cs="Times New Roman"/>
          <w:color w:val="000000"/>
          <w:sz w:val="24"/>
          <w:szCs w:val="24"/>
        </w:rPr>
        <w:t>the absence of preliminary relief; (3) the balance of equities tips in their favor; and (4) an injunction</w:t>
      </w:r>
      <w:r w:rsidRPr="004C6AB1">
        <w:rPr>
          <w:rFonts w:ascii="Times New Roman" w:hAnsi="Times New Roman" w:cs="Times New Roman"/>
          <w:i/>
          <w:iCs/>
          <w:color w:val="000000"/>
          <w:sz w:val="24"/>
          <w:szCs w:val="24"/>
        </w:rPr>
        <w:t xml:space="preserve"> </w:t>
      </w:r>
      <w:r w:rsidRPr="004C6AB1">
        <w:rPr>
          <w:rFonts w:ascii="Times New Roman" w:hAnsi="Times New Roman" w:cs="Times New Roman"/>
          <w:color w:val="000000"/>
          <w:sz w:val="24"/>
          <w:szCs w:val="24"/>
        </w:rPr>
        <w:lastRenderedPageBreak/>
        <w:t>is in the public interest.</w:t>
      </w:r>
      <w:r w:rsidR="002678C7" w:rsidRPr="004C6AB1">
        <w:rPr>
          <w:rFonts w:ascii="Times New Roman" w:hAnsi="Times New Roman" w:cs="Times New Roman"/>
          <w:color w:val="000000"/>
          <w:sz w:val="24"/>
          <w:szCs w:val="24"/>
        </w:rPr>
        <w:t xml:space="preserve"> In establishing that he is entitled to the injunctive relief sought, the Petitioner has argued as follows:</w:t>
      </w:r>
      <w:r w:rsidRPr="004C6AB1">
        <w:rPr>
          <w:rFonts w:ascii="Times New Roman" w:hAnsi="Times New Roman" w:cs="Times New Roman"/>
          <w:color w:val="000000"/>
          <w:sz w:val="24"/>
          <w:szCs w:val="24"/>
        </w:rPr>
        <w:t xml:space="preserve"> </w:t>
      </w:r>
    </w:p>
    <w:p w:rsidR="00CC4624" w:rsidRPr="004C6AB1" w:rsidRDefault="00CC4624" w:rsidP="004C6AB1">
      <w:pPr>
        <w:autoSpaceDE w:val="0"/>
        <w:autoSpaceDN w:val="0"/>
        <w:adjustRightInd w:val="0"/>
        <w:spacing w:after="0" w:line="240" w:lineRule="auto"/>
        <w:jc w:val="both"/>
        <w:rPr>
          <w:rFonts w:ascii="Times New Roman" w:hAnsi="Times New Roman" w:cs="Times New Roman"/>
          <w:color w:val="000000"/>
          <w:sz w:val="24"/>
          <w:szCs w:val="24"/>
        </w:rPr>
      </w:pPr>
    </w:p>
    <w:p w:rsidR="00CC4624" w:rsidRPr="004C6AB1" w:rsidRDefault="00CC4624" w:rsidP="004C6AB1">
      <w:pPr>
        <w:autoSpaceDE w:val="0"/>
        <w:autoSpaceDN w:val="0"/>
        <w:adjustRightInd w:val="0"/>
        <w:spacing w:after="0" w:line="240" w:lineRule="auto"/>
        <w:jc w:val="both"/>
        <w:rPr>
          <w:rFonts w:ascii="Times New Roman" w:hAnsi="Times New Roman" w:cs="Times New Roman"/>
          <w:i/>
          <w:color w:val="000000"/>
          <w:sz w:val="24"/>
          <w:szCs w:val="24"/>
        </w:rPr>
      </w:pPr>
      <w:r w:rsidRPr="004C6AB1">
        <w:rPr>
          <w:rFonts w:ascii="Times New Roman" w:hAnsi="Times New Roman" w:cs="Times New Roman"/>
          <w:i/>
          <w:color w:val="000000"/>
          <w:sz w:val="24"/>
          <w:szCs w:val="24"/>
        </w:rPr>
        <w:t>Likelihood of Success</w:t>
      </w:r>
    </w:p>
    <w:p w:rsidR="00CC4624" w:rsidRPr="004C6AB1" w:rsidRDefault="00CC4624" w:rsidP="004C6AB1">
      <w:pPr>
        <w:autoSpaceDE w:val="0"/>
        <w:autoSpaceDN w:val="0"/>
        <w:adjustRightInd w:val="0"/>
        <w:spacing w:after="0" w:line="240" w:lineRule="auto"/>
        <w:jc w:val="both"/>
        <w:rPr>
          <w:rFonts w:ascii="Times New Roman" w:hAnsi="Times New Roman" w:cs="Times New Roman"/>
          <w:i/>
          <w:color w:val="000000"/>
          <w:sz w:val="24"/>
          <w:szCs w:val="24"/>
        </w:rPr>
      </w:pPr>
    </w:p>
    <w:p w:rsidR="009F2F4F" w:rsidRPr="004C6AB1" w:rsidRDefault="009F2F4F" w:rsidP="004C6AB1">
      <w:pPr>
        <w:autoSpaceDE w:val="0"/>
        <w:autoSpaceDN w:val="0"/>
        <w:adjustRightInd w:val="0"/>
        <w:spacing w:after="0" w:line="240" w:lineRule="auto"/>
        <w:jc w:val="both"/>
        <w:rPr>
          <w:rFonts w:ascii="Times New Roman" w:hAnsi="Times New Roman" w:cs="Times New Roman"/>
          <w:sz w:val="24"/>
          <w:szCs w:val="24"/>
        </w:rPr>
      </w:pPr>
      <w:r w:rsidRPr="004C6AB1">
        <w:rPr>
          <w:rFonts w:ascii="Times New Roman" w:hAnsi="Times New Roman" w:cs="Times New Roman"/>
          <w:color w:val="000000"/>
          <w:sz w:val="24"/>
          <w:szCs w:val="24"/>
        </w:rPr>
        <w:t>The Petitioner argued that for a claimant on a retaliation claim</w:t>
      </w:r>
      <w:r w:rsidR="00F82F02">
        <w:rPr>
          <w:rFonts w:ascii="Times New Roman" w:hAnsi="Times New Roman" w:cs="Times New Roman"/>
          <w:color w:val="000000"/>
          <w:sz w:val="24"/>
          <w:szCs w:val="24"/>
        </w:rPr>
        <w:t xml:space="preserve"> to succeed</w:t>
      </w:r>
      <w:r w:rsidRPr="004C6AB1">
        <w:rPr>
          <w:rFonts w:ascii="Times New Roman" w:hAnsi="Times New Roman" w:cs="Times New Roman"/>
          <w:color w:val="000000"/>
          <w:sz w:val="24"/>
          <w:szCs w:val="24"/>
        </w:rPr>
        <w:t xml:space="preserve">, such a claimant must show that the </w:t>
      </w:r>
      <w:r w:rsidRPr="004C6AB1">
        <w:rPr>
          <w:rFonts w:ascii="Times New Roman" w:hAnsi="Times New Roman" w:cs="Times New Roman"/>
          <w:sz w:val="24"/>
          <w:szCs w:val="24"/>
        </w:rPr>
        <w:t>‘(1) that the speech or conduct at is</w:t>
      </w:r>
      <w:r w:rsidR="00D37A7A" w:rsidRPr="004C6AB1">
        <w:rPr>
          <w:rFonts w:ascii="Times New Roman" w:hAnsi="Times New Roman" w:cs="Times New Roman"/>
          <w:sz w:val="24"/>
          <w:szCs w:val="24"/>
        </w:rPr>
        <w:t xml:space="preserve">sue was protected, (2) that the </w:t>
      </w:r>
      <w:r w:rsidRPr="004C6AB1">
        <w:rPr>
          <w:rFonts w:ascii="Times New Roman" w:hAnsi="Times New Roman" w:cs="Times New Roman"/>
          <w:sz w:val="24"/>
          <w:szCs w:val="24"/>
        </w:rPr>
        <w:t xml:space="preserve">defendant took adverse action against the Petitioner, and (3) that there was a causal connection between the protected speech and the adverse action.’” </w:t>
      </w:r>
      <w:proofErr w:type="spellStart"/>
      <w:r w:rsidRPr="004C6AB1">
        <w:rPr>
          <w:rFonts w:ascii="Times New Roman" w:hAnsi="Times New Roman" w:cs="Times New Roman"/>
          <w:i/>
          <w:iCs/>
          <w:sz w:val="24"/>
          <w:szCs w:val="24"/>
        </w:rPr>
        <w:t>Espinal</w:t>
      </w:r>
      <w:proofErr w:type="spellEnd"/>
      <w:r w:rsidRPr="004C6AB1">
        <w:rPr>
          <w:rFonts w:ascii="Times New Roman" w:hAnsi="Times New Roman" w:cs="Times New Roman"/>
          <w:i/>
          <w:iCs/>
          <w:sz w:val="24"/>
          <w:szCs w:val="24"/>
        </w:rPr>
        <w:t xml:space="preserve"> v. </w:t>
      </w:r>
      <w:proofErr w:type="spellStart"/>
      <w:r w:rsidRPr="004C6AB1">
        <w:rPr>
          <w:rFonts w:ascii="Times New Roman" w:hAnsi="Times New Roman" w:cs="Times New Roman"/>
          <w:i/>
          <w:iCs/>
          <w:sz w:val="24"/>
          <w:szCs w:val="24"/>
        </w:rPr>
        <w:t>Goord</w:t>
      </w:r>
      <w:proofErr w:type="spellEnd"/>
      <w:r w:rsidRPr="004C6AB1">
        <w:rPr>
          <w:rFonts w:ascii="Times New Roman" w:hAnsi="Times New Roman" w:cs="Times New Roman"/>
          <w:sz w:val="24"/>
          <w:szCs w:val="24"/>
        </w:rPr>
        <w:t xml:space="preserve">, 558 F.3d 119, 128 (2d Cir. 2009) (quoting </w:t>
      </w:r>
      <w:r w:rsidRPr="004C6AB1">
        <w:rPr>
          <w:rFonts w:ascii="Times New Roman" w:hAnsi="Times New Roman" w:cs="Times New Roman"/>
          <w:i/>
          <w:iCs/>
          <w:sz w:val="24"/>
          <w:szCs w:val="24"/>
        </w:rPr>
        <w:t xml:space="preserve">Gill v. </w:t>
      </w:r>
      <w:proofErr w:type="spellStart"/>
      <w:r w:rsidRPr="004C6AB1">
        <w:rPr>
          <w:rFonts w:ascii="Times New Roman" w:hAnsi="Times New Roman" w:cs="Times New Roman"/>
          <w:i/>
          <w:iCs/>
          <w:sz w:val="24"/>
          <w:szCs w:val="24"/>
        </w:rPr>
        <w:t>Pidlypchak</w:t>
      </w:r>
      <w:proofErr w:type="spellEnd"/>
      <w:r w:rsidRPr="004C6AB1">
        <w:rPr>
          <w:rFonts w:ascii="Times New Roman" w:hAnsi="Times New Roman" w:cs="Times New Roman"/>
          <w:sz w:val="24"/>
          <w:szCs w:val="24"/>
        </w:rPr>
        <w:t xml:space="preserve">, 389 F.3d 379, 380 (2d Cir. 2004)). </w:t>
      </w:r>
    </w:p>
    <w:p w:rsidR="009F2F4F" w:rsidRPr="004C6AB1" w:rsidRDefault="009F2F4F" w:rsidP="004C6AB1">
      <w:pPr>
        <w:autoSpaceDE w:val="0"/>
        <w:autoSpaceDN w:val="0"/>
        <w:adjustRightInd w:val="0"/>
        <w:spacing w:after="0" w:line="240" w:lineRule="auto"/>
        <w:jc w:val="both"/>
        <w:rPr>
          <w:rFonts w:ascii="Times New Roman" w:hAnsi="Times New Roman" w:cs="Times New Roman"/>
          <w:sz w:val="24"/>
          <w:szCs w:val="24"/>
        </w:rPr>
      </w:pPr>
    </w:p>
    <w:p w:rsidR="009F2F4F" w:rsidRPr="004C6AB1" w:rsidRDefault="009F2F4F" w:rsidP="004C6AB1">
      <w:pPr>
        <w:autoSpaceDE w:val="0"/>
        <w:autoSpaceDN w:val="0"/>
        <w:adjustRightInd w:val="0"/>
        <w:spacing w:after="0" w:line="240" w:lineRule="auto"/>
        <w:jc w:val="both"/>
        <w:rPr>
          <w:rFonts w:ascii="Times New Roman" w:hAnsi="Times New Roman" w:cs="Times New Roman"/>
          <w:bCs/>
          <w:sz w:val="24"/>
          <w:szCs w:val="24"/>
        </w:rPr>
      </w:pPr>
      <w:r w:rsidRPr="004C6AB1">
        <w:rPr>
          <w:rFonts w:ascii="Times New Roman" w:hAnsi="Times New Roman" w:cs="Times New Roman"/>
          <w:sz w:val="24"/>
          <w:szCs w:val="24"/>
        </w:rPr>
        <w:t>The Petitioner here argued that writing</w:t>
      </w:r>
      <w:r w:rsidR="00191A75" w:rsidRPr="004C6AB1">
        <w:rPr>
          <w:rFonts w:ascii="Times New Roman" w:hAnsi="Times New Roman" w:cs="Times New Roman"/>
          <w:sz w:val="24"/>
          <w:szCs w:val="24"/>
        </w:rPr>
        <w:t xml:space="preserve"> a book is a protected speech under</w:t>
      </w:r>
      <w:r w:rsidRPr="004C6AB1">
        <w:rPr>
          <w:rFonts w:ascii="Times New Roman" w:hAnsi="Times New Roman" w:cs="Times New Roman"/>
          <w:sz w:val="24"/>
          <w:szCs w:val="24"/>
        </w:rPr>
        <w:t xml:space="preserve"> the First Amendment.</w:t>
      </w:r>
      <w:r w:rsidRPr="004C6AB1">
        <w:rPr>
          <w:rFonts w:ascii="Times New Roman" w:hAnsi="Times New Roman" w:cs="Times New Roman"/>
          <w:color w:val="000000"/>
          <w:sz w:val="24"/>
          <w:szCs w:val="24"/>
        </w:rPr>
        <w:t xml:space="preserve"> The Petitioner </w:t>
      </w:r>
      <w:r w:rsidR="00F82F02">
        <w:rPr>
          <w:rFonts w:ascii="Times New Roman" w:hAnsi="Times New Roman" w:cs="Times New Roman"/>
          <w:color w:val="000000"/>
          <w:sz w:val="24"/>
          <w:szCs w:val="24"/>
        </w:rPr>
        <w:t xml:space="preserve">further </w:t>
      </w:r>
      <w:r w:rsidRPr="004C6AB1">
        <w:rPr>
          <w:rFonts w:ascii="Times New Roman" w:hAnsi="Times New Roman" w:cs="Times New Roman"/>
          <w:color w:val="000000"/>
          <w:sz w:val="24"/>
          <w:szCs w:val="24"/>
        </w:rPr>
        <w:t>argued that the First Amendment guarantees Petitioner’s right to freedom of speech. The Petitioner submitted that “</w:t>
      </w:r>
      <w:r w:rsidRPr="004C6AB1">
        <w:rPr>
          <w:rFonts w:ascii="Times New Roman" w:hAnsi="Times New Roman" w:cs="Times New Roman"/>
          <w:i/>
          <w:color w:val="000000"/>
          <w:sz w:val="24"/>
          <w:szCs w:val="24"/>
        </w:rPr>
        <w:t xml:space="preserve">drafting a book for publication is speech protected by the First Amendment. The </w:t>
      </w:r>
      <w:proofErr w:type="spellStart"/>
      <w:r w:rsidRPr="004C6AB1">
        <w:rPr>
          <w:rFonts w:ascii="Times New Roman" w:hAnsi="Times New Roman" w:cs="Times New Roman"/>
          <w:i/>
          <w:color w:val="000000"/>
          <w:sz w:val="24"/>
          <w:szCs w:val="24"/>
        </w:rPr>
        <w:t>FirstAmendment</w:t>
      </w:r>
      <w:proofErr w:type="spellEnd"/>
      <w:r w:rsidRPr="004C6AB1">
        <w:rPr>
          <w:rFonts w:ascii="Times New Roman" w:hAnsi="Times New Roman" w:cs="Times New Roman"/>
          <w:i/>
          <w:color w:val="000000"/>
          <w:sz w:val="24"/>
          <w:szCs w:val="24"/>
        </w:rPr>
        <w:t xml:space="preserve"> encompasses the freedoms “to speak, write, print [and] distribute information or opinion,” </w:t>
      </w:r>
      <w:r w:rsidRPr="004C6AB1">
        <w:rPr>
          <w:rFonts w:ascii="Times New Roman" w:hAnsi="Times New Roman" w:cs="Times New Roman"/>
          <w:i/>
          <w:iCs/>
          <w:color w:val="000000"/>
          <w:sz w:val="24"/>
          <w:szCs w:val="24"/>
        </w:rPr>
        <w:t>Schneider v. State of New Jersey, Town  of Irvington</w:t>
      </w:r>
      <w:r w:rsidRPr="004C6AB1">
        <w:rPr>
          <w:rFonts w:ascii="Times New Roman" w:hAnsi="Times New Roman" w:cs="Times New Roman"/>
          <w:i/>
          <w:color w:val="000000"/>
          <w:sz w:val="24"/>
          <w:szCs w:val="24"/>
        </w:rPr>
        <w:t xml:space="preserve">, 308 U.S. 147, 160 (1939), and “the right to publish is central to the First Amendment and basic to the existence of constitutional democracy.” </w:t>
      </w:r>
      <w:proofErr w:type="spellStart"/>
      <w:r w:rsidRPr="004C6AB1">
        <w:rPr>
          <w:rFonts w:ascii="Times New Roman" w:hAnsi="Times New Roman" w:cs="Times New Roman"/>
          <w:i/>
          <w:iCs/>
          <w:color w:val="000000"/>
          <w:sz w:val="24"/>
          <w:szCs w:val="24"/>
        </w:rPr>
        <w:t>Branzburg</w:t>
      </w:r>
      <w:proofErr w:type="spellEnd"/>
      <w:r w:rsidRPr="004C6AB1">
        <w:rPr>
          <w:rFonts w:ascii="Times New Roman" w:hAnsi="Times New Roman" w:cs="Times New Roman"/>
          <w:i/>
          <w:iCs/>
          <w:color w:val="000000"/>
          <w:sz w:val="24"/>
          <w:szCs w:val="24"/>
        </w:rPr>
        <w:t xml:space="preserve"> v. Hayes</w:t>
      </w:r>
      <w:r w:rsidRPr="004C6AB1">
        <w:rPr>
          <w:rFonts w:ascii="Times New Roman" w:hAnsi="Times New Roman" w:cs="Times New Roman"/>
          <w:i/>
          <w:color w:val="000000"/>
          <w:sz w:val="24"/>
          <w:szCs w:val="24"/>
        </w:rPr>
        <w:t>, 408 U.S. 665, 727 (1972)”</w:t>
      </w:r>
      <w:r w:rsidRPr="004C6AB1">
        <w:rPr>
          <w:rFonts w:ascii="Times New Roman" w:hAnsi="Times New Roman" w:cs="Times New Roman"/>
          <w:color w:val="000000"/>
          <w:sz w:val="24"/>
          <w:szCs w:val="24"/>
        </w:rPr>
        <w:t>.</w:t>
      </w:r>
      <w:r w:rsidR="00F82F02" w:rsidRPr="00F82F02">
        <w:rPr>
          <w:rFonts w:ascii="Times New Roman" w:hAnsi="Times New Roman" w:cs="Times New Roman"/>
          <w:color w:val="000000"/>
          <w:sz w:val="24"/>
          <w:szCs w:val="24"/>
        </w:rPr>
        <w:t xml:space="preserve"> </w:t>
      </w:r>
      <w:r w:rsidR="00F82F02" w:rsidRPr="004469A9">
        <w:rPr>
          <w:rFonts w:ascii="Times New Roman" w:hAnsi="Times New Roman" w:cs="Times New Roman"/>
          <w:color w:val="000000"/>
          <w:sz w:val="24"/>
          <w:szCs w:val="24"/>
        </w:rPr>
        <w:t>[Pg.</w:t>
      </w:r>
      <w:r w:rsidR="00F82F02">
        <w:rPr>
          <w:rFonts w:ascii="Times New Roman" w:hAnsi="Times New Roman" w:cs="Times New Roman"/>
          <w:color w:val="000000"/>
          <w:sz w:val="24"/>
          <w:szCs w:val="24"/>
        </w:rPr>
        <w:t>13 of the Memorandum of Law dated 07/20/2020</w:t>
      </w:r>
      <w:r w:rsidR="00F82F02" w:rsidRPr="004469A9">
        <w:rPr>
          <w:rFonts w:ascii="Times New Roman" w:hAnsi="Times New Roman" w:cs="Times New Roman"/>
          <w:color w:val="000000"/>
          <w:sz w:val="24"/>
          <w:szCs w:val="24"/>
        </w:rPr>
        <w:t>]</w:t>
      </w:r>
      <w:r w:rsidR="00F82F02">
        <w:rPr>
          <w:rFonts w:ascii="Times New Roman" w:hAnsi="Times New Roman" w:cs="Times New Roman"/>
          <w:color w:val="000000"/>
          <w:sz w:val="24"/>
          <w:szCs w:val="24"/>
        </w:rPr>
        <w:t>.</w:t>
      </w:r>
      <w:r w:rsidRPr="004C6AB1">
        <w:rPr>
          <w:rFonts w:ascii="Times New Roman" w:hAnsi="Times New Roman" w:cs="Times New Roman"/>
          <w:color w:val="000000"/>
          <w:sz w:val="24"/>
          <w:szCs w:val="24"/>
        </w:rPr>
        <w:t xml:space="preserve"> The Petitioner also submitted that the </w:t>
      </w:r>
      <w:r w:rsidRPr="00F82F02">
        <w:rPr>
          <w:rFonts w:ascii="Times New Roman" w:hAnsi="Times New Roman" w:cs="Times New Roman"/>
          <w:i/>
          <w:color w:val="000000"/>
          <w:sz w:val="24"/>
          <w:szCs w:val="24"/>
        </w:rPr>
        <w:t xml:space="preserve">“Supreme Court has long made clear “that the free publication and dissemination of books and other forms of the printed word” are First Amendment “protected freedoms.” </w:t>
      </w:r>
      <w:r w:rsidRPr="00F82F02">
        <w:rPr>
          <w:rFonts w:ascii="Times New Roman" w:hAnsi="Times New Roman" w:cs="Times New Roman"/>
          <w:i/>
          <w:iCs/>
          <w:color w:val="000000"/>
          <w:sz w:val="24"/>
          <w:szCs w:val="24"/>
        </w:rPr>
        <w:t>Smith v. People of the State of California</w:t>
      </w:r>
      <w:r w:rsidRPr="00F82F02">
        <w:rPr>
          <w:rFonts w:ascii="Times New Roman" w:hAnsi="Times New Roman" w:cs="Times New Roman"/>
          <w:i/>
          <w:color w:val="000000"/>
          <w:sz w:val="24"/>
          <w:szCs w:val="24"/>
        </w:rPr>
        <w:t>, 361 U.S.</w:t>
      </w:r>
      <w:r w:rsidR="00D37A7A" w:rsidRPr="00F82F02">
        <w:rPr>
          <w:rFonts w:ascii="Times New Roman" w:hAnsi="Times New Roman" w:cs="Times New Roman"/>
          <w:bCs/>
          <w:i/>
          <w:sz w:val="24"/>
          <w:szCs w:val="24"/>
        </w:rPr>
        <w:t xml:space="preserve"> </w:t>
      </w:r>
      <w:r w:rsidRPr="00F82F02">
        <w:rPr>
          <w:rFonts w:ascii="Times New Roman" w:hAnsi="Times New Roman" w:cs="Times New Roman"/>
          <w:i/>
          <w:color w:val="000000"/>
          <w:sz w:val="24"/>
          <w:szCs w:val="24"/>
        </w:rPr>
        <w:t>147, 150 (1959)”</w:t>
      </w:r>
      <w:r w:rsidRPr="004C6AB1">
        <w:rPr>
          <w:rFonts w:ascii="Times New Roman" w:hAnsi="Times New Roman" w:cs="Times New Roman"/>
          <w:color w:val="000000"/>
          <w:sz w:val="24"/>
          <w:szCs w:val="24"/>
        </w:rPr>
        <w:t xml:space="preserve">. In making robust submission in this regard, the Petitioner submitted that his “manuscript, which is critical of the President and promises to reveal new information damaging to the President, sits at the zenith of First Amendment protection. The First Amendment reflects our “profound national commitment to the principle that debate on public issues should be uninhibited, robust, and wide-open, and that it may well include vehement, caustic, and sometimes unpleasantly sharp attacks on government and public officials”—including the President. </w:t>
      </w:r>
      <w:r w:rsidRPr="004C6AB1">
        <w:rPr>
          <w:rFonts w:ascii="Times New Roman" w:hAnsi="Times New Roman" w:cs="Times New Roman"/>
          <w:i/>
          <w:iCs/>
          <w:color w:val="000000"/>
          <w:sz w:val="24"/>
          <w:szCs w:val="24"/>
        </w:rPr>
        <w:t>New York Times Co. v. Sullivan</w:t>
      </w:r>
      <w:r w:rsidRPr="004C6AB1">
        <w:rPr>
          <w:rFonts w:ascii="Times New Roman" w:hAnsi="Times New Roman" w:cs="Times New Roman"/>
          <w:color w:val="000000"/>
          <w:sz w:val="24"/>
          <w:szCs w:val="24"/>
        </w:rPr>
        <w:t xml:space="preserve">, 376 U.S. 254, 269(1964). Such speech “is more than self-expression; it is the essence of self-government.” </w:t>
      </w:r>
      <w:r w:rsidRPr="004C6AB1">
        <w:rPr>
          <w:rFonts w:ascii="Times New Roman" w:hAnsi="Times New Roman" w:cs="Times New Roman"/>
          <w:i/>
          <w:iCs/>
          <w:color w:val="000000"/>
          <w:sz w:val="24"/>
          <w:szCs w:val="24"/>
        </w:rPr>
        <w:t>Garrison v.</w:t>
      </w:r>
      <w:r w:rsidRPr="004C6AB1">
        <w:rPr>
          <w:rFonts w:ascii="Times New Roman" w:hAnsi="Times New Roman" w:cs="Times New Roman"/>
          <w:color w:val="000000"/>
          <w:sz w:val="24"/>
          <w:szCs w:val="24"/>
        </w:rPr>
        <w:t xml:space="preserve"> </w:t>
      </w:r>
      <w:r w:rsidRPr="004C6AB1">
        <w:rPr>
          <w:rFonts w:ascii="Times New Roman" w:hAnsi="Times New Roman" w:cs="Times New Roman"/>
          <w:i/>
          <w:iCs/>
          <w:color w:val="000000"/>
          <w:sz w:val="24"/>
          <w:szCs w:val="24"/>
        </w:rPr>
        <w:t>Louisiana</w:t>
      </w:r>
      <w:r w:rsidRPr="004C6AB1">
        <w:rPr>
          <w:rFonts w:ascii="Times New Roman" w:hAnsi="Times New Roman" w:cs="Times New Roman"/>
          <w:color w:val="000000"/>
          <w:sz w:val="24"/>
          <w:szCs w:val="24"/>
        </w:rPr>
        <w:t xml:space="preserve">, 379 U.S. 64, 74–75 (1964)” </w:t>
      </w:r>
    </w:p>
    <w:p w:rsidR="009F2F4F" w:rsidRPr="004C6AB1" w:rsidRDefault="009F2F4F" w:rsidP="004C6AB1">
      <w:pPr>
        <w:autoSpaceDE w:val="0"/>
        <w:autoSpaceDN w:val="0"/>
        <w:adjustRightInd w:val="0"/>
        <w:spacing w:after="0" w:line="240" w:lineRule="auto"/>
        <w:jc w:val="both"/>
        <w:rPr>
          <w:rFonts w:ascii="Times New Roman" w:hAnsi="Times New Roman" w:cs="Times New Roman"/>
          <w:color w:val="000000"/>
          <w:sz w:val="24"/>
          <w:szCs w:val="24"/>
        </w:rPr>
      </w:pPr>
    </w:p>
    <w:p w:rsidR="009F2F4F" w:rsidRPr="004C6AB1" w:rsidRDefault="009F2F4F" w:rsidP="004C6AB1">
      <w:pPr>
        <w:autoSpaceDE w:val="0"/>
        <w:autoSpaceDN w:val="0"/>
        <w:adjustRightInd w:val="0"/>
        <w:spacing w:after="0" w:line="240" w:lineRule="auto"/>
        <w:jc w:val="both"/>
        <w:rPr>
          <w:rFonts w:ascii="Times New Roman" w:hAnsi="Times New Roman" w:cs="Times New Roman"/>
          <w:i/>
          <w:color w:val="000000"/>
          <w:sz w:val="24"/>
          <w:szCs w:val="24"/>
        </w:rPr>
      </w:pPr>
      <w:r w:rsidRPr="004C6AB1">
        <w:rPr>
          <w:rFonts w:ascii="Times New Roman" w:hAnsi="Times New Roman" w:cs="Times New Roman"/>
          <w:color w:val="000000"/>
          <w:sz w:val="24"/>
          <w:szCs w:val="24"/>
        </w:rPr>
        <w:t xml:space="preserve">Furthermore, the Petitioner argued that the prisoners regardless of their status retain the right to write and publish a manuscript. In </w:t>
      </w:r>
      <w:proofErr w:type="spellStart"/>
      <w:r w:rsidRPr="004C6AB1">
        <w:rPr>
          <w:rFonts w:ascii="Times New Roman" w:hAnsi="Times New Roman" w:cs="Times New Roman"/>
          <w:i/>
          <w:iCs/>
          <w:color w:val="000000"/>
          <w:sz w:val="24"/>
          <w:szCs w:val="24"/>
        </w:rPr>
        <w:t>Shaheen</w:t>
      </w:r>
      <w:proofErr w:type="spellEnd"/>
      <w:r w:rsidRPr="004C6AB1">
        <w:rPr>
          <w:rFonts w:ascii="Times New Roman" w:hAnsi="Times New Roman" w:cs="Times New Roman"/>
          <w:i/>
          <w:iCs/>
          <w:color w:val="000000"/>
          <w:sz w:val="24"/>
          <w:szCs w:val="24"/>
        </w:rPr>
        <w:t xml:space="preserve"> v. </w:t>
      </w:r>
      <w:proofErr w:type="spellStart"/>
      <w:r w:rsidRPr="004C6AB1">
        <w:rPr>
          <w:rFonts w:ascii="Times New Roman" w:hAnsi="Times New Roman" w:cs="Times New Roman"/>
          <w:i/>
          <w:iCs/>
          <w:color w:val="000000"/>
          <w:sz w:val="24"/>
          <w:szCs w:val="24"/>
        </w:rPr>
        <w:t>Filion</w:t>
      </w:r>
      <w:proofErr w:type="spellEnd"/>
      <w:r w:rsidRPr="004C6AB1">
        <w:rPr>
          <w:rFonts w:ascii="Times New Roman" w:hAnsi="Times New Roman" w:cs="Times New Roman"/>
          <w:color w:val="000000"/>
          <w:sz w:val="24"/>
          <w:szCs w:val="24"/>
        </w:rPr>
        <w:t xml:space="preserve">, No. 9:04 Civ. 625 (FJS/DRH), 2006 WL 2792739, at *3 (N.D.N.Y. Sept. 17, 2006) the court held that </w:t>
      </w:r>
      <w:r w:rsidRPr="004C6AB1">
        <w:rPr>
          <w:rFonts w:ascii="Times New Roman" w:hAnsi="Times New Roman" w:cs="Times New Roman"/>
          <w:i/>
          <w:color w:val="000000"/>
          <w:sz w:val="24"/>
          <w:szCs w:val="24"/>
        </w:rPr>
        <w:t xml:space="preserve">“writing of articles critical of . . . officials” is “clearly [an] </w:t>
      </w:r>
      <w:proofErr w:type="gramStart"/>
      <w:r w:rsidRPr="004C6AB1">
        <w:rPr>
          <w:rFonts w:ascii="Times New Roman" w:hAnsi="Times New Roman" w:cs="Times New Roman"/>
          <w:i/>
          <w:color w:val="000000"/>
          <w:sz w:val="24"/>
          <w:szCs w:val="24"/>
        </w:rPr>
        <w:t>assertion[</w:t>
      </w:r>
      <w:proofErr w:type="gramEnd"/>
      <w:r w:rsidRPr="004C6AB1">
        <w:rPr>
          <w:rFonts w:ascii="Times New Roman" w:hAnsi="Times New Roman" w:cs="Times New Roman"/>
          <w:i/>
          <w:color w:val="000000"/>
          <w:sz w:val="24"/>
          <w:szCs w:val="24"/>
        </w:rPr>
        <w:t>] of [a prisoner’s] constitutional rights protected by the First Amendment.”</w:t>
      </w:r>
      <w:r w:rsidRPr="004C6AB1">
        <w:rPr>
          <w:rFonts w:ascii="Times New Roman" w:hAnsi="Times New Roman" w:cs="Times New Roman"/>
          <w:color w:val="000000"/>
          <w:sz w:val="24"/>
          <w:szCs w:val="24"/>
        </w:rPr>
        <w:t xml:space="preserve">  Arguing further in this line, the Petitioner submitted that a prisoner’s </w:t>
      </w:r>
      <w:r w:rsidRPr="004C6AB1">
        <w:rPr>
          <w:rFonts w:ascii="Times New Roman" w:hAnsi="Times New Roman" w:cs="Times New Roman"/>
          <w:i/>
          <w:color w:val="000000"/>
          <w:sz w:val="24"/>
          <w:szCs w:val="24"/>
        </w:rPr>
        <w:t>“[f]</w:t>
      </w:r>
      <w:proofErr w:type="spellStart"/>
      <w:r w:rsidRPr="004C6AB1">
        <w:rPr>
          <w:rFonts w:ascii="Times New Roman" w:hAnsi="Times New Roman" w:cs="Times New Roman"/>
          <w:i/>
          <w:color w:val="000000"/>
          <w:sz w:val="24"/>
          <w:szCs w:val="24"/>
        </w:rPr>
        <w:t>reedom</w:t>
      </w:r>
      <w:proofErr w:type="spellEnd"/>
      <w:r w:rsidRPr="004C6AB1">
        <w:rPr>
          <w:rFonts w:ascii="Times New Roman" w:hAnsi="Times New Roman" w:cs="Times New Roman"/>
          <w:i/>
          <w:color w:val="000000"/>
          <w:sz w:val="24"/>
          <w:szCs w:val="24"/>
        </w:rPr>
        <w:t xml:space="preserve"> of expression encompasses the publication and dissemination of written materials</w:t>
      </w:r>
      <w:r w:rsidRPr="004C6AB1">
        <w:rPr>
          <w:rFonts w:ascii="Times New Roman" w:hAnsi="Times New Roman" w:cs="Times New Roman"/>
          <w:color w:val="000000"/>
          <w:sz w:val="24"/>
          <w:szCs w:val="24"/>
        </w:rPr>
        <w:t xml:space="preserve">,” and courts have decided in </w:t>
      </w:r>
      <w:r w:rsidRPr="004C6AB1">
        <w:rPr>
          <w:rFonts w:ascii="Times New Roman" w:hAnsi="Times New Roman" w:cs="Times New Roman"/>
          <w:i/>
          <w:iCs/>
          <w:color w:val="000000"/>
          <w:sz w:val="24"/>
          <w:szCs w:val="24"/>
        </w:rPr>
        <w:t>Jordan v. Pugh</w:t>
      </w:r>
      <w:r w:rsidRPr="004C6AB1">
        <w:rPr>
          <w:rFonts w:ascii="Times New Roman" w:hAnsi="Times New Roman" w:cs="Times New Roman"/>
          <w:color w:val="000000"/>
          <w:sz w:val="24"/>
          <w:szCs w:val="24"/>
        </w:rPr>
        <w:t xml:space="preserve">, 504 F. Supp. 2d 1109, 1118, 1126 (D. Colo.2007) that BOP’s attempts to prohibit prisoners from writing for publication would </w:t>
      </w:r>
      <w:r w:rsidRPr="004C6AB1">
        <w:rPr>
          <w:rFonts w:ascii="Times New Roman" w:hAnsi="Times New Roman" w:cs="Times New Roman"/>
          <w:i/>
          <w:color w:val="000000"/>
          <w:sz w:val="24"/>
          <w:szCs w:val="24"/>
        </w:rPr>
        <w:t>“</w:t>
      </w:r>
      <w:proofErr w:type="gramStart"/>
      <w:r w:rsidRPr="004C6AB1">
        <w:rPr>
          <w:rFonts w:ascii="Times New Roman" w:hAnsi="Times New Roman" w:cs="Times New Roman"/>
          <w:i/>
          <w:color w:val="000000"/>
          <w:sz w:val="24"/>
          <w:szCs w:val="24"/>
        </w:rPr>
        <w:t>violate[</w:t>
      </w:r>
      <w:proofErr w:type="gramEnd"/>
      <w:r w:rsidRPr="004C6AB1">
        <w:rPr>
          <w:rFonts w:ascii="Times New Roman" w:hAnsi="Times New Roman" w:cs="Times New Roman"/>
          <w:i/>
          <w:color w:val="000000"/>
          <w:sz w:val="24"/>
          <w:szCs w:val="24"/>
        </w:rPr>
        <w:t xml:space="preserve">] the First Amendment rights of . . . inmates in federal institutions, and the press.” </w:t>
      </w:r>
    </w:p>
    <w:p w:rsidR="009F2F4F" w:rsidRPr="004C6AB1" w:rsidRDefault="009F2F4F" w:rsidP="004C6AB1">
      <w:pPr>
        <w:autoSpaceDE w:val="0"/>
        <w:autoSpaceDN w:val="0"/>
        <w:adjustRightInd w:val="0"/>
        <w:spacing w:after="0" w:line="240" w:lineRule="auto"/>
        <w:jc w:val="both"/>
        <w:rPr>
          <w:rFonts w:ascii="Times New Roman" w:hAnsi="Times New Roman" w:cs="Times New Roman"/>
          <w:color w:val="000000"/>
          <w:sz w:val="24"/>
          <w:szCs w:val="24"/>
        </w:rPr>
      </w:pPr>
    </w:p>
    <w:p w:rsidR="002678C7" w:rsidRPr="004C6AB1" w:rsidRDefault="002678C7" w:rsidP="004C6AB1">
      <w:pPr>
        <w:autoSpaceDE w:val="0"/>
        <w:autoSpaceDN w:val="0"/>
        <w:adjustRightInd w:val="0"/>
        <w:spacing w:after="0" w:line="240" w:lineRule="auto"/>
        <w:jc w:val="both"/>
        <w:rPr>
          <w:rFonts w:ascii="Times New Roman" w:hAnsi="Times New Roman" w:cs="Times New Roman"/>
          <w:sz w:val="24"/>
          <w:szCs w:val="24"/>
        </w:rPr>
      </w:pPr>
      <w:r w:rsidRPr="004C6AB1">
        <w:rPr>
          <w:rFonts w:ascii="Times New Roman" w:hAnsi="Times New Roman" w:cs="Times New Roman"/>
          <w:color w:val="000000"/>
          <w:sz w:val="24"/>
          <w:szCs w:val="24"/>
        </w:rPr>
        <w:t xml:space="preserve">The Petitioner must also show that the protected speech led to the Respondent’s adverse action(s). In this regard, the record strongly shows that </w:t>
      </w:r>
      <w:proofErr w:type="spellStart"/>
      <w:r w:rsidRPr="004C6AB1">
        <w:rPr>
          <w:rFonts w:ascii="Times New Roman" w:hAnsi="Times New Roman" w:cs="Times New Roman"/>
          <w:color w:val="000000"/>
          <w:sz w:val="24"/>
          <w:szCs w:val="24"/>
        </w:rPr>
        <w:t>Mr</w:t>
      </w:r>
      <w:proofErr w:type="spellEnd"/>
      <w:r w:rsidRPr="004C6AB1">
        <w:rPr>
          <w:rFonts w:ascii="Times New Roman" w:hAnsi="Times New Roman" w:cs="Times New Roman"/>
          <w:color w:val="000000"/>
          <w:sz w:val="24"/>
          <w:szCs w:val="24"/>
        </w:rPr>
        <w:t xml:space="preserve"> Cohen’s announcement of his book led </w:t>
      </w:r>
      <w:r w:rsidR="00F06EDF" w:rsidRPr="004C6AB1">
        <w:rPr>
          <w:rFonts w:ascii="Times New Roman" w:hAnsi="Times New Roman" w:cs="Times New Roman"/>
          <w:color w:val="000000"/>
          <w:sz w:val="24"/>
          <w:szCs w:val="24"/>
        </w:rPr>
        <w:t xml:space="preserve">to </w:t>
      </w:r>
      <w:r w:rsidRPr="004C6AB1">
        <w:rPr>
          <w:rFonts w:ascii="Times New Roman" w:hAnsi="Times New Roman" w:cs="Times New Roman"/>
          <w:color w:val="000000"/>
          <w:sz w:val="24"/>
          <w:szCs w:val="24"/>
        </w:rPr>
        <w:t xml:space="preserve">his being remanded in the custody by the Respondents. </w:t>
      </w:r>
      <w:r w:rsidR="00F06EDF" w:rsidRPr="004C6AB1">
        <w:rPr>
          <w:rFonts w:ascii="Times New Roman" w:hAnsi="Times New Roman" w:cs="Times New Roman"/>
          <w:color w:val="000000"/>
          <w:sz w:val="24"/>
          <w:szCs w:val="24"/>
        </w:rPr>
        <w:t xml:space="preserve">On July 2, 2020, the Petitioner tweeted that he was already finalizing the book which would be a tell-all book about his experience with Mr. Trump, while on July 9, 2020 he was remanded by the Respondents. In </w:t>
      </w:r>
      <w:proofErr w:type="spellStart"/>
      <w:r w:rsidR="00F06EDF" w:rsidRPr="004C6AB1">
        <w:rPr>
          <w:rFonts w:ascii="Times New Roman" w:hAnsi="Times New Roman" w:cs="Times New Roman"/>
          <w:i/>
          <w:iCs/>
          <w:sz w:val="24"/>
          <w:szCs w:val="24"/>
        </w:rPr>
        <w:t>Espinal</w:t>
      </w:r>
      <w:proofErr w:type="spellEnd"/>
      <w:r w:rsidR="00F06EDF" w:rsidRPr="004C6AB1">
        <w:rPr>
          <w:rFonts w:ascii="Times New Roman" w:hAnsi="Times New Roman" w:cs="Times New Roman"/>
          <w:i/>
          <w:iCs/>
          <w:sz w:val="24"/>
          <w:szCs w:val="24"/>
        </w:rPr>
        <w:t xml:space="preserve"> v. </w:t>
      </w:r>
      <w:proofErr w:type="spellStart"/>
      <w:r w:rsidR="00F06EDF" w:rsidRPr="004C6AB1">
        <w:rPr>
          <w:rFonts w:ascii="Times New Roman" w:hAnsi="Times New Roman" w:cs="Times New Roman"/>
          <w:i/>
          <w:iCs/>
          <w:sz w:val="24"/>
          <w:szCs w:val="24"/>
        </w:rPr>
        <w:t>Goord</w:t>
      </w:r>
      <w:proofErr w:type="spellEnd"/>
      <w:r w:rsidR="00F06EDF" w:rsidRPr="004C6AB1">
        <w:rPr>
          <w:rFonts w:ascii="Times New Roman" w:hAnsi="Times New Roman" w:cs="Times New Roman"/>
          <w:sz w:val="24"/>
          <w:szCs w:val="24"/>
        </w:rPr>
        <w:t xml:space="preserve">, 558 F.3d </w:t>
      </w:r>
      <w:r w:rsidR="00F06EDF" w:rsidRPr="004C6AB1">
        <w:rPr>
          <w:rFonts w:ascii="Times New Roman" w:hAnsi="Times New Roman" w:cs="Times New Roman"/>
          <w:sz w:val="24"/>
          <w:szCs w:val="24"/>
        </w:rPr>
        <w:lastRenderedPageBreak/>
        <w:t>119, 129 (2d Cir. 2009) the court held that “</w:t>
      </w:r>
      <w:r w:rsidR="00F06EDF" w:rsidRPr="00F82F02">
        <w:rPr>
          <w:rFonts w:ascii="Times New Roman" w:hAnsi="Times New Roman" w:cs="Times New Roman"/>
          <w:i/>
          <w:sz w:val="24"/>
          <w:szCs w:val="24"/>
        </w:rPr>
        <w:t>A Petitioner can establish a causal connection that suggests retaliation by showing that protected activity was close in time to the adverse action.”</w:t>
      </w:r>
      <w:r w:rsidR="00F06EDF" w:rsidRPr="004C6AB1">
        <w:rPr>
          <w:rFonts w:ascii="Times New Roman" w:hAnsi="Times New Roman" w:cs="Times New Roman"/>
          <w:sz w:val="24"/>
          <w:szCs w:val="24"/>
        </w:rPr>
        <w:t xml:space="preserve"> </w:t>
      </w:r>
      <w:proofErr w:type="spellStart"/>
      <w:r w:rsidR="00F06EDF" w:rsidRPr="004C6AB1">
        <w:rPr>
          <w:rFonts w:ascii="Times New Roman" w:hAnsi="Times New Roman" w:cs="Times New Roman"/>
          <w:i/>
          <w:iCs/>
          <w:sz w:val="24"/>
          <w:szCs w:val="24"/>
        </w:rPr>
        <w:t>Espinal</w:t>
      </w:r>
      <w:proofErr w:type="spellEnd"/>
      <w:r w:rsidR="00F06EDF" w:rsidRPr="004C6AB1">
        <w:rPr>
          <w:rFonts w:ascii="Times New Roman" w:hAnsi="Times New Roman" w:cs="Times New Roman"/>
          <w:i/>
          <w:iCs/>
          <w:sz w:val="24"/>
          <w:szCs w:val="24"/>
        </w:rPr>
        <w:t xml:space="preserve"> v. </w:t>
      </w:r>
      <w:proofErr w:type="spellStart"/>
      <w:r w:rsidR="00F06EDF" w:rsidRPr="004C6AB1">
        <w:rPr>
          <w:rFonts w:ascii="Times New Roman" w:hAnsi="Times New Roman" w:cs="Times New Roman"/>
          <w:i/>
          <w:iCs/>
          <w:sz w:val="24"/>
          <w:szCs w:val="24"/>
        </w:rPr>
        <w:t>Goord</w:t>
      </w:r>
      <w:proofErr w:type="spellEnd"/>
      <w:r w:rsidR="00F06EDF" w:rsidRPr="004C6AB1">
        <w:rPr>
          <w:rFonts w:ascii="Times New Roman" w:hAnsi="Times New Roman" w:cs="Times New Roman"/>
          <w:sz w:val="24"/>
          <w:szCs w:val="24"/>
        </w:rPr>
        <w:t xml:space="preserve">, 558 F.3d 119, 129 (2d Cir. 2009). The court further held that even with the passage of six months between protected conduct and adverse action, causation can still be inferred. The Petitioner therefore submitted that that </w:t>
      </w:r>
      <w:r w:rsidR="002A6A60" w:rsidRPr="004C6AB1">
        <w:rPr>
          <w:rFonts w:ascii="Times New Roman" w:hAnsi="Times New Roman" w:cs="Times New Roman"/>
          <w:sz w:val="24"/>
          <w:szCs w:val="24"/>
        </w:rPr>
        <w:t xml:space="preserve">his book and announcement about it led to his re-confinement to custody by the Respondents. </w:t>
      </w:r>
      <w:r w:rsidR="00F06EDF" w:rsidRPr="004C6AB1">
        <w:rPr>
          <w:rFonts w:ascii="Times New Roman" w:hAnsi="Times New Roman" w:cs="Times New Roman"/>
          <w:sz w:val="24"/>
          <w:szCs w:val="24"/>
        </w:rPr>
        <w:t xml:space="preserve"> </w:t>
      </w:r>
    </w:p>
    <w:p w:rsidR="009F2F4F" w:rsidRPr="004C6AB1" w:rsidRDefault="009F2F4F" w:rsidP="004C6AB1">
      <w:pPr>
        <w:autoSpaceDE w:val="0"/>
        <w:autoSpaceDN w:val="0"/>
        <w:adjustRightInd w:val="0"/>
        <w:spacing w:after="0" w:line="240" w:lineRule="auto"/>
        <w:jc w:val="both"/>
        <w:rPr>
          <w:rFonts w:ascii="Times New Roman" w:hAnsi="Times New Roman" w:cs="Times New Roman"/>
          <w:sz w:val="24"/>
          <w:szCs w:val="24"/>
        </w:rPr>
      </w:pPr>
      <w:r w:rsidRPr="004C6AB1">
        <w:rPr>
          <w:rFonts w:ascii="Times New Roman" w:hAnsi="Times New Roman" w:cs="Times New Roman"/>
          <w:sz w:val="24"/>
          <w:szCs w:val="24"/>
        </w:rPr>
        <w:t xml:space="preserve"> </w:t>
      </w:r>
    </w:p>
    <w:p w:rsidR="00F21DCB" w:rsidRPr="004C6AB1" w:rsidRDefault="00F06EDF" w:rsidP="004C6AB1">
      <w:pPr>
        <w:autoSpaceDE w:val="0"/>
        <w:autoSpaceDN w:val="0"/>
        <w:adjustRightInd w:val="0"/>
        <w:spacing w:after="0" w:line="240" w:lineRule="auto"/>
        <w:jc w:val="both"/>
        <w:rPr>
          <w:rFonts w:ascii="Times New Roman" w:hAnsi="Times New Roman" w:cs="Times New Roman"/>
          <w:color w:val="000000"/>
          <w:sz w:val="24"/>
          <w:szCs w:val="24"/>
        </w:rPr>
      </w:pPr>
      <w:r w:rsidRPr="004C6AB1">
        <w:rPr>
          <w:rFonts w:ascii="Times New Roman" w:hAnsi="Times New Roman" w:cs="Times New Roman"/>
          <w:color w:val="000000"/>
          <w:sz w:val="24"/>
          <w:szCs w:val="24"/>
        </w:rPr>
        <w:t xml:space="preserve">The Petitioner </w:t>
      </w:r>
      <w:r w:rsidR="002A6A60" w:rsidRPr="004C6AB1">
        <w:rPr>
          <w:rFonts w:ascii="Times New Roman" w:hAnsi="Times New Roman" w:cs="Times New Roman"/>
          <w:color w:val="000000"/>
          <w:sz w:val="24"/>
          <w:szCs w:val="24"/>
        </w:rPr>
        <w:t xml:space="preserve">further </w:t>
      </w:r>
      <w:r w:rsidR="00F21DCB" w:rsidRPr="004C6AB1">
        <w:rPr>
          <w:rFonts w:ascii="Times New Roman" w:hAnsi="Times New Roman" w:cs="Times New Roman"/>
          <w:color w:val="000000"/>
          <w:sz w:val="24"/>
          <w:szCs w:val="24"/>
        </w:rPr>
        <w:t xml:space="preserve">cited the case of </w:t>
      </w:r>
      <w:proofErr w:type="spellStart"/>
      <w:r w:rsidR="00F21DCB" w:rsidRPr="004C6AB1">
        <w:rPr>
          <w:rFonts w:ascii="Times New Roman" w:hAnsi="Times New Roman" w:cs="Times New Roman"/>
          <w:i/>
          <w:iCs/>
          <w:color w:val="000000"/>
          <w:sz w:val="24"/>
          <w:szCs w:val="24"/>
        </w:rPr>
        <w:t>Ragbir</w:t>
      </w:r>
      <w:proofErr w:type="spellEnd"/>
      <w:r w:rsidR="00F21DCB" w:rsidRPr="004C6AB1">
        <w:rPr>
          <w:rFonts w:ascii="Times New Roman" w:hAnsi="Times New Roman" w:cs="Times New Roman"/>
          <w:i/>
          <w:iCs/>
          <w:color w:val="000000"/>
          <w:sz w:val="24"/>
          <w:szCs w:val="24"/>
        </w:rPr>
        <w:t xml:space="preserve"> v. Homan </w:t>
      </w:r>
      <w:r w:rsidR="00F21DCB" w:rsidRPr="004C6AB1">
        <w:rPr>
          <w:rFonts w:ascii="Times New Roman" w:hAnsi="Times New Roman" w:cs="Times New Roman"/>
          <w:iCs/>
          <w:color w:val="000000"/>
          <w:sz w:val="24"/>
          <w:szCs w:val="24"/>
        </w:rPr>
        <w:t xml:space="preserve">which is very relevant to this case. In the </w:t>
      </w:r>
      <w:proofErr w:type="spellStart"/>
      <w:r w:rsidR="00F21DCB" w:rsidRPr="004C6AB1">
        <w:rPr>
          <w:rFonts w:ascii="Times New Roman" w:hAnsi="Times New Roman" w:cs="Times New Roman"/>
          <w:i/>
          <w:iCs/>
          <w:color w:val="000000"/>
          <w:sz w:val="24"/>
          <w:szCs w:val="24"/>
        </w:rPr>
        <w:t>Ragbir</w:t>
      </w:r>
      <w:r w:rsidR="00F21DCB" w:rsidRPr="004C6AB1">
        <w:rPr>
          <w:rFonts w:ascii="Times New Roman" w:hAnsi="Times New Roman" w:cs="Times New Roman"/>
          <w:iCs/>
          <w:color w:val="000000"/>
          <w:sz w:val="24"/>
          <w:szCs w:val="24"/>
        </w:rPr>
        <w:t>’s</w:t>
      </w:r>
      <w:proofErr w:type="spellEnd"/>
      <w:r w:rsidR="00F21DCB" w:rsidRPr="004C6AB1">
        <w:rPr>
          <w:rFonts w:ascii="Times New Roman" w:hAnsi="Times New Roman" w:cs="Times New Roman"/>
          <w:iCs/>
          <w:color w:val="000000"/>
          <w:sz w:val="24"/>
          <w:szCs w:val="24"/>
        </w:rPr>
        <w:t xml:space="preserve"> case</w:t>
      </w:r>
      <w:r w:rsidR="00F21DCB" w:rsidRPr="004C6AB1">
        <w:rPr>
          <w:rFonts w:ascii="Times New Roman" w:hAnsi="Times New Roman" w:cs="Times New Roman"/>
          <w:color w:val="000000"/>
          <w:sz w:val="24"/>
          <w:szCs w:val="24"/>
        </w:rPr>
        <w:t xml:space="preserve"> where a known  immigration activist filed a </w:t>
      </w:r>
      <w:r w:rsidR="00F21DCB" w:rsidRPr="004C6AB1">
        <w:rPr>
          <w:rFonts w:ascii="Times New Roman" w:hAnsi="Times New Roman" w:cs="Times New Roman"/>
          <w:i/>
          <w:iCs/>
          <w:color w:val="000000"/>
          <w:sz w:val="24"/>
          <w:szCs w:val="24"/>
        </w:rPr>
        <w:t xml:space="preserve">habeas </w:t>
      </w:r>
      <w:r w:rsidR="00F21DCB" w:rsidRPr="004C6AB1">
        <w:rPr>
          <w:rFonts w:ascii="Times New Roman" w:hAnsi="Times New Roman" w:cs="Times New Roman"/>
          <w:color w:val="000000"/>
          <w:sz w:val="24"/>
          <w:szCs w:val="24"/>
        </w:rPr>
        <w:t xml:space="preserve">petition alleging that the federal government sought to remove him from the United States in retaliation for his public criticism of U.S. immigration officials and systems the Second Circuit held that a </w:t>
      </w:r>
      <w:r w:rsidR="00F21DCB" w:rsidRPr="004C6AB1">
        <w:rPr>
          <w:rFonts w:ascii="Times New Roman" w:hAnsi="Times New Roman" w:cs="Times New Roman"/>
          <w:i/>
          <w:color w:val="000000"/>
          <w:sz w:val="24"/>
          <w:szCs w:val="24"/>
        </w:rPr>
        <w:t xml:space="preserve">“plausible, clear inference is drawn that </w:t>
      </w:r>
      <w:proofErr w:type="spellStart"/>
      <w:r w:rsidR="00F21DCB" w:rsidRPr="004C6AB1">
        <w:rPr>
          <w:rFonts w:ascii="Times New Roman" w:hAnsi="Times New Roman" w:cs="Times New Roman"/>
          <w:i/>
          <w:color w:val="000000"/>
          <w:sz w:val="24"/>
          <w:szCs w:val="24"/>
        </w:rPr>
        <w:t>Ragbir’s</w:t>
      </w:r>
      <w:proofErr w:type="spellEnd"/>
      <w:r w:rsidR="00F21DCB" w:rsidRPr="004C6AB1">
        <w:rPr>
          <w:rFonts w:ascii="Times New Roman" w:hAnsi="Times New Roman" w:cs="Times New Roman"/>
          <w:i/>
          <w:color w:val="000000"/>
          <w:sz w:val="24"/>
          <w:szCs w:val="24"/>
        </w:rPr>
        <w:t xml:space="preserve"> public expression of his criticism, and its prominence, played a significant role in the recent attempts to remove him” because of statements government officials made about the activist’s protected protests”</w:t>
      </w:r>
      <w:r w:rsidR="00414347" w:rsidRPr="00414347">
        <w:rPr>
          <w:rFonts w:ascii="Times New Roman" w:hAnsi="Times New Roman" w:cs="Times New Roman"/>
          <w:color w:val="000000"/>
          <w:sz w:val="24"/>
          <w:szCs w:val="24"/>
        </w:rPr>
        <w:t xml:space="preserve"> </w:t>
      </w:r>
      <w:r w:rsidR="00414347" w:rsidRPr="004469A9">
        <w:rPr>
          <w:rFonts w:ascii="Times New Roman" w:hAnsi="Times New Roman" w:cs="Times New Roman"/>
          <w:color w:val="000000"/>
          <w:sz w:val="24"/>
          <w:szCs w:val="24"/>
        </w:rPr>
        <w:t>[Pg.</w:t>
      </w:r>
      <w:r w:rsidR="00414347">
        <w:rPr>
          <w:rFonts w:ascii="Times New Roman" w:hAnsi="Times New Roman" w:cs="Times New Roman"/>
          <w:color w:val="000000"/>
          <w:sz w:val="24"/>
          <w:szCs w:val="24"/>
        </w:rPr>
        <w:t>20 of the Memorandum of Law dated 07/20/2020</w:t>
      </w:r>
      <w:r w:rsidR="00414347" w:rsidRPr="004469A9">
        <w:rPr>
          <w:rFonts w:ascii="Times New Roman" w:hAnsi="Times New Roman" w:cs="Times New Roman"/>
          <w:color w:val="000000"/>
          <w:sz w:val="24"/>
          <w:szCs w:val="24"/>
        </w:rPr>
        <w:t>]</w:t>
      </w:r>
      <w:r w:rsidR="00F21DCB" w:rsidRPr="004C6AB1">
        <w:rPr>
          <w:rFonts w:ascii="Times New Roman" w:hAnsi="Times New Roman" w:cs="Times New Roman"/>
          <w:color w:val="000000"/>
          <w:sz w:val="24"/>
          <w:szCs w:val="24"/>
        </w:rPr>
        <w:t>. The Petitioner therefore submitted that Respondents were aware that the Petitioner was a writing a book critical of the President and the actions they decided to remanding him to prevent him from publishing the book which came in the way of his First Amendment right.</w:t>
      </w:r>
      <w:r w:rsidR="002A6A60" w:rsidRPr="004C6AB1">
        <w:rPr>
          <w:rFonts w:ascii="Times New Roman" w:hAnsi="Times New Roman" w:cs="Times New Roman"/>
          <w:color w:val="000000"/>
          <w:sz w:val="24"/>
          <w:szCs w:val="24"/>
        </w:rPr>
        <w:t xml:space="preserve"> The Petitioner therefore submitted that he would likely succeed on merits. </w:t>
      </w:r>
    </w:p>
    <w:p w:rsidR="00CC4624" w:rsidRPr="004C6AB1" w:rsidRDefault="00CC4624" w:rsidP="004C6AB1">
      <w:pPr>
        <w:autoSpaceDE w:val="0"/>
        <w:autoSpaceDN w:val="0"/>
        <w:adjustRightInd w:val="0"/>
        <w:spacing w:after="0" w:line="240" w:lineRule="auto"/>
        <w:jc w:val="both"/>
        <w:rPr>
          <w:rFonts w:ascii="Times New Roman" w:hAnsi="Times New Roman" w:cs="Times New Roman"/>
          <w:color w:val="000000"/>
          <w:sz w:val="24"/>
          <w:szCs w:val="24"/>
        </w:rPr>
      </w:pPr>
    </w:p>
    <w:p w:rsidR="00CC4624" w:rsidRPr="004C6AB1" w:rsidRDefault="00CC4624" w:rsidP="004C6AB1">
      <w:pPr>
        <w:autoSpaceDE w:val="0"/>
        <w:autoSpaceDN w:val="0"/>
        <w:adjustRightInd w:val="0"/>
        <w:spacing w:after="0" w:line="240" w:lineRule="auto"/>
        <w:jc w:val="both"/>
        <w:rPr>
          <w:rFonts w:ascii="Times New Roman" w:hAnsi="Times New Roman" w:cs="Times New Roman"/>
          <w:i/>
          <w:color w:val="000000"/>
          <w:sz w:val="24"/>
          <w:szCs w:val="24"/>
        </w:rPr>
      </w:pPr>
      <w:r w:rsidRPr="004C6AB1">
        <w:rPr>
          <w:rFonts w:ascii="Times New Roman" w:hAnsi="Times New Roman" w:cs="Times New Roman"/>
          <w:i/>
          <w:color w:val="000000"/>
          <w:sz w:val="24"/>
          <w:szCs w:val="24"/>
        </w:rPr>
        <w:t>Irreparable Harm</w:t>
      </w:r>
    </w:p>
    <w:p w:rsidR="002A6A60" w:rsidRPr="004C6AB1" w:rsidRDefault="002A6A60" w:rsidP="004C6AB1">
      <w:pPr>
        <w:autoSpaceDE w:val="0"/>
        <w:autoSpaceDN w:val="0"/>
        <w:adjustRightInd w:val="0"/>
        <w:spacing w:after="0" w:line="240" w:lineRule="auto"/>
        <w:jc w:val="both"/>
        <w:rPr>
          <w:rFonts w:ascii="Times New Roman" w:hAnsi="Times New Roman" w:cs="Times New Roman"/>
          <w:color w:val="000000"/>
          <w:sz w:val="24"/>
          <w:szCs w:val="24"/>
        </w:rPr>
      </w:pPr>
    </w:p>
    <w:p w:rsidR="002A6A60" w:rsidRPr="004C6AB1" w:rsidRDefault="002A6A60" w:rsidP="004C6AB1">
      <w:pPr>
        <w:autoSpaceDE w:val="0"/>
        <w:autoSpaceDN w:val="0"/>
        <w:adjustRightInd w:val="0"/>
        <w:spacing w:after="0" w:line="240" w:lineRule="auto"/>
        <w:jc w:val="both"/>
        <w:rPr>
          <w:rFonts w:ascii="Times New Roman" w:hAnsi="Times New Roman" w:cs="Times New Roman"/>
          <w:i/>
          <w:iCs/>
          <w:color w:val="000000"/>
          <w:sz w:val="24"/>
          <w:szCs w:val="24"/>
        </w:rPr>
      </w:pPr>
      <w:r w:rsidRPr="004C6AB1">
        <w:rPr>
          <w:rFonts w:ascii="Times New Roman" w:hAnsi="Times New Roman" w:cs="Times New Roman"/>
          <w:color w:val="000000"/>
          <w:sz w:val="24"/>
          <w:szCs w:val="24"/>
        </w:rPr>
        <w:t xml:space="preserve">The Petitioner herein stated that “irreparable harm” is the most important prerequisite in obtaining a preliminary injunction. Firstly, it has been established by the courts that a violation of constitutional rights </w:t>
      </w:r>
      <w:r w:rsidR="00725204" w:rsidRPr="004C6AB1">
        <w:rPr>
          <w:rFonts w:ascii="Times New Roman" w:hAnsi="Times New Roman" w:cs="Times New Roman"/>
          <w:color w:val="000000"/>
          <w:sz w:val="24"/>
          <w:szCs w:val="24"/>
        </w:rPr>
        <w:t xml:space="preserve">constitutes irreparable harm in law. See </w:t>
      </w:r>
      <w:r w:rsidR="00725204" w:rsidRPr="004C6AB1">
        <w:rPr>
          <w:rFonts w:ascii="Times New Roman" w:hAnsi="Times New Roman" w:cs="Times New Roman"/>
          <w:i/>
          <w:iCs/>
          <w:color w:val="000000"/>
          <w:sz w:val="24"/>
          <w:szCs w:val="24"/>
        </w:rPr>
        <w:t xml:space="preserve">Conn. Dep’t of </w:t>
      </w:r>
      <w:proofErr w:type="spellStart"/>
      <w:r w:rsidR="00725204" w:rsidRPr="004C6AB1">
        <w:rPr>
          <w:rFonts w:ascii="Times New Roman" w:hAnsi="Times New Roman" w:cs="Times New Roman"/>
          <w:i/>
          <w:iCs/>
          <w:color w:val="000000"/>
          <w:sz w:val="24"/>
          <w:szCs w:val="24"/>
        </w:rPr>
        <w:t>Envtl</w:t>
      </w:r>
      <w:proofErr w:type="spellEnd"/>
      <w:r w:rsidR="00725204" w:rsidRPr="004C6AB1">
        <w:rPr>
          <w:rFonts w:ascii="Times New Roman" w:hAnsi="Times New Roman" w:cs="Times New Roman"/>
          <w:i/>
          <w:iCs/>
          <w:color w:val="000000"/>
          <w:sz w:val="24"/>
          <w:szCs w:val="24"/>
        </w:rPr>
        <w:t>. Prot. v. OSHA</w:t>
      </w:r>
      <w:r w:rsidR="00725204" w:rsidRPr="004C6AB1">
        <w:rPr>
          <w:rFonts w:ascii="Times New Roman" w:hAnsi="Times New Roman" w:cs="Times New Roman"/>
          <w:color w:val="000000"/>
          <w:sz w:val="24"/>
          <w:szCs w:val="24"/>
        </w:rPr>
        <w:t xml:space="preserve">, 356 F.3d 226, 230–31 (2d Cir. 2004). The Petitioner also cited the case of </w:t>
      </w:r>
      <w:r w:rsidR="00725204" w:rsidRPr="004C6AB1">
        <w:rPr>
          <w:rFonts w:ascii="Times New Roman" w:hAnsi="Times New Roman" w:cs="Times New Roman"/>
          <w:i/>
          <w:iCs/>
          <w:color w:val="000000"/>
          <w:sz w:val="24"/>
          <w:szCs w:val="24"/>
        </w:rPr>
        <w:t>Coronel v. Decker</w:t>
      </w:r>
      <w:r w:rsidR="00725204" w:rsidRPr="004C6AB1">
        <w:rPr>
          <w:rFonts w:ascii="Times New Roman" w:hAnsi="Times New Roman" w:cs="Times New Roman"/>
          <w:color w:val="000000"/>
          <w:sz w:val="24"/>
          <w:szCs w:val="24"/>
        </w:rPr>
        <w:t xml:space="preserve">, No. 20 Civ. 2472 (AJN), 2020 WL 1487274, at *3 (S.D.N.Y. Mar. 27, 2020). In submitting that irreparable harm will be established where the petitioner faces imminent risk to their health, safety, and lives.” </w:t>
      </w:r>
      <w:r w:rsidR="00277B89" w:rsidRPr="004C6AB1">
        <w:rPr>
          <w:rFonts w:ascii="Times New Roman" w:hAnsi="Times New Roman" w:cs="Times New Roman"/>
          <w:color w:val="000000"/>
          <w:sz w:val="24"/>
          <w:szCs w:val="24"/>
        </w:rPr>
        <w:t>In the instant</w:t>
      </w:r>
      <w:r w:rsidR="00725204" w:rsidRPr="004C6AB1">
        <w:rPr>
          <w:rFonts w:ascii="Times New Roman" w:hAnsi="Times New Roman" w:cs="Times New Roman"/>
          <w:color w:val="000000"/>
          <w:sz w:val="24"/>
          <w:szCs w:val="24"/>
        </w:rPr>
        <w:t xml:space="preserve"> case</w:t>
      </w:r>
      <w:r w:rsidR="00277B89" w:rsidRPr="004C6AB1">
        <w:rPr>
          <w:rFonts w:ascii="Times New Roman" w:hAnsi="Times New Roman" w:cs="Times New Roman"/>
          <w:color w:val="000000"/>
          <w:sz w:val="24"/>
          <w:szCs w:val="24"/>
        </w:rPr>
        <w:t>,</w:t>
      </w:r>
      <w:r w:rsidR="000C5FB0" w:rsidRPr="004C6AB1">
        <w:rPr>
          <w:rFonts w:ascii="Times New Roman" w:hAnsi="Times New Roman" w:cs="Times New Roman"/>
          <w:color w:val="000000"/>
          <w:sz w:val="24"/>
          <w:szCs w:val="24"/>
        </w:rPr>
        <w:t xml:space="preserve"> the BOP has determined that the Petitioner was at serious health risk should </w:t>
      </w:r>
      <w:proofErr w:type="spellStart"/>
      <w:r w:rsidR="000C5FB0" w:rsidRPr="004C6AB1">
        <w:rPr>
          <w:rFonts w:ascii="Times New Roman" w:hAnsi="Times New Roman" w:cs="Times New Roman"/>
          <w:color w:val="000000"/>
          <w:sz w:val="24"/>
          <w:szCs w:val="24"/>
        </w:rPr>
        <w:t>should</w:t>
      </w:r>
      <w:proofErr w:type="spellEnd"/>
      <w:r w:rsidR="000C5FB0" w:rsidRPr="004C6AB1">
        <w:rPr>
          <w:rFonts w:ascii="Times New Roman" w:hAnsi="Times New Roman" w:cs="Times New Roman"/>
          <w:color w:val="000000"/>
          <w:sz w:val="24"/>
          <w:szCs w:val="24"/>
        </w:rPr>
        <w:t xml:space="preserve"> he continue in detention and that the best decision was to transfer the Petitioner to home confinement for the completion of his prison term.  In </w:t>
      </w:r>
      <w:proofErr w:type="spellStart"/>
      <w:r w:rsidR="00277B89" w:rsidRPr="004C6AB1">
        <w:rPr>
          <w:rFonts w:ascii="Times New Roman" w:hAnsi="Times New Roman" w:cs="Times New Roman"/>
          <w:i/>
          <w:iCs/>
          <w:color w:val="000000"/>
          <w:sz w:val="24"/>
          <w:szCs w:val="24"/>
        </w:rPr>
        <w:t>Helling</w:t>
      </w:r>
      <w:proofErr w:type="spellEnd"/>
      <w:r w:rsidR="00277B89" w:rsidRPr="004C6AB1">
        <w:rPr>
          <w:rFonts w:ascii="Times New Roman" w:hAnsi="Times New Roman" w:cs="Times New Roman"/>
          <w:i/>
          <w:iCs/>
          <w:color w:val="000000"/>
          <w:sz w:val="24"/>
          <w:szCs w:val="24"/>
        </w:rPr>
        <w:t xml:space="preserve"> v. McKinney</w:t>
      </w:r>
      <w:r w:rsidR="00277B89" w:rsidRPr="004C6AB1">
        <w:rPr>
          <w:rFonts w:ascii="Times New Roman" w:hAnsi="Times New Roman" w:cs="Times New Roman"/>
          <w:color w:val="000000"/>
          <w:sz w:val="24"/>
          <w:szCs w:val="24"/>
        </w:rPr>
        <w:t>, 509 U.S.</w:t>
      </w:r>
      <w:r w:rsidR="000C5FB0" w:rsidRPr="004C6AB1">
        <w:rPr>
          <w:rFonts w:ascii="Times New Roman" w:hAnsi="Times New Roman" w:cs="Times New Roman"/>
          <w:i/>
          <w:iCs/>
          <w:color w:val="000000"/>
          <w:sz w:val="24"/>
          <w:szCs w:val="24"/>
        </w:rPr>
        <w:t xml:space="preserve"> </w:t>
      </w:r>
      <w:r w:rsidR="000C5FB0" w:rsidRPr="004C6AB1">
        <w:rPr>
          <w:rFonts w:ascii="Times New Roman" w:hAnsi="Times New Roman" w:cs="Times New Roman"/>
          <w:color w:val="000000"/>
          <w:sz w:val="24"/>
          <w:szCs w:val="24"/>
        </w:rPr>
        <w:t>25, 33 (1993) the court held that “</w:t>
      </w:r>
      <w:r w:rsidR="00277B89" w:rsidRPr="004C6AB1">
        <w:rPr>
          <w:rFonts w:ascii="Times New Roman" w:hAnsi="Times New Roman" w:cs="Times New Roman"/>
          <w:color w:val="000000"/>
          <w:sz w:val="24"/>
          <w:szCs w:val="24"/>
        </w:rPr>
        <w:t>It would be odd to deny an injunction to inmate</w:t>
      </w:r>
      <w:r w:rsidR="000C5FB0" w:rsidRPr="004C6AB1">
        <w:rPr>
          <w:rFonts w:ascii="Times New Roman" w:hAnsi="Times New Roman" w:cs="Times New Roman"/>
          <w:color w:val="000000"/>
          <w:sz w:val="24"/>
          <w:szCs w:val="24"/>
        </w:rPr>
        <w:t xml:space="preserve">s who plainly proved an unsafe, </w:t>
      </w:r>
      <w:r w:rsidR="00277B89" w:rsidRPr="004C6AB1">
        <w:rPr>
          <w:rFonts w:ascii="Times New Roman" w:hAnsi="Times New Roman" w:cs="Times New Roman"/>
          <w:color w:val="000000"/>
          <w:sz w:val="24"/>
          <w:szCs w:val="24"/>
        </w:rPr>
        <w:t>life-threatening condition in their prison on the ground that noth</w:t>
      </w:r>
      <w:r w:rsidR="000C5FB0" w:rsidRPr="004C6AB1">
        <w:rPr>
          <w:rFonts w:ascii="Times New Roman" w:hAnsi="Times New Roman" w:cs="Times New Roman"/>
          <w:color w:val="000000"/>
          <w:sz w:val="24"/>
          <w:szCs w:val="24"/>
        </w:rPr>
        <w:t xml:space="preserve">ing yet had happened to them”. Even in </w:t>
      </w:r>
      <w:proofErr w:type="spellStart"/>
      <w:r w:rsidR="000C5FB0" w:rsidRPr="004C6AB1">
        <w:rPr>
          <w:rFonts w:ascii="Times New Roman" w:hAnsi="Times New Roman" w:cs="Times New Roman"/>
          <w:i/>
          <w:iCs/>
          <w:color w:val="000000"/>
          <w:sz w:val="24"/>
          <w:szCs w:val="24"/>
        </w:rPr>
        <w:t>Basank</w:t>
      </w:r>
      <w:proofErr w:type="spellEnd"/>
      <w:r w:rsidR="000C5FB0" w:rsidRPr="004C6AB1">
        <w:rPr>
          <w:rFonts w:ascii="Times New Roman" w:hAnsi="Times New Roman" w:cs="Times New Roman"/>
          <w:i/>
          <w:iCs/>
          <w:color w:val="000000"/>
          <w:sz w:val="24"/>
          <w:szCs w:val="24"/>
        </w:rPr>
        <w:t xml:space="preserve"> v. Decker, </w:t>
      </w:r>
      <w:r w:rsidR="000C5FB0" w:rsidRPr="004C6AB1">
        <w:rPr>
          <w:rFonts w:ascii="Times New Roman" w:hAnsi="Times New Roman" w:cs="Times New Roman"/>
          <w:color w:val="000000"/>
          <w:sz w:val="24"/>
          <w:szCs w:val="24"/>
        </w:rPr>
        <w:t xml:space="preserve">No. 20 Civ. 2518 (AT), 2020 WL 1481503, at *2 (S.D.N.Y. Mar. 26, 2020) the court held that the risk of harm to a detainee constitutes and irreparable harm. </w:t>
      </w:r>
    </w:p>
    <w:p w:rsidR="00CC4624" w:rsidRPr="004C6AB1" w:rsidRDefault="00CC4624" w:rsidP="004C6AB1">
      <w:pPr>
        <w:autoSpaceDE w:val="0"/>
        <w:autoSpaceDN w:val="0"/>
        <w:adjustRightInd w:val="0"/>
        <w:spacing w:after="0" w:line="240" w:lineRule="auto"/>
        <w:jc w:val="both"/>
        <w:rPr>
          <w:rFonts w:ascii="Times New Roman" w:hAnsi="Times New Roman" w:cs="Times New Roman"/>
          <w:i/>
          <w:color w:val="000000"/>
          <w:sz w:val="24"/>
          <w:szCs w:val="24"/>
        </w:rPr>
      </w:pPr>
    </w:p>
    <w:p w:rsidR="00CC4624" w:rsidRPr="004C6AB1" w:rsidRDefault="00CC4624" w:rsidP="004C6AB1">
      <w:pPr>
        <w:autoSpaceDE w:val="0"/>
        <w:autoSpaceDN w:val="0"/>
        <w:adjustRightInd w:val="0"/>
        <w:spacing w:after="0" w:line="240" w:lineRule="auto"/>
        <w:jc w:val="both"/>
        <w:rPr>
          <w:rFonts w:ascii="Times New Roman" w:hAnsi="Times New Roman" w:cs="Times New Roman"/>
          <w:i/>
          <w:color w:val="000000"/>
          <w:sz w:val="24"/>
          <w:szCs w:val="24"/>
        </w:rPr>
      </w:pPr>
      <w:r w:rsidRPr="004C6AB1">
        <w:rPr>
          <w:rFonts w:ascii="Times New Roman" w:hAnsi="Times New Roman" w:cs="Times New Roman"/>
          <w:i/>
          <w:color w:val="000000"/>
          <w:sz w:val="24"/>
          <w:szCs w:val="24"/>
        </w:rPr>
        <w:t xml:space="preserve">Balance of Equities </w:t>
      </w:r>
      <w:r w:rsidR="000C5FB0" w:rsidRPr="004C6AB1">
        <w:rPr>
          <w:rFonts w:ascii="Times New Roman" w:hAnsi="Times New Roman" w:cs="Times New Roman"/>
          <w:i/>
          <w:color w:val="000000"/>
          <w:sz w:val="24"/>
          <w:szCs w:val="24"/>
        </w:rPr>
        <w:t xml:space="preserve">and </w:t>
      </w:r>
      <w:r w:rsidRPr="004C6AB1">
        <w:rPr>
          <w:rFonts w:ascii="Times New Roman" w:hAnsi="Times New Roman" w:cs="Times New Roman"/>
          <w:i/>
          <w:color w:val="000000"/>
          <w:sz w:val="24"/>
          <w:szCs w:val="24"/>
        </w:rPr>
        <w:t>Public Interest</w:t>
      </w:r>
    </w:p>
    <w:p w:rsidR="000C5FB0" w:rsidRPr="004C6AB1" w:rsidRDefault="000C5FB0" w:rsidP="004C6AB1">
      <w:pPr>
        <w:autoSpaceDE w:val="0"/>
        <w:autoSpaceDN w:val="0"/>
        <w:adjustRightInd w:val="0"/>
        <w:spacing w:after="0" w:line="240" w:lineRule="auto"/>
        <w:jc w:val="both"/>
        <w:rPr>
          <w:rFonts w:ascii="Times New Roman" w:hAnsi="Times New Roman" w:cs="Times New Roman"/>
          <w:i/>
          <w:color w:val="000000"/>
          <w:sz w:val="24"/>
          <w:szCs w:val="24"/>
        </w:rPr>
      </w:pPr>
    </w:p>
    <w:p w:rsidR="00191A75" w:rsidRPr="004C6AB1" w:rsidRDefault="00191A75" w:rsidP="004C6AB1">
      <w:pPr>
        <w:autoSpaceDE w:val="0"/>
        <w:autoSpaceDN w:val="0"/>
        <w:adjustRightInd w:val="0"/>
        <w:spacing w:after="0" w:line="240" w:lineRule="auto"/>
        <w:jc w:val="both"/>
        <w:rPr>
          <w:rFonts w:ascii="Times New Roman" w:hAnsi="Times New Roman" w:cs="Times New Roman"/>
          <w:color w:val="000000"/>
          <w:sz w:val="24"/>
          <w:szCs w:val="24"/>
        </w:rPr>
      </w:pPr>
      <w:r w:rsidRPr="004C6AB1">
        <w:rPr>
          <w:rFonts w:ascii="Times New Roman" w:hAnsi="Times New Roman" w:cs="Times New Roman"/>
          <w:color w:val="000000"/>
          <w:sz w:val="24"/>
          <w:szCs w:val="24"/>
        </w:rPr>
        <w:t>In making his submissions under this sub-head, the Petitioner argued that where the government is the Respondent the last two factors in obtaining a prelimi</w:t>
      </w:r>
      <w:r w:rsidR="00414347">
        <w:rPr>
          <w:rFonts w:ascii="Times New Roman" w:hAnsi="Times New Roman" w:cs="Times New Roman"/>
          <w:color w:val="000000"/>
          <w:sz w:val="24"/>
          <w:szCs w:val="24"/>
        </w:rPr>
        <w:t>nary injunction always go together</w:t>
      </w:r>
      <w:r w:rsidRPr="004C6AB1">
        <w:rPr>
          <w:rFonts w:ascii="Times New Roman" w:hAnsi="Times New Roman" w:cs="Times New Roman"/>
          <w:color w:val="000000"/>
          <w:sz w:val="24"/>
          <w:szCs w:val="24"/>
        </w:rPr>
        <w:t xml:space="preserve">. In establishing this position, the Petitioner cited the case of </w:t>
      </w:r>
      <w:r w:rsidRPr="004C6AB1">
        <w:rPr>
          <w:rFonts w:ascii="Times New Roman" w:hAnsi="Times New Roman" w:cs="Times New Roman"/>
          <w:i/>
          <w:iCs/>
          <w:color w:val="000000"/>
          <w:sz w:val="24"/>
          <w:szCs w:val="24"/>
        </w:rPr>
        <w:t>Coronel v. Decker</w:t>
      </w:r>
      <w:r w:rsidRPr="004C6AB1">
        <w:rPr>
          <w:rFonts w:ascii="Times New Roman" w:hAnsi="Times New Roman" w:cs="Times New Roman"/>
          <w:color w:val="000000"/>
          <w:sz w:val="24"/>
          <w:szCs w:val="24"/>
        </w:rPr>
        <w:t xml:space="preserve">, No. 20 Civ. 2472 (AJN), 2020 WL 1487274, at *7 (S.D.N.Y. Mar. 27, 2020) where it was held that </w:t>
      </w:r>
      <w:r w:rsidR="00F14242" w:rsidRPr="004C6AB1">
        <w:rPr>
          <w:rFonts w:ascii="Times New Roman" w:hAnsi="Times New Roman" w:cs="Times New Roman"/>
          <w:i/>
          <w:color w:val="000000"/>
          <w:sz w:val="24"/>
          <w:szCs w:val="24"/>
        </w:rPr>
        <w:t>“Where the Government is the opposing party, the fin</w:t>
      </w:r>
      <w:r w:rsidRPr="004C6AB1">
        <w:rPr>
          <w:rFonts w:ascii="Times New Roman" w:hAnsi="Times New Roman" w:cs="Times New Roman"/>
          <w:i/>
          <w:color w:val="000000"/>
          <w:sz w:val="24"/>
          <w:szCs w:val="24"/>
        </w:rPr>
        <w:t xml:space="preserve">al two factors in the temporary </w:t>
      </w:r>
      <w:r w:rsidR="00F14242" w:rsidRPr="004C6AB1">
        <w:rPr>
          <w:rFonts w:ascii="Times New Roman" w:hAnsi="Times New Roman" w:cs="Times New Roman"/>
          <w:i/>
          <w:color w:val="000000"/>
          <w:sz w:val="24"/>
          <w:szCs w:val="24"/>
        </w:rPr>
        <w:t xml:space="preserve">restraining order analysis—the balance of the equities and the public interest—merge.” </w:t>
      </w:r>
      <w:r w:rsidR="004C6AB1" w:rsidRPr="004C6AB1">
        <w:rPr>
          <w:rFonts w:ascii="Times New Roman" w:hAnsi="Times New Roman" w:cs="Times New Roman"/>
          <w:color w:val="000000"/>
          <w:sz w:val="24"/>
          <w:szCs w:val="24"/>
        </w:rPr>
        <w:t xml:space="preserve">Firstly, the fact that the BOP has already determined that continued detention of the Petitioner at </w:t>
      </w:r>
      <w:r w:rsidR="004C6AB1" w:rsidRPr="004C6AB1">
        <w:rPr>
          <w:rFonts w:ascii="Times New Roman" w:hAnsi="Times New Roman" w:cs="Times New Roman"/>
          <w:sz w:val="24"/>
          <w:szCs w:val="24"/>
        </w:rPr>
        <w:t>FCI Otisville</w:t>
      </w:r>
      <w:r w:rsidR="004C6AB1" w:rsidRPr="004C6AB1">
        <w:rPr>
          <w:rFonts w:ascii="Times New Roman" w:hAnsi="Times New Roman" w:cs="Times New Roman"/>
          <w:color w:val="000000"/>
          <w:sz w:val="24"/>
          <w:szCs w:val="24"/>
        </w:rPr>
        <w:t xml:space="preserve"> poses a serious health risk to him shows that the balance of equities already tilts in </w:t>
      </w:r>
      <w:proofErr w:type="spellStart"/>
      <w:r w:rsidR="004C6AB1" w:rsidRPr="004C6AB1">
        <w:rPr>
          <w:rFonts w:ascii="Times New Roman" w:hAnsi="Times New Roman" w:cs="Times New Roman"/>
          <w:color w:val="000000"/>
          <w:sz w:val="24"/>
          <w:szCs w:val="24"/>
        </w:rPr>
        <w:t>favour</w:t>
      </w:r>
      <w:proofErr w:type="spellEnd"/>
      <w:r w:rsidR="004C6AB1" w:rsidRPr="004C6AB1">
        <w:rPr>
          <w:rFonts w:ascii="Times New Roman" w:hAnsi="Times New Roman" w:cs="Times New Roman"/>
          <w:color w:val="000000"/>
          <w:sz w:val="24"/>
          <w:szCs w:val="24"/>
        </w:rPr>
        <w:t xml:space="preserve"> of the Petitioner. </w:t>
      </w:r>
      <w:r w:rsidRPr="004C6AB1">
        <w:rPr>
          <w:rFonts w:ascii="Times New Roman" w:hAnsi="Times New Roman" w:cs="Times New Roman"/>
          <w:color w:val="000000"/>
          <w:sz w:val="24"/>
          <w:szCs w:val="24"/>
        </w:rPr>
        <w:t xml:space="preserve">On the strength of the Petitioner’s constitutional claim, he submitted that </w:t>
      </w:r>
      <w:r w:rsidR="004C6AB1" w:rsidRPr="004C6AB1">
        <w:rPr>
          <w:rFonts w:ascii="Times New Roman" w:hAnsi="Times New Roman" w:cs="Times New Roman"/>
          <w:color w:val="000000"/>
          <w:sz w:val="24"/>
          <w:szCs w:val="24"/>
        </w:rPr>
        <w:t xml:space="preserve">the public interest will </w:t>
      </w:r>
      <w:r w:rsidR="004C6AB1" w:rsidRPr="004C6AB1">
        <w:rPr>
          <w:rFonts w:ascii="Times New Roman" w:hAnsi="Times New Roman" w:cs="Times New Roman"/>
          <w:color w:val="000000"/>
          <w:sz w:val="24"/>
          <w:szCs w:val="24"/>
        </w:rPr>
        <w:lastRenderedPageBreak/>
        <w:t xml:space="preserve">be served if the relief sought is granted. In addition, the book which is critical of President Donald Trump in an election year is consistent with the right to know of the American public and the continued detention of the Petitioner threatens that right.  </w:t>
      </w:r>
      <w:r w:rsidRPr="004C6AB1">
        <w:rPr>
          <w:rFonts w:ascii="Times New Roman" w:hAnsi="Times New Roman" w:cs="Times New Roman"/>
          <w:color w:val="000000"/>
          <w:sz w:val="24"/>
          <w:szCs w:val="24"/>
        </w:rPr>
        <w:t xml:space="preserve"> </w:t>
      </w:r>
    </w:p>
    <w:p w:rsidR="00F14242" w:rsidRPr="004C6AB1" w:rsidRDefault="00F14242" w:rsidP="004C6AB1">
      <w:pPr>
        <w:autoSpaceDE w:val="0"/>
        <w:autoSpaceDN w:val="0"/>
        <w:adjustRightInd w:val="0"/>
        <w:spacing w:after="0" w:line="240" w:lineRule="auto"/>
        <w:jc w:val="both"/>
        <w:rPr>
          <w:rFonts w:ascii="Times New Roman" w:hAnsi="Times New Roman" w:cs="Times New Roman"/>
          <w:color w:val="000000"/>
          <w:sz w:val="24"/>
          <w:szCs w:val="24"/>
        </w:rPr>
      </w:pPr>
    </w:p>
    <w:p w:rsidR="00260B24" w:rsidRPr="004C6AB1" w:rsidRDefault="000C5FB0" w:rsidP="004C6AB1">
      <w:pPr>
        <w:autoSpaceDE w:val="0"/>
        <w:autoSpaceDN w:val="0"/>
        <w:adjustRightInd w:val="0"/>
        <w:spacing w:after="0" w:line="240" w:lineRule="auto"/>
        <w:jc w:val="both"/>
        <w:rPr>
          <w:rFonts w:ascii="Times New Roman" w:hAnsi="Times New Roman" w:cs="Times New Roman"/>
          <w:color w:val="000000"/>
          <w:sz w:val="24"/>
          <w:szCs w:val="24"/>
        </w:rPr>
      </w:pPr>
      <w:r w:rsidRPr="004C6AB1">
        <w:rPr>
          <w:rFonts w:ascii="Times New Roman" w:hAnsi="Times New Roman" w:cs="Times New Roman"/>
          <w:color w:val="000000"/>
          <w:sz w:val="24"/>
          <w:szCs w:val="24"/>
        </w:rPr>
        <w:t xml:space="preserve">Responding to the Petitioner’s case, the Respondents </w:t>
      </w:r>
      <w:r w:rsidR="00D37A7A" w:rsidRPr="004C6AB1">
        <w:rPr>
          <w:rFonts w:ascii="Times New Roman" w:hAnsi="Times New Roman" w:cs="Times New Roman"/>
          <w:color w:val="000000"/>
          <w:sz w:val="24"/>
          <w:szCs w:val="24"/>
        </w:rPr>
        <w:t xml:space="preserve">argued that decision whether or not to transfer the Petitioner to home confinement is not subject to judicial review. The Respondents argued that governing statute 18 U.S.C. § 3621(b) provides that BOP </w:t>
      </w:r>
      <w:r w:rsidR="00D37A7A" w:rsidRPr="004C6AB1">
        <w:rPr>
          <w:rFonts w:ascii="Times New Roman" w:hAnsi="Times New Roman" w:cs="Times New Roman"/>
          <w:i/>
          <w:color w:val="000000"/>
          <w:sz w:val="24"/>
          <w:szCs w:val="24"/>
        </w:rPr>
        <w:t>“shall designate the place of the prisoner’s imprisonment,” and this designation “is not reviewable by any court.”</w:t>
      </w:r>
      <w:r w:rsidR="00D37A7A" w:rsidRPr="004C6AB1">
        <w:rPr>
          <w:rFonts w:ascii="Times New Roman" w:hAnsi="Times New Roman" w:cs="Times New Roman"/>
          <w:color w:val="000000"/>
          <w:sz w:val="24"/>
          <w:szCs w:val="24"/>
        </w:rPr>
        <w:t xml:space="preserve"> The Respondents </w:t>
      </w:r>
      <w:r w:rsidR="00260B24" w:rsidRPr="004C6AB1">
        <w:rPr>
          <w:rFonts w:ascii="Times New Roman" w:hAnsi="Times New Roman" w:cs="Times New Roman"/>
          <w:color w:val="000000"/>
          <w:sz w:val="24"/>
          <w:szCs w:val="24"/>
        </w:rPr>
        <w:t xml:space="preserve">also cited </w:t>
      </w:r>
      <w:r w:rsidR="00D37A7A" w:rsidRPr="004C6AB1">
        <w:rPr>
          <w:rFonts w:ascii="Times New Roman" w:hAnsi="Times New Roman" w:cs="Times New Roman"/>
          <w:color w:val="000000"/>
          <w:sz w:val="24"/>
          <w:szCs w:val="24"/>
        </w:rPr>
        <w:t>the decision of a Louisiana District Court</w:t>
      </w:r>
      <w:r w:rsidR="00260B24" w:rsidRPr="004C6AB1">
        <w:rPr>
          <w:rFonts w:ascii="Times New Roman" w:hAnsi="Times New Roman" w:cs="Times New Roman"/>
          <w:color w:val="000000"/>
          <w:sz w:val="24"/>
          <w:szCs w:val="24"/>
        </w:rPr>
        <w:t xml:space="preserve"> in </w:t>
      </w:r>
      <w:proofErr w:type="spellStart"/>
      <w:r w:rsidR="00260B24" w:rsidRPr="004C6AB1">
        <w:rPr>
          <w:rFonts w:ascii="Times New Roman" w:hAnsi="Times New Roman" w:cs="Times New Roman"/>
          <w:i/>
          <w:iCs/>
          <w:color w:val="000000"/>
          <w:sz w:val="24"/>
          <w:szCs w:val="24"/>
        </w:rPr>
        <w:t>Livas</w:t>
      </w:r>
      <w:proofErr w:type="spellEnd"/>
      <w:r w:rsidR="00260B24" w:rsidRPr="004C6AB1">
        <w:rPr>
          <w:rFonts w:ascii="Times New Roman" w:hAnsi="Times New Roman" w:cs="Times New Roman"/>
          <w:i/>
          <w:iCs/>
          <w:color w:val="000000"/>
          <w:sz w:val="24"/>
          <w:szCs w:val="24"/>
        </w:rPr>
        <w:t xml:space="preserve"> v. Myers</w:t>
      </w:r>
      <w:r w:rsidR="00260B24" w:rsidRPr="004C6AB1">
        <w:rPr>
          <w:rFonts w:ascii="Times New Roman" w:hAnsi="Times New Roman" w:cs="Times New Roman"/>
          <w:color w:val="000000"/>
          <w:sz w:val="24"/>
          <w:szCs w:val="24"/>
        </w:rPr>
        <w:t>, No. 20 Civ. 00422, 2020 WL 1939583, at *6-8 (W.D. La. Apr. 22, 2020)</w:t>
      </w:r>
      <w:r w:rsidR="00D37A7A" w:rsidRPr="004C6AB1">
        <w:rPr>
          <w:rFonts w:ascii="Times New Roman" w:hAnsi="Times New Roman" w:cs="Times New Roman"/>
          <w:color w:val="000000"/>
          <w:sz w:val="24"/>
          <w:szCs w:val="24"/>
        </w:rPr>
        <w:t xml:space="preserve"> in a challenge to the COVID-19 conditions at a federal prison, where the court noted that “[b]</w:t>
      </w:r>
      <w:proofErr w:type="spellStart"/>
      <w:r w:rsidR="00D37A7A" w:rsidRPr="004C6AB1">
        <w:rPr>
          <w:rFonts w:ascii="Times New Roman" w:hAnsi="Times New Roman" w:cs="Times New Roman"/>
          <w:color w:val="000000"/>
          <w:sz w:val="24"/>
          <w:szCs w:val="24"/>
        </w:rPr>
        <w:t>oth</w:t>
      </w:r>
      <w:proofErr w:type="spellEnd"/>
      <w:r w:rsidR="00D37A7A" w:rsidRPr="004C6AB1">
        <w:rPr>
          <w:rFonts w:ascii="Times New Roman" w:hAnsi="Times New Roman" w:cs="Times New Roman"/>
          <w:color w:val="000000"/>
          <w:sz w:val="24"/>
          <w:szCs w:val="24"/>
        </w:rPr>
        <w:t xml:space="preserve"> placement in a Residential Reentry Center (“RRC”) (more</w:t>
      </w:r>
      <w:r w:rsidR="00260B24" w:rsidRPr="004C6AB1">
        <w:rPr>
          <w:rFonts w:ascii="Times New Roman" w:hAnsi="Times New Roman" w:cs="Times New Roman"/>
          <w:color w:val="000000"/>
          <w:sz w:val="24"/>
          <w:szCs w:val="24"/>
        </w:rPr>
        <w:t xml:space="preserve"> </w:t>
      </w:r>
      <w:r w:rsidR="00D37A7A" w:rsidRPr="004C6AB1">
        <w:rPr>
          <w:rFonts w:ascii="Times New Roman" w:hAnsi="Times New Roman" w:cs="Times New Roman"/>
          <w:color w:val="000000"/>
          <w:sz w:val="24"/>
          <w:szCs w:val="24"/>
        </w:rPr>
        <w:t>commonly known as a halfway house) and on home confinement are within the BOP’s discretion”</w:t>
      </w:r>
      <w:r w:rsidR="00260B24" w:rsidRPr="004C6AB1">
        <w:rPr>
          <w:rFonts w:ascii="Times New Roman" w:hAnsi="Times New Roman" w:cs="Times New Roman"/>
          <w:color w:val="000000"/>
          <w:sz w:val="24"/>
          <w:szCs w:val="24"/>
        </w:rPr>
        <w:t xml:space="preserve"> The Respondents therefore submitted that the decision of the Respondents on where the Petitioner should complete his jail term is subject only to the unreviewable discretion of the Respondents. The Respondents who agreed with the Petitioner is the most important prerequisite of obtaining an injunctive relief submitted that the Pe</w:t>
      </w:r>
      <w:r w:rsidR="007B0ACE" w:rsidRPr="004C6AB1">
        <w:rPr>
          <w:rFonts w:ascii="Times New Roman" w:hAnsi="Times New Roman" w:cs="Times New Roman"/>
          <w:color w:val="000000"/>
          <w:sz w:val="24"/>
          <w:szCs w:val="24"/>
        </w:rPr>
        <w:t>titioner failed to prove an irr</w:t>
      </w:r>
      <w:r w:rsidR="00260B24" w:rsidRPr="004C6AB1">
        <w:rPr>
          <w:rFonts w:ascii="Times New Roman" w:hAnsi="Times New Roman" w:cs="Times New Roman"/>
          <w:color w:val="000000"/>
          <w:sz w:val="24"/>
          <w:szCs w:val="24"/>
        </w:rPr>
        <w:t xml:space="preserve">eparable harm that would be resulted if the injunctive relief was not granted. </w:t>
      </w:r>
      <w:r w:rsidR="007B0ACE" w:rsidRPr="004C6AB1">
        <w:rPr>
          <w:rFonts w:ascii="Times New Roman" w:hAnsi="Times New Roman" w:cs="Times New Roman"/>
          <w:color w:val="000000"/>
          <w:sz w:val="24"/>
          <w:szCs w:val="24"/>
        </w:rPr>
        <w:t xml:space="preserve">The Respondents argued that the Petitioner was bound to provide evidence of such irreparable harm and that he could not be a speculative harm. The Respondents cited the holding of court in </w:t>
      </w:r>
      <w:r w:rsidR="007B0ACE" w:rsidRPr="004C6AB1">
        <w:rPr>
          <w:rFonts w:ascii="Times New Roman" w:hAnsi="Times New Roman" w:cs="Times New Roman"/>
          <w:i/>
          <w:iCs/>
          <w:color w:val="000000"/>
          <w:sz w:val="24"/>
          <w:szCs w:val="24"/>
        </w:rPr>
        <w:t>Freedom Holdings, Inc. v. Spitzer</w:t>
      </w:r>
      <w:r w:rsidR="007B0ACE" w:rsidRPr="004C6AB1">
        <w:rPr>
          <w:rFonts w:ascii="Times New Roman" w:hAnsi="Times New Roman" w:cs="Times New Roman"/>
          <w:color w:val="000000"/>
          <w:sz w:val="24"/>
          <w:szCs w:val="24"/>
        </w:rPr>
        <w:t xml:space="preserve">, 408 F.3d 112, 114 (2d Cir. 2005) where the court held of parties seeking to succeed in a claim for injunctive relief that </w:t>
      </w:r>
      <w:r w:rsidR="007B0ACE" w:rsidRPr="004C6AB1">
        <w:rPr>
          <w:rFonts w:ascii="Times New Roman" w:hAnsi="Times New Roman" w:cs="Times New Roman"/>
          <w:i/>
          <w:color w:val="000000"/>
          <w:sz w:val="24"/>
          <w:szCs w:val="24"/>
        </w:rPr>
        <w:t>“they will suffer an injury that is neither remote nor speculative, but actual and imminent, and one that cannot be remedied if a court waits until the end of trial to resolve the harm.”</w:t>
      </w:r>
    </w:p>
    <w:p w:rsidR="007B0ACE" w:rsidRPr="004C6AB1" w:rsidRDefault="007B0ACE" w:rsidP="004C6AB1">
      <w:pPr>
        <w:autoSpaceDE w:val="0"/>
        <w:autoSpaceDN w:val="0"/>
        <w:adjustRightInd w:val="0"/>
        <w:spacing w:after="0" w:line="240" w:lineRule="auto"/>
        <w:jc w:val="both"/>
        <w:rPr>
          <w:rFonts w:ascii="Times New Roman" w:hAnsi="Times New Roman" w:cs="Times New Roman"/>
          <w:i/>
          <w:color w:val="000000"/>
          <w:sz w:val="24"/>
          <w:szCs w:val="24"/>
        </w:rPr>
      </w:pPr>
    </w:p>
    <w:p w:rsidR="00F46ED4" w:rsidRPr="004C6AB1" w:rsidRDefault="007B0ACE" w:rsidP="004C6AB1">
      <w:pPr>
        <w:autoSpaceDE w:val="0"/>
        <w:autoSpaceDN w:val="0"/>
        <w:adjustRightInd w:val="0"/>
        <w:spacing w:after="0" w:line="240" w:lineRule="auto"/>
        <w:jc w:val="both"/>
        <w:rPr>
          <w:rFonts w:ascii="Times New Roman" w:hAnsi="Times New Roman" w:cs="Times New Roman"/>
          <w:color w:val="000000"/>
          <w:sz w:val="24"/>
          <w:szCs w:val="24"/>
        </w:rPr>
      </w:pPr>
      <w:r w:rsidRPr="004C6AB1">
        <w:rPr>
          <w:rFonts w:ascii="Times New Roman" w:hAnsi="Times New Roman" w:cs="Times New Roman"/>
          <w:color w:val="000000"/>
          <w:sz w:val="24"/>
          <w:szCs w:val="24"/>
        </w:rPr>
        <w:t xml:space="preserve">The Respondents also argued that the Petitioner has not shown the likely of his success on merits. The Respondents stated that Petitioner’s claim to his re-confinement at FCI Otisville as being retaliatory is without basis. The Respondents further argued that the decision to remand Petitioner to FCI Otisville on July </w:t>
      </w:r>
      <w:r w:rsidR="00F14242" w:rsidRPr="004C6AB1">
        <w:rPr>
          <w:rFonts w:ascii="Times New Roman" w:hAnsi="Times New Roman" w:cs="Times New Roman"/>
          <w:color w:val="000000"/>
          <w:sz w:val="24"/>
          <w:szCs w:val="24"/>
        </w:rPr>
        <w:t xml:space="preserve">9, 2020, was also devoid of any </w:t>
      </w:r>
      <w:r w:rsidRPr="004C6AB1">
        <w:rPr>
          <w:rFonts w:ascii="Times New Roman" w:hAnsi="Times New Roman" w:cs="Times New Roman"/>
          <w:color w:val="000000"/>
          <w:sz w:val="24"/>
          <w:szCs w:val="24"/>
        </w:rPr>
        <w:t xml:space="preserve">nefarious motive pertaining to Petitioner’s book but as a result of his being defiant when being presented with conditions </w:t>
      </w:r>
      <w:r w:rsidR="00F46ED4" w:rsidRPr="004C6AB1">
        <w:rPr>
          <w:rFonts w:ascii="Times New Roman" w:hAnsi="Times New Roman" w:cs="Times New Roman"/>
          <w:color w:val="000000"/>
          <w:sz w:val="24"/>
          <w:szCs w:val="24"/>
        </w:rPr>
        <w:t xml:space="preserve">contained in the FLM Agreement </w:t>
      </w:r>
      <w:r w:rsidRPr="004C6AB1">
        <w:rPr>
          <w:rFonts w:ascii="Times New Roman" w:hAnsi="Times New Roman" w:cs="Times New Roman"/>
          <w:color w:val="000000"/>
          <w:sz w:val="24"/>
          <w:szCs w:val="24"/>
        </w:rPr>
        <w:t>for transfer to home confinement.</w:t>
      </w:r>
      <w:r w:rsidR="00F14242" w:rsidRPr="004C6AB1">
        <w:rPr>
          <w:rFonts w:ascii="Times New Roman" w:hAnsi="Times New Roman" w:cs="Times New Roman"/>
          <w:color w:val="000000"/>
          <w:sz w:val="24"/>
          <w:szCs w:val="24"/>
        </w:rPr>
        <w:t xml:space="preserve"> </w:t>
      </w:r>
      <w:r w:rsidR="00F46ED4" w:rsidRPr="004C6AB1">
        <w:rPr>
          <w:rFonts w:ascii="Times New Roman" w:hAnsi="Times New Roman" w:cs="Times New Roman"/>
          <w:color w:val="000000"/>
          <w:sz w:val="24"/>
          <w:szCs w:val="24"/>
        </w:rPr>
        <w:t xml:space="preserve">The Respondents finally argued that the Attorney General and BOP have the statutory powers to manage the affairs of Prisoners and ordering that transfer of the Petitioner to home confinement would be tantamount to interference with the BOP’s ability to manage the Prisons’ operations. </w:t>
      </w:r>
      <w:r w:rsidR="00F14242" w:rsidRPr="004C6AB1">
        <w:rPr>
          <w:rFonts w:ascii="Times New Roman" w:hAnsi="Times New Roman" w:cs="Times New Roman"/>
          <w:color w:val="000000"/>
          <w:sz w:val="24"/>
          <w:szCs w:val="24"/>
        </w:rPr>
        <w:t xml:space="preserve"> </w:t>
      </w:r>
      <w:r w:rsidR="00F46ED4" w:rsidRPr="004C6AB1">
        <w:rPr>
          <w:rFonts w:ascii="Times New Roman" w:hAnsi="Times New Roman" w:cs="Times New Roman"/>
          <w:color w:val="000000"/>
          <w:sz w:val="24"/>
          <w:szCs w:val="24"/>
        </w:rPr>
        <w:t>The Respondents finally submitted that balance of equities</w:t>
      </w:r>
      <w:r w:rsidR="00F14242" w:rsidRPr="004C6AB1">
        <w:rPr>
          <w:rFonts w:ascii="Times New Roman" w:hAnsi="Times New Roman" w:cs="Times New Roman"/>
          <w:color w:val="000000"/>
          <w:sz w:val="24"/>
          <w:szCs w:val="24"/>
        </w:rPr>
        <w:t xml:space="preserve"> rather tilts in </w:t>
      </w:r>
      <w:proofErr w:type="spellStart"/>
      <w:r w:rsidR="00F14242" w:rsidRPr="004C6AB1">
        <w:rPr>
          <w:rFonts w:ascii="Times New Roman" w:hAnsi="Times New Roman" w:cs="Times New Roman"/>
          <w:color w:val="000000"/>
          <w:sz w:val="24"/>
          <w:szCs w:val="24"/>
        </w:rPr>
        <w:t>favour</w:t>
      </w:r>
      <w:proofErr w:type="spellEnd"/>
      <w:r w:rsidR="00F14242" w:rsidRPr="004C6AB1">
        <w:rPr>
          <w:rFonts w:ascii="Times New Roman" w:hAnsi="Times New Roman" w:cs="Times New Roman"/>
          <w:color w:val="000000"/>
          <w:sz w:val="24"/>
          <w:szCs w:val="24"/>
        </w:rPr>
        <w:t xml:space="preserve"> of the respondents. </w:t>
      </w:r>
    </w:p>
    <w:p w:rsidR="00F14242" w:rsidRPr="004C6AB1" w:rsidRDefault="00F14242" w:rsidP="004C6AB1">
      <w:pPr>
        <w:autoSpaceDE w:val="0"/>
        <w:autoSpaceDN w:val="0"/>
        <w:adjustRightInd w:val="0"/>
        <w:spacing w:after="0" w:line="240" w:lineRule="auto"/>
        <w:jc w:val="both"/>
        <w:rPr>
          <w:rFonts w:ascii="Times New Roman" w:hAnsi="Times New Roman" w:cs="Times New Roman"/>
          <w:color w:val="000000"/>
          <w:sz w:val="24"/>
          <w:szCs w:val="24"/>
        </w:rPr>
      </w:pPr>
    </w:p>
    <w:p w:rsidR="00F14242" w:rsidRPr="004C6AB1" w:rsidRDefault="00F14242" w:rsidP="004C6AB1">
      <w:pPr>
        <w:autoSpaceDE w:val="0"/>
        <w:autoSpaceDN w:val="0"/>
        <w:adjustRightInd w:val="0"/>
        <w:spacing w:after="0" w:line="240" w:lineRule="auto"/>
        <w:jc w:val="both"/>
        <w:rPr>
          <w:rFonts w:ascii="Times New Roman" w:hAnsi="Times New Roman" w:cs="Times New Roman"/>
          <w:color w:val="000000"/>
          <w:sz w:val="24"/>
          <w:szCs w:val="24"/>
        </w:rPr>
      </w:pPr>
    </w:p>
    <w:p w:rsidR="00E37E55" w:rsidRPr="004C6AB1" w:rsidRDefault="00E37E55" w:rsidP="004C6AB1">
      <w:pPr>
        <w:autoSpaceDE w:val="0"/>
        <w:autoSpaceDN w:val="0"/>
        <w:adjustRightInd w:val="0"/>
        <w:spacing w:after="0" w:line="240" w:lineRule="auto"/>
        <w:jc w:val="both"/>
        <w:rPr>
          <w:rFonts w:ascii="Times New Roman" w:hAnsi="Times New Roman" w:cs="Times New Roman"/>
          <w:color w:val="000000"/>
          <w:sz w:val="24"/>
          <w:szCs w:val="24"/>
        </w:rPr>
      </w:pPr>
    </w:p>
    <w:p w:rsidR="003A44B6" w:rsidRPr="004C6AB1" w:rsidRDefault="003A44B6" w:rsidP="004C6AB1">
      <w:pPr>
        <w:pStyle w:val="Default"/>
        <w:jc w:val="both"/>
      </w:pPr>
    </w:p>
    <w:p w:rsidR="009B355E" w:rsidRPr="004C6AB1" w:rsidRDefault="009B355E" w:rsidP="004C6AB1">
      <w:pPr>
        <w:jc w:val="both"/>
        <w:rPr>
          <w:rFonts w:ascii="Times New Roman" w:hAnsi="Times New Roman" w:cs="Times New Roman"/>
          <w:sz w:val="24"/>
          <w:szCs w:val="24"/>
        </w:rPr>
      </w:pPr>
    </w:p>
    <w:p w:rsidR="00BE5B4F" w:rsidRPr="004C6AB1" w:rsidRDefault="00BE5B4F" w:rsidP="004C6AB1">
      <w:pPr>
        <w:jc w:val="both"/>
        <w:rPr>
          <w:rFonts w:ascii="Times New Roman" w:hAnsi="Times New Roman" w:cs="Times New Roman"/>
          <w:b/>
          <w:sz w:val="24"/>
          <w:szCs w:val="24"/>
        </w:rPr>
      </w:pPr>
      <w:r w:rsidRPr="004C6AB1">
        <w:rPr>
          <w:rFonts w:ascii="Times New Roman" w:hAnsi="Times New Roman" w:cs="Times New Roman"/>
          <w:b/>
          <w:sz w:val="24"/>
          <w:szCs w:val="24"/>
        </w:rPr>
        <w:t>Decision Overview</w:t>
      </w:r>
    </w:p>
    <w:p w:rsidR="00BE5B4F" w:rsidRPr="004C6AB1" w:rsidRDefault="00893D0C" w:rsidP="004C6AB1">
      <w:pPr>
        <w:pStyle w:val="Default"/>
        <w:jc w:val="both"/>
      </w:pPr>
      <w:r w:rsidRPr="004C6AB1">
        <w:rPr>
          <w:rFonts w:eastAsia="Times New Roman"/>
        </w:rPr>
        <w:t xml:space="preserve">Judge </w:t>
      </w:r>
      <w:r w:rsidR="00C9535A" w:rsidRPr="004C6AB1">
        <w:t xml:space="preserve">Alvin K. </w:t>
      </w:r>
      <w:proofErr w:type="spellStart"/>
      <w:r w:rsidR="00C9535A" w:rsidRPr="004C6AB1">
        <w:t>Hellerstein</w:t>
      </w:r>
      <w:proofErr w:type="spellEnd"/>
      <w:r w:rsidR="00C9535A" w:rsidRPr="004C6AB1">
        <w:t xml:space="preserve"> </w:t>
      </w:r>
      <w:r w:rsidR="00D43BC5" w:rsidRPr="004C6AB1">
        <w:rPr>
          <w:rFonts w:eastAsia="Times New Roman"/>
        </w:rPr>
        <w:t>delivered the O</w:t>
      </w:r>
      <w:r w:rsidR="00C9535A" w:rsidRPr="004C6AB1">
        <w:rPr>
          <w:rFonts w:eastAsia="Times New Roman"/>
        </w:rPr>
        <w:t>rder of the District</w:t>
      </w:r>
      <w:r w:rsidR="00CE7776" w:rsidRPr="004C6AB1">
        <w:rPr>
          <w:rFonts w:eastAsia="Times New Roman"/>
        </w:rPr>
        <w:t xml:space="preserve"> </w:t>
      </w:r>
      <w:r w:rsidR="00C9535A" w:rsidRPr="004C6AB1">
        <w:rPr>
          <w:rFonts w:eastAsia="Times New Roman"/>
        </w:rPr>
        <w:t xml:space="preserve">Court of Southern District of </w:t>
      </w:r>
      <w:r w:rsidRPr="004C6AB1">
        <w:rPr>
          <w:rFonts w:eastAsia="Times New Roman"/>
        </w:rPr>
        <w:t xml:space="preserve">New York </w:t>
      </w:r>
      <w:r w:rsidR="003F1FCB" w:rsidRPr="004C6AB1">
        <w:rPr>
          <w:rFonts w:eastAsia="Times New Roman"/>
        </w:rPr>
        <w:t xml:space="preserve">in this case. The main issue </w:t>
      </w:r>
      <w:r w:rsidRPr="004C6AB1">
        <w:rPr>
          <w:rFonts w:eastAsia="Times New Roman"/>
        </w:rPr>
        <w:t>the cou</w:t>
      </w:r>
      <w:r w:rsidR="00752FB7" w:rsidRPr="004C6AB1">
        <w:rPr>
          <w:rFonts w:eastAsia="Times New Roman"/>
        </w:rPr>
        <w:t>rt considered in the action</w:t>
      </w:r>
      <w:r w:rsidR="003F1FCB" w:rsidRPr="004C6AB1">
        <w:rPr>
          <w:rFonts w:eastAsia="Times New Roman"/>
        </w:rPr>
        <w:t xml:space="preserve"> is </w:t>
      </w:r>
      <w:r w:rsidR="00752FB7" w:rsidRPr="004C6AB1">
        <w:t>whether the Plaintiff is entitled to a preliminary injunction against the defendants.</w:t>
      </w:r>
      <w:r w:rsidRPr="004C6AB1">
        <w:t xml:space="preserve"> </w:t>
      </w:r>
      <w:r w:rsidR="007E3403" w:rsidRPr="004C6AB1">
        <w:t xml:space="preserve">The main issue the court considered in this case was justification </w:t>
      </w:r>
      <w:r w:rsidR="009D73E8" w:rsidRPr="004C6AB1">
        <w:t>of the transfer of the Peti</w:t>
      </w:r>
      <w:r w:rsidR="00852B78" w:rsidRPr="004C6AB1">
        <w:t xml:space="preserve">tioner from home confinement </w:t>
      </w:r>
      <w:r w:rsidR="009D73E8" w:rsidRPr="004C6AB1">
        <w:t xml:space="preserve">back to custody for exercising his First Amendment rights of writing a book and notifying the public about it on </w:t>
      </w:r>
      <w:r w:rsidR="009D73E8" w:rsidRPr="004C6AB1">
        <w:lastRenderedPageBreak/>
        <w:t>social media. The court in its two page succinct order start</w:t>
      </w:r>
      <w:r w:rsidR="0062319B" w:rsidRPr="004C6AB1">
        <w:t>ed out by expressing its finding</w:t>
      </w:r>
      <w:r w:rsidR="009D73E8" w:rsidRPr="004C6AB1">
        <w:t xml:space="preserve"> about the motive for transferring </w:t>
      </w:r>
      <w:r w:rsidR="0062319B" w:rsidRPr="004C6AB1">
        <w:t xml:space="preserve">the Petitioner to custody as being retaliatory. Putting </w:t>
      </w:r>
      <w:r w:rsidR="00852B78" w:rsidRPr="004C6AB1">
        <w:t xml:space="preserve">it </w:t>
      </w:r>
      <w:r w:rsidR="0062319B" w:rsidRPr="004C6AB1">
        <w:t xml:space="preserve">unequivocally, Judge </w:t>
      </w:r>
      <w:proofErr w:type="spellStart"/>
      <w:r w:rsidR="0062319B" w:rsidRPr="004C6AB1">
        <w:t>Hellerstein</w:t>
      </w:r>
      <w:proofErr w:type="spellEnd"/>
      <w:r w:rsidR="00852B78" w:rsidRPr="004C6AB1">
        <w:t xml:space="preserve"> stated that </w:t>
      </w:r>
      <w:r w:rsidR="0062319B" w:rsidRPr="004C6AB1">
        <w:rPr>
          <w:i/>
        </w:rPr>
        <w:t>“The Court finds that Respondents’ purpose in transferring Cohen from release on furlough and home confinement back to custody was retaliatory in response to Cohen desiring to exercise his First Amendment rights to publish a book critical of the President and to discuss the book on social media”</w:t>
      </w:r>
      <w:r w:rsidR="00852B78" w:rsidRPr="004C6AB1">
        <w:t>[Pg.1]</w:t>
      </w:r>
    </w:p>
    <w:p w:rsidR="00334EB0" w:rsidRPr="004C6AB1" w:rsidRDefault="00334EB0" w:rsidP="004C6AB1">
      <w:pPr>
        <w:pStyle w:val="Default"/>
        <w:jc w:val="both"/>
      </w:pPr>
    </w:p>
    <w:p w:rsidR="00122D3B" w:rsidRPr="004C6AB1" w:rsidRDefault="00334EB0" w:rsidP="004C6AB1">
      <w:pPr>
        <w:pStyle w:val="Default"/>
        <w:jc w:val="both"/>
      </w:pPr>
      <w:r w:rsidRPr="004C6AB1">
        <w:t>The learned Judge</w:t>
      </w:r>
      <w:r w:rsidR="00122D3B" w:rsidRPr="004C6AB1">
        <w:t xml:space="preserve"> granted an injunction restraining the Respondents from any act of furtherance of retaliation or future retaliation against the Petitioner preventing him exercising his First Amendment rights. As a consequence, the court directed that the Petitioner be released from custody to any member of his family at the place of detention not later than 2:00pm on July24, 2020, after a COVID-19 test must have been conducted on him with the results promptly reported to him and his Probation Officer as soon as they are available. </w:t>
      </w:r>
    </w:p>
    <w:p w:rsidR="00122D3B" w:rsidRPr="004C6AB1" w:rsidRDefault="00122D3B" w:rsidP="004C6AB1">
      <w:pPr>
        <w:pStyle w:val="Default"/>
        <w:jc w:val="both"/>
        <w:rPr>
          <w:i/>
        </w:rPr>
      </w:pPr>
      <w:r w:rsidRPr="004C6AB1">
        <w:t xml:space="preserve"> </w:t>
      </w:r>
    </w:p>
    <w:p w:rsidR="00C97BC7" w:rsidRPr="004C6AB1" w:rsidRDefault="00C97BC7" w:rsidP="004C6AB1">
      <w:pPr>
        <w:pStyle w:val="Default"/>
        <w:jc w:val="both"/>
      </w:pPr>
      <w:r w:rsidRPr="004C6AB1">
        <w:t>The Court further ordered that upon release of the Petitioner from custody, he will only be subject to</w:t>
      </w:r>
      <w:r w:rsidRPr="004C6AB1">
        <w:rPr>
          <w:i/>
        </w:rPr>
        <w:t xml:space="preserve"> “the eight conditions of release set forth in the Federal Location Monitoring Agreement, see ECF No. 7-2, provided, however, that adherence to condition one</w:t>
      </w:r>
      <w:r w:rsidR="009833AA" w:rsidRPr="004C6AB1">
        <w:rPr>
          <w:i/>
        </w:rPr>
        <w:t xml:space="preserve">, except for the last sentence, is temporary, subject to the parties’ renegotiation of said temporary condition” </w:t>
      </w:r>
      <w:r w:rsidR="009833AA" w:rsidRPr="004C6AB1">
        <w:t xml:space="preserve">[Pg.1-2] In this regard, the court stated clearly that the condition shall not only be of such legitimate </w:t>
      </w:r>
      <w:proofErr w:type="spellStart"/>
      <w:r w:rsidR="009833AA" w:rsidRPr="004C6AB1">
        <w:t>penological</w:t>
      </w:r>
      <w:proofErr w:type="spellEnd"/>
      <w:r w:rsidR="009833AA" w:rsidRPr="004C6AB1">
        <w:t xml:space="preserve"> limitations</w:t>
      </w:r>
      <w:r w:rsidR="00ED47C2" w:rsidRPr="004C6AB1">
        <w:t xml:space="preserve"> on Petitioner’s conduct based on parties’ mutual agreement or court’s subsequent order but must also be consistent with the First Amendment. </w:t>
      </w:r>
      <w:r w:rsidR="009833AA" w:rsidRPr="004C6AB1">
        <w:t xml:space="preserve"> </w:t>
      </w:r>
      <w:r w:rsidR="001B4597" w:rsidRPr="004C6AB1">
        <w:t>The court ordered the parties to conduct negotiation on condition of the Petitioner’s release within one week effective from the date of the court’s order and filed a proposed order to the court by July 31, 2</w:t>
      </w:r>
      <w:r w:rsidR="00BA750B" w:rsidRPr="004C6AB1">
        <w:t>020. T</w:t>
      </w:r>
      <w:r w:rsidR="001B4597" w:rsidRPr="004C6AB1">
        <w:t xml:space="preserve">he court noted that the order given in the case is final </w:t>
      </w:r>
      <w:r w:rsidR="00BA750B" w:rsidRPr="004C6AB1">
        <w:t>and that a written decision stating fuller statement of findings and conclusions of the court will be made available when ready. The learned judge nonetheless stated that that the court still reserves the right to continue to exercise jurisdiction on the matter if need be</w:t>
      </w:r>
      <w:r w:rsidR="00965801" w:rsidRPr="004C6AB1">
        <w:t>,</w:t>
      </w:r>
      <w:r w:rsidR="00BA750B" w:rsidRPr="004C6AB1">
        <w:t xml:space="preserve"> when </w:t>
      </w:r>
      <w:r w:rsidR="00965801" w:rsidRPr="004C6AB1">
        <w:t xml:space="preserve">Judge </w:t>
      </w:r>
      <w:proofErr w:type="spellStart"/>
      <w:r w:rsidR="00965801" w:rsidRPr="004C6AB1">
        <w:t>Hellerstein</w:t>
      </w:r>
      <w:proofErr w:type="spellEnd"/>
      <w:r w:rsidR="00BA750B" w:rsidRPr="004C6AB1">
        <w:t xml:space="preserve"> stated that </w:t>
      </w:r>
      <w:r w:rsidR="00BA750B" w:rsidRPr="004C6AB1">
        <w:rPr>
          <w:i/>
        </w:rPr>
        <w:t>“I reserve continuing jurisdiction to resolve any disputes in settling an order and enforcing same”</w:t>
      </w:r>
      <w:r w:rsidR="00BA750B" w:rsidRPr="004C6AB1">
        <w:t xml:space="preserve"> [Pg.2]</w:t>
      </w:r>
    </w:p>
    <w:p w:rsidR="00380BC9" w:rsidRPr="004C6AB1" w:rsidRDefault="00380BC9" w:rsidP="004C6AB1">
      <w:pPr>
        <w:pStyle w:val="Default"/>
        <w:jc w:val="both"/>
      </w:pPr>
    </w:p>
    <w:p w:rsidR="00C97BC7" w:rsidRPr="004C6AB1" w:rsidRDefault="00C97BC7" w:rsidP="004C6AB1">
      <w:pPr>
        <w:pStyle w:val="Default"/>
        <w:jc w:val="both"/>
      </w:pPr>
    </w:p>
    <w:p w:rsidR="00BE5B4F" w:rsidRPr="004C6AB1" w:rsidRDefault="00BE5B4F" w:rsidP="004C6AB1">
      <w:pPr>
        <w:jc w:val="both"/>
        <w:rPr>
          <w:rFonts w:ascii="Times New Roman" w:hAnsi="Times New Roman" w:cs="Times New Roman"/>
          <w:b/>
          <w:sz w:val="24"/>
          <w:szCs w:val="24"/>
        </w:rPr>
      </w:pPr>
      <w:r w:rsidRPr="004C6AB1">
        <w:rPr>
          <w:rFonts w:ascii="Times New Roman" w:hAnsi="Times New Roman" w:cs="Times New Roman"/>
          <w:b/>
          <w:sz w:val="24"/>
          <w:szCs w:val="24"/>
        </w:rPr>
        <w:t>DECISION DIRECTION</w:t>
      </w:r>
    </w:p>
    <w:p w:rsidR="00992650" w:rsidRPr="004C6AB1" w:rsidRDefault="003F1FCB" w:rsidP="004C6AB1">
      <w:pPr>
        <w:jc w:val="both"/>
        <w:rPr>
          <w:rFonts w:ascii="Times New Roman" w:hAnsi="Times New Roman" w:cs="Times New Roman"/>
          <w:b/>
          <w:sz w:val="24"/>
          <w:szCs w:val="24"/>
        </w:rPr>
      </w:pPr>
      <w:r w:rsidRPr="004C6AB1">
        <w:rPr>
          <w:rFonts w:ascii="Times New Roman" w:hAnsi="Times New Roman" w:cs="Times New Roman"/>
          <w:b/>
          <w:sz w:val="24"/>
          <w:szCs w:val="24"/>
        </w:rPr>
        <w:t>Expands Expression</w:t>
      </w:r>
    </w:p>
    <w:p w:rsidR="008A2041" w:rsidRPr="004C6AB1" w:rsidRDefault="00E268C1" w:rsidP="004C6AB1">
      <w:pPr>
        <w:pStyle w:val="Default"/>
        <w:jc w:val="both"/>
      </w:pPr>
      <w:r w:rsidRPr="004C6AB1">
        <w:t>The decision exp</w:t>
      </w:r>
      <w:r w:rsidR="00423134" w:rsidRPr="004C6AB1">
        <w:t xml:space="preserve">ands expression when it </w:t>
      </w:r>
      <w:r w:rsidR="00B51625" w:rsidRPr="004C6AB1">
        <w:rPr>
          <w:rFonts w:eastAsia="Times New Roman"/>
        </w:rPr>
        <w:t xml:space="preserve">granted the Preliminary Injunction sought by Michael D. Cohen to restrain the United States government from retaliation and further act of retaliation by which </w:t>
      </w:r>
      <w:r w:rsidR="008A2041" w:rsidRPr="004C6AB1">
        <w:rPr>
          <w:rFonts w:eastAsia="Times New Roman"/>
        </w:rPr>
        <w:t xml:space="preserve">he </w:t>
      </w:r>
      <w:r w:rsidR="00B51625" w:rsidRPr="004C6AB1">
        <w:rPr>
          <w:rFonts w:eastAsia="Times New Roman"/>
        </w:rPr>
        <w:t xml:space="preserve">was </w:t>
      </w:r>
      <w:r w:rsidR="00965801" w:rsidRPr="004C6AB1">
        <w:rPr>
          <w:rFonts w:eastAsia="Times New Roman"/>
        </w:rPr>
        <w:t>re-</w:t>
      </w:r>
      <w:r w:rsidR="00B51625" w:rsidRPr="004C6AB1">
        <w:rPr>
          <w:rFonts w:eastAsia="Times New Roman"/>
        </w:rPr>
        <w:t>confined to prison custody.</w:t>
      </w:r>
      <w:r w:rsidR="00B51625" w:rsidRPr="004C6AB1">
        <w:t xml:space="preserve"> The decision expressly identifies rights to publish a book critical of the President and to discuss the book on social media as First Amendment rights. </w:t>
      </w:r>
      <w:r w:rsidR="00F82BAA" w:rsidRPr="004C6AB1">
        <w:t>The fact that the court ordered the conditions of release to be consistent w</w:t>
      </w:r>
      <w:r w:rsidR="004C4A30" w:rsidRPr="004C6AB1">
        <w:t>ith the First Amendment and the order</w:t>
      </w:r>
      <w:r w:rsidR="00F82BAA" w:rsidRPr="004C6AB1">
        <w:t xml:space="preserve"> was complied with </w:t>
      </w:r>
      <w:r w:rsidR="00380BC9" w:rsidRPr="004C6AB1">
        <w:t xml:space="preserve">by the respondents </w:t>
      </w:r>
      <w:r w:rsidR="00F82BAA" w:rsidRPr="004C6AB1">
        <w:t>as reflected in the United States Department of Justice letter dated July 30, 2020</w:t>
      </w:r>
      <w:r w:rsidR="00380BC9" w:rsidRPr="004C6AB1">
        <w:t>,</w:t>
      </w:r>
      <w:r w:rsidR="00F82BAA" w:rsidRPr="004C6AB1">
        <w:t xml:space="preserve"> confirms the inviolability of free speech as protected by the First Amendment.</w:t>
      </w:r>
    </w:p>
    <w:p w:rsidR="002E5847" w:rsidRPr="004C6AB1" w:rsidRDefault="002E5847" w:rsidP="004C6AB1">
      <w:pPr>
        <w:autoSpaceDE w:val="0"/>
        <w:autoSpaceDN w:val="0"/>
        <w:adjustRightInd w:val="0"/>
        <w:spacing w:after="0" w:line="240" w:lineRule="auto"/>
        <w:jc w:val="both"/>
        <w:rPr>
          <w:rFonts w:ascii="Times New Roman" w:hAnsi="Times New Roman" w:cs="Times New Roman"/>
          <w:sz w:val="24"/>
          <w:szCs w:val="24"/>
        </w:rPr>
      </w:pPr>
    </w:p>
    <w:p w:rsidR="002E5847" w:rsidRPr="004C6AB1" w:rsidRDefault="00D2095B" w:rsidP="004C6AB1">
      <w:pPr>
        <w:autoSpaceDE w:val="0"/>
        <w:autoSpaceDN w:val="0"/>
        <w:adjustRightInd w:val="0"/>
        <w:spacing w:after="0" w:line="240" w:lineRule="auto"/>
        <w:jc w:val="both"/>
        <w:rPr>
          <w:rFonts w:ascii="Times New Roman" w:hAnsi="Times New Roman" w:cs="Times New Roman"/>
          <w:sz w:val="24"/>
          <w:szCs w:val="24"/>
        </w:rPr>
      </w:pPr>
      <w:r w:rsidRPr="004C6AB1">
        <w:rPr>
          <w:rFonts w:ascii="Times New Roman" w:hAnsi="Times New Roman" w:cs="Times New Roman"/>
          <w:sz w:val="24"/>
          <w:szCs w:val="24"/>
        </w:rPr>
        <w:t>The United States Department of Justice</w:t>
      </w:r>
      <w:r w:rsidR="002E5847" w:rsidRPr="004C6AB1">
        <w:rPr>
          <w:rFonts w:ascii="Times New Roman" w:hAnsi="Times New Roman" w:cs="Times New Roman"/>
          <w:sz w:val="24"/>
          <w:szCs w:val="24"/>
        </w:rPr>
        <w:t xml:space="preserve"> </w:t>
      </w:r>
      <w:r w:rsidR="00380BC9" w:rsidRPr="004C6AB1">
        <w:rPr>
          <w:rFonts w:ascii="Times New Roman" w:hAnsi="Times New Roman" w:cs="Times New Roman"/>
          <w:sz w:val="24"/>
          <w:szCs w:val="24"/>
        </w:rPr>
        <w:t>in the said</w:t>
      </w:r>
      <w:r w:rsidRPr="004C6AB1">
        <w:rPr>
          <w:rFonts w:ascii="Times New Roman" w:hAnsi="Times New Roman" w:cs="Times New Roman"/>
          <w:sz w:val="24"/>
          <w:szCs w:val="24"/>
        </w:rPr>
        <w:t xml:space="preserve"> letter dated July 30, 2020 stated that </w:t>
      </w:r>
      <w:r w:rsidR="00C2491D" w:rsidRPr="004C6AB1">
        <w:rPr>
          <w:rFonts w:ascii="Times New Roman" w:hAnsi="Times New Roman" w:cs="Times New Roman"/>
          <w:sz w:val="24"/>
          <w:szCs w:val="24"/>
        </w:rPr>
        <w:t>the parties would</w:t>
      </w:r>
      <w:r w:rsidR="002E5847" w:rsidRPr="004C6AB1">
        <w:rPr>
          <w:rFonts w:ascii="Times New Roman" w:hAnsi="Times New Roman" w:cs="Times New Roman"/>
          <w:sz w:val="24"/>
          <w:szCs w:val="24"/>
        </w:rPr>
        <w:t xml:space="preserve"> consider the Court’s injunction to be permanent. </w:t>
      </w:r>
      <w:r w:rsidR="00C2491D" w:rsidRPr="004C6AB1">
        <w:rPr>
          <w:rFonts w:ascii="Times New Roman" w:hAnsi="Times New Roman" w:cs="Times New Roman"/>
          <w:sz w:val="24"/>
          <w:szCs w:val="24"/>
        </w:rPr>
        <w:t>It further stated that the respondents would</w:t>
      </w:r>
      <w:r w:rsidR="002E5847" w:rsidRPr="004C6AB1">
        <w:rPr>
          <w:rFonts w:ascii="Times New Roman" w:hAnsi="Times New Roman" w:cs="Times New Roman"/>
          <w:sz w:val="24"/>
          <w:szCs w:val="24"/>
        </w:rPr>
        <w:t xml:space="preserve"> not </w:t>
      </w:r>
      <w:r w:rsidR="00C2491D" w:rsidRPr="004C6AB1">
        <w:rPr>
          <w:rFonts w:ascii="Times New Roman" w:hAnsi="Times New Roman" w:cs="Times New Roman"/>
          <w:sz w:val="24"/>
          <w:szCs w:val="24"/>
        </w:rPr>
        <w:t xml:space="preserve">be litigating the natter further and shall not appeal the ruling as this has been agreed by the parties. In assuring </w:t>
      </w:r>
      <w:r w:rsidR="00380BC9" w:rsidRPr="004C6AB1">
        <w:rPr>
          <w:rFonts w:ascii="Times New Roman" w:hAnsi="Times New Roman" w:cs="Times New Roman"/>
          <w:sz w:val="24"/>
          <w:szCs w:val="24"/>
        </w:rPr>
        <w:t xml:space="preserve">the court </w:t>
      </w:r>
      <w:r w:rsidR="00C2491D" w:rsidRPr="004C6AB1">
        <w:rPr>
          <w:rFonts w:ascii="Times New Roman" w:hAnsi="Times New Roman" w:cs="Times New Roman"/>
          <w:sz w:val="24"/>
          <w:szCs w:val="24"/>
        </w:rPr>
        <w:t>of this position and to finally put a stop to the case</w:t>
      </w:r>
      <w:r w:rsidR="00380BC9" w:rsidRPr="004C6AB1">
        <w:rPr>
          <w:rFonts w:ascii="Times New Roman" w:hAnsi="Times New Roman" w:cs="Times New Roman"/>
          <w:sz w:val="24"/>
          <w:szCs w:val="24"/>
        </w:rPr>
        <w:t>,</w:t>
      </w:r>
      <w:r w:rsidR="00C2491D" w:rsidRPr="004C6AB1">
        <w:rPr>
          <w:rFonts w:ascii="Times New Roman" w:hAnsi="Times New Roman" w:cs="Times New Roman"/>
          <w:sz w:val="24"/>
          <w:szCs w:val="24"/>
        </w:rPr>
        <w:t xml:space="preserve"> the letter expressly </w:t>
      </w:r>
      <w:r w:rsidR="00C2491D" w:rsidRPr="004C6AB1">
        <w:rPr>
          <w:rFonts w:ascii="Times New Roman" w:hAnsi="Times New Roman" w:cs="Times New Roman"/>
          <w:sz w:val="24"/>
          <w:szCs w:val="24"/>
        </w:rPr>
        <w:lastRenderedPageBreak/>
        <w:t>states that “</w:t>
      </w:r>
      <w:r w:rsidR="002E5847" w:rsidRPr="004C6AB1">
        <w:rPr>
          <w:rFonts w:ascii="Times New Roman" w:hAnsi="Times New Roman" w:cs="Times New Roman"/>
          <w:i/>
          <w:sz w:val="24"/>
          <w:szCs w:val="24"/>
        </w:rPr>
        <w:t>parties further request that the Court dismiss this matter</w:t>
      </w:r>
      <w:r w:rsidR="00C2491D" w:rsidRPr="004C6AB1">
        <w:rPr>
          <w:rFonts w:ascii="Times New Roman" w:hAnsi="Times New Roman" w:cs="Times New Roman"/>
          <w:sz w:val="24"/>
          <w:szCs w:val="24"/>
        </w:rPr>
        <w:t>” [Pg.2 of the Letter]</w:t>
      </w:r>
      <w:r w:rsidR="002E5847" w:rsidRPr="004C6AB1">
        <w:rPr>
          <w:rFonts w:ascii="Times New Roman" w:hAnsi="Times New Roman" w:cs="Times New Roman"/>
          <w:sz w:val="24"/>
          <w:szCs w:val="24"/>
        </w:rPr>
        <w:t xml:space="preserve">. The </w:t>
      </w:r>
      <w:r w:rsidR="00C2491D" w:rsidRPr="004C6AB1">
        <w:rPr>
          <w:rFonts w:ascii="Times New Roman" w:hAnsi="Times New Roman" w:cs="Times New Roman"/>
          <w:sz w:val="24"/>
          <w:szCs w:val="24"/>
        </w:rPr>
        <w:t xml:space="preserve">letter also disclosed, in compliance with the order of the court of July 23, 2020, that parties </w:t>
      </w:r>
      <w:r w:rsidR="002E5847" w:rsidRPr="004C6AB1">
        <w:rPr>
          <w:rFonts w:ascii="Times New Roman" w:hAnsi="Times New Roman" w:cs="Times New Roman"/>
          <w:sz w:val="24"/>
          <w:szCs w:val="24"/>
        </w:rPr>
        <w:t>have filed a stipulation and proposed order to this effect</w:t>
      </w:r>
      <w:r w:rsidR="00C2491D" w:rsidRPr="004C6AB1">
        <w:rPr>
          <w:rFonts w:ascii="Times New Roman" w:hAnsi="Times New Roman" w:cs="Times New Roman"/>
          <w:sz w:val="24"/>
          <w:szCs w:val="24"/>
        </w:rPr>
        <w:t xml:space="preserve">. </w:t>
      </w:r>
    </w:p>
    <w:p w:rsidR="008A2041" w:rsidRPr="004C6AB1" w:rsidRDefault="008A2041" w:rsidP="004C6AB1">
      <w:pPr>
        <w:pStyle w:val="Default"/>
        <w:jc w:val="both"/>
      </w:pPr>
    </w:p>
    <w:p w:rsidR="009B355E" w:rsidRPr="004C6AB1" w:rsidRDefault="009B355E" w:rsidP="004C6AB1">
      <w:pPr>
        <w:jc w:val="both"/>
        <w:rPr>
          <w:rFonts w:ascii="Times New Roman" w:hAnsi="Times New Roman" w:cs="Times New Roman"/>
          <w:sz w:val="24"/>
          <w:szCs w:val="24"/>
        </w:rPr>
      </w:pPr>
    </w:p>
    <w:p w:rsidR="00BE5B4F" w:rsidRPr="004C6AB1" w:rsidRDefault="00BE5B4F" w:rsidP="004C6AB1">
      <w:pPr>
        <w:jc w:val="both"/>
        <w:rPr>
          <w:rFonts w:ascii="Times New Roman" w:hAnsi="Times New Roman" w:cs="Times New Roman"/>
          <w:b/>
          <w:sz w:val="24"/>
          <w:szCs w:val="24"/>
        </w:rPr>
      </w:pPr>
      <w:r w:rsidRPr="004C6AB1">
        <w:rPr>
          <w:rFonts w:ascii="Times New Roman" w:hAnsi="Times New Roman" w:cs="Times New Roman"/>
          <w:b/>
          <w:sz w:val="24"/>
          <w:szCs w:val="24"/>
        </w:rPr>
        <w:t>GLOBAL PERSPECTIVE</w:t>
      </w:r>
    </w:p>
    <w:p w:rsidR="00EB7A4A" w:rsidRPr="004C6AB1" w:rsidRDefault="00BE5B4F" w:rsidP="004C6AB1">
      <w:pPr>
        <w:jc w:val="both"/>
        <w:rPr>
          <w:rFonts w:ascii="Times New Roman" w:hAnsi="Times New Roman" w:cs="Times New Roman"/>
          <w:b/>
          <w:sz w:val="24"/>
          <w:szCs w:val="24"/>
        </w:rPr>
      </w:pPr>
      <w:r w:rsidRPr="004C6AB1">
        <w:rPr>
          <w:rFonts w:ascii="Times New Roman" w:hAnsi="Times New Roman" w:cs="Times New Roman"/>
          <w:b/>
          <w:sz w:val="24"/>
          <w:szCs w:val="24"/>
        </w:rPr>
        <w:t>National standards, Laws or Jurisprudence</w:t>
      </w:r>
    </w:p>
    <w:p w:rsidR="00EB7A4A" w:rsidRPr="004C6AB1" w:rsidRDefault="00EB7A4A" w:rsidP="004C6AB1">
      <w:pPr>
        <w:autoSpaceDE w:val="0"/>
        <w:autoSpaceDN w:val="0"/>
        <w:adjustRightInd w:val="0"/>
        <w:spacing w:after="0" w:line="240" w:lineRule="auto"/>
        <w:jc w:val="both"/>
        <w:rPr>
          <w:rFonts w:ascii="Times New Roman" w:hAnsi="Times New Roman" w:cs="Times New Roman"/>
          <w:sz w:val="24"/>
          <w:szCs w:val="24"/>
        </w:rPr>
      </w:pPr>
      <w:r w:rsidRPr="004C6AB1">
        <w:rPr>
          <w:rFonts w:ascii="Times New Roman" w:hAnsi="Times New Roman" w:cs="Times New Roman"/>
          <w:i/>
          <w:iCs/>
          <w:sz w:val="24"/>
          <w:szCs w:val="24"/>
        </w:rPr>
        <w:t xml:space="preserve">US, BDO </w:t>
      </w:r>
      <w:proofErr w:type="spellStart"/>
      <w:r w:rsidRPr="004C6AB1">
        <w:rPr>
          <w:rFonts w:ascii="Times New Roman" w:hAnsi="Times New Roman" w:cs="Times New Roman"/>
          <w:i/>
          <w:iCs/>
          <w:sz w:val="24"/>
          <w:szCs w:val="24"/>
        </w:rPr>
        <w:t>Seidman</w:t>
      </w:r>
      <w:proofErr w:type="spellEnd"/>
      <w:r w:rsidRPr="004C6AB1">
        <w:rPr>
          <w:rFonts w:ascii="Times New Roman" w:hAnsi="Times New Roman" w:cs="Times New Roman"/>
          <w:i/>
          <w:iCs/>
          <w:sz w:val="24"/>
          <w:szCs w:val="24"/>
        </w:rPr>
        <w:t xml:space="preserve"> v </w:t>
      </w:r>
      <w:proofErr w:type="spellStart"/>
      <w:r w:rsidRPr="004C6AB1">
        <w:rPr>
          <w:rFonts w:ascii="Times New Roman" w:hAnsi="Times New Roman" w:cs="Times New Roman"/>
          <w:i/>
          <w:iCs/>
          <w:sz w:val="24"/>
          <w:szCs w:val="24"/>
        </w:rPr>
        <w:t>Hirshberg</w:t>
      </w:r>
      <w:proofErr w:type="spellEnd"/>
      <w:r w:rsidRPr="004C6AB1">
        <w:rPr>
          <w:rFonts w:ascii="Times New Roman" w:hAnsi="Times New Roman" w:cs="Times New Roman"/>
          <w:sz w:val="24"/>
          <w:szCs w:val="24"/>
        </w:rPr>
        <w:t>, 93 NY2d 382, 389</w:t>
      </w:r>
    </w:p>
    <w:p w:rsidR="00EB7A4A" w:rsidRPr="004C6AB1" w:rsidRDefault="00EB7A4A" w:rsidP="004C6AB1">
      <w:pPr>
        <w:jc w:val="both"/>
        <w:rPr>
          <w:rFonts w:ascii="Times New Roman" w:hAnsi="Times New Roman" w:cs="Times New Roman"/>
          <w:sz w:val="24"/>
          <w:szCs w:val="24"/>
        </w:rPr>
      </w:pPr>
      <w:r w:rsidRPr="004C6AB1">
        <w:rPr>
          <w:rFonts w:ascii="Times New Roman" w:hAnsi="Times New Roman" w:cs="Times New Roman"/>
          <w:i/>
          <w:iCs/>
          <w:sz w:val="24"/>
          <w:szCs w:val="24"/>
        </w:rPr>
        <w:t>US, New York Times Co. v United States</w:t>
      </w:r>
      <w:r w:rsidRPr="004C6AB1">
        <w:rPr>
          <w:rFonts w:ascii="Times New Roman" w:hAnsi="Times New Roman" w:cs="Times New Roman"/>
          <w:sz w:val="24"/>
          <w:szCs w:val="24"/>
        </w:rPr>
        <w:t>, 403 US 713, 714</w:t>
      </w:r>
    </w:p>
    <w:p w:rsidR="006F6C23" w:rsidRPr="004C6AB1" w:rsidRDefault="0044243D" w:rsidP="004C6AB1">
      <w:pPr>
        <w:jc w:val="both"/>
        <w:rPr>
          <w:rFonts w:ascii="Times New Roman" w:hAnsi="Times New Roman" w:cs="Times New Roman"/>
          <w:sz w:val="24"/>
          <w:szCs w:val="24"/>
        </w:rPr>
      </w:pPr>
      <w:r w:rsidRPr="004C6AB1">
        <w:rPr>
          <w:rFonts w:ascii="Times New Roman" w:hAnsi="Times New Roman" w:cs="Times New Roman"/>
          <w:i/>
          <w:iCs/>
          <w:sz w:val="24"/>
          <w:szCs w:val="24"/>
        </w:rPr>
        <w:t xml:space="preserve">US, </w:t>
      </w:r>
      <w:r w:rsidR="006F6C23" w:rsidRPr="004C6AB1">
        <w:rPr>
          <w:rFonts w:ascii="Times New Roman" w:hAnsi="Times New Roman" w:cs="Times New Roman"/>
          <w:i/>
          <w:iCs/>
          <w:sz w:val="24"/>
          <w:szCs w:val="24"/>
        </w:rPr>
        <w:t xml:space="preserve">Allen v. Pollack, </w:t>
      </w:r>
      <w:r w:rsidR="006F6C23" w:rsidRPr="004C6AB1">
        <w:rPr>
          <w:rFonts w:ascii="Times New Roman" w:hAnsi="Times New Roman" w:cs="Times New Roman"/>
          <w:sz w:val="24"/>
          <w:szCs w:val="24"/>
        </w:rPr>
        <w:t xml:space="preserve">289 A.D.2d 426, 427 [2d </w:t>
      </w:r>
      <w:proofErr w:type="spellStart"/>
      <w:r w:rsidR="006F6C23" w:rsidRPr="004C6AB1">
        <w:rPr>
          <w:rFonts w:ascii="Times New Roman" w:hAnsi="Times New Roman" w:cs="Times New Roman"/>
          <w:sz w:val="24"/>
          <w:szCs w:val="24"/>
        </w:rPr>
        <w:t>Dept</w:t>
      </w:r>
      <w:proofErr w:type="spellEnd"/>
      <w:r w:rsidR="006F6C23" w:rsidRPr="004C6AB1">
        <w:rPr>
          <w:rFonts w:ascii="Times New Roman" w:hAnsi="Times New Roman" w:cs="Times New Roman"/>
          <w:sz w:val="24"/>
          <w:szCs w:val="24"/>
        </w:rPr>
        <w:t xml:space="preserve"> 2001</w:t>
      </w:r>
      <w:proofErr w:type="gramStart"/>
      <w:r w:rsidR="006F6C23" w:rsidRPr="004C6AB1">
        <w:rPr>
          <w:rFonts w:ascii="Times New Roman" w:hAnsi="Times New Roman" w:cs="Times New Roman"/>
          <w:sz w:val="24"/>
          <w:szCs w:val="24"/>
        </w:rPr>
        <w:t>] )</w:t>
      </w:r>
      <w:proofErr w:type="gramEnd"/>
    </w:p>
    <w:p w:rsidR="00DD4CEE" w:rsidRPr="004C6AB1" w:rsidRDefault="0044243D" w:rsidP="004C6AB1">
      <w:pPr>
        <w:jc w:val="both"/>
        <w:rPr>
          <w:rFonts w:ascii="Times New Roman" w:hAnsi="Times New Roman" w:cs="Times New Roman"/>
          <w:sz w:val="24"/>
          <w:szCs w:val="24"/>
        </w:rPr>
      </w:pPr>
      <w:proofErr w:type="spellStart"/>
      <w:r w:rsidRPr="004C6AB1">
        <w:rPr>
          <w:rFonts w:ascii="Times New Roman" w:hAnsi="Times New Roman" w:cs="Times New Roman"/>
          <w:i/>
          <w:iCs/>
          <w:sz w:val="24"/>
          <w:szCs w:val="24"/>
        </w:rPr>
        <w:t>US</w:t>
      </w:r>
      <w:proofErr w:type="gramStart"/>
      <w:r w:rsidRPr="004C6AB1">
        <w:rPr>
          <w:rFonts w:ascii="Times New Roman" w:hAnsi="Times New Roman" w:cs="Times New Roman"/>
          <w:i/>
          <w:iCs/>
          <w:sz w:val="24"/>
          <w:szCs w:val="24"/>
        </w:rPr>
        <w:t>,</w:t>
      </w:r>
      <w:r w:rsidR="00DD4CEE" w:rsidRPr="004C6AB1">
        <w:rPr>
          <w:rFonts w:ascii="Times New Roman" w:hAnsi="Times New Roman" w:cs="Times New Roman"/>
          <w:i/>
          <w:iCs/>
          <w:sz w:val="24"/>
          <w:szCs w:val="24"/>
        </w:rPr>
        <w:t>Macdonald</w:t>
      </w:r>
      <w:proofErr w:type="spellEnd"/>
      <w:proofErr w:type="gramEnd"/>
      <w:r w:rsidR="00DD4CEE" w:rsidRPr="004C6AB1">
        <w:rPr>
          <w:rFonts w:ascii="Times New Roman" w:hAnsi="Times New Roman" w:cs="Times New Roman"/>
          <w:i/>
          <w:iCs/>
          <w:sz w:val="24"/>
          <w:szCs w:val="24"/>
        </w:rPr>
        <w:t xml:space="preserve"> v Clinger</w:t>
      </w:r>
      <w:r w:rsidR="00DD4CEE" w:rsidRPr="004C6AB1">
        <w:rPr>
          <w:rFonts w:ascii="Times New Roman" w:hAnsi="Times New Roman" w:cs="Times New Roman"/>
          <w:sz w:val="24"/>
          <w:szCs w:val="24"/>
        </w:rPr>
        <w:t>, 84 A.D.2d 482 (4th Dep’t, 1982)</w:t>
      </w:r>
    </w:p>
    <w:p w:rsidR="00DD4CEE" w:rsidRPr="004C6AB1" w:rsidRDefault="0044243D" w:rsidP="004C6AB1">
      <w:pPr>
        <w:jc w:val="both"/>
        <w:rPr>
          <w:rFonts w:ascii="Times New Roman" w:hAnsi="Times New Roman" w:cs="Times New Roman"/>
          <w:sz w:val="24"/>
          <w:szCs w:val="24"/>
        </w:rPr>
      </w:pPr>
      <w:proofErr w:type="spellStart"/>
      <w:r w:rsidRPr="004C6AB1">
        <w:rPr>
          <w:rFonts w:ascii="Times New Roman" w:hAnsi="Times New Roman" w:cs="Times New Roman"/>
          <w:i/>
          <w:iCs/>
          <w:sz w:val="24"/>
          <w:szCs w:val="24"/>
        </w:rPr>
        <w:t>US</w:t>
      </w:r>
      <w:proofErr w:type="gramStart"/>
      <w:r w:rsidRPr="004C6AB1">
        <w:rPr>
          <w:rFonts w:ascii="Times New Roman" w:hAnsi="Times New Roman" w:cs="Times New Roman"/>
          <w:i/>
          <w:iCs/>
          <w:sz w:val="24"/>
          <w:szCs w:val="24"/>
        </w:rPr>
        <w:t>,</w:t>
      </w:r>
      <w:r w:rsidR="00DD4CEE" w:rsidRPr="004C6AB1">
        <w:rPr>
          <w:rFonts w:ascii="Times New Roman" w:hAnsi="Times New Roman" w:cs="Times New Roman"/>
          <w:i/>
          <w:iCs/>
          <w:sz w:val="24"/>
          <w:szCs w:val="24"/>
        </w:rPr>
        <w:t>Coca</w:t>
      </w:r>
      <w:proofErr w:type="spellEnd"/>
      <w:proofErr w:type="gramEnd"/>
      <w:r w:rsidR="00DD4CEE" w:rsidRPr="004C6AB1">
        <w:rPr>
          <w:rFonts w:ascii="Times New Roman" w:hAnsi="Times New Roman" w:cs="Times New Roman"/>
          <w:i/>
          <w:iCs/>
          <w:sz w:val="24"/>
          <w:szCs w:val="24"/>
        </w:rPr>
        <w:t>-Cola Company v Purdy</w:t>
      </w:r>
      <w:r w:rsidR="00DD4CEE" w:rsidRPr="004C6AB1">
        <w:rPr>
          <w:rFonts w:ascii="Times New Roman" w:hAnsi="Times New Roman" w:cs="Times New Roman"/>
          <w:sz w:val="24"/>
          <w:szCs w:val="24"/>
        </w:rPr>
        <w:t>, 382 F.3d 774 (</w:t>
      </w:r>
      <w:r w:rsidR="00DD4CEE" w:rsidRPr="004C6AB1">
        <w:rPr>
          <w:rFonts w:ascii="Times New Roman" w:hAnsi="Times New Roman" w:cs="Times New Roman"/>
          <w:i/>
          <w:iCs/>
          <w:sz w:val="24"/>
          <w:szCs w:val="24"/>
        </w:rPr>
        <w:t xml:space="preserve">United </w:t>
      </w:r>
      <w:r w:rsidR="00DD4CEE" w:rsidRPr="004C6AB1">
        <w:rPr>
          <w:rFonts w:ascii="Times New Roman" w:hAnsi="Times New Roman" w:cs="Times New Roman"/>
          <w:sz w:val="24"/>
          <w:szCs w:val="24"/>
        </w:rPr>
        <w:t>States Court of Appeals, Eighth Circuit, 2004)</w:t>
      </w:r>
    </w:p>
    <w:p w:rsidR="00DD4CEE" w:rsidRPr="004C6AB1" w:rsidRDefault="0044243D" w:rsidP="004C6AB1">
      <w:pPr>
        <w:jc w:val="both"/>
        <w:rPr>
          <w:rFonts w:ascii="Times New Roman" w:hAnsi="Times New Roman" w:cs="Times New Roman"/>
          <w:sz w:val="24"/>
          <w:szCs w:val="24"/>
        </w:rPr>
      </w:pPr>
      <w:proofErr w:type="spellStart"/>
      <w:r w:rsidRPr="004C6AB1">
        <w:rPr>
          <w:rFonts w:ascii="Times New Roman" w:hAnsi="Times New Roman" w:cs="Times New Roman"/>
          <w:i/>
          <w:iCs/>
          <w:sz w:val="24"/>
          <w:szCs w:val="24"/>
        </w:rPr>
        <w:t>US</w:t>
      </w:r>
      <w:proofErr w:type="gramStart"/>
      <w:r w:rsidRPr="004C6AB1">
        <w:rPr>
          <w:rFonts w:ascii="Times New Roman" w:hAnsi="Times New Roman" w:cs="Times New Roman"/>
          <w:i/>
          <w:iCs/>
          <w:sz w:val="24"/>
          <w:szCs w:val="24"/>
        </w:rPr>
        <w:t>,</w:t>
      </w:r>
      <w:r w:rsidR="00DD4CEE" w:rsidRPr="004C6AB1">
        <w:rPr>
          <w:rFonts w:ascii="Times New Roman" w:hAnsi="Times New Roman" w:cs="Times New Roman"/>
          <w:i/>
          <w:iCs/>
          <w:sz w:val="24"/>
          <w:szCs w:val="24"/>
        </w:rPr>
        <w:t>Dallas</w:t>
      </w:r>
      <w:proofErr w:type="spellEnd"/>
      <w:proofErr w:type="gramEnd"/>
      <w:r w:rsidR="00DD4CEE" w:rsidRPr="004C6AB1">
        <w:rPr>
          <w:rFonts w:ascii="Times New Roman" w:hAnsi="Times New Roman" w:cs="Times New Roman"/>
          <w:i/>
          <w:iCs/>
          <w:sz w:val="24"/>
          <w:szCs w:val="24"/>
        </w:rPr>
        <w:t xml:space="preserve"> Cowboys Cheerleaders, Inc. v Pussycat Cinema, Ltd.</w:t>
      </w:r>
      <w:r w:rsidR="00DD4CEE" w:rsidRPr="004C6AB1">
        <w:rPr>
          <w:rFonts w:ascii="Times New Roman" w:hAnsi="Times New Roman" w:cs="Times New Roman"/>
          <w:sz w:val="24"/>
          <w:szCs w:val="24"/>
        </w:rPr>
        <w:t>, 604 F.2d 200 (United States Court of Appeals, Second Circuit, 1979)</w:t>
      </w:r>
    </w:p>
    <w:p w:rsidR="00DD4CEE" w:rsidRPr="004C6AB1" w:rsidRDefault="0044243D" w:rsidP="004C6AB1">
      <w:pPr>
        <w:jc w:val="both"/>
        <w:rPr>
          <w:rFonts w:ascii="Times New Roman" w:hAnsi="Times New Roman" w:cs="Times New Roman"/>
          <w:sz w:val="24"/>
          <w:szCs w:val="24"/>
        </w:rPr>
      </w:pPr>
      <w:proofErr w:type="spellStart"/>
      <w:r w:rsidRPr="004C6AB1">
        <w:rPr>
          <w:rFonts w:ascii="Times New Roman" w:hAnsi="Times New Roman" w:cs="Times New Roman"/>
          <w:i/>
          <w:iCs/>
          <w:sz w:val="24"/>
          <w:szCs w:val="24"/>
        </w:rPr>
        <w:t>US</w:t>
      </w:r>
      <w:proofErr w:type="gramStart"/>
      <w:r w:rsidRPr="004C6AB1">
        <w:rPr>
          <w:rFonts w:ascii="Times New Roman" w:hAnsi="Times New Roman" w:cs="Times New Roman"/>
          <w:i/>
          <w:iCs/>
          <w:sz w:val="24"/>
          <w:szCs w:val="24"/>
        </w:rPr>
        <w:t>,</w:t>
      </w:r>
      <w:r w:rsidR="00DD4CEE" w:rsidRPr="004C6AB1">
        <w:rPr>
          <w:rFonts w:ascii="Times New Roman" w:hAnsi="Times New Roman" w:cs="Times New Roman"/>
          <w:i/>
          <w:iCs/>
          <w:sz w:val="24"/>
          <w:szCs w:val="24"/>
        </w:rPr>
        <w:t>Nihon</w:t>
      </w:r>
      <w:proofErr w:type="spellEnd"/>
      <w:proofErr w:type="gramEnd"/>
      <w:r w:rsidR="00DD4CEE" w:rsidRPr="004C6AB1">
        <w:rPr>
          <w:rFonts w:ascii="Times New Roman" w:hAnsi="Times New Roman" w:cs="Times New Roman"/>
          <w:i/>
          <w:iCs/>
          <w:sz w:val="24"/>
          <w:szCs w:val="24"/>
        </w:rPr>
        <w:t xml:space="preserve"> </w:t>
      </w:r>
      <w:proofErr w:type="spellStart"/>
      <w:r w:rsidR="00DD4CEE" w:rsidRPr="004C6AB1">
        <w:rPr>
          <w:rFonts w:ascii="Times New Roman" w:hAnsi="Times New Roman" w:cs="Times New Roman"/>
          <w:i/>
          <w:iCs/>
          <w:sz w:val="24"/>
          <w:szCs w:val="24"/>
        </w:rPr>
        <w:t>Keizai</w:t>
      </w:r>
      <w:proofErr w:type="spellEnd"/>
      <w:r w:rsidR="00DD4CEE" w:rsidRPr="004C6AB1">
        <w:rPr>
          <w:rFonts w:ascii="Times New Roman" w:hAnsi="Times New Roman" w:cs="Times New Roman"/>
          <w:i/>
          <w:iCs/>
          <w:sz w:val="24"/>
          <w:szCs w:val="24"/>
        </w:rPr>
        <w:t xml:space="preserve"> </w:t>
      </w:r>
      <w:proofErr w:type="spellStart"/>
      <w:r w:rsidR="00DD4CEE" w:rsidRPr="004C6AB1">
        <w:rPr>
          <w:rFonts w:ascii="Times New Roman" w:hAnsi="Times New Roman" w:cs="Times New Roman"/>
          <w:i/>
          <w:iCs/>
          <w:sz w:val="24"/>
          <w:szCs w:val="24"/>
        </w:rPr>
        <w:t>Shimbun</w:t>
      </w:r>
      <w:proofErr w:type="spellEnd"/>
      <w:r w:rsidR="00DD4CEE" w:rsidRPr="004C6AB1">
        <w:rPr>
          <w:rFonts w:ascii="Times New Roman" w:hAnsi="Times New Roman" w:cs="Times New Roman"/>
          <w:i/>
          <w:iCs/>
          <w:sz w:val="24"/>
          <w:szCs w:val="24"/>
        </w:rPr>
        <w:t xml:space="preserve">, Inc. v </w:t>
      </w:r>
      <w:proofErr w:type="spellStart"/>
      <w:r w:rsidR="00DD4CEE" w:rsidRPr="004C6AB1">
        <w:rPr>
          <w:rFonts w:ascii="Times New Roman" w:hAnsi="Times New Roman" w:cs="Times New Roman"/>
          <w:i/>
          <w:iCs/>
          <w:sz w:val="24"/>
          <w:szCs w:val="24"/>
        </w:rPr>
        <w:t>Comline</w:t>
      </w:r>
      <w:proofErr w:type="spellEnd"/>
      <w:r w:rsidR="00DD4CEE" w:rsidRPr="004C6AB1">
        <w:rPr>
          <w:rFonts w:ascii="Times New Roman" w:hAnsi="Times New Roman" w:cs="Times New Roman"/>
          <w:i/>
          <w:iCs/>
          <w:sz w:val="24"/>
          <w:szCs w:val="24"/>
        </w:rPr>
        <w:t xml:space="preserve"> Business Data, Inc.</w:t>
      </w:r>
      <w:r w:rsidR="00DD4CEE" w:rsidRPr="004C6AB1">
        <w:rPr>
          <w:rFonts w:ascii="Times New Roman" w:hAnsi="Times New Roman" w:cs="Times New Roman"/>
          <w:sz w:val="24"/>
          <w:szCs w:val="24"/>
        </w:rPr>
        <w:t>, 166 F.3d 65 (2d Cir. 1999)</w:t>
      </w:r>
    </w:p>
    <w:p w:rsidR="000F565B" w:rsidRPr="004C6AB1" w:rsidRDefault="0044243D" w:rsidP="004C6AB1">
      <w:pPr>
        <w:jc w:val="both"/>
        <w:rPr>
          <w:rFonts w:ascii="Times New Roman" w:hAnsi="Times New Roman" w:cs="Times New Roman"/>
          <w:sz w:val="24"/>
          <w:szCs w:val="24"/>
        </w:rPr>
      </w:pPr>
      <w:proofErr w:type="spellStart"/>
      <w:r w:rsidRPr="004C6AB1">
        <w:rPr>
          <w:rFonts w:ascii="Times New Roman" w:hAnsi="Times New Roman" w:cs="Times New Roman"/>
          <w:i/>
          <w:iCs/>
          <w:sz w:val="24"/>
          <w:szCs w:val="24"/>
        </w:rPr>
        <w:t>US</w:t>
      </w:r>
      <w:proofErr w:type="gramStart"/>
      <w:r w:rsidRPr="004C6AB1">
        <w:rPr>
          <w:rFonts w:ascii="Times New Roman" w:hAnsi="Times New Roman" w:cs="Times New Roman"/>
          <w:i/>
          <w:iCs/>
          <w:sz w:val="24"/>
          <w:szCs w:val="24"/>
        </w:rPr>
        <w:t>,</w:t>
      </w:r>
      <w:r w:rsidR="000F565B" w:rsidRPr="004C6AB1">
        <w:rPr>
          <w:rFonts w:ascii="Times New Roman" w:hAnsi="Times New Roman" w:cs="Times New Roman"/>
          <w:i/>
          <w:iCs/>
          <w:sz w:val="24"/>
          <w:szCs w:val="24"/>
        </w:rPr>
        <w:t>First</w:t>
      </w:r>
      <w:proofErr w:type="spellEnd"/>
      <w:proofErr w:type="gramEnd"/>
      <w:r w:rsidR="000F565B" w:rsidRPr="004C6AB1">
        <w:rPr>
          <w:rFonts w:ascii="Times New Roman" w:hAnsi="Times New Roman" w:cs="Times New Roman"/>
          <w:i/>
          <w:iCs/>
          <w:sz w:val="24"/>
          <w:szCs w:val="24"/>
        </w:rPr>
        <w:t xml:space="preserve"> National Bank of Boston v </w:t>
      </w:r>
      <w:proofErr w:type="spellStart"/>
      <w:r w:rsidR="000F565B" w:rsidRPr="004C6AB1">
        <w:rPr>
          <w:rFonts w:ascii="Times New Roman" w:hAnsi="Times New Roman" w:cs="Times New Roman"/>
          <w:i/>
          <w:iCs/>
          <w:sz w:val="24"/>
          <w:szCs w:val="24"/>
        </w:rPr>
        <w:t>Bellotti</w:t>
      </w:r>
      <w:proofErr w:type="spellEnd"/>
      <w:r w:rsidR="000F565B" w:rsidRPr="004C6AB1">
        <w:rPr>
          <w:rFonts w:ascii="Times New Roman" w:hAnsi="Times New Roman" w:cs="Times New Roman"/>
          <w:sz w:val="24"/>
          <w:szCs w:val="24"/>
        </w:rPr>
        <w:t>, 435 U.S. 765 (1978)</w:t>
      </w:r>
    </w:p>
    <w:p w:rsidR="000F565B" w:rsidRPr="004C6AB1" w:rsidRDefault="000F565B" w:rsidP="004C6AB1">
      <w:pPr>
        <w:jc w:val="both"/>
        <w:rPr>
          <w:rFonts w:ascii="Times New Roman" w:hAnsi="Times New Roman" w:cs="Times New Roman"/>
          <w:sz w:val="24"/>
          <w:szCs w:val="24"/>
        </w:rPr>
      </w:pPr>
      <w:r w:rsidRPr="004C6AB1">
        <w:rPr>
          <w:rFonts w:ascii="Times New Roman" w:hAnsi="Times New Roman" w:cs="Times New Roman"/>
          <w:sz w:val="24"/>
          <w:szCs w:val="24"/>
        </w:rPr>
        <w:t xml:space="preserve"> </w:t>
      </w:r>
      <w:proofErr w:type="spellStart"/>
      <w:r w:rsidR="0044243D" w:rsidRPr="004C6AB1">
        <w:rPr>
          <w:rFonts w:ascii="Times New Roman" w:hAnsi="Times New Roman" w:cs="Times New Roman"/>
          <w:i/>
          <w:iCs/>
          <w:sz w:val="24"/>
          <w:szCs w:val="24"/>
        </w:rPr>
        <w:t>US</w:t>
      </w:r>
      <w:proofErr w:type="gramStart"/>
      <w:r w:rsidR="0044243D" w:rsidRPr="004C6AB1">
        <w:rPr>
          <w:rFonts w:ascii="Times New Roman" w:hAnsi="Times New Roman" w:cs="Times New Roman"/>
          <w:i/>
          <w:iCs/>
          <w:sz w:val="24"/>
          <w:szCs w:val="24"/>
        </w:rPr>
        <w:t>,</w:t>
      </w:r>
      <w:r w:rsidRPr="004C6AB1">
        <w:rPr>
          <w:rFonts w:ascii="Times New Roman" w:hAnsi="Times New Roman" w:cs="Times New Roman"/>
          <w:i/>
          <w:iCs/>
          <w:sz w:val="24"/>
          <w:szCs w:val="24"/>
        </w:rPr>
        <w:t>New</w:t>
      </w:r>
      <w:proofErr w:type="spellEnd"/>
      <w:proofErr w:type="gramEnd"/>
      <w:r w:rsidRPr="004C6AB1">
        <w:rPr>
          <w:rFonts w:ascii="Times New Roman" w:hAnsi="Times New Roman" w:cs="Times New Roman"/>
          <w:i/>
          <w:iCs/>
          <w:sz w:val="24"/>
          <w:szCs w:val="24"/>
        </w:rPr>
        <w:t xml:space="preserve"> York Times Co. v United States</w:t>
      </w:r>
      <w:r w:rsidRPr="004C6AB1">
        <w:rPr>
          <w:rFonts w:ascii="Times New Roman" w:hAnsi="Times New Roman" w:cs="Times New Roman"/>
          <w:sz w:val="24"/>
          <w:szCs w:val="24"/>
        </w:rPr>
        <w:t>, 403 U.S. 713 (1971)</w:t>
      </w:r>
    </w:p>
    <w:p w:rsidR="000F565B" w:rsidRPr="004C6AB1" w:rsidRDefault="0044243D" w:rsidP="004C6AB1">
      <w:pPr>
        <w:jc w:val="both"/>
        <w:rPr>
          <w:rFonts w:ascii="Times New Roman" w:hAnsi="Times New Roman" w:cs="Times New Roman"/>
          <w:sz w:val="24"/>
          <w:szCs w:val="24"/>
        </w:rPr>
      </w:pPr>
      <w:proofErr w:type="spellStart"/>
      <w:r w:rsidRPr="004C6AB1">
        <w:rPr>
          <w:rFonts w:ascii="Times New Roman" w:hAnsi="Times New Roman" w:cs="Times New Roman"/>
          <w:i/>
          <w:iCs/>
          <w:sz w:val="24"/>
          <w:szCs w:val="24"/>
        </w:rPr>
        <w:t>US</w:t>
      </w:r>
      <w:proofErr w:type="gramStart"/>
      <w:r w:rsidRPr="004C6AB1">
        <w:rPr>
          <w:rFonts w:ascii="Times New Roman" w:hAnsi="Times New Roman" w:cs="Times New Roman"/>
          <w:i/>
          <w:iCs/>
          <w:sz w:val="24"/>
          <w:szCs w:val="24"/>
        </w:rPr>
        <w:t>,</w:t>
      </w:r>
      <w:r w:rsidR="000F565B" w:rsidRPr="004C6AB1">
        <w:rPr>
          <w:rFonts w:ascii="Times New Roman" w:hAnsi="Times New Roman" w:cs="Times New Roman"/>
          <w:i/>
          <w:iCs/>
          <w:sz w:val="24"/>
          <w:szCs w:val="24"/>
        </w:rPr>
        <w:t>Nihon</w:t>
      </w:r>
      <w:proofErr w:type="spellEnd"/>
      <w:proofErr w:type="gramEnd"/>
      <w:r w:rsidR="000F565B" w:rsidRPr="004C6AB1">
        <w:rPr>
          <w:rFonts w:ascii="Times New Roman" w:hAnsi="Times New Roman" w:cs="Times New Roman"/>
          <w:i/>
          <w:iCs/>
          <w:sz w:val="24"/>
          <w:szCs w:val="24"/>
        </w:rPr>
        <w:t xml:space="preserve"> </w:t>
      </w:r>
      <w:proofErr w:type="spellStart"/>
      <w:r w:rsidR="000F565B" w:rsidRPr="004C6AB1">
        <w:rPr>
          <w:rFonts w:ascii="Times New Roman" w:hAnsi="Times New Roman" w:cs="Times New Roman"/>
          <w:i/>
          <w:iCs/>
          <w:sz w:val="24"/>
          <w:szCs w:val="24"/>
        </w:rPr>
        <w:t>Keizai</w:t>
      </w:r>
      <w:proofErr w:type="spellEnd"/>
      <w:r w:rsidR="000F565B" w:rsidRPr="004C6AB1">
        <w:rPr>
          <w:rFonts w:ascii="Times New Roman" w:hAnsi="Times New Roman" w:cs="Times New Roman"/>
          <w:i/>
          <w:iCs/>
          <w:sz w:val="24"/>
          <w:szCs w:val="24"/>
        </w:rPr>
        <w:t xml:space="preserve"> </w:t>
      </w:r>
      <w:proofErr w:type="spellStart"/>
      <w:r w:rsidR="000F565B" w:rsidRPr="004C6AB1">
        <w:rPr>
          <w:rFonts w:ascii="Times New Roman" w:hAnsi="Times New Roman" w:cs="Times New Roman"/>
          <w:i/>
          <w:iCs/>
          <w:sz w:val="24"/>
          <w:szCs w:val="24"/>
        </w:rPr>
        <w:t>Shimbun</w:t>
      </w:r>
      <w:proofErr w:type="spellEnd"/>
      <w:r w:rsidR="000F565B" w:rsidRPr="004C6AB1">
        <w:rPr>
          <w:rFonts w:ascii="Times New Roman" w:hAnsi="Times New Roman" w:cs="Times New Roman"/>
          <w:i/>
          <w:iCs/>
          <w:sz w:val="24"/>
          <w:szCs w:val="24"/>
        </w:rPr>
        <w:t xml:space="preserve">, Inc. v </w:t>
      </w:r>
      <w:proofErr w:type="spellStart"/>
      <w:r w:rsidR="000F565B" w:rsidRPr="004C6AB1">
        <w:rPr>
          <w:rFonts w:ascii="Times New Roman" w:hAnsi="Times New Roman" w:cs="Times New Roman"/>
          <w:i/>
          <w:iCs/>
          <w:sz w:val="24"/>
          <w:szCs w:val="24"/>
        </w:rPr>
        <w:t>Comline</w:t>
      </w:r>
      <w:proofErr w:type="spellEnd"/>
      <w:r w:rsidR="000F565B" w:rsidRPr="004C6AB1">
        <w:rPr>
          <w:rFonts w:ascii="Times New Roman" w:hAnsi="Times New Roman" w:cs="Times New Roman"/>
          <w:i/>
          <w:iCs/>
          <w:sz w:val="24"/>
          <w:szCs w:val="24"/>
        </w:rPr>
        <w:t xml:space="preserve"> Business Data, Inc.</w:t>
      </w:r>
      <w:r w:rsidR="000F565B" w:rsidRPr="004C6AB1">
        <w:rPr>
          <w:rFonts w:ascii="Times New Roman" w:hAnsi="Times New Roman" w:cs="Times New Roman"/>
          <w:sz w:val="24"/>
          <w:szCs w:val="24"/>
        </w:rPr>
        <w:t>, 166 F.3d 65 (2d Cir. 1999)</w:t>
      </w:r>
    </w:p>
    <w:p w:rsidR="000F565B" w:rsidRPr="004C6AB1" w:rsidRDefault="0044243D" w:rsidP="004C6AB1">
      <w:pPr>
        <w:jc w:val="both"/>
        <w:rPr>
          <w:rFonts w:ascii="Times New Roman" w:hAnsi="Times New Roman" w:cs="Times New Roman"/>
          <w:sz w:val="24"/>
          <w:szCs w:val="24"/>
        </w:rPr>
      </w:pPr>
      <w:proofErr w:type="spellStart"/>
      <w:r w:rsidRPr="004C6AB1">
        <w:rPr>
          <w:rFonts w:ascii="Times New Roman" w:hAnsi="Times New Roman" w:cs="Times New Roman"/>
          <w:i/>
          <w:iCs/>
          <w:sz w:val="24"/>
          <w:szCs w:val="24"/>
        </w:rPr>
        <w:t>US</w:t>
      </w:r>
      <w:proofErr w:type="gramStart"/>
      <w:r w:rsidRPr="004C6AB1">
        <w:rPr>
          <w:rFonts w:ascii="Times New Roman" w:hAnsi="Times New Roman" w:cs="Times New Roman"/>
          <w:i/>
          <w:iCs/>
          <w:sz w:val="24"/>
          <w:szCs w:val="24"/>
        </w:rPr>
        <w:t>,</w:t>
      </w:r>
      <w:r w:rsidR="000F565B" w:rsidRPr="004C6AB1">
        <w:rPr>
          <w:rFonts w:ascii="Times New Roman" w:hAnsi="Times New Roman" w:cs="Times New Roman"/>
          <w:i/>
          <w:iCs/>
          <w:sz w:val="24"/>
          <w:szCs w:val="24"/>
        </w:rPr>
        <w:t>Crosby</w:t>
      </w:r>
      <w:proofErr w:type="spellEnd"/>
      <w:proofErr w:type="gramEnd"/>
      <w:r w:rsidR="000F565B" w:rsidRPr="004C6AB1">
        <w:rPr>
          <w:rFonts w:ascii="Times New Roman" w:hAnsi="Times New Roman" w:cs="Times New Roman"/>
          <w:i/>
          <w:iCs/>
          <w:sz w:val="24"/>
          <w:szCs w:val="24"/>
        </w:rPr>
        <w:t xml:space="preserve"> v Bradstreet </w:t>
      </w:r>
      <w:r w:rsidR="000F565B" w:rsidRPr="004C6AB1">
        <w:rPr>
          <w:rFonts w:ascii="Times New Roman" w:hAnsi="Times New Roman" w:cs="Times New Roman"/>
          <w:sz w:val="24"/>
          <w:szCs w:val="24"/>
        </w:rPr>
        <w:t>Company, 312 F.2d 483</w:t>
      </w:r>
    </w:p>
    <w:p w:rsidR="000F565B" w:rsidRPr="004C6AB1" w:rsidRDefault="0044243D" w:rsidP="004C6AB1">
      <w:pPr>
        <w:jc w:val="both"/>
        <w:rPr>
          <w:rFonts w:ascii="Times New Roman" w:hAnsi="Times New Roman" w:cs="Times New Roman"/>
          <w:sz w:val="24"/>
          <w:szCs w:val="24"/>
        </w:rPr>
      </w:pPr>
      <w:proofErr w:type="spellStart"/>
      <w:r w:rsidRPr="004C6AB1">
        <w:rPr>
          <w:rFonts w:ascii="Times New Roman" w:hAnsi="Times New Roman" w:cs="Times New Roman"/>
          <w:i/>
          <w:iCs/>
          <w:sz w:val="24"/>
          <w:szCs w:val="24"/>
        </w:rPr>
        <w:t>US</w:t>
      </w:r>
      <w:proofErr w:type="gramStart"/>
      <w:r w:rsidRPr="004C6AB1">
        <w:rPr>
          <w:rFonts w:ascii="Times New Roman" w:hAnsi="Times New Roman" w:cs="Times New Roman"/>
          <w:i/>
          <w:iCs/>
          <w:sz w:val="24"/>
          <w:szCs w:val="24"/>
        </w:rPr>
        <w:t>,</w:t>
      </w:r>
      <w:r w:rsidR="000F565B" w:rsidRPr="004C6AB1">
        <w:rPr>
          <w:rFonts w:ascii="Times New Roman" w:hAnsi="Times New Roman" w:cs="Times New Roman"/>
          <w:i/>
          <w:iCs/>
          <w:sz w:val="24"/>
          <w:szCs w:val="24"/>
        </w:rPr>
        <w:t>Dr</w:t>
      </w:r>
      <w:proofErr w:type="spellEnd"/>
      <w:proofErr w:type="gramEnd"/>
      <w:r w:rsidR="000F565B" w:rsidRPr="004C6AB1">
        <w:rPr>
          <w:rFonts w:ascii="Times New Roman" w:hAnsi="Times New Roman" w:cs="Times New Roman"/>
          <w:i/>
          <w:iCs/>
          <w:sz w:val="24"/>
          <w:szCs w:val="24"/>
        </w:rPr>
        <w:t>. Seuss Enterprises v. Penguin Books</w:t>
      </w:r>
      <w:r w:rsidR="000F565B" w:rsidRPr="004C6AB1">
        <w:rPr>
          <w:rFonts w:ascii="Times New Roman" w:hAnsi="Times New Roman" w:cs="Times New Roman"/>
          <w:sz w:val="24"/>
          <w:szCs w:val="24"/>
        </w:rPr>
        <w:t>, 109 F.3d 1394 (9th Cir. 1997)</w:t>
      </w:r>
    </w:p>
    <w:p w:rsidR="000F565B" w:rsidRPr="004C6AB1" w:rsidRDefault="0044243D" w:rsidP="004C6AB1">
      <w:pPr>
        <w:jc w:val="both"/>
        <w:rPr>
          <w:rFonts w:ascii="Times New Roman" w:hAnsi="Times New Roman" w:cs="Times New Roman"/>
          <w:sz w:val="24"/>
          <w:szCs w:val="24"/>
        </w:rPr>
      </w:pPr>
      <w:proofErr w:type="spellStart"/>
      <w:r w:rsidRPr="004C6AB1">
        <w:rPr>
          <w:rFonts w:ascii="Times New Roman" w:hAnsi="Times New Roman" w:cs="Times New Roman"/>
          <w:i/>
          <w:iCs/>
          <w:sz w:val="24"/>
          <w:szCs w:val="24"/>
        </w:rPr>
        <w:t>US</w:t>
      </w:r>
      <w:proofErr w:type="gramStart"/>
      <w:r w:rsidRPr="004C6AB1">
        <w:rPr>
          <w:rFonts w:ascii="Times New Roman" w:hAnsi="Times New Roman" w:cs="Times New Roman"/>
          <w:i/>
          <w:iCs/>
          <w:sz w:val="24"/>
          <w:szCs w:val="24"/>
        </w:rPr>
        <w:t>,</w:t>
      </w:r>
      <w:r w:rsidR="000F565B" w:rsidRPr="004C6AB1">
        <w:rPr>
          <w:rFonts w:ascii="Times New Roman" w:hAnsi="Times New Roman" w:cs="Times New Roman"/>
          <w:i/>
          <w:iCs/>
          <w:sz w:val="24"/>
          <w:szCs w:val="24"/>
        </w:rPr>
        <w:t>Rodgers</w:t>
      </w:r>
      <w:proofErr w:type="spellEnd"/>
      <w:proofErr w:type="gramEnd"/>
      <w:r w:rsidR="000F565B" w:rsidRPr="004C6AB1">
        <w:rPr>
          <w:rFonts w:ascii="Times New Roman" w:hAnsi="Times New Roman" w:cs="Times New Roman"/>
          <w:i/>
          <w:iCs/>
          <w:sz w:val="24"/>
          <w:szCs w:val="24"/>
        </w:rPr>
        <w:t xml:space="preserve"> v United States Steel Corp.</w:t>
      </w:r>
      <w:r w:rsidR="000F565B" w:rsidRPr="004C6AB1">
        <w:rPr>
          <w:rFonts w:ascii="Times New Roman" w:hAnsi="Times New Roman" w:cs="Times New Roman"/>
          <w:sz w:val="24"/>
          <w:szCs w:val="24"/>
        </w:rPr>
        <w:t>, 536 F.2d 1001 (3rd Cir. 1976</w:t>
      </w:r>
    </w:p>
    <w:p w:rsidR="0094686F" w:rsidRPr="004C6AB1" w:rsidRDefault="0044243D" w:rsidP="004C6AB1">
      <w:pPr>
        <w:jc w:val="both"/>
        <w:rPr>
          <w:rFonts w:ascii="Times New Roman" w:hAnsi="Times New Roman" w:cs="Times New Roman"/>
          <w:sz w:val="24"/>
          <w:szCs w:val="24"/>
        </w:rPr>
      </w:pPr>
      <w:proofErr w:type="spellStart"/>
      <w:r w:rsidRPr="004C6AB1">
        <w:rPr>
          <w:rFonts w:ascii="Times New Roman" w:hAnsi="Times New Roman" w:cs="Times New Roman"/>
          <w:i/>
          <w:iCs/>
          <w:sz w:val="24"/>
          <w:szCs w:val="24"/>
        </w:rPr>
        <w:t>US</w:t>
      </w:r>
      <w:proofErr w:type="gramStart"/>
      <w:r w:rsidRPr="004C6AB1">
        <w:rPr>
          <w:rFonts w:ascii="Times New Roman" w:hAnsi="Times New Roman" w:cs="Times New Roman"/>
          <w:i/>
          <w:iCs/>
          <w:sz w:val="24"/>
          <w:szCs w:val="24"/>
        </w:rPr>
        <w:t>,</w:t>
      </w:r>
      <w:r w:rsidR="0094686F" w:rsidRPr="004C6AB1">
        <w:rPr>
          <w:rFonts w:ascii="Times New Roman" w:hAnsi="Times New Roman" w:cs="Times New Roman"/>
          <w:i/>
          <w:iCs/>
          <w:sz w:val="24"/>
          <w:szCs w:val="24"/>
        </w:rPr>
        <w:t>Trump</w:t>
      </w:r>
      <w:proofErr w:type="spellEnd"/>
      <w:proofErr w:type="gramEnd"/>
      <w:r w:rsidR="0094686F" w:rsidRPr="004C6AB1">
        <w:rPr>
          <w:rFonts w:ascii="Times New Roman" w:hAnsi="Times New Roman" w:cs="Times New Roman"/>
          <w:i/>
          <w:iCs/>
          <w:sz w:val="24"/>
          <w:szCs w:val="24"/>
        </w:rPr>
        <w:t xml:space="preserve"> v Trump</w:t>
      </w:r>
      <w:r w:rsidR="0094686F" w:rsidRPr="004C6AB1">
        <w:rPr>
          <w:rFonts w:ascii="Times New Roman" w:hAnsi="Times New Roman" w:cs="Times New Roman"/>
          <w:sz w:val="24"/>
          <w:szCs w:val="24"/>
        </w:rPr>
        <w:t>, 179 A.D.2d 201 (1st Dep’t, 1992)</w:t>
      </w:r>
    </w:p>
    <w:p w:rsidR="0094686F" w:rsidRPr="004C6AB1" w:rsidRDefault="0044243D" w:rsidP="004C6AB1">
      <w:pPr>
        <w:jc w:val="both"/>
        <w:rPr>
          <w:rFonts w:ascii="Times New Roman" w:hAnsi="Times New Roman" w:cs="Times New Roman"/>
          <w:sz w:val="24"/>
          <w:szCs w:val="24"/>
        </w:rPr>
      </w:pPr>
      <w:proofErr w:type="spellStart"/>
      <w:r w:rsidRPr="004C6AB1">
        <w:rPr>
          <w:rFonts w:ascii="Times New Roman" w:hAnsi="Times New Roman" w:cs="Times New Roman"/>
          <w:i/>
          <w:iCs/>
          <w:sz w:val="24"/>
          <w:szCs w:val="24"/>
        </w:rPr>
        <w:t>US</w:t>
      </w:r>
      <w:proofErr w:type="gramStart"/>
      <w:r w:rsidRPr="004C6AB1">
        <w:rPr>
          <w:rFonts w:ascii="Times New Roman" w:hAnsi="Times New Roman" w:cs="Times New Roman"/>
          <w:i/>
          <w:iCs/>
          <w:sz w:val="24"/>
          <w:szCs w:val="24"/>
        </w:rPr>
        <w:t>,</w:t>
      </w:r>
      <w:r w:rsidR="0094686F" w:rsidRPr="004C6AB1">
        <w:rPr>
          <w:rFonts w:ascii="Times New Roman" w:hAnsi="Times New Roman" w:cs="Times New Roman"/>
          <w:i/>
          <w:iCs/>
          <w:sz w:val="24"/>
          <w:szCs w:val="24"/>
        </w:rPr>
        <w:t>Ronnie</w:t>
      </w:r>
      <w:proofErr w:type="spellEnd"/>
      <w:proofErr w:type="gramEnd"/>
      <w:r w:rsidR="0094686F" w:rsidRPr="004C6AB1">
        <w:rPr>
          <w:rFonts w:ascii="Times New Roman" w:hAnsi="Times New Roman" w:cs="Times New Roman"/>
          <w:i/>
          <w:iCs/>
          <w:sz w:val="24"/>
          <w:szCs w:val="24"/>
        </w:rPr>
        <w:t xml:space="preserve"> Van </w:t>
      </w:r>
      <w:proofErr w:type="spellStart"/>
      <w:r w:rsidR="0094686F" w:rsidRPr="004C6AB1">
        <w:rPr>
          <w:rFonts w:ascii="Times New Roman" w:hAnsi="Times New Roman" w:cs="Times New Roman"/>
          <w:i/>
          <w:iCs/>
          <w:sz w:val="24"/>
          <w:szCs w:val="24"/>
        </w:rPr>
        <w:t>Zant</w:t>
      </w:r>
      <w:proofErr w:type="spellEnd"/>
      <w:r w:rsidR="0094686F" w:rsidRPr="004C6AB1">
        <w:rPr>
          <w:rFonts w:ascii="Times New Roman" w:hAnsi="Times New Roman" w:cs="Times New Roman"/>
          <w:i/>
          <w:iCs/>
          <w:sz w:val="24"/>
          <w:szCs w:val="24"/>
        </w:rPr>
        <w:t xml:space="preserve">, Inc. v. Cleopatra Records, </w:t>
      </w:r>
      <w:proofErr w:type="spellStart"/>
      <w:r w:rsidR="0094686F" w:rsidRPr="004C6AB1">
        <w:rPr>
          <w:rFonts w:ascii="Times New Roman" w:hAnsi="Times New Roman" w:cs="Times New Roman"/>
          <w:i/>
          <w:iCs/>
          <w:sz w:val="24"/>
          <w:szCs w:val="24"/>
        </w:rPr>
        <w:t>Inc</w:t>
      </w:r>
      <w:proofErr w:type="spellEnd"/>
      <w:r w:rsidR="0094686F" w:rsidRPr="004C6AB1">
        <w:rPr>
          <w:rFonts w:ascii="Times New Roman" w:hAnsi="Times New Roman" w:cs="Times New Roman"/>
          <w:sz w:val="24"/>
          <w:szCs w:val="24"/>
        </w:rPr>
        <w:t>, 906 F.3d 253, 257 (2d Cir. 2018)</w:t>
      </w:r>
    </w:p>
    <w:p w:rsidR="0094686F" w:rsidRPr="004C6AB1" w:rsidRDefault="00EB7A4A" w:rsidP="004C6AB1">
      <w:pPr>
        <w:jc w:val="both"/>
        <w:rPr>
          <w:rFonts w:ascii="Times New Roman" w:hAnsi="Times New Roman" w:cs="Times New Roman"/>
          <w:sz w:val="24"/>
          <w:szCs w:val="24"/>
        </w:rPr>
      </w:pPr>
      <w:r w:rsidRPr="004C6AB1">
        <w:rPr>
          <w:rFonts w:ascii="Times New Roman" w:hAnsi="Times New Roman" w:cs="Times New Roman"/>
          <w:i/>
          <w:iCs/>
          <w:sz w:val="24"/>
          <w:szCs w:val="24"/>
        </w:rPr>
        <w:t xml:space="preserve">US, </w:t>
      </w:r>
      <w:proofErr w:type="spellStart"/>
      <w:r w:rsidR="0094686F" w:rsidRPr="004C6AB1">
        <w:rPr>
          <w:rFonts w:ascii="Times New Roman" w:hAnsi="Times New Roman" w:cs="Times New Roman"/>
          <w:i/>
          <w:iCs/>
          <w:sz w:val="24"/>
          <w:szCs w:val="24"/>
        </w:rPr>
        <w:t>Speken</w:t>
      </w:r>
      <w:proofErr w:type="spellEnd"/>
      <w:r w:rsidR="0094686F" w:rsidRPr="004C6AB1">
        <w:rPr>
          <w:rFonts w:ascii="Times New Roman" w:hAnsi="Times New Roman" w:cs="Times New Roman"/>
          <w:i/>
          <w:iCs/>
          <w:sz w:val="24"/>
          <w:szCs w:val="24"/>
        </w:rPr>
        <w:t xml:space="preserve"> v Columbia </w:t>
      </w:r>
      <w:proofErr w:type="spellStart"/>
      <w:r w:rsidR="0094686F" w:rsidRPr="004C6AB1">
        <w:rPr>
          <w:rFonts w:ascii="Times New Roman" w:hAnsi="Times New Roman" w:cs="Times New Roman"/>
          <w:i/>
          <w:iCs/>
          <w:sz w:val="24"/>
          <w:szCs w:val="24"/>
        </w:rPr>
        <w:t>Presbyt</w:t>
      </w:r>
      <w:proofErr w:type="spellEnd"/>
      <w:r w:rsidR="0094686F" w:rsidRPr="004C6AB1">
        <w:rPr>
          <w:rFonts w:ascii="Times New Roman" w:hAnsi="Times New Roman" w:cs="Times New Roman"/>
          <w:i/>
          <w:iCs/>
          <w:sz w:val="24"/>
          <w:szCs w:val="24"/>
        </w:rPr>
        <w:t xml:space="preserve">. Med. Ctr., </w:t>
      </w:r>
      <w:r w:rsidR="0094686F" w:rsidRPr="004C6AB1">
        <w:rPr>
          <w:rFonts w:ascii="Times New Roman" w:hAnsi="Times New Roman" w:cs="Times New Roman"/>
          <w:sz w:val="24"/>
          <w:szCs w:val="24"/>
        </w:rPr>
        <w:t xml:space="preserve">278 A.D.2d 154 (1st Dep’t, 2000) </w:t>
      </w:r>
    </w:p>
    <w:p w:rsidR="00EB7A4A" w:rsidRPr="004C6AB1" w:rsidRDefault="00EB7A4A" w:rsidP="004C6AB1">
      <w:pPr>
        <w:jc w:val="both"/>
        <w:rPr>
          <w:rFonts w:ascii="Times New Roman" w:hAnsi="Times New Roman" w:cs="Times New Roman"/>
          <w:sz w:val="24"/>
          <w:szCs w:val="24"/>
        </w:rPr>
      </w:pPr>
      <w:r w:rsidRPr="004C6AB1">
        <w:rPr>
          <w:rFonts w:ascii="Times New Roman" w:hAnsi="Times New Roman" w:cs="Times New Roman"/>
          <w:i/>
          <w:iCs/>
          <w:sz w:val="24"/>
          <w:szCs w:val="24"/>
        </w:rPr>
        <w:t xml:space="preserve">US, </w:t>
      </w:r>
      <w:proofErr w:type="spellStart"/>
      <w:r w:rsidR="0094686F" w:rsidRPr="004C6AB1">
        <w:rPr>
          <w:rFonts w:ascii="Times New Roman" w:hAnsi="Times New Roman" w:cs="Times New Roman"/>
          <w:i/>
          <w:iCs/>
          <w:sz w:val="24"/>
          <w:szCs w:val="24"/>
        </w:rPr>
        <w:t>Speken</w:t>
      </w:r>
      <w:proofErr w:type="spellEnd"/>
      <w:r w:rsidR="0094686F" w:rsidRPr="004C6AB1">
        <w:rPr>
          <w:rFonts w:ascii="Times New Roman" w:hAnsi="Times New Roman" w:cs="Times New Roman"/>
          <w:i/>
          <w:iCs/>
          <w:sz w:val="24"/>
          <w:szCs w:val="24"/>
        </w:rPr>
        <w:t xml:space="preserve"> v. Columbia Presbyterian Med. Ctr.</w:t>
      </w:r>
      <w:r w:rsidR="0094686F" w:rsidRPr="004C6AB1">
        <w:rPr>
          <w:rFonts w:ascii="Times New Roman" w:hAnsi="Times New Roman" w:cs="Times New Roman"/>
          <w:sz w:val="24"/>
          <w:szCs w:val="24"/>
        </w:rPr>
        <w:t>, 304 A.D.2d 489 (1st Dep’t, 2003)</w:t>
      </w:r>
    </w:p>
    <w:p w:rsidR="0044243D" w:rsidRPr="004C6AB1" w:rsidRDefault="00EB7A4A" w:rsidP="004C6AB1">
      <w:pPr>
        <w:autoSpaceDE w:val="0"/>
        <w:autoSpaceDN w:val="0"/>
        <w:adjustRightInd w:val="0"/>
        <w:spacing w:after="0" w:line="240" w:lineRule="auto"/>
        <w:jc w:val="both"/>
        <w:rPr>
          <w:rFonts w:ascii="Times New Roman" w:hAnsi="Times New Roman" w:cs="Times New Roman"/>
          <w:sz w:val="24"/>
          <w:szCs w:val="24"/>
        </w:rPr>
      </w:pPr>
      <w:r w:rsidRPr="004C6AB1">
        <w:rPr>
          <w:rFonts w:ascii="Times New Roman" w:hAnsi="Times New Roman" w:cs="Times New Roman"/>
          <w:i/>
          <w:iCs/>
          <w:sz w:val="24"/>
          <w:szCs w:val="24"/>
        </w:rPr>
        <w:t xml:space="preserve">US, </w:t>
      </w:r>
      <w:r w:rsidR="00AE24EC" w:rsidRPr="004C6AB1">
        <w:rPr>
          <w:rFonts w:ascii="Times New Roman" w:hAnsi="Times New Roman" w:cs="Times New Roman"/>
          <w:i/>
          <w:iCs/>
          <w:sz w:val="24"/>
          <w:szCs w:val="24"/>
        </w:rPr>
        <w:t>Democratic National Committee v. Republican National Committee</w:t>
      </w:r>
      <w:r w:rsidR="00AE24EC" w:rsidRPr="004C6AB1">
        <w:rPr>
          <w:rFonts w:ascii="Times New Roman" w:hAnsi="Times New Roman" w:cs="Times New Roman"/>
          <w:sz w:val="24"/>
          <w:szCs w:val="24"/>
        </w:rPr>
        <w:t>, 673 F.3d 192 (2012)</w:t>
      </w:r>
    </w:p>
    <w:p w:rsidR="00EB7A4A" w:rsidRPr="004C6AB1" w:rsidRDefault="00EB7A4A" w:rsidP="004C6AB1">
      <w:pPr>
        <w:jc w:val="both"/>
        <w:rPr>
          <w:rFonts w:ascii="Times New Roman" w:hAnsi="Times New Roman" w:cs="Times New Roman"/>
          <w:sz w:val="24"/>
          <w:szCs w:val="24"/>
        </w:rPr>
      </w:pPr>
      <w:r w:rsidRPr="004C6AB1">
        <w:rPr>
          <w:rFonts w:ascii="Times New Roman" w:hAnsi="Times New Roman" w:cs="Times New Roman"/>
          <w:i/>
          <w:iCs/>
          <w:sz w:val="24"/>
          <w:szCs w:val="24"/>
        </w:rPr>
        <w:t xml:space="preserve">US, </w:t>
      </w:r>
      <w:r w:rsidR="00AE24EC" w:rsidRPr="004C6AB1">
        <w:rPr>
          <w:rFonts w:ascii="Times New Roman" w:hAnsi="Times New Roman" w:cs="Times New Roman"/>
          <w:i/>
          <w:iCs/>
          <w:sz w:val="24"/>
          <w:szCs w:val="24"/>
        </w:rPr>
        <w:t>United States v. Bolton</w:t>
      </w:r>
      <w:r w:rsidR="00AE24EC" w:rsidRPr="004C6AB1">
        <w:rPr>
          <w:rFonts w:ascii="Times New Roman" w:hAnsi="Times New Roman" w:cs="Times New Roman"/>
          <w:sz w:val="24"/>
          <w:szCs w:val="24"/>
        </w:rPr>
        <w:t>, 2020 WL 3401940 (United States District Court, District of Columbia)</w:t>
      </w:r>
    </w:p>
    <w:p w:rsidR="00BE5B4F" w:rsidRPr="004C6AB1" w:rsidRDefault="00BE5B4F" w:rsidP="004C6AB1">
      <w:pPr>
        <w:jc w:val="both"/>
        <w:rPr>
          <w:rFonts w:ascii="Times New Roman" w:hAnsi="Times New Roman" w:cs="Times New Roman"/>
          <w:sz w:val="24"/>
          <w:szCs w:val="24"/>
        </w:rPr>
      </w:pPr>
    </w:p>
    <w:p w:rsidR="00BE5B4F" w:rsidRPr="004C6AB1" w:rsidRDefault="00BE5B4F" w:rsidP="004C6AB1">
      <w:pPr>
        <w:jc w:val="both"/>
        <w:rPr>
          <w:rFonts w:ascii="Times New Roman" w:hAnsi="Times New Roman" w:cs="Times New Roman"/>
          <w:b/>
          <w:sz w:val="24"/>
          <w:szCs w:val="24"/>
        </w:rPr>
      </w:pPr>
      <w:r w:rsidRPr="004C6AB1">
        <w:rPr>
          <w:rFonts w:ascii="Times New Roman" w:hAnsi="Times New Roman" w:cs="Times New Roman"/>
          <w:b/>
          <w:sz w:val="24"/>
          <w:szCs w:val="24"/>
        </w:rPr>
        <w:t>CASE SIGNIFICANCE</w:t>
      </w:r>
    </w:p>
    <w:p w:rsidR="00BE5B4F" w:rsidRPr="004C6AB1" w:rsidRDefault="00BE5B4F" w:rsidP="004C6AB1">
      <w:pPr>
        <w:jc w:val="both"/>
        <w:rPr>
          <w:rFonts w:ascii="Times New Roman" w:hAnsi="Times New Roman" w:cs="Times New Roman"/>
          <w:sz w:val="24"/>
          <w:szCs w:val="24"/>
        </w:rPr>
      </w:pPr>
      <w:r w:rsidRPr="004C6AB1">
        <w:rPr>
          <w:rFonts w:ascii="Times New Roman" w:hAnsi="Times New Roman" w:cs="Times New Roman"/>
          <w:sz w:val="24"/>
          <w:szCs w:val="24"/>
        </w:rPr>
        <w:t>The decision establishes binding or persuasive precedent within its jurisdiction.</w:t>
      </w:r>
    </w:p>
    <w:p w:rsidR="00BE5B4F" w:rsidRPr="004C6AB1" w:rsidRDefault="00BE5B4F" w:rsidP="004C6AB1">
      <w:pPr>
        <w:jc w:val="both"/>
        <w:rPr>
          <w:rFonts w:ascii="Times New Roman" w:hAnsi="Times New Roman" w:cs="Times New Roman"/>
          <w:sz w:val="24"/>
          <w:szCs w:val="24"/>
        </w:rPr>
      </w:pPr>
    </w:p>
    <w:p w:rsidR="00C624EE" w:rsidRPr="004C6AB1" w:rsidRDefault="00BE5B4F" w:rsidP="004C6AB1">
      <w:pPr>
        <w:jc w:val="both"/>
        <w:rPr>
          <w:rFonts w:ascii="Times New Roman" w:hAnsi="Times New Roman" w:cs="Times New Roman"/>
          <w:b/>
          <w:sz w:val="24"/>
          <w:szCs w:val="24"/>
        </w:rPr>
      </w:pPr>
      <w:r w:rsidRPr="004C6AB1">
        <w:rPr>
          <w:rFonts w:ascii="Times New Roman" w:hAnsi="Times New Roman" w:cs="Times New Roman"/>
          <w:b/>
          <w:sz w:val="24"/>
          <w:szCs w:val="24"/>
        </w:rPr>
        <w:t>OFFICIAL CASE DOCUMENTS</w:t>
      </w:r>
    </w:p>
    <w:p w:rsidR="00181B12" w:rsidRPr="004C6AB1" w:rsidRDefault="00181B12" w:rsidP="004C6AB1">
      <w:pPr>
        <w:jc w:val="both"/>
        <w:rPr>
          <w:rFonts w:ascii="Times New Roman" w:hAnsi="Times New Roman" w:cs="Times New Roman"/>
          <w:sz w:val="24"/>
          <w:szCs w:val="24"/>
        </w:rPr>
      </w:pPr>
      <w:r w:rsidRPr="004C6AB1">
        <w:rPr>
          <w:rFonts w:ascii="Times New Roman" w:hAnsi="Times New Roman" w:cs="Times New Roman"/>
          <w:sz w:val="24"/>
          <w:szCs w:val="24"/>
        </w:rPr>
        <w:t>US Department of Justice Letter</w:t>
      </w:r>
    </w:p>
    <w:p w:rsidR="00447EDD" w:rsidRPr="004C6AB1" w:rsidRDefault="00DF0366" w:rsidP="004C6AB1">
      <w:pPr>
        <w:jc w:val="both"/>
        <w:rPr>
          <w:rFonts w:ascii="Times New Roman" w:hAnsi="Times New Roman" w:cs="Times New Roman"/>
          <w:sz w:val="24"/>
          <w:szCs w:val="24"/>
        </w:rPr>
      </w:pPr>
      <w:r w:rsidRPr="004C6AB1">
        <w:rPr>
          <w:rFonts w:ascii="Times New Roman" w:hAnsi="Times New Roman" w:cs="Times New Roman"/>
          <w:sz w:val="24"/>
          <w:szCs w:val="24"/>
        </w:rPr>
        <w:t xml:space="preserve">Order granting </w:t>
      </w:r>
      <w:r w:rsidR="00611813" w:rsidRPr="004C6AB1">
        <w:rPr>
          <w:rFonts w:ascii="Times New Roman" w:hAnsi="Times New Roman" w:cs="Times New Roman"/>
          <w:sz w:val="24"/>
          <w:szCs w:val="24"/>
        </w:rPr>
        <w:t>Preliminary Injunction sought By Michael D Cohen</w:t>
      </w:r>
    </w:p>
    <w:p w:rsidR="00611813" w:rsidRPr="004C6AB1" w:rsidRDefault="00855002" w:rsidP="004C6AB1">
      <w:pPr>
        <w:jc w:val="both"/>
        <w:rPr>
          <w:rFonts w:ascii="Times New Roman" w:hAnsi="Times New Roman" w:cs="Times New Roman"/>
          <w:sz w:val="24"/>
          <w:szCs w:val="24"/>
        </w:rPr>
      </w:pPr>
      <w:r w:rsidRPr="004C6AB1">
        <w:rPr>
          <w:rFonts w:ascii="Times New Roman" w:hAnsi="Times New Roman" w:cs="Times New Roman"/>
          <w:sz w:val="24"/>
          <w:szCs w:val="24"/>
        </w:rPr>
        <w:t xml:space="preserve">Memorandum of Law in </w:t>
      </w:r>
      <w:r w:rsidR="00611813" w:rsidRPr="004C6AB1">
        <w:rPr>
          <w:rFonts w:ascii="Times New Roman" w:hAnsi="Times New Roman" w:cs="Times New Roman"/>
          <w:sz w:val="24"/>
          <w:szCs w:val="24"/>
        </w:rPr>
        <w:t>Opposition to the Motion for Preliminary Injunction</w:t>
      </w:r>
      <w:r w:rsidR="00C029B7">
        <w:rPr>
          <w:rFonts w:ascii="Times New Roman" w:hAnsi="Times New Roman" w:cs="Times New Roman"/>
          <w:sz w:val="24"/>
          <w:szCs w:val="24"/>
        </w:rPr>
        <w:t xml:space="preserve"> dated 07/22/2020</w:t>
      </w:r>
      <w:bookmarkStart w:id="0" w:name="_GoBack"/>
      <w:bookmarkEnd w:id="0"/>
    </w:p>
    <w:p w:rsidR="00611813" w:rsidRPr="004C6AB1" w:rsidRDefault="00611813" w:rsidP="004C6AB1">
      <w:pPr>
        <w:jc w:val="both"/>
        <w:rPr>
          <w:rFonts w:ascii="Times New Roman" w:hAnsi="Times New Roman" w:cs="Times New Roman"/>
          <w:sz w:val="24"/>
          <w:szCs w:val="24"/>
        </w:rPr>
      </w:pPr>
      <w:r w:rsidRPr="004C6AB1">
        <w:rPr>
          <w:rFonts w:ascii="Times New Roman" w:hAnsi="Times New Roman" w:cs="Times New Roman"/>
          <w:sz w:val="24"/>
          <w:szCs w:val="24"/>
        </w:rPr>
        <w:t>Declaration in Support of Opposition to the Motion for Preliminary Injunction</w:t>
      </w:r>
    </w:p>
    <w:p w:rsidR="00611813" w:rsidRPr="004C6AB1" w:rsidRDefault="00611813" w:rsidP="004C6AB1">
      <w:pPr>
        <w:jc w:val="both"/>
        <w:rPr>
          <w:rFonts w:ascii="Times New Roman" w:hAnsi="Times New Roman" w:cs="Times New Roman"/>
          <w:sz w:val="24"/>
          <w:szCs w:val="24"/>
        </w:rPr>
      </w:pPr>
      <w:r w:rsidRPr="004C6AB1">
        <w:rPr>
          <w:rFonts w:ascii="Times New Roman" w:hAnsi="Times New Roman" w:cs="Times New Roman"/>
          <w:sz w:val="24"/>
          <w:szCs w:val="24"/>
        </w:rPr>
        <w:t>Verified Petition for Writ of Habeas Corpus by the Applicant &amp; ACLU.</w:t>
      </w:r>
    </w:p>
    <w:p w:rsidR="00611813" w:rsidRPr="004C6AB1" w:rsidRDefault="00611813" w:rsidP="004C6AB1">
      <w:pPr>
        <w:jc w:val="both"/>
        <w:rPr>
          <w:rFonts w:ascii="Times New Roman" w:hAnsi="Times New Roman" w:cs="Times New Roman"/>
          <w:sz w:val="24"/>
          <w:szCs w:val="24"/>
        </w:rPr>
      </w:pPr>
      <w:r w:rsidRPr="004C6AB1">
        <w:rPr>
          <w:rFonts w:ascii="Times New Roman" w:hAnsi="Times New Roman" w:cs="Times New Roman"/>
          <w:sz w:val="24"/>
          <w:szCs w:val="24"/>
        </w:rPr>
        <w:t>Memorandum of Law in support of Petitioner’s Emergency Motion</w:t>
      </w:r>
      <w:r w:rsidR="00C029B7">
        <w:rPr>
          <w:rFonts w:ascii="Times New Roman" w:hAnsi="Times New Roman" w:cs="Times New Roman"/>
          <w:sz w:val="24"/>
          <w:szCs w:val="24"/>
        </w:rPr>
        <w:t xml:space="preserve"> dated 07/20/2020</w:t>
      </w:r>
    </w:p>
    <w:p w:rsidR="00611813" w:rsidRPr="004C6AB1" w:rsidRDefault="00611813" w:rsidP="004C6AB1">
      <w:pPr>
        <w:jc w:val="both"/>
        <w:rPr>
          <w:rFonts w:ascii="Times New Roman" w:hAnsi="Times New Roman" w:cs="Times New Roman"/>
          <w:sz w:val="24"/>
          <w:szCs w:val="24"/>
        </w:rPr>
      </w:pPr>
      <w:r w:rsidRPr="004C6AB1">
        <w:rPr>
          <w:rFonts w:ascii="Times New Roman" w:hAnsi="Times New Roman" w:cs="Times New Roman"/>
          <w:sz w:val="24"/>
          <w:szCs w:val="24"/>
        </w:rPr>
        <w:t>AMICUS Curiae by Lawyers Defending American Democracy</w:t>
      </w:r>
    </w:p>
    <w:p w:rsidR="007F548C" w:rsidRPr="004C6AB1" w:rsidRDefault="00611813" w:rsidP="004C6AB1">
      <w:pPr>
        <w:jc w:val="both"/>
        <w:rPr>
          <w:rFonts w:ascii="Times New Roman" w:hAnsi="Times New Roman" w:cs="Times New Roman"/>
          <w:sz w:val="24"/>
          <w:szCs w:val="24"/>
        </w:rPr>
      </w:pPr>
      <w:r w:rsidRPr="004C6AB1">
        <w:rPr>
          <w:rFonts w:ascii="Times New Roman" w:hAnsi="Times New Roman" w:cs="Times New Roman"/>
          <w:sz w:val="24"/>
          <w:szCs w:val="24"/>
        </w:rPr>
        <w:t>Federal Location Monitoring Program Participant Agreement</w:t>
      </w:r>
    </w:p>
    <w:p w:rsidR="007F548C" w:rsidRPr="004C6AB1" w:rsidRDefault="007F548C" w:rsidP="004C6AB1">
      <w:pPr>
        <w:jc w:val="both"/>
        <w:rPr>
          <w:rFonts w:ascii="Times New Roman" w:hAnsi="Times New Roman" w:cs="Times New Roman"/>
          <w:sz w:val="24"/>
          <w:szCs w:val="24"/>
        </w:rPr>
      </w:pPr>
    </w:p>
    <w:p w:rsidR="007F548C" w:rsidRPr="004C6AB1" w:rsidRDefault="007F548C" w:rsidP="004C6AB1">
      <w:pPr>
        <w:jc w:val="both"/>
        <w:rPr>
          <w:rFonts w:ascii="Times New Roman" w:hAnsi="Times New Roman" w:cs="Times New Roman"/>
          <w:sz w:val="24"/>
          <w:szCs w:val="24"/>
        </w:rPr>
      </w:pPr>
    </w:p>
    <w:p w:rsidR="005B4A9B" w:rsidRPr="004C6AB1" w:rsidRDefault="005B4A9B" w:rsidP="004C6AB1">
      <w:pPr>
        <w:jc w:val="both"/>
        <w:rPr>
          <w:rFonts w:ascii="Times New Roman" w:hAnsi="Times New Roman" w:cs="Times New Roman"/>
          <w:sz w:val="24"/>
          <w:szCs w:val="24"/>
        </w:rPr>
      </w:pPr>
    </w:p>
    <w:sectPr w:rsidR="005B4A9B" w:rsidRPr="004C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B0AE8"/>
    <w:multiLevelType w:val="multilevel"/>
    <w:tmpl w:val="2C7A8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206D74"/>
    <w:multiLevelType w:val="multilevel"/>
    <w:tmpl w:val="9088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4F"/>
    <w:rsid w:val="00000428"/>
    <w:rsid w:val="00011EBF"/>
    <w:rsid w:val="00015A38"/>
    <w:rsid w:val="00017ACF"/>
    <w:rsid w:val="000336AA"/>
    <w:rsid w:val="00044957"/>
    <w:rsid w:val="000456C4"/>
    <w:rsid w:val="00046724"/>
    <w:rsid w:val="00046EDE"/>
    <w:rsid w:val="00067FBA"/>
    <w:rsid w:val="000853C6"/>
    <w:rsid w:val="00087535"/>
    <w:rsid w:val="0009036C"/>
    <w:rsid w:val="00097A99"/>
    <w:rsid w:val="000A300E"/>
    <w:rsid w:val="000A5BAE"/>
    <w:rsid w:val="000A7EC4"/>
    <w:rsid w:val="000C1966"/>
    <w:rsid w:val="000C415E"/>
    <w:rsid w:val="000C4405"/>
    <w:rsid w:val="000C5FB0"/>
    <w:rsid w:val="000F565B"/>
    <w:rsid w:val="000F5EF3"/>
    <w:rsid w:val="00101DD2"/>
    <w:rsid w:val="001025E4"/>
    <w:rsid w:val="00115A14"/>
    <w:rsid w:val="00122D3B"/>
    <w:rsid w:val="00134EA5"/>
    <w:rsid w:val="001819EA"/>
    <w:rsid w:val="00181B12"/>
    <w:rsid w:val="00191A75"/>
    <w:rsid w:val="00192E4D"/>
    <w:rsid w:val="001B4597"/>
    <w:rsid w:val="001B621D"/>
    <w:rsid w:val="001C31A1"/>
    <w:rsid w:val="001C5747"/>
    <w:rsid w:val="001D1F8D"/>
    <w:rsid w:val="001E3EF0"/>
    <w:rsid w:val="001E6DEA"/>
    <w:rsid w:val="00213FE2"/>
    <w:rsid w:val="00214A60"/>
    <w:rsid w:val="00223462"/>
    <w:rsid w:val="00231914"/>
    <w:rsid w:val="00232CB5"/>
    <w:rsid w:val="002531BD"/>
    <w:rsid w:val="00257386"/>
    <w:rsid w:val="00260B24"/>
    <w:rsid w:val="002678C7"/>
    <w:rsid w:val="00277B89"/>
    <w:rsid w:val="002846B3"/>
    <w:rsid w:val="0029136B"/>
    <w:rsid w:val="002A6A60"/>
    <w:rsid w:val="002C3301"/>
    <w:rsid w:val="002C649D"/>
    <w:rsid w:val="002C7317"/>
    <w:rsid w:val="002E5847"/>
    <w:rsid w:val="002F0771"/>
    <w:rsid w:val="002F5576"/>
    <w:rsid w:val="00301CCA"/>
    <w:rsid w:val="00303DC4"/>
    <w:rsid w:val="00307E0D"/>
    <w:rsid w:val="00321D67"/>
    <w:rsid w:val="003309E2"/>
    <w:rsid w:val="003336CF"/>
    <w:rsid w:val="00334EB0"/>
    <w:rsid w:val="00351AFF"/>
    <w:rsid w:val="00353164"/>
    <w:rsid w:val="00353732"/>
    <w:rsid w:val="00380BC9"/>
    <w:rsid w:val="00387CBA"/>
    <w:rsid w:val="00393C57"/>
    <w:rsid w:val="00394CC2"/>
    <w:rsid w:val="003A44B6"/>
    <w:rsid w:val="003A6CF3"/>
    <w:rsid w:val="003D49DB"/>
    <w:rsid w:val="003E0224"/>
    <w:rsid w:val="003F1FCB"/>
    <w:rsid w:val="00406F91"/>
    <w:rsid w:val="0041032C"/>
    <w:rsid w:val="00414347"/>
    <w:rsid w:val="00423134"/>
    <w:rsid w:val="00427E3D"/>
    <w:rsid w:val="0044243D"/>
    <w:rsid w:val="00442F04"/>
    <w:rsid w:val="004469A9"/>
    <w:rsid w:val="00447EDD"/>
    <w:rsid w:val="00454A55"/>
    <w:rsid w:val="00455261"/>
    <w:rsid w:val="004605EE"/>
    <w:rsid w:val="00465570"/>
    <w:rsid w:val="00480F71"/>
    <w:rsid w:val="00482DC9"/>
    <w:rsid w:val="004A6312"/>
    <w:rsid w:val="004B326F"/>
    <w:rsid w:val="004C096F"/>
    <w:rsid w:val="004C4A30"/>
    <w:rsid w:val="004C6AB1"/>
    <w:rsid w:val="004D7504"/>
    <w:rsid w:val="004E3B9F"/>
    <w:rsid w:val="004E3ECA"/>
    <w:rsid w:val="00502E5E"/>
    <w:rsid w:val="00515D4E"/>
    <w:rsid w:val="00526600"/>
    <w:rsid w:val="0052692F"/>
    <w:rsid w:val="00531B7E"/>
    <w:rsid w:val="0054661C"/>
    <w:rsid w:val="00560A47"/>
    <w:rsid w:val="00573ADE"/>
    <w:rsid w:val="00574C2D"/>
    <w:rsid w:val="00583110"/>
    <w:rsid w:val="005850EF"/>
    <w:rsid w:val="005A1CD5"/>
    <w:rsid w:val="005B0B3B"/>
    <w:rsid w:val="005B4A9B"/>
    <w:rsid w:val="005B522F"/>
    <w:rsid w:val="005B5DFD"/>
    <w:rsid w:val="005C1279"/>
    <w:rsid w:val="005C56FE"/>
    <w:rsid w:val="005C6AD4"/>
    <w:rsid w:val="005D003B"/>
    <w:rsid w:val="005D0666"/>
    <w:rsid w:val="005E1F1A"/>
    <w:rsid w:val="005F3FD9"/>
    <w:rsid w:val="00611813"/>
    <w:rsid w:val="0061467A"/>
    <w:rsid w:val="00616F1B"/>
    <w:rsid w:val="006220E1"/>
    <w:rsid w:val="0062319B"/>
    <w:rsid w:val="00627C23"/>
    <w:rsid w:val="00640A29"/>
    <w:rsid w:val="0064323B"/>
    <w:rsid w:val="006639FC"/>
    <w:rsid w:val="00672F2C"/>
    <w:rsid w:val="00696F7E"/>
    <w:rsid w:val="0069751C"/>
    <w:rsid w:val="006A6EE2"/>
    <w:rsid w:val="006F064B"/>
    <w:rsid w:val="006F6C23"/>
    <w:rsid w:val="007000D7"/>
    <w:rsid w:val="00723C8A"/>
    <w:rsid w:val="00724FA6"/>
    <w:rsid w:val="00725204"/>
    <w:rsid w:val="00735CB1"/>
    <w:rsid w:val="00751419"/>
    <w:rsid w:val="00752FB7"/>
    <w:rsid w:val="00756252"/>
    <w:rsid w:val="00760FFF"/>
    <w:rsid w:val="0076284C"/>
    <w:rsid w:val="00770315"/>
    <w:rsid w:val="00773CBB"/>
    <w:rsid w:val="00774554"/>
    <w:rsid w:val="00776D1F"/>
    <w:rsid w:val="00777742"/>
    <w:rsid w:val="007936C1"/>
    <w:rsid w:val="007A0BCC"/>
    <w:rsid w:val="007A1BFF"/>
    <w:rsid w:val="007B0ACE"/>
    <w:rsid w:val="007B252E"/>
    <w:rsid w:val="007B6D96"/>
    <w:rsid w:val="007D003E"/>
    <w:rsid w:val="007D1418"/>
    <w:rsid w:val="007D2D2C"/>
    <w:rsid w:val="007D63E6"/>
    <w:rsid w:val="007E3403"/>
    <w:rsid w:val="007E50C2"/>
    <w:rsid w:val="007F36D0"/>
    <w:rsid w:val="007F4243"/>
    <w:rsid w:val="007F548C"/>
    <w:rsid w:val="007F54D8"/>
    <w:rsid w:val="00805262"/>
    <w:rsid w:val="00807A02"/>
    <w:rsid w:val="008111EF"/>
    <w:rsid w:val="00822007"/>
    <w:rsid w:val="00822914"/>
    <w:rsid w:val="008334F9"/>
    <w:rsid w:val="00835766"/>
    <w:rsid w:val="00852B78"/>
    <w:rsid w:val="00853F65"/>
    <w:rsid w:val="00855002"/>
    <w:rsid w:val="00860273"/>
    <w:rsid w:val="0086184B"/>
    <w:rsid w:val="00882853"/>
    <w:rsid w:val="00893D0C"/>
    <w:rsid w:val="008A2041"/>
    <w:rsid w:val="008B51DA"/>
    <w:rsid w:val="008B7A7F"/>
    <w:rsid w:val="008C437E"/>
    <w:rsid w:val="008D17BC"/>
    <w:rsid w:val="008E0746"/>
    <w:rsid w:val="008E0F90"/>
    <w:rsid w:val="008E4C9A"/>
    <w:rsid w:val="008E6327"/>
    <w:rsid w:val="008F1833"/>
    <w:rsid w:val="00906C30"/>
    <w:rsid w:val="0093127C"/>
    <w:rsid w:val="009455C1"/>
    <w:rsid w:val="0094686F"/>
    <w:rsid w:val="00947095"/>
    <w:rsid w:val="00951417"/>
    <w:rsid w:val="00952240"/>
    <w:rsid w:val="00957188"/>
    <w:rsid w:val="009609BE"/>
    <w:rsid w:val="00962D29"/>
    <w:rsid w:val="00965801"/>
    <w:rsid w:val="00966270"/>
    <w:rsid w:val="00980CFB"/>
    <w:rsid w:val="009833AA"/>
    <w:rsid w:val="00990E29"/>
    <w:rsid w:val="00992650"/>
    <w:rsid w:val="00994F2F"/>
    <w:rsid w:val="009A5A82"/>
    <w:rsid w:val="009B355E"/>
    <w:rsid w:val="009D73E8"/>
    <w:rsid w:val="009E361D"/>
    <w:rsid w:val="009F2F4F"/>
    <w:rsid w:val="009F57BE"/>
    <w:rsid w:val="00A35A83"/>
    <w:rsid w:val="00A36777"/>
    <w:rsid w:val="00A372BB"/>
    <w:rsid w:val="00A55D29"/>
    <w:rsid w:val="00A62694"/>
    <w:rsid w:val="00A7559F"/>
    <w:rsid w:val="00AA0306"/>
    <w:rsid w:val="00AB2C1A"/>
    <w:rsid w:val="00AC6075"/>
    <w:rsid w:val="00AD162A"/>
    <w:rsid w:val="00AE24EC"/>
    <w:rsid w:val="00AF0659"/>
    <w:rsid w:val="00AF708A"/>
    <w:rsid w:val="00B02A06"/>
    <w:rsid w:val="00B2631A"/>
    <w:rsid w:val="00B51625"/>
    <w:rsid w:val="00B828B4"/>
    <w:rsid w:val="00B851FB"/>
    <w:rsid w:val="00B85978"/>
    <w:rsid w:val="00BA2C0E"/>
    <w:rsid w:val="00BA5C5C"/>
    <w:rsid w:val="00BA7148"/>
    <w:rsid w:val="00BA750B"/>
    <w:rsid w:val="00BE2E54"/>
    <w:rsid w:val="00BE528F"/>
    <w:rsid w:val="00BE5B4F"/>
    <w:rsid w:val="00BE5FD2"/>
    <w:rsid w:val="00C029B7"/>
    <w:rsid w:val="00C07044"/>
    <w:rsid w:val="00C0714F"/>
    <w:rsid w:val="00C10FB9"/>
    <w:rsid w:val="00C2491D"/>
    <w:rsid w:val="00C31A71"/>
    <w:rsid w:val="00C348FF"/>
    <w:rsid w:val="00C363D7"/>
    <w:rsid w:val="00C54782"/>
    <w:rsid w:val="00C61DCC"/>
    <w:rsid w:val="00C624EE"/>
    <w:rsid w:val="00C62EBA"/>
    <w:rsid w:val="00C67D33"/>
    <w:rsid w:val="00C716A5"/>
    <w:rsid w:val="00C82AE0"/>
    <w:rsid w:val="00C9535A"/>
    <w:rsid w:val="00C97BC7"/>
    <w:rsid w:val="00CA7302"/>
    <w:rsid w:val="00CB2822"/>
    <w:rsid w:val="00CB3ED5"/>
    <w:rsid w:val="00CB495C"/>
    <w:rsid w:val="00CC08A1"/>
    <w:rsid w:val="00CC4624"/>
    <w:rsid w:val="00CE7776"/>
    <w:rsid w:val="00D13D1F"/>
    <w:rsid w:val="00D2095B"/>
    <w:rsid w:val="00D2480C"/>
    <w:rsid w:val="00D266DA"/>
    <w:rsid w:val="00D363F1"/>
    <w:rsid w:val="00D364CE"/>
    <w:rsid w:val="00D37A7A"/>
    <w:rsid w:val="00D43BC5"/>
    <w:rsid w:val="00D67D67"/>
    <w:rsid w:val="00D712BE"/>
    <w:rsid w:val="00D71CEF"/>
    <w:rsid w:val="00D731A5"/>
    <w:rsid w:val="00D75F68"/>
    <w:rsid w:val="00D76F43"/>
    <w:rsid w:val="00D95D61"/>
    <w:rsid w:val="00DD4CEE"/>
    <w:rsid w:val="00DD5A95"/>
    <w:rsid w:val="00DD5B9B"/>
    <w:rsid w:val="00DF0366"/>
    <w:rsid w:val="00DF33AD"/>
    <w:rsid w:val="00E0308C"/>
    <w:rsid w:val="00E12CBB"/>
    <w:rsid w:val="00E2448E"/>
    <w:rsid w:val="00E268C1"/>
    <w:rsid w:val="00E32E37"/>
    <w:rsid w:val="00E37E55"/>
    <w:rsid w:val="00E46200"/>
    <w:rsid w:val="00E51744"/>
    <w:rsid w:val="00E87EC9"/>
    <w:rsid w:val="00EA0E19"/>
    <w:rsid w:val="00EB7A4A"/>
    <w:rsid w:val="00EC018B"/>
    <w:rsid w:val="00ED47C2"/>
    <w:rsid w:val="00ED4C2A"/>
    <w:rsid w:val="00ED6069"/>
    <w:rsid w:val="00ED70FE"/>
    <w:rsid w:val="00EE4A2C"/>
    <w:rsid w:val="00EF02B4"/>
    <w:rsid w:val="00EF234E"/>
    <w:rsid w:val="00EF3B6C"/>
    <w:rsid w:val="00F06EDF"/>
    <w:rsid w:val="00F14242"/>
    <w:rsid w:val="00F17E09"/>
    <w:rsid w:val="00F21DCB"/>
    <w:rsid w:val="00F26D5D"/>
    <w:rsid w:val="00F46ED4"/>
    <w:rsid w:val="00F55DA1"/>
    <w:rsid w:val="00F570D9"/>
    <w:rsid w:val="00F64EB2"/>
    <w:rsid w:val="00F65F9C"/>
    <w:rsid w:val="00F671D5"/>
    <w:rsid w:val="00F829D6"/>
    <w:rsid w:val="00F82BAA"/>
    <w:rsid w:val="00F82F02"/>
    <w:rsid w:val="00F93BE5"/>
    <w:rsid w:val="00FA00C0"/>
    <w:rsid w:val="00FB3604"/>
    <w:rsid w:val="00FB6A6A"/>
    <w:rsid w:val="00FC704A"/>
    <w:rsid w:val="00FC7D0E"/>
    <w:rsid w:val="00FE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752CA-39F2-45F2-95EB-0D89DAD7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B4F"/>
    <w:pPr>
      <w:ind w:left="720"/>
      <w:contextualSpacing/>
    </w:pPr>
  </w:style>
  <w:style w:type="paragraph" w:customStyle="1" w:styleId="Default">
    <w:name w:val="Default"/>
    <w:rsid w:val="00BE5B4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F1F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1FCB"/>
    <w:rPr>
      <w:i/>
      <w:iCs/>
    </w:rPr>
  </w:style>
  <w:style w:type="paragraph" w:customStyle="1" w:styleId="css-158dogj">
    <w:name w:val="css-158dogj"/>
    <w:basedOn w:val="Normal"/>
    <w:rsid w:val="005A1C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1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498700">
      <w:bodyDiv w:val="1"/>
      <w:marLeft w:val="0"/>
      <w:marRight w:val="0"/>
      <w:marTop w:val="0"/>
      <w:marBottom w:val="0"/>
      <w:divBdr>
        <w:top w:val="none" w:sz="0" w:space="0" w:color="auto"/>
        <w:left w:val="none" w:sz="0" w:space="0" w:color="auto"/>
        <w:bottom w:val="none" w:sz="0" w:space="0" w:color="auto"/>
        <w:right w:val="none" w:sz="0" w:space="0" w:color="auto"/>
      </w:divBdr>
    </w:div>
    <w:div w:id="1195536852">
      <w:bodyDiv w:val="1"/>
      <w:marLeft w:val="0"/>
      <w:marRight w:val="0"/>
      <w:marTop w:val="0"/>
      <w:marBottom w:val="0"/>
      <w:divBdr>
        <w:top w:val="none" w:sz="0" w:space="0" w:color="auto"/>
        <w:left w:val="none" w:sz="0" w:space="0" w:color="auto"/>
        <w:bottom w:val="none" w:sz="0" w:space="0" w:color="auto"/>
        <w:right w:val="none" w:sz="0" w:space="0" w:color="auto"/>
      </w:divBdr>
      <w:divsChild>
        <w:div w:id="1214732663">
          <w:marLeft w:val="0"/>
          <w:marRight w:val="0"/>
          <w:marTop w:val="0"/>
          <w:marBottom w:val="0"/>
          <w:divBdr>
            <w:top w:val="none" w:sz="0" w:space="0" w:color="auto"/>
            <w:left w:val="none" w:sz="0" w:space="0" w:color="auto"/>
            <w:bottom w:val="none" w:sz="0" w:space="0" w:color="auto"/>
            <w:right w:val="none" w:sz="0" w:space="0" w:color="auto"/>
          </w:divBdr>
        </w:div>
      </w:divsChild>
    </w:div>
    <w:div w:id="1521163045">
      <w:bodyDiv w:val="1"/>
      <w:marLeft w:val="0"/>
      <w:marRight w:val="0"/>
      <w:marTop w:val="0"/>
      <w:marBottom w:val="0"/>
      <w:divBdr>
        <w:top w:val="none" w:sz="0" w:space="0" w:color="auto"/>
        <w:left w:val="none" w:sz="0" w:space="0" w:color="auto"/>
        <w:bottom w:val="none" w:sz="0" w:space="0" w:color="auto"/>
        <w:right w:val="none" w:sz="0" w:space="0" w:color="auto"/>
      </w:divBdr>
      <w:divsChild>
        <w:div w:id="620302202">
          <w:marLeft w:val="0"/>
          <w:marRight w:val="0"/>
          <w:marTop w:val="0"/>
          <w:marBottom w:val="0"/>
          <w:divBdr>
            <w:top w:val="none" w:sz="0" w:space="0" w:color="auto"/>
            <w:left w:val="none" w:sz="0" w:space="0" w:color="auto"/>
            <w:bottom w:val="none" w:sz="0" w:space="0" w:color="auto"/>
            <w:right w:val="none" w:sz="0" w:space="0" w:color="auto"/>
          </w:divBdr>
          <w:divsChild>
            <w:div w:id="789856044">
              <w:marLeft w:val="0"/>
              <w:marRight w:val="0"/>
              <w:marTop w:val="0"/>
              <w:marBottom w:val="0"/>
              <w:divBdr>
                <w:top w:val="none" w:sz="0" w:space="0" w:color="auto"/>
                <w:left w:val="none" w:sz="0" w:space="0" w:color="auto"/>
                <w:bottom w:val="none" w:sz="0" w:space="0" w:color="auto"/>
                <w:right w:val="none" w:sz="0" w:space="0" w:color="auto"/>
              </w:divBdr>
            </w:div>
          </w:divsChild>
        </w:div>
        <w:div w:id="757944862">
          <w:marLeft w:val="0"/>
          <w:marRight w:val="0"/>
          <w:marTop w:val="0"/>
          <w:marBottom w:val="0"/>
          <w:divBdr>
            <w:top w:val="none" w:sz="0" w:space="0" w:color="auto"/>
            <w:left w:val="none" w:sz="0" w:space="0" w:color="auto"/>
            <w:bottom w:val="none" w:sz="0" w:space="0" w:color="auto"/>
            <w:right w:val="none" w:sz="0" w:space="0" w:color="auto"/>
          </w:divBdr>
          <w:divsChild>
            <w:div w:id="10071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law</dc:creator>
  <cp:keywords/>
  <dc:description/>
  <cp:lastModifiedBy>D law</cp:lastModifiedBy>
  <cp:revision>2</cp:revision>
  <dcterms:created xsi:type="dcterms:W3CDTF">2020-08-04T14:07:00Z</dcterms:created>
  <dcterms:modified xsi:type="dcterms:W3CDTF">2020-08-04T14:07:00Z</dcterms:modified>
</cp:coreProperties>
</file>