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FD20" w14:textId="0A36E8B4" w:rsidR="002068DF" w:rsidRPr="005913AB" w:rsidRDefault="002068DF" w:rsidP="00261979">
      <w:pPr>
        <w:ind w:left="-180"/>
        <w:jc w:val="center"/>
        <w:rPr>
          <w:rFonts w:ascii="Times New Roman" w:hAnsi="Times New Roman" w:cs="Times New Roman"/>
          <w:b/>
          <w:bCs/>
          <w:sz w:val="24"/>
          <w:szCs w:val="24"/>
        </w:rPr>
      </w:pPr>
      <w:bookmarkStart w:id="0" w:name="_GoBack"/>
      <w:bookmarkEnd w:id="0"/>
      <w:r w:rsidRPr="005913AB">
        <w:rPr>
          <w:rFonts w:ascii="Times New Roman" w:hAnsi="Times New Roman" w:cs="Times New Roman"/>
          <w:b/>
          <w:bCs/>
          <w:sz w:val="24"/>
          <w:szCs w:val="24"/>
        </w:rPr>
        <w:t xml:space="preserve">CHARLES ROGER RICHARDSON V LYNDON D. RAYNOR (POLICE SERGEANT)  </w:t>
      </w:r>
    </w:p>
    <w:p w14:paraId="5DBC84EC" w14:textId="77777777" w:rsidR="0005496B" w:rsidRDefault="0005496B" w:rsidP="00261979">
      <w:pPr>
        <w:ind w:left="-180"/>
        <w:rPr>
          <w:rFonts w:ascii="Times New Roman" w:hAnsi="Times New Roman" w:cs="Times New Roman"/>
          <w:sz w:val="24"/>
          <w:szCs w:val="24"/>
        </w:rPr>
      </w:pPr>
    </w:p>
    <w:p w14:paraId="73F5A000" w14:textId="2D72EBBA" w:rsidR="002068DF" w:rsidRPr="005913AB" w:rsidRDefault="00C40900" w:rsidP="00261979">
      <w:pPr>
        <w:ind w:left="-180"/>
        <w:rPr>
          <w:rFonts w:ascii="Times New Roman" w:hAnsi="Times New Roman" w:cs="Times New Roman"/>
          <w:sz w:val="24"/>
          <w:szCs w:val="24"/>
        </w:rPr>
      </w:pPr>
      <w:r w:rsidRPr="005913AB">
        <w:rPr>
          <w:rFonts w:ascii="Times New Roman" w:hAnsi="Times New Roman" w:cs="Times New Roman"/>
          <w:sz w:val="24"/>
          <w:szCs w:val="24"/>
        </w:rPr>
        <w:t>REGION</w:t>
      </w:r>
    </w:p>
    <w:p w14:paraId="5480E0C6" w14:textId="6A608DCA" w:rsidR="002068DF" w:rsidRPr="005913AB" w:rsidRDefault="002068DF" w:rsidP="00261979">
      <w:pPr>
        <w:ind w:left="-180"/>
        <w:rPr>
          <w:rFonts w:ascii="Times New Roman" w:hAnsi="Times New Roman" w:cs="Times New Roman"/>
          <w:b/>
          <w:bCs/>
          <w:sz w:val="24"/>
          <w:szCs w:val="24"/>
        </w:rPr>
      </w:pPr>
      <w:r w:rsidRPr="005913AB">
        <w:rPr>
          <w:rFonts w:ascii="Times New Roman" w:hAnsi="Times New Roman" w:cs="Times New Roman"/>
          <w:b/>
          <w:bCs/>
          <w:sz w:val="24"/>
          <w:szCs w:val="24"/>
        </w:rPr>
        <w:t>Bermuda, North Atlantic Ocean</w:t>
      </w:r>
    </w:p>
    <w:p w14:paraId="152C761F" w14:textId="77777777" w:rsidR="00C40900" w:rsidRPr="005913AB" w:rsidRDefault="00C40900" w:rsidP="00261979">
      <w:pPr>
        <w:ind w:left="-180"/>
        <w:rPr>
          <w:rFonts w:ascii="Times New Roman" w:hAnsi="Times New Roman" w:cs="Times New Roman"/>
          <w:b/>
          <w:bCs/>
          <w:sz w:val="24"/>
          <w:szCs w:val="24"/>
        </w:rPr>
      </w:pPr>
    </w:p>
    <w:p w14:paraId="05670B36" w14:textId="77777777"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 xml:space="preserve">MODE OF EXPRESSION </w:t>
      </w:r>
    </w:p>
    <w:p w14:paraId="5D25D5B5" w14:textId="5E4794F1" w:rsidR="002068DF" w:rsidRPr="005913AB" w:rsidRDefault="002068DF" w:rsidP="00261979">
      <w:pPr>
        <w:ind w:left="-180"/>
        <w:rPr>
          <w:rFonts w:ascii="Times New Roman" w:hAnsi="Times New Roman" w:cs="Times New Roman"/>
          <w:b/>
          <w:sz w:val="24"/>
          <w:szCs w:val="24"/>
        </w:rPr>
      </w:pPr>
      <w:r w:rsidRPr="005913AB">
        <w:rPr>
          <w:rFonts w:ascii="Times New Roman" w:hAnsi="Times New Roman" w:cs="Times New Roman"/>
          <w:b/>
          <w:sz w:val="24"/>
          <w:szCs w:val="24"/>
        </w:rPr>
        <w:t>Electronic</w:t>
      </w:r>
      <w:r w:rsidR="008B7E90">
        <w:rPr>
          <w:rFonts w:ascii="Times New Roman" w:hAnsi="Times New Roman" w:cs="Times New Roman"/>
          <w:b/>
          <w:sz w:val="24"/>
          <w:szCs w:val="24"/>
        </w:rPr>
        <w:t>/Internet-based Communication</w:t>
      </w:r>
    </w:p>
    <w:p w14:paraId="0F845859" w14:textId="77777777"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 xml:space="preserve">                                                                                         </w:t>
      </w:r>
    </w:p>
    <w:p w14:paraId="633E0EC5" w14:textId="77777777"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 xml:space="preserve">DATE OF DECISION   </w:t>
      </w:r>
    </w:p>
    <w:p w14:paraId="2B7D61B3" w14:textId="7C52AFBD" w:rsidR="002068DF" w:rsidRPr="005913AB" w:rsidRDefault="002068DF" w:rsidP="00261979">
      <w:pPr>
        <w:ind w:left="-180"/>
        <w:rPr>
          <w:rFonts w:ascii="Times New Roman" w:hAnsi="Times New Roman" w:cs="Times New Roman"/>
          <w:b/>
          <w:sz w:val="24"/>
          <w:szCs w:val="24"/>
        </w:rPr>
      </w:pPr>
      <w:r w:rsidRPr="005913AB">
        <w:rPr>
          <w:rFonts w:ascii="Times New Roman" w:hAnsi="Times New Roman" w:cs="Times New Roman"/>
          <w:b/>
          <w:sz w:val="24"/>
          <w:szCs w:val="24"/>
        </w:rPr>
        <w:t xml:space="preserve">August 12, 2011                                                                   </w:t>
      </w:r>
      <w:r w:rsidRPr="005913AB">
        <w:rPr>
          <w:rFonts w:ascii="Times New Roman" w:hAnsi="Times New Roman" w:cs="Times New Roman"/>
          <w:sz w:val="24"/>
          <w:szCs w:val="24"/>
        </w:rPr>
        <w:t xml:space="preserve">                                                                                                                                                                                                                                                                                                           </w:t>
      </w:r>
    </w:p>
    <w:p w14:paraId="72E05A7C" w14:textId="18252B4B" w:rsidR="002068DF" w:rsidRPr="005913AB" w:rsidRDefault="002068DF" w:rsidP="00261979">
      <w:pPr>
        <w:ind w:left="-180"/>
        <w:rPr>
          <w:rFonts w:ascii="Times New Roman" w:hAnsi="Times New Roman" w:cs="Times New Roman"/>
          <w:b/>
          <w:sz w:val="24"/>
          <w:szCs w:val="24"/>
        </w:rPr>
      </w:pPr>
      <w:r w:rsidRPr="005913AB">
        <w:rPr>
          <w:rFonts w:ascii="Times New Roman" w:hAnsi="Times New Roman" w:cs="Times New Roman"/>
          <w:b/>
          <w:sz w:val="24"/>
          <w:szCs w:val="24"/>
        </w:rPr>
        <w:t xml:space="preserve">                           </w:t>
      </w:r>
    </w:p>
    <w:p w14:paraId="23FC2FB9" w14:textId="77777777"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 xml:space="preserve">OUTCOME    </w:t>
      </w:r>
    </w:p>
    <w:p w14:paraId="1CBF9C9C" w14:textId="2A47A9E2" w:rsidR="002068DF" w:rsidRPr="005913AB" w:rsidRDefault="002068DF" w:rsidP="00261979">
      <w:pPr>
        <w:ind w:left="-180"/>
        <w:rPr>
          <w:rFonts w:ascii="Times New Roman" w:hAnsi="Times New Roman" w:cs="Times New Roman"/>
          <w:b/>
          <w:sz w:val="24"/>
          <w:szCs w:val="24"/>
        </w:rPr>
      </w:pPr>
      <w:r w:rsidRPr="005913AB">
        <w:rPr>
          <w:rFonts w:ascii="Times New Roman" w:hAnsi="Times New Roman" w:cs="Times New Roman"/>
          <w:b/>
          <w:sz w:val="24"/>
          <w:szCs w:val="24"/>
        </w:rPr>
        <w:t xml:space="preserve">Decision - Application Granted, Declaratory Relief, Violation of a Rule of International Law established and Law upheld.    </w:t>
      </w:r>
    </w:p>
    <w:p w14:paraId="7DE7BC53" w14:textId="77777777" w:rsidR="002068DF" w:rsidRPr="005913AB" w:rsidRDefault="002068DF" w:rsidP="00261979">
      <w:pPr>
        <w:ind w:left="-180"/>
        <w:rPr>
          <w:rFonts w:ascii="Times New Roman" w:hAnsi="Times New Roman" w:cs="Times New Roman"/>
          <w:b/>
          <w:sz w:val="24"/>
          <w:szCs w:val="24"/>
        </w:rPr>
      </w:pPr>
      <w:r w:rsidRPr="005913AB">
        <w:rPr>
          <w:rFonts w:ascii="Times New Roman" w:hAnsi="Times New Roman" w:cs="Times New Roman"/>
          <w:b/>
          <w:sz w:val="24"/>
          <w:szCs w:val="24"/>
        </w:rPr>
        <w:t xml:space="preserve">                                                                                                          </w:t>
      </w:r>
    </w:p>
    <w:p w14:paraId="3E30AA13" w14:textId="77777777"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CASE NUMBER</w:t>
      </w:r>
    </w:p>
    <w:p w14:paraId="58F291DF" w14:textId="48453925" w:rsidR="002068DF" w:rsidRPr="005913AB" w:rsidRDefault="002068DF" w:rsidP="00261979">
      <w:pPr>
        <w:ind w:left="-180"/>
        <w:rPr>
          <w:rFonts w:ascii="Times New Roman" w:hAnsi="Times New Roman" w:cs="Times New Roman"/>
          <w:b/>
          <w:sz w:val="24"/>
          <w:szCs w:val="24"/>
        </w:rPr>
      </w:pPr>
      <w:r w:rsidRPr="005913AB">
        <w:rPr>
          <w:rFonts w:ascii="Times New Roman" w:hAnsi="Times New Roman" w:cs="Times New Roman"/>
          <w:b/>
          <w:sz w:val="24"/>
          <w:szCs w:val="24"/>
        </w:rPr>
        <w:t xml:space="preserve"> </w:t>
      </w:r>
      <w:r w:rsidRPr="005913AB">
        <w:rPr>
          <w:rFonts w:ascii="Times New Roman" w:hAnsi="Times New Roman" w:cs="Times New Roman"/>
          <w:b/>
          <w:bCs/>
          <w:sz w:val="24"/>
          <w:szCs w:val="24"/>
        </w:rPr>
        <w:t>[2011] SC (</w:t>
      </w:r>
      <w:r w:rsidRPr="005913AB">
        <w:rPr>
          <w:rFonts w:ascii="Times New Roman" w:hAnsi="Times New Roman" w:cs="Times New Roman"/>
          <w:sz w:val="24"/>
          <w:szCs w:val="24"/>
        </w:rPr>
        <w:t>BDA</w:t>
      </w:r>
      <w:r w:rsidRPr="005913AB">
        <w:rPr>
          <w:rFonts w:ascii="Times New Roman" w:hAnsi="Times New Roman" w:cs="Times New Roman"/>
          <w:b/>
          <w:bCs/>
          <w:sz w:val="24"/>
          <w:szCs w:val="24"/>
        </w:rPr>
        <w:t>) 39 CIV</w:t>
      </w:r>
      <w:r w:rsidRPr="005913AB">
        <w:rPr>
          <w:rFonts w:ascii="Times New Roman" w:hAnsi="Times New Roman" w:cs="Times New Roman"/>
          <w:sz w:val="24"/>
          <w:szCs w:val="24"/>
        </w:rPr>
        <w:t xml:space="preserve"> </w:t>
      </w:r>
    </w:p>
    <w:p w14:paraId="22AE2A51" w14:textId="77777777" w:rsidR="002068DF" w:rsidRPr="005913AB" w:rsidRDefault="002068DF" w:rsidP="00261979">
      <w:pPr>
        <w:ind w:left="-180"/>
        <w:rPr>
          <w:rFonts w:ascii="Times New Roman" w:hAnsi="Times New Roman" w:cs="Times New Roman"/>
          <w:b/>
          <w:sz w:val="24"/>
          <w:szCs w:val="24"/>
        </w:rPr>
      </w:pPr>
    </w:p>
    <w:p w14:paraId="6CD2F9F1" w14:textId="533F0A66"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JUDICIAL BODY</w:t>
      </w:r>
    </w:p>
    <w:p w14:paraId="347EC472" w14:textId="3872E08C" w:rsidR="002068DF" w:rsidRPr="005913AB" w:rsidRDefault="00002D00" w:rsidP="00261979">
      <w:pPr>
        <w:ind w:left="-180"/>
        <w:rPr>
          <w:rFonts w:ascii="Times New Roman" w:hAnsi="Times New Roman" w:cs="Times New Roman"/>
          <w:b/>
          <w:bCs/>
          <w:sz w:val="24"/>
          <w:szCs w:val="24"/>
        </w:rPr>
      </w:pPr>
      <w:r w:rsidRPr="005913AB">
        <w:rPr>
          <w:rFonts w:ascii="Times New Roman" w:hAnsi="Times New Roman" w:cs="Times New Roman"/>
          <w:b/>
          <w:bCs/>
          <w:sz w:val="24"/>
          <w:szCs w:val="24"/>
        </w:rPr>
        <w:t>Supreme Court</w:t>
      </w:r>
    </w:p>
    <w:p w14:paraId="3D5D0F61" w14:textId="77777777" w:rsidR="002068DF" w:rsidRPr="005913AB" w:rsidRDefault="002068DF" w:rsidP="00261979">
      <w:pPr>
        <w:ind w:left="-180"/>
        <w:rPr>
          <w:rFonts w:ascii="Times New Roman" w:hAnsi="Times New Roman" w:cs="Times New Roman"/>
          <w:b/>
          <w:sz w:val="24"/>
          <w:szCs w:val="24"/>
        </w:rPr>
      </w:pPr>
    </w:p>
    <w:p w14:paraId="3623DA93" w14:textId="77777777"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TYPE OF LAW</w:t>
      </w:r>
    </w:p>
    <w:p w14:paraId="1885072E" w14:textId="530DA87E" w:rsidR="002068DF" w:rsidRPr="005913AB" w:rsidRDefault="00FB7E27" w:rsidP="00261979">
      <w:pPr>
        <w:ind w:left="-180"/>
        <w:rPr>
          <w:rFonts w:ascii="Times New Roman" w:hAnsi="Times New Roman" w:cs="Times New Roman"/>
          <w:b/>
          <w:sz w:val="24"/>
          <w:szCs w:val="24"/>
        </w:rPr>
      </w:pPr>
      <w:r w:rsidRPr="005913AB">
        <w:rPr>
          <w:rFonts w:ascii="Times New Roman" w:hAnsi="Times New Roman" w:cs="Times New Roman"/>
          <w:b/>
          <w:sz w:val="24"/>
          <w:szCs w:val="24"/>
        </w:rPr>
        <w:t>Constitutional Law/International Law</w:t>
      </w:r>
    </w:p>
    <w:p w14:paraId="42713804" w14:textId="77777777" w:rsidR="002068DF" w:rsidRPr="005913AB" w:rsidRDefault="002068DF" w:rsidP="00261979">
      <w:pPr>
        <w:ind w:left="-180"/>
        <w:rPr>
          <w:rFonts w:ascii="Times New Roman" w:hAnsi="Times New Roman" w:cs="Times New Roman"/>
          <w:b/>
          <w:sz w:val="24"/>
          <w:szCs w:val="24"/>
        </w:rPr>
      </w:pPr>
    </w:p>
    <w:p w14:paraId="0C7ED629" w14:textId="77777777"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THEMES</w:t>
      </w:r>
    </w:p>
    <w:p w14:paraId="78EA9B2A" w14:textId="12036E85" w:rsidR="002068DF" w:rsidRPr="005913AB" w:rsidRDefault="00EA2613" w:rsidP="00261979">
      <w:pPr>
        <w:ind w:left="-180"/>
        <w:rPr>
          <w:rFonts w:ascii="Times New Roman" w:hAnsi="Times New Roman" w:cs="Times New Roman"/>
          <w:b/>
          <w:sz w:val="24"/>
          <w:szCs w:val="24"/>
        </w:rPr>
      </w:pPr>
      <w:r w:rsidRPr="005913AB">
        <w:rPr>
          <w:rFonts w:ascii="Times New Roman" w:hAnsi="Times New Roman" w:cs="Times New Roman"/>
          <w:b/>
          <w:sz w:val="24"/>
          <w:szCs w:val="24"/>
        </w:rPr>
        <w:t>Defamation</w:t>
      </w:r>
      <w:r w:rsidR="00FB7E27" w:rsidRPr="005913AB">
        <w:rPr>
          <w:rFonts w:ascii="Times New Roman" w:hAnsi="Times New Roman" w:cs="Times New Roman"/>
          <w:b/>
          <w:sz w:val="24"/>
          <w:szCs w:val="24"/>
        </w:rPr>
        <w:t>/Reputation</w:t>
      </w:r>
    </w:p>
    <w:p w14:paraId="2752D415" w14:textId="77777777" w:rsidR="000B7A72" w:rsidRPr="005913AB" w:rsidRDefault="000B7A72" w:rsidP="005913AB">
      <w:pPr>
        <w:rPr>
          <w:rFonts w:ascii="Times New Roman" w:hAnsi="Times New Roman" w:cs="Times New Roman"/>
          <w:sz w:val="24"/>
          <w:szCs w:val="24"/>
        </w:rPr>
      </w:pPr>
    </w:p>
    <w:p w14:paraId="1484399E" w14:textId="77777777" w:rsidR="002068DF" w:rsidRPr="005913AB" w:rsidRDefault="002068DF" w:rsidP="00261979">
      <w:pPr>
        <w:ind w:left="-180"/>
        <w:rPr>
          <w:rFonts w:ascii="Times New Roman" w:hAnsi="Times New Roman" w:cs="Times New Roman"/>
          <w:sz w:val="24"/>
          <w:szCs w:val="24"/>
        </w:rPr>
      </w:pPr>
      <w:r w:rsidRPr="005913AB">
        <w:rPr>
          <w:rFonts w:ascii="Times New Roman" w:hAnsi="Times New Roman" w:cs="Times New Roman"/>
          <w:sz w:val="24"/>
          <w:szCs w:val="24"/>
        </w:rPr>
        <w:t>TAGS</w:t>
      </w:r>
    </w:p>
    <w:p w14:paraId="2FA3302D" w14:textId="7505011A" w:rsidR="002068DF" w:rsidRPr="005913AB" w:rsidRDefault="000C0E8C" w:rsidP="00261979">
      <w:pPr>
        <w:ind w:left="-180"/>
        <w:rPr>
          <w:rFonts w:ascii="Times New Roman" w:hAnsi="Times New Roman" w:cs="Times New Roman"/>
          <w:b/>
          <w:sz w:val="24"/>
          <w:szCs w:val="24"/>
        </w:rPr>
      </w:pPr>
      <w:r>
        <w:rPr>
          <w:rFonts w:ascii="Times New Roman" w:hAnsi="Times New Roman" w:cs="Times New Roman"/>
          <w:b/>
          <w:sz w:val="24"/>
          <w:szCs w:val="24"/>
        </w:rPr>
        <w:t>Freedom of Expression,</w:t>
      </w:r>
      <w:r w:rsidR="005913AB">
        <w:rPr>
          <w:rFonts w:ascii="Times New Roman" w:hAnsi="Times New Roman" w:cs="Times New Roman"/>
          <w:b/>
          <w:sz w:val="24"/>
          <w:szCs w:val="24"/>
        </w:rPr>
        <w:t xml:space="preserve"> Non-intentional Defamation</w:t>
      </w:r>
      <w:r w:rsidR="00002D00" w:rsidRPr="005913AB">
        <w:rPr>
          <w:rFonts w:ascii="Times New Roman" w:hAnsi="Times New Roman" w:cs="Times New Roman"/>
          <w:b/>
          <w:sz w:val="24"/>
          <w:szCs w:val="24"/>
        </w:rPr>
        <w:t>, Facebook</w:t>
      </w:r>
      <w:r w:rsidR="003A487A" w:rsidRPr="005913AB">
        <w:rPr>
          <w:rFonts w:ascii="Times New Roman" w:hAnsi="Times New Roman" w:cs="Times New Roman"/>
          <w:b/>
          <w:sz w:val="24"/>
          <w:szCs w:val="24"/>
        </w:rPr>
        <w:t xml:space="preserve"> </w:t>
      </w:r>
    </w:p>
    <w:p w14:paraId="08B24960" w14:textId="77777777" w:rsidR="002068DF" w:rsidRPr="005913AB" w:rsidRDefault="002068DF" w:rsidP="005913AB">
      <w:pPr>
        <w:rPr>
          <w:rFonts w:ascii="Times New Roman" w:hAnsi="Times New Roman" w:cs="Times New Roman"/>
          <w:sz w:val="24"/>
          <w:szCs w:val="24"/>
          <w:u w:val="single"/>
        </w:rPr>
      </w:pPr>
    </w:p>
    <w:p w14:paraId="3AB5A026" w14:textId="77777777" w:rsidR="002068DF" w:rsidRPr="005913AB" w:rsidRDefault="002068DF" w:rsidP="00261979">
      <w:pPr>
        <w:ind w:left="-180"/>
        <w:jc w:val="center"/>
        <w:rPr>
          <w:rFonts w:ascii="Times New Roman" w:hAnsi="Times New Roman" w:cs="Times New Roman"/>
          <w:b/>
          <w:sz w:val="24"/>
          <w:szCs w:val="24"/>
          <w:u w:val="single"/>
        </w:rPr>
      </w:pPr>
      <w:r w:rsidRPr="005913AB">
        <w:rPr>
          <w:rFonts w:ascii="Times New Roman" w:hAnsi="Times New Roman" w:cs="Times New Roman"/>
          <w:b/>
          <w:sz w:val="24"/>
          <w:szCs w:val="24"/>
          <w:u w:val="single"/>
        </w:rPr>
        <w:t>CASE ANALYSIS</w:t>
      </w:r>
    </w:p>
    <w:p w14:paraId="64CD9517" w14:textId="77777777" w:rsidR="002068DF" w:rsidRPr="005913AB" w:rsidRDefault="002068DF" w:rsidP="00261979">
      <w:pPr>
        <w:ind w:left="-180"/>
        <w:jc w:val="center"/>
        <w:rPr>
          <w:rFonts w:ascii="Times New Roman" w:hAnsi="Times New Roman" w:cs="Times New Roman"/>
          <w:sz w:val="24"/>
          <w:szCs w:val="24"/>
          <w:u w:val="single"/>
        </w:rPr>
      </w:pPr>
    </w:p>
    <w:p w14:paraId="3DDD718A" w14:textId="77777777" w:rsidR="002068DF" w:rsidRPr="005913AB" w:rsidRDefault="002068DF" w:rsidP="00261979">
      <w:pPr>
        <w:ind w:left="-180"/>
        <w:jc w:val="both"/>
        <w:rPr>
          <w:rFonts w:ascii="Times New Roman" w:hAnsi="Times New Roman" w:cs="Times New Roman"/>
          <w:b/>
          <w:sz w:val="24"/>
          <w:szCs w:val="24"/>
        </w:rPr>
      </w:pPr>
      <w:r w:rsidRPr="005913AB">
        <w:rPr>
          <w:rFonts w:ascii="Times New Roman" w:hAnsi="Times New Roman" w:cs="Times New Roman"/>
          <w:b/>
          <w:sz w:val="24"/>
          <w:szCs w:val="24"/>
        </w:rPr>
        <w:t>Case Summary and Outcome</w:t>
      </w:r>
    </w:p>
    <w:p w14:paraId="7DA0DD39" w14:textId="77777777" w:rsidR="005913AB" w:rsidRDefault="002068DF" w:rsidP="005913AB">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The </w:t>
      </w:r>
      <w:r w:rsidR="00EA2613" w:rsidRPr="005913AB">
        <w:rPr>
          <w:rFonts w:ascii="Times New Roman" w:hAnsi="Times New Roman" w:cs="Times New Roman"/>
          <w:sz w:val="24"/>
          <w:szCs w:val="24"/>
        </w:rPr>
        <w:t>Supreme</w:t>
      </w:r>
      <w:r w:rsidRPr="005913AB">
        <w:rPr>
          <w:rFonts w:ascii="Times New Roman" w:hAnsi="Times New Roman" w:cs="Times New Roman"/>
          <w:sz w:val="24"/>
          <w:szCs w:val="24"/>
        </w:rPr>
        <w:t xml:space="preserve"> Court of </w:t>
      </w:r>
      <w:r w:rsidR="00EA2613" w:rsidRPr="005913AB">
        <w:rPr>
          <w:rFonts w:ascii="Times New Roman" w:hAnsi="Times New Roman" w:cs="Times New Roman"/>
          <w:sz w:val="24"/>
          <w:szCs w:val="24"/>
        </w:rPr>
        <w:t>Bermuda</w:t>
      </w:r>
      <w:r w:rsidRPr="005913AB">
        <w:rPr>
          <w:rFonts w:ascii="Times New Roman" w:hAnsi="Times New Roman" w:cs="Times New Roman"/>
          <w:sz w:val="24"/>
          <w:szCs w:val="24"/>
        </w:rPr>
        <w:t xml:space="preserve"> sitting at </w:t>
      </w:r>
      <w:r w:rsidR="00992AE3" w:rsidRPr="005913AB">
        <w:rPr>
          <w:rFonts w:ascii="Times New Roman" w:hAnsi="Times New Roman" w:cs="Times New Roman"/>
          <w:sz w:val="24"/>
          <w:szCs w:val="24"/>
        </w:rPr>
        <w:t>Hamilton</w:t>
      </w:r>
      <w:r w:rsidRPr="005913AB">
        <w:rPr>
          <w:rFonts w:ascii="Times New Roman" w:hAnsi="Times New Roman" w:cs="Times New Roman"/>
          <w:sz w:val="24"/>
          <w:szCs w:val="24"/>
        </w:rPr>
        <w:t xml:space="preserve"> held that the </w:t>
      </w:r>
      <w:r w:rsidR="00C44954" w:rsidRPr="005913AB">
        <w:rPr>
          <w:rFonts w:ascii="Times New Roman" w:hAnsi="Times New Roman" w:cs="Times New Roman"/>
          <w:sz w:val="24"/>
          <w:szCs w:val="24"/>
        </w:rPr>
        <w:t>prosecution of the Applicant for unlawful d</w:t>
      </w:r>
      <w:r w:rsidR="00FB7E27" w:rsidRPr="005913AB">
        <w:rPr>
          <w:rFonts w:ascii="Times New Roman" w:hAnsi="Times New Roman" w:cs="Times New Roman"/>
          <w:sz w:val="24"/>
          <w:szCs w:val="24"/>
        </w:rPr>
        <w:t xml:space="preserve">efamation contravenes his right to </w:t>
      </w:r>
      <w:r w:rsidR="00C44954" w:rsidRPr="005913AB">
        <w:rPr>
          <w:rFonts w:ascii="Times New Roman" w:hAnsi="Times New Roman" w:cs="Times New Roman"/>
          <w:sz w:val="24"/>
          <w:szCs w:val="24"/>
        </w:rPr>
        <w:t>freedom of expression. The Applicant in this suit is a prominent criminal defence lawyer of African-Bermudian descent, he was charged in relation to a Facebook posting suggesting that a Police Inspector involved in his prosecution for a previous minor criminal offence, and for which the Applicant was conditionally discharged by the Magistr</w:t>
      </w:r>
      <w:r w:rsidR="00880E52" w:rsidRPr="005913AB">
        <w:rPr>
          <w:rFonts w:ascii="Times New Roman" w:hAnsi="Times New Roman" w:cs="Times New Roman"/>
          <w:sz w:val="24"/>
          <w:szCs w:val="24"/>
        </w:rPr>
        <w:t>ates’ Court, might be a racist. T</w:t>
      </w:r>
      <w:r w:rsidR="000B7A72" w:rsidRPr="005913AB">
        <w:rPr>
          <w:rFonts w:ascii="Times New Roman" w:hAnsi="Times New Roman" w:cs="Times New Roman"/>
          <w:sz w:val="24"/>
          <w:szCs w:val="24"/>
        </w:rPr>
        <w:t>he Applicant was charged with</w:t>
      </w:r>
      <w:r w:rsidR="007938EE" w:rsidRPr="005913AB">
        <w:rPr>
          <w:rFonts w:ascii="Times New Roman" w:hAnsi="Times New Roman" w:cs="Times New Roman"/>
          <w:sz w:val="24"/>
          <w:szCs w:val="24"/>
        </w:rPr>
        <w:t xml:space="preserve"> the</w:t>
      </w:r>
      <w:r w:rsidR="00880E52" w:rsidRPr="005913AB">
        <w:rPr>
          <w:rFonts w:ascii="Times New Roman" w:hAnsi="Times New Roman" w:cs="Times New Roman"/>
          <w:sz w:val="24"/>
          <w:szCs w:val="24"/>
        </w:rPr>
        <w:t xml:space="preserve"> offence of defamatory remarks and the Applicant’s counsel seeks the court for an interpretation of the Part XII of the Criminal Code whether it contravenes the Applicant’s right under Section 9(1) of the constitution. The Learned Senior Magistrate referred the matter to this Court</w:t>
      </w:r>
      <w:r w:rsidR="00E2040A" w:rsidRPr="005913AB">
        <w:rPr>
          <w:rFonts w:ascii="Times New Roman" w:hAnsi="Times New Roman" w:cs="Times New Roman"/>
          <w:sz w:val="24"/>
          <w:szCs w:val="24"/>
        </w:rPr>
        <w:t xml:space="preserve"> pursuant to the provisions of S</w:t>
      </w:r>
      <w:r w:rsidR="00880E52" w:rsidRPr="005913AB">
        <w:rPr>
          <w:rFonts w:ascii="Times New Roman" w:hAnsi="Times New Roman" w:cs="Times New Roman"/>
          <w:sz w:val="24"/>
          <w:szCs w:val="24"/>
        </w:rPr>
        <w:t xml:space="preserve">ection 15 (1)-(3) of the Constitution, which provide as follows: </w:t>
      </w:r>
    </w:p>
    <w:p w14:paraId="73027E45" w14:textId="77777777" w:rsidR="005913AB" w:rsidRDefault="00880E52" w:rsidP="005913AB">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15 (1) If any person alleges that any of the foregoing provisions of this Chapter has been, is being or is likely to be contravened in relation to him, then, without prejudice to any other action with respect to the same matter which is lawfully available, that person may apply to the Supreme Court for redress. (2) The Supreme Court shall have original jurisdiction—  (a) to hear and determine any application made by any person in pursuance of subsection (1) of this section; and  (b) to determine any question arising in the case of any person which is referred to it in pursuance of subsection (3) of this section, and may make such orders, issue such writs and give such directions as it may consider appropriate for the purpose of enforcing or securing the enforcement of any of the foregoing provisions of this Chapter to the protection of which t</w:t>
      </w:r>
      <w:r w:rsidR="005913AB">
        <w:rPr>
          <w:rFonts w:ascii="Times New Roman" w:hAnsi="Times New Roman" w:cs="Times New Roman"/>
          <w:sz w:val="24"/>
          <w:szCs w:val="24"/>
        </w:rPr>
        <w:t>he person concerned is entitled”</w:t>
      </w:r>
    </w:p>
    <w:p w14:paraId="3475ED19" w14:textId="3DAFBD92" w:rsidR="00E2040A" w:rsidRPr="005913AB" w:rsidRDefault="005F4A58" w:rsidP="00A31039">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The Respondent is the Police Inspector </w:t>
      </w:r>
      <w:r w:rsidR="003A487A" w:rsidRPr="005913AB">
        <w:rPr>
          <w:rFonts w:ascii="Times New Roman" w:hAnsi="Times New Roman" w:cs="Times New Roman"/>
          <w:sz w:val="24"/>
          <w:szCs w:val="24"/>
        </w:rPr>
        <w:t xml:space="preserve">against whom </w:t>
      </w:r>
      <w:r w:rsidRPr="005913AB">
        <w:rPr>
          <w:rFonts w:ascii="Times New Roman" w:hAnsi="Times New Roman" w:cs="Times New Roman"/>
          <w:sz w:val="24"/>
          <w:szCs w:val="24"/>
        </w:rPr>
        <w:t xml:space="preserve">the acclaimed defamatory statements were made. </w:t>
      </w:r>
      <w:r w:rsidR="00A31039">
        <w:rPr>
          <w:rFonts w:ascii="Times New Roman" w:hAnsi="Times New Roman" w:cs="Times New Roman"/>
          <w:sz w:val="24"/>
          <w:szCs w:val="24"/>
        </w:rPr>
        <w:t xml:space="preserve">The </w:t>
      </w:r>
      <w:r w:rsidR="00E2040A" w:rsidRPr="005913AB">
        <w:rPr>
          <w:rFonts w:ascii="Times New Roman" w:hAnsi="Times New Roman" w:cs="Times New Roman"/>
          <w:sz w:val="24"/>
          <w:szCs w:val="24"/>
        </w:rPr>
        <w:t>court held in particular that the Applicant is entitled to a declaration that his prosecution for unlawful defamation contravenes his right to freedom of expression and that the categorization of neglig</w:t>
      </w:r>
      <w:r w:rsidR="00E079B0">
        <w:rPr>
          <w:rFonts w:ascii="Times New Roman" w:hAnsi="Times New Roman" w:cs="Times New Roman"/>
          <w:sz w:val="24"/>
          <w:szCs w:val="24"/>
        </w:rPr>
        <w:t>ent libel as a criminal offence contravenes provision of Section 9 of the Constitution of Bermuda and ordered a modification of the contravening Section 214 (I) of the Criminal Code</w:t>
      </w:r>
      <w:r w:rsidR="00E2040A" w:rsidRPr="005913AB">
        <w:rPr>
          <w:rFonts w:ascii="Times New Roman" w:hAnsi="Times New Roman" w:cs="Times New Roman"/>
          <w:sz w:val="24"/>
          <w:szCs w:val="24"/>
        </w:rPr>
        <w:t xml:space="preserve">. </w:t>
      </w:r>
    </w:p>
    <w:p w14:paraId="3A92ED1A" w14:textId="1A152750" w:rsidR="007311EA" w:rsidRPr="005913AB" w:rsidRDefault="007311EA" w:rsidP="000B7A72">
      <w:pPr>
        <w:spacing w:line="276" w:lineRule="auto"/>
        <w:ind w:left="-180"/>
        <w:jc w:val="both"/>
        <w:rPr>
          <w:rFonts w:ascii="Times New Roman" w:hAnsi="Times New Roman" w:cs="Times New Roman"/>
          <w:sz w:val="24"/>
          <w:szCs w:val="24"/>
        </w:rPr>
      </w:pPr>
    </w:p>
    <w:p w14:paraId="27145AF5" w14:textId="403D16BB" w:rsidR="007311EA" w:rsidRPr="005913AB" w:rsidRDefault="007311EA" w:rsidP="000B7A72">
      <w:pPr>
        <w:spacing w:line="276" w:lineRule="auto"/>
        <w:ind w:left="-180"/>
        <w:jc w:val="both"/>
        <w:rPr>
          <w:rFonts w:ascii="Times New Roman" w:hAnsi="Times New Roman" w:cs="Times New Roman"/>
          <w:b/>
          <w:sz w:val="24"/>
          <w:szCs w:val="24"/>
        </w:rPr>
      </w:pPr>
      <w:r w:rsidRPr="005913AB">
        <w:rPr>
          <w:rFonts w:ascii="Times New Roman" w:hAnsi="Times New Roman" w:cs="Times New Roman"/>
          <w:b/>
          <w:sz w:val="24"/>
          <w:szCs w:val="24"/>
        </w:rPr>
        <w:t>F</w:t>
      </w:r>
      <w:r w:rsidR="000C0E8C" w:rsidRPr="005913AB">
        <w:rPr>
          <w:rFonts w:ascii="Times New Roman" w:hAnsi="Times New Roman" w:cs="Times New Roman"/>
          <w:b/>
          <w:sz w:val="24"/>
          <w:szCs w:val="24"/>
        </w:rPr>
        <w:t>acts</w:t>
      </w:r>
    </w:p>
    <w:p w14:paraId="52F2289E" w14:textId="77777777" w:rsidR="007311EA" w:rsidRPr="005913AB" w:rsidRDefault="007311EA" w:rsidP="000B7A72">
      <w:pPr>
        <w:spacing w:line="276" w:lineRule="auto"/>
        <w:ind w:left="-180"/>
        <w:jc w:val="both"/>
        <w:rPr>
          <w:rFonts w:ascii="Times New Roman" w:hAnsi="Times New Roman" w:cs="Times New Roman"/>
          <w:sz w:val="24"/>
          <w:szCs w:val="24"/>
        </w:rPr>
      </w:pPr>
      <w:r w:rsidRPr="005913AB">
        <w:rPr>
          <w:rFonts w:ascii="Times New Roman" w:hAnsi="Times New Roman" w:cs="Times New Roman"/>
          <w:sz w:val="24"/>
          <w:szCs w:val="24"/>
        </w:rPr>
        <w:t>The Applicant who is a member of the Bar in Bermuda and also an African-Bermuda citizen was charged under section 214 (1) of the Criminal Code upon an Information which alleged as follows:</w:t>
      </w:r>
    </w:p>
    <w:p w14:paraId="2F0D1768" w14:textId="77777777" w:rsidR="007311EA" w:rsidRPr="005913AB" w:rsidRDefault="007311EA" w:rsidP="000B7A72">
      <w:pPr>
        <w:spacing w:line="276" w:lineRule="auto"/>
        <w:jc w:val="both"/>
        <w:rPr>
          <w:rFonts w:ascii="Times New Roman" w:hAnsi="Times New Roman" w:cs="Times New Roman"/>
          <w:i/>
          <w:sz w:val="24"/>
          <w:szCs w:val="24"/>
        </w:rPr>
      </w:pPr>
      <w:r w:rsidRPr="005913AB">
        <w:rPr>
          <w:rFonts w:ascii="Times New Roman" w:hAnsi="Times New Roman" w:cs="Times New Roman"/>
          <w:i/>
          <w:sz w:val="24"/>
          <w:szCs w:val="24"/>
        </w:rPr>
        <w:t xml:space="preserve">“1. On the 11th day of May 2010, in the Islands of Bermuda, did unlawfully publish defamatory matter concerning Police Inspector [C], to wit: ‘This Detective Inspector really has it in for me! Why on earth [C] has taken an unhealthy interest in me is astonishing...I really hope it ain’t </w:t>
      </w:r>
      <w:r w:rsidRPr="005913AB">
        <w:rPr>
          <w:rFonts w:ascii="Times New Roman" w:hAnsi="Times New Roman" w:cs="Times New Roman"/>
          <w:i/>
          <w:sz w:val="24"/>
          <w:szCs w:val="24"/>
        </w:rPr>
        <w:lastRenderedPageBreak/>
        <w:t xml:space="preserve">because I’m good at what I do and I’m black...that would make him vindictive and racist...could it be?” </w:t>
      </w:r>
    </w:p>
    <w:p w14:paraId="2447BABD" w14:textId="77777777" w:rsidR="007311EA" w:rsidRPr="005913AB" w:rsidRDefault="007311EA" w:rsidP="000B7A72">
      <w:pPr>
        <w:spacing w:line="276" w:lineRule="auto"/>
        <w:ind w:left="-180"/>
        <w:jc w:val="both"/>
        <w:rPr>
          <w:rFonts w:ascii="Times New Roman" w:hAnsi="Times New Roman" w:cs="Times New Roman"/>
          <w:sz w:val="24"/>
          <w:szCs w:val="24"/>
        </w:rPr>
      </w:pPr>
      <w:r w:rsidRPr="005913AB">
        <w:rPr>
          <w:rFonts w:ascii="Times New Roman" w:hAnsi="Times New Roman" w:cs="Times New Roman"/>
          <w:sz w:val="24"/>
          <w:szCs w:val="24"/>
        </w:rPr>
        <w:t xml:space="preserve">The Applicant had earlier been conditionally discharged for possession of a small quantity of cannabis found in his residence following the execution of the Respondent’s search warrant on August 11, 2009. He was initially charged in Magistrates’ Court on or about March 31, 2010, and discharged on the same date. On or about May 11, 2010, he appeared in Court to seek a modification of the terms of his conditional discharge. The Police Inspector who led the search of his residence attended Court on both occasions. On the date of the second Court appearance, the Applicant posted the offending remarks about the Police Inspector on his Facebook page. </w:t>
      </w:r>
    </w:p>
    <w:p w14:paraId="481B55E5" w14:textId="4B2D9AD6" w:rsidR="007311EA" w:rsidRPr="005913AB" w:rsidRDefault="007311EA" w:rsidP="00D1180F">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Mr. Attridge</w:t>
      </w:r>
      <w:r w:rsidR="00D1180F" w:rsidRPr="005913AB">
        <w:rPr>
          <w:rFonts w:ascii="Times New Roman" w:hAnsi="Times New Roman" w:cs="Times New Roman"/>
          <w:sz w:val="24"/>
          <w:szCs w:val="24"/>
        </w:rPr>
        <w:t>, counsel for the Applicant, criticiz</w:t>
      </w:r>
      <w:r w:rsidRPr="005913AB">
        <w:rPr>
          <w:rFonts w:ascii="Times New Roman" w:hAnsi="Times New Roman" w:cs="Times New Roman"/>
          <w:sz w:val="24"/>
          <w:szCs w:val="24"/>
        </w:rPr>
        <w:t xml:space="preserve">ed the preferential treatment afforded to newspaper periodicals by section 222 which provides that no criminal prosecution for defamation may be commenced against any person responsible for a periodical without leave of a judge and a hearing at which the accused person has an opportunity to be heard.  Mr. Attridge also placed the May 16, 2011 </w:t>
      </w:r>
      <w:bookmarkStart w:id="1" w:name="_Hlk27435388"/>
      <w:r w:rsidRPr="005913AB">
        <w:rPr>
          <w:rFonts w:ascii="Times New Roman" w:hAnsi="Times New Roman" w:cs="Times New Roman"/>
          <w:b/>
          <w:bCs/>
          <w:sz w:val="24"/>
          <w:szCs w:val="24"/>
        </w:rPr>
        <w:t>United Nations General Assembly ‘Report of the Special Rapporteur on the promotion and protection of the right to freedom of opinion and expression’</w:t>
      </w:r>
      <w:bookmarkEnd w:id="1"/>
      <w:r w:rsidRPr="005913AB">
        <w:rPr>
          <w:rFonts w:ascii="Times New Roman" w:hAnsi="Times New Roman" w:cs="Times New Roman"/>
          <w:sz w:val="24"/>
          <w:szCs w:val="24"/>
        </w:rPr>
        <w:t xml:space="preserve"> before the Court. The Report focuses on the importance of freedom of expression in the internet era and the limited circumstance in which States can permissibly interfere with such expression in compliance with article 19 of the International Covenant on Civil and Political Rights (ICCPR).</w:t>
      </w:r>
    </w:p>
    <w:p w14:paraId="5BBAFDCB" w14:textId="3ECD782B"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Ms. Heather Rogers Q.C.’s ‘Written Submissions on Behalf of the Media Legal Defence Initiative’ approaches the issue of the constitutional validity of Bermuda’s criminal defamation provisions in the following way.  Her primary submission is that all forms of crimi</w:t>
      </w:r>
      <w:r w:rsidR="00D1180F" w:rsidRPr="005913AB">
        <w:rPr>
          <w:rFonts w:ascii="Times New Roman" w:hAnsi="Times New Roman" w:cs="Times New Roman"/>
          <w:sz w:val="24"/>
          <w:szCs w:val="24"/>
        </w:rPr>
        <w:t>nal defamation are unacceptable while</w:t>
      </w:r>
      <w:r w:rsidRPr="005913AB">
        <w:rPr>
          <w:rFonts w:ascii="Times New Roman" w:hAnsi="Times New Roman" w:cs="Times New Roman"/>
          <w:sz w:val="24"/>
          <w:szCs w:val="24"/>
        </w:rPr>
        <w:t xml:space="preserve"> her secondary contention is that if defamation is to continue to be criminalized, criminal sanctions ought only to be available in cases which are serious or where the harm caused is substantial (and never for slander). </w:t>
      </w:r>
    </w:p>
    <w:p w14:paraId="2FA73927" w14:textId="77777777" w:rsidR="007311EA" w:rsidRPr="005913AB" w:rsidRDefault="007311EA" w:rsidP="000B7A72">
      <w:pPr>
        <w:spacing w:line="276" w:lineRule="auto"/>
        <w:ind w:left="-270"/>
        <w:jc w:val="both"/>
        <w:rPr>
          <w:rFonts w:ascii="Times New Roman" w:hAnsi="Times New Roman" w:cs="Times New Roman"/>
          <w:i/>
          <w:sz w:val="24"/>
          <w:szCs w:val="24"/>
        </w:rPr>
      </w:pPr>
      <w:r w:rsidRPr="005913AB">
        <w:rPr>
          <w:rFonts w:ascii="Times New Roman" w:hAnsi="Times New Roman" w:cs="Times New Roman"/>
          <w:sz w:val="24"/>
          <w:szCs w:val="24"/>
        </w:rPr>
        <w:t xml:space="preserve"> She further noted that on October 4, 2007, the </w:t>
      </w:r>
      <w:r w:rsidRPr="005913AB">
        <w:rPr>
          <w:rFonts w:ascii="Times New Roman" w:hAnsi="Times New Roman" w:cs="Times New Roman"/>
          <w:b/>
          <w:bCs/>
          <w:sz w:val="24"/>
          <w:szCs w:val="24"/>
        </w:rPr>
        <w:t>European Union Parliamentary Assembly</w:t>
      </w:r>
      <w:r w:rsidRPr="005913AB">
        <w:rPr>
          <w:rFonts w:ascii="Times New Roman" w:hAnsi="Times New Roman" w:cs="Times New Roman"/>
          <w:sz w:val="24"/>
          <w:szCs w:val="24"/>
        </w:rPr>
        <w:t xml:space="preserve"> by recommendation 1814 called upon the Committee of Ministers “</w:t>
      </w:r>
      <w:r w:rsidRPr="005913AB">
        <w:rPr>
          <w:rFonts w:ascii="Times New Roman" w:hAnsi="Times New Roman" w:cs="Times New Roman"/>
          <w:i/>
          <w:sz w:val="24"/>
          <w:szCs w:val="24"/>
        </w:rPr>
        <w:t xml:space="preserve">to urge all member states to review their defamation laws and, where necessary make amendments in order to bring them into line with the case law of the European Court of Human Rights, with a view to removing any risk of abuse or unjustified prosecutions.”  </w:t>
      </w:r>
    </w:p>
    <w:p w14:paraId="3D484FEE" w14:textId="41C61CE1" w:rsidR="007311EA" w:rsidRPr="005913AB" w:rsidRDefault="00994795" w:rsidP="000B7A72">
      <w:pPr>
        <w:spacing w:line="276" w:lineRule="auto"/>
        <w:ind w:left="-270"/>
        <w:jc w:val="both"/>
        <w:rPr>
          <w:rFonts w:ascii="Times New Roman" w:hAnsi="Times New Roman" w:cs="Times New Roman"/>
          <w:sz w:val="24"/>
          <w:szCs w:val="24"/>
        </w:rPr>
      </w:pPr>
      <w:r>
        <w:rPr>
          <w:rFonts w:ascii="Times New Roman" w:hAnsi="Times New Roman" w:cs="Times New Roman"/>
          <w:sz w:val="24"/>
          <w:szCs w:val="24"/>
        </w:rPr>
        <w:t>Ms Rogers</w:t>
      </w:r>
      <w:r w:rsidR="007311EA" w:rsidRPr="005913AB">
        <w:rPr>
          <w:rFonts w:ascii="Times New Roman" w:hAnsi="Times New Roman" w:cs="Times New Roman"/>
          <w:sz w:val="24"/>
          <w:szCs w:val="24"/>
        </w:rPr>
        <w:t xml:space="preserve"> also referred to what appears to be a trend towards decriminalising defamation altogether, pointing out that no such penalties exist in Bosnia &amp; Herzegovina, Ghana, Georgia, New Zealand, Scotland, Sri Lanka, Ukraine and the United States (in term of Federal law), while Ireland and the United Kingdom (in respect of England &amp; Wales) both recently abolished criminal defamation in 2009.   Ms. Rogers also drew to the Court’s attention to the House of Lords decision in </w:t>
      </w:r>
      <w:r w:rsidR="007311EA" w:rsidRPr="005913AB">
        <w:rPr>
          <w:rFonts w:ascii="Times New Roman" w:hAnsi="Times New Roman" w:cs="Times New Roman"/>
          <w:b/>
          <w:bCs/>
          <w:sz w:val="24"/>
          <w:szCs w:val="24"/>
        </w:rPr>
        <w:t>Gleaves-v-Deakin [1980] A.C. 477.</w:t>
      </w:r>
      <w:r w:rsidR="007311EA" w:rsidRPr="005913AB">
        <w:rPr>
          <w:rFonts w:ascii="Times New Roman" w:hAnsi="Times New Roman" w:cs="Times New Roman"/>
          <w:sz w:val="24"/>
          <w:szCs w:val="24"/>
        </w:rPr>
        <w:t xml:space="preserve"> Where Lord Diplock opined that the consent of the Attorney-General should be a prerequisite for any prosecution; </w:t>
      </w:r>
    </w:p>
    <w:p w14:paraId="1A2F313C" w14:textId="77777777" w:rsidR="007311EA" w:rsidRPr="005913AB" w:rsidRDefault="007311EA" w:rsidP="000B7A72">
      <w:pPr>
        <w:spacing w:line="276" w:lineRule="auto"/>
        <w:ind w:left="270" w:right="1350"/>
        <w:jc w:val="both"/>
        <w:rPr>
          <w:rFonts w:ascii="Times New Roman" w:hAnsi="Times New Roman" w:cs="Times New Roman"/>
          <w:i/>
          <w:iCs/>
          <w:sz w:val="24"/>
          <w:szCs w:val="24"/>
        </w:rPr>
      </w:pPr>
      <w:r w:rsidRPr="005913AB">
        <w:rPr>
          <w:rFonts w:ascii="Times New Roman" w:hAnsi="Times New Roman" w:cs="Times New Roman"/>
          <w:i/>
          <w:iCs/>
          <w:sz w:val="24"/>
          <w:szCs w:val="24"/>
        </w:rPr>
        <w:lastRenderedPageBreak/>
        <w:t>“the Attorney General could then consider whether the prosecution was necessary on any of the grounds specified in article 10.2 of the Convention and unless satisfied that it was, he should refuse his consent” (at page 484B-C). “</w:t>
      </w:r>
    </w:p>
    <w:p w14:paraId="1F80811F" w14:textId="77777777"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Lord Diplock also stated that the effect of the onus being placed on a defendant charged with criminal defamation to prove that the impugned statements were for the public benefit was to “</w:t>
      </w:r>
      <w:r w:rsidRPr="005913AB">
        <w:rPr>
          <w:rFonts w:ascii="Times New Roman" w:hAnsi="Times New Roman" w:cs="Times New Roman"/>
          <w:i/>
          <w:sz w:val="24"/>
          <w:szCs w:val="24"/>
        </w:rPr>
        <w:t>turn article 10 of the Convention on its head</w:t>
      </w:r>
      <w:r w:rsidRPr="005913AB">
        <w:rPr>
          <w:rFonts w:ascii="Times New Roman" w:hAnsi="Times New Roman" w:cs="Times New Roman"/>
          <w:sz w:val="24"/>
          <w:szCs w:val="24"/>
        </w:rPr>
        <w:t xml:space="preserve">” (page 483D-F). </w:t>
      </w:r>
    </w:p>
    <w:p w14:paraId="1FE65030" w14:textId="77777777"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Ms. Rogers submitted that section 214 of the Criminal Code was inconsistent with section 9 of the Bermuda Constitution because it did not require the prosecutor to prove (1) seriousness, (2) necessity and proportionality, and (3) that the public interest required the bringing of proceedings. </w:t>
      </w:r>
      <w:r w:rsidRPr="005913AB">
        <w:rPr>
          <w:rFonts w:ascii="Times New Roman" w:hAnsi="Times New Roman" w:cs="Times New Roman"/>
          <w:b/>
          <w:bCs/>
          <w:sz w:val="24"/>
          <w:szCs w:val="24"/>
        </w:rPr>
        <w:t>Raichinov-v-Bulgaria (2008) 46 EHRR 28., Cumpǎnǎ and Mazǎre v. Romania [GC], no. 33348/96, § 115, ECHR 2004-XI</w:t>
      </w:r>
      <w:r w:rsidRPr="005913AB">
        <w:rPr>
          <w:rFonts w:ascii="Times New Roman" w:hAnsi="Times New Roman" w:cs="Times New Roman"/>
          <w:sz w:val="24"/>
          <w:szCs w:val="24"/>
        </w:rPr>
        <w:t xml:space="preserve">, </w:t>
      </w:r>
      <w:r w:rsidRPr="005913AB">
        <w:rPr>
          <w:rFonts w:ascii="Times New Roman" w:hAnsi="Times New Roman" w:cs="Times New Roman"/>
          <w:b/>
          <w:bCs/>
          <w:sz w:val="24"/>
          <w:szCs w:val="24"/>
        </w:rPr>
        <w:t>Gavrilovici-v-Moldova application 25464/05 (15 December 2009)</w:t>
      </w:r>
      <w:r w:rsidRPr="005913AB">
        <w:rPr>
          <w:rFonts w:ascii="Times New Roman" w:hAnsi="Times New Roman" w:cs="Times New Roman"/>
          <w:sz w:val="24"/>
          <w:szCs w:val="24"/>
        </w:rPr>
        <w:t xml:space="preserve">. </w:t>
      </w:r>
    </w:p>
    <w:p w14:paraId="619F17AE" w14:textId="22ACF0ED"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The Applicant’s counsel adopts the entirety of the Amicus brief submitted by the Media Legal Defence Initiative (“MLDI”), which contends that section 214 as a whole should be found to be unconstitutional, and focuses on whether </w:t>
      </w:r>
      <w:r w:rsidRPr="005913AB">
        <w:rPr>
          <w:rFonts w:ascii="Times New Roman" w:hAnsi="Times New Roman" w:cs="Times New Roman"/>
          <w:sz w:val="24"/>
          <w:szCs w:val="24"/>
          <w:lang w:bidi="en-US"/>
        </w:rPr>
        <w:t xml:space="preserve">the application of section 214(1) of the Code taken in its statutory context to the Applicant on the facts of the present case contravene his rights under section 9 of the Constitution.” </w:t>
      </w:r>
      <w:r w:rsidRPr="005913AB">
        <w:rPr>
          <w:rFonts w:ascii="Times New Roman" w:hAnsi="Times New Roman" w:cs="Times New Roman"/>
          <w:sz w:val="24"/>
          <w:szCs w:val="24"/>
        </w:rPr>
        <w:t xml:space="preserve">In support of this position; Counsel cited two cases. </w:t>
      </w:r>
      <w:r w:rsidRPr="005913AB">
        <w:rPr>
          <w:rFonts w:ascii="Times New Roman" w:hAnsi="Times New Roman" w:cs="Times New Roman"/>
          <w:b/>
          <w:bCs/>
          <w:sz w:val="24"/>
          <w:szCs w:val="24"/>
        </w:rPr>
        <w:t>Worme-v- Commissioner of Police for Grenada [2004] 2 A.C. 430.</w:t>
      </w:r>
      <w:r w:rsidRPr="005913AB">
        <w:rPr>
          <w:rFonts w:ascii="Times New Roman" w:hAnsi="Times New Roman" w:cs="Times New Roman"/>
          <w:sz w:val="24"/>
          <w:szCs w:val="24"/>
        </w:rPr>
        <w:t xml:space="preserve"> Where it was submitted that nonintentional defamation was quite different. </w:t>
      </w:r>
      <w:bookmarkStart w:id="2" w:name="_Hlk27435305"/>
      <w:r w:rsidRPr="005913AB">
        <w:rPr>
          <w:rFonts w:ascii="Times New Roman" w:hAnsi="Times New Roman" w:cs="Times New Roman"/>
          <w:b/>
          <w:bCs/>
          <w:sz w:val="24"/>
          <w:szCs w:val="24"/>
        </w:rPr>
        <w:t>The Royal Gazette et al-v- Attorney</w:t>
      </w:r>
      <w:r w:rsidR="00D11419" w:rsidRPr="005913AB">
        <w:rPr>
          <w:rFonts w:ascii="Times New Roman" w:hAnsi="Times New Roman" w:cs="Times New Roman"/>
          <w:b/>
          <w:bCs/>
          <w:sz w:val="24"/>
          <w:szCs w:val="24"/>
        </w:rPr>
        <w:t xml:space="preserve"> </w:t>
      </w:r>
      <w:r w:rsidRPr="005913AB">
        <w:rPr>
          <w:rFonts w:ascii="Times New Roman" w:hAnsi="Times New Roman" w:cs="Times New Roman"/>
          <w:b/>
          <w:bCs/>
          <w:sz w:val="24"/>
          <w:szCs w:val="24"/>
        </w:rPr>
        <w:t>General and The Commissioner of Police, Supreme Court, Civil Jurisdiction 1982</w:t>
      </w:r>
      <w:r w:rsidRPr="005913AB">
        <w:rPr>
          <w:rFonts w:ascii="Times New Roman" w:hAnsi="Times New Roman" w:cs="Times New Roman"/>
          <w:sz w:val="24"/>
          <w:szCs w:val="24"/>
        </w:rPr>
        <w:t>:</w:t>
      </w:r>
      <w:bookmarkEnd w:id="2"/>
      <w:r w:rsidRPr="005913AB">
        <w:rPr>
          <w:rFonts w:ascii="Times New Roman" w:hAnsi="Times New Roman" w:cs="Times New Roman"/>
          <w:sz w:val="24"/>
          <w:szCs w:val="24"/>
        </w:rPr>
        <w:t xml:space="preserve"> 177, (Judgment dated August 27, 1982,) noting that an attempted prosecution for intentional defamation was held to be unconstitutional. </w:t>
      </w:r>
    </w:p>
    <w:p w14:paraId="02A987DF" w14:textId="1B75AC85"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Applicant’s counsel finally concluded by statin</w:t>
      </w:r>
      <w:r w:rsidR="00FA3819" w:rsidRPr="005913AB">
        <w:rPr>
          <w:rFonts w:ascii="Times New Roman" w:hAnsi="Times New Roman" w:cs="Times New Roman"/>
          <w:sz w:val="24"/>
          <w:szCs w:val="24"/>
        </w:rPr>
        <w:t xml:space="preserve">g </w:t>
      </w:r>
      <w:r w:rsidRPr="005913AB">
        <w:rPr>
          <w:rFonts w:ascii="Times New Roman" w:hAnsi="Times New Roman" w:cs="Times New Roman"/>
          <w:sz w:val="24"/>
          <w:szCs w:val="24"/>
        </w:rPr>
        <w:t>“</w:t>
      </w:r>
      <w:r w:rsidRPr="005913AB">
        <w:rPr>
          <w:rFonts w:ascii="Times New Roman" w:hAnsi="Times New Roman" w:cs="Times New Roman"/>
          <w:b/>
          <w:bCs/>
          <w:sz w:val="24"/>
          <w:szCs w:val="24"/>
        </w:rPr>
        <w:t>We submit that the crime of negligent libel has no place in a modern democracy...”</w:t>
      </w:r>
      <w:r w:rsidRPr="005913AB">
        <w:rPr>
          <w:rFonts w:ascii="Times New Roman" w:hAnsi="Times New Roman" w:cs="Times New Roman"/>
          <w:sz w:val="24"/>
          <w:szCs w:val="24"/>
        </w:rPr>
        <w:t xml:space="preserve"> </w:t>
      </w:r>
    </w:p>
    <w:p w14:paraId="3CCE3241" w14:textId="1AFE9DDA"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The Respondent </w:t>
      </w:r>
      <w:r w:rsidR="00FA3819" w:rsidRPr="005913AB">
        <w:rPr>
          <w:rFonts w:ascii="Times New Roman" w:hAnsi="Times New Roman" w:cs="Times New Roman"/>
          <w:sz w:val="24"/>
          <w:szCs w:val="24"/>
        </w:rPr>
        <w:t xml:space="preserve">in defending the argument, </w:t>
      </w:r>
      <w:r w:rsidRPr="005913AB">
        <w:rPr>
          <w:rFonts w:ascii="Times New Roman" w:hAnsi="Times New Roman" w:cs="Times New Roman"/>
          <w:sz w:val="24"/>
          <w:szCs w:val="24"/>
        </w:rPr>
        <w:t xml:space="preserve">stated in his Witness Statement that the Applicant published the defamatory statements on his Facebook page the security settings of which were such that only his friends could read them. A Detective Sergeant who could not read the statements called a Police Constable who was one of the Applicant’s Facebook friends at around 4.30 pm and asked her to access the comments and to forward them to him. The Detective Sergeant upon receipt forwarded the Applicant’s comments and related comments from the Applicant’s Facebook friends on to the Police Inspector. </w:t>
      </w:r>
    </w:p>
    <w:p w14:paraId="4D6AC2F4" w14:textId="668DC28E"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The Respondent </w:t>
      </w:r>
      <w:r w:rsidR="00994795">
        <w:rPr>
          <w:rFonts w:ascii="Times New Roman" w:hAnsi="Times New Roman" w:cs="Times New Roman"/>
          <w:sz w:val="24"/>
          <w:szCs w:val="24"/>
        </w:rPr>
        <w:t>did file</w:t>
      </w:r>
      <w:r w:rsidRPr="005913AB">
        <w:rPr>
          <w:rFonts w:ascii="Times New Roman" w:hAnsi="Times New Roman" w:cs="Times New Roman"/>
          <w:sz w:val="24"/>
          <w:szCs w:val="24"/>
        </w:rPr>
        <w:t xml:space="preserve"> two Witness Statements. One essentially exhibited the Facebook extracts containing the offending remarks and comments </w:t>
      </w:r>
      <w:r w:rsidR="00FA3819" w:rsidRPr="005913AB">
        <w:rPr>
          <w:rFonts w:ascii="Times New Roman" w:hAnsi="Times New Roman" w:cs="Times New Roman"/>
          <w:sz w:val="24"/>
          <w:szCs w:val="24"/>
        </w:rPr>
        <w:t>while</w:t>
      </w:r>
      <w:r w:rsidRPr="005913AB">
        <w:rPr>
          <w:rFonts w:ascii="Times New Roman" w:hAnsi="Times New Roman" w:cs="Times New Roman"/>
          <w:sz w:val="24"/>
          <w:szCs w:val="24"/>
        </w:rPr>
        <w:t xml:space="preserve"> the other was the Police Inspector’s largely subjective account of how the original statement and the related comments distressed him. Most significantly however, </w:t>
      </w:r>
      <w:r w:rsidR="00FA3819" w:rsidRPr="005913AB">
        <w:rPr>
          <w:rFonts w:ascii="Times New Roman" w:hAnsi="Times New Roman" w:cs="Times New Roman"/>
          <w:sz w:val="24"/>
          <w:szCs w:val="24"/>
        </w:rPr>
        <w:t>t</w:t>
      </w:r>
      <w:r w:rsidRPr="005913AB">
        <w:rPr>
          <w:rFonts w:ascii="Times New Roman" w:hAnsi="Times New Roman" w:cs="Times New Roman"/>
          <w:sz w:val="24"/>
          <w:szCs w:val="24"/>
        </w:rPr>
        <w:t xml:space="preserve">he </w:t>
      </w:r>
      <w:r w:rsidR="00FA3819" w:rsidRPr="005913AB">
        <w:rPr>
          <w:rFonts w:ascii="Times New Roman" w:hAnsi="Times New Roman" w:cs="Times New Roman"/>
          <w:sz w:val="24"/>
          <w:szCs w:val="24"/>
        </w:rPr>
        <w:t xml:space="preserve">Respondent </w:t>
      </w:r>
      <w:r w:rsidRPr="005913AB">
        <w:rPr>
          <w:rFonts w:ascii="Times New Roman" w:hAnsi="Times New Roman" w:cs="Times New Roman"/>
          <w:sz w:val="24"/>
          <w:szCs w:val="24"/>
        </w:rPr>
        <w:t>stated that his employers saw fit to carry out a security assessment on his behalf. These steps were quite clearly prompted by one of the responses to the Applicant’s remarks, not his remarks themselves; however, the Police Inspector quite fairly took the view that the threatening comments were instigated by the original remarks, coming as they did from a person with “many ‘Facebook’ fans”.</w:t>
      </w:r>
    </w:p>
    <w:p w14:paraId="2368E35B" w14:textId="648FFBD4" w:rsidR="007311EA" w:rsidRPr="005913AB" w:rsidRDefault="00994795" w:rsidP="00994795">
      <w:pPr>
        <w:spacing w:line="276"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Further, i</w:t>
      </w:r>
      <w:r w:rsidR="007311EA" w:rsidRPr="005913AB">
        <w:rPr>
          <w:rFonts w:ascii="Times New Roman" w:hAnsi="Times New Roman" w:cs="Times New Roman"/>
          <w:sz w:val="24"/>
          <w:szCs w:val="24"/>
        </w:rPr>
        <w:t>n the Witness Statement, it was accounted that some of the Applicant’s Facebook friends responded in a way that caused the Inspector himself to subjectively fear for his safety. One of the comments that the Inspector was most troubled the Respondent said: “</w:t>
      </w:r>
      <w:r w:rsidR="007311EA" w:rsidRPr="005913AB">
        <w:rPr>
          <w:rFonts w:ascii="Times New Roman" w:hAnsi="Times New Roman" w:cs="Times New Roman"/>
          <w:i/>
          <w:sz w:val="24"/>
          <w:szCs w:val="24"/>
        </w:rPr>
        <w:t>He is racist. Met up with him a few years ago…Needs to get his a** outta Bermuda…b*st*rd”.</w:t>
      </w:r>
      <w:r w:rsidR="007311EA" w:rsidRPr="005913AB">
        <w:rPr>
          <w:rFonts w:ascii="Times New Roman" w:hAnsi="Times New Roman" w:cs="Times New Roman"/>
          <w:sz w:val="24"/>
          <w:szCs w:val="24"/>
        </w:rPr>
        <w:t xml:space="preserve"> The Respondent</w:t>
      </w:r>
      <w:r w:rsidR="00FA3819" w:rsidRPr="005913AB">
        <w:rPr>
          <w:rFonts w:ascii="Times New Roman" w:hAnsi="Times New Roman" w:cs="Times New Roman"/>
          <w:sz w:val="24"/>
          <w:szCs w:val="24"/>
        </w:rPr>
        <w:t xml:space="preserve"> however,</w:t>
      </w:r>
      <w:r w:rsidR="007311EA" w:rsidRPr="005913AB">
        <w:rPr>
          <w:rFonts w:ascii="Times New Roman" w:hAnsi="Times New Roman" w:cs="Times New Roman"/>
          <w:sz w:val="24"/>
          <w:szCs w:val="24"/>
        </w:rPr>
        <w:t xml:space="preserve"> conceded that the mere application of the criminal law of defamation to the Applicant’s case impermissibly interferes with his constitutional rights, while disputing that section 214(1) is inconsistent on its face with section 9(1) of the Constitution</w:t>
      </w:r>
      <w:r w:rsidR="00FA3819" w:rsidRPr="005913AB">
        <w:rPr>
          <w:rFonts w:ascii="Times New Roman" w:hAnsi="Times New Roman" w:cs="Times New Roman"/>
          <w:sz w:val="24"/>
          <w:szCs w:val="24"/>
        </w:rPr>
        <w:t>.</w:t>
      </w:r>
    </w:p>
    <w:p w14:paraId="09E6EC09" w14:textId="583D175C"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The </w:t>
      </w:r>
      <w:r w:rsidR="00024DB8">
        <w:rPr>
          <w:rFonts w:ascii="Times New Roman" w:hAnsi="Times New Roman" w:cs="Times New Roman"/>
          <w:sz w:val="24"/>
          <w:szCs w:val="24"/>
        </w:rPr>
        <w:t>Submissions made by the Crown</w:t>
      </w:r>
      <w:r w:rsidRPr="005913AB">
        <w:rPr>
          <w:rFonts w:ascii="Times New Roman" w:hAnsi="Times New Roman" w:cs="Times New Roman"/>
          <w:sz w:val="24"/>
          <w:szCs w:val="24"/>
        </w:rPr>
        <w:t xml:space="preserve"> </w:t>
      </w:r>
      <w:r w:rsidR="00024DB8">
        <w:rPr>
          <w:rFonts w:ascii="Times New Roman" w:hAnsi="Times New Roman" w:cs="Times New Roman"/>
          <w:sz w:val="24"/>
          <w:szCs w:val="24"/>
        </w:rPr>
        <w:t xml:space="preserve">was </w:t>
      </w:r>
      <w:r w:rsidRPr="005913AB">
        <w:rPr>
          <w:rFonts w:ascii="Times New Roman" w:hAnsi="Times New Roman" w:cs="Times New Roman"/>
          <w:sz w:val="24"/>
          <w:szCs w:val="24"/>
        </w:rPr>
        <w:t>to oppose the grant of a declaration that section 214(1) is uncon</w:t>
      </w:r>
      <w:r w:rsidR="00024DB8">
        <w:rPr>
          <w:rFonts w:ascii="Times New Roman" w:hAnsi="Times New Roman" w:cs="Times New Roman"/>
          <w:sz w:val="24"/>
          <w:szCs w:val="24"/>
        </w:rPr>
        <w:t>stitutional on its face but remarkably no authority wa</w:t>
      </w:r>
      <w:r w:rsidRPr="005913AB">
        <w:rPr>
          <w:rFonts w:ascii="Times New Roman" w:hAnsi="Times New Roman" w:cs="Times New Roman"/>
          <w:sz w:val="24"/>
          <w:szCs w:val="24"/>
        </w:rPr>
        <w:t>s cited in support of the bare submissions that “given the fact that the imposition of criminal liability in the ‘intentional’ category of case cannot infringe on principles of free speech; then the extension of the offence to include ‘negligent’ libel similarly does not encroach on the principles of free speech</w:t>
      </w:r>
      <w:r w:rsidR="00FA3819" w:rsidRPr="005913AB">
        <w:rPr>
          <w:rFonts w:ascii="Times New Roman" w:hAnsi="Times New Roman" w:cs="Times New Roman"/>
          <w:sz w:val="24"/>
          <w:szCs w:val="24"/>
        </w:rPr>
        <w:t>”. The Respondent</w:t>
      </w:r>
      <w:r w:rsidRPr="005913AB">
        <w:rPr>
          <w:rFonts w:ascii="Times New Roman" w:hAnsi="Times New Roman" w:cs="Times New Roman"/>
          <w:sz w:val="24"/>
          <w:szCs w:val="24"/>
        </w:rPr>
        <w:t xml:space="preserve"> </w:t>
      </w:r>
      <w:r w:rsidR="00024DB8">
        <w:rPr>
          <w:rFonts w:ascii="Times New Roman" w:hAnsi="Times New Roman" w:cs="Times New Roman"/>
          <w:sz w:val="24"/>
          <w:szCs w:val="24"/>
        </w:rPr>
        <w:t>concluded and indeed hinged</w:t>
      </w:r>
      <w:r w:rsidRPr="005913AB">
        <w:rPr>
          <w:rFonts w:ascii="Times New Roman" w:hAnsi="Times New Roman" w:cs="Times New Roman"/>
          <w:sz w:val="24"/>
          <w:szCs w:val="24"/>
        </w:rPr>
        <w:t xml:space="preserve"> </w:t>
      </w:r>
      <w:r w:rsidR="00024DB8">
        <w:rPr>
          <w:rFonts w:ascii="Times New Roman" w:hAnsi="Times New Roman" w:cs="Times New Roman"/>
          <w:sz w:val="24"/>
          <w:szCs w:val="24"/>
        </w:rPr>
        <w:t>its position</w:t>
      </w:r>
      <w:r w:rsidRPr="005913AB">
        <w:rPr>
          <w:rFonts w:ascii="Times New Roman" w:hAnsi="Times New Roman" w:cs="Times New Roman"/>
          <w:sz w:val="24"/>
          <w:szCs w:val="24"/>
        </w:rPr>
        <w:t xml:space="preserve"> </w:t>
      </w:r>
      <w:r w:rsidR="00024DB8">
        <w:rPr>
          <w:rFonts w:ascii="Times New Roman" w:hAnsi="Times New Roman" w:cs="Times New Roman"/>
          <w:sz w:val="24"/>
          <w:szCs w:val="24"/>
        </w:rPr>
        <w:t xml:space="preserve">on what it believed to be the best </w:t>
      </w:r>
      <w:r w:rsidRPr="005913AB">
        <w:rPr>
          <w:rFonts w:ascii="Times New Roman" w:hAnsi="Times New Roman" w:cs="Times New Roman"/>
          <w:sz w:val="24"/>
          <w:szCs w:val="24"/>
        </w:rPr>
        <w:t>defence of the constitutionality of section 214(2) of the Code (intentional defama</w:t>
      </w:r>
      <w:r w:rsidR="00024DB8">
        <w:rPr>
          <w:rFonts w:ascii="Times New Roman" w:hAnsi="Times New Roman" w:cs="Times New Roman"/>
          <w:sz w:val="24"/>
          <w:szCs w:val="24"/>
        </w:rPr>
        <w:t>tion), not section 214(1) in the following words</w:t>
      </w:r>
      <w:r w:rsidRPr="005913AB">
        <w:rPr>
          <w:rFonts w:ascii="Times New Roman" w:hAnsi="Times New Roman" w:cs="Times New Roman"/>
          <w:sz w:val="24"/>
          <w:szCs w:val="24"/>
        </w:rPr>
        <w:t>:</w:t>
      </w:r>
    </w:p>
    <w:p w14:paraId="7AF9BDCD" w14:textId="0DC6FD32" w:rsidR="007311EA" w:rsidRPr="00024DB8" w:rsidRDefault="007311EA" w:rsidP="000B7A72">
      <w:pPr>
        <w:jc w:val="both"/>
        <w:rPr>
          <w:rFonts w:ascii="Times New Roman" w:hAnsi="Times New Roman" w:cs="Times New Roman"/>
          <w:i/>
          <w:sz w:val="24"/>
          <w:szCs w:val="24"/>
        </w:rPr>
      </w:pPr>
      <w:r w:rsidRPr="00024DB8">
        <w:rPr>
          <w:rFonts w:ascii="Times New Roman" w:hAnsi="Times New Roman" w:cs="Times New Roman"/>
          <w:i/>
          <w:sz w:val="24"/>
          <w:szCs w:val="24"/>
        </w:rPr>
        <w:t xml:space="preserve">“The removal or absence of criminal sanctions in respect of a particular type of conduct signifies that it is acceptable conduct. The law should not send out such a message in respect of matter which is published reckless of its defamatory and false character, which can only be designed to injure the victim.” </w:t>
      </w:r>
    </w:p>
    <w:p w14:paraId="59F36BF0" w14:textId="77777777"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The Submissions of the Attorney-General started by pointing out that the Applicant’s characterization of the offence created by section 214(1) as “negligent libel” is misconceived.</w:t>
      </w:r>
    </w:p>
    <w:p w14:paraId="6A80C9CD" w14:textId="2EA066C5" w:rsidR="007311EA"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Accordingly, the Acting Solicitor-General </w:t>
      </w:r>
      <w:r w:rsidR="00FA3819" w:rsidRPr="005913AB">
        <w:rPr>
          <w:rFonts w:ascii="Times New Roman" w:hAnsi="Times New Roman" w:cs="Times New Roman"/>
          <w:sz w:val="24"/>
          <w:szCs w:val="24"/>
        </w:rPr>
        <w:t xml:space="preserve">also </w:t>
      </w:r>
      <w:r w:rsidRPr="005913AB">
        <w:rPr>
          <w:rFonts w:ascii="Times New Roman" w:hAnsi="Times New Roman" w:cs="Times New Roman"/>
          <w:sz w:val="24"/>
          <w:szCs w:val="24"/>
        </w:rPr>
        <w:t>conten</w:t>
      </w:r>
      <w:r w:rsidR="00FA3819" w:rsidRPr="005913AB">
        <w:rPr>
          <w:rFonts w:ascii="Times New Roman" w:hAnsi="Times New Roman" w:cs="Times New Roman"/>
          <w:sz w:val="24"/>
          <w:szCs w:val="24"/>
        </w:rPr>
        <w:t>ds</w:t>
      </w:r>
      <w:r w:rsidRPr="005913AB">
        <w:rPr>
          <w:rFonts w:ascii="Times New Roman" w:hAnsi="Times New Roman" w:cs="Times New Roman"/>
          <w:sz w:val="24"/>
          <w:szCs w:val="24"/>
        </w:rPr>
        <w:t xml:space="preserve"> that the elements of the two section 214 offences are not necessarily clearly distinguishable based on the requirement of knowledge of falsity alone, as superficially seems to be the case.  As was submitted by the counsel, </w:t>
      </w:r>
    </w:p>
    <w:p w14:paraId="6FC18083" w14:textId="77777777" w:rsidR="00556A9F" w:rsidRPr="005913AB" w:rsidRDefault="007311EA"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In addition, however, it was argued that the offence under section 214(1) necessarily required proof of an intention to defame as part of the </w:t>
      </w:r>
      <w:r w:rsidRPr="005913AB">
        <w:rPr>
          <w:rFonts w:ascii="Times New Roman" w:hAnsi="Times New Roman" w:cs="Times New Roman"/>
          <w:i/>
          <w:sz w:val="24"/>
          <w:szCs w:val="24"/>
        </w:rPr>
        <w:t>mens rea</w:t>
      </w:r>
      <w:r w:rsidRPr="005913AB">
        <w:rPr>
          <w:rFonts w:ascii="Times New Roman" w:hAnsi="Times New Roman" w:cs="Times New Roman"/>
          <w:sz w:val="24"/>
          <w:szCs w:val="24"/>
        </w:rPr>
        <w:t xml:space="preserve"> of the offence. Reliance was placed on </w:t>
      </w:r>
      <w:bookmarkStart w:id="3" w:name="_Hlk27435256"/>
      <w:r w:rsidRPr="005913AB">
        <w:rPr>
          <w:rFonts w:ascii="Times New Roman" w:hAnsi="Times New Roman" w:cs="Times New Roman"/>
          <w:b/>
          <w:bCs/>
          <w:sz w:val="24"/>
          <w:szCs w:val="24"/>
        </w:rPr>
        <w:t>Lucas-v- R [1998] 3 LRC 236</w:t>
      </w:r>
      <w:r w:rsidRPr="005913AB">
        <w:rPr>
          <w:rFonts w:ascii="Times New Roman" w:hAnsi="Times New Roman" w:cs="Times New Roman"/>
          <w:sz w:val="24"/>
          <w:szCs w:val="24"/>
        </w:rPr>
        <w:t xml:space="preserve"> </w:t>
      </w:r>
      <w:bookmarkEnd w:id="3"/>
      <w:r w:rsidRPr="005913AB">
        <w:rPr>
          <w:rFonts w:ascii="Times New Roman" w:hAnsi="Times New Roman" w:cs="Times New Roman"/>
          <w:sz w:val="24"/>
          <w:szCs w:val="24"/>
        </w:rPr>
        <w:t xml:space="preserve">(a Supreme Court of Canada case) and the </w:t>
      </w:r>
      <w:r w:rsidRPr="005913AB">
        <w:rPr>
          <w:rFonts w:ascii="Times New Roman" w:hAnsi="Times New Roman" w:cs="Times New Roman"/>
          <w:b/>
          <w:bCs/>
          <w:sz w:val="24"/>
          <w:szCs w:val="24"/>
        </w:rPr>
        <w:t>Tonga Court of Appeal case of R-v- Pohvia [2010] 1 LRC 763</w:t>
      </w:r>
      <w:r w:rsidRPr="005913AB">
        <w:rPr>
          <w:rFonts w:ascii="Times New Roman" w:hAnsi="Times New Roman" w:cs="Times New Roman"/>
          <w:sz w:val="24"/>
          <w:szCs w:val="24"/>
        </w:rPr>
        <w:t>.</w:t>
      </w:r>
      <w:r w:rsidR="00556A9F" w:rsidRPr="005913AB">
        <w:rPr>
          <w:rFonts w:ascii="Times New Roman" w:hAnsi="Times New Roman" w:cs="Times New Roman"/>
          <w:sz w:val="24"/>
          <w:szCs w:val="24"/>
        </w:rPr>
        <w:t xml:space="preserve"> </w:t>
      </w:r>
      <w:r w:rsidRPr="005913AB">
        <w:rPr>
          <w:rFonts w:ascii="Times New Roman" w:hAnsi="Times New Roman" w:cs="Times New Roman"/>
          <w:sz w:val="24"/>
          <w:szCs w:val="24"/>
        </w:rPr>
        <w:t xml:space="preserve">The Attorney-General’s reliance on the cases of </w:t>
      </w:r>
      <w:r w:rsidRPr="005913AB">
        <w:rPr>
          <w:rFonts w:ascii="Times New Roman" w:hAnsi="Times New Roman" w:cs="Times New Roman"/>
          <w:b/>
          <w:bCs/>
          <w:sz w:val="24"/>
          <w:szCs w:val="24"/>
        </w:rPr>
        <w:t>Worme -v- The Commissioner of Police [2004] UKPC 8 (at paragraphs 42 to 43) and  Lucas-v- R [1998] 3 LRC 236 (at paragraphs 31-83, 88-97)</w:t>
      </w:r>
      <w:r w:rsidRPr="005913AB">
        <w:rPr>
          <w:rFonts w:ascii="Times New Roman" w:hAnsi="Times New Roman" w:cs="Times New Roman"/>
          <w:sz w:val="24"/>
          <w:szCs w:val="24"/>
        </w:rPr>
        <w:t xml:space="preserve"> was clearly premised on the assumption that all charges under section 214(1) require proof of an intention to defame.</w:t>
      </w:r>
    </w:p>
    <w:p w14:paraId="5B0B498C" w14:textId="4ABA3454" w:rsidR="00AC04B1" w:rsidRPr="005913AB" w:rsidRDefault="00556A9F" w:rsidP="00D1180F">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The Application in this suit was heard and judgment was delivered on August 12,2011. </w:t>
      </w:r>
      <w:bookmarkStart w:id="4" w:name="_Hlk27391510"/>
      <w:bookmarkStart w:id="5" w:name="_Hlk27408850"/>
    </w:p>
    <w:p w14:paraId="3317485E" w14:textId="77777777" w:rsidR="00D1180F" w:rsidRPr="005913AB" w:rsidRDefault="00D1180F" w:rsidP="00D1180F">
      <w:pPr>
        <w:spacing w:line="276" w:lineRule="auto"/>
        <w:ind w:left="-270"/>
        <w:jc w:val="both"/>
        <w:rPr>
          <w:rFonts w:ascii="Times New Roman" w:hAnsi="Times New Roman" w:cs="Times New Roman"/>
          <w:sz w:val="24"/>
          <w:szCs w:val="24"/>
        </w:rPr>
      </w:pPr>
    </w:p>
    <w:bookmarkEnd w:id="4"/>
    <w:p w14:paraId="5B115B45" w14:textId="77777777" w:rsidR="00AC04B1" w:rsidRPr="005913AB" w:rsidRDefault="00AC04B1" w:rsidP="000B7A72">
      <w:pPr>
        <w:ind w:left="-180"/>
        <w:jc w:val="both"/>
        <w:rPr>
          <w:rFonts w:ascii="Times New Roman" w:hAnsi="Times New Roman" w:cs="Times New Roman"/>
          <w:b/>
          <w:sz w:val="24"/>
          <w:szCs w:val="24"/>
        </w:rPr>
      </w:pPr>
      <w:r w:rsidRPr="005913AB">
        <w:rPr>
          <w:rFonts w:ascii="Times New Roman" w:hAnsi="Times New Roman" w:cs="Times New Roman"/>
          <w:b/>
          <w:sz w:val="24"/>
          <w:szCs w:val="24"/>
        </w:rPr>
        <w:t>Decision Overview</w:t>
      </w:r>
    </w:p>
    <w:p w14:paraId="43E756FC" w14:textId="77777777" w:rsidR="00AC04B1" w:rsidRPr="005913AB" w:rsidRDefault="00AC04B1" w:rsidP="000B7A72">
      <w:pPr>
        <w:spacing w:line="276" w:lineRule="auto"/>
        <w:ind w:left="-180"/>
        <w:jc w:val="both"/>
        <w:rPr>
          <w:rFonts w:ascii="Times New Roman" w:hAnsi="Times New Roman" w:cs="Times New Roman"/>
          <w:sz w:val="24"/>
          <w:szCs w:val="24"/>
        </w:rPr>
      </w:pPr>
      <w:r w:rsidRPr="005913AB">
        <w:rPr>
          <w:rFonts w:ascii="Times New Roman" w:hAnsi="Times New Roman" w:cs="Times New Roman"/>
          <w:sz w:val="24"/>
          <w:szCs w:val="24"/>
        </w:rPr>
        <w:t xml:space="preserve">Justice Kawaley delivered the judgment of the Supreme Court of State of Bermuda in this case. The issues for determination are: </w:t>
      </w:r>
    </w:p>
    <w:p w14:paraId="1D00D120" w14:textId="77777777" w:rsidR="00AC04B1" w:rsidRPr="005913AB" w:rsidRDefault="00AC04B1" w:rsidP="000B7A72">
      <w:pPr>
        <w:pStyle w:val="ListParagraph"/>
        <w:widowControl/>
        <w:numPr>
          <w:ilvl w:val="0"/>
          <w:numId w:val="5"/>
        </w:numPr>
        <w:autoSpaceDE/>
        <w:autoSpaceDN/>
        <w:spacing w:after="160" w:line="276" w:lineRule="auto"/>
        <w:contextualSpacing/>
        <w:rPr>
          <w:sz w:val="24"/>
          <w:szCs w:val="24"/>
        </w:rPr>
      </w:pPr>
      <w:r w:rsidRPr="005913AB">
        <w:rPr>
          <w:sz w:val="24"/>
          <w:szCs w:val="24"/>
        </w:rPr>
        <w:lastRenderedPageBreak/>
        <w:t>whether section 214(1) of the Criminal Code Act 1907 (‘the Code’) taken in its statutory context on its face contravenes section 9 of the Constitution; and</w:t>
      </w:r>
    </w:p>
    <w:p w14:paraId="4363685B" w14:textId="77777777" w:rsidR="00AC04B1" w:rsidRPr="005913AB" w:rsidRDefault="00AC04B1" w:rsidP="000B7A72">
      <w:pPr>
        <w:pStyle w:val="ListParagraph"/>
        <w:widowControl/>
        <w:numPr>
          <w:ilvl w:val="0"/>
          <w:numId w:val="5"/>
        </w:numPr>
        <w:autoSpaceDE/>
        <w:autoSpaceDN/>
        <w:spacing w:after="160" w:line="276" w:lineRule="auto"/>
        <w:contextualSpacing/>
        <w:rPr>
          <w:sz w:val="24"/>
          <w:szCs w:val="24"/>
        </w:rPr>
      </w:pPr>
      <w:r w:rsidRPr="005913AB">
        <w:rPr>
          <w:sz w:val="24"/>
          <w:szCs w:val="24"/>
        </w:rPr>
        <w:t xml:space="preserve">whether the application of section 214(1) of the Code taken in its statutory context to the Applicant on the facts of the present case contravene his rights under section 9 of the Constitution.” </w:t>
      </w:r>
    </w:p>
    <w:p w14:paraId="57A73995" w14:textId="77777777" w:rsidR="00AC04B1" w:rsidRPr="005913AB" w:rsidRDefault="00AC04B1" w:rsidP="000B7A72">
      <w:pPr>
        <w:spacing w:line="276" w:lineRule="auto"/>
        <w:ind w:left="-180"/>
        <w:jc w:val="both"/>
        <w:rPr>
          <w:rFonts w:ascii="Times New Roman" w:hAnsi="Times New Roman" w:cs="Times New Roman"/>
          <w:sz w:val="24"/>
          <w:szCs w:val="24"/>
        </w:rPr>
      </w:pPr>
      <w:r w:rsidRPr="005913AB">
        <w:rPr>
          <w:rFonts w:ascii="Times New Roman" w:hAnsi="Times New Roman" w:cs="Times New Roman"/>
          <w:sz w:val="24"/>
          <w:szCs w:val="24"/>
        </w:rPr>
        <w:t xml:space="preserve">In addressing the first issue; it was queried whether the application of section 214(1) of the Criminal Code to the Applicant on the facts of the present case interferes with his right to freedom of expression under section 9 (1) of the Constitution. The fundamental right protected by section 9(1)” the Court states that: </w:t>
      </w:r>
    </w:p>
    <w:p w14:paraId="4558F0C1" w14:textId="77777777" w:rsidR="00AC04B1" w:rsidRPr="005913AB" w:rsidRDefault="00AC04B1" w:rsidP="000B7A72">
      <w:pPr>
        <w:spacing w:line="276" w:lineRule="auto"/>
        <w:ind w:left="360" w:right="63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 “(1) Except with his consent, no person shall be hindered in the enjoyment of his freedom of expression, and for the purposes of this section the said freedom includes freedom to hold opinions and to receive and impart ideas and information without interference, and freedom from interference with his correspondence. </w:t>
      </w:r>
    </w:p>
    <w:p w14:paraId="0018FDF9" w14:textId="77777777" w:rsidR="00AC04B1" w:rsidRPr="005913AB" w:rsidRDefault="00AC04B1" w:rsidP="000B7A72">
      <w:pPr>
        <w:spacing w:after="0" w:line="276" w:lineRule="auto"/>
        <w:ind w:left="360" w:right="63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(2) Nothing contained in or done under the authority of any law shall be held to be inconsistent with or in contravention of this section to the extent that the law in question makes provision— </w:t>
      </w:r>
    </w:p>
    <w:p w14:paraId="59D3F579" w14:textId="77777777" w:rsidR="00AC04B1" w:rsidRPr="005913AB" w:rsidRDefault="00AC04B1" w:rsidP="000B7A72">
      <w:pPr>
        <w:spacing w:after="0" w:line="276" w:lineRule="auto"/>
        <w:ind w:left="360" w:right="63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  (a) that is reasonably required—  (i) in the interests of defence, public safety, public order, public morality or public health; or  (ii) for the purpose of protecting the rights, reputations and freedom of other persons or the private lives of persons concerned in legal proceedings, preventing the disclosure of information received in confidence, maintaining the authority and independence of the courts, regulating telephony, telegraphy, posts, wireless broadcasting, television or other means of communication or regulating public exhibitions or public entertainments; or   </w:t>
      </w:r>
    </w:p>
    <w:p w14:paraId="337D0FC1" w14:textId="77777777" w:rsidR="00AC04B1" w:rsidRPr="005913AB" w:rsidRDefault="00AC04B1" w:rsidP="000B7A72">
      <w:pPr>
        <w:spacing w:after="0" w:line="276" w:lineRule="auto"/>
        <w:ind w:left="360" w:right="63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(b) that imposes restrictions upon public officers or teachers, except so far as that provision or, as the case may be, the thing done under the authority thereof is shown not to be reasonably justifiable in a democratic society. </w:t>
      </w:r>
    </w:p>
    <w:p w14:paraId="5FD23CB2" w14:textId="77777777" w:rsidR="00AC04B1" w:rsidRPr="005913AB" w:rsidRDefault="00AC04B1" w:rsidP="000B7A72">
      <w:pPr>
        <w:spacing w:after="0" w:line="276" w:lineRule="auto"/>
        <w:ind w:left="360" w:right="63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 </w:t>
      </w:r>
    </w:p>
    <w:p w14:paraId="77CAA280" w14:textId="056ED821" w:rsidR="00AC04B1" w:rsidRPr="00B00917" w:rsidRDefault="00AC04B1" w:rsidP="00B00917">
      <w:pPr>
        <w:spacing w:line="276" w:lineRule="auto"/>
        <w:ind w:right="630"/>
        <w:jc w:val="both"/>
        <w:rPr>
          <w:rFonts w:ascii="Times New Roman" w:hAnsi="Times New Roman" w:cs="Times New Roman"/>
          <w:iCs/>
          <w:sz w:val="24"/>
          <w:szCs w:val="24"/>
        </w:rPr>
      </w:pPr>
      <w:r w:rsidRPr="005913AB">
        <w:rPr>
          <w:rFonts w:ascii="Times New Roman" w:hAnsi="Times New Roman" w:cs="Times New Roman"/>
          <w:iCs/>
          <w:sz w:val="24"/>
          <w:szCs w:val="24"/>
        </w:rPr>
        <w:t>Reacting to the provision of the law, Kawaley, J noted that Section 9(1), in very broad terms, proclaims and protects “freedom of expression”, which is non-exhaustively defined as including “</w:t>
      </w:r>
      <w:r w:rsidRPr="005913AB">
        <w:rPr>
          <w:rFonts w:ascii="Times New Roman" w:hAnsi="Times New Roman" w:cs="Times New Roman"/>
          <w:i/>
          <w:iCs/>
          <w:sz w:val="24"/>
          <w:szCs w:val="24"/>
        </w:rPr>
        <w:t>freedom to hold opinions and to receive and impart ideas and information without interference, and freedom from interference with his correspondence</w:t>
      </w:r>
      <w:r w:rsidRPr="005913AB">
        <w:rPr>
          <w:rFonts w:ascii="Times New Roman" w:hAnsi="Times New Roman" w:cs="Times New Roman"/>
          <w:iCs/>
          <w:sz w:val="24"/>
          <w:szCs w:val="24"/>
        </w:rPr>
        <w:t xml:space="preserve">”. Section 9(2) then proceeds to demarcate the extent to which this fundamental right may be lawfully restricted by anything either </w:t>
      </w:r>
      <w:r w:rsidRPr="005913AB">
        <w:rPr>
          <w:rFonts w:ascii="Times New Roman" w:hAnsi="Times New Roman" w:cs="Times New Roman"/>
          <w:iCs/>
          <w:sz w:val="24"/>
          <w:szCs w:val="24"/>
          <w:u w:val="single"/>
        </w:rPr>
        <w:t>(a) contained in any law, or (b) done under the authority of any law.</w:t>
      </w:r>
      <w:r w:rsidRPr="005913AB">
        <w:rPr>
          <w:rFonts w:ascii="Times New Roman" w:hAnsi="Times New Roman" w:cs="Times New Roman"/>
          <w:iCs/>
          <w:sz w:val="24"/>
          <w:szCs w:val="24"/>
        </w:rPr>
        <w:t xml:space="preserve"> It is the latter form of restriction, the effect of the application of the provisions of section 214(1), which is of present concern. However, irrespective of what form of restriction of freedom of expression is in issue, the law on its face or the law in action, the restriction can only validly interfere with the fundamental rights protected by subsection (1) of section 9 if the law is reasonably required for one of the section 9(2) purposes. Even if the interference is “reasonably required” for a qualifying purpose, the interference with </w:t>
      </w:r>
      <w:r w:rsidRPr="005913AB">
        <w:rPr>
          <w:rFonts w:ascii="Times New Roman" w:hAnsi="Times New Roman" w:cs="Times New Roman"/>
          <w:iCs/>
          <w:sz w:val="24"/>
          <w:szCs w:val="24"/>
        </w:rPr>
        <w:lastRenderedPageBreak/>
        <w:t>freedom of expression may still be impermissible if it is “</w:t>
      </w:r>
      <w:r w:rsidRPr="005913AB">
        <w:rPr>
          <w:rFonts w:ascii="Times New Roman" w:hAnsi="Times New Roman" w:cs="Times New Roman"/>
          <w:i/>
          <w:iCs/>
          <w:sz w:val="24"/>
          <w:szCs w:val="24"/>
        </w:rPr>
        <w:t>shown not to be reasonably justifiable in a democratic society</w:t>
      </w:r>
      <w:r w:rsidRPr="005913AB">
        <w:rPr>
          <w:rFonts w:ascii="Times New Roman" w:hAnsi="Times New Roman" w:cs="Times New Roman"/>
          <w:iCs/>
          <w:sz w:val="24"/>
          <w:szCs w:val="24"/>
        </w:rPr>
        <w:t xml:space="preserve">”. </w:t>
      </w:r>
    </w:p>
    <w:p w14:paraId="33C90A5A" w14:textId="42231D11" w:rsidR="00AC04B1" w:rsidRPr="005913AB" w:rsidRDefault="00AC04B1"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Kawaley J in addressing the basis for which the Applicant was charged bearing in mind the fact that the Applicant was simply writing to his Facebook friends expressing a personal gripe, it is difficult to see what public harm was caused by his remarks</w:t>
      </w:r>
      <w:r w:rsidR="008A0541" w:rsidRPr="005913AB">
        <w:rPr>
          <w:rFonts w:ascii="Times New Roman" w:hAnsi="Times New Roman" w:cs="Times New Roman"/>
          <w:sz w:val="24"/>
          <w:szCs w:val="24"/>
        </w:rPr>
        <w:t>. The court noted that</w:t>
      </w:r>
      <w:r w:rsidRPr="005913AB">
        <w:rPr>
          <w:rFonts w:ascii="Times New Roman" w:hAnsi="Times New Roman" w:cs="Times New Roman"/>
          <w:sz w:val="24"/>
          <w:szCs w:val="24"/>
        </w:rPr>
        <w:t xml:space="preserve">: </w:t>
      </w:r>
    </w:p>
    <w:p w14:paraId="429EF04B" w14:textId="20879208" w:rsidR="00AC04B1" w:rsidRPr="005913AB" w:rsidRDefault="00AC04B1" w:rsidP="000B7A72">
      <w:pPr>
        <w:spacing w:line="276" w:lineRule="auto"/>
        <w:ind w:left="630" w:right="1080"/>
        <w:jc w:val="both"/>
        <w:rPr>
          <w:rFonts w:ascii="Times New Roman" w:hAnsi="Times New Roman" w:cs="Times New Roman"/>
          <w:i/>
          <w:iCs/>
          <w:sz w:val="24"/>
          <w:szCs w:val="24"/>
        </w:rPr>
      </w:pPr>
      <w:r w:rsidRPr="005913AB">
        <w:rPr>
          <w:rFonts w:ascii="Times New Roman" w:hAnsi="Times New Roman" w:cs="Times New Roman"/>
          <w:i/>
          <w:iCs/>
          <w:sz w:val="24"/>
          <w:szCs w:val="24"/>
        </w:rPr>
        <w:t>The laying of a criminal charge, in and of itself, unarguably interfered with his section 9(1) rights.  For a practicing lawyer to be charged with a criminal offence for expressing opinions about the motivation of the Police in charging him with another minor criminal offence for which he had been discharged by a Court must constitute one of the more dramatic forms that public interference with section 9(1) rights could potentially take in a democratic society. But equally, the officer cast as the villain of the piece might retort, it is difficult to imagine a practising lawyer expressing in writing (otherwise than in support of a client’s cause) more pejorative remarks</w:t>
      </w:r>
      <w:r w:rsidR="008A0541" w:rsidRPr="005913AB">
        <w:rPr>
          <w:rFonts w:ascii="Times New Roman" w:hAnsi="Times New Roman" w:cs="Times New Roman"/>
          <w:i/>
          <w:iCs/>
          <w:sz w:val="24"/>
          <w:szCs w:val="24"/>
        </w:rPr>
        <w:t xml:space="preserve"> about a senior police officer.</w:t>
      </w:r>
      <w:r w:rsidRPr="005913AB">
        <w:rPr>
          <w:rFonts w:ascii="Times New Roman" w:hAnsi="Times New Roman" w:cs="Times New Roman"/>
          <w:i/>
          <w:iCs/>
          <w:sz w:val="24"/>
          <w:szCs w:val="24"/>
        </w:rPr>
        <w:t xml:space="preserve"> Be that as it may, the crucial question is whether (the Respondent having conceded this point and the Attorney-General adopting an essentially neutral position), the material before the Court establishes any reasonable requirement which justifies the prima facie interference with his section 9(1) rights wh</w:t>
      </w:r>
      <w:r w:rsidR="008A0541" w:rsidRPr="005913AB">
        <w:rPr>
          <w:rFonts w:ascii="Times New Roman" w:hAnsi="Times New Roman" w:cs="Times New Roman"/>
          <w:i/>
          <w:iCs/>
          <w:sz w:val="24"/>
          <w:szCs w:val="24"/>
        </w:rPr>
        <w:t>ich the Applicant has made out”</w:t>
      </w:r>
      <w:r w:rsidRPr="005913AB">
        <w:rPr>
          <w:rFonts w:ascii="Times New Roman" w:hAnsi="Times New Roman" w:cs="Times New Roman"/>
          <w:i/>
          <w:iCs/>
          <w:sz w:val="24"/>
          <w:szCs w:val="24"/>
        </w:rPr>
        <w:t xml:space="preserve"> </w:t>
      </w:r>
    </w:p>
    <w:p w14:paraId="3B185578" w14:textId="0821F5F7" w:rsidR="00AC04B1" w:rsidRPr="005913AB" w:rsidRDefault="008A0541" w:rsidP="008A0541">
      <w:pPr>
        <w:spacing w:line="276" w:lineRule="auto"/>
        <w:ind w:right="1080"/>
        <w:jc w:val="both"/>
        <w:rPr>
          <w:rFonts w:ascii="Times New Roman" w:hAnsi="Times New Roman" w:cs="Times New Roman"/>
          <w:iCs/>
          <w:sz w:val="24"/>
          <w:szCs w:val="24"/>
        </w:rPr>
      </w:pPr>
      <w:r w:rsidRPr="005913AB">
        <w:rPr>
          <w:rFonts w:ascii="Times New Roman" w:hAnsi="Times New Roman" w:cs="Times New Roman"/>
          <w:iCs/>
          <w:sz w:val="24"/>
          <w:szCs w:val="24"/>
        </w:rPr>
        <w:t>The court further noted that:</w:t>
      </w:r>
    </w:p>
    <w:p w14:paraId="2F93A7F9" w14:textId="613880B0" w:rsidR="00AC04B1" w:rsidRPr="005913AB" w:rsidRDefault="00AC04B1" w:rsidP="000B7A72">
      <w:pPr>
        <w:spacing w:line="276" w:lineRule="auto"/>
        <w:ind w:left="630" w:right="1080"/>
        <w:jc w:val="both"/>
        <w:rPr>
          <w:rFonts w:ascii="Times New Roman" w:hAnsi="Times New Roman" w:cs="Times New Roman"/>
          <w:i/>
          <w:iCs/>
          <w:sz w:val="24"/>
          <w:szCs w:val="24"/>
        </w:rPr>
      </w:pPr>
      <w:r w:rsidRPr="005913AB">
        <w:rPr>
          <w:rFonts w:ascii="Times New Roman" w:hAnsi="Times New Roman" w:cs="Times New Roman"/>
          <w:iCs/>
          <w:sz w:val="24"/>
          <w:szCs w:val="24"/>
        </w:rPr>
        <w:t xml:space="preserve"> </w:t>
      </w:r>
      <w:r w:rsidRPr="005913AB">
        <w:rPr>
          <w:rFonts w:ascii="Times New Roman" w:hAnsi="Times New Roman" w:cs="Times New Roman"/>
          <w:i/>
          <w:iCs/>
          <w:sz w:val="24"/>
          <w:szCs w:val="24"/>
        </w:rPr>
        <w:t xml:space="preserve">(a) “Freedom of expression constitutes one of the essential foundations of a democratic society and one of the basic conditions for its progress and for each individual’s self-fulfilment. Subject to paragraph 2, it is applicable not only to “information” or “ideas” that are favourably received or regarded as inoffensive or as a matter of indifference, but also to those that offend, shock or disturb. Such are the demands of that pluralism, tolerance and broadmindedness without which there is no ‘democratic society’ ”; (b) “As set forth in Article 10, this freedom is subject to exceptions, which must, however, be construed strictly, and the need for any restrictions must be established convincingly”; (c) “The adjective ‘necessary’, within the meaning of Article 10 § 2, implies the existence of a ‘pressing social need’”; (d) “In exercising its supervisory jurisdiction, the Court must look at the impugned interference in the light of the case as a whole, including the content of the remarks held against the applicant and the context in which he made them. In particular, it must determine whether the interference in issue was “proportionate to the legitimate aims pursued” and whether the reasons adduced by the national authorities to justify it are ‘relevant and sufficient’”; (e) “It is true that he did not lay himself open to public scrutiny and </w:t>
      </w:r>
      <w:r w:rsidRPr="005913AB">
        <w:rPr>
          <w:rFonts w:ascii="Times New Roman" w:hAnsi="Times New Roman" w:cs="Times New Roman"/>
          <w:i/>
          <w:iCs/>
          <w:sz w:val="24"/>
          <w:szCs w:val="24"/>
        </w:rPr>
        <w:lastRenderedPageBreak/>
        <w:t xml:space="preserve">needed to enjoy confidence in conditions free of undue perturbation when on duty. </w:t>
      </w:r>
      <w:bookmarkStart w:id="6" w:name="_Hlk27435203"/>
      <w:r w:rsidRPr="005913AB">
        <w:rPr>
          <w:rFonts w:ascii="Times New Roman" w:hAnsi="Times New Roman" w:cs="Times New Roman"/>
          <w:b/>
          <w:bCs/>
          <w:i/>
          <w:iCs/>
          <w:sz w:val="24"/>
          <w:szCs w:val="24"/>
        </w:rPr>
        <w:t xml:space="preserve">Steur v. the Netherlands, no. 39657/98, §§ 40 and 41, </w:t>
      </w:r>
      <w:r w:rsidR="008A0541" w:rsidRPr="005913AB">
        <w:rPr>
          <w:rFonts w:ascii="Times New Roman" w:hAnsi="Times New Roman" w:cs="Times New Roman"/>
          <w:b/>
          <w:bCs/>
          <w:i/>
          <w:iCs/>
          <w:sz w:val="24"/>
          <w:szCs w:val="24"/>
        </w:rPr>
        <w:t>ECHR 2003-XI”</w:t>
      </w:r>
    </w:p>
    <w:bookmarkEnd w:id="6"/>
    <w:p w14:paraId="4E9FCAF5" w14:textId="77777777" w:rsidR="00AC04B1" w:rsidRPr="005913AB" w:rsidRDefault="00AC04B1"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 xml:space="preserve"> In considering in more detail the arguments advanced by counsel for both parties in their helpful submissions, their Lordships bear in mind the importance that is attached to the right of freedom of expression, particularly in relation to public and political matters, guaranteed by section 10 of the Constitution by stating thus:  </w:t>
      </w:r>
    </w:p>
    <w:p w14:paraId="6339E820" w14:textId="77777777" w:rsidR="00AC04B1" w:rsidRPr="005913AB" w:rsidRDefault="00AC04B1" w:rsidP="000B7A72">
      <w:pPr>
        <w:spacing w:line="276" w:lineRule="auto"/>
        <w:ind w:left="630" w:right="99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The spirit of the statement of the European Court of Human Rights in </w:t>
      </w:r>
      <w:bookmarkStart w:id="7" w:name="_Hlk27435176"/>
      <w:r w:rsidRPr="005913AB">
        <w:rPr>
          <w:rFonts w:ascii="Times New Roman" w:hAnsi="Times New Roman" w:cs="Times New Roman"/>
          <w:b/>
          <w:bCs/>
          <w:i/>
          <w:iCs/>
          <w:sz w:val="24"/>
          <w:szCs w:val="24"/>
        </w:rPr>
        <w:t>Lingens v Austria (1986) 8 EHRR 407, 418-419, at para 42,</w:t>
      </w:r>
      <w:bookmarkEnd w:id="7"/>
      <w:r w:rsidRPr="005913AB">
        <w:rPr>
          <w:rFonts w:ascii="Times New Roman" w:hAnsi="Times New Roman" w:cs="Times New Roman"/>
          <w:i/>
          <w:iCs/>
          <w:sz w:val="24"/>
          <w:szCs w:val="24"/>
        </w:rPr>
        <w:t xml:space="preserve"> that “freedom of political debate is at the very core of the concept of a democratic society which prevails throughout the Convention” has been reflected in decisions of courts throughout the world.  In </w:t>
      </w:r>
      <w:bookmarkStart w:id="8" w:name="_Hlk27435108"/>
      <w:r w:rsidRPr="005913AB">
        <w:rPr>
          <w:rFonts w:ascii="Times New Roman" w:hAnsi="Times New Roman" w:cs="Times New Roman"/>
          <w:b/>
          <w:bCs/>
          <w:i/>
          <w:iCs/>
          <w:sz w:val="24"/>
          <w:szCs w:val="24"/>
        </w:rPr>
        <w:t>Hector v Attorney General of Antigua [1990] 2 AC 312, 318,</w:t>
      </w:r>
      <w:r w:rsidRPr="005913AB">
        <w:rPr>
          <w:rFonts w:ascii="Times New Roman" w:hAnsi="Times New Roman" w:cs="Times New Roman"/>
          <w:i/>
          <w:iCs/>
          <w:sz w:val="24"/>
          <w:szCs w:val="24"/>
        </w:rPr>
        <w:t xml:space="preserve"> </w:t>
      </w:r>
      <w:bookmarkEnd w:id="8"/>
      <w:r w:rsidRPr="005913AB">
        <w:rPr>
          <w:rFonts w:ascii="Times New Roman" w:hAnsi="Times New Roman" w:cs="Times New Roman"/>
          <w:i/>
          <w:iCs/>
          <w:sz w:val="24"/>
          <w:szCs w:val="24"/>
        </w:rPr>
        <w:t xml:space="preserve">for instance, Lord Bridge of Harwich said: ‘In a free democratic society it is almost too obvious to need stating that those who hold office in government and who are responsible for public administration must always be open to criticism.  Any attempt to stifle or fetter such criticism amounts to political censorship of the most insidious and objectionable kind.’” </w:t>
      </w:r>
    </w:p>
    <w:p w14:paraId="3F8B0CA2" w14:textId="77777777" w:rsidR="00AC04B1" w:rsidRPr="005913AB" w:rsidRDefault="00AC04B1" w:rsidP="000B7A72">
      <w:pPr>
        <w:spacing w:line="276" w:lineRule="auto"/>
        <w:ind w:left="630" w:right="99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 Secondly, the criminal complainant in the present case was a senior police officer whom, while not as senior a public officer as the complainant in Raichinov, may be presumed to enjoy a measure of security of tenure so that the defamatory remarks are unlikely to impact adversely on his ability to perform his public duties. It is, surely, an occupational hazard of being a police officer or a judge that one’s official actions will on occasion generate critical comment of a pejorative nature, both from persons adversely affected by such actions and (when the matters concerned are in the public domain) members of the wider public. This leads on to the third point.   </w:t>
      </w:r>
    </w:p>
    <w:p w14:paraId="54708A1A" w14:textId="77777777" w:rsidR="00AC04B1" w:rsidRPr="005913AB" w:rsidRDefault="00AC04B1" w:rsidP="000B7A72">
      <w:pPr>
        <w:spacing w:line="276" w:lineRule="auto"/>
        <w:ind w:left="630" w:right="99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Thirdly, and pivotally, I accept the European Court of Human Rights’ holding that “the Court must look at the impugned interference in the light of the case as a whole, including the content of the remarks held against the applicant and the context in which he made them. In particular, it must determine whether the interference in issue was “proportionate to the legitimate aims pursued” and whether the reasons adduced by the national authorities to justify it are ‘relevant and sufficient’”. The Applicant’s impugned remarks were made in the private context of informal communication and, from its timing, was clearly an impromptu emotional response to what must have been an extremely uncomfortable experience (for a criminal defence lawyer) of appearing in court as a criminal defendant. The Applicant merely asked the rhetorical question of whether racism on the part of the Police Inspector had prompted the search of the Applicant’s home and the decision to charge him with possessing a small </w:t>
      </w:r>
      <w:r w:rsidRPr="005913AB">
        <w:rPr>
          <w:rFonts w:ascii="Times New Roman" w:hAnsi="Times New Roman" w:cs="Times New Roman"/>
          <w:i/>
          <w:iCs/>
          <w:sz w:val="24"/>
          <w:szCs w:val="24"/>
        </w:rPr>
        <w:lastRenderedPageBreak/>
        <w:t xml:space="preserve">amount of cannabis, based on the positive assertion that the Inspector really “had it in for” the Applicant.  </w:t>
      </w:r>
    </w:p>
    <w:p w14:paraId="7C6EECD2" w14:textId="4D2E6677" w:rsidR="00AC04B1" w:rsidRPr="005913AB" w:rsidRDefault="00ED0BCC"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The court further noted that</w:t>
      </w:r>
      <w:r w:rsidR="00AC04B1" w:rsidRPr="005913AB">
        <w:rPr>
          <w:rFonts w:ascii="Times New Roman" w:hAnsi="Times New Roman" w:cs="Times New Roman"/>
          <w:sz w:val="24"/>
          <w:szCs w:val="24"/>
        </w:rPr>
        <w:t>:</w:t>
      </w:r>
    </w:p>
    <w:p w14:paraId="46802B46" w14:textId="77777777" w:rsidR="00AC04B1" w:rsidRPr="005913AB" w:rsidRDefault="00AC04B1" w:rsidP="000B7A72">
      <w:pPr>
        <w:spacing w:line="276" w:lineRule="auto"/>
        <w:ind w:left="720" w:right="144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Although a more appropriate question might, perhaps, not have focused on the Police Inspector at all but rather on the broader policy implications of how the discretion to prosecute is exercised in relation to such offences, the Applicant’s comments also tapped into a wider longstanding public policy debate. Against a history of slavery and segregation and widely canvassed public concerns about the over-representation of African-Bermudian males in the criminal justice system, the impugned comments might be viewed as somewhat inelegantly inviting debate on whether the Applicant’s racial profile may have influenced the decision to prosecute him. The operative decision to exercise the discretion to prosecute was made by the Director of Public Prosecutions, not the Police Inspector. But even if the Applicant’s comments were unfair (as they appear to me to be) and the innuendo about the Inspector wholly wrong (as it appears based on the evidence before me to be), it is difficult to see how this would justify the first criminal defamation charge in Bermuda for almost 30 years. </w:t>
      </w:r>
    </w:p>
    <w:p w14:paraId="3E09075A" w14:textId="2E40E88B" w:rsidR="00AC04B1" w:rsidRPr="005913AB" w:rsidRDefault="00145259" w:rsidP="000B7A72">
      <w:pPr>
        <w:spacing w:line="276" w:lineRule="auto"/>
        <w:ind w:left="-270"/>
        <w:jc w:val="both"/>
        <w:rPr>
          <w:rFonts w:ascii="Times New Roman" w:hAnsi="Times New Roman" w:cs="Times New Roman"/>
          <w:sz w:val="24"/>
          <w:szCs w:val="24"/>
        </w:rPr>
      </w:pPr>
      <w:r w:rsidRPr="005913AB">
        <w:rPr>
          <w:rFonts w:ascii="Times New Roman" w:hAnsi="Times New Roman" w:cs="Times New Roman"/>
          <w:sz w:val="24"/>
          <w:szCs w:val="24"/>
        </w:rPr>
        <w:t>The court remarkably</w:t>
      </w:r>
      <w:r w:rsidR="00AC04B1" w:rsidRPr="005913AB">
        <w:rPr>
          <w:rFonts w:ascii="Times New Roman" w:hAnsi="Times New Roman" w:cs="Times New Roman"/>
          <w:sz w:val="24"/>
          <w:szCs w:val="24"/>
        </w:rPr>
        <w:t xml:space="preserve"> noted that in addressing the S</w:t>
      </w:r>
      <w:r w:rsidR="001F3AFA">
        <w:rPr>
          <w:rFonts w:ascii="Times New Roman" w:hAnsi="Times New Roman" w:cs="Times New Roman"/>
          <w:sz w:val="24"/>
          <w:szCs w:val="24"/>
        </w:rPr>
        <w:t>keletal</w:t>
      </w:r>
      <w:r w:rsidR="00AC04B1" w:rsidRPr="005913AB">
        <w:rPr>
          <w:rFonts w:ascii="Times New Roman" w:hAnsi="Times New Roman" w:cs="Times New Roman"/>
          <w:sz w:val="24"/>
          <w:szCs w:val="24"/>
        </w:rPr>
        <w:t xml:space="preserve"> Submissions of the Attorney General’s Chambers, it is submitted that the crucial issue is “</w:t>
      </w:r>
      <w:r w:rsidR="00AC04B1" w:rsidRPr="005913AB">
        <w:rPr>
          <w:rFonts w:ascii="Times New Roman" w:hAnsi="Times New Roman" w:cs="Times New Roman"/>
          <w:i/>
          <w:sz w:val="24"/>
          <w:szCs w:val="24"/>
        </w:rPr>
        <w:t>whether there has been a real threat to the Detective Inspector’s reputation by the alleged defamatory material</w:t>
      </w:r>
      <w:r w:rsidR="00AC04B1" w:rsidRPr="005913AB">
        <w:rPr>
          <w:rFonts w:ascii="Times New Roman" w:hAnsi="Times New Roman" w:cs="Times New Roman"/>
          <w:sz w:val="24"/>
          <w:szCs w:val="24"/>
        </w:rPr>
        <w:t xml:space="preserve">”. Merely establishing such a threat cannot suffice to justify criminal defamation proceedings within the reasonable requirements of section 9(2) of the Constitution. Indeed, as the European Court of Human Rights has pointed out in </w:t>
      </w:r>
      <w:bookmarkStart w:id="9" w:name="_Hlk27435066"/>
      <w:r w:rsidR="00AC04B1" w:rsidRPr="005913AB">
        <w:rPr>
          <w:rFonts w:ascii="Times New Roman" w:hAnsi="Times New Roman" w:cs="Times New Roman"/>
          <w:b/>
          <w:bCs/>
          <w:sz w:val="24"/>
          <w:szCs w:val="24"/>
        </w:rPr>
        <w:t>Gavrilovici-v-Moldova, Application 25264/05</w:t>
      </w:r>
      <w:bookmarkEnd w:id="9"/>
      <w:r w:rsidR="00AC04B1" w:rsidRPr="005913AB">
        <w:rPr>
          <w:rFonts w:ascii="Times New Roman" w:hAnsi="Times New Roman" w:cs="Times New Roman"/>
          <w:sz w:val="24"/>
          <w:szCs w:val="24"/>
        </w:rPr>
        <w:t xml:space="preserve">, the mere use of insulting terms which are often matters of opinion rather than assertions of fact are not necessarily defamatory. See also, </w:t>
      </w:r>
      <w:bookmarkStart w:id="10" w:name="_Hlk27435038"/>
      <w:r w:rsidR="00AC04B1" w:rsidRPr="005913AB">
        <w:rPr>
          <w:rFonts w:ascii="Times New Roman" w:hAnsi="Times New Roman" w:cs="Times New Roman"/>
          <w:b/>
          <w:bCs/>
          <w:sz w:val="24"/>
          <w:szCs w:val="24"/>
        </w:rPr>
        <w:t>Scharsach and News Verlagsgesellschaft v. Austria, no. 39394/98, § 43, ECHR 2003-XI). In Bodrožić v. Serbia (no. 32550/05, § 51, 23 June 2007)</w:t>
      </w:r>
      <w:bookmarkEnd w:id="10"/>
      <w:r w:rsidR="00AC04B1" w:rsidRPr="005913AB">
        <w:rPr>
          <w:rFonts w:ascii="Times New Roman" w:hAnsi="Times New Roman" w:cs="Times New Roman"/>
          <w:sz w:val="24"/>
          <w:szCs w:val="24"/>
        </w:rPr>
        <w:t xml:space="preserve">, the Court repeated its view that the generally offensive expressions ‘idiot’ and ‘fascist’ may be considered to be acceptable criticism in certain circumstances </w:t>
      </w:r>
      <w:bookmarkStart w:id="11" w:name="_Hlk27434880"/>
      <w:r w:rsidR="00AC04B1" w:rsidRPr="005913AB">
        <w:rPr>
          <w:rFonts w:ascii="Times New Roman" w:hAnsi="Times New Roman" w:cs="Times New Roman"/>
          <w:b/>
          <w:bCs/>
          <w:sz w:val="24"/>
          <w:szCs w:val="24"/>
        </w:rPr>
        <w:t>Bodrožić, cited above; Oberschlick v. Austria (no. 2), judgment of 1 July 1997, Reports of Judgments and Decisions 1997-IV; Feldek v. Slovakia, no. 29032/95, ECHR 2001-VIII)</w:t>
      </w:r>
      <w:r w:rsidR="00AC04B1" w:rsidRPr="005913AB">
        <w:rPr>
          <w:rFonts w:ascii="Times New Roman" w:hAnsi="Times New Roman" w:cs="Times New Roman"/>
          <w:sz w:val="24"/>
          <w:szCs w:val="24"/>
        </w:rPr>
        <w:t xml:space="preserve">. </w:t>
      </w:r>
    </w:p>
    <w:bookmarkEnd w:id="11"/>
    <w:p w14:paraId="7B6BE940" w14:textId="03AB3783" w:rsidR="00AC04B1" w:rsidRPr="005913AB" w:rsidRDefault="00ED0BCC" w:rsidP="000B7A72">
      <w:pPr>
        <w:spacing w:line="276" w:lineRule="auto"/>
        <w:ind w:left="-180"/>
        <w:jc w:val="both"/>
        <w:rPr>
          <w:rFonts w:ascii="Times New Roman" w:hAnsi="Times New Roman" w:cs="Times New Roman"/>
          <w:sz w:val="24"/>
          <w:szCs w:val="24"/>
        </w:rPr>
      </w:pPr>
      <w:r w:rsidRPr="005913AB">
        <w:rPr>
          <w:rFonts w:ascii="Times New Roman" w:hAnsi="Times New Roman" w:cs="Times New Roman"/>
          <w:sz w:val="24"/>
          <w:szCs w:val="24"/>
        </w:rPr>
        <w:t>The court explains the impact of the exist</w:t>
      </w:r>
      <w:r w:rsidR="005913AB">
        <w:rPr>
          <w:rFonts w:ascii="Times New Roman" w:hAnsi="Times New Roman" w:cs="Times New Roman"/>
          <w:sz w:val="24"/>
          <w:szCs w:val="24"/>
        </w:rPr>
        <w:t>ing law Section 214 of the Crim</w:t>
      </w:r>
      <w:r w:rsidRPr="005913AB">
        <w:rPr>
          <w:rFonts w:ascii="Times New Roman" w:hAnsi="Times New Roman" w:cs="Times New Roman"/>
          <w:sz w:val="24"/>
          <w:szCs w:val="24"/>
        </w:rPr>
        <w:t>inal Code to determine if it has an overriding power over the Section 9 of the Constitution as well as decoding the interpretation of Section line by examining Article 10 of ECHR from which the Section 9 was drawn from.</w:t>
      </w:r>
    </w:p>
    <w:p w14:paraId="75E0291E" w14:textId="77777777" w:rsidR="00AC04B1" w:rsidRPr="005913AB" w:rsidRDefault="00AC04B1" w:rsidP="000B7A72">
      <w:pPr>
        <w:spacing w:line="276" w:lineRule="auto"/>
        <w:ind w:left="900" w:right="90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“Article 10 </w:t>
      </w:r>
    </w:p>
    <w:p w14:paraId="33966141" w14:textId="77777777" w:rsidR="00AC04B1" w:rsidRPr="005913AB" w:rsidRDefault="00AC04B1" w:rsidP="000B7A72">
      <w:pPr>
        <w:spacing w:line="276" w:lineRule="auto"/>
        <w:ind w:left="900" w:right="90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1. Everyone has the right to freedom of expression. This right shall include freedom to hold opinions and to receive and impart information and ideas </w:t>
      </w:r>
      <w:r w:rsidRPr="005913AB">
        <w:rPr>
          <w:rFonts w:ascii="Times New Roman" w:hAnsi="Times New Roman" w:cs="Times New Roman"/>
          <w:i/>
          <w:iCs/>
          <w:sz w:val="24"/>
          <w:szCs w:val="24"/>
        </w:rPr>
        <w:lastRenderedPageBreak/>
        <w:t xml:space="preserve">without interference by public authority and regardless of frontiers. This article shall not prevent States from requiring the licensing of broadcasting, television or cinema enterprises.  </w:t>
      </w:r>
    </w:p>
    <w:p w14:paraId="31C57F51" w14:textId="37A10EF0" w:rsidR="00AC04B1" w:rsidRPr="005913AB" w:rsidRDefault="00AC04B1" w:rsidP="002608A1">
      <w:pPr>
        <w:spacing w:line="276" w:lineRule="auto"/>
        <w:ind w:left="900" w:right="900"/>
        <w:jc w:val="both"/>
        <w:rPr>
          <w:rFonts w:ascii="Times New Roman" w:hAnsi="Times New Roman" w:cs="Times New Roman"/>
          <w:i/>
          <w:iCs/>
          <w:sz w:val="24"/>
          <w:szCs w:val="24"/>
        </w:rPr>
      </w:pPr>
      <w:r w:rsidRPr="005913AB">
        <w:rPr>
          <w:rFonts w:ascii="Times New Roman" w:hAnsi="Times New Roman" w:cs="Times New Roman"/>
          <w:i/>
          <w:iCs/>
          <w:sz w:val="24"/>
          <w:szCs w:val="24"/>
        </w:rPr>
        <w:t xml:space="preserve">2.The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 </w:t>
      </w:r>
    </w:p>
    <w:p w14:paraId="23ABB74A" w14:textId="17C20455" w:rsidR="00AC04B1" w:rsidRPr="005913AB" w:rsidRDefault="00A73B6A" w:rsidP="000B7A72">
      <w:pPr>
        <w:spacing w:line="276" w:lineRule="auto"/>
        <w:ind w:left="-180"/>
        <w:jc w:val="both"/>
        <w:rPr>
          <w:rFonts w:ascii="Times New Roman" w:hAnsi="Times New Roman" w:cs="Times New Roman"/>
          <w:sz w:val="24"/>
          <w:szCs w:val="24"/>
        </w:rPr>
      </w:pPr>
      <w:r>
        <w:rPr>
          <w:rFonts w:ascii="Times New Roman" w:hAnsi="Times New Roman" w:cs="Times New Roman"/>
          <w:sz w:val="24"/>
          <w:szCs w:val="24"/>
        </w:rPr>
        <w:t>T</w:t>
      </w:r>
      <w:r w:rsidR="008C2C0E" w:rsidRPr="005913AB">
        <w:rPr>
          <w:rFonts w:ascii="Times New Roman" w:hAnsi="Times New Roman" w:cs="Times New Roman"/>
          <w:sz w:val="24"/>
          <w:szCs w:val="24"/>
        </w:rPr>
        <w:t xml:space="preserve">he court observed that </w:t>
      </w:r>
      <w:r w:rsidR="00AC04B1" w:rsidRPr="005913AB">
        <w:rPr>
          <w:rFonts w:ascii="Times New Roman" w:hAnsi="Times New Roman" w:cs="Times New Roman"/>
          <w:sz w:val="24"/>
          <w:szCs w:val="24"/>
        </w:rPr>
        <w:t xml:space="preserve">Section 214(1) on its face and read in its statutory context presently permits a charge of criminal defamation to be laid in respect of non-intentional (and even non-negligent) defamation in circumstances where the statement is not made on a protected occasion. The </w:t>
      </w:r>
      <w:r w:rsidR="00830A59">
        <w:rPr>
          <w:rFonts w:ascii="Times New Roman" w:hAnsi="Times New Roman" w:cs="Times New Roman"/>
          <w:sz w:val="24"/>
          <w:szCs w:val="24"/>
        </w:rPr>
        <w:t>court emphasized that the only mental element of the</w:t>
      </w:r>
      <w:r w:rsidR="00AC04B1" w:rsidRPr="005913AB">
        <w:rPr>
          <w:rFonts w:ascii="Times New Roman" w:hAnsi="Times New Roman" w:cs="Times New Roman"/>
          <w:sz w:val="24"/>
          <w:szCs w:val="24"/>
        </w:rPr>
        <w:t xml:space="preserve"> offence </w:t>
      </w:r>
      <w:r w:rsidR="00830A59">
        <w:rPr>
          <w:rFonts w:ascii="Times New Roman" w:hAnsi="Times New Roman" w:cs="Times New Roman"/>
          <w:sz w:val="24"/>
          <w:szCs w:val="24"/>
        </w:rPr>
        <w:t>as found in Section 214 of the Criminal Code</w:t>
      </w:r>
      <w:r w:rsidR="00AC04B1" w:rsidRPr="005913AB">
        <w:rPr>
          <w:rFonts w:ascii="Times New Roman" w:hAnsi="Times New Roman" w:cs="Times New Roman"/>
          <w:sz w:val="24"/>
          <w:szCs w:val="24"/>
        </w:rPr>
        <w:t xml:space="preserve"> </w:t>
      </w:r>
      <w:r w:rsidR="000C0E8C">
        <w:rPr>
          <w:rFonts w:ascii="Times New Roman" w:hAnsi="Times New Roman" w:cs="Times New Roman"/>
          <w:sz w:val="24"/>
          <w:szCs w:val="24"/>
        </w:rPr>
        <w:t>is that it</w:t>
      </w:r>
      <w:r w:rsidR="00830A59">
        <w:rPr>
          <w:rFonts w:ascii="Times New Roman" w:hAnsi="Times New Roman" w:cs="Times New Roman"/>
          <w:sz w:val="24"/>
          <w:szCs w:val="24"/>
        </w:rPr>
        <w:t xml:space="preserve"> </w:t>
      </w:r>
      <w:r w:rsidR="00EB5ABD">
        <w:rPr>
          <w:rFonts w:ascii="Times New Roman" w:hAnsi="Times New Roman" w:cs="Times New Roman"/>
          <w:sz w:val="24"/>
          <w:szCs w:val="24"/>
        </w:rPr>
        <w:t>has to be proved</w:t>
      </w:r>
      <w:r w:rsidR="00AC04B1" w:rsidRPr="005913AB">
        <w:rPr>
          <w:rFonts w:ascii="Times New Roman" w:hAnsi="Times New Roman" w:cs="Times New Roman"/>
          <w:sz w:val="24"/>
          <w:szCs w:val="24"/>
        </w:rPr>
        <w:t xml:space="preserve"> that the accused intended to p</w:t>
      </w:r>
      <w:r w:rsidR="00EB5ABD">
        <w:rPr>
          <w:rFonts w:ascii="Times New Roman" w:hAnsi="Times New Roman" w:cs="Times New Roman"/>
          <w:sz w:val="24"/>
          <w:szCs w:val="24"/>
        </w:rPr>
        <w:t xml:space="preserve">ublish the material in question. The court cited the decision in support of </w:t>
      </w:r>
      <w:r w:rsidR="00AC04B1" w:rsidRPr="005913AB">
        <w:rPr>
          <w:rFonts w:ascii="Times New Roman" w:hAnsi="Times New Roman" w:cs="Times New Roman"/>
          <w:sz w:val="24"/>
          <w:szCs w:val="24"/>
        </w:rPr>
        <w:t xml:space="preserve">the </w:t>
      </w:r>
      <w:r w:rsidR="000C0E8C">
        <w:rPr>
          <w:rFonts w:ascii="Times New Roman" w:hAnsi="Times New Roman" w:cs="Times New Roman"/>
          <w:sz w:val="24"/>
          <w:szCs w:val="24"/>
        </w:rPr>
        <w:t xml:space="preserve">view </w:t>
      </w:r>
      <w:r w:rsidR="001F3AFA">
        <w:rPr>
          <w:rFonts w:ascii="Times New Roman" w:hAnsi="Times New Roman" w:cs="Times New Roman"/>
          <w:sz w:val="24"/>
          <w:szCs w:val="24"/>
        </w:rPr>
        <w:t xml:space="preserve">in </w:t>
      </w:r>
      <w:r w:rsidR="000C0E8C">
        <w:rPr>
          <w:rFonts w:ascii="Times New Roman" w:hAnsi="Times New Roman" w:cs="Times New Roman"/>
          <w:sz w:val="24"/>
          <w:szCs w:val="24"/>
        </w:rPr>
        <w:t xml:space="preserve">the </w:t>
      </w:r>
      <w:r w:rsidR="00AC04B1" w:rsidRPr="005913AB">
        <w:rPr>
          <w:rFonts w:ascii="Times New Roman" w:hAnsi="Times New Roman" w:cs="Times New Roman"/>
          <w:sz w:val="24"/>
          <w:szCs w:val="24"/>
        </w:rPr>
        <w:t xml:space="preserve">Tongan Court of Appeal (Burchett, Salmon and Moore JJ) decision </w:t>
      </w:r>
      <w:r w:rsidR="00AC04B1" w:rsidRPr="005913AB">
        <w:rPr>
          <w:rFonts w:ascii="Times New Roman" w:hAnsi="Times New Roman" w:cs="Times New Roman"/>
          <w:b/>
          <w:bCs/>
          <w:sz w:val="24"/>
          <w:szCs w:val="24"/>
        </w:rPr>
        <w:t xml:space="preserve">in </w:t>
      </w:r>
      <w:bookmarkStart w:id="12" w:name="_Hlk27434713"/>
      <w:r w:rsidR="00AC04B1" w:rsidRPr="005913AB">
        <w:rPr>
          <w:rFonts w:ascii="Times New Roman" w:hAnsi="Times New Roman" w:cs="Times New Roman"/>
          <w:b/>
          <w:bCs/>
          <w:sz w:val="24"/>
          <w:szCs w:val="24"/>
        </w:rPr>
        <w:t>R-v-Pohiva [2010] 1 LRC 763 at paragraphs [12]-[13]. 70</w:t>
      </w:r>
      <w:bookmarkEnd w:id="12"/>
      <w:r w:rsidR="00EB5ABD">
        <w:rPr>
          <w:rFonts w:ascii="Times New Roman" w:hAnsi="Times New Roman" w:cs="Times New Roman"/>
          <w:b/>
          <w:bCs/>
          <w:sz w:val="24"/>
          <w:szCs w:val="24"/>
        </w:rPr>
        <w:t xml:space="preserve"> in </w:t>
      </w:r>
      <w:r w:rsidR="00AC04B1" w:rsidRPr="005913AB">
        <w:rPr>
          <w:rFonts w:ascii="Times New Roman" w:hAnsi="Times New Roman" w:cs="Times New Roman"/>
          <w:b/>
          <w:bCs/>
          <w:sz w:val="24"/>
          <w:szCs w:val="24"/>
        </w:rPr>
        <w:t>.</w:t>
      </w:r>
      <w:r w:rsidR="00AC04B1" w:rsidRPr="005913AB">
        <w:rPr>
          <w:rFonts w:ascii="Times New Roman" w:hAnsi="Times New Roman" w:cs="Times New Roman"/>
          <w:sz w:val="24"/>
          <w:szCs w:val="24"/>
        </w:rPr>
        <w:t xml:space="preserve"> In such cases the Crown need not prove aggravating elements such as ill-will or an absence of good faith (including an intention to defame).  Moreover, the narrow scope of the criminal defence of justification under section 212 of the Code would mean that a person could potentially be charged in circumstances where the defamatory statement was true but not made for the public benefit.  </w:t>
      </w:r>
    </w:p>
    <w:p w14:paraId="01398A05" w14:textId="31CE8FEE" w:rsidR="00AC04B1" w:rsidRPr="005913AB" w:rsidRDefault="00AC04B1" w:rsidP="00B00917">
      <w:pPr>
        <w:spacing w:line="276" w:lineRule="auto"/>
        <w:ind w:left="-180"/>
        <w:jc w:val="both"/>
        <w:rPr>
          <w:rFonts w:ascii="Times New Roman" w:hAnsi="Times New Roman" w:cs="Times New Roman"/>
          <w:sz w:val="24"/>
          <w:szCs w:val="24"/>
        </w:rPr>
      </w:pPr>
      <w:r w:rsidRPr="005913AB">
        <w:rPr>
          <w:rFonts w:ascii="Times New Roman" w:hAnsi="Times New Roman" w:cs="Times New Roman"/>
          <w:sz w:val="24"/>
          <w:szCs w:val="24"/>
        </w:rPr>
        <w:t xml:space="preserve">The </w:t>
      </w:r>
      <w:r w:rsidR="00B00917">
        <w:rPr>
          <w:rFonts w:ascii="Times New Roman" w:hAnsi="Times New Roman" w:cs="Times New Roman"/>
          <w:sz w:val="24"/>
          <w:szCs w:val="24"/>
        </w:rPr>
        <w:t xml:space="preserve">court noted that the </w:t>
      </w:r>
      <w:r w:rsidRPr="005913AB">
        <w:rPr>
          <w:rFonts w:ascii="Times New Roman" w:hAnsi="Times New Roman" w:cs="Times New Roman"/>
          <w:sz w:val="24"/>
          <w:szCs w:val="24"/>
        </w:rPr>
        <w:t xml:space="preserve">only apparent justification for section 214 is “protecting the…reputations…of other persons”. This Court is bound to approach the question of whether the provisions of section 214(1) of the Criminal Code impermissibly interfere with freedom of expression applying the following test applied by the Judicial Committee of the Privy Council in </w:t>
      </w:r>
      <w:bookmarkStart w:id="13" w:name="_Hlk27434608"/>
      <w:r w:rsidRPr="005913AB">
        <w:rPr>
          <w:rFonts w:ascii="Times New Roman" w:hAnsi="Times New Roman" w:cs="Times New Roman"/>
          <w:b/>
          <w:bCs/>
          <w:sz w:val="24"/>
          <w:szCs w:val="24"/>
        </w:rPr>
        <w:t>Worme and another-v-The Commissioner of Police [2004] UKPC 8</w:t>
      </w:r>
      <w:bookmarkStart w:id="14" w:name="_Hlk27434586"/>
      <w:bookmarkEnd w:id="13"/>
      <w:r w:rsidR="00B00917">
        <w:rPr>
          <w:rFonts w:ascii="Times New Roman" w:hAnsi="Times New Roman" w:cs="Times New Roman"/>
          <w:sz w:val="24"/>
          <w:szCs w:val="24"/>
        </w:rPr>
        <w:t>. The court considered the test of “proportionality” of the provision of Section 214 (I) of the Criminal Code as a restriction on Freedom of Expression where just the decision in</w:t>
      </w:r>
      <w:r w:rsidRPr="005913AB">
        <w:rPr>
          <w:rFonts w:ascii="Times New Roman" w:hAnsi="Times New Roman" w:cs="Times New Roman"/>
          <w:sz w:val="24"/>
          <w:szCs w:val="24"/>
        </w:rPr>
        <w:t xml:space="preserve"> </w:t>
      </w:r>
      <w:r w:rsidRPr="005913AB">
        <w:rPr>
          <w:rFonts w:ascii="Times New Roman" w:hAnsi="Times New Roman" w:cs="Times New Roman"/>
          <w:b/>
          <w:bCs/>
          <w:sz w:val="24"/>
          <w:szCs w:val="24"/>
        </w:rPr>
        <w:t>de Freitas v Ministry of Agriculture, Fisheries, Lands and Housing [1999] 1 AC 69, 80</w:t>
      </w:r>
      <w:bookmarkEnd w:id="14"/>
      <w:r w:rsidRPr="005913AB">
        <w:rPr>
          <w:rFonts w:ascii="Times New Roman" w:hAnsi="Times New Roman" w:cs="Times New Roman"/>
          <w:sz w:val="24"/>
          <w:szCs w:val="24"/>
        </w:rPr>
        <w:t xml:space="preserve"> adopted the analysis of </w:t>
      </w:r>
      <w:bookmarkStart w:id="15" w:name="_Hlk27434554"/>
      <w:r w:rsidRPr="005913AB">
        <w:rPr>
          <w:rFonts w:ascii="Times New Roman" w:hAnsi="Times New Roman" w:cs="Times New Roman"/>
          <w:b/>
          <w:bCs/>
          <w:sz w:val="24"/>
          <w:szCs w:val="24"/>
        </w:rPr>
        <w:t>Gubbay CJ in Nyambirai v National Social Security Authority [1996] 1 LRC 64, 75</w:t>
      </w:r>
      <w:r w:rsidRPr="005913AB">
        <w:rPr>
          <w:rFonts w:ascii="Times New Roman" w:hAnsi="Times New Roman" w:cs="Times New Roman"/>
          <w:sz w:val="24"/>
          <w:szCs w:val="24"/>
        </w:rPr>
        <w:t xml:space="preserve"> </w:t>
      </w:r>
      <w:bookmarkEnd w:id="15"/>
      <w:r w:rsidRPr="005913AB">
        <w:rPr>
          <w:rFonts w:ascii="Times New Roman" w:hAnsi="Times New Roman" w:cs="Times New Roman"/>
          <w:sz w:val="24"/>
          <w:szCs w:val="24"/>
        </w:rPr>
        <w:t xml:space="preserve">for determining whether a limitation on freedom of expression is arbitrary or excessive: ‘whether: (i) the legislative objective is sufficiently important to justify limiting a fundamental right; (ii) the measures designed to meet the legislative objective are rationally connected to it; and (iii) the means used to impair the right or freedom are no more than is necessary to accomplish the objective.’” </w:t>
      </w:r>
    </w:p>
    <w:p w14:paraId="5786341D" w14:textId="50708EF3" w:rsidR="00AC04B1" w:rsidRPr="001F3AFA" w:rsidRDefault="00AC04B1" w:rsidP="001F3AFA">
      <w:pPr>
        <w:spacing w:line="276" w:lineRule="auto"/>
        <w:ind w:left="-180"/>
        <w:jc w:val="both"/>
        <w:rPr>
          <w:rFonts w:ascii="Times New Roman" w:hAnsi="Times New Roman" w:cs="Times New Roman"/>
          <w:sz w:val="24"/>
          <w:szCs w:val="24"/>
        </w:rPr>
      </w:pPr>
      <w:r w:rsidRPr="005913AB">
        <w:rPr>
          <w:rFonts w:ascii="Times New Roman" w:hAnsi="Times New Roman" w:cs="Times New Roman"/>
          <w:sz w:val="24"/>
          <w:szCs w:val="24"/>
        </w:rPr>
        <w:t xml:space="preserve">Delivering his </w:t>
      </w:r>
      <w:r w:rsidR="00E079B0" w:rsidRPr="005913AB">
        <w:rPr>
          <w:rFonts w:ascii="Times New Roman" w:hAnsi="Times New Roman" w:cs="Times New Roman"/>
          <w:sz w:val="24"/>
          <w:szCs w:val="24"/>
        </w:rPr>
        <w:t>judgment</w:t>
      </w:r>
      <w:r w:rsidRPr="005913AB">
        <w:rPr>
          <w:rFonts w:ascii="Times New Roman" w:hAnsi="Times New Roman" w:cs="Times New Roman"/>
          <w:sz w:val="24"/>
          <w:szCs w:val="24"/>
        </w:rPr>
        <w:t>, Kawaley J</w:t>
      </w:r>
      <w:r w:rsidRPr="001F3AFA">
        <w:rPr>
          <w:rFonts w:ascii="Times New Roman" w:hAnsi="Times New Roman" w:cs="Times New Roman"/>
          <w:sz w:val="24"/>
          <w:szCs w:val="24"/>
        </w:rPr>
        <w:t xml:space="preserve"> </w:t>
      </w:r>
      <w:r w:rsidR="001F3AFA" w:rsidRPr="001F3AFA">
        <w:rPr>
          <w:rFonts w:ascii="Times New Roman" w:hAnsi="Times New Roman" w:cs="Times New Roman"/>
          <w:iCs/>
          <w:sz w:val="24"/>
          <w:szCs w:val="24"/>
        </w:rPr>
        <w:t xml:space="preserve">clearly expressed the emphatic opinion of the court that  </w:t>
      </w:r>
      <w:r w:rsidRPr="001F3AFA">
        <w:rPr>
          <w:rFonts w:ascii="Times New Roman" w:hAnsi="Times New Roman" w:cs="Times New Roman"/>
          <w:iCs/>
          <w:sz w:val="24"/>
          <w:szCs w:val="24"/>
        </w:rPr>
        <w:t xml:space="preserve">criminalizing defamatory expression which is so trivial that it encompasses </w:t>
      </w:r>
      <w:r w:rsidR="001F3AFA">
        <w:rPr>
          <w:rFonts w:ascii="Times New Roman" w:hAnsi="Times New Roman" w:cs="Times New Roman"/>
          <w:iCs/>
          <w:sz w:val="24"/>
          <w:szCs w:val="24"/>
        </w:rPr>
        <w:t xml:space="preserve">only </w:t>
      </w:r>
      <w:r w:rsidRPr="001F3AFA">
        <w:rPr>
          <w:rFonts w:ascii="Times New Roman" w:hAnsi="Times New Roman" w:cs="Times New Roman"/>
          <w:iCs/>
          <w:sz w:val="24"/>
          <w:szCs w:val="24"/>
        </w:rPr>
        <w:t xml:space="preserve">(a) statements not intended to injure and/or not known to be false, and (b) conduct so lacking in severity that it can </w:t>
      </w:r>
      <w:r w:rsidRPr="001F3AFA">
        <w:rPr>
          <w:rFonts w:ascii="Times New Roman" w:hAnsi="Times New Roman" w:cs="Times New Roman"/>
          <w:iCs/>
          <w:sz w:val="24"/>
          <w:szCs w:val="24"/>
        </w:rPr>
        <w:lastRenderedPageBreak/>
        <w:t xml:space="preserve">only be tried summarily, goes beyond </w:t>
      </w:r>
      <w:r w:rsidR="00D86310">
        <w:rPr>
          <w:rFonts w:ascii="Times New Roman" w:hAnsi="Times New Roman" w:cs="Times New Roman"/>
          <w:iCs/>
          <w:sz w:val="24"/>
          <w:szCs w:val="24"/>
        </w:rPr>
        <w:t xml:space="preserve">the confines of </w:t>
      </w:r>
      <w:r w:rsidRPr="001F3AFA">
        <w:rPr>
          <w:rFonts w:ascii="Times New Roman" w:hAnsi="Times New Roman" w:cs="Times New Roman"/>
          <w:iCs/>
          <w:sz w:val="24"/>
          <w:szCs w:val="24"/>
        </w:rPr>
        <w:t>what is reasonably required to prevent reputational damage to individual citizens and/or public officials, bearing in mind the existence of alternative civil relief.</w:t>
      </w:r>
      <w:r w:rsidRPr="00D86310">
        <w:rPr>
          <w:rFonts w:ascii="Times New Roman" w:hAnsi="Times New Roman" w:cs="Times New Roman"/>
          <w:iCs/>
          <w:sz w:val="24"/>
          <w:szCs w:val="24"/>
        </w:rPr>
        <w:t xml:space="preserve"> </w:t>
      </w:r>
      <w:r w:rsidR="00D86310" w:rsidRPr="00D86310">
        <w:rPr>
          <w:rFonts w:ascii="Times New Roman" w:hAnsi="Times New Roman" w:cs="Times New Roman"/>
          <w:iCs/>
          <w:sz w:val="24"/>
          <w:szCs w:val="24"/>
        </w:rPr>
        <w:t>Judge Kawaley notably observed that n</w:t>
      </w:r>
      <w:r w:rsidRPr="00D86310">
        <w:rPr>
          <w:rFonts w:ascii="Times New Roman" w:hAnsi="Times New Roman" w:cs="Times New Roman"/>
          <w:iCs/>
          <w:sz w:val="24"/>
          <w:szCs w:val="24"/>
        </w:rPr>
        <w:t>either the Respondent nor the A</w:t>
      </w:r>
      <w:r w:rsidR="00D86310" w:rsidRPr="00D86310">
        <w:rPr>
          <w:rFonts w:ascii="Times New Roman" w:hAnsi="Times New Roman" w:cs="Times New Roman"/>
          <w:iCs/>
          <w:sz w:val="24"/>
          <w:szCs w:val="24"/>
        </w:rPr>
        <w:t xml:space="preserve">ttorney-General </w:t>
      </w:r>
      <w:r w:rsidRPr="00D86310">
        <w:rPr>
          <w:rFonts w:ascii="Times New Roman" w:hAnsi="Times New Roman" w:cs="Times New Roman"/>
          <w:iCs/>
          <w:sz w:val="24"/>
          <w:szCs w:val="24"/>
        </w:rPr>
        <w:t>advanced any convincing case for section 214(1) to be given such an extensive reach in terms of restricting the freedom of expression rights guaranteed by section 9(1) of the Constitution</w:t>
      </w:r>
      <w:r w:rsidR="00D86310" w:rsidRPr="00D86310">
        <w:rPr>
          <w:rFonts w:ascii="Times New Roman" w:hAnsi="Times New Roman" w:cs="Times New Roman"/>
          <w:iCs/>
          <w:sz w:val="24"/>
          <w:szCs w:val="24"/>
        </w:rPr>
        <w:t xml:space="preserve"> in their briefs and the hearing of the case</w:t>
      </w:r>
      <w:r w:rsidRPr="00D86310">
        <w:rPr>
          <w:rFonts w:ascii="Times New Roman" w:hAnsi="Times New Roman" w:cs="Times New Roman"/>
          <w:iCs/>
          <w:sz w:val="24"/>
          <w:szCs w:val="24"/>
        </w:rPr>
        <w:t>.</w:t>
      </w:r>
      <w:r w:rsidRPr="005913AB">
        <w:rPr>
          <w:rFonts w:ascii="Times New Roman" w:hAnsi="Times New Roman" w:cs="Times New Roman"/>
          <w:i/>
          <w:iCs/>
          <w:sz w:val="24"/>
          <w:szCs w:val="24"/>
        </w:rPr>
        <w:t xml:space="preserve"> </w:t>
      </w:r>
      <w:r w:rsidR="00D86310" w:rsidRPr="00D86310">
        <w:rPr>
          <w:rFonts w:ascii="Times New Roman" w:hAnsi="Times New Roman" w:cs="Times New Roman"/>
          <w:iCs/>
          <w:sz w:val="24"/>
          <w:szCs w:val="24"/>
        </w:rPr>
        <w:t>To the mind of the court as expressed by Judge Kawaley</w:t>
      </w:r>
      <w:r w:rsidR="00D86310">
        <w:rPr>
          <w:rFonts w:ascii="Times New Roman" w:hAnsi="Times New Roman" w:cs="Times New Roman"/>
          <w:i/>
          <w:iCs/>
          <w:sz w:val="24"/>
          <w:szCs w:val="24"/>
        </w:rPr>
        <w:t xml:space="preserve"> “t</w:t>
      </w:r>
      <w:r w:rsidRPr="005913AB">
        <w:rPr>
          <w:rFonts w:ascii="Times New Roman" w:hAnsi="Times New Roman" w:cs="Times New Roman"/>
          <w:i/>
          <w:iCs/>
          <w:sz w:val="24"/>
          <w:szCs w:val="24"/>
        </w:rPr>
        <w:t>he scope of impairment of free speech is aggravated by the fact that truth, in the absence of a public interest in publication, is not a defence to a criminal defamation charge as it is in the context of a civil defamation claim. Moreover, either party to a civil defamation suit has the right under Order 33 rule 2 to apply for trial by jury. If the Prosecution (or a private prosecutor) elects to lay a charge under section 214(1) of the Criminal Code,</w:t>
      </w:r>
      <w:r w:rsidR="00D86310">
        <w:rPr>
          <w:rFonts w:ascii="Times New Roman" w:hAnsi="Times New Roman" w:cs="Times New Roman"/>
          <w:i/>
          <w:iCs/>
          <w:sz w:val="24"/>
          <w:szCs w:val="24"/>
        </w:rPr>
        <w:t xml:space="preserve"> it can only be tried summarily”</w:t>
      </w:r>
      <w:r w:rsidRPr="005913AB">
        <w:rPr>
          <w:rFonts w:ascii="Times New Roman" w:hAnsi="Times New Roman" w:cs="Times New Roman"/>
          <w:i/>
          <w:iCs/>
          <w:sz w:val="24"/>
          <w:szCs w:val="24"/>
        </w:rPr>
        <w:t xml:space="preserve"> </w:t>
      </w:r>
      <w:r w:rsidR="00D86310">
        <w:rPr>
          <w:rFonts w:ascii="Times New Roman" w:hAnsi="Times New Roman" w:cs="Times New Roman"/>
          <w:iCs/>
          <w:sz w:val="24"/>
          <w:szCs w:val="24"/>
        </w:rPr>
        <w:t xml:space="preserve">Noting that the provision of Section 9 of the Bermuda Constitution was drawn from provision of Article 10 of ECHR </w:t>
      </w:r>
      <w:r w:rsidR="00A73B6A">
        <w:rPr>
          <w:rFonts w:ascii="Times New Roman" w:hAnsi="Times New Roman" w:cs="Times New Roman"/>
          <w:iCs/>
          <w:sz w:val="24"/>
          <w:szCs w:val="24"/>
        </w:rPr>
        <w:t xml:space="preserve">the court found it apt to cite with approval the observations of Lord Diplock </w:t>
      </w:r>
      <w:r w:rsidRPr="005913AB">
        <w:rPr>
          <w:rFonts w:ascii="Times New Roman" w:hAnsi="Times New Roman" w:cs="Times New Roman"/>
          <w:i/>
          <w:iCs/>
          <w:sz w:val="24"/>
          <w:szCs w:val="24"/>
        </w:rPr>
        <w:t xml:space="preserve">in </w:t>
      </w:r>
      <w:bookmarkStart w:id="16" w:name="_Hlk27434529"/>
      <w:r w:rsidRPr="005913AB">
        <w:rPr>
          <w:rFonts w:ascii="Times New Roman" w:hAnsi="Times New Roman" w:cs="Times New Roman"/>
          <w:b/>
          <w:bCs/>
          <w:i/>
          <w:iCs/>
          <w:sz w:val="24"/>
          <w:szCs w:val="24"/>
        </w:rPr>
        <w:t>Gleaves –v-Deakin et al [1980] 1 A.C. 477</w:t>
      </w:r>
      <w:r w:rsidRPr="005913AB">
        <w:rPr>
          <w:rFonts w:ascii="Times New Roman" w:hAnsi="Times New Roman" w:cs="Times New Roman"/>
          <w:i/>
          <w:iCs/>
          <w:sz w:val="24"/>
          <w:szCs w:val="24"/>
        </w:rPr>
        <w:t xml:space="preserve"> </w:t>
      </w:r>
      <w:r w:rsidRPr="005913AB">
        <w:rPr>
          <w:rFonts w:ascii="Times New Roman" w:hAnsi="Times New Roman" w:cs="Times New Roman"/>
          <w:b/>
          <w:bCs/>
          <w:i/>
          <w:iCs/>
          <w:sz w:val="24"/>
          <w:szCs w:val="24"/>
        </w:rPr>
        <w:t>at 483F</w:t>
      </w:r>
      <w:r w:rsidRPr="00A73B6A">
        <w:rPr>
          <w:rFonts w:ascii="Times New Roman" w:hAnsi="Times New Roman" w:cs="Times New Roman"/>
          <w:iCs/>
          <w:sz w:val="24"/>
          <w:szCs w:val="24"/>
        </w:rPr>
        <w:t xml:space="preserve"> </w:t>
      </w:r>
      <w:bookmarkEnd w:id="16"/>
      <w:r w:rsidRPr="00A73B6A">
        <w:rPr>
          <w:rFonts w:ascii="Times New Roman" w:hAnsi="Times New Roman" w:cs="Times New Roman"/>
          <w:iCs/>
          <w:sz w:val="24"/>
          <w:szCs w:val="24"/>
        </w:rPr>
        <w:t>that the equivalent English position was inconsistent with article 10 of ECHR are correct, this constitutes a further way in which section 214(1) on its face impermissibly restrains freedom of expression under Bermudian law</w:t>
      </w:r>
      <w:r w:rsidR="00A73B6A">
        <w:rPr>
          <w:rFonts w:ascii="Times New Roman" w:hAnsi="Times New Roman" w:cs="Times New Roman"/>
          <w:iCs/>
          <w:sz w:val="24"/>
          <w:szCs w:val="24"/>
        </w:rPr>
        <w:t xml:space="preserve"> that</w:t>
      </w:r>
      <w:r w:rsidRPr="00A73B6A">
        <w:rPr>
          <w:rFonts w:ascii="Times New Roman" w:hAnsi="Times New Roman" w:cs="Times New Roman"/>
          <w:iCs/>
          <w:sz w:val="24"/>
          <w:szCs w:val="24"/>
        </w:rPr>
        <w:t>.</w:t>
      </w:r>
      <w:r w:rsidRPr="005913AB">
        <w:rPr>
          <w:rFonts w:ascii="Times New Roman" w:hAnsi="Times New Roman" w:cs="Times New Roman"/>
          <w:i/>
          <w:iCs/>
          <w:sz w:val="24"/>
          <w:szCs w:val="24"/>
        </w:rPr>
        <w:t xml:space="preserve">   </w:t>
      </w:r>
    </w:p>
    <w:p w14:paraId="17A455C6" w14:textId="72DC7E73" w:rsidR="00AC04B1" w:rsidRPr="00A73B6A" w:rsidRDefault="00AC04B1" w:rsidP="000B7A72">
      <w:pPr>
        <w:spacing w:line="276" w:lineRule="auto"/>
        <w:ind w:left="720" w:right="990"/>
        <w:jc w:val="both"/>
        <w:rPr>
          <w:rFonts w:ascii="Times New Roman" w:hAnsi="Times New Roman" w:cs="Times New Roman"/>
          <w:iCs/>
          <w:sz w:val="24"/>
          <w:szCs w:val="24"/>
        </w:rPr>
      </w:pPr>
      <w:r w:rsidRPr="005913AB">
        <w:rPr>
          <w:rFonts w:ascii="Times New Roman" w:hAnsi="Times New Roman" w:cs="Times New Roman"/>
          <w:i/>
          <w:iCs/>
          <w:sz w:val="24"/>
          <w:szCs w:val="24"/>
        </w:rPr>
        <w:t>“The examination of the legal characteristics of the criminal offence of defamatory libel as it survives today, which has been rendered necessary in order to dispose of this appeal, has left me with the conviction that this particular offence has retained anomalies which involve serious departures from accepted principles upon which the modern law of England is based and are difficult to reconcile with international obligations  which this country has undertaken by becoming a party to the European Convention on Human Rights and Fundamental Freedoms (1953)…”</w:t>
      </w:r>
      <w:r w:rsidRPr="00A73B6A">
        <w:rPr>
          <w:rFonts w:ascii="Times New Roman" w:hAnsi="Times New Roman" w:cs="Times New Roman"/>
          <w:iCs/>
          <w:sz w:val="24"/>
          <w:szCs w:val="24"/>
        </w:rPr>
        <w:t xml:space="preserve"> </w:t>
      </w:r>
    </w:p>
    <w:p w14:paraId="31E55A7C" w14:textId="77777777" w:rsidR="00373104" w:rsidRPr="00373104" w:rsidRDefault="00A73B6A" w:rsidP="001F3AFA">
      <w:pPr>
        <w:spacing w:line="276" w:lineRule="auto"/>
        <w:ind w:right="900"/>
        <w:jc w:val="both"/>
        <w:rPr>
          <w:rFonts w:ascii="Times New Roman" w:hAnsi="Times New Roman" w:cs="Times New Roman"/>
          <w:iCs/>
          <w:sz w:val="24"/>
          <w:szCs w:val="24"/>
        </w:rPr>
      </w:pPr>
      <w:r w:rsidRPr="00A73B6A">
        <w:rPr>
          <w:rFonts w:ascii="Times New Roman" w:hAnsi="Times New Roman" w:cs="Times New Roman"/>
          <w:iCs/>
          <w:sz w:val="24"/>
          <w:szCs w:val="24"/>
        </w:rPr>
        <w:t>Consequently the Supreme Court believed that</w:t>
      </w:r>
      <w:r w:rsidR="00AC04B1" w:rsidRPr="00A73B6A">
        <w:rPr>
          <w:rFonts w:ascii="Times New Roman" w:hAnsi="Times New Roman" w:cs="Times New Roman"/>
          <w:iCs/>
          <w:sz w:val="24"/>
          <w:szCs w:val="24"/>
        </w:rPr>
        <w:t>, section 214(1) is inconsistent with section 9(2) of the Constitution and unreasonably interferes with the freedom of expression rights protected by section 9(1) in the following three key respects.</w:t>
      </w:r>
      <w:r w:rsidR="00AC04B1" w:rsidRPr="005913AB">
        <w:rPr>
          <w:rFonts w:ascii="Times New Roman" w:hAnsi="Times New Roman" w:cs="Times New Roman"/>
          <w:i/>
          <w:iCs/>
          <w:sz w:val="24"/>
          <w:szCs w:val="24"/>
        </w:rPr>
        <w:t xml:space="preserve"> </w:t>
      </w:r>
      <w:r w:rsidR="00AC04B1" w:rsidRPr="005913AB">
        <w:rPr>
          <w:rFonts w:ascii="Times New Roman" w:hAnsi="Times New Roman" w:cs="Times New Roman"/>
          <w:b/>
          <w:bCs/>
          <w:i/>
          <w:iCs/>
          <w:sz w:val="24"/>
          <w:szCs w:val="24"/>
        </w:rPr>
        <w:t>Firstly, it permits prosecutions for defamation sufficiently trivial to warrant categorization as a summary offence. Secondly, it permits prosecutions for non-intentional defamation. Thirdly, there is no adequate mechanism to ensure that private prosecutions are only commenced in circumstances which appear to the public prosecuting authorities to be reasonably required within section 9(2).</w:t>
      </w:r>
      <w:r w:rsidR="00AC04B1" w:rsidRPr="005913AB">
        <w:rPr>
          <w:rFonts w:ascii="Times New Roman" w:hAnsi="Times New Roman" w:cs="Times New Roman"/>
          <w:i/>
          <w:iCs/>
          <w:sz w:val="24"/>
          <w:szCs w:val="24"/>
        </w:rPr>
        <w:t xml:space="preserve"> </w:t>
      </w:r>
    </w:p>
    <w:p w14:paraId="167B4C8C" w14:textId="4DF78103" w:rsidR="00AC04B1" w:rsidRPr="005913AB" w:rsidRDefault="00373104" w:rsidP="001F3AFA">
      <w:pPr>
        <w:spacing w:line="276" w:lineRule="auto"/>
        <w:ind w:right="900"/>
        <w:jc w:val="both"/>
        <w:rPr>
          <w:rFonts w:ascii="Times New Roman" w:hAnsi="Times New Roman" w:cs="Times New Roman"/>
          <w:i/>
          <w:iCs/>
          <w:sz w:val="24"/>
          <w:szCs w:val="24"/>
        </w:rPr>
      </w:pPr>
      <w:r w:rsidRPr="00373104">
        <w:rPr>
          <w:rFonts w:ascii="Times New Roman" w:hAnsi="Times New Roman" w:cs="Times New Roman"/>
          <w:iCs/>
          <w:sz w:val="24"/>
          <w:szCs w:val="24"/>
        </w:rPr>
        <w:t xml:space="preserve">Beyond this finding, the apex court considered the need to bring Section 214 (I) of the Criminal Code </w:t>
      </w:r>
      <w:r w:rsidR="00AC04B1" w:rsidRPr="00373104">
        <w:rPr>
          <w:rFonts w:ascii="Times New Roman" w:hAnsi="Times New Roman" w:cs="Times New Roman"/>
          <w:iCs/>
          <w:sz w:val="24"/>
          <w:szCs w:val="24"/>
        </w:rPr>
        <w:t>conformity with the Constitution, as required by section 5(1) of the Bermuda Constitution Order, which (it bears repeating), provides as follows:</w:t>
      </w:r>
      <w:r w:rsidR="00AC04B1" w:rsidRPr="005913AB">
        <w:rPr>
          <w:rFonts w:ascii="Times New Roman" w:hAnsi="Times New Roman" w:cs="Times New Roman"/>
          <w:i/>
          <w:iCs/>
          <w:sz w:val="24"/>
          <w:szCs w:val="24"/>
        </w:rPr>
        <w:t xml:space="preserve"> </w:t>
      </w:r>
    </w:p>
    <w:p w14:paraId="13345281" w14:textId="77777777" w:rsidR="00AC04B1" w:rsidRPr="002608A1" w:rsidRDefault="00AC04B1" w:rsidP="000B7A72">
      <w:pPr>
        <w:spacing w:line="276" w:lineRule="auto"/>
        <w:ind w:left="720" w:right="900"/>
        <w:jc w:val="both"/>
        <w:rPr>
          <w:rFonts w:ascii="Times New Roman" w:hAnsi="Times New Roman" w:cs="Times New Roman"/>
          <w:iCs/>
          <w:sz w:val="24"/>
          <w:szCs w:val="24"/>
        </w:rPr>
      </w:pPr>
      <w:r w:rsidRPr="005913AB">
        <w:rPr>
          <w:rFonts w:ascii="Times New Roman" w:hAnsi="Times New Roman" w:cs="Times New Roman"/>
          <w:i/>
          <w:iCs/>
          <w:sz w:val="24"/>
          <w:szCs w:val="24"/>
        </w:rPr>
        <w:t xml:space="preserve">“5 (1) Subject to the provisions of this section, the existing laws shall have effect on and after the appointed day [2 June 1968] as if they had been made in pursuance of the Constitution and shall be read and construed with such </w:t>
      </w:r>
      <w:r w:rsidRPr="005913AB">
        <w:rPr>
          <w:rFonts w:ascii="Times New Roman" w:hAnsi="Times New Roman" w:cs="Times New Roman"/>
          <w:i/>
          <w:iCs/>
          <w:sz w:val="24"/>
          <w:szCs w:val="24"/>
        </w:rPr>
        <w:lastRenderedPageBreak/>
        <w:t xml:space="preserve">modifications, adaptations, qualifications and exceptions as may be necessary to bring them into conformity with the Constitution.” </w:t>
      </w:r>
    </w:p>
    <w:p w14:paraId="7A509806" w14:textId="6E2505DE" w:rsidR="002608A1" w:rsidRDefault="00373104" w:rsidP="001F3AFA">
      <w:pPr>
        <w:spacing w:line="276" w:lineRule="auto"/>
        <w:ind w:right="900"/>
        <w:jc w:val="both"/>
        <w:rPr>
          <w:rFonts w:ascii="Times New Roman" w:hAnsi="Times New Roman" w:cs="Times New Roman"/>
          <w:iCs/>
          <w:sz w:val="24"/>
          <w:szCs w:val="24"/>
        </w:rPr>
      </w:pPr>
      <w:r w:rsidRPr="002608A1">
        <w:rPr>
          <w:rFonts w:ascii="Times New Roman" w:hAnsi="Times New Roman" w:cs="Times New Roman"/>
          <w:iCs/>
          <w:sz w:val="24"/>
          <w:szCs w:val="24"/>
        </w:rPr>
        <w:t>The Supreme Court admirably expressed its view on what should be the appropriate wording of Section 214 (I) to be an “existing law” under Section 5 of the Constitution of Bermuda</w:t>
      </w:r>
      <w:r w:rsidR="002608A1" w:rsidRPr="002608A1">
        <w:rPr>
          <w:rFonts w:ascii="Times New Roman" w:hAnsi="Times New Roman" w:cs="Times New Roman"/>
          <w:iCs/>
          <w:sz w:val="24"/>
          <w:szCs w:val="24"/>
        </w:rPr>
        <w:t xml:space="preserve">. </w:t>
      </w:r>
      <w:r w:rsidRPr="002608A1">
        <w:rPr>
          <w:rFonts w:ascii="Times New Roman" w:hAnsi="Times New Roman" w:cs="Times New Roman"/>
          <w:iCs/>
          <w:sz w:val="24"/>
          <w:szCs w:val="24"/>
        </w:rPr>
        <w:t xml:space="preserve"> </w:t>
      </w:r>
      <w:r w:rsidR="002608A1" w:rsidRPr="002608A1">
        <w:rPr>
          <w:rFonts w:ascii="Times New Roman" w:hAnsi="Times New Roman" w:cs="Times New Roman"/>
          <w:iCs/>
          <w:sz w:val="24"/>
          <w:szCs w:val="24"/>
        </w:rPr>
        <w:t>Judge Kawaley expressing the mind of the court stated that</w:t>
      </w:r>
      <w:r w:rsidR="002608A1">
        <w:rPr>
          <w:rFonts w:ascii="Times New Roman" w:hAnsi="Times New Roman" w:cs="Times New Roman"/>
          <w:iCs/>
          <w:sz w:val="24"/>
          <w:szCs w:val="24"/>
        </w:rPr>
        <w:t>:</w:t>
      </w:r>
      <w:r w:rsidR="002608A1" w:rsidRPr="002608A1">
        <w:rPr>
          <w:rFonts w:ascii="Times New Roman" w:hAnsi="Times New Roman" w:cs="Times New Roman"/>
          <w:iCs/>
          <w:sz w:val="24"/>
          <w:szCs w:val="24"/>
        </w:rPr>
        <w:t xml:space="preserve"> </w:t>
      </w:r>
    </w:p>
    <w:p w14:paraId="1B1BEA58" w14:textId="77777777" w:rsidR="002608A1" w:rsidRDefault="002608A1" w:rsidP="001F3AFA">
      <w:pPr>
        <w:spacing w:line="276" w:lineRule="auto"/>
        <w:ind w:right="900"/>
        <w:jc w:val="both"/>
        <w:rPr>
          <w:rFonts w:ascii="Times New Roman" w:hAnsi="Times New Roman" w:cs="Times New Roman"/>
          <w:i/>
          <w:iCs/>
          <w:sz w:val="24"/>
          <w:szCs w:val="24"/>
        </w:rPr>
      </w:pPr>
      <w:r>
        <w:rPr>
          <w:rFonts w:ascii="Times New Roman" w:hAnsi="Times New Roman" w:cs="Times New Roman"/>
          <w:i/>
          <w:iCs/>
          <w:sz w:val="24"/>
          <w:szCs w:val="24"/>
        </w:rPr>
        <w:t>“</w:t>
      </w:r>
      <w:r w:rsidR="00AC04B1" w:rsidRPr="005913AB">
        <w:rPr>
          <w:rFonts w:ascii="Times New Roman" w:hAnsi="Times New Roman" w:cs="Times New Roman"/>
          <w:i/>
          <w:iCs/>
          <w:sz w:val="24"/>
          <w:szCs w:val="24"/>
        </w:rPr>
        <w:t>For the above reasons, I find that the provisions of section 214 (1) should be modified so as to bring them into conformity with section 9 of the Constitution, subject to hearing counsel on the precise terms of the order to be drawn up to give effect to the present Judgment. The intended effect of the modifications is to read out of section 214 the existing summary only and indictable only offences altogether, and to adapt the section by creating a single offence which is triable either summarily or on indictment which offence requires proof that the defendant knew the defamatory statement was false. In addition, the section is modified so as to require that no prosecution can be commenced without the written consent of the Director of Public Prosecutions, the implicit understanding being that he will satisfy himself that the facts of the case fall within section 9(2) of the Constitution</w:t>
      </w:r>
      <w:r>
        <w:rPr>
          <w:rFonts w:ascii="Times New Roman" w:hAnsi="Times New Roman" w:cs="Times New Roman"/>
          <w:i/>
          <w:iCs/>
          <w:sz w:val="24"/>
          <w:szCs w:val="24"/>
        </w:rPr>
        <w:t>”</w:t>
      </w:r>
    </w:p>
    <w:p w14:paraId="594DE8D1" w14:textId="1DE8E1F2" w:rsidR="00AC04B1" w:rsidRPr="005913AB" w:rsidRDefault="00AC04B1" w:rsidP="001F3AFA">
      <w:pPr>
        <w:spacing w:line="276" w:lineRule="auto"/>
        <w:ind w:right="900"/>
        <w:jc w:val="both"/>
        <w:rPr>
          <w:rFonts w:ascii="Times New Roman" w:hAnsi="Times New Roman" w:cs="Times New Roman"/>
          <w:i/>
          <w:iCs/>
          <w:sz w:val="24"/>
          <w:szCs w:val="24"/>
        </w:rPr>
      </w:pPr>
      <w:r w:rsidRPr="002608A1">
        <w:rPr>
          <w:rFonts w:ascii="Times New Roman" w:hAnsi="Times New Roman" w:cs="Times New Roman"/>
          <w:iCs/>
          <w:sz w:val="24"/>
          <w:szCs w:val="24"/>
        </w:rPr>
        <w:t xml:space="preserve">The </w:t>
      </w:r>
      <w:r w:rsidR="002608A1" w:rsidRPr="002608A1">
        <w:rPr>
          <w:rFonts w:ascii="Times New Roman" w:hAnsi="Times New Roman" w:cs="Times New Roman"/>
          <w:iCs/>
          <w:sz w:val="24"/>
          <w:szCs w:val="24"/>
        </w:rPr>
        <w:t xml:space="preserve">Supreme Court went further to order a modification to Section 214 (I) of the Criminal Code and stated clearly that </w:t>
      </w:r>
      <w:r w:rsidR="002608A1">
        <w:rPr>
          <w:rFonts w:ascii="Times New Roman" w:hAnsi="Times New Roman" w:cs="Times New Roman"/>
          <w:i/>
          <w:iCs/>
          <w:sz w:val="24"/>
          <w:szCs w:val="24"/>
        </w:rPr>
        <w:t xml:space="preserve">“the </w:t>
      </w:r>
      <w:r w:rsidRPr="005913AB">
        <w:rPr>
          <w:rFonts w:ascii="Times New Roman" w:hAnsi="Times New Roman" w:cs="Times New Roman"/>
          <w:i/>
          <w:iCs/>
          <w:sz w:val="24"/>
          <w:szCs w:val="24"/>
        </w:rPr>
        <w:t xml:space="preserve">section would now read as follows:  </w:t>
      </w:r>
    </w:p>
    <w:p w14:paraId="0A30D01E" w14:textId="77777777" w:rsidR="002608A1" w:rsidRDefault="00AC04B1" w:rsidP="000B7A72">
      <w:pPr>
        <w:spacing w:line="276" w:lineRule="auto"/>
        <w:ind w:left="720" w:right="900"/>
        <w:jc w:val="both"/>
        <w:rPr>
          <w:rFonts w:ascii="Times New Roman" w:hAnsi="Times New Roman" w:cs="Times New Roman"/>
          <w:b/>
          <w:bCs/>
          <w:i/>
          <w:iCs/>
          <w:sz w:val="24"/>
          <w:szCs w:val="24"/>
        </w:rPr>
      </w:pPr>
      <w:r w:rsidRPr="005913AB">
        <w:rPr>
          <w:rFonts w:ascii="Times New Roman" w:hAnsi="Times New Roman" w:cs="Times New Roman"/>
          <w:b/>
          <w:bCs/>
          <w:i/>
          <w:iCs/>
          <w:sz w:val="24"/>
          <w:szCs w:val="24"/>
        </w:rPr>
        <w:t>“Unlawfully publi</w:t>
      </w:r>
      <w:r w:rsidR="00A73B6A">
        <w:rPr>
          <w:rFonts w:ascii="Times New Roman" w:hAnsi="Times New Roman" w:cs="Times New Roman"/>
          <w:b/>
          <w:bCs/>
          <w:i/>
          <w:iCs/>
          <w:sz w:val="24"/>
          <w:szCs w:val="24"/>
        </w:rPr>
        <w:t xml:space="preserve">shing defamatory matter </w:t>
      </w:r>
      <w:r w:rsidR="001F3AFA">
        <w:rPr>
          <w:rFonts w:ascii="Times New Roman" w:hAnsi="Times New Roman" w:cs="Times New Roman"/>
          <w:b/>
          <w:bCs/>
          <w:i/>
          <w:iCs/>
          <w:sz w:val="24"/>
          <w:szCs w:val="24"/>
        </w:rPr>
        <w:t>214</w:t>
      </w:r>
      <w:r w:rsidRPr="005913AB">
        <w:rPr>
          <w:rFonts w:ascii="Times New Roman" w:hAnsi="Times New Roman" w:cs="Times New Roman"/>
          <w:b/>
          <w:bCs/>
          <w:i/>
          <w:iCs/>
          <w:sz w:val="24"/>
          <w:szCs w:val="24"/>
        </w:rPr>
        <w:t xml:space="preserve"> Any person who unlawfully publishes any defamatory matter concerning another person knowing the defamatory matter</w:t>
      </w:r>
      <w:r w:rsidR="001F3AFA">
        <w:rPr>
          <w:rFonts w:ascii="Times New Roman" w:hAnsi="Times New Roman" w:cs="Times New Roman"/>
          <w:b/>
          <w:bCs/>
          <w:i/>
          <w:iCs/>
          <w:sz w:val="24"/>
          <w:szCs w:val="24"/>
        </w:rPr>
        <w:t xml:space="preserve"> to be false is guilty of an </w:t>
      </w:r>
      <w:r w:rsidRPr="005913AB">
        <w:rPr>
          <w:rFonts w:ascii="Times New Roman" w:hAnsi="Times New Roman" w:cs="Times New Roman"/>
          <w:b/>
          <w:bCs/>
          <w:i/>
          <w:iCs/>
          <w:sz w:val="24"/>
          <w:szCs w:val="24"/>
        </w:rPr>
        <w:t>offence, and is liable to imprisonment for twelve month</w:t>
      </w:r>
      <w:r w:rsidR="001F3AFA">
        <w:rPr>
          <w:rFonts w:ascii="Times New Roman" w:hAnsi="Times New Roman" w:cs="Times New Roman"/>
          <w:b/>
          <w:bCs/>
          <w:i/>
          <w:iCs/>
          <w:sz w:val="24"/>
          <w:szCs w:val="24"/>
        </w:rPr>
        <w:t>s upon summary conviction and</w:t>
      </w:r>
      <w:r w:rsidRPr="005913AB">
        <w:rPr>
          <w:rFonts w:ascii="Times New Roman" w:hAnsi="Times New Roman" w:cs="Times New Roman"/>
          <w:b/>
          <w:bCs/>
          <w:i/>
          <w:iCs/>
          <w:sz w:val="24"/>
          <w:szCs w:val="24"/>
        </w:rPr>
        <w:t xml:space="preserve"> on conviction on indictment to imprisonment for two years, </w:t>
      </w:r>
    </w:p>
    <w:p w14:paraId="2BD066CA" w14:textId="0DACC227" w:rsidR="00AC04B1" w:rsidRPr="005913AB" w:rsidRDefault="00AC04B1" w:rsidP="000B7A72">
      <w:pPr>
        <w:spacing w:line="276" w:lineRule="auto"/>
        <w:ind w:left="720" w:right="900"/>
        <w:jc w:val="both"/>
        <w:rPr>
          <w:rFonts w:ascii="Times New Roman" w:hAnsi="Times New Roman" w:cs="Times New Roman"/>
          <w:sz w:val="24"/>
          <w:szCs w:val="24"/>
        </w:rPr>
      </w:pPr>
      <w:r w:rsidRPr="005913AB">
        <w:rPr>
          <w:rFonts w:ascii="Times New Roman" w:hAnsi="Times New Roman" w:cs="Times New Roman"/>
          <w:b/>
          <w:bCs/>
          <w:i/>
          <w:iCs/>
          <w:sz w:val="24"/>
          <w:szCs w:val="24"/>
        </w:rPr>
        <w:t xml:space="preserve">Provided that no charge shall be laid under this section without the consent expressed in writing of the Director of Public Prosecutions.”   </w:t>
      </w:r>
      <w:r w:rsidRPr="005913AB">
        <w:rPr>
          <w:rFonts w:ascii="Times New Roman" w:hAnsi="Times New Roman" w:cs="Times New Roman"/>
          <w:sz w:val="24"/>
          <w:szCs w:val="24"/>
        </w:rPr>
        <w:t xml:space="preserve"> </w:t>
      </w:r>
    </w:p>
    <w:p w14:paraId="7636C86F" w14:textId="7A12296D" w:rsidR="00A07D81" w:rsidRPr="005913AB" w:rsidRDefault="00191150" w:rsidP="000B7A72">
      <w:pPr>
        <w:spacing w:line="276" w:lineRule="auto"/>
        <w:jc w:val="both"/>
        <w:rPr>
          <w:rFonts w:ascii="Times New Roman" w:hAnsi="Times New Roman" w:cs="Times New Roman"/>
          <w:sz w:val="24"/>
          <w:szCs w:val="24"/>
        </w:rPr>
      </w:pPr>
      <w:r w:rsidRPr="005913AB">
        <w:rPr>
          <w:rFonts w:ascii="Times New Roman" w:hAnsi="Times New Roman" w:cs="Times New Roman"/>
          <w:sz w:val="24"/>
          <w:szCs w:val="24"/>
        </w:rPr>
        <w:t>Finally, the Court held that t</w:t>
      </w:r>
      <w:r w:rsidR="00674D30" w:rsidRPr="005913AB">
        <w:rPr>
          <w:rFonts w:ascii="Times New Roman" w:hAnsi="Times New Roman" w:cs="Times New Roman"/>
          <w:sz w:val="24"/>
          <w:szCs w:val="24"/>
        </w:rPr>
        <w:t>he</w:t>
      </w:r>
      <w:r w:rsidR="008C2C0E" w:rsidRPr="005913AB">
        <w:rPr>
          <w:rFonts w:ascii="Times New Roman" w:hAnsi="Times New Roman" w:cs="Times New Roman"/>
          <w:sz w:val="24"/>
          <w:szCs w:val="24"/>
        </w:rPr>
        <w:t xml:space="preserve"> Applicant is entitled to a declaration that his prosecution for unlawful defamation (in relation to a Facebook posting suggesting that a Police Inspector involved in his prosecution for a previous minor criminal offence, and for which the Applicant was conditionally discharged by the Magistrates’ Court, might be a racist) contravened his rights of freedom of expression in contravention of section 9 of the Bermuda Constitution.</w:t>
      </w:r>
      <w:r w:rsidR="00674D30" w:rsidRPr="005913AB">
        <w:rPr>
          <w:rFonts w:ascii="Times New Roman" w:hAnsi="Times New Roman" w:cs="Times New Roman"/>
          <w:sz w:val="24"/>
          <w:szCs w:val="24"/>
        </w:rPr>
        <w:t xml:space="preserve"> The Applicant is further </w:t>
      </w:r>
      <w:r w:rsidR="00AC04B1" w:rsidRPr="005913AB">
        <w:rPr>
          <w:rFonts w:ascii="Times New Roman" w:hAnsi="Times New Roman" w:cs="Times New Roman"/>
          <w:sz w:val="24"/>
          <w:szCs w:val="24"/>
        </w:rPr>
        <w:t>entitled to a declaration that section 214(1) of the Criminal Code is on its face invalid for contravening section 9 of the Bermuda</w:t>
      </w:r>
      <w:bookmarkEnd w:id="5"/>
      <w:r w:rsidR="00674D30" w:rsidRPr="005913AB">
        <w:rPr>
          <w:rFonts w:ascii="Times New Roman" w:hAnsi="Times New Roman" w:cs="Times New Roman"/>
          <w:sz w:val="24"/>
          <w:szCs w:val="24"/>
        </w:rPr>
        <w:t xml:space="preserve"> Constitution</w:t>
      </w:r>
      <w:r w:rsidR="00AC04B1" w:rsidRPr="005913AB">
        <w:rPr>
          <w:rFonts w:ascii="Times New Roman" w:hAnsi="Times New Roman" w:cs="Times New Roman"/>
          <w:sz w:val="24"/>
          <w:szCs w:val="24"/>
        </w:rPr>
        <w:t>.</w:t>
      </w:r>
      <w:r w:rsidRPr="005913AB">
        <w:rPr>
          <w:rFonts w:ascii="Times New Roman" w:hAnsi="Times New Roman" w:cs="Times New Roman"/>
          <w:sz w:val="24"/>
          <w:szCs w:val="24"/>
        </w:rPr>
        <w:t xml:space="preserve"> </w:t>
      </w:r>
      <w:r w:rsidR="00373104">
        <w:rPr>
          <w:rFonts w:ascii="Times New Roman" w:hAnsi="Times New Roman" w:cs="Times New Roman"/>
          <w:sz w:val="24"/>
          <w:szCs w:val="24"/>
        </w:rPr>
        <w:t xml:space="preserve">The court further ordered a modification </w:t>
      </w:r>
      <w:r w:rsidR="00085AC2">
        <w:rPr>
          <w:rFonts w:ascii="Times New Roman" w:hAnsi="Times New Roman" w:cs="Times New Roman"/>
          <w:sz w:val="24"/>
          <w:szCs w:val="24"/>
        </w:rPr>
        <w:t>to Section 214 (I) to include written consent of Director of Public Prosecutions for a person to be tried under it and for inclusion of “knowledge of falsity” of the defamatory matter in the two circumstances under section 214(I) of the Criminal Code.</w:t>
      </w:r>
    </w:p>
    <w:p w14:paraId="1D9C6B28" w14:textId="77777777" w:rsidR="00674D30" w:rsidRPr="005913AB" w:rsidRDefault="00674D30" w:rsidP="000B7A72">
      <w:pPr>
        <w:spacing w:line="276" w:lineRule="auto"/>
        <w:jc w:val="both"/>
        <w:rPr>
          <w:rFonts w:ascii="Times New Roman" w:hAnsi="Times New Roman" w:cs="Times New Roman"/>
          <w:sz w:val="24"/>
          <w:szCs w:val="24"/>
        </w:rPr>
      </w:pPr>
    </w:p>
    <w:p w14:paraId="0343AFCF" w14:textId="3EC71328" w:rsidR="00FC6790" w:rsidRPr="005913AB" w:rsidRDefault="00FC6790" w:rsidP="000B7A72">
      <w:pPr>
        <w:spacing w:line="276" w:lineRule="auto"/>
        <w:ind w:left="-180"/>
        <w:jc w:val="both"/>
        <w:rPr>
          <w:rFonts w:ascii="Times New Roman" w:hAnsi="Times New Roman" w:cs="Times New Roman"/>
          <w:sz w:val="24"/>
          <w:szCs w:val="24"/>
        </w:rPr>
      </w:pPr>
      <w:r w:rsidRPr="005913AB">
        <w:rPr>
          <w:rFonts w:ascii="Times New Roman" w:hAnsi="Times New Roman" w:cs="Times New Roman"/>
          <w:b/>
          <w:sz w:val="24"/>
          <w:szCs w:val="24"/>
        </w:rPr>
        <w:lastRenderedPageBreak/>
        <w:t>DECISION DIRECTION</w:t>
      </w:r>
    </w:p>
    <w:p w14:paraId="18B51158" w14:textId="22E0457C" w:rsidR="006A0525" w:rsidRPr="005913AB" w:rsidRDefault="00FC6790" w:rsidP="002608A1">
      <w:pPr>
        <w:autoSpaceDE w:val="0"/>
        <w:autoSpaceDN w:val="0"/>
        <w:adjustRightInd w:val="0"/>
        <w:spacing w:after="0" w:line="240" w:lineRule="auto"/>
        <w:jc w:val="both"/>
        <w:rPr>
          <w:rFonts w:ascii="Times New Roman" w:hAnsi="Times New Roman" w:cs="Times New Roman"/>
          <w:sz w:val="24"/>
          <w:szCs w:val="24"/>
        </w:rPr>
      </w:pPr>
      <w:r w:rsidRPr="005913AB">
        <w:rPr>
          <w:rFonts w:ascii="Times New Roman" w:hAnsi="Times New Roman" w:cs="Times New Roman"/>
          <w:sz w:val="24"/>
          <w:szCs w:val="24"/>
        </w:rPr>
        <w:t>This decision expands Freedom of Expression as it found that the prosecution of the Applicant for unlawful defamation</w:t>
      </w:r>
      <w:r w:rsidR="00AC04B1" w:rsidRPr="005913AB">
        <w:rPr>
          <w:rFonts w:ascii="Times New Roman" w:hAnsi="Times New Roman" w:cs="Times New Roman"/>
          <w:sz w:val="24"/>
          <w:szCs w:val="24"/>
        </w:rPr>
        <w:t xml:space="preserve"> under the exis</w:t>
      </w:r>
      <w:r w:rsidR="00830A59">
        <w:rPr>
          <w:rFonts w:ascii="Times New Roman" w:hAnsi="Times New Roman" w:cs="Times New Roman"/>
          <w:sz w:val="24"/>
          <w:szCs w:val="24"/>
        </w:rPr>
        <w:t xml:space="preserve">ting Criminal Code </w:t>
      </w:r>
      <w:r w:rsidRPr="005913AB">
        <w:rPr>
          <w:rFonts w:ascii="Times New Roman" w:hAnsi="Times New Roman" w:cs="Times New Roman"/>
          <w:sz w:val="24"/>
          <w:szCs w:val="24"/>
        </w:rPr>
        <w:t>contravenes his freedom of ex</w:t>
      </w:r>
      <w:r w:rsidR="00830A59">
        <w:rPr>
          <w:rFonts w:ascii="Times New Roman" w:hAnsi="Times New Roman" w:cs="Times New Roman"/>
          <w:sz w:val="24"/>
          <w:szCs w:val="24"/>
        </w:rPr>
        <w:t>pression as protected by Section 9 of the</w:t>
      </w:r>
      <w:r w:rsidRPr="005913AB">
        <w:rPr>
          <w:rFonts w:ascii="Times New Roman" w:hAnsi="Times New Roman" w:cs="Times New Roman"/>
          <w:sz w:val="24"/>
          <w:szCs w:val="24"/>
        </w:rPr>
        <w:t xml:space="preserve"> constitution of Bermuda</w:t>
      </w:r>
      <w:r w:rsidR="00830A59">
        <w:rPr>
          <w:rFonts w:ascii="Times New Roman" w:hAnsi="Times New Roman" w:cs="Times New Roman"/>
          <w:sz w:val="24"/>
          <w:szCs w:val="24"/>
        </w:rPr>
        <w:t xml:space="preserve"> and ended with a declaration of invalidity for the said Section 214</w:t>
      </w:r>
      <w:r w:rsidR="002608A1">
        <w:rPr>
          <w:rFonts w:ascii="Times New Roman" w:hAnsi="Times New Roman" w:cs="Times New Roman"/>
          <w:sz w:val="24"/>
          <w:szCs w:val="24"/>
        </w:rPr>
        <w:t xml:space="preserve"> (I)</w:t>
      </w:r>
      <w:r w:rsidR="00830A59">
        <w:rPr>
          <w:rFonts w:ascii="Times New Roman" w:hAnsi="Times New Roman" w:cs="Times New Roman"/>
          <w:sz w:val="24"/>
          <w:szCs w:val="24"/>
        </w:rPr>
        <w:t xml:space="preserve"> of the Criminal Code</w:t>
      </w:r>
      <w:r w:rsidRPr="005913AB">
        <w:rPr>
          <w:rFonts w:ascii="Times New Roman" w:hAnsi="Times New Roman" w:cs="Times New Roman"/>
          <w:sz w:val="24"/>
          <w:szCs w:val="24"/>
        </w:rPr>
        <w:t>.</w:t>
      </w:r>
      <w:r w:rsidR="00674D30" w:rsidRPr="005913AB">
        <w:rPr>
          <w:rFonts w:ascii="Times New Roman" w:hAnsi="Times New Roman" w:cs="Times New Roman"/>
          <w:sz w:val="24"/>
          <w:szCs w:val="24"/>
        </w:rPr>
        <w:t xml:space="preserve"> Section 214 </w:t>
      </w:r>
      <w:r w:rsidR="002608A1">
        <w:rPr>
          <w:rFonts w:ascii="Times New Roman" w:hAnsi="Times New Roman" w:cs="Times New Roman"/>
          <w:sz w:val="24"/>
          <w:szCs w:val="24"/>
        </w:rPr>
        <w:t xml:space="preserve">(I) </w:t>
      </w:r>
      <w:r w:rsidR="00674D30" w:rsidRPr="005913AB">
        <w:rPr>
          <w:rFonts w:ascii="Times New Roman" w:hAnsi="Times New Roman" w:cs="Times New Roman"/>
          <w:sz w:val="24"/>
          <w:szCs w:val="24"/>
        </w:rPr>
        <w:t>of the Criminal Code</w:t>
      </w:r>
      <w:r w:rsidR="005913AB">
        <w:rPr>
          <w:rFonts w:ascii="Times New Roman" w:hAnsi="Times New Roman" w:cs="Times New Roman"/>
          <w:sz w:val="24"/>
          <w:szCs w:val="24"/>
        </w:rPr>
        <w:t xml:space="preserve"> indeed</w:t>
      </w:r>
      <w:r w:rsidR="00674D30" w:rsidRPr="005913AB">
        <w:rPr>
          <w:rFonts w:ascii="Times New Roman" w:hAnsi="Times New Roman" w:cs="Times New Roman"/>
          <w:sz w:val="24"/>
          <w:szCs w:val="24"/>
        </w:rPr>
        <w:t xml:space="preserve"> contravenes right to Freedom of Expression as protected by Section 9 of the Constitution </w:t>
      </w:r>
      <w:r w:rsidR="005913AB" w:rsidRPr="005913AB">
        <w:rPr>
          <w:rFonts w:ascii="Times New Roman" w:hAnsi="Times New Roman" w:cs="Times New Roman"/>
          <w:sz w:val="24"/>
          <w:szCs w:val="24"/>
        </w:rPr>
        <w:t xml:space="preserve">for restricting freedom of expression in relation to conduct sufficiently trivial so as to be categorized as a summary offence and </w:t>
      </w:r>
      <w:r w:rsidR="002608A1">
        <w:rPr>
          <w:rFonts w:ascii="Times New Roman" w:hAnsi="Times New Roman" w:cs="Times New Roman"/>
          <w:sz w:val="24"/>
          <w:szCs w:val="24"/>
        </w:rPr>
        <w:t xml:space="preserve">essentially </w:t>
      </w:r>
      <w:r w:rsidR="005913AB" w:rsidRPr="005913AB">
        <w:rPr>
          <w:rFonts w:ascii="Times New Roman" w:hAnsi="Times New Roman" w:cs="Times New Roman"/>
          <w:sz w:val="24"/>
          <w:szCs w:val="24"/>
        </w:rPr>
        <w:t xml:space="preserve">criminalizing non-intentional defamation. </w:t>
      </w:r>
      <w:r w:rsidR="00085AC2">
        <w:rPr>
          <w:rFonts w:ascii="Times New Roman" w:hAnsi="Times New Roman" w:cs="Times New Roman"/>
          <w:sz w:val="24"/>
          <w:szCs w:val="24"/>
        </w:rPr>
        <w:t xml:space="preserve">The ordered modification of Section 214 (I) of the Criminal Code to include “knowledge of falsity” of the defamatory matter in the two circumstances under the section </w:t>
      </w:r>
      <w:r w:rsidR="002608A1">
        <w:rPr>
          <w:rFonts w:ascii="Times New Roman" w:hAnsi="Times New Roman" w:cs="Times New Roman"/>
          <w:sz w:val="24"/>
          <w:szCs w:val="24"/>
        </w:rPr>
        <w:t>is quite commendable and greatly expands expression.</w:t>
      </w:r>
    </w:p>
    <w:p w14:paraId="45EDEDDF" w14:textId="77777777" w:rsidR="008C2C0E" w:rsidRPr="005913AB" w:rsidRDefault="008C2C0E" w:rsidP="000B7A72">
      <w:pPr>
        <w:jc w:val="both"/>
        <w:rPr>
          <w:rFonts w:ascii="Times New Roman" w:hAnsi="Times New Roman" w:cs="Times New Roman"/>
          <w:sz w:val="24"/>
          <w:szCs w:val="24"/>
        </w:rPr>
      </w:pPr>
    </w:p>
    <w:p w14:paraId="0D973AEA" w14:textId="07A32452" w:rsidR="00FC6790" w:rsidRPr="005913AB" w:rsidRDefault="00FC6790" w:rsidP="000B7A72">
      <w:pPr>
        <w:ind w:hanging="180"/>
        <w:jc w:val="both"/>
        <w:rPr>
          <w:rFonts w:ascii="Times New Roman" w:hAnsi="Times New Roman" w:cs="Times New Roman"/>
          <w:sz w:val="24"/>
          <w:szCs w:val="24"/>
        </w:rPr>
      </w:pPr>
      <w:r w:rsidRPr="005913AB">
        <w:rPr>
          <w:rFonts w:ascii="Times New Roman" w:hAnsi="Times New Roman" w:cs="Times New Roman"/>
          <w:b/>
          <w:sz w:val="24"/>
          <w:szCs w:val="24"/>
        </w:rPr>
        <w:t>GLOBAL PERSPECTIVE</w:t>
      </w:r>
    </w:p>
    <w:p w14:paraId="7DBBE40B" w14:textId="77777777" w:rsidR="00FC6790" w:rsidRPr="005913AB" w:rsidRDefault="00FC6790" w:rsidP="000B7A72">
      <w:pPr>
        <w:jc w:val="both"/>
        <w:rPr>
          <w:rFonts w:ascii="Times New Roman" w:hAnsi="Times New Roman" w:cs="Times New Roman"/>
          <w:b/>
          <w:sz w:val="24"/>
          <w:szCs w:val="24"/>
        </w:rPr>
      </w:pPr>
      <w:r w:rsidRPr="005913AB">
        <w:rPr>
          <w:rFonts w:ascii="Times New Roman" w:hAnsi="Times New Roman" w:cs="Times New Roman"/>
          <w:b/>
          <w:sz w:val="24"/>
          <w:szCs w:val="24"/>
        </w:rPr>
        <w:t>Related International and/or Regional Laws</w:t>
      </w:r>
    </w:p>
    <w:p w14:paraId="5C2B4D8D" w14:textId="50B8D81C" w:rsidR="00FC6790" w:rsidRPr="005913AB" w:rsidRDefault="006A0525" w:rsidP="000B7A72">
      <w:pPr>
        <w:ind w:left="-90"/>
        <w:jc w:val="both"/>
        <w:rPr>
          <w:rFonts w:ascii="Times New Roman" w:hAnsi="Times New Roman" w:cs="Times New Roman"/>
          <w:bCs/>
          <w:sz w:val="24"/>
          <w:szCs w:val="24"/>
        </w:rPr>
      </w:pPr>
      <w:r w:rsidRPr="005913AB">
        <w:rPr>
          <w:rFonts w:ascii="Times New Roman" w:hAnsi="Times New Roman" w:cs="Times New Roman"/>
          <w:bCs/>
          <w:sz w:val="24"/>
          <w:szCs w:val="24"/>
        </w:rPr>
        <w:t>European Convention for the Protection of Human Rights and Fundamental Freedoms (“ECHR”)</w:t>
      </w:r>
      <w:r w:rsidR="008B7E90">
        <w:rPr>
          <w:rFonts w:ascii="Times New Roman" w:hAnsi="Times New Roman" w:cs="Times New Roman"/>
          <w:bCs/>
          <w:sz w:val="24"/>
          <w:szCs w:val="24"/>
        </w:rPr>
        <w:t>, Article 10</w:t>
      </w:r>
    </w:p>
    <w:p w14:paraId="5E52D5B9" w14:textId="1FF3C184"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United Nations General Assembly ‘Report of the Special Rapporteur on the promotion and protection of the right to freedom of opinion and expression’</w:t>
      </w:r>
    </w:p>
    <w:p w14:paraId="448C03CC" w14:textId="77777777" w:rsidR="00191150" w:rsidRPr="005913AB" w:rsidRDefault="00191150" w:rsidP="000B7A72">
      <w:pPr>
        <w:ind w:left="-90"/>
        <w:jc w:val="both"/>
        <w:rPr>
          <w:rFonts w:ascii="Times New Roman" w:hAnsi="Times New Roman" w:cs="Times New Roman"/>
          <w:b/>
          <w:sz w:val="24"/>
          <w:szCs w:val="24"/>
        </w:rPr>
      </w:pPr>
    </w:p>
    <w:p w14:paraId="135EA524" w14:textId="01A4F33E" w:rsidR="006A0525" w:rsidRPr="005913AB" w:rsidRDefault="00FC6790" w:rsidP="008C2C0E">
      <w:pPr>
        <w:jc w:val="both"/>
        <w:rPr>
          <w:rFonts w:ascii="Times New Roman" w:hAnsi="Times New Roman" w:cs="Times New Roman"/>
          <w:b/>
          <w:sz w:val="24"/>
          <w:szCs w:val="24"/>
        </w:rPr>
      </w:pPr>
      <w:r w:rsidRPr="005913AB">
        <w:rPr>
          <w:rFonts w:ascii="Times New Roman" w:hAnsi="Times New Roman" w:cs="Times New Roman"/>
          <w:b/>
          <w:sz w:val="24"/>
          <w:szCs w:val="24"/>
        </w:rPr>
        <w:t>National Standards, Laws or Jurisprudence</w:t>
      </w:r>
    </w:p>
    <w:p w14:paraId="2EBCBDF9" w14:textId="7FD17627" w:rsidR="00D90DFA" w:rsidRPr="005913AB" w:rsidRDefault="00FC6790" w:rsidP="000B7A72">
      <w:pPr>
        <w:ind w:left="90"/>
        <w:jc w:val="both"/>
        <w:rPr>
          <w:rFonts w:ascii="Times New Roman" w:hAnsi="Times New Roman" w:cs="Times New Roman"/>
          <w:sz w:val="24"/>
          <w:szCs w:val="24"/>
        </w:rPr>
      </w:pPr>
      <w:r w:rsidRPr="005913AB">
        <w:rPr>
          <w:rFonts w:ascii="Times New Roman" w:hAnsi="Times New Roman" w:cs="Times New Roman"/>
          <w:sz w:val="24"/>
          <w:szCs w:val="24"/>
        </w:rPr>
        <w:t>Constitution of Bermuda Order, Section 9(1) (2) (a) (b), 21, 300A</w:t>
      </w:r>
    </w:p>
    <w:p w14:paraId="0FA74236" w14:textId="77777777" w:rsidR="008C2C0E" w:rsidRPr="005913AB" w:rsidRDefault="008C2C0E" w:rsidP="008C2C0E">
      <w:pPr>
        <w:ind w:left="90"/>
        <w:jc w:val="both"/>
        <w:rPr>
          <w:rFonts w:ascii="Times New Roman" w:hAnsi="Times New Roman" w:cs="Times New Roman"/>
          <w:sz w:val="24"/>
          <w:szCs w:val="24"/>
        </w:rPr>
      </w:pPr>
      <w:r w:rsidRPr="005913AB">
        <w:rPr>
          <w:rFonts w:ascii="Times New Roman" w:hAnsi="Times New Roman" w:cs="Times New Roman"/>
          <w:sz w:val="24"/>
          <w:szCs w:val="24"/>
        </w:rPr>
        <w:t>Criminal Code, Section 214(1), 1907</w:t>
      </w:r>
    </w:p>
    <w:p w14:paraId="04C83509" w14:textId="77777777" w:rsidR="008C2C0E" w:rsidRPr="005913AB" w:rsidRDefault="008C2C0E" w:rsidP="000B7A72">
      <w:pPr>
        <w:ind w:left="90"/>
        <w:jc w:val="both"/>
        <w:rPr>
          <w:rFonts w:ascii="Times New Roman" w:hAnsi="Times New Roman" w:cs="Times New Roman"/>
          <w:sz w:val="24"/>
          <w:szCs w:val="24"/>
        </w:rPr>
      </w:pPr>
    </w:p>
    <w:p w14:paraId="793B2138" w14:textId="77777777" w:rsidR="008C2C0E" w:rsidRPr="005913AB" w:rsidRDefault="008C2C0E" w:rsidP="000B7A72">
      <w:pPr>
        <w:ind w:left="90"/>
        <w:jc w:val="both"/>
        <w:rPr>
          <w:rFonts w:ascii="Times New Roman" w:hAnsi="Times New Roman" w:cs="Times New Roman"/>
          <w:sz w:val="24"/>
          <w:szCs w:val="24"/>
        </w:rPr>
      </w:pPr>
    </w:p>
    <w:p w14:paraId="77E0F765" w14:textId="78B61A8F"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Bermuda, Bodrožić v. Serbia (no. 32550/05, § 51, 23 June 2007)</w:t>
      </w:r>
    </w:p>
    <w:p w14:paraId="1DBBAB2F" w14:textId="370B2F38" w:rsidR="00D90DFA" w:rsidRPr="005913AB" w:rsidRDefault="00D90DFA" w:rsidP="000B7A72">
      <w:pPr>
        <w:ind w:left="90"/>
        <w:jc w:val="both"/>
        <w:rPr>
          <w:rFonts w:ascii="Times New Roman" w:hAnsi="Times New Roman" w:cs="Times New Roman"/>
          <w:sz w:val="24"/>
          <w:szCs w:val="24"/>
        </w:rPr>
      </w:pPr>
      <w:r w:rsidRPr="005913AB">
        <w:rPr>
          <w:rFonts w:ascii="Times New Roman" w:hAnsi="Times New Roman" w:cs="Times New Roman"/>
          <w:sz w:val="24"/>
          <w:szCs w:val="24"/>
        </w:rPr>
        <w:t>Bermuda, de Freitas v Ministry of Agriculture, Fisheries, Lands and Housing [1999] 1 AC 69, 80</w:t>
      </w:r>
    </w:p>
    <w:p w14:paraId="28DB7AF9" w14:textId="77777777"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 xml:space="preserve">Bermuda, Feldek v. Slovakia, no. 29032/95, ECHR 2001-VIII). </w:t>
      </w:r>
    </w:p>
    <w:p w14:paraId="07097C4D" w14:textId="77777777"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Bermuda, Gavrilovici-v-Moldova, Application 25264/05</w:t>
      </w:r>
    </w:p>
    <w:p w14:paraId="11F24149" w14:textId="77777777" w:rsidR="00D90DFA" w:rsidRPr="005913AB" w:rsidRDefault="00D90DFA" w:rsidP="000B7A72">
      <w:pPr>
        <w:ind w:left="90"/>
        <w:jc w:val="both"/>
        <w:rPr>
          <w:rFonts w:ascii="Times New Roman" w:hAnsi="Times New Roman" w:cs="Times New Roman"/>
          <w:sz w:val="24"/>
          <w:szCs w:val="24"/>
        </w:rPr>
      </w:pPr>
      <w:r w:rsidRPr="005913AB">
        <w:rPr>
          <w:rFonts w:ascii="Times New Roman" w:hAnsi="Times New Roman" w:cs="Times New Roman"/>
          <w:sz w:val="24"/>
          <w:szCs w:val="24"/>
        </w:rPr>
        <w:t xml:space="preserve">Bermuda, Gleaves –v-Deakin et al [1980] 1 A.C. 477 at 483F </w:t>
      </w:r>
    </w:p>
    <w:p w14:paraId="15BF408C" w14:textId="77777777" w:rsidR="00D90DFA" w:rsidRPr="005913AB" w:rsidRDefault="00D90DFA" w:rsidP="000B7A72">
      <w:pPr>
        <w:ind w:left="90"/>
        <w:jc w:val="both"/>
        <w:rPr>
          <w:rFonts w:ascii="Times New Roman" w:hAnsi="Times New Roman" w:cs="Times New Roman"/>
          <w:sz w:val="24"/>
          <w:szCs w:val="24"/>
        </w:rPr>
      </w:pPr>
      <w:r w:rsidRPr="005913AB">
        <w:rPr>
          <w:rFonts w:ascii="Times New Roman" w:hAnsi="Times New Roman" w:cs="Times New Roman"/>
          <w:sz w:val="24"/>
          <w:szCs w:val="24"/>
        </w:rPr>
        <w:t>Bermuda, Gubbay CJ in Nyambirai v National Social Security Authority [1996] 1 LRC 64, 75</w:t>
      </w:r>
    </w:p>
    <w:p w14:paraId="651C0915" w14:textId="77777777"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Bermuda, Hector v Attorney General of Antigua [1990] 2 AC 312, 318,</w:t>
      </w:r>
    </w:p>
    <w:p w14:paraId="7F955CBE" w14:textId="77777777"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Bermuda, Lingens v Austria (1986) 8 EHRR 407, 418-419, at para 42,</w:t>
      </w:r>
    </w:p>
    <w:p w14:paraId="2013D75E" w14:textId="77777777"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lastRenderedPageBreak/>
        <w:t xml:space="preserve">Bermuda, Oberschlick v. Austria (no. 2), judgment of 1 July 1997, Reports of Judgments and Decisions 1997-IV; </w:t>
      </w:r>
    </w:p>
    <w:p w14:paraId="3439EBD1" w14:textId="77777777"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 xml:space="preserve">Bermuda, Scharsach and News Verlagsgesellschaft v. Austria, no. 39394/98, § 43, ECHR 2003-XI). </w:t>
      </w:r>
    </w:p>
    <w:p w14:paraId="2D189362" w14:textId="77777777"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 xml:space="preserve">Bermuda, Steur v. the Netherlands, no. 39657/98, §§ 40 and 41, ECHR 2003-XI. </w:t>
      </w:r>
    </w:p>
    <w:p w14:paraId="22DAE401" w14:textId="77777777" w:rsidR="00D90DFA" w:rsidRPr="005913AB" w:rsidRDefault="00D90DFA" w:rsidP="000B7A72">
      <w:pPr>
        <w:ind w:left="90"/>
        <w:jc w:val="both"/>
        <w:rPr>
          <w:rFonts w:ascii="Times New Roman" w:hAnsi="Times New Roman" w:cs="Times New Roman"/>
          <w:sz w:val="24"/>
          <w:szCs w:val="24"/>
        </w:rPr>
      </w:pPr>
      <w:r w:rsidRPr="005913AB">
        <w:rPr>
          <w:rFonts w:ascii="Times New Roman" w:hAnsi="Times New Roman" w:cs="Times New Roman"/>
          <w:sz w:val="24"/>
          <w:szCs w:val="24"/>
        </w:rPr>
        <w:t xml:space="preserve">Bermuda, Worme and another-v-The Commissioner of Police [2004] UKPC 8: </w:t>
      </w:r>
    </w:p>
    <w:p w14:paraId="4269C631" w14:textId="1623E6E5"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Bermuda,The Royal Gazette et al-v- Attorney General and The Commissioner of Police, Supreme Court, Civil Jurisdiction 1982, 177</w:t>
      </w:r>
    </w:p>
    <w:p w14:paraId="7A5D8D6B" w14:textId="54A9C2D2" w:rsidR="00D90DFA" w:rsidRPr="005913AB" w:rsidRDefault="00D90DFA" w:rsidP="000B7A72">
      <w:pPr>
        <w:spacing w:line="276" w:lineRule="auto"/>
        <w:ind w:left="90"/>
        <w:jc w:val="both"/>
        <w:rPr>
          <w:rFonts w:ascii="Times New Roman" w:hAnsi="Times New Roman" w:cs="Times New Roman"/>
          <w:sz w:val="24"/>
          <w:szCs w:val="24"/>
        </w:rPr>
      </w:pPr>
      <w:r w:rsidRPr="005913AB">
        <w:rPr>
          <w:rFonts w:ascii="Times New Roman" w:hAnsi="Times New Roman" w:cs="Times New Roman"/>
          <w:sz w:val="24"/>
          <w:szCs w:val="24"/>
        </w:rPr>
        <w:t>Canada, Lucas-v- R [1998] 3 LRC 236</w:t>
      </w:r>
    </w:p>
    <w:p w14:paraId="6EE518BE" w14:textId="77777777" w:rsidR="00D90DFA" w:rsidRPr="005913AB" w:rsidRDefault="00D90DFA" w:rsidP="000B7A72">
      <w:pPr>
        <w:ind w:left="90"/>
        <w:jc w:val="both"/>
        <w:rPr>
          <w:rFonts w:ascii="Times New Roman" w:hAnsi="Times New Roman" w:cs="Times New Roman"/>
          <w:sz w:val="24"/>
          <w:szCs w:val="24"/>
        </w:rPr>
      </w:pPr>
      <w:r w:rsidRPr="005913AB">
        <w:rPr>
          <w:rFonts w:ascii="Times New Roman" w:hAnsi="Times New Roman" w:cs="Times New Roman"/>
          <w:sz w:val="24"/>
          <w:szCs w:val="24"/>
        </w:rPr>
        <w:t>Tonga, R-v-Pohiva [2010] 1 LRC 763 at paragraphs [12]-[13]. 70</w:t>
      </w:r>
    </w:p>
    <w:p w14:paraId="10DF5784" w14:textId="77777777" w:rsidR="00FC6790" w:rsidRPr="005913AB" w:rsidRDefault="00FC6790" w:rsidP="000B7A72">
      <w:pPr>
        <w:jc w:val="both"/>
        <w:rPr>
          <w:rFonts w:ascii="Times New Roman" w:hAnsi="Times New Roman" w:cs="Times New Roman"/>
          <w:sz w:val="24"/>
          <w:szCs w:val="24"/>
        </w:rPr>
      </w:pPr>
    </w:p>
    <w:p w14:paraId="632D0BDD" w14:textId="77777777" w:rsidR="00FC6790" w:rsidRPr="005913AB" w:rsidRDefault="00FC6790" w:rsidP="000B7A72">
      <w:pPr>
        <w:jc w:val="both"/>
        <w:rPr>
          <w:rFonts w:ascii="Times New Roman" w:hAnsi="Times New Roman" w:cs="Times New Roman"/>
          <w:b/>
          <w:sz w:val="24"/>
          <w:szCs w:val="24"/>
        </w:rPr>
      </w:pPr>
      <w:r w:rsidRPr="005913AB">
        <w:rPr>
          <w:rFonts w:ascii="Times New Roman" w:hAnsi="Times New Roman" w:cs="Times New Roman"/>
          <w:b/>
          <w:sz w:val="24"/>
          <w:szCs w:val="24"/>
        </w:rPr>
        <w:t>CASE SIGNIFICANCE</w:t>
      </w:r>
    </w:p>
    <w:p w14:paraId="23140CA9" w14:textId="7060A02E" w:rsidR="00FC6790" w:rsidRPr="005913AB" w:rsidRDefault="00191150" w:rsidP="000B7A72">
      <w:pPr>
        <w:jc w:val="both"/>
        <w:rPr>
          <w:rFonts w:ascii="Times New Roman" w:hAnsi="Times New Roman" w:cs="Times New Roman"/>
          <w:sz w:val="24"/>
          <w:szCs w:val="24"/>
        </w:rPr>
      </w:pPr>
      <w:r w:rsidRPr="005913AB">
        <w:rPr>
          <w:rFonts w:ascii="Times New Roman" w:hAnsi="Times New Roman" w:cs="Times New Roman"/>
          <w:sz w:val="24"/>
          <w:szCs w:val="24"/>
        </w:rPr>
        <w:t>The decision establishes binding or persuasive pr</w:t>
      </w:r>
      <w:r w:rsidR="008C2C0E" w:rsidRPr="005913AB">
        <w:rPr>
          <w:rFonts w:ascii="Times New Roman" w:hAnsi="Times New Roman" w:cs="Times New Roman"/>
          <w:sz w:val="24"/>
          <w:szCs w:val="24"/>
        </w:rPr>
        <w:t>ecedent within its jurisdiction</w:t>
      </w:r>
    </w:p>
    <w:p w14:paraId="3014381D" w14:textId="77777777" w:rsidR="008C2C0E" w:rsidRPr="005913AB" w:rsidRDefault="008C2C0E" w:rsidP="000B7A72">
      <w:pPr>
        <w:jc w:val="both"/>
        <w:rPr>
          <w:rFonts w:ascii="Times New Roman" w:hAnsi="Times New Roman" w:cs="Times New Roman"/>
          <w:sz w:val="24"/>
          <w:szCs w:val="24"/>
        </w:rPr>
      </w:pPr>
    </w:p>
    <w:p w14:paraId="53366F28" w14:textId="77777777" w:rsidR="00FC6790" w:rsidRPr="005913AB" w:rsidRDefault="00FC6790" w:rsidP="000B7A72">
      <w:pPr>
        <w:jc w:val="both"/>
        <w:rPr>
          <w:rFonts w:ascii="Times New Roman" w:hAnsi="Times New Roman" w:cs="Times New Roman"/>
          <w:b/>
          <w:sz w:val="24"/>
          <w:szCs w:val="24"/>
        </w:rPr>
      </w:pPr>
      <w:r w:rsidRPr="005913AB">
        <w:rPr>
          <w:rFonts w:ascii="Times New Roman" w:hAnsi="Times New Roman" w:cs="Times New Roman"/>
          <w:b/>
          <w:sz w:val="24"/>
          <w:szCs w:val="24"/>
        </w:rPr>
        <w:t>OFFICIAL CASE DOCUMENTS</w:t>
      </w:r>
    </w:p>
    <w:p w14:paraId="219BD622" w14:textId="77777777" w:rsidR="00674D30" w:rsidRPr="005913AB" w:rsidRDefault="00FC6790" w:rsidP="000B7A72">
      <w:pPr>
        <w:jc w:val="both"/>
        <w:rPr>
          <w:rFonts w:ascii="Times New Roman" w:hAnsi="Times New Roman" w:cs="Times New Roman"/>
          <w:sz w:val="24"/>
          <w:szCs w:val="24"/>
        </w:rPr>
      </w:pPr>
      <w:r w:rsidRPr="005913AB">
        <w:rPr>
          <w:rFonts w:ascii="Times New Roman" w:hAnsi="Times New Roman" w:cs="Times New Roman"/>
          <w:sz w:val="24"/>
          <w:szCs w:val="24"/>
        </w:rPr>
        <w:t>The Judgment</w:t>
      </w:r>
    </w:p>
    <w:p w14:paraId="344E5FF1" w14:textId="77777777" w:rsidR="00674D30" w:rsidRDefault="00674D30" w:rsidP="000B7A72">
      <w:pPr>
        <w:jc w:val="both"/>
        <w:rPr>
          <w:sz w:val="24"/>
          <w:szCs w:val="24"/>
        </w:rPr>
      </w:pPr>
    </w:p>
    <w:p w14:paraId="5B0B76B8" w14:textId="77777777" w:rsidR="00994795" w:rsidRDefault="00994795" w:rsidP="00994795">
      <w:pPr>
        <w:autoSpaceDE w:val="0"/>
        <w:autoSpaceDN w:val="0"/>
        <w:adjustRightInd w:val="0"/>
        <w:spacing w:after="0" w:line="240" w:lineRule="auto"/>
        <w:rPr>
          <w:rFonts w:ascii="TimesNewRoman" w:hAnsi="TimesNewRoman" w:cs="TimesNewRoman"/>
          <w:sz w:val="24"/>
          <w:szCs w:val="24"/>
        </w:rPr>
      </w:pPr>
    </w:p>
    <w:sectPr w:rsidR="0099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23794"/>
    <w:multiLevelType w:val="hybridMultilevel"/>
    <w:tmpl w:val="4F3E6A02"/>
    <w:lvl w:ilvl="0" w:tplc="0B8E85F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4189670E"/>
    <w:multiLevelType w:val="hybridMultilevel"/>
    <w:tmpl w:val="808285C8"/>
    <w:lvl w:ilvl="0" w:tplc="B75A78D0">
      <w:start w:val="8"/>
      <w:numFmt w:val="decimal"/>
      <w:lvlText w:val="%1."/>
      <w:lvlJc w:val="left"/>
      <w:pPr>
        <w:ind w:left="990" w:hanging="228"/>
      </w:pPr>
      <w:rPr>
        <w:rFonts w:ascii="Times New Roman" w:eastAsia="Times New Roman" w:hAnsi="Times New Roman" w:cs="Times New Roman" w:hint="default"/>
        <w:i/>
        <w:spacing w:val="-2"/>
        <w:w w:val="100"/>
        <w:sz w:val="22"/>
        <w:szCs w:val="22"/>
        <w:lang w:val="en-US" w:eastAsia="en-US" w:bidi="en-US"/>
      </w:rPr>
    </w:lvl>
    <w:lvl w:ilvl="1" w:tplc="1F7631FC">
      <w:numFmt w:val="bullet"/>
      <w:lvlText w:val="•"/>
      <w:lvlJc w:val="left"/>
      <w:pPr>
        <w:ind w:left="1854" w:hanging="228"/>
      </w:pPr>
      <w:rPr>
        <w:lang w:val="en-US" w:eastAsia="en-US" w:bidi="en-US"/>
      </w:rPr>
    </w:lvl>
    <w:lvl w:ilvl="2" w:tplc="EEB4FAB2">
      <w:numFmt w:val="bullet"/>
      <w:lvlText w:val="•"/>
      <w:lvlJc w:val="left"/>
      <w:pPr>
        <w:ind w:left="2708" w:hanging="228"/>
      </w:pPr>
      <w:rPr>
        <w:lang w:val="en-US" w:eastAsia="en-US" w:bidi="en-US"/>
      </w:rPr>
    </w:lvl>
    <w:lvl w:ilvl="3" w:tplc="3C68D000">
      <w:numFmt w:val="bullet"/>
      <w:lvlText w:val="•"/>
      <w:lvlJc w:val="left"/>
      <w:pPr>
        <w:ind w:left="3562" w:hanging="228"/>
      </w:pPr>
      <w:rPr>
        <w:lang w:val="en-US" w:eastAsia="en-US" w:bidi="en-US"/>
      </w:rPr>
    </w:lvl>
    <w:lvl w:ilvl="4" w:tplc="42620580">
      <w:numFmt w:val="bullet"/>
      <w:lvlText w:val="•"/>
      <w:lvlJc w:val="left"/>
      <w:pPr>
        <w:ind w:left="4416" w:hanging="228"/>
      </w:pPr>
      <w:rPr>
        <w:lang w:val="en-US" w:eastAsia="en-US" w:bidi="en-US"/>
      </w:rPr>
    </w:lvl>
    <w:lvl w:ilvl="5" w:tplc="6F72FA48">
      <w:numFmt w:val="bullet"/>
      <w:lvlText w:val="•"/>
      <w:lvlJc w:val="left"/>
      <w:pPr>
        <w:ind w:left="5270" w:hanging="228"/>
      </w:pPr>
      <w:rPr>
        <w:lang w:val="en-US" w:eastAsia="en-US" w:bidi="en-US"/>
      </w:rPr>
    </w:lvl>
    <w:lvl w:ilvl="6" w:tplc="2ACE63F6">
      <w:numFmt w:val="bullet"/>
      <w:lvlText w:val="•"/>
      <w:lvlJc w:val="left"/>
      <w:pPr>
        <w:ind w:left="6124" w:hanging="228"/>
      </w:pPr>
      <w:rPr>
        <w:lang w:val="en-US" w:eastAsia="en-US" w:bidi="en-US"/>
      </w:rPr>
    </w:lvl>
    <w:lvl w:ilvl="7" w:tplc="61DCC438">
      <w:numFmt w:val="bullet"/>
      <w:lvlText w:val="•"/>
      <w:lvlJc w:val="left"/>
      <w:pPr>
        <w:ind w:left="6978" w:hanging="228"/>
      </w:pPr>
      <w:rPr>
        <w:lang w:val="en-US" w:eastAsia="en-US" w:bidi="en-US"/>
      </w:rPr>
    </w:lvl>
    <w:lvl w:ilvl="8" w:tplc="1AFCA18A">
      <w:numFmt w:val="bullet"/>
      <w:lvlText w:val="•"/>
      <w:lvlJc w:val="left"/>
      <w:pPr>
        <w:ind w:left="7832" w:hanging="228"/>
      </w:pPr>
      <w:rPr>
        <w:lang w:val="en-US" w:eastAsia="en-US" w:bidi="en-US"/>
      </w:rPr>
    </w:lvl>
  </w:abstractNum>
  <w:abstractNum w:abstractNumId="2">
    <w:nsid w:val="55086128"/>
    <w:multiLevelType w:val="hybridMultilevel"/>
    <w:tmpl w:val="2D0A5B56"/>
    <w:lvl w:ilvl="0" w:tplc="D6DA144C">
      <w:start w:val="1"/>
      <w:numFmt w:val="lowerLetter"/>
      <w:lvlText w:val="(%1)"/>
      <w:lvlJc w:val="left"/>
      <w:pPr>
        <w:ind w:left="990" w:hanging="346"/>
      </w:pPr>
      <w:rPr>
        <w:b/>
        <w:bCs/>
        <w:i/>
        <w:spacing w:val="-21"/>
        <w:w w:val="100"/>
        <w:lang w:val="en-US" w:eastAsia="en-US" w:bidi="en-US"/>
      </w:rPr>
    </w:lvl>
    <w:lvl w:ilvl="1" w:tplc="8B9A1572">
      <w:start w:val="1"/>
      <w:numFmt w:val="decimal"/>
      <w:lvlText w:val="%2."/>
      <w:lvlJc w:val="left"/>
      <w:pPr>
        <w:ind w:left="990" w:hanging="165"/>
      </w:pPr>
      <w:rPr>
        <w:rFonts w:asciiTheme="minorHAnsi" w:eastAsia="Times New Roman" w:hAnsiTheme="minorHAnsi" w:cs="Times New Roman"/>
        <w:i/>
        <w:spacing w:val="-21"/>
        <w:w w:val="100"/>
        <w:lang w:val="en-US" w:eastAsia="en-US" w:bidi="en-US"/>
      </w:rPr>
    </w:lvl>
    <w:lvl w:ilvl="2" w:tplc="EAC2BA28">
      <w:numFmt w:val="bullet"/>
      <w:lvlText w:val="•"/>
      <w:lvlJc w:val="left"/>
      <w:pPr>
        <w:ind w:left="2708" w:hanging="165"/>
      </w:pPr>
      <w:rPr>
        <w:lang w:val="en-US" w:eastAsia="en-US" w:bidi="en-US"/>
      </w:rPr>
    </w:lvl>
    <w:lvl w:ilvl="3" w:tplc="2FCE5E34">
      <w:numFmt w:val="bullet"/>
      <w:lvlText w:val="•"/>
      <w:lvlJc w:val="left"/>
      <w:pPr>
        <w:ind w:left="3562" w:hanging="165"/>
      </w:pPr>
      <w:rPr>
        <w:lang w:val="en-US" w:eastAsia="en-US" w:bidi="en-US"/>
      </w:rPr>
    </w:lvl>
    <w:lvl w:ilvl="4" w:tplc="77043E46">
      <w:numFmt w:val="bullet"/>
      <w:lvlText w:val="•"/>
      <w:lvlJc w:val="left"/>
      <w:pPr>
        <w:ind w:left="4416" w:hanging="165"/>
      </w:pPr>
      <w:rPr>
        <w:lang w:val="en-US" w:eastAsia="en-US" w:bidi="en-US"/>
      </w:rPr>
    </w:lvl>
    <w:lvl w:ilvl="5" w:tplc="79264D80">
      <w:numFmt w:val="bullet"/>
      <w:lvlText w:val="•"/>
      <w:lvlJc w:val="left"/>
      <w:pPr>
        <w:ind w:left="5270" w:hanging="165"/>
      </w:pPr>
      <w:rPr>
        <w:lang w:val="en-US" w:eastAsia="en-US" w:bidi="en-US"/>
      </w:rPr>
    </w:lvl>
    <w:lvl w:ilvl="6" w:tplc="9AFA03A0">
      <w:numFmt w:val="bullet"/>
      <w:lvlText w:val="•"/>
      <w:lvlJc w:val="left"/>
      <w:pPr>
        <w:ind w:left="6124" w:hanging="165"/>
      </w:pPr>
      <w:rPr>
        <w:lang w:val="en-US" w:eastAsia="en-US" w:bidi="en-US"/>
      </w:rPr>
    </w:lvl>
    <w:lvl w:ilvl="7" w:tplc="54E68616">
      <w:numFmt w:val="bullet"/>
      <w:lvlText w:val="•"/>
      <w:lvlJc w:val="left"/>
      <w:pPr>
        <w:ind w:left="6978" w:hanging="165"/>
      </w:pPr>
      <w:rPr>
        <w:lang w:val="en-US" w:eastAsia="en-US" w:bidi="en-US"/>
      </w:rPr>
    </w:lvl>
    <w:lvl w:ilvl="8" w:tplc="8DD00526">
      <w:numFmt w:val="bullet"/>
      <w:lvlText w:val="•"/>
      <w:lvlJc w:val="left"/>
      <w:pPr>
        <w:ind w:left="7832" w:hanging="165"/>
      </w:pPr>
      <w:rPr>
        <w:lang w:val="en-US" w:eastAsia="en-US" w:bidi="en-US"/>
      </w:rPr>
    </w:lvl>
  </w:abstractNum>
  <w:abstractNum w:abstractNumId="3">
    <w:nsid w:val="71A528B1"/>
    <w:multiLevelType w:val="hybridMultilevel"/>
    <w:tmpl w:val="A1E694AA"/>
    <w:lvl w:ilvl="0" w:tplc="D8A016BE">
      <w:start w:val="2"/>
      <w:numFmt w:val="decimal"/>
      <w:lvlText w:val="%1."/>
      <w:lvlJc w:val="left"/>
      <w:pPr>
        <w:ind w:left="102" w:hanging="708"/>
      </w:pPr>
      <w:rPr>
        <w:spacing w:val="-23"/>
        <w:w w:val="100"/>
        <w:lang w:val="en-US" w:eastAsia="en-US" w:bidi="en-US"/>
      </w:rPr>
    </w:lvl>
    <w:lvl w:ilvl="1" w:tplc="D2A4972C">
      <w:start w:val="1"/>
      <w:numFmt w:val="decimal"/>
      <w:lvlText w:val="%2."/>
      <w:lvlJc w:val="left"/>
      <w:pPr>
        <w:ind w:left="990" w:hanging="224"/>
      </w:pPr>
      <w:rPr>
        <w:i/>
        <w:spacing w:val="-2"/>
        <w:w w:val="100"/>
        <w:lang w:val="en-US" w:eastAsia="en-US" w:bidi="en-US"/>
      </w:rPr>
    </w:lvl>
    <w:lvl w:ilvl="2" w:tplc="166EDA52">
      <w:numFmt w:val="bullet"/>
      <w:lvlText w:val="•"/>
      <w:lvlJc w:val="left"/>
      <w:pPr>
        <w:ind w:left="1948" w:hanging="224"/>
      </w:pPr>
      <w:rPr>
        <w:lang w:val="en-US" w:eastAsia="en-US" w:bidi="en-US"/>
      </w:rPr>
    </w:lvl>
    <w:lvl w:ilvl="3" w:tplc="1BE46538">
      <w:numFmt w:val="bullet"/>
      <w:lvlText w:val="•"/>
      <w:lvlJc w:val="left"/>
      <w:pPr>
        <w:ind w:left="2897" w:hanging="224"/>
      </w:pPr>
      <w:rPr>
        <w:lang w:val="en-US" w:eastAsia="en-US" w:bidi="en-US"/>
      </w:rPr>
    </w:lvl>
    <w:lvl w:ilvl="4" w:tplc="7A3CAFCC">
      <w:numFmt w:val="bullet"/>
      <w:lvlText w:val="•"/>
      <w:lvlJc w:val="left"/>
      <w:pPr>
        <w:ind w:left="3846" w:hanging="224"/>
      </w:pPr>
      <w:rPr>
        <w:lang w:val="en-US" w:eastAsia="en-US" w:bidi="en-US"/>
      </w:rPr>
    </w:lvl>
    <w:lvl w:ilvl="5" w:tplc="BFA6F36A">
      <w:numFmt w:val="bullet"/>
      <w:lvlText w:val="•"/>
      <w:lvlJc w:val="left"/>
      <w:pPr>
        <w:ind w:left="4795" w:hanging="224"/>
      </w:pPr>
      <w:rPr>
        <w:lang w:val="en-US" w:eastAsia="en-US" w:bidi="en-US"/>
      </w:rPr>
    </w:lvl>
    <w:lvl w:ilvl="6" w:tplc="ED5436A0">
      <w:numFmt w:val="bullet"/>
      <w:lvlText w:val="•"/>
      <w:lvlJc w:val="left"/>
      <w:pPr>
        <w:ind w:left="5744" w:hanging="224"/>
      </w:pPr>
      <w:rPr>
        <w:lang w:val="en-US" w:eastAsia="en-US" w:bidi="en-US"/>
      </w:rPr>
    </w:lvl>
    <w:lvl w:ilvl="7" w:tplc="E9EC90A4">
      <w:numFmt w:val="bullet"/>
      <w:lvlText w:val="•"/>
      <w:lvlJc w:val="left"/>
      <w:pPr>
        <w:ind w:left="6693" w:hanging="224"/>
      </w:pPr>
      <w:rPr>
        <w:lang w:val="en-US" w:eastAsia="en-US" w:bidi="en-US"/>
      </w:rPr>
    </w:lvl>
    <w:lvl w:ilvl="8" w:tplc="8B8A9A24">
      <w:numFmt w:val="bullet"/>
      <w:lvlText w:val="•"/>
      <w:lvlJc w:val="left"/>
      <w:pPr>
        <w:ind w:left="7642" w:hanging="224"/>
      </w:pPr>
      <w:rPr>
        <w:lang w:val="en-US" w:eastAsia="en-US" w:bidi="en-US"/>
      </w:rPr>
    </w:lvl>
  </w:abstractNum>
  <w:abstractNum w:abstractNumId="4">
    <w:nsid w:val="74D159FF"/>
    <w:multiLevelType w:val="hybridMultilevel"/>
    <w:tmpl w:val="87007846"/>
    <w:lvl w:ilvl="0" w:tplc="D656617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8"/>
    </w:lvlOverride>
    <w:lvlOverride w:ilvl="1"/>
    <w:lvlOverride w:ilvl="2"/>
    <w:lvlOverride w:ilvl="3"/>
    <w:lvlOverride w:ilvl="4"/>
    <w:lvlOverride w:ilvl="5"/>
    <w:lvlOverride w:ilvl="6"/>
    <w:lvlOverride w:ilvl="7"/>
    <w:lvlOverride w:ilvl="8"/>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F"/>
    <w:rsid w:val="00002D00"/>
    <w:rsid w:val="00024DB8"/>
    <w:rsid w:val="000501BF"/>
    <w:rsid w:val="0005496B"/>
    <w:rsid w:val="00085AC2"/>
    <w:rsid w:val="000B7A72"/>
    <w:rsid w:val="000C0E8C"/>
    <w:rsid w:val="0011510A"/>
    <w:rsid w:val="00145259"/>
    <w:rsid w:val="00154461"/>
    <w:rsid w:val="00177AC8"/>
    <w:rsid w:val="00191150"/>
    <w:rsid w:val="001F3AFA"/>
    <w:rsid w:val="00204A37"/>
    <w:rsid w:val="002068DF"/>
    <w:rsid w:val="002608A1"/>
    <w:rsid w:val="00260E6E"/>
    <w:rsid w:val="00261979"/>
    <w:rsid w:val="002C71CD"/>
    <w:rsid w:val="00373104"/>
    <w:rsid w:val="003A487A"/>
    <w:rsid w:val="003E6580"/>
    <w:rsid w:val="004F0D6A"/>
    <w:rsid w:val="00556A9F"/>
    <w:rsid w:val="005913AB"/>
    <w:rsid w:val="005F4A58"/>
    <w:rsid w:val="00617B28"/>
    <w:rsid w:val="0063594B"/>
    <w:rsid w:val="00662B41"/>
    <w:rsid w:val="00674D30"/>
    <w:rsid w:val="006A0525"/>
    <w:rsid w:val="007311EA"/>
    <w:rsid w:val="007938EE"/>
    <w:rsid w:val="007956F4"/>
    <w:rsid w:val="007C008C"/>
    <w:rsid w:val="00800612"/>
    <w:rsid w:val="00830A59"/>
    <w:rsid w:val="00880E52"/>
    <w:rsid w:val="008A0541"/>
    <w:rsid w:val="008B7E90"/>
    <w:rsid w:val="008C15DA"/>
    <w:rsid w:val="008C2C0E"/>
    <w:rsid w:val="00992AE3"/>
    <w:rsid w:val="00994795"/>
    <w:rsid w:val="0099587C"/>
    <w:rsid w:val="00A07D81"/>
    <w:rsid w:val="00A31039"/>
    <w:rsid w:val="00A73B6A"/>
    <w:rsid w:val="00AC04B1"/>
    <w:rsid w:val="00B00917"/>
    <w:rsid w:val="00B91643"/>
    <w:rsid w:val="00C31529"/>
    <w:rsid w:val="00C40900"/>
    <w:rsid w:val="00C44954"/>
    <w:rsid w:val="00D11419"/>
    <w:rsid w:val="00D1180F"/>
    <w:rsid w:val="00D86310"/>
    <w:rsid w:val="00D90DFA"/>
    <w:rsid w:val="00DA4F98"/>
    <w:rsid w:val="00DC1EF1"/>
    <w:rsid w:val="00DE5A7F"/>
    <w:rsid w:val="00E036A9"/>
    <w:rsid w:val="00E079B0"/>
    <w:rsid w:val="00E2040A"/>
    <w:rsid w:val="00E93734"/>
    <w:rsid w:val="00EA2613"/>
    <w:rsid w:val="00EB5ABD"/>
    <w:rsid w:val="00EC12D1"/>
    <w:rsid w:val="00ED0BCC"/>
    <w:rsid w:val="00F23E35"/>
    <w:rsid w:val="00F71858"/>
    <w:rsid w:val="00F82D52"/>
    <w:rsid w:val="00F95987"/>
    <w:rsid w:val="00F96DA5"/>
    <w:rsid w:val="00FA3819"/>
    <w:rsid w:val="00FB436E"/>
    <w:rsid w:val="00FB7E27"/>
    <w:rsid w:val="00FC15BF"/>
    <w:rsid w:val="00FC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FB8E"/>
  <w15:chartTrackingRefBased/>
  <w15:docId w15:val="{20547FB0-D0D1-4FAF-A6FC-5676CE24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F71858"/>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semiHidden/>
    <w:rsid w:val="00F71858"/>
    <w:rPr>
      <w:rFonts w:ascii="Times New Roman" w:eastAsia="Times New Roman" w:hAnsi="Times New Roman" w:cs="Times New Roman"/>
      <w:sz w:val="28"/>
      <w:szCs w:val="28"/>
      <w:lang w:bidi="en-US"/>
    </w:rPr>
  </w:style>
  <w:style w:type="paragraph" w:styleId="ListParagraph">
    <w:name w:val="List Paragraph"/>
    <w:basedOn w:val="Normal"/>
    <w:uiPriority w:val="34"/>
    <w:qFormat/>
    <w:rsid w:val="00F71858"/>
    <w:pPr>
      <w:widowControl w:val="0"/>
      <w:autoSpaceDE w:val="0"/>
      <w:autoSpaceDN w:val="0"/>
      <w:spacing w:after="0" w:line="240" w:lineRule="auto"/>
      <w:ind w:left="101" w:firstLine="708"/>
      <w:jc w:val="both"/>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EC12D1"/>
    <w:rPr>
      <w:sz w:val="16"/>
      <w:szCs w:val="16"/>
    </w:rPr>
  </w:style>
  <w:style w:type="paragraph" w:styleId="CommentText">
    <w:name w:val="annotation text"/>
    <w:basedOn w:val="Normal"/>
    <w:link w:val="CommentTextChar"/>
    <w:uiPriority w:val="99"/>
    <w:semiHidden/>
    <w:unhideWhenUsed/>
    <w:rsid w:val="00EC12D1"/>
    <w:pPr>
      <w:spacing w:line="240" w:lineRule="auto"/>
    </w:pPr>
    <w:rPr>
      <w:sz w:val="20"/>
      <w:szCs w:val="20"/>
    </w:rPr>
  </w:style>
  <w:style w:type="character" w:customStyle="1" w:styleId="CommentTextChar">
    <w:name w:val="Comment Text Char"/>
    <w:basedOn w:val="DefaultParagraphFont"/>
    <w:link w:val="CommentText"/>
    <w:uiPriority w:val="99"/>
    <w:semiHidden/>
    <w:rsid w:val="00EC12D1"/>
    <w:rPr>
      <w:sz w:val="20"/>
      <w:szCs w:val="20"/>
    </w:rPr>
  </w:style>
  <w:style w:type="paragraph" w:styleId="CommentSubject">
    <w:name w:val="annotation subject"/>
    <w:basedOn w:val="CommentText"/>
    <w:next w:val="CommentText"/>
    <w:link w:val="CommentSubjectChar"/>
    <w:uiPriority w:val="99"/>
    <w:semiHidden/>
    <w:unhideWhenUsed/>
    <w:rsid w:val="00EC12D1"/>
    <w:rPr>
      <w:b/>
      <w:bCs/>
    </w:rPr>
  </w:style>
  <w:style w:type="character" w:customStyle="1" w:styleId="CommentSubjectChar">
    <w:name w:val="Comment Subject Char"/>
    <w:basedOn w:val="CommentTextChar"/>
    <w:link w:val="CommentSubject"/>
    <w:uiPriority w:val="99"/>
    <w:semiHidden/>
    <w:rsid w:val="00EC12D1"/>
    <w:rPr>
      <w:b/>
      <w:bCs/>
      <w:sz w:val="20"/>
      <w:szCs w:val="20"/>
    </w:rPr>
  </w:style>
  <w:style w:type="paragraph" w:styleId="BalloonText">
    <w:name w:val="Balloon Text"/>
    <w:basedOn w:val="Normal"/>
    <w:link w:val="BalloonTextChar"/>
    <w:uiPriority w:val="99"/>
    <w:semiHidden/>
    <w:unhideWhenUsed/>
    <w:rsid w:val="00EC1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8702">
      <w:bodyDiv w:val="1"/>
      <w:marLeft w:val="0"/>
      <w:marRight w:val="0"/>
      <w:marTop w:val="0"/>
      <w:marBottom w:val="0"/>
      <w:divBdr>
        <w:top w:val="none" w:sz="0" w:space="0" w:color="auto"/>
        <w:left w:val="none" w:sz="0" w:space="0" w:color="auto"/>
        <w:bottom w:val="none" w:sz="0" w:space="0" w:color="auto"/>
        <w:right w:val="none" w:sz="0" w:space="0" w:color="auto"/>
      </w:divBdr>
    </w:div>
    <w:div w:id="274942213">
      <w:bodyDiv w:val="1"/>
      <w:marLeft w:val="0"/>
      <w:marRight w:val="0"/>
      <w:marTop w:val="0"/>
      <w:marBottom w:val="0"/>
      <w:divBdr>
        <w:top w:val="none" w:sz="0" w:space="0" w:color="auto"/>
        <w:left w:val="none" w:sz="0" w:space="0" w:color="auto"/>
        <w:bottom w:val="none" w:sz="0" w:space="0" w:color="auto"/>
        <w:right w:val="none" w:sz="0" w:space="0" w:color="auto"/>
      </w:divBdr>
    </w:div>
    <w:div w:id="1444568280">
      <w:bodyDiv w:val="1"/>
      <w:marLeft w:val="0"/>
      <w:marRight w:val="0"/>
      <w:marTop w:val="0"/>
      <w:marBottom w:val="0"/>
      <w:divBdr>
        <w:top w:val="none" w:sz="0" w:space="0" w:color="auto"/>
        <w:left w:val="none" w:sz="0" w:space="0" w:color="auto"/>
        <w:bottom w:val="none" w:sz="0" w:space="0" w:color="auto"/>
        <w:right w:val="none" w:sz="0" w:space="0" w:color="auto"/>
      </w:divBdr>
    </w:div>
    <w:div w:id="18136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98B5-D8FF-46F0-9B48-0FAACC89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5538</Words>
  <Characters>31569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dc:creator>
  <cp:keywords/>
  <dc:description/>
  <cp:lastModifiedBy>D law</cp:lastModifiedBy>
  <cp:revision>2</cp:revision>
  <dcterms:created xsi:type="dcterms:W3CDTF">2020-01-06T14:40:00Z</dcterms:created>
  <dcterms:modified xsi:type="dcterms:W3CDTF">2020-01-06T14:40:00Z</dcterms:modified>
</cp:coreProperties>
</file>